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25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258E" w:rsidP="0018258E">
            <w:pPr>
              <w:jc w:val="right"/>
            </w:pPr>
            <w:r w:rsidRPr="0018258E">
              <w:rPr>
                <w:sz w:val="40"/>
              </w:rPr>
              <w:t>E</w:t>
            </w:r>
            <w:r>
              <w:t>/C.12/NLD/CO/6</w:t>
            </w:r>
          </w:p>
        </w:tc>
      </w:tr>
      <w:tr w:rsidR="002D5AAC" w:rsidRPr="00126B66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044E37" wp14:editId="6C3963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258E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258E" w:rsidRDefault="0018258E" w:rsidP="001825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18258E" w:rsidRDefault="0018258E" w:rsidP="001825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258E" w:rsidRPr="00D62A45" w:rsidRDefault="0018258E" w:rsidP="001825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8258E" w:rsidRPr="00CB4D9B" w:rsidRDefault="0018258E" w:rsidP="0018258E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CB4D9B">
        <w:rPr>
          <w:b/>
          <w:sz w:val="24"/>
          <w:szCs w:val="24"/>
        </w:rPr>
        <w:t xml:space="preserve">Комитет по экономическим, социальным </w:t>
      </w:r>
      <w:r w:rsidRPr="00A211A1">
        <w:rPr>
          <w:b/>
          <w:sz w:val="24"/>
          <w:szCs w:val="24"/>
        </w:rPr>
        <w:br/>
      </w:r>
      <w:r w:rsidRPr="00CB4D9B">
        <w:rPr>
          <w:b/>
          <w:sz w:val="24"/>
          <w:szCs w:val="24"/>
        </w:rPr>
        <w:t>и культурным правам</w:t>
      </w:r>
    </w:p>
    <w:p w:rsidR="0018258E" w:rsidRPr="009C534A" w:rsidRDefault="0018258E" w:rsidP="0018258E">
      <w:pPr>
        <w:pStyle w:val="HChGR"/>
      </w:pPr>
      <w:r w:rsidRPr="009C534A">
        <w:tab/>
      </w:r>
      <w:r w:rsidRPr="009C534A">
        <w:tab/>
        <w:t>Заключительные замечания по шестому периодическому докладу Нидерландов</w:t>
      </w:r>
      <w:r w:rsidRPr="00A211A1">
        <w:rPr>
          <w:b w:val="0"/>
          <w:sz w:val="20"/>
        </w:rPr>
        <w:footnoteReference w:customMarkFollows="1" w:id="1"/>
        <w:t>*</w:t>
      </w:r>
    </w:p>
    <w:p w:rsidR="0018258E" w:rsidRPr="009C534A" w:rsidRDefault="0018258E" w:rsidP="0018258E">
      <w:pPr>
        <w:pStyle w:val="SingleTxtGR"/>
      </w:pPr>
      <w:r w:rsidRPr="009C534A">
        <w:t>1.</w:t>
      </w:r>
      <w:r w:rsidRPr="009C534A">
        <w:tab/>
        <w:t>Комитет по экономическим, социальным и культурным правам рассмо</w:t>
      </w:r>
      <w:r w:rsidRPr="009C534A">
        <w:t>т</w:t>
      </w:r>
      <w:r w:rsidRPr="009C534A">
        <w:t>рел шестой периодический доклад Нидерландов (E/C.12/NLD/6) на своих 18-м и 19-м заседаниях (E/C.12/2017/SR.18 и E/C.12/2017/SR.19), состоявшихся 1 и</w:t>
      </w:r>
      <w:r>
        <w:rPr>
          <w:lang w:val="en-US"/>
        </w:rPr>
        <w:t> </w:t>
      </w:r>
      <w:r w:rsidRPr="009C534A">
        <w:t>2</w:t>
      </w:r>
      <w:r>
        <w:rPr>
          <w:lang w:val="en-US"/>
        </w:rPr>
        <w:t> </w:t>
      </w:r>
      <w:r w:rsidRPr="009C534A">
        <w:t>июня 2017 года, и на своем 47-м заседании, состоявшемся 23 июня 2017 г</w:t>
      </w:r>
      <w:r w:rsidRPr="009C534A">
        <w:t>о</w:t>
      </w:r>
      <w:r w:rsidRPr="009C534A">
        <w:t>да, и принял следующие заключительные замечания.</w:t>
      </w:r>
    </w:p>
    <w:p w:rsidR="0018258E" w:rsidRPr="009C534A" w:rsidRDefault="0018258E" w:rsidP="0018258E">
      <w:pPr>
        <w:pStyle w:val="H1GR"/>
      </w:pPr>
      <w:r w:rsidRPr="009C534A">
        <w:tab/>
        <w:t>A.</w:t>
      </w:r>
      <w:r w:rsidRPr="009C534A">
        <w:tab/>
        <w:t>Введение</w:t>
      </w:r>
    </w:p>
    <w:p w:rsidR="0018258E" w:rsidRPr="009C534A" w:rsidRDefault="0018258E" w:rsidP="0018258E">
      <w:pPr>
        <w:pStyle w:val="SingleTxtGR"/>
      </w:pPr>
      <w:r w:rsidRPr="009C534A">
        <w:t>2.</w:t>
      </w:r>
      <w:r w:rsidRPr="009C534A">
        <w:tab/>
        <w:t>Комитет приветствует представление шестого периодического доклада государства-участника, а также представление письменных ответов на перечень вопросов (E/C.12/NLD/Q/6/Add.1). Комитет также приветствует конструкти</w:t>
      </w:r>
      <w:r w:rsidRPr="009C534A">
        <w:t>в</w:t>
      </w:r>
      <w:r w:rsidRPr="009C534A">
        <w:t xml:space="preserve">ный диалог, состоявшийся с межведомственной делегацией государства-участника, в том числе с представителями входящих в его состав территорий </w:t>
      </w:r>
      <w:r w:rsidRPr="000F6FE0">
        <w:t xml:space="preserve">– </w:t>
      </w:r>
      <w:r w:rsidRPr="009C534A">
        <w:t>Арубы, Кюрасао и Синт-Мартена.</w:t>
      </w:r>
    </w:p>
    <w:p w:rsidR="0018258E" w:rsidRPr="009C534A" w:rsidRDefault="0018258E" w:rsidP="0018258E">
      <w:pPr>
        <w:pStyle w:val="H1GR"/>
      </w:pPr>
      <w:r w:rsidRPr="009C534A">
        <w:tab/>
        <w:t>B.</w:t>
      </w:r>
      <w:r w:rsidRPr="009C534A">
        <w:tab/>
        <w:t xml:space="preserve">Позитивные аспекты </w:t>
      </w:r>
    </w:p>
    <w:p w:rsidR="0018258E" w:rsidRPr="009C534A" w:rsidRDefault="0018258E" w:rsidP="0018258E">
      <w:pPr>
        <w:pStyle w:val="SingleTxtGR"/>
      </w:pPr>
      <w:r w:rsidRPr="009C534A">
        <w:t>3.</w:t>
      </w:r>
      <w:r w:rsidRPr="009C534A">
        <w:tab/>
        <w:t>Комитет приветствует ратификацию следующих конвенций по правам ч</w:t>
      </w:r>
      <w:r w:rsidRPr="009C534A">
        <w:t>е</w:t>
      </w:r>
      <w:r w:rsidRPr="009C534A">
        <w:t>ловека:</w:t>
      </w:r>
    </w:p>
    <w:p w:rsidR="0018258E" w:rsidRPr="009C534A" w:rsidRDefault="0018258E" w:rsidP="0018258E">
      <w:pPr>
        <w:pStyle w:val="SingleTxtGR"/>
      </w:pPr>
      <w:r w:rsidRPr="009C534A">
        <w:tab/>
        <w:t>а)</w:t>
      </w:r>
      <w:r w:rsidRPr="009C534A">
        <w:tab/>
        <w:t>Конвенции о правах инвалидов</w:t>
      </w:r>
      <w:r>
        <w:t xml:space="preserve"> </w:t>
      </w:r>
      <w:r w:rsidRPr="009C534A">
        <w:t>в 2016 году;</w:t>
      </w:r>
    </w:p>
    <w:p w:rsidR="0018258E" w:rsidRPr="009C534A" w:rsidRDefault="0018258E" w:rsidP="0018258E">
      <w:pPr>
        <w:pStyle w:val="SingleTxtGR"/>
      </w:pPr>
      <w:r w:rsidRPr="009C534A">
        <w:tab/>
        <w:t>b)</w:t>
      </w:r>
      <w:r w:rsidRPr="009C534A">
        <w:tab/>
        <w:t>Международной конвенции для защиты всех лиц от насильстве</w:t>
      </w:r>
      <w:r w:rsidRPr="009C534A">
        <w:t>н</w:t>
      </w:r>
      <w:r w:rsidRPr="009C534A">
        <w:t xml:space="preserve">ных исчезновений в 2011 году; </w:t>
      </w:r>
    </w:p>
    <w:p w:rsidR="0018258E" w:rsidRPr="009C534A" w:rsidRDefault="0018258E" w:rsidP="0018258E">
      <w:pPr>
        <w:pStyle w:val="SingleTxtGR"/>
      </w:pPr>
      <w:r w:rsidRPr="009C534A">
        <w:tab/>
        <w:t>с)</w:t>
      </w:r>
      <w:r w:rsidRPr="009C534A">
        <w:tab/>
        <w:t>Факультативного протокола к Конвенции против пыток и других жестоких, бесчеловечных или унижающих достоинство видов обращения и наказания в 2010 году.</w:t>
      </w:r>
    </w:p>
    <w:p w:rsidR="0018258E" w:rsidRPr="009C534A" w:rsidRDefault="0018258E" w:rsidP="0018258E">
      <w:pPr>
        <w:pStyle w:val="SingleTxtGR"/>
      </w:pPr>
      <w:r w:rsidRPr="009C534A">
        <w:t>4.</w:t>
      </w:r>
      <w:r w:rsidRPr="009C534A">
        <w:tab/>
        <w:t>Комитет приветствует законодательные, институциональные и програм</w:t>
      </w:r>
      <w:r w:rsidRPr="009C534A">
        <w:t>м</w:t>
      </w:r>
      <w:r w:rsidRPr="009C534A">
        <w:t>ные меры, принятые в целях поощрения экономических, социальных и кул</w:t>
      </w:r>
      <w:r w:rsidRPr="009C534A">
        <w:t>ь</w:t>
      </w:r>
      <w:r w:rsidRPr="009C534A">
        <w:t>турных прав в государстве-участнике, в том числе:</w:t>
      </w:r>
    </w:p>
    <w:p w:rsidR="0018258E" w:rsidRPr="009C534A" w:rsidRDefault="0018258E" w:rsidP="0018258E">
      <w:pPr>
        <w:pStyle w:val="SingleTxtGR"/>
      </w:pPr>
      <w:r w:rsidRPr="009C534A">
        <w:tab/>
        <w:t>а)</w:t>
      </w:r>
      <w:r w:rsidRPr="009C534A">
        <w:tab/>
        <w:t>создание Института по правам человека Нидерландов в 2012 году;</w:t>
      </w:r>
    </w:p>
    <w:p w:rsidR="0018258E" w:rsidRPr="009C534A" w:rsidRDefault="0018258E" w:rsidP="0018258E">
      <w:pPr>
        <w:pStyle w:val="SingleTxtGR"/>
      </w:pPr>
      <w:r w:rsidRPr="009C534A">
        <w:tab/>
        <w:t>b)</w:t>
      </w:r>
      <w:r w:rsidRPr="009C534A">
        <w:tab/>
        <w:t xml:space="preserve">принятие Национального плана действий в области прав человека в 2013 году и Национального плана действий по вопросам предпринимательской деятельности и прав человека в 2014 году; </w:t>
      </w:r>
    </w:p>
    <w:p w:rsidR="0018258E" w:rsidRPr="009C534A" w:rsidRDefault="0018258E" w:rsidP="0018258E">
      <w:pPr>
        <w:pStyle w:val="SingleTxtGR"/>
      </w:pPr>
      <w:r w:rsidRPr="009C534A">
        <w:lastRenderedPageBreak/>
        <w:tab/>
        <w:t>с)</w:t>
      </w:r>
      <w:r w:rsidRPr="009C534A">
        <w:tab/>
        <w:t>принятие Закона об обеспечении занятости инвалидов в 2015 году, Закона о занятости и трудовых квотах в 2014 году и Закона о надлежащем обр</w:t>
      </w:r>
      <w:r w:rsidRPr="009C534A">
        <w:t>а</w:t>
      </w:r>
      <w:r w:rsidRPr="009C534A">
        <w:t xml:space="preserve">зовании в 2014 году; </w:t>
      </w:r>
    </w:p>
    <w:p w:rsidR="0018258E" w:rsidRPr="009C534A" w:rsidRDefault="0018258E" w:rsidP="0018258E">
      <w:pPr>
        <w:pStyle w:val="SingleTxtGR"/>
      </w:pPr>
      <w:r w:rsidRPr="009C534A">
        <w:tab/>
        <w:t>d)</w:t>
      </w:r>
      <w:r w:rsidRPr="009C534A">
        <w:tab/>
        <w:t>принятие Закона о Кодексе об обязательном раскрытии информ</w:t>
      </w:r>
      <w:r w:rsidRPr="009C534A">
        <w:t>а</w:t>
      </w:r>
      <w:r w:rsidRPr="009C534A">
        <w:t>ции в 2013 году;</w:t>
      </w:r>
    </w:p>
    <w:p w:rsidR="0018258E" w:rsidRPr="009C534A" w:rsidRDefault="0018258E" w:rsidP="0018258E">
      <w:pPr>
        <w:pStyle w:val="SingleTxtGR"/>
      </w:pPr>
      <w:r w:rsidRPr="009C534A">
        <w:tab/>
        <w:t>e)</w:t>
      </w:r>
      <w:r w:rsidRPr="009C534A">
        <w:tab/>
        <w:t>упразднение продленной процедуры рассмотрения ходатайства о предоставления убежища при содержании просителя убежища под стражей;</w:t>
      </w:r>
    </w:p>
    <w:p w:rsidR="0018258E" w:rsidRPr="009C534A" w:rsidRDefault="0018258E" w:rsidP="0018258E">
      <w:pPr>
        <w:pStyle w:val="SingleTxtGR"/>
      </w:pPr>
      <w:r w:rsidRPr="009C534A">
        <w:tab/>
        <w:t>f)</w:t>
      </w:r>
      <w:r w:rsidRPr="009C534A">
        <w:tab/>
        <w:t xml:space="preserve">принятие Закона об обязательном образовании в Арубе в 2012 году; </w:t>
      </w:r>
    </w:p>
    <w:p w:rsidR="0018258E" w:rsidRPr="009C534A" w:rsidRDefault="0018258E" w:rsidP="0018258E">
      <w:pPr>
        <w:pStyle w:val="SingleTxtGR"/>
      </w:pPr>
      <w:r w:rsidRPr="009C534A">
        <w:tab/>
        <w:t>g)</w:t>
      </w:r>
      <w:r w:rsidRPr="009C534A">
        <w:tab/>
        <w:t>введение бесплатного начального и среднего образования в Кюр</w:t>
      </w:r>
      <w:r w:rsidRPr="009C534A">
        <w:t>а</w:t>
      </w:r>
      <w:r w:rsidRPr="009C534A">
        <w:t>сао в 2012 году;</w:t>
      </w:r>
    </w:p>
    <w:p w:rsidR="0018258E" w:rsidRPr="009C534A" w:rsidRDefault="0018258E" w:rsidP="0018258E">
      <w:pPr>
        <w:pStyle w:val="SingleTxtGR"/>
      </w:pPr>
      <w:r w:rsidRPr="009C534A">
        <w:tab/>
        <w:t>h)</w:t>
      </w:r>
      <w:r w:rsidRPr="009C534A">
        <w:tab/>
        <w:t>внесение поправок в Гражданский кодекс, Уголовный кодекс и П</w:t>
      </w:r>
      <w:r w:rsidRPr="009C534A">
        <w:t>о</w:t>
      </w:r>
      <w:r w:rsidRPr="009C534A">
        <w:t>становление о материальном Законе о государственной службе в Кюрасао в 2014 году, смягчающих ограничения на осуществление права государственных служащих на забастовку, и отмену запрета на забастовки государственных сл</w:t>
      </w:r>
      <w:r w:rsidRPr="009C534A">
        <w:t>у</w:t>
      </w:r>
      <w:r w:rsidRPr="009C534A">
        <w:t>жащих в пересмотренном Уголовном кодексе Арубы в 2014 году;</w:t>
      </w:r>
    </w:p>
    <w:p w:rsidR="0018258E" w:rsidRPr="009C534A" w:rsidRDefault="0018258E" w:rsidP="0018258E">
      <w:pPr>
        <w:pStyle w:val="SingleTxtGR"/>
      </w:pPr>
      <w:r w:rsidRPr="009C534A">
        <w:tab/>
        <w:t>i)</w:t>
      </w:r>
      <w:r w:rsidRPr="009C534A">
        <w:tab/>
        <w:t>включение уголовного преступления торговли людьми в Уголовный кодекс Кюрасао в 2011 году.</w:t>
      </w:r>
    </w:p>
    <w:p w:rsidR="0018258E" w:rsidRPr="009C534A" w:rsidRDefault="0018258E" w:rsidP="0018258E">
      <w:pPr>
        <w:pStyle w:val="H1GR"/>
      </w:pPr>
      <w:r w:rsidRPr="009C534A">
        <w:tab/>
        <w:t>C.</w:t>
      </w:r>
      <w:r w:rsidRPr="009C534A">
        <w:tab/>
        <w:t>Основные проблемы, вызывающие озабоченность, и</w:t>
      </w:r>
      <w:r>
        <w:rPr>
          <w:lang w:val="en-US"/>
        </w:rPr>
        <w:t> </w:t>
      </w:r>
      <w:r w:rsidRPr="009C534A">
        <w:t>рекомендации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 xml:space="preserve">Возможность защиты в судебном порядке прав, провозглашенных в Пакте </w:t>
      </w:r>
    </w:p>
    <w:p w:rsidR="0018258E" w:rsidRPr="009C534A" w:rsidRDefault="0018258E" w:rsidP="0018258E">
      <w:pPr>
        <w:pStyle w:val="SingleTxtGR"/>
      </w:pPr>
      <w:r w:rsidRPr="009C534A">
        <w:t>5.</w:t>
      </w:r>
      <w:r w:rsidRPr="009C534A">
        <w:tab/>
        <w:t>Комитет обеспокоен тем, что, хотя согласно Конституции Нидерландов (статьи 93 и 94) международные договоры, имеющие обязательную юридич</w:t>
      </w:r>
      <w:r w:rsidRPr="009C534A">
        <w:t>е</w:t>
      </w:r>
      <w:r w:rsidRPr="009C534A">
        <w:t>скую силу для всех лиц, превалируют над внутренним законодательством, гос</w:t>
      </w:r>
      <w:r w:rsidRPr="009C534A">
        <w:t>у</w:t>
      </w:r>
      <w:r w:rsidRPr="009C534A">
        <w:t>дарство-участник исходит из того, что в целом положения Пакта не имеют об</w:t>
      </w:r>
      <w:r w:rsidRPr="009C534A">
        <w:t>я</w:t>
      </w:r>
      <w:r w:rsidRPr="009C534A">
        <w:t>зательной юридической силы для всех лиц и носят программный характер и, следовательно, провозглашенные в нем права не могут защищаться в судебном порядке. Комитет по-прежнему обеспокоен тем, что Пакт не играет важной р</w:t>
      </w:r>
      <w:r w:rsidRPr="009C534A">
        <w:t>о</w:t>
      </w:r>
      <w:r w:rsidRPr="009C534A">
        <w:t>ли в процессе разработки законодательства или политики государства-участника и что существенные реформы в сфере социальных услуг были пр</w:t>
      </w:r>
      <w:r w:rsidRPr="009C534A">
        <w:t>и</w:t>
      </w:r>
      <w:r w:rsidRPr="009C534A">
        <w:t xml:space="preserve">няты без учета Пакта (статья 2).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6.</w:t>
      </w:r>
      <w:r w:rsidRPr="009C534A">
        <w:tab/>
      </w:r>
      <w:r w:rsidRPr="009C534A">
        <w:rPr>
          <w:b/>
          <w:bCs/>
        </w:rPr>
        <w:t>Ссылаясь на свою предыдущую рекомендацию (см.</w:t>
      </w:r>
      <w:r>
        <w:rPr>
          <w:b/>
          <w:bCs/>
          <w:lang w:val="en-US"/>
        </w:rPr>
        <w:t> </w:t>
      </w:r>
      <w:r w:rsidRPr="009C534A">
        <w:rPr>
          <w:b/>
          <w:bCs/>
        </w:rPr>
        <w:t>E/C.12/NLD/</w:t>
      </w:r>
      <w:r w:rsidRPr="0017583C">
        <w:rPr>
          <w:b/>
          <w:bCs/>
        </w:rPr>
        <w:br/>
      </w:r>
      <w:r w:rsidRPr="009C534A">
        <w:rPr>
          <w:b/>
          <w:bCs/>
        </w:rPr>
        <w:t>CO/4-5, пункт 6), Комитет настоятельно призывает государство-участник в полной мере включить провозглашенные в Пакте права в свое внутреннее законодательство и обеспечить их осуществление в процессе разработки законодательства и политики. В этом контексте Комитет обращает вним</w:t>
      </w:r>
      <w:r w:rsidRPr="009C534A">
        <w:rPr>
          <w:b/>
          <w:bCs/>
        </w:rPr>
        <w:t>а</w:t>
      </w:r>
      <w:r w:rsidRPr="009C534A">
        <w:rPr>
          <w:b/>
          <w:bCs/>
        </w:rPr>
        <w:t>ние государства-участника на свое замечание общего порядка № 9 (1998) о применении Пакта во внутреннем праве.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Национальный план действий в области прав человека</w:t>
      </w:r>
    </w:p>
    <w:p w:rsidR="0018258E" w:rsidRPr="009C534A" w:rsidRDefault="0018258E" w:rsidP="0018258E">
      <w:pPr>
        <w:pStyle w:val="SingleTxtGR"/>
      </w:pPr>
      <w:r w:rsidRPr="009C534A">
        <w:t>7.</w:t>
      </w:r>
      <w:r w:rsidRPr="009C534A">
        <w:tab/>
        <w:t>Комитет с удовлетворением отмечает принятие в Нидерландах Наци</w:t>
      </w:r>
      <w:r w:rsidRPr="009C534A">
        <w:t>о</w:t>
      </w:r>
      <w:r w:rsidRPr="009C534A">
        <w:t>нального плана действий в области прав человека. Вместе с тем он сожалеет, что План не содержит конкретных стратегий и задач для отраслевых мин</w:t>
      </w:r>
      <w:r w:rsidRPr="009C534A">
        <w:t>и</w:t>
      </w:r>
      <w:r w:rsidRPr="009C534A">
        <w:t>стерств и местных органов власти. Комитет далее выражает сожаление в связи с отсутствием национальных планов действий в области прав человека в Арубе, Кюрасао и Синт-Мартене.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8.</w:t>
      </w:r>
      <w:r w:rsidRPr="009C534A">
        <w:tab/>
      </w:r>
      <w:r w:rsidRPr="009C534A">
        <w:rPr>
          <w:b/>
          <w:bCs/>
        </w:rPr>
        <w:t>Комитет рекомендует государству-участнику установить конкретные задачи и разработать стратегии по осуществлению Национального плана действий в области прав человека для всех отраслевых министерств и всех уровней государственной власти в тесной консультации со всеми соотве</w:t>
      </w:r>
      <w:r w:rsidRPr="009C534A">
        <w:rPr>
          <w:b/>
          <w:bCs/>
        </w:rPr>
        <w:t>т</w:t>
      </w:r>
      <w:r w:rsidRPr="009C534A">
        <w:rPr>
          <w:b/>
          <w:bCs/>
        </w:rPr>
        <w:t>ствующими заинтересованными сторонами, в том числе гражданским о</w:t>
      </w:r>
      <w:r w:rsidRPr="009C534A">
        <w:rPr>
          <w:b/>
          <w:bCs/>
        </w:rPr>
        <w:t>б</w:t>
      </w:r>
      <w:r w:rsidRPr="009C534A">
        <w:rPr>
          <w:b/>
          <w:bCs/>
        </w:rPr>
        <w:t xml:space="preserve">ществом и Институтом по правам человека Нидерландов. Комитет далее </w:t>
      </w:r>
      <w:r w:rsidRPr="009C534A">
        <w:rPr>
          <w:b/>
          <w:bCs/>
        </w:rPr>
        <w:lastRenderedPageBreak/>
        <w:t>рекомендует государству-участнику принять национальные планы де</w:t>
      </w:r>
      <w:r w:rsidRPr="009C534A">
        <w:rPr>
          <w:b/>
          <w:bCs/>
        </w:rPr>
        <w:t>й</w:t>
      </w:r>
      <w:r w:rsidRPr="009C534A">
        <w:rPr>
          <w:b/>
          <w:bCs/>
        </w:rPr>
        <w:t xml:space="preserve">ствий в области прав человека для всех входящих в его состав территорий.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Международное сотрудничество в целях развития</w:t>
      </w:r>
    </w:p>
    <w:p w:rsidR="0018258E" w:rsidRPr="009C534A" w:rsidRDefault="0018258E" w:rsidP="0018258E">
      <w:pPr>
        <w:pStyle w:val="SingleTxtGR"/>
      </w:pPr>
      <w:r w:rsidRPr="009C534A">
        <w:t>9.</w:t>
      </w:r>
      <w:r w:rsidRPr="009C534A">
        <w:tab/>
        <w:t>Комитет выражает обеспокоенность в связи со снижением объема офиц</w:t>
      </w:r>
      <w:r w:rsidRPr="009C534A">
        <w:t>и</w:t>
      </w:r>
      <w:r w:rsidRPr="009C534A">
        <w:t>альной помощи государства-участника в целях развития, который в 2013 году упал ниже согласованного на международном уровне обязательства в разм</w:t>
      </w:r>
      <w:r w:rsidRPr="009C534A">
        <w:t>е</w:t>
      </w:r>
      <w:r w:rsidRPr="009C534A">
        <w:t>ре</w:t>
      </w:r>
      <w:r>
        <w:rPr>
          <w:lang w:val="en-US"/>
        </w:rPr>
        <w:t> </w:t>
      </w:r>
      <w:r w:rsidRPr="009C534A">
        <w:t>0,7% валового национального дохода (ВНД) и продолжает сокращаться. Он</w:t>
      </w:r>
      <w:r>
        <w:rPr>
          <w:lang w:val="en-US"/>
        </w:rPr>
        <w:t> </w:t>
      </w:r>
      <w:r w:rsidRPr="009C534A">
        <w:t>также обеспокоен тем, что оценки воздействия на права человека не пров</w:t>
      </w:r>
      <w:r w:rsidRPr="009C534A">
        <w:t>о</w:t>
      </w:r>
      <w:r w:rsidRPr="009C534A">
        <w:t xml:space="preserve">дятся на систематической основе (пункт 1) статьи 2). 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10.</w:t>
      </w:r>
      <w:r w:rsidRPr="009C534A">
        <w:tab/>
      </w:r>
      <w:r w:rsidRPr="009C534A">
        <w:rPr>
          <w:b/>
          <w:bCs/>
        </w:rPr>
        <w:t>Комитет призывает государство-участник постепенно увеличить свою официальную помощь в целях развития до 0,7% ВНД, а также пр</w:t>
      </w:r>
      <w:r w:rsidRPr="009C534A">
        <w:rPr>
          <w:b/>
          <w:bCs/>
        </w:rPr>
        <w:t>и</w:t>
      </w:r>
      <w:r w:rsidRPr="009C534A">
        <w:rPr>
          <w:b/>
          <w:bCs/>
        </w:rPr>
        <w:t>держиваться в своей политике сотрудничества в целях развития подхода, основанного на правах человека, включая оценки воздействия на права человека.</w:t>
      </w:r>
      <w:r w:rsidRPr="009C534A">
        <w:t xml:space="preserve">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Предпринимательская деятельность и экономические, социальные и</w:t>
      </w:r>
      <w:r>
        <w:rPr>
          <w:lang w:val="en-US"/>
        </w:rPr>
        <w:t> </w:t>
      </w:r>
      <w:r w:rsidRPr="009C534A">
        <w:t>культурные права</w:t>
      </w:r>
    </w:p>
    <w:p w:rsidR="0018258E" w:rsidRPr="009C534A" w:rsidRDefault="0018258E" w:rsidP="0018258E">
      <w:pPr>
        <w:pStyle w:val="SingleTxtGR"/>
      </w:pPr>
      <w:r w:rsidRPr="009C534A">
        <w:t>11.</w:t>
      </w:r>
      <w:r w:rsidRPr="009C534A">
        <w:tab/>
        <w:t>Комитет приветствует принятие в 2014 году Национального плана де</w:t>
      </w:r>
      <w:r w:rsidRPr="009C534A">
        <w:t>й</w:t>
      </w:r>
      <w:r w:rsidRPr="009C534A">
        <w:t>ствий в области предпринимательской деятельности и прав человека. Вместе с тем Комитет выражает сожаление в связи с тем, что в Плане содержатся только руководящие принципы, относящиеся в первую очередь к голландским комп</w:t>
      </w:r>
      <w:r w:rsidRPr="009C534A">
        <w:t>а</w:t>
      </w:r>
      <w:r w:rsidRPr="009C534A">
        <w:t>ниям, работающим за рубежом, и что в нем не предусмотрены официальные контрольные механизмы. Кроме того, Комитет обеспокоен сообщениями о п</w:t>
      </w:r>
      <w:r w:rsidRPr="009C534A">
        <w:t>о</w:t>
      </w:r>
      <w:r w:rsidRPr="009C534A">
        <w:t>вреждении домов людей в Гронингене в связи с добычей газа и загрязняющем нефтеперерабатывающем заводе в Кюрасао. Комитет также обеспокоен соо</w:t>
      </w:r>
      <w:r w:rsidRPr="009C534A">
        <w:t>б</w:t>
      </w:r>
      <w:r w:rsidRPr="009C534A">
        <w:t>щениями о серьезном ущербе, нанесенном окружающей среде и средствам к существованию коренных народов в Перу компанией, зарегистрированной в государстве-участнике (пункт 1) статьи 2 и статья 11).</w:t>
      </w:r>
      <w:r>
        <w:t xml:space="preserve">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12.</w:t>
      </w:r>
      <w:r w:rsidRPr="009C534A">
        <w:tab/>
      </w:r>
      <w:r w:rsidRPr="009C534A">
        <w:rPr>
          <w:b/>
          <w:bCs/>
        </w:rPr>
        <w:t xml:space="preserve">Комитет рекомендует государству-участнику: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E608C2">
        <w:rPr>
          <w:b/>
          <w:bCs/>
        </w:rPr>
        <w:tab/>
      </w:r>
      <w:r w:rsidRPr="00E608C2">
        <w:rPr>
          <w:b/>
        </w:rPr>
        <w:t>а)</w:t>
      </w:r>
      <w:r w:rsidRPr="009C534A">
        <w:rPr>
          <w:b/>
          <w:bCs/>
        </w:rPr>
        <w:tab/>
        <w:t>включить в Национальный план действий по вопросам пре</w:t>
      </w:r>
      <w:r w:rsidRPr="009C534A">
        <w:rPr>
          <w:b/>
          <w:bCs/>
        </w:rPr>
        <w:t>д</w:t>
      </w:r>
      <w:r w:rsidRPr="009C534A">
        <w:rPr>
          <w:b/>
          <w:bCs/>
        </w:rPr>
        <w:t>принимательской деятельности и прав человека официальный контрол</w:t>
      </w:r>
      <w:r w:rsidRPr="009C534A">
        <w:rPr>
          <w:b/>
          <w:bCs/>
        </w:rPr>
        <w:t>ь</w:t>
      </w:r>
      <w:r w:rsidRPr="009C534A">
        <w:rPr>
          <w:b/>
          <w:bCs/>
        </w:rPr>
        <w:t>ный механизм;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rPr>
          <w:b/>
          <w:bCs/>
        </w:rPr>
        <w:tab/>
      </w:r>
      <w:r w:rsidRPr="00E608C2">
        <w:rPr>
          <w:b/>
        </w:rPr>
        <w:t>b)</w:t>
      </w:r>
      <w:r w:rsidRPr="00E608C2">
        <w:rPr>
          <w:b/>
          <w:bCs/>
        </w:rPr>
        <w:tab/>
      </w:r>
      <w:r w:rsidRPr="009C534A">
        <w:rPr>
          <w:b/>
          <w:bCs/>
        </w:rPr>
        <w:t>принять меры по обеспечению соблюдения компаниями, де</w:t>
      </w:r>
      <w:r w:rsidRPr="009C534A">
        <w:rPr>
          <w:b/>
          <w:bCs/>
        </w:rPr>
        <w:t>й</w:t>
      </w:r>
      <w:r w:rsidRPr="009C534A">
        <w:rPr>
          <w:b/>
          <w:bCs/>
        </w:rPr>
        <w:t>ствующими на территории государства-участника, обязательств в области прав человека;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E608C2">
        <w:rPr>
          <w:b/>
          <w:bCs/>
        </w:rPr>
        <w:tab/>
      </w:r>
      <w:r w:rsidRPr="00E608C2">
        <w:rPr>
          <w:b/>
        </w:rPr>
        <w:t>с)</w:t>
      </w:r>
      <w:r w:rsidRPr="009C534A">
        <w:rPr>
          <w:b/>
          <w:bCs/>
        </w:rPr>
        <w:tab/>
        <w:t>принять меры по обеспечению физической безопасности и пс</w:t>
      </w:r>
      <w:r w:rsidRPr="009C534A">
        <w:rPr>
          <w:b/>
          <w:bCs/>
        </w:rPr>
        <w:t>и</w:t>
      </w:r>
      <w:r w:rsidRPr="009C534A">
        <w:rPr>
          <w:b/>
          <w:bCs/>
        </w:rPr>
        <w:t>хического здоровья людей, проживающих в районе добычи природного г</w:t>
      </w:r>
      <w:r w:rsidRPr="009C534A">
        <w:rPr>
          <w:b/>
          <w:bCs/>
        </w:rPr>
        <w:t>а</w:t>
      </w:r>
      <w:r w:rsidRPr="009C534A">
        <w:rPr>
          <w:b/>
          <w:bCs/>
        </w:rPr>
        <w:t>за в Гронингене, а также безопасности их домов, предоставить надлеж</w:t>
      </w:r>
      <w:r w:rsidRPr="009C534A">
        <w:rPr>
          <w:b/>
          <w:bCs/>
        </w:rPr>
        <w:t>а</w:t>
      </w:r>
      <w:r w:rsidRPr="009C534A">
        <w:rPr>
          <w:b/>
          <w:bCs/>
        </w:rPr>
        <w:t>щую компенсацию жертвам и предотвратить повторение в будущем убы</w:t>
      </w:r>
      <w:r w:rsidRPr="009C534A">
        <w:rPr>
          <w:b/>
          <w:bCs/>
        </w:rPr>
        <w:t>т</w:t>
      </w:r>
      <w:r w:rsidRPr="009C534A">
        <w:rPr>
          <w:b/>
          <w:bCs/>
        </w:rPr>
        <w:t>ков по причине добычи газа;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E608C2">
        <w:rPr>
          <w:b/>
          <w:bCs/>
        </w:rPr>
        <w:tab/>
      </w:r>
      <w:r w:rsidRPr="00E608C2">
        <w:rPr>
          <w:b/>
        </w:rPr>
        <w:t>d)</w:t>
      </w:r>
      <w:r w:rsidRPr="009C534A">
        <w:rPr>
          <w:b/>
          <w:bCs/>
        </w:rPr>
        <w:tab/>
        <w:t>ускорить модернизацию нефтеперерабатывающей промышле</w:t>
      </w:r>
      <w:r w:rsidRPr="009C534A">
        <w:rPr>
          <w:b/>
          <w:bCs/>
        </w:rPr>
        <w:t>н</w:t>
      </w:r>
      <w:r w:rsidRPr="009C534A">
        <w:rPr>
          <w:b/>
          <w:bCs/>
        </w:rPr>
        <w:t>ности в Кюрасао с целью предотвращения загрязнения;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rPr>
          <w:b/>
          <w:bCs/>
        </w:rPr>
        <w:tab/>
      </w:r>
      <w:r w:rsidRPr="00E608C2">
        <w:rPr>
          <w:b/>
        </w:rPr>
        <w:t>e)</w:t>
      </w:r>
      <w:r w:rsidRPr="009C534A">
        <w:rPr>
          <w:b/>
          <w:bCs/>
        </w:rPr>
        <w:tab/>
        <w:t>устранить правовые и практические препятствия на пути пр</w:t>
      </w:r>
      <w:r w:rsidRPr="009C534A">
        <w:rPr>
          <w:b/>
          <w:bCs/>
        </w:rPr>
        <w:t>и</w:t>
      </w:r>
      <w:r w:rsidRPr="009C534A">
        <w:rPr>
          <w:b/>
          <w:bCs/>
        </w:rPr>
        <w:t>влечения компаний, зарегистрированных в пределах юрисдикции госуда</w:t>
      </w:r>
      <w:r w:rsidRPr="009C534A">
        <w:rPr>
          <w:b/>
          <w:bCs/>
        </w:rPr>
        <w:t>р</w:t>
      </w:r>
      <w:r w:rsidRPr="009C534A">
        <w:rPr>
          <w:b/>
          <w:bCs/>
        </w:rPr>
        <w:t>ства-участника, к ответственности за нарушение экономических, социал</w:t>
      </w:r>
      <w:r w:rsidRPr="009C534A">
        <w:rPr>
          <w:b/>
          <w:bCs/>
        </w:rPr>
        <w:t>ь</w:t>
      </w:r>
      <w:r w:rsidRPr="009C534A">
        <w:rPr>
          <w:b/>
          <w:bCs/>
        </w:rPr>
        <w:t>ных и культурных прав в результате их деятельности на территории стр</w:t>
      </w:r>
      <w:r w:rsidRPr="009C534A">
        <w:rPr>
          <w:b/>
          <w:bCs/>
        </w:rPr>
        <w:t>а</w:t>
      </w:r>
      <w:r w:rsidRPr="009C534A">
        <w:rPr>
          <w:b/>
          <w:bCs/>
        </w:rPr>
        <w:t xml:space="preserve">ны или за границей.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13.</w:t>
      </w:r>
      <w:r w:rsidRPr="009C534A">
        <w:tab/>
      </w:r>
      <w:r w:rsidRPr="009C534A">
        <w:rPr>
          <w:b/>
          <w:bCs/>
        </w:rPr>
        <w:t>Комитет отсылает государство-участник к своему замечанию общего порядка № 24 об обязательствах государств в соответствии с Междунаро</w:t>
      </w:r>
      <w:r w:rsidRPr="009C534A">
        <w:rPr>
          <w:b/>
          <w:bCs/>
        </w:rPr>
        <w:t>д</w:t>
      </w:r>
      <w:r w:rsidRPr="009C534A">
        <w:rPr>
          <w:b/>
          <w:bCs/>
        </w:rPr>
        <w:t>ным пактом об экономических, социальных и культурных правах в ко</w:t>
      </w:r>
      <w:r w:rsidRPr="009C534A">
        <w:rPr>
          <w:b/>
          <w:bCs/>
        </w:rPr>
        <w:t>н</w:t>
      </w:r>
      <w:r w:rsidRPr="009C534A">
        <w:rPr>
          <w:b/>
          <w:bCs/>
        </w:rPr>
        <w:t>тексте предпринимательской деятельности.</w:t>
      </w:r>
    </w:p>
    <w:p w:rsidR="0018258E" w:rsidRPr="009C534A" w:rsidRDefault="0018258E" w:rsidP="0018258E">
      <w:pPr>
        <w:pStyle w:val="H23GR"/>
      </w:pPr>
      <w:r w:rsidRPr="009C534A">
        <w:lastRenderedPageBreak/>
        <w:tab/>
      </w:r>
      <w:r w:rsidRPr="009C534A">
        <w:tab/>
        <w:t>Различия в осуществлении Пакта в разных частях государства-участника</w:t>
      </w:r>
    </w:p>
    <w:p w:rsidR="0018258E" w:rsidRPr="009C534A" w:rsidRDefault="0018258E" w:rsidP="0018258E">
      <w:pPr>
        <w:pStyle w:val="SingleTxtGR"/>
      </w:pPr>
      <w:r w:rsidRPr="009C534A">
        <w:t>14.</w:t>
      </w:r>
      <w:r w:rsidRPr="009C534A">
        <w:tab/>
        <w:t>Принимая к сведению сложную структуру государства-участника и нал</w:t>
      </w:r>
      <w:r w:rsidRPr="009C534A">
        <w:t>и</w:t>
      </w:r>
      <w:r w:rsidRPr="009C534A">
        <w:t>чие автономных территорий, а именно островов Аруба, Кюрасао и Синт-Мартен, а также возложенную на него ответственность в отношении специал</w:t>
      </w:r>
      <w:r w:rsidRPr="009C534A">
        <w:t>ь</w:t>
      </w:r>
      <w:r w:rsidRPr="009C534A">
        <w:t>ных муниципалитетов Бонайре, Синт-Эстатиус и Саба, Комитет выражает обеспокоенность в связи с различиями в осуществлении Пакта на разных те</w:t>
      </w:r>
      <w:r w:rsidRPr="009C534A">
        <w:t>р</w:t>
      </w:r>
      <w:r w:rsidRPr="009C534A">
        <w:t>риториях государства-участника, а также в европейских и карибских Нидерла</w:t>
      </w:r>
      <w:r w:rsidRPr="009C534A">
        <w:t>н</w:t>
      </w:r>
      <w:r w:rsidRPr="009C534A">
        <w:t>дах (статья 2).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15.</w:t>
      </w:r>
      <w:r w:rsidRPr="009C534A">
        <w:tab/>
      </w:r>
      <w:r w:rsidRPr="009C534A">
        <w:rPr>
          <w:b/>
          <w:bCs/>
        </w:rPr>
        <w:t>В соответствии со своей предыдущей рекомендацией (см.</w:t>
      </w:r>
      <w:r>
        <w:rPr>
          <w:b/>
          <w:bCs/>
          <w:lang w:val="en-US"/>
        </w:rPr>
        <w:t> </w:t>
      </w:r>
      <w:r w:rsidRPr="009C534A">
        <w:rPr>
          <w:b/>
          <w:bCs/>
        </w:rPr>
        <w:t>E/C.12/</w:t>
      </w:r>
      <w:r w:rsidRPr="00A20C19">
        <w:rPr>
          <w:b/>
          <w:bCs/>
        </w:rPr>
        <w:br/>
      </w:r>
      <w:r w:rsidRPr="009C534A">
        <w:rPr>
          <w:b/>
          <w:bCs/>
        </w:rPr>
        <w:t>NLD/CO/4-5, пункт 5) Комитет напоминает государству-участнику о том, что в конечном счете ответственность за осуществление Пакта на всех вх</w:t>
      </w:r>
      <w:r w:rsidRPr="009C534A">
        <w:rPr>
          <w:b/>
          <w:bCs/>
        </w:rPr>
        <w:t>о</w:t>
      </w:r>
      <w:r w:rsidRPr="009C534A">
        <w:rPr>
          <w:b/>
          <w:bCs/>
        </w:rPr>
        <w:t>дящих в его состав территориях и в специальных муниципалитетах лежит на нем, и рекомендует государству-участнику принять все необходимые меры для обеспечения полного осуществления экономических, социальных и культурных прав всех лиц, находящихся под его юрисдикцией.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Распределение полномочий</w:t>
      </w:r>
    </w:p>
    <w:p w:rsidR="0018258E" w:rsidRPr="009C534A" w:rsidRDefault="0018258E" w:rsidP="0018258E">
      <w:pPr>
        <w:pStyle w:val="SingleTxtGR"/>
      </w:pPr>
      <w:r w:rsidRPr="009C534A">
        <w:t>16.</w:t>
      </w:r>
      <w:r w:rsidRPr="009C534A">
        <w:tab/>
        <w:t>Комитет отмечает, что с 2015 года все больше полномочий в области ра</w:t>
      </w:r>
      <w:r w:rsidRPr="009C534A">
        <w:t>з</w:t>
      </w:r>
      <w:r w:rsidRPr="009C534A">
        <w:t>работки и оказания социальных услуг передается на муниципальный уровень. Вместе с тем Комитет выражает обеспокоенность недостаточным потенциалом некоторых местных органов власти в области оказания социальных услуг и их ограниченными знаниями в этой области (статья 2).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17.</w:t>
      </w:r>
      <w:r w:rsidRPr="009C534A">
        <w:tab/>
      </w:r>
      <w:r w:rsidRPr="009C534A">
        <w:rPr>
          <w:b/>
          <w:bCs/>
        </w:rPr>
        <w:t>Комитет напоминает государству-участнику о том, что оно несет о</w:t>
      </w:r>
      <w:r w:rsidRPr="009C534A">
        <w:rPr>
          <w:b/>
          <w:bCs/>
        </w:rPr>
        <w:t>т</w:t>
      </w:r>
      <w:r w:rsidRPr="009C534A">
        <w:rPr>
          <w:b/>
          <w:bCs/>
        </w:rPr>
        <w:t>ветственность за осуществление Пакта на всех уровнях, в том числе на м</w:t>
      </w:r>
      <w:r w:rsidRPr="009C534A">
        <w:rPr>
          <w:b/>
          <w:bCs/>
        </w:rPr>
        <w:t>у</w:t>
      </w:r>
      <w:r w:rsidRPr="009C534A">
        <w:rPr>
          <w:b/>
          <w:bCs/>
        </w:rPr>
        <w:t>ниципальном уровне. Комитет рекомендует государству-участнику обесп</w:t>
      </w:r>
      <w:r w:rsidRPr="009C534A">
        <w:rPr>
          <w:b/>
          <w:bCs/>
        </w:rPr>
        <w:t>е</w:t>
      </w:r>
      <w:r w:rsidRPr="009C534A">
        <w:rPr>
          <w:b/>
          <w:bCs/>
        </w:rPr>
        <w:t>чить полную осведомленность всех государственных органов власти, в том числе местных, об их обязанностях по Пакту и с этой целью призывает го</w:t>
      </w:r>
      <w:r w:rsidRPr="00A20C19">
        <w:rPr>
          <w:b/>
          <w:bCs/>
        </w:rPr>
        <w:t>-</w:t>
      </w:r>
      <w:r w:rsidRPr="009C534A">
        <w:rPr>
          <w:b/>
          <w:bCs/>
        </w:rPr>
        <w:t>сударство-участник выпускать и распространять необходимую информ</w:t>
      </w:r>
      <w:r w:rsidRPr="009C534A">
        <w:rPr>
          <w:b/>
          <w:bCs/>
        </w:rPr>
        <w:t>а</w:t>
      </w:r>
      <w:r w:rsidRPr="009C534A">
        <w:rPr>
          <w:b/>
          <w:bCs/>
        </w:rPr>
        <w:t>цию и руководящие указания для местных органов власти, с тем чтобы они могли оказывать своему населению надлежащие и доступные социальные услуги. Комитет далее рекомендует государству-участнику оказывать м</w:t>
      </w:r>
      <w:r w:rsidRPr="009C534A">
        <w:rPr>
          <w:b/>
          <w:bCs/>
        </w:rPr>
        <w:t>у</w:t>
      </w:r>
      <w:r w:rsidRPr="009C534A">
        <w:rPr>
          <w:b/>
          <w:bCs/>
        </w:rPr>
        <w:t>ниципалитетам всю необходимую поддержку, в том числе бюджетную, с тем чтобы они могли обеспечить осуществление провозглашенных Пактом прав на местном уровне. Комитет ссылается на свое замечание общего п</w:t>
      </w:r>
      <w:r w:rsidRPr="009C534A">
        <w:rPr>
          <w:b/>
          <w:bCs/>
        </w:rPr>
        <w:t>о</w:t>
      </w:r>
      <w:r w:rsidRPr="009C534A">
        <w:rPr>
          <w:b/>
          <w:bCs/>
        </w:rPr>
        <w:t>рядка № 3 (1990) о природе обязательств государств-участников.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 xml:space="preserve">Дискриминация в отношении меньшинств </w:t>
      </w:r>
    </w:p>
    <w:p w:rsidR="0018258E" w:rsidRPr="009C534A" w:rsidRDefault="0018258E" w:rsidP="0018258E">
      <w:pPr>
        <w:pStyle w:val="SingleTxtGR"/>
      </w:pPr>
      <w:r w:rsidRPr="009C534A">
        <w:t>18.</w:t>
      </w:r>
      <w:r w:rsidRPr="009C534A">
        <w:tab/>
        <w:t>Комитет обеспокоен тем, что различные группы, в том числе этнические меньшинства, мигранты, инвалиды, домашние работники, лесбиянки, геи, б</w:t>
      </w:r>
      <w:r w:rsidRPr="009C534A">
        <w:t>и</w:t>
      </w:r>
      <w:r w:rsidRPr="009C534A">
        <w:t>сексуалы, трансгендеры и интерсексуалы, беженцы и просители убежища, сталкиваются в государстве-участнике с фактической дискриминацией во мн</w:t>
      </w:r>
      <w:r w:rsidRPr="009C534A">
        <w:t>о</w:t>
      </w:r>
      <w:r w:rsidRPr="009C534A">
        <w:t>гих сферах, охватываемых Пактом, включая трудоустройство, социальное обе</w:t>
      </w:r>
      <w:r w:rsidRPr="009C534A">
        <w:t>с</w:t>
      </w:r>
      <w:r w:rsidRPr="009C534A">
        <w:t xml:space="preserve">печение, образование, жилищные условия и уровень жизни (пункт 1) статьи 2).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19.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продолжить оценку гл</w:t>
      </w:r>
      <w:r w:rsidRPr="009C534A">
        <w:rPr>
          <w:b/>
          <w:bCs/>
        </w:rPr>
        <w:t>у</w:t>
      </w:r>
      <w:r w:rsidRPr="009C534A">
        <w:rPr>
          <w:b/>
          <w:bCs/>
        </w:rPr>
        <w:t>бинных причин системной и структурной дискриминации в отношении групп меньшинств. Комитет также рекомендует государству-участнику и</w:t>
      </w:r>
      <w:r w:rsidRPr="009C534A">
        <w:rPr>
          <w:b/>
          <w:bCs/>
        </w:rPr>
        <w:t>с</w:t>
      </w:r>
      <w:r w:rsidRPr="009C534A">
        <w:rPr>
          <w:b/>
          <w:bCs/>
        </w:rPr>
        <w:t>пользовать имеющиеся результаты исследований дискриминации для ра</w:t>
      </w:r>
      <w:r w:rsidRPr="009C534A">
        <w:rPr>
          <w:b/>
          <w:bCs/>
        </w:rPr>
        <w:t>з</w:t>
      </w:r>
      <w:r w:rsidRPr="009C534A">
        <w:rPr>
          <w:b/>
          <w:bCs/>
        </w:rPr>
        <w:t>работки стратегий и программ, содержащих конкретные цели и задачи, ориентированные на борьбу с предрассудками. Комитет далее рекомендует государству-участнику принять все необходимые меры, в том числе, при необходимости, временные специальные меры, в целях обеспечения равн</w:t>
      </w:r>
      <w:r w:rsidRPr="009C534A">
        <w:rPr>
          <w:b/>
          <w:bCs/>
        </w:rPr>
        <w:t>о</w:t>
      </w:r>
      <w:r w:rsidRPr="009C534A">
        <w:rPr>
          <w:b/>
          <w:bCs/>
        </w:rPr>
        <w:t>го осуществления всеми своих прав, провозглашенных Пактом. Комитет обращает внимание государства-участника на свое замечание общего п</w:t>
      </w:r>
      <w:r w:rsidRPr="009C534A">
        <w:rPr>
          <w:b/>
          <w:bCs/>
        </w:rPr>
        <w:t>о</w:t>
      </w:r>
      <w:r w:rsidRPr="009C534A">
        <w:rPr>
          <w:b/>
          <w:bCs/>
        </w:rPr>
        <w:t>рядка № 20 (2009) о недискриминации экономических, социальных и кул</w:t>
      </w:r>
      <w:r w:rsidRPr="009C534A">
        <w:rPr>
          <w:b/>
          <w:bCs/>
        </w:rPr>
        <w:t>ь</w:t>
      </w:r>
      <w:r w:rsidRPr="009C534A">
        <w:rPr>
          <w:b/>
          <w:bCs/>
        </w:rPr>
        <w:t>турных прав.</w:t>
      </w:r>
    </w:p>
    <w:p w:rsidR="0018258E" w:rsidRPr="009C534A" w:rsidRDefault="0018258E" w:rsidP="0018258E">
      <w:pPr>
        <w:pStyle w:val="H23GR"/>
      </w:pPr>
      <w:r w:rsidRPr="009C534A">
        <w:lastRenderedPageBreak/>
        <w:tab/>
      </w:r>
      <w:r w:rsidRPr="009C534A">
        <w:tab/>
        <w:t>Образование в области прав человека</w:t>
      </w:r>
    </w:p>
    <w:p w:rsidR="0018258E" w:rsidRPr="009C534A" w:rsidRDefault="0018258E" w:rsidP="0018258E">
      <w:pPr>
        <w:pStyle w:val="SingleTxtGR"/>
      </w:pPr>
      <w:r w:rsidRPr="009C534A">
        <w:t>20.</w:t>
      </w:r>
      <w:r w:rsidRPr="009C534A">
        <w:tab/>
        <w:t>Комитет обеспокоен тем, что существующие в национальных школьных программах системы обучения основам гражданственности не обеспечивают надлежащего образования в области прав человека, в частности по теме экон</w:t>
      </w:r>
      <w:r w:rsidRPr="009C534A">
        <w:t>о</w:t>
      </w:r>
      <w:r w:rsidRPr="009C534A">
        <w:t xml:space="preserve">мических, социальных и культурных прав (пункт 2) статьи 2 и статья 13).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21.</w:t>
      </w:r>
      <w:r w:rsidRPr="009C534A">
        <w:tab/>
      </w:r>
      <w:r w:rsidRPr="009C534A">
        <w:rPr>
          <w:b/>
          <w:bCs/>
        </w:rPr>
        <w:t>Комитет повторяет свою предыдущую рекомендацию (см.</w:t>
      </w:r>
      <w:r w:rsidR="00D37BA4">
        <w:rPr>
          <w:b/>
          <w:bCs/>
          <w:lang w:val="en-US"/>
        </w:rPr>
        <w:t> </w:t>
      </w:r>
      <w:r w:rsidRPr="009C534A">
        <w:rPr>
          <w:b/>
          <w:bCs/>
        </w:rPr>
        <w:t>E/C.12/</w:t>
      </w:r>
      <w:r w:rsidR="00D37BA4" w:rsidRPr="00D37BA4">
        <w:rPr>
          <w:b/>
          <w:bCs/>
        </w:rPr>
        <w:br/>
      </w:r>
      <w:r w:rsidRPr="009C534A">
        <w:rPr>
          <w:b/>
          <w:bCs/>
        </w:rPr>
        <w:t>NLD/CO/4-5, пункт 32) и рекомендует государству-участнику обеспечить в приоритетном порядке организацию обучения по вопросам прав человека в школах на всех уровнях и в университетах и охват соответствующей пр</w:t>
      </w:r>
      <w:r w:rsidRPr="009C534A">
        <w:rPr>
          <w:b/>
          <w:bCs/>
        </w:rPr>
        <w:t>о</w:t>
      </w:r>
      <w:r w:rsidRPr="009C534A">
        <w:rPr>
          <w:b/>
          <w:bCs/>
        </w:rPr>
        <w:t xml:space="preserve">граммой обучения экономических, социальных и культурных прав.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Равенство мужчин и женщин</w:t>
      </w:r>
    </w:p>
    <w:p w:rsidR="0018258E" w:rsidRPr="009C534A" w:rsidRDefault="0018258E" w:rsidP="0018258E">
      <w:pPr>
        <w:pStyle w:val="SingleTxtGR"/>
      </w:pPr>
      <w:r w:rsidRPr="009C534A">
        <w:t>22.</w:t>
      </w:r>
      <w:r w:rsidRPr="009C534A">
        <w:tab/>
        <w:t>Высоко оценивая представленные государством-участником всеобъе</w:t>
      </w:r>
      <w:r w:rsidRPr="009C534A">
        <w:t>м</w:t>
      </w:r>
      <w:r w:rsidRPr="009C534A">
        <w:t>лющие данные, касающиеся участия женщин, Комитет выражает обеспокое</w:t>
      </w:r>
      <w:r w:rsidRPr="009C534A">
        <w:t>н</w:t>
      </w:r>
      <w:r w:rsidRPr="009C534A">
        <w:t>ность по поводу большого числа женщин, работающих неполный рабочий день, значительно превышающего средний показатель по Европейскому союзу, ни</w:t>
      </w:r>
      <w:r w:rsidRPr="009C534A">
        <w:t>з</w:t>
      </w:r>
      <w:r w:rsidRPr="009C534A">
        <w:t>кого числа женщин на должностях, связанных с принятием решений, в частн</w:t>
      </w:r>
      <w:r w:rsidRPr="009C534A">
        <w:t>о</w:t>
      </w:r>
      <w:r w:rsidRPr="009C534A">
        <w:t>сти женщин-мэров, и низкой доли женщин в советах директоров компаний. Кроме того, Комитет обеспокоен значительной разницей в оплате труда мужчин и женщин, в особенности в частном секторе. Комитет также обеспокоен сохр</w:t>
      </w:r>
      <w:r w:rsidRPr="009C534A">
        <w:t>а</w:t>
      </w:r>
      <w:r w:rsidRPr="009C534A">
        <w:t>нением стереотипов в отношении ухода за детьми и ролей женщин и мужчин в семье и в обществе (статьи 3 и 7).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23.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активизировать свои усилия по достижению реального равенства между женщинами и мужч</w:t>
      </w:r>
      <w:r w:rsidRPr="009C534A">
        <w:rPr>
          <w:b/>
          <w:bCs/>
        </w:rPr>
        <w:t>и</w:t>
      </w:r>
      <w:r w:rsidRPr="009C534A">
        <w:rPr>
          <w:b/>
          <w:bCs/>
        </w:rPr>
        <w:t>нами. В этой связи он рекомендует государству-участнику: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1C0B7A">
        <w:rPr>
          <w:b/>
        </w:rPr>
        <w:tab/>
        <w:t>а)</w:t>
      </w:r>
      <w:r w:rsidRPr="009C534A">
        <w:tab/>
      </w:r>
      <w:r w:rsidRPr="009C534A">
        <w:rPr>
          <w:b/>
          <w:bCs/>
        </w:rPr>
        <w:t>принять меры по обеспечению экономической независимости женщин за счет расширения их доступа к полной занятости, в том числе путем увеличения инвестиций в уход за детьми и другие услуги по по</w:t>
      </w:r>
      <w:r w:rsidRPr="009C534A">
        <w:rPr>
          <w:b/>
          <w:bCs/>
        </w:rPr>
        <w:t>д</w:t>
      </w:r>
      <w:r w:rsidRPr="009C534A">
        <w:rPr>
          <w:b/>
          <w:bCs/>
        </w:rPr>
        <w:t>держке семей;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ab/>
      </w:r>
      <w:r w:rsidRPr="001C0B7A">
        <w:rPr>
          <w:b/>
        </w:rPr>
        <w:t>b)</w:t>
      </w:r>
      <w:r w:rsidRPr="009C534A">
        <w:tab/>
      </w:r>
      <w:r w:rsidRPr="009C534A">
        <w:rPr>
          <w:b/>
          <w:bCs/>
        </w:rPr>
        <w:t>активизировать усилия, направленные на увеличение пре</w:t>
      </w:r>
      <w:r w:rsidRPr="009C534A">
        <w:rPr>
          <w:b/>
          <w:bCs/>
        </w:rPr>
        <w:t>д</w:t>
      </w:r>
      <w:r w:rsidRPr="009C534A">
        <w:rPr>
          <w:b/>
          <w:bCs/>
        </w:rPr>
        <w:t>ставленности женщин на руководящих должностях, в частности увелич</w:t>
      </w:r>
      <w:r w:rsidRPr="009C534A">
        <w:rPr>
          <w:b/>
          <w:bCs/>
        </w:rPr>
        <w:t>е</w:t>
      </w:r>
      <w:r w:rsidRPr="009C534A">
        <w:rPr>
          <w:b/>
          <w:bCs/>
        </w:rPr>
        <w:t>ние числа женщин</w:t>
      </w:r>
      <w:r w:rsidR="001C0B7A" w:rsidRPr="001C0B7A">
        <w:rPr>
          <w:b/>
          <w:bCs/>
        </w:rPr>
        <w:t>-</w:t>
      </w:r>
      <w:r w:rsidRPr="009C534A">
        <w:rPr>
          <w:b/>
          <w:bCs/>
        </w:rPr>
        <w:t>мэров и женщин, входящих в советы директоров ко</w:t>
      </w:r>
      <w:r w:rsidRPr="009C534A">
        <w:rPr>
          <w:b/>
          <w:bCs/>
        </w:rPr>
        <w:t>м</w:t>
      </w:r>
      <w:r w:rsidRPr="009C534A">
        <w:rPr>
          <w:b/>
          <w:bCs/>
        </w:rPr>
        <w:t>паний;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ab/>
      </w:r>
      <w:r w:rsidRPr="001C0B7A">
        <w:rPr>
          <w:b/>
        </w:rPr>
        <w:t>с)</w:t>
      </w:r>
      <w:r w:rsidRPr="009C534A">
        <w:tab/>
      </w:r>
      <w:r w:rsidRPr="009C534A">
        <w:rPr>
          <w:b/>
          <w:bCs/>
        </w:rPr>
        <w:t>активизировать усилия для изменения сложившихся в общ</w:t>
      </w:r>
      <w:r w:rsidRPr="009C534A">
        <w:rPr>
          <w:b/>
          <w:bCs/>
        </w:rPr>
        <w:t>е</w:t>
      </w:r>
      <w:r w:rsidRPr="009C534A">
        <w:rPr>
          <w:b/>
          <w:bCs/>
        </w:rPr>
        <w:t>стве представлений о стереотипных гендерных ролях, в том числе посре</w:t>
      </w:r>
      <w:r w:rsidRPr="009C534A">
        <w:rPr>
          <w:b/>
          <w:bCs/>
        </w:rPr>
        <w:t>д</w:t>
      </w:r>
      <w:r w:rsidRPr="009C534A">
        <w:rPr>
          <w:b/>
          <w:bCs/>
        </w:rPr>
        <w:t>ством проведения информационно-просветительских кампаний по вопр</w:t>
      </w:r>
      <w:r w:rsidRPr="009C534A">
        <w:rPr>
          <w:b/>
          <w:bCs/>
        </w:rPr>
        <w:t>о</w:t>
      </w:r>
      <w:r w:rsidRPr="009C534A">
        <w:rPr>
          <w:b/>
          <w:bCs/>
        </w:rPr>
        <w:t>сам равенства возможностей в плане карьерного роста и равного распред</w:t>
      </w:r>
      <w:r w:rsidRPr="009C534A">
        <w:rPr>
          <w:b/>
          <w:bCs/>
        </w:rPr>
        <w:t>е</w:t>
      </w:r>
      <w:r w:rsidRPr="009C534A">
        <w:rPr>
          <w:b/>
          <w:bCs/>
        </w:rPr>
        <w:t>ления семейных обязанностей между мужчинами и женщинами;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ab/>
      </w:r>
      <w:r w:rsidRPr="001C0B7A">
        <w:rPr>
          <w:b/>
        </w:rPr>
        <w:t>d)</w:t>
      </w:r>
      <w:r w:rsidRPr="001C0B7A">
        <w:rPr>
          <w:b/>
        </w:rPr>
        <w:tab/>
      </w:r>
      <w:r w:rsidRPr="009C534A">
        <w:rPr>
          <w:b/>
          <w:bCs/>
        </w:rPr>
        <w:t>принять дополнительные временные специальные меры для обеспечения равенства между мужчинами и женщинами во всех областях экономических, социальных и культурных прав.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24.</w:t>
      </w:r>
      <w:r w:rsidRPr="009C534A">
        <w:tab/>
      </w:r>
      <w:r w:rsidRPr="009C534A">
        <w:rPr>
          <w:b/>
          <w:bCs/>
        </w:rPr>
        <w:t>Комитет обращает внимание государства-участника на свое замеч</w:t>
      </w:r>
      <w:r w:rsidRPr="009C534A">
        <w:rPr>
          <w:b/>
          <w:bCs/>
        </w:rPr>
        <w:t>а</w:t>
      </w:r>
      <w:r w:rsidRPr="009C534A">
        <w:rPr>
          <w:b/>
          <w:bCs/>
        </w:rPr>
        <w:t>ние общего порядка № 16 (2005) о равном для мужчин и женщин праве пользования экономическими, социальными и культурными правами.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Безработица</w:t>
      </w:r>
    </w:p>
    <w:p w:rsidR="0018258E" w:rsidRPr="009C534A" w:rsidRDefault="0018258E" w:rsidP="0018258E">
      <w:pPr>
        <w:pStyle w:val="SingleTxtGR"/>
      </w:pPr>
      <w:r w:rsidRPr="009C534A">
        <w:t>25.</w:t>
      </w:r>
      <w:r w:rsidRPr="009C534A">
        <w:tab/>
        <w:t xml:space="preserve">Высоко оценивая низкий уровень безработицы в государстве-участнике, Комитет выражает обеспокоенность в связи с тем, что уровень безработицы среди этнических меньшинств остается высоким и продолжает расти, несмотря на значительные успехи представителей этнических меньшинств в получении образования. Комитет также выражает сожаление по поводу того, что, несмотря на расширение участия женщин на рынке труда, уровень занятости женщин из числа этнических меньшинств, в частности турецких и марокканских </w:t>
      </w:r>
      <w:r w:rsidR="00EE1961">
        <w:t>женщин, остается низким (статьи</w:t>
      </w:r>
      <w:r w:rsidRPr="009C534A">
        <w:t xml:space="preserve"> 6 и 7).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lastRenderedPageBreak/>
        <w:t>26.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активизировать свои усилия по эффективному решению проблемы безработицы среди предст</w:t>
      </w:r>
      <w:r w:rsidRPr="009C534A">
        <w:rPr>
          <w:b/>
          <w:bCs/>
        </w:rPr>
        <w:t>а</w:t>
      </w:r>
      <w:r w:rsidRPr="009C534A">
        <w:rPr>
          <w:b/>
          <w:bCs/>
        </w:rPr>
        <w:t>вителей этнических меньшинств, в частности турецких и марокканских женщин, путем осуществления программ и планов, нацеленных на полную интеграцию всех групп населения на рынок труда. Комитет обращает вн</w:t>
      </w:r>
      <w:r w:rsidRPr="009C534A">
        <w:rPr>
          <w:b/>
          <w:bCs/>
        </w:rPr>
        <w:t>и</w:t>
      </w:r>
      <w:r w:rsidRPr="009C534A">
        <w:rPr>
          <w:b/>
          <w:bCs/>
        </w:rPr>
        <w:t>мание государства-участника на свое замечание общего порядка № 18 (2005) о праве на труд.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Право инвалидов на труд</w:t>
      </w:r>
    </w:p>
    <w:p w:rsidR="0018258E" w:rsidRPr="009C534A" w:rsidRDefault="0018258E" w:rsidP="0018258E">
      <w:pPr>
        <w:pStyle w:val="SingleTxtGR"/>
      </w:pPr>
      <w:r w:rsidRPr="009C534A">
        <w:t>27.</w:t>
      </w:r>
      <w:r w:rsidRPr="009C534A">
        <w:tab/>
        <w:t>Отмечая, что в соответствии с Законом об обеспечении занятости инв</w:t>
      </w:r>
      <w:r w:rsidRPr="009C534A">
        <w:t>а</w:t>
      </w:r>
      <w:r w:rsidRPr="009C534A">
        <w:t>лидов и Законом о занятости и трудовых квотах в 2015 году промежуточные ц</w:t>
      </w:r>
      <w:r w:rsidRPr="009C534A">
        <w:t>е</w:t>
      </w:r>
      <w:r w:rsidRPr="009C534A">
        <w:t>левые показатели по найму инвалидов были удовлетворены, Комитет выражает обеспокоенность в связи с тем, что некоторые инвалиды исключены из сист</w:t>
      </w:r>
      <w:r w:rsidRPr="009C534A">
        <w:t>е</w:t>
      </w:r>
      <w:r w:rsidRPr="009C534A">
        <w:t>мы, поскольку пользоваться системой квот можно только после регистрации. Комитет также обеспокоен тем, что, несмотря на принятые меры, уровень бе</w:t>
      </w:r>
      <w:r w:rsidRPr="009C534A">
        <w:t>з</w:t>
      </w:r>
      <w:r w:rsidRPr="009C534A">
        <w:t>работицы среди инвалидов почти в два раза выше, чем среди лиц, не имеющих инвалидности, и что инвалиды часто работают на специальностях</w:t>
      </w:r>
      <w:r>
        <w:t xml:space="preserve"> </w:t>
      </w:r>
      <w:r w:rsidRPr="009C534A">
        <w:t>ниже их кв</w:t>
      </w:r>
      <w:r w:rsidRPr="009C534A">
        <w:t>а</w:t>
      </w:r>
      <w:r w:rsidRPr="009C534A">
        <w:t>лификации (ста</w:t>
      </w:r>
      <w:r w:rsidR="00EE1961">
        <w:t>тьи</w:t>
      </w:r>
      <w:r w:rsidRPr="009C534A">
        <w:t xml:space="preserve"> 2 и 6). 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28.</w:t>
      </w:r>
      <w:r w:rsidRPr="009C534A">
        <w:tab/>
      </w:r>
      <w:r w:rsidRPr="009C534A">
        <w:rPr>
          <w:b/>
          <w:bCs/>
        </w:rPr>
        <w:t>Комитет рекомендует государству-участнику тщательно изучить во</w:t>
      </w:r>
      <w:r w:rsidRPr="009C534A">
        <w:rPr>
          <w:b/>
          <w:bCs/>
        </w:rPr>
        <w:t>з</w:t>
      </w:r>
      <w:r w:rsidRPr="009C534A">
        <w:rPr>
          <w:b/>
          <w:bCs/>
        </w:rPr>
        <w:t>действие Закона о занятости и трудовых квотах на положение инвалидов, которые не входят в обозначенную целевую группу. Комитет просит гос</w:t>
      </w:r>
      <w:r w:rsidRPr="009C534A">
        <w:rPr>
          <w:b/>
          <w:bCs/>
        </w:rPr>
        <w:t>у</w:t>
      </w:r>
      <w:r w:rsidRPr="009C534A">
        <w:rPr>
          <w:b/>
          <w:bCs/>
        </w:rPr>
        <w:t>дарство-участник представить в своем следующем периодическом докладе информацию об уровне занятости лиц, входящих и не входящих в целевую группу Закона о занятости и трудовых квотах, а также о мерах, принятых в отношении лиц, не входящих в состав целевой группы. Кроме того, Ком</w:t>
      </w:r>
      <w:r w:rsidRPr="009C534A">
        <w:rPr>
          <w:b/>
          <w:bCs/>
        </w:rPr>
        <w:t>и</w:t>
      </w:r>
      <w:r w:rsidRPr="009C534A">
        <w:rPr>
          <w:b/>
          <w:bCs/>
        </w:rPr>
        <w:t>тет просит представить информацию о входящих в целевую группу лицах, которым после двух лет работы предложили постоянный контракт, в ра</w:t>
      </w:r>
      <w:r w:rsidRPr="009C534A">
        <w:rPr>
          <w:b/>
          <w:bCs/>
        </w:rPr>
        <w:t>з</w:t>
      </w:r>
      <w:r w:rsidRPr="009C534A">
        <w:rPr>
          <w:b/>
          <w:bCs/>
        </w:rPr>
        <w:t>бивке по полу, возрасту и уровню образования.</w:t>
      </w:r>
      <w:r w:rsidRPr="009C534A">
        <w:t xml:space="preserve">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Домашние работники и трудящиеся-мигранты</w:t>
      </w:r>
    </w:p>
    <w:p w:rsidR="0018258E" w:rsidRPr="009C534A" w:rsidRDefault="0018258E" w:rsidP="0018258E">
      <w:pPr>
        <w:pStyle w:val="SingleTxtGR"/>
      </w:pPr>
      <w:r w:rsidRPr="009C534A">
        <w:t>29.</w:t>
      </w:r>
      <w:r w:rsidRPr="009C534A">
        <w:tab/>
        <w:t>Хотя Комитет принимает к сведению меры, принятые государством-участником для улучшения положения домашних работников, он по-прежнему обеспокоен тем, что они все еще не пользуются всеми экономическими, соц</w:t>
      </w:r>
      <w:r w:rsidRPr="009C534A">
        <w:t>и</w:t>
      </w:r>
      <w:r w:rsidRPr="009C534A">
        <w:t>альными и культурными правами. Комитет также обеспокоен тем, что работод</w:t>
      </w:r>
      <w:r w:rsidRPr="009C534A">
        <w:t>а</w:t>
      </w:r>
      <w:r w:rsidRPr="009C534A">
        <w:t>тели не всегда выплачивают необходимые взносы по линии социального обе</w:t>
      </w:r>
      <w:r w:rsidRPr="009C534A">
        <w:t>с</w:t>
      </w:r>
      <w:r w:rsidRPr="009C534A">
        <w:t>печения. Кроме этого, Комитет обеспокоен тем, что на инспекторов по охране труда возложены двойные функции</w:t>
      </w:r>
      <w:r>
        <w:t xml:space="preserve"> </w:t>
      </w:r>
      <w:r w:rsidR="00735C75" w:rsidRPr="00735C75">
        <w:t>–</w:t>
      </w:r>
      <w:r w:rsidRPr="009C534A">
        <w:t xml:space="preserve"> контроля не только за условиями труда, но и за соблюдением законов, касающихся пребывания иностранных рабочих на территории государства и связанного с ним мошенничества, </w:t>
      </w:r>
      <w:r w:rsidR="00735C75" w:rsidRPr="00735C75">
        <w:t>–</w:t>
      </w:r>
      <w:r w:rsidRPr="009C534A">
        <w:t xml:space="preserve"> что может пр</w:t>
      </w:r>
      <w:r w:rsidRPr="009C534A">
        <w:t>е</w:t>
      </w:r>
      <w:r w:rsidRPr="009C534A">
        <w:t>пятствовать обращению трудящихся-мигрантов с сообщениями о нарушении трудовой дисциплины (статья 7).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30.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принять незамедл</w:t>
      </w:r>
      <w:r w:rsidRPr="009C534A">
        <w:rPr>
          <w:b/>
          <w:bCs/>
        </w:rPr>
        <w:t>и</w:t>
      </w:r>
      <w:r w:rsidRPr="009C534A">
        <w:rPr>
          <w:b/>
          <w:bCs/>
        </w:rPr>
        <w:t>тельные меры для обеспечения эффективной защиты всех трудящихся на рынке труда, в том числе домашних работников и трудящихся-мигрантов, в соответствии с положениями Пакта. Комитет далее предлагает госуда</w:t>
      </w:r>
      <w:r w:rsidRPr="009C534A">
        <w:rPr>
          <w:b/>
          <w:bCs/>
        </w:rPr>
        <w:t>р</w:t>
      </w:r>
      <w:r w:rsidRPr="009C534A">
        <w:rPr>
          <w:b/>
          <w:bCs/>
        </w:rPr>
        <w:t>ству-участнику пересмотреть двойные функции, возложенные на инспе</w:t>
      </w:r>
      <w:r w:rsidRPr="009C534A">
        <w:rPr>
          <w:b/>
          <w:bCs/>
        </w:rPr>
        <w:t>к</w:t>
      </w:r>
      <w:r w:rsidRPr="009C534A">
        <w:rPr>
          <w:b/>
          <w:bCs/>
        </w:rPr>
        <w:t>торов по охране труда, с тем чтобы обеспечить доступ к эффективным средствам правовой защиты для всех трудящихся, сталкивающихся с н</w:t>
      </w:r>
      <w:r w:rsidRPr="009C534A">
        <w:rPr>
          <w:b/>
          <w:bCs/>
        </w:rPr>
        <w:t>е</w:t>
      </w:r>
      <w:r w:rsidRPr="009C534A">
        <w:rPr>
          <w:b/>
          <w:bCs/>
        </w:rPr>
        <w:t>справедливыми или неблагоприятными условиями труда. Комитет отсыл</w:t>
      </w:r>
      <w:r w:rsidRPr="009C534A">
        <w:rPr>
          <w:b/>
          <w:bCs/>
        </w:rPr>
        <w:t>а</w:t>
      </w:r>
      <w:r w:rsidRPr="009C534A">
        <w:rPr>
          <w:b/>
          <w:bCs/>
        </w:rPr>
        <w:t>ет государство-участник к своему замечанию общего порядка № 23 (2016) о праве на справедливые и благоприятные условия труда.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 xml:space="preserve">Социальное обеспечение </w:t>
      </w:r>
    </w:p>
    <w:p w:rsidR="0018258E" w:rsidRPr="009C534A" w:rsidRDefault="0018258E" w:rsidP="0018258E">
      <w:pPr>
        <w:pStyle w:val="SingleTxtGR"/>
      </w:pPr>
      <w:r w:rsidRPr="009C534A">
        <w:t>31.</w:t>
      </w:r>
      <w:r w:rsidRPr="009C534A">
        <w:tab/>
        <w:t>Комитет выражает обеспокоенность по поводу негативного воздействия недавних поправок в различные законы о социальном обеспечении в плане д</w:t>
      </w:r>
      <w:r w:rsidRPr="009C534A">
        <w:t>о</w:t>
      </w:r>
      <w:r w:rsidRPr="009C534A">
        <w:t xml:space="preserve">ступа правообладателей к надлежащим пособиям по причине, среди прочего, характера и жесткости квалификационных критериев. Комитет также выражает </w:t>
      </w:r>
      <w:r w:rsidRPr="009C534A">
        <w:lastRenderedPageBreak/>
        <w:t>обеспокоенность в связи с тем, что некоторые муниципалитеты не имеют во</w:t>
      </w:r>
      <w:r w:rsidRPr="009C534A">
        <w:t>з</w:t>
      </w:r>
      <w:r w:rsidRPr="009C534A">
        <w:t>можности оказывать поддержку нуждающимся лицам и семьям из-за уменьш</w:t>
      </w:r>
      <w:r w:rsidRPr="009C534A">
        <w:t>е</w:t>
      </w:r>
      <w:r w:rsidRPr="009C534A">
        <w:t>ния объема их пособий по социальному обеспечению (статья 9).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32.</w:t>
      </w:r>
      <w:r w:rsidRPr="009C534A">
        <w:tab/>
      </w:r>
      <w:r w:rsidRPr="009C534A">
        <w:rPr>
          <w:b/>
          <w:bCs/>
        </w:rPr>
        <w:t>Комитет призывает государство-участник пересмотреть условия в</w:t>
      </w:r>
      <w:r w:rsidRPr="009C534A">
        <w:rPr>
          <w:b/>
          <w:bCs/>
        </w:rPr>
        <w:t>ы</w:t>
      </w:r>
      <w:r w:rsidRPr="009C534A">
        <w:rPr>
          <w:b/>
          <w:bCs/>
        </w:rPr>
        <w:t>платы пособий по социальному обеспечению, с тем чтобы обеспечить э</w:t>
      </w:r>
      <w:r w:rsidRPr="009C534A">
        <w:rPr>
          <w:b/>
          <w:bCs/>
        </w:rPr>
        <w:t>ф</w:t>
      </w:r>
      <w:r w:rsidRPr="009C534A">
        <w:rPr>
          <w:b/>
          <w:bCs/>
        </w:rPr>
        <w:t>фективную защиту всех бенефициаров. Комитет просит государство-участник принять меры к тому, чтобы муниципалитеты имели возмо</w:t>
      </w:r>
      <w:r w:rsidRPr="009C534A">
        <w:rPr>
          <w:b/>
          <w:bCs/>
        </w:rPr>
        <w:t>ж</w:t>
      </w:r>
      <w:r w:rsidRPr="009C534A">
        <w:rPr>
          <w:b/>
          <w:bCs/>
        </w:rPr>
        <w:t>ность предоставлять надлежащую поддержку всем тем, кто пострадал в р</w:t>
      </w:r>
      <w:r w:rsidRPr="009C534A">
        <w:rPr>
          <w:b/>
          <w:bCs/>
        </w:rPr>
        <w:t>е</w:t>
      </w:r>
      <w:r w:rsidRPr="009C534A">
        <w:rPr>
          <w:b/>
          <w:bCs/>
        </w:rPr>
        <w:t>зультате сокращения суммы их пособия по социальному обеспечению в р</w:t>
      </w:r>
      <w:r w:rsidRPr="009C534A">
        <w:rPr>
          <w:b/>
          <w:bCs/>
        </w:rPr>
        <w:t>е</w:t>
      </w:r>
      <w:r w:rsidRPr="009C534A">
        <w:rPr>
          <w:b/>
          <w:bCs/>
        </w:rPr>
        <w:t>зультате недавних законодательных поправок. Комитет обращает вним</w:t>
      </w:r>
      <w:r w:rsidRPr="009C534A">
        <w:rPr>
          <w:b/>
          <w:bCs/>
        </w:rPr>
        <w:t>а</w:t>
      </w:r>
      <w:r w:rsidRPr="009C534A">
        <w:rPr>
          <w:b/>
          <w:bCs/>
        </w:rPr>
        <w:t xml:space="preserve">ние государства-участника на свое замечание общего порядка № 19 (2007) о праве на социальное обеспечение.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Насилие в семье и жестокое обращение с детьми</w:t>
      </w:r>
    </w:p>
    <w:p w:rsidR="0018258E" w:rsidRPr="009C534A" w:rsidRDefault="0018258E" w:rsidP="0018258E">
      <w:pPr>
        <w:pStyle w:val="SingleTxtGR"/>
      </w:pPr>
      <w:r w:rsidRPr="009C534A">
        <w:t>33.</w:t>
      </w:r>
      <w:r w:rsidRPr="009C534A">
        <w:tab/>
        <w:t>Комитет обеспокоен тем, что бытовое насилие и жестокое обращение с детьми, несмотря на принятые меры, по-прежнему широко распространены на всех территориях, входящих в состав государства-участника. Комитет также обеспокоен тем, что осуществленная в Нидерландах передача ответственности за предотвращение насилия в семье муниципалитетам не сопровождалась с</w:t>
      </w:r>
      <w:r w:rsidRPr="009C534A">
        <w:t>о</w:t>
      </w:r>
      <w:r w:rsidRPr="009C534A">
        <w:t>размерным увеличением их потенциала. В результате во многих муниципалит</w:t>
      </w:r>
      <w:r w:rsidRPr="009C534A">
        <w:t>е</w:t>
      </w:r>
      <w:r w:rsidRPr="009C534A">
        <w:t>тах жертвы насилия в семье сталкиваются с необоснованными задержками в получении доступа к услугам, предоставляемым центрами «Дома и в безопа</w:t>
      </w:r>
      <w:r w:rsidRPr="009C534A">
        <w:t>с</w:t>
      </w:r>
      <w:r w:rsidRPr="009C534A">
        <w:t>ности». Комитет также обеспокоен ограничительным характером критериев д</w:t>
      </w:r>
      <w:r w:rsidRPr="009C534A">
        <w:t>о</w:t>
      </w:r>
      <w:r w:rsidRPr="009C534A">
        <w:t>ступа к приютам, что ограничивает доступ жертв к ним. Хотя Комитет прин</w:t>
      </w:r>
      <w:r w:rsidRPr="009C534A">
        <w:t>и</w:t>
      </w:r>
      <w:r w:rsidRPr="009C534A">
        <w:t>мает к сведению намерение государства-участника заключить соглашение с о</w:t>
      </w:r>
      <w:r w:rsidRPr="009C534A">
        <w:t>р</w:t>
      </w:r>
      <w:r w:rsidRPr="009C534A">
        <w:t xml:space="preserve">ганами власти Арубы, Кюрасао и Синт-Мартена в целях укрепления политики по борьбе с насилием в семье, Комитет вновь выражает свою озабоченность по поводу отсутствия достоверных данных по этим территориям в этой области (статья 10).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34.</w:t>
      </w:r>
      <w:r w:rsidRPr="009C534A">
        <w:tab/>
      </w:r>
      <w:r w:rsidRPr="009C534A">
        <w:rPr>
          <w:b/>
          <w:bCs/>
        </w:rPr>
        <w:t>Комитет рекомендует государству-участнику удвоить свои усилия по борьбе с насилием в семье и жестоким обращением с детьми. В этой связи он призывает государство-участник: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ab/>
      </w:r>
      <w:r w:rsidRPr="00011BED">
        <w:rPr>
          <w:b/>
        </w:rPr>
        <w:t>а)</w:t>
      </w:r>
      <w:r w:rsidRPr="009C534A">
        <w:tab/>
      </w:r>
      <w:r w:rsidRPr="009C534A">
        <w:rPr>
          <w:b/>
          <w:bCs/>
        </w:rPr>
        <w:t>создать механизмы, нацеленные на контроль за потенциалом муниципалитетов, скорректировать предъявляемые требования для уд</w:t>
      </w:r>
      <w:r w:rsidRPr="009C534A">
        <w:rPr>
          <w:b/>
          <w:bCs/>
        </w:rPr>
        <w:t>о</w:t>
      </w:r>
      <w:r w:rsidRPr="009C534A">
        <w:rPr>
          <w:b/>
          <w:bCs/>
        </w:rPr>
        <w:t>влетворения потребностей жертв и обеспечить жертвам доступ к кач</w:t>
      </w:r>
      <w:r w:rsidRPr="009C534A">
        <w:rPr>
          <w:b/>
          <w:bCs/>
        </w:rPr>
        <w:t>е</w:t>
      </w:r>
      <w:r w:rsidRPr="009C534A">
        <w:rPr>
          <w:b/>
          <w:bCs/>
        </w:rPr>
        <w:t>ственным услугам во все частях Нидерландов;</w:t>
      </w:r>
      <w:r w:rsidRPr="009C534A">
        <w:t xml:space="preserve">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ab/>
      </w:r>
      <w:r w:rsidRPr="00011BED">
        <w:rPr>
          <w:b/>
        </w:rPr>
        <w:t>b)</w:t>
      </w:r>
      <w:r w:rsidRPr="00011BED">
        <w:rPr>
          <w:b/>
        </w:rPr>
        <w:tab/>
      </w:r>
      <w:r w:rsidRPr="009C534A">
        <w:rPr>
          <w:b/>
          <w:bCs/>
        </w:rPr>
        <w:t>принять незамедлительные меры в сотрудничестве с местными органами власти в целях активизации усилий по борьбе с насилием в с</w:t>
      </w:r>
      <w:r w:rsidRPr="009C534A">
        <w:rPr>
          <w:b/>
          <w:bCs/>
        </w:rPr>
        <w:t>е</w:t>
      </w:r>
      <w:r w:rsidRPr="009C534A">
        <w:rPr>
          <w:b/>
          <w:bCs/>
        </w:rPr>
        <w:t xml:space="preserve">мье и жестоким обращением с детьми в Арубе, Кюрасао и Синт-Мартене и предоставления для достижения этой цели надлежащего финансирования, ресурсов и кадрового состава;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ab/>
      </w:r>
      <w:r w:rsidRPr="00011BED">
        <w:rPr>
          <w:b/>
        </w:rPr>
        <w:t>с)</w:t>
      </w:r>
      <w:r w:rsidRPr="00011BED">
        <w:rPr>
          <w:b/>
        </w:rPr>
        <w:tab/>
      </w:r>
      <w:r w:rsidRPr="009C534A">
        <w:rPr>
          <w:b/>
          <w:bCs/>
        </w:rPr>
        <w:t>в своем следующем периодическом докладе представить обно</w:t>
      </w:r>
      <w:r w:rsidRPr="009C534A">
        <w:rPr>
          <w:b/>
          <w:bCs/>
        </w:rPr>
        <w:t>в</w:t>
      </w:r>
      <w:r w:rsidRPr="009C534A">
        <w:rPr>
          <w:b/>
          <w:bCs/>
        </w:rPr>
        <w:t>ленные дезагрегированные данные с информацией из всех территорий, входящих в состав государства-участника, о количестве и характере зар</w:t>
      </w:r>
      <w:r w:rsidRPr="009C534A">
        <w:rPr>
          <w:b/>
          <w:bCs/>
        </w:rPr>
        <w:t>е</w:t>
      </w:r>
      <w:r w:rsidRPr="009C534A">
        <w:rPr>
          <w:b/>
          <w:bCs/>
        </w:rPr>
        <w:t>гистрированных случаев домашнего насилия, о судебных приговорах и м</w:t>
      </w:r>
      <w:r w:rsidRPr="009C534A">
        <w:rPr>
          <w:b/>
          <w:bCs/>
        </w:rPr>
        <w:t>е</w:t>
      </w:r>
      <w:r w:rsidRPr="009C534A">
        <w:rPr>
          <w:b/>
          <w:bCs/>
        </w:rPr>
        <w:t>рах наказания виновных, а также любой помощи и любых мерах по реаб</w:t>
      </w:r>
      <w:r w:rsidRPr="009C534A">
        <w:rPr>
          <w:b/>
          <w:bCs/>
        </w:rPr>
        <w:t>и</w:t>
      </w:r>
      <w:r w:rsidRPr="009C534A">
        <w:rPr>
          <w:b/>
          <w:bCs/>
        </w:rPr>
        <w:t>литации потерпевших в соответствии с предыдущей рекомендацией Ком</w:t>
      </w:r>
      <w:r w:rsidRPr="009C534A">
        <w:rPr>
          <w:b/>
          <w:bCs/>
        </w:rPr>
        <w:t>и</w:t>
      </w:r>
      <w:r w:rsidRPr="009C534A">
        <w:rPr>
          <w:b/>
          <w:bCs/>
        </w:rPr>
        <w:t>тета (см. E/C.12/NLD/CO/4-5, пункт 21).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Отпуск по уходу за ребенком</w:t>
      </w:r>
    </w:p>
    <w:p w:rsidR="0018258E" w:rsidRPr="009C534A" w:rsidRDefault="0018258E" w:rsidP="0018258E">
      <w:pPr>
        <w:pStyle w:val="SingleTxtGR"/>
      </w:pPr>
      <w:r w:rsidRPr="009C534A">
        <w:t>35.</w:t>
      </w:r>
      <w:r w:rsidRPr="009C534A">
        <w:tab/>
        <w:t>Несмотря на недавний план увеличения продолжительности отпуска по уходу за детьми для мужчин с двух до пяти дней, Комитет выражает обеспок</w:t>
      </w:r>
      <w:r w:rsidRPr="009C534A">
        <w:t>о</w:t>
      </w:r>
      <w:r w:rsidRPr="009C534A">
        <w:t>енность в связи с тем, что действующие условия предоставления отпуска по уходу за ребенком не привели к более активному участию мужчин в исполн</w:t>
      </w:r>
      <w:r w:rsidRPr="009C534A">
        <w:t>е</w:t>
      </w:r>
      <w:r w:rsidRPr="009C534A">
        <w:t>нии части обязанностей по уходу за детьми (статья 10).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lastRenderedPageBreak/>
        <w:t>36.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пересмотреть систему отпуска по уходу за ребенком и внести в нее изменения, с тем чтобы му</w:t>
      </w:r>
      <w:r w:rsidRPr="009C534A">
        <w:rPr>
          <w:b/>
          <w:bCs/>
        </w:rPr>
        <w:t>ж</w:t>
      </w:r>
      <w:r w:rsidRPr="009C534A">
        <w:rPr>
          <w:b/>
          <w:bCs/>
        </w:rPr>
        <w:t>чины и женщины могли совмещать работу и семейную жизнь, в том числе путем проведения информационно-просветительских кампаний на всей территории государства-участника.</w:t>
      </w:r>
      <w:r w:rsidRPr="009C534A">
        <w:t xml:space="preserve">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 xml:space="preserve">Нищета </w:t>
      </w:r>
    </w:p>
    <w:p w:rsidR="0018258E" w:rsidRPr="009C534A" w:rsidRDefault="0018258E" w:rsidP="0018258E">
      <w:pPr>
        <w:pStyle w:val="SingleTxtGR"/>
      </w:pPr>
      <w:r w:rsidRPr="009C534A">
        <w:t>37.</w:t>
      </w:r>
      <w:r w:rsidRPr="009C534A">
        <w:tab/>
        <w:t>Комитет обеспокоен тем, что число людей, живущих на грани нищеты в течение четырех или более лет, продолжает расти. Кроме того, Комитет обесп</w:t>
      </w:r>
      <w:r w:rsidRPr="009C534A">
        <w:t>о</w:t>
      </w:r>
      <w:r w:rsidRPr="009C534A">
        <w:t>коен распространенностью нищеты в Арубе, Кюрасао и Синт-Мартене и выр</w:t>
      </w:r>
      <w:r w:rsidRPr="009C534A">
        <w:t>а</w:t>
      </w:r>
      <w:r w:rsidRPr="009C534A">
        <w:t>жает сожаление по поводу того, что отсутствие достоверных данных по этим территориям, в том числе официальных инструментов оценки уровня нищеты, не позволяет точно оценить положение в течение отчетного периода (статья 11).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38.</w:t>
      </w:r>
      <w:r w:rsidRPr="009C534A">
        <w:tab/>
      </w:r>
      <w:r w:rsidRPr="009C534A">
        <w:rPr>
          <w:b/>
          <w:bCs/>
        </w:rPr>
        <w:t>Комитет настоятельно призывает государство-участник активизир</w:t>
      </w:r>
      <w:r w:rsidRPr="009C534A">
        <w:rPr>
          <w:b/>
          <w:bCs/>
        </w:rPr>
        <w:t>о</w:t>
      </w:r>
      <w:r w:rsidRPr="009C534A">
        <w:rPr>
          <w:b/>
          <w:bCs/>
        </w:rPr>
        <w:t>вать усилия по борьбе с нищетой и по разработке официальных инстр</w:t>
      </w:r>
      <w:r w:rsidRPr="009C534A">
        <w:rPr>
          <w:b/>
          <w:bCs/>
        </w:rPr>
        <w:t>у</w:t>
      </w:r>
      <w:r w:rsidRPr="009C534A">
        <w:rPr>
          <w:b/>
          <w:bCs/>
        </w:rPr>
        <w:t>ментов оценки в соответствии со своими предыдущими рекомендациями (см. E/C.12/NLD/CO/4-5, пункт 24). Комитет далее просит</w:t>
      </w:r>
      <w:r w:rsidRPr="009C534A">
        <w:t xml:space="preserve"> </w:t>
      </w:r>
      <w:r w:rsidRPr="009C534A">
        <w:rPr>
          <w:b/>
          <w:bCs/>
        </w:rPr>
        <w:t>государство-участник в своем следующем периодическом докладе представить дезагр</w:t>
      </w:r>
      <w:r w:rsidRPr="009C534A">
        <w:rPr>
          <w:b/>
          <w:bCs/>
        </w:rPr>
        <w:t>е</w:t>
      </w:r>
      <w:r w:rsidRPr="009C534A">
        <w:rPr>
          <w:b/>
          <w:bCs/>
        </w:rPr>
        <w:t>гированные и сравнительные ежегодные данные о количестве отдельных лиц и домохозяйств, живущих в условиях нищеты, и о прогрессе, достигн</w:t>
      </w:r>
      <w:r w:rsidRPr="009C534A">
        <w:rPr>
          <w:b/>
          <w:bCs/>
        </w:rPr>
        <w:t>у</w:t>
      </w:r>
      <w:r w:rsidRPr="009C534A">
        <w:rPr>
          <w:b/>
          <w:bCs/>
        </w:rPr>
        <w:t>том в деле борьбы с этим явлением.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Нелегальные мигранты</w:t>
      </w:r>
    </w:p>
    <w:p w:rsidR="0018258E" w:rsidRPr="009C534A" w:rsidRDefault="0018258E" w:rsidP="0018258E">
      <w:pPr>
        <w:pStyle w:val="SingleTxtGR"/>
      </w:pPr>
      <w:r w:rsidRPr="009C534A">
        <w:t>39.</w:t>
      </w:r>
      <w:r w:rsidRPr="009C534A">
        <w:tab/>
        <w:t>Комитет обеспокоен тем, что ограничительные положения, в частности, Закона о праве на льготы, который увязывает доступ к жилью, образованию и социальным пособиям с законным видом на жительство, являются одной из причин ненадежного положения в государстве-участнике нелегальных мигра</w:t>
      </w:r>
      <w:r w:rsidRPr="009C534A">
        <w:t>н</w:t>
      </w:r>
      <w:r w:rsidRPr="009C534A">
        <w:t xml:space="preserve">тов и получивших отказ просителей убежища. Кроме того, Комитет обеспокоен тем, что вышеуказанный закон не гарантирует доступ к продовольствию, воде и жилью. Комитет также с озабоченностью отмечает, что правительство ввело условие для доступа нелегальных мигрантов к жилью </w:t>
      </w:r>
      <w:r w:rsidR="00B32E1F" w:rsidRPr="00B32E1F">
        <w:t>–</w:t>
      </w:r>
      <w:r w:rsidRPr="009C534A">
        <w:t xml:space="preserve"> «подтверждение гото</w:t>
      </w:r>
      <w:r w:rsidRPr="009C534A">
        <w:t>в</w:t>
      </w:r>
      <w:r w:rsidRPr="009C534A">
        <w:t xml:space="preserve">ности вернуться в страну происхождения» </w:t>
      </w:r>
      <w:r w:rsidR="00B32E1F" w:rsidRPr="00B32E1F">
        <w:t>–</w:t>
      </w:r>
      <w:r w:rsidRPr="009C534A">
        <w:t xml:space="preserve"> и что оно угрожает наказывать м</w:t>
      </w:r>
      <w:r w:rsidRPr="009C534A">
        <w:t>у</w:t>
      </w:r>
      <w:r w:rsidRPr="009C534A">
        <w:t>ниципалитеты, которые продолжают предоставлять убежище нелегальным м</w:t>
      </w:r>
      <w:r w:rsidRPr="009C534A">
        <w:t>и</w:t>
      </w:r>
      <w:r w:rsidR="00B32E1F">
        <w:t>грантам (статьи</w:t>
      </w:r>
      <w:r w:rsidRPr="009C534A">
        <w:t xml:space="preserve"> 2 и 11).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40.</w:t>
      </w:r>
      <w:r w:rsidRPr="009C534A">
        <w:tab/>
      </w:r>
      <w:r w:rsidRPr="009C534A">
        <w:rPr>
          <w:b/>
          <w:bCs/>
        </w:rPr>
        <w:t>Вновь ссылаясь на свою предыдущую рекомендацию (см.</w:t>
      </w:r>
      <w:r w:rsidR="00B32E1F">
        <w:rPr>
          <w:b/>
          <w:bCs/>
          <w:lang w:val="en-US"/>
        </w:rPr>
        <w:t> </w:t>
      </w:r>
      <w:r w:rsidRPr="009C534A">
        <w:rPr>
          <w:b/>
          <w:bCs/>
        </w:rPr>
        <w:t>E/C.12/</w:t>
      </w:r>
      <w:r w:rsidR="00B32E1F" w:rsidRPr="00B32E1F">
        <w:rPr>
          <w:b/>
          <w:bCs/>
        </w:rPr>
        <w:br/>
      </w:r>
      <w:r w:rsidRPr="009C534A">
        <w:rPr>
          <w:b/>
          <w:bCs/>
        </w:rPr>
        <w:t>NLD/CO/4-5, пункт 25), Комитет напоминает государству-участнику о его обязательстве обеспечить всем лицам под его юрисдикцией минимальный необходимый уровень соблюдения каждого из прав, провозглашенных Па</w:t>
      </w:r>
      <w:r w:rsidRPr="009C534A">
        <w:rPr>
          <w:b/>
          <w:bCs/>
        </w:rPr>
        <w:t>к</w:t>
      </w:r>
      <w:r w:rsidRPr="009C534A">
        <w:rPr>
          <w:b/>
          <w:bCs/>
        </w:rPr>
        <w:t>том, в том числе права на питание, жилье, здравоохранение, водоснабжение и санитарию. Комитет призывает государство-участник: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ab/>
      </w:r>
      <w:r w:rsidRPr="00B32E1F">
        <w:rPr>
          <w:b/>
        </w:rPr>
        <w:t>а)</w:t>
      </w:r>
      <w:r w:rsidRPr="00B32E1F">
        <w:rPr>
          <w:b/>
        </w:rPr>
        <w:tab/>
      </w:r>
      <w:r w:rsidRPr="009C534A">
        <w:rPr>
          <w:b/>
          <w:bCs/>
        </w:rPr>
        <w:t>воздержаться от</w:t>
      </w:r>
      <w:r w:rsidRPr="009C534A">
        <w:t xml:space="preserve"> </w:t>
      </w:r>
      <w:r w:rsidRPr="009C534A">
        <w:rPr>
          <w:b/>
          <w:bCs/>
        </w:rPr>
        <w:t>предоставления доступа к продовольствию, воде и жилью только при условии готовности того или иного лица вернут</w:t>
      </w:r>
      <w:r w:rsidRPr="009C534A">
        <w:rPr>
          <w:b/>
          <w:bCs/>
        </w:rPr>
        <w:t>ь</w:t>
      </w:r>
      <w:r w:rsidRPr="009C534A">
        <w:rPr>
          <w:b/>
          <w:bCs/>
        </w:rPr>
        <w:t xml:space="preserve">ся в свою страну происхождения;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ab/>
      </w:r>
      <w:r w:rsidRPr="00B32E1F">
        <w:rPr>
          <w:b/>
        </w:rPr>
        <w:t>b)</w:t>
      </w:r>
      <w:r w:rsidRPr="009C534A">
        <w:tab/>
      </w:r>
      <w:r w:rsidRPr="009C534A">
        <w:rPr>
          <w:b/>
          <w:bCs/>
        </w:rPr>
        <w:t>разработать всеобъемлющую стратегию для обеспечения ка</w:t>
      </w:r>
      <w:r w:rsidRPr="009C534A">
        <w:rPr>
          <w:b/>
          <w:bCs/>
        </w:rPr>
        <w:t>ж</w:t>
      </w:r>
      <w:r w:rsidRPr="009C534A">
        <w:rPr>
          <w:b/>
          <w:bCs/>
        </w:rPr>
        <w:t>дому человеку, включая нелегальных мигрантов, минимального необход</w:t>
      </w:r>
      <w:r w:rsidRPr="009C534A">
        <w:rPr>
          <w:b/>
          <w:bCs/>
        </w:rPr>
        <w:t>и</w:t>
      </w:r>
      <w:r w:rsidRPr="009C534A">
        <w:rPr>
          <w:b/>
          <w:bCs/>
        </w:rPr>
        <w:t>мого уровня соблюдения всех прав, провозглашенных Пактом, и выделять достаточное финансирование для ее осуществления.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41.</w:t>
      </w:r>
      <w:r w:rsidRPr="009C534A">
        <w:tab/>
      </w:r>
      <w:r w:rsidRPr="009C534A">
        <w:rPr>
          <w:b/>
          <w:bCs/>
        </w:rPr>
        <w:t>Комитет напоминает государству-участнику о своем заявлении об обязанностях государств по отношению к беженцам и мигрантам согласно Международному пакту об экономических, социальных и культурных пр</w:t>
      </w:r>
      <w:r w:rsidRPr="009C534A">
        <w:rPr>
          <w:b/>
          <w:bCs/>
        </w:rPr>
        <w:t>а</w:t>
      </w:r>
      <w:r w:rsidRPr="009C534A">
        <w:rPr>
          <w:b/>
          <w:bCs/>
        </w:rPr>
        <w:t>вах (E/C.12/2017/1) и на свое замечание общего порядка № 20 (2009) о н</w:t>
      </w:r>
      <w:r w:rsidRPr="009C534A">
        <w:rPr>
          <w:b/>
          <w:bCs/>
        </w:rPr>
        <w:t>е</w:t>
      </w:r>
      <w:r w:rsidRPr="009C534A">
        <w:rPr>
          <w:b/>
          <w:bCs/>
        </w:rPr>
        <w:t>дискриминации экономических, социальных и культурных прав.</w:t>
      </w:r>
    </w:p>
    <w:p w:rsidR="0018258E" w:rsidRPr="009C534A" w:rsidRDefault="0018258E" w:rsidP="0018258E">
      <w:pPr>
        <w:pStyle w:val="H23GR"/>
      </w:pPr>
      <w:r w:rsidRPr="009C534A">
        <w:lastRenderedPageBreak/>
        <w:tab/>
      </w:r>
      <w:r w:rsidRPr="009C534A">
        <w:tab/>
        <w:t>Бездомность</w:t>
      </w:r>
    </w:p>
    <w:p w:rsidR="0018258E" w:rsidRPr="009C534A" w:rsidRDefault="0018258E" w:rsidP="0018258E">
      <w:pPr>
        <w:pStyle w:val="SingleTxtGR"/>
      </w:pPr>
      <w:r w:rsidRPr="009C534A">
        <w:t>42.</w:t>
      </w:r>
      <w:r w:rsidRPr="009C534A">
        <w:tab/>
        <w:t>Комитет обеспокоен значительным ростом в государстве-участнике числа бездомных, особенно среди маргинализированных и находящихся в неблаг</w:t>
      </w:r>
      <w:r w:rsidRPr="009C534A">
        <w:t>о</w:t>
      </w:r>
      <w:r w:rsidRPr="009C534A">
        <w:t>приятном положении лиц и групп (статья 11).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43.</w:t>
      </w:r>
      <w:r w:rsidRPr="009C534A">
        <w:tab/>
      </w:r>
      <w:r w:rsidRPr="009C534A">
        <w:rPr>
          <w:b/>
          <w:bCs/>
        </w:rPr>
        <w:t>Комитет настоятельно призывает государство-участник исследовать глубинные причины бездомности и рекомендует ему принять все необх</w:t>
      </w:r>
      <w:r w:rsidRPr="009C534A">
        <w:rPr>
          <w:b/>
          <w:bCs/>
        </w:rPr>
        <w:t>о</w:t>
      </w:r>
      <w:r w:rsidRPr="009C534A">
        <w:rPr>
          <w:b/>
          <w:bCs/>
        </w:rPr>
        <w:t>димые меры, в том числе предоставлять доступное социальное жилье, в частности маргинализированным лицам и лицам, находящимся в неблаг</w:t>
      </w:r>
      <w:r w:rsidRPr="009C534A">
        <w:rPr>
          <w:b/>
          <w:bCs/>
        </w:rPr>
        <w:t>о</w:t>
      </w:r>
      <w:r w:rsidRPr="009C534A">
        <w:rPr>
          <w:b/>
          <w:bCs/>
        </w:rPr>
        <w:t>приятном положении, и выделить местным муниципалитетам надлежащие средства. В этой связи Комитет обращает внимание государства-участника на свое замечание общего порядка № 4 (1991) о праве на достаточное ж</w:t>
      </w:r>
      <w:r w:rsidRPr="009C534A">
        <w:rPr>
          <w:b/>
          <w:bCs/>
        </w:rPr>
        <w:t>и</w:t>
      </w:r>
      <w:r w:rsidRPr="009C534A">
        <w:rPr>
          <w:b/>
          <w:bCs/>
        </w:rPr>
        <w:t xml:space="preserve">лище.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Сексуальное и репродуктивное здоровье</w:t>
      </w:r>
    </w:p>
    <w:p w:rsidR="0018258E" w:rsidRPr="009C534A" w:rsidRDefault="0018258E" w:rsidP="0018258E">
      <w:pPr>
        <w:pStyle w:val="SingleTxtGR"/>
      </w:pPr>
      <w:r w:rsidRPr="009C534A">
        <w:t>44.</w:t>
      </w:r>
      <w:r w:rsidRPr="009C534A">
        <w:tab/>
        <w:t>Комитет отмечает, что законы об абортах в Синт-Мартене, запрещающие аборты при любых обстоятельствах, в настоящее время пересматриваются с ц</w:t>
      </w:r>
      <w:r w:rsidRPr="009C534A">
        <w:t>е</w:t>
      </w:r>
      <w:r w:rsidRPr="009C534A">
        <w:t>лью декриминализации абортов. Вместе с тем Комитет выражает сожаление по поводу того, что делегация не смогла представить сроки проведения этого п</w:t>
      </w:r>
      <w:r w:rsidRPr="009C534A">
        <w:t>е</w:t>
      </w:r>
      <w:r w:rsidRPr="009C534A">
        <w:t>ресмотра (статья 12).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45.</w:t>
      </w:r>
      <w:r w:rsidRPr="009C534A">
        <w:tab/>
      </w:r>
      <w:r w:rsidRPr="009C534A">
        <w:rPr>
          <w:b/>
          <w:bCs/>
        </w:rPr>
        <w:t>Комитет настоятельно призывает государство-участник как можно скорее принять законодательство об абортах в Синт-Мартене, которое с</w:t>
      </w:r>
      <w:r w:rsidRPr="009C534A">
        <w:rPr>
          <w:b/>
          <w:bCs/>
        </w:rPr>
        <w:t>о</w:t>
      </w:r>
      <w:r w:rsidRPr="009C534A">
        <w:rPr>
          <w:b/>
          <w:bCs/>
        </w:rPr>
        <w:t>ответствовало бы статье 12 Пакта, и обеспечить для всего населения Синт-Мартена наличие, доступность, приемлемость и высокое качество услуг, товаров, оборудования и информации по охране сексуального и репроду</w:t>
      </w:r>
      <w:r w:rsidRPr="009C534A">
        <w:rPr>
          <w:b/>
          <w:bCs/>
        </w:rPr>
        <w:t>к</w:t>
      </w:r>
      <w:r w:rsidRPr="009C534A">
        <w:rPr>
          <w:b/>
          <w:bCs/>
        </w:rPr>
        <w:t>тивного здоровья. Комитет ссылается на свое замечание общего поряд</w:t>
      </w:r>
      <w:r w:rsidR="00513B1E" w:rsidRPr="00513B1E">
        <w:rPr>
          <w:b/>
          <w:bCs/>
        </w:rPr>
        <w:t>-</w:t>
      </w:r>
      <w:r w:rsidRPr="009C534A">
        <w:rPr>
          <w:b/>
          <w:bCs/>
        </w:rPr>
        <w:t>ка</w:t>
      </w:r>
      <w:r w:rsidR="00513B1E">
        <w:rPr>
          <w:b/>
          <w:bCs/>
          <w:lang w:val="en-US"/>
        </w:rPr>
        <w:t> </w:t>
      </w:r>
      <w:r w:rsidRPr="009C534A">
        <w:rPr>
          <w:b/>
          <w:bCs/>
        </w:rPr>
        <w:t>№</w:t>
      </w:r>
      <w:r w:rsidR="00513B1E">
        <w:rPr>
          <w:b/>
          <w:bCs/>
          <w:lang w:val="en-US"/>
        </w:rPr>
        <w:t> </w:t>
      </w:r>
      <w:r w:rsidRPr="009C534A">
        <w:rPr>
          <w:b/>
          <w:bCs/>
        </w:rPr>
        <w:t xml:space="preserve">22 (2016) о праве на сексуальное и репродуктивное здоровье.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 xml:space="preserve">Доступ к услугам здравоохранения для мигрантов, беженцев и просителей убежища </w:t>
      </w:r>
    </w:p>
    <w:p w:rsidR="0018258E" w:rsidRPr="009C534A" w:rsidRDefault="0018258E" w:rsidP="0018258E">
      <w:pPr>
        <w:pStyle w:val="SingleTxtGR"/>
      </w:pPr>
      <w:r w:rsidRPr="009C534A">
        <w:t>46.</w:t>
      </w:r>
      <w:r w:rsidRPr="009C534A">
        <w:tab/>
        <w:t>Комитет обеспокоен тем, что решение об отмене субсидий на услуги ус</w:t>
      </w:r>
      <w:r w:rsidRPr="009C534A">
        <w:t>т</w:t>
      </w:r>
      <w:r w:rsidRPr="009C534A">
        <w:t>ных переводчиков в медицинских учреждениях негативно влияет на доступ м</w:t>
      </w:r>
      <w:r w:rsidRPr="009C534A">
        <w:t>и</w:t>
      </w:r>
      <w:r w:rsidRPr="009C534A">
        <w:t>грантов к медицинскому обслуживанию. Комитет выражает особую обеспок</w:t>
      </w:r>
      <w:r w:rsidRPr="009C534A">
        <w:t>о</w:t>
      </w:r>
      <w:r w:rsidRPr="009C534A">
        <w:t>енность по поводу последствий этой меры для получения осознанного согласия на медицинское лечение (статьи 2 и 12).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47.</w:t>
      </w:r>
      <w:r w:rsidRPr="009C534A">
        <w:tab/>
      </w:r>
      <w:r w:rsidRPr="009C534A">
        <w:rPr>
          <w:b/>
          <w:bCs/>
        </w:rPr>
        <w:t>Комитет настоятельно призывает государство-участник пересмо</w:t>
      </w:r>
      <w:r w:rsidRPr="009C534A">
        <w:rPr>
          <w:b/>
          <w:bCs/>
        </w:rPr>
        <w:t>т</w:t>
      </w:r>
      <w:r w:rsidRPr="009C534A">
        <w:rPr>
          <w:b/>
          <w:bCs/>
        </w:rPr>
        <w:t>реть свое решение об отмене финансирования услуг устных переводчиков в медицинских учреждениях и обеспечить всем лицам, проживающим на его территории, доступ к медицинским услугам без какой-либо дискримин</w:t>
      </w:r>
      <w:r w:rsidRPr="009C534A">
        <w:rPr>
          <w:b/>
          <w:bCs/>
        </w:rPr>
        <w:t>а</w:t>
      </w:r>
      <w:r w:rsidRPr="009C534A">
        <w:rPr>
          <w:b/>
          <w:bCs/>
        </w:rPr>
        <w:t xml:space="preserve">ции. Комитет напоминает государству-участнику о своем замечании общего порядка № 14 (2000) о праве на наивысший достижимый уровень здоровья.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Дети-интерсексуалы</w:t>
      </w:r>
    </w:p>
    <w:p w:rsidR="0018258E" w:rsidRPr="009C534A" w:rsidRDefault="0018258E" w:rsidP="0018258E">
      <w:pPr>
        <w:pStyle w:val="SingleTxtGR"/>
      </w:pPr>
      <w:r w:rsidRPr="009C534A">
        <w:t>48.</w:t>
      </w:r>
      <w:r w:rsidRPr="009C534A">
        <w:tab/>
        <w:t>Комитет обеспокоен тем, что существующая в государстве-участнике практика проведения в отношении детей-интерсексуалов хирургических опер</w:t>
      </w:r>
      <w:r w:rsidRPr="009C534A">
        <w:t>а</w:t>
      </w:r>
      <w:r w:rsidRPr="009C534A">
        <w:t>ций и медицинского вмешательства в раннем возрасте, не обязательных для их физического здоровья и меняющих их половые признаки, нарушает их право на свободное, предварительное и осознанное согласие (статья 12).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49.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пересмотреть практику проведения в отношении детей-интерсексуалов хирургических операций и медицинского вмешательства в раннем возрасте, чтобы иметь возможность удостовериться, что ребенок достиг достаточной зрелости для учета его мнения относительно предпочтительных методов лечения на основе его обоснованных решений и согласия.</w:t>
      </w:r>
      <w:r>
        <w:rPr>
          <w:b/>
          <w:bCs/>
        </w:rPr>
        <w:t xml:space="preserve"> </w:t>
      </w:r>
    </w:p>
    <w:p w:rsidR="0018258E" w:rsidRPr="009C534A" w:rsidRDefault="0018258E" w:rsidP="0018258E">
      <w:pPr>
        <w:pStyle w:val="H23GR"/>
      </w:pPr>
      <w:r w:rsidRPr="009C534A">
        <w:lastRenderedPageBreak/>
        <w:tab/>
      </w:r>
      <w:r w:rsidRPr="009C534A">
        <w:tab/>
        <w:t>Образование</w:t>
      </w:r>
    </w:p>
    <w:p w:rsidR="0018258E" w:rsidRPr="009C534A" w:rsidRDefault="0018258E" w:rsidP="0018258E">
      <w:pPr>
        <w:pStyle w:val="SingleTxtGR"/>
      </w:pPr>
      <w:r w:rsidRPr="009C534A">
        <w:t>50.</w:t>
      </w:r>
      <w:r w:rsidRPr="009C534A">
        <w:tab/>
        <w:t>Комитет выражает обеспокоенность по поводу сегрегации во многих школах и возникающего по этой причине неравенства в уровне образования, к</w:t>
      </w:r>
      <w:r w:rsidRPr="009C534A">
        <w:t>о</w:t>
      </w:r>
      <w:r w:rsidRPr="009C534A">
        <w:t>торое особенно затрагивает детей, принадлежащих к этническим меньши</w:t>
      </w:r>
      <w:r w:rsidRPr="009C534A">
        <w:t>н</w:t>
      </w:r>
      <w:r w:rsidRPr="009C534A">
        <w:t>ствам (статья 13).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51.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принять все необход</w:t>
      </w:r>
      <w:r w:rsidRPr="009C534A">
        <w:rPr>
          <w:b/>
          <w:bCs/>
        </w:rPr>
        <w:t>и</w:t>
      </w:r>
      <w:r w:rsidRPr="009C534A">
        <w:rPr>
          <w:b/>
          <w:bCs/>
        </w:rPr>
        <w:t>мые меры для сокращения сегрегации и разницы в уровне образования путем выделения больших ресурсов на образование для детей, принадл</w:t>
      </w:r>
      <w:r w:rsidRPr="009C534A">
        <w:rPr>
          <w:b/>
          <w:bCs/>
        </w:rPr>
        <w:t>е</w:t>
      </w:r>
      <w:r w:rsidRPr="009C534A">
        <w:rPr>
          <w:b/>
          <w:bCs/>
        </w:rPr>
        <w:t>жащих к этническим меньшинствам, в том числе путем увеличения числа квалифицированных преподавателей и надлежащих учебных заведений для этих групп.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Инклюзивное образование для детей с инвалидностью</w:t>
      </w:r>
    </w:p>
    <w:p w:rsidR="0018258E" w:rsidRPr="009C534A" w:rsidRDefault="0018258E" w:rsidP="0018258E">
      <w:pPr>
        <w:pStyle w:val="SingleTxtGR"/>
      </w:pPr>
      <w:r w:rsidRPr="009C534A">
        <w:t>52.</w:t>
      </w:r>
      <w:r w:rsidRPr="009C534A">
        <w:tab/>
        <w:t>Хотя Комитет принимает к сведению принятие в 2014 году Закона о надлежащем образовании и достигнутое в июне 2016 года соглашение между муниципалитетами и региональными советами по сотрудничеству в целях с</w:t>
      </w:r>
      <w:r w:rsidRPr="009C534A">
        <w:t>о</w:t>
      </w:r>
      <w:r w:rsidRPr="009C534A">
        <w:t>кращения отчислений детей-инвалидов из школ, он выражает сожаление в св</w:t>
      </w:r>
      <w:r w:rsidRPr="009C534A">
        <w:t>я</w:t>
      </w:r>
      <w:r w:rsidRPr="009C534A">
        <w:t>зи с тем, что Закон не предоставляет этим детям право быть включенными в обычную образовательную систему, а также право на качественное образов</w:t>
      </w:r>
      <w:r w:rsidRPr="009C534A">
        <w:t>а</w:t>
      </w:r>
      <w:r w:rsidRPr="009C534A">
        <w:t>ние. В результате многие дети-инвалиды почти автоматически переводятся в специальные школы; кроме того, как обычные, так и специальные школы часто не имеют возможности оказывать специализированную поддержку в области образования. Комитет также обеспокоен тем, что значительное число детей-инвалидов официально освобождаю</w:t>
      </w:r>
      <w:r w:rsidR="004E15B7">
        <w:t>тся от посещения школы (статьи</w:t>
      </w:r>
      <w:r w:rsidR="004E15B7" w:rsidRPr="004E15B7">
        <w:t xml:space="preserve"> </w:t>
      </w:r>
      <w:r w:rsidRPr="009C534A">
        <w:t xml:space="preserve">13 и 14). 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53.</w:t>
      </w:r>
      <w:r w:rsidRPr="009C534A">
        <w:tab/>
      </w:r>
      <w:r w:rsidRPr="009C534A">
        <w:rPr>
          <w:b/>
          <w:bCs/>
        </w:rPr>
        <w:t>Комитет рекомендует государству-участнику тщательно контролир</w:t>
      </w:r>
      <w:r w:rsidRPr="009C534A">
        <w:rPr>
          <w:b/>
          <w:bCs/>
        </w:rPr>
        <w:t>о</w:t>
      </w:r>
      <w:r w:rsidRPr="009C534A">
        <w:rPr>
          <w:b/>
          <w:bCs/>
        </w:rPr>
        <w:t>вать последствия законодательных и административных изменений в о</w:t>
      </w:r>
      <w:r w:rsidRPr="009C534A">
        <w:rPr>
          <w:b/>
          <w:bCs/>
        </w:rPr>
        <w:t>т</w:t>
      </w:r>
      <w:r w:rsidRPr="009C534A">
        <w:rPr>
          <w:b/>
          <w:bCs/>
        </w:rPr>
        <w:t>ношении обеспечения права на образование для детей-инвалидов и снизить показатель отчисления учащихся из школ. Он также просит государство-участник в своем следующем периодическом докладе представить стат</w:t>
      </w:r>
      <w:r w:rsidRPr="009C534A">
        <w:rPr>
          <w:b/>
          <w:bCs/>
        </w:rPr>
        <w:t>и</w:t>
      </w:r>
      <w:r w:rsidRPr="009C534A">
        <w:rPr>
          <w:b/>
          <w:bCs/>
        </w:rPr>
        <w:t>стические данные о показателях зачисления в учебные заведения и отчи</w:t>
      </w:r>
      <w:r w:rsidRPr="009C534A">
        <w:rPr>
          <w:b/>
          <w:bCs/>
        </w:rPr>
        <w:t>с</w:t>
      </w:r>
      <w:r w:rsidRPr="009C534A">
        <w:rPr>
          <w:b/>
          <w:bCs/>
        </w:rPr>
        <w:t>ления из школ детей-инвалидов, указывая тип учебного заведения и пр</w:t>
      </w:r>
      <w:r w:rsidRPr="009C534A">
        <w:rPr>
          <w:b/>
          <w:bCs/>
        </w:rPr>
        <w:t>о</w:t>
      </w:r>
      <w:r w:rsidRPr="009C534A">
        <w:rPr>
          <w:b/>
          <w:bCs/>
        </w:rPr>
        <w:t>должительность обучения, а также возраст, пол и этническую принадле</w:t>
      </w:r>
      <w:r w:rsidRPr="009C534A">
        <w:rPr>
          <w:b/>
          <w:bCs/>
        </w:rPr>
        <w:t>ж</w:t>
      </w:r>
      <w:r w:rsidRPr="009C534A">
        <w:rPr>
          <w:b/>
          <w:bCs/>
        </w:rPr>
        <w:t xml:space="preserve">ность детей-инвалидов. </w:t>
      </w:r>
    </w:p>
    <w:p w:rsidR="0018258E" w:rsidRPr="009C534A" w:rsidRDefault="0018258E" w:rsidP="0018258E">
      <w:pPr>
        <w:pStyle w:val="H23GR"/>
      </w:pPr>
      <w:r w:rsidRPr="009C534A">
        <w:tab/>
      </w:r>
      <w:r w:rsidRPr="009C534A">
        <w:tab/>
        <w:t>Культурные права</w:t>
      </w:r>
    </w:p>
    <w:p w:rsidR="0018258E" w:rsidRPr="009C534A" w:rsidRDefault="0018258E" w:rsidP="0018258E">
      <w:pPr>
        <w:pStyle w:val="SingleTxtGR"/>
      </w:pPr>
      <w:r w:rsidRPr="009C534A">
        <w:t>54.</w:t>
      </w:r>
      <w:r w:rsidRPr="009C534A">
        <w:tab/>
        <w:t>Отмечая предпринимаемые в настоящее время меры по принятию уче</w:t>
      </w:r>
      <w:r w:rsidRPr="009C534A">
        <w:t>б</w:t>
      </w:r>
      <w:r w:rsidRPr="009C534A">
        <w:t xml:space="preserve">ных программ, которые отражали бы историю и культуру Арубы, Кюрасао и Синт-Мартена и использовали местные языки для обучения в школах, Комитет по-прежнему обеспокоен тем, что эти меры оказались неэффективными и что возможности детей проходить обучение на местных языках ограничены, из-за чего дети, чей родной язык </w:t>
      </w:r>
      <w:r w:rsidR="004E15B7" w:rsidRPr="004E15B7">
        <w:t>–</w:t>
      </w:r>
      <w:r w:rsidRPr="009C534A">
        <w:t xml:space="preserve"> не нидерландский, оказываются в неблагоприя</w:t>
      </w:r>
      <w:r w:rsidRPr="009C534A">
        <w:t>т</w:t>
      </w:r>
      <w:r w:rsidRPr="009C534A">
        <w:t>ном положении (статья 15).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55.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активизировать свои усилия для включения в учебные программы школ обучения местной и</w:t>
      </w:r>
      <w:r w:rsidRPr="009C534A">
        <w:rPr>
          <w:b/>
          <w:bCs/>
        </w:rPr>
        <w:t>с</w:t>
      </w:r>
      <w:r w:rsidRPr="009C534A">
        <w:rPr>
          <w:b/>
          <w:bCs/>
        </w:rPr>
        <w:t>тории и культуре, а также для того, чтобы в регионах, в которых традиц</w:t>
      </w:r>
      <w:r w:rsidRPr="009C534A">
        <w:rPr>
          <w:b/>
          <w:bCs/>
        </w:rPr>
        <w:t>и</w:t>
      </w:r>
      <w:r w:rsidRPr="009C534A">
        <w:rPr>
          <w:b/>
          <w:bCs/>
        </w:rPr>
        <w:t>онно говорят на местных языках, имелась возможность проходить обуч</w:t>
      </w:r>
      <w:r w:rsidRPr="009C534A">
        <w:rPr>
          <w:b/>
          <w:bCs/>
        </w:rPr>
        <w:t>е</w:t>
      </w:r>
      <w:r w:rsidRPr="009C534A">
        <w:rPr>
          <w:b/>
          <w:bCs/>
        </w:rPr>
        <w:t>ние на местных языках, в том числе на университетском уровне. Комитет напоминает государству-участнику о своем замечании общего поря</w:t>
      </w:r>
      <w:r w:rsidRPr="009C534A">
        <w:rPr>
          <w:b/>
          <w:bCs/>
        </w:rPr>
        <w:t>д</w:t>
      </w:r>
      <w:r w:rsidRPr="009C534A">
        <w:rPr>
          <w:b/>
          <w:bCs/>
        </w:rPr>
        <w:t>ка</w:t>
      </w:r>
      <w:r w:rsidR="004E15B7">
        <w:rPr>
          <w:b/>
          <w:bCs/>
          <w:lang w:val="en-US"/>
        </w:rPr>
        <w:t> </w:t>
      </w:r>
      <w:r w:rsidRPr="009C534A">
        <w:rPr>
          <w:b/>
          <w:bCs/>
        </w:rPr>
        <w:t>№</w:t>
      </w:r>
      <w:r w:rsidR="004E15B7">
        <w:rPr>
          <w:b/>
          <w:bCs/>
          <w:lang w:val="en-US"/>
        </w:rPr>
        <w:t> </w:t>
      </w:r>
      <w:r w:rsidRPr="009C534A">
        <w:rPr>
          <w:b/>
          <w:bCs/>
        </w:rPr>
        <w:t>21 (2009) о праве каждого человека на участие в культурной жизни, в котором он заявил, что образование должно быть приемлемым с культу</w:t>
      </w:r>
      <w:r w:rsidRPr="009C534A">
        <w:rPr>
          <w:b/>
          <w:bCs/>
        </w:rPr>
        <w:t>р</w:t>
      </w:r>
      <w:r w:rsidRPr="009C534A">
        <w:rPr>
          <w:b/>
          <w:bCs/>
        </w:rPr>
        <w:t>ной точки зрения и предоставлять детям возможности для формирования их личности и культурной самобытности и изучения и понимания кул</w:t>
      </w:r>
      <w:r w:rsidRPr="009C534A">
        <w:rPr>
          <w:b/>
          <w:bCs/>
        </w:rPr>
        <w:t>ь</w:t>
      </w:r>
      <w:r w:rsidRPr="009C534A">
        <w:rPr>
          <w:b/>
          <w:bCs/>
        </w:rPr>
        <w:t>турных ценностей и практики общин, к которым они принадлежат, а также ценностей и практики других общин и обществ.</w:t>
      </w:r>
    </w:p>
    <w:p w:rsidR="0018258E" w:rsidRPr="009C534A" w:rsidRDefault="0018258E" w:rsidP="0018258E">
      <w:pPr>
        <w:pStyle w:val="H1GR"/>
      </w:pPr>
      <w:r w:rsidRPr="009C534A">
        <w:lastRenderedPageBreak/>
        <w:tab/>
        <w:t>D.</w:t>
      </w:r>
      <w:r w:rsidRPr="009C534A">
        <w:tab/>
        <w:t>Другие рекомендации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56.</w:t>
      </w:r>
      <w:r w:rsidRPr="009C534A">
        <w:tab/>
      </w:r>
      <w:r w:rsidRPr="009C534A">
        <w:rPr>
          <w:b/>
          <w:bCs/>
        </w:rPr>
        <w:t>Отмечая шаги, предпринятые государством-участником в целях р</w:t>
      </w:r>
      <w:r w:rsidRPr="009C534A">
        <w:rPr>
          <w:b/>
          <w:bCs/>
        </w:rPr>
        <w:t>а</w:t>
      </w:r>
      <w:r w:rsidRPr="009C534A">
        <w:rPr>
          <w:b/>
          <w:bCs/>
        </w:rPr>
        <w:t>тификации Факультативного протокола к Международному пакту об эк</w:t>
      </w:r>
      <w:r w:rsidRPr="009C534A">
        <w:rPr>
          <w:b/>
          <w:bCs/>
        </w:rPr>
        <w:t>о</w:t>
      </w:r>
      <w:r w:rsidRPr="009C534A">
        <w:rPr>
          <w:b/>
          <w:bCs/>
        </w:rPr>
        <w:t>номических, социальных и культурных правах, Комитет рекомендует гос</w:t>
      </w:r>
      <w:r w:rsidRPr="009C534A">
        <w:rPr>
          <w:b/>
          <w:bCs/>
        </w:rPr>
        <w:t>у</w:t>
      </w:r>
      <w:r w:rsidRPr="009C534A">
        <w:rPr>
          <w:b/>
          <w:bCs/>
        </w:rPr>
        <w:t>дарству-участнику завершить процесс ратификации в кратчайшие во</w:t>
      </w:r>
      <w:r w:rsidRPr="009C534A">
        <w:rPr>
          <w:b/>
          <w:bCs/>
        </w:rPr>
        <w:t>з</w:t>
      </w:r>
      <w:r w:rsidRPr="009C534A">
        <w:rPr>
          <w:b/>
          <w:bCs/>
        </w:rPr>
        <w:t>можные сроки. Он далее предлагает государству-участнику рассмотреть вопрос о признании компетенции Комитета в соответствии со статьей 11 Факультативного протокола.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57.</w:t>
      </w:r>
      <w:r w:rsidRPr="009C534A">
        <w:tab/>
      </w:r>
      <w:r w:rsidRPr="009C534A">
        <w:rPr>
          <w:b/>
          <w:bCs/>
        </w:rPr>
        <w:t>Комитет призывает государство-участник рассмотреть вопрос о р</w:t>
      </w:r>
      <w:r w:rsidRPr="009C534A">
        <w:rPr>
          <w:b/>
          <w:bCs/>
        </w:rPr>
        <w:t>а</w:t>
      </w:r>
      <w:r w:rsidRPr="009C534A">
        <w:rPr>
          <w:b/>
          <w:bCs/>
        </w:rPr>
        <w:t>тификации Международной конвенции о защите прав всех трудящихся-мигрантов и членов их семей.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58.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в полной мере учит</w:t>
      </w:r>
      <w:r w:rsidRPr="009C534A">
        <w:rPr>
          <w:b/>
          <w:bCs/>
        </w:rPr>
        <w:t>ы</w:t>
      </w:r>
      <w:r w:rsidRPr="009C534A">
        <w:rPr>
          <w:b/>
          <w:bCs/>
        </w:rPr>
        <w:t>вать свои обязательства в соответствии с Пактом и обеспечивать полную реализацию закрепленных в нем прав в ходе осуществления на наци</w:t>
      </w:r>
      <w:r w:rsidRPr="009C534A">
        <w:rPr>
          <w:b/>
          <w:bCs/>
        </w:rPr>
        <w:t>о</w:t>
      </w:r>
      <w:r w:rsidRPr="009C534A">
        <w:rPr>
          <w:b/>
          <w:bCs/>
        </w:rPr>
        <w:t>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существенно содейств</w:t>
      </w:r>
      <w:r w:rsidRPr="009C534A">
        <w:rPr>
          <w:b/>
          <w:bCs/>
        </w:rPr>
        <w:t>о</w:t>
      </w:r>
      <w:r w:rsidRPr="009C534A">
        <w:rPr>
          <w:b/>
          <w:bCs/>
        </w:rPr>
        <w:t>вать достижению целей устойчивого развития путем создания независ</w:t>
      </w:r>
      <w:r w:rsidRPr="009C534A">
        <w:rPr>
          <w:b/>
          <w:bCs/>
        </w:rPr>
        <w:t>и</w:t>
      </w:r>
      <w:r w:rsidRPr="009C534A">
        <w:rPr>
          <w:b/>
          <w:bCs/>
        </w:rPr>
        <w:t>мых механизмов мониторинга достигнутого прогресса и обращения с бен</w:t>
      </w:r>
      <w:r w:rsidRPr="009C534A">
        <w:rPr>
          <w:b/>
          <w:bCs/>
        </w:rPr>
        <w:t>е</w:t>
      </w:r>
      <w:r w:rsidRPr="009C534A">
        <w:rPr>
          <w:b/>
          <w:bCs/>
        </w:rPr>
        <w:t>фициарами программ государственной помощи как с правообладателями, которые могут запрашивать причитающиеся им льготы. Достижение целей на основе принципов участия, подотчетности и недискриминации будет г</w:t>
      </w:r>
      <w:r w:rsidRPr="009C534A">
        <w:rPr>
          <w:b/>
          <w:bCs/>
        </w:rPr>
        <w:t>а</w:t>
      </w:r>
      <w:r w:rsidRPr="009C534A">
        <w:rPr>
          <w:b/>
          <w:bCs/>
        </w:rPr>
        <w:t>рантировать, что никто не останется без внимания.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59.</w:t>
      </w:r>
      <w:r w:rsidRPr="009C534A">
        <w:tab/>
      </w:r>
      <w:r w:rsidRPr="009C534A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</w:t>
      </w:r>
      <w:r w:rsidRPr="009C534A">
        <w:rPr>
          <w:b/>
          <w:bCs/>
        </w:rPr>
        <w:t>у</w:t>
      </w:r>
      <w:r w:rsidRPr="009C534A">
        <w:rPr>
          <w:b/>
          <w:bCs/>
        </w:rPr>
        <w:t>ществления экономических, социальных и культурных прав для облегч</w:t>
      </w:r>
      <w:r w:rsidRPr="009C534A">
        <w:rPr>
          <w:b/>
          <w:bCs/>
        </w:rPr>
        <w:t>е</w:t>
      </w:r>
      <w:r w:rsidRPr="009C534A">
        <w:rPr>
          <w:b/>
          <w:bCs/>
        </w:rPr>
        <w:t>ния оценки прогресса, достигнутого государством-участником в деле в</w:t>
      </w:r>
      <w:r w:rsidRPr="009C534A">
        <w:rPr>
          <w:b/>
          <w:bCs/>
        </w:rPr>
        <w:t>ы</w:t>
      </w:r>
      <w:r w:rsidRPr="009C534A">
        <w:rPr>
          <w:b/>
          <w:bCs/>
        </w:rPr>
        <w:t>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</w:t>
      </w:r>
      <w:r w:rsidRPr="009C534A">
        <w:rPr>
          <w:b/>
          <w:bCs/>
        </w:rPr>
        <w:t>р</w:t>
      </w:r>
      <w:r w:rsidRPr="009C534A">
        <w:rPr>
          <w:b/>
          <w:bCs/>
        </w:rPr>
        <w:t xml:space="preserve">ховного комиссара Организации Объединенных Наций по правам человека (см. HRI/MC/2008/3). </w:t>
      </w:r>
    </w:p>
    <w:p w:rsidR="0018258E" w:rsidRPr="009C534A" w:rsidRDefault="0018258E" w:rsidP="0018258E">
      <w:pPr>
        <w:pStyle w:val="SingleTxtGR"/>
        <w:rPr>
          <w:b/>
        </w:rPr>
      </w:pPr>
      <w:r w:rsidRPr="009C534A">
        <w:t>60.</w:t>
      </w:r>
      <w:r w:rsidRPr="009C534A">
        <w:tab/>
      </w:r>
      <w:r w:rsidRPr="009C534A">
        <w:rPr>
          <w:b/>
          <w:bCs/>
        </w:rPr>
        <w:t>В свете принятой Комитетом процедуры последующей деятельности в связи с заключительными замечаниями государству-участнику предлаг</w:t>
      </w:r>
      <w:r w:rsidRPr="009C534A">
        <w:rPr>
          <w:b/>
          <w:bCs/>
        </w:rPr>
        <w:t>а</w:t>
      </w:r>
      <w:r w:rsidRPr="009C534A">
        <w:rPr>
          <w:b/>
          <w:bCs/>
        </w:rPr>
        <w:t>ется представить в течение 18 месяцев с принятия настоящих заключ</w:t>
      </w:r>
      <w:r w:rsidRPr="009C534A">
        <w:rPr>
          <w:b/>
          <w:bCs/>
        </w:rPr>
        <w:t>и</w:t>
      </w:r>
      <w:r w:rsidRPr="009C534A">
        <w:rPr>
          <w:b/>
          <w:bCs/>
        </w:rPr>
        <w:t>тельных замечаний информацию об осуществлении рекомендаций, вын</w:t>
      </w:r>
      <w:r w:rsidRPr="009C534A">
        <w:rPr>
          <w:b/>
          <w:bCs/>
        </w:rPr>
        <w:t>е</w:t>
      </w:r>
      <w:r w:rsidRPr="009C534A">
        <w:rPr>
          <w:b/>
          <w:bCs/>
        </w:rPr>
        <w:t>сенных Комитетом в пунктах 8, 12 и подпункте а) пункта 40 выше.</w:t>
      </w:r>
    </w:p>
    <w:p w:rsidR="0018258E" w:rsidRPr="009C534A" w:rsidRDefault="0018258E" w:rsidP="0018258E">
      <w:pPr>
        <w:pStyle w:val="SingleTxtGR"/>
        <w:rPr>
          <w:b/>
          <w:bCs/>
        </w:rPr>
      </w:pPr>
      <w:r w:rsidRPr="009C534A">
        <w:t>61.</w:t>
      </w:r>
      <w:r w:rsidRPr="009C534A">
        <w:tab/>
      </w:r>
      <w:r w:rsidRPr="009C534A">
        <w:rPr>
          <w:b/>
          <w:bCs/>
        </w:rPr>
        <w:t>Комитет просит государство-участник обеспечить широкое распр</w:t>
      </w:r>
      <w:r w:rsidRPr="009C534A">
        <w:rPr>
          <w:b/>
          <w:bCs/>
        </w:rPr>
        <w:t>о</w:t>
      </w:r>
      <w:r w:rsidRPr="009C534A">
        <w:rPr>
          <w:b/>
          <w:bCs/>
        </w:rPr>
        <w:t>странение настоящих заключительных замечаний среди всех слоев общ</w:t>
      </w:r>
      <w:r w:rsidRPr="009C534A">
        <w:rPr>
          <w:b/>
          <w:bCs/>
        </w:rPr>
        <w:t>е</w:t>
      </w:r>
      <w:r w:rsidRPr="009C534A">
        <w:rPr>
          <w:b/>
          <w:bCs/>
        </w:rPr>
        <w:t>ства на национальном, муниципальном и территориальном уровнях, ос</w:t>
      </w:r>
      <w:r w:rsidRPr="009C534A">
        <w:rPr>
          <w:b/>
          <w:bCs/>
        </w:rPr>
        <w:t>о</w:t>
      </w:r>
      <w:r w:rsidRPr="009C534A">
        <w:rPr>
          <w:b/>
          <w:bCs/>
        </w:rPr>
        <w:t>бенно среди парламентариев, государственных должностных лиц и суде</w:t>
      </w:r>
      <w:r w:rsidRPr="009C534A">
        <w:rPr>
          <w:b/>
          <w:bCs/>
        </w:rPr>
        <w:t>б</w:t>
      </w:r>
      <w:r w:rsidRPr="009C534A">
        <w:rPr>
          <w:b/>
          <w:bCs/>
        </w:rPr>
        <w:t>ных органов, и проинформировать Комитет в своем следующем периодич</w:t>
      </w:r>
      <w:r w:rsidRPr="009C534A">
        <w:rPr>
          <w:b/>
          <w:bCs/>
        </w:rPr>
        <w:t>е</w:t>
      </w:r>
      <w:r w:rsidRPr="009C534A">
        <w:rPr>
          <w:b/>
          <w:bCs/>
        </w:rPr>
        <w:t>ском докладе о шагах, предпринятых с целью их выполнения. Комитет призывает государство-участник на протяжении всего отчетного процесса по Пакту, включая подготовку следующего периодического доклада и ос</w:t>
      </w:r>
      <w:r w:rsidRPr="009C534A">
        <w:rPr>
          <w:b/>
          <w:bCs/>
        </w:rPr>
        <w:t>у</w:t>
      </w:r>
      <w:r w:rsidRPr="009C534A">
        <w:rPr>
          <w:b/>
          <w:bCs/>
        </w:rPr>
        <w:t>ществление настоящих заключительных замечаний, продолжать свое вз</w:t>
      </w:r>
      <w:r w:rsidRPr="009C534A">
        <w:rPr>
          <w:b/>
          <w:bCs/>
        </w:rPr>
        <w:t>а</w:t>
      </w:r>
      <w:r w:rsidRPr="009C534A">
        <w:rPr>
          <w:b/>
          <w:bCs/>
        </w:rPr>
        <w:t>имодействие с Институтом по правам человека Нидерландов, неправител</w:t>
      </w:r>
      <w:r w:rsidRPr="009C534A">
        <w:rPr>
          <w:b/>
          <w:bCs/>
        </w:rPr>
        <w:t>ь</w:t>
      </w:r>
      <w:r w:rsidRPr="009C534A">
        <w:rPr>
          <w:b/>
          <w:bCs/>
        </w:rPr>
        <w:t>ственными организациями и другими членами гражданского общества.</w:t>
      </w:r>
    </w:p>
    <w:p w:rsidR="0018258E" w:rsidRPr="00E240ED" w:rsidRDefault="0018258E" w:rsidP="0018258E">
      <w:pPr>
        <w:pStyle w:val="SingleTxtGR"/>
      </w:pPr>
      <w:r w:rsidRPr="009C534A">
        <w:t>62.</w:t>
      </w:r>
      <w:r w:rsidRPr="009C534A">
        <w:tab/>
      </w:r>
      <w:r w:rsidRPr="009C534A">
        <w:rPr>
          <w:b/>
          <w:bCs/>
        </w:rPr>
        <w:t>Комитет просит государство-участник представить свой седьмой п</w:t>
      </w:r>
      <w:r w:rsidRPr="009C534A">
        <w:rPr>
          <w:b/>
          <w:bCs/>
        </w:rPr>
        <w:t>е</w:t>
      </w:r>
      <w:r w:rsidRPr="009C534A">
        <w:rPr>
          <w:b/>
          <w:bCs/>
        </w:rPr>
        <w:t>риодический доклад, который должен быть подготовлен в соответствии с руководящими принципами составления докладов, принятыми Комитетом в 2008 году (E/C.12/2008/2), до 30 июня 2022 года. Он также предлагает го</w:t>
      </w:r>
      <w:r w:rsidR="00944630" w:rsidRPr="00944630">
        <w:rPr>
          <w:b/>
          <w:bCs/>
        </w:rPr>
        <w:t>-</w:t>
      </w:r>
      <w:r w:rsidRPr="009C534A">
        <w:rPr>
          <w:b/>
          <w:bCs/>
        </w:rPr>
        <w:t>сударству-участнику по мере необходимости и в соответствии с соглас</w:t>
      </w:r>
      <w:r w:rsidRPr="009C534A">
        <w:rPr>
          <w:b/>
          <w:bCs/>
        </w:rPr>
        <w:t>о</w:t>
      </w:r>
      <w:r w:rsidRPr="009C534A">
        <w:rPr>
          <w:b/>
          <w:bCs/>
        </w:rPr>
        <w:t xml:space="preserve">ванными руководящими принципами представления докладов согласно </w:t>
      </w:r>
      <w:r w:rsidRPr="009C534A">
        <w:rPr>
          <w:b/>
          <w:bCs/>
        </w:rPr>
        <w:lastRenderedPageBreak/>
        <w:t>международным договорам о правах человека (см. HRI/GEN/2/Rev.6, гла</w:t>
      </w:r>
      <w:r w:rsidR="00944630" w:rsidRPr="00944630">
        <w:rPr>
          <w:b/>
          <w:bCs/>
        </w:rPr>
        <w:t>-</w:t>
      </w:r>
      <w:r w:rsidRPr="009C534A">
        <w:rPr>
          <w:b/>
          <w:bCs/>
        </w:rPr>
        <w:t>ва</w:t>
      </w:r>
      <w:r w:rsidR="00944630">
        <w:rPr>
          <w:b/>
          <w:bCs/>
          <w:lang w:val="en-US"/>
        </w:rPr>
        <w:t> </w:t>
      </w:r>
      <w:r w:rsidRPr="009C534A">
        <w:rPr>
          <w:b/>
          <w:bCs/>
        </w:rPr>
        <w:t>I) обновить свой общий базовый документ.</w:t>
      </w:r>
    </w:p>
    <w:p w:rsidR="00381C24" w:rsidRPr="0018258E" w:rsidRDefault="0018258E" w:rsidP="0018258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8258E" w:rsidSect="0018258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7A" w:rsidRPr="00A312BC" w:rsidRDefault="001C0B7A" w:rsidP="00A312BC"/>
  </w:endnote>
  <w:endnote w:type="continuationSeparator" w:id="0">
    <w:p w:rsidR="001C0B7A" w:rsidRPr="00A312BC" w:rsidRDefault="001C0B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A" w:rsidRPr="0018258E" w:rsidRDefault="001C0B7A">
    <w:pPr>
      <w:pStyle w:val="aa"/>
    </w:pPr>
    <w:r w:rsidRPr="0018258E">
      <w:rPr>
        <w:b/>
        <w:sz w:val="18"/>
      </w:rPr>
      <w:fldChar w:fldCharType="begin"/>
    </w:r>
    <w:r w:rsidRPr="0018258E">
      <w:rPr>
        <w:b/>
        <w:sz w:val="18"/>
      </w:rPr>
      <w:instrText xml:space="preserve"> PAGE  \* MERGEFORMAT </w:instrText>
    </w:r>
    <w:r w:rsidRPr="0018258E">
      <w:rPr>
        <w:b/>
        <w:sz w:val="18"/>
      </w:rPr>
      <w:fldChar w:fldCharType="separate"/>
    </w:r>
    <w:r w:rsidR="00F43958">
      <w:rPr>
        <w:b/>
        <w:noProof/>
        <w:sz w:val="18"/>
      </w:rPr>
      <w:t>12</w:t>
    </w:r>
    <w:r w:rsidRPr="0018258E">
      <w:rPr>
        <w:b/>
        <w:sz w:val="18"/>
      </w:rPr>
      <w:fldChar w:fldCharType="end"/>
    </w:r>
    <w:r>
      <w:rPr>
        <w:b/>
        <w:sz w:val="18"/>
      </w:rPr>
      <w:tab/>
    </w:r>
    <w:r>
      <w:t>GE.17-11280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A" w:rsidRPr="0018258E" w:rsidRDefault="001C0B7A" w:rsidP="0018258E">
    <w:pPr>
      <w:pStyle w:val="aa"/>
      <w:tabs>
        <w:tab w:val="clear" w:pos="9639"/>
        <w:tab w:val="right" w:pos="9638"/>
      </w:tabs>
      <w:rPr>
        <w:b/>
        <w:sz w:val="18"/>
      </w:rPr>
    </w:pPr>
    <w:r>
      <w:t>GE.17-11280</w:t>
    </w:r>
    <w:r>
      <w:tab/>
    </w:r>
    <w:r w:rsidRPr="0018258E">
      <w:rPr>
        <w:b/>
        <w:sz w:val="18"/>
      </w:rPr>
      <w:fldChar w:fldCharType="begin"/>
    </w:r>
    <w:r w:rsidRPr="0018258E">
      <w:rPr>
        <w:b/>
        <w:sz w:val="18"/>
      </w:rPr>
      <w:instrText xml:space="preserve"> PAGE  \* MERGEFORMAT </w:instrText>
    </w:r>
    <w:r w:rsidRPr="0018258E">
      <w:rPr>
        <w:b/>
        <w:sz w:val="18"/>
      </w:rPr>
      <w:fldChar w:fldCharType="separate"/>
    </w:r>
    <w:r w:rsidR="00F43958">
      <w:rPr>
        <w:b/>
        <w:noProof/>
        <w:sz w:val="18"/>
      </w:rPr>
      <w:t>11</w:t>
    </w:r>
    <w:r w:rsidRPr="001825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A" w:rsidRPr="0018258E" w:rsidRDefault="001C0B7A" w:rsidP="0018258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40C0ED3" wp14:editId="6DA186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17-11280  (R)</w:t>
    </w:r>
    <w:r>
      <w:rPr>
        <w:lang w:val="en-US"/>
      </w:rPr>
      <w:t xml:space="preserve">  131017  161017</w:t>
    </w:r>
    <w:r>
      <w:br/>
    </w:r>
    <w:r w:rsidRPr="0018258E">
      <w:rPr>
        <w:rFonts w:ascii="C39T30Lfz" w:hAnsi="C39T30Lfz"/>
        <w:spacing w:val="0"/>
        <w:w w:val="100"/>
        <w:sz w:val="56"/>
      </w:rPr>
      <w:t></w:t>
    </w:r>
    <w:r w:rsidRPr="0018258E">
      <w:rPr>
        <w:rFonts w:ascii="C39T30Lfz" w:hAnsi="C39T30Lfz"/>
        <w:spacing w:val="0"/>
        <w:w w:val="100"/>
        <w:sz w:val="56"/>
      </w:rPr>
      <w:t></w:t>
    </w:r>
    <w:r w:rsidRPr="0018258E">
      <w:rPr>
        <w:rFonts w:ascii="C39T30Lfz" w:hAnsi="C39T30Lfz"/>
        <w:spacing w:val="0"/>
        <w:w w:val="100"/>
        <w:sz w:val="56"/>
      </w:rPr>
      <w:t></w:t>
    </w:r>
    <w:r w:rsidRPr="0018258E">
      <w:rPr>
        <w:rFonts w:ascii="C39T30Lfz" w:hAnsi="C39T30Lfz"/>
        <w:spacing w:val="0"/>
        <w:w w:val="100"/>
        <w:sz w:val="56"/>
      </w:rPr>
      <w:t></w:t>
    </w:r>
    <w:r w:rsidRPr="0018258E">
      <w:rPr>
        <w:rFonts w:ascii="C39T30Lfz" w:hAnsi="C39T30Lfz"/>
        <w:spacing w:val="0"/>
        <w:w w:val="100"/>
        <w:sz w:val="56"/>
      </w:rPr>
      <w:t></w:t>
    </w:r>
    <w:r w:rsidRPr="0018258E">
      <w:rPr>
        <w:rFonts w:ascii="C39T30Lfz" w:hAnsi="C39T30Lfz"/>
        <w:spacing w:val="0"/>
        <w:w w:val="100"/>
        <w:sz w:val="56"/>
      </w:rPr>
      <w:t></w:t>
    </w:r>
    <w:r w:rsidRPr="0018258E">
      <w:rPr>
        <w:rFonts w:ascii="C39T30Lfz" w:hAnsi="C39T30Lfz"/>
        <w:spacing w:val="0"/>
        <w:w w:val="100"/>
        <w:sz w:val="56"/>
      </w:rPr>
      <w:t></w:t>
    </w:r>
    <w:r w:rsidRPr="0018258E">
      <w:rPr>
        <w:rFonts w:ascii="C39T30Lfz" w:hAnsi="C39T30Lfz"/>
        <w:spacing w:val="0"/>
        <w:w w:val="100"/>
        <w:sz w:val="56"/>
      </w:rPr>
      <w:t></w:t>
    </w:r>
    <w:r w:rsidRPr="0018258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C.12/NLD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NLD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7A" w:rsidRPr="001075E9" w:rsidRDefault="001C0B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0B7A" w:rsidRDefault="001C0B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0B7A" w:rsidRPr="004A540A" w:rsidRDefault="001C0B7A" w:rsidP="0018258E">
      <w:pPr>
        <w:pStyle w:val="af"/>
        <w:rPr>
          <w:lang w:val="ru-RU"/>
        </w:rPr>
      </w:pPr>
      <w:r>
        <w:rPr>
          <w:lang w:val="en-US"/>
        </w:rPr>
        <w:tab/>
      </w:r>
      <w:r w:rsidRPr="003A552F">
        <w:rPr>
          <w:lang w:val="ru-RU"/>
        </w:rPr>
        <w:t>*</w:t>
      </w:r>
      <w:r w:rsidRPr="000F6FE0">
        <w:rPr>
          <w:lang w:val="ru-RU"/>
        </w:rPr>
        <w:tab/>
      </w:r>
      <w:r>
        <w:rPr>
          <w:lang w:val="ru-RU"/>
        </w:rPr>
        <w:t>Приняты Комитетом по экономическим, социальным и культурным правам на его шестьдесят первой сессии (29 мая – 23 июня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A" w:rsidRPr="0018258E" w:rsidRDefault="009B060C">
    <w:pPr>
      <w:pStyle w:val="a5"/>
    </w:pPr>
    <w:fldSimple w:instr=" TITLE  \* MERGEFORMAT ">
      <w:r w:rsidR="00F43958">
        <w:t>E/C.12/NLD/CO/6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A" w:rsidRPr="0018258E" w:rsidRDefault="009B060C" w:rsidP="0018258E">
    <w:pPr>
      <w:pStyle w:val="a5"/>
      <w:jc w:val="right"/>
    </w:pPr>
    <w:fldSimple w:instr=" TITLE  \* MERGEFORMAT ">
      <w:r w:rsidR="00F43958">
        <w:t>E/C.12/NLD/CO/6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9F"/>
    <w:rsid w:val="00011BE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6B66"/>
    <w:rsid w:val="0014152F"/>
    <w:rsid w:val="00142F5E"/>
    <w:rsid w:val="00180183"/>
    <w:rsid w:val="0018024D"/>
    <w:rsid w:val="0018258E"/>
    <w:rsid w:val="0018649F"/>
    <w:rsid w:val="00196389"/>
    <w:rsid w:val="001B3EF6"/>
    <w:rsid w:val="001C0B7A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5B8A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E15B7"/>
    <w:rsid w:val="0050108D"/>
    <w:rsid w:val="00513081"/>
    <w:rsid w:val="00513B1E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35C75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44630"/>
    <w:rsid w:val="00951972"/>
    <w:rsid w:val="009608F3"/>
    <w:rsid w:val="009A24AC"/>
    <w:rsid w:val="009B060C"/>
    <w:rsid w:val="00A14DA8"/>
    <w:rsid w:val="00A21F00"/>
    <w:rsid w:val="00A26888"/>
    <w:rsid w:val="00A312BC"/>
    <w:rsid w:val="00A84021"/>
    <w:rsid w:val="00A84D35"/>
    <w:rsid w:val="00A917B3"/>
    <w:rsid w:val="00AB4B51"/>
    <w:rsid w:val="00AC3430"/>
    <w:rsid w:val="00B10CC7"/>
    <w:rsid w:val="00B32E1F"/>
    <w:rsid w:val="00B36DF7"/>
    <w:rsid w:val="00B539E7"/>
    <w:rsid w:val="00B62458"/>
    <w:rsid w:val="00BC18B2"/>
    <w:rsid w:val="00BD33EE"/>
    <w:rsid w:val="00BF21E1"/>
    <w:rsid w:val="00C106D6"/>
    <w:rsid w:val="00C3520D"/>
    <w:rsid w:val="00C60F0C"/>
    <w:rsid w:val="00C805C9"/>
    <w:rsid w:val="00C92939"/>
    <w:rsid w:val="00CA1679"/>
    <w:rsid w:val="00CB151C"/>
    <w:rsid w:val="00CE5A1A"/>
    <w:rsid w:val="00CF55F6"/>
    <w:rsid w:val="00D33D63"/>
    <w:rsid w:val="00D37BA4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8559F"/>
    <w:rsid w:val="00E90403"/>
    <w:rsid w:val="00EA2C9F"/>
    <w:rsid w:val="00EA420E"/>
    <w:rsid w:val="00ED0BDA"/>
    <w:rsid w:val="00EE142A"/>
    <w:rsid w:val="00EE1961"/>
    <w:rsid w:val="00EF1360"/>
    <w:rsid w:val="00EF3220"/>
    <w:rsid w:val="00F43903"/>
    <w:rsid w:val="00F4395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12</Pages>
  <Words>4496</Words>
  <Characters>30040</Characters>
  <Application>Microsoft Office Word</Application>
  <DocSecurity>0</DocSecurity>
  <Lines>536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E/C.12/NLD/CO/6</vt:lpstr>
      <vt:lpstr>A/</vt:lpstr>
    </vt:vector>
  </TitlesOfParts>
  <Company>DCM</Company>
  <LinksUpToDate>false</LinksUpToDate>
  <CharactersWithSpaces>34422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E/C.12/NLD/CO/6</dc:title>
  <dc:subject/>
  <dc:creator>Sharkina</dc:creator>
  <cp:keywords/>
  <cp:lastModifiedBy>TPSRUS2</cp:lastModifiedBy>
  <cp:revision>3</cp:revision>
  <cp:lastPrinted>2017-10-16T08:49:00Z</cp:lastPrinted>
  <dcterms:created xsi:type="dcterms:W3CDTF">2017-10-16T08:49:00Z</dcterms:created>
  <dcterms:modified xsi:type="dcterms:W3CDTF">2017-10-16T08:49:00Z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