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3215E9A" w14:textId="77777777" w:rsidTr="00DD44B1">
        <w:trPr>
          <w:trHeight w:hRule="exact" w:val="851"/>
        </w:trPr>
        <w:tc>
          <w:tcPr>
            <w:tcW w:w="142" w:type="dxa"/>
            <w:tcBorders>
              <w:bottom w:val="single" w:sz="4" w:space="0" w:color="auto"/>
            </w:tcBorders>
          </w:tcPr>
          <w:p w14:paraId="0453BB46" w14:textId="77777777" w:rsidR="002D5AAC" w:rsidRDefault="002D5AAC" w:rsidP="00E9115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B440DB3"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CCE5862" w14:textId="77777777" w:rsidR="002D5AAC" w:rsidRDefault="00E9115D" w:rsidP="00E9115D">
            <w:pPr>
              <w:jc w:val="right"/>
            </w:pPr>
            <w:r w:rsidRPr="00E9115D">
              <w:rPr>
                <w:sz w:val="40"/>
              </w:rPr>
              <w:t>E</w:t>
            </w:r>
            <w:r>
              <w:t>/C.12/RUS/7</w:t>
            </w:r>
          </w:p>
        </w:tc>
      </w:tr>
      <w:tr w:rsidR="002D5AAC" w14:paraId="5E605DB8" w14:textId="77777777" w:rsidTr="00DD44B1">
        <w:trPr>
          <w:trHeight w:hRule="exact" w:val="2835"/>
        </w:trPr>
        <w:tc>
          <w:tcPr>
            <w:tcW w:w="1280" w:type="dxa"/>
            <w:gridSpan w:val="2"/>
            <w:tcBorders>
              <w:top w:val="single" w:sz="4" w:space="0" w:color="auto"/>
              <w:bottom w:val="single" w:sz="12" w:space="0" w:color="auto"/>
            </w:tcBorders>
          </w:tcPr>
          <w:p w14:paraId="2236F9DC" w14:textId="77777777" w:rsidR="002D5AAC" w:rsidRDefault="002E5067" w:rsidP="00DD44B1">
            <w:pPr>
              <w:spacing w:before="120"/>
              <w:jc w:val="center"/>
            </w:pPr>
            <w:r>
              <w:rPr>
                <w:noProof/>
                <w:lang w:val="fr-CH" w:eastAsia="fr-CH"/>
              </w:rPr>
              <w:drawing>
                <wp:inline distT="0" distB="0" distL="0" distR="0" wp14:anchorId="0A8000FE" wp14:editId="6BB2BB3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21C4470"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017A5C86" w14:textId="77777777" w:rsidR="002D5AAC" w:rsidRDefault="00E9115D" w:rsidP="00DD44B1">
            <w:pPr>
              <w:spacing w:before="240"/>
              <w:rPr>
                <w:lang w:val="en-US"/>
              </w:rPr>
            </w:pPr>
            <w:r>
              <w:rPr>
                <w:lang w:val="en-US"/>
              </w:rPr>
              <w:t>Distr.: General</w:t>
            </w:r>
          </w:p>
          <w:p w14:paraId="4E3C405E" w14:textId="77777777" w:rsidR="00E9115D" w:rsidRDefault="00E9115D" w:rsidP="00E9115D">
            <w:pPr>
              <w:spacing w:line="240" w:lineRule="exact"/>
              <w:rPr>
                <w:lang w:val="en-US"/>
              </w:rPr>
            </w:pPr>
            <w:r>
              <w:rPr>
                <w:lang w:val="en-US"/>
              </w:rPr>
              <w:t>16 November 2022</w:t>
            </w:r>
          </w:p>
          <w:p w14:paraId="787E3F1F" w14:textId="21E41B07" w:rsidR="00E9115D" w:rsidRDefault="00E9115D" w:rsidP="00E9115D">
            <w:pPr>
              <w:spacing w:line="240" w:lineRule="exact"/>
              <w:rPr>
                <w:lang w:val="en-US"/>
              </w:rPr>
            </w:pPr>
          </w:p>
          <w:p w14:paraId="0C0BD405" w14:textId="09F4E0AC" w:rsidR="008865FE" w:rsidRDefault="00E9115D" w:rsidP="008865FE">
            <w:pPr>
              <w:suppressAutoHyphens w:val="0"/>
            </w:pPr>
            <w:r>
              <w:rPr>
                <w:lang w:val="en-US"/>
              </w:rPr>
              <w:t xml:space="preserve">Original: </w:t>
            </w:r>
            <w:r w:rsidR="008865FE">
              <w:t>Russian</w:t>
            </w:r>
          </w:p>
          <w:p w14:paraId="1E487FED" w14:textId="3CD18574" w:rsidR="00E9115D" w:rsidRPr="00D62A45" w:rsidRDefault="008865FE" w:rsidP="008865FE">
            <w:pPr>
              <w:spacing w:line="240" w:lineRule="exact"/>
              <w:rPr>
                <w:lang w:val="en-US"/>
              </w:rPr>
            </w:pPr>
            <w:r>
              <w:t xml:space="preserve">English, </w:t>
            </w:r>
            <w:proofErr w:type="spellStart"/>
            <w:r>
              <w:t>French</w:t>
            </w:r>
            <w:proofErr w:type="spellEnd"/>
            <w:r>
              <w:t xml:space="preserve">, Russian and </w:t>
            </w:r>
            <w:proofErr w:type="spellStart"/>
            <w:r>
              <w:t>Spanish</w:t>
            </w:r>
            <w:proofErr w:type="spellEnd"/>
            <w:r>
              <w:t xml:space="preserve"> </w:t>
            </w:r>
            <w:proofErr w:type="spellStart"/>
            <w:r>
              <w:t>only</w:t>
            </w:r>
            <w:proofErr w:type="spellEnd"/>
          </w:p>
        </w:tc>
      </w:tr>
    </w:tbl>
    <w:p w14:paraId="70FFB507" w14:textId="057678DD" w:rsidR="00076D7F" w:rsidRPr="00B33F85" w:rsidRDefault="00076D7F" w:rsidP="00076D7F">
      <w:pPr>
        <w:spacing w:before="120"/>
        <w:rPr>
          <w:b/>
          <w:sz w:val="24"/>
          <w:szCs w:val="24"/>
        </w:rPr>
      </w:pPr>
      <w:r>
        <w:rPr>
          <w:b/>
          <w:sz w:val="24"/>
        </w:rPr>
        <w:t xml:space="preserve">Комитет по экономическим, социальным </w:t>
      </w:r>
      <w:r>
        <w:rPr>
          <w:b/>
          <w:sz w:val="24"/>
        </w:rPr>
        <w:br/>
      </w:r>
      <w:r>
        <w:rPr>
          <w:b/>
          <w:sz w:val="24"/>
        </w:rPr>
        <w:t>и культурным правам</w:t>
      </w:r>
    </w:p>
    <w:p w14:paraId="1CD0B9AB" w14:textId="30BDC889" w:rsidR="00076D7F" w:rsidRPr="00076D7F" w:rsidRDefault="00076D7F" w:rsidP="00076D7F">
      <w:pPr>
        <w:pStyle w:val="HMG"/>
      </w:pPr>
      <w:r w:rsidRPr="00B33F85">
        <w:tab/>
      </w:r>
      <w:r w:rsidRPr="00B33F85">
        <w:tab/>
      </w:r>
      <w:r>
        <w:t>Седьмой</w:t>
      </w:r>
      <w:r w:rsidRPr="00B33F85">
        <w:t xml:space="preserve"> </w:t>
      </w:r>
      <w:r>
        <w:t>периодический</w:t>
      </w:r>
      <w:r w:rsidRPr="00B33F85">
        <w:t xml:space="preserve"> </w:t>
      </w:r>
      <w:r>
        <w:t>доклад</w:t>
      </w:r>
      <w:r w:rsidRPr="00B33F85">
        <w:t xml:space="preserve">, </w:t>
      </w:r>
      <w:r>
        <w:t>представленный</w:t>
      </w:r>
      <w:r w:rsidRPr="00B33F85">
        <w:t xml:space="preserve"> </w:t>
      </w:r>
      <w:r>
        <w:t>Российской</w:t>
      </w:r>
      <w:r w:rsidRPr="00B33F85">
        <w:t xml:space="preserve"> </w:t>
      </w:r>
      <w:r>
        <w:t>Федерацией</w:t>
      </w:r>
      <w:r w:rsidRPr="00B33F85">
        <w:t xml:space="preserve"> </w:t>
      </w:r>
      <w:r>
        <w:br/>
      </w:r>
      <w:r>
        <w:t>в</w:t>
      </w:r>
      <w:r w:rsidRPr="00B33F85">
        <w:t xml:space="preserve"> </w:t>
      </w:r>
      <w:r>
        <w:t>соответствии</w:t>
      </w:r>
      <w:r w:rsidRPr="00B33F85">
        <w:t xml:space="preserve"> </w:t>
      </w:r>
      <w:r>
        <w:t>со</w:t>
      </w:r>
      <w:r w:rsidRPr="00B33F85">
        <w:t xml:space="preserve"> </w:t>
      </w:r>
      <w:r>
        <w:t>статьями</w:t>
      </w:r>
      <w:r w:rsidRPr="00B33F85">
        <w:t xml:space="preserve"> 16 </w:t>
      </w:r>
      <w:r>
        <w:t>и</w:t>
      </w:r>
      <w:r>
        <w:rPr>
          <w:lang w:val="en-US"/>
        </w:rPr>
        <w:t xml:space="preserve"> </w:t>
      </w:r>
      <w:r w:rsidRPr="00B33F85">
        <w:t xml:space="preserve">17 </w:t>
      </w:r>
      <w:r>
        <w:t>Пакта</w:t>
      </w:r>
      <w:r w:rsidRPr="00B33F85">
        <w:t xml:space="preserve">, </w:t>
      </w:r>
      <w:r>
        <w:t>подлежащий представлению в</w:t>
      </w:r>
      <w:r w:rsidRPr="00B33F85">
        <w:t xml:space="preserve"> 2022</w:t>
      </w:r>
      <w:r>
        <w:t> году</w:t>
      </w:r>
      <w:r w:rsidRPr="00076D7F">
        <w:rPr>
          <w:b w:val="0"/>
          <w:sz w:val="20"/>
        </w:rPr>
        <w:footnoteReference w:customMarkFollows="1" w:id="1"/>
        <w:t>*</w:t>
      </w:r>
      <w:r>
        <w:rPr>
          <w:b w:val="0"/>
          <w:sz w:val="20"/>
          <w:lang w:val="en-US"/>
        </w:rPr>
        <w:t xml:space="preserve"> </w:t>
      </w:r>
      <w:r w:rsidRPr="00076D7F">
        <w:rPr>
          <w:rStyle w:val="a8"/>
          <w:b w:val="0"/>
          <w:sz w:val="20"/>
          <w:vertAlign w:val="baseline"/>
        </w:rPr>
        <w:footnoteReference w:customMarkFollows="1" w:id="2"/>
        <w:t>**</w:t>
      </w:r>
    </w:p>
    <w:p w14:paraId="0E6F8CCC" w14:textId="77777777" w:rsidR="00076D7F" w:rsidRPr="00CC4A65" w:rsidRDefault="00076D7F" w:rsidP="00076D7F">
      <w:pPr>
        <w:pStyle w:val="SingleTxtG"/>
        <w:jc w:val="right"/>
      </w:pPr>
      <w:r w:rsidRPr="00CC4A65">
        <w:t>[</w:t>
      </w:r>
      <w:r>
        <w:t>Дата получения</w:t>
      </w:r>
      <w:r w:rsidRPr="00CC4A65">
        <w:t xml:space="preserve">: 17 </w:t>
      </w:r>
      <w:r>
        <w:t>октября</w:t>
      </w:r>
      <w:r w:rsidRPr="00CC4A65">
        <w:t xml:space="preserve"> 2022</w:t>
      </w:r>
      <w:r>
        <w:t> года</w:t>
      </w:r>
      <w:r w:rsidRPr="00CC4A65">
        <w:t>]</w:t>
      </w:r>
    </w:p>
    <w:p w14:paraId="31F845A5" w14:textId="77777777" w:rsidR="00E9115D" w:rsidRDefault="00E9115D" w:rsidP="00896BA2"/>
    <w:p w14:paraId="1C9490B4" w14:textId="01119862" w:rsidR="00634B85" w:rsidRDefault="00634B85">
      <w:pPr>
        <w:suppressAutoHyphens w:val="0"/>
        <w:spacing w:line="240" w:lineRule="auto"/>
      </w:pPr>
      <w:r>
        <w:br w:type="page"/>
      </w:r>
    </w:p>
    <w:p w14:paraId="2E1E4CC2" w14:textId="77777777" w:rsidR="00634B85" w:rsidRPr="00762475" w:rsidRDefault="00634B85" w:rsidP="00634B85">
      <w:pPr>
        <w:pStyle w:val="HChG"/>
        <w:rPr>
          <w:u w:val="single"/>
        </w:rPr>
      </w:pPr>
      <w:r>
        <w:lastRenderedPageBreak/>
        <w:tab/>
      </w:r>
      <w:r>
        <w:tab/>
      </w:r>
      <w:r w:rsidRPr="00762475">
        <w:t>Статья 1</w:t>
      </w:r>
    </w:p>
    <w:p w14:paraId="5B736ACB" w14:textId="77777777" w:rsidR="00634B85" w:rsidRPr="00EA1C2E" w:rsidRDefault="00634B85" w:rsidP="00634B85">
      <w:pPr>
        <w:pStyle w:val="H1G"/>
      </w:pPr>
      <w:r>
        <w:tab/>
      </w:r>
      <w:r>
        <w:tab/>
      </w:r>
      <w:r w:rsidRPr="002800DE">
        <w:tab/>
        <w:t xml:space="preserve">Последующая информация в связи с пунктами </w:t>
      </w:r>
      <w:r w:rsidRPr="00762475">
        <w:t>14</w:t>
      </w:r>
      <w:r w:rsidRPr="00EA1C2E">
        <w:t>–</w:t>
      </w:r>
      <w:r w:rsidRPr="00762475">
        <w:t>15 заключительных замечаний КЭСКП</w:t>
      </w:r>
      <w:r w:rsidRPr="00571658">
        <w:t xml:space="preserve"> E/C.12/RUS/CO/6</w:t>
      </w:r>
      <w:r>
        <w:t xml:space="preserve"> </w:t>
      </w:r>
    </w:p>
    <w:p w14:paraId="75D4D00D" w14:textId="77777777" w:rsidR="00634B85" w:rsidRPr="00762475" w:rsidRDefault="00634B85" w:rsidP="00634B85">
      <w:pPr>
        <w:pStyle w:val="SingleTxtG"/>
      </w:pPr>
      <w:r w:rsidRPr="00762475">
        <w:t>1.</w:t>
      </w:r>
      <w:r>
        <w:tab/>
      </w:r>
      <w:r w:rsidRPr="00762475">
        <w:t>Федеративная концепция государственного устройства России основывается на балансе интересов равноправных субъектов Федерации, учитывает их национальную самобытность, территориальные и иные особенности. В составе равноправных субъектов Российской Федерации насчитывается 22 республики, 1 автономная область и 4 автономных округа, созданные по национально-территориальному принципу. Кроме того, право на самоопределение реализуется в различных формах национально-культурной и национально-территориальной автономии.</w:t>
      </w:r>
    </w:p>
    <w:p w14:paraId="003E688E" w14:textId="77777777" w:rsidR="00634B85" w:rsidRPr="00762475" w:rsidRDefault="00634B85" w:rsidP="00634B85">
      <w:pPr>
        <w:pStyle w:val="SingleTxtG"/>
      </w:pPr>
      <w:r w:rsidRPr="00762475">
        <w:t>2.</w:t>
      </w:r>
      <w:r>
        <w:tab/>
      </w:r>
      <w:r w:rsidRPr="00762475">
        <w:t>В соответствии с Федеральным законом «О национально-культурной автономии» функционирует институт национально-культурной автономии, который является формой национально-культурного самоопределения, представляющей собой объединение граждан Российской Федерации, относящих себя к определенной этнической общности, находящейся в ситуации национального меньшинства на соответствующей территории, на основе их добровольной самоорганизации в целях самостоятельного решения вопросов сохранения самобытности, развития языка, образования, национальной культуры, укрепления единства российской нации, гармонизации межэтнических отношений, содействия межрелигиозному диалогу, а</w:t>
      </w:r>
      <w:r>
        <w:t> </w:t>
      </w:r>
      <w:r w:rsidRPr="00762475">
        <w:t>также осуществления деятельности, направленной на социальную и культурную адаптацию и интеграцию мигрантов.</w:t>
      </w:r>
    </w:p>
    <w:p w14:paraId="753DBD5D" w14:textId="77777777" w:rsidR="00634B85" w:rsidRPr="00762475" w:rsidRDefault="00634B85" w:rsidP="00634B85">
      <w:pPr>
        <w:pStyle w:val="SingleTxtG"/>
      </w:pPr>
      <w:r w:rsidRPr="00762475">
        <w:t>3.</w:t>
      </w:r>
      <w:r>
        <w:tab/>
      </w:r>
      <w:r w:rsidRPr="00762475">
        <w:t>По состоянию на 31 декабря 2021 г</w:t>
      </w:r>
      <w:r>
        <w:t>ода</w:t>
      </w:r>
      <w:r w:rsidRPr="00762475">
        <w:t xml:space="preserve"> в Российской Федерации действует 21</w:t>
      </w:r>
      <w:r>
        <w:rPr>
          <w:lang w:val="en-US"/>
        </w:rPr>
        <w:t> </w:t>
      </w:r>
      <w:r w:rsidRPr="00762475">
        <w:t>федеральная, 290 региональных и 941 местная национально-культурн</w:t>
      </w:r>
      <w:r>
        <w:t>ая</w:t>
      </w:r>
      <w:r w:rsidRPr="00762475">
        <w:t xml:space="preserve"> автономи</w:t>
      </w:r>
      <w:r>
        <w:t>я</w:t>
      </w:r>
      <w:r w:rsidRPr="00762475">
        <w:t>, всего 1252 автономи</w:t>
      </w:r>
      <w:r>
        <w:t>и</w:t>
      </w:r>
      <w:r w:rsidRPr="00762475">
        <w:t>.</w:t>
      </w:r>
    </w:p>
    <w:p w14:paraId="5C969850" w14:textId="77777777" w:rsidR="00634B85" w:rsidRPr="007E5653" w:rsidRDefault="00634B85" w:rsidP="00634B85">
      <w:pPr>
        <w:pStyle w:val="SingleTxtG"/>
      </w:pPr>
      <w:r w:rsidRPr="00762475">
        <w:t>4.</w:t>
      </w:r>
      <w:r>
        <w:tab/>
      </w:r>
      <w:r w:rsidRPr="00762475">
        <w:t>С 2015 г</w:t>
      </w:r>
      <w:r>
        <w:t>ода</w:t>
      </w:r>
      <w:r w:rsidRPr="00762475">
        <w:t xml:space="preserve"> действует Консультативный совет по делам национально-культурных автономий при Федеральном агентстве по делам национальностей </w:t>
      </w:r>
      <w:r>
        <w:br/>
      </w:r>
      <w:r w:rsidRPr="00762475">
        <w:t xml:space="preserve">(далее </w:t>
      </w:r>
      <w:r w:rsidRPr="00067D40">
        <w:t>—</w:t>
      </w:r>
      <w:r w:rsidRPr="00762475">
        <w:t xml:space="preserve"> ФАДН), в его состав входят лидеры 21 федеральной национально-культурной автономии (да</w:t>
      </w:r>
      <w:r w:rsidRPr="007E5653">
        <w:t>лее — ФНКА). В заседаниях Консультативного совета участвуют руководители общероссийских общественных организаций, таких как Ассамблея народов России, Ассоциация коренных малочисленных народов Севера, Сибири и Дальнего Востока Российской Федерации, Ассоциация финно-угорских народов Российской Федерации, а также Всероссийское казачье общество.</w:t>
      </w:r>
    </w:p>
    <w:p w14:paraId="185E2323" w14:textId="77777777" w:rsidR="00634B85" w:rsidRPr="00762475" w:rsidRDefault="00634B85" w:rsidP="00634B85">
      <w:pPr>
        <w:pStyle w:val="SingleTxtG"/>
      </w:pPr>
      <w:r w:rsidRPr="00762475">
        <w:t>5.</w:t>
      </w:r>
      <w:r>
        <w:tab/>
      </w:r>
      <w:r w:rsidRPr="00762475">
        <w:t xml:space="preserve">С </w:t>
      </w:r>
      <w:proofErr w:type="gramStart"/>
      <w:r w:rsidRPr="00762475">
        <w:t>2020</w:t>
      </w:r>
      <w:r>
        <w:t xml:space="preserve">  </w:t>
      </w:r>
      <w:r w:rsidRPr="00762475">
        <w:t>г</w:t>
      </w:r>
      <w:r>
        <w:t>ода</w:t>
      </w:r>
      <w:proofErr w:type="gramEnd"/>
      <w:r w:rsidRPr="00762475">
        <w:t xml:space="preserve"> ФНКА на конкурсной основе предоставляются субсидии из федерального бюджета на осуществление деятельности в сфере реализации государственной национальной политики Российской Федерации. В 2020 г</w:t>
      </w:r>
      <w:r>
        <w:t>оду</w:t>
      </w:r>
      <w:r w:rsidRPr="00762475">
        <w:t xml:space="preserve"> субсидии получили 12 ФНКА, объем поддержки составил 54 млн рублей. В 2021 г</w:t>
      </w:r>
      <w:r>
        <w:t>оду</w:t>
      </w:r>
      <w:r w:rsidRPr="00762475">
        <w:t xml:space="preserve"> субсидии получили 13 ФНКА на сумму 43 млн рублей.</w:t>
      </w:r>
    </w:p>
    <w:p w14:paraId="6E76A2AB" w14:textId="77777777" w:rsidR="00634B85" w:rsidRPr="00762475" w:rsidRDefault="00634B85" w:rsidP="00634B85">
      <w:pPr>
        <w:pStyle w:val="SingleTxtG"/>
      </w:pPr>
      <w:r w:rsidRPr="00762475">
        <w:t>6.</w:t>
      </w:r>
      <w:r>
        <w:tab/>
      </w:r>
      <w:r w:rsidRPr="00762475">
        <w:t>Национально-культурная автономия имеет право получать поддержку со стороны органов государственной власти и органов местного самоуправления; участвовать через своих полномочных представителей в деятельности международных неправительственных организаций; устанавливать на основании законодательства Российской Федерации и поддерживать без какой-либо дискриминации гуманитарные контакты с гражданами, общественными организациями иностранных государств и др.</w:t>
      </w:r>
    </w:p>
    <w:p w14:paraId="584B79B9" w14:textId="77777777" w:rsidR="00634B85" w:rsidRPr="00762475" w:rsidRDefault="00634B85" w:rsidP="00634B85">
      <w:pPr>
        <w:pStyle w:val="SingleTxtG"/>
      </w:pPr>
      <w:r w:rsidRPr="00762475">
        <w:t>7.</w:t>
      </w:r>
      <w:r>
        <w:tab/>
      </w:r>
      <w:r w:rsidRPr="00762475">
        <w:t xml:space="preserve">Правовые основы гарантий самобытного социально-экономического и культурного развития коренных малочисленных народов Российской Федерации (далее </w:t>
      </w:r>
      <w:r>
        <w:t>—</w:t>
      </w:r>
      <w:r w:rsidRPr="00762475">
        <w:t xml:space="preserve"> КМН), защиты их исконной среды обитания, традиционных образа жизни, хозяйственной деятельности и промыслов установлены Федеральным законом от 30</w:t>
      </w:r>
      <w:r>
        <w:rPr>
          <w:lang w:val="en-US"/>
        </w:rPr>
        <w:t> </w:t>
      </w:r>
      <w:r w:rsidRPr="00762475">
        <w:t>апреля 1999 г</w:t>
      </w:r>
      <w:r>
        <w:t>ода</w:t>
      </w:r>
      <w:r w:rsidRPr="00762475">
        <w:t xml:space="preserve"> № 82-ФЗ «О гарантиях прав коренных малочисленных народов Российской Федерации» (далее </w:t>
      </w:r>
      <w:r w:rsidRPr="00067D40">
        <w:t>—</w:t>
      </w:r>
      <w:r w:rsidRPr="00762475">
        <w:t xml:space="preserve"> Закон № 82-ФЗ).</w:t>
      </w:r>
    </w:p>
    <w:p w14:paraId="628994EF" w14:textId="77777777" w:rsidR="00634B85" w:rsidRPr="00762475" w:rsidRDefault="00634B85" w:rsidP="00634B85">
      <w:pPr>
        <w:pStyle w:val="SingleTxtG"/>
      </w:pPr>
      <w:r w:rsidRPr="00762475">
        <w:t>8.</w:t>
      </w:r>
      <w:r>
        <w:tab/>
      </w:r>
      <w:r w:rsidRPr="00762475">
        <w:t>Согласно статье 1 Федерального закона от 7 мая 2001 г</w:t>
      </w:r>
      <w:r>
        <w:t>ода</w:t>
      </w:r>
      <w:r w:rsidRPr="00762475">
        <w:t xml:space="preserve"> №</w:t>
      </w:r>
      <w:r>
        <w:t> </w:t>
      </w:r>
      <w:r w:rsidRPr="00762475">
        <w:t xml:space="preserve">49-ФЗ </w:t>
      </w:r>
      <w:r>
        <w:br/>
      </w:r>
      <w:r w:rsidRPr="00762475">
        <w:t>«О территориях традиционного природопользования коренных малочисленных народов Севера, Сибири и Дальнего Востока Российской Федерации» (далее </w:t>
      </w:r>
      <w:r w:rsidRPr="00067D40">
        <w:t>—</w:t>
      </w:r>
      <w:r w:rsidRPr="00762475">
        <w:t xml:space="preserve"> </w:t>
      </w:r>
      <w:r>
        <w:br/>
      </w:r>
      <w:r w:rsidRPr="00762475">
        <w:lastRenderedPageBreak/>
        <w:t xml:space="preserve">Закон № 49-ФЗ) территории традиционного природопользования коренных малочисленных народов Севера, Сибири и Дальнего Востока Российской Федерации являются особо охраняемыми территориями, образованными для ведения традиционного природопользования и традиционного образа жизни коренными малочисленными народами Севера, Сибири и Дальнего Востока Российской Федерации (далее </w:t>
      </w:r>
      <w:r w:rsidRPr="00067D40">
        <w:t>—</w:t>
      </w:r>
      <w:r w:rsidRPr="00762475">
        <w:t xml:space="preserve"> КМНС).</w:t>
      </w:r>
    </w:p>
    <w:p w14:paraId="53236FC9" w14:textId="77777777" w:rsidR="00634B85" w:rsidRPr="00762475" w:rsidRDefault="00634B85" w:rsidP="00634B85">
      <w:pPr>
        <w:pStyle w:val="SingleTxtG"/>
      </w:pPr>
      <w:r w:rsidRPr="00762475">
        <w:t>9.</w:t>
      </w:r>
      <w:r>
        <w:tab/>
      </w:r>
      <w:r w:rsidRPr="00762475">
        <w:t>В соответствии со статьей 4 Закона № 49-ФЗ целями настоящего Федерального закона являются защита исконной среды обитания и традиционного образа жизни малочисленных народов, сохранение и развитие самобытной культуры малочисленных народов, а также сохранение на территориях традиционного природопользования биологического разнообразия.</w:t>
      </w:r>
    </w:p>
    <w:p w14:paraId="11845F7E" w14:textId="77777777" w:rsidR="00634B85" w:rsidRPr="00762475" w:rsidRDefault="00634B85" w:rsidP="00634B85">
      <w:pPr>
        <w:pStyle w:val="SingleTxtG"/>
      </w:pPr>
      <w:r w:rsidRPr="00762475">
        <w:t>10.</w:t>
      </w:r>
      <w:r>
        <w:tab/>
      </w:r>
      <w:r w:rsidRPr="00762475">
        <w:t xml:space="preserve">В соответствии со статьей 11 Закона № 49-ФЗ 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 Земли и земельные участки в местах традиционного проживания и традиционной хозяйственной деятельности могут также использоваться указанными лицами и общинами на основании разрешения органа государственной власти или органа местного самоуправления. </w:t>
      </w:r>
    </w:p>
    <w:p w14:paraId="1E5026B6" w14:textId="77777777" w:rsidR="00634B85" w:rsidRPr="00762475" w:rsidRDefault="00634B85" w:rsidP="00634B85">
      <w:pPr>
        <w:pStyle w:val="SingleTxtG"/>
      </w:pPr>
      <w:r w:rsidRPr="00762475">
        <w:t>11.</w:t>
      </w:r>
      <w:r>
        <w:tab/>
      </w:r>
      <w:r w:rsidRPr="00762475">
        <w:t>В соответствии со статьей 5 Закона № 49-ФЗ с учетом особенностей правового режима территорий традиционного природопользования такие территории относятся к особо охраняемым территориям федерального, регионального и местного значения.</w:t>
      </w:r>
    </w:p>
    <w:p w14:paraId="03E9E7F7" w14:textId="77777777" w:rsidR="00634B85" w:rsidRPr="00762475" w:rsidRDefault="00634B85" w:rsidP="00634B85">
      <w:pPr>
        <w:pStyle w:val="SingleTxtG"/>
      </w:pPr>
      <w:r w:rsidRPr="00762475">
        <w:t>12.</w:t>
      </w:r>
      <w:r>
        <w:tab/>
      </w:r>
      <w:r w:rsidRPr="00762475">
        <w:t>Также ФАДН России разработан и 19 марта 2021 г</w:t>
      </w:r>
      <w:r>
        <w:t>ода</w:t>
      </w:r>
      <w:r w:rsidRPr="00762475">
        <w:t xml:space="preserve"> в установленном порядке внесен в Правительство Российской Федерации проект федерального закона </w:t>
      </w:r>
      <w:r>
        <w:br/>
      </w:r>
      <w:r w:rsidRPr="00762475">
        <w:t>«О внесении изменений в Федеральный закон Сибири и Дальнего Востока Российской Федерации» и статью 97 Земельного кодекса Российской Федерации», который в настоящее время находится на доработке.</w:t>
      </w:r>
    </w:p>
    <w:p w14:paraId="3F74AC06" w14:textId="77777777" w:rsidR="00634B85" w:rsidRPr="00762475" w:rsidRDefault="00634B85" w:rsidP="00634B85">
      <w:pPr>
        <w:pStyle w:val="SingleTxtG"/>
      </w:pPr>
      <w:r w:rsidRPr="00762475">
        <w:t>13.</w:t>
      </w:r>
      <w:r>
        <w:tab/>
      </w:r>
      <w:r w:rsidRPr="00762475">
        <w:t>До вступления в силу указанных изменений создание территорий традиционного природопользования федерального значения нецелесообразно.</w:t>
      </w:r>
    </w:p>
    <w:p w14:paraId="79F82BFB" w14:textId="77777777" w:rsidR="00634B85" w:rsidRPr="00762475" w:rsidRDefault="00634B85" w:rsidP="00634B85">
      <w:pPr>
        <w:pStyle w:val="SingleTxtG"/>
      </w:pPr>
      <w:r w:rsidRPr="00762475">
        <w:t>14.</w:t>
      </w:r>
      <w:r>
        <w:tab/>
      </w:r>
      <w:r w:rsidRPr="00762475">
        <w:t>В соответствии со статьей 13 Закона № 49-ФЗ использование природных ресурсов, находящихся на территориях традиционного природопользования, для обеспечения ведения традиционного образа жизни осуществляется лицами, относящимися к малочисленным народам, и общинами малочисленных народов в соответствии с законодательством Российской Федерации, а также обычаями малочисленных народов.</w:t>
      </w:r>
    </w:p>
    <w:p w14:paraId="40BC392A" w14:textId="77777777" w:rsidR="00634B85" w:rsidRPr="00762475" w:rsidRDefault="00634B85" w:rsidP="00634B85">
      <w:pPr>
        <w:pStyle w:val="SingleTxtG"/>
      </w:pPr>
      <w:r w:rsidRPr="00762475">
        <w:t>15.</w:t>
      </w:r>
      <w:r>
        <w:tab/>
      </w:r>
      <w:r w:rsidRPr="00762475">
        <w:t>Также в целях защиты исконной среды обитания, традиционных образа жизни, хозяйственной деятельности и промыслов малочисленных народов издано постановление Правительства Российской Федерации от 18</w:t>
      </w:r>
      <w:r>
        <w:t xml:space="preserve"> </w:t>
      </w:r>
      <w:r w:rsidRPr="00762475">
        <w:t>сентября 2020 г</w:t>
      </w:r>
      <w:r>
        <w:t>ода</w:t>
      </w:r>
      <w:r w:rsidRPr="00762475">
        <w:t xml:space="preserve"> № 1488 «Об утверждении Положения о порядке возмещения убытков, причиненных коренным малочисленным народам Российской Федерации, объединениям коренных малочисленных народов Российской Федерации и лицам, относящимся к коренным малочисленным народам Российской Федерации,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 а также физическими лицами».</w:t>
      </w:r>
    </w:p>
    <w:p w14:paraId="0FE9D933" w14:textId="77777777" w:rsidR="00634B85" w:rsidRPr="00762475" w:rsidRDefault="00634B85" w:rsidP="00634B85">
      <w:pPr>
        <w:pStyle w:val="SingleTxtG"/>
      </w:pPr>
      <w:r w:rsidRPr="00762475">
        <w:t>16.</w:t>
      </w:r>
      <w:r>
        <w:tab/>
      </w:r>
      <w:r w:rsidRPr="00762475">
        <w:t xml:space="preserve">Также существует позитивный опыт деятельности Компании «Норильский никель», которая первая запустила процедуру свободного, предварительного и осознанного согласия (СПОС) для представителей КМНС и предложило им выбрать путь расселения поселка </w:t>
      </w:r>
      <w:proofErr w:type="spellStart"/>
      <w:r w:rsidRPr="00762475">
        <w:t>Тухард</w:t>
      </w:r>
      <w:proofErr w:type="spellEnd"/>
      <w:r w:rsidRPr="00762475">
        <w:t>. Несмотря на то, что процедура СПОС напрямую не включена в национальное законодательство Российской Федерации, Компания «Норильский никель» выразила готовность ее провести. 4 марта 2022 г</w:t>
      </w:r>
      <w:r>
        <w:t>ода</w:t>
      </w:r>
      <w:r w:rsidRPr="00762475">
        <w:t xml:space="preserve"> провела </w:t>
      </w:r>
      <w:r>
        <w:br/>
      </w:r>
      <w:r w:rsidRPr="00762475">
        <w:t xml:space="preserve">третий раунд консультаций и получила согласие на программу переселения и дальнейшее развитие поселка. </w:t>
      </w:r>
    </w:p>
    <w:p w14:paraId="193E444F" w14:textId="77777777" w:rsidR="00634B85" w:rsidRPr="00762475" w:rsidRDefault="00634B85" w:rsidP="00634B85">
      <w:pPr>
        <w:pStyle w:val="SingleTxtG"/>
      </w:pPr>
      <w:r w:rsidRPr="00762475">
        <w:t>17.</w:t>
      </w:r>
      <w:r>
        <w:tab/>
      </w:r>
      <w:r w:rsidRPr="00762475">
        <w:t xml:space="preserve">Органы государственной власти субъектов Российской Федерации в целях защиты исконной среды обитания, традиционных образа жизни, хозяйственной </w:t>
      </w:r>
      <w:r w:rsidRPr="00762475">
        <w:lastRenderedPageBreak/>
        <w:t>деятельности и промыслов КМН имеют право создавать на общественных началах при органах исполнительной власти субъектов Российской Федерации советы представителей КМН для защиты прав и законных интересов указанных народов. ФАДН России совместно с Общероссийской общественной организацией «Ассоциация коренных малочисленных народов Севера, Сибири и Дальнего Востока Российской Федерации» и органами государственной власти субъектов Российской Федерации проводит работу по совершенствованию нормативно-правового регулирования деятельности советов представителей КМН.</w:t>
      </w:r>
    </w:p>
    <w:p w14:paraId="04CF48D2" w14:textId="77777777" w:rsidR="00634B85" w:rsidRPr="00762475" w:rsidRDefault="00634B85" w:rsidP="00634B85">
      <w:pPr>
        <w:pStyle w:val="SingleTxtG"/>
      </w:pPr>
      <w:r w:rsidRPr="00762475">
        <w:t>18.</w:t>
      </w:r>
      <w:r>
        <w:tab/>
      </w:r>
      <w:r w:rsidRPr="00762475">
        <w:t>Так, в Республике Хакасия формируется позитивная практика заключения соглашений между Советом представителей коренных малочисленных народов при Правительстве Республики Хакасии, утвержденным постановлением Правительства Республики Хакасия от 29</w:t>
      </w:r>
      <w:r>
        <w:t xml:space="preserve"> </w:t>
      </w:r>
      <w:r w:rsidRPr="00762475">
        <w:t>мая 2012 г</w:t>
      </w:r>
      <w:r>
        <w:t>ода</w:t>
      </w:r>
      <w:r w:rsidRPr="00762475">
        <w:t xml:space="preserve"> № 340 (далее </w:t>
      </w:r>
      <w:r w:rsidRPr="00067D40">
        <w:t>—</w:t>
      </w:r>
      <w:r w:rsidRPr="00762475">
        <w:t xml:space="preserve"> Совет), и хозяйствующими субъектами.</w:t>
      </w:r>
    </w:p>
    <w:p w14:paraId="1F2943A8" w14:textId="77777777" w:rsidR="00634B85" w:rsidRPr="00762475" w:rsidRDefault="00634B85" w:rsidP="00634B85">
      <w:pPr>
        <w:pStyle w:val="SingleTxtG"/>
      </w:pPr>
      <w:r w:rsidRPr="00762475">
        <w:t>19.</w:t>
      </w:r>
      <w:r>
        <w:tab/>
      </w:r>
      <w:r w:rsidRPr="00762475">
        <w:t>В 2021 г</w:t>
      </w:r>
      <w:r>
        <w:t>оду</w:t>
      </w:r>
      <w:r w:rsidRPr="00762475">
        <w:t xml:space="preserve"> ООО «Золотодобывающая компания» подписано соглашение о сотрудничестве с Советом, а 1 января 2022 г</w:t>
      </w:r>
      <w:r>
        <w:t>ода</w:t>
      </w:r>
      <w:r w:rsidRPr="00762475">
        <w:t xml:space="preserve"> подготовлены дополнительные соглашения с общинами КМН и администрацией </w:t>
      </w:r>
      <w:proofErr w:type="spellStart"/>
      <w:r w:rsidRPr="00762475">
        <w:t>Балыксинского</w:t>
      </w:r>
      <w:proofErr w:type="spellEnd"/>
      <w:r w:rsidRPr="00762475">
        <w:t xml:space="preserve"> сельсовета Аскизского района Республики Хакасия. Также проводится подготовка подписания соглашения с ООО «Хакасский лесозавод», в том числе проекты дополнительных соглашений с администрацией </w:t>
      </w:r>
      <w:proofErr w:type="spellStart"/>
      <w:r w:rsidRPr="00762475">
        <w:t>Матурского</w:t>
      </w:r>
      <w:proofErr w:type="spellEnd"/>
      <w:r w:rsidRPr="00762475">
        <w:t xml:space="preserve"> сельсовета Таштыпского района Республики Хакасия и общинами КМН </w:t>
      </w:r>
      <w:r w:rsidRPr="00067D40">
        <w:t>—</w:t>
      </w:r>
      <w:r w:rsidRPr="00762475">
        <w:t xml:space="preserve"> шорцев, действующими на территории </w:t>
      </w:r>
      <w:proofErr w:type="spellStart"/>
      <w:r w:rsidRPr="00762475">
        <w:t>Матурского</w:t>
      </w:r>
      <w:proofErr w:type="spellEnd"/>
      <w:r w:rsidRPr="00762475">
        <w:t xml:space="preserve"> сельсовета Республики Хакасия. </w:t>
      </w:r>
    </w:p>
    <w:p w14:paraId="0D1553AF" w14:textId="77777777" w:rsidR="00634B85" w:rsidRDefault="00634B85" w:rsidP="00634B85">
      <w:pPr>
        <w:pStyle w:val="SingleTxtG"/>
      </w:pPr>
      <w:r w:rsidRPr="00762475">
        <w:t>20.</w:t>
      </w:r>
      <w:r>
        <w:tab/>
      </w:r>
      <w:r w:rsidRPr="00762475">
        <w:t xml:space="preserve">В Кемеровской области </w:t>
      </w:r>
      <w:r w:rsidRPr="00067D40">
        <w:t>—</w:t>
      </w:r>
      <w:r w:rsidRPr="00762475">
        <w:t xml:space="preserve"> Кузбассе угольные предприятия, работающие вблизи мест традиционного проживания и традиционной хозяйственной деятельности КМН, заключают соглашения с Правительством Кемеровской области </w:t>
      </w:r>
      <w:r w:rsidRPr="00067D40">
        <w:t>—</w:t>
      </w:r>
      <w:r w:rsidRPr="00762475">
        <w:t xml:space="preserve"> Кузбасса, в которых отражены меры социальной ответственности хозяйствующих субъектов в части укрепления инфраструктуры мест традиционного проживания коренных народов (строительство и ремонт дорог, объектов социального значения, освещение поселковых улиц, уборка снега в зимнее время, финансирование социально-значимых мероприятий и т.</w:t>
      </w:r>
      <w:r>
        <w:rPr>
          <w:lang w:val="en-US"/>
        </w:rPr>
        <w:t> </w:t>
      </w:r>
      <w:r w:rsidRPr="00762475">
        <w:t>д.). Кроме того, существует практика частных договор</w:t>
      </w:r>
      <w:r>
        <w:t>е</w:t>
      </w:r>
      <w:r w:rsidRPr="00762475">
        <w:t>нностей по поддержке предпринимательской и фермерской деятельности представителей коренного населения, а также соглашения о поддержке деятельности общественных организаций коренных малочисленных народов Кузбасса.</w:t>
      </w:r>
    </w:p>
    <w:p w14:paraId="06381747" w14:textId="77777777" w:rsidR="00634B85" w:rsidRPr="00762475" w:rsidRDefault="00634B85" w:rsidP="00634B85">
      <w:pPr>
        <w:pStyle w:val="HChG"/>
      </w:pPr>
      <w:r>
        <w:tab/>
      </w:r>
      <w:r>
        <w:tab/>
      </w:r>
      <w:r w:rsidRPr="00762475">
        <w:t>Статья 2</w:t>
      </w:r>
    </w:p>
    <w:p w14:paraId="30E1A2D6" w14:textId="77777777" w:rsidR="00634B85" w:rsidRPr="00762475" w:rsidRDefault="00634B85" w:rsidP="00634B85">
      <w:pPr>
        <w:pStyle w:val="H1G"/>
      </w:pPr>
      <w:r>
        <w:tab/>
      </w:r>
      <w:r>
        <w:tab/>
      </w:r>
      <w:r w:rsidRPr="002800DE">
        <w:t>Последующая информация в связи с пунктами</w:t>
      </w:r>
      <w:r w:rsidRPr="00762475">
        <w:t xml:space="preserve"> 20</w:t>
      </w:r>
      <w:r w:rsidRPr="00067D40">
        <w:t>–</w:t>
      </w:r>
      <w:r w:rsidRPr="00762475">
        <w:t>21 заключительных замечаний КЭСКП</w:t>
      </w:r>
    </w:p>
    <w:p w14:paraId="5B30AD61" w14:textId="77777777" w:rsidR="00634B85" w:rsidRPr="00762475" w:rsidRDefault="00634B85" w:rsidP="00634B85">
      <w:pPr>
        <w:pStyle w:val="SingleTxtG"/>
      </w:pPr>
      <w:r w:rsidRPr="00762475">
        <w:t>21.</w:t>
      </w:r>
      <w:r>
        <w:tab/>
      </w:r>
      <w:r w:rsidRPr="00762475">
        <w:t xml:space="preserve">Российская Федерация в качестве донора в пределах имеющихся ресурсов проводит активную и целенаправленную политику в сфере содействия международному развитию (далее </w:t>
      </w:r>
      <w:r w:rsidRPr="00067D40">
        <w:t>—</w:t>
      </w:r>
      <w:r w:rsidRPr="00762475">
        <w:t xml:space="preserve"> СМР) в интересах стабилизации социально-экономической и политической ситуации в государствах-партн</w:t>
      </w:r>
      <w:r>
        <w:t>е</w:t>
      </w:r>
      <w:r w:rsidRPr="00762475">
        <w:t>рах.</w:t>
      </w:r>
    </w:p>
    <w:p w14:paraId="75784092" w14:textId="77777777" w:rsidR="00634B85" w:rsidRPr="00762475" w:rsidRDefault="00634B85" w:rsidP="00634B85">
      <w:pPr>
        <w:pStyle w:val="SingleTxtG"/>
      </w:pPr>
      <w:r w:rsidRPr="00762475">
        <w:t>22.</w:t>
      </w:r>
      <w:r>
        <w:tab/>
      </w:r>
      <w:r w:rsidRPr="00762475">
        <w:t xml:space="preserve">В практическом плане проектная деятельность России в сфере СМР сосредоточена на национальных приоритетах развития стран-реципиентов с акцентом на улучшение благосостояния населения (в первую очередь сельских районов), повышение квалификации, создание рабочих мест и стимулирование занятости, развитие мелкого и среднего предпринимательства, повышение устойчивости к изменению климата в различных секторах, а также на обеспечение продовольственной безопасности, создание и модернизацию торгово-экономического и промышленного потенциалов (в том числе путем разработки и внедрения различных решений в области цифровизации экономики), укрепление социальной инфраструктуры, в том числе в сфере здравоохранения и образования, совершенствование государственного управления. Особое внимание уделяется преодолению негативных социально-экономических последствий пандемии новой коронавирусной инфекции. </w:t>
      </w:r>
      <w:r>
        <w:br/>
      </w:r>
      <w:r w:rsidRPr="00762475">
        <w:t>По информации Министерства финансов Российской Федерации, в 2020 г</w:t>
      </w:r>
      <w:r>
        <w:t>оду</w:t>
      </w:r>
      <w:r w:rsidRPr="00762475">
        <w:t xml:space="preserve"> расходы </w:t>
      </w:r>
      <w:r w:rsidRPr="00762475">
        <w:lastRenderedPageBreak/>
        <w:t>федерального бюджета, классифицируемые по методологии ОЭСР как официальная помощь развитию (ОПР), достигли 962,89 млн долл. США.</w:t>
      </w:r>
    </w:p>
    <w:p w14:paraId="2152152E" w14:textId="77777777" w:rsidR="00634B85" w:rsidRPr="00762475" w:rsidRDefault="00634B85" w:rsidP="00634B85">
      <w:pPr>
        <w:pStyle w:val="SingleTxtG"/>
      </w:pPr>
      <w:r w:rsidRPr="00762475">
        <w:t>23.</w:t>
      </w:r>
      <w:r>
        <w:tab/>
      </w:r>
      <w:r w:rsidRPr="00762475">
        <w:t>Значимым направлением российского содействия развивающимся странам остается облегчение долгового бремени. За период с 1 января 2000 г</w:t>
      </w:r>
      <w:r>
        <w:t>ода</w:t>
      </w:r>
      <w:r w:rsidRPr="00762475">
        <w:t xml:space="preserve"> по 31 мая 2022</w:t>
      </w:r>
      <w:r>
        <w:t> </w:t>
      </w:r>
      <w:r w:rsidRPr="00762475">
        <w:t>г</w:t>
      </w:r>
      <w:r>
        <w:t>ода</w:t>
      </w:r>
      <w:r w:rsidRPr="00762475">
        <w:t xml:space="preserve"> объем списанной Российской Федерацией задолженности стран Африки </w:t>
      </w:r>
      <w:r>
        <w:br/>
      </w:r>
      <w:r w:rsidRPr="00762475">
        <w:t>по ранее предоставленным государственным кредитам оценивается суммой около 20</w:t>
      </w:r>
      <w:r>
        <w:t> </w:t>
      </w:r>
      <w:r w:rsidRPr="00762475">
        <w:t>млрд долл. США, включая:</w:t>
      </w:r>
    </w:p>
    <w:p w14:paraId="65034E2A"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около 11,4 млрд долл. США </w:t>
      </w:r>
      <w:r w:rsidRPr="00067D40">
        <w:t>—</w:t>
      </w:r>
      <w:r w:rsidRPr="00762475">
        <w:t xml:space="preserve"> в рамках Инициативы по облегчению долгового бремени беднейших стран;</w:t>
      </w:r>
    </w:p>
    <w:p w14:paraId="4ADA93E6"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около 352,5 млн долл. США </w:t>
      </w:r>
      <w:r w:rsidRPr="00067D40">
        <w:t>—</w:t>
      </w:r>
      <w:r w:rsidRPr="00762475">
        <w:t xml:space="preserve"> в рамках Инициативы стран «Большой восьмерки» о дополнительных усилиях по облегчению долгового бремени беднейших стран (в форме использования долговых обязательств на финансирование проектов в области развития на территории соответствующих стран-дебиторов Российской Федерации).</w:t>
      </w:r>
    </w:p>
    <w:p w14:paraId="3E68B4F3" w14:textId="77777777" w:rsidR="00634B85" w:rsidRPr="00762475" w:rsidRDefault="00634B85" w:rsidP="00634B85">
      <w:pPr>
        <w:pStyle w:val="SingleTxtG"/>
      </w:pPr>
      <w:r w:rsidRPr="00762475">
        <w:t>24.</w:t>
      </w:r>
      <w:r>
        <w:tab/>
      </w:r>
      <w:r w:rsidRPr="00762475">
        <w:t xml:space="preserve">В соответствии с распоряжениями Правительства Российской Федерации от </w:t>
      </w:r>
      <w:r>
        <w:br/>
      </w:r>
      <w:r w:rsidRPr="00762475">
        <w:t>29 марта 2007 г</w:t>
      </w:r>
      <w:r>
        <w:t>ода</w:t>
      </w:r>
      <w:r w:rsidRPr="00762475">
        <w:t xml:space="preserve"> № 381-р и от 30 августа 2013 г</w:t>
      </w:r>
      <w:r>
        <w:t>ода</w:t>
      </w:r>
      <w:r w:rsidRPr="00762475">
        <w:t xml:space="preserve"> № 1539-р Россия ежегодно вносит добровольные взносы в Европейскую экономическую комиссию ООН (далее </w:t>
      </w:r>
      <w:r w:rsidRPr="00067D40">
        <w:t>—</w:t>
      </w:r>
      <w:r w:rsidRPr="00762475">
        <w:t xml:space="preserve"> </w:t>
      </w:r>
      <w:r>
        <w:br/>
      </w:r>
      <w:r w:rsidRPr="00762475">
        <w:t xml:space="preserve">ЕЭК ООН) и Экономическую и социальную комиссию ООН для Азии и Тихого океана (далее </w:t>
      </w:r>
      <w:r w:rsidRPr="00067D40">
        <w:t>—</w:t>
      </w:r>
      <w:r w:rsidRPr="00762475">
        <w:t xml:space="preserve"> ЭСКАТО) для финансирования проектов технического содействия преимущественно в странах Центральной Азии.</w:t>
      </w:r>
    </w:p>
    <w:p w14:paraId="51F29250" w14:textId="77777777" w:rsidR="00634B85" w:rsidRPr="00762475" w:rsidRDefault="00634B85" w:rsidP="00634B85">
      <w:pPr>
        <w:pStyle w:val="SingleTxtG"/>
      </w:pPr>
      <w:r w:rsidRPr="00762475">
        <w:t>25.</w:t>
      </w:r>
      <w:r>
        <w:tab/>
      </w:r>
      <w:r w:rsidRPr="00762475">
        <w:t>За период с 2018 г</w:t>
      </w:r>
      <w:r>
        <w:t>ода</w:t>
      </w:r>
      <w:r w:rsidRPr="00762475">
        <w:t xml:space="preserve"> по 2021 г</w:t>
      </w:r>
      <w:r>
        <w:t>од</w:t>
      </w:r>
      <w:r w:rsidRPr="00762475">
        <w:t xml:space="preserve"> реализованы 13 проектов технического содействия ЕЭК ООН на 2,6 млн долл. США, а в ЭСКАТО </w:t>
      </w:r>
      <w:r w:rsidRPr="007E5653">
        <w:t>—</w:t>
      </w:r>
      <w:r w:rsidRPr="00762475">
        <w:t xml:space="preserve"> 14</w:t>
      </w:r>
      <w:r>
        <w:t xml:space="preserve"> </w:t>
      </w:r>
      <w:r w:rsidRPr="00762475">
        <w:t xml:space="preserve">проектов на </w:t>
      </w:r>
      <w:r>
        <w:br/>
      </w:r>
      <w:r w:rsidRPr="00762475">
        <w:t>3 млн долл. США. Основные области сотрудничества: энергетика, транспорт, торговля, статистика, охрана окружающей среды и устойчивое развитие.</w:t>
      </w:r>
    </w:p>
    <w:p w14:paraId="61E3DE34" w14:textId="77777777" w:rsidR="00634B85" w:rsidRPr="00762475" w:rsidRDefault="00634B85" w:rsidP="00634B85">
      <w:pPr>
        <w:pStyle w:val="SingleTxtG"/>
      </w:pPr>
      <w:r w:rsidRPr="00762475">
        <w:t>26.</w:t>
      </w:r>
      <w:r>
        <w:tab/>
      </w:r>
      <w:r w:rsidRPr="00762475">
        <w:t>Российская Федерация придает большое значение проектной деятельности по линии ЕЭК ООН и ЭСКАТО и продолжит использовать инструментарии региональных экономических комиссий ООН для оказания поддержки заинтересованным странам в соответствии с приоритетами государственной политики в сфере содействия международному развитию. Залогом результативности российского технического содействия по линии комиссий также является экспертное сопровождение проектов профильными высококвалифицированными российскими специалистами.</w:t>
      </w:r>
    </w:p>
    <w:p w14:paraId="7DD0543E" w14:textId="77777777" w:rsidR="00634B85" w:rsidRPr="00762475" w:rsidRDefault="00634B85" w:rsidP="00634B85">
      <w:pPr>
        <w:pStyle w:val="SingleTxtG"/>
      </w:pPr>
      <w:r w:rsidRPr="00762475">
        <w:t>27.</w:t>
      </w:r>
      <w:r>
        <w:tab/>
      </w:r>
      <w:r w:rsidRPr="00762475">
        <w:t>Россия также принимает участие в оказании международной помощи развивающимся странам в рамках уставной программной деятельности ЮНЕСКО в сферах образования, естественных и социальных наук, культуры, информации и коммуникации. Помимо направления обязательных взносов в регулярный бюджет Организации, а также экспертно-консультативной поддержки учреждения, в отчетный период Россией был реализован ряд «точечных» гуманитарных проектов. В</w:t>
      </w:r>
      <w:r w:rsidRPr="00762475">
        <w:rPr>
          <w:lang w:val="en-US"/>
        </w:rPr>
        <w:t> </w:t>
      </w:r>
      <w:r w:rsidRPr="00762475">
        <w:t>частности, в 2018</w:t>
      </w:r>
      <w:r w:rsidRPr="00666596">
        <w:t>–</w:t>
      </w:r>
      <w:r w:rsidRPr="00762475">
        <w:t>2021</w:t>
      </w:r>
      <w:r>
        <w:t> </w:t>
      </w:r>
      <w:r w:rsidRPr="00762475">
        <w:t>г</w:t>
      </w:r>
      <w:r>
        <w:t>одах</w:t>
      </w:r>
      <w:r w:rsidRPr="00762475">
        <w:t xml:space="preserve"> Российская Федерация на ежегодной основе осуществляла добровольные взносы в размере 150 тыс. евро в «Фонд искоренения допинга в спорте», призванный осуществлять образовательные проекты, консультировать по вопросам политики и содействовать развитию потенциала в странах, нуждающихся в международном содействии для борьбы с допингом в спорте.</w:t>
      </w:r>
    </w:p>
    <w:p w14:paraId="3C3CC92E" w14:textId="77777777" w:rsidR="00634B85" w:rsidRPr="00762475" w:rsidRDefault="00634B85" w:rsidP="00634B85">
      <w:pPr>
        <w:pStyle w:val="SingleTxtG"/>
      </w:pPr>
      <w:r w:rsidRPr="00762475">
        <w:t>28.</w:t>
      </w:r>
      <w:r>
        <w:tab/>
      </w:r>
      <w:r w:rsidRPr="00762475">
        <w:t xml:space="preserve">Министерство иностранных дел Российской Федерации (далее </w:t>
      </w:r>
      <w:r w:rsidRPr="00067D40">
        <w:t>—</w:t>
      </w:r>
      <w:r w:rsidRPr="00762475">
        <w:t xml:space="preserve"> МИД России) совместно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(далее </w:t>
      </w:r>
      <w:r w:rsidRPr="00067D40">
        <w:t xml:space="preserve">— </w:t>
      </w:r>
      <w:r w:rsidRPr="00762475">
        <w:t xml:space="preserve">Россотрудничество) и Министерством науки и высшего образования Российской Федерации (далее </w:t>
      </w:r>
      <w:r w:rsidRPr="00067D40">
        <w:t>—</w:t>
      </w:r>
      <w:r w:rsidRPr="00762475">
        <w:t xml:space="preserve"> Минобрнауки России) на ежегодной основе утверждает План приема иностранных граждан, лиц без гражданства, в том числе соотечественников, проживающих за рубежом, на обучение в российские образовательные организации в рамках квоты, установленной Правительством Российской Федерации. По итогам 2019/2020 учебного года в российские высшие учебные заведения (далее </w:t>
      </w:r>
      <w:r w:rsidRPr="00067D40">
        <w:t>—</w:t>
      </w:r>
      <w:r w:rsidRPr="00762475">
        <w:t xml:space="preserve"> ВУЗы) распределено около </w:t>
      </w:r>
      <w:r>
        <w:br/>
      </w:r>
      <w:r w:rsidRPr="00762475">
        <w:t>2000 кандидатов. С учетом ограничений международного авиасообщения План приема на 2020/2021 учебный год был скорректирован. Вместе с тем в 2021 г</w:t>
      </w:r>
      <w:r>
        <w:t>оду</w:t>
      </w:r>
      <w:r w:rsidRPr="00762475">
        <w:t xml:space="preserve"> </w:t>
      </w:r>
      <w:r w:rsidRPr="00762475">
        <w:lastRenderedPageBreak/>
        <w:t>началась апробация системы грантовой поддержки талантливых иностранных студентов.</w:t>
      </w:r>
    </w:p>
    <w:p w14:paraId="02FED0E4" w14:textId="77777777" w:rsidR="00634B85" w:rsidRDefault="00634B85" w:rsidP="00634B85">
      <w:pPr>
        <w:pStyle w:val="SingleTxtG"/>
      </w:pPr>
      <w:r w:rsidRPr="00762475">
        <w:t>29.</w:t>
      </w:r>
      <w:r>
        <w:tab/>
      </w:r>
      <w:r w:rsidRPr="00762475">
        <w:t>В отчетный период Россотрудничество также проводило программы квалификации преподавателей русского языка. Например, в 2021</w:t>
      </w:r>
      <w:r w:rsidRPr="00762475">
        <w:rPr>
          <w:lang w:val="en-US"/>
        </w:rPr>
        <w:t> </w:t>
      </w:r>
      <w:r w:rsidRPr="00762475">
        <w:t>г</w:t>
      </w:r>
      <w:r>
        <w:t>оду</w:t>
      </w:r>
      <w:r w:rsidRPr="00762475">
        <w:t xml:space="preserve"> в них приняли участие 312 чел. из прибалтийских государств и 273</w:t>
      </w:r>
      <w:r w:rsidRPr="00762475">
        <w:rPr>
          <w:lang w:val="en-US"/>
        </w:rPr>
        <w:t> </w:t>
      </w:r>
      <w:r w:rsidRPr="00762475">
        <w:t>чел. из Киргизской Республики. Одновременно за указанный год агентством было поставлено 169</w:t>
      </w:r>
      <w:r w:rsidRPr="00067D40">
        <w:t xml:space="preserve"> </w:t>
      </w:r>
      <w:r w:rsidRPr="00762475">
        <w:t xml:space="preserve">138 экземпляров учебников и учебных пособий, научно-популярных книг и журналов по русскому языку, литературе и культуре России, в том числе в страны СНГ, Абхазию и Южную Осетию </w:t>
      </w:r>
      <w:r w:rsidRPr="007E5653">
        <w:t>—</w:t>
      </w:r>
      <w:r w:rsidRPr="00762475">
        <w:t xml:space="preserve"> 94</w:t>
      </w:r>
      <w:r w:rsidRPr="007E5653">
        <w:t xml:space="preserve"> </w:t>
      </w:r>
      <w:r w:rsidRPr="00762475">
        <w:t xml:space="preserve">693 экземпляра, в страны дальнего зарубежья </w:t>
      </w:r>
      <w:r w:rsidRPr="007E5653">
        <w:t>—</w:t>
      </w:r>
      <w:r w:rsidRPr="00762475">
        <w:t xml:space="preserve"> 74</w:t>
      </w:r>
      <w:r w:rsidRPr="007E5653">
        <w:t xml:space="preserve"> </w:t>
      </w:r>
      <w:r w:rsidRPr="00762475">
        <w:t>445 экземпляров.</w:t>
      </w:r>
    </w:p>
    <w:p w14:paraId="04A072E1" w14:textId="77777777" w:rsidR="00634B85" w:rsidRPr="00762475" w:rsidRDefault="00634B85" w:rsidP="00634B85">
      <w:pPr>
        <w:pStyle w:val="HChG"/>
      </w:pPr>
      <w:r>
        <w:tab/>
      </w:r>
      <w:r>
        <w:tab/>
      </w:r>
      <w:r w:rsidRPr="00762475">
        <w:t>Статья 3</w:t>
      </w:r>
    </w:p>
    <w:p w14:paraId="1A63D020" w14:textId="77777777" w:rsidR="00634B85" w:rsidRPr="00762475" w:rsidRDefault="00634B85" w:rsidP="00634B85">
      <w:pPr>
        <w:pStyle w:val="SingleTxtG"/>
      </w:pPr>
      <w:r w:rsidRPr="00762475">
        <w:t>30.</w:t>
      </w:r>
      <w:r>
        <w:tab/>
      </w:r>
      <w:r w:rsidRPr="00762475">
        <w:t>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 (часть 2 статьи 6).</w:t>
      </w:r>
    </w:p>
    <w:p w14:paraId="02341072" w14:textId="77777777" w:rsidR="00634B85" w:rsidRPr="00762475" w:rsidRDefault="00634B85" w:rsidP="00634B85">
      <w:pPr>
        <w:pStyle w:val="SingleTxtG"/>
      </w:pPr>
      <w:r w:rsidRPr="00762475">
        <w:t>31.</w:t>
      </w:r>
      <w:r>
        <w:tab/>
      </w:r>
      <w:r w:rsidRPr="00762475">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(части 2 и 3 статьи 19 Конституции Российской Федерации).</w:t>
      </w:r>
    </w:p>
    <w:p w14:paraId="22678BD1" w14:textId="77777777" w:rsidR="00634B85" w:rsidRPr="00762475" w:rsidRDefault="00634B85" w:rsidP="00634B85">
      <w:pPr>
        <w:pStyle w:val="SingleTxtG"/>
      </w:pPr>
      <w:r w:rsidRPr="00762475">
        <w:t>32.</w:t>
      </w:r>
      <w:r>
        <w:tab/>
      </w:r>
      <w:r w:rsidRPr="00762475">
        <w:t>Трудовое законодательство Российской Федерации закрепляет равенство мужчины и женщины в трудовых отношениях: при приеме на работу, установлении размера оплаты труда, режима рабочего времени и времени отдыха и</w:t>
      </w:r>
      <w:r>
        <w:rPr>
          <w:lang w:val="en-US"/>
        </w:rPr>
        <w:t> </w:t>
      </w:r>
      <w:r w:rsidRPr="00762475">
        <w:t>т.</w:t>
      </w:r>
      <w:r>
        <w:rPr>
          <w:lang w:val="en-US"/>
        </w:rPr>
        <w:t> </w:t>
      </w:r>
      <w:r w:rsidRPr="00762475">
        <w:t xml:space="preserve">д. Статьи 2 и 3 Трудового кодекса Российской Федерации (далее </w:t>
      </w:r>
      <w:r w:rsidRPr="00067D40">
        <w:t>—</w:t>
      </w:r>
      <w:r w:rsidRPr="00762475">
        <w:t xml:space="preserve"> ТК РФ) закрепляют равенство прав и возможностей работников, в том числе предоставляет возможность работать на руководящих должностях и женщинам, и мужчинам.</w:t>
      </w:r>
    </w:p>
    <w:p w14:paraId="796B9B11" w14:textId="77777777" w:rsidR="00634B85" w:rsidRPr="00762475" w:rsidRDefault="00634B85" w:rsidP="00634B85">
      <w:pPr>
        <w:pStyle w:val="SingleTxtG"/>
      </w:pPr>
      <w:r w:rsidRPr="00762475">
        <w:t>33.</w:t>
      </w:r>
      <w:r>
        <w:tab/>
      </w:r>
      <w:r w:rsidRPr="00762475">
        <w:t>Вместе с тем, учитывая особенности женского организма, трудовое законодательство предусматривает ряд дополнительных гарантий для работающих женщин (глава 41 ТК РФ).</w:t>
      </w:r>
    </w:p>
    <w:p w14:paraId="3028D4F9" w14:textId="77777777" w:rsidR="00634B85" w:rsidRPr="00762475" w:rsidRDefault="00634B85" w:rsidP="00634B85">
      <w:pPr>
        <w:pStyle w:val="SingleTxtG"/>
      </w:pPr>
      <w:r w:rsidRPr="00762475">
        <w:t>34.</w:t>
      </w:r>
      <w:r>
        <w:tab/>
      </w:r>
      <w:r w:rsidRPr="00762475">
        <w:t>В тоже время статьей 264 ТК РФ определено, что 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14:paraId="297F2502" w14:textId="77777777" w:rsidR="00634B85" w:rsidRPr="00762475" w:rsidRDefault="00634B85" w:rsidP="00634B85">
      <w:pPr>
        <w:pStyle w:val="SingleTxtG"/>
      </w:pPr>
      <w:r w:rsidRPr="00762475">
        <w:t>35.</w:t>
      </w:r>
      <w:r>
        <w:tab/>
      </w:r>
      <w:r w:rsidRPr="00762475">
        <w:t xml:space="preserve">В статье 136 «Нарушение равенства прав и свобод человека и гражданина» Уголовного кодекса Российской Федерации (далее </w:t>
      </w:r>
      <w:r w:rsidRPr="00067D40">
        <w:t>—</w:t>
      </w:r>
      <w:r w:rsidRPr="00762475">
        <w:t xml:space="preserve"> УК РФ) закреплена уголовная ответственность за дискриминацию, то есть нарушение прав, свобод и законных интересов человека и гражданина, в том числе в зависимости от его пола.</w:t>
      </w:r>
    </w:p>
    <w:p w14:paraId="0DBB7B52" w14:textId="77777777" w:rsidR="00634B85" w:rsidRDefault="00634B85" w:rsidP="00634B85">
      <w:pPr>
        <w:pStyle w:val="SingleTxtG"/>
      </w:pPr>
      <w:r w:rsidRPr="00762475">
        <w:t>36.</w:t>
      </w:r>
      <w:r>
        <w:tab/>
      </w:r>
      <w:r w:rsidRPr="00762475">
        <w:t>Таким образом, с учетом указанного выше конституционного принципа равенства всех перед законом, обеспечение которого гарантировано, в том числе и уголовным законом, отсутствует необходимость разработки специального закона об обеспечении гендерного равенства или недискриминации по признаку пола.</w:t>
      </w:r>
    </w:p>
    <w:p w14:paraId="6C76B81A" w14:textId="77777777" w:rsidR="00634B85" w:rsidRPr="00762475" w:rsidRDefault="00634B85" w:rsidP="00634B85">
      <w:pPr>
        <w:pStyle w:val="HChG"/>
      </w:pPr>
      <w:r>
        <w:tab/>
      </w:r>
      <w:r>
        <w:tab/>
      </w:r>
      <w:r w:rsidRPr="00762475">
        <w:t>Статьи 4</w:t>
      </w:r>
      <w:r w:rsidRPr="00067D40">
        <w:t>–</w:t>
      </w:r>
      <w:r w:rsidRPr="00762475">
        <w:t>5</w:t>
      </w:r>
    </w:p>
    <w:p w14:paraId="2181A9F2" w14:textId="77777777" w:rsidR="00634B85" w:rsidRPr="00762475" w:rsidRDefault="00634B85" w:rsidP="00634B85">
      <w:pPr>
        <w:pStyle w:val="SingleTxtG"/>
      </w:pPr>
      <w:r w:rsidRPr="00762475">
        <w:t>37.</w:t>
      </w:r>
      <w:r>
        <w:tab/>
      </w:r>
      <w:r w:rsidRPr="00762475">
        <w:t>В Российской Федерации ведется активная разработка конкретных методов социально-психологической реабилитации жертв насилия. Это научные и практические мероприятия с привлечением психологов и ведущих сотрудников профильных медицинских организации. Предложенные мероприятия реализуются как на региональном, так и на федеральном уровне с использованием возможностей и технологии мобильного здравоохранения и телемедицины.</w:t>
      </w:r>
    </w:p>
    <w:p w14:paraId="06615CFE" w14:textId="77777777" w:rsidR="00634B85" w:rsidRPr="00762475" w:rsidRDefault="00634B85" w:rsidP="00634B85">
      <w:pPr>
        <w:pStyle w:val="SingleTxtG"/>
      </w:pPr>
      <w:r w:rsidRPr="00762475">
        <w:lastRenderedPageBreak/>
        <w:t>38.</w:t>
      </w:r>
      <w:r>
        <w:tab/>
      </w:r>
      <w:r w:rsidRPr="00762475">
        <w:t>Работа проводится по следующим направлениям:</w:t>
      </w:r>
    </w:p>
    <w:p w14:paraId="603938F7"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Расширение доступа молодежи и женщин к эффективным механизмам по предотвращению насилия, поддержке и защите жертв насилия. В дополнение к </w:t>
      </w:r>
      <w:proofErr w:type="gramStart"/>
      <w:r w:rsidRPr="00762475">
        <w:t>уже существующей</w:t>
      </w:r>
      <w:proofErr w:type="gramEnd"/>
      <w:r w:rsidRPr="00762475">
        <w:t xml:space="preserve"> «Горячей линии», в период пандемии была создана дополнительная линия, куда обращались пострадавшие от насилия молодые женщины и получали квалифицированную психологическую помощь.</w:t>
      </w:r>
    </w:p>
    <w:p w14:paraId="0E4B3A85" w14:textId="77777777" w:rsidR="00634B85" w:rsidRPr="00175BBC" w:rsidRDefault="00634B85" w:rsidP="00634B85">
      <w:pPr>
        <w:pStyle w:val="Bullet1G"/>
        <w:numPr>
          <w:ilvl w:val="0"/>
          <w:numId w:val="1"/>
        </w:numPr>
        <w:kinsoku w:val="0"/>
        <w:overflowPunct w:val="0"/>
        <w:autoSpaceDE w:val="0"/>
        <w:autoSpaceDN w:val="0"/>
        <w:adjustRightInd w:val="0"/>
        <w:snapToGrid w:val="0"/>
      </w:pPr>
      <w:r w:rsidRPr="00175BBC">
        <w:t>Проведение мониторинга и обзор текущей ситуации в отношении жестокого обращения с женщинами, детьми и лицами пожилого возраста. В</w:t>
      </w:r>
      <w:r w:rsidRPr="00175BBC">
        <w:rPr>
          <w:lang w:val="en-US"/>
        </w:rPr>
        <w:t> </w:t>
      </w:r>
      <w:r w:rsidRPr="00175BBC">
        <w:t>течение всего 2020 г</w:t>
      </w:r>
      <w:r>
        <w:t>ода</w:t>
      </w:r>
      <w:r w:rsidRPr="00175BBC">
        <w:t xml:space="preserve"> осуществлялся мониторинг региональных психиатрических служб Российской Федерации по вопросам оказания медико-психологической помощи жертвам домашнего насилия в связи с ограничительными мероприятиями, связанными с распространением COVID-19.</w:t>
      </w:r>
    </w:p>
    <w:p w14:paraId="7710AB2C"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Международное сотрудничество и обмен опытом с европейскими странами и другими странами мира по такому направлению как роль сектора здравоохранения в процессе реагирования на ситуацию в области жестокого обращения с женщинами, детьми и лицами пожилого возраста.</w:t>
      </w:r>
    </w:p>
    <w:p w14:paraId="5583B34A" w14:textId="77777777" w:rsidR="00634B85" w:rsidRPr="00762475" w:rsidRDefault="00634B85" w:rsidP="00634B85">
      <w:pPr>
        <w:pStyle w:val="Bullet1G"/>
        <w:numPr>
          <w:ilvl w:val="0"/>
          <w:numId w:val="1"/>
        </w:numPr>
        <w:kinsoku w:val="0"/>
        <w:overflowPunct w:val="0"/>
        <w:autoSpaceDE w:val="0"/>
        <w:autoSpaceDN w:val="0"/>
        <w:adjustRightInd w:val="0"/>
        <w:snapToGrid w:val="0"/>
        <w:rPr>
          <w:b/>
        </w:rPr>
      </w:pPr>
      <w:r w:rsidRPr="00762475">
        <w:t>Разработка механизмов межведомственного сотрудничества по данной проблематике и проведение межрегиональных рабочих совещаний и конференций. Речь идет о роли профессиональных ассоциаций и, в частности, Секции «Психическое здоровье женщины» Российского общества психиатров (РОП). Секция была создана в 2015 г</w:t>
      </w:r>
      <w:r>
        <w:t>оду</w:t>
      </w:r>
      <w:r w:rsidRPr="00762475">
        <w:t xml:space="preserve">, и в настоящее время одной из ее первоочередных задач является налаживание партнерских отношений с некоммерческими организациями (среди которых </w:t>
      </w:r>
      <w:r w:rsidRPr="00067D40">
        <w:t>—</w:t>
      </w:r>
      <w:r w:rsidRPr="00762475">
        <w:t xml:space="preserve"> Консорциум женских неправительственных объединений и др.) по проблеме психического здоровья женщин, профилактики семейно-бытового насилия и мер психологического восстановления жертв домашнего насилия. </w:t>
      </w:r>
    </w:p>
    <w:p w14:paraId="388204E9"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Разработка и внедрение учебных программ по подготовке специалистов в данной области. Отработка существующих и внедрение новых форм помощи пострадавшим от домашнего насилия идет параллельно с обучением и профессиональным сопровождением специалистов. Так, разработана и запущена Программа «Женщины </w:t>
      </w:r>
      <w:r w:rsidRPr="00067D40">
        <w:t>—</w:t>
      </w:r>
      <w:r w:rsidRPr="00762475">
        <w:t xml:space="preserve"> жертвы домашнего насилия: выявление, клиника, помощь», предназначенная для обучения специалистов-психиатров, психотерапевтов, психологов, социальных работников и медицинских сестер учреждений общемедицинского и психиатрического профиля. Особенность ее в том, что она дополняет </w:t>
      </w:r>
      <w:proofErr w:type="gramStart"/>
      <w:r w:rsidRPr="00762475">
        <w:t>уже существующую</w:t>
      </w:r>
      <w:proofErr w:type="gramEnd"/>
      <w:r w:rsidRPr="00762475">
        <w:t>, принятую еще в 2014 г</w:t>
      </w:r>
      <w:r>
        <w:t>оду</w:t>
      </w:r>
      <w:r w:rsidRPr="00762475">
        <w:t xml:space="preserve">, программу «Медико-психологическая помощь пострадавшим и жертвам преступлений в реабилитационных (кризисных) центрах». В настоящей Программе описаны различные подходы к оценке, выявлению и оказанию помощи женщинам, пострадавшим от домашнего насилия с учетом индивидуальных, социальных и возрастных факторов. Специалист обучается умению распознавать жертв насилия и оказывать им помощь. Начальным этапом является обучение тому, как проводить стандартный опрос пациентки на предмет насилия и виктимизации. Подобный опрос должен включаться в рутинную клиническую оценку состояния пациентки и базироваться на осмыслении и признании роли насилия в патогенезе многих психических заболеваний. Практические умения и навыки, обеспечивающие совершенствование профессиональных компетенций медицинских кадров, в данном случае включают оказание первой психологической помощи женщинам, пережившим опыт насилия; умение опираться на фокусированные и не фокусированные на травме модели помощи; умение применять </w:t>
      </w:r>
      <w:r>
        <w:br/>
      </w:r>
      <w:r w:rsidRPr="00762475">
        <w:t>LIVES-принципы психологической помощи для жертв насилия и др., расшифровываемого как акроним глаголов</w:t>
      </w:r>
      <w:r w:rsidRPr="00273026">
        <w:t xml:space="preserve"> </w:t>
      </w:r>
      <w:r w:rsidRPr="00762475">
        <w:t>Слушать (</w:t>
      </w:r>
      <w:proofErr w:type="spellStart"/>
      <w:r w:rsidRPr="00762475">
        <w:t>Listen</w:t>
      </w:r>
      <w:proofErr w:type="spellEnd"/>
      <w:r w:rsidRPr="00762475">
        <w:t xml:space="preserve">) заинтересованно и </w:t>
      </w:r>
      <w:proofErr w:type="spellStart"/>
      <w:r w:rsidRPr="00762475">
        <w:t>безоценочно</w:t>
      </w:r>
      <w:proofErr w:type="spellEnd"/>
      <w:r w:rsidRPr="00762475">
        <w:t>; Спрашивать (</w:t>
      </w:r>
      <w:proofErr w:type="spellStart"/>
      <w:r w:rsidRPr="00762475">
        <w:t>Inquire</w:t>
      </w:r>
      <w:proofErr w:type="spellEnd"/>
      <w:r w:rsidRPr="00762475">
        <w:t>) о потребностях и проблемах (эмоциональных, физических, социальных и бытовых); Подтверждать (</w:t>
      </w:r>
      <w:proofErr w:type="spellStart"/>
      <w:r w:rsidRPr="00762475">
        <w:t>Validate</w:t>
      </w:r>
      <w:proofErr w:type="spellEnd"/>
      <w:r w:rsidRPr="00762475">
        <w:t>), показывать, что верите жертве и понимаете ее состояние и проблемы, с которыми она столкнулась; Повышать уровень безопасности (</w:t>
      </w:r>
      <w:proofErr w:type="spellStart"/>
      <w:r w:rsidRPr="00762475">
        <w:t>Enhance</w:t>
      </w:r>
      <w:proofErr w:type="spellEnd"/>
      <w:r w:rsidRPr="00762475">
        <w:t xml:space="preserve"> </w:t>
      </w:r>
      <w:proofErr w:type="spellStart"/>
      <w:r w:rsidRPr="00762475">
        <w:t>safety</w:t>
      </w:r>
      <w:proofErr w:type="spellEnd"/>
      <w:r w:rsidRPr="00762475">
        <w:t>)</w:t>
      </w:r>
      <w:r>
        <w:t>,</w:t>
      </w:r>
      <w:r w:rsidRPr="00762475">
        <w:t xml:space="preserve"> Обсуждать способы и возможности предотвращения дальнейшего насилия; </w:t>
      </w:r>
      <w:r w:rsidRPr="00762475">
        <w:lastRenderedPageBreak/>
        <w:t xml:space="preserve">Поддерживать (англ. Support) помочь женщине </w:t>
      </w:r>
      <w:r w:rsidRPr="00067D40">
        <w:t>—</w:t>
      </w:r>
      <w:r w:rsidRPr="00762475">
        <w:t xml:space="preserve"> жертве бытового насилия связаться с соответствующими службами социальной поддержки.</w:t>
      </w:r>
    </w:p>
    <w:p w14:paraId="6F032F1D"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Передовой опыт, связанный с эффективным участием молодежи и женщин в процессах, направленных на их защиту от насилия. В настоящее время запущена и проводится просветительская работа со СМИ по проблеме насилия в отношении женщин и девочек. В перспективе </w:t>
      </w:r>
      <w:r w:rsidRPr="00067D40">
        <w:t>—</w:t>
      </w:r>
      <w:r w:rsidRPr="00762475">
        <w:t xml:space="preserve"> создание видео онлайн-курсов по психологическому просвещению в вопросах профилактики домашнего насилия для разной целевой аудитории с выходом на формирование общественного мнения на предмет насилия в отношении женщин как глобальной проблемы здравоохранения и соблюдения прав человека.</w:t>
      </w:r>
    </w:p>
    <w:p w14:paraId="68336EE2" w14:textId="77777777" w:rsidR="00634B85" w:rsidRDefault="00634B85" w:rsidP="00634B85">
      <w:pPr>
        <w:pStyle w:val="Bullet1G"/>
        <w:numPr>
          <w:ilvl w:val="0"/>
          <w:numId w:val="1"/>
        </w:numPr>
        <w:kinsoku w:val="0"/>
        <w:overflowPunct w:val="0"/>
        <w:autoSpaceDE w:val="0"/>
        <w:autoSpaceDN w:val="0"/>
        <w:adjustRightInd w:val="0"/>
        <w:snapToGrid w:val="0"/>
      </w:pPr>
      <w:r w:rsidRPr="00762475">
        <w:tab/>
        <w:t>Выявление случаев насилия и признаков, указывающих на текущий опыт насилия. В ходе первичного приема такие случаи фиксируются, оказывается необходимая помощь с опорой на возможности междисциплинарного сотрудничества (</w:t>
      </w:r>
      <w:proofErr w:type="spellStart"/>
      <w:r w:rsidRPr="00762475">
        <w:t>полипрофессиональный</w:t>
      </w:r>
      <w:proofErr w:type="spellEnd"/>
      <w:r w:rsidRPr="00762475">
        <w:t xml:space="preserve"> подход с участием психиатров, психологов и медицинских сестер).</w:t>
      </w:r>
    </w:p>
    <w:p w14:paraId="1831BDFA" w14:textId="77777777" w:rsidR="00634B85" w:rsidRPr="00762475" w:rsidRDefault="00634B85" w:rsidP="00634B85">
      <w:pPr>
        <w:pStyle w:val="HChG"/>
      </w:pPr>
      <w:r>
        <w:tab/>
      </w:r>
      <w:r>
        <w:tab/>
      </w:r>
      <w:r w:rsidRPr="00762475">
        <w:t>Статья 6</w:t>
      </w:r>
    </w:p>
    <w:p w14:paraId="4751EC8C" w14:textId="77777777" w:rsidR="00634B85" w:rsidRPr="00762475" w:rsidRDefault="00634B85" w:rsidP="00634B85">
      <w:pPr>
        <w:pStyle w:val="H1G"/>
      </w:pPr>
      <w:r>
        <w:tab/>
      </w:r>
      <w:r>
        <w:tab/>
      </w:r>
      <w:r w:rsidRPr="002800DE">
        <w:t>Последующая информация в связи с пунктами</w:t>
      </w:r>
      <w:r w:rsidRPr="00762475">
        <w:t xml:space="preserve"> 26</w:t>
      </w:r>
      <w:r w:rsidRPr="0082538A">
        <w:t>–</w:t>
      </w:r>
      <w:r w:rsidRPr="00762475">
        <w:t>27 заключительных замечаний КЭСКП</w:t>
      </w:r>
    </w:p>
    <w:p w14:paraId="2CEC90B3" w14:textId="77777777" w:rsidR="00634B85" w:rsidRPr="00762475" w:rsidRDefault="00634B85" w:rsidP="00634B85">
      <w:pPr>
        <w:pStyle w:val="SingleTxtG"/>
      </w:pPr>
      <w:r w:rsidRPr="00762475">
        <w:t>39.</w:t>
      </w:r>
      <w:r>
        <w:tab/>
      </w:r>
      <w:r w:rsidRPr="00762475">
        <w:t>В статье 2 ТК РФ в качестве одного из основных принципов правового регулирования трудовых и иных непосредственно связанных с ними отношений закреплена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14:paraId="0A77F4B4" w14:textId="77777777" w:rsidR="00634B85" w:rsidRPr="00762475" w:rsidRDefault="00634B85" w:rsidP="00634B85">
      <w:pPr>
        <w:pStyle w:val="SingleTxtG"/>
      </w:pPr>
      <w:r w:rsidRPr="00762475">
        <w:t>40.</w:t>
      </w:r>
      <w:r>
        <w:tab/>
      </w:r>
      <w:r w:rsidRPr="00762475">
        <w:t>Статья 132 ТК РФ запрещает какую-либо дискриминацию при установлении и изменении размеров заработной платы и других условий оплаты труда.</w:t>
      </w:r>
    </w:p>
    <w:p w14:paraId="36F3506B" w14:textId="77777777" w:rsidR="00634B85" w:rsidRPr="00762475" w:rsidRDefault="00634B85" w:rsidP="00634B85">
      <w:pPr>
        <w:pStyle w:val="SingleTxtG"/>
      </w:pPr>
      <w:r w:rsidRPr="00762475">
        <w:t>41.</w:t>
      </w:r>
      <w:r>
        <w:tab/>
      </w:r>
      <w:r w:rsidRPr="00762475">
        <w:t xml:space="preserve">На основании статьи 64 ТК РФ 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
    <w:p w14:paraId="2F60E719" w14:textId="77777777" w:rsidR="00634B85" w:rsidRPr="00762475" w:rsidRDefault="00634B85" w:rsidP="00634B85">
      <w:pPr>
        <w:pStyle w:val="SingleTxtG"/>
      </w:pPr>
      <w:r w:rsidRPr="00762475">
        <w:t>42.</w:t>
      </w:r>
      <w:r>
        <w:tab/>
      </w:r>
      <w:r w:rsidRPr="00762475">
        <w:t>Федеральным законом от 3 октября 2018 г</w:t>
      </w:r>
      <w:r>
        <w:t>ода</w:t>
      </w:r>
      <w:r w:rsidRPr="00762475">
        <w:t xml:space="preserve"> № 352-ФЗ «О внесении изменения в Уголовный кодекс Российской Федерации» УК РФ введена статья 144.1 «Необоснованный отказ в приеме на работу или необоснованное увольнение лица, достигшего предпенсионного возраста».</w:t>
      </w:r>
    </w:p>
    <w:p w14:paraId="338E75D6" w14:textId="77777777" w:rsidR="00634B85" w:rsidRPr="00762475" w:rsidRDefault="00634B85" w:rsidP="00634B85">
      <w:pPr>
        <w:pStyle w:val="SingleTxtG"/>
      </w:pPr>
      <w:r w:rsidRPr="00762475">
        <w:t>43.</w:t>
      </w:r>
      <w:r>
        <w:tab/>
      </w:r>
      <w:r w:rsidRPr="00762475">
        <w:t>В соответствии с Законом Российской Федерации от 19 апреля 1991 г</w:t>
      </w:r>
      <w:r>
        <w:t>ода</w:t>
      </w:r>
      <w:r w:rsidRPr="00762475">
        <w:t xml:space="preserve"> </w:t>
      </w:r>
      <w:r>
        <w:br/>
      </w:r>
      <w:r w:rsidRPr="00762475">
        <w:t xml:space="preserve">№ </w:t>
      </w:r>
      <w:proofErr w:type="gramStart"/>
      <w:r w:rsidRPr="00762475">
        <w:t>1032-1</w:t>
      </w:r>
      <w:proofErr w:type="gramEnd"/>
      <w:r w:rsidRPr="00762475">
        <w:t xml:space="preserve"> «О занятости населения в Российской Федерации» (далее </w:t>
      </w:r>
      <w:r w:rsidRPr="0082538A">
        <w:t>—</w:t>
      </w:r>
      <w:r w:rsidRPr="00762475">
        <w:t xml:space="preserve"> Закон о занятости населения) государственная политика в области содействия занятости населения направлена на осуществление мероприятий, способствующих занятости граждан, испытывающих трудности в поиске работы.</w:t>
      </w:r>
    </w:p>
    <w:p w14:paraId="7B4B5EB7" w14:textId="77777777" w:rsidR="00634B85" w:rsidRPr="00762475" w:rsidRDefault="00634B85" w:rsidP="00634B85">
      <w:pPr>
        <w:pStyle w:val="SingleTxtG"/>
      </w:pPr>
      <w:r w:rsidRPr="00762475">
        <w:t>44.</w:t>
      </w:r>
      <w:r>
        <w:tab/>
      </w:r>
      <w:r w:rsidRPr="00762475">
        <w:t xml:space="preserve">Предоставление государственных услуг в области содействия занятости населения, в том числе по содействию гражданам в поиске подходящей работы, содействию работодателям в подборе необходимых работников согласно статье </w:t>
      </w:r>
      <w:proofErr w:type="gramStart"/>
      <w:r w:rsidRPr="00762475">
        <w:t>7.1-1</w:t>
      </w:r>
      <w:proofErr w:type="gramEnd"/>
      <w:r w:rsidRPr="00762475">
        <w:t xml:space="preserve"> Закона о занятости населения является полномочием органов государственной власти субъектов Российской Федерации.</w:t>
      </w:r>
    </w:p>
    <w:p w14:paraId="157D99BB" w14:textId="77777777" w:rsidR="00634B85" w:rsidRPr="00762475" w:rsidRDefault="00634B85" w:rsidP="00634B85">
      <w:pPr>
        <w:pStyle w:val="SingleTxtG"/>
      </w:pPr>
      <w:r w:rsidRPr="00762475">
        <w:t>45.</w:t>
      </w:r>
      <w:r>
        <w:tab/>
      </w:r>
      <w:r w:rsidRPr="00762475">
        <w:t xml:space="preserve">В субъектах Российской Федерации содействие в поиске подходящей работы оказывают государственные учреждения службы занятости (центры занятости населения), которые бесплатно предоставляют гражданам государственные услуги в </w:t>
      </w:r>
      <w:r w:rsidRPr="00762475">
        <w:lastRenderedPageBreak/>
        <w:t xml:space="preserve">области содействия занятости населения и в любое из которых гражданин может обратиться в целях поиска подходящей работы. </w:t>
      </w:r>
    </w:p>
    <w:p w14:paraId="0E7F492B" w14:textId="77777777" w:rsidR="00634B85" w:rsidRPr="00762475" w:rsidRDefault="00634B85" w:rsidP="00634B85">
      <w:pPr>
        <w:pStyle w:val="SingleTxtG"/>
      </w:pPr>
      <w:r w:rsidRPr="00762475">
        <w:t>46.</w:t>
      </w:r>
      <w:r>
        <w:tab/>
      </w:r>
      <w:r w:rsidRPr="00762475">
        <w:t>Центры занятости населения оказывают содействие в поиске подходящей работы путем подбора гражданам, обратившимся в целях поиска подходящей работы, вариантов трудоустройства исходя из сведений, содержащихся в представленных гражданами документах, и наличия в информационном банке данных сведений о свободных рабочих местах (вакантных должностях), заявленных работодателями в органы службы занятости населения в установленном порядке.</w:t>
      </w:r>
    </w:p>
    <w:p w14:paraId="4426ACDF" w14:textId="77777777" w:rsidR="00634B85" w:rsidRPr="00762475" w:rsidRDefault="00634B85" w:rsidP="00634B85">
      <w:pPr>
        <w:pStyle w:val="SingleTxtG"/>
      </w:pPr>
      <w:r w:rsidRPr="00762475">
        <w:t>47.</w:t>
      </w:r>
      <w:r>
        <w:tab/>
      </w:r>
      <w:r w:rsidRPr="00762475">
        <w:t>Также сведения о потребности в работниках, наличии свободных рабочих мест (вакантных должностей), направленные работодателями в органы службы занятости населения, находятся в открытом доступе и размещены на единой цифровой платформе в сфере занятости и трудовых отношений «Работа в России».</w:t>
      </w:r>
    </w:p>
    <w:p w14:paraId="1AC2ADF9" w14:textId="77777777" w:rsidR="00634B85" w:rsidRPr="00762475" w:rsidRDefault="00634B85" w:rsidP="00634B85">
      <w:pPr>
        <w:pStyle w:val="SingleTxtG"/>
        <w:rPr>
          <w:b/>
          <w:i/>
        </w:rPr>
      </w:pPr>
      <w:r w:rsidRPr="00762475">
        <w:t>48.</w:t>
      </w:r>
      <w:r>
        <w:tab/>
      </w:r>
      <w:r w:rsidRPr="00762475">
        <w:t>Численность рабочей силы в возрасте 15 лет и старше в 2021 г</w:t>
      </w:r>
      <w:r>
        <w:t>оду</w:t>
      </w:r>
      <w:r w:rsidRPr="00762475">
        <w:t>, по предварительным данным, составила 75</w:t>
      </w:r>
      <w:r>
        <w:rPr>
          <w:lang w:val="en-US"/>
        </w:rPr>
        <w:t> </w:t>
      </w:r>
      <w:r w:rsidRPr="00762475">
        <w:t>320 тыс. человек, в том числе 71 720 тыс. человек (95,2</w:t>
      </w:r>
      <w:r>
        <w:rPr>
          <w:lang w:val="en-US"/>
        </w:rPr>
        <w:t> </w:t>
      </w:r>
      <w:r w:rsidRPr="00762475">
        <w:t>% рабочей силы) были заняты экономической деятельностью и 3630 тыс. человек (4,8</w:t>
      </w:r>
      <w:r>
        <w:rPr>
          <w:lang w:val="en-US"/>
        </w:rPr>
        <w:t> </w:t>
      </w:r>
      <w:r w:rsidRPr="00762475">
        <w:t xml:space="preserve">%) не имели доходного занятия, но активно его искали </w:t>
      </w:r>
      <w:r>
        <w:br/>
      </w:r>
      <w:r w:rsidRPr="00762475">
        <w:t>(т</w:t>
      </w:r>
      <w:r>
        <w:t xml:space="preserve">о </w:t>
      </w:r>
      <w:r w:rsidRPr="00762475">
        <w:t>е</w:t>
      </w:r>
      <w:r>
        <w:t>сть</w:t>
      </w:r>
      <w:r w:rsidRPr="00762475">
        <w:t xml:space="preserve"> квалифицируются как безработные). Данные собираются по методике Международной организации труда.</w:t>
      </w:r>
    </w:p>
    <w:p w14:paraId="3998DD75" w14:textId="77777777" w:rsidR="00634B85" w:rsidRPr="00762475" w:rsidRDefault="00634B85" w:rsidP="00634B85">
      <w:pPr>
        <w:pStyle w:val="SingleTxtG"/>
      </w:pPr>
      <w:r w:rsidRPr="00762475">
        <w:t>49.</w:t>
      </w:r>
      <w:r>
        <w:tab/>
      </w:r>
      <w:r w:rsidRPr="00762475">
        <w:t>По сравнению с 2020 г</w:t>
      </w:r>
      <w:r>
        <w:t xml:space="preserve">одом </w:t>
      </w:r>
      <w:r w:rsidRPr="00762475">
        <w:t>численность занятого населения в возрасте 15 лет и старше увеличилась на 1118 тыс. человек или на 1,6</w:t>
      </w:r>
      <w:r>
        <w:rPr>
          <w:lang w:val="en-US"/>
        </w:rPr>
        <w:t> </w:t>
      </w:r>
      <w:r w:rsidRPr="00762475">
        <w:t>% (в 2020 г</w:t>
      </w:r>
      <w:r>
        <w:t>оду</w:t>
      </w:r>
      <w:r w:rsidRPr="00762475">
        <w:t xml:space="preserve"> численность занятого населения составляла 70 601 тыс. человек), численность безработных в возрасте 15 лет и старше снизилась на 691 тыс. человек или на 16,0</w:t>
      </w:r>
      <w:r>
        <w:rPr>
          <w:lang w:val="en-US"/>
        </w:rPr>
        <w:t> </w:t>
      </w:r>
      <w:r w:rsidRPr="00762475">
        <w:t>% (в 2020 г</w:t>
      </w:r>
      <w:r>
        <w:t>оду</w:t>
      </w:r>
      <w:r w:rsidRPr="00762475">
        <w:t xml:space="preserve"> численность безработных составляла 4321 тыс. человек).</w:t>
      </w:r>
    </w:p>
    <w:p w14:paraId="3874AD97" w14:textId="77777777" w:rsidR="00634B85" w:rsidRPr="00762475" w:rsidRDefault="00634B85" w:rsidP="00634B85">
      <w:pPr>
        <w:pStyle w:val="SingleTxtG"/>
        <w:rPr>
          <w:i/>
        </w:rPr>
      </w:pPr>
      <w:r w:rsidRPr="00762475">
        <w:t>50.</w:t>
      </w:r>
      <w:r>
        <w:tab/>
      </w:r>
      <w:r w:rsidRPr="00762475">
        <w:t>Уровень безработицы населения в возрасте 15 лет и старше составил в 2021 г</w:t>
      </w:r>
      <w:r>
        <w:t>оду</w:t>
      </w:r>
      <w:r w:rsidRPr="00762475">
        <w:t xml:space="preserve"> 4,8</w:t>
      </w:r>
      <w:r>
        <w:rPr>
          <w:lang w:val="en-US"/>
        </w:rPr>
        <w:t> </w:t>
      </w:r>
      <w:r w:rsidRPr="00762475">
        <w:t>% от численности рабочей силы и снизился на 1,0</w:t>
      </w:r>
      <w:r>
        <w:rPr>
          <w:lang w:val="en-US"/>
        </w:rPr>
        <w:t> </w:t>
      </w:r>
      <w:r w:rsidRPr="00762475">
        <w:t>% по сравнению с 2020 г</w:t>
      </w:r>
      <w:r>
        <w:t>одом</w:t>
      </w:r>
      <w:r w:rsidRPr="00762475">
        <w:t>.</w:t>
      </w:r>
    </w:p>
    <w:p w14:paraId="6F345CC2" w14:textId="77777777" w:rsidR="00634B85" w:rsidRPr="00762475" w:rsidRDefault="00634B85" w:rsidP="00634B85">
      <w:pPr>
        <w:pStyle w:val="SingleTxtG"/>
      </w:pPr>
      <w:r w:rsidRPr="00762475">
        <w:t>51.</w:t>
      </w:r>
      <w:r>
        <w:tab/>
      </w:r>
      <w:r w:rsidRPr="00762475">
        <w:t>Численность безработных граждан, состоящих на регистрационном учете в органах службы занятости, в среднем за 2021 г</w:t>
      </w:r>
      <w:r>
        <w:t>од</w:t>
      </w:r>
      <w:r w:rsidRPr="00762475">
        <w:t xml:space="preserve"> составила 1326,4 тыс. человек. </w:t>
      </w:r>
      <w:r>
        <w:br/>
      </w:r>
      <w:r w:rsidRPr="00762475">
        <w:t>По сравнению со средним значением 2020 г</w:t>
      </w:r>
      <w:r>
        <w:t>ода</w:t>
      </w:r>
      <w:r w:rsidRPr="00762475">
        <w:t xml:space="preserve"> численность безработных граждан, зарегистрированных в органах службы занятости, снизилась на 1047,4 тыс. человек или на 44,1</w:t>
      </w:r>
      <w:r>
        <w:rPr>
          <w:lang w:val="en-US"/>
        </w:rPr>
        <w:t> </w:t>
      </w:r>
      <w:r w:rsidRPr="00762475">
        <w:t>% (в 2020 г</w:t>
      </w:r>
      <w:r>
        <w:t>оду</w:t>
      </w:r>
      <w:r w:rsidRPr="00762475">
        <w:t xml:space="preserve"> на регистрационном учете состояло 2373,8 тыс. человек).</w:t>
      </w:r>
    </w:p>
    <w:p w14:paraId="46D775B0" w14:textId="77777777" w:rsidR="00634B85" w:rsidRPr="00762475" w:rsidRDefault="00634B85" w:rsidP="00634B85">
      <w:pPr>
        <w:pStyle w:val="SingleTxtG"/>
        <w:rPr>
          <w:b/>
          <w:i/>
        </w:rPr>
      </w:pPr>
      <w:r w:rsidRPr="00762475">
        <w:t>52.</w:t>
      </w:r>
      <w:r>
        <w:tab/>
      </w:r>
      <w:r w:rsidRPr="00762475">
        <w:t>Уровень регистрируемой безработицы в целом по Российской Федерации в среднем за 2021 г</w:t>
      </w:r>
      <w:r>
        <w:t>од</w:t>
      </w:r>
      <w:r w:rsidRPr="00762475">
        <w:t xml:space="preserve"> составил 1,8</w:t>
      </w:r>
      <w:r>
        <w:rPr>
          <w:lang w:val="en-US"/>
        </w:rPr>
        <w:t> </w:t>
      </w:r>
      <w:r w:rsidRPr="00762475">
        <w:t>% от численности рабочей силы в возрасте 15</w:t>
      </w:r>
      <w:r>
        <w:t>–</w:t>
      </w:r>
      <w:r w:rsidRPr="00762475">
        <w:t xml:space="preserve">72 лет </w:t>
      </w:r>
      <w:r>
        <w:br/>
      </w:r>
      <w:r w:rsidRPr="00762475">
        <w:t>(в 2020 г</w:t>
      </w:r>
      <w:r>
        <w:t>оду</w:t>
      </w:r>
      <w:r w:rsidRPr="00762475">
        <w:t xml:space="preserve"> </w:t>
      </w:r>
      <w:r>
        <w:t>—</w:t>
      </w:r>
      <w:r w:rsidRPr="00762475">
        <w:t xml:space="preserve"> 3,2</w:t>
      </w:r>
      <w:r>
        <w:t> </w:t>
      </w:r>
      <w:r w:rsidRPr="00762475">
        <w:t xml:space="preserve">%) согласно методологии Международной организации труда. </w:t>
      </w:r>
    </w:p>
    <w:p w14:paraId="52CABA7A" w14:textId="77777777" w:rsidR="00634B85" w:rsidRPr="00762475" w:rsidRDefault="00634B85" w:rsidP="00634B85">
      <w:pPr>
        <w:pStyle w:val="SingleTxtG"/>
      </w:pPr>
      <w:r w:rsidRPr="00762475">
        <w:t>53.</w:t>
      </w:r>
      <w:r>
        <w:tab/>
      </w:r>
      <w:r w:rsidRPr="00762475">
        <w:t>В соответствии с постановлением Правительства Российской Федерации от 13.03.2021 № 369 «О предоставлении грантов в форме субсидий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в 2021 г</w:t>
      </w:r>
      <w:r>
        <w:t>оду</w:t>
      </w:r>
      <w:r w:rsidRPr="00762475">
        <w:t xml:space="preserve"> в условиях продолжавшегося распространения коронавирусной инфекции реализовывались мероприятия по профессиональному обучению и дополнительному профессиональному образованию отдельных категорий граждан.</w:t>
      </w:r>
    </w:p>
    <w:p w14:paraId="4660B67B" w14:textId="77777777" w:rsidR="00634B85" w:rsidRPr="00762475" w:rsidRDefault="00634B85" w:rsidP="00634B85">
      <w:pPr>
        <w:pStyle w:val="SingleTxtG"/>
      </w:pPr>
      <w:r w:rsidRPr="00762475">
        <w:t>54.</w:t>
      </w:r>
      <w:r>
        <w:tab/>
      </w:r>
      <w:r w:rsidRPr="00762475">
        <w:t>В 2021 г</w:t>
      </w:r>
      <w:r>
        <w:t>оду</w:t>
      </w:r>
      <w:r w:rsidRPr="00762475">
        <w:t xml:space="preserve"> в реализации мероприятий по обучению принимали участие граждане в возрасте 50</w:t>
      </w:r>
      <w:r>
        <w:rPr>
          <w:lang w:val="en-US"/>
        </w:rPr>
        <w:t> </w:t>
      </w:r>
      <w:r w:rsidRPr="00762475">
        <w:t>лет и старше, граждане предпенсионного возраста, женщины, находящиеся в отпуске по уходу за ребенком в возрасте до трех лет, женщины, не состоящие в трудовых отношениях и имеющие детей дошкольного возраста, а также граждане, ищущие работу и обратившиеся в органы службы занятости, включая безработных граждан.</w:t>
      </w:r>
    </w:p>
    <w:p w14:paraId="07457690" w14:textId="77777777" w:rsidR="00634B85" w:rsidRPr="00762475" w:rsidRDefault="00634B85" w:rsidP="00634B85">
      <w:pPr>
        <w:pStyle w:val="SingleTxtG"/>
      </w:pPr>
      <w:r w:rsidRPr="00762475">
        <w:t>55.</w:t>
      </w:r>
      <w:r>
        <w:tab/>
      </w:r>
      <w:r w:rsidRPr="00762475">
        <w:t>Мероприятия по обучению реализовывались с целью расширения возможности трудоустройства граждан, сокращения периода поиска ими работы и обеспечения наиболее качественной занятости и осуществлялись по профессиям и специальностям в соответствии с потребностью экономики или конкретного работодателя под гарантированное трудоустройство.</w:t>
      </w:r>
    </w:p>
    <w:p w14:paraId="0EE218AE" w14:textId="77777777" w:rsidR="00634B85" w:rsidRPr="00762475" w:rsidRDefault="00634B85" w:rsidP="00634B85">
      <w:pPr>
        <w:pStyle w:val="SingleTxtG"/>
      </w:pPr>
      <w:r w:rsidRPr="00762475">
        <w:lastRenderedPageBreak/>
        <w:t>56.</w:t>
      </w:r>
      <w:r>
        <w:tab/>
      </w:r>
      <w:r w:rsidRPr="00762475">
        <w:t>Мероприятия по развитию инфраструктуры занятости и внедрению организационных и технологических инноваций с использованием цифровых и платформенных решений в целях поддержки уровня занятости населения стали реализовываться посредством проведения мероприятий по повышению эффективности службы занятости в рамках федерального проекта «Содействие занятости» национального проекта «Демография».</w:t>
      </w:r>
    </w:p>
    <w:p w14:paraId="12D97EB1" w14:textId="77777777" w:rsidR="00634B85" w:rsidRPr="00762475" w:rsidRDefault="00634B85" w:rsidP="00634B85">
      <w:pPr>
        <w:pStyle w:val="SingleTxtG"/>
      </w:pPr>
      <w:r w:rsidRPr="00762475">
        <w:t>57.</w:t>
      </w:r>
      <w:r>
        <w:tab/>
      </w:r>
      <w:r w:rsidRPr="00762475">
        <w:t>В рамках федерального проекта «Содействие занятости» национального проекта «Демография» Федеральная служба по труду и занятости (Роструд) является исполнителем отдельных мероприятий, оказывающих влияние на достижение целевого показателя «Обеспечение устойчивого роста численности населения Российской Федерации» национальной цели «Сохранение населения, здоровье и благополучие людей».</w:t>
      </w:r>
    </w:p>
    <w:p w14:paraId="3CDDF79C" w14:textId="77777777" w:rsidR="00634B85" w:rsidRPr="00762475" w:rsidRDefault="00634B85" w:rsidP="00634B85">
      <w:pPr>
        <w:pStyle w:val="SingleTxtG"/>
      </w:pPr>
      <w:r w:rsidRPr="00762475">
        <w:t>58.</w:t>
      </w:r>
      <w:r>
        <w:tab/>
      </w:r>
      <w:r w:rsidRPr="00762475">
        <w:t>Несмотря на достижения в сфере поддержки молодежной занятости, в России сохраняются проблемы молодежной безработицы, дефицит рабочих мест для выпускников учреждений профессионального образования, высокий уровень вовлеченности молодежи в неформальный сектор, временная занятость и др.</w:t>
      </w:r>
    </w:p>
    <w:p w14:paraId="2A70F510" w14:textId="77777777" w:rsidR="00634B85" w:rsidRPr="00762475" w:rsidRDefault="00634B85" w:rsidP="00634B85">
      <w:pPr>
        <w:pStyle w:val="SingleTxtG"/>
      </w:pPr>
      <w:r w:rsidRPr="00762475">
        <w:t>59.</w:t>
      </w:r>
      <w:r>
        <w:tab/>
      </w:r>
      <w:r w:rsidRPr="00762475">
        <w:t>В этой связи распоряжением Правительства Российской Федерации от 14</w:t>
      </w:r>
      <w:r>
        <w:rPr>
          <w:lang w:val="en-US"/>
        </w:rPr>
        <w:t> </w:t>
      </w:r>
      <w:r w:rsidRPr="00762475">
        <w:t>декабря 2021 г</w:t>
      </w:r>
      <w:r>
        <w:t>ода</w:t>
      </w:r>
      <w:r w:rsidRPr="00762475">
        <w:t xml:space="preserve"> № 3581-р утверждена Долгосрочная программа содействия занятости молодежи на период до 2030 года (далее </w:t>
      </w:r>
      <w:r w:rsidRPr="0082538A">
        <w:t>—</w:t>
      </w:r>
      <w:r w:rsidRPr="00762475">
        <w:t xml:space="preserve"> Программа), разработанная Министерством труда и социальной защиты Российской Федерации (далее </w:t>
      </w:r>
      <w:r w:rsidRPr="0082538A">
        <w:t>—</w:t>
      </w:r>
      <w:r w:rsidRPr="00762475">
        <w:t xml:space="preserve"> Минтруд России) совместно с заинтересованными ведомствами и организациями.</w:t>
      </w:r>
    </w:p>
    <w:p w14:paraId="4A76350A" w14:textId="77777777" w:rsidR="00634B85" w:rsidRPr="00762475" w:rsidRDefault="00634B85" w:rsidP="00634B85">
      <w:pPr>
        <w:pStyle w:val="SingleTxtG"/>
      </w:pPr>
      <w:r w:rsidRPr="00762475">
        <w:t>60.</w:t>
      </w:r>
      <w:r>
        <w:tab/>
      </w:r>
      <w:r w:rsidRPr="00762475">
        <w:t xml:space="preserve">Целью Программы является создание условий для реализации профессионального, трудового и предпринимательского потенциала молодежи в условиях трансформационных процессов на рынке труда. Программа разделена на </w:t>
      </w:r>
      <w:r>
        <w:br/>
      </w:r>
      <w:r w:rsidRPr="00762475">
        <w:t xml:space="preserve">4 задачи и включает 32 мероприятия. </w:t>
      </w:r>
    </w:p>
    <w:p w14:paraId="33DD8C63" w14:textId="77777777" w:rsidR="00634B85" w:rsidRPr="00762475" w:rsidRDefault="00634B85" w:rsidP="00634B85">
      <w:pPr>
        <w:pStyle w:val="SingleTxtG"/>
      </w:pPr>
      <w:r w:rsidRPr="00762475">
        <w:t>61.</w:t>
      </w:r>
      <w:r>
        <w:tab/>
      </w:r>
      <w:r w:rsidRPr="00762475">
        <w:t xml:space="preserve">Предполагается субсидирование трудоустройства, а также оценка квалификации, профессиональное обучение различных категорий молодежи, в том числе с инвалидностью и с ограниченными возможностями здоровья, в целях дальнейшего обеспечения их занятости. Также предусматриваются мероприятия по совершенствованию деятельности центров карьеры (содействия трудоустройству выпускников) образовательных организаций, содействие в переселении молодых граждан из </w:t>
      </w:r>
      <w:proofErr w:type="spellStart"/>
      <w:r w:rsidRPr="00762475">
        <w:t>трудоизбыточных</w:t>
      </w:r>
      <w:proofErr w:type="spellEnd"/>
      <w:r w:rsidRPr="00762475">
        <w:t xml:space="preserve"> регионов в </w:t>
      </w:r>
      <w:proofErr w:type="spellStart"/>
      <w:r w:rsidRPr="00762475">
        <w:t>трудодефицитные</w:t>
      </w:r>
      <w:proofErr w:type="spellEnd"/>
      <w:r w:rsidRPr="00762475">
        <w:t>.</w:t>
      </w:r>
    </w:p>
    <w:p w14:paraId="555F7DF1" w14:textId="77777777" w:rsidR="00634B85" w:rsidRPr="00762475" w:rsidRDefault="00634B85" w:rsidP="00634B85">
      <w:pPr>
        <w:pStyle w:val="SingleTxtG"/>
      </w:pPr>
      <w:r w:rsidRPr="00762475">
        <w:t>62.</w:t>
      </w:r>
      <w:r>
        <w:tab/>
      </w:r>
      <w:r w:rsidRPr="00762475">
        <w:t>Кроме того, запланированы пилотная апробация комплексного подхода по карьерному сопровождению молодежи, обеспечение адресного сопровождения в целях трудоустройства (занятости) органами службы занятости в рамках жизненных ситуаций.</w:t>
      </w:r>
    </w:p>
    <w:p w14:paraId="4B6F676F" w14:textId="77777777" w:rsidR="00634B85" w:rsidRPr="00762475" w:rsidRDefault="00634B85" w:rsidP="00634B85">
      <w:pPr>
        <w:pStyle w:val="SingleTxtG"/>
      </w:pPr>
      <w:r w:rsidRPr="00762475">
        <w:t>63.</w:t>
      </w:r>
      <w:r>
        <w:tab/>
      </w:r>
      <w:r w:rsidRPr="00762475">
        <w:t>В итоге реализации Программы доля трудоустроенных выпускников должна уже в 2024 г</w:t>
      </w:r>
      <w:r>
        <w:t>оду</w:t>
      </w:r>
      <w:r w:rsidRPr="00762475">
        <w:t xml:space="preserve"> вырасти до 85</w:t>
      </w:r>
      <w:r>
        <w:rPr>
          <w:lang w:val="en-US"/>
        </w:rPr>
        <w:t> </w:t>
      </w:r>
      <w:r w:rsidRPr="00762475">
        <w:t>% (2020 г</w:t>
      </w:r>
      <w:r>
        <w:t>од</w:t>
      </w:r>
      <w:r w:rsidRPr="00762475">
        <w:t xml:space="preserve"> </w:t>
      </w:r>
      <w:r w:rsidRPr="0082538A">
        <w:t>—</w:t>
      </w:r>
      <w:r w:rsidRPr="00762475">
        <w:t xml:space="preserve"> 57</w:t>
      </w:r>
      <w:r>
        <w:rPr>
          <w:lang w:val="en-US"/>
        </w:rPr>
        <w:t> </w:t>
      </w:r>
      <w:r w:rsidRPr="00762475">
        <w:t>%), а в 2030 г</w:t>
      </w:r>
      <w:r>
        <w:t>оду</w:t>
      </w:r>
      <w:r w:rsidRPr="00762475">
        <w:t xml:space="preserve"> до 92</w:t>
      </w:r>
      <w:r>
        <w:rPr>
          <w:lang w:val="en-US"/>
        </w:rPr>
        <w:t> </w:t>
      </w:r>
      <w:r w:rsidRPr="00762475">
        <w:t>%.</w:t>
      </w:r>
    </w:p>
    <w:p w14:paraId="0BDFE1D9" w14:textId="77777777" w:rsidR="00634B85" w:rsidRPr="00762475" w:rsidRDefault="00634B85" w:rsidP="00634B85">
      <w:pPr>
        <w:pStyle w:val="SingleTxtG"/>
      </w:pPr>
      <w:r w:rsidRPr="00762475">
        <w:t>64.</w:t>
      </w:r>
      <w:r>
        <w:tab/>
      </w:r>
      <w:r w:rsidRPr="00762475">
        <w:t>Доля несовершеннолетних граждан в возрасте от 14 до 18 лет, прошедших профессиональные пробы, в том числе в рамках временного трудоустройства, от общей численности несовершеннолетних граждан данного возраста к 2024 г</w:t>
      </w:r>
      <w:r>
        <w:t>оду</w:t>
      </w:r>
      <w:r w:rsidRPr="00762475">
        <w:t xml:space="preserve"> должна вырасти до 15</w:t>
      </w:r>
      <w:r>
        <w:rPr>
          <w:lang w:val="en-US"/>
        </w:rPr>
        <w:t> </w:t>
      </w:r>
      <w:r w:rsidRPr="00762475">
        <w:t>% (</w:t>
      </w:r>
      <w:r>
        <w:t xml:space="preserve">в </w:t>
      </w:r>
      <w:r w:rsidRPr="00762475">
        <w:t>2020 г</w:t>
      </w:r>
      <w:r>
        <w:t>оду</w:t>
      </w:r>
      <w:r w:rsidRPr="00762475">
        <w:t xml:space="preserve"> этот показатель был 5,9</w:t>
      </w:r>
      <w:r>
        <w:rPr>
          <w:lang w:val="en-US"/>
        </w:rPr>
        <w:t> </w:t>
      </w:r>
      <w:r w:rsidRPr="00762475">
        <w:t>%), а к 2030 г</w:t>
      </w:r>
      <w:r>
        <w:t>оду</w:t>
      </w:r>
      <w:r w:rsidRPr="00762475">
        <w:t xml:space="preserve"> до 35</w:t>
      </w:r>
      <w:r>
        <w:t> </w:t>
      </w:r>
      <w:r w:rsidRPr="00762475">
        <w:t xml:space="preserve">%. </w:t>
      </w:r>
    </w:p>
    <w:p w14:paraId="26E7F11D" w14:textId="77777777" w:rsidR="00634B85" w:rsidRDefault="00634B85" w:rsidP="00634B85">
      <w:pPr>
        <w:pStyle w:val="SingleTxtG"/>
      </w:pPr>
      <w:r w:rsidRPr="00762475">
        <w:t>65.</w:t>
      </w:r>
      <w:r>
        <w:tab/>
      </w:r>
      <w:r w:rsidRPr="00762475">
        <w:t>Для решения вопроса по содействию занятости на сельских территориях в 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w:t>
      </w:r>
      <w:r>
        <w:t>ода</w:t>
      </w:r>
      <w:r w:rsidRPr="00762475">
        <w:t xml:space="preserve"> № 696 (далее </w:t>
      </w:r>
      <w:r w:rsidRPr="0082538A">
        <w:t>—</w:t>
      </w:r>
      <w:r w:rsidRPr="00762475">
        <w:t xml:space="preserve"> Госпрограмма КРСТ) реализуется федеральный проект «Содействие занятости сельского населения», в рамках которого создаются условия для создания рабочих мест на территориях реализации проектов комплексного развития сельских территорий (сельских агломераций), включающих строительство, реконструкцию и капитальный ремонт объектов социальной и инженерной инфраструктуры, приобретение транспорта и оборудования. Таким образом, создание инфраструктуры осуществляется одновременно с созданием рабочих мест в целях сохранения населения на сельских территориях.</w:t>
      </w:r>
      <w:bookmarkStart w:id="0" w:name="_gjdgxs"/>
      <w:bookmarkEnd w:id="0"/>
    </w:p>
    <w:p w14:paraId="2B19B09D" w14:textId="77777777" w:rsidR="00634B85" w:rsidRPr="00762475" w:rsidRDefault="00634B85" w:rsidP="00634B85">
      <w:pPr>
        <w:pStyle w:val="HChG"/>
      </w:pPr>
      <w:r>
        <w:lastRenderedPageBreak/>
        <w:tab/>
      </w:r>
      <w:r>
        <w:tab/>
      </w:r>
      <w:r w:rsidRPr="00762475">
        <w:t>Статья 7</w:t>
      </w:r>
    </w:p>
    <w:p w14:paraId="13995107" w14:textId="77777777" w:rsidR="00634B85" w:rsidRPr="00762475" w:rsidRDefault="00634B85" w:rsidP="00634B85">
      <w:pPr>
        <w:pStyle w:val="H1G"/>
      </w:pPr>
      <w:r>
        <w:tab/>
      </w:r>
      <w:r>
        <w:tab/>
      </w:r>
      <w:r w:rsidRPr="002800DE">
        <w:t>Последующая информация в связи с пунктами</w:t>
      </w:r>
      <w:r w:rsidRPr="00762475">
        <w:t xml:space="preserve"> 32</w:t>
      </w:r>
      <w:r w:rsidRPr="007F3F57">
        <w:t>–</w:t>
      </w:r>
      <w:r w:rsidRPr="00762475">
        <w:t>33 заключительных замечаний КЭСКП</w:t>
      </w:r>
    </w:p>
    <w:p w14:paraId="7BC632C9" w14:textId="77777777" w:rsidR="00634B85" w:rsidRPr="00762475" w:rsidRDefault="00634B85" w:rsidP="00634B85">
      <w:pPr>
        <w:pStyle w:val="SingleTxtG"/>
      </w:pPr>
      <w:r w:rsidRPr="00762475">
        <w:t>66.</w:t>
      </w:r>
      <w:r>
        <w:tab/>
      </w:r>
      <w:r w:rsidRPr="00762475">
        <w:t>На основании статьи 37 Конституции Российской Федерации каждый имеет право на вознаграждение за труд, без какой бы то ни было дискриминации.</w:t>
      </w:r>
    </w:p>
    <w:p w14:paraId="7D974087" w14:textId="77777777" w:rsidR="00634B85" w:rsidRPr="00762475" w:rsidRDefault="00634B85" w:rsidP="00634B85">
      <w:pPr>
        <w:pStyle w:val="SingleTxtG"/>
      </w:pPr>
      <w:r w:rsidRPr="00762475">
        <w:t>67.</w:t>
      </w:r>
      <w:r>
        <w:tab/>
      </w:r>
      <w:r w:rsidRPr="00762475">
        <w:t>В соответствии с частью 7 статьи 2 ТК РФ одним из основных принципов правового регулирования трудовых отношений является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14:paraId="2E937075" w14:textId="77777777" w:rsidR="00634B85" w:rsidRPr="00762475" w:rsidRDefault="00634B85" w:rsidP="00634B85">
      <w:pPr>
        <w:pStyle w:val="SingleTxtG"/>
      </w:pPr>
      <w:r w:rsidRPr="00762475">
        <w:t>68.</w:t>
      </w:r>
      <w:r>
        <w:tab/>
      </w:r>
      <w:r w:rsidRPr="00762475">
        <w:t>Статья 21 ТК РФ в качестве одного из основных прав работника закрепила право на своевременную и в полном объеме выплату заработной платы.</w:t>
      </w:r>
    </w:p>
    <w:p w14:paraId="694E0441" w14:textId="77777777" w:rsidR="00634B85" w:rsidRPr="00762475" w:rsidRDefault="00634B85" w:rsidP="00634B85">
      <w:pPr>
        <w:pStyle w:val="SingleTxtG"/>
      </w:pPr>
      <w:r w:rsidRPr="00762475">
        <w:t>69.</w:t>
      </w:r>
      <w:r>
        <w:tab/>
      </w:r>
      <w:r w:rsidRPr="00762475">
        <w:t>В соответствии со статьей 132 ТК РФ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Запрещается какая бы то ни было дискриминация при установлении и изменении условий оплаты труда.</w:t>
      </w:r>
    </w:p>
    <w:p w14:paraId="710623F4" w14:textId="77777777" w:rsidR="00634B85" w:rsidRPr="00762475" w:rsidRDefault="00634B85" w:rsidP="00634B85">
      <w:pPr>
        <w:pStyle w:val="SingleTxtG"/>
      </w:pPr>
      <w:r w:rsidRPr="00762475">
        <w:t>70.</w:t>
      </w:r>
      <w:r>
        <w:tab/>
      </w:r>
      <w:r w:rsidRPr="00762475">
        <w:t>Частью 7 статьи 2 ТК РФ одним из основных принципов правового регулирования трудовых отношений провозглашено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14:paraId="139E2887" w14:textId="77777777" w:rsidR="00634B85" w:rsidRPr="00762475" w:rsidRDefault="00634B85" w:rsidP="00634B85">
      <w:pPr>
        <w:pStyle w:val="SingleTxtG"/>
      </w:pPr>
      <w:r w:rsidRPr="00762475">
        <w:t>71.</w:t>
      </w:r>
      <w:r>
        <w:tab/>
      </w:r>
      <w:r w:rsidRPr="00762475">
        <w:t xml:space="preserve">В силу норм статьи 65 ТК РФ подтверждение наличия специальных знаний, наличия документа об образовании и (или) о квалификации </w:t>
      </w:r>
      <w:r>
        <w:t>—</w:t>
      </w:r>
      <w:r w:rsidRPr="00762475">
        <w:t xml:space="preserve"> необходимое условие при поступлении на работу, требующую специальных знаний или специальной подготовки.</w:t>
      </w:r>
    </w:p>
    <w:p w14:paraId="35857146" w14:textId="77777777" w:rsidR="00634B85" w:rsidRPr="00762475" w:rsidRDefault="00634B85" w:rsidP="00634B85">
      <w:pPr>
        <w:pStyle w:val="SingleTxtG"/>
      </w:pPr>
      <w:r w:rsidRPr="00762475">
        <w:t>72.</w:t>
      </w:r>
      <w:r>
        <w:tab/>
      </w:r>
      <w:r w:rsidRPr="00762475">
        <w:t>Более высокая квалификация работника по отношению к другим работникам может выступать в качестве гарантии. Так,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(статья 179 ТК РФ).</w:t>
      </w:r>
    </w:p>
    <w:p w14:paraId="5B57670A" w14:textId="77777777" w:rsidR="00634B85" w:rsidRPr="00762475" w:rsidRDefault="00634B85" w:rsidP="00634B85">
      <w:pPr>
        <w:pStyle w:val="SingleTxtG"/>
      </w:pPr>
      <w:r w:rsidRPr="00762475">
        <w:t>73.</w:t>
      </w:r>
      <w:r>
        <w:tab/>
      </w:r>
      <w:r w:rsidRPr="00762475">
        <w:t>Статья 2 ТК РФ закрепляет принцип обеспечения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14:paraId="4318D7F4" w14:textId="77777777" w:rsidR="00634B85" w:rsidRPr="00762475" w:rsidRDefault="00634B85" w:rsidP="00634B85">
      <w:pPr>
        <w:pStyle w:val="SingleTxtG"/>
      </w:pPr>
      <w:r w:rsidRPr="00762475">
        <w:t>74.</w:t>
      </w:r>
      <w:r>
        <w:tab/>
      </w:r>
      <w:r w:rsidRPr="00762475">
        <w:t>Нормальная продолжительность рабочего времени не может превышать 40</w:t>
      </w:r>
      <w:r>
        <w:t> </w:t>
      </w:r>
      <w:r w:rsidRPr="00762475">
        <w:t>часов в неделю (часть 2 статьи 91 ТК РФ).</w:t>
      </w:r>
    </w:p>
    <w:p w14:paraId="2B218601" w14:textId="77777777" w:rsidR="00634B85" w:rsidRPr="00762475" w:rsidRDefault="00634B85" w:rsidP="00634B85">
      <w:pPr>
        <w:pStyle w:val="SingleTxtG"/>
      </w:pPr>
      <w:r w:rsidRPr="00762475">
        <w:t>75.</w:t>
      </w:r>
      <w:r>
        <w:tab/>
      </w:r>
      <w:r w:rsidRPr="00762475">
        <w:t xml:space="preserve">Трудовое законодательство Российской Федерации предусматривает определенные категории работников, которым устанавливается сокращенная продолжительность рабочего времени (части 1, 5 статьи 92 ТК РФ): </w:t>
      </w:r>
    </w:p>
    <w:p w14:paraId="401EB073"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работники в возрасте до 16 лет (не более 24 часов в неделю); работники в возрасте от 16 до 18 лет (не более 35 часов в неделю); </w:t>
      </w:r>
    </w:p>
    <w:p w14:paraId="74640EAE"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работники, являющиеся инвалидами I или II группы (не более 35 часов в неделю);</w:t>
      </w:r>
    </w:p>
    <w:p w14:paraId="3D94206C"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работники, условия труда на рабочих местах которых по результатам специальной оценки условий труда отнесены к вредным условиям труда 3 </w:t>
      </w:r>
      <w:r>
        <w:br/>
      </w:r>
      <w:r w:rsidRPr="00762475">
        <w:t>или 4 степени или опасным условиям труда (не более 36 часов в неделю);</w:t>
      </w:r>
    </w:p>
    <w:p w14:paraId="76ACA8C5"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други</w:t>
      </w:r>
      <w:r>
        <w:t>е</w:t>
      </w:r>
      <w:r w:rsidRPr="00762475">
        <w:t xml:space="preserve"> категории работников (педагогические, медицинские и другие).</w:t>
      </w:r>
    </w:p>
    <w:p w14:paraId="58D39017" w14:textId="77777777" w:rsidR="00634B85" w:rsidRPr="00762475" w:rsidRDefault="00634B85" w:rsidP="00634B85">
      <w:pPr>
        <w:pStyle w:val="SingleTxtG"/>
      </w:pPr>
      <w:r w:rsidRPr="00762475">
        <w:lastRenderedPageBreak/>
        <w:t>76.</w:t>
      </w:r>
      <w:r>
        <w:tab/>
      </w:r>
      <w:r w:rsidRPr="00762475">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(часть 1 статьи 93 ТК РФ).</w:t>
      </w:r>
    </w:p>
    <w:p w14:paraId="474BAC61" w14:textId="77777777" w:rsidR="00634B85" w:rsidRPr="00762475" w:rsidRDefault="00634B85" w:rsidP="00634B85">
      <w:pPr>
        <w:pStyle w:val="SingleTxtG"/>
      </w:pPr>
      <w:r w:rsidRPr="00762475">
        <w:t>77.</w:t>
      </w:r>
      <w:r>
        <w:tab/>
      </w:r>
      <w:r w:rsidRPr="00762475">
        <w:t>Федеральным законом от 18 июня 2017 г</w:t>
      </w:r>
      <w:r>
        <w:t>ода</w:t>
      </w:r>
      <w:r w:rsidRPr="00762475">
        <w:t xml:space="preserve"> № 125-ФЗ в ТК РФ внесено изменение, предусматривающие возможность сокращения продолжительности ежедневной работы (смены) на определенное количество рабочих часов при одновременном сокращении количества рабочих дней в неделю. В соответствии с новой редакцией неполное рабочее время может устанавливаться как без ограничения срока, так и на любой согласованный сторонами трудового договора срок.</w:t>
      </w:r>
    </w:p>
    <w:p w14:paraId="3D20DFE7" w14:textId="77777777" w:rsidR="00634B85" w:rsidRPr="00762475" w:rsidRDefault="00634B85" w:rsidP="00634B85">
      <w:pPr>
        <w:pStyle w:val="SingleTxtG"/>
      </w:pPr>
      <w:r w:rsidRPr="00762475">
        <w:t>78.</w:t>
      </w:r>
      <w:r>
        <w:tab/>
      </w:r>
      <w:r w:rsidRPr="00762475">
        <w:t>При этом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(часть 3 статьи 93 ТК РФ).</w:t>
      </w:r>
    </w:p>
    <w:p w14:paraId="313A7284" w14:textId="77777777" w:rsidR="00634B85" w:rsidRPr="00762475" w:rsidRDefault="00634B85" w:rsidP="00634B85">
      <w:pPr>
        <w:pStyle w:val="SingleTxtG"/>
      </w:pPr>
      <w:r w:rsidRPr="00762475">
        <w:t>79.</w:t>
      </w:r>
      <w:r>
        <w:tab/>
      </w:r>
      <w:r w:rsidRPr="00762475">
        <w:t>Статьей 21 ТК РФ право на отдых названо в качестве одного из основных прав работника.</w:t>
      </w:r>
    </w:p>
    <w:p w14:paraId="2A480460" w14:textId="77777777" w:rsidR="00634B85" w:rsidRPr="00762475" w:rsidRDefault="00634B85" w:rsidP="00634B85">
      <w:pPr>
        <w:pStyle w:val="SingleTxtG"/>
      </w:pPr>
      <w:r w:rsidRPr="00762475">
        <w:t>80.</w:t>
      </w:r>
      <w:r>
        <w:tab/>
      </w:r>
      <w:r w:rsidRPr="00762475">
        <w:t>Статья 106 ТК РФ под временем отдыха понимает время, в течение которого работник свободен от исполнения трудовых обязанностей и которое он может использовать по своему усмотрению.</w:t>
      </w:r>
    </w:p>
    <w:p w14:paraId="27DCA939" w14:textId="77777777" w:rsidR="00634B85" w:rsidRPr="00762475" w:rsidRDefault="00634B85" w:rsidP="00634B85">
      <w:pPr>
        <w:pStyle w:val="SingleTxtG"/>
      </w:pPr>
      <w:r w:rsidRPr="00762475">
        <w:t>81.</w:t>
      </w:r>
      <w:r>
        <w:tab/>
      </w:r>
      <w:r w:rsidRPr="00762475">
        <w:t>Статья 107 ТК РФ предусматривает следующие виды времени отдыха: перерывы в течение рабочего дня (смены); ежедневный (междусменный) отдых; выходные и праздничные дни; отпуск.</w:t>
      </w:r>
    </w:p>
    <w:p w14:paraId="5754BB15" w14:textId="77777777" w:rsidR="00634B85" w:rsidRPr="00762475" w:rsidRDefault="00634B85" w:rsidP="00634B85">
      <w:pPr>
        <w:pStyle w:val="SingleTxtG"/>
      </w:pPr>
      <w:r w:rsidRPr="00762475">
        <w:t>82.</w:t>
      </w:r>
      <w:r>
        <w:tab/>
      </w:r>
      <w:r w:rsidRPr="00762475">
        <w:t>Перерывы в течение рабочего дня (смены) делятся на перерывы для отдыха и питания и специальные перерывы (предоставляются определенным категориям работников).</w:t>
      </w:r>
    </w:p>
    <w:p w14:paraId="689A0A7D" w14:textId="77777777" w:rsidR="00634B85" w:rsidRPr="00762475" w:rsidRDefault="00634B85" w:rsidP="00634B85">
      <w:pPr>
        <w:pStyle w:val="SingleTxtG"/>
      </w:pPr>
      <w:r w:rsidRPr="00762475">
        <w:t>83.</w:t>
      </w:r>
      <w:r>
        <w:tab/>
      </w:r>
      <w:r w:rsidRPr="00762475">
        <w:t>Согласно части 1 статьи 108 ТК РФ в течение рабочего дня (смены) каждому работнику предоставляется перерыв для отдыха и питания продолжительностью не более двух часов и не менее 30 минут.</w:t>
      </w:r>
    </w:p>
    <w:p w14:paraId="789152E5" w14:textId="77777777" w:rsidR="00634B85" w:rsidRPr="00762475" w:rsidRDefault="00634B85" w:rsidP="00634B85">
      <w:pPr>
        <w:pStyle w:val="SingleTxtG"/>
      </w:pPr>
      <w:r w:rsidRPr="00762475">
        <w:t>84.</w:t>
      </w:r>
      <w:r>
        <w:tab/>
      </w:r>
      <w:r w:rsidRPr="00762475">
        <w:t>Продолжительность еженедельного непрерывного отдыха должна быть не менее 42 часов, за исключением случаев, предусмотренных ТК РФ (статья 110 ТК РФ).</w:t>
      </w:r>
    </w:p>
    <w:p w14:paraId="7A261433" w14:textId="77777777" w:rsidR="00634B85" w:rsidRPr="00762475" w:rsidRDefault="00634B85" w:rsidP="00634B85">
      <w:pPr>
        <w:pStyle w:val="SingleTxtG"/>
      </w:pPr>
      <w:r w:rsidRPr="00762475">
        <w:t>85.</w:t>
      </w:r>
      <w:r>
        <w:tab/>
      </w:r>
      <w:r w:rsidRPr="00762475">
        <w:t xml:space="preserve">Согласно части 1 статьи 111 ТК РФ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w:t>
      </w:r>
      <w:r w:rsidRPr="007F3F57">
        <w:t>—</w:t>
      </w:r>
      <w:r w:rsidRPr="00762475">
        <w:t xml:space="preserve"> один выходной день.</w:t>
      </w:r>
    </w:p>
    <w:p w14:paraId="21E1CFDB" w14:textId="77777777" w:rsidR="00634B85" w:rsidRPr="00762475" w:rsidRDefault="00634B85" w:rsidP="00634B85">
      <w:pPr>
        <w:pStyle w:val="SingleTxtG"/>
      </w:pPr>
      <w:r w:rsidRPr="00762475">
        <w:t>86.</w:t>
      </w:r>
      <w:r>
        <w:tab/>
      </w:r>
      <w:r w:rsidRPr="00762475">
        <w:t>Работа в выходные и нерабочие праздничные дни запрещается за исключением случаев, предусмотренных ТК РФ (статья 113 ТК РФ).</w:t>
      </w:r>
    </w:p>
    <w:p w14:paraId="6EEFCA9D" w14:textId="77777777" w:rsidR="00634B85" w:rsidRPr="00762475" w:rsidRDefault="00634B85" w:rsidP="00634B85">
      <w:pPr>
        <w:pStyle w:val="SingleTxtG"/>
      </w:pPr>
      <w:r w:rsidRPr="00762475">
        <w:t>87.</w:t>
      </w:r>
      <w:r>
        <w:tab/>
      </w:r>
      <w:r w:rsidRPr="00762475">
        <w:t>В соответствии с частью 1 статьи 153 ТК РФ работа в выходной или нерабочий праздничный день оплачивается не менее чем в двойном размере.</w:t>
      </w:r>
    </w:p>
    <w:p w14:paraId="003CE2DF" w14:textId="77777777" w:rsidR="00634B85" w:rsidRPr="00762475" w:rsidRDefault="00634B85" w:rsidP="00634B85">
      <w:pPr>
        <w:pStyle w:val="SingleTxtG"/>
      </w:pPr>
      <w:r w:rsidRPr="00762475">
        <w:t>88.</w:t>
      </w:r>
      <w:r>
        <w:tab/>
      </w:r>
      <w:r w:rsidRPr="00762475">
        <w:t>На основании статьи 112 ТК РФ 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w:t>
      </w:r>
    </w:p>
    <w:p w14:paraId="3AD845FA" w14:textId="77777777" w:rsidR="00634B85" w:rsidRPr="00762475" w:rsidRDefault="00634B85" w:rsidP="00634B85">
      <w:pPr>
        <w:pStyle w:val="SingleTxtG"/>
      </w:pPr>
      <w:r w:rsidRPr="00762475">
        <w:t>89.</w:t>
      </w:r>
      <w:r>
        <w:tab/>
      </w:r>
      <w:r w:rsidRPr="00762475">
        <w:t>Работникам предоставляется ежегодный основной оплачиваемый отпуск продолжительностью не менее 28 календарных дней (статья 115 ТК РФ).</w:t>
      </w:r>
    </w:p>
    <w:p w14:paraId="16014DCF" w14:textId="77777777" w:rsidR="00634B85" w:rsidRPr="00762475" w:rsidRDefault="00634B85" w:rsidP="00634B85">
      <w:pPr>
        <w:pStyle w:val="SingleTxtG"/>
      </w:pPr>
      <w:r w:rsidRPr="00762475">
        <w:t>90.</w:t>
      </w:r>
      <w:r>
        <w:tab/>
      </w:r>
      <w:r w:rsidRPr="00762475">
        <w:t>В соответствии со статьей 115 ТК РФ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ТК РФ и иными федеральными законами.</w:t>
      </w:r>
    </w:p>
    <w:p w14:paraId="4B12B2B9" w14:textId="77777777" w:rsidR="00634B85" w:rsidRPr="00762475" w:rsidRDefault="00634B85" w:rsidP="00634B85">
      <w:pPr>
        <w:pStyle w:val="SingleTxtG"/>
      </w:pPr>
      <w:r w:rsidRPr="00762475">
        <w:t>91.</w:t>
      </w:r>
      <w:r>
        <w:tab/>
      </w:r>
      <w:r w:rsidRPr="00762475">
        <w:t>Согласно части 1 статьи 128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275F49B6" w14:textId="77777777" w:rsidR="00634B85" w:rsidRPr="00762475" w:rsidRDefault="00634B85" w:rsidP="00634B85">
      <w:pPr>
        <w:pStyle w:val="SingleTxtG"/>
      </w:pPr>
      <w:r w:rsidRPr="00762475">
        <w:lastRenderedPageBreak/>
        <w:t>92.</w:t>
      </w:r>
      <w:r>
        <w:tab/>
      </w:r>
      <w:r w:rsidRPr="00762475">
        <w:t>Помимо указанных видов времени отдыха отдельным категориям работников предоставляются дополнительные выходные дни. К таким работникам относятся (статьи 262, 263.1, 319 ТК РФ):</w:t>
      </w:r>
    </w:p>
    <w:p w14:paraId="0D9B912E"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один из родителей (опекун, попечитель, другое лицо, воспитывающее ребенка без матери), имеющий ребенка-инвалида;</w:t>
      </w:r>
    </w:p>
    <w:p w14:paraId="241D3ED2"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женщины, работающие в сельской местности;</w:t>
      </w:r>
    </w:p>
    <w:p w14:paraId="10FFBF1B"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один из родителей (опекун, попечитель, приемный родитель), имеющий ребенка в возрасте до 16 лет и работающий в районах Крайнего Севера и приравненных к ним местностях.</w:t>
      </w:r>
    </w:p>
    <w:p w14:paraId="3E5326DB" w14:textId="77777777" w:rsidR="00634B85" w:rsidRPr="00762475" w:rsidRDefault="00634B85" w:rsidP="00634B85">
      <w:pPr>
        <w:pStyle w:val="SingleTxtG"/>
      </w:pPr>
      <w:r w:rsidRPr="00762475">
        <w:t>93.</w:t>
      </w:r>
      <w:r>
        <w:tab/>
      </w:r>
      <w:r w:rsidRPr="00762475">
        <w:t>Федеральным законом от 9 марта 2021</w:t>
      </w:r>
      <w:r>
        <w:t> </w:t>
      </w:r>
      <w:r w:rsidRPr="00762475">
        <w:t>г</w:t>
      </w:r>
      <w:r>
        <w:t>ода</w:t>
      </w:r>
      <w:r w:rsidRPr="00762475">
        <w:t xml:space="preserve"> № 34-ФЗ изменены правила предоставления ежегодного оплачиваемого отпуска работникам, имеющим трех и более детей. Ежегодный отпуск предоставляется в любое время по желанию работников, имеющих трех и более детей в возрасте до восемнадцати лет. При этом хотя бы один ребенок должен быть младше </w:t>
      </w:r>
      <w:r>
        <w:t>14</w:t>
      </w:r>
      <w:r w:rsidRPr="00762475">
        <w:t xml:space="preserve"> лет (статья 262.2 ТК РФ).</w:t>
      </w:r>
    </w:p>
    <w:p w14:paraId="1706744E" w14:textId="77777777" w:rsidR="00634B85" w:rsidRPr="00762475" w:rsidRDefault="00634B85" w:rsidP="00634B85">
      <w:pPr>
        <w:pStyle w:val="SingleTxtG"/>
      </w:pPr>
      <w:r w:rsidRPr="00762475">
        <w:t>94.</w:t>
      </w:r>
      <w:r>
        <w:tab/>
      </w:r>
      <w:r w:rsidRPr="00762475">
        <w:t>Обязательному социальному страхованию на случай временной нетрудоспособности и в связи с материнством наравне с гражданами Российской Федерации подлежат иностранные граждане и лица без гражданства, постоянно или временно проживающие на территории Российской Федерации и работающие по трудовым договорам.</w:t>
      </w:r>
    </w:p>
    <w:p w14:paraId="6DA89885" w14:textId="77777777" w:rsidR="00634B85" w:rsidRPr="00762475" w:rsidRDefault="00634B85" w:rsidP="00634B85">
      <w:pPr>
        <w:pStyle w:val="SingleTxtG"/>
      </w:pPr>
      <w:r w:rsidRPr="00762475">
        <w:t>95.</w:t>
      </w:r>
      <w:r>
        <w:tab/>
      </w:r>
      <w:r w:rsidRPr="00762475">
        <w:t>С 1 января 2015 г</w:t>
      </w:r>
      <w:r>
        <w:t>ода</w:t>
      </w:r>
      <w:r w:rsidRPr="00762475">
        <w:t xml:space="preserve"> для иностранных работников, временно пребывающих в Российской Федерации, установлено право на получение страхового обеспечения в виде пособия по временной нетрудоспособности при условии уплаты работодателями за них страховых взносов (по пониженному тарифу) в Фонд социального страхования Российской Федерации за период не менее шести месяцев, предшествующих месяцу, в котором наступил страховой случай.</w:t>
      </w:r>
    </w:p>
    <w:p w14:paraId="77F00B64" w14:textId="77777777" w:rsidR="00634B85" w:rsidRPr="00762475" w:rsidRDefault="00634B85" w:rsidP="00634B85">
      <w:pPr>
        <w:pStyle w:val="SingleTxtG"/>
      </w:pPr>
      <w:r w:rsidRPr="00762475">
        <w:t>96.</w:t>
      </w:r>
      <w:r>
        <w:tab/>
      </w:r>
      <w:r w:rsidRPr="00762475">
        <w:t>Право на получение пособий в связи с материнством (пособие по беременности и родам, единовременное пособие при рождении ребенка, ежемесячное пособие по уходу за ребенком до 1,5 лет) предоставляется иностранным работникам после приобретения ими статуса временно или постоянно проживающих на территории Российской Федерации.</w:t>
      </w:r>
    </w:p>
    <w:p w14:paraId="4EF1FCE1" w14:textId="77777777" w:rsidR="00634B85" w:rsidRPr="00762475" w:rsidRDefault="00634B85" w:rsidP="00634B85">
      <w:pPr>
        <w:pStyle w:val="SingleTxtG"/>
      </w:pPr>
      <w:r w:rsidRPr="00762475">
        <w:t>97.</w:t>
      </w:r>
      <w:r>
        <w:tab/>
      </w:r>
      <w:r w:rsidRPr="00762475">
        <w:t>Также наравне с гражданами Российской Федерации иностранные граждане и лица без гражданства подлежат обязательному страхованию от несчастных случаев на производстве и профессиональных заболеваний, если иное не предусмотрено федеральными законами или международными договорами Российской Федерации.</w:t>
      </w:r>
    </w:p>
    <w:p w14:paraId="347F1FD4" w14:textId="77777777" w:rsidR="00634B85" w:rsidRPr="00762475" w:rsidRDefault="00634B85" w:rsidP="00634B85">
      <w:pPr>
        <w:pStyle w:val="SingleTxtG"/>
      </w:pPr>
      <w:r w:rsidRPr="00762475">
        <w:t>98.</w:t>
      </w:r>
      <w:r>
        <w:tab/>
      </w:r>
      <w:r w:rsidRPr="00762475">
        <w:t>Таким образом, трудящиеся-мигранты и иностранные граждане, постоянно или временно проживающие в Российской Федерации, подлежат обязательному социальному страхованию наравне с гражданами Российской Федерации.</w:t>
      </w:r>
    </w:p>
    <w:p w14:paraId="0BF4C490" w14:textId="77777777" w:rsidR="00634B85" w:rsidRPr="00762475" w:rsidRDefault="00634B85" w:rsidP="00634B85">
      <w:pPr>
        <w:pStyle w:val="SingleTxtG"/>
      </w:pPr>
      <w:r w:rsidRPr="00762475">
        <w:t>99.</w:t>
      </w:r>
      <w:r>
        <w:tab/>
      </w:r>
      <w:r w:rsidRPr="00762475">
        <w:t>В соответствии с частью 3 статьи 62 Конституции Российской Федерации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482572CC" w14:textId="77777777" w:rsidR="00634B85" w:rsidRPr="00762475" w:rsidRDefault="00634B85" w:rsidP="00634B85">
      <w:pPr>
        <w:pStyle w:val="SingleTxtG"/>
      </w:pPr>
      <w:r w:rsidRPr="00762475">
        <w:t>100.</w:t>
      </w:r>
      <w:r>
        <w:tab/>
      </w:r>
      <w:r w:rsidRPr="00762475">
        <w:t>Особенности регулирования труда иностранных работников определены в главе 50.1 ТК РФ.</w:t>
      </w:r>
    </w:p>
    <w:p w14:paraId="5FB1D592" w14:textId="77777777" w:rsidR="00634B85" w:rsidRPr="00762475" w:rsidRDefault="00634B85" w:rsidP="00634B85">
      <w:pPr>
        <w:pStyle w:val="SingleTxtG"/>
      </w:pPr>
      <w:r w:rsidRPr="00762475">
        <w:t>101.</w:t>
      </w:r>
      <w:r>
        <w:tab/>
      </w:r>
      <w:r w:rsidRPr="00762475">
        <w:t>ТК РФ распространяет на трудовые отношения с участием иностранных граждан действие трудового законодательства и иных актов, содержащих нормы трудового права, если иное не предусмотрено самим ТК РФ, другими федеральными законами или международным договором Российской Федерации (часть 5 статьи 11 и часть 1 статьи 327.1 ТК РФ).</w:t>
      </w:r>
    </w:p>
    <w:p w14:paraId="445B3D99" w14:textId="77777777" w:rsidR="00634B85" w:rsidRDefault="00634B85" w:rsidP="00634B85">
      <w:pPr>
        <w:pStyle w:val="SingleTxtG"/>
      </w:pPr>
      <w:r w:rsidRPr="00762475">
        <w:t>102.</w:t>
      </w:r>
      <w:r>
        <w:tab/>
      </w:r>
      <w:r w:rsidRPr="00762475">
        <w:t>Приведенные нормы означают, что иностранные граждане и лиц без гражданства имеют равные трудовые права с гражданами Российской Федерации.</w:t>
      </w:r>
    </w:p>
    <w:p w14:paraId="7B56DE36" w14:textId="77777777" w:rsidR="00634B85" w:rsidRPr="00762475" w:rsidRDefault="00634B85" w:rsidP="00634B85">
      <w:pPr>
        <w:pStyle w:val="HChG"/>
      </w:pPr>
      <w:r>
        <w:lastRenderedPageBreak/>
        <w:tab/>
      </w:r>
      <w:r>
        <w:tab/>
      </w:r>
      <w:r w:rsidRPr="00762475">
        <w:t>Статья 8</w:t>
      </w:r>
    </w:p>
    <w:p w14:paraId="4E97B055" w14:textId="77777777" w:rsidR="00634B85" w:rsidRPr="00762475" w:rsidRDefault="00634B85" w:rsidP="00634B85">
      <w:pPr>
        <w:pStyle w:val="H1G"/>
      </w:pPr>
      <w:r>
        <w:tab/>
      </w:r>
      <w:r>
        <w:tab/>
      </w:r>
      <w:r w:rsidRPr="002800DE">
        <w:t>Последующая информация в связи с пунктами</w:t>
      </w:r>
      <w:r w:rsidRPr="00762475">
        <w:t xml:space="preserve"> 34 и 35 заключительных замечаний КЭСКП</w:t>
      </w:r>
    </w:p>
    <w:p w14:paraId="2C548A51" w14:textId="77777777" w:rsidR="00634B85" w:rsidRPr="00762475" w:rsidRDefault="00634B85" w:rsidP="00634B85">
      <w:pPr>
        <w:pStyle w:val="SingleTxtG"/>
        <w:rPr>
          <w:b/>
        </w:rPr>
      </w:pPr>
      <w:r w:rsidRPr="00762475">
        <w:t>103.</w:t>
      </w:r>
      <w:r>
        <w:tab/>
      </w:r>
      <w:r w:rsidRPr="00762475">
        <w:t>Право на забастовку является конституционным правом (статья 37 Конституции Российской Федерации).</w:t>
      </w:r>
    </w:p>
    <w:p w14:paraId="424B0C4F" w14:textId="77777777" w:rsidR="00634B85" w:rsidRPr="00762475" w:rsidRDefault="00634B85" w:rsidP="00634B85">
      <w:pPr>
        <w:pStyle w:val="SingleTxtG"/>
      </w:pPr>
      <w:r w:rsidRPr="00762475">
        <w:t>104.</w:t>
      </w:r>
      <w:r>
        <w:tab/>
      </w:r>
      <w:r w:rsidRPr="00762475">
        <w:t>Также статьей 409 ТК РФ признается право работников на забастовку как способ разрешения коллективного трудового спора.</w:t>
      </w:r>
    </w:p>
    <w:p w14:paraId="54240618" w14:textId="77777777" w:rsidR="00634B85" w:rsidRPr="00762475" w:rsidRDefault="00634B85" w:rsidP="00634B85">
      <w:pPr>
        <w:pStyle w:val="SingleTxtG"/>
      </w:pPr>
      <w:r w:rsidRPr="00762475">
        <w:t>105.</w:t>
      </w:r>
      <w:r>
        <w:tab/>
      </w:r>
      <w:r w:rsidRPr="00762475">
        <w:t>Участие в забастовке является добровольным. Никто не может быть принужден к участию или отказу от участия в забастовке.</w:t>
      </w:r>
    </w:p>
    <w:p w14:paraId="050AA6EE" w14:textId="77777777" w:rsidR="00634B85" w:rsidRPr="00762475" w:rsidRDefault="00634B85" w:rsidP="00634B85">
      <w:pPr>
        <w:pStyle w:val="SingleTxtG"/>
      </w:pPr>
      <w:r w:rsidRPr="00762475">
        <w:t>106.</w:t>
      </w:r>
      <w:r>
        <w:tab/>
      </w:r>
      <w:r w:rsidRPr="00762475">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ТК РФ и иными федеральными законами.</w:t>
      </w:r>
    </w:p>
    <w:p w14:paraId="04B2B4A2" w14:textId="77777777" w:rsidR="00634B85" w:rsidRPr="00762475" w:rsidRDefault="00634B85" w:rsidP="00634B85">
      <w:pPr>
        <w:pStyle w:val="SingleTxtG"/>
      </w:pPr>
      <w:r w:rsidRPr="00762475">
        <w:t>107.</w:t>
      </w:r>
      <w:r>
        <w:tab/>
      </w:r>
      <w:r w:rsidRPr="00762475">
        <w:t>В соответствии со статьей 26 Федерального закона от 10 января 2003 г</w:t>
      </w:r>
      <w:r>
        <w:t>ода</w:t>
      </w:r>
      <w:r w:rsidRPr="00762475">
        <w:t xml:space="preserve"> </w:t>
      </w:r>
      <w:r>
        <w:br/>
      </w:r>
      <w:r w:rsidRPr="00762475">
        <w:t>№ 17-ФЗ «О железнодорожном транспорте в Российской Федерации» забастовка как средство разрешения коллективных трудовых споров работниками железнодорожного транспорта общего пользования, деятельность которых связана с движением поездов, маневровой работой, а также с обслуживанием пассажиров, грузоотправителей (отправителей) и грузополучателей (получателей) на железнодорожном транспорте общего пользования и перечень профессий которых определяется федеральным законом, является незаконной и не допускается.</w:t>
      </w:r>
    </w:p>
    <w:p w14:paraId="56C858DB" w14:textId="77777777" w:rsidR="00634B85" w:rsidRPr="00762475" w:rsidRDefault="00634B85" w:rsidP="00634B85">
      <w:pPr>
        <w:pStyle w:val="SingleTxtG"/>
      </w:pPr>
      <w:r w:rsidRPr="00762475">
        <w:t>108.</w:t>
      </w:r>
      <w:r>
        <w:tab/>
      </w:r>
      <w:r w:rsidRPr="00762475">
        <w:t>Статьей 413 ТК РФ установлено, что в соответствии со статьей 55 Конституции Российской Федерации являются незаконными и не допускаются забастовки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14:paraId="5F05B7A0" w14:textId="77777777" w:rsidR="00634B85" w:rsidRPr="00762475" w:rsidRDefault="00634B85" w:rsidP="00634B85">
      <w:pPr>
        <w:pStyle w:val="SingleTxtG"/>
      </w:pPr>
      <w:r w:rsidRPr="00762475">
        <w:t>109.</w:t>
      </w:r>
      <w:r>
        <w:tab/>
      </w:r>
      <w:r w:rsidRPr="00762475">
        <w:t>Приказом Министерства транспорта Российской Федерации от 7 октября 2003</w:t>
      </w:r>
      <w:r>
        <w:rPr>
          <w:lang w:val="en-US"/>
        </w:rPr>
        <w:t> </w:t>
      </w:r>
      <w:r w:rsidRPr="00762475">
        <w:t>г</w:t>
      </w:r>
      <w:r>
        <w:t>ода</w:t>
      </w:r>
      <w:r w:rsidRPr="00762475">
        <w:t xml:space="preserve"> №</w:t>
      </w:r>
      <w:r>
        <w:t> </w:t>
      </w:r>
      <w:r w:rsidRPr="00762475">
        <w:t>197 утвержден перечень минимума необходимых работ (услуг), обеспечиваемых в период проведения забастовок в организациях (филиалах и представительствах) транспортного комплекса.</w:t>
      </w:r>
    </w:p>
    <w:p w14:paraId="79626ECE" w14:textId="77777777" w:rsidR="00634B85" w:rsidRPr="00762475" w:rsidRDefault="00634B85" w:rsidP="00634B85">
      <w:pPr>
        <w:pStyle w:val="SingleTxtG"/>
      </w:pPr>
      <w:r w:rsidRPr="00762475">
        <w:t>110.</w:t>
      </w:r>
      <w:r>
        <w:tab/>
      </w:r>
      <w:r w:rsidRPr="00762475">
        <w:t>В соответствии с пунктом 15 части 1 статьи 17 Федерального закона от 27 июля 2004 г</w:t>
      </w:r>
      <w:r>
        <w:t>ода</w:t>
      </w:r>
      <w:r w:rsidRPr="00762475">
        <w:t xml:space="preserve"> № 79-ФЗ «О государственной гражданской службе Российской Федерации» (далее </w:t>
      </w:r>
      <w:r w:rsidRPr="00215773">
        <w:t>—</w:t>
      </w:r>
      <w:r w:rsidRPr="00762475">
        <w:t xml:space="preserve"> Федеральный закон № 79-ФЗ) в связи с прохождением государственной гражданской службы Российской Федерации (далее </w:t>
      </w:r>
      <w:r w:rsidRPr="00215773">
        <w:t>—</w:t>
      </w:r>
      <w:r w:rsidRPr="00762475">
        <w:t xml:space="preserve"> гражданская служба) гражданскому служащему запрещается прекращать исполнение должностных обязанностей в целях урегулирования служебного спора.</w:t>
      </w:r>
    </w:p>
    <w:p w14:paraId="5041D470" w14:textId="77777777" w:rsidR="00634B85" w:rsidRPr="00762475" w:rsidRDefault="00634B85" w:rsidP="00634B85">
      <w:pPr>
        <w:pStyle w:val="SingleTxtG"/>
      </w:pPr>
      <w:r w:rsidRPr="00762475">
        <w:t>111.</w:t>
      </w:r>
      <w:r>
        <w:tab/>
      </w:r>
      <w:r w:rsidRPr="00762475">
        <w:t>Установление указанного запрета обусловлено спецификой осуществления функций государственного управления, необходимостью постоянного и беспрерывного исполнения функций и полномочий государственных органов, которое непосредственно обеспечивается институтом гражданской службы.</w:t>
      </w:r>
    </w:p>
    <w:p w14:paraId="087FB36B" w14:textId="77777777" w:rsidR="00634B85" w:rsidRDefault="00634B85" w:rsidP="00634B85">
      <w:pPr>
        <w:pStyle w:val="SingleTxtG"/>
      </w:pPr>
      <w:r w:rsidRPr="00762475">
        <w:t>112.</w:t>
      </w:r>
      <w:r>
        <w:tab/>
      </w:r>
      <w:r w:rsidRPr="00762475">
        <w:t>Таким образом, ограничение права гражданского служащего на прекращение исполнения должностных обязанностей в целях урегулирования служебного спора непосредственно связано с его особым статусом. Служебная деятельность гражданских служащих направлена на обеспечение реализации возложенных на государственные органы функций государства, приостановление исполнения которых невозможно в силу их первостепенной важности для страны и общества.</w:t>
      </w:r>
    </w:p>
    <w:p w14:paraId="2612C479" w14:textId="77777777" w:rsidR="00634B85" w:rsidRPr="00762475" w:rsidRDefault="00634B85" w:rsidP="00634B85">
      <w:pPr>
        <w:pStyle w:val="HChG"/>
      </w:pPr>
      <w:r>
        <w:lastRenderedPageBreak/>
        <w:tab/>
      </w:r>
      <w:r>
        <w:tab/>
      </w:r>
      <w:r w:rsidRPr="00762475">
        <w:t>Статья 9</w:t>
      </w:r>
    </w:p>
    <w:p w14:paraId="39081D11" w14:textId="77777777" w:rsidR="00634B85" w:rsidRPr="00762475" w:rsidRDefault="00634B85" w:rsidP="00634B85">
      <w:pPr>
        <w:pStyle w:val="H1G"/>
      </w:pPr>
      <w:r>
        <w:tab/>
      </w:r>
      <w:r>
        <w:tab/>
      </w:r>
      <w:r w:rsidRPr="002800DE">
        <w:t>Последующая информация в связи с пункт</w:t>
      </w:r>
      <w:r>
        <w:t>ом</w:t>
      </w:r>
      <w:r w:rsidRPr="00762475">
        <w:t xml:space="preserve"> 36 заключительных замечаний КЭСКП</w:t>
      </w:r>
    </w:p>
    <w:p w14:paraId="074FD71E" w14:textId="77777777" w:rsidR="00634B85" w:rsidRPr="00762475" w:rsidRDefault="00634B85" w:rsidP="00634B85">
      <w:pPr>
        <w:pStyle w:val="SingleTxtG"/>
      </w:pPr>
      <w:r w:rsidRPr="00762475">
        <w:t>113.</w:t>
      </w:r>
      <w:r>
        <w:tab/>
      </w:r>
      <w:r w:rsidRPr="00762475">
        <w:t>В Российской Федерации исторически сложилась пенсионная система, охватывающая 100</w:t>
      </w:r>
      <w:r>
        <w:t> %</w:t>
      </w:r>
      <w:r w:rsidRPr="00762475">
        <w:t xml:space="preserve"> граждан: все имеют право либо на страховые пенсии, либо на пенсии в рамках государственного пенсионного обеспечения. Таким образом, в Российской Федерации нет ситуации, при которой государство не выплачивает пенсию пожилым, инвалидам или потерявшим кормильца.</w:t>
      </w:r>
    </w:p>
    <w:p w14:paraId="1CFC4762" w14:textId="77777777" w:rsidR="00634B85" w:rsidRPr="00762475" w:rsidRDefault="00634B85" w:rsidP="00634B85">
      <w:pPr>
        <w:pStyle w:val="SingleTxtG"/>
      </w:pPr>
      <w:r w:rsidRPr="00762475">
        <w:t>114.</w:t>
      </w:r>
      <w:r>
        <w:tab/>
      </w:r>
      <w:r w:rsidRPr="00762475">
        <w:t>С 2002 г</w:t>
      </w:r>
      <w:r>
        <w:t>ода</w:t>
      </w:r>
      <w:r w:rsidRPr="00762475">
        <w:t xml:space="preserve"> в России действует пенсионная модель, основанная на страховых принципах. Таким образом, была внедрена новая модель, которая включила в себя обязательное пенсионное страхование, государственное пенсионное обеспечение и дополнительное негосударственное пенсионное страхование.</w:t>
      </w:r>
    </w:p>
    <w:p w14:paraId="154B37E5" w14:textId="77777777" w:rsidR="00634B85" w:rsidRPr="00762475" w:rsidRDefault="00634B85" w:rsidP="00634B85">
      <w:pPr>
        <w:pStyle w:val="SingleTxtG"/>
      </w:pPr>
      <w:r w:rsidRPr="00762475">
        <w:t>115.</w:t>
      </w:r>
      <w:r>
        <w:tab/>
      </w:r>
      <w:r w:rsidRPr="00762475">
        <w:t xml:space="preserve">Обязательное пенсионное страхование в Российской Федерации осуществляется страховщиком, которым является Пенсионный фонд Российской Федерации (далее </w:t>
      </w:r>
      <w:r w:rsidRPr="00215773">
        <w:t>—</w:t>
      </w:r>
      <w:r w:rsidRPr="00762475">
        <w:t xml:space="preserve"> ПФР). ПФР </w:t>
      </w:r>
      <w:r w:rsidRPr="00215773">
        <w:t>—</w:t>
      </w:r>
      <w:r w:rsidRPr="00762475">
        <w:t xml:space="preserve"> это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w:t>
      </w:r>
    </w:p>
    <w:p w14:paraId="01AC1600" w14:textId="77777777" w:rsidR="00634B85" w:rsidRPr="00762475" w:rsidRDefault="00634B85" w:rsidP="00634B85">
      <w:pPr>
        <w:pStyle w:val="SingleTxtG"/>
      </w:pPr>
      <w:r w:rsidRPr="00762475">
        <w:t>116.</w:t>
      </w:r>
      <w:r>
        <w:tab/>
      </w:r>
      <w:r w:rsidRPr="00762475">
        <w:t>Также выплачивается пенсия по государственному пенсионному обеспечению,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14:paraId="41D4AE41" w14:textId="77777777" w:rsidR="00634B85" w:rsidRPr="00762475" w:rsidRDefault="00634B85" w:rsidP="00634B85">
      <w:pPr>
        <w:pStyle w:val="SingleTxtG"/>
      </w:pPr>
      <w:r w:rsidRPr="00762475">
        <w:t>117.</w:t>
      </w:r>
      <w:r>
        <w:tab/>
      </w:r>
      <w:r w:rsidRPr="00762475">
        <w:t>Основной задачей Федерального закона от 3 октября 2018 г</w:t>
      </w:r>
      <w:r>
        <w:t>ода</w:t>
      </w:r>
      <w:r w:rsidRPr="00762475">
        <w:t xml:space="preserve"> № 350-ФЗ </w:t>
      </w:r>
      <w:r>
        <w:br/>
      </w:r>
      <w:r w:rsidRPr="00762475">
        <w:t xml:space="preserve">«О внесении изменений в отдельные законодательные акты Российской Федерации по вопросам назначения и выплаты пенсии» (далее </w:t>
      </w:r>
      <w:r w:rsidRPr="00215773">
        <w:t>—</w:t>
      </w:r>
      <w:r w:rsidRPr="00762475">
        <w:t xml:space="preserve"> Федеральный закон № 350-ФЗ) является обеспечение устойчивости и финансовой стабильности пенсионной системы на долгие годы вперед, что означает не только сохранение, но и рост пенсий нынешних и будущих пенсионеров.</w:t>
      </w:r>
    </w:p>
    <w:p w14:paraId="172DCC8F" w14:textId="77777777" w:rsidR="00634B85" w:rsidRPr="00762475" w:rsidRDefault="00634B85" w:rsidP="00634B85">
      <w:pPr>
        <w:pStyle w:val="SingleTxtG"/>
      </w:pPr>
      <w:r w:rsidRPr="00762475">
        <w:t>118.</w:t>
      </w:r>
      <w:r>
        <w:tab/>
      </w:r>
      <w:r w:rsidRPr="00762475">
        <w:t>Согласно изменениям, внесенным Федеральным законом №</w:t>
      </w:r>
      <w:r w:rsidRPr="00762475">
        <w:rPr>
          <w:lang w:val="en-US"/>
        </w:rPr>
        <w:t> </w:t>
      </w:r>
      <w:r w:rsidRPr="00762475">
        <w:t>350-ФЗ в Федеральный закон от 28 декабря 2013 г</w:t>
      </w:r>
      <w:r>
        <w:t>ода</w:t>
      </w:r>
      <w:r w:rsidRPr="00762475">
        <w:t xml:space="preserve"> № 400-ФЗ «О страховых пенсиях», закрепляется общеустановленный пенсионный возраст, дающий право на страховую пенсию по старости на уровне 65 лет для мужчин и 60</w:t>
      </w:r>
      <w:r w:rsidRPr="00762475">
        <w:rPr>
          <w:lang w:val="en-US"/>
        </w:rPr>
        <w:t> </w:t>
      </w:r>
      <w:r w:rsidRPr="00762475">
        <w:t>лет для женщин. Повышение пенсионного возраста осуществляется постепенно: предполагается переходный период, который продлится 10 лет: с 1 января 2019 г</w:t>
      </w:r>
      <w:r>
        <w:t>ода</w:t>
      </w:r>
      <w:r w:rsidRPr="00762475">
        <w:t xml:space="preserve"> и завершится в 2028 г</w:t>
      </w:r>
      <w:r>
        <w:t>оду</w:t>
      </w:r>
      <w:r w:rsidRPr="00762475">
        <w:t>.</w:t>
      </w:r>
    </w:p>
    <w:p w14:paraId="530D455E" w14:textId="77777777" w:rsidR="00634B85" w:rsidRPr="00762475" w:rsidRDefault="00634B85" w:rsidP="00634B85">
      <w:pPr>
        <w:pStyle w:val="SingleTxtG"/>
      </w:pPr>
      <w:r w:rsidRPr="00762475">
        <w:t>119.</w:t>
      </w:r>
      <w:r>
        <w:tab/>
      </w:r>
      <w:r w:rsidRPr="00762475">
        <w:t>Согласно Федеральному закону от 15 декабря 2001 г</w:t>
      </w:r>
      <w:r>
        <w:t>ода</w:t>
      </w:r>
      <w:r w:rsidRPr="00762475">
        <w:t xml:space="preserve"> № 166-ФЗ </w:t>
      </w:r>
      <w:r>
        <w:br/>
      </w:r>
      <w:r w:rsidRPr="00762475">
        <w:t>«О государственном пенсионном обеспечении в Российской Федерации» право на социальную пенсию по старости имеют граждане Российской Федерации, достигшие возраста 70 и 65 лет, соответственно мужчины и женщины (с учетом переходного периода, определенного Федеральным законом № 350-ФЗ).</w:t>
      </w:r>
    </w:p>
    <w:p w14:paraId="3F2B0290" w14:textId="77777777" w:rsidR="00634B85" w:rsidRPr="00762475" w:rsidRDefault="00634B85" w:rsidP="00634B85">
      <w:pPr>
        <w:pStyle w:val="SingleTxtG"/>
      </w:pPr>
      <w:r w:rsidRPr="00762475">
        <w:t>120.</w:t>
      </w:r>
      <w:r>
        <w:tab/>
      </w:r>
      <w:r w:rsidRPr="00762475">
        <w:t>Согласно Федеральному закону от 28 декабря 2013 г</w:t>
      </w:r>
      <w:r>
        <w:t>ода</w:t>
      </w:r>
      <w:r w:rsidRPr="00762475">
        <w:t xml:space="preserve"> № 400-ФЗ </w:t>
      </w:r>
      <w:r>
        <w:br/>
      </w:r>
      <w:r w:rsidRPr="00762475">
        <w:t>«О страховых пенсиях» для граждан, принявших решение работать после достижения пенсионного возраста и отсрочить назначение пенсии, предусмотрено ее установление в более высоком размере за счет установления специального порядка перерасчета пенсионных прав, а в отношении лиц, уже находящихся на пенсии, предоставлена возможность отказаться от получения назначенной пенсии (на определенный срок) также с целью увеличения ее размера.</w:t>
      </w:r>
    </w:p>
    <w:p w14:paraId="700E18DD" w14:textId="77777777" w:rsidR="00634B85" w:rsidRPr="00762475" w:rsidRDefault="00634B85" w:rsidP="00634B85">
      <w:pPr>
        <w:pStyle w:val="SingleTxtG"/>
      </w:pPr>
      <w:r w:rsidRPr="00762475">
        <w:lastRenderedPageBreak/>
        <w:t>121.</w:t>
      </w:r>
      <w:r>
        <w:tab/>
      </w:r>
      <w:r w:rsidRPr="00762475">
        <w:t>Исходя из необходимости обеспечения минимального материального обеспечения пенсионеров, проживающих на территории Российской Федерации, не осуществляющих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w:t>
      </w:r>
      <w:r>
        <w:t>ода</w:t>
      </w:r>
      <w:r w:rsidRPr="00762475">
        <w:t xml:space="preserve"> № 167-ФЗ «Об обязательном пенсионном страховании в Российской Федерации», положениями статьи 12 Федерального закона от 17 июля 1999 г</w:t>
      </w:r>
      <w:r>
        <w:t>ода</w:t>
      </w:r>
      <w:r w:rsidRPr="00762475">
        <w:t xml:space="preserve"> № 178-ФЗ «О государственной социальной помощи» предусмотрено установление данной категории граждан социальных доплат к пенсии (федеральной или региональной) в случае, если сумма их материального обеспечения не достигает величины прожиточного минимума пенсионера, установленной в субъекте Российской Федерации.</w:t>
      </w:r>
    </w:p>
    <w:p w14:paraId="67DCCC38" w14:textId="77777777" w:rsidR="00634B85" w:rsidRPr="00762475" w:rsidRDefault="00634B85" w:rsidP="00634B85">
      <w:pPr>
        <w:pStyle w:val="SingleTxtG"/>
      </w:pPr>
      <w:r w:rsidRPr="00762475">
        <w:t>122.</w:t>
      </w:r>
      <w:r>
        <w:tab/>
      </w:r>
      <w:r w:rsidRPr="00762475">
        <w:t>В соответствии с частями 14 и 15 статьи 17 Федерального закона от 28 декабря 2013</w:t>
      </w:r>
      <w:r>
        <w:rPr>
          <w:lang w:val="en-US"/>
        </w:rPr>
        <w:t> </w:t>
      </w:r>
      <w:r w:rsidRPr="00762475">
        <w:t>г</w:t>
      </w:r>
      <w:r>
        <w:t>ода</w:t>
      </w:r>
      <w:r w:rsidRPr="00762475">
        <w:t xml:space="preserve"> № 400-ФЗ «О страховых пенсиях» лицам, проработавшим не менее </w:t>
      </w:r>
      <w:r>
        <w:br/>
      </w:r>
      <w:r w:rsidRPr="00762475">
        <w:t>30</w:t>
      </w:r>
      <w:r w:rsidRPr="00470647">
        <w:t xml:space="preserve"> </w:t>
      </w:r>
      <w:r w:rsidRPr="00762475">
        <w:t>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устанавливается повышение фиксированной выплаты к страховой пенсии по старости и к страховой пенсии по инвалидности в размере 25</w:t>
      </w:r>
      <w:r>
        <w:rPr>
          <w:lang w:val="en-US"/>
        </w:rPr>
        <w:t> </w:t>
      </w:r>
      <w:r w:rsidRPr="00762475">
        <w:t>% суммы установленной фиксированной выплаты к соответствующей страховой пенсии на весь период их проживания в сельской местности.</w:t>
      </w:r>
    </w:p>
    <w:p w14:paraId="1C937CF4" w14:textId="77777777" w:rsidR="00634B85" w:rsidRPr="00762475" w:rsidRDefault="00634B85" w:rsidP="00634B85">
      <w:pPr>
        <w:pStyle w:val="SingleTxtG"/>
      </w:pPr>
      <w:r w:rsidRPr="00762475">
        <w:t>123.</w:t>
      </w:r>
      <w:r>
        <w:tab/>
      </w:r>
      <w:r w:rsidRPr="00762475">
        <w:t xml:space="preserve">Федеральный закон от 24.07.1998 125-ФЗ «Об обязательном социальном страховании от несчастных случаев на производстве и профессиональных заболеваний» (далее </w:t>
      </w:r>
      <w:r w:rsidRPr="00215773">
        <w:t>—</w:t>
      </w:r>
      <w:r w:rsidRPr="00762475">
        <w:t xml:space="preserve"> Федеральный закон № 125-ФЗ) устанавливает</w:t>
      </w:r>
      <w:r w:rsidRPr="00762475">
        <w:rPr>
          <w:b/>
        </w:rPr>
        <w:t xml:space="preserve"> </w:t>
      </w:r>
      <w:r w:rsidRPr="00762475">
        <w:t>организационные, правовые и финансовые основы системы обязательного социального страхования от несчастных случаев на производстве и профессиональных заболеваний, направленной на компенсацию или минимизацию последствий изменения материального и (или) социального положения работающих граждан при наступлении страхового случая.</w:t>
      </w:r>
    </w:p>
    <w:p w14:paraId="612D52BD" w14:textId="77777777" w:rsidR="00634B85" w:rsidRPr="00762475" w:rsidRDefault="00634B85" w:rsidP="00634B85">
      <w:pPr>
        <w:pStyle w:val="SingleTxtG"/>
      </w:pPr>
      <w:r w:rsidRPr="00762475">
        <w:t>124.</w:t>
      </w:r>
      <w:r>
        <w:tab/>
      </w:r>
      <w:r w:rsidRPr="00762475">
        <w:t>Обязательному страхованию от несчастных случаев на производстве и профессиональных заболеваний подлежат следующие категории физических лиц:</w:t>
      </w:r>
    </w:p>
    <w:p w14:paraId="22CBFC0C"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физические лица, выполняющие работу на основании трудового договора, заключенного со страхователем;</w:t>
      </w:r>
    </w:p>
    <w:p w14:paraId="0691149B"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физические лица, осужденные к лишению свободы и привлекаемые к труду страхователем;</w:t>
      </w:r>
    </w:p>
    <w:p w14:paraId="06D03349"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14:paraId="7C4C3B1A" w14:textId="77777777" w:rsidR="00634B85" w:rsidRPr="00762475" w:rsidRDefault="00634B85" w:rsidP="00634B85">
      <w:pPr>
        <w:pStyle w:val="SingleTxtG"/>
      </w:pPr>
      <w:r w:rsidRPr="00762475">
        <w:t>125.</w:t>
      </w:r>
      <w:r>
        <w:tab/>
      </w:r>
      <w:r w:rsidRPr="00762475">
        <w:t>Обязательному страхованию от несчастных случаев на производстве и профессиональных заболеваний подлежат наравне с гражданами Российской Федерации также иностранные граждане и лица без гражданства, если иное не предусмотрено федеральными законами или международными договорами Российской Федерации.</w:t>
      </w:r>
    </w:p>
    <w:p w14:paraId="13844E82" w14:textId="77777777" w:rsidR="00634B85" w:rsidRPr="00762475" w:rsidRDefault="00634B85" w:rsidP="00634B85">
      <w:pPr>
        <w:pStyle w:val="SingleTxtG"/>
      </w:pPr>
      <w:r w:rsidRPr="00762475">
        <w:t>126.</w:t>
      </w:r>
      <w:r>
        <w:tab/>
      </w:r>
      <w:r w:rsidRPr="00762475">
        <w:t>Обеспечение по страхованию в связи с несчастным случаем на производстве или профессиональным заболеванием осуществляется в виде:</w:t>
      </w:r>
    </w:p>
    <w:p w14:paraId="55C480A8"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пособия по временной нетрудоспособности;</w:t>
      </w:r>
    </w:p>
    <w:p w14:paraId="6E88860B"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единовременной страховой выплаты;</w:t>
      </w:r>
    </w:p>
    <w:p w14:paraId="068B4C1C"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ежемесячной страховой выплаты;</w:t>
      </w:r>
    </w:p>
    <w:p w14:paraId="28F3883E"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оплаты дополнительных расходов, связанных с медицинской, социальной и профессиональной реабилитацией застрахованного.</w:t>
      </w:r>
    </w:p>
    <w:p w14:paraId="21BE8399" w14:textId="77777777" w:rsidR="00634B85" w:rsidRPr="00762475" w:rsidRDefault="00634B85" w:rsidP="00634B85">
      <w:pPr>
        <w:pStyle w:val="SingleTxtG"/>
      </w:pPr>
      <w:r w:rsidRPr="00762475">
        <w:t>127.</w:t>
      </w:r>
      <w:r>
        <w:tab/>
      </w:r>
      <w:r w:rsidRPr="00762475">
        <w:t>Обеспечение по страхованию предоставляется и в случае смерти кормильца (застрахованного) лицам, имеющим право на страховые выплаты в связи со смертью застрахованного.</w:t>
      </w:r>
    </w:p>
    <w:p w14:paraId="24CB4C97" w14:textId="77777777" w:rsidR="00634B85" w:rsidRPr="00762475" w:rsidRDefault="00634B85" w:rsidP="00634B85">
      <w:pPr>
        <w:pStyle w:val="SingleTxtG"/>
      </w:pPr>
      <w:r w:rsidRPr="00762475">
        <w:lastRenderedPageBreak/>
        <w:t>128.</w:t>
      </w:r>
      <w:r>
        <w:tab/>
      </w:r>
      <w:r w:rsidRPr="00762475">
        <w:t>Источником финансового обеспечения системы обязательного социального страхования от несчастных случаев на производстве и профессиональных заболеваний являются страховые взносы, уплачиваемые страхователями (работодателями) в Фонд социального страхования Российской Федерации в зависимости от видов экономической деятельности.</w:t>
      </w:r>
    </w:p>
    <w:p w14:paraId="264605B0" w14:textId="77777777" w:rsidR="00634B85" w:rsidRPr="00762475" w:rsidRDefault="00634B85" w:rsidP="00634B85">
      <w:pPr>
        <w:pStyle w:val="SingleTxtG"/>
      </w:pPr>
      <w:r w:rsidRPr="00762475">
        <w:t>129.</w:t>
      </w:r>
      <w:r>
        <w:tab/>
      </w:r>
      <w:r w:rsidRPr="00762475">
        <w:t>Федеральный закон от 29 декабря 2006 г</w:t>
      </w:r>
      <w:r>
        <w:t>ода</w:t>
      </w:r>
      <w:r w:rsidRPr="00762475">
        <w:t xml:space="preserve"> № 255-ФЗ «Об обязательном социальном страховании на случай временной нетрудоспособности и в связи с материнством» регулирует правоотношения в системе обязательного социального страхования на случай временной нетрудоспособности и в связи с материнством.</w:t>
      </w:r>
    </w:p>
    <w:p w14:paraId="6754F9B1" w14:textId="77777777" w:rsidR="00634B85" w:rsidRPr="00762475" w:rsidRDefault="00634B85" w:rsidP="00634B85">
      <w:pPr>
        <w:pStyle w:val="SingleTxtG"/>
      </w:pPr>
      <w:r w:rsidRPr="00762475">
        <w:t>130.</w:t>
      </w:r>
      <w:r>
        <w:tab/>
      </w:r>
      <w:r w:rsidRPr="00762475">
        <w:t>Страховыми случаями в соответствии с указанным федеральным законом признаются: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беременность и роды; рождение ребенка (детей); уход за ребенком до достижения им возраста полутора лет; смерть застрахованного лица или несовершеннолетнего члена его семьи.</w:t>
      </w:r>
    </w:p>
    <w:p w14:paraId="41FBE374" w14:textId="77777777" w:rsidR="00634B85" w:rsidRPr="00762475" w:rsidRDefault="00634B85" w:rsidP="00634B85">
      <w:pPr>
        <w:pStyle w:val="SingleTxtG"/>
      </w:pPr>
      <w:r w:rsidRPr="00762475">
        <w:t>131.</w:t>
      </w:r>
      <w:r>
        <w:tab/>
      </w:r>
      <w:r w:rsidRPr="00762475">
        <w:t>Видами страхового обеспечения являются следующие выплаты:</w:t>
      </w:r>
    </w:p>
    <w:p w14:paraId="77519F0C"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пособие по временной нетрудоспособности;</w:t>
      </w:r>
    </w:p>
    <w:p w14:paraId="114F7B42"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пособие по беременности и родам;</w:t>
      </w:r>
    </w:p>
    <w:p w14:paraId="31385C08"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единовременное пособие при рождении ребенка;</w:t>
      </w:r>
    </w:p>
    <w:p w14:paraId="5A2F7C91"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ежемесячное пособие по уходу за ребенком;</w:t>
      </w:r>
    </w:p>
    <w:p w14:paraId="6ACAA276"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социальное пособие на погребение.</w:t>
      </w:r>
    </w:p>
    <w:p w14:paraId="7AC77642" w14:textId="77777777" w:rsidR="00634B85" w:rsidRPr="00762475" w:rsidRDefault="00634B85" w:rsidP="00634B85">
      <w:pPr>
        <w:pStyle w:val="SingleTxtG"/>
      </w:pPr>
      <w:r w:rsidRPr="00762475">
        <w:t>132.</w:t>
      </w:r>
      <w:r>
        <w:tab/>
      </w:r>
      <w:r w:rsidRPr="00762475">
        <w:t xml:space="preserve">Источником финансового обеспечения системы обязательного социального страхования на случай временной нетрудоспособности и в связи с материнством являются страховые взносы, уплачиваемые страхователями (работодателями) в Фонд социального страхования Российской Федерации, в размере 2,9 </w:t>
      </w:r>
      <w:r w:rsidRPr="00215773">
        <w:t>%</w:t>
      </w:r>
      <w:r w:rsidRPr="00762475">
        <w:t xml:space="preserve"> от выплат и иных вознаграждений в пользу застрахованного лица.</w:t>
      </w:r>
    </w:p>
    <w:p w14:paraId="5110C9AC" w14:textId="77777777" w:rsidR="00634B85" w:rsidRPr="00762475" w:rsidRDefault="00634B85" w:rsidP="00634B85">
      <w:pPr>
        <w:pStyle w:val="SingleTxtG"/>
      </w:pPr>
      <w:r w:rsidRPr="00762475">
        <w:t>133.</w:t>
      </w:r>
      <w:r>
        <w:tab/>
      </w:r>
      <w:r w:rsidRPr="00762475">
        <w:t xml:space="preserve">Лицами, подлежащими обязательному социальному страхованию на случай временной нетрудоспособности и в связи с материнством, являются работающие по трудовым договорам граждане Российской Федерации, а также постоянно или временно проживающие на территории Российской Федерации иностранные </w:t>
      </w:r>
      <w:r>
        <w:br/>
      </w:r>
      <w:r w:rsidRPr="00762475">
        <w:t>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25.07.2002 № 115-ФЗ «О правовом положении иностранных граждан в Российской Федерации»).</w:t>
      </w:r>
    </w:p>
    <w:p w14:paraId="0C15A387" w14:textId="77777777" w:rsidR="00634B85" w:rsidRPr="00762475" w:rsidRDefault="00634B85" w:rsidP="00634B85">
      <w:pPr>
        <w:pStyle w:val="SingleTxtG"/>
      </w:pPr>
      <w:r w:rsidRPr="00762475">
        <w:t>134.</w:t>
      </w:r>
      <w:r>
        <w:tab/>
      </w:r>
      <w:r w:rsidRPr="00762475">
        <w:t>Добровольно вступать в правоотношения по обязательному социальному страхованию на случай временной нетрудоспособности и в связи с материнством имеют право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при условии уплаты страховых взносов в установленном размере (исходя из стоимости страхового года), за календарный год, предшествующий календарному году, в котором наступил страховой случай.</w:t>
      </w:r>
    </w:p>
    <w:p w14:paraId="352F35EE" w14:textId="77777777" w:rsidR="00634B85" w:rsidRPr="00762475" w:rsidRDefault="00634B85" w:rsidP="00634B85">
      <w:pPr>
        <w:pStyle w:val="SingleTxtG"/>
      </w:pPr>
      <w:r w:rsidRPr="00762475">
        <w:t>135.</w:t>
      </w:r>
      <w:r>
        <w:tab/>
      </w:r>
      <w:r w:rsidRPr="00762475">
        <w:t>Пособие по временной нетрудоспособности выплачивается в случаях:</w:t>
      </w:r>
    </w:p>
    <w:p w14:paraId="6F34B4AA"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утраты трудоспособности вследствие заболевания или травмы застрахованного лица, в том числе в связи с операцией по искусственному прерыванию беременности или осуществлением экстракорпорального оплодотворения;</w:t>
      </w:r>
    </w:p>
    <w:p w14:paraId="5403C95B"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lastRenderedPageBreak/>
        <w:t>необходимости осуществления ухода за больным членом семьи (в том числе больным ребенком);</w:t>
      </w:r>
    </w:p>
    <w:p w14:paraId="30507B9B"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карантина застрахованного лица, а также карантином ребенка в возрасте до 7</w:t>
      </w:r>
      <w:r>
        <w:rPr>
          <w:lang w:val="en-US"/>
        </w:rPr>
        <w:t> </w:t>
      </w:r>
      <w:r w:rsidRPr="00762475">
        <w:t>лет, посещающего дошкольную образовательную организацию, или другого члена семьи, признанного в установленном порядке недееспособным;</w:t>
      </w:r>
    </w:p>
    <w:p w14:paraId="1AA2B118"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осуществления протезирования по медицинским показаниям в стационарном специализированном учреждении;</w:t>
      </w:r>
    </w:p>
    <w:p w14:paraId="6E7099A4"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лечения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14:paraId="70C3240F" w14:textId="77777777" w:rsidR="00634B85" w:rsidRPr="00762475" w:rsidRDefault="00634B85" w:rsidP="00634B85">
      <w:pPr>
        <w:pStyle w:val="SingleTxtG"/>
      </w:pPr>
      <w:r w:rsidRPr="00762475">
        <w:t>13</w:t>
      </w:r>
      <w:r w:rsidRPr="00215773">
        <w:t>6</w:t>
      </w:r>
      <w:r w:rsidRPr="00762475">
        <w:t>.</w:t>
      </w:r>
      <w:r>
        <w:tab/>
      </w:r>
      <w:r w:rsidRPr="00762475">
        <w:t>Размер пособия по временной нетрудоспособности в расчете за полный календарный месяц не может быть ниже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ниже минимального размера оплаты труда, определяемого с учетом этих районных коэффициентов.</w:t>
      </w:r>
    </w:p>
    <w:p w14:paraId="094B3A7B" w14:textId="77777777" w:rsidR="00634B85" w:rsidRPr="00762475" w:rsidRDefault="00634B85" w:rsidP="00634B85">
      <w:pPr>
        <w:pStyle w:val="SingleTxtG"/>
      </w:pPr>
      <w:r w:rsidRPr="00762475">
        <w:t>137.</w:t>
      </w:r>
      <w:r>
        <w:tab/>
      </w:r>
      <w:r w:rsidRPr="00762475">
        <w:t>Пособие по беременности и родам выплачивается застрахованной женщине суммарно за весь период отпуска по беременности и родам в размере 100 % среднего заработка работающей женщины, на который начисляются 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14:paraId="260F2ADF" w14:textId="77777777" w:rsidR="00634B85" w:rsidRPr="00762475" w:rsidRDefault="00634B85" w:rsidP="00634B85">
      <w:pPr>
        <w:pStyle w:val="SingleTxtG"/>
      </w:pPr>
      <w:r w:rsidRPr="00762475">
        <w:t>138.</w:t>
      </w:r>
      <w:r>
        <w:tab/>
      </w:r>
      <w:r w:rsidRPr="00762475">
        <w:t xml:space="preserve">Продолжительность выплаты пособия по беременности и родам составляет </w:t>
      </w:r>
      <w:r>
        <w:br/>
      </w:r>
      <w:r w:rsidRPr="00762475">
        <w:t xml:space="preserve">140 календарных дней, в случае осложненных родов </w:t>
      </w:r>
      <w:r w:rsidRPr="00ED5415">
        <w:t>—</w:t>
      </w:r>
      <w:r w:rsidRPr="00762475">
        <w:t xml:space="preserve"> 156</w:t>
      </w:r>
      <w:r w:rsidRPr="00470647">
        <w:t xml:space="preserve"> </w:t>
      </w:r>
      <w:r w:rsidRPr="00762475">
        <w:t xml:space="preserve">календарных дней, при многоплодной беременности и при рождении двух и более детей </w:t>
      </w:r>
      <w:r w:rsidRPr="00ED5415">
        <w:t>—</w:t>
      </w:r>
      <w:r w:rsidRPr="00762475">
        <w:t xml:space="preserve"> 194 календарных дня.</w:t>
      </w:r>
    </w:p>
    <w:p w14:paraId="2EEC6A9B" w14:textId="77777777" w:rsidR="00634B85" w:rsidRPr="00762475" w:rsidRDefault="00634B85" w:rsidP="00634B85">
      <w:pPr>
        <w:pStyle w:val="SingleTxtG"/>
      </w:pPr>
      <w:r w:rsidRPr="00762475">
        <w:t>139.</w:t>
      </w:r>
      <w:r>
        <w:tab/>
      </w:r>
      <w:r w:rsidRPr="00762475">
        <w:t>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 в размере 40</w:t>
      </w:r>
      <w:r>
        <w:t> %</w:t>
      </w:r>
      <w:r w:rsidRPr="00762475">
        <w:t xml:space="preserve"> среднего заработка застрахованного лица, на который начисляются 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w:t>
      </w:r>
      <w:r>
        <w:t>ода</w:t>
      </w:r>
      <w:r w:rsidRPr="00762475">
        <w:t xml:space="preserve"> № 81-ФЗ </w:t>
      </w:r>
      <w:r>
        <w:br/>
      </w:r>
      <w:r w:rsidRPr="00762475">
        <w:t xml:space="preserve">«О государственных пособиях гражданам, имеющим детей» (далее </w:t>
      </w:r>
      <w:r w:rsidRPr="00ED5415">
        <w:t>—</w:t>
      </w:r>
      <w:r w:rsidRPr="00762475">
        <w:t xml:space="preserve"> Федеральный закон №81-ФЗ).</w:t>
      </w:r>
    </w:p>
    <w:p w14:paraId="3EC27BA0" w14:textId="77777777" w:rsidR="00634B85" w:rsidRPr="00762475" w:rsidRDefault="00634B85" w:rsidP="00634B85">
      <w:pPr>
        <w:pStyle w:val="SingleTxtG"/>
      </w:pPr>
      <w:r w:rsidRPr="00762475">
        <w:t>140.</w:t>
      </w:r>
      <w:r>
        <w:tab/>
      </w:r>
      <w:r w:rsidRPr="00762475">
        <w:t>Единовременное пособие при рождении ребенка выплачивается одному из родителей либо лицу, его заменяющему в размере, установленном в соответствии с Федеральным законом 81-ФЗ. В случае рождения двух или более детей указанное пособие выплачивается на каждого ребенка.</w:t>
      </w:r>
    </w:p>
    <w:p w14:paraId="460D6F42" w14:textId="77777777" w:rsidR="00634B85" w:rsidRDefault="00634B85" w:rsidP="00634B85">
      <w:pPr>
        <w:pStyle w:val="SingleTxtG"/>
      </w:pPr>
      <w:r w:rsidRPr="00762475">
        <w:t>141.</w:t>
      </w:r>
      <w:r>
        <w:tab/>
      </w:r>
      <w:r w:rsidRPr="00762475">
        <w:t>Социальное пособие на погребение выплачивается в случае смерти застрахованного лица или несовершеннолетнего члена его семьи лицу, имеющему право на его получение, в размере, установленном Федеральным законом от 12 января 1996 г</w:t>
      </w:r>
      <w:r>
        <w:t>ода</w:t>
      </w:r>
      <w:r w:rsidRPr="00762475">
        <w:t xml:space="preserve"> № 8-ФЗ «О погребении и похоронном деле».</w:t>
      </w:r>
    </w:p>
    <w:p w14:paraId="0C72116B" w14:textId="77777777" w:rsidR="00634B85" w:rsidRPr="00762475" w:rsidRDefault="00634B85" w:rsidP="00634B85">
      <w:pPr>
        <w:pStyle w:val="HChG"/>
      </w:pPr>
      <w:r>
        <w:tab/>
      </w:r>
      <w:r>
        <w:tab/>
      </w:r>
      <w:r w:rsidRPr="00762475">
        <w:t>Статья 10</w:t>
      </w:r>
    </w:p>
    <w:p w14:paraId="0F12F291" w14:textId="77777777" w:rsidR="00634B85" w:rsidRPr="00762475" w:rsidRDefault="00634B85" w:rsidP="00634B85">
      <w:pPr>
        <w:pStyle w:val="SingleTxtG"/>
        <w:rPr>
          <w:b/>
          <w:i/>
        </w:rPr>
      </w:pPr>
      <w:r w:rsidRPr="00762475">
        <w:t>142.</w:t>
      </w:r>
      <w:r>
        <w:tab/>
      </w:r>
      <w:r w:rsidRPr="00762475">
        <w:t>Ежегодно публикуется государственный доклад «О положении детей и семей, имеющих детей, в Российской Федерации», в котором отражены основные аспекты, касающиеся положения детей и семей с детьми.</w:t>
      </w:r>
    </w:p>
    <w:p w14:paraId="64F05D18" w14:textId="77777777" w:rsidR="00634B85" w:rsidRPr="00762475" w:rsidRDefault="00634B85" w:rsidP="00634B85">
      <w:pPr>
        <w:pStyle w:val="SingleTxtG"/>
      </w:pPr>
      <w:r w:rsidRPr="00762475">
        <w:t>143.</w:t>
      </w:r>
      <w:r>
        <w:tab/>
      </w:r>
      <w:r w:rsidRPr="00762475">
        <w:t xml:space="preserve">Государственный доклад доступен в электронном виде на сайте Минтруда России по адресу </w:t>
      </w:r>
      <w:hyperlink r:id="rId8">
        <w:r w:rsidRPr="00762475">
          <w:rPr>
            <w:rStyle w:val="a7"/>
          </w:rPr>
          <w:t>https://mintrud.gov.ru/docs/1887</w:t>
        </w:r>
      </w:hyperlink>
      <w:r w:rsidRPr="00762475">
        <w:t>.</w:t>
      </w:r>
    </w:p>
    <w:p w14:paraId="7430594D" w14:textId="77777777" w:rsidR="00634B85" w:rsidRPr="00762475" w:rsidRDefault="00634B85" w:rsidP="00634B85">
      <w:pPr>
        <w:pStyle w:val="SingleTxtG"/>
      </w:pPr>
      <w:r w:rsidRPr="00762475">
        <w:lastRenderedPageBreak/>
        <w:t>144.</w:t>
      </w:r>
      <w:r>
        <w:tab/>
      </w:r>
      <w:r w:rsidRPr="00762475">
        <w:t>В дополнение к государственным пособиям для граждан, имеющих детей, информация о которых была представлена в пунктах 146</w:t>
      </w:r>
      <w:r w:rsidRPr="00ED5415">
        <w:t>–</w:t>
      </w:r>
      <w:r w:rsidRPr="00762475">
        <w:t>150 шестого периодического доклада Российской Федерации о выполнении положений Международного пакта об экономических, социальных и культурных правах, начиная с 2018 г</w:t>
      </w:r>
      <w:r>
        <w:t>ода</w:t>
      </w:r>
      <w:r w:rsidRPr="00762475">
        <w:t xml:space="preserve"> вводится комплекс мер, направленных на улучшение демографической ситуации, а также повышение доходов семей.</w:t>
      </w:r>
    </w:p>
    <w:p w14:paraId="7DDEDB46" w14:textId="77777777" w:rsidR="00634B85" w:rsidRPr="00762475" w:rsidRDefault="00634B85" w:rsidP="00634B85">
      <w:pPr>
        <w:pStyle w:val="SingleTxtG"/>
      </w:pPr>
      <w:r w:rsidRPr="00762475">
        <w:t>145.</w:t>
      </w:r>
      <w:r>
        <w:tab/>
      </w:r>
      <w:r w:rsidRPr="00762475">
        <w:t>Указанный комплекс направлен на ежемесячную поддержку всех категорий семей, воспитывающих детей в возрасте до 17 лет, и включает: ежемесячные выплаты в связи с рождением первого, второго, третьего ребенка и последующих детей в возрасте до 3 лет, ежемесячные выплаты на детей в возрасте от 3 до 8 лет, ежемесячные выплаты на детей в возрасте до 17 лет, а также ежемесячное пособие беременным женщинам, вставшим на учет в медицинские организации в ранние сроки беременности.</w:t>
      </w:r>
    </w:p>
    <w:p w14:paraId="698F19D1" w14:textId="77777777" w:rsidR="00634B85" w:rsidRPr="00762475" w:rsidRDefault="00634B85" w:rsidP="00634B85">
      <w:pPr>
        <w:pStyle w:val="SingleTxtG"/>
      </w:pPr>
      <w:r w:rsidRPr="00762475">
        <w:t>146.</w:t>
      </w:r>
      <w:r>
        <w:tab/>
      </w:r>
      <w:r w:rsidRPr="00762475">
        <w:t>Вышеуказанные дополнительные меры поддержки предоставляются исходя из соблюдения принципов адресности и нуждаемости, т</w:t>
      </w:r>
      <w:r>
        <w:t>о есть</w:t>
      </w:r>
      <w:r w:rsidRPr="00762475">
        <w:t xml:space="preserve"> при их назначении учитываются доходы семьи, которые должны соответствовать установленному критерию нуждаемости.</w:t>
      </w:r>
    </w:p>
    <w:p w14:paraId="31DE5DD7" w14:textId="77777777" w:rsidR="00634B85" w:rsidRPr="00762475" w:rsidRDefault="00634B85" w:rsidP="00634B85">
      <w:pPr>
        <w:pStyle w:val="SingleTxtG"/>
      </w:pPr>
      <w:r w:rsidRPr="00762475">
        <w:t>147.</w:t>
      </w:r>
      <w:r>
        <w:tab/>
      </w:r>
      <w:r w:rsidRPr="00762475">
        <w:t xml:space="preserve">При этом при назначении ежемесячных выплат на детей в возрасте </w:t>
      </w:r>
      <w:r>
        <w:br/>
      </w:r>
      <w:r w:rsidRPr="00762475">
        <w:t>от 3 до 17 лет, а также ежемесячного пособия беременным женщинам, вставшим на учет в медицинские организации в ранние сроки беременности, применяется комплексная оценка нуждаемости, учитывающая особенности жизненной ситуации семьи: учитываются не только ее доходы, но и имущественная обеспеченность, вовлеченность в занятость.</w:t>
      </w:r>
    </w:p>
    <w:p w14:paraId="3AC2BEB2" w14:textId="77777777" w:rsidR="00634B85" w:rsidRPr="00762475" w:rsidRDefault="00634B85" w:rsidP="00634B85">
      <w:pPr>
        <w:pStyle w:val="SingleTxtG"/>
      </w:pPr>
      <w:r w:rsidRPr="00762475">
        <w:t>148.</w:t>
      </w:r>
      <w:r>
        <w:tab/>
      </w:r>
      <w:r w:rsidRPr="00762475">
        <w:t>Планируется введение единообразного порядка и условий назначения всех дополнительных мер независимо от возраста детей.</w:t>
      </w:r>
    </w:p>
    <w:p w14:paraId="5C1A9857" w14:textId="77777777" w:rsidR="00634B85" w:rsidRPr="00762475" w:rsidRDefault="00634B85" w:rsidP="00634B85">
      <w:pPr>
        <w:pStyle w:val="SingleTxtG"/>
      </w:pPr>
      <w:r w:rsidRPr="00762475">
        <w:t>149.</w:t>
      </w:r>
      <w:r>
        <w:tab/>
      </w:r>
      <w:r w:rsidRPr="00762475">
        <w:t>Особенности регулирования труда женщин и лиц с семейными обязанностями установлены главой 41 ТК РФ.</w:t>
      </w:r>
    </w:p>
    <w:p w14:paraId="03532E1B" w14:textId="77777777" w:rsidR="00634B85" w:rsidRPr="00762475" w:rsidRDefault="00634B85" w:rsidP="00634B85">
      <w:pPr>
        <w:pStyle w:val="SingleTxtG"/>
      </w:pPr>
      <w:r w:rsidRPr="00762475">
        <w:t>150.</w:t>
      </w:r>
      <w:r>
        <w:tab/>
      </w:r>
      <w:r w:rsidRPr="00762475">
        <w:t>Согласно части 3 статьи 64 ТК РФ запрещается отказывать в заключении трудового договора женщинам по мотивам, связанным с беременностью или наличием детей.</w:t>
      </w:r>
    </w:p>
    <w:p w14:paraId="291C75E3" w14:textId="77777777" w:rsidR="00634B85" w:rsidRPr="00762475" w:rsidRDefault="00634B85" w:rsidP="00634B85">
      <w:pPr>
        <w:pStyle w:val="SingleTxtG"/>
      </w:pPr>
      <w:r w:rsidRPr="00762475">
        <w:t>151.</w:t>
      </w:r>
      <w:r>
        <w:tab/>
      </w:r>
      <w:r w:rsidRPr="00762475">
        <w:t>Статьей 145 УК РФ предусмотрена уголовная ответственность за необоснованный отказ в приеме на работу или необоснованное увольнение беременной женщины или женщины, имеющей детей в возрасте до трех лет.</w:t>
      </w:r>
    </w:p>
    <w:p w14:paraId="43E34229" w14:textId="77777777" w:rsidR="00634B85" w:rsidRPr="00762475" w:rsidRDefault="00634B85" w:rsidP="00634B85">
      <w:pPr>
        <w:pStyle w:val="SingleTxtG"/>
      </w:pPr>
      <w:r w:rsidRPr="00762475">
        <w:t>152.</w:t>
      </w:r>
      <w:r>
        <w:tab/>
      </w:r>
      <w:r w:rsidRPr="00762475">
        <w:t>Для беременных женщин и женщин, имеющих детей в возрасте до полутора лет, не устанавливается испытание при приеме на работу (статья 70 ТК РФ).</w:t>
      </w:r>
    </w:p>
    <w:p w14:paraId="006DEE53" w14:textId="77777777" w:rsidR="00634B85" w:rsidRPr="00762475" w:rsidRDefault="00634B85" w:rsidP="00634B85">
      <w:pPr>
        <w:pStyle w:val="SingleTxtG"/>
      </w:pPr>
      <w:r w:rsidRPr="00762475">
        <w:t>153.</w:t>
      </w:r>
      <w:r>
        <w:tab/>
      </w:r>
      <w:r w:rsidRPr="00762475">
        <w:t>Женщины, имеющие детей в возрасте до трех лет, могут привлекаться к работе в ночное время и сверхурочной работе только с их письменного согласия и при условии, если такая работа не запрещена им по состоянию здоровья в соответствии с медицинским заключением. К работам вахтовым методом не могут привлекаться также женщины, имеющие детей в возрасте до трех лет.</w:t>
      </w:r>
    </w:p>
    <w:p w14:paraId="145C87F3" w14:textId="77777777" w:rsidR="00634B85" w:rsidRPr="00762475" w:rsidRDefault="00634B85" w:rsidP="00634B85">
      <w:pPr>
        <w:pStyle w:val="SingleTxtG"/>
      </w:pPr>
      <w:r w:rsidRPr="00762475">
        <w:t>154.</w:t>
      </w:r>
      <w:r>
        <w:tab/>
      </w:r>
      <w:r w:rsidRPr="00762475">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 (статья 261 ТК РФ).</w:t>
      </w:r>
    </w:p>
    <w:p w14:paraId="3CD825AF" w14:textId="77777777" w:rsidR="00634B85" w:rsidRPr="00762475" w:rsidRDefault="00634B85" w:rsidP="00634B85">
      <w:pPr>
        <w:pStyle w:val="SingleTxtG"/>
      </w:pPr>
      <w:r w:rsidRPr="00762475">
        <w:t>155.</w:t>
      </w:r>
      <w:r>
        <w:tab/>
      </w:r>
      <w:r w:rsidRPr="00762475">
        <w:t>Согласно статье 93 ТК РФ работодатель обязан устанавливать неполный рабочий день (смену) или неполную рабочую неделю по просьбе беременной женщины в соответствии с медицинским заключением.</w:t>
      </w:r>
    </w:p>
    <w:p w14:paraId="4B2A7697" w14:textId="77777777" w:rsidR="00634B85" w:rsidRPr="00762475" w:rsidRDefault="00634B85" w:rsidP="00634B85">
      <w:pPr>
        <w:pStyle w:val="SingleTxtG"/>
      </w:pPr>
      <w:r w:rsidRPr="00762475">
        <w:t>156.</w:t>
      </w:r>
      <w:r>
        <w:tab/>
      </w:r>
      <w:r w:rsidRPr="00762475">
        <w:t>Беременной женщине на основании ее заявления и медицинского заключения должны быть снижены нормы выработки, обслуживания (часть 1 статьи 254 ТК РФ). На период снижения норм за женщиной сохраняется средняя заработная плата.</w:t>
      </w:r>
    </w:p>
    <w:p w14:paraId="37145014" w14:textId="77777777" w:rsidR="00634B85" w:rsidRPr="00762475" w:rsidRDefault="00634B85" w:rsidP="00634B85">
      <w:pPr>
        <w:pStyle w:val="SingleTxtG"/>
      </w:pPr>
      <w:r w:rsidRPr="00762475">
        <w:t>157.</w:t>
      </w:r>
      <w:r>
        <w:tab/>
      </w:r>
      <w:r w:rsidRPr="00762475">
        <w:t>Если у работодателя нет подходящей работы, на которую можно перевести беременную работницу, то до предоставления другой работы она освобождается от выполнения трудовой функции в целях исключения воздействия неблагоприятных производственных факторов (часть 2 статьи 254 ТК РФ).</w:t>
      </w:r>
    </w:p>
    <w:p w14:paraId="2150E536" w14:textId="77777777" w:rsidR="00634B85" w:rsidRPr="00762475" w:rsidRDefault="00634B85" w:rsidP="00634B85">
      <w:pPr>
        <w:pStyle w:val="SingleTxtG"/>
      </w:pPr>
      <w:r w:rsidRPr="00762475">
        <w:lastRenderedPageBreak/>
        <w:t>158.</w:t>
      </w:r>
      <w:r>
        <w:tab/>
      </w:r>
      <w:r w:rsidRPr="00762475">
        <w:t>Работодатель обязан перевести женщину, имеющую детей в возрасте до полутора лет, на другую работу в случае невозможности выполнения прежней работы с оплатой труда по выполняемой работе, но не ниже среднего заработка по прежней работе (часть 4 статьи 254 ТК РФ).</w:t>
      </w:r>
    </w:p>
    <w:p w14:paraId="37760935" w14:textId="77777777" w:rsidR="00634B85" w:rsidRPr="00762475" w:rsidRDefault="00634B85" w:rsidP="00634B85">
      <w:pPr>
        <w:pStyle w:val="SingleTxtG"/>
      </w:pPr>
      <w:r w:rsidRPr="00762475">
        <w:t>159.</w:t>
      </w:r>
      <w:r>
        <w:tab/>
      </w:r>
      <w:r w:rsidRPr="00762475">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(часть 3 статьи 254 ТК РФ).</w:t>
      </w:r>
    </w:p>
    <w:p w14:paraId="464BFFC2" w14:textId="77777777" w:rsidR="00634B85" w:rsidRPr="00762475" w:rsidRDefault="00634B85" w:rsidP="00634B85">
      <w:pPr>
        <w:pStyle w:val="SingleTxtG"/>
      </w:pPr>
      <w:r w:rsidRPr="00762475">
        <w:t>160.</w:t>
      </w:r>
      <w:r>
        <w:tab/>
      </w:r>
      <w:r w:rsidRPr="00762475">
        <w:t>До истечения шести месяцев непрерывной работы оплачиваемый отпуск по заявлению работника должен быть предоставлен женщинам перед отпуском по беременности и родам или непосредственно после него (статья 122 ТК РФ).</w:t>
      </w:r>
    </w:p>
    <w:p w14:paraId="6C9F9695" w14:textId="77777777" w:rsidR="00634B85" w:rsidRPr="00762475" w:rsidRDefault="00634B85" w:rsidP="00634B85">
      <w:pPr>
        <w:pStyle w:val="SingleTxtG"/>
      </w:pPr>
      <w:r w:rsidRPr="00762475">
        <w:t>161.</w:t>
      </w:r>
      <w:r>
        <w:tab/>
      </w:r>
      <w:r w:rsidRPr="00762475">
        <w:t>Не допускается отзыв из отпуска беременных женщин (статья 125 ТК РФ).</w:t>
      </w:r>
    </w:p>
    <w:p w14:paraId="4160BB8E" w14:textId="77777777" w:rsidR="00634B85" w:rsidRPr="00762475" w:rsidRDefault="00634B85" w:rsidP="00634B85">
      <w:pPr>
        <w:pStyle w:val="SingleTxtG"/>
      </w:pPr>
      <w:r w:rsidRPr="00762475">
        <w:t>162.</w:t>
      </w:r>
      <w:r>
        <w:tab/>
      </w:r>
      <w:r w:rsidRPr="00762475">
        <w:t>В соответствии со статьей 260 ТК РФ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14:paraId="3707FFF1" w14:textId="77777777" w:rsidR="00634B85" w:rsidRPr="00762475" w:rsidRDefault="00634B85" w:rsidP="00634B85">
      <w:pPr>
        <w:pStyle w:val="SingleTxtG"/>
      </w:pPr>
      <w:r w:rsidRPr="00762475">
        <w:t>163.</w:t>
      </w:r>
      <w:r>
        <w:tab/>
      </w:r>
      <w:r w:rsidRPr="00762475">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w:t>
      </w:r>
      <w:r w:rsidRPr="00ED5415">
        <w:t>—</w:t>
      </w:r>
      <w:r w:rsidRPr="00762475">
        <w:t xml:space="preserve"> 84) календарных дней до родов и 70 (в случае осложненных родов </w:t>
      </w:r>
      <w:r w:rsidRPr="00ED5415">
        <w:t>—</w:t>
      </w:r>
      <w:r w:rsidRPr="00762475">
        <w:t xml:space="preserve"> 86, при рождении двух или более детей </w:t>
      </w:r>
      <w:r w:rsidRPr="00ED5415">
        <w:t>—</w:t>
      </w:r>
      <w:r w:rsidRPr="00762475">
        <w:t xml:space="preserve"> 110) календарных дней после родов с выплатой пособия по государственному социальному страхованию в установленном федеральными законами размере.</w:t>
      </w:r>
    </w:p>
    <w:p w14:paraId="48F293B9" w14:textId="77777777" w:rsidR="00634B85" w:rsidRPr="00762475" w:rsidRDefault="00634B85" w:rsidP="00634B85">
      <w:pPr>
        <w:pStyle w:val="SingleTxtG"/>
      </w:pPr>
      <w:r w:rsidRPr="00762475">
        <w:t>164.</w:t>
      </w:r>
      <w:r>
        <w:tab/>
      </w:r>
      <w:r w:rsidRPr="00762475">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(статья 255 ТК РФ).</w:t>
      </w:r>
    </w:p>
    <w:p w14:paraId="1D19EB83" w14:textId="77777777" w:rsidR="00634B85" w:rsidRPr="00762475" w:rsidRDefault="00634B85" w:rsidP="00634B85">
      <w:pPr>
        <w:pStyle w:val="SingleTxtG"/>
      </w:pPr>
      <w:r w:rsidRPr="00762475">
        <w:t>165.</w:t>
      </w:r>
      <w:r>
        <w:tab/>
      </w:r>
      <w:r w:rsidRPr="00762475">
        <w:t>Трудовым законодательством предусмотрено, что по заявлению женщины ей предоставляется отпуск по уходу за ребенком до достижения им возраста трех лет (часть 1 статьи 256 ТК РФ).</w:t>
      </w:r>
    </w:p>
    <w:p w14:paraId="066CC920" w14:textId="77777777" w:rsidR="00634B85" w:rsidRPr="00762475" w:rsidRDefault="00634B85" w:rsidP="00634B85">
      <w:pPr>
        <w:pStyle w:val="SingleTxtG"/>
      </w:pPr>
      <w:r w:rsidRPr="00762475">
        <w:t>166.</w:t>
      </w:r>
      <w:r>
        <w:tab/>
      </w:r>
      <w:r w:rsidRPr="00762475">
        <w:t>В соответствии со статьей 256 ТК РФ право на отпуск по уходу за ребенком до достижения им возраста трех лет имеют мать, отец, бабушка, дед, другой родственник или опекун, фактически осуществляющие уход за ребенком.</w:t>
      </w:r>
    </w:p>
    <w:p w14:paraId="166C7D83" w14:textId="77777777" w:rsidR="00634B85" w:rsidRPr="00762475" w:rsidRDefault="00634B85" w:rsidP="00634B85">
      <w:pPr>
        <w:pStyle w:val="SingleTxtG"/>
      </w:pPr>
      <w:r w:rsidRPr="00762475">
        <w:t>167.</w:t>
      </w:r>
      <w:r>
        <w:tab/>
      </w:r>
      <w:r w:rsidRPr="00762475">
        <w:t>За работником, находящимся в отпуске по уходу за ребенком, сохраняется место работы (должность) (часть 4 статьи 256 ТК РФ).</w:t>
      </w:r>
    </w:p>
    <w:p w14:paraId="5B17B67F" w14:textId="77777777" w:rsidR="00634B85" w:rsidRDefault="00634B85" w:rsidP="00634B85">
      <w:pPr>
        <w:pStyle w:val="SingleTxtG"/>
      </w:pPr>
      <w:r w:rsidRPr="00762475">
        <w:t>168.</w:t>
      </w:r>
      <w:r>
        <w:tab/>
      </w:r>
      <w:r w:rsidRPr="00762475">
        <w:t>Женщины, имеющие детей в возрасте до полутора лет, имеют право на дополнительные перерывы для кормления ребенка (статья 258 ТК</w:t>
      </w:r>
      <w:r w:rsidRPr="00762475">
        <w:rPr>
          <w:lang w:val="en-US"/>
        </w:rPr>
        <w:t> </w:t>
      </w:r>
      <w:r w:rsidRPr="00762475">
        <w:t>РФ).</w:t>
      </w:r>
    </w:p>
    <w:p w14:paraId="37C110E9" w14:textId="77777777" w:rsidR="00634B85" w:rsidRPr="00666596" w:rsidRDefault="00634B85" w:rsidP="00634B85">
      <w:pPr>
        <w:pStyle w:val="HChG"/>
      </w:pPr>
      <w:r>
        <w:tab/>
      </w:r>
      <w:r>
        <w:tab/>
      </w:r>
      <w:r w:rsidRPr="00762475">
        <w:t>Статья 11</w:t>
      </w:r>
    </w:p>
    <w:p w14:paraId="04B28E45" w14:textId="77777777" w:rsidR="00634B85" w:rsidRPr="00762475" w:rsidRDefault="00634B85" w:rsidP="00634B85">
      <w:pPr>
        <w:pStyle w:val="H1G"/>
      </w:pPr>
      <w:r>
        <w:tab/>
      </w:r>
      <w:r>
        <w:tab/>
      </w:r>
      <w:r w:rsidRPr="002800DE">
        <w:t>Последующая информация в связи с пунктами</w:t>
      </w:r>
      <w:r w:rsidRPr="00762475">
        <w:t xml:space="preserve"> 46</w:t>
      </w:r>
      <w:r w:rsidRPr="00ED5415">
        <w:t>–</w:t>
      </w:r>
      <w:r w:rsidRPr="00762475">
        <w:t>47 заключительных замечаний КЭСКП</w:t>
      </w:r>
    </w:p>
    <w:p w14:paraId="51089574" w14:textId="77777777" w:rsidR="00634B85" w:rsidRPr="00762475" w:rsidRDefault="00634B85" w:rsidP="00634B85">
      <w:pPr>
        <w:pStyle w:val="SingleTxtG"/>
      </w:pPr>
      <w:r w:rsidRPr="00762475">
        <w:t>169.</w:t>
      </w:r>
      <w:r>
        <w:tab/>
      </w:r>
      <w:r w:rsidRPr="00762475">
        <w:t>Российская аграрная политика является составной частью государственной социально-экономической политики. В этой связи, помимо производства продуктов питания, уделяется пристальное внимание решению социальных задач, связанных с занятостью, демографией, повышением уровня жизни, развитием сельских территорий.</w:t>
      </w:r>
    </w:p>
    <w:p w14:paraId="515A594F" w14:textId="77777777" w:rsidR="00634B85" w:rsidRPr="00762475" w:rsidRDefault="00634B85" w:rsidP="00634B85">
      <w:pPr>
        <w:pStyle w:val="SingleTxtG"/>
      </w:pPr>
      <w:r w:rsidRPr="00762475">
        <w:t>170.</w:t>
      </w:r>
      <w:r>
        <w:tab/>
      </w:r>
      <w:r w:rsidRPr="00762475">
        <w:t>Государственная аграрная политика Российской Федерации направлена на увеличение объема производства сельскохозяйственной продукции (посредством повышения эффективности сельского хозяйства) и обеспечение стабильного социально-экономического развития сельских территорий как базовых гарантий продовольственной безопасности.</w:t>
      </w:r>
    </w:p>
    <w:p w14:paraId="12210132" w14:textId="77777777" w:rsidR="00634B85" w:rsidRPr="00762475" w:rsidRDefault="00634B85" w:rsidP="00634B85">
      <w:pPr>
        <w:pStyle w:val="SingleTxtG"/>
      </w:pPr>
      <w:r w:rsidRPr="00762475">
        <w:lastRenderedPageBreak/>
        <w:t>171.</w:t>
      </w:r>
      <w:r>
        <w:tab/>
      </w:r>
      <w:r w:rsidRPr="00762475">
        <w:t>Государственная политика по обеспечению гарантированного и устойчивого снабжения населения Российской Федерации безопасным и качественным продовольствием реализуется в рамках Доктрины продовольственной безопасности Российской Федерации, утвержденной Указом Президента Российской Федерации от 21 января 2020 г</w:t>
      </w:r>
      <w:r>
        <w:t>ода</w:t>
      </w:r>
      <w:r w:rsidRPr="00762475">
        <w:t xml:space="preserve"> № 20.</w:t>
      </w:r>
    </w:p>
    <w:p w14:paraId="1737984F" w14:textId="77777777" w:rsidR="00634B85" w:rsidRPr="00762475" w:rsidRDefault="00634B85" w:rsidP="00634B85">
      <w:pPr>
        <w:pStyle w:val="SingleTxtG"/>
      </w:pPr>
      <w:r w:rsidRPr="00762475">
        <w:t>172.</w:t>
      </w:r>
      <w:r>
        <w:tab/>
      </w:r>
      <w:r w:rsidRPr="00762475">
        <w:t xml:space="preserve">В настоящее время в Российской Федерации на уровне рекомендуемых рациональных норм потребления пищевых продуктов, отвечающих современным требованиям здорового питания в соответствии с приказом Министерства здравоохранения Российской Федерации (далее </w:t>
      </w:r>
      <w:r w:rsidRPr="00ED5415">
        <w:t>—</w:t>
      </w:r>
      <w:r w:rsidRPr="00762475">
        <w:t xml:space="preserve"> Минздрав России) от 19 августа 2016</w:t>
      </w:r>
      <w:r>
        <w:rPr>
          <w:lang w:val="en-US"/>
        </w:rPr>
        <w:t> </w:t>
      </w:r>
      <w:r w:rsidRPr="00762475">
        <w:t>г</w:t>
      </w:r>
      <w:r>
        <w:t>ода</w:t>
      </w:r>
      <w:r w:rsidRPr="00762475">
        <w:t xml:space="preserve"> № 614 «Об утверждении рекомендаций по рациональным нормам потребления пищевых продуктов, отвечающих современным требованиям здорового питания» (далее </w:t>
      </w:r>
      <w:r w:rsidRPr="00ED5415">
        <w:t>—</w:t>
      </w:r>
      <w:r w:rsidRPr="00762475">
        <w:t xml:space="preserve"> рекомендуемые рациональные нормы потребления), или с небольшим отклонением от них находится фактическое среднедушевое потребление рыбы и рыбопродуктов (+1,8</w:t>
      </w:r>
      <w:r>
        <w:rPr>
          <w:lang w:val="en-US"/>
        </w:rPr>
        <w:t> </w:t>
      </w:r>
      <w:r w:rsidRPr="00762475">
        <w:t>%) и мяса и мясопродуктов (+5,2</w:t>
      </w:r>
      <w:r>
        <w:rPr>
          <w:lang w:val="en-US"/>
        </w:rPr>
        <w:t> </w:t>
      </w:r>
      <w:r w:rsidRPr="00762475">
        <w:t xml:space="preserve">%). </w:t>
      </w:r>
    </w:p>
    <w:p w14:paraId="4ADACA91" w14:textId="77777777" w:rsidR="00634B85" w:rsidRPr="00762475" w:rsidRDefault="00634B85" w:rsidP="00634B85">
      <w:pPr>
        <w:pStyle w:val="SingleTxtG"/>
      </w:pPr>
      <w:r w:rsidRPr="00762475">
        <w:t>173.</w:t>
      </w:r>
      <w:r>
        <w:tab/>
      </w:r>
      <w:r w:rsidRPr="00762475">
        <w:t>Выше рекомендуемых рациональных норм потребления находится потребление сахара (в 4,9 раза), соли (в 2,5 раза) и масла растительного (+16,7</w:t>
      </w:r>
      <w:r>
        <w:rPr>
          <w:lang w:val="en-US"/>
        </w:rPr>
        <w:t> </w:t>
      </w:r>
      <w:r w:rsidRPr="00762475">
        <w:t>%).</w:t>
      </w:r>
    </w:p>
    <w:p w14:paraId="4699FB89" w14:textId="77777777" w:rsidR="00634B85" w:rsidRPr="00762475" w:rsidRDefault="00634B85" w:rsidP="00634B85">
      <w:pPr>
        <w:pStyle w:val="SingleTxtG"/>
      </w:pPr>
      <w:r w:rsidRPr="00762475">
        <w:t>174.</w:t>
      </w:r>
      <w:r>
        <w:tab/>
      </w:r>
      <w:r w:rsidRPr="00762475">
        <w:t>Ниже рекомендуемых рациональных норм потребления находится потребление фруктов и ягод (64,6</w:t>
      </w:r>
      <w:r>
        <w:rPr>
          <w:lang w:val="en-US"/>
        </w:rPr>
        <w:t> </w:t>
      </w:r>
      <w:r w:rsidRPr="00762475">
        <w:t>%), овощей и бахчевых (75,7</w:t>
      </w:r>
      <w:r>
        <w:rPr>
          <w:lang w:val="en-US"/>
        </w:rPr>
        <w:t> </w:t>
      </w:r>
      <w:r w:rsidRPr="00762475">
        <w:t xml:space="preserve">%), молока и </w:t>
      </w:r>
      <w:proofErr w:type="gramStart"/>
      <w:r w:rsidRPr="00762475">
        <w:t>молокопродуктов (74,4</w:t>
      </w:r>
      <w:r>
        <w:rPr>
          <w:lang w:val="en-US"/>
        </w:rPr>
        <w:t> </w:t>
      </w:r>
      <w:r w:rsidRPr="00762475">
        <w:t>%)</w:t>
      </w:r>
      <w:proofErr w:type="gramEnd"/>
      <w:r w:rsidRPr="00762475">
        <w:t xml:space="preserve"> и картофеля (90,6</w:t>
      </w:r>
      <w:r>
        <w:rPr>
          <w:lang w:val="en-US"/>
        </w:rPr>
        <w:t> </w:t>
      </w:r>
      <w:r w:rsidRPr="00762475">
        <w:t>%).</w:t>
      </w:r>
    </w:p>
    <w:p w14:paraId="1C538EF6" w14:textId="77777777" w:rsidR="00634B85" w:rsidRPr="00762475" w:rsidRDefault="00634B85" w:rsidP="00634B85">
      <w:pPr>
        <w:pStyle w:val="SingleTxtG"/>
      </w:pPr>
      <w:r w:rsidRPr="00762475">
        <w:t>175.</w:t>
      </w:r>
      <w:r>
        <w:tab/>
      </w:r>
      <w:r w:rsidRPr="00762475">
        <w:t>Обеспечение продовольственной независимости в параметрах Доктрины осуществляется посредством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w:t>
      </w:r>
      <w:r>
        <w:t>ода</w:t>
      </w:r>
      <w:r w:rsidRPr="00762475">
        <w:t xml:space="preserve"> № 717.</w:t>
      </w:r>
    </w:p>
    <w:p w14:paraId="4CA04530" w14:textId="77777777" w:rsidR="00634B85" w:rsidRPr="00762475" w:rsidRDefault="00634B85" w:rsidP="00634B85">
      <w:pPr>
        <w:pStyle w:val="SingleTxtG"/>
      </w:pPr>
      <w:r w:rsidRPr="00762475">
        <w:t>176.</w:t>
      </w:r>
      <w:r>
        <w:tab/>
      </w:r>
      <w:r w:rsidRPr="00762475">
        <w:t>Отдельное внимание уделяется решению задачи по увеличению доли продукции с высокой добавленной стоимостью. С этой целью ведется работа, связанная с развитием мощностей хранения и переработки сельскохозяйственного сырья, включая сегмент фермерских хозяйств и сельской кооперации.</w:t>
      </w:r>
    </w:p>
    <w:p w14:paraId="3B8B29C4" w14:textId="77777777" w:rsidR="00634B85" w:rsidRPr="00762475" w:rsidRDefault="00634B85" w:rsidP="00634B85">
      <w:pPr>
        <w:pStyle w:val="SingleTxtG"/>
      </w:pPr>
      <w:r w:rsidRPr="00762475">
        <w:t>177.</w:t>
      </w:r>
      <w:r>
        <w:tab/>
      </w:r>
      <w:r w:rsidRPr="00762475">
        <w:t>Важным решением, связанным с социальной поддержкой жителей страны, является организация на территории Российской Федерации бесплатного горячего питания для школьников, получающих начальное общее образование в государственных (муниципальных) образовательных организациях.</w:t>
      </w:r>
    </w:p>
    <w:p w14:paraId="64CE0A2F" w14:textId="77777777" w:rsidR="00634B85" w:rsidRPr="00762475" w:rsidRDefault="00634B85" w:rsidP="00634B85">
      <w:pPr>
        <w:pStyle w:val="SingleTxtG"/>
      </w:pPr>
      <w:r w:rsidRPr="00762475">
        <w:t>178.</w:t>
      </w:r>
      <w:r>
        <w:tab/>
      </w:r>
      <w:r w:rsidRPr="00762475">
        <w:t>Постоянно совершенствуются методы профилактики наступления случаев, связанных с нарушением обязательных требований безопасности и качества сельскохозяйственной продукции, сырья и продовольствия, что охватывает все стадии отраслевого производства и, соответственно, обращения на потребительском рынке.</w:t>
      </w:r>
    </w:p>
    <w:p w14:paraId="4F699FF0" w14:textId="77777777" w:rsidR="00634B85" w:rsidRPr="00762475" w:rsidRDefault="00634B85" w:rsidP="00634B85">
      <w:pPr>
        <w:pStyle w:val="SingleTxtG"/>
      </w:pPr>
      <w:r w:rsidRPr="00762475">
        <w:t>179.</w:t>
      </w:r>
      <w:r>
        <w:tab/>
      </w:r>
      <w:r w:rsidRPr="00762475">
        <w:t>В Российской Федерации запрещается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что не может являться результатом природных (естественных) процессов.</w:t>
      </w:r>
    </w:p>
    <w:p w14:paraId="2229A57D" w14:textId="77777777" w:rsidR="00634B85" w:rsidRPr="00762475" w:rsidRDefault="00634B85" w:rsidP="00634B85">
      <w:pPr>
        <w:pStyle w:val="SingleTxtG"/>
      </w:pPr>
      <w:r w:rsidRPr="00762475">
        <w:t>180.</w:t>
      </w:r>
      <w:r>
        <w:tab/>
      </w:r>
      <w:r w:rsidRPr="00762475">
        <w:t>С 1 января 2020 г</w:t>
      </w:r>
      <w:r>
        <w:t>ода</w:t>
      </w:r>
      <w:r w:rsidRPr="00762475">
        <w:t xml:space="preserve"> вступил в силу Федеральный закон от 3 августа 2018 г</w:t>
      </w:r>
      <w:r>
        <w:t>ода</w:t>
      </w:r>
      <w:r w:rsidRPr="00762475">
        <w:t xml:space="preserve"> </w:t>
      </w:r>
      <w:r>
        <w:br/>
      </w:r>
      <w:r w:rsidRPr="00762475">
        <w:t>№ 280-ФЗ «Об органической продукции и о внесении изменений в отдельные законодательные акты Российской Федерации», который заложил правовые основы для производства и обращения органической продукции на территории Российской Федерации.</w:t>
      </w:r>
    </w:p>
    <w:p w14:paraId="32BE6415" w14:textId="77777777" w:rsidR="00634B85" w:rsidRPr="00762475" w:rsidRDefault="00634B85" w:rsidP="00634B85">
      <w:pPr>
        <w:pStyle w:val="SingleTxtG"/>
      </w:pPr>
      <w:r w:rsidRPr="00762475">
        <w:t>181.</w:t>
      </w:r>
      <w:r>
        <w:tab/>
      </w:r>
      <w:r w:rsidRPr="00762475">
        <w:t>С учетом современных тенденций развития сельского хозяйства, связанных с цифровой трансформацией отрасли, создаются условия для получения комплекса цифровых услуг и сервисов, позволяющих оптимизировать затраты и повысить эффективность производственных и управленческих процессов.</w:t>
      </w:r>
    </w:p>
    <w:p w14:paraId="4D1251E5" w14:textId="77777777" w:rsidR="00634B85" w:rsidRPr="00762475" w:rsidRDefault="00634B85" w:rsidP="00634B85">
      <w:pPr>
        <w:pStyle w:val="SingleTxtG"/>
      </w:pPr>
      <w:r w:rsidRPr="00762475">
        <w:t>182.</w:t>
      </w:r>
      <w:r>
        <w:tab/>
      </w:r>
      <w:r w:rsidRPr="00762475">
        <w:t>Кроме того, последовательно наращивая и диверсифицируя производство сельскохозяйственной продукции, Российская Федерация активно поддерживает международные усилия в области гуманитарного реагирования: участвует в оказании продовольственной помощи и реализации проектов развития как по линии организаций системы ООН, так и по двусторонним каналам.</w:t>
      </w:r>
    </w:p>
    <w:p w14:paraId="52DC96FB" w14:textId="77777777" w:rsidR="00634B85" w:rsidRPr="00762475" w:rsidRDefault="00634B85" w:rsidP="00634B85">
      <w:pPr>
        <w:pStyle w:val="SingleTxtG"/>
      </w:pPr>
      <w:r w:rsidRPr="00762475">
        <w:lastRenderedPageBreak/>
        <w:t>183.</w:t>
      </w:r>
      <w:r>
        <w:tab/>
      </w:r>
      <w:r w:rsidRPr="00762475">
        <w:t>В рамках реализации одного из направлений Госпрограммы КРСТ осуществляется федеральный проект «Развитие жилищного строительства на сельских территориях и повышение уровня благоустройства домохозяйств», который направлен на улучшение жилищных условий сельского населения посредством применения следующих основных инструментов:</w:t>
      </w:r>
    </w:p>
    <w:p w14:paraId="7398FE63"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льготная сельская ипотека, предусматривающая предоставление кредитов гражданам Российской Федерации на цели приобретения либо строительства жилья на сельских территориях по ставке от 0,1</w:t>
      </w:r>
      <w:r>
        <w:rPr>
          <w:lang w:val="en-US"/>
        </w:rPr>
        <w:t> </w:t>
      </w:r>
      <w:r w:rsidRPr="00762475">
        <w:t>% до 3</w:t>
      </w:r>
      <w:r>
        <w:rPr>
          <w:lang w:val="en-US"/>
        </w:rPr>
        <w:t> </w:t>
      </w:r>
      <w:r w:rsidRPr="00762475">
        <w:t>% годовых;</w:t>
      </w:r>
    </w:p>
    <w:p w14:paraId="4F6408AF"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предоставление субсидий субъектам Российской Федерации для осуществления социальных выплат гражданам, проживающим на сельских территориях, и признанных нуждающимися в улучшении жилищных условий (в том числе многодетные семьи, сотрудники агропромышленного комплекса, ветеринарии и социальной сферы);</w:t>
      </w:r>
    </w:p>
    <w:p w14:paraId="4BAE10FE"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реализация мероприятий по строительству жилья, предоставляемого по договору найма жилого помещения гражданам, проживающим и работающим на сельских территориях, при обязательном </w:t>
      </w:r>
      <w:proofErr w:type="spellStart"/>
      <w:r w:rsidRPr="00762475">
        <w:t>софинансировании</w:t>
      </w:r>
      <w:proofErr w:type="spellEnd"/>
      <w:r w:rsidRPr="00762475">
        <w:t xml:space="preserve"> со стороны работодателей, что позволит закрепить квалифицированные кадры на селе; </w:t>
      </w:r>
    </w:p>
    <w:p w14:paraId="6FCEBDEE"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предоставление льготных потребительских кредитов на цели повышения уровня благоустройства домовладений (приобретение оборудования для энерго- и водоснабжения, канализации, отопления и вентиляции);</w:t>
      </w:r>
    </w:p>
    <w:p w14:paraId="6959559C"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предоставление субсидий субъектам Российской Федерации на инженерную подготовку и благоустройство площадок под индивидуальное жилищное строительство на сельских территориях.</w:t>
      </w:r>
    </w:p>
    <w:p w14:paraId="23362F25" w14:textId="77777777" w:rsidR="00634B85" w:rsidRPr="00762475" w:rsidRDefault="00634B85" w:rsidP="00634B85">
      <w:pPr>
        <w:pStyle w:val="SingleTxtG"/>
      </w:pPr>
      <w:r w:rsidRPr="00762475">
        <w:t>184</w:t>
      </w:r>
      <w:r w:rsidRPr="00DB0AD4">
        <w:t>.</w:t>
      </w:r>
      <w:r>
        <w:tab/>
      </w:r>
      <w:r w:rsidRPr="00762475">
        <w:t>В целях оказания органам местного самоуправления поддержки в вопросах благоустройства сельских территорий разработан федеральный проект «Благоустройство сельских территорий» Госпрограммы КРСТ, в рамках которого решаются ключевые вопросы по созданию комфортной среды проживания.</w:t>
      </w:r>
    </w:p>
    <w:p w14:paraId="70BB6060" w14:textId="77777777" w:rsidR="00634B85" w:rsidRPr="00762475" w:rsidRDefault="00634B85" w:rsidP="00634B85">
      <w:pPr>
        <w:pStyle w:val="SingleTxtG"/>
      </w:pPr>
      <w:r w:rsidRPr="00762475">
        <w:t>185.</w:t>
      </w:r>
      <w:r>
        <w:tab/>
      </w:r>
      <w:r w:rsidRPr="00762475">
        <w:t>В настоящее время во исполнение Указа Президента Российской Федерации от 7 мая 2018 г</w:t>
      </w:r>
      <w:r>
        <w:t>ода</w:t>
      </w:r>
      <w:r w:rsidRPr="00762475">
        <w:t xml:space="preserve"> № 204 «О национальных целях и стратегических задачах развития Российской Федерации на период до 2024 года» реализуется национальный проект «Жилье и городская среда», паспорт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w:t>
      </w:r>
      <w:r>
        <w:t>ода</w:t>
      </w:r>
      <w:r w:rsidRPr="00762475">
        <w:t xml:space="preserve"> № 16, включающий в себя пять федеральных проектов: «Ипотека», «Жилье», «Формирование комфортной городской среды», «Обеспечение устойчивого сокращения непригодного для проживания жилищного фонда», «Чистая вода». Помимо этого, реализуется также утвержденная постановлением Правительства Российской Федерации от 30 декабря 2017 г</w:t>
      </w:r>
      <w:r>
        <w:t xml:space="preserve">ода </w:t>
      </w:r>
      <w:r>
        <w:br/>
      </w:r>
      <w:r w:rsidRPr="00762475">
        <w:t>№ 1710 государственная программа «Обеспечение доступным и комфортным жильем и коммунальными услугами граждан Российской Федерации».</w:t>
      </w:r>
    </w:p>
    <w:p w14:paraId="5F6D3D15" w14:textId="77777777" w:rsidR="00634B85" w:rsidRPr="00762475" w:rsidRDefault="00634B85" w:rsidP="00634B85">
      <w:pPr>
        <w:pStyle w:val="SingleTxtG"/>
      </w:pPr>
      <w:r w:rsidRPr="00762475">
        <w:t>186.</w:t>
      </w:r>
      <w:r>
        <w:tab/>
      </w:r>
      <w:r w:rsidRPr="00762475">
        <w:t>Федеральным законом «О дополнительных мерах государственной поддержки семей, имеющих детей» предусмотрено право на дополнительные меры государственной поддержки в виде материнского (семейного) капитала в связи с рождением с 1 января 2007 г</w:t>
      </w:r>
      <w:r>
        <w:t>ода</w:t>
      </w:r>
      <w:r w:rsidRPr="00762475">
        <w:t xml:space="preserve"> второго ребенка или последующих детей, а также в связи с рождением с 1 января 2020 г</w:t>
      </w:r>
      <w:r>
        <w:t>ода</w:t>
      </w:r>
      <w:r w:rsidRPr="00762475">
        <w:t xml:space="preserve"> первого ребенка. Одним из направлений распоряжения средствами является улучшение жилищных условий.</w:t>
      </w:r>
    </w:p>
    <w:p w14:paraId="7CCD325B" w14:textId="77777777" w:rsidR="00634B85" w:rsidRPr="00762475" w:rsidRDefault="00634B85" w:rsidP="00634B85">
      <w:pPr>
        <w:pStyle w:val="SingleTxtG"/>
      </w:pPr>
      <w:r w:rsidRPr="00762475">
        <w:t>187.</w:t>
      </w:r>
      <w:r>
        <w:tab/>
      </w:r>
      <w:r w:rsidRPr="00762475">
        <w:t>Средства могут быть направлены как на строительство или приобретение жилого помещения без привлечения кредитных средств, так и с привлечением кредитных средств.</w:t>
      </w:r>
    </w:p>
    <w:p w14:paraId="6711C431" w14:textId="77777777" w:rsidR="00634B85" w:rsidRPr="00762475" w:rsidRDefault="00634B85" w:rsidP="00634B85">
      <w:pPr>
        <w:pStyle w:val="SingleTxtG"/>
      </w:pPr>
      <w:r w:rsidRPr="00762475">
        <w:t>188.</w:t>
      </w:r>
      <w:r>
        <w:tab/>
      </w:r>
      <w:r w:rsidRPr="00762475">
        <w:t>ФАДН России в 2019 г</w:t>
      </w:r>
      <w:r>
        <w:t>оду</w:t>
      </w:r>
      <w:r w:rsidRPr="00762475">
        <w:t xml:space="preserve"> разработаны методические рекомендации для органов исполнительной власти субъектов Российской Федерации и органов местного самоуправления по работе с цыганским населением, утвержденные приказом ФАДН России от 9 августа 2019 г</w:t>
      </w:r>
      <w:r>
        <w:t>ода</w:t>
      </w:r>
      <w:r w:rsidRPr="00762475">
        <w:t xml:space="preserve"> № 78 (далее </w:t>
      </w:r>
      <w:r w:rsidRPr="000F3F9A">
        <w:t>—</w:t>
      </w:r>
      <w:r w:rsidRPr="00762475">
        <w:t xml:space="preserve"> Методические рекомендации).</w:t>
      </w:r>
    </w:p>
    <w:p w14:paraId="2FA084D0" w14:textId="77777777" w:rsidR="00634B85" w:rsidRPr="00762475" w:rsidRDefault="00634B85" w:rsidP="00634B85">
      <w:pPr>
        <w:pStyle w:val="SingleTxtG"/>
      </w:pPr>
      <w:r w:rsidRPr="00762475">
        <w:t>189.</w:t>
      </w:r>
      <w:r>
        <w:tab/>
      </w:r>
      <w:r w:rsidRPr="00762475">
        <w:t xml:space="preserve">При разработке Методических рекомендаций учитывались положения Международной конвенции о ликвидации всех форм расовой дискриминации и </w:t>
      </w:r>
      <w:r w:rsidRPr="00762475">
        <w:lastRenderedPageBreak/>
        <w:t>Рамочной конвенции Совета Европы о защите национальных меньшинств. Методические рекомендации направлены на содействие органам государственной власти по организации работы, направленной на улучшение уровня жизни цыганского населения.</w:t>
      </w:r>
    </w:p>
    <w:p w14:paraId="3C13E073" w14:textId="77777777" w:rsidR="00634B85" w:rsidRPr="00762475" w:rsidRDefault="00634B85" w:rsidP="00634B85">
      <w:pPr>
        <w:pStyle w:val="SingleTxtG"/>
      </w:pPr>
      <w:r w:rsidRPr="00762475">
        <w:t>190.</w:t>
      </w:r>
      <w:r>
        <w:tab/>
      </w:r>
      <w:r w:rsidRPr="00762475">
        <w:t>Одними из наиболее острых вопросов, влияющих на уровень социального напряжения, остаются вопросы инфраструктурного характера, в частности, незаконно возведенные строения, самозахваты и незаконные подключения к сетям коммунальной инфраструктуры.</w:t>
      </w:r>
    </w:p>
    <w:p w14:paraId="61968127" w14:textId="77777777" w:rsidR="00634B85" w:rsidRPr="00762475" w:rsidRDefault="00634B85" w:rsidP="00634B85">
      <w:pPr>
        <w:pStyle w:val="SingleTxtG"/>
      </w:pPr>
      <w:r w:rsidRPr="00762475">
        <w:t>191.</w:t>
      </w:r>
      <w:r>
        <w:tab/>
      </w:r>
      <w:r w:rsidRPr="00762475">
        <w:t>На территории Российской Федерации имеются более 250 строений с незарегистрированными правоустанавливающими документами, в которых проживают лица цыганской национальности.</w:t>
      </w:r>
    </w:p>
    <w:p w14:paraId="65E5AC27" w14:textId="77777777" w:rsidR="00634B85" w:rsidRPr="00762475" w:rsidRDefault="00634B85" w:rsidP="00634B85">
      <w:pPr>
        <w:pStyle w:val="SingleTxtG"/>
      </w:pPr>
      <w:r w:rsidRPr="00762475">
        <w:t>192.</w:t>
      </w:r>
      <w:r>
        <w:tab/>
      </w:r>
      <w:r w:rsidRPr="00762475">
        <w:t xml:space="preserve">Одним из решений проблемы незаконно возведенных построек является документирование </w:t>
      </w:r>
      <w:proofErr w:type="gramStart"/>
      <w:r w:rsidRPr="00762475">
        <w:t>уже существующих</w:t>
      </w:r>
      <w:proofErr w:type="gramEnd"/>
      <w:r w:rsidRPr="00762475">
        <w:t xml:space="preserve"> строений, однако не всегда это представляется возможным, чаще всего из-за их расположения на территориях, где проходят магистральные линии газопроводов и других коммуникаций. В таких случаях в качестве мер рассматриваются предоставление альтернативного жилья или предоставление земли, а также выплата финансовой компенсации на ее приобретение.</w:t>
      </w:r>
    </w:p>
    <w:p w14:paraId="370A3F17" w14:textId="77777777" w:rsidR="00634B85" w:rsidRPr="00762475" w:rsidRDefault="00634B85" w:rsidP="00634B85">
      <w:pPr>
        <w:pStyle w:val="SingleTxtG"/>
      </w:pPr>
      <w:r w:rsidRPr="00762475">
        <w:t>193.</w:t>
      </w:r>
      <w:r>
        <w:tab/>
      </w:r>
      <w:r w:rsidRPr="00762475">
        <w:t>Регулярно ресурсоснабжающими организациями проводятся проверки несанкционированных подключений к системе газоснабжения и электроснабжения в местах компактного проживания цыганского населения.</w:t>
      </w:r>
    </w:p>
    <w:p w14:paraId="1F2336EA" w14:textId="77777777" w:rsidR="00634B85" w:rsidRPr="00762475" w:rsidRDefault="00634B85" w:rsidP="00634B85">
      <w:pPr>
        <w:pStyle w:val="SingleTxtG"/>
      </w:pPr>
      <w:r w:rsidRPr="00762475">
        <w:t>194.</w:t>
      </w:r>
      <w:r>
        <w:tab/>
      </w:r>
      <w:r w:rsidRPr="00762475">
        <w:t>Сносы незаконно возведенных строений производятся исключительно по решению суда с предоставлением, в случае необходимости, мест временного проживания и земельных участков для строительства жилья. При этом на всех этапах органами государственной власти оказывается помощь в оформлении необходимой документации.</w:t>
      </w:r>
    </w:p>
    <w:p w14:paraId="24FE7584" w14:textId="77777777" w:rsidR="00634B85" w:rsidRPr="00762475" w:rsidRDefault="00634B85" w:rsidP="00634B85">
      <w:pPr>
        <w:pStyle w:val="SingleTxtG"/>
      </w:pPr>
      <w:r w:rsidRPr="00762475">
        <w:t>195.</w:t>
      </w:r>
      <w:r>
        <w:tab/>
      </w:r>
      <w:r w:rsidRPr="00762475">
        <w:t xml:space="preserve">В рамках реализации «Добровольных руководящих принципов в поддержку постепенного осуществления права на достаточное питание в контексте национальной продовольственной безопасности», принятых на </w:t>
      </w:r>
      <w:r>
        <w:t>127-й</w:t>
      </w:r>
      <w:r w:rsidRPr="00762475">
        <w:t xml:space="preserve"> сессии Совета Продовольственной и сельскохозяйственной организации ООН (далее </w:t>
      </w:r>
      <w:r>
        <w:t>—</w:t>
      </w:r>
      <w:r w:rsidRPr="00762475">
        <w:t xml:space="preserve"> ФАО) в ноябре 2004 г</w:t>
      </w:r>
      <w:r>
        <w:t>ода</w:t>
      </w:r>
      <w:r w:rsidRPr="00762475">
        <w:t>, Россия вносит весомый вклад в обеспечение глобальной и региональной продовольственной безопасности.</w:t>
      </w:r>
    </w:p>
    <w:p w14:paraId="50EF1FDF" w14:textId="77777777" w:rsidR="00634B85" w:rsidRPr="00762475" w:rsidRDefault="00634B85" w:rsidP="00634B85">
      <w:pPr>
        <w:pStyle w:val="SingleTxtG"/>
      </w:pPr>
      <w:r w:rsidRPr="00762475">
        <w:t>196.</w:t>
      </w:r>
      <w:r>
        <w:tab/>
      </w:r>
      <w:r w:rsidRPr="00762475">
        <w:t>Россия является надежным партнером в области гуманитарного содействия. Значительная часть российской продовольственной помощи нуждающемуся населению зарубежных стран поступает по линии Всемирной продовольственной программы ООН. Постоянно расширяется география оказываемой со стороны России финансовой поддержки гуманитарной продовольственной помощи, в том числе странам Латинской Америки и Карибского бассейна, а также Азиатско-Тихоокеанского региона. Российский донорский взнос в фонд Программы в 2018 г</w:t>
      </w:r>
      <w:r>
        <w:t>оду</w:t>
      </w:r>
      <w:r w:rsidRPr="00762475">
        <w:t xml:space="preserve"> составил 52,8 млн долл. США, в 2019 г</w:t>
      </w:r>
      <w:r>
        <w:t>оду</w:t>
      </w:r>
      <w:r w:rsidRPr="00762475">
        <w:t xml:space="preserve"> </w:t>
      </w:r>
      <w:r>
        <w:t>—</w:t>
      </w:r>
      <w:r w:rsidRPr="00762475">
        <w:t xml:space="preserve"> 44,9 млн долл. США, а в 2020 г</w:t>
      </w:r>
      <w:r>
        <w:t>оду</w:t>
      </w:r>
      <w:r w:rsidRPr="00762475">
        <w:t xml:space="preserve"> и 2021 г</w:t>
      </w:r>
      <w:r>
        <w:t>оду</w:t>
      </w:r>
      <w:r w:rsidRPr="00762475">
        <w:t xml:space="preserve"> достиг рекордных показателей </w:t>
      </w:r>
      <w:r>
        <w:t>—</w:t>
      </w:r>
      <w:r w:rsidRPr="00762475">
        <w:t xml:space="preserve"> 72,7 млн долл. США и 81,5 млн долл. США соответственно.</w:t>
      </w:r>
    </w:p>
    <w:p w14:paraId="00A67C77" w14:textId="77777777" w:rsidR="00634B85" w:rsidRPr="00762475" w:rsidRDefault="00634B85" w:rsidP="00634B85">
      <w:pPr>
        <w:pStyle w:val="SingleTxtG"/>
      </w:pPr>
      <w:r w:rsidRPr="00762475">
        <w:t>197.</w:t>
      </w:r>
      <w:r>
        <w:tab/>
      </w:r>
      <w:r w:rsidRPr="00762475">
        <w:t>Одной из самых результативных форм российской продовольственной помощи является реализация проектов технического содействия в области развития устойчивых систем школьного питания. Находясь на стыке гуманитарной помощи и содействия развитию, такие проекты становятся инструментом борьбы с голодом, обеспечения здорового рациона, а также повышения общего уровня образования и, как следствие, степени конкурентоспособности молодежи на рынке труда. Кроме того, они содействуют облегчению бремени бедности, снижению уровня детской заболеваемости и смертности. Такие проекты в отчетный период реализовывались в Киргизии (объем финансирования на 2018</w:t>
      </w:r>
      <w:r>
        <w:t>–</w:t>
      </w:r>
      <w:r w:rsidRPr="00762475">
        <w:t>2021 г</w:t>
      </w:r>
      <w:r>
        <w:t>оды</w:t>
      </w:r>
      <w:r w:rsidRPr="00762475">
        <w:t xml:space="preserve"> 7,4 млн долл. США), Армении (объем финансирования на 2019</w:t>
      </w:r>
      <w:r>
        <w:t>–</w:t>
      </w:r>
      <w:r w:rsidRPr="00762475">
        <w:t>2021 г</w:t>
      </w:r>
      <w:r>
        <w:t>оды</w:t>
      </w:r>
      <w:r w:rsidRPr="00762475">
        <w:t xml:space="preserve"> 13,1 млн долл. США), Таджикистане </w:t>
      </w:r>
      <w:r>
        <w:br/>
      </w:r>
      <w:r w:rsidRPr="00762475">
        <w:t>(объем финансирования на 2018</w:t>
      </w:r>
      <w:r>
        <w:t>–</w:t>
      </w:r>
      <w:r w:rsidRPr="00762475">
        <w:t>2021 г</w:t>
      </w:r>
      <w:r>
        <w:t>оды</w:t>
      </w:r>
      <w:r w:rsidRPr="00762475">
        <w:t xml:space="preserve"> 9 млн долл. США), с 2020 г</w:t>
      </w:r>
      <w:r>
        <w:t>ода</w:t>
      </w:r>
      <w:r w:rsidRPr="00762475">
        <w:t xml:space="preserve"> запущены аналогичные проекты в Никарагуа и на Кубе (объем финансирования в </w:t>
      </w:r>
      <w:r>
        <w:br/>
      </w:r>
      <w:r w:rsidRPr="00762475">
        <w:t>2020</w:t>
      </w:r>
      <w:r>
        <w:t>–</w:t>
      </w:r>
      <w:r w:rsidRPr="00762475">
        <w:t>2022 г</w:t>
      </w:r>
      <w:r>
        <w:t>одах</w:t>
      </w:r>
      <w:r w:rsidRPr="00762475">
        <w:t xml:space="preserve"> 8 млн долл. США).</w:t>
      </w:r>
    </w:p>
    <w:p w14:paraId="0E019B87" w14:textId="77777777" w:rsidR="00634B85" w:rsidRDefault="00634B85" w:rsidP="00634B85">
      <w:pPr>
        <w:pStyle w:val="SingleTxtG"/>
      </w:pPr>
      <w:r w:rsidRPr="00762475">
        <w:lastRenderedPageBreak/>
        <w:t>198.</w:t>
      </w:r>
      <w:r>
        <w:tab/>
      </w:r>
      <w:r w:rsidRPr="00762475">
        <w:t>Россия активно участвует в оказании продовольственной помощи и по линии</w:t>
      </w:r>
      <w:r>
        <w:t> </w:t>
      </w:r>
      <w:r w:rsidRPr="00762475">
        <w:t>ФАО. В отчетный период реализовывались следующие проекты: «Создание потенциала для укрепления продовольственной безопасности и питания в ряде стран Центральной Азии и Закавказья» (2015 г</w:t>
      </w:r>
      <w:r>
        <w:t>од —</w:t>
      </w:r>
      <w:r w:rsidRPr="00762475">
        <w:t xml:space="preserve"> по н.</w:t>
      </w:r>
      <w:r>
        <w:t> </w:t>
      </w:r>
      <w:r w:rsidRPr="00762475">
        <w:t>в., 6</w:t>
      </w:r>
      <w:r w:rsidRPr="00762475">
        <w:rPr>
          <w:lang w:val="en-US"/>
        </w:rPr>
        <w:t> </w:t>
      </w:r>
      <w:r w:rsidRPr="00762475">
        <w:t>млн долл. США), «Поддержка сельского населения и укрепление устойчивости домохозяйств в провинции Алеппо, Сирия» (2018</w:t>
      </w:r>
      <w:r>
        <w:t>–</w:t>
      </w:r>
      <w:r w:rsidRPr="00762475">
        <w:t>2021 г</w:t>
      </w:r>
      <w:r>
        <w:t>оды</w:t>
      </w:r>
      <w:r w:rsidRPr="00762475">
        <w:t>, 3</w:t>
      </w:r>
      <w:r>
        <w:t xml:space="preserve"> </w:t>
      </w:r>
      <w:r w:rsidRPr="00762475">
        <w:t>млн долл. США). В апреле 2020 г</w:t>
      </w:r>
      <w:r>
        <w:t>ода</w:t>
      </w:r>
      <w:r w:rsidRPr="00762475">
        <w:t xml:space="preserve"> российской стороной были также профинансированы мероприятия ФАО по борьбе с нашествием саранчи в государствах Восточной Африки (страны</w:t>
      </w:r>
      <w:r>
        <w:t>-</w:t>
      </w:r>
      <w:r w:rsidRPr="00762475">
        <w:t xml:space="preserve">получатели помощи Кения (3 млн долл. США), Уганда (3 млн долл. США), Эфиопия (3 млн долл. США) и Южный Судан </w:t>
      </w:r>
      <w:r>
        <w:br/>
      </w:r>
      <w:r w:rsidRPr="00762475">
        <w:t>(1 млн долл. США).</w:t>
      </w:r>
    </w:p>
    <w:p w14:paraId="6EB849A8" w14:textId="77777777" w:rsidR="00634B85" w:rsidRPr="00762475" w:rsidRDefault="00634B85" w:rsidP="00634B85">
      <w:pPr>
        <w:pStyle w:val="HChG"/>
      </w:pPr>
      <w:r>
        <w:tab/>
      </w:r>
      <w:r>
        <w:tab/>
      </w:r>
      <w:r w:rsidRPr="00762475">
        <w:t>Статья 12</w:t>
      </w:r>
    </w:p>
    <w:p w14:paraId="2EEE9F8A" w14:textId="77777777" w:rsidR="00634B85" w:rsidRPr="00762475" w:rsidRDefault="00634B85" w:rsidP="00634B85">
      <w:pPr>
        <w:pStyle w:val="H1G"/>
      </w:pPr>
      <w:r>
        <w:tab/>
      </w:r>
      <w:r>
        <w:tab/>
      </w:r>
      <w:r w:rsidRPr="002800DE">
        <w:t>Последующая информация в связи с пунктами</w:t>
      </w:r>
      <w:r w:rsidRPr="00762475">
        <w:t xml:space="preserve"> 51</w:t>
      </w:r>
      <w:r>
        <w:t>–</w:t>
      </w:r>
      <w:r w:rsidRPr="00762475">
        <w:t>55 заключительных замечаний КЭСКП</w:t>
      </w:r>
    </w:p>
    <w:p w14:paraId="136B49C7" w14:textId="77777777" w:rsidR="00634B85" w:rsidRPr="00762475" w:rsidRDefault="00634B85" w:rsidP="00634B85">
      <w:pPr>
        <w:pStyle w:val="SingleTxtG"/>
      </w:pPr>
      <w:r w:rsidRPr="00762475">
        <w:t>199.</w:t>
      </w:r>
      <w:r>
        <w:tab/>
      </w:r>
      <w:r w:rsidRPr="00762475">
        <w:t>Охрана здоровья людей в Российской Федерации гарантируется частью 2 статьи</w:t>
      </w:r>
      <w:r>
        <w:t> </w:t>
      </w:r>
      <w:r w:rsidRPr="00762475">
        <w:t>7 Конституции Российской Федерации.</w:t>
      </w:r>
    </w:p>
    <w:p w14:paraId="15FA0633" w14:textId="77777777" w:rsidR="00634B85" w:rsidRPr="00762475" w:rsidRDefault="00634B85" w:rsidP="00634B85">
      <w:pPr>
        <w:pStyle w:val="SingleTxtG"/>
      </w:pPr>
      <w:r w:rsidRPr="00762475">
        <w:t>200.</w:t>
      </w:r>
      <w:r>
        <w:tab/>
      </w:r>
      <w:r w:rsidRPr="00762475">
        <w:t>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(часть 2 статьи 41 Конституции Российской Федерации).</w:t>
      </w:r>
    </w:p>
    <w:p w14:paraId="33CCA121" w14:textId="77777777" w:rsidR="00634B85" w:rsidRPr="00762475" w:rsidRDefault="00634B85" w:rsidP="00634B85">
      <w:pPr>
        <w:pStyle w:val="SingleTxtG"/>
      </w:pPr>
      <w:r w:rsidRPr="00762475">
        <w:t>201.</w:t>
      </w:r>
      <w:r>
        <w:tab/>
      </w:r>
      <w:r w:rsidRPr="00762475">
        <w:t>Права граждан в сфере охраны здоровья также регламентированы главой 4 Федерального закона от 21 ноября 2011 г</w:t>
      </w:r>
      <w:r>
        <w:t>ода</w:t>
      </w:r>
      <w:r w:rsidRPr="00762475">
        <w:t xml:space="preserve"> № 323-ФЗ «Об основах охраны здоровья граждан в Российской Федерации» (далее </w:t>
      </w:r>
      <w:r>
        <w:t>—</w:t>
      </w:r>
      <w:r w:rsidRPr="00762475">
        <w:t xml:space="preserve"> Федеральный закон № 323-ФЗ), в том числе права на охрану здоровья, медицинскую помощь, информированное добровольное согласие на медицинское вмешательство и на отказ от медицинского вмешательства, выбор медицинской организации и выбор врача, получение информации о состоянии здоровья и другие.</w:t>
      </w:r>
    </w:p>
    <w:p w14:paraId="4C4E3738" w14:textId="77777777" w:rsidR="00634B85" w:rsidRPr="00762475" w:rsidRDefault="00634B85" w:rsidP="00634B85">
      <w:pPr>
        <w:pStyle w:val="SingleTxtG"/>
      </w:pPr>
      <w:r w:rsidRPr="00762475">
        <w:t>202.</w:t>
      </w:r>
      <w:r>
        <w:tab/>
      </w:r>
      <w:r w:rsidRPr="00762475">
        <w:t>Кроме того, гарантии оказания медицинской помощи, а также соответствующие права граждан в отношении отдельных заболеваний закреплены специальными законодательными актами.</w:t>
      </w:r>
    </w:p>
    <w:p w14:paraId="6FA93D14" w14:textId="77777777" w:rsidR="00634B85" w:rsidRPr="00762475" w:rsidRDefault="00634B85" w:rsidP="00634B85">
      <w:pPr>
        <w:pStyle w:val="SingleTxtG"/>
      </w:pPr>
      <w:r w:rsidRPr="00762475">
        <w:t>203.</w:t>
      </w:r>
      <w:r>
        <w:tab/>
      </w:r>
      <w:r w:rsidRPr="00762475">
        <w:t>В частности, Федеральный закон от 8 января 1998 г</w:t>
      </w:r>
      <w:r>
        <w:t>ода</w:t>
      </w:r>
      <w:r w:rsidRPr="00762475">
        <w:t xml:space="preserve"> № 3-ФЗ «О</w:t>
      </w:r>
      <w:r>
        <w:t xml:space="preserve"> </w:t>
      </w:r>
      <w:r w:rsidRPr="00762475">
        <w:t xml:space="preserve">наркотических средствах и психотропных веществах» (далее </w:t>
      </w:r>
      <w:r>
        <w:t>—</w:t>
      </w:r>
      <w:r w:rsidRPr="00762475">
        <w:t xml:space="preserve"> Федеральный закон № 3-ФЗ), закрепляет:</w:t>
      </w:r>
    </w:p>
    <w:p w14:paraId="4A990B05"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всеобъемлющие принципы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(контрольного (надзорного), профилактического, научного, общественного, социального, международного характеров), в том числе включающие приоритетность мер по профилактике незаконного потребления наркотических средств и психотропных веществ, стимулирование деятельности, направленной на антинаркотическую пропаганду, 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14:paraId="6C48A83D"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государственные гарантии оказания больным наркоманией наркологической помощи и социальной реабилитации и права больных наркоманией пользоваться правами пациентов в соответствии с законодательством Российской Федерации об охране здоровья граждан при оказании им наркологической помощи, что исключает дискриминацию наркозависимых лиц в области доступа к медицинскому обслуживанию.</w:t>
      </w:r>
    </w:p>
    <w:p w14:paraId="3A6B1BCE" w14:textId="77777777" w:rsidR="00634B85" w:rsidRPr="00762475" w:rsidRDefault="00634B85" w:rsidP="00634B85">
      <w:pPr>
        <w:pStyle w:val="SingleTxtG"/>
      </w:pPr>
      <w:r w:rsidRPr="00762475">
        <w:lastRenderedPageBreak/>
        <w:t>204.</w:t>
      </w:r>
      <w:r>
        <w:tab/>
      </w:r>
      <w:r w:rsidRPr="00762475">
        <w:t>Кроме того, политика государства в сфере контроля над наркотиками исходит из необходимости добиваться оптимального баланса между соблюдением прав больных, включая возможность получения ими квалифицированной медицинской помощи, и нуждами общественного здоровья по профилактике наркологических расстройств, психологическая «</w:t>
      </w:r>
      <w:proofErr w:type="spellStart"/>
      <w:r w:rsidRPr="00762475">
        <w:t>контагиозность</w:t>
      </w:r>
      <w:proofErr w:type="spellEnd"/>
      <w:r w:rsidRPr="00762475">
        <w:t>» которых общеизвестна. Таким образом, государственная политика в данной сфере базируется на основных положениях эпидемиологии. Необходимость соблюдения этих принципов в полной мере проявляется в настоящее время во многих странах на фоне текущей пандемии COVID-19.</w:t>
      </w:r>
    </w:p>
    <w:p w14:paraId="3A167A30" w14:textId="77777777" w:rsidR="00634B85" w:rsidRPr="00762475" w:rsidRDefault="00634B85" w:rsidP="00634B85">
      <w:pPr>
        <w:pStyle w:val="SingleTxtG"/>
      </w:pPr>
      <w:r w:rsidRPr="00762475">
        <w:t>205.</w:t>
      </w:r>
      <w:r>
        <w:tab/>
      </w:r>
      <w:r w:rsidRPr="00762475">
        <w:t>Действующие нормативные правовые акты, которые вводят ограничения на определенные профессии и виды деятельности, связанные с риском повышенной опасности, в отношении лиц, страдающих наркологическими расстройствами, продиктованы необходимыми мерами по обеспечению безопасности общества на различных видах транспорта, при обращении с оружием и другими источниками повышенной опасности, а также необходимостью нераспространения немедицинского потребления наркотических средств и психотропных веществ.</w:t>
      </w:r>
    </w:p>
    <w:p w14:paraId="0B5A60CD" w14:textId="77777777" w:rsidR="00634B85" w:rsidRPr="00762475" w:rsidRDefault="00634B85" w:rsidP="00634B85">
      <w:pPr>
        <w:pStyle w:val="SingleTxtG"/>
      </w:pPr>
      <w:r w:rsidRPr="00762475">
        <w:t>206.</w:t>
      </w:r>
      <w:r>
        <w:tab/>
      </w:r>
      <w:r w:rsidRPr="00762475">
        <w:t>Законодательство Российской Федерации гарантирует соблюдение принципа добровольности лечения больных наркологического профиля на основе информированного согласия (часть 4 статьи 54 Федерального закона № 3-ФЗ). Указанная помощь осуществляется дифференцированно в соответствии с видом зависимости. При этом при ведении добровольно обратившихся за помощью пациентов соблюдается принцип конфиденциальности.</w:t>
      </w:r>
    </w:p>
    <w:p w14:paraId="25405863" w14:textId="77777777" w:rsidR="00634B85" w:rsidRPr="00762475" w:rsidRDefault="00634B85" w:rsidP="00634B85">
      <w:pPr>
        <w:pStyle w:val="SingleTxtG"/>
      </w:pPr>
      <w:r w:rsidRPr="00762475">
        <w:t>207.</w:t>
      </w:r>
      <w:r>
        <w:tab/>
      </w:r>
      <w:r w:rsidRPr="00762475">
        <w:t>Профилактика и диагностика наркомании, медицинская реабилитация больных наркоманией осуществляются в медицинских организациях, тогда как лечение больных наркоманией проводится только в медицинских организациях государственной и муниципальной систем здравоохранения (</w:t>
      </w:r>
      <w:proofErr w:type="spellStart"/>
      <w:r w:rsidRPr="00762475">
        <w:t>пп</w:t>
      </w:r>
      <w:proofErr w:type="spellEnd"/>
      <w:r w:rsidRPr="00762475">
        <w:t>.</w:t>
      </w:r>
      <w:r>
        <w:t> </w:t>
      </w:r>
      <w:r w:rsidRPr="00762475">
        <w:t>1, 2 статьи 55 Федерального закона № 3-ФЗ).</w:t>
      </w:r>
    </w:p>
    <w:p w14:paraId="308BA57B" w14:textId="77777777" w:rsidR="00634B85" w:rsidRPr="00762475" w:rsidRDefault="00634B85" w:rsidP="00634B85">
      <w:pPr>
        <w:pStyle w:val="SingleTxtG"/>
      </w:pPr>
      <w:r w:rsidRPr="00762475">
        <w:t>208.</w:t>
      </w:r>
      <w:r>
        <w:tab/>
      </w:r>
      <w:r w:rsidRPr="00762475">
        <w:t>Мероприятия по профилактике, диагностике, лечению и медицинской реабилитации больных наркоманией в медицинских организациях государственной и муниципальной систем здравоохранения осуществляется на бесплатной основе.</w:t>
      </w:r>
    </w:p>
    <w:p w14:paraId="78583F84" w14:textId="77777777" w:rsidR="00634B85" w:rsidRPr="00762475" w:rsidRDefault="00634B85" w:rsidP="00634B85">
      <w:pPr>
        <w:pStyle w:val="SingleTxtG"/>
      </w:pPr>
      <w:r w:rsidRPr="00762475">
        <w:t>209.</w:t>
      </w:r>
      <w:r>
        <w:tab/>
      </w:r>
      <w:r w:rsidRPr="00762475">
        <w:t>В Российской Федерации сформирована широкая сеть учреждений государственной наркологической службы и их филиалов: 77 наркологических диспансеров, 8 наркологических больниц, в 1956 многопрофильных медицинских организациях имеются кабинеты врача-психиатра-нарколога.</w:t>
      </w:r>
    </w:p>
    <w:p w14:paraId="6C899101" w14:textId="77777777" w:rsidR="00634B85" w:rsidRPr="00762475" w:rsidRDefault="00634B85" w:rsidP="00634B85">
      <w:pPr>
        <w:pStyle w:val="SingleTxtG"/>
      </w:pPr>
      <w:r w:rsidRPr="00762475">
        <w:t>210.</w:t>
      </w:r>
      <w:r>
        <w:tab/>
      </w:r>
      <w:r w:rsidRPr="00762475">
        <w:t xml:space="preserve">Для проведения медицинской реабилитации в стационарных условиях </w:t>
      </w:r>
      <w:r>
        <w:br/>
      </w:r>
      <w:r w:rsidRPr="00762475">
        <w:t>в составе медицинских организаций, оказывающих медицинскую помощь по профилям «психиатрия» и «психиатрия-наркология», созданы реабилитационные центры и отделения; общее число реабилитационных наркологических коек в них составляет 3055.</w:t>
      </w:r>
    </w:p>
    <w:p w14:paraId="748CBC7C" w14:textId="77777777" w:rsidR="00634B85" w:rsidRPr="00762475" w:rsidRDefault="00634B85" w:rsidP="00634B85">
      <w:pPr>
        <w:pStyle w:val="SingleTxtG"/>
      </w:pPr>
      <w:r w:rsidRPr="00762475">
        <w:t>211.</w:t>
      </w:r>
      <w:r>
        <w:tab/>
      </w:r>
      <w:r w:rsidRPr="00762475">
        <w:t>Порядок оказания помощи больным наркологического профиля определяется приказом Минздрава России от 30 декабря 2015 г</w:t>
      </w:r>
      <w:r>
        <w:t>ода</w:t>
      </w:r>
      <w:r w:rsidRPr="00762475">
        <w:t xml:space="preserve"> № 1034-н, согласно которому наркологическая помощь осуществляется на разных уровнях: в первичной медико-санитарной помощи, скорой, в том числе специализированной, медицинской помощи, а также специализированной медицинской помощи.</w:t>
      </w:r>
    </w:p>
    <w:p w14:paraId="5627DB41" w14:textId="77777777" w:rsidR="00634B85" w:rsidRPr="00762475" w:rsidRDefault="00634B85" w:rsidP="00634B85">
      <w:pPr>
        <w:pStyle w:val="SingleTxtG"/>
      </w:pPr>
      <w:r w:rsidRPr="00762475">
        <w:t>212.</w:t>
      </w:r>
      <w:r>
        <w:tab/>
      </w:r>
      <w:r w:rsidRPr="00762475">
        <w:t>Наркологическая медицинская помощь также оказывается в разнообразных условиях:</w:t>
      </w:r>
    </w:p>
    <w:p w14:paraId="52133058"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53270BE"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амбулаторно (в условиях, не предусматривающих круглосуточное медицинское наблюдение и лечение);</w:t>
      </w:r>
    </w:p>
    <w:p w14:paraId="3B1BFB85"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14:paraId="3B8CF6A2"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lastRenderedPageBreak/>
        <w:t>стационарно (в условиях, обеспечивающих круглосуточное медицинское наблюдение и лечение).</w:t>
      </w:r>
    </w:p>
    <w:p w14:paraId="29DE6C1C" w14:textId="77777777" w:rsidR="00634B85" w:rsidRPr="00762475" w:rsidRDefault="00634B85" w:rsidP="00634B85">
      <w:pPr>
        <w:pStyle w:val="SingleTxtG"/>
      </w:pPr>
      <w:r w:rsidRPr="00762475">
        <w:t>213.</w:t>
      </w:r>
      <w:r>
        <w:tab/>
      </w:r>
      <w:r w:rsidRPr="00762475">
        <w:t>В Российской Федерации опиоидная заместительная терапия не применяется в связи с тем, что эффективность такой терапии остается недоказанной, а ее неблагоприятные медико-социальные последствия превышают те преходящие положительные явления, которые наблюдаются у отдельных пациентов данной группы. Вместе с тем в нашей стране проводятся исследования по расширению возможностей фармакологического лечения наркологических расстройств, что является действенной альтернативой заместительной терапии.</w:t>
      </w:r>
    </w:p>
    <w:p w14:paraId="54E63E0B" w14:textId="77777777" w:rsidR="00634B85" w:rsidRPr="00762475" w:rsidRDefault="00634B85" w:rsidP="00634B85">
      <w:pPr>
        <w:pStyle w:val="SingleTxtG"/>
      </w:pPr>
      <w:r w:rsidRPr="00762475">
        <w:t>214.</w:t>
      </w:r>
      <w:r>
        <w:tab/>
      </w:r>
      <w:r w:rsidRPr="00762475">
        <w:t xml:space="preserve">Согласно распространенному в современный период пониманию, так называемая «заместительная терапия» наркоманий опийной группы, в частности героиновой наркомании, является разновидностью паллиативной терапии, цели которой ограничиваются снижением остроты и тяжести страданий больного человека, но не направлены на избавление от самого заболевания, в данном случае </w:t>
      </w:r>
      <w:r>
        <w:t>—</w:t>
      </w:r>
      <w:r w:rsidRPr="00762475">
        <w:t xml:space="preserve"> </w:t>
      </w:r>
      <w:r>
        <w:br/>
      </w:r>
      <w:r w:rsidRPr="00762475">
        <w:t xml:space="preserve">на прекращение потребления наркотика и на купирование (подавление, ликвидация) зависимости от него. </w:t>
      </w:r>
    </w:p>
    <w:p w14:paraId="1FE71DF7" w14:textId="77777777" w:rsidR="00634B85" w:rsidRPr="00762475" w:rsidRDefault="00634B85" w:rsidP="00634B85">
      <w:pPr>
        <w:pStyle w:val="SingleTxtG"/>
      </w:pPr>
      <w:r w:rsidRPr="00762475">
        <w:t>215.</w:t>
      </w:r>
      <w:r>
        <w:tab/>
      </w:r>
      <w:r w:rsidRPr="00762475">
        <w:t>Как известно, паллиативная терапия применяется только в тех случаях, когда полноценное лечение заведомо неэффективно и бесперспективно. Из этого следует, что «заместительная терапия» наркоманий, которая, по существу, представляет собой замену одного вида наркотической зависимости на другой, т</w:t>
      </w:r>
      <w:r>
        <w:t>о есть</w:t>
      </w:r>
      <w:r w:rsidRPr="00762475">
        <w:t xml:space="preserve"> героиновой на метадоновую, основана на парадигме </w:t>
      </w:r>
      <w:proofErr w:type="spellStart"/>
      <w:r w:rsidRPr="00762475">
        <w:t>некурабельности</w:t>
      </w:r>
      <w:proofErr w:type="spellEnd"/>
      <w:r w:rsidRPr="00762475">
        <w:t xml:space="preserve"> (неизлечимости) героиновой наркомании, принципиальной невозможности добиться полной </w:t>
      </w:r>
      <w:proofErr w:type="spellStart"/>
      <w:r w:rsidRPr="00762475">
        <w:t>денаркотизации</w:t>
      </w:r>
      <w:proofErr w:type="spellEnd"/>
      <w:r w:rsidRPr="00762475">
        <w:t>. Однако научные и практические достижения современной медицины опровергают данный тезис.</w:t>
      </w:r>
    </w:p>
    <w:p w14:paraId="00754AC6" w14:textId="77777777" w:rsidR="00634B85" w:rsidRPr="00762475" w:rsidRDefault="00634B85" w:rsidP="00634B85">
      <w:pPr>
        <w:pStyle w:val="SingleTxtG"/>
      </w:pPr>
      <w:r w:rsidRPr="00762475">
        <w:t>216.</w:t>
      </w:r>
      <w:r>
        <w:tab/>
      </w:r>
      <w:r w:rsidRPr="00762475">
        <w:t>Полноценное лечение опийной, в т.</w:t>
      </w:r>
      <w:r>
        <w:t> </w:t>
      </w:r>
      <w:r w:rsidRPr="00762475">
        <w:t xml:space="preserve">ч. героиновой наркомании, в соответствии с принятыми в Российской Федерации стандартами, исходит из обязательного следования принципам индивидуального подхода к больному, внимательного и детального изучения особенностей клинической картины заболевания, строгого дифференцирования в подборе лечебных средств и в построении лечебной программы. Отсюда следует, что лечение представляет собой трудную задачу, требующую значительных интеллектуальных и материальных усилий, творческого поиска и четкой организации медицинской помощи. </w:t>
      </w:r>
    </w:p>
    <w:p w14:paraId="2EC250B1" w14:textId="77777777" w:rsidR="00634B85" w:rsidRPr="00762475" w:rsidRDefault="00634B85" w:rsidP="00634B85">
      <w:pPr>
        <w:pStyle w:val="SingleTxtG"/>
      </w:pPr>
      <w:r w:rsidRPr="00762475">
        <w:t>217.</w:t>
      </w:r>
      <w:r>
        <w:tab/>
      </w:r>
      <w:r w:rsidRPr="00762475">
        <w:t xml:space="preserve">Решение этой задачи возможно двумя путями: либо путем продолжения поисков и усилий для достижения лучших результатов полного излечения пациентов, либо путем наименьшего сопротивления с переходом на «заместительную терапию», означающую прекращение поисков и усилий и фактическую капитуляцию государства и общества перед наркоманией как социальной проблемой. </w:t>
      </w:r>
    </w:p>
    <w:p w14:paraId="6F9E6A12" w14:textId="77777777" w:rsidR="00634B85" w:rsidRPr="00762475" w:rsidRDefault="00634B85" w:rsidP="00634B85">
      <w:pPr>
        <w:pStyle w:val="SingleTxtG"/>
      </w:pPr>
      <w:r w:rsidRPr="00762475">
        <w:t>218.</w:t>
      </w:r>
      <w:r>
        <w:tab/>
      </w:r>
      <w:r w:rsidRPr="00762475">
        <w:t>В Российской Федерации избран первый путь, так как он основан на законодательной гарантии оказания медицинской помощи наркозависимым и связан с наличием в нашей стране четко структурированной общегосударственной наркологической службы, которая способна обеспечить лечение наркоманий на основе единых, научно обоснованных принципов.</w:t>
      </w:r>
    </w:p>
    <w:p w14:paraId="2B581CBA" w14:textId="77777777" w:rsidR="00634B85" w:rsidRPr="00762475" w:rsidRDefault="00634B85" w:rsidP="00634B85">
      <w:pPr>
        <w:pStyle w:val="SingleTxtG"/>
      </w:pPr>
      <w:r w:rsidRPr="00762475">
        <w:t>219.</w:t>
      </w:r>
      <w:r>
        <w:tab/>
      </w:r>
      <w:r w:rsidRPr="00762475">
        <w:t xml:space="preserve">В настоящее время для лечения наркоманий в Российской Федерации применяется комплексный подход, включающий различные медикаментозные и немедикаментозные методы, его эффективность доказана практикой. В медицинских наркологических организациях Российской Федерации накоплен ценный опыт терапии больных героиновой наркоманией без применения наркотиков, с использованием комплексного подхода и с этапностью оказания наркологической помощи: </w:t>
      </w:r>
      <w:proofErr w:type="spellStart"/>
      <w:r w:rsidRPr="00762475">
        <w:t>детоксикационная</w:t>
      </w:r>
      <w:proofErr w:type="spellEnd"/>
      <w:r w:rsidRPr="00762475">
        <w:t xml:space="preserve"> терапия и лечение синдрома отмены наркотиков и психотических состояний; терапия </w:t>
      </w:r>
      <w:proofErr w:type="spellStart"/>
      <w:r w:rsidRPr="00762475">
        <w:t>резидуальных</w:t>
      </w:r>
      <w:proofErr w:type="spellEnd"/>
      <w:r w:rsidRPr="00762475">
        <w:t xml:space="preserve"> состояний, медицинская реабилитация в стационарных и амбулаторных условиях, а также социальная реабилитация, которая обычно организуется в негосударственных реабилитационных центрах. Если пациент с наркотической зависимостью сохраняет приверженность к комплексной терапии на всех ее этапах, вероятность формирования устойчивой многолетней ремиссии хорошего качества достигает 60</w:t>
      </w:r>
      <w:r>
        <w:t>–</w:t>
      </w:r>
      <w:r w:rsidRPr="00762475">
        <w:t>70</w:t>
      </w:r>
      <w:r>
        <w:t> </w:t>
      </w:r>
      <w:r w:rsidRPr="00762475">
        <w:t>%. Увеличивается численность реабилитационных центров: она достигла почти 1000.</w:t>
      </w:r>
    </w:p>
    <w:p w14:paraId="6E52E841" w14:textId="77777777" w:rsidR="00634B85" w:rsidRPr="00762475" w:rsidRDefault="00634B85" w:rsidP="00634B85">
      <w:pPr>
        <w:pStyle w:val="SingleTxtG"/>
      </w:pPr>
      <w:r w:rsidRPr="00762475">
        <w:lastRenderedPageBreak/>
        <w:t>220.</w:t>
      </w:r>
      <w:r>
        <w:tab/>
      </w:r>
      <w:r w:rsidRPr="00762475">
        <w:t>Законодательный запрет в Российской Федерации лечения наркомании методом так называемой «заместительной терапии» основан на государственной антинаркотической политике, основные принципы которой закреплены в статье 4 Федерального закона № 3-ФЗ. В целом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наркотиков,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14:paraId="7DA4F9E6" w14:textId="77777777" w:rsidR="00634B85" w:rsidRPr="00762475" w:rsidRDefault="00634B85" w:rsidP="00634B85">
      <w:pPr>
        <w:pStyle w:val="SingleTxtG"/>
      </w:pPr>
      <w:r w:rsidRPr="00762475">
        <w:t>221.</w:t>
      </w:r>
      <w:r>
        <w:tab/>
      </w:r>
      <w:r w:rsidRPr="00762475">
        <w:t>Стратегия государственной антинаркотической политики Российской Федерации до 2030 года, утвержденная Указом Президента Российской Федерации от 23 ноября 2020 г</w:t>
      </w:r>
      <w:r>
        <w:t>ода</w:t>
      </w:r>
      <w:r w:rsidRPr="00762475">
        <w:t xml:space="preserve"> № 733, предусматривает сокращение спроса на наркотики путем совершенствования системы профилактической, лечебной и реабилитационной работы, системы оказания наркологической медицинской помощи больным наркоманией и их реабилитации, повышение доступности для наркопотребителей профилактики, диагностики и лечения инфекционных заболеваний (ВИЧ-инфекции, вирусных гепатитов, туберкулеза, инфекций, передающихся половым путем). Причем, пункт «А» статьи 15 данной Стратегии прямо предусматривает недопущение применения в Российской Федерации методов заместительной терапии при лечении наркомании (использование наркотиков), легализации рекреационного потребления наркотиков, а также неоправданного расширения применения наркотических анальгетиков.</w:t>
      </w:r>
    </w:p>
    <w:p w14:paraId="3D13E929" w14:textId="77777777" w:rsidR="00634B85" w:rsidRPr="00762475" w:rsidRDefault="00634B85" w:rsidP="00634B85">
      <w:pPr>
        <w:pStyle w:val="SingleTxtG"/>
      </w:pPr>
      <w:r w:rsidRPr="00762475">
        <w:t>222.</w:t>
      </w:r>
      <w:r>
        <w:tab/>
      </w:r>
      <w:r w:rsidRPr="00762475">
        <w:t>Статья 38 Единой конвенции о наркотических средствах, 1961</w:t>
      </w:r>
      <w:r>
        <w:t> </w:t>
      </w:r>
      <w:r w:rsidRPr="00762475">
        <w:t>г</w:t>
      </w:r>
      <w:r>
        <w:t>од,</w:t>
      </w:r>
      <w:r w:rsidRPr="00762475">
        <w:t xml:space="preserve"> предусматривает перечень мер борьбы со злоупотреблениями наркотическими средствами, в котором отсутствуют указания на так называемую «заместительную терапию» в данном перечне конвенционных мер.</w:t>
      </w:r>
    </w:p>
    <w:p w14:paraId="3FE4A66E" w14:textId="77777777" w:rsidR="00634B85" w:rsidRPr="00762475" w:rsidRDefault="00634B85" w:rsidP="00634B85">
      <w:pPr>
        <w:pStyle w:val="SingleTxtG"/>
      </w:pPr>
      <w:r w:rsidRPr="00762475">
        <w:t>223.</w:t>
      </w:r>
      <w:r>
        <w:tab/>
      </w:r>
      <w:r w:rsidRPr="00762475">
        <w:t xml:space="preserve">Кроме того, статья 39 указанной Единой конвенции предоставляет Российской Федерации право на применение более строгих мер контроля над наркотическими средствами, чем меры, требуемые на основании Конвенции: «Независимо от </w:t>
      </w:r>
      <w:r>
        <w:br/>
      </w:r>
      <w:r w:rsidRPr="00762475">
        <w:t xml:space="preserve">каких-либо постановлений настоящей Конвенции ничто не препятствует или считается препятствующим Сторонам принимать более строгие или более суровые меры контроля, чем те, которые предусматриваются настоящей Конвенцией, и в частности, требовать, чтобы препараты, включенные в Список III, или наркотические средства, включенные в Список II, подлежали всем или таким мерам контроля, применяемым к наркотическим средствам Списка I, которые, по мнению данной Стороны, необходимы или желательны для охраны народного здоровья и благополучия». </w:t>
      </w:r>
    </w:p>
    <w:p w14:paraId="41D1B050" w14:textId="77777777" w:rsidR="00634B85" w:rsidRPr="00762475" w:rsidRDefault="00634B85" w:rsidP="00634B85">
      <w:pPr>
        <w:pStyle w:val="SingleTxtG"/>
      </w:pPr>
      <w:r w:rsidRPr="00762475">
        <w:t>224.</w:t>
      </w:r>
      <w:r>
        <w:tab/>
      </w:r>
      <w:r w:rsidRPr="00762475">
        <w:t>Используя данные полномочия, в пунктах 1 и 6 статьи 31 Федерального закона №</w:t>
      </w:r>
      <w:r>
        <w:t> </w:t>
      </w:r>
      <w:r w:rsidRPr="00762475">
        <w:t>3-ФЗ предусмотрено, что в медицинских целях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 и при этом в Российской Федерации запрещается лечение наркомании наркотическими средствами и психотропными веществами, внесенными в Список II.</w:t>
      </w:r>
    </w:p>
    <w:p w14:paraId="2465CB8D" w14:textId="77777777" w:rsidR="00634B85" w:rsidRPr="00762475" w:rsidRDefault="00634B85" w:rsidP="00634B85">
      <w:pPr>
        <w:pStyle w:val="SingleTxtG"/>
      </w:pPr>
      <w:r w:rsidRPr="00762475">
        <w:t>225.</w:t>
      </w:r>
      <w:r>
        <w:tab/>
      </w:r>
      <w:r w:rsidRPr="00762475">
        <w:t>Постановлением Правительства Российской Федерации от 30</w:t>
      </w:r>
      <w:r>
        <w:t xml:space="preserve"> </w:t>
      </w:r>
      <w:r w:rsidRPr="00762475">
        <w:t>июня 1998 г</w:t>
      </w:r>
      <w:r>
        <w:t>ода</w:t>
      </w:r>
      <w:r w:rsidRPr="00762475">
        <w:t xml:space="preserve"> </w:t>
      </w:r>
      <w:r>
        <w:br/>
      </w:r>
      <w:r w:rsidRPr="00762475">
        <w:t xml:space="preserve">№ 681 метадон включен в 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(список I) Перечня наркотических средств, психотропных веществ и их прекурсоров, подлежащих контролю в Российской Федерации. </w:t>
      </w:r>
    </w:p>
    <w:p w14:paraId="703E9592" w14:textId="77777777" w:rsidR="00634B85" w:rsidRPr="00762475" w:rsidRDefault="00634B85" w:rsidP="00634B85">
      <w:pPr>
        <w:pStyle w:val="SingleTxtG"/>
      </w:pPr>
      <w:r w:rsidRPr="00762475">
        <w:t>226.</w:t>
      </w:r>
      <w:r>
        <w:tab/>
      </w:r>
      <w:r w:rsidRPr="00762475">
        <w:t xml:space="preserve">Бупренорфин (второй по распространенности препарат для «заместительной терапии») включен в Список наркотических средств и психотропных веществ, оборот которых в Российской Федерации ограничен и в отношении которых устанавливаются </w:t>
      </w:r>
      <w:r w:rsidRPr="00762475">
        <w:lastRenderedPageBreak/>
        <w:t>меры контроля в соответствии с законодательством Российской Федерации и международными договорами Российской Федерации (список II).</w:t>
      </w:r>
    </w:p>
    <w:p w14:paraId="2BFCE878" w14:textId="77777777" w:rsidR="00634B85" w:rsidRPr="00762475" w:rsidRDefault="00634B85" w:rsidP="00634B85">
      <w:pPr>
        <w:pStyle w:val="SingleTxtG"/>
      </w:pPr>
      <w:r w:rsidRPr="00762475">
        <w:t>227.</w:t>
      </w:r>
      <w:r>
        <w:tab/>
      </w:r>
      <w:r w:rsidRPr="00762475">
        <w:t xml:space="preserve">Важно отметить, что основные положения по вопросам профилактики и лечения ВИЧ-инфекции закреплены в Государственной стратегии противодействия распространению ВИЧ-инфекции в Российской Федерации на период до 2030 года (далее </w:t>
      </w:r>
      <w:r>
        <w:t>—</w:t>
      </w:r>
      <w:r w:rsidRPr="00762475">
        <w:t xml:space="preserve"> Стратегия), утвержденной распоряжением Правительства Российской Федерации от 21 декабря 2020 г</w:t>
      </w:r>
      <w:r>
        <w:t>ода</w:t>
      </w:r>
      <w:r w:rsidRPr="00762475">
        <w:t xml:space="preserve"> № 3468-р.</w:t>
      </w:r>
    </w:p>
    <w:p w14:paraId="206F02C3" w14:textId="77777777" w:rsidR="00634B85" w:rsidRPr="00762475" w:rsidRDefault="00634B85" w:rsidP="00634B85">
      <w:pPr>
        <w:pStyle w:val="SingleTxtG"/>
      </w:pPr>
      <w:r w:rsidRPr="00762475">
        <w:t>228.</w:t>
      </w:r>
      <w:r>
        <w:tab/>
      </w:r>
      <w:r w:rsidRPr="00762475">
        <w:t>В соответствии с положениями Стратегии к группам населения повышенного риска в отношении ВИЧ-инфекции относятся:</w:t>
      </w:r>
    </w:p>
    <w:p w14:paraId="5DC9AB09"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потребители инъекционных наркотиков и иных наркотических средств для немедицинского потребления;</w:t>
      </w:r>
    </w:p>
    <w:p w14:paraId="1CB35AF4"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лица, оказывающие сексуальные услуги;</w:t>
      </w:r>
    </w:p>
    <w:p w14:paraId="27B4FE96"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лица, вступающие в нетрадиционные сексуальные отношения.</w:t>
      </w:r>
    </w:p>
    <w:p w14:paraId="65977FF4" w14:textId="77777777" w:rsidR="00634B85" w:rsidRPr="00762475" w:rsidRDefault="00634B85" w:rsidP="00634B85">
      <w:pPr>
        <w:pStyle w:val="SingleTxtG"/>
      </w:pPr>
      <w:r w:rsidRPr="00762475">
        <w:t>229.</w:t>
      </w:r>
      <w:r>
        <w:tab/>
      </w:r>
      <w:r w:rsidRPr="00762475">
        <w:t>Законодательством Российской Федерации предусмотрены следующие меры профилактики распространения ВИЧ-инфекции в группах населения повышенного риска:</w:t>
      </w:r>
    </w:p>
    <w:p w14:paraId="0014AE14"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выявление в ключевых и уязвимых в отношении ВИЧ-инфекции группах населения лиц с ВИЧ-инфекцией;</w:t>
      </w:r>
    </w:p>
    <w:p w14:paraId="3466E11A"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содействие обращению лиц с ВИЧ-инфекцией за медицинской помощью;</w:t>
      </w:r>
    </w:p>
    <w:p w14:paraId="69D65FE3"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оказание социальной поддержки отдельным категориям граждан с </w:t>
      </w:r>
      <w:r>
        <w:br/>
      </w:r>
      <w:r w:rsidRPr="00762475">
        <w:t>ВИЧ-инфекцией в соответствии с законодательством Российской Федерации;</w:t>
      </w:r>
    </w:p>
    <w:p w14:paraId="60296CD7"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проведение профилактики ВИЧ-инфекции в рамках оказания первичной медико-санитарной помощи.</w:t>
      </w:r>
    </w:p>
    <w:p w14:paraId="30416B18" w14:textId="77777777" w:rsidR="00634B85" w:rsidRPr="00762475" w:rsidRDefault="00634B85" w:rsidP="00634B85">
      <w:pPr>
        <w:pStyle w:val="SingleTxtG"/>
      </w:pPr>
      <w:r w:rsidRPr="00762475">
        <w:t>230.</w:t>
      </w:r>
      <w:r>
        <w:tab/>
      </w:r>
      <w:r w:rsidRPr="00762475">
        <w:t>В контексте профилактических мероприятий в Российской Федерации ключевая роль отводится повышению информированности населения о рисках для здоровья, связанных с ВИЧ-инфекцией, формированию в общественном мнении, в том числе среди молодежи, установок на приоритет здорового образа жизни, семейных ценностей, нравственности, отказа от моделей рискованного поведения в отношении заражения ВИЧ-инфекцией.</w:t>
      </w:r>
    </w:p>
    <w:p w14:paraId="58B63C47" w14:textId="77777777" w:rsidR="00634B85" w:rsidRPr="00762475" w:rsidRDefault="00634B85" w:rsidP="00634B85">
      <w:pPr>
        <w:pStyle w:val="SingleTxtG"/>
      </w:pPr>
      <w:r w:rsidRPr="00762475">
        <w:t>231.</w:t>
      </w:r>
      <w:r>
        <w:tab/>
      </w:r>
      <w:r w:rsidRPr="00762475">
        <w:t xml:space="preserve">В то же время в Российской Федерации проводится планомерное совершенствование оказания специализированной медицинской помощи при </w:t>
      </w:r>
      <w:r>
        <w:br/>
      </w:r>
      <w:r w:rsidRPr="00762475">
        <w:t xml:space="preserve">ВИЧ-инфекции: пересмотрены показания к началу лекарственной терапии при </w:t>
      </w:r>
      <w:r>
        <w:br/>
      </w:r>
      <w:r w:rsidRPr="00762475">
        <w:t>ВИЧ-инфекции, ежегодно вводятся современные схемы лечения ВИЧ-инфекции, на основании международного и российского опыта разрабатываются новые подходы к ведению и наблюдению людей, живущих с ВИЧ-инфекцией. Проведение централизованных закупок антиретровирусных препаратов за счет средств федерального бюджета и бюджетов субъектов Российской Федерации, локализация производственных мощностей отечественных антиретровирусных препаратов позволяют ежегодно увеличивать охват лиц, находящихся под диспансерным наблюдением, антиретровирусной терапией.</w:t>
      </w:r>
    </w:p>
    <w:p w14:paraId="62335159" w14:textId="77777777" w:rsidR="00634B85" w:rsidRPr="00762475" w:rsidRDefault="00634B85" w:rsidP="00634B85">
      <w:pPr>
        <w:pStyle w:val="SingleTxtG"/>
      </w:pPr>
      <w:r w:rsidRPr="00762475">
        <w:t>232.</w:t>
      </w:r>
      <w:r>
        <w:tab/>
      </w:r>
      <w:r w:rsidRPr="00762475">
        <w:t>В Российской Федерации реализуется беспрецедентная программа универсального доступа населения к антиретровирусной терапии, в том числе в ключевых группах. В 2021 г</w:t>
      </w:r>
      <w:r>
        <w:t>оду</w:t>
      </w:r>
      <w:r w:rsidRPr="00762475">
        <w:t xml:space="preserve"> число пациентов, получающих антиретровирусную терапию, составило 587</w:t>
      </w:r>
      <w:r>
        <w:t> </w:t>
      </w:r>
      <w:r w:rsidRPr="00762475">
        <w:t>017 человек (в 2020 г</w:t>
      </w:r>
      <w:r>
        <w:t>оду</w:t>
      </w:r>
      <w:r w:rsidRPr="00762475">
        <w:t xml:space="preserve"> </w:t>
      </w:r>
      <w:r>
        <w:t>—</w:t>
      </w:r>
      <w:r w:rsidRPr="00762475">
        <w:t xml:space="preserve"> 554</w:t>
      </w:r>
      <w:r>
        <w:t> </w:t>
      </w:r>
      <w:r w:rsidRPr="00762475">
        <w:t>668 человек). Охват антиретровирусной терапией составил 78,8</w:t>
      </w:r>
      <w:r>
        <w:t> </w:t>
      </w:r>
      <w:r w:rsidRPr="00762475">
        <w:t>% (в 2020 г</w:t>
      </w:r>
      <w:r>
        <w:t>оду</w:t>
      </w:r>
      <w:r w:rsidRPr="00762475">
        <w:t xml:space="preserve"> </w:t>
      </w:r>
      <w:r>
        <w:t>—</w:t>
      </w:r>
      <w:r w:rsidRPr="00762475">
        <w:t xml:space="preserve"> 77,1</w:t>
      </w:r>
      <w:r>
        <w:t> </w:t>
      </w:r>
      <w:r w:rsidRPr="00762475">
        <w:t>%). Таким образом, охват антиретровирусной терапией планомерно увеличивается (на 1,7</w:t>
      </w:r>
      <w:r>
        <w:t> </w:t>
      </w:r>
      <w:r w:rsidRPr="00762475">
        <w:t>%).</w:t>
      </w:r>
    </w:p>
    <w:p w14:paraId="65C4B033" w14:textId="77777777" w:rsidR="00634B85" w:rsidRPr="00762475" w:rsidRDefault="00634B85" w:rsidP="00634B85">
      <w:pPr>
        <w:pStyle w:val="SingleTxtG"/>
      </w:pPr>
      <w:r w:rsidRPr="00762475">
        <w:t>233.</w:t>
      </w:r>
      <w:r>
        <w:tab/>
      </w:r>
      <w:r w:rsidRPr="00762475">
        <w:t>Параллельно увеличиваются объемы химиопрофилактики туберкулеза у больных ВИЧ-инфекцией. Если в 2020 г</w:t>
      </w:r>
      <w:r>
        <w:t>оду</w:t>
      </w:r>
      <w:r w:rsidRPr="00762475">
        <w:t xml:space="preserve"> курс химиопрофилактики туберкулеза получил</w:t>
      </w:r>
      <w:r>
        <w:t>и</w:t>
      </w:r>
      <w:r w:rsidRPr="00762475">
        <w:t xml:space="preserve"> 99 472 человек</w:t>
      </w:r>
      <w:r>
        <w:t>а</w:t>
      </w:r>
      <w:r w:rsidRPr="00762475">
        <w:t>, то в 2021 г</w:t>
      </w:r>
      <w:r>
        <w:t>оду</w:t>
      </w:r>
      <w:r w:rsidRPr="00762475">
        <w:t xml:space="preserve"> </w:t>
      </w:r>
      <w:r>
        <w:t>—</w:t>
      </w:r>
      <w:r w:rsidRPr="00762475">
        <w:t xml:space="preserve"> 112</w:t>
      </w:r>
      <w:r w:rsidRPr="00762475">
        <w:rPr>
          <w:lang w:val="en-US"/>
        </w:rPr>
        <w:t> </w:t>
      </w:r>
      <w:r w:rsidRPr="00762475">
        <w:t>462 человека (рост на 13,1</w:t>
      </w:r>
      <w:r>
        <w:t> </w:t>
      </w:r>
      <w:r w:rsidRPr="00762475">
        <w:t>%).</w:t>
      </w:r>
    </w:p>
    <w:p w14:paraId="45A891CF" w14:textId="77777777" w:rsidR="00634B85" w:rsidRPr="00762475" w:rsidRDefault="00634B85" w:rsidP="00634B85">
      <w:pPr>
        <w:pStyle w:val="SingleTxtG"/>
      </w:pPr>
      <w:r w:rsidRPr="00762475">
        <w:t>234.</w:t>
      </w:r>
      <w:r>
        <w:tab/>
      </w:r>
      <w:r w:rsidRPr="00762475">
        <w:t xml:space="preserve">Проводимые мероприятия оказали влияние на снижение количества больных </w:t>
      </w:r>
      <w:proofErr w:type="spellStart"/>
      <w:r w:rsidRPr="00762475">
        <w:t>коинфекцией</w:t>
      </w:r>
      <w:proofErr w:type="spellEnd"/>
      <w:r w:rsidRPr="00762475">
        <w:t xml:space="preserve"> ВИЧ/туберкулез и впервые выявленных случаев туберкулеза у больных ВИЧ-инфекцией. Контингенты ВИЧ/туберкулез на конец 2021 г</w:t>
      </w:r>
      <w:r>
        <w:t>ода</w:t>
      </w:r>
      <w:r w:rsidRPr="00762475">
        <w:t xml:space="preserve"> </w:t>
      </w:r>
      <w:r>
        <w:t>—</w:t>
      </w:r>
      <w:r w:rsidRPr="00762475">
        <w:t xml:space="preserve"> 23</w:t>
      </w:r>
      <w:r>
        <w:t> </w:t>
      </w:r>
      <w:r w:rsidRPr="00762475">
        <w:t>352 человек</w:t>
      </w:r>
      <w:r>
        <w:t>а</w:t>
      </w:r>
      <w:r w:rsidRPr="00762475">
        <w:t xml:space="preserve"> </w:t>
      </w:r>
      <w:r>
        <w:br/>
      </w:r>
      <w:r w:rsidRPr="00762475">
        <w:lastRenderedPageBreak/>
        <w:t>(на конец 2020 г</w:t>
      </w:r>
      <w:r>
        <w:t>ода —</w:t>
      </w:r>
      <w:r w:rsidRPr="00762475">
        <w:t xml:space="preserve"> 25</w:t>
      </w:r>
      <w:r>
        <w:t> </w:t>
      </w:r>
      <w:r w:rsidRPr="00762475">
        <w:t>356 человек). Впервые выявленные случаи туберкулеза у пациентов с ВИЧ-инфекцией в 2021 г</w:t>
      </w:r>
      <w:r>
        <w:t>оду</w:t>
      </w:r>
      <w:r w:rsidRPr="00762475">
        <w:t xml:space="preserve"> </w:t>
      </w:r>
      <w:r>
        <w:t>—</w:t>
      </w:r>
      <w:r w:rsidRPr="00762475">
        <w:t xml:space="preserve"> 9493 человек</w:t>
      </w:r>
      <w:r>
        <w:t>а</w:t>
      </w:r>
      <w:r w:rsidRPr="00762475">
        <w:t xml:space="preserve"> (в 2020 г</w:t>
      </w:r>
      <w:r>
        <w:t>оду</w:t>
      </w:r>
      <w:r w:rsidRPr="00762475">
        <w:t xml:space="preserve"> </w:t>
      </w:r>
      <w:r>
        <w:t>—</w:t>
      </w:r>
      <w:r w:rsidRPr="00762475">
        <w:t xml:space="preserve"> </w:t>
      </w:r>
      <w:r>
        <w:br/>
      </w:r>
      <w:r w:rsidRPr="00762475">
        <w:t>9772 человек</w:t>
      </w:r>
      <w:r>
        <w:t>а</w:t>
      </w:r>
      <w:r w:rsidRPr="00762475">
        <w:t>).</w:t>
      </w:r>
    </w:p>
    <w:p w14:paraId="6EEE80A6" w14:textId="77777777" w:rsidR="00634B85" w:rsidRPr="00762475" w:rsidRDefault="00634B85" w:rsidP="00634B85">
      <w:pPr>
        <w:pStyle w:val="SingleTxtG"/>
      </w:pPr>
      <w:r w:rsidRPr="00762475">
        <w:t>235.</w:t>
      </w:r>
      <w:r>
        <w:tab/>
      </w:r>
      <w:r w:rsidRPr="00762475">
        <w:t>В соответствии со Стратегией в Российской Федерации осуществляется одновременное тестирование на ВИЧ-инфекцию лиц при прохождении периодических медицинских осмотров; а также при обращении за медицинской помощью по поводу туберкулеза, вирусных гепатитов В и С, заболеваний, передающихся половым путем.</w:t>
      </w:r>
    </w:p>
    <w:p w14:paraId="4ECA40F6" w14:textId="77777777" w:rsidR="00634B85" w:rsidRPr="00762475" w:rsidRDefault="00634B85" w:rsidP="00634B85">
      <w:pPr>
        <w:pStyle w:val="SingleTxtG"/>
      </w:pPr>
      <w:r w:rsidRPr="00762475">
        <w:t>236.</w:t>
      </w:r>
      <w:r>
        <w:tab/>
      </w:r>
      <w:r w:rsidRPr="00762475">
        <w:t>В Российской Федерации гарантируется равный доступ к медицинской помощи всех граждан независимо от их деятельности. Так, статьей 41 Конституции установлено, что каждый имеет право на охрану здоровья и медицинскую помощь.</w:t>
      </w:r>
    </w:p>
    <w:p w14:paraId="402B037F" w14:textId="77777777" w:rsidR="00634B85" w:rsidRPr="00762475" w:rsidRDefault="00634B85" w:rsidP="00634B85">
      <w:pPr>
        <w:pStyle w:val="SingleTxtG"/>
      </w:pPr>
      <w:r w:rsidRPr="00762475">
        <w:t>237.</w:t>
      </w:r>
      <w:r>
        <w:tab/>
      </w:r>
      <w:r w:rsidRPr="00762475">
        <w:t>Лица, задержанные, заключенные под стражу, отбывающие наказание в виде ограничения свободы, ареста, лишения свободы либо административного ареста, в том числе лица, занимающиеся проституцией,</w:t>
      </w:r>
      <w:r>
        <w:t xml:space="preserve"> </w:t>
      </w:r>
      <w:r w:rsidRPr="00762475">
        <w:t>также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(часть 1 статьи 26 Федерального закона № 323-ФЗ).</w:t>
      </w:r>
    </w:p>
    <w:p w14:paraId="4D31E8B7" w14:textId="77777777" w:rsidR="00634B85" w:rsidRPr="00762475" w:rsidRDefault="00634B85" w:rsidP="00634B85">
      <w:pPr>
        <w:pStyle w:val="SingleTxtG"/>
      </w:pPr>
      <w:r w:rsidRPr="00762475">
        <w:t>238.</w:t>
      </w:r>
      <w:r>
        <w:tab/>
      </w:r>
      <w:r w:rsidRPr="00762475">
        <w:t>В соответствии с частями 1 и 2 статьи 5 Федерального закона № 323-ФЗ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0EB99C8F" w14:textId="77777777" w:rsidR="00634B85" w:rsidRPr="00762475" w:rsidRDefault="00634B85" w:rsidP="00634B85">
      <w:pPr>
        <w:pStyle w:val="SingleTxtG"/>
      </w:pPr>
      <w:r w:rsidRPr="00762475">
        <w:t>239.</w:t>
      </w:r>
      <w:r>
        <w:tab/>
      </w:r>
      <w:r w:rsidRPr="00762475">
        <w:t>На основании частей 6 и 8 статьи 4 Федерального закона № 323-ФЗ основными принципами охраны здоровья являются доступность и качество медицинской помощи, приоритет профилактики в сфере охраны здоровья.</w:t>
      </w:r>
    </w:p>
    <w:p w14:paraId="01B7D8E5" w14:textId="77777777" w:rsidR="00634B85" w:rsidRPr="00762475" w:rsidRDefault="00634B85" w:rsidP="00634B85">
      <w:pPr>
        <w:pStyle w:val="SingleTxtG"/>
      </w:pPr>
      <w:r w:rsidRPr="00762475">
        <w:t>240.</w:t>
      </w:r>
      <w:r>
        <w:tab/>
      </w:r>
      <w:r w:rsidRPr="00762475">
        <w:t>В соответствии с частью 5 статьи 10 Федерального закона № 323-ФЗ доступность и качество медицинской помощи обеспечиваются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05086C7D" w14:textId="77777777" w:rsidR="00634B85" w:rsidRPr="00762475" w:rsidRDefault="00634B85" w:rsidP="00634B85">
      <w:pPr>
        <w:pStyle w:val="SingleTxtG"/>
      </w:pPr>
      <w:r w:rsidRPr="00762475">
        <w:t>241.</w:t>
      </w:r>
      <w:r>
        <w:tab/>
      </w:r>
      <w:r w:rsidRPr="00762475">
        <w:t>Согласно пункту 4 части 2 статьи 79 Федерального закона № 323-ФЗ медицинская организация обязана проводить пропаганду здорового образа жизни и санитарно-гигиеническое просвещение населения.</w:t>
      </w:r>
    </w:p>
    <w:p w14:paraId="2F3699BB" w14:textId="77777777" w:rsidR="00634B85" w:rsidRPr="00762475" w:rsidRDefault="00634B85" w:rsidP="00634B85">
      <w:pPr>
        <w:pStyle w:val="SingleTxtG"/>
      </w:pPr>
      <w:r w:rsidRPr="00762475">
        <w:t>242.</w:t>
      </w:r>
      <w:r>
        <w:tab/>
      </w:r>
      <w:r w:rsidRPr="00762475">
        <w:t>Порядок оказания медицинской помощи по профилю «Акушерство и гинекология» утвержден приказом Минздрава России от 20 октября 2020 г</w:t>
      </w:r>
      <w:r>
        <w:t>ода</w:t>
      </w:r>
      <w:r w:rsidRPr="00762475">
        <w:t xml:space="preserve"> </w:t>
      </w:r>
      <w:r>
        <w:br/>
      </w:r>
      <w:r w:rsidRPr="00762475">
        <w:t xml:space="preserve">№ 1130н (далее </w:t>
      </w:r>
      <w:r>
        <w:t>—</w:t>
      </w:r>
      <w:r w:rsidRPr="00762475">
        <w:t xml:space="preserve"> Порядок).</w:t>
      </w:r>
    </w:p>
    <w:p w14:paraId="5CB46CBF" w14:textId="77777777" w:rsidR="00634B85" w:rsidRPr="00762475" w:rsidRDefault="00634B85" w:rsidP="00634B85">
      <w:pPr>
        <w:pStyle w:val="SingleTxtG"/>
      </w:pPr>
      <w:r w:rsidRPr="00762475">
        <w:t>243.</w:t>
      </w:r>
      <w:r>
        <w:tab/>
      </w:r>
      <w:r w:rsidRPr="00762475">
        <w:t>В соответствии с пунктом 65 Порядка медицинская помощь при гинекологических заболеваниях оказывается в рамках первичной медико-санитарной (доврачебной и врачебной),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w:t>
      </w:r>
    </w:p>
    <w:p w14:paraId="10BCB378" w14:textId="77777777" w:rsidR="00634B85" w:rsidRPr="00762475" w:rsidRDefault="00634B85" w:rsidP="00634B85">
      <w:pPr>
        <w:pStyle w:val="SingleTxtG"/>
      </w:pPr>
      <w:r w:rsidRPr="00762475">
        <w:t>244.</w:t>
      </w:r>
      <w:r>
        <w:tab/>
      </w:r>
      <w:r w:rsidRPr="00762475">
        <w:t>Первичная специализированная медико-санитарная помощь по профилю «Акушерство и гинекология», в том числе несовершеннолетним, оказывается в медицинских организациях: детской поликлинике, женской консультации, Центре охраны репродуктивного здоровья подростков, Центре охраны здоровья семьи и репродукции, Центре охраны материнства и детства и т.</w:t>
      </w:r>
      <w:r>
        <w:t> </w:t>
      </w:r>
      <w:r w:rsidRPr="00762475">
        <w:t>д.</w:t>
      </w:r>
    </w:p>
    <w:p w14:paraId="323DB6BF" w14:textId="77777777" w:rsidR="00634B85" w:rsidRPr="00762475" w:rsidRDefault="00634B85" w:rsidP="00634B85">
      <w:pPr>
        <w:pStyle w:val="SingleTxtG"/>
      </w:pPr>
      <w:r w:rsidRPr="00762475">
        <w:t>245.</w:t>
      </w:r>
      <w:r>
        <w:tab/>
      </w:r>
      <w:r w:rsidRPr="00762475">
        <w:t xml:space="preserve">Кроме того, в женских консультациях организованы центры медико-социальной поддержки беременных женщин, оказавшихся в трудной жизненной ситуации, и кабинеты медико-социальной помощи, в которых женщины могут получить консультации психолога (медицинского психолога), специалиста по </w:t>
      </w:r>
      <w:r w:rsidRPr="00762475">
        <w:lastRenderedPageBreak/>
        <w:t>социальной работе, юриста. Предусмотрено проведение консультирования беременных женщин, обратившихся за направлением на аборт.</w:t>
      </w:r>
    </w:p>
    <w:p w14:paraId="0498810D" w14:textId="77777777" w:rsidR="00634B85" w:rsidRPr="00762475" w:rsidRDefault="00634B85" w:rsidP="00634B85">
      <w:pPr>
        <w:pStyle w:val="SingleTxtG"/>
      </w:pPr>
      <w:r w:rsidRPr="00762475">
        <w:t>246.</w:t>
      </w:r>
      <w:r>
        <w:tab/>
      </w:r>
      <w:r w:rsidRPr="00762475">
        <w:t>Основной задачей первичной медико-санитарной помощи гинекологическим больным является профилактика, раннее выявление и лечение наиболее распространенных гинекологических заболеваний, санитарно-гигиеническое образование, направленное на предупреждение абортов, охрану репродуктивного здоровья, формирование стереотипа здорового образа жизни с использованием эффективных информационно-просветительских моделей (школы пациентов, круглые столы с участием пациентов, дни здоровья).</w:t>
      </w:r>
    </w:p>
    <w:p w14:paraId="699B8405" w14:textId="77777777" w:rsidR="00634B85" w:rsidRPr="00762475" w:rsidRDefault="00634B85" w:rsidP="00634B85">
      <w:pPr>
        <w:pStyle w:val="SingleTxtG"/>
      </w:pPr>
      <w:r w:rsidRPr="00762475">
        <w:t>247.</w:t>
      </w:r>
      <w:r>
        <w:tab/>
      </w:r>
      <w:r w:rsidRPr="00762475">
        <w:t>Абсолютное число абортов снизилось на 33,8</w:t>
      </w:r>
      <w:r>
        <w:t> </w:t>
      </w:r>
      <w:r w:rsidRPr="00762475">
        <w:t>% (с 836,6 тыс. в 2016 г</w:t>
      </w:r>
      <w:r>
        <w:t>оду</w:t>
      </w:r>
      <w:r w:rsidRPr="00762475">
        <w:t xml:space="preserve"> </w:t>
      </w:r>
      <w:r>
        <w:br/>
      </w:r>
      <w:r w:rsidRPr="00762475">
        <w:t>до 553,4 тыс. в 2020 г</w:t>
      </w:r>
      <w:r>
        <w:t>оду</w:t>
      </w:r>
      <w:r w:rsidRPr="00762475">
        <w:t>), число абортов на 1000 женщин в возрасте 15</w:t>
      </w:r>
      <w:r>
        <w:t>–</w:t>
      </w:r>
      <w:r w:rsidRPr="00762475">
        <w:t>49 лет снизилось на 32,9</w:t>
      </w:r>
      <w:r>
        <w:t> </w:t>
      </w:r>
      <w:r w:rsidRPr="00762475">
        <w:t>% (с 24 случаев в 2016 г</w:t>
      </w:r>
      <w:r>
        <w:t>оду</w:t>
      </w:r>
      <w:r w:rsidRPr="00762475">
        <w:t xml:space="preserve"> до 16,1 случаев в 2020 г</w:t>
      </w:r>
      <w:r>
        <w:t>оду</w:t>
      </w:r>
      <w:r w:rsidRPr="00762475">
        <w:t>).</w:t>
      </w:r>
    </w:p>
    <w:p w14:paraId="0E24ABC8" w14:textId="77777777" w:rsidR="00634B85" w:rsidRDefault="00634B85" w:rsidP="00634B85">
      <w:pPr>
        <w:pStyle w:val="SingleTxtG"/>
      </w:pPr>
      <w:r w:rsidRPr="00762475">
        <w:t>248.</w:t>
      </w:r>
      <w:r>
        <w:tab/>
      </w:r>
      <w:r w:rsidRPr="00762475">
        <w:t xml:space="preserve">Кроме того, в рамках федерального проекта «Укрепление общественного здоровья» национального проекта «Демография» организуются масштабные коммуникационные кампании, направленные на мотивацию населения Российской Федерации к ведению здорового образа жизни, в том числе на формирование ответственного отношения к репродуктивному здоровью, сохранение семейных ценностей с использованием различных форматов подачи информации: видеофильмы, видеоролики и аудиоролики, наружная реклама, информационные плакаты, баннеры, печатная продукция, специализированные проекты в средствах массовой информации и в сети </w:t>
      </w:r>
      <w:r w:rsidRPr="00DB0AD4">
        <w:t>«</w:t>
      </w:r>
      <w:r w:rsidRPr="00762475">
        <w:t>Интернет</w:t>
      </w:r>
      <w:r w:rsidRPr="002430E0">
        <w:t>»</w:t>
      </w:r>
      <w:r w:rsidRPr="00762475">
        <w:t>, тематические программы, сюжеты и рубрики на радио и телевидении, что обеспечивает не только максимальный охват целевой аудитории, но и воздействует на различные возрастные группы, в том числе на молодежную аудиторию.</w:t>
      </w:r>
    </w:p>
    <w:p w14:paraId="2FDEC3B7" w14:textId="77777777" w:rsidR="00634B85" w:rsidRPr="00762475" w:rsidRDefault="00634B85" w:rsidP="00634B85">
      <w:pPr>
        <w:pStyle w:val="HChG"/>
      </w:pPr>
      <w:r>
        <w:tab/>
      </w:r>
      <w:r>
        <w:tab/>
      </w:r>
      <w:r w:rsidRPr="00762475">
        <w:t>Статьи 13</w:t>
      </w:r>
      <w:r>
        <w:t>–</w:t>
      </w:r>
      <w:r w:rsidRPr="00762475">
        <w:t>14</w:t>
      </w:r>
    </w:p>
    <w:p w14:paraId="100715D4" w14:textId="77777777" w:rsidR="00634B85" w:rsidRPr="00762475" w:rsidRDefault="00634B85" w:rsidP="00634B85">
      <w:pPr>
        <w:pStyle w:val="H1G"/>
      </w:pPr>
      <w:r>
        <w:tab/>
      </w:r>
      <w:r>
        <w:tab/>
      </w:r>
      <w:r w:rsidRPr="002800DE">
        <w:t>Последующая информация в связи с пунктами</w:t>
      </w:r>
      <w:r w:rsidRPr="00762475">
        <w:t xml:space="preserve"> 56</w:t>
      </w:r>
      <w:r>
        <w:t>–</w:t>
      </w:r>
      <w:r w:rsidRPr="00762475">
        <w:t>57 заключительных замечаний КЭСКП</w:t>
      </w:r>
    </w:p>
    <w:p w14:paraId="7ADD3164" w14:textId="77777777" w:rsidR="00634B85" w:rsidRPr="00762475" w:rsidRDefault="00634B85" w:rsidP="00634B85">
      <w:pPr>
        <w:pStyle w:val="SingleTxtG"/>
      </w:pPr>
      <w:r w:rsidRPr="00762475">
        <w:t>249.</w:t>
      </w:r>
      <w:r>
        <w:tab/>
      </w:r>
      <w:r w:rsidRPr="00762475">
        <w:t>В соответствии со статьей 43 Конституции Российской Федерации от 12 декабря 1993 г</w:t>
      </w:r>
      <w:r>
        <w:t>ода</w:t>
      </w:r>
      <w:r w:rsidRPr="00762475">
        <w:t xml:space="preserve"> и статьей 5 Федерального закона от 29 декабря 2012 г</w:t>
      </w:r>
      <w:r>
        <w:t>ода</w:t>
      </w:r>
      <w:r w:rsidRPr="00762475">
        <w:t xml:space="preserve"> № 273-ФЗ </w:t>
      </w:r>
      <w:r>
        <w:br/>
      </w:r>
      <w:r w:rsidRPr="00762475">
        <w:t xml:space="preserve">«Об образовании в Российской Федерации» (далее </w:t>
      </w:r>
      <w:r>
        <w:t>—</w:t>
      </w:r>
      <w:r w:rsidRPr="00762475">
        <w:t xml:space="preserve"> Федеральный закон № 273-ФЗ) в Российской Федерации гарантируется право каждого человека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частности, каждый вправе на конкурсной основе бесплатно получить высшее образование, если образование данного уровня гражданин получает впервые.</w:t>
      </w:r>
    </w:p>
    <w:p w14:paraId="12BCBF32" w14:textId="77777777" w:rsidR="00634B85" w:rsidRPr="00762475" w:rsidRDefault="00634B85" w:rsidP="00634B85">
      <w:pPr>
        <w:pStyle w:val="SingleTxtG"/>
      </w:pPr>
      <w:r w:rsidRPr="00762475">
        <w:t>250.</w:t>
      </w:r>
      <w:r>
        <w:tab/>
      </w:r>
      <w:r w:rsidRPr="00762475">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 в частности:</w:t>
      </w:r>
    </w:p>
    <w:p w14:paraId="6DFF89FF"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создаются необходимые условия для получения без дискриминации качественного образования лицами с ограниченными возможностями здоровья;</w:t>
      </w:r>
    </w:p>
    <w:p w14:paraId="7F5DFB9C"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оказывается содействие лицам, которые проявили выдающиеся способности и к которым в соответствии с Федеральным законом № 273-ФЗ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38A992A"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lastRenderedPageBreak/>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0722C617" w14:textId="77777777" w:rsidR="00634B85" w:rsidRPr="00762475" w:rsidRDefault="00634B85" w:rsidP="00634B85">
      <w:pPr>
        <w:pStyle w:val="SingleTxtG"/>
      </w:pPr>
      <w:r w:rsidRPr="00762475">
        <w:t>251.</w:t>
      </w:r>
      <w:r>
        <w:tab/>
      </w:r>
      <w:r w:rsidRPr="00762475">
        <w:t>В соответствии со статьей 100 Федерального закона № 273-ФЗ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5C160E0F" w14:textId="77777777" w:rsidR="00634B85" w:rsidRPr="00762475" w:rsidRDefault="00634B85" w:rsidP="00634B85">
      <w:pPr>
        <w:pStyle w:val="SingleTxtG"/>
      </w:pPr>
      <w:r w:rsidRPr="00762475">
        <w:t>252.</w:t>
      </w:r>
      <w:r>
        <w:tab/>
      </w:r>
      <w:r w:rsidRPr="00762475">
        <w:t>Президентом Российской Федерации в его послании Федеральному Собранию Российской Федерации от 15 января 2020 г</w:t>
      </w:r>
      <w:r>
        <w:t>ода</w:t>
      </w:r>
      <w:r w:rsidRPr="00762475">
        <w:t xml:space="preserve"> поставлена задача «ежегодно увеличивать количество бюджетных мест в ВУЗах</w:t>
      </w:r>
      <w:r w:rsidRPr="00302D46">
        <w:rPr>
          <w:rStyle w:val="a8"/>
        </w:rPr>
        <w:footnoteReference w:id="3"/>
      </w:r>
      <w:r w:rsidRPr="00762475">
        <w:t xml:space="preserve"> на обучение по программам бакалавриата и специалитета преимущественно в образовательных организациях высшего образования, расположенных в тех субъектах Российской Федерации, которые испытывают потребность в специалистах, имеющих высшее образование, предусмотрев развитие инфраструктуры таких организаций»</w:t>
      </w:r>
      <w:r w:rsidRPr="00302D46">
        <w:rPr>
          <w:rStyle w:val="a8"/>
        </w:rPr>
        <w:footnoteReference w:id="4"/>
      </w:r>
      <w:r w:rsidRPr="00762475">
        <w:t>.</w:t>
      </w:r>
    </w:p>
    <w:p w14:paraId="55264E02" w14:textId="77777777" w:rsidR="00634B85" w:rsidRPr="00762475" w:rsidRDefault="00634B85" w:rsidP="00634B85">
      <w:pPr>
        <w:pStyle w:val="SingleTxtG"/>
        <w:rPr>
          <w:b/>
        </w:rPr>
      </w:pPr>
      <w:r w:rsidRPr="00762475">
        <w:t>253.</w:t>
      </w:r>
      <w:r>
        <w:tab/>
      </w:r>
      <w:r w:rsidRPr="00762475">
        <w:t>В целях сохранения доступности очного высшего образования (программы бакалавриата и специалитета) в 2021/22 учебном году 576</w:t>
      </w:r>
      <w:r>
        <w:t> </w:t>
      </w:r>
      <w:r w:rsidRPr="00762475">
        <w:t xml:space="preserve">498 студентам предоставлена возможность получить высшее образование бесплатно. Это на </w:t>
      </w:r>
      <w:r>
        <w:br/>
      </w:r>
      <w:r w:rsidRPr="00762475">
        <w:t>34 747 больше, чем в предыдущем году. На 2022/23 учебный год увеличение составило 11 546 мест. Таким образом, общий объем установленных контрольных цифр приема в 2022/23 учебном году составит 588 044 места</w:t>
      </w:r>
      <w:r w:rsidRPr="00302D46">
        <w:rPr>
          <w:rStyle w:val="a8"/>
        </w:rPr>
        <w:footnoteReference w:id="5"/>
      </w:r>
      <w:r w:rsidRPr="00762475">
        <w:t xml:space="preserve">. </w:t>
      </w:r>
    </w:p>
    <w:p w14:paraId="398B8688" w14:textId="77777777" w:rsidR="00634B85" w:rsidRPr="00762475" w:rsidRDefault="00634B85" w:rsidP="00634B85">
      <w:pPr>
        <w:pStyle w:val="SingleTxtG"/>
      </w:pPr>
      <w:r w:rsidRPr="00762475">
        <w:t>254.</w:t>
      </w:r>
      <w:r>
        <w:tab/>
      </w:r>
      <w:r w:rsidRPr="00762475">
        <w:t>В соответствии с частью 3 статьи 100 Федерального закона № 273-ФЗ контрольные цифры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распределяются по результатам публичного конкурса.</w:t>
      </w:r>
    </w:p>
    <w:p w14:paraId="38B4E726" w14:textId="77777777" w:rsidR="00634B85" w:rsidRPr="00762475" w:rsidRDefault="00634B85" w:rsidP="00634B85">
      <w:pPr>
        <w:pStyle w:val="SingleTxtG"/>
      </w:pPr>
      <w:r w:rsidRPr="00762475">
        <w:t>255.</w:t>
      </w:r>
      <w:r>
        <w:tab/>
      </w:r>
      <w:r w:rsidRPr="00762475">
        <w:t>Проведение конкурса осуществляется созданной Минобрнауки России конкурсной комиссией.</w:t>
      </w:r>
    </w:p>
    <w:p w14:paraId="0F146B2F" w14:textId="77777777" w:rsidR="00634B85" w:rsidRPr="00762475" w:rsidRDefault="00634B85" w:rsidP="00634B85">
      <w:pPr>
        <w:pStyle w:val="SingleTxtG"/>
      </w:pPr>
      <w:r w:rsidRPr="00762475">
        <w:t>256.</w:t>
      </w:r>
      <w:r>
        <w:tab/>
      </w:r>
      <w:r w:rsidRPr="00762475">
        <w:t>Минобрнауки России также осуществляет отбор иностранных граждан на обучение в пределах квоты, установленной Правительством Российской Федерации.</w:t>
      </w:r>
    </w:p>
    <w:p w14:paraId="1D609D67" w14:textId="77777777" w:rsidR="00634B85" w:rsidRPr="00762475" w:rsidRDefault="00634B85" w:rsidP="00634B85">
      <w:pPr>
        <w:pStyle w:val="SingleTxtG"/>
      </w:pPr>
      <w:r w:rsidRPr="00762475">
        <w:t>257.</w:t>
      </w:r>
      <w:r>
        <w:tab/>
      </w:r>
      <w:r w:rsidRPr="00762475">
        <w:t>Кроме того, во исполнение статьи 26 Федерального закона от 1</w:t>
      </w:r>
      <w:r w:rsidRPr="00762475">
        <w:rPr>
          <w:lang w:val="en-US"/>
        </w:rPr>
        <w:t> </w:t>
      </w:r>
      <w:r w:rsidRPr="00762475">
        <w:t>декабря 2014</w:t>
      </w:r>
      <w:r>
        <w:t> </w:t>
      </w:r>
      <w:r w:rsidRPr="00762475">
        <w:t>г</w:t>
      </w:r>
      <w:r>
        <w:t xml:space="preserve">ода </w:t>
      </w:r>
      <w:r w:rsidRPr="00762475">
        <w:t xml:space="preserve">№ 419-ФЗ и постановления Правительства Российской Федерации от </w:t>
      </w:r>
      <w:r>
        <w:br/>
      </w:r>
      <w:r w:rsidRPr="00762475">
        <w:t>17 июня 2015 г</w:t>
      </w:r>
      <w:r>
        <w:t>ода</w:t>
      </w:r>
      <w:r w:rsidRPr="00762475">
        <w:t xml:space="preserve"> № 599 «О порядке и сроках разработки федеральными органами исполнительной власти, органами исполнительной власти субъектов Российской Федерации, органам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федеральными органами исполнительной власти и органами исполнительной власти субъектов Российской Федерации разработаны и утверждены планы мероприятий по повышению значений показателей доступности для инвалидов объектов и услуг (далее </w:t>
      </w:r>
      <w:r>
        <w:t>—</w:t>
      </w:r>
      <w:r w:rsidRPr="00762475">
        <w:t xml:space="preserve"> «дорожные карты»).</w:t>
      </w:r>
    </w:p>
    <w:p w14:paraId="1E833C28" w14:textId="77777777" w:rsidR="00634B85" w:rsidRPr="00762475" w:rsidRDefault="00634B85" w:rsidP="00634B85">
      <w:pPr>
        <w:pStyle w:val="SingleTxtG"/>
      </w:pPr>
      <w:r w:rsidRPr="00762475">
        <w:t>258.</w:t>
      </w:r>
      <w:r>
        <w:tab/>
      </w:r>
      <w:r w:rsidRPr="00762475">
        <w:t>Пунктом 5 раздела 1 протокола заседания Комиссии при Президенте Российской Федерации по делам инвалидов от 12 апреля 2016 г</w:t>
      </w:r>
      <w:r>
        <w:t>ода</w:t>
      </w:r>
      <w:r w:rsidRPr="00762475">
        <w:t xml:space="preserve"> № 13 Минтруду России поручено организовать мониторинг реализации планов мероприятий («дорожных карт») федеральных органов исполнительной власти и органов исполнительной власти субъектов Российской Федерации. Ежегодный мониторинг выполнения «дорожных карт» также осуществляется Минтрудом России.</w:t>
      </w:r>
    </w:p>
    <w:p w14:paraId="2BA785CD" w14:textId="77777777" w:rsidR="00634B85" w:rsidRPr="00762475" w:rsidRDefault="00634B85" w:rsidP="00634B85">
      <w:pPr>
        <w:pStyle w:val="SingleTxtG"/>
      </w:pPr>
      <w:r w:rsidRPr="00762475">
        <w:t>259.</w:t>
      </w:r>
      <w:r>
        <w:tab/>
      </w:r>
      <w:r w:rsidRPr="00762475">
        <w:t xml:space="preserve">В сфере высшего образования Минобрнауки России были утверждены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 а также план </w:t>
      </w:r>
      <w:r w:rsidRPr="00762475">
        <w:lastRenderedPageBreak/>
        <w:t>мероприятий («дорожная карта») по повышению значений показателей условий доступности для инвалидов объектов и предоставляемых на них услуг в сфере образования.</w:t>
      </w:r>
    </w:p>
    <w:p w14:paraId="54C4D6F3" w14:textId="77777777" w:rsidR="00634B85" w:rsidRPr="00762475" w:rsidRDefault="00634B85" w:rsidP="00634B85">
      <w:pPr>
        <w:pStyle w:val="SingleTxtG"/>
      </w:pPr>
      <w:r w:rsidRPr="00762475">
        <w:t>260.</w:t>
      </w:r>
      <w:r>
        <w:tab/>
      </w:r>
      <w:r w:rsidRPr="00762475">
        <w:t xml:space="preserve">В сфере начального (дошкольного) и среднего (специального) образования по результатам осуществляемого Министерством просвещения Российской Федерации (далее </w:t>
      </w:r>
      <w:r>
        <w:t>—</w:t>
      </w:r>
      <w:r w:rsidRPr="00762475">
        <w:t xml:space="preserve"> </w:t>
      </w:r>
      <w:proofErr w:type="spellStart"/>
      <w:r w:rsidRPr="00762475">
        <w:t>Минпросвещения</w:t>
      </w:r>
      <w:proofErr w:type="spellEnd"/>
      <w:r w:rsidRPr="00762475">
        <w:t xml:space="preserve"> России) мониторинга обеспечения условий доступности для инвалидов объектов их инфраструктуры и предоставляемых ими услуг установлено, что в 51 организации (64,5</w:t>
      </w:r>
      <w:r>
        <w:t> </w:t>
      </w:r>
      <w:r w:rsidRPr="00762475">
        <w:t>%) сформированы паспорта доступности и реализуются паспорта доступности («дорожной карты»).</w:t>
      </w:r>
    </w:p>
    <w:p w14:paraId="1E76FB13" w14:textId="77777777" w:rsidR="00634B85" w:rsidRPr="00762475" w:rsidRDefault="00634B85" w:rsidP="00634B85">
      <w:pPr>
        <w:pStyle w:val="SingleTxtG"/>
      </w:pPr>
      <w:r w:rsidRPr="00762475">
        <w:t>261.</w:t>
      </w:r>
      <w:r>
        <w:tab/>
      </w:r>
      <w:r w:rsidRPr="00762475">
        <w:t>С целью повышения доступности объектов и услуг, в том числе в сфере образования, в субъектах Российской Федерации реализуются мероприятия государственной программы Российской Федерации «Доступная среда» по созданию доступной архитектурной среды и материально-техническому оснащению дошкольных образовательных организаций и общеобразовательных организаций</w:t>
      </w:r>
    </w:p>
    <w:p w14:paraId="558AD6BA" w14:textId="77777777" w:rsidR="00634B85" w:rsidRPr="00762475" w:rsidRDefault="00634B85" w:rsidP="00634B85">
      <w:pPr>
        <w:pStyle w:val="SingleTxtG"/>
      </w:pPr>
      <w:r w:rsidRPr="00762475">
        <w:t>262.</w:t>
      </w:r>
      <w:r>
        <w:tab/>
      </w:r>
      <w:r w:rsidRPr="00762475">
        <w:t>По итогам реализации указанного мероприятия в субъектах Российской Федерации создана доступная безбарьерная среда для образования обучающихся с особыми образовательными потребностями в 8072 детских садах (21,8 % от их общего количества при плановом значении 18,5</w:t>
      </w:r>
      <w:r>
        <w:t> </w:t>
      </w:r>
      <w:r w:rsidRPr="00762475">
        <w:t>%) и 10</w:t>
      </w:r>
      <w:r>
        <w:t> </w:t>
      </w:r>
      <w:r w:rsidRPr="00762475">
        <w:t>106 школах (28</w:t>
      </w:r>
      <w:r>
        <w:t> </w:t>
      </w:r>
      <w:r w:rsidRPr="00762475">
        <w:t>% от их общего количества при плановом значении 22,9</w:t>
      </w:r>
      <w:r>
        <w:t> </w:t>
      </w:r>
      <w:r w:rsidRPr="00762475">
        <w:t>%).</w:t>
      </w:r>
    </w:p>
    <w:p w14:paraId="4A5C7AB5" w14:textId="77777777" w:rsidR="00634B85" w:rsidRPr="00762475" w:rsidRDefault="00634B85" w:rsidP="00634B85">
      <w:pPr>
        <w:pStyle w:val="SingleTxtG"/>
      </w:pPr>
      <w:r w:rsidRPr="00762475">
        <w:t>263.</w:t>
      </w:r>
      <w:r>
        <w:tab/>
      </w:r>
      <w:r w:rsidRPr="00762475">
        <w:t xml:space="preserve">В целях реализации мероприятий по повышению уровня доступности образования детям с ограниченными возможностями здоровья и с инвалидностью </w:t>
      </w:r>
      <w:proofErr w:type="spellStart"/>
      <w:r w:rsidRPr="00762475">
        <w:t>Минпросвещения</w:t>
      </w:r>
      <w:proofErr w:type="spellEnd"/>
      <w:r w:rsidRPr="00762475">
        <w:t xml:space="preserve"> России привлекает общественные объединения инвалидов, в том числе по вопросам совершенствования нормативной правовой базы.</w:t>
      </w:r>
    </w:p>
    <w:p w14:paraId="58DC4320" w14:textId="77777777" w:rsidR="00634B85" w:rsidRPr="00762475" w:rsidRDefault="00634B85" w:rsidP="00634B85">
      <w:pPr>
        <w:pStyle w:val="SingleTxtG"/>
        <w:rPr>
          <w:b/>
          <w:i/>
        </w:rPr>
      </w:pPr>
      <w:r w:rsidRPr="00762475">
        <w:t>264.</w:t>
      </w:r>
      <w:r>
        <w:tab/>
      </w:r>
      <w:r w:rsidRPr="00762475">
        <w:t xml:space="preserve">В целях обеспечения индивидуальных потребностей обучающихся, в том числе цыганской национальности, за счет внеурочной деятельности в субъектах Российской Федерации реализуются программы, направленные на социализацию и развитие обучающихся по направлениям развития личности (спортивно-оздоровительное, духовно-нравственное, социальное, </w:t>
      </w:r>
      <w:proofErr w:type="spellStart"/>
      <w:r w:rsidRPr="00762475">
        <w:t>общеинтеллектуальное</w:t>
      </w:r>
      <w:proofErr w:type="spellEnd"/>
      <w:r w:rsidRPr="00762475">
        <w:t>, общекультурное).</w:t>
      </w:r>
    </w:p>
    <w:p w14:paraId="15080682" w14:textId="77777777" w:rsidR="00634B85" w:rsidRPr="00762475" w:rsidRDefault="00634B85" w:rsidP="00634B85">
      <w:pPr>
        <w:pStyle w:val="SingleTxtG"/>
      </w:pPr>
      <w:r w:rsidRPr="00762475">
        <w:t>265.</w:t>
      </w:r>
      <w:r>
        <w:tab/>
      </w:r>
      <w:r w:rsidRPr="00762475">
        <w:t>В случае необходимости детям из цыганских семей, испытывающим трудности в освоении основных общеобразовательных программ, развитии и социальной адаптации, оказывается психолого-педагогическая, медицинская и социальная помощь в соответствии с требованиями статьи 42 Закона № 273-ФЗ.</w:t>
      </w:r>
    </w:p>
    <w:p w14:paraId="6FEE6192" w14:textId="77777777" w:rsidR="00634B85" w:rsidRPr="00762475" w:rsidRDefault="00634B85" w:rsidP="00634B85">
      <w:pPr>
        <w:pStyle w:val="SingleTxtG"/>
      </w:pPr>
      <w:r w:rsidRPr="00762475">
        <w:t>266.</w:t>
      </w:r>
      <w:r>
        <w:tab/>
      </w:r>
      <w:r w:rsidRPr="00762475">
        <w:t>Фактов сегрегации цыганских детей не установлено. Законодательство Российской Федерации гарантирует возможность получения бесплатного начального и среднего образования всем гражданам.</w:t>
      </w:r>
    </w:p>
    <w:p w14:paraId="27220EA8" w14:textId="77777777" w:rsidR="00634B85" w:rsidRPr="00762475" w:rsidRDefault="00634B85" w:rsidP="00634B85">
      <w:pPr>
        <w:pStyle w:val="SingleTxtG"/>
      </w:pPr>
      <w:r w:rsidRPr="00762475">
        <w:t>267.</w:t>
      </w:r>
      <w:r>
        <w:tab/>
      </w:r>
      <w:r w:rsidRPr="00762475">
        <w:t>Образование в некоторых школах временных классов для адаптации цыганских детей основано на решении родителей с учетом национальных традиций, кочевого образа жизни граждан названной национальности, а также для быстрого преодоления разрыва в освоении учебных программ и последующего перехода в обычные классы.</w:t>
      </w:r>
    </w:p>
    <w:p w14:paraId="60991D2B" w14:textId="77777777" w:rsidR="00634B85" w:rsidRPr="00762475" w:rsidRDefault="00634B85" w:rsidP="00634B85">
      <w:pPr>
        <w:pStyle w:val="SingleTxtG"/>
      </w:pPr>
      <w:r w:rsidRPr="00762475">
        <w:t>268.</w:t>
      </w:r>
      <w:r>
        <w:tab/>
      </w:r>
      <w:r w:rsidRPr="00762475">
        <w:t xml:space="preserve">С целью создания условий для получения детьми из семей цыганской национальности основного общего образования общеобразовательными организациями применяются гибкие формы реализации образовательных программ: обучение по индивидуальному учебному плану, дистанционное обучение, </w:t>
      </w:r>
      <w:r>
        <w:br/>
      </w:r>
      <w:r w:rsidRPr="00762475">
        <w:t>очно-заочное обучение.</w:t>
      </w:r>
    </w:p>
    <w:p w14:paraId="6D00E82A" w14:textId="77777777" w:rsidR="00634B85" w:rsidRPr="00762475" w:rsidRDefault="00634B85" w:rsidP="00634B85">
      <w:pPr>
        <w:pStyle w:val="SingleTxtG"/>
      </w:pPr>
      <w:r w:rsidRPr="00762475">
        <w:t>269.</w:t>
      </w:r>
      <w:r>
        <w:tab/>
      </w:r>
      <w:r w:rsidRPr="00762475">
        <w:t>В общеобразовательных организациях с наибольшим количеством детей из семей цыганской национальности реализуются различные программы дополнительного образования, такие как «Обучение русскому языку детей с неродным русским» и т.</w:t>
      </w:r>
      <w:r>
        <w:rPr>
          <w:lang w:val="en-US"/>
        </w:rPr>
        <w:t> </w:t>
      </w:r>
      <w:r w:rsidRPr="00762475">
        <w:t>п.</w:t>
      </w:r>
    </w:p>
    <w:p w14:paraId="56D78286" w14:textId="77777777" w:rsidR="00634B85" w:rsidRDefault="00634B85" w:rsidP="00634B85">
      <w:pPr>
        <w:pStyle w:val="SingleTxtG"/>
      </w:pPr>
      <w:r w:rsidRPr="00762475">
        <w:t>270.</w:t>
      </w:r>
      <w:r>
        <w:tab/>
      </w:r>
      <w:r w:rsidRPr="00762475">
        <w:t>По этим же причинам в некоторых образовательных учреждениях организовано для таких детей дистанционное и очно-заочное обучение.</w:t>
      </w:r>
    </w:p>
    <w:p w14:paraId="24B744D8" w14:textId="77777777" w:rsidR="00634B85" w:rsidRPr="00762475" w:rsidRDefault="00634B85" w:rsidP="00634B85">
      <w:pPr>
        <w:pStyle w:val="HChG"/>
      </w:pPr>
      <w:r>
        <w:lastRenderedPageBreak/>
        <w:tab/>
      </w:r>
      <w:r>
        <w:tab/>
      </w:r>
      <w:r w:rsidRPr="00762475">
        <w:t>Статья 15</w:t>
      </w:r>
    </w:p>
    <w:p w14:paraId="25D8D71B" w14:textId="77777777" w:rsidR="00634B85" w:rsidRPr="00762475" w:rsidRDefault="00634B85" w:rsidP="00634B85">
      <w:pPr>
        <w:pStyle w:val="H1G"/>
      </w:pPr>
      <w:r>
        <w:tab/>
      </w:r>
      <w:r>
        <w:tab/>
      </w:r>
      <w:r w:rsidRPr="002800DE">
        <w:t>Последующая информация в связи с пунктами</w:t>
      </w:r>
      <w:r w:rsidRPr="00762475">
        <w:t xml:space="preserve"> 58</w:t>
      </w:r>
      <w:r w:rsidRPr="005E5B95">
        <w:t>–</w:t>
      </w:r>
      <w:r w:rsidRPr="00762475">
        <w:t>59 заключительных замечаний КЭСКП</w:t>
      </w:r>
    </w:p>
    <w:p w14:paraId="0AC0E8F9" w14:textId="77777777" w:rsidR="00634B85" w:rsidRPr="00762475" w:rsidRDefault="00634B85" w:rsidP="00634B85">
      <w:pPr>
        <w:pStyle w:val="SingleTxtG"/>
      </w:pPr>
      <w:r w:rsidRPr="00762475">
        <w:t>271.</w:t>
      </w:r>
      <w:r>
        <w:tab/>
      </w:r>
      <w:r w:rsidRPr="00762475">
        <w:t>Право на участие в культурной жизни и пользование учреждениями культуры и право на доступ к культурным ценностям гарантированы статьей 44 Конституции Российской Федерации.</w:t>
      </w:r>
    </w:p>
    <w:p w14:paraId="25B65AD8" w14:textId="77777777" w:rsidR="00634B85" w:rsidRPr="00762475" w:rsidRDefault="00634B85" w:rsidP="00634B85">
      <w:pPr>
        <w:pStyle w:val="SingleTxtG"/>
      </w:pPr>
      <w:r w:rsidRPr="00762475">
        <w:t>272.</w:t>
      </w:r>
      <w:r>
        <w:tab/>
      </w:r>
      <w:r w:rsidRPr="00762475">
        <w:t>За время существования российской государственности был накоплен уникальный исторический опыт взаимовлияния, взаимообогащения, взаимного уважения различных культур. При этом ключевая, объединяющая роль в историческом сознании многонационального российского народа, принадлежит русскому языку и русской культуре. Подтверждением тому является обширное российское культурное наследие, созданное в самых разных областях культуры, искусства и науки.</w:t>
      </w:r>
    </w:p>
    <w:p w14:paraId="5FC7E7C2" w14:textId="77777777" w:rsidR="00634B85" w:rsidRPr="00762475" w:rsidRDefault="00634B85" w:rsidP="00634B85">
      <w:pPr>
        <w:pStyle w:val="SingleTxtG"/>
      </w:pPr>
      <w:r w:rsidRPr="00762475">
        <w:t>273.</w:t>
      </w:r>
      <w:r>
        <w:tab/>
      </w:r>
      <w:r w:rsidRPr="00762475">
        <w:t>Российская Федерация относит область культуры к национальным приоритетам и признает ее важнейшим ресурсом социально-экономического развития, повышения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w:t>
      </w:r>
    </w:p>
    <w:p w14:paraId="1312EEC5" w14:textId="77777777" w:rsidR="00634B85" w:rsidRPr="00762475" w:rsidRDefault="00634B85" w:rsidP="00634B85">
      <w:pPr>
        <w:pStyle w:val="SingleTxtG"/>
      </w:pPr>
      <w:r w:rsidRPr="00762475">
        <w:t>274.</w:t>
      </w:r>
      <w:r>
        <w:tab/>
      </w:r>
      <w:r w:rsidRPr="00762475">
        <w:t>Фундаментальным принципом государственной культурной политики, закрепленным в Основах государственной культурной политики (утверждены Указом Президента Российской Федерации от 24 декабря 2014 г</w:t>
      </w:r>
      <w:r>
        <w:t>ода</w:t>
      </w:r>
      <w:r w:rsidRPr="00762475">
        <w:t xml:space="preserve"> № 808), определены территориальное и социальное равенство граждан, в том числе граждан с ограниченными возможностями, в реализации права на доступ к культурным ценностям, участие в культурной жизни и пользование организациями культуры, а также свобода творчества. Государственная политика в данной области направлена на создание условий для реализации каждым человеком его творческого потенциала, обеспечение беспрепятственного доступа граждан к знаниям, информации, культурным ценностям, в том числе при помощи новейших телекоммуникационных технологий. В развитие данного Указа в соответствии с распоряжением Правительства Российской Федерации от 29 февраля 2016 г</w:t>
      </w:r>
      <w:r>
        <w:t>ода</w:t>
      </w:r>
      <w:r w:rsidRPr="00762475">
        <w:t xml:space="preserve"> № 326-р принята Стратегия государственной культурной политики на период до 2030 года.</w:t>
      </w:r>
    </w:p>
    <w:p w14:paraId="585EC79E" w14:textId="77777777" w:rsidR="00634B85" w:rsidRPr="00762475" w:rsidRDefault="00634B85" w:rsidP="00634B85">
      <w:pPr>
        <w:pStyle w:val="SingleTxtG"/>
      </w:pPr>
      <w:r w:rsidRPr="00762475">
        <w:t>275.</w:t>
      </w:r>
      <w:r>
        <w:tab/>
      </w:r>
      <w:r w:rsidRPr="00762475">
        <w:t>Сохранение этнокультурного многообразия народов России, включая коренные и малочисленные народы, является частью государственной политики в области культуры, которая направлена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а также на реализацию прав этнических общностей в Российской Федерации на сохранение и развитие своей культурной самобытности. Важной государственной задачей в указанной сфере является выявление, изучение, использование, актуализация, сохранение и популяризация нематериального этнокультурного наследия народов России.</w:t>
      </w:r>
    </w:p>
    <w:p w14:paraId="471CE040" w14:textId="77777777" w:rsidR="00634B85" w:rsidRPr="00762475" w:rsidRDefault="00634B85" w:rsidP="00634B85">
      <w:pPr>
        <w:pStyle w:val="SingleTxtG"/>
      </w:pPr>
      <w:r w:rsidRPr="00762475">
        <w:t>276.</w:t>
      </w:r>
      <w:r>
        <w:tab/>
      </w:r>
      <w:r w:rsidRPr="00762475">
        <w:t>Более 50 лет успешно действует государственная система Домов и Центров народного творчества, возглавляемая Государственным Российским Домом народного творчества имени В.</w:t>
      </w:r>
      <w:r>
        <w:t> </w:t>
      </w:r>
      <w:r w:rsidRPr="00762475">
        <w:t>Д.</w:t>
      </w:r>
      <w:r>
        <w:t> </w:t>
      </w:r>
      <w:r w:rsidRPr="00762475">
        <w:t xml:space="preserve">Поленова (далее </w:t>
      </w:r>
      <w:r w:rsidRPr="005E5B95">
        <w:t>—</w:t>
      </w:r>
      <w:r w:rsidRPr="00762475">
        <w:t xml:space="preserve"> ГРДНТ). ГРДНТ является подведомственным учреждением Министерства культуры Российской Федерации (далее </w:t>
      </w:r>
      <w:r w:rsidRPr="005E5B95">
        <w:t>—</w:t>
      </w:r>
      <w:r w:rsidRPr="00762475">
        <w:t xml:space="preserve"> Минкультуры России). Региональные дома и центры народного творчества действуют во всех субъектах Российской Федерации и работают непосредственно с местными фольклорными коллективами и носителями фольклора, уделяя особое внимание малочисленным народам.</w:t>
      </w:r>
    </w:p>
    <w:p w14:paraId="39D3C7A6" w14:textId="77777777" w:rsidR="00634B85" w:rsidRPr="00762475" w:rsidRDefault="00634B85" w:rsidP="00634B85">
      <w:pPr>
        <w:pStyle w:val="SingleTxtG"/>
      </w:pPr>
      <w:r w:rsidRPr="00762475">
        <w:t>277.</w:t>
      </w:r>
      <w:r>
        <w:tab/>
      </w:r>
      <w:r w:rsidRPr="00762475">
        <w:t>Продолжает активную работу Российский Комитет по сохранению нематериального культурного наследия при Комиссии Российской Федерации по делам ЮНЕСКО, который существует на базе ГРДНТ.</w:t>
      </w:r>
    </w:p>
    <w:p w14:paraId="0C9F0153" w14:textId="77777777" w:rsidR="00634B85" w:rsidRPr="00762475" w:rsidRDefault="00634B85" w:rsidP="00634B85">
      <w:pPr>
        <w:pStyle w:val="SingleTxtG"/>
      </w:pPr>
      <w:r w:rsidRPr="00762475">
        <w:t>278.</w:t>
      </w:r>
      <w:r>
        <w:tab/>
      </w:r>
      <w:r w:rsidRPr="00762475">
        <w:t>В целях совершенствования нормативно-правовой базы охраны объектов культурного наследия в Федеральный закон от 25 июня 2002 г</w:t>
      </w:r>
      <w:r>
        <w:t>ода</w:t>
      </w:r>
      <w:r w:rsidRPr="00762475">
        <w:t xml:space="preserve"> № 73-ФЗ </w:t>
      </w:r>
      <w:r>
        <w:br/>
      </w:r>
      <w:r w:rsidRPr="00762475">
        <w:lastRenderedPageBreak/>
        <w:t>«Об объектах культурного наследия (памятниках истории и культуры) народов Российской Федерации» внесены ряд поправок, совершенствующие ведение единого государственного реестра объектов культурного наследия, в т.</w:t>
      </w:r>
      <w:r>
        <w:rPr>
          <w:lang w:val="en-US"/>
        </w:rPr>
        <w:t> </w:t>
      </w:r>
      <w:r w:rsidRPr="00762475">
        <w:t>ч. объем информации, которую физические и юридические лица вправе получать в органах охраны объектов культурного наследия.</w:t>
      </w:r>
    </w:p>
    <w:p w14:paraId="4B0294B5" w14:textId="77777777" w:rsidR="00634B85" w:rsidRPr="00762475" w:rsidRDefault="00634B85" w:rsidP="00634B85">
      <w:pPr>
        <w:pStyle w:val="SingleTxtG"/>
      </w:pPr>
      <w:r w:rsidRPr="00762475">
        <w:t>279.</w:t>
      </w:r>
      <w:r>
        <w:tab/>
      </w:r>
      <w:r w:rsidRPr="00762475">
        <w:t xml:space="preserve">Вопросы создания условий для организации досуга и обеспечения жителей услугами организаций культуры отнесены к полномочиям местного значения, которые в соответствии со статьями </w:t>
      </w:r>
      <w:proofErr w:type="gramStart"/>
      <w:r w:rsidRPr="00762475">
        <w:t>14-16</w:t>
      </w:r>
      <w:proofErr w:type="gramEnd"/>
      <w:r w:rsidRPr="00762475">
        <w:t xml:space="preserve"> Федерального закона от 6 октября 2003 г</w:t>
      </w:r>
      <w:r>
        <w:t>ода</w:t>
      </w:r>
      <w:r w:rsidRPr="00762475">
        <w:t xml:space="preserve"> </w:t>
      </w:r>
      <w:r>
        <w:br/>
      </w:r>
      <w:r w:rsidRPr="00762475">
        <w:t xml:space="preserve">№ 131-ФЗ «Об общих принципах организации местного самоуправления в Российской Федерации» осуществляются органами местного самоуправления самостоятельно. </w:t>
      </w:r>
      <w:r>
        <w:br/>
      </w:r>
      <w:r w:rsidRPr="00762475">
        <w:t>В соответствии с разработанным Минкультуры России Федеральным законом от 30</w:t>
      </w:r>
      <w:r>
        <w:rPr>
          <w:lang w:val="en-US"/>
        </w:rPr>
        <w:t> </w:t>
      </w:r>
      <w:r w:rsidRPr="00762475">
        <w:t>апреля 2021 г</w:t>
      </w:r>
      <w:r>
        <w:t>ода</w:t>
      </w:r>
      <w:r w:rsidRPr="00762475">
        <w:t xml:space="preserve"> № 114-ФЗ «О внесении изменений в отдельные законодательные акты Российской Федерации» органы местного самоуправления муниципального округа наделяются полномочиями в области культуры на своей территории, например, по организации библиотечного обслуживания населения, созданию условий для организации досуга и обеспечения жителей услугами организаций культуры, созданию условий для развития местного традиционного народного художественного творчества, а также полномочиями в области сохранения объектов культурного наследия, находящихся в собственности муниципального округа, либо объектов культурного наследия местного значения, находящихся на территории муниципального округа.</w:t>
      </w:r>
    </w:p>
    <w:p w14:paraId="3D0FCF80" w14:textId="77777777" w:rsidR="00634B85" w:rsidRPr="00762475" w:rsidRDefault="00634B85" w:rsidP="00634B85">
      <w:pPr>
        <w:pStyle w:val="SingleTxtG"/>
      </w:pPr>
      <w:r w:rsidRPr="00762475">
        <w:t>280.</w:t>
      </w:r>
      <w:r>
        <w:tab/>
      </w:r>
      <w:r w:rsidRPr="00762475">
        <w:t>Доступность концертов и театральных постановок регулируется Основами законодательства о культуре, утвержденными Верховным Советом Российской Федерации 9 октября 1992 г</w:t>
      </w:r>
      <w:r>
        <w:t>ода</w:t>
      </w:r>
      <w:r w:rsidRPr="00762475">
        <w:t xml:space="preserve"> </w:t>
      </w:r>
      <w:proofErr w:type="gramStart"/>
      <w:r w:rsidRPr="00762475">
        <w:t>№ 3612-1</w:t>
      </w:r>
      <w:proofErr w:type="gramEnd"/>
      <w:r w:rsidRPr="00762475">
        <w:t xml:space="preserve">, согласно которым организационно-хозяйственная деятельность, в том числе и порядок реализации билетов, является компетенцией руководства культурно-досуговых организаций. В связи с этим для обеспечения доступности в стоимостном отношении данных мероприятий в учреждениях культуры разработана система льготного предоставления билетов для различных категорий граждан. </w:t>
      </w:r>
      <w:proofErr w:type="spellStart"/>
      <w:r w:rsidRPr="00762475">
        <w:t>Кинозрелищные</w:t>
      </w:r>
      <w:proofErr w:type="spellEnd"/>
      <w:r w:rsidRPr="00762475">
        <w:t xml:space="preserve"> организации также занимаются формированием своего репертуара и ценовой политики самостоятельно, исходя из своих коммерческих интересов.</w:t>
      </w:r>
    </w:p>
    <w:p w14:paraId="229842FC" w14:textId="77777777" w:rsidR="00634B85" w:rsidRPr="00762475" w:rsidRDefault="00634B85" w:rsidP="00634B85">
      <w:pPr>
        <w:pStyle w:val="SingleTxtG"/>
      </w:pPr>
      <w:r w:rsidRPr="00762475">
        <w:t>281.</w:t>
      </w:r>
      <w:r>
        <w:tab/>
      </w:r>
      <w:r w:rsidRPr="00762475">
        <w:t>Минкультуры России ежегодно поддерживает социальные проекты, в рамках которых в обязательном порядке проводятся мероприятия на благотворительной основе.</w:t>
      </w:r>
    </w:p>
    <w:p w14:paraId="464E7D16" w14:textId="77777777" w:rsidR="00634B85" w:rsidRPr="00762475" w:rsidRDefault="00634B85" w:rsidP="00634B85">
      <w:pPr>
        <w:pStyle w:val="SingleTxtG"/>
      </w:pPr>
      <w:r w:rsidRPr="00762475">
        <w:t>282.</w:t>
      </w:r>
      <w:r>
        <w:tab/>
      </w:r>
      <w:r w:rsidRPr="00762475">
        <w:t xml:space="preserve">Важным направлением деятельности в реализации государственной культурной политики в части популяризации чтения, продвижения книги в печатном и электронном виде является развитие федеральной государственной информационной системы «Национальная электронная библиотека» (далее </w:t>
      </w:r>
      <w:r w:rsidRPr="005E5B95">
        <w:t>—</w:t>
      </w:r>
      <w:r w:rsidRPr="00762475">
        <w:t xml:space="preserve"> НЭБ). </w:t>
      </w:r>
    </w:p>
    <w:p w14:paraId="4C219008" w14:textId="77777777" w:rsidR="00634B85" w:rsidRPr="00762475" w:rsidRDefault="00634B85" w:rsidP="00634B85">
      <w:pPr>
        <w:pStyle w:val="SingleTxtG"/>
      </w:pPr>
      <w:r w:rsidRPr="00762475">
        <w:t>283.</w:t>
      </w:r>
      <w:r>
        <w:tab/>
      </w:r>
      <w:r w:rsidRPr="00762475">
        <w:t xml:space="preserve">Цель создания НЭБ </w:t>
      </w:r>
      <w:r w:rsidRPr="005E5B95">
        <w:t>—</w:t>
      </w:r>
      <w:r w:rsidRPr="00762475">
        <w:t xml:space="preserve"> сохранение исторического, научного и культурного достояния народов Российской Федерации, обеспечение условий для повышения интеллектуального потенциала Российской Федерации, формирование единого российского электронного пространства знаний.</w:t>
      </w:r>
    </w:p>
    <w:p w14:paraId="3E9F50FB" w14:textId="77777777" w:rsidR="00634B85" w:rsidRPr="00762475" w:rsidRDefault="00634B85" w:rsidP="00634B85">
      <w:pPr>
        <w:pStyle w:val="SingleTxtG"/>
      </w:pPr>
      <w:r w:rsidRPr="00762475">
        <w:t>284.</w:t>
      </w:r>
      <w:r>
        <w:tab/>
      </w:r>
      <w:r w:rsidRPr="00762475">
        <w:t>По состоянию на 1 января 2022 г</w:t>
      </w:r>
      <w:r>
        <w:t>ода</w:t>
      </w:r>
      <w:r w:rsidRPr="00762475">
        <w:t>:</w:t>
      </w:r>
    </w:p>
    <w:p w14:paraId="00F2915E"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общее количество визитов на портал НЭБ составило более 15 млн ед.;</w:t>
      </w:r>
    </w:p>
    <w:p w14:paraId="74BF7100"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количество обращений к объектам НЭБ за 2021 г</w:t>
      </w:r>
      <w:r>
        <w:t>од</w:t>
      </w:r>
      <w:r w:rsidRPr="00762475">
        <w:t xml:space="preserve"> составило 30,1 млн, что превышает целевое значение на текущий год в 3 раза (целевое значение </w:t>
      </w:r>
      <w:r w:rsidRPr="005E5B95">
        <w:t xml:space="preserve">— </w:t>
      </w:r>
      <w:r>
        <w:br/>
      </w:r>
      <w:r w:rsidRPr="00762475">
        <w:t>10,6 млн);</w:t>
      </w:r>
    </w:p>
    <w:p w14:paraId="6F5F137F"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общее количество доступных читателям объектов </w:t>
      </w:r>
      <w:r w:rsidRPr="005E5B95">
        <w:t>—</w:t>
      </w:r>
      <w:r w:rsidRPr="00762475">
        <w:t xml:space="preserve"> 5,363 млн (целевое значение </w:t>
      </w:r>
      <w:r w:rsidRPr="005E5B95">
        <w:t>—</w:t>
      </w:r>
      <w:r w:rsidRPr="00762475">
        <w:t xml:space="preserve"> 4,761 млн объектов);</w:t>
      </w:r>
    </w:p>
    <w:p w14:paraId="2D7BD650"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среднесуточное количество уникальных посетителей </w:t>
      </w:r>
      <w:r w:rsidRPr="005E5B95">
        <w:t>—</w:t>
      </w:r>
      <w:r w:rsidRPr="00762475">
        <w:t xml:space="preserve"> 36</w:t>
      </w:r>
      <w:r>
        <w:t> </w:t>
      </w:r>
      <w:r w:rsidRPr="00762475">
        <w:t xml:space="preserve">788 (целевое значение </w:t>
      </w:r>
      <w:r w:rsidRPr="005E5B95">
        <w:t>—</w:t>
      </w:r>
      <w:r w:rsidRPr="00762475">
        <w:t xml:space="preserve"> 36 000).</w:t>
      </w:r>
    </w:p>
    <w:p w14:paraId="02D9998D" w14:textId="77777777" w:rsidR="00634B85" w:rsidRPr="00762475" w:rsidRDefault="00634B85" w:rsidP="00634B85">
      <w:pPr>
        <w:pStyle w:val="SingleTxtG"/>
      </w:pPr>
      <w:r w:rsidRPr="00762475">
        <w:t>285.</w:t>
      </w:r>
      <w:r>
        <w:tab/>
      </w:r>
      <w:r w:rsidRPr="00762475">
        <w:t>За 2021 г</w:t>
      </w:r>
      <w:r>
        <w:t>од</w:t>
      </w:r>
      <w:r w:rsidRPr="00762475">
        <w:t xml:space="preserve"> также проведены следующие мероприятия:</w:t>
      </w:r>
    </w:p>
    <w:p w14:paraId="70E46B92"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на базе НЭБ запущен проект «Электронная библиотека казачества»;</w:t>
      </w:r>
    </w:p>
    <w:p w14:paraId="05FFA679"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lastRenderedPageBreak/>
        <w:t>на портале «НЭБ.</w:t>
      </w:r>
      <w:r>
        <w:t xml:space="preserve"> </w:t>
      </w:r>
      <w:r w:rsidRPr="00762475">
        <w:t>Книжные памятники» размещено более 24 000 документов;</w:t>
      </w:r>
    </w:p>
    <w:p w14:paraId="3BA21FB0"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с целью продвижения русского языка за рубежом разработано мобильное приложение SVET </w:t>
      </w:r>
      <w:proofErr w:type="spellStart"/>
      <w:r w:rsidRPr="00762475">
        <w:t>Rusneb</w:t>
      </w:r>
      <w:proofErr w:type="spellEnd"/>
      <w:r w:rsidRPr="00762475">
        <w:t xml:space="preserve"> </w:t>
      </w:r>
      <w:r>
        <w:t>—</w:t>
      </w:r>
      <w:r w:rsidRPr="00762475">
        <w:t xml:space="preserve"> «золотой фонд» мировой литературы на русском языке.</w:t>
      </w:r>
    </w:p>
    <w:p w14:paraId="55A67176" w14:textId="77777777" w:rsidR="00634B85" w:rsidRPr="00762475" w:rsidRDefault="00634B85" w:rsidP="00634B85">
      <w:pPr>
        <w:pStyle w:val="SingleTxtG"/>
      </w:pPr>
      <w:r w:rsidRPr="00762475">
        <w:t>286.</w:t>
      </w:r>
      <w:r>
        <w:tab/>
      </w:r>
      <w:r w:rsidRPr="00762475">
        <w:t>Проводится работа по сохранению системы непрерывного профессионального образования в сфере культуры и искусств.</w:t>
      </w:r>
    </w:p>
    <w:p w14:paraId="6D5BA37E" w14:textId="77777777" w:rsidR="00634B85" w:rsidRPr="00762475" w:rsidRDefault="00634B85" w:rsidP="00634B85">
      <w:pPr>
        <w:pStyle w:val="SingleTxtG"/>
      </w:pPr>
      <w:r w:rsidRPr="00762475">
        <w:t>287.</w:t>
      </w:r>
      <w:r>
        <w:tab/>
      </w:r>
      <w:r w:rsidRPr="00762475">
        <w:t>Возможность реализации образовательных программ среднего профессионального образования в области искусств, интегрированных с основными общеобразовательными программами, предусмотрена действующим Федеральным законом 29 декабря 2012 г</w:t>
      </w:r>
      <w:r>
        <w:t>ода</w:t>
      </w:r>
      <w:r w:rsidRPr="00762475">
        <w:t xml:space="preserve"> № 273-ФЗ «Об образовании в Российской Федерации». Федеральным законом от 2 июля 2021 г</w:t>
      </w:r>
      <w:r>
        <w:t>ода</w:t>
      </w:r>
      <w:r w:rsidRPr="00762475">
        <w:t xml:space="preserve"> № 321-ФЗ «О внесении изменений в </w:t>
      </w:r>
      <w:r>
        <w:br/>
      </w:r>
      <w:r w:rsidRPr="00762475">
        <w:t>статьи 5 и 83 Федерального закона «Об образовании в Российской Федерации» предусматривается возможность поступления в федеральный ВУЗ для получения второго высшего образования за счет средств бюджета по таким специальностям как режисс</w:t>
      </w:r>
      <w:r>
        <w:t>е</w:t>
      </w:r>
      <w:r w:rsidRPr="00762475">
        <w:t>р театра, кино и телевидения, дириж</w:t>
      </w:r>
      <w:r>
        <w:t>е</w:t>
      </w:r>
      <w:r w:rsidRPr="00762475">
        <w:t>р, композитор, литературный работник, переводчик художественной литературы.</w:t>
      </w:r>
    </w:p>
    <w:p w14:paraId="6F9BFAA1" w14:textId="77777777" w:rsidR="00634B85" w:rsidRPr="00762475" w:rsidRDefault="00634B85" w:rsidP="00634B85">
      <w:pPr>
        <w:pStyle w:val="SingleTxtG"/>
      </w:pPr>
      <w:r w:rsidRPr="00762475">
        <w:t>288.</w:t>
      </w:r>
      <w:r>
        <w:tab/>
      </w:r>
      <w:r w:rsidRPr="00762475">
        <w:t>Также с целью реализации задач по дальнейшему развитию и поддержке детских школ искусств Федеральным законом от 24 марта 2021 г</w:t>
      </w:r>
      <w:r>
        <w:t>ода</w:t>
      </w:r>
      <w:r w:rsidRPr="00762475">
        <w:t xml:space="preserve"> № 51-ФЗ </w:t>
      </w:r>
      <w:r>
        <w:br/>
      </w:r>
      <w:r w:rsidRPr="00762475">
        <w:t>«О внесении изменений в Федеральный закон «Об образовании в Российской Федерации» внесены изменения, нормативно закрепившие особый статус детских школ искусств как учреждений, создаваемых, прежде всего, для обучения по дополнительным предпрофессиональным программам в области искусств.</w:t>
      </w:r>
    </w:p>
    <w:p w14:paraId="4DEAD505" w14:textId="77777777" w:rsidR="00634B85" w:rsidRPr="00762475" w:rsidRDefault="00634B85" w:rsidP="00634B85">
      <w:pPr>
        <w:pStyle w:val="SingleTxtG"/>
      </w:pPr>
      <w:r w:rsidRPr="00762475">
        <w:t>289.</w:t>
      </w:r>
      <w:r>
        <w:tab/>
      </w:r>
      <w:r w:rsidRPr="00762475">
        <w:t>Приказом Минкультуры России от 2 июня 2021 г</w:t>
      </w:r>
      <w:r>
        <w:t>ода</w:t>
      </w:r>
      <w:r w:rsidRPr="00762475">
        <w:t xml:space="preserve"> № 754 утвержден Порядок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44FAF543" w14:textId="77777777" w:rsidR="00634B85" w:rsidRPr="00762475" w:rsidRDefault="00634B85" w:rsidP="00634B85">
      <w:pPr>
        <w:pStyle w:val="SingleTxtG"/>
      </w:pPr>
      <w:r w:rsidRPr="00762475">
        <w:t>290.</w:t>
      </w:r>
      <w:r>
        <w:tab/>
      </w:r>
      <w:r w:rsidRPr="00762475">
        <w:t>В рамках сотрудничества России с ЮНЕСКО принимались меры по обеспечению в отчетный период эффективной защиты моральных и материальных интересов российских авторов научных, художественных и литературных трудов, в частности представителей коренных народов. Так, по линии Программы ЮНЕСКО «Информация для всех» Россией проводились глобальные научно-практические конференции по тематике многоязычия, направленные в том числе на сохранение и популяризацию культурного наследия и традиционных знаний коренных народов.</w:t>
      </w:r>
    </w:p>
    <w:p w14:paraId="6A9FDA03" w14:textId="77777777" w:rsidR="00634B85" w:rsidRPr="00762475" w:rsidRDefault="00634B85" w:rsidP="00634B85">
      <w:pPr>
        <w:pStyle w:val="SingleTxtG"/>
      </w:pPr>
      <w:r w:rsidRPr="00762475">
        <w:t>291.</w:t>
      </w:r>
      <w:r>
        <w:tab/>
      </w:r>
      <w:r w:rsidRPr="00762475">
        <w:t>В России ежегодно проводятся мероприятия, направленные на поддержку сохранения культуры и традиций коренных народов. Так, в 2021 г</w:t>
      </w:r>
      <w:r>
        <w:t>оду</w:t>
      </w:r>
      <w:r w:rsidRPr="00762475">
        <w:t xml:space="preserve"> только по линии Россотрудничества было проведено 10 крупных тематических акций.</w:t>
      </w:r>
    </w:p>
    <w:p w14:paraId="117B9AA8" w14:textId="77777777" w:rsidR="00634B85" w:rsidRPr="00762475" w:rsidRDefault="00634B85" w:rsidP="00634B85">
      <w:pPr>
        <w:pStyle w:val="SingleTxtG"/>
      </w:pPr>
      <w:r w:rsidRPr="00762475">
        <w:t>292.</w:t>
      </w:r>
      <w:r>
        <w:tab/>
      </w:r>
      <w:r w:rsidRPr="00762475">
        <w:t>Правительство Российской Федерации активно поощряет развитие международных контактов и сотрудничества в научной и культурной областях.</w:t>
      </w:r>
    </w:p>
    <w:p w14:paraId="4DE8D248" w14:textId="77777777" w:rsidR="00634B85" w:rsidRPr="00762475" w:rsidRDefault="00634B85" w:rsidP="00634B85">
      <w:pPr>
        <w:pStyle w:val="SingleTxtG"/>
      </w:pPr>
      <w:r w:rsidRPr="00762475">
        <w:t>293.</w:t>
      </w:r>
      <w:r>
        <w:tab/>
      </w:r>
      <w:r w:rsidRPr="00762475">
        <w:t>Особое внимание в сфере расширения культурных связей уделяется подготовке и реализации комплексных масштабных проектов в рамках «перекрестных» годов, дней и сезонов России с иностранными государствами.</w:t>
      </w:r>
    </w:p>
    <w:p w14:paraId="77D7F749" w14:textId="77777777" w:rsidR="00634B85" w:rsidRPr="00762475" w:rsidRDefault="00634B85" w:rsidP="00634B85">
      <w:pPr>
        <w:pStyle w:val="SingleTxtG"/>
      </w:pPr>
      <w:r w:rsidRPr="00762475">
        <w:t>294.</w:t>
      </w:r>
      <w:r>
        <w:tab/>
      </w:r>
      <w:r w:rsidRPr="00762475">
        <w:t>В 2018</w:t>
      </w:r>
      <w:r>
        <w:t>–</w:t>
      </w:r>
      <w:r w:rsidRPr="00762475">
        <w:t>2019 г</w:t>
      </w:r>
      <w:r>
        <w:t>оды</w:t>
      </w:r>
      <w:r w:rsidRPr="00762475">
        <w:t xml:space="preserve"> Минкультуры России совместно с Московским Патриархатом проводили «Дни России в зарубежных странах с включением мероприятий духовного характера». В указанный период также были проведены </w:t>
      </w:r>
      <w:r>
        <w:br/>
      </w:r>
      <w:r w:rsidRPr="00762475">
        <w:t>VII и VIII Санкт-Петербургские международные культурные форумы.</w:t>
      </w:r>
    </w:p>
    <w:p w14:paraId="33369146" w14:textId="77777777" w:rsidR="00634B85" w:rsidRPr="00762475" w:rsidRDefault="00634B85" w:rsidP="00634B85">
      <w:pPr>
        <w:pStyle w:val="SingleTxtG"/>
      </w:pPr>
      <w:r w:rsidRPr="00762475">
        <w:t>295.</w:t>
      </w:r>
      <w:r>
        <w:tab/>
      </w:r>
      <w:r w:rsidRPr="00762475">
        <w:t>В 2020</w:t>
      </w:r>
      <w:r>
        <w:t>–</w:t>
      </w:r>
      <w:r w:rsidRPr="00762475">
        <w:t>2021 г</w:t>
      </w:r>
      <w:r>
        <w:t>оды</w:t>
      </w:r>
      <w:r w:rsidRPr="00762475">
        <w:t xml:space="preserve"> большинство мероприятий из-за эпидемиологической ситуации осуществлялись в дистанционном формате, а проведение некоторых на время пандемии было временно приостановлено.</w:t>
      </w:r>
    </w:p>
    <w:p w14:paraId="4F6FF7AE" w14:textId="77777777" w:rsidR="00634B85" w:rsidRPr="00762475" w:rsidRDefault="00634B85" w:rsidP="00634B85">
      <w:pPr>
        <w:pStyle w:val="SingleTxtG"/>
      </w:pPr>
      <w:r w:rsidRPr="00762475">
        <w:t>296.</w:t>
      </w:r>
      <w:r>
        <w:tab/>
      </w:r>
      <w:r w:rsidRPr="00762475">
        <w:t xml:space="preserve">Российские загранучреждения также на постоянной основе содействуют проведению в иностранных государствах таких культурно-просветительских акций, как «Географический диктант», «Экологический диктант», «Диктант Победы», </w:t>
      </w:r>
      <w:r w:rsidRPr="00762475">
        <w:lastRenderedPageBreak/>
        <w:t>«Большой этнографический диктант». Осуществляется целенаправленная работа по продвижению за рубежом российского кинематографа.</w:t>
      </w:r>
    </w:p>
    <w:p w14:paraId="157DB278" w14:textId="77777777" w:rsidR="00634B85" w:rsidRPr="00762475" w:rsidRDefault="00634B85" w:rsidP="00634B85">
      <w:pPr>
        <w:pStyle w:val="SingleTxtG"/>
      </w:pPr>
      <w:r w:rsidRPr="00762475">
        <w:t>297.</w:t>
      </w:r>
      <w:r>
        <w:tab/>
      </w:r>
      <w:r w:rsidRPr="00762475">
        <w:t>Конструктивное участие Российской Федерации в деятельности ЮНЕСКО в немалой степени способствует поощрению международных контактов и сотрудничества в научной и культурной областях. Например, в 2019 г</w:t>
      </w:r>
      <w:r>
        <w:t>оду</w:t>
      </w:r>
      <w:r w:rsidRPr="00762475">
        <w:t xml:space="preserve"> была учреждена ежегодная Премия России-ЮНЕСКО им. Д.</w:t>
      </w:r>
      <w:r>
        <w:t> </w:t>
      </w:r>
      <w:r w:rsidRPr="00762475">
        <w:t>И.</w:t>
      </w:r>
      <w:r>
        <w:t> </w:t>
      </w:r>
      <w:r w:rsidRPr="00762475">
        <w:t xml:space="preserve">Менделеева за достижения в области фундаментальных наук (премиальный фонд </w:t>
      </w:r>
      <w:r>
        <w:t>—</w:t>
      </w:r>
      <w:r w:rsidRPr="00762475">
        <w:t xml:space="preserve"> 500 тыс. долл. США), направленная на популяризацию научной деятельности и повышение исследовательского потенциала в мире. Расширяется участие российских научных и образовательных учреждений в международном сотрудничестве в рамках Программы УНИТВИН («породненные университеты»)/кафедры ЮНЕСКО, которая объединяет более 850 кафедр из 117 стран мира. Взаимодействие ведется в рамках областей компетенции Организации, в том числе в сфере культуры. </w:t>
      </w:r>
    </w:p>
    <w:p w14:paraId="12345A6C" w14:textId="77777777" w:rsidR="00634B85" w:rsidRPr="00762475" w:rsidRDefault="00634B85" w:rsidP="00634B85">
      <w:pPr>
        <w:pStyle w:val="SingleTxtG"/>
      </w:pPr>
      <w:r w:rsidRPr="00762475">
        <w:t>298.</w:t>
      </w:r>
      <w:r>
        <w:tab/>
      </w:r>
      <w:r w:rsidRPr="00762475">
        <w:t>Россия традиционно содействует формированию Списка памятных дат, в мероприятиях по случаю которых принимает участие ЮНЕСКО.</w:t>
      </w:r>
    </w:p>
    <w:p w14:paraId="7D7D96E1" w14:textId="77777777" w:rsidR="00634B85" w:rsidRPr="00762475" w:rsidRDefault="00634B85" w:rsidP="00634B85">
      <w:pPr>
        <w:pStyle w:val="SingleTxtG"/>
      </w:pPr>
      <w:r w:rsidRPr="00762475">
        <w:t>299.</w:t>
      </w:r>
      <w:r>
        <w:tab/>
      </w:r>
      <w:r w:rsidRPr="00762475">
        <w:t>Право человека на пользование результатами научного прогресса и их практического применения, а также обязанность государства уважать свободу, безусловно необходимую для научных исследований и творческой деятельности, в Российской Федерации реализуется через принцип свободы научного и технического творчества.</w:t>
      </w:r>
    </w:p>
    <w:p w14:paraId="5612380A" w14:textId="77777777" w:rsidR="00634B85" w:rsidRPr="00762475" w:rsidRDefault="00634B85" w:rsidP="00634B85">
      <w:pPr>
        <w:pStyle w:val="SingleTxtG"/>
      </w:pPr>
      <w:r w:rsidRPr="00762475">
        <w:t>300.</w:t>
      </w:r>
      <w:r>
        <w:tab/>
      </w:r>
      <w:r w:rsidRPr="00762475">
        <w:t>Указанный принцип является основополагающим принципом государственной политики в области научно-технологического развития Российской Федерации.</w:t>
      </w:r>
    </w:p>
    <w:p w14:paraId="13FCACAE" w14:textId="77777777" w:rsidR="00634B85" w:rsidRPr="00762475" w:rsidRDefault="00634B85" w:rsidP="00634B85">
      <w:pPr>
        <w:pStyle w:val="SingleTxtG"/>
      </w:pPr>
      <w:r w:rsidRPr="00762475">
        <w:t>301.</w:t>
      </w:r>
      <w:r>
        <w:tab/>
      </w:r>
      <w:r w:rsidRPr="00762475">
        <w:t>Согласно Федеральному закону от 23 августа 1996 г</w:t>
      </w:r>
      <w:r>
        <w:t>ода</w:t>
      </w:r>
      <w:r w:rsidRPr="00762475">
        <w:t xml:space="preserve"> № 127-ФЗ </w:t>
      </w:r>
      <w:r w:rsidRPr="00762475">
        <w:br/>
        <w:t xml:space="preserve">«О науке и государственной научно-технической политике» (далее </w:t>
      </w:r>
      <w:r>
        <w:t>—</w:t>
      </w:r>
      <w:r w:rsidRPr="00762475">
        <w:t xml:space="preserve"> Закон о науке) управление научной и (или) научно-технической деятельностью осуществляется в пределах, не нарушающих свободу научного творчества.</w:t>
      </w:r>
    </w:p>
    <w:p w14:paraId="5F7948E7" w14:textId="77777777" w:rsidR="00634B85" w:rsidRPr="00762475" w:rsidRDefault="00634B85" w:rsidP="00634B85">
      <w:pPr>
        <w:pStyle w:val="SingleTxtG"/>
      </w:pPr>
      <w:r w:rsidRPr="00762475">
        <w:t>302.</w:t>
      </w:r>
      <w:r>
        <w:tab/>
      </w:r>
      <w:r w:rsidRPr="00762475">
        <w:t>Органы государственной власти Российской Федерации признают право на обоснованный риск в научной и (или) научно-технической деятельности и обеспечивают свободу доступа к научной и научно-технической информации за исключением случаев, предусмотренных законодательством Российской Федерации в отношении государственной, служебной или коммерческой тайны.</w:t>
      </w:r>
    </w:p>
    <w:p w14:paraId="4AEEC0E0" w14:textId="77777777" w:rsidR="00634B85" w:rsidRPr="00762475" w:rsidRDefault="00634B85" w:rsidP="00634B85">
      <w:pPr>
        <w:pStyle w:val="SingleTxtG"/>
      </w:pPr>
      <w:r w:rsidRPr="00762475">
        <w:t>303.</w:t>
      </w:r>
      <w:r>
        <w:tab/>
      </w:r>
      <w:r w:rsidRPr="00762475">
        <w:t>В соответствии с положениями Стратегии научно-технологического развития Российской Федерации, утвержденной Указом Президента Российской Федерации от 1 декабря 2016 г</w:t>
      </w:r>
      <w:r>
        <w:t>ода</w:t>
      </w:r>
      <w:r w:rsidRPr="00762475">
        <w:t xml:space="preserve"> № 642, а также по смыслу положений Закона о науке, под свободой научного и технического творчества понимается предоставление возможности научным коллективам и организациям, другим участникам исследований и разработок выбирать и сочетать направления, формы взаимодействия, методы решения исследовательских, технологических задач при одновременном повышении их ответственности за результативность своей деятельности и значимость полученных результатов для развития национальной экономики и общества.</w:t>
      </w:r>
    </w:p>
    <w:p w14:paraId="446A2DFD" w14:textId="77777777" w:rsidR="00634B85" w:rsidRPr="00762475" w:rsidRDefault="00634B85" w:rsidP="00634B85">
      <w:pPr>
        <w:pStyle w:val="SingleTxtG"/>
      </w:pPr>
      <w:r w:rsidRPr="00762475">
        <w:t>304.</w:t>
      </w:r>
      <w:r>
        <w:tab/>
      </w:r>
      <w:r w:rsidRPr="00762475">
        <w:t>Следует отметить, что принцип свободы научного и технического творчества закреплен не только в отраслевых нормативных правовых актах, но и в статье 44 Конституции Российской Федерации.</w:t>
      </w:r>
    </w:p>
    <w:p w14:paraId="387309DE" w14:textId="77777777" w:rsidR="00634B85" w:rsidRPr="00762475" w:rsidRDefault="00634B85" w:rsidP="00634B85">
      <w:pPr>
        <w:pStyle w:val="SingleTxtG"/>
      </w:pPr>
      <w:r w:rsidRPr="00762475">
        <w:t>305.</w:t>
      </w:r>
      <w:r>
        <w:tab/>
      </w:r>
      <w:r w:rsidRPr="00762475">
        <w:t>Законом Российской Федерации о поправке к Конституции Российской Федерации от 14 марта 2020 г</w:t>
      </w:r>
      <w:r>
        <w:t>ода</w:t>
      </w:r>
      <w:r w:rsidRPr="00762475">
        <w:t xml:space="preserve"> № 1-ФКЗ «О совершенствовании регулирования отдельных вопросов организации и функционирования публичной власти» принят ряд новелл, развивающих положения указанной статьи. В результате принятых изменений установлены новые полномочия Правительства Российской Федерации по обеспечению проведения в Российской Федерации единой социально ориентированной государственной политики в области науки, обеспечению государственной поддержки научно-технологического развития Российской Федерации, сохранению и развитию ее научного потенциала.</w:t>
      </w:r>
    </w:p>
    <w:p w14:paraId="304E6403" w14:textId="77777777" w:rsidR="00634B85" w:rsidRPr="00762475" w:rsidRDefault="00634B85" w:rsidP="00634B85">
      <w:pPr>
        <w:pStyle w:val="SingleTxtG"/>
      </w:pPr>
      <w:r w:rsidRPr="00762475">
        <w:t>306.</w:t>
      </w:r>
      <w:r>
        <w:tab/>
      </w:r>
      <w:r w:rsidRPr="00762475">
        <w:t xml:space="preserve">Кроме того, согласно поправкам, внесенным в Конституцию Российской Федерации, к ведению Российской Федерации отнесены установление основ </w:t>
      </w:r>
      <w:r w:rsidRPr="00762475">
        <w:lastRenderedPageBreak/>
        <w:t>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Общие вопросы науки находятся в совместном ведении Российской Федерации и субъектов Российской Федерации.</w:t>
      </w:r>
    </w:p>
    <w:p w14:paraId="4A5FA32D" w14:textId="77777777" w:rsidR="00634B85" w:rsidRPr="00762475" w:rsidRDefault="00634B85" w:rsidP="00634B85">
      <w:pPr>
        <w:pStyle w:val="SingleTxtG"/>
      </w:pPr>
      <w:r w:rsidRPr="00762475">
        <w:t>307.</w:t>
      </w:r>
      <w:r>
        <w:tab/>
      </w:r>
      <w:r w:rsidRPr="00762475">
        <w:t>Одновременно отмечаем, что за отчетный период в Российской Федерации был реализован ряд инициатив в сфере интеллектуальной собственности, затрагивающих экономические права.</w:t>
      </w:r>
    </w:p>
    <w:p w14:paraId="5203D841" w14:textId="77777777" w:rsidR="00634B85" w:rsidRPr="00762475" w:rsidRDefault="00634B85" w:rsidP="00634B85">
      <w:pPr>
        <w:pStyle w:val="SingleTxtG"/>
      </w:pPr>
      <w:r w:rsidRPr="00762475">
        <w:t>308.</w:t>
      </w:r>
      <w:r>
        <w:tab/>
      </w:r>
      <w:r w:rsidRPr="00762475">
        <w:t>28 февраля 2018 г</w:t>
      </w:r>
      <w:r>
        <w:t>ода</w:t>
      </w:r>
      <w:r w:rsidRPr="00762475">
        <w:t xml:space="preserve"> вступил в силу для Российской Федерации Женевский акт Гаагского соглашения о международной регистрации промышленных образцов, позволяющий заявителю эффективно обеспечивать охрану прав на промышленные образцы в нескольких странах.</w:t>
      </w:r>
    </w:p>
    <w:p w14:paraId="788C0675" w14:textId="77777777" w:rsidR="00634B85" w:rsidRPr="00762475" w:rsidRDefault="00634B85" w:rsidP="00634B85">
      <w:pPr>
        <w:pStyle w:val="SingleTxtG"/>
      </w:pPr>
      <w:r w:rsidRPr="00762475">
        <w:t>309.</w:t>
      </w:r>
      <w:r>
        <w:tab/>
      </w:r>
      <w:r w:rsidRPr="00762475">
        <w:t>17 января 2021 г</w:t>
      </w:r>
      <w:r>
        <w:t>ода</w:t>
      </w:r>
      <w:r w:rsidRPr="00762475">
        <w:t xml:space="preserve"> вступил в силу Федеральный закон от 20 июля 2020 г</w:t>
      </w:r>
      <w:r>
        <w:t>ода</w:t>
      </w:r>
      <w:r w:rsidRPr="00762475">
        <w:t xml:space="preserve"> </w:t>
      </w:r>
      <w:r>
        <w:br/>
      </w:r>
      <w:r w:rsidRPr="00762475">
        <w:t>№ 217-ФЗ, который позволяет прикладывать к материалам заявки трехмерную модель изобретения, полезной модели, промышленного образца, товарного знака, а также выдавать патенты и свидетельства в электронной форме по всем регистрируемым Федеральной службой по интеллектуальной собственности (Роспатентом) объектам патентного права, кроме секретных изобретений, средствам индивидуализации, программам для электронно-вычислительных машин (ЭВМ), базам данных и топологиям интегральных микросхем.</w:t>
      </w:r>
    </w:p>
    <w:p w14:paraId="2EE0B655" w14:textId="77777777" w:rsidR="00634B85" w:rsidRPr="00762475" w:rsidRDefault="00634B85" w:rsidP="00634B85">
      <w:pPr>
        <w:pStyle w:val="SingleTxtG"/>
      </w:pPr>
      <w:r w:rsidRPr="00762475">
        <w:t>310.</w:t>
      </w:r>
      <w:r>
        <w:tab/>
      </w:r>
      <w:r w:rsidRPr="00762475">
        <w:t>11 апреля 2021 г</w:t>
      </w:r>
      <w:r>
        <w:t>ода</w:t>
      </w:r>
      <w:r w:rsidRPr="00762475">
        <w:t xml:space="preserve"> вступил в силу для Российской Федерации Протокол об охране промышленных образцов к Евразийской патентной конвенции от 9 сентября </w:t>
      </w:r>
      <w:proofErr w:type="gramStart"/>
      <w:r w:rsidRPr="00762475">
        <w:t>1994 г</w:t>
      </w:r>
      <w:r>
        <w:t>ода</w:t>
      </w:r>
      <w:proofErr w:type="gramEnd"/>
      <w:r w:rsidRPr="00762475">
        <w:t xml:space="preserve"> Новая региональная система позволяет заявителю получить охрану промышленного образца во всех государствах </w:t>
      </w:r>
      <w:r>
        <w:t>—</w:t>
      </w:r>
      <w:r w:rsidRPr="00762475">
        <w:t xml:space="preserve"> участниках Протокола на основании одной заявки.</w:t>
      </w:r>
    </w:p>
    <w:p w14:paraId="7DBFB038" w14:textId="77777777" w:rsidR="00634B85" w:rsidRPr="00762475" w:rsidRDefault="00634B85" w:rsidP="00634B85">
      <w:pPr>
        <w:pStyle w:val="SingleTxtG"/>
      </w:pPr>
      <w:r w:rsidRPr="00762475">
        <w:t>311.</w:t>
      </w:r>
      <w:r>
        <w:tab/>
      </w:r>
      <w:r w:rsidRPr="00762475">
        <w:t>26 апреля 2021 г</w:t>
      </w:r>
      <w:r>
        <w:t>ода</w:t>
      </w:r>
      <w:r w:rsidRPr="00762475">
        <w:t xml:space="preserve"> вступил в силу Договор о товарных знаках, знаках обслуживания и наименованиях мест происхождения товаров Евразийского экономического союза, вводящий региональную систему охрану средств индивидуализации, которая упрощает правообладателю ведение бизнеса в условиях Единого экономического пространства.</w:t>
      </w:r>
    </w:p>
    <w:p w14:paraId="3DD85047" w14:textId="77777777" w:rsidR="00634B85" w:rsidRPr="00762475" w:rsidRDefault="00634B85" w:rsidP="00634B85">
      <w:pPr>
        <w:pStyle w:val="SingleTxtG"/>
      </w:pPr>
      <w:r w:rsidRPr="00762475">
        <w:t>312.</w:t>
      </w:r>
      <w:r>
        <w:tab/>
      </w:r>
      <w:r w:rsidRPr="00762475">
        <w:t>1 августа 2021 г</w:t>
      </w:r>
      <w:r>
        <w:t>ода</w:t>
      </w:r>
      <w:r w:rsidRPr="00762475">
        <w:t xml:space="preserve"> вступил в силу Федеральный закон от 31 июля 2020 г</w:t>
      </w:r>
      <w:r>
        <w:t>ода</w:t>
      </w:r>
      <w:r w:rsidRPr="00762475">
        <w:t xml:space="preserve"> </w:t>
      </w:r>
      <w:r>
        <w:br/>
      </w:r>
      <w:r w:rsidRPr="00762475">
        <w:t>№ 262-ФЗ «О внесении изменений в часть четвертую Гражданского кодекса Российской Федерации», вводящий процедуру предварительного информационного поиска и предварительной оценки патентоспособности по заявкам на изобретения и полезные модели с привлечением аккредитованных профильных российских научных и образовательных организаций.</w:t>
      </w:r>
    </w:p>
    <w:p w14:paraId="2E8C780E" w14:textId="77777777" w:rsidR="00634B85" w:rsidRPr="00762475" w:rsidRDefault="00634B85" w:rsidP="00634B85">
      <w:pPr>
        <w:pStyle w:val="SingleTxtG"/>
      </w:pPr>
      <w:r w:rsidRPr="00762475">
        <w:t>313.</w:t>
      </w:r>
      <w:r>
        <w:tab/>
      </w:r>
      <w:r w:rsidRPr="00762475">
        <w:t>31 декабря 2022 г</w:t>
      </w:r>
      <w:r>
        <w:t>ода</w:t>
      </w:r>
      <w:r w:rsidRPr="00762475">
        <w:t xml:space="preserve"> вступит в силу Федеральный закон от 30 декабря 2021 г</w:t>
      </w:r>
      <w:r>
        <w:t>ода</w:t>
      </w:r>
      <w:r w:rsidRPr="00762475">
        <w:t xml:space="preserve"> </w:t>
      </w:r>
      <w:r>
        <w:br/>
      </w:r>
      <w:r w:rsidRPr="00762475">
        <w:t>№ 450-ФЗ «О присоединении Российской Федерации к Женевскому акту Лиссабонского соглашения о наименованиях мест происхождения и географических указаниях». После передачи грамоты о присоединении Генеральному директору Всемирной организации интеллектуальной собственности Российская Федерация станет участником Лиссабонской системы международной регистрации географических указаний и наименований мест происхождения товаров.</w:t>
      </w:r>
    </w:p>
    <w:p w14:paraId="5DE676C5" w14:textId="77777777" w:rsidR="00634B85" w:rsidRPr="00762475" w:rsidRDefault="00634B85" w:rsidP="00634B85">
      <w:pPr>
        <w:pStyle w:val="SingleTxtG"/>
      </w:pPr>
      <w:r w:rsidRPr="00762475">
        <w:br w:type="page"/>
      </w:r>
    </w:p>
    <w:p w14:paraId="6D673A8E" w14:textId="77777777" w:rsidR="00634B85" w:rsidRDefault="00634B85" w:rsidP="00634B85">
      <w:pPr>
        <w:pStyle w:val="HChG"/>
      </w:pPr>
      <w:r>
        <w:lastRenderedPageBreak/>
        <w:tab/>
      </w:r>
      <w:r>
        <w:tab/>
      </w:r>
      <w:r w:rsidRPr="00762475">
        <w:t xml:space="preserve">Дополнительная информация по некоторым заключительным замечаниям Комитета </w:t>
      </w:r>
      <w:r>
        <w:br/>
      </w:r>
      <w:r w:rsidRPr="00762475">
        <w:t>по экономическим, социальным и культурным правам (КЭСКП) по шестому периодическому докладу Российской Федерации</w:t>
      </w:r>
    </w:p>
    <w:p w14:paraId="2C3E555E" w14:textId="77777777" w:rsidR="00634B85" w:rsidRPr="00762475" w:rsidRDefault="00634B85" w:rsidP="00634B85">
      <w:pPr>
        <w:pStyle w:val="H1G"/>
        <w:rPr>
          <w:i/>
        </w:rPr>
      </w:pPr>
      <w:r>
        <w:tab/>
      </w:r>
      <w:r>
        <w:tab/>
      </w:r>
      <w:r w:rsidRPr="002800DE">
        <w:t>Последующая информация в связи с пунктами</w:t>
      </w:r>
      <w:r w:rsidRPr="00762475">
        <w:t xml:space="preserve"> 5</w:t>
      </w:r>
      <w:r>
        <w:t>–</w:t>
      </w:r>
      <w:r w:rsidRPr="00762475">
        <w:t>6 заключительных замечаний КЭСКП</w:t>
      </w:r>
    </w:p>
    <w:p w14:paraId="6E5DD3AF" w14:textId="77777777" w:rsidR="00634B85" w:rsidRPr="00762475" w:rsidRDefault="00634B85" w:rsidP="00634B85">
      <w:pPr>
        <w:pStyle w:val="SingleTxtG"/>
      </w:pPr>
      <w:r w:rsidRPr="00762475">
        <w:t>314.</w:t>
      </w:r>
      <w:r>
        <w:tab/>
      </w:r>
      <w:r w:rsidRPr="00762475">
        <w:t>Верховный Суд Российской Федерации в своих периодических обзорах размещает информацию о текущей практике КЭСКП, связанной с рассмотрением индивидуальных жалоб.</w:t>
      </w:r>
    </w:p>
    <w:p w14:paraId="208EC6EE" w14:textId="77777777" w:rsidR="00634B85" w:rsidRPr="00762475" w:rsidRDefault="00634B85" w:rsidP="00634B85">
      <w:pPr>
        <w:pStyle w:val="SingleTxtG"/>
      </w:pPr>
      <w:r w:rsidRPr="00762475">
        <w:t>315.</w:t>
      </w:r>
      <w:r>
        <w:tab/>
      </w:r>
      <w:r w:rsidRPr="00762475">
        <w:t>Так, например,</w:t>
      </w:r>
    </w:p>
    <w:p w14:paraId="207250BC"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в Обзоре практики межгосударственных органов по защите прав и основных свобод человека № 1 (2022) была размещена информация о Соображениях КЭСКП от 12 октября 2021 г</w:t>
      </w:r>
      <w:r>
        <w:t>ода</w:t>
      </w:r>
      <w:r w:rsidRPr="00762475">
        <w:t xml:space="preserve"> по делу </w:t>
      </w:r>
      <w:r w:rsidRPr="00B5516E">
        <w:rPr>
          <w:i/>
          <w:iCs/>
        </w:rPr>
        <w:t>Лорн Джозеф Уолтерс против Бельгии</w:t>
      </w:r>
      <w:r w:rsidRPr="00762475">
        <w:t xml:space="preserve"> (сообщение № 61/2018);</w:t>
      </w:r>
    </w:p>
    <w:p w14:paraId="5C8FFF95"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в Обзоре практики межгосударственных органов по защите прав и основных свобод человека № 9 (2021) </w:t>
      </w:r>
      <w:r>
        <w:t>—</w:t>
      </w:r>
      <w:r w:rsidRPr="00762475">
        <w:t xml:space="preserve"> о Соображениях КЭСКП от 22</w:t>
      </w:r>
      <w:r>
        <w:t xml:space="preserve"> </w:t>
      </w:r>
      <w:r w:rsidRPr="00762475">
        <w:t xml:space="preserve">февраля 2021 года по делу </w:t>
      </w:r>
      <w:proofErr w:type="spellStart"/>
      <w:r w:rsidRPr="00B56F24">
        <w:rPr>
          <w:i/>
          <w:iCs/>
        </w:rPr>
        <w:t>Сорайя</w:t>
      </w:r>
      <w:proofErr w:type="spellEnd"/>
      <w:r w:rsidRPr="00B56F24">
        <w:rPr>
          <w:i/>
          <w:iCs/>
        </w:rPr>
        <w:t xml:space="preserve"> Морено Ромеро против Испании</w:t>
      </w:r>
      <w:r w:rsidRPr="00762475">
        <w:t xml:space="preserve"> (сообщение № 48/2018); </w:t>
      </w:r>
      <w:r>
        <w:br/>
      </w:r>
      <w:r w:rsidRPr="00762475">
        <w:t>от 19 февраля 2021 г</w:t>
      </w:r>
      <w:r>
        <w:t>ода</w:t>
      </w:r>
      <w:r w:rsidRPr="00762475">
        <w:t xml:space="preserve"> по делу</w:t>
      </w:r>
      <w:r w:rsidRPr="00B56F24">
        <w:rPr>
          <w:i/>
          <w:iCs/>
        </w:rPr>
        <w:t xml:space="preserve"> Фатима эль-</w:t>
      </w:r>
      <w:proofErr w:type="spellStart"/>
      <w:r w:rsidRPr="00B56F24">
        <w:rPr>
          <w:i/>
          <w:iCs/>
        </w:rPr>
        <w:t>Аюби</w:t>
      </w:r>
      <w:proofErr w:type="spellEnd"/>
      <w:r w:rsidRPr="00B56F24">
        <w:rPr>
          <w:i/>
          <w:iCs/>
        </w:rPr>
        <w:t xml:space="preserve"> и </w:t>
      </w:r>
      <w:proofErr w:type="spellStart"/>
      <w:r w:rsidRPr="00B56F24">
        <w:rPr>
          <w:i/>
          <w:iCs/>
        </w:rPr>
        <w:t>Мохамед</w:t>
      </w:r>
      <w:proofErr w:type="spellEnd"/>
      <w:r w:rsidRPr="00B56F24">
        <w:rPr>
          <w:i/>
          <w:iCs/>
        </w:rPr>
        <w:t xml:space="preserve"> эль-</w:t>
      </w:r>
      <w:proofErr w:type="spellStart"/>
      <w:r w:rsidRPr="00B56F24">
        <w:rPr>
          <w:i/>
          <w:iCs/>
        </w:rPr>
        <w:t>Азуан</w:t>
      </w:r>
      <w:proofErr w:type="spellEnd"/>
      <w:r w:rsidRPr="00B56F24">
        <w:rPr>
          <w:i/>
          <w:iCs/>
        </w:rPr>
        <w:t xml:space="preserve"> </w:t>
      </w:r>
      <w:proofErr w:type="spellStart"/>
      <w:r w:rsidRPr="00B56F24">
        <w:rPr>
          <w:i/>
          <w:iCs/>
        </w:rPr>
        <w:t>Азуз</w:t>
      </w:r>
      <w:proofErr w:type="spellEnd"/>
      <w:r w:rsidRPr="00B56F24">
        <w:rPr>
          <w:i/>
          <w:iCs/>
        </w:rPr>
        <w:t xml:space="preserve"> против Испании</w:t>
      </w:r>
      <w:r w:rsidRPr="00762475">
        <w:t xml:space="preserve"> (сообщение № 54/2018); от 18</w:t>
      </w:r>
      <w:r>
        <w:t xml:space="preserve"> </w:t>
      </w:r>
      <w:r w:rsidRPr="00762475">
        <w:t>февраля 2021 г</w:t>
      </w:r>
      <w:r>
        <w:t>ода</w:t>
      </w:r>
      <w:r w:rsidRPr="00762475">
        <w:t xml:space="preserve"> по делу </w:t>
      </w:r>
      <w:r w:rsidRPr="00B56F24">
        <w:rPr>
          <w:i/>
          <w:iCs/>
        </w:rPr>
        <w:t>Хакима Эль-</w:t>
      </w:r>
      <w:proofErr w:type="spellStart"/>
      <w:r w:rsidRPr="00B56F24">
        <w:rPr>
          <w:i/>
          <w:iCs/>
        </w:rPr>
        <w:t>Гумари</w:t>
      </w:r>
      <w:proofErr w:type="spellEnd"/>
      <w:r w:rsidRPr="00B56F24">
        <w:rPr>
          <w:i/>
          <w:iCs/>
        </w:rPr>
        <w:t xml:space="preserve"> и Ахмед </w:t>
      </w:r>
      <w:proofErr w:type="spellStart"/>
      <w:r w:rsidRPr="00B56F24">
        <w:rPr>
          <w:i/>
          <w:iCs/>
        </w:rPr>
        <w:t>Тидли</w:t>
      </w:r>
      <w:proofErr w:type="spellEnd"/>
      <w:r w:rsidRPr="00B56F24">
        <w:rPr>
          <w:i/>
          <w:iCs/>
        </w:rPr>
        <w:t xml:space="preserve"> против Испании</w:t>
      </w:r>
      <w:r w:rsidRPr="00762475">
        <w:t xml:space="preserve"> (сообщение № 85/2018);</w:t>
      </w:r>
    </w:p>
    <w:p w14:paraId="1B4CD551"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в Обзоре практики межгосударственных органов по защите прав и основных свобод человека № 5 (2020) </w:t>
      </w:r>
      <w:r>
        <w:t>—</w:t>
      </w:r>
      <w:r w:rsidRPr="00762475">
        <w:t xml:space="preserve"> о Соображениях КЭСКП от 5 марта 2020 г</w:t>
      </w:r>
      <w:r>
        <w:t>ода</w:t>
      </w:r>
      <w:r w:rsidRPr="00762475">
        <w:t xml:space="preserve"> по делу </w:t>
      </w:r>
      <w:r w:rsidRPr="00B56F24">
        <w:rPr>
          <w:i/>
          <w:iCs/>
        </w:rPr>
        <w:t xml:space="preserve">Росарио Гомес-Лимон </w:t>
      </w:r>
      <w:proofErr w:type="spellStart"/>
      <w:r w:rsidRPr="00B56F24">
        <w:rPr>
          <w:i/>
          <w:iCs/>
        </w:rPr>
        <w:t>Пардо</w:t>
      </w:r>
      <w:proofErr w:type="spellEnd"/>
      <w:r w:rsidRPr="00B56F24">
        <w:rPr>
          <w:i/>
          <w:iCs/>
        </w:rPr>
        <w:t xml:space="preserve"> против Испании</w:t>
      </w:r>
      <w:r w:rsidRPr="00762475">
        <w:t xml:space="preserve"> (сообщение № 52/2018); </w:t>
      </w:r>
      <w:r>
        <w:br/>
      </w:r>
      <w:r w:rsidRPr="00762475">
        <w:t>от 11 октября 2019 г</w:t>
      </w:r>
      <w:r>
        <w:t>ода</w:t>
      </w:r>
      <w:r w:rsidRPr="00762475">
        <w:t xml:space="preserve"> по делу </w:t>
      </w:r>
      <w:proofErr w:type="spellStart"/>
      <w:r w:rsidRPr="00B56F24">
        <w:rPr>
          <w:i/>
          <w:iCs/>
        </w:rPr>
        <w:t>Марибель</w:t>
      </w:r>
      <w:proofErr w:type="spellEnd"/>
      <w:r w:rsidRPr="00B56F24">
        <w:rPr>
          <w:i/>
          <w:iCs/>
        </w:rPr>
        <w:t xml:space="preserve"> </w:t>
      </w:r>
      <w:proofErr w:type="spellStart"/>
      <w:r w:rsidRPr="00B56F24">
        <w:rPr>
          <w:i/>
          <w:iCs/>
        </w:rPr>
        <w:t>Вивиана</w:t>
      </w:r>
      <w:proofErr w:type="spellEnd"/>
      <w:r w:rsidRPr="00B56F24">
        <w:rPr>
          <w:i/>
          <w:iCs/>
        </w:rPr>
        <w:t xml:space="preserve"> Лопес </w:t>
      </w:r>
      <w:proofErr w:type="spellStart"/>
      <w:r w:rsidRPr="00B56F24">
        <w:rPr>
          <w:i/>
          <w:iCs/>
        </w:rPr>
        <w:t>Альбан</w:t>
      </w:r>
      <w:proofErr w:type="spellEnd"/>
      <w:r w:rsidRPr="00B56F24">
        <w:rPr>
          <w:i/>
          <w:iCs/>
        </w:rPr>
        <w:t xml:space="preserve"> против Испании </w:t>
      </w:r>
      <w:r w:rsidRPr="00762475">
        <w:t>(сообщение № 37/2018) и др.</w:t>
      </w:r>
    </w:p>
    <w:p w14:paraId="6DA04443" w14:textId="77777777" w:rsidR="00634B85" w:rsidRPr="00762475" w:rsidRDefault="00634B85" w:rsidP="00634B85">
      <w:pPr>
        <w:pStyle w:val="SingleTxtG"/>
      </w:pPr>
      <w:r w:rsidRPr="00762475">
        <w:t>316.</w:t>
      </w:r>
      <w:r>
        <w:tab/>
      </w:r>
      <w:r w:rsidRPr="00762475">
        <w:t>Тексты указанных Обзоров направлены для сведения и учета в практической деятельности в нижестоящие суды, а также размещены на официальном сайте Верховного Суда Российской Федерации в подразделе «Международная практика» раздела «Документы», а также в информационно-правовых базах данных «Консультант Плюс», «Кодекс».</w:t>
      </w:r>
    </w:p>
    <w:p w14:paraId="3867B540" w14:textId="77777777" w:rsidR="00634B85" w:rsidRPr="00762475" w:rsidRDefault="00634B85" w:rsidP="00634B85">
      <w:pPr>
        <w:pStyle w:val="SingleTxtG"/>
      </w:pPr>
      <w:r w:rsidRPr="00762475">
        <w:t>317.</w:t>
      </w:r>
      <w:r>
        <w:tab/>
      </w:r>
      <w:r w:rsidRPr="00762475">
        <w:t>Тексты вышеприведенных Соображений также размещены в Ведомственном контуре Государственной автоматизированной системы Российской Федерации «Правосудие» (папка «Международное право»).</w:t>
      </w:r>
    </w:p>
    <w:p w14:paraId="7DA13C47" w14:textId="77777777" w:rsidR="00634B85" w:rsidRPr="00762475" w:rsidRDefault="00634B85" w:rsidP="00634B85">
      <w:pPr>
        <w:pStyle w:val="SingleTxtG"/>
      </w:pPr>
      <w:r w:rsidRPr="00762475">
        <w:t>318.</w:t>
      </w:r>
      <w:r>
        <w:tab/>
      </w:r>
      <w:r w:rsidRPr="00762475">
        <w:t>По состоянию на 24 марта 2022 г</w:t>
      </w:r>
      <w:r>
        <w:t>ода</w:t>
      </w:r>
      <w:r w:rsidRPr="00762475">
        <w:t xml:space="preserve"> в указанной папке размещены тексты 12</w:t>
      </w:r>
      <w:r>
        <w:t> </w:t>
      </w:r>
      <w:r w:rsidRPr="00762475">
        <w:t>Соображений КЭСКП.</w:t>
      </w:r>
    </w:p>
    <w:p w14:paraId="2D925C71" w14:textId="77777777" w:rsidR="00634B85" w:rsidRPr="00762475" w:rsidRDefault="00634B85" w:rsidP="00634B85">
      <w:pPr>
        <w:pStyle w:val="SingleTxtG"/>
      </w:pPr>
      <w:r w:rsidRPr="00762475">
        <w:t>319.</w:t>
      </w:r>
      <w:r>
        <w:tab/>
      </w:r>
      <w:r w:rsidRPr="00762475">
        <w:t>Информация о позициях КЭСКП размещается в периодических обобщениях практики и правовых позиций международных договорных и внедоговорных органов, действующих в сфере защиты прав и свобод человека.</w:t>
      </w:r>
    </w:p>
    <w:p w14:paraId="62F11D36" w14:textId="77777777" w:rsidR="00634B85" w:rsidRPr="00762475" w:rsidRDefault="00634B85" w:rsidP="00634B85">
      <w:pPr>
        <w:pStyle w:val="SingleTxtG"/>
      </w:pPr>
      <w:r w:rsidRPr="00762475">
        <w:t>320.</w:t>
      </w:r>
      <w:r>
        <w:tab/>
      </w:r>
      <w:r w:rsidRPr="00762475">
        <w:t>Так, например, позиции Комитета были отражены:</w:t>
      </w:r>
    </w:p>
    <w:p w14:paraId="56FA895E"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в 2022 г</w:t>
      </w:r>
      <w:r>
        <w:t>оду</w:t>
      </w:r>
      <w:r w:rsidRPr="00762475">
        <w:t xml:space="preserve"> в</w:t>
      </w:r>
      <w:r w:rsidRPr="00762475">
        <w:rPr>
          <w:i/>
        </w:rPr>
        <w:t xml:space="preserve"> </w:t>
      </w:r>
      <w:r w:rsidRPr="00762475">
        <w:t>Обобщении практики и правовых позиций международных договорных и внедоговорных органов, действующих в сфере защиты прав и свобод человека, по вопросам защиты прав мигрантов;</w:t>
      </w:r>
    </w:p>
    <w:p w14:paraId="6474B270"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в 2020 г</w:t>
      </w:r>
      <w:r>
        <w:t>оду</w:t>
      </w:r>
      <w:r w:rsidRPr="00762475">
        <w:t xml:space="preserve"> в</w:t>
      </w:r>
      <w:r w:rsidRPr="00762475">
        <w:rPr>
          <w:i/>
        </w:rPr>
        <w:t xml:space="preserve"> </w:t>
      </w:r>
      <w:r w:rsidRPr="00762475">
        <w:t>Обобщении практики и правовых позиций международных договорных и внедоговорных органов по вопросам защиты права лица не подвергаться пыткам, бесчеловечному или унижающему достоинство обращению или наказанию</w:t>
      </w:r>
      <w:r w:rsidRPr="00B56F24">
        <w:rPr>
          <w:bCs/>
          <w:iCs/>
        </w:rPr>
        <w:t xml:space="preserve">, </w:t>
      </w:r>
      <w:r w:rsidRPr="00762475">
        <w:t>в</w:t>
      </w:r>
      <w:r w:rsidRPr="00762475">
        <w:rPr>
          <w:i/>
        </w:rPr>
        <w:t xml:space="preserve"> </w:t>
      </w:r>
      <w:r w:rsidRPr="00762475">
        <w:t xml:space="preserve">Обобщении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w:t>
      </w:r>
      <w:r w:rsidRPr="00762475">
        <w:lastRenderedPageBreak/>
        <w:t>человека, по вопросу защиты права лица на достаточное питание, на безопасную питьевую воду и на санитарные услуги;</w:t>
      </w:r>
    </w:p>
    <w:p w14:paraId="6BEE63FA"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в 2019 г</w:t>
      </w:r>
      <w:r>
        <w:t>оду</w:t>
      </w:r>
      <w:r w:rsidRPr="00762475">
        <w:t xml:space="preserve"> в Обобщении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культурных прав, в Обобщении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образование, в Обобщении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уважение частной и семейной жизни, жилища и др.</w:t>
      </w:r>
    </w:p>
    <w:p w14:paraId="337E603D" w14:textId="77777777" w:rsidR="00634B85" w:rsidRPr="00762475" w:rsidRDefault="00634B85" w:rsidP="00634B85">
      <w:pPr>
        <w:pStyle w:val="SingleTxtG"/>
      </w:pPr>
      <w:r w:rsidRPr="00762475">
        <w:t>321.</w:t>
      </w:r>
      <w:r>
        <w:tab/>
      </w:r>
      <w:r w:rsidRPr="00762475">
        <w:t>Тексты Обобщений направлены для сведения и учета в практической деятельности в нижестоящие суды, а также размещены на официальном сайте Верховного Суда Российской Федерации в подразделе «Международная практика» раздела «Документы», в Ведомственном контуре Государственной автоматизированной системы Российской Федерации «Правосудие» (папка «Международное право»).</w:t>
      </w:r>
    </w:p>
    <w:p w14:paraId="123EC5BA" w14:textId="77777777" w:rsidR="00634B85" w:rsidRPr="00762475" w:rsidRDefault="00634B85" w:rsidP="00634B85">
      <w:pPr>
        <w:pStyle w:val="SingleTxtG"/>
      </w:pPr>
      <w:r w:rsidRPr="00762475">
        <w:t>322.</w:t>
      </w:r>
      <w:r>
        <w:tab/>
      </w:r>
      <w:r w:rsidRPr="00762475">
        <w:t>До сведения судей доводится содержание Замечаний общего порядка, принимаемых КЭСКП.</w:t>
      </w:r>
    </w:p>
    <w:p w14:paraId="0D342194" w14:textId="77777777" w:rsidR="00634B85" w:rsidRPr="00762475" w:rsidRDefault="00634B85" w:rsidP="00634B85">
      <w:pPr>
        <w:pStyle w:val="SingleTxtG"/>
      </w:pPr>
      <w:r w:rsidRPr="00762475">
        <w:t>323.</w:t>
      </w:r>
      <w:r>
        <w:tab/>
      </w:r>
      <w:r w:rsidRPr="00762475">
        <w:t>По состоянию на 24 марта 2022 г</w:t>
      </w:r>
      <w:r>
        <w:t>ода</w:t>
      </w:r>
      <w:r w:rsidRPr="00762475">
        <w:t xml:space="preserve"> в Ведомственном контуре Государственной автоматизированной системы Российской Федерации «Правосудие» (папка «Международное право») размещены тексты всех 25</w:t>
      </w:r>
      <w:r w:rsidRPr="00762475">
        <w:rPr>
          <w:lang w:val="en-US"/>
        </w:rPr>
        <w:t> </w:t>
      </w:r>
      <w:r w:rsidRPr="00762475">
        <w:t>Замечаний общего порядка, принятых КЭСКП.</w:t>
      </w:r>
    </w:p>
    <w:p w14:paraId="23F8D64D" w14:textId="77777777" w:rsidR="00634B85" w:rsidRPr="00762475" w:rsidRDefault="00634B85" w:rsidP="00634B85">
      <w:pPr>
        <w:pStyle w:val="SingleTxtG"/>
      </w:pPr>
      <w:r w:rsidRPr="00762475">
        <w:t>324.</w:t>
      </w:r>
      <w:r>
        <w:tab/>
      </w:r>
      <w:r w:rsidRPr="00762475">
        <w:t>До сведения судей доводится содержание периодических докладов, подготавливаемых в рамках специальных процедур для Генеральной Ассамблеи ООН и Совета ООН по правам человека, которые содержат ссылки на позиции КЭСКП.</w:t>
      </w:r>
    </w:p>
    <w:p w14:paraId="1C420FE8" w14:textId="77777777" w:rsidR="00634B85" w:rsidRPr="00762475" w:rsidRDefault="00634B85" w:rsidP="00634B85">
      <w:pPr>
        <w:pStyle w:val="SingleTxtG"/>
      </w:pPr>
      <w:r w:rsidRPr="00762475">
        <w:t>325.</w:t>
      </w:r>
      <w:r>
        <w:tab/>
      </w:r>
      <w:r w:rsidRPr="00762475">
        <w:t>По состоянию на 24 марта 2022 г</w:t>
      </w:r>
      <w:r>
        <w:t>ода</w:t>
      </w:r>
      <w:r w:rsidRPr="00762475">
        <w:t xml:space="preserve"> до сведения судей доведена информация о 800 докладах, подготовленных в рамках специальных процедур для Генеральной Ассамблеи ООН и Совета ООН по правам человека, которые, в том числе, содержали ссылки на позиции КЭСКП.</w:t>
      </w:r>
    </w:p>
    <w:p w14:paraId="2D68F925" w14:textId="77777777" w:rsidR="00634B85" w:rsidRPr="00762475" w:rsidRDefault="00634B85" w:rsidP="00634B85">
      <w:pPr>
        <w:pStyle w:val="SingleTxtG"/>
      </w:pPr>
      <w:r w:rsidRPr="00762475">
        <w:t>326.</w:t>
      </w:r>
      <w:r>
        <w:tab/>
      </w:r>
      <w:r w:rsidRPr="00762475">
        <w:t>Тексты этих докладов размещены в Ведомственном контуре Государственной автоматизированной системы Российской Федерации «Правосудие» (папка «Международное право»).</w:t>
      </w:r>
    </w:p>
    <w:p w14:paraId="2F2ACD52" w14:textId="77777777" w:rsidR="00634B85" w:rsidRPr="00762475" w:rsidRDefault="00634B85" w:rsidP="00634B85">
      <w:pPr>
        <w:pStyle w:val="SingleTxtG"/>
      </w:pPr>
      <w:r w:rsidRPr="00762475">
        <w:t>327.</w:t>
      </w:r>
      <w:r>
        <w:tab/>
      </w:r>
      <w:r w:rsidRPr="00762475">
        <w:t>Извлечения из этих докладов размещаются также в упомянутых выше периодических обобщениях практики и правовых позиций международных договорных и внедоговорных органов, действующих в сфере защиты прав и свобод человека.</w:t>
      </w:r>
    </w:p>
    <w:p w14:paraId="18138434" w14:textId="77777777" w:rsidR="00634B85" w:rsidRPr="00762475" w:rsidRDefault="00634B85" w:rsidP="00634B85">
      <w:pPr>
        <w:pStyle w:val="SingleTxtG"/>
      </w:pPr>
      <w:r w:rsidRPr="00762475">
        <w:t>328.</w:t>
      </w:r>
      <w:r>
        <w:tab/>
      </w:r>
      <w:r w:rsidRPr="00762475">
        <w:t xml:space="preserve">До сведения судей постоянно доводится информация о постановлениях Европейского Суда по правам человека, содержащих ссылки на практику КЭСКП. </w:t>
      </w:r>
      <w:r>
        <w:br/>
      </w:r>
      <w:r w:rsidRPr="00762475">
        <w:t>В рассматриваемом отношении примером может быть постановление от 9 июля 2019</w:t>
      </w:r>
      <w:r>
        <w:t> </w:t>
      </w:r>
      <w:r w:rsidRPr="00762475">
        <w:t>г</w:t>
      </w:r>
      <w:r>
        <w:t>ода</w:t>
      </w:r>
      <w:r w:rsidRPr="00762475">
        <w:t xml:space="preserve"> по делу </w:t>
      </w:r>
      <w:r w:rsidRPr="00B5516E">
        <w:rPr>
          <w:i/>
          <w:iCs/>
        </w:rPr>
        <w:t>Володина против Российской Федерации</w:t>
      </w:r>
      <w:r w:rsidRPr="00762475">
        <w:t xml:space="preserve">, постановление от </w:t>
      </w:r>
      <w:r>
        <w:br/>
      </w:r>
      <w:r w:rsidRPr="00762475">
        <w:t>19 декабря 2017</w:t>
      </w:r>
      <w:r>
        <w:t> </w:t>
      </w:r>
      <w:r w:rsidRPr="00762475">
        <w:t>г</w:t>
      </w:r>
      <w:r>
        <w:t>ода</w:t>
      </w:r>
      <w:r w:rsidRPr="00762475">
        <w:t xml:space="preserve"> по делу </w:t>
      </w:r>
      <w:proofErr w:type="spellStart"/>
      <w:r w:rsidRPr="00B56F24">
        <w:rPr>
          <w:i/>
          <w:iCs/>
        </w:rPr>
        <w:t>Лопеш</w:t>
      </w:r>
      <w:proofErr w:type="spellEnd"/>
      <w:r w:rsidRPr="00B56F24">
        <w:rPr>
          <w:i/>
          <w:iCs/>
        </w:rPr>
        <w:t xml:space="preserve"> де </w:t>
      </w:r>
      <w:proofErr w:type="spellStart"/>
      <w:r w:rsidRPr="00B56F24">
        <w:rPr>
          <w:i/>
          <w:iCs/>
        </w:rPr>
        <w:t>Соуза</w:t>
      </w:r>
      <w:proofErr w:type="spellEnd"/>
      <w:r w:rsidRPr="00B56F24">
        <w:rPr>
          <w:i/>
          <w:iCs/>
        </w:rPr>
        <w:t xml:space="preserve"> </w:t>
      </w:r>
      <w:proofErr w:type="spellStart"/>
      <w:r w:rsidRPr="00B56F24">
        <w:rPr>
          <w:i/>
          <w:iCs/>
        </w:rPr>
        <w:t>Фернандеш</w:t>
      </w:r>
      <w:proofErr w:type="spellEnd"/>
      <w:r w:rsidRPr="00B56F24">
        <w:rPr>
          <w:i/>
          <w:iCs/>
        </w:rPr>
        <w:t xml:space="preserve"> против Португалии</w:t>
      </w:r>
      <w:r w:rsidRPr="00762475">
        <w:t>.</w:t>
      </w:r>
    </w:p>
    <w:p w14:paraId="3FC38852" w14:textId="77777777" w:rsidR="00634B85" w:rsidRDefault="00634B85" w:rsidP="00634B85">
      <w:pPr>
        <w:pStyle w:val="SingleTxtG"/>
      </w:pPr>
      <w:r w:rsidRPr="00762475">
        <w:t>329.</w:t>
      </w:r>
      <w:r>
        <w:tab/>
      </w:r>
      <w:r w:rsidRPr="00762475">
        <w:t>Тексты соответствующих постановлений Европейского Суда размещаются в Ведомственном контуре Государственной автоматизированной системы Российской Федерации «Правосудие» (папка «Международное право»).</w:t>
      </w:r>
    </w:p>
    <w:p w14:paraId="4B518BED" w14:textId="77777777" w:rsidR="00634B85" w:rsidRPr="00762475" w:rsidRDefault="00634B85" w:rsidP="00634B85">
      <w:pPr>
        <w:pStyle w:val="H1G"/>
      </w:pPr>
      <w:r>
        <w:tab/>
      </w:r>
      <w:r>
        <w:tab/>
      </w:r>
      <w:r w:rsidRPr="002800DE">
        <w:t>Последующая информация в связи с пунктами</w:t>
      </w:r>
      <w:r w:rsidRPr="00762475">
        <w:t xml:space="preserve"> 7</w:t>
      </w:r>
      <w:r>
        <w:t>–</w:t>
      </w:r>
      <w:r w:rsidRPr="00762475">
        <w:t>8 заключительных замечаний КЭСКП</w:t>
      </w:r>
    </w:p>
    <w:p w14:paraId="1271F0A5" w14:textId="77777777" w:rsidR="00634B85" w:rsidRPr="00762475" w:rsidRDefault="00634B85" w:rsidP="00634B85">
      <w:pPr>
        <w:pStyle w:val="SingleTxtG"/>
      </w:pPr>
      <w:r w:rsidRPr="00762475">
        <w:t>330.</w:t>
      </w:r>
      <w:r>
        <w:tab/>
      </w:r>
      <w:r w:rsidRPr="00762475">
        <w:t xml:space="preserve">Институт некоммерческой организации, выполняющий функции иностранного агента, введен в российское законодательство в результате принятия Федерального </w:t>
      </w:r>
      <w:r w:rsidRPr="00762475">
        <w:lastRenderedPageBreak/>
        <w:t>закона от 20 июня 2012 г</w:t>
      </w:r>
      <w:r>
        <w:t>ода</w:t>
      </w:r>
      <w:r w:rsidRPr="00762475">
        <w:t xml:space="preserve"> №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w:t>
      </w:r>
    </w:p>
    <w:p w14:paraId="3829B2D9" w14:textId="77777777" w:rsidR="00634B85" w:rsidRPr="00762475" w:rsidRDefault="00634B85" w:rsidP="00634B85">
      <w:pPr>
        <w:pStyle w:val="SingleTxtG"/>
      </w:pPr>
      <w:r w:rsidRPr="00762475">
        <w:t>331.</w:t>
      </w:r>
      <w:r>
        <w:tab/>
      </w:r>
      <w:r w:rsidRPr="00762475">
        <w:t>Под некоммерческой организацией, выполняющей функции иностранного агента,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пунктом 8 статьи</w:t>
      </w:r>
      <w:r>
        <w:t> </w:t>
      </w:r>
      <w:r w:rsidRPr="00762475">
        <w:t>6.1 Федерального закона от 7 августа 2001 г</w:t>
      </w:r>
      <w:r>
        <w:t>ода</w:t>
      </w:r>
      <w:r w:rsidRPr="00762475">
        <w:t xml:space="preserve"> №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w:t>
      </w:r>
      <w:r>
        <w:t>—</w:t>
      </w:r>
      <w:r w:rsidRPr="00762475">
        <w:t xml:space="preserve"> иностранные источники), и участвует, в том числе в интересах иностранных источников в политической деятельности, осуществляемой на территории Российской Федерации.</w:t>
      </w:r>
    </w:p>
    <w:p w14:paraId="32BEFE8F" w14:textId="77777777" w:rsidR="00634B85" w:rsidRPr="00762475" w:rsidRDefault="00634B85" w:rsidP="00634B85">
      <w:pPr>
        <w:pStyle w:val="SingleTxtG"/>
      </w:pPr>
      <w:r w:rsidRPr="00762475">
        <w:t>332.</w:t>
      </w:r>
      <w:r>
        <w:tab/>
      </w:r>
      <w:r w:rsidRPr="00762475">
        <w:t>Стоит отметить, что пунктом 6 статьи 2 Федерального закона от 12 января 1996</w:t>
      </w:r>
      <w:r>
        <w:t> </w:t>
      </w:r>
      <w:r w:rsidRPr="00762475">
        <w:t>г</w:t>
      </w:r>
      <w:r>
        <w:t>ода</w:t>
      </w:r>
      <w:r w:rsidRPr="00762475">
        <w:t xml:space="preserve"> № 7-ФЗ «О некоммерческих организациях» (далее </w:t>
      </w:r>
      <w:r>
        <w:t>—</w:t>
      </w:r>
      <w:r w:rsidRPr="00762475">
        <w:t xml:space="preserve"> Закон № 7-ФЗ) предусмотрены сферы деятельности некоммерческих организаций, не выходя за рамки которых некоммерческая организация не считается осуществляющей политическую деятельность и, соответственно, не может быть признана «иностранным агентом» вне зависимости от источников финансирования.</w:t>
      </w:r>
    </w:p>
    <w:p w14:paraId="6438719D" w14:textId="77777777" w:rsidR="00634B85" w:rsidRPr="00762475" w:rsidRDefault="00634B85" w:rsidP="00634B85">
      <w:pPr>
        <w:pStyle w:val="SingleTxtG"/>
      </w:pPr>
      <w:r w:rsidRPr="00762475">
        <w:t>333.</w:t>
      </w:r>
      <w:r>
        <w:tab/>
      </w:r>
      <w:r w:rsidRPr="00762475">
        <w:t>Так, в соответствии с пунктом 6 статьи 2 Закона № 7-ФЗ 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а также благотворительная деятельность.</w:t>
      </w:r>
    </w:p>
    <w:p w14:paraId="646B80AE" w14:textId="77777777" w:rsidR="00634B85" w:rsidRPr="00762475" w:rsidRDefault="00634B85" w:rsidP="00634B85">
      <w:pPr>
        <w:pStyle w:val="SingleTxtG"/>
      </w:pPr>
      <w:r w:rsidRPr="00762475">
        <w:t>334.</w:t>
      </w:r>
      <w:r>
        <w:tab/>
      </w:r>
      <w:r w:rsidRPr="00762475">
        <w:t>При этом некоммерческие организации, осуществляющие политическую деятельность в одной из форм, предусмотренных Законом №</w:t>
      </w:r>
      <w:r w:rsidRPr="00762475">
        <w:rPr>
          <w:lang w:val="en-US"/>
        </w:rPr>
        <w:t> </w:t>
      </w:r>
      <w:r w:rsidRPr="00762475">
        <w:t>7-ФЗ, и направленную на оказание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 (в том числе и правозащитные организации, а также организации в сфере защиты прав ЛГБТ-сообществ) при одновременном получении иностранного финансирования, признаются выполняющими функции иностранного агента.</w:t>
      </w:r>
    </w:p>
    <w:p w14:paraId="0B347B97" w14:textId="77777777" w:rsidR="00634B85" w:rsidRPr="00762475" w:rsidRDefault="00634B85" w:rsidP="00634B85">
      <w:pPr>
        <w:pStyle w:val="SingleTxtG"/>
      </w:pPr>
      <w:r w:rsidRPr="00762475">
        <w:t>335.</w:t>
      </w:r>
      <w:r>
        <w:tab/>
      </w:r>
      <w:r w:rsidRPr="00762475">
        <w:t>Изменения в пункт 6 статьи 2 Закона № 7-ФЗ были внесены Федеральным законом от 30 декабря 2020 г</w:t>
      </w:r>
      <w:r>
        <w:t>ода</w:t>
      </w:r>
      <w:r w:rsidRPr="00762475">
        <w:t xml:space="preserve"> № 481-ФЗ «О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 и Федеральным законом от 5 апреля 2021 г</w:t>
      </w:r>
      <w:r>
        <w:t>ода</w:t>
      </w:r>
      <w:r w:rsidRPr="00762475">
        <w:t xml:space="preserve"> № 75-ФЗ «О внесении изменений в Федеральный закон </w:t>
      </w:r>
      <w:r>
        <w:br/>
      </w:r>
      <w:r w:rsidRPr="00762475">
        <w:t>«О некоммерческих организациях».</w:t>
      </w:r>
    </w:p>
    <w:p w14:paraId="7776044D" w14:textId="77777777" w:rsidR="00634B85" w:rsidRPr="00762475" w:rsidRDefault="00634B85" w:rsidP="00634B85">
      <w:pPr>
        <w:pStyle w:val="SingleTxtG"/>
      </w:pPr>
      <w:r w:rsidRPr="00762475">
        <w:t>336.</w:t>
      </w:r>
      <w:r>
        <w:tab/>
      </w:r>
      <w:r w:rsidRPr="00762475">
        <w:t>Кроме того, Конституционный Суд Российской Федерации рассмотрел вопрос о конституционности положений закона, регулирующих деятельность некоммерческих организаций, выполняющих функции иностранного агента, и пришел к выводу, что созданный институт не противоречит нормам Конституции Российской Федерации и международного законодательства.</w:t>
      </w:r>
    </w:p>
    <w:p w14:paraId="059003E0" w14:textId="77777777" w:rsidR="00634B85" w:rsidRPr="00762475" w:rsidRDefault="00634B85" w:rsidP="00634B85">
      <w:pPr>
        <w:pStyle w:val="SingleTxtG"/>
      </w:pPr>
      <w:r w:rsidRPr="00762475">
        <w:t>337.</w:t>
      </w:r>
      <w:r>
        <w:tab/>
      </w:r>
      <w:r w:rsidRPr="00762475">
        <w:t>Так, в соответствии с постановлением Конституционного Суда Российской Федерации от 8 апреля 2014 г</w:t>
      </w:r>
      <w:r>
        <w:t>ода</w:t>
      </w:r>
      <w:r w:rsidRPr="00762475">
        <w:t xml:space="preserve"> № 10-П словосочетание «иностранный агент» не предполагает негативной оценки такой организации со стороны государства, а также оно не нацелено на формирование отрицательного отношения к осуществляемой организацией деятельности и не может восприниматься как проявление недоверия или </w:t>
      </w:r>
      <w:r w:rsidRPr="00762475">
        <w:lastRenderedPageBreak/>
        <w:t>желания дискредитировать такую некоммерческую организацию и цели ее деятельности.</w:t>
      </w:r>
    </w:p>
    <w:p w14:paraId="00F14C45" w14:textId="77777777" w:rsidR="00634B85" w:rsidRPr="00762475" w:rsidRDefault="00634B85" w:rsidP="00634B85">
      <w:pPr>
        <w:pStyle w:val="SingleTxtG"/>
      </w:pPr>
      <w:r w:rsidRPr="00762475">
        <w:t>338.</w:t>
      </w:r>
      <w:r>
        <w:tab/>
      </w:r>
      <w:r w:rsidRPr="00762475">
        <w:t>Обязанность некоммерческой организации, намеревающейся после государственной регистрации получать денежные средства и иное имущество от иностранных источников и участвовать в политической деятельности, осуществляемой на территории Российской Федерации, по подаче в уполномоченный орган заявления о включении ее в реестр некоммерческих организаций, выполняющих функции иностранного агента, обусловлена стремлением федерального законодателя обеспечить прозрачность финансовой (имущественной) составляющей деятельности некоммерческих организаций, имеющих намерение участвовать в политической деятельности на территории Российской Федерации с целью оказания влияния на принимаемые государственными органами решения и проводимую ими государственную политику. Такая деятельность не ограничивается собственными нуждами некоммерческой организации, она также затрагивает как публично-правовые интересы в целом, так и права и свободы всех граждан.</w:t>
      </w:r>
    </w:p>
    <w:p w14:paraId="4407A6C4" w14:textId="77777777" w:rsidR="00634B85" w:rsidRPr="00762475" w:rsidRDefault="00634B85" w:rsidP="00634B85">
      <w:pPr>
        <w:pStyle w:val="SingleTxtG"/>
      </w:pPr>
      <w:r w:rsidRPr="00762475">
        <w:t>339.</w:t>
      </w:r>
      <w:r>
        <w:tab/>
      </w:r>
      <w:r w:rsidRPr="00762475">
        <w:t>Стоит отметить, что пунктом 7.1 статьи 32 Закона № 7-ФЗ предусмотрен механизм исключения из соответствующего реестра некоммерческой организации.</w:t>
      </w:r>
    </w:p>
    <w:p w14:paraId="749593C7" w14:textId="77777777" w:rsidR="00634B85" w:rsidRPr="00762475" w:rsidRDefault="00634B85" w:rsidP="00634B85">
      <w:pPr>
        <w:pStyle w:val="SingleTxtG"/>
      </w:pPr>
      <w:r w:rsidRPr="00762475">
        <w:t>340.</w:t>
      </w:r>
      <w:r>
        <w:tab/>
      </w:r>
      <w:r w:rsidRPr="00762475">
        <w:t>Институт признания нежелательной на территории Российской Федерации деятельности иностранной или международной неправительственной организации введен в действующее законодательство Федеральным законом от 23 мая 2015 г</w:t>
      </w:r>
      <w:r>
        <w:t>ода</w:t>
      </w:r>
      <w:r w:rsidRPr="00762475">
        <w:t xml:space="preserve"> №</w:t>
      </w:r>
      <w:r>
        <w:t> </w:t>
      </w:r>
      <w:r w:rsidRPr="00762475">
        <w:t>129-ФЗ «О внесении изменений в отдельные законодательные акты».</w:t>
      </w:r>
    </w:p>
    <w:p w14:paraId="29533826" w14:textId="77777777" w:rsidR="00634B85" w:rsidRPr="00762475" w:rsidRDefault="00634B85" w:rsidP="00634B85">
      <w:pPr>
        <w:pStyle w:val="SingleTxtG"/>
      </w:pPr>
      <w:r w:rsidRPr="00762475">
        <w:t>341.</w:t>
      </w:r>
      <w:r>
        <w:tab/>
      </w:r>
      <w:r w:rsidRPr="00762475">
        <w:t>В соответствии с частью 1 статьи 3.1 Федерального закона от 28 декабря 2012</w:t>
      </w:r>
      <w:r>
        <w:t> </w:t>
      </w:r>
      <w:r w:rsidRPr="00762475">
        <w:t>г</w:t>
      </w:r>
      <w:r>
        <w:t>ода</w:t>
      </w:r>
      <w:r w:rsidRPr="00762475">
        <w:t xml:space="preserve"> № 272-ФЗ «О мерах воздействия на лиц, причастных к нарушениям основополагающих прав и свобод человека, прав и свобод граждан </w:t>
      </w:r>
      <w:r>
        <w:br/>
      </w:r>
      <w:r w:rsidRPr="00762475">
        <w:t xml:space="preserve">Российской Федерации» (далее </w:t>
      </w:r>
      <w:r>
        <w:t>—</w:t>
      </w:r>
      <w:r w:rsidRPr="00762475">
        <w:t xml:space="preserve"> Закон № 272-ФЗ) нежелательной на территории Российской Федерации может быть признана деятельность иностранной или международной неправительственной организации, представляющая угрозу основам конституционного строя Российской Федерации, обороноспособности страны или безопасности государства, в том числе способствующая либо препятствующая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(включая участие в иных формах в избирательных кампаниях, кампаниях референдума, за исключением участия в избирательных кампаниях, кампаниях референдума в качестве иностранных (международных) наблюдателей).</w:t>
      </w:r>
    </w:p>
    <w:p w14:paraId="789DD135" w14:textId="77777777" w:rsidR="00634B85" w:rsidRPr="00762475" w:rsidRDefault="00634B85" w:rsidP="00634B85">
      <w:pPr>
        <w:pStyle w:val="SingleTxtG"/>
      </w:pPr>
      <w:r w:rsidRPr="00762475">
        <w:t>342.</w:t>
      </w:r>
      <w:r>
        <w:tab/>
      </w:r>
      <w:r w:rsidRPr="00762475">
        <w:t>Кроме того, деятельность иностранной или международной неправительственной организации также может быть признана нежелательной на территории Российской Федерации в случае, если в отношении этой организации получены сведения об оказании ею посреднических услуг при проведении операций с денежными средствами и (или) иным имуществом, принадлежащими иностранной или международной неправительственной организации, деятельность которой признана нежелательной на территории Российской Федерации, в целях осуществления такой организацией деятельности, представляющей угрозу основам конституционного строя Российской Федерации, обороноспособности или безопасности государства.</w:t>
      </w:r>
    </w:p>
    <w:p w14:paraId="596FE26D" w14:textId="77777777" w:rsidR="00634B85" w:rsidRPr="00762475" w:rsidRDefault="00634B85" w:rsidP="00634B85">
      <w:pPr>
        <w:pStyle w:val="SingleTxtG"/>
      </w:pPr>
      <w:r w:rsidRPr="00762475">
        <w:t>343.</w:t>
      </w:r>
      <w:r>
        <w:tab/>
      </w:r>
      <w:r w:rsidRPr="00762475">
        <w:t>Решение о признании нежелательной на территории Российской Федерации деятельности иностранной или международной неправительственной организации принимается Генеральным прокурором Российской Федерации или его заместителями по согласованию с МИД России (часть 4 статьи 3.1 Закона № 272-ФЗ).</w:t>
      </w:r>
    </w:p>
    <w:p w14:paraId="344E5953" w14:textId="77777777" w:rsidR="00634B85" w:rsidRPr="00762475" w:rsidRDefault="00634B85" w:rsidP="00634B85">
      <w:pPr>
        <w:pStyle w:val="SingleTxtG"/>
      </w:pPr>
      <w:r w:rsidRPr="00762475">
        <w:t>344.</w:t>
      </w:r>
      <w:r>
        <w:tab/>
      </w:r>
      <w:r w:rsidRPr="00762475">
        <w:t>Признание нежелательной на территории Российской Федерации деятельности иностранной или международной неправительственной организации влечет за собой:</w:t>
      </w:r>
    </w:p>
    <w:p w14:paraId="3CC583F1"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запрет на создание (открытие) на территории Российской Федерации структурных подразделений иностранной или международной неправительственной организации и прекращение в определенном законодательством Российской Федерации порядке деятельности ранее </w:t>
      </w:r>
      <w:r w:rsidRPr="00762475">
        <w:lastRenderedPageBreak/>
        <w:t>созданных (открытых) на территории Российской Федерации таких структурных подразделений;</w:t>
      </w:r>
    </w:p>
    <w:p w14:paraId="006396A3"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отказ кредитных организаций и </w:t>
      </w:r>
      <w:proofErr w:type="spellStart"/>
      <w:r w:rsidRPr="00762475">
        <w:t>некредитных</w:t>
      </w:r>
      <w:proofErr w:type="spellEnd"/>
      <w:r w:rsidRPr="00762475">
        <w:t xml:space="preserve"> финансовых организаций в проведении операций с денежными средствами и (или) иным имуществом, одной из сторон которой является иностранная или международная неправительственная организация, включенная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w:t>
      </w:r>
    </w:p>
    <w:p w14:paraId="079695C7"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запрет на распространение информационных материалов, издаваемых иностранной или международной неправительственной организацией и (или) распространяемых ею, в том числе через средства массовой информации и (или) с использованием сети «Интернет», а также производство или хранение таких материалов в целях распространения;</w:t>
      </w:r>
    </w:p>
    <w:p w14:paraId="36FCAD5D"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запрет на осуществление на территории Российской Федерации программ (проектов) для иностранной или международной неправительственной организации, деятельность которой признана нежелательной на территории Российской Федерации;</w:t>
      </w:r>
    </w:p>
    <w:p w14:paraId="1693A83D"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запрет на создание иностранной или международной неправительственной организацией на территории Российской Федерации юридических лиц либо участие в них;</w:t>
      </w:r>
    </w:p>
    <w:p w14:paraId="39A9E016"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запрет на участие в деятельности иностранной или международной неправительственной организации за пределами территории Российской Федерации граждан Российской Федерации, лиц без гражданства, постоянно проживающих в Российской Федерации, и российских юридических лиц.</w:t>
      </w:r>
    </w:p>
    <w:p w14:paraId="4506811C" w14:textId="77777777" w:rsidR="00634B85" w:rsidRPr="00762475" w:rsidRDefault="00634B85" w:rsidP="00634B85">
      <w:pPr>
        <w:pStyle w:val="SingleTxtG"/>
      </w:pPr>
      <w:r w:rsidRPr="00762475">
        <w:t>345.</w:t>
      </w:r>
      <w:r>
        <w:tab/>
      </w:r>
      <w:r w:rsidRPr="00762475">
        <w:t>Изменения в статью 3.1 Закона № 272-ФЗ были внесены Федеральным законом от 27 декабря 2018 г</w:t>
      </w:r>
      <w:r>
        <w:t>ода</w:t>
      </w:r>
      <w:r w:rsidRPr="00762475">
        <w:t xml:space="preserve"> № 555-ФЗ «О внесении изменения в статью 3.1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и Федеральным законом от 28</w:t>
      </w:r>
      <w:r w:rsidRPr="00F21F48">
        <w:t xml:space="preserve"> </w:t>
      </w:r>
      <w:r w:rsidRPr="00762475">
        <w:t>июня 2021 г</w:t>
      </w:r>
      <w:r>
        <w:t>ода</w:t>
      </w:r>
      <w:r w:rsidRPr="00762475">
        <w:t xml:space="preserve"> № 230-ФЗ «О внесении изменений в статью</w:t>
      </w:r>
      <w:r>
        <w:t> </w:t>
      </w:r>
      <w:r w:rsidRPr="00762475">
        <w:t>6 Федерального закона «О противодействии легализации (отмыванию) доходов, полученных преступным путем, и финансированию терроризма» и статью 3.1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w:t>
      </w:r>
    </w:p>
    <w:p w14:paraId="2593F633" w14:textId="77777777" w:rsidR="00634B85" w:rsidRPr="00762475" w:rsidRDefault="00634B85" w:rsidP="00634B85">
      <w:pPr>
        <w:pStyle w:val="SingleTxtG"/>
      </w:pPr>
      <w:r w:rsidRPr="00762475">
        <w:t>346.</w:t>
      </w:r>
      <w:r>
        <w:tab/>
      </w:r>
      <w:r w:rsidRPr="00762475">
        <w:t>При этом частью 5 статьи 3.1 Закона № 272-ФЗ предусмотрена возможность отмены решения о признании нежелательной на территории Российской Федерации деятельности иностранной или международной неправительственной организации, которая также осуществляется Генеральным прокурором Российской Федерации или его заместителями по согласованию с МИД России.</w:t>
      </w:r>
    </w:p>
    <w:p w14:paraId="3858D300" w14:textId="77777777" w:rsidR="00634B85" w:rsidRPr="00762475" w:rsidRDefault="00634B85" w:rsidP="00634B85">
      <w:pPr>
        <w:pStyle w:val="SingleTxtG"/>
      </w:pPr>
      <w:r w:rsidRPr="00762475">
        <w:t>347.</w:t>
      </w:r>
      <w:r>
        <w:tab/>
      </w:r>
      <w:r w:rsidRPr="00762475">
        <w:t>Следует отметить, что работа по совершенствованию нормативно-правовой базы, касающейся осуществления деятельности некоммерческими организациями, выполняющими функции иностранного агента, ведется непрерывно на основании данных, полученных в результате анализа правоприменительной практики, а также с учетом мнения общественности, в том числе профессионального и научного сообщества, с целью принятия наиболее оптимальных и эффективных решений относительно правового регулирования в соответствующей сфере деятельности.</w:t>
      </w:r>
    </w:p>
    <w:p w14:paraId="42A383FC" w14:textId="77777777" w:rsidR="00634B85" w:rsidRDefault="00634B85" w:rsidP="00634B85">
      <w:pPr>
        <w:pStyle w:val="SingleTxtG"/>
      </w:pPr>
      <w:r w:rsidRPr="00762475">
        <w:t>348.</w:t>
      </w:r>
      <w:r>
        <w:tab/>
      </w:r>
      <w:r w:rsidRPr="00762475">
        <w:t>Приоритетной задачей для законодателя в рамках регулирования деятельности некоммерческих организаций, выполняющих функцию иностранного агента, и нежелательных организаций является национальная безопасность и минимизация возможности иностранного вмешательства во внутригосударственные дела Российской Федерации и, в первую очередь, в политическую сферу. Действующие механизмы регулирования позволяют ограничить нежелательное иностранное влияние на стратегически важные сферы российского общества.</w:t>
      </w:r>
    </w:p>
    <w:p w14:paraId="160B4459" w14:textId="77777777" w:rsidR="00634B85" w:rsidRPr="00762475" w:rsidRDefault="00634B85" w:rsidP="00634B85">
      <w:pPr>
        <w:pStyle w:val="H1G"/>
      </w:pPr>
      <w:r>
        <w:lastRenderedPageBreak/>
        <w:tab/>
      </w:r>
      <w:r>
        <w:tab/>
      </w:r>
      <w:r w:rsidRPr="002800DE">
        <w:t>Последующая информация в связи с пунктами</w:t>
      </w:r>
      <w:r w:rsidRPr="00762475">
        <w:t xml:space="preserve"> 28</w:t>
      </w:r>
      <w:r>
        <w:t>–</w:t>
      </w:r>
      <w:r w:rsidRPr="00762475">
        <w:t>29 заключительных замечаний КЭСКП</w:t>
      </w:r>
    </w:p>
    <w:p w14:paraId="4949D017" w14:textId="77777777" w:rsidR="00634B85" w:rsidRPr="00762475" w:rsidRDefault="00634B85" w:rsidP="00634B85">
      <w:pPr>
        <w:pStyle w:val="SingleTxtG"/>
      </w:pPr>
      <w:r w:rsidRPr="00762475">
        <w:t>349.</w:t>
      </w:r>
      <w:r>
        <w:tab/>
      </w:r>
      <w:r w:rsidRPr="00762475">
        <w:t>С 1 января 2021 г</w:t>
      </w:r>
      <w:r>
        <w:t>ода</w:t>
      </w:r>
      <w:r w:rsidRPr="00762475">
        <w:t xml:space="preserve"> вступил в силу обновленный перечень работ, на которых ограничивается труд женщин (приказ Минтруда России от 18 июля 2019 г</w:t>
      </w:r>
      <w:r>
        <w:t>ода</w:t>
      </w:r>
      <w:r w:rsidRPr="00762475">
        <w:t xml:space="preserve"> № 512н </w:t>
      </w:r>
      <w:r>
        <w:br/>
      </w:r>
      <w:r w:rsidRPr="00762475">
        <w:t>«Об утверждении перечня производств, работ и должностей с вредными и (или) опасными условиями труда, на которых ограничивается применение труда женщин»), заменивший принятый более 20 лет назад перечень из 456 профессий и видов выполняемых работ, официально недоступных для женщин. В обновленном перечне всего 100 позиций. Необходимость такого документа сейчас зафиксирована как норма Трудового кодекса Российской Федерации.</w:t>
      </w:r>
    </w:p>
    <w:p w14:paraId="2FC0E051" w14:textId="77777777" w:rsidR="00634B85" w:rsidRPr="00762475" w:rsidRDefault="00634B85" w:rsidP="00634B85">
      <w:pPr>
        <w:pStyle w:val="SingleTxtG"/>
      </w:pPr>
      <w:r w:rsidRPr="00762475">
        <w:t>350.</w:t>
      </w:r>
      <w:r>
        <w:tab/>
      </w:r>
      <w:r w:rsidRPr="00762475">
        <w:t xml:space="preserve">За время подготовки новой редакции перечня была проанализирована каждая профессия (вид работ), исходя из нынешнего уровня технологического развития. </w:t>
      </w:r>
      <w:r>
        <w:br/>
      </w:r>
      <w:r w:rsidRPr="00762475">
        <w:t>К работе над новой редакцией перечня были привлечены объединения профсоюзов, объединения работодателей, а также медицинские организации, проводящие оценку влияния различных производственных факторов на женское здоровье.</w:t>
      </w:r>
    </w:p>
    <w:p w14:paraId="156A54BA" w14:textId="77777777" w:rsidR="00634B85" w:rsidRPr="00762475" w:rsidRDefault="00634B85" w:rsidP="00634B85">
      <w:pPr>
        <w:pStyle w:val="SingleTxtG"/>
      </w:pPr>
      <w:r w:rsidRPr="00762475">
        <w:t>351.</w:t>
      </w:r>
      <w:r>
        <w:tab/>
      </w:r>
      <w:r w:rsidRPr="00762475">
        <w:t>Обновленный перечень, в первую очередь, направлен на защиту интересов женщин. Критериями при пересмотре и актуализации перечня явились исключительно факторы, опасные для репродуктивного здоровья женщин, влияющие на здоровье будущего поколения и имеющие отдаленные последствия.</w:t>
      </w:r>
    </w:p>
    <w:p w14:paraId="2B411A1F" w14:textId="77777777" w:rsidR="00634B85" w:rsidRPr="00762475" w:rsidRDefault="00634B85" w:rsidP="00634B85">
      <w:pPr>
        <w:pStyle w:val="SingleTxtG"/>
      </w:pPr>
      <w:r w:rsidRPr="00762475">
        <w:t>352.</w:t>
      </w:r>
      <w:r>
        <w:tab/>
      </w:r>
      <w:r w:rsidRPr="00762475">
        <w:t>При этом обновленным перечнем исключено произвольное ограничение использования труда женщин на работах, что является гарантией их права на справедливые условия труда.</w:t>
      </w:r>
    </w:p>
    <w:p w14:paraId="7B93D3BA" w14:textId="77777777" w:rsidR="00634B85" w:rsidRPr="00762475" w:rsidRDefault="00634B85" w:rsidP="00634B85">
      <w:pPr>
        <w:pStyle w:val="SingleTxtG"/>
      </w:pPr>
      <w:r w:rsidRPr="00762475">
        <w:t>353.</w:t>
      </w:r>
      <w:r>
        <w:tab/>
      </w:r>
      <w:r w:rsidRPr="00762475">
        <w:t>Важно отметить, что женщины уже сейчас могут работать даже по тем профессиям, которые включены в ограничительный перечень, если специальная оценка условий труда, проведенная на рабочем месте из перечня, подтвердит безопасные условия труда на нем. Исключением являются отдельные работы, в том числе кессонные и водолазные работы, работа по тушению пожара и работа в колодцах. Таким образом, перечень не устанавливает абсолютного запрета применения труда женщин на указанных в нем работах, а ограничивает его применение до устранения на конкретном рабочем месте производственных факторов, вредных для женского организма.</w:t>
      </w:r>
    </w:p>
    <w:p w14:paraId="712E76CF" w14:textId="77777777" w:rsidR="00634B85" w:rsidRPr="00762475" w:rsidRDefault="00634B85" w:rsidP="00634B85">
      <w:pPr>
        <w:pStyle w:val="SingleTxtG"/>
      </w:pPr>
      <w:r w:rsidRPr="00762475">
        <w:t>354.</w:t>
      </w:r>
      <w:r>
        <w:tab/>
      </w:r>
      <w:r w:rsidRPr="00762475">
        <w:t>Дополнительно отмечаем, что согласно Конституции в Российской Федерации как социальном государстве охраняются труд и здоровье людей.</w:t>
      </w:r>
    </w:p>
    <w:p w14:paraId="1E90E74D" w14:textId="77777777" w:rsidR="00634B85" w:rsidRPr="00762475" w:rsidRDefault="00634B85" w:rsidP="00634B85">
      <w:pPr>
        <w:pStyle w:val="SingleTxtG"/>
      </w:pPr>
      <w:r w:rsidRPr="00762475">
        <w:t>355.</w:t>
      </w:r>
      <w:r>
        <w:tab/>
      </w:r>
      <w:r w:rsidRPr="00762475">
        <w:t>Провозглашая право каждого на охрану труда и здоровья, Конституция Российской Федерации исходит из того, что здоровье человека является высшим неотчуждаемым благом, без которого утрачивают свое значение многие другие блага и ценности, а, следовательно, его сохранение и укрепление играют основополагающую роль в жизни общества и государства.</w:t>
      </w:r>
    </w:p>
    <w:p w14:paraId="38063171" w14:textId="77777777" w:rsidR="00634B85" w:rsidRPr="00762475" w:rsidRDefault="00634B85" w:rsidP="00634B85">
      <w:pPr>
        <w:pStyle w:val="SingleTxtG"/>
      </w:pPr>
      <w:r w:rsidRPr="00762475">
        <w:t>356.</w:t>
      </w:r>
      <w:r>
        <w:tab/>
      </w:r>
      <w:r w:rsidRPr="00762475">
        <w:t>Этим предопределяется характер обязанностей государства, признающего свою ответственность за сохранение и укрепление здоровья людей, и, соответственно, содержание правового регулирования отношений, связанных с реализацией гражданами указанных конституционных прав, что в сфере труда требует от законодателя установления как общих для всех работников мер, направленных на охрану их здоровья непосредственно в процессе трудовой деятельности, так и особенностей регулирования труда, вызванных характером и условиями труда, к числу которых относятся и особенности регулирования труда женщин.</w:t>
      </w:r>
    </w:p>
    <w:p w14:paraId="60A385EE" w14:textId="77777777" w:rsidR="00634B85" w:rsidRPr="00762475" w:rsidRDefault="00634B85" w:rsidP="00634B85">
      <w:pPr>
        <w:pStyle w:val="SingleTxtG"/>
      </w:pPr>
      <w:r w:rsidRPr="00762475">
        <w:t>357.</w:t>
      </w:r>
      <w:r>
        <w:tab/>
      </w:r>
      <w:r w:rsidRPr="00762475">
        <w:t>Установление определенных ограничений для применения труда женщин связано с необходимостью их особой защиты от вредных производственных факторов, негативно воздействующих на женский организм, прежде всего на репродуктивную функцию.</w:t>
      </w:r>
    </w:p>
    <w:p w14:paraId="7C55D90B" w14:textId="77777777" w:rsidR="00634B85" w:rsidRPr="00762475" w:rsidRDefault="00634B85" w:rsidP="00634B85">
      <w:pPr>
        <w:pStyle w:val="SingleTxtG"/>
      </w:pPr>
      <w:r w:rsidRPr="00762475">
        <w:t>358.</w:t>
      </w:r>
      <w:r>
        <w:tab/>
      </w:r>
      <w:r w:rsidRPr="00762475">
        <w:t>Конституция Российской Федерации согласно общепризнанным принципам и нормам международного права провозглашает равенство прав, свобод и возможностей мужчин и женщин.</w:t>
      </w:r>
    </w:p>
    <w:p w14:paraId="0474762F" w14:textId="77777777" w:rsidR="00634B85" w:rsidRPr="00762475" w:rsidRDefault="00634B85" w:rsidP="00634B85">
      <w:pPr>
        <w:pStyle w:val="SingleTxtG"/>
      </w:pPr>
      <w:r w:rsidRPr="00762475">
        <w:lastRenderedPageBreak/>
        <w:t>359.</w:t>
      </w:r>
      <w:r>
        <w:tab/>
      </w:r>
      <w:r w:rsidRPr="00762475">
        <w:t>Реализация принципа юридического равенства не может осуществляться без учета общепризнанной социальной роли женщины в продолжении рода, что обязывает государство устанавливать дополнительные гарантии для женщин, в том числе в сфере трудовых отношений, направленные на охрану материнства.</w:t>
      </w:r>
    </w:p>
    <w:p w14:paraId="02E68DDE" w14:textId="77777777" w:rsidR="00634B85" w:rsidRPr="00762475" w:rsidRDefault="00634B85" w:rsidP="00634B85">
      <w:pPr>
        <w:pStyle w:val="SingleTxtG"/>
      </w:pPr>
      <w:r w:rsidRPr="00762475">
        <w:t>360.</w:t>
      </w:r>
      <w:r>
        <w:tab/>
      </w:r>
      <w:r w:rsidRPr="00762475">
        <w:t>При этом в соответствии с международно-правовыми актами принятие специальных мер, направленных на охрану материнства, не считается дискриминационным (пункт 2 статьи 4 Конвенции о ликвидации всех форм дискриминации в отношении женщин); меры, принятые для защиты женщин на определенных видах работ с учетом физиологических особенностей их организма, не должны считаться дискриминационными (пункт 3 статьи 10 Декларации о ликвидации дискриминации в отношении женщин от 7 ноября 1967 г</w:t>
      </w:r>
      <w:r>
        <w:t>ода</w:t>
      </w:r>
      <w:r w:rsidRPr="00762475">
        <w:t>); не считается также дискриминацией всякое различие, исключение или предпочтение, основанные на специфических требованиях, связанных с определенной работой (пункт 2 статьи 1 Конвенции МОТ № 111 относительно дискриминации в области труда и занятий).</w:t>
      </w:r>
    </w:p>
    <w:p w14:paraId="61DD383E" w14:textId="77777777" w:rsidR="00634B85" w:rsidRPr="00762475" w:rsidRDefault="00634B85" w:rsidP="00634B85">
      <w:pPr>
        <w:pStyle w:val="SingleTxtG"/>
      </w:pPr>
      <w:r w:rsidRPr="00762475">
        <w:t>361.</w:t>
      </w:r>
      <w:r>
        <w:tab/>
      </w:r>
      <w:r w:rsidRPr="00762475">
        <w:t>Следует отметить, что вопрос ограничения применения труда женщин находится на особом контроле в Минтруде России. Так по результатам мониторинга практики применения обновленного перечня, несмотря на существенное сокращение ограничений, подготовлен и с 1 марта 2022 г</w:t>
      </w:r>
      <w:r>
        <w:t>ода</w:t>
      </w:r>
      <w:r w:rsidRPr="00762475">
        <w:t xml:space="preserve"> вступил в силу приказ Минтруда России от 13 мая 2021 г</w:t>
      </w:r>
      <w:r>
        <w:t>ода</w:t>
      </w:r>
      <w:r w:rsidRPr="00762475">
        <w:t xml:space="preserve"> № 313н, которым дополнительно сняты ограничения на выполнение женщинами отдельных работ.</w:t>
      </w:r>
    </w:p>
    <w:p w14:paraId="7EC37E02" w14:textId="77777777" w:rsidR="00634B85" w:rsidRDefault="00634B85" w:rsidP="00634B85">
      <w:pPr>
        <w:pStyle w:val="SingleTxtG"/>
      </w:pPr>
      <w:r w:rsidRPr="00762475">
        <w:t>362.</w:t>
      </w:r>
      <w:r>
        <w:tab/>
      </w:r>
      <w:r w:rsidRPr="00762475">
        <w:t>На 2022 г</w:t>
      </w:r>
      <w:r>
        <w:t>од</w:t>
      </w:r>
      <w:r w:rsidRPr="00762475">
        <w:t xml:space="preserve"> запланировано дополнительное исследование по вопросу применения труда женщин по результатам правоприменительной практики действующего «ограничительного» перечня. В рамках этой работы будет собрана статистику по количеству профессий (работ), на которые в настоящее время распространяются ограничения для женщин.</w:t>
      </w:r>
    </w:p>
    <w:p w14:paraId="2CC6219E" w14:textId="77777777" w:rsidR="00634B85" w:rsidRPr="00762475" w:rsidRDefault="00634B85" w:rsidP="00634B85">
      <w:pPr>
        <w:pStyle w:val="H1G"/>
      </w:pPr>
      <w:r>
        <w:tab/>
      </w:r>
      <w:r>
        <w:tab/>
      </w:r>
      <w:r w:rsidRPr="002800DE">
        <w:t>Последующая информация в связи с пункт</w:t>
      </w:r>
      <w:r>
        <w:t>ом</w:t>
      </w:r>
      <w:r w:rsidRPr="00762475">
        <w:t xml:space="preserve"> 37 заключительных замечаний КЭСКП</w:t>
      </w:r>
    </w:p>
    <w:p w14:paraId="48046CDC" w14:textId="77777777" w:rsidR="00634B85" w:rsidRPr="00762475" w:rsidRDefault="00634B85" w:rsidP="00634B85">
      <w:pPr>
        <w:pStyle w:val="SingleTxtG"/>
      </w:pPr>
      <w:r w:rsidRPr="00762475">
        <w:t>363.</w:t>
      </w:r>
      <w:r>
        <w:tab/>
      </w:r>
      <w:r w:rsidRPr="00762475">
        <w:t xml:space="preserve">При разработке новой модели установления величины прожиточного минимума (далее </w:t>
      </w:r>
      <w:r w:rsidRPr="00573868">
        <w:t>—</w:t>
      </w:r>
      <w:r w:rsidRPr="00762475">
        <w:t xml:space="preserve"> ВПМ) и минимального размера оплаты труда (далее </w:t>
      </w:r>
      <w:r w:rsidRPr="00573868">
        <w:t>—</w:t>
      </w:r>
      <w:r w:rsidRPr="00762475">
        <w:t xml:space="preserve"> МРОТ) Минтрудом России был проведен анализ подходов к установлению ВПМ (или аналогичных величин) и расчета уровня бедности в США, Китае, Японии, Франции, Великобритании, Германии и других странах.</w:t>
      </w:r>
    </w:p>
    <w:p w14:paraId="6CD1122E" w14:textId="77777777" w:rsidR="00634B85" w:rsidRPr="00762475" w:rsidRDefault="00634B85" w:rsidP="00634B85">
      <w:pPr>
        <w:pStyle w:val="SingleTxtG"/>
      </w:pPr>
      <w:r w:rsidRPr="00762475">
        <w:t>364.</w:t>
      </w:r>
      <w:r>
        <w:tab/>
      </w:r>
      <w:r w:rsidRPr="00762475">
        <w:t>Проведенный анализ показал, что зарубежные страны при установлении и изменении ВПМ и МРОТ используют различные концепции в зависимости от экономических, социальных и других факторов.</w:t>
      </w:r>
    </w:p>
    <w:p w14:paraId="2BB35BE2" w14:textId="77777777" w:rsidR="00634B85" w:rsidRPr="00762475" w:rsidRDefault="00634B85" w:rsidP="00634B85">
      <w:pPr>
        <w:pStyle w:val="SingleTxtG"/>
      </w:pPr>
      <w:r w:rsidRPr="00762475">
        <w:t>365.</w:t>
      </w:r>
      <w:r>
        <w:tab/>
      </w:r>
      <w:r w:rsidRPr="00762475">
        <w:t>До 1 января 2021 г</w:t>
      </w:r>
      <w:r>
        <w:t>ода</w:t>
      </w:r>
      <w:r w:rsidRPr="00762475">
        <w:t xml:space="preserve"> ВПМ в Российской Федерации и субъектах Российской Федерации рассчитывался на основе потребительской корзины.</w:t>
      </w:r>
    </w:p>
    <w:p w14:paraId="1AD8B99B" w14:textId="77777777" w:rsidR="00634B85" w:rsidRPr="00762475" w:rsidRDefault="00634B85" w:rsidP="00634B85">
      <w:pPr>
        <w:pStyle w:val="SingleTxtG"/>
      </w:pPr>
      <w:r w:rsidRPr="00762475">
        <w:t>366.</w:t>
      </w:r>
      <w:r>
        <w:tab/>
      </w:r>
      <w:r w:rsidRPr="00762475">
        <w:t>Расчет ВПМ на основе потребительской корзины позволял учитывать изменения в стоимости продуктов питания, однако в среднем темп роста ВПМ не отвечал темпам роста цен и не коррелировал с меняющимися стандартами потребления.</w:t>
      </w:r>
    </w:p>
    <w:p w14:paraId="0755343F" w14:textId="77777777" w:rsidR="00634B85" w:rsidRPr="00762475" w:rsidRDefault="00634B85" w:rsidP="00634B85">
      <w:pPr>
        <w:pStyle w:val="SingleTxtG"/>
      </w:pPr>
      <w:r w:rsidRPr="00762475">
        <w:t>367.</w:t>
      </w:r>
      <w:r>
        <w:tab/>
      </w:r>
      <w:r w:rsidRPr="00762475">
        <w:t xml:space="preserve">Такой подход к расчету ВПМ часто подвергался критике из-за субъективности продуктового набора (потребности в тех или иных продуктах у каждой семьи разные, в том числе в зависимости от места проживания), сезонных колебаний ВПМ </w:t>
      </w:r>
      <w:r>
        <w:br/>
      </w:r>
      <w:r w:rsidRPr="00762475">
        <w:t>(в отдельных кварталах года наблюдалось его снижение).</w:t>
      </w:r>
    </w:p>
    <w:p w14:paraId="6AC20C8E" w14:textId="77777777" w:rsidR="00634B85" w:rsidRPr="00762475" w:rsidRDefault="00634B85" w:rsidP="00634B85">
      <w:pPr>
        <w:pStyle w:val="SingleTxtG"/>
      </w:pPr>
      <w:r w:rsidRPr="00762475">
        <w:t>368.</w:t>
      </w:r>
      <w:r>
        <w:tab/>
      </w:r>
      <w:r w:rsidRPr="00762475">
        <w:t>Новая модель установления ВПМ и МРОТ, основанная на соотношениях с медианным доходом и медианной заработной платой, позволила исключить субъективность оценки стандарта потребления граждан, сезонные колебания ВПМ и сократить региональную дифференциацию в установлении ВПМ.</w:t>
      </w:r>
    </w:p>
    <w:p w14:paraId="3168A237" w14:textId="77777777" w:rsidR="00634B85" w:rsidRPr="00762475" w:rsidRDefault="00634B85" w:rsidP="00634B85">
      <w:pPr>
        <w:pStyle w:val="SingleTxtG"/>
      </w:pPr>
      <w:r w:rsidRPr="00762475">
        <w:t>369.</w:t>
      </w:r>
      <w:r>
        <w:tab/>
      </w:r>
      <w:r w:rsidRPr="00762475">
        <w:t>В соответствии с новой методологией соотношение ВПМ на душу населения в целом по Российской Федерации и величины медианного дохода за предыдущий год с 2021 г</w:t>
      </w:r>
      <w:r>
        <w:t>ода</w:t>
      </w:r>
      <w:r w:rsidRPr="00762475">
        <w:t xml:space="preserve"> установлено в размере 44,2</w:t>
      </w:r>
      <w:r>
        <w:rPr>
          <w:lang w:val="en-US"/>
        </w:rPr>
        <w:t> </w:t>
      </w:r>
      <w:r w:rsidRPr="00762475">
        <w:t>%.</w:t>
      </w:r>
    </w:p>
    <w:p w14:paraId="1623F0C6" w14:textId="77777777" w:rsidR="00634B85" w:rsidRPr="00762475" w:rsidRDefault="00634B85" w:rsidP="00634B85">
      <w:pPr>
        <w:pStyle w:val="SingleTxtG"/>
      </w:pPr>
      <w:r w:rsidRPr="00762475">
        <w:lastRenderedPageBreak/>
        <w:t>370.</w:t>
      </w:r>
      <w:r>
        <w:tab/>
      </w:r>
      <w:r w:rsidRPr="00762475">
        <w:t>При определении величины соотношения ВПМ и медианного дохода учитывалась описанная международная практика европейских стран, а также анализ такого соотношения, сложившегося в предыдущие годы.</w:t>
      </w:r>
    </w:p>
    <w:p w14:paraId="7BD898C5" w14:textId="77777777" w:rsidR="00634B85" w:rsidRPr="00762475" w:rsidRDefault="00634B85" w:rsidP="00634B85">
      <w:pPr>
        <w:pStyle w:val="SingleTxtG"/>
      </w:pPr>
      <w:r w:rsidRPr="00762475">
        <w:t>371.</w:t>
      </w:r>
      <w:r>
        <w:tab/>
      </w:r>
      <w:r w:rsidRPr="00762475">
        <w:t>Соотношение МРОТ и медианной заработной платы определялось исходя из необходимости соблюдения его установления не ниже ВПМ для трудоспособного населения в соответствии с пунктом 5 статьи 75 Конституции Российской Федерации.</w:t>
      </w:r>
    </w:p>
    <w:p w14:paraId="3F69AA4A" w14:textId="77777777" w:rsidR="00634B85" w:rsidRPr="00762475" w:rsidRDefault="00634B85" w:rsidP="00634B85">
      <w:pPr>
        <w:pStyle w:val="SingleTxtG"/>
      </w:pPr>
      <w:r w:rsidRPr="00762475">
        <w:t>372.</w:t>
      </w:r>
      <w:r>
        <w:tab/>
      </w:r>
      <w:r w:rsidRPr="00762475">
        <w:t>Важно отметить, что такой новый подход к установлению МРОТ позволил впервые в 2021 г</w:t>
      </w:r>
      <w:r>
        <w:t>оду</w:t>
      </w:r>
      <w:r w:rsidRPr="00762475">
        <w:t xml:space="preserve"> обеспечить его превышение над ВПМ для трудоспособного населения. Учитывая складывающуюся тенденцию роста медианной заработной платы темпами выше, чем рост медианного дохода, такой подход позволит обеспечивать заработную плату на уровне выше минимальной необходимой для обеспечения жизнедеятельности суммы доходов гражданина.</w:t>
      </w:r>
    </w:p>
    <w:p w14:paraId="53B6A1F0" w14:textId="77777777" w:rsidR="00634B85" w:rsidRPr="00762475" w:rsidRDefault="00634B85" w:rsidP="00634B85">
      <w:pPr>
        <w:pStyle w:val="SingleTxtG"/>
      </w:pPr>
      <w:r w:rsidRPr="00762475">
        <w:t>373.</w:t>
      </w:r>
      <w:r>
        <w:tab/>
      </w:r>
      <w:r w:rsidRPr="00762475">
        <w:t>Ретроспективный анализ показал, что в среднесрочной перспективе новая модель позволяет обеспечить рост ВПМ и МРОТ темпами выше инфляции.</w:t>
      </w:r>
    </w:p>
    <w:p w14:paraId="206F51DA" w14:textId="77777777" w:rsidR="00634B85" w:rsidRPr="00762475" w:rsidRDefault="00634B85" w:rsidP="00634B85">
      <w:pPr>
        <w:pStyle w:val="SingleTxtG"/>
      </w:pPr>
      <w:r w:rsidRPr="00762475">
        <w:t>374.</w:t>
      </w:r>
      <w:r>
        <w:tab/>
      </w:r>
      <w:r w:rsidRPr="00762475">
        <w:t>При этом с целью гибкого реагирования на изменения социально-экономической ситуации предусматривается пересмотр соотношения прожиточного минимума и медианного дохода не реже 1 раза в 5 лет.</w:t>
      </w:r>
    </w:p>
    <w:p w14:paraId="69A3CD9E" w14:textId="77777777" w:rsidR="00634B85" w:rsidRDefault="00634B85" w:rsidP="00634B85">
      <w:pPr>
        <w:pStyle w:val="SingleTxtG"/>
      </w:pPr>
      <w:r w:rsidRPr="00762475">
        <w:t>375.</w:t>
      </w:r>
      <w:r>
        <w:tab/>
      </w:r>
      <w:r w:rsidRPr="00762475">
        <w:t>Вместе с тем отмечается, что законодательство не содержит ограничений, позволяющих осуществлять пересмотр указанного соотношения чаще 1 раза в 5 лет в том числе при ухудшении социально-экономической ситуации.</w:t>
      </w:r>
    </w:p>
    <w:p w14:paraId="4C1413CB" w14:textId="77777777" w:rsidR="00634B85" w:rsidRPr="00762475" w:rsidRDefault="00634B85" w:rsidP="00634B85">
      <w:pPr>
        <w:pStyle w:val="H1G"/>
      </w:pPr>
      <w:r>
        <w:tab/>
      </w:r>
      <w:r>
        <w:tab/>
      </w:r>
      <w:r w:rsidRPr="002800DE">
        <w:t>Последующая информация в связи с пунктами</w:t>
      </w:r>
      <w:r w:rsidRPr="00762475">
        <w:t xml:space="preserve"> 38</w:t>
      </w:r>
      <w:r w:rsidRPr="00573868">
        <w:t>–</w:t>
      </w:r>
      <w:r w:rsidRPr="00762475">
        <w:t>39 заключительных замечаний КЭСКП</w:t>
      </w:r>
    </w:p>
    <w:p w14:paraId="39483414" w14:textId="77777777" w:rsidR="00634B85" w:rsidRPr="00762475" w:rsidRDefault="00634B85" w:rsidP="00634B85">
      <w:pPr>
        <w:pStyle w:val="SingleTxtG"/>
      </w:pPr>
      <w:r w:rsidRPr="00762475">
        <w:t>376.</w:t>
      </w:r>
      <w:r>
        <w:tab/>
      </w:r>
      <w:r w:rsidRPr="00762475">
        <w:t>Российским законодательством предусмотрены меры ответственности, в том числе уголовной, за различные виды насилия в отношении женщин, в том числе за преступления против половой неприкосновенности, убийство, побои, истязания, физические и психические страдания, угрозы, клевету, оскорбления, унижающие человеческое достоинство и личность потерпевшего и т.</w:t>
      </w:r>
      <w:r>
        <w:rPr>
          <w:lang w:val="en-US"/>
        </w:rPr>
        <w:t> </w:t>
      </w:r>
      <w:r w:rsidRPr="00762475">
        <w:t>д.</w:t>
      </w:r>
    </w:p>
    <w:p w14:paraId="2202BB3C" w14:textId="77777777" w:rsidR="00634B85" w:rsidRPr="00762475" w:rsidRDefault="00634B85" w:rsidP="00634B85">
      <w:pPr>
        <w:pStyle w:val="SingleTxtG"/>
      </w:pPr>
      <w:r w:rsidRPr="00762475">
        <w:t>377.</w:t>
      </w:r>
      <w:r>
        <w:tab/>
      </w:r>
      <w:r w:rsidRPr="00762475">
        <w:t>С целью защиты женщин от насилия УК РФ предусмотрена ответственность за ряд преступлений, связанных с его причинением: умышленное причинение вреда здоровью различной степени (ст. 111, 112, 115 УК РФ), побои (ст. 116, 1161 УК РФ), истязание (ст. 117 УК РФ), преступления против половой неприкосновенности и половой свободы (ст. 131</w:t>
      </w:r>
      <w:r w:rsidRPr="00573868">
        <w:t>–</w:t>
      </w:r>
      <w:r w:rsidRPr="00762475">
        <w:t>135 УК РФ).</w:t>
      </w:r>
    </w:p>
    <w:p w14:paraId="5DD5A9B6" w14:textId="77777777" w:rsidR="00634B85" w:rsidRPr="00762475" w:rsidRDefault="00634B85" w:rsidP="00634B85">
      <w:pPr>
        <w:pStyle w:val="SingleTxtG"/>
      </w:pPr>
      <w:r w:rsidRPr="00762475">
        <w:t>378.</w:t>
      </w:r>
      <w:r>
        <w:tab/>
      </w:r>
      <w:r w:rsidRPr="00762475">
        <w:t>Федеральным законом от 3 июля 2016 г</w:t>
      </w:r>
      <w:r>
        <w:t>ода</w:t>
      </w:r>
      <w:r w:rsidRPr="00762475">
        <w:t xml:space="preserve"> № 323-ФЗ внесены изменения в статью</w:t>
      </w:r>
      <w:r>
        <w:rPr>
          <w:lang w:val="en-US"/>
        </w:rPr>
        <w:t> </w:t>
      </w:r>
      <w:r w:rsidRPr="00762475">
        <w:t>116 «Побои» УК РФ, согласно которым лицо привлекается к уголовной ответственности в случае нанесения побоев при отягчающих обстоятельствах.</w:t>
      </w:r>
    </w:p>
    <w:p w14:paraId="68DC9ECE" w14:textId="77777777" w:rsidR="00634B85" w:rsidRPr="00762475" w:rsidRDefault="00634B85" w:rsidP="00634B85">
      <w:pPr>
        <w:pStyle w:val="SingleTxtG"/>
      </w:pPr>
      <w:r w:rsidRPr="00762475">
        <w:t>379.</w:t>
      </w:r>
      <w:r>
        <w:tab/>
      </w:r>
      <w:r w:rsidRPr="00762475">
        <w:t>За совершение побоев впервые лицо подлежит привлечению к административной ответственности по статье 6.11 «Побои» Кодекса Российской Федерации об административных правонарушениях. При этом за повторное нанесение побоев лицом, подвергнутым административному наказанию за данное правонарушение, предусмотрена уголовная ответственность по статье 116.1 «Нанесение побоев лицом, подвергнутым административному наказанию» УК РФ.</w:t>
      </w:r>
    </w:p>
    <w:p w14:paraId="72C5300E" w14:textId="77777777" w:rsidR="00634B85" w:rsidRPr="00762475" w:rsidRDefault="00634B85" w:rsidP="00634B85">
      <w:pPr>
        <w:pStyle w:val="SingleTxtG"/>
      </w:pPr>
      <w:r w:rsidRPr="00762475">
        <w:t>380.</w:t>
      </w:r>
      <w:r>
        <w:tab/>
      </w:r>
      <w:r w:rsidRPr="00762475">
        <w:t>Отнесение в 2016 г</w:t>
      </w:r>
      <w:r>
        <w:t>оду</w:t>
      </w:r>
      <w:r w:rsidRPr="00762475">
        <w:t xml:space="preserve"> части побоев к числу правонарушений, ответственность за которые наступает вне зависимости от желания пострадавшей стороны, как во многих случаях это было раньше, позволило обеспечить неотвратимость наказания за их совершение.</w:t>
      </w:r>
    </w:p>
    <w:p w14:paraId="11D18685" w14:textId="77777777" w:rsidR="00634B85" w:rsidRPr="00762475" w:rsidRDefault="00634B85" w:rsidP="00634B85">
      <w:pPr>
        <w:pStyle w:val="SingleTxtG"/>
      </w:pPr>
      <w:r w:rsidRPr="00762475">
        <w:t>381.</w:t>
      </w:r>
      <w:r>
        <w:tab/>
      </w:r>
      <w:r w:rsidRPr="00762475">
        <w:t>В Совете Федерации Федерального Собрания Российской Федерации создана рабочая группа по совершенствованию законодательства и правоприменительной практики в сфере предупреждения и профилактики семейно-бытового насилия.</w:t>
      </w:r>
    </w:p>
    <w:p w14:paraId="2E22527E" w14:textId="77777777" w:rsidR="00634B85" w:rsidRPr="00762475" w:rsidRDefault="00634B85" w:rsidP="00634B85">
      <w:pPr>
        <w:pStyle w:val="SingleTxtG"/>
      </w:pPr>
      <w:r w:rsidRPr="00762475">
        <w:t>382.</w:t>
      </w:r>
      <w:r>
        <w:tab/>
      </w:r>
      <w:r w:rsidRPr="00762475">
        <w:t>С 2020 г</w:t>
      </w:r>
      <w:r>
        <w:t>ода</w:t>
      </w:r>
      <w:r w:rsidRPr="00762475">
        <w:t xml:space="preserve"> Министерство внутренних дел Российской Федерации (далее </w:t>
      </w:r>
      <w:r w:rsidRPr="00573868">
        <w:t>—</w:t>
      </w:r>
      <w:r w:rsidRPr="00762475">
        <w:t xml:space="preserve"> МВД России) активно применяет такую профилактическую меру как официальное предостережение физическому лицу о недопустимости действий, создающих условия </w:t>
      </w:r>
      <w:r w:rsidRPr="00762475">
        <w:lastRenderedPageBreak/>
        <w:t>для совершения преступлений и административных правонарушений</w:t>
      </w:r>
      <w:r w:rsidRPr="00762475">
        <w:rPr>
          <w:b/>
        </w:rPr>
        <w:t xml:space="preserve"> (</w:t>
      </w:r>
      <w:r w:rsidRPr="00762475">
        <w:t>Федеральный закон от 16 октября 2019 г</w:t>
      </w:r>
      <w:r>
        <w:t>ода</w:t>
      </w:r>
      <w:r w:rsidRPr="00762475">
        <w:t xml:space="preserve"> № 337-ФЗ «О внесении изменений в статью 13 Федерального закона «О полиции» пункт 12 части 1 статьи 13 Федерального закона «О полиции»; приказ МВД России от 4 марта 2020 г</w:t>
      </w:r>
      <w:r>
        <w:t>ода</w:t>
      </w:r>
      <w:r w:rsidRPr="00762475">
        <w:t xml:space="preserve"> № 119).</w:t>
      </w:r>
    </w:p>
    <w:p w14:paraId="75C36BC2" w14:textId="77777777" w:rsidR="00634B85" w:rsidRPr="00762475" w:rsidRDefault="00634B85" w:rsidP="00634B85">
      <w:pPr>
        <w:pStyle w:val="SingleTxtG"/>
      </w:pPr>
      <w:r w:rsidRPr="00762475">
        <w:t>383.</w:t>
      </w:r>
      <w:r>
        <w:tab/>
      </w:r>
      <w:r w:rsidRPr="00762475">
        <w:t>По сути, данный юридический инструмент очень схож с охранными ордерами западных государств.</w:t>
      </w:r>
    </w:p>
    <w:p w14:paraId="6509F653" w14:textId="77777777" w:rsidR="00634B85" w:rsidRPr="00762475" w:rsidRDefault="00634B85" w:rsidP="00634B85">
      <w:pPr>
        <w:pStyle w:val="SingleTxtG"/>
      </w:pPr>
      <w:r w:rsidRPr="00762475">
        <w:t>384.</w:t>
      </w:r>
      <w:r>
        <w:tab/>
      </w:r>
      <w:r w:rsidRPr="00762475">
        <w:t>Кроме того, имеется процессуальная возможность введения ограничений подозреваемому.</w:t>
      </w:r>
    </w:p>
    <w:p w14:paraId="4A3BA9F0" w14:textId="77777777" w:rsidR="00634B85" w:rsidRPr="00762475" w:rsidRDefault="00634B85" w:rsidP="00634B85">
      <w:pPr>
        <w:pStyle w:val="SingleTxtG"/>
      </w:pPr>
      <w:r w:rsidRPr="00762475">
        <w:t>385.</w:t>
      </w:r>
      <w:r>
        <w:tab/>
      </w:r>
      <w:r w:rsidRPr="00762475">
        <w:t>Уголовно-процессуальный Кодекс Российской Федерации (далее </w:t>
      </w:r>
      <w:r w:rsidRPr="00573868">
        <w:t>—</w:t>
      </w:r>
      <w:r w:rsidRPr="00762475">
        <w:t xml:space="preserve"> УПК РФ) дополнен новой мерой пресечения </w:t>
      </w:r>
      <w:r w:rsidRPr="00573868">
        <w:t>—</w:t>
      </w:r>
      <w:r w:rsidRPr="00762475">
        <w:t xml:space="preserve"> запрет определенных действий, которая избирается по судебному решению в отношении подозреваемого или обвиняемого и заключается в применении в отношении него запретов:</w:t>
      </w:r>
    </w:p>
    <w:p w14:paraId="6DF34995"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находиться в определенных местах, а также ближе установленного расстояния до определенных объектов;</w:t>
      </w:r>
    </w:p>
    <w:p w14:paraId="295ABA76"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посещать определенные мероприятия и участвовать в них; </w:t>
      </w:r>
    </w:p>
    <w:p w14:paraId="18B018E9"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общаться с определенными лицами; </w:t>
      </w:r>
    </w:p>
    <w:p w14:paraId="36B86688"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 xml:space="preserve">отправлять и получать почтово-телеграфные отправления; </w:t>
      </w:r>
    </w:p>
    <w:p w14:paraId="5B42389C" w14:textId="77777777" w:rsidR="00634B85" w:rsidRPr="00762475" w:rsidRDefault="00634B85" w:rsidP="00634B85">
      <w:pPr>
        <w:pStyle w:val="Bullet1G"/>
        <w:numPr>
          <w:ilvl w:val="0"/>
          <w:numId w:val="1"/>
        </w:numPr>
        <w:kinsoku w:val="0"/>
        <w:overflowPunct w:val="0"/>
        <w:autoSpaceDE w:val="0"/>
        <w:autoSpaceDN w:val="0"/>
        <w:adjustRightInd w:val="0"/>
        <w:snapToGrid w:val="0"/>
      </w:pPr>
      <w:r w:rsidRPr="00762475">
        <w:t>использовать средства связи и информационно-телекоммуникационную сеть «Интернет» (часть 6 статьи 1051 «Запрет определенных действий» УПК РФ; Федеральный закон от 18 апреля 2018 г</w:t>
      </w:r>
      <w:r>
        <w:t>ода</w:t>
      </w:r>
      <w:r w:rsidRPr="00762475">
        <w:t xml:space="preserve"> № 72-ФЗ «О внесении изменений в УПК РФ в части избрания и применения мер пресечения в виде запрета определенных действий, залога и домашнего ареста»).</w:t>
      </w:r>
    </w:p>
    <w:p w14:paraId="1682A446" w14:textId="77777777" w:rsidR="00634B85" w:rsidRPr="00762475" w:rsidRDefault="00634B85" w:rsidP="00634B85">
      <w:pPr>
        <w:pStyle w:val="SingleTxtG"/>
      </w:pPr>
      <w:r w:rsidRPr="00762475">
        <w:t>386.</w:t>
      </w:r>
      <w:r>
        <w:tab/>
      </w:r>
      <w:r w:rsidRPr="00762475">
        <w:t>Применение данной меры пресечения используется и в отношении лиц, подозреваемых или обвиняемых в насильственных преступлениях.</w:t>
      </w:r>
    </w:p>
    <w:p w14:paraId="2CE4BE9D" w14:textId="77777777" w:rsidR="00634B85" w:rsidRPr="00762475" w:rsidRDefault="00634B85" w:rsidP="00634B85">
      <w:pPr>
        <w:pStyle w:val="SingleTxtG"/>
      </w:pPr>
      <w:r w:rsidRPr="00762475">
        <w:t>387.</w:t>
      </w:r>
      <w:r>
        <w:tab/>
      </w:r>
      <w:r w:rsidRPr="00762475">
        <w:t xml:space="preserve">Органы исполнительной власти системно проводят комплекс мероприятий по предупреждению преступлений в сфере семейно-бытовых отношений, в том числе в ходе реализации Национальной стратегии действий в интересах женщин на </w:t>
      </w:r>
      <w:r>
        <w:br/>
      </w:r>
      <w:r w:rsidRPr="00762475">
        <w:t>2017</w:t>
      </w:r>
      <w:r w:rsidRPr="00573868">
        <w:t>–</w:t>
      </w:r>
      <w:r w:rsidRPr="00762475">
        <w:t>2022 годы, утвержденной распоряжением Правительства Российской Федерации от 8 марта 2017 г</w:t>
      </w:r>
      <w:r>
        <w:t>ода</w:t>
      </w:r>
      <w:r w:rsidRPr="00762475">
        <w:t xml:space="preserve"> № 410-р (далее </w:t>
      </w:r>
      <w:r w:rsidRPr="00573868">
        <w:t>—</w:t>
      </w:r>
      <w:r w:rsidRPr="00762475">
        <w:t xml:space="preserve"> Стратегия).</w:t>
      </w:r>
    </w:p>
    <w:p w14:paraId="5E7154D1" w14:textId="77777777" w:rsidR="00634B85" w:rsidRPr="00762475" w:rsidRDefault="00634B85" w:rsidP="00634B85">
      <w:pPr>
        <w:pStyle w:val="SingleTxtG"/>
      </w:pPr>
      <w:r w:rsidRPr="00762475">
        <w:t>388.</w:t>
      </w:r>
      <w:r>
        <w:tab/>
      </w:r>
      <w:r w:rsidRPr="00762475">
        <w:t>Одним из направлений Стратегии является профилактика социального неблагополучия женщин и насилия в отношении них.</w:t>
      </w:r>
    </w:p>
    <w:p w14:paraId="3CCFB037" w14:textId="77777777" w:rsidR="00634B85" w:rsidRPr="00573868" w:rsidRDefault="00634B85" w:rsidP="00634B85">
      <w:pPr>
        <w:pStyle w:val="SingleTxtG"/>
        <w:rPr>
          <w:bCs/>
        </w:rPr>
      </w:pPr>
      <w:r w:rsidRPr="00762475">
        <w:t>389.</w:t>
      </w:r>
      <w:r>
        <w:tab/>
      </w:r>
      <w:r w:rsidRPr="00762475">
        <w:t>В 2018 г</w:t>
      </w:r>
      <w:r>
        <w:t>оду</w:t>
      </w:r>
      <w:r w:rsidRPr="00762475">
        <w:t xml:space="preserve"> разработан План мероприятий по реализации первого этапа Стратегии</w:t>
      </w:r>
      <w:r w:rsidRPr="00762475">
        <w:rPr>
          <w:b/>
        </w:rPr>
        <w:t xml:space="preserve"> </w:t>
      </w:r>
      <w:r w:rsidRPr="00762475">
        <w:t>(утвержден распоряжением Правительства от 14 марта 2018 г</w:t>
      </w:r>
      <w:r>
        <w:t>ода</w:t>
      </w:r>
      <w:r w:rsidRPr="00762475">
        <w:t xml:space="preserve"> № 420-р</w:t>
      </w:r>
      <w:r w:rsidRPr="00573868">
        <w:rPr>
          <w:bCs/>
        </w:rPr>
        <w:t>).</w:t>
      </w:r>
    </w:p>
    <w:p w14:paraId="06A8031A" w14:textId="77777777" w:rsidR="00634B85" w:rsidRPr="00762475" w:rsidRDefault="00634B85" w:rsidP="00634B85">
      <w:pPr>
        <w:pStyle w:val="SingleTxtG"/>
      </w:pPr>
      <w:r w:rsidRPr="00762475">
        <w:t>390.</w:t>
      </w:r>
      <w:r>
        <w:tab/>
      </w:r>
      <w:r w:rsidRPr="00762475">
        <w:t>В 2019 г</w:t>
      </w:r>
      <w:r>
        <w:t>оду</w:t>
      </w:r>
      <w:r w:rsidRPr="00762475">
        <w:t xml:space="preserve"> разработан План мероприятий по реализации второго этапа Стратегии (утвержден распоряжением Правительства Российской Федерации от </w:t>
      </w:r>
      <w:r>
        <w:br/>
      </w:r>
      <w:r w:rsidRPr="00762475">
        <w:t>7 декабря 2019</w:t>
      </w:r>
      <w:r>
        <w:rPr>
          <w:lang w:val="en-US"/>
        </w:rPr>
        <w:t> </w:t>
      </w:r>
      <w:r w:rsidRPr="00762475">
        <w:t>г</w:t>
      </w:r>
      <w:r>
        <w:t>ода</w:t>
      </w:r>
      <w:r w:rsidRPr="00762475">
        <w:t xml:space="preserve"> № 2943-р).</w:t>
      </w:r>
    </w:p>
    <w:p w14:paraId="768BBD1B" w14:textId="77777777" w:rsidR="00634B85" w:rsidRPr="00762475" w:rsidRDefault="00634B85" w:rsidP="00634B85">
      <w:pPr>
        <w:pStyle w:val="SingleTxtG"/>
      </w:pPr>
      <w:r w:rsidRPr="00762475">
        <w:t>391.</w:t>
      </w:r>
      <w:r>
        <w:tab/>
      </w:r>
      <w:r w:rsidRPr="00762475">
        <w:t>Распоряжением МВД России от 24 декабря 2021 г</w:t>
      </w:r>
      <w:r>
        <w:t>ода</w:t>
      </w:r>
      <w:r w:rsidRPr="00762475">
        <w:t xml:space="preserve"> № 1/14809 создана межведомственная рабочая группа по разработке комплекса мер по профилактике и противодействию жестокому обращению с пожилыми людьми. Наряду с должностными лицами МВД России в ее состав включены представители Министерства юстиции Российской Федерации (Минюста России), Минтруда России, </w:t>
      </w:r>
      <w:proofErr w:type="spellStart"/>
      <w:r w:rsidRPr="00762475">
        <w:t>Минпросвещения</w:t>
      </w:r>
      <w:proofErr w:type="spellEnd"/>
      <w:r w:rsidRPr="00762475">
        <w:t xml:space="preserve"> России, Министерства цифрового развития, связи и массовых коммуникаций Российской Федерации (</w:t>
      </w:r>
      <w:proofErr w:type="spellStart"/>
      <w:r w:rsidRPr="00762475">
        <w:t>Минцифры</w:t>
      </w:r>
      <w:proofErr w:type="spellEnd"/>
      <w:r w:rsidRPr="00762475">
        <w:t xml:space="preserve"> России), Минздрава России, Федеральной службы по надзору в сфере связи, информационных технологий и массовых коммуникаций (Роскомнадзора), Федерального агентства по делам молодежи (Росмолодежи) и члены Совета Правительстве Российской Федерации по вопросам попечительства в социальной сфере.</w:t>
      </w:r>
    </w:p>
    <w:p w14:paraId="69E2ABA5" w14:textId="77777777" w:rsidR="00634B85" w:rsidRPr="00762475" w:rsidRDefault="00634B85" w:rsidP="00634B85">
      <w:pPr>
        <w:pStyle w:val="SingleTxtG"/>
      </w:pPr>
      <w:r w:rsidRPr="00762475">
        <w:t>392.</w:t>
      </w:r>
      <w:r>
        <w:tab/>
      </w:r>
      <w:r w:rsidRPr="00762475">
        <w:t>В настоящее время в рамках деятельности указанной группы ведется работа по формированию проекта комплекса мер по профилактике и противодействию жестокому обращению с пожилыми людьми.</w:t>
      </w:r>
    </w:p>
    <w:p w14:paraId="37DFB614" w14:textId="77777777" w:rsidR="00634B85" w:rsidRPr="00762475" w:rsidRDefault="00634B85" w:rsidP="00634B85">
      <w:pPr>
        <w:pStyle w:val="SingleTxtG"/>
      </w:pPr>
      <w:r w:rsidRPr="00762475">
        <w:lastRenderedPageBreak/>
        <w:t>393.</w:t>
      </w:r>
      <w:r>
        <w:tab/>
      </w:r>
      <w:r w:rsidRPr="00762475">
        <w:t xml:space="preserve">В течение многих лет в Российской Федерации ведутся научные исследования по проблеме влияния насилия и жестокости на психическое здоровье женщин, детей и лиц пожилого возраста. Эти исследования проводятся на международном </w:t>
      </w:r>
      <w:r>
        <w:br/>
      </w:r>
      <w:r w:rsidRPr="00762475">
        <w:t>уровне, прежде всего, в сотрудничестве с Всемирной организаци</w:t>
      </w:r>
      <w:r>
        <w:t>ей</w:t>
      </w:r>
      <w:r w:rsidRPr="00762475">
        <w:t xml:space="preserve"> здравоохранения (далее </w:t>
      </w:r>
      <w:r w:rsidRPr="00573868">
        <w:t>—</w:t>
      </w:r>
      <w:r w:rsidRPr="00762475">
        <w:t xml:space="preserve"> ВОЗ).</w:t>
      </w:r>
    </w:p>
    <w:p w14:paraId="1C58EEA4" w14:textId="77777777" w:rsidR="00634B85" w:rsidRPr="00762475" w:rsidRDefault="00634B85" w:rsidP="00634B85">
      <w:pPr>
        <w:pStyle w:val="SingleTxtG"/>
      </w:pPr>
      <w:r w:rsidRPr="00762475">
        <w:t>394.</w:t>
      </w:r>
      <w:r>
        <w:tab/>
      </w:r>
      <w:r w:rsidRPr="00762475">
        <w:t xml:space="preserve">Оказание помощи жертвам бытового насилия </w:t>
      </w:r>
      <w:r w:rsidRPr="00573868">
        <w:t>—</w:t>
      </w:r>
      <w:r w:rsidRPr="00762475">
        <w:t xml:space="preserve"> сложный процесс, состоящий из взаимосвязанного комплекса диагностических, медико-социальных, терапевтических, психотерапевтических и юридических мер.</w:t>
      </w:r>
    </w:p>
    <w:p w14:paraId="1AC7C719" w14:textId="77777777" w:rsidR="00634B85" w:rsidRPr="002252FB" w:rsidRDefault="00634B85" w:rsidP="00634B85">
      <w:pPr>
        <w:pStyle w:val="SingleTxtG"/>
      </w:pPr>
      <w:r w:rsidRPr="00762475">
        <w:t>395.</w:t>
      </w:r>
      <w:r>
        <w:tab/>
      </w:r>
      <w:r w:rsidRPr="00762475">
        <w:t xml:space="preserve">Первый шаг в данном случае </w:t>
      </w:r>
      <w:r w:rsidRPr="00573868">
        <w:t>—</w:t>
      </w:r>
      <w:r w:rsidRPr="00762475">
        <w:t xml:space="preserve"> это оценка наличия факта насилия и оказание поддержки. Как рекомендуют клинические руководства ВОЗ, здесь следует придерживаться правила LIVES.</w:t>
      </w:r>
      <w:r w:rsidRPr="002E3A5B">
        <w:t xml:space="preserve">  </w:t>
      </w:r>
      <w:r w:rsidRPr="00E12515">
        <w:t xml:space="preserve"> </w:t>
      </w:r>
    </w:p>
    <w:p w14:paraId="7D2DC26D" w14:textId="77777777" w:rsidR="00634B85" w:rsidRPr="00762475" w:rsidRDefault="00634B85" w:rsidP="00634B85">
      <w:pPr>
        <w:pStyle w:val="SingleTxtG"/>
        <w:spacing w:before="240" w:after="0"/>
        <w:jc w:val="center"/>
        <w:rPr>
          <w:u w:val="single"/>
        </w:rPr>
      </w:pPr>
      <w:r>
        <w:rPr>
          <w:u w:val="single"/>
        </w:rPr>
        <w:tab/>
      </w:r>
      <w:r>
        <w:rPr>
          <w:u w:val="single"/>
        </w:rPr>
        <w:tab/>
      </w:r>
      <w:r>
        <w:rPr>
          <w:u w:val="single"/>
        </w:rPr>
        <w:tab/>
      </w:r>
    </w:p>
    <w:p w14:paraId="1B0FA379" w14:textId="77777777" w:rsidR="00381C24" w:rsidRPr="00BC18B2" w:rsidRDefault="00381C24" w:rsidP="00896BA2"/>
    <w:sectPr w:rsidR="00381C24" w:rsidRPr="00BC18B2" w:rsidSect="00E9115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66C7" w14:textId="77777777" w:rsidR="00B61172" w:rsidRPr="00A312BC" w:rsidRDefault="00B61172" w:rsidP="00A312BC"/>
  </w:endnote>
  <w:endnote w:type="continuationSeparator" w:id="0">
    <w:p w14:paraId="17982925" w14:textId="77777777" w:rsidR="00B61172" w:rsidRPr="00A312BC" w:rsidRDefault="00B6117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8EF8" w14:textId="77777777" w:rsidR="00E9115D" w:rsidRPr="00E9115D" w:rsidRDefault="00E9115D">
    <w:pPr>
      <w:pStyle w:val="aa"/>
    </w:pPr>
    <w:r w:rsidRPr="00E9115D">
      <w:rPr>
        <w:b/>
        <w:sz w:val="18"/>
      </w:rPr>
      <w:fldChar w:fldCharType="begin"/>
    </w:r>
    <w:r w:rsidRPr="00E9115D">
      <w:rPr>
        <w:b/>
        <w:sz w:val="18"/>
      </w:rPr>
      <w:instrText xml:space="preserve"> PAGE  \* MERGEFORMAT </w:instrText>
    </w:r>
    <w:r w:rsidRPr="00E9115D">
      <w:rPr>
        <w:b/>
        <w:sz w:val="18"/>
      </w:rPr>
      <w:fldChar w:fldCharType="separate"/>
    </w:r>
    <w:r w:rsidRPr="00E9115D">
      <w:rPr>
        <w:b/>
        <w:noProof/>
        <w:sz w:val="18"/>
      </w:rPr>
      <w:t>2</w:t>
    </w:r>
    <w:r w:rsidRPr="00E9115D">
      <w:rPr>
        <w:b/>
        <w:sz w:val="18"/>
      </w:rPr>
      <w:fldChar w:fldCharType="end"/>
    </w:r>
    <w:r>
      <w:rPr>
        <w:b/>
        <w:sz w:val="18"/>
      </w:rPr>
      <w:tab/>
    </w:r>
    <w:r>
      <w:t>GE.22-25903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04B1" w14:textId="77777777" w:rsidR="00E9115D" w:rsidRPr="00E9115D" w:rsidRDefault="00E9115D" w:rsidP="00E9115D">
    <w:pPr>
      <w:pStyle w:val="aa"/>
      <w:tabs>
        <w:tab w:val="clear" w:pos="9639"/>
        <w:tab w:val="right" w:pos="9638"/>
      </w:tabs>
      <w:rPr>
        <w:b/>
        <w:sz w:val="18"/>
      </w:rPr>
    </w:pPr>
    <w:r>
      <w:t>GE.22-25903</w:t>
    </w:r>
    <w:r>
      <w:tab/>
    </w:r>
    <w:r w:rsidRPr="00E9115D">
      <w:rPr>
        <w:b/>
        <w:sz w:val="18"/>
      </w:rPr>
      <w:fldChar w:fldCharType="begin"/>
    </w:r>
    <w:r w:rsidRPr="00E9115D">
      <w:rPr>
        <w:b/>
        <w:sz w:val="18"/>
      </w:rPr>
      <w:instrText xml:space="preserve"> PAGE  \* MERGEFORMAT </w:instrText>
    </w:r>
    <w:r w:rsidRPr="00E9115D">
      <w:rPr>
        <w:b/>
        <w:sz w:val="18"/>
      </w:rPr>
      <w:fldChar w:fldCharType="separate"/>
    </w:r>
    <w:r w:rsidRPr="00E9115D">
      <w:rPr>
        <w:b/>
        <w:noProof/>
        <w:sz w:val="18"/>
      </w:rPr>
      <w:t>3</w:t>
    </w:r>
    <w:r w:rsidRPr="00E911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0096" w14:textId="39577CF3" w:rsidR="00042B72" w:rsidRPr="00E9115D" w:rsidRDefault="00E9115D" w:rsidP="00E9115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D054D3E" wp14:editId="3F70FBF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25903  (</w:t>
    </w:r>
    <w:proofErr w:type="gramEnd"/>
    <w:r>
      <w:t>R)</w:t>
    </w:r>
    <w:r>
      <w:rPr>
        <w:noProof/>
      </w:rPr>
      <w:drawing>
        <wp:anchor distT="0" distB="0" distL="114300" distR="114300" simplePos="0" relativeHeight="251659264" behindDoc="0" locked="0" layoutInCell="1" allowOverlap="1" wp14:anchorId="4BF8AC5B" wp14:editId="1DF8EDE3">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161122  171122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ED83" w14:textId="77777777" w:rsidR="00B61172" w:rsidRPr="001075E9" w:rsidRDefault="00B61172" w:rsidP="001075E9">
      <w:pPr>
        <w:tabs>
          <w:tab w:val="right" w:pos="2155"/>
        </w:tabs>
        <w:spacing w:after="80" w:line="240" w:lineRule="auto"/>
        <w:ind w:left="680"/>
        <w:rPr>
          <w:u w:val="single"/>
        </w:rPr>
      </w:pPr>
      <w:r>
        <w:rPr>
          <w:u w:val="single"/>
        </w:rPr>
        <w:tab/>
      </w:r>
    </w:p>
  </w:footnote>
  <w:footnote w:type="continuationSeparator" w:id="0">
    <w:p w14:paraId="4F894760" w14:textId="77777777" w:rsidR="00B61172" w:rsidRDefault="00B61172" w:rsidP="00407B78">
      <w:pPr>
        <w:tabs>
          <w:tab w:val="right" w:pos="2155"/>
        </w:tabs>
        <w:spacing w:after="80"/>
        <w:ind w:left="680"/>
        <w:rPr>
          <w:u w:val="single"/>
        </w:rPr>
      </w:pPr>
      <w:r>
        <w:rPr>
          <w:u w:val="single"/>
        </w:rPr>
        <w:tab/>
      </w:r>
    </w:p>
  </w:footnote>
  <w:footnote w:id="1">
    <w:p w14:paraId="68792002" w14:textId="77777777" w:rsidR="00076D7F" w:rsidRPr="00B33F85" w:rsidRDefault="00076D7F" w:rsidP="00076D7F">
      <w:pPr>
        <w:pStyle w:val="af"/>
        <w:rPr>
          <w:sz w:val="20"/>
        </w:rPr>
      </w:pPr>
      <w:r>
        <w:tab/>
      </w:r>
      <w:r w:rsidRPr="00076D7F">
        <w:rPr>
          <w:rStyle w:val="a8"/>
          <w:sz w:val="20"/>
          <w:vertAlign w:val="baseline"/>
        </w:rPr>
        <w:t>*</w:t>
      </w:r>
      <w:r w:rsidRPr="00B33F85">
        <w:rPr>
          <w:sz w:val="20"/>
        </w:rPr>
        <w:tab/>
      </w:r>
      <w:r>
        <w:t>Настоящий документ выпускается без официального редактирования</w:t>
      </w:r>
      <w:r w:rsidRPr="00B33F85">
        <w:t>.</w:t>
      </w:r>
    </w:p>
  </w:footnote>
  <w:footnote w:id="2">
    <w:p w14:paraId="09CDEBE2" w14:textId="77777777" w:rsidR="00076D7F" w:rsidRPr="00B33F85" w:rsidRDefault="00076D7F" w:rsidP="00076D7F">
      <w:pPr>
        <w:pStyle w:val="af"/>
      </w:pPr>
      <w:r w:rsidRPr="00076D7F">
        <w:rPr>
          <w:rStyle w:val="a8"/>
          <w:vertAlign w:val="baseline"/>
        </w:rPr>
        <w:tab/>
      </w:r>
      <w:r w:rsidRPr="00076D7F">
        <w:rPr>
          <w:rStyle w:val="a8"/>
          <w:sz w:val="20"/>
          <w:vertAlign w:val="baseline"/>
        </w:rPr>
        <w:t>**</w:t>
      </w:r>
      <w:r w:rsidRPr="00B33F85">
        <w:rPr>
          <w:rStyle w:val="a8"/>
          <w:sz w:val="20"/>
        </w:rPr>
        <w:tab/>
      </w:r>
      <w:r w:rsidRPr="00B33F85">
        <w:t>С приложениями к настоящему докладу можно ознакомиться на веб-странице Комитета.</w:t>
      </w:r>
      <w:r w:rsidRPr="00B33F85">
        <w:rPr>
          <w:sz w:val="20"/>
        </w:rPr>
        <w:t xml:space="preserve"> </w:t>
      </w:r>
    </w:p>
  </w:footnote>
  <w:footnote w:id="3">
    <w:p w14:paraId="5F88C037" w14:textId="77777777" w:rsidR="00634B85" w:rsidRPr="00575455" w:rsidRDefault="00634B85" w:rsidP="00634B85">
      <w:pPr>
        <w:pStyle w:val="af"/>
        <w:rPr>
          <w:rStyle w:val="a7"/>
          <w:highlight w:val="white"/>
        </w:rPr>
      </w:pPr>
      <w:r>
        <w:tab/>
      </w:r>
      <w:r w:rsidRPr="00575455">
        <w:rPr>
          <w:rStyle w:val="af3"/>
          <w:vertAlign w:val="superscript"/>
        </w:rPr>
        <w:footnoteRef/>
      </w:r>
      <w:r w:rsidRPr="00575455">
        <w:tab/>
      </w:r>
      <w:hyperlink r:id="rId1" w:history="1">
        <w:r w:rsidRPr="00575455">
          <w:rPr>
            <w:rStyle w:val="a7"/>
            <w:highlight w:val="white"/>
          </w:rPr>
          <w:t>http://kremlin.ru/events/president/news/62582</w:t>
        </w:r>
      </w:hyperlink>
      <w:r w:rsidRPr="00575455">
        <w:rPr>
          <w:rStyle w:val="-"/>
          <w:u w:val="none"/>
        </w:rPr>
        <w:t>.</w:t>
      </w:r>
    </w:p>
  </w:footnote>
  <w:footnote w:id="4">
    <w:p w14:paraId="1C42D81F" w14:textId="77777777" w:rsidR="00634B85" w:rsidRPr="00575455" w:rsidRDefault="00634B85" w:rsidP="00634B85">
      <w:pPr>
        <w:pStyle w:val="af"/>
      </w:pPr>
      <w:r w:rsidRPr="00575455">
        <w:rPr>
          <w:rStyle w:val="a7"/>
          <w:highlight w:val="white"/>
        </w:rPr>
        <w:tab/>
      </w:r>
      <w:r w:rsidRPr="00575455">
        <w:rPr>
          <w:rStyle w:val="a7"/>
          <w:color w:val="auto"/>
          <w:highlight w:val="white"/>
          <w:vertAlign w:val="superscript"/>
        </w:rPr>
        <w:footnoteRef/>
      </w:r>
      <w:r w:rsidRPr="00575455">
        <w:rPr>
          <w:rStyle w:val="a7"/>
          <w:color w:val="auto"/>
          <w:highlight w:val="white"/>
          <w:vertAlign w:val="superscript"/>
        </w:rPr>
        <w:tab/>
      </w:r>
      <w:hyperlink r:id="rId2">
        <w:r w:rsidRPr="00575455">
          <w:rPr>
            <w:rStyle w:val="a7"/>
            <w:highlight w:val="white"/>
          </w:rPr>
          <w:t>http://kremlin.ru/acts/assignments/orders/62673</w:t>
        </w:r>
      </w:hyperlink>
      <w:r w:rsidRPr="00575455">
        <w:rPr>
          <w:rStyle w:val="a7"/>
        </w:rPr>
        <w:t>.</w:t>
      </w:r>
      <w:r w:rsidRPr="00575455">
        <w:rPr>
          <w:rStyle w:val="-"/>
          <w:u w:val="none"/>
        </w:rPr>
        <w:t xml:space="preserve"> </w:t>
      </w:r>
    </w:p>
  </w:footnote>
  <w:footnote w:id="5">
    <w:p w14:paraId="4B69E471" w14:textId="77777777" w:rsidR="00634B85" w:rsidRPr="00575455" w:rsidRDefault="00634B85" w:rsidP="00634B85">
      <w:pPr>
        <w:pStyle w:val="af"/>
      </w:pPr>
      <w:r w:rsidRPr="00575455">
        <w:tab/>
      </w:r>
      <w:r w:rsidRPr="00575455">
        <w:rPr>
          <w:rStyle w:val="af3"/>
          <w:vertAlign w:val="superscript"/>
        </w:rPr>
        <w:footnoteRef/>
      </w:r>
      <w:r w:rsidRPr="00575455">
        <w:tab/>
      </w:r>
      <w:hyperlink r:id="rId3">
        <w:r w:rsidRPr="00575455">
          <w:rPr>
            <w:rStyle w:val="a7"/>
            <w:highlight w:val="white"/>
          </w:rPr>
          <w:t>https://minobmauki.gov.ru/press-center/news/7ELEMENT_niN33254</w:t>
        </w:r>
      </w:hyperlink>
      <w:r w:rsidRPr="00575455">
        <w:rPr>
          <w:rStyle w:val="-"/>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2BDF" w14:textId="4D955B91" w:rsidR="00E9115D" w:rsidRPr="00E9115D" w:rsidRDefault="00E9115D">
    <w:pPr>
      <w:pStyle w:val="a5"/>
    </w:pPr>
    <w:fldSimple w:instr=" TITLE  \* MERGEFORMAT ">
      <w:r w:rsidR="00D730ED">
        <w:t>E/C.12/RUS/7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66D3" w14:textId="2AB1A0EC" w:rsidR="00E9115D" w:rsidRPr="00E9115D" w:rsidRDefault="00E9115D" w:rsidP="00E9115D">
    <w:pPr>
      <w:pStyle w:val="a5"/>
      <w:jc w:val="right"/>
    </w:pPr>
    <w:fldSimple w:instr=" TITLE  \* MERGEFORMAT ">
      <w:r w:rsidR="00D730ED">
        <w:t>E/C.12/RUS/7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F516EDA8">
      <w:start w:val="1"/>
      <w:numFmt w:val="decimal"/>
      <w:lvlText w:val="%1."/>
      <w:lvlJc w:val="left"/>
      <w:pPr>
        <w:tabs>
          <w:tab w:val="num" w:pos="0"/>
        </w:tabs>
        <w:ind w:left="1134" w:firstLine="0"/>
      </w:pPr>
      <w:rPr>
        <w:rFonts w:ascii="Times New Roman" w:hAnsi="Times New Roman" w:hint="default"/>
        <w:b w:val="0"/>
        <w:i w:val="0"/>
        <w:sz w:val="20"/>
      </w:rPr>
    </w:lvl>
    <w:lvl w:ilvl="1" w:tplc="D084E568" w:tentative="1">
      <w:start w:val="1"/>
      <w:numFmt w:val="lowerLetter"/>
      <w:lvlText w:val="%2."/>
      <w:lvlJc w:val="left"/>
      <w:pPr>
        <w:tabs>
          <w:tab w:val="num" w:pos="1440"/>
        </w:tabs>
        <w:ind w:left="1440" w:hanging="360"/>
      </w:pPr>
    </w:lvl>
    <w:lvl w:ilvl="2" w:tplc="7D328692" w:tentative="1">
      <w:start w:val="1"/>
      <w:numFmt w:val="lowerRoman"/>
      <w:lvlText w:val="%3."/>
      <w:lvlJc w:val="right"/>
      <w:pPr>
        <w:tabs>
          <w:tab w:val="num" w:pos="2160"/>
        </w:tabs>
        <w:ind w:left="2160" w:hanging="180"/>
      </w:pPr>
    </w:lvl>
    <w:lvl w:ilvl="3" w:tplc="1B40C18C" w:tentative="1">
      <w:start w:val="1"/>
      <w:numFmt w:val="decimal"/>
      <w:lvlText w:val="%4."/>
      <w:lvlJc w:val="left"/>
      <w:pPr>
        <w:tabs>
          <w:tab w:val="num" w:pos="2880"/>
        </w:tabs>
        <w:ind w:left="2880" w:hanging="360"/>
      </w:pPr>
    </w:lvl>
    <w:lvl w:ilvl="4" w:tplc="99327F7A" w:tentative="1">
      <w:start w:val="1"/>
      <w:numFmt w:val="lowerLetter"/>
      <w:lvlText w:val="%5."/>
      <w:lvlJc w:val="left"/>
      <w:pPr>
        <w:tabs>
          <w:tab w:val="num" w:pos="3600"/>
        </w:tabs>
        <w:ind w:left="3600" w:hanging="360"/>
      </w:pPr>
    </w:lvl>
    <w:lvl w:ilvl="5" w:tplc="E9062698" w:tentative="1">
      <w:start w:val="1"/>
      <w:numFmt w:val="lowerRoman"/>
      <w:lvlText w:val="%6."/>
      <w:lvlJc w:val="right"/>
      <w:pPr>
        <w:tabs>
          <w:tab w:val="num" w:pos="4320"/>
        </w:tabs>
        <w:ind w:left="4320" w:hanging="180"/>
      </w:pPr>
    </w:lvl>
    <w:lvl w:ilvl="6" w:tplc="DB8E6FB2" w:tentative="1">
      <w:start w:val="1"/>
      <w:numFmt w:val="decimal"/>
      <w:lvlText w:val="%7."/>
      <w:lvlJc w:val="left"/>
      <w:pPr>
        <w:tabs>
          <w:tab w:val="num" w:pos="5040"/>
        </w:tabs>
        <w:ind w:left="5040" w:hanging="360"/>
      </w:pPr>
    </w:lvl>
    <w:lvl w:ilvl="7" w:tplc="83CE0782" w:tentative="1">
      <w:start w:val="1"/>
      <w:numFmt w:val="lowerLetter"/>
      <w:lvlText w:val="%8."/>
      <w:lvlJc w:val="left"/>
      <w:pPr>
        <w:tabs>
          <w:tab w:val="num" w:pos="5760"/>
        </w:tabs>
        <w:ind w:left="5760" w:hanging="360"/>
      </w:pPr>
    </w:lvl>
    <w:lvl w:ilvl="8" w:tplc="69427F3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CA00EC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B343D04" w:tentative="1">
      <w:start w:val="1"/>
      <w:numFmt w:val="lowerLetter"/>
      <w:lvlText w:val="%2."/>
      <w:lvlJc w:val="left"/>
      <w:pPr>
        <w:tabs>
          <w:tab w:val="num" w:pos="1440"/>
        </w:tabs>
        <w:ind w:left="1440" w:hanging="360"/>
      </w:pPr>
    </w:lvl>
    <w:lvl w:ilvl="2" w:tplc="23A240AA" w:tentative="1">
      <w:start w:val="1"/>
      <w:numFmt w:val="lowerRoman"/>
      <w:lvlText w:val="%3."/>
      <w:lvlJc w:val="right"/>
      <w:pPr>
        <w:tabs>
          <w:tab w:val="num" w:pos="2160"/>
        </w:tabs>
        <w:ind w:left="2160" w:hanging="180"/>
      </w:pPr>
    </w:lvl>
    <w:lvl w:ilvl="3" w:tplc="37DECFC6" w:tentative="1">
      <w:start w:val="1"/>
      <w:numFmt w:val="decimal"/>
      <w:lvlText w:val="%4."/>
      <w:lvlJc w:val="left"/>
      <w:pPr>
        <w:tabs>
          <w:tab w:val="num" w:pos="2880"/>
        </w:tabs>
        <w:ind w:left="2880" w:hanging="360"/>
      </w:pPr>
    </w:lvl>
    <w:lvl w:ilvl="4" w:tplc="8EEA44D4" w:tentative="1">
      <w:start w:val="1"/>
      <w:numFmt w:val="lowerLetter"/>
      <w:lvlText w:val="%5."/>
      <w:lvlJc w:val="left"/>
      <w:pPr>
        <w:tabs>
          <w:tab w:val="num" w:pos="3600"/>
        </w:tabs>
        <w:ind w:left="3600" w:hanging="360"/>
      </w:pPr>
    </w:lvl>
    <w:lvl w:ilvl="5" w:tplc="C456CF80" w:tentative="1">
      <w:start w:val="1"/>
      <w:numFmt w:val="lowerRoman"/>
      <w:lvlText w:val="%6."/>
      <w:lvlJc w:val="right"/>
      <w:pPr>
        <w:tabs>
          <w:tab w:val="num" w:pos="4320"/>
        </w:tabs>
        <w:ind w:left="4320" w:hanging="180"/>
      </w:pPr>
    </w:lvl>
    <w:lvl w:ilvl="6" w:tplc="DB3AF390" w:tentative="1">
      <w:start w:val="1"/>
      <w:numFmt w:val="decimal"/>
      <w:lvlText w:val="%7."/>
      <w:lvlJc w:val="left"/>
      <w:pPr>
        <w:tabs>
          <w:tab w:val="num" w:pos="5040"/>
        </w:tabs>
        <w:ind w:left="5040" w:hanging="360"/>
      </w:pPr>
    </w:lvl>
    <w:lvl w:ilvl="7" w:tplc="7730C6DC" w:tentative="1">
      <w:start w:val="1"/>
      <w:numFmt w:val="lowerLetter"/>
      <w:lvlText w:val="%8."/>
      <w:lvlJc w:val="left"/>
      <w:pPr>
        <w:tabs>
          <w:tab w:val="num" w:pos="5760"/>
        </w:tabs>
        <w:ind w:left="5760" w:hanging="360"/>
      </w:pPr>
    </w:lvl>
    <w:lvl w:ilvl="8" w:tplc="A2A8AAFC" w:tentative="1">
      <w:start w:val="1"/>
      <w:numFmt w:val="lowerRoman"/>
      <w:lvlText w:val="%9."/>
      <w:lvlJc w:val="right"/>
      <w:pPr>
        <w:tabs>
          <w:tab w:val="num" w:pos="6480"/>
        </w:tabs>
        <w:ind w:left="6480"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066CB0C2">
      <w:start w:val="1"/>
      <w:numFmt w:val="bullet"/>
      <w:lvlText w:val="•"/>
      <w:lvlJc w:val="left"/>
      <w:pPr>
        <w:tabs>
          <w:tab w:val="num" w:pos="2268"/>
        </w:tabs>
        <w:ind w:left="2268" w:hanging="170"/>
      </w:pPr>
      <w:rPr>
        <w:rFonts w:ascii="Times New Roman" w:hAnsi="Times New Roman" w:cs="Times New Roman" w:hint="default"/>
      </w:rPr>
    </w:lvl>
    <w:lvl w:ilvl="1" w:tplc="977273A4" w:tentative="1">
      <w:start w:val="1"/>
      <w:numFmt w:val="bullet"/>
      <w:lvlText w:val="o"/>
      <w:lvlJc w:val="left"/>
      <w:pPr>
        <w:tabs>
          <w:tab w:val="num" w:pos="1440"/>
        </w:tabs>
        <w:ind w:left="1440" w:hanging="360"/>
      </w:pPr>
      <w:rPr>
        <w:rFonts w:ascii="Courier New" w:hAnsi="Courier New" w:hint="default"/>
      </w:rPr>
    </w:lvl>
    <w:lvl w:ilvl="2" w:tplc="DA1015BE" w:tentative="1">
      <w:start w:val="1"/>
      <w:numFmt w:val="bullet"/>
      <w:lvlText w:val=""/>
      <w:lvlJc w:val="left"/>
      <w:pPr>
        <w:tabs>
          <w:tab w:val="num" w:pos="2160"/>
        </w:tabs>
        <w:ind w:left="2160" w:hanging="360"/>
      </w:pPr>
      <w:rPr>
        <w:rFonts w:ascii="Wingdings" w:hAnsi="Wingdings" w:hint="default"/>
      </w:rPr>
    </w:lvl>
    <w:lvl w:ilvl="3" w:tplc="6AD27A2A" w:tentative="1">
      <w:start w:val="1"/>
      <w:numFmt w:val="bullet"/>
      <w:lvlText w:val=""/>
      <w:lvlJc w:val="left"/>
      <w:pPr>
        <w:tabs>
          <w:tab w:val="num" w:pos="2880"/>
        </w:tabs>
        <w:ind w:left="2880" w:hanging="360"/>
      </w:pPr>
      <w:rPr>
        <w:rFonts w:ascii="Symbol" w:hAnsi="Symbol" w:hint="default"/>
      </w:rPr>
    </w:lvl>
    <w:lvl w:ilvl="4" w:tplc="F7F86EDA" w:tentative="1">
      <w:start w:val="1"/>
      <w:numFmt w:val="bullet"/>
      <w:lvlText w:val="o"/>
      <w:lvlJc w:val="left"/>
      <w:pPr>
        <w:tabs>
          <w:tab w:val="num" w:pos="3600"/>
        </w:tabs>
        <w:ind w:left="3600" w:hanging="360"/>
      </w:pPr>
      <w:rPr>
        <w:rFonts w:ascii="Courier New" w:hAnsi="Courier New" w:hint="default"/>
      </w:rPr>
    </w:lvl>
    <w:lvl w:ilvl="5" w:tplc="0E4AB308" w:tentative="1">
      <w:start w:val="1"/>
      <w:numFmt w:val="bullet"/>
      <w:lvlText w:val=""/>
      <w:lvlJc w:val="left"/>
      <w:pPr>
        <w:tabs>
          <w:tab w:val="num" w:pos="4320"/>
        </w:tabs>
        <w:ind w:left="4320" w:hanging="360"/>
      </w:pPr>
      <w:rPr>
        <w:rFonts w:ascii="Wingdings" w:hAnsi="Wingdings" w:hint="default"/>
      </w:rPr>
    </w:lvl>
    <w:lvl w:ilvl="6" w:tplc="BF1AEAC0" w:tentative="1">
      <w:start w:val="1"/>
      <w:numFmt w:val="bullet"/>
      <w:lvlText w:val=""/>
      <w:lvlJc w:val="left"/>
      <w:pPr>
        <w:tabs>
          <w:tab w:val="num" w:pos="5040"/>
        </w:tabs>
        <w:ind w:left="5040" w:hanging="360"/>
      </w:pPr>
      <w:rPr>
        <w:rFonts w:ascii="Symbol" w:hAnsi="Symbol" w:hint="default"/>
      </w:rPr>
    </w:lvl>
    <w:lvl w:ilvl="7" w:tplc="6D40AEFA" w:tentative="1">
      <w:start w:val="1"/>
      <w:numFmt w:val="bullet"/>
      <w:lvlText w:val="o"/>
      <w:lvlJc w:val="left"/>
      <w:pPr>
        <w:tabs>
          <w:tab w:val="num" w:pos="5760"/>
        </w:tabs>
        <w:ind w:left="5760" w:hanging="360"/>
      </w:pPr>
      <w:rPr>
        <w:rFonts w:ascii="Courier New" w:hAnsi="Courier New" w:hint="default"/>
      </w:rPr>
    </w:lvl>
    <w:lvl w:ilvl="8" w:tplc="3092AE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A6628096">
      <w:start w:val="1"/>
      <w:numFmt w:val="bullet"/>
      <w:lvlText w:val="•"/>
      <w:lvlJc w:val="left"/>
      <w:pPr>
        <w:tabs>
          <w:tab w:val="num" w:pos="1701"/>
        </w:tabs>
        <w:ind w:left="1701" w:hanging="170"/>
      </w:pPr>
      <w:rPr>
        <w:rFonts w:ascii="Times New Roman" w:hAnsi="Times New Roman" w:cs="Times New Roman" w:hint="default"/>
        <w:b w:val="0"/>
        <w:i w:val="0"/>
        <w:sz w:val="20"/>
      </w:rPr>
    </w:lvl>
    <w:lvl w:ilvl="1" w:tplc="88FEEFE8" w:tentative="1">
      <w:start w:val="1"/>
      <w:numFmt w:val="bullet"/>
      <w:lvlText w:val="o"/>
      <w:lvlJc w:val="left"/>
      <w:pPr>
        <w:tabs>
          <w:tab w:val="num" w:pos="1440"/>
        </w:tabs>
        <w:ind w:left="1440" w:hanging="360"/>
      </w:pPr>
      <w:rPr>
        <w:rFonts w:ascii="Courier New" w:hAnsi="Courier New" w:hint="default"/>
      </w:rPr>
    </w:lvl>
    <w:lvl w:ilvl="2" w:tplc="5D588D18" w:tentative="1">
      <w:start w:val="1"/>
      <w:numFmt w:val="bullet"/>
      <w:lvlText w:val=""/>
      <w:lvlJc w:val="left"/>
      <w:pPr>
        <w:tabs>
          <w:tab w:val="num" w:pos="2160"/>
        </w:tabs>
        <w:ind w:left="2160" w:hanging="360"/>
      </w:pPr>
      <w:rPr>
        <w:rFonts w:ascii="Wingdings" w:hAnsi="Wingdings" w:hint="default"/>
      </w:rPr>
    </w:lvl>
    <w:lvl w:ilvl="3" w:tplc="3E1AF12E" w:tentative="1">
      <w:start w:val="1"/>
      <w:numFmt w:val="bullet"/>
      <w:lvlText w:val=""/>
      <w:lvlJc w:val="left"/>
      <w:pPr>
        <w:tabs>
          <w:tab w:val="num" w:pos="2880"/>
        </w:tabs>
        <w:ind w:left="2880" w:hanging="360"/>
      </w:pPr>
      <w:rPr>
        <w:rFonts w:ascii="Symbol" w:hAnsi="Symbol" w:hint="default"/>
      </w:rPr>
    </w:lvl>
    <w:lvl w:ilvl="4" w:tplc="06400840" w:tentative="1">
      <w:start w:val="1"/>
      <w:numFmt w:val="bullet"/>
      <w:lvlText w:val="o"/>
      <w:lvlJc w:val="left"/>
      <w:pPr>
        <w:tabs>
          <w:tab w:val="num" w:pos="3600"/>
        </w:tabs>
        <w:ind w:left="3600" w:hanging="360"/>
      </w:pPr>
      <w:rPr>
        <w:rFonts w:ascii="Courier New" w:hAnsi="Courier New" w:hint="default"/>
      </w:rPr>
    </w:lvl>
    <w:lvl w:ilvl="5" w:tplc="F7CE1CA0" w:tentative="1">
      <w:start w:val="1"/>
      <w:numFmt w:val="bullet"/>
      <w:lvlText w:val=""/>
      <w:lvlJc w:val="left"/>
      <w:pPr>
        <w:tabs>
          <w:tab w:val="num" w:pos="4320"/>
        </w:tabs>
        <w:ind w:left="4320" w:hanging="360"/>
      </w:pPr>
      <w:rPr>
        <w:rFonts w:ascii="Wingdings" w:hAnsi="Wingdings" w:hint="default"/>
      </w:rPr>
    </w:lvl>
    <w:lvl w:ilvl="6" w:tplc="988CD482" w:tentative="1">
      <w:start w:val="1"/>
      <w:numFmt w:val="bullet"/>
      <w:lvlText w:val=""/>
      <w:lvlJc w:val="left"/>
      <w:pPr>
        <w:tabs>
          <w:tab w:val="num" w:pos="5040"/>
        </w:tabs>
        <w:ind w:left="5040" w:hanging="360"/>
      </w:pPr>
      <w:rPr>
        <w:rFonts w:ascii="Symbol" w:hAnsi="Symbol" w:hint="default"/>
      </w:rPr>
    </w:lvl>
    <w:lvl w:ilvl="7" w:tplc="04A0D646" w:tentative="1">
      <w:start w:val="1"/>
      <w:numFmt w:val="bullet"/>
      <w:lvlText w:val="o"/>
      <w:lvlJc w:val="left"/>
      <w:pPr>
        <w:tabs>
          <w:tab w:val="num" w:pos="5760"/>
        </w:tabs>
        <w:ind w:left="5760" w:hanging="360"/>
      </w:pPr>
      <w:rPr>
        <w:rFonts w:ascii="Courier New" w:hAnsi="Courier New" w:hint="default"/>
      </w:rPr>
    </w:lvl>
    <w:lvl w:ilvl="8" w:tplc="EEEA3ED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B6C816A"/>
    <w:lvl w:ilvl="0" w:tplc="621C2406">
      <w:start w:val="1"/>
      <w:numFmt w:val="bullet"/>
      <w:pStyle w:val="TabNum"/>
      <w:lvlText w:val="•"/>
      <w:lvlJc w:val="left"/>
      <w:pPr>
        <w:tabs>
          <w:tab w:val="num" w:pos="2268"/>
        </w:tabs>
        <w:ind w:left="2268" w:hanging="170"/>
      </w:pPr>
      <w:rPr>
        <w:rFonts w:ascii="Times New Roman" w:hAnsi="Times New Roman" w:cs="Times New Roman" w:hint="default"/>
      </w:rPr>
    </w:lvl>
    <w:lvl w:ilvl="1" w:tplc="6FF2FD68" w:tentative="1">
      <w:start w:val="1"/>
      <w:numFmt w:val="bullet"/>
      <w:lvlText w:val="o"/>
      <w:lvlJc w:val="left"/>
      <w:pPr>
        <w:tabs>
          <w:tab w:val="num" w:pos="3708"/>
        </w:tabs>
        <w:ind w:left="3708" w:hanging="360"/>
      </w:pPr>
      <w:rPr>
        <w:rFonts w:ascii="Courier New" w:hAnsi="Courier New" w:hint="default"/>
      </w:rPr>
    </w:lvl>
    <w:lvl w:ilvl="2" w:tplc="3C2A60E4" w:tentative="1">
      <w:start w:val="1"/>
      <w:numFmt w:val="bullet"/>
      <w:lvlText w:val=""/>
      <w:lvlJc w:val="left"/>
      <w:pPr>
        <w:tabs>
          <w:tab w:val="num" w:pos="4428"/>
        </w:tabs>
        <w:ind w:left="4428" w:hanging="360"/>
      </w:pPr>
      <w:rPr>
        <w:rFonts w:ascii="Wingdings" w:hAnsi="Wingdings" w:hint="default"/>
      </w:rPr>
    </w:lvl>
    <w:lvl w:ilvl="3" w:tplc="8AE4CCA0" w:tentative="1">
      <w:start w:val="1"/>
      <w:numFmt w:val="bullet"/>
      <w:lvlText w:val=""/>
      <w:lvlJc w:val="left"/>
      <w:pPr>
        <w:tabs>
          <w:tab w:val="num" w:pos="5148"/>
        </w:tabs>
        <w:ind w:left="5148" w:hanging="360"/>
      </w:pPr>
      <w:rPr>
        <w:rFonts w:ascii="Symbol" w:hAnsi="Symbol" w:hint="default"/>
      </w:rPr>
    </w:lvl>
    <w:lvl w:ilvl="4" w:tplc="C59C8CEA" w:tentative="1">
      <w:start w:val="1"/>
      <w:numFmt w:val="bullet"/>
      <w:lvlText w:val="o"/>
      <w:lvlJc w:val="left"/>
      <w:pPr>
        <w:tabs>
          <w:tab w:val="num" w:pos="5868"/>
        </w:tabs>
        <w:ind w:left="5868" w:hanging="360"/>
      </w:pPr>
      <w:rPr>
        <w:rFonts w:ascii="Courier New" w:hAnsi="Courier New" w:hint="default"/>
      </w:rPr>
    </w:lvl>
    <w:lvl w:ilvl="5" w:tplc="69F2DB26" w:tentative="1">
      <w:start w:val="1"/>
      <w:numFmt w:val="bullet"/>
      <w:lvlText w:val=""/>
      <w:lvlJc w:val="left"/>
      <w:pPr>
        <w:tabs>
          <w:tab w:val="num" w:pos="6588"/>
        </w:tabs>
        <w:ind w:left="6588" w:hanging="360"/>
      </w:pPr>
      <w:rPr>
        <w:rFonts w:ascii="Wingdings" w:hAnsi="Wingdings" w:hint="default"/>
      </w:rPr>
    </w:lvl>
    <w:lvl w:ilvl="6" w:tplc="FFE0F43A" w:tentative="1">
      <w:start w:val="1"/>
      <w:numFmt w:val="bullet"/>
      <w:lvlText w:val=""/>
      <w:lvlJc w:val="left"/>
      <w:pPr>
        <w:tabs>
          <w:tab w:val="num" w:pos="7308"/>
        </w:tabs>
        <w:ind w:left="7308" w:hanging="360"/>
      </w:pPr>
      <w:rPr>
        <w:rFonts w:ascii="Symbol" w:hAnsi="Symbol" w:hint="default"/>
      </w:rPr>
    </w:lvl>
    <w:lvl w:ilvl="7" w:tplc="EA3A6D88" w:tentative="1">
      <w:start w:val="1"/>
      <w:numFmt w:val="bullet"/>
      <w:lvlText w:val="o"/>
      <w:lvlJc w:val="left"/>
      <w:pPr>
        <w:tabs>
          <w:tab w:val="num" w:pos="8028"/>
        </w:tabs>
        <w:ind w:left="8028" w:hanging="360"/>
      </w:pPr>
      <w:rPr>
        <w:rFonts w:ascii="Courier New" w:hAnsi="Courier New" w:hint="default"/>
      </w:rPr>
    </w:lvl>
    <w:lvl w:ilvl="8" w:tplc="796E000E"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176DF"/>
    <w:multiLevelType w:val="multilevel"/>
    <w:tmpl w:val="327416B8"/>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position w:val="0"/>
        <w:sz w:val="26"/>
        <w:szCs w:val="26"/>
        <w:u w:val="none"/>
        <w:vertAlign w:val="baseline"/>
      </w:r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numFmt w:val="none"/>
      <w:suff w:val="nothing"/>
      <w:lvlText w:val=""/>
      <w:lvlJc w:val="left"/>
      <w:pPr>
        <w:ind w:left="0" w:firstLine="0"/>
      </w:pPr>
    </w:lvl>
    <w:lvl w:ilvl="5">
      <w:numFmt w:val="none"/>
      <w:suff w:val="nothing"/>
      <w:lvlText w:val=""/>
      <w:lvlJc w:val="left"/>
      <w:pPr>
        <w:ind w:left="0" w:firstLine="0"/>
      </w:pPr>
    </w:lvl>
    <w:lvl w:ilvl="6">
      <w:numFmt w:val="none"/>
      <w:suff w:val="nothing"/>
      <w:lvlText w:val=""/>
      <w:lvlJc w:val="left"/>
      <w:pPr>
        <w:ind w:left="0" w:firstLine="0"/>
      </w:pPr>
    </w:lvl>
    <w:lvl w:ilvl="7">
      <w:numFmt w:val="none"/>
      <w:suff w:val="nothing"/>
      <w:lvlText w:val=""/>
      <w:lvlJc w:val="left"/>
      <w:pPr>
        <w:ind w:left="0" w:firstLine="0"/>
      </w:pPr>
    </w:lvl>
    <w:lvl w:ilvl="8">
      <w:numFmt w:val="none"/>
      <w:suff w:val="nothing"/>
      <w:lvlText w:val=""/>
      <w:lvlJc w:val="left"/>
      <w:pPr>
        <w:ind w:left="0" w:firstLine="0"/>
      </w:pPr>
    </w:lvl>
  </w:abstractNum>
  <w:abstractNum w:abstractNumId="19"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7FEE3222"/>
    <w:lvl w:ilvl="0" w:tplc="FCE2F11E">
      <w:start w:val="1"/>
      <w:numFmt w:val="bullet"/>
      <w:pStyle w:val="ParaNoG"/>
      <w:lvlText w:val="•"/>
      <w:lvlJc w:val="left"/>
      <w:pPr>
        <w:tabs>
          <w:tab w:val="num" w:pos="1701"/>
        </w:tabs>
        <w:ind w:left="1701" w:hanging="170"/>
      </w:pPr>
      <w:rPr>
        <w:rFonts w:ascii="Times New Roman" w:hAnsi="Times New Roman" w:cs="Times New Roman" w:hint="default"/>
      </w:rPr>
    </w:lvl>
    <w:lvl w:ilvl="1" w:tplc="D3F01CEA" w:tentative="1">
      <w:start w:val="1"/>
      <w:numFmt w:val="bullet"/>
      <w:lvlText w:val="o"/>
      <w:lvlJc w:val="left"/>
      <w:pPr>
        <w:tabs>
          <w:tab w:val="num" w:pos="3141"/>
        </w:tabs>
        <w:ind w:left="3141" w:hanging="360"/>
      </w:pPr>
      <w:rPr>
        <w:rFonts w:ascii="Courier New" w:hAnsi="Courier New" w:hint="default"/>
      </w:rPr>
    </w:lvl>
    <w:lvl w:ilvl="2" w:tplc="A3F6B6BE" w:tentative="1">
      <w:start w:val="1"/>
      <w:numFmt w:val="bullet"/>
      <w:lvlText w:val=""/>
      <w:lvlJc w:val="left"/>
      <w:pPr>
        <w:tabs>
          <w:tab w:val="num" w:pos="3861"/>
        </w:tabs>
        <w:ind w:left="3861" w:hanging="360"/>
      </w:pPr>
      <w:rPr>
        <w:rFonts w:ascii="Wingdings" w:hAnsi="Wingdings" w:hint="default"/>
      </w:rPr>
    </w:lvl>
    <w:lvl w:ilvl="3" w:tplc="126E879A" w:tentative="1">
      <w:start w:val="1"/>
      <w:numFmt w:val="bullet"/>
      <w:lvlText w:val=""/>
      <w:lvlJc w:val="left"/>
      <w:pPr>
        <w:tabs>
          <w:tab w:val="num" w:pos="4581"/>
        </w:tabs>
        <w:ind w:left="4581" w:hanging="360"/>
      </w:pPr>
      <w:rPr>
        <w:rFonts w:ascii="Symbol" w:hAnsi="Symbol" w:hint="default"/>
      </w:rPr>
    </w:lvl>
    <w:lvl w:ilvl="4" w:tplc="8D5C8132" w:tentative="1">
      <w:start w:val="1"/>
      <w:numFmt w:val="bullet"/>
      <w:lvlText w:val="o"/>
      <w:lvlJc w:val="left"/>
      <w:pPr>
        <w:tabs>
          <w:tab w:val="num" w:pos="5301"/>
        </w:tabs>
        <w:ind w:left="5301" w:hanging="360"/>
      </w:pPr>
      <w:rPr>
        <w:rFonts w:ascii="Courier New" w:hAnsi="Courier New" w:hint="default"/>
      </w:rPr>
    </w:lvl>
    <w:lvl w:ilvl="5" w:tplc="D4AE916C" w:tentative="1">
      <w:start w:val="1"/>
      <w:numFmt w:val="bullet"/>
      <w:lvlText w:val=""/>
      <w:lvlJc w:val="left"/>
      <w:pPr>
        <w:tabs>
          <w:tab w:val="num" w:pos="6021"/>
        </w:tabs>
        <w:ind w:left="6021" w:hanging="360"/>
      </w:pPr>
      <w:rPr>
        <w:rFonts w:ascii="Wingdings" w:hAnsi="Wingdings" w:hint="default"/>
      </w:rPr>
    </w:lvl>
    <w:lvl w:ilvl="6" w:tplc="661CD640" w:tentative="1">
      <w:start w:val="1"/>
      <w:numFmt w:val="bullet"/>
      <w:lvlText w:val=""/>
      <w:lvlJc w:val="left"/>
      <w:pPr>
        <w:tabs>
          <w:tab w:val="num" w:pos="6741"/>
        </w:tabs>
        <w:ind w:left="6741" w:hanging="360"/>
      </w:pPr>
      <w:rPr>
        <w:rFonts w:ascii="Symbol" w:hAnsi="Symbol" w:hint="default"/>
      </w:rPr>
    </w:lvl>
    <w:lvl w:ilvl="7" w:tplc="D69A804C" w:tentative="1">
      <w:start w:val="1"/>
      <w:numFmt w:val="bullet"/>
      <w:lvlText w:val="o"/>
      <w:lvlJc w:val="left"/>
      <w:pPr>
        <w:tabs>
          <w:tab w:val="num" w:pos="7461"/>
        </w:tabs>
        <w:ind w:left="7461" w:hanging="360"/>
      </w:pPr>
      <w:rPr>
        <w:rFonts w:ascii="Courier New" w:hAnsi="Courier New" w:hint="default"/>
      </w:rPr>
    </w:lvl>
    <w:lvl w:ilvl="8" w:tplc="795409E6"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0917D4"/>
    <w:multiLevelType w:val="multilevel"/>
    <w:tmpl w:val="BE6820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5"/>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22"/>
  </w:num>
  <w:num w:numId="18">
    <w:abstractNumId w:val="23"/>
  </w:num>
  <w:num w:numId="19">
    <w:abstractNumId w:val="19"/>
  </w:num>
  <w:num w:numId="20">
    <w:abstractNumId w:val="28"/>
  </w:num>
  <w:num w:numId="21">
    <w:abstractNumId w:val="18"/>
  </w:num>
  <w:num w:numId="2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72"/>
    <w:rsid w:val="00033EE1"/>
    <w:rsid w:val="00042B72"/>
    <w:rsid w:val="00043B08"/>
    <w:rsid w:val="000558BD"/>
    <w:rsid w:val="00076D7F"/>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3D0076"/>
    <w:rsid w:val="00407B78"/>
    <w:rsid w:val="00424203"/>
    <w:rsid w:val="0042551A"/>
    <w:rsid w:val="00452493"/>
    <w:rsid w:val="00453318"/>
    <w:rsid w:val="00454E07"/>
    <w:rsid w:val="00472C5C"/>
    <w:rsid w:val="0050108D"/>
    <w:rsid w:val="00513081"/>
    <w:rsid w:val="00517901"/>
    <w:rsid w:val="00526683"/>
    <w:rsid w:val="005709E0"/>
    <w:rsid w:val="00572E19"/>
    <w:rsid w:val="00575455"/>
    <w:rsid w:val="005961C8"/>
    <w:rsid w:val="005966F1"/>
    <w:rsid w:val="005B2F86"/>
    <w:rsid w:val="005D7914"/>
    <w:rsid w:val="005E2B41"/>
    <w:rsid w:val="005F0B42"/>
    <w:rsid w:val="005F1707"/>
    <w:rsid w:val="00634B85"/>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865FE"/>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B10CC7"/>
    <w:rsid w:val="00B36DF7"/>
    <w:rsid w:val="00B520D9"/>
    <w:rsid w:val="00B539E7"/>
    <w:rsid w:val="00B61172"/>
    <w:rsid w:val="00B6245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730ED"/>
    <w:rsid w:val="00D90028"/>
    <w:rsid w:val="00D90138"/>
    <w:rsid w:val="00DB2728"/>
    <w:rsid w:val="00DD44B1"/>
    <w:rsid w:val="00DD78D1"/>
    <w:rsid w:val="00DE32CD"/>
    <w:rsid w:val="00DE4A41"/>
    <w:rsid w:val="00DF71B9"/>
    <w:rsid w:val="00E73F76"/>
    <w:rsid w:val="00E90403"/>
    <w:rsid w:val="00E9115D"/>
    <w:rsid w:val="00EA2C9F"/>
    <w:rsid w:val="00EA420E"/>
    <w:rsid w:val="00ED0BDA"/>
    <w:rsid w:val="00EE142A"/>
    <w:rsid w:val="00EF1360"/>
    <w:rsid w:val="00EF3220"/>
    <w:rsid w:val="00F43903"/>
    <w:rsid w:val="00F94155"/>
    <w:rsid w:val="00F9783F"/>
    <w:rsid w:val="00FD271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E4422"/>
  <w15:docId w15:val="{3BDA6C3C-62C9-4EE7-B348-A069C65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811570"/>
    <w:pPr>
      <w:keepNext/>
      <w:outlineLvl w:val="1"/>
    </w:pPr>
    <w:rPr>
      <w:rFonts w:cs="Arial"/>
      <w:bCs/>
      <w:iCs/>
      <w:szCs w:val="28"/>
    </w:rPr>
  </w:style>
  <w:style w:type="paragraph" w:styleId="3">
    <w:name w:val="heading 3"/>
    <w:basedOn w:val="a"/>
    <w:next w:val="a"/>
    <w:link w:val="30"/>
    <w:qFormat/>
    <w:rsid w:val="00811570"/>
    <w:pPr>
      <w:keepNext/>
      <w:spacing w:before="240" w:after="60"/>
      <w:outlineLvl w:val="2"/>
    </w:pPr>
    <w:rPr>
      <w:rFonts w:ascii="Arial" w:hAnsi="Arial" w:cs="Arial"/>
      <w:b/>
      <w:bCs/>
      <w:sz w:val="26"/>
      <w:szCs w:val="26"/>
    </w:rPr>
  </w:style>
  <w:style w:type="paragraph" w:styleId="4">
    <w:name w:val="heading 4"/>
    <w:basedOn w:val="a"/>
    <w:next w:val="a"/>
    <w:link w:val="40"/>
    <w:qFormat/>
    <w:rsid w:val="00811570"/>
    <w:pPr>
      <w:keepNext/>
      <w:spacing w:before="240" w:after="60"/>
      <w:outlineLvl w:val="3"/>
    </w:pPr>
    <w:rPr>
      <w:b/>
      <w:bCs/>
      <w:sz w:val="28"/>
      <w:szCs w:val="28"/>
    </w:rPr>
  </w:style>
  <w:style w:type="paragraph" w:styleId="5">
    <w:name w:val="heading 5"/>
    <w:basedOn w:val="a"/>
    <w:next w:val="a"/>
    <w:link w:val="50"/>
    <w:qFormat/>
    <w:rsid w:val="00811570"/>
    <w:pPr>
      <w:spacing w:before="240" w:after="60"/>
      <w:outlineLvl w:val="4"/>
    </w:pPr>
    <w:rPr>
      <w:b/>
      <w:bCs/>
      <w:i/>
      <w:iCs/>
      <w:sz w:val="26"/>
      <w:szCs w:val="26"/>
    </w:rPr>
  </w:style>
  <w:style w:type="paragraph" w:styleId="6">
    <w:name w:val="heading 6"/>
    <w:basedOn w:val="a"/>
    <w:next w:val="a"/>
    <w:link w:val="60"/>
    <w:qFormat/>
    <w:rsid w:val="00811570"/>
    <w:pPr>
      <w:spacing w:before="240" w:after="60"/>
      <w:outlineLvl w:val="5"/>
    </w:pPr>
    <w:rPr>
      <w:b/>
      <w:bCs/>
      <w:sz w:val="22"/>
    </w:rPr>
  </w:style>
  <w:style w:type="paragraph" w:styleId="7">
    <w:name w:val="heading 7"/>
    <w:basedOn w:val="a"/>
    <w:next w:val="a"/>
    <w:link w:val="70"/>
    <w:semiHidden/>
    <w:qFormat/>
    <w:rsid w:val="00811570"/>
    <w:pPr>
      <w:spacing w:before="240" w:after="60"/>
      <w:outlineLvl w:val="6"/>
    </w:pPr>
    <w:rPr>
      <w:sz w:val="24"/>
      <w:szCs w:val="24"/>
    </w:rPr>
  </w:style>
  <w:style w:type="paragraph" w:styleId="8">
    <w:name w:val="heading 8"/>
    <w:basedOn w:val="a"/>
    <w:next w:val="a"/>
    <w:link w:val="80"/>
    <w:semiHidden/>
    <w:qFormat/>
    <w:rsid w:val="00811570"/>
    <w:pPr>
      <w:spacing w:before="240" w:after="60"/>
      <w:outlineLvl w:val="7"/>
    </w:pPr>
    <w:rPr>
      <w:i/>
      <w:iCs/>
      <w:sz w:val="24"/>
      <w:szCs w:val="24"/>
    </w:rPr>
  </w:style>
  <w:style w:type="paragraph" w:styleId="9">
    <w:name w:val="heading 9"/>
    <w:basedOn w:val="a"/>
    <w:next w:val="a"/>
    <w:link w:val="90"/>
    <w:semiHidden/>
    <w:qFormat/>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uiPriority w:val="99"/>
    <w:rsid w:val="001253D8"/>
    <w:rPr>
      <w:color w:val="0000FF" w:themeColor="hyperlink"/>
      <w:u w:val="none"/>
    </w:rPr>
  </w:style>
  <w:style w:type="character" w:styleId="a8">
    <w:name w:val="footnote reference"/>
    <w:aliases w:val="4_G,ftref,Footnote Reference Number,-E Fußnotenzeichen,E FNZ,EN Footnote Reference,Exposant 3 Point,Footnote reference number,Footnote symbol,Footnote#,Odwołanie przypisu,Ref,SUPERS,Times 10 Point,de nota al pie,note TESI,BVI fnr"/>
    <w:basedOn w:val="a0"/>
    <w:link w:val="FootnoteReferneceCarcter"/>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Schriftart: 9 pt,Schriftart: 10 pt,Schriftart: 8 pt, Char,Char, Char Char1 Char Char Char,single space,footnote text,fn,ft,FOOTNOTES,WB-Fußnotentext,Fußnote,WB-Fußnotentext Char Char,Fußnotentext Char,ADB,Footnote text,Footnote,f"/>
    <w:basedOn w:val="a"/>
    <w:link w:val="af0"/>
    <w:uiPriority w:val="99"/>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Schriftart: 9 pt Знак,Schriftart: 10 pt Знак,Schriftart: 8 pt Знак, Char Знак,Char Знак, Char Char1 Char Char Char Знак,single space Знак,footnote text Знак,fn Знак,ft Знак,FOOTNOTES Знак,WB-Fußnotentext Знак,Fußnote Знак"/>
    <w:basedOn w:val="a0"/>
    <w:link w:val="af"/>
    <w:uiPriority w:val="99"/>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locked/>
    <w:rsid w:val="00076D7F"/>
    <w:rPr>
      <w:lang w:val="ru-RU" w:eastAsia="en-US"/>
    </w:rPr>
  </w:style>
  <w:style w:type="paragraph" w:customStyle="1" w:styleId="FootnoteReferneceCarcter">
    <w:name w:val="Footnote Refernece Carácter"/>
    <w:aliases w:val="ftref Carácter,4_G Carácter"/>
    <w:basedOn w:val="a"/>
    <w:link w:val="a8"/>
    <w:rsid w:val="00076D7F"/>
    <w:pPr>
      <w:suppressAutoHyphens w:val="0"/>
      <w:autoSpaceDE w:val="0"/>
      <w:autoSpaceDN w:val="0"/>
      <w:adjustRightInd w:val="0"/>
      <w:spacing w:before="120" w:after="160" w:line="240" w:lineRule="exact"/>
      <w:jc w:val="both"/>
    </w:pPr>
    <w:rPr>
      <w:rFonts w:eastAsia="Times New Roman" w:cs="Times New Roman"/>
      <w:sz w:val="18"/>
      <w:szCs w:val="20"/>
      <w:vertAlign w:val="superscript"/>
      <w:lang w:val="es-ES" w:eastAsia="es-ES"/>
    </w:rPr>
  </w:style>
  <w:style w:type="paragraph" w:customStyle="1" w:styleId="ParNoG">
    <w:name w:val="_ParNo_G"/>
    <w:basedOn w:val="a"/>
    <w:qFormat/>
    <w:rsid w:val="00634B85"/>
    <w:pPr>
      <w:numPr>
        <w:numId w:val="3"/>
      </w:numPr>
      <w:tabs>
        <w:tab w:val="left" w:pos="1701"/>
        <w:tab w:val="left" w:pos="2268"/>
        <w:tab w:val="left" w:pos="2835"/>
      </w:tabs>
      <w:kinsoku w:val="0"/>
      <w:overflowPunct w:val="0"/>
      <w:autoSpaceDE w:val="0"/>
      <w:autoSpaceDN w:val="0"/>
      <w:adjustRightInd w:val="0"/>
      <w:snapToGrid w:val="0"/>
      <w:spacing w:after="120"/>
      <w:ind w:right="1134"/>
      <w:jc w:val="both"/>
    </w:pPr>
    <w:rPr>
      <w:rFonts w:cs="Times New Roman"/>
      <w:szCs w:val="20"/>
      <w:lang w:val="en-GB"/>
    </w:rPr>
  </w:style>
  <w:style w:type="character" w:customStyle="1" w:styleId="20">
    <w:name w:val="Заголовок 2 Знак"/>
    <w:basedOn w:val="a0"/>
    <w:link w:val="2"/>
    <w:rsid w:val="00634B85"/>
    <w:rPr>
      <w:rFonts w:eastAsiaTheme="minorHAnsi" w:cs="Arial"/>
      <w:bCs/>
      <w:iCs/>
      <w:szCs w:val="28"/>
      <w:lang w:val="ru-RU" w:eastAsia="en-US"/>
    </w:rPr>
  </w:style>
  <w:style w:type="character" w:customStyle="1" w:styleId="30">
    <w:name w:val="Заголовок 3 Знак"/>
    <w:basedOn w:val="a0"/>
    <w:link w:val="3"/>
    <w:rsid w:val="00634B85"/>
    <w:rPr>
      <w:rFonts w:ascii="Arial" w:eastAsiaTheme="minorHAnsi" w:hAnsi="Arial" w:cs="Arial"/>
      <w:b/>
      <w:bCs/>
      <w:sz w:val="26"/>
      <w:szCs w:val="26"/>
      <w:lang w:val="ru-RU" w:eastAsia="en-US"/>
    </w:rPr>
  </w:style>
  <w:style w:type="character" w:customStyle="1" w:styleId="40">
    <w:name w:val="Заголовок 4 Знак"/>
    <w:basedOn w:val="a0"/>
    <w:link w:val="4"/>
    <w:rsid w:val="00634B85"/>
    <w:rPr>
      <w:rFonts w:eastAsiaTheme="minorHAnsi" w:cstheme="minorBidi"/>
      <w:b/>
      <w:bCs/>
      <w:sz w:val="28"/>
      <w:szCs w:val="28"/>
      <w:lang w:val="ru-RU" w:eastAsia="en-US"/>
    </w:rPr>
  </w:style>
  <w:style w:type="character" w:customStyle="1" w:styleId="50">
    <w:name w:val="Заголовок 5 Знак"/>
    <w:basedOn w:val="a0"/>
    <w:link w:val="5"/>
    <w:rsid w:val="00634B85"/>
    <w:rPr>
      <w:rFonts w:eastAsiaTheme="minorHAnsi" w:cstheme="minorBidi"/>
      <w:b/>
      <w:bCs/>
      <w:i/>
      <w:iCs/>
      <w:sz w:val="26"/>
      <w:szCs w:val="26"/>
      <w:lang w:val="ru-RU" w:eastAsia="en-US"/>
    </w:rPr>
  </w:style>
  <w:style w:type="character" w:customStyle="1" w:styleId="60">
    <w:name w:val="Заголовок 6 Знак"/>
    <w:basedOn w:val="a0"/>
    <w:link w:val="6"/>
    <w:rsid w:val="00634B85"/>
    <w:rPr>
      <w:rFonts w:eastAsiaTheme="minorHAnsi" w:cstheme="minorBidi"/>
      <w:b/>
      <w:bCs/>
      <w:sz w:val="22"/>
      <w:szCs w:val="22"/>
      <w:lang w:val="ru-RU" w:eastAsia="en-US"/>
    </w:rPr>
  </w:style>
  <w:style w:type="character" w:customStyle="1" w:styleId="70">
    <w:name w:val="Заголовок 7 Знак"/>
    <w:basedOn w:val="a0"/>
    <w:link w:val="7"/>
    <w:semiHidden/>
    <w:rsid w:val="00634B85"/>
    <w:rPr>
      <w:rFonts w:eastAsiaTheme="minorHAnsi" w:cstheme="minorBidi"/>
      <w:sz w:val="24"/>
      <w:szCs w:val="24"/>
      <w:lang w:val="ru-RU" w:eastAsia="en-US"/>
    </w:rPr>
  </w:style>
  <w:style w:type="character" w:customStyle="1" w:styleId="80">
    <w:name w:val="Заголовок 8 Знак"/>
    <w:basedOn w:val="a0"/>
    <w:link w:val="8"/>
    <w:semiHidden/>
    <w:rsid w:val="00634B85"/>
    <w:rPr>
      <w:rFonts w:eastAsiaTheme="minorHAnsi" w:cstheme="minorBidi"/>
      <w:i/>
      <w:iCs/>
      <w:sz w:val="24"/>
      <w:szCs w:val="24"/>
      <w:lang w:val="ru-RU" w:eastAsia="en-US"/>
    </w:rPr>
  </w:style>
  <w:style w:type="character" w:customStyle="1" w:styleId="90">
    <w:name w:val="Заголовок 9 Знак"/>
    <w:basedOn w:val="a0"/>
    <w:link w:val="9"/>
    <w:semiHidden/>
    <w:rsid w:val="00634B85"/>
    <w:rPr>
      <w:rFonts w:ascii="Arial" w:eastAsiaTheme="minorHAnsi" w:hAnsi="Arial" w:cs="Arial"/>
      <w:sz w:val="22"/>
      <w:szCs w:val="22"/>
      <w:lang w:val="ru-RU" w:eastAsia="en-US"/>
    </w:rPr>
  </w:style>
  <w:style w:type="numbering" w:styleId="111111">
    <w:name w:val="Outline List 2"/>
    <w:basedOn w:val="a2"/>
    <w:semiHidden/>
    <w:rsid w:val="00634B85"/>
    <w:pPr>
      <w:numPr>
        <w:numId w:val="18"/>
      </w:numPr>
    </w:pPr>
  </w:style>
  <w:style w:type="numbering" w:styleId="1ai">
    <w:name w:val="Outline List 1"/>
    <w:basedOn w:val="a2"/>
    <w:semiHidden/>
    <w:rsid w:val="00634B85"/>
    <w:pPr>
      <w:numPr>
        <w:numId w:val="20"/>
      </w:numPr>
    </w:pPr>
  </w:style>
  <w:style w:type="table" w:customStyle="1" w:styleId="TableGrid1">
    <w:name w:val="Table Grid1"/>
    <w:basedOn w:val="a1"/>
    <w:rsid w:val="00634B85"/>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ListLabel1">
    <w:name w:val="ListLabel 1"/>
    <w:qFormat/>
    <w:rsid w:val="00634B85"/>
    <w:rPr>
      <w:rFonts w:eastAsia="Times New Roman" w:cs="Times New Roman"/>
      <w:b w:val="0"/>
      <w:i w:val="0"/>
      <w:caps w:val="0"/>
      <w:smallCaps w:val="0"/>
      <w:strike w:val="0"/>
      <w:dstrike w:val="0"/>
      <w:color w:val="000000"/>
      <w:position w:val="0"/>
      <w:sz w:val="26"/>
      <w:szCs w:val="26"/>
      <w:u w:val="none"/>
      <w:vertAlign w:val="baseline"/>
    </w:rPr>
  </w:style>
  <w:style w:type="character" w:customStyle="1" w:styleId="ListLabel2">
    <w:name w:val="ListLabel 2"/>
    <w:qFormat/>
    <w:rsid w:val="00634B85"/>
    <w:rPr>
      <w:rFonts w:ascii="Times New Roman" w:eastAsia="Times New Roman" w:hAnsi="Times New Roman" w:cs="Times New Roman"/>
      <w:b w:val="0"/>
      <w:i w:val="0"/>
      <w:caps w:val="0"/>
      <w:smallCaps w:val="0"/>
      <w:strike w:val="0"/>
      <w:dstrike w:val="0"/>
      <w:color w:val="000000"/>
      <w:position w:val="0"/>
      <w:sz w:val="28"/>
      <w:szCs w:val="28"/>
      <w:u w:val="single"/>
      <w:vertAlign w:val="baseline"/>
    </w:rPr>
  </w:style>
  <w:style w:type="character" w:customStyle="1" w:styleId="-">
    <w:name w:val="Интернет-ссылка"/>
    <w:rsid w:val="00634B85"/>
    <w:rPr>
      <w:color w:val="000080"/>
      <w:u w:val="single"/>
    </w:rPr>
  </w:style>
  <w:style w:type="character" w:customStyle="1" w:styleId="af3">
    <w:name w:val="Символ сноски"/>
    <w:qFormat/>
    <w:rsid w:val="00634B85"/>
  </w:style>
  <w:style w:type="character" w:customStyle="1" w:styleId="af4">
    <w:name w:val="Привязка сноски"/>
    <w:rsid w:val="00634B85"/>
    <w:rPr>
      <w:vertAlign w:val="superscript"/>
    </w:rPr>
  </w:style>
  <w:style w:type="character" w:customStyle="1" w:styleId="af5">
    <w:name w:val="Привязка концевой сноски"/>
    <w:rsid w:val="00634B85"/>
    <w:rPr>
      <w:vertAlign w:val="superscript"/>
    </w:rPr>
  </w:style>
  <w:style w:type="character" w:customStyle="1" w:styleId="af6">
    <w:name w:val="Символ концевой сноски"/>
    <w:qFormat/>
    <w:rsid w:val="00634B85"/>
  </w:style>
  <w:style w:type="paragraph" w:customStyle="1" w:styleId="11">
    <w:name w:val="Заголовок1"/>
    <w:basedOn w:val="a"/>
    <w:next w:val="af7"/>
    <w:qFormat/>
    <w:rsid w:val="00634B85"/>
    <w:pPr>
      <w:keepNext/>
      <w:widowControl w:val="0"/>
      <w:tabs>
        <w:tab w:val="left" w:pos="567"/>
        <w:tab w:val="left" w:pos="1134"/>
        <w:tab w:val="left" w:pos="1701"/>
        <w:tab w:val="left" w:pos="2268"/>
        <w:tab w:val="left" w:pos="6237"/>
      </w:tabs>
      <w:suppressAutoHyphens w:val="0"/>
      <w:spacing w:before="240" w:after="120" w:line="288" w:lineRule="auto"/>
    </w:pPr>
    <w:rPr>
      <w:rFonts w:ascii="Arial" w:eastAsia="Tahoma" w:hAnsi="Arial" w:cs="Lohit Hindi"/>
      <w:sz w:val="28"/>
      <w:szCs w:val="28"/>
      <w:lang w:eastAsia="zh-CN" w:bidi="hi-IN"/>
    </w:rPr>
  </w:style>
  <w:style w:type="paragraph" w:styleId="af7">
    <w:name w:val="Body Text"/>
    <w:basedOn w:val="a"/>
    <w:link w:val="af8"/>
    <w:rsid w:val="00634B85"/>
    <w:pPr>
      <w:widowControl w:val="0"/>
      <w:tabs>
        <w:tab w:val="left" w:pos="567"/>
        <w:tab w:val="left" w:pos="1134"/>
        <w:tab w:val="left" w:pos="1701"/>
        <w:tab w:val="left" w:pos="2268"/>
        <w:tab w:val="left" w:pos="6237"/>
      </w:tabs>
      <w:suppressAutoHyphens w:val="0"/>
      <w:spacing w:after="140" w:line="276" w:lineRule="auto"/>
    </w:pPr>
    <w:rPr>
      <w:rFonts w:ascii="Calibri" w:eastAsia="Tahoma" w:hAnsi="Calibri" w:cs="Lohit Hindi"/>
      <w:sz w:val="24"/>
      <w:szCs w:val="24"/>
      <w:lang w:eastAsia="zh-CN" w:bidi="hi-IN"/>
    </w:rPr>
  </w:style>
  <w:style w:type="character" w:customStyle="1" w:styleId="af8">
    <w:name w:val="Основной текст Знак"/>
    <w:basedOn w:val="a0"/>
    <w:link w:val="af7"/>
    <w:rsid w:val="00634B85"/>
    <w:rPr>
      <w:rFonts w:ascii="Calibri" w:eastAsia="Tahoma" w:hAnsi="Calibri" w:cs="Lohit Hindi"/>
      <w:sz w:val="24"/>
      <w:szCs w:val="24"/>
      <w:lang w:val="ru-RU" w:eastAsia="zh-CN" w:bidi="hi-IN"/>
    </w:rPr>
  </w:style>
  <w:style w:type="paragraph" w:styleId="af9">
    <w:name w:val="List"/>
    <w:basedOn w:val="af7"/>
    <w:rsid w:val="00634B85"/>
  </w:style>
  <w:style w:type="paragraph" w:styleId="afa">
    <w:name w:val="caption"/>
    <w:basedOn w:val="a"/>
    <w:qFormat/>
    <w:rsid w:val="00634B85"/>
    <w:pPr>
      <w:widowControl w:val="0"/>
      <w:suppressLineNumbers/>
      <w:tabs>
        <w:tab w:val="left" w:pos="567"/>
        <w:tab w:val="left" w:pos="1134"/>
        <w:tab w:val="left" w:pos="1701"/>
        <w:tab w:val="left" w:pos="2268"/>
        <w:tab w:val="left" w:pos="6237"/>
      </w:tabs>
      <w:suppressAutoHyphens w:val="0"/>
      <w:spacing w:before="120" w:after="120" w:line="288" w:lineRule="auto"/>
    </w:pPr>
    <w:rPr>
      <w:rFonts w:ascii="Calibri" w:eastAsia="Tahoma" w:hAnsi="Calibri" w:cs="Lohit Hindi"/>
      <w:i/>
      <w:iCs/>
      <w:sz w:val="24"/>
      <w:szCs w:val="24"/>
      <w:lang w:eastAsia="zh-CN" w:bidi="hi-IN"/>
    </w:rPr>
  </w:style>
  <w:style w:type="paragraph" w:styleId="12">
    <w:name w:val="index 1"/>
    <w:basedOn w:val="a"/>
    <w:next w:val="a"/>
    <w:autoRedefine/>
    <w:uiPriority w:val="99"/>
    <w:semiHidden/>
    <w:unhideWhenUsed/>
    <w:rsid w:val="00634B85"/>
    <w:pPr>
      <w:widowControl w:val="0"/>
      <w:suppressAutoHyphens w:val="0"/>
      <w:spacing w:line="240" w:lineRule="auto"/>
      <w:ind w:left="240" w:hanging="240"/>
    </w:pPr>
    <w:rPr>
      <w:rFonts w:ascii="Calibri" w:eastAsia="Tahoma" w:hAnsi="Calibri" w:cs="Mangal"/>
      <w:sz w:val="24"/>
      <w:szCs w:val="21"/>
      <w:lang w:eastAsia="zh-CN" w:bidi="hi-IN"/>
    </w:rPr>
  </w:style>
  <w:style w:type="paragraph" w:styleId="afb">
    <w:name w:val="index heading"/>
    <w:basedOn w:val="a"/>
    <w:qFormat/>
    <w:rsid w:val="00634B85"/>
    <w:pPr>
      <w:widowControl w:val="0"/>
      <w:suppressLineNumbers/>
      <w:tabs>
        <w:tab w:val="left" w:pos="567"/>
        <w:tab w:val="left" w:pos="1134"/>
        <w:tab w:val="left" w:pos="1701"/>
        <w:tab w:val="left" w:pos="2268"/>
        <w:tab w:val="left" w:pos="6237"/>
      </w:tabs>
      <w:suppressAutoHyphens w:val="0"/>
      <w:spacing w:line="288" w:lineRule="auto"/>
    </w:pPr>
    <w:rPr>
      <w:rFonts w:ascii="Calibri" w:eastAsia="Tahoma" w:hAnsi="Calibri" w:cs="Lohit Hindi"/>
      <w:sz w:val="24"/>
      <w:szCs w:val="24"/>
      <w:lang w:eastAsia="zh-CN" w:bidi="hi-IN"/>
    </w:rPr>
  </w:style>
  <w:style w:type="paragraph" w:customStyle="1" w:styleId="LO-normal">
    <w:name w:val="LO-normal"/>
    <w:qFormat/>
    <w:rsid w:val="00634B85"/>
    <w:rPr>
      <w:rFonts w:ascii="Calibri" w:eastAsia="Tahoma" w:hAnsi="Calibri" w:cs="Lohit Hindi"/>
      <w:sz w:val="24"/>
      <w:szCs w:val="24"/>
      <w:lang w:val="ru-RU" w:eastAsia="zh-CN" w:bidi="hi-IN"/>
    </w:rPr>
  </w:style>
  <w:style w:type="paragraph" w:styleId="afc">
    <w:name w:val="Title"/>
    <w:basedOn w:val="LO-normal"/>
    <w:next w:val="LO-normal"/>
    <w:link w:val="afd"/>
    <w:qFormat/>
    <w:rsid w:val="00634B85"/>
    <w:pPr>
      <w:keepNext/>
      <w:keepLines/>
      <w:spacing w:before="480" w:after="120"/>
    </w:pPr>
    <w:rPr>
      <w:b/>
      <w:sz w:val="72"/>
      <w:szCs w:val="72"/>
    </w:rPr>
  </w:style>
  <w:style w:type="character" w:customStyle="1" w:styleId="afd">
    <w:name w:val="Заголовок Знак"/>
    <w:basedOn w:val="a0"/>
    <w:link w:val="afc"/>
    <w:rsid w:val="00634B85"/>
    <w:rPr>
      <w:rFonts w:ascii="Calibri" w:eastAsia="Tahoma" w:hAnsi="Calibri" w:cs="Lohit Hindi"/>
      <w:b/>
      <w:sz w:val="72"/>
      <w:szCs w:val="72"/>
      <w:lang w:val="ru-RU" w:eastAsia="zh-CN" w:bidi="hi-IN"/>
    </w:rPr>
  </w:style>
  <w:style w:type="paragraph" w:styleId="afe">
    <w:name w:val="Subtitle"/>
    <w:basedOn w:val="LO-normal"/>
    <w:next w:val="LO-normal"/>
    <w:link w:val="aff"/>
    <w:qFormat/>
    <w:rsid w:val="00634B85"/>
    <w:pPr>
      <w:keepNext/>
      <w:keepLines/>
      <w:spacing w:before="360" w:after="80"/>
    </w:pPr>
    <w:rPr>
      <w:rFonts w:ascii="Georgia" w:eastAsia="Georgia" w:hAnsi="Georgia" w:cs="Georgia"/>
      <w:i/>
      <w:color w:val="666666"/>
      <w:sz w:val="48"/>
      <w:szCs w:val="48"/>
    </w:rPr>
  </w:style>
  <w:style w:type="character" w:customStyle="1" w:styleId="aff">
    <w:name w:val="Подзаголовок Знак"/>
    <w:basedOn w:val="a0"/>
    <w:link w:val="afe"/>
    <w:rsid w:val="00634B85"/>
    <w:rPr>
      <w:rFonts w:ascii="Georgia" w:eastAsia="Georgia" w:hAnsi="Georgia" w:cs="Georgia"/>
      <w:i/>
      <w:color w:val="666666"/>
      <w:sz w:val="48"/>
      <w:szCs w:val="48"/>
      <w:lang w:val="ru-RU" w:eastAsia="zh-CN" w:bidi="hi-IN"/>
    </w:rPr>
  </w:style>
  <w:style w:type="table" w:customStyle="1" w:styleId="TableNormal1">
    <w:name w:val="Table Normal1"/>
    <w:rsid w:val="00634B85"/>
    <w:rPr>
      <w:rFonts w:ascii="Calibri" w:eastAsia="Tahoma" w:hAnsi="Calibri" w:cs="Lohit Hindi"/>
      <w:sz w:val="24"/>
      <w:szCs w:val="24"/>
      <w:lang w:val="ru-RU" w:eastAsia="zh-CN" w:bidi="hi-IN"/>
    </w:rPr>
    <w:tblPr>
      <w:tblCellMar>
        <w:top w:w="0" w:type="dxa"/>
        <w:left w:w="0" w:type="dxa"/>
        <w:bottom w:w="0" w:type="dxa"/>
        <w:right w:w="0" w:type="dxa"/>
      </w:tblCellMar>
    </w:tblPr>
  </w:style>
  <w:style w:type="character" w:customStyle="1" w:styleId="13">
    <w:name w:val="Неразрешенное упоминание1"/>
    <w:basedOn w:val="a0"/>
    <w:uiPriority w:val="99"/>
    <w:semiHidden/>
    <w:unhideWhenUsed/>
    <w:rsid w:val="0063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docs/1887"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minobmauki.gov.ru/press-center/news/7ELEMENT_niN33254" TargetMode="External"/><Relationship Id="rId2" Type="http://schemas.openxmlformats.org/officeDocument/2006/relationships/hyperlink" Target="http://kremlin.ru/acts/assignments/orders/62673" TargetMode="External"/><Relationship Id="rId1" Type="http://schemas.openxmlformats.org/officeDocument/2006/relationships/hyperlink" Target="http://kremlin.ru/events/president/news/625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47</Pages>
  <Words>19639</Words>
  <Characters>139243</Characters>
  <Application>Microsoft Office Word</Application>
  <DocSecurity>0</DocSecurity>
  <Lines>2400</Lines>
  <Paragraphs>584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E/C.12/RUS/7</vt:lpstr>
      <vt:lpstr>A/</vt:lpstr>
      <vt:lpstr>A/</vt:lpstr>
    </vt:vector>
  </TitlesOfParts>
  <Company>DCM</Company>
  <LinksUpToDate>false</LinksUpToDate>
  <CharactersWithSpaces>158298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E/C.12/RUS/7</dc:title>
  <dc:subject/>
  <dc:creator>Ekaterina SALYNSKAYA</dc:creator>
  <cp:keywords/>
  <cp:lastModifiedBy>Ekaterina Salynskaya</cp:lastModifiedBy>
  <cp:revision>3</cp:revision>
  <cp:lastPrinted>2022-11-17T10:48:00Z</cp:lastPrinted>
  <dcterms:created xsi:type="dcterms:W3CDTF">2022-11-17T10:48:00Z</dcterms:created>
  <dcterms:modified xsi:type="dcterms:W3CDTF">2022-11-17T10:49:00Z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