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BB64BB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8118B7" w14:textId="77777777" w:rsidR="002D5AAC" w:rsidRDefault="002D5AAC" w:rsidP="00DD44B1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9DECDC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949F99" w14:textId="697B77E4" w:rsidR="002D5AAC" w:rsidRDefault="00C70D60" w:rsidP="00C70D60">
            <w:pPr>
              <w:jc w:val="right"/>
            </w:pPr>
            <w:r w:rsidRPr="00C70D60">
              <w:rPr>
                <w:sz w:val="40"/>
              </w:rPr>
              <w:t>E</w:t>
            </w:r>
            <w:r>
              <w:t>/C.12/SRB/CO/3</w:t>
            </w:r>
          </w:p>
        </w:tc>
      </w:tr>
      <w:tr w:rsidR="002D5AAC" w:rsidRPr="00F33B5A" w14:paraId="3EE1044E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1443F5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1F6A41" wp14:editId="373BFB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7FE8BD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7497B7" w14:textId="77777777" w:rsidR="002D5AAC" w:rsidRDefault="00C70D60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2FB147" w14:textId="77777777" w:rsidR="00C70D60" w:rsidRDefault="00C70D60" w:rsidP="00C70D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2022</w:t>
            </w:r>
          </w:p>
          <w:p w14:paraId="0339D046" w14:textId="77777777" w:rsidR="00C70D60" w:rsidRDefault="00C70D60" w:rsidP="00C70D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109996" w14:textId="4C260525" w:rsidR="00C70D60" w:rsidRPr="00D62A45" w:rsidRDefault="00C70D60" w:rsidP="00C70D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839C0F" w14:textId="19982E2F" w:rsidR="00C70D60" w:rsidRPr="00C70D60" w:rsidRDefault="00C70D60" w:rsidP="00C70D60">
      <w:pPr>
        <w:pStyle w:val="SingleTxtG"/>
        <w:spacing w:before="120"/>
        <w:ind w:left="0"/>
        <w:jc w:val="left"/>
        <w:rPr>
          <w:b/>
          <w:sz w:val="24"/>
          <w:szCs w:val="24"/>
        </w:rPr>
      </w:pPr>
      <w:r w:rsidRPr="00C70D60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C70D60">
        <w:rPr>
          <w:b/>
          <w:bCs/>
          <w:sz w:val="24"/>
          <w:szCs w:val="24"/>
        </w:rPr>
        <w:t>и культурным правам</w:t>
      </w:r>
    </w:p>
    <w:p w14:paraId="0306E164" w14:textId="77777777" w:rsidR="00C70D60" w:rsidRPr="00C70D60" w:rsidRDefault="00C70D60" w:rsidP="00C70D60">
      <w:pPr>
        <w:pStyle w:val="HChG"/>
      </w:pPr>
      <w:r w:rsidRPr="00C70D60">
        <w:tab/>
      </w:r>
      <w:r w:rsidRPr="00C70D60">
        <w:tab/>
        <w:t>Заключительные замечания по третьему периодическому докладу Сербии</w:t>
      </w:r>
      <w:r w:rsidRPr="00C70D60">
        <w:rPr>
          <w:b w:val="0"/>
          <w:bCs/>
          <w:sz w:val="20"/>
        </w:rPr>
        <w:footnoteReference w:customMarkFollows="1" w:id="1"/>
        <w:t>*</w:t>
      </w:r>
    </w:p>
    <w:p w14:paraId="3A016935" w14:textId="61C8382D" w:rsidR="00C70D60" w:rsidRPr="00C70D60" w:rsidRDefault="00C70D60" w:rsidP="00C70D60">
      <w:pPr>
        <w:pStyle w:val="SingleTxtG"/>
      </w:pPr>
      <w:r w:rsidRPr="00C70D60">
        <w:t>1.</w:t>
      </w:r>
      <w:r w:rsidRPr="00C70D60">
        <w:tab/>
        <w:t>Комитет рассмотрел третий периодический доклад Сербии</w:t>
      </w:r>
      <w:r w:rsidRPr="00C70D60">
        <w:rPr>
          <w:sz w:val="18"/>
          <w:vertAlign w:val="superscript"/>
        </w:rPr>
        <w:footnoteReference w:id="2"/>
      </w:r>
      <w:r w:rsidRPr="00C70D60">
        <w:t xml:space="preserve"> на своих 12-м, </w:t>
      </w:r>
      <w:r>
        <w:br/>
      </w:r>
      <w:r w:rsidRPr="00C70D60">
        <w:t>14-м и 16-м заседаниях</w:t>
      </w:r>
      <w:r w:rsidRPr="00C70D60">
        <w:rPr>
          <w:sz w:val="18"/>
          <w:vertAlign w:val="superscript"/>
        </w:rPr>
        <w:footnoteReference w:id="3"/>
      </w:r>
      <w:r w:rsidRPr="00C70D60">
        <w:t xml:space="preserve">, состоявшихся 21, 22 и 23 февраля 2022 года, и на своем </w:t>
      </w:r>
      <w:r>
        <w:br/>
      </w:r>
      <w:r w:rsidRPr="00C70D60">
        <w:t>30-м заседании, состоявшемся 4 марта 2022 года, принял настоящие заключительные замечания.</w:t>
      </w:r>
    </w:p>
    <w:p w14:paraId="632DF2B7" w14:textId="592011D4" w:rsidR="00C70D60" w:rsidRPr="00C70D60" w:rsidRDefault="00C70D60" w:rsidP="00C70D60">
      <w:pPr>
        <w:pStyle w:val="H1G"/>
      </w:pPr>
      <w:r>
        <w:tab/>
      </w:r>
      <w:r w:rsidRPr="00C70D60">
        <w:t>A.</w:t>
      </w:r>
      <w:r w:rsidRPr="00C70D60">
        <w:tab/>
        <w:t>Введение</w:t>
      </w:r>
    </w:p>
    <w:p w14:paraId="74C54CDD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2.</w:t>
      </w:r>
      <w:r w:rsidRPr="00C70D60">
        <w:tab/>
        <w:t>Комитет приветствует представление государством-участником третьего периодического доклада и дополнительную информацию, представленную в ответах на перечень вопросов</w:t>
      </w:r>
      <w:r w:rsidRPr="00C70D60">
        <w:rPr>
          <w:sz w:val="18"/>
          <w:vertAlign w:val="superscript"/>
        </w:rPr>
        <w:footnoteReference w:id="4"/>
      </w:r>
      <w:r w:rsidRPr="00C70D60">
        <w:t>. Комитет высоко оценивает конструктивный диалог, состоявшийся с межведомственной делегацией высокого уровня государства-участника.</w:t>
      </w:r>
    </w:p>
    <w:p w14:paraId="5022BA30" w14:textId="3E58D90B" w:rsidR="00C70D60" w:rsidRPr="00C70D60" w:rsidRDefault="00C70D60" w:rsidP="00C70D60">
      <w:pPr>
        <w:pStyle w:val="H1G"/>
      </w:pPr>
      <w:r>
        <w:tab/>
      </w:r>
      <w:r w:rsidRPr="00C70D60">
        <w:t>B.</w:t>
      </w:r>
      <w:r w:rsidRPr="00C70D60">
        <w:tab/>
        <w:t>Позитивные аспекты</w:t>
      </w:r>
    </w:p>
    <w:p w14:paraId="5F4D9FAC" w14:textId="77777777" w:rsidR="00C70D60" w:rsidRPr="00C70D60" w:rsidRDefault="00C70D60" w:rsidP="00C70D60">
      <w:pPr>
        <w:pStyle w:val="SingleTxtG"/>
        <w:rPr>
          <w:bCs/>
        </w:rPr>
      </w:pPr>
      <w:r w:rsidRPr="00C70D60">
        <w:t>3.</w:t>
      </w:r>
      <w:r w:rsidRPr="00C70D60">
        <w:tab/>
        <w:t>Комитет приветствует законодательные, институциональные и политические меры, принятые для укрепления защиты экономических, социальных и культурных прав в государстве-участнике, такие как принятие в 2021 году Закона о внесении поправок в Закон о запрещении дискриминации, в 2018 году Закона о бесплатной юридической помощи и в 2016 году Закона о жилье и эксплуатации зданий, а также меры, упоминаемые в настоящих заключительных замечаниях.</w:t>
      </w:r>
    </w:p>
    <w:p w14:paraId="3FF37A54" w14:textId="7B2472A3" w:rsidR="00C70D60" w:rsidRPr="00C70D60" w:rsidRDefault="00C70D60" w:rsidP="00C70D60">
      <w:pPr>
        <w:pStyle w:val="H1G"/>
      </w:pPr>
      <w:r>
        <w:tab/>
      </w:r>
      <w:r w:rsidRPr="00C70D60">
        <w:t>C.</w:t>
      </w:r>
      <w:r w:rsidRPr="00C70D60">
        <w:tab/>
        <w:t>Основные вопросы, вызывающие обеспокоенность, и</w:t>
      </w:r>
      <w:r>
        <w:rPr>
          <w:lang w:val="en-US"/>
        </w:rPr>
        <w:t> </w:t>
      </w:r>
      <w:r w:rsidRPr="00C70D60">
        <w:t>рекомендации</w:t>
      </w:r>
    </w:p>
    <w:p w14:paraId="7AA8B11E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Применение Пакта во внутреннем праве</w:t>
      </w:r>
    </w:p>
    <w:p w14:paraId="349FCC7A" w14:textId="06064635" w:rsidR="00C70D60" w:rsidRPr="00C70D60" w:rsidRDefault="00C70D60" w:rsidP="00C70D60">
      <w:pPr>
        <w:pStyle w:val="SingleTxtG"/>
        <w:rPr>
          <w:bCs/>
        </w:rPr>
      </w:pPr>
      <w:r w:rsidRPr="00C70D60">
        <w:t>4.</w:t>
      </w:r>
      <w:r w:rsidRPr="00C70D60">
        <w:tab/>
        <w:t>Комитет принимает к сведению информацию делегации о наличии конкретного плана относительно ратификации к концу 2022 года Факультативного протокола к Пакту. Однако Комитет по-прежнему обеспокоен отсутствием судебных решений, в</w:t>
      </w:r>
      <w:r w:rsidR="00390053">
        <w:t> </w:t>
      </w:r>
      <w:r w:rsidRPr="00C70D60">
        <w:t xml:space="preserve">которых бы делалась ссылка на положения Пакта, равно как и специализированной подготовки судей, прокуроров и адвокатов по вопросам защиты в судебном порядке прав, провозглашенных в Пакте. Он также обеспокоен недостаточной </w:t>
      </w:r>
      <w:r w:rsidRPr="00C70D60">
        <w:lastRenderedPageBreak/>
        <w:t>осведомленностью государственных служащих, особенно тех, которые отвечают за выполнение Пакта, об обязательствах государства-участника по Пакту (статья 2 (1)).</w:t>
      </w:r>
    </w:p>
    <w:p w14:paraId="71743278" w14:textId="77777777" w:rsidR="00C70D60" w:rsidRPr="00C70D60" w:rsidRDefault="00C70D60" w:rsidP="00C70D60">
      <w:pPr>
        <w:pStyle w:val="SingleTxtG"/>
        <w:rPr>
          <w:b/>
        </w:rPr>
      </w:pPr>
      <w:r w:rsidRPr="00C70D60">
        <w:t>5.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11C110BF" w14:textId="5DAB528C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организовывать на регулярной основе, в том числе с привлечением Судебной академии, специализированную подготовку судей, прокуроров и адвокатов по положениям Пакта и возможностям защиты провозглашенных в нем прав в судебном порядке;</w:t>
      </w:r>
    </w:p>
    <w:p w14:paraId="36AC1946" w14:textId="108AA944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повысить осведомленность об экономических, социальных и культурных правах среди государственных и негосударственных субъектов, отвечающих за выполнение Пакта, таких как инспекторы труда, социальные работники, медицинские работники и учителя, а также среди правообладателей;</w:t>
      </w:r>
    </w:p>
    <w:p w14:paraId="03525A84" w14:textId="328C5877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c</w:t>
      </w:r>
      <w:r w:rsidRPr="00C70D60">
        <w:t>)</w:t>
      </w:r>
      <w:r w:rsidRPr="00C70D60">
        <w:tab/>
      </w:r>
      <w:r w:rsidRPr="00C70D60">
        <w:rPr>
          <w:b/>
          <w:bCs/>
        </w:rPr>
        <w:t>реализовать планы по ратификации Факультативного протокола к Пакту.</w:t>
      </w:r>
    </w:p>
    <w:p w14:paraId="09672364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Обязательства государства-участника</w:t>
      </w:r>
    </w:p>
    <w:p w14:paraId="54C577F7" w14:textId="77777777" w:rsidR="00C70D60" w:rsidRPr="00C70D60" w:rsidRDefault="00C70D60" w:rsidP="00C70D60">
      <w:pPr>
        <w:pStyle w:val="SingleTxtG"/>
      </w:pPr>
      <w:r w:rsidRPr="00C70D60">
        <w:t>6.</w:t>
      </w:r>
      <w:r w:rsidRPr="00C70D60">
        <w:tab/>
        <w:t>Комитет обеспокоен региональными различиями в доступе к социальным услугам, обусловленными низким и разнящимся уровнем финансового и административного потенциала местных органов власти и отсутствием координации между национальными и местными органами власти. Комитет отмечает многочисленные законодательные и политические меры, принятые в областях, которые связаны с закрепленными в Пакте правами, но обеспокоен отсутствием учета последствий для экономических, социальных и культурных прав при разработке и осуществлении таких мер (статья 2 (1)).</w:t>
      </w:r>
    </w:p>
    <w:p w14:paraId="369817E3" w14:textId="77777777" w:rsidR="00C70D60" w:rsidRPr="00C70D60" w:rsidRDefault="00C70D60" w:rsidP="00C70D60">
      <w:pPr>
        <w:pStyle w:val="SingleTxtG"/>
        <w:rPr>
          <w:b/>
        </w:rPr>
      </w:pPr>
      <w:r w:rsidRPr="00C70D60">
        <w:t>7.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принять все необходимые меры для:</w:t>
      </w:r>
    </w:p>
    <w:p w14:paraId="03D92FDE" w14:textId="4D2AA100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укрепления финансового и административного потенциала местных органов власти с целью обеспечения того, чтобы люди в государстве-участнике пользовались закрепленными в Пакте правами на равной основе независимо от места проживания;</w:t>
      </w:r>
    </w:p>
    <w:p w14:paraId="3E0E074E" w14:textId="776F59AF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систематизации оценки воздействия на права человека в процессе разработки законодательства и политики в области экономических, социальных и культурных прав;</w:t>
      </w:r>
    </w:p>
    <w:p w14:paraId="3B3B02E5" w14:textId="05D082DE" w:rsidR="00C70D60" w:rsidRPr="00C70D60" w:rsidRDefault="00C70D60" w:rsidP="00C70D60">
      <w:pPr>
        <w:pStyle w:val="SingleTxtG"/>
        <w:rPr>
          <w:b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обеспечения конструктивного участия затрагиваемых лиц и групп и проведения с ними консультаций в приемлемые сроки.</w:t>
      </w:r>
    </w:p>
    <w:p w14:paraId="61EAD093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Судебные органы</w:t>
      </w:r>
    </w:p>
    <w:p w14:paraId="085078E3" w14:textId="33146C2F" w:rsidR="00C70D60" w:rsidRPr="00C70D60" w:rsidRDefault="00C70D60" w:rsidP="00C70D60">
      <w:pPr>
        <w:pStyle w:val="SingleTxtG"/>
        <w:rPr>
          <w:bCs/>
        </w:rPr>
      </w:pPr>
      <w:r w:rsidRPr="00C70D60">
        <w:t>8.</w:t>
      </w:r>
      <w:r w:rsidRPr="00C70D60">
        <w:tab/>
        <w:t>Комитет отмечает конституционный референдум, проведенный 16 января 2022</w:t>
      </w:r>
      <w:r w:rsidR="00390053">
        <w:t> </w:t>
      </w:r>
      <w:r w:rsidRPr="00C70D60">
        <w:t>года, и другие шаги, предпринятые для укрепления независимости судебной системы. Однако Комитет по-прежнему обеспокоен возможным политическим влиянием на работу прокуратуры в связи с процессом выборов прокуроров и формированием состава Высшего совета прокуроров, которые не соответствуют международным стандартам (статья 2 (1)).</w:t>
      </w:r>
    </w:p>
    <w:p w14:paraId="123A5C02" w14:textId="77777777" w:rsidR="00C70D60" w:rsidRPr="00C70D60" w:rsidRDefault="00C70D60" w:rsidP="00C70D60">
      <w:pPr>
        <w:pStyle w:val="SingleTxtG"/>
        <w:rPr>
          <w:b/>
        </w:rPr>
      </w:pPr>
      <w:r w:rsidRPr="00C70D60">
        <w:t>9.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активизировать усилия по укреплению независимости и повышению эффективности функционирования судебной системы как средства, гарантирующего осуществление экономических, социальных и культурных прав.</w:t>
      </w:r>
      <w:r w:rsidRPr="00C70D60">
        <w:t xml:space="preserve"> </w:t>
      </w:r>
      <w:r w:rsidRPr="00C70D60">
        <w:rPr>
          <w:b/>
          <w:bCs/>
        </w:rPr>
        <w:t>Он также настоятельно призывает государство-участник улучшить процесс выборов прокуроров и формирования состава Высшего совета прокуроров в соответствии с международными нормами в области прав человека и передовой практикой, с тем чтобы гарантировать независимость и подотчетность прокуроров при выполнении ими своих функций.</w:t>
      </w:r>
    </w:p>
    <w:p w14:paraId="63E86D66" w14:textId="2B392E87" w:rsidR="00C70D60" w:rsidRPr="00C70D60" w:rsidRDefault="00C70D60" w:rsidP="00C70D60">
      <w:pPr>
        <w:pStyle w:val="H23G"/>
      </w:pPr>
      <w:r w:rsidRPr="00C70D60">
        <w:lastRenderedPageBreak/>
        <w:tab/>
      </w:r>
      <w:r w:rsidRPr="00C70D60">
        <w:tab/>
        <w:t>Бесплатная правовая помощь</w:t>
      </w:r>
    </w:p>
    <w:p w14:paraId="66B9D67E" w14:textId="77777777" w:rsidR="00C70D60" w:rsidRPr="00C70D60" w:rsidRDefault="00C70D60" w:rsidP="00C70D60">
      <w:pPr>
        <w:pStyle w:val="SingleTxtG"/>
        <w:rPr>
          <w:bCs/>
        </w:rPr>
      </w:pPr>
      <w:r w:rsidRPr="00C70D60">
        <w:t>10.</w:t>
      </w:r>
      <w:r w:rsidRPr="00C70D60">
        <w:tab/>
        <w:t>Комитет приветствует принятие Закона о бесплатной правовой помощи, но обеспокоен:</w:t>
      </w:r>
    </w:p>
    <w:p w14:paraId="026683F5" w14:textId="4BBACD81" w:rsidR="00C70D60" w:rsidRPr="00C70D60" w:rsidRDefault="00C70D60" w:rsidP="00C70D60">
      <w:pPr>
        <w:pStyle w:val="SingleTxtG"/>
        <w:rPr>
          <w:bCs/>
        </w:rPr>
      </w:pPr>
      <w:r>
        <w:tab/>
      </w:r>
      <w:r w:rsidRPr="00C70D60">
        <w:t>a)</w:t>
      </w:r>
      <w:r w:rsidRPr="00C70D60">
        <w:tab/>
        <w:t>недостаточным и неравномерным предоставлением бесплатной правовой помощи местными органами власти;</w:t>
      </w:r>
    </w:p>
    <w:p w14:paraId="31E0FBDC" w14:textId="586AAD3F" w:rsidR="00C70D60" w:rsidRPr="00C70D60" w:rsidRDefault="00C70D60" w:rsidP="00C70D60">
      <w:pPr>
        <w:pStyle w:val="SingleTxtG"/>
        <w:rPr>
          <w:bCs/>
        </w:rPr>
      </w:pPr>
      <w:r>
        <w:tab/>
      </w:r>
      <w:r w:rsidRPr="00C70D60">
        <w:t>b)</w:t>
      </w:r>
      <w:r w:rsidRPr="00C70D60">
        <w:tab/>
        <w:t>отсутствием ясности в отношении процедуры предоставления бесплатной правовой помощи организациями гражданского общества в соответствии с этим Законом, что существенным образом затрудняет получение доступа к бесплатной правовой помощи теми, кто больше всего нуждается в ней;</w:t>
      </w:r>
    </w:p>
    <w:p w14:paraId="1F2B070F" w14:textId="0F852C7F" w:rsidR="00C70D60" w:rsidRPr="00C70D60" w:rsidRDefault="00C70D60" w:rsidP="00C70D60">
      <w:pPr>
        <w:pStyle w:val="SingleTxtG"/>
        <w:rPr>
          <w:bCs/>
        </w:rPr>
      </w:pPr>
      <w:r>
        <w:tab/>
      </w:r>
      <w:r w:rsidRPr="00C70D60">
        <w:t>c)</w:t>
      </w:r>
      <w:r w:rsidRPr="00C70D60">
        <w:tab/>
        <w:t xml:space="preserve">неосведомленностью, особенно находящихся в неблагоприятном положении и </w:t>
      </w:r>
      <w:proofErr w:type="spellStart"/>
      <w:r w:rsidRPr="00C70D60">
        <w:t>маргинализованных</w:t>
      </w:r>
      <w:proofErr w:type="spellEnd"/>
      <w:r w:rsidRPr="00C70D60">
        <w:t xml:space="preserve"> лиц и групп, о наличии бесплатной правовой помощи и процедуре подачи заявлений на ее получение (статья 2 (1)).</w:t>
      </w:r>
    </w:p>
    <w:p w14:paraId="50BA96A7" w14:textId="77777777" w:rsidR="00C70D60" w:rsidRPr="00C70D60" w:rsidRDefault="00C70D60" w:rsidP="00C70D60">
      <w:pPr>
        <w:pStyle w:val="SingleTxtG"/>
        <w:rPr>
          <w:b/>
        </w:rPr>
      </w:pPr>
      <w:r w:rsidRPr="00C70D60">
        <w:t>11.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 активизировать свои усилия по обеспечению наличия и доступности бесплатной правовой помощи для всех нуждающихся лиц.</w:t>
      </w:r>
      <w:r w:rsidRPr="00C70D60">
        <w:t xml:space="preserve"> </w:t>
      </w:r>
      <w:r w:rsidRPr="00C70D60">
        <w:rPr>
          <w:b/>
          <w:bCs/>
        </w:rPr>
        <w:t>В частности, он рекомендует государству-участнику:</w:t>
      </w:r>
    </w:p>
    <w:p w14:paraId="21325418" w14:textId="0308B91D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обеспечить получение качественной бесплатной правовой помощи лицами, имеющими на это право, независимо от места их проживания, путем укрепления потенциала местных органов власти;</w:t>
      </w:r>
    </w:p>
    <w:p w14:paraId="22D0E4E0" w14:textId="00B25120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дать местным органам власти четкие указания в отношении процедуры предоставления бесплатной правовой помощи организациями гражданского общества, в том числе относительно критериев, соответствие которым необходимо для ее получения;</w:t>
      </w:r>
    </w:p>
    <w:p w14:paraId="42E93C24" w14:textId="53DEE5F5" w:rsidR="00C70D60" w:rsidRPr="00C70D60" w:rsidRDefault="00C70D60" w:rsidP="00C70D60">
      <w:pPr>
        <w:pStyle w:val="SingleTxtG"/>
        <w:rPr>
          <w:b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 xml:space="preserve">повысить осведомленность общественности о наличии бесплатной правовой помощи и процедуре подачи заявлений на ее получение, особенно среди работников центров социального обеспечения и находящихся в неблагоприятном положении и </w:t>
      </w:r>
      <w:proofErr w:type="spellStart"/>
      <w:r w:rsidRPr="00C70D60">
        <w:rPr>
          <w:b/>
          <w:bCs/>
        </w:rPr>
        <w:t>маргинализованных</w:t>
      </w:r>
      <w:proofErr w:type="spellEnd"/>
      <w:r w:rsidRPr="00C70D60">
        <w:rPr>
          <w:b/>
          <w:bCs/>
        </w:rPr>
        <w:t xml:space="preserve"> лиц и групп, включая женщин, молодежь, лиц с инвалидностью, рома, беженцев, просителей убежища, мигрантов, внутренне перемещенных лиц и жертв торговли людьми.</w:t>
      </w:r>
    </w:p>
    <w:p w14:paraId="08B517F5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Сбор данных</w:t>
      </w:r>
    </w:p>
    <w:p w14:paraId="2664D48B" w14:textId="77777777" w:rsidR="00C70D60" w:rsidRPr="00C70D60" w:rsidRDefault="00C70D60" w:rsidP="00C70D60">
      <w:pPr>
        <w:pStyle w:val="SingleTxtG"/>
        <w:rPr>
          <w:bCs/>
        </w:rPr>
      </w:pPr>
      <w:r w:rsidRPr="00C70D60">
        <w:t>12.</w:t>
      </w:r>
      <w:r w:rsidRPr="00C70D60">
        <w:tab/>
        <w:t>Комитет обеспокоен отсутствием систематического сбора дезагрегированных данных в области экономических, социальных и культурных прав, что препятствует точной оценке реализации этих прав, а также разработке эффективных и целевых стратегий и программ (статья 2 (1)).</w:t>
      </w:r>
    </w:p>
    <w:p w14:paraId="053A975D" w14:textId="77777777" w:rsidR="00C70D60" w:rsidRPr="00C70D60" w:rsidRDefault="00C70D60" w:rsidP="00C70D60">
      <w:pPr>
        <w:pStyle w:val="SingleTxtG"/>
        <w:rPr>
          <w:b/>
        </w:rPr>
      </w:pPr>
      <w:r w:rsidRPr="00C70D60">
        <w:t>13.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33CD8D79" w14:textId="31871C6B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 xml:space="preserve">улучшать свою систему сбора, управления и анализа данных </w:t>
      </w:r>
      <w:r w:rsidR="00390053">
        <w:rPr>
          <w:b/>
          <w:bCs/>
        </w:rPr>
        <w:br/>
      </w:r>
      <w:r w:rsidRPr="00C70D60">
        <w:rPr>
          <w:b/>
          <w:bCs/>
        </w:rPr>
        <w:t xml:space="preserve">с целью регулярного отслеживания прогресса в реализации закрепленных в Пакте прав, разработки государственной политики на основе фактических данных и целевых мер </w:t>
      </w:r>
      <w:proofErr w:type="gramStart"/>
      <w:r w:rsidRPr="00C70D60">
        <w:rPr>
          <w:b/>
          <w:bCs/>
        </w:rPr>
        <w:t>в интересах</w:t>
      </w:r>
      <w:proofErr w:type="gramEnd"/>
      <w:r w:rsidRPr="00C70D60">
        <w:rPr>
          <w:b/>
          <w:bCs/>
        </w:rPr>
        <w:t xml:space="preserve"> находящихся в неблагоприятном положении и </w:t>
      </w:r>
      <w:proofErr w:type="spellStart"/>
      <w:r w:rsidRPr="00C70D60">
        <w:rPr>
          <w:b/>
          <w:bCs/>
        </w:rPr>
        <w:t>маргинализованных</w:t>
      </w:r>
      <w:proofErr w:type="spellEnd"/>
      <w:r w:rsidRPr="00C70D60">
        <w:rPr>
          <w:b/>
          <w:bCs/>
        </w:rPr>
        <w:t xml:space="preserve"> лиц и групп;</w:t>
      </w:r>
    </w:p>
    <w:p w14:paraId="6FB927C2" w14:textId="1E757315" w:rsidR="00C70D60" w:rsidRPr="00C70D60" w:rsidRDefault="00C70D60" w:rsidP="00C70D60">
      <w:pPr>
        <w:pStyle w:val="SingleTxtG"/>
        <w:rPr>
          <w:b/>
          <w:bCs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систематически собирать данные в области экономических, социальных и культурных прав, дезагрегированные по запрещенным признакам дискриминации, включая пол, возраст, инвалидность, этническое происхождение и регион, и включить такие данные в свой следующий периодический доклад;</w:t>
      </w:r>
    </w:p>
    <w:p w14:paraId="2D371E49" w14:textId="1ACCB71C" w:rsidR="00C70D60" w:rsidRPr="00C70D60" w:rsidRDefault="00C70D60" w:rsidP="00C70D60">
      <w:pPr>
        <w:pStyle w:val="SingleTxtG"/>
        <w:rPr>
          <w:b/>
        </w:rPr>
      </w:pPr>
      <w:r w:rsidRPr="00390053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учитывать концептуальные и методологические рамки для показателей в области прав человека, которые были разработаны Управлением Верховного комиссара Организации Объединенных Наций по правам человека</w:t>
      </w:r>
      <w:r w:rsidRPr="00C70D60">
        <w:rPr>
          <w:sz w:val="18"/>
          <w:vertAlign w:val="superscript"/>
        </w:rPr>
        <w:footnoteReference w:id="5"/>
      </w:r>
      <w:r w:rsidRPr="00C70D60">
        <w:rPr>
          <w:b/>
          <w:bCs/>
        </w:rPr>
        <w:t>.</w:t>
      </w:r>
    </w:p>
    <w:p w14:paraId="3691A412" w14:textId="3C17BFD0" w:rsidR="00C70D60" w:rsidRPr="00C70D60" w:rsidRDefault="00C70D60" w:rsidP="00C70D60">
      <w:pPr>
        <w:pStyle w:val="H23G"/>
      </w:pPr>
      <w:r w:rsidRPr="00C70D60">
        <w:lastRenderedPageBreak/>
        <w:tab/>
      </w:r>
      <w:r w:rsidRPr="00C70D60">
        <w:tab/>
        <w:t>Национальное правозащитное учреждение</w:t>
      </w:r>
    </w:p>
    <w:p w14:paraId="0C50204E" w14:textId="77777777" w:rsidR="00C70D60" w:rsidRPr="00C70D60" w:rsidRDefault="00C70D60" w:rsidP="00C70D60">
      <w:pPr>
        <w:pStyle w:val="SingleTxtG"/>
        <w:rPr>
          <w:bCs/>
        </w:rPr>
      </w:pPr>
      <w:r w:rsidRPr="00C70D60">
        <w:t>14.</w:t>
      </w:r>
      <w:r w:rsidRPr="00C70D60">
        <w:tab/>
        <w:t>Комитет отмечает, что около половины рассмотренных Защитником граждан индивидуальных жалоб касаются прав, закрепленных в Пакте, но обеспокоен несоблюдением государственными органами его мнений и решений (статья 2 (1)).</w:t>
      </w:r>
    </w:p>
    <w:p w14:paraId="78F41B09" w14:textId="275A0A71" w:rsidR="00C70D60" w:rsidRPr="00C70D60" w:rsidRDefault="00C70D60" w:rsidP="00C70D60">
      <w:pPr>
        <w:pStyle w:val="SingleTxtG"/>
        <w:rPr>
          <w:b/>
        </w:rPr>
      </w:pPr>
      <w:r w:rsidRPr="00C70D60">
        <w:t>15.</w:t>
      </w:r>
      <w:r w:rsidRPr="00C70D60">
        <w:tab/>
      </w:r>
      <w:r w:rsidRPr="00C70D60">
        <w:rPr>
          <w:b/>
          <w:bCs/>
        </w:rPr>
        <w:t xml:space="preserve">Комитет рекомендует государству-участнику принять меры, необходимые для обеспечения более строгого соблюдения соответствующими государственными органами мнений и решений Защитника граждан, </w:t>
      </w:r>
      <w:r w:rsidR="00390053">
        <w:rPr>
          <w:b/>
          <w:bCs/>
        </w:rPr>
        <w:br/>
      </w:r>
      <w:r w:rsidRPr="00C70D60">
        <w:rPr>
          <w:b/>
          <w:bCs/>
        </w:rPr>
        <w:t>и предоставить его Управлению финансовую и иную поддержку для укрепления его экспертного потенциала в области экономических, социальных и культурных прав.</w:t>
      </w:r>
    </w:p>
    <w:p w14:paraId="47BE2C25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Правозащитники</w:t>
      </w:r>
    </w:p>
    <w:p w14:paraId="65B0554A" w14:textId="77777777" w:rsidR="00C70D60" w:rsidRPr="00C70D60" w:rsidRDefault="00C70D60" w:rsidP="00C70D60">
      <w:pPr>
        <w:pStyle w:val="SingleTxtG"/>
        <w:rPr>
          <w:bCs/>
        </w:rPr>
      </w:pPr>
      <w:r w:rsidRPr="00C70D60">
        <w:t>16.</w:t>
      </w:r>
      <w:r w:rsidRPr="00C70D60">
        <w:tab/>
        <w:t>Комитет отмечает принятие стратегии по созданию стимулирующей среды для развития гражданского общества в Сербии на период 2022–2030 годов, но обеспокоен неоднократными утверждениями о преследовании, запугивании, физических нападениях и словесных нападках, которым подвергаются защитники экономических, социальных и культурных прав со стороны как негосударственных, так и государственных субъектов. Он также выражает сожаление в связи с отсутствием информации от государства-участника о расследовании таких дел и привлечении виновных к ответственности (статья 2 (1)).</w:t>
      </w:r>
    </w:p>
    <w:p w14:paraId="38C4ED85" w14:textId="77777777" w:rsidR="00C70D60" w:rsidRPr="00C70D60" w:rsidRDefault="00C70D60" w:rsidP="00C70D60">
      <w:pPr>
        <w:pStyle w:val="SingleTxtG"/>
        <w:rPr>
          <w:b/>
        </w:rPr>
      </w:pPr>
      <w:r w:rsidRPr="00C70D60">
        <w:t>17.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75D8E7E5" w14:textId="762653CB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обеспечивать оперативное и тщательное расследование всех сообщений о случаях запугивания, преследования и насилия в отношении правозащитников и привлечение виновных к ответственности;</w:t>
      </w:r>
    </w:p>
    <w:p w14:paraId="1D454191" w14:textId="37698CA8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принять эффективные меры, в том числе по линии реализации стратегии создания стимулирующей среды для развития гражданского общества в Сербии на период 2022–2030 годов, для защиты правозащитников и обеспечения безопасных и благоприятных условий для их работы;</w:t>
      </w:r>
    </w:p>
    <w:p w14:paraId="04F11772" w14:textId="0B433712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принять во внимание заявление Комитета о правозащитниках и экономических, социальных и культурных правах</w:t>
      </w:r>
      <w:r w:rsidRPr="00C70D60">
        <w:rPr>
          <w:sz w:val="18"/>
          <w:vertAlign w:val="superscript"/>
        </w:rPr>
        <w:footnoteReference w:id="6"/>
      </w:r>
      <w:r w:rsidRPr="00C70D60">
        <w:rPr>
          <w:b/>
          <w:bCs/>
        </w:rPr>
        <w:t>, принятое 7 октября 2016</w:t>
      </w:r>
      <w:r>
        <w:rPr>
          <w:b/>
          <w:bCs/>
        </w:rPr>
        <w:t> </w:t>
      </w:r>
      <w:r w:rsidRPr="00C70D60">
        <w:rPr>
          <w:b/>
          <w:bCs/>
        </w:rPr>
        <w:t>года.</w:t>
      </w:r>
    </w:p>
    <w:p w14:paraId="301D13A2" w14:textId="41900B34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Предпринимательская деятельность и экономические, социальные и</w:t>
      </w:r>
      <w:r>
        <w:t> </w:t>
      </w:r>
      <w:r w:rsidRPr="00C70D60">
        <w:t>культурные права</w:t>
      </w:r>
    </w:p>
    <w:p w14:paraId="6686EF90" w14:textId="63C85B91" w:rsidR="00C70D60" w:rsidRPr="00C70D60" w:rsidRDefault="00C70D60" w:rsidP="00C70D60">
      <w:pPr>
        <w:pStyle w:val="SingleTxtG"/>
        <w:rPr>
          <w:bCs/>
        </w:rPr>
      </w:pPr>
      <w:r w:rsidRPr="00C70D60">
        <w:t>18.</w:t>
      </w:r>
      <w:r w:rsidRPr="00C70D60">
        <w:tab/>
        <w:t>Ввиду случаев нарушения прав человека, которые связаны, в частности, с</w:t>
      </w:r>
      <w:r w:rsidR="00FE05A0">
        <w:t> </w:t>
      </w:r>
      <w:r w:rsidRPr="00C70D60">
        <w:t>торговлей людьми, горнодобывающей деятельностью и дискриминацией при предоставлении защиты и льгот и к которым имеют отношение корпорации государства-участника, Комитет с серьезной озабоченностью отмечает отсутствие политических рамок для обеспечения соблюдения прав и предоставления эффективных средств правовой защиты в соответствии с Пактом хозяйствующими субъектами.</w:t>
      </w:r>
    </w:p>
    <w:p w14:paraId="61A14C9D" w14:textId="77777777" w:rsidR="00C70D60" w:rsidRPr="00C70D60" w:rsidRDefault="00C70D60" w:rsidP="00C70D60">
      <w:pPr>
        <w:pStyle w:val="SingleTxtG"/>
        <w:rPr>
          <w:b/>
        </w:rPr>
      </w:pPr>
      <w:r w:rsidRPr="00C70D60">
        <w:t>19.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0405130F" w14:textId="2CA471CD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tab/>
      </w:r>
      <w:r w:rsidRPr="00C70D60">
        <w:rPr>
          <w:b/>
          <w:bCs/>
        </w:rPr>
        <w:t>разработать и принять национальный план действий по вопросам предпринимательской деятельности и прав человека с целью реализации Руководящих принципов предпринимательской деятельности в аспекте прав человека, который будет служить последовательной и систематической основой для выявления приоритетных проблем на национальном уровне, предупреждения и предотвращения нарушений прав человека со стороны предприятий и обеспечения жертвам доступа к эффективному механизму рассмотрения жалоб;</w:t>
      </w:r>
    </w:p>
    <w:p w14:paraId="51B8C8C4" w14:textId="467AFE1F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lastRenderedPageBreak/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принять надлежащие законодательные и административные меры для обеспечения применения хозяйствующими субъектами в своей деятельности и производственно-сбытовых цепочках политики должной осмотрительности в вопросах прав человека;</w:t>
      </w:r>
    </w:p>
    <w:p w14:paraId="38FAE863" w14:textId="7773C2DA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>принять все необходимые меры для привлечения компаний, осуществляющих свою деятельность в государстве-участнике, зарегистрированных на территории государства-участника или управляемых с его территории, к правовой ответственности за нарушение экономических, социальных и культурных прав в результате их деятельности и предоставлять жертвам надлежащие средства правовой защиты;</w:t>
      </w:r>
    </w:p>
    <w:p w14:paraId="0CB1E7FF" w14:textId="428B4097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d)</w:t>
      </w:r>
      <w:r w:rsidRPr="00C70D60">
        <w:tab/>
      </w:r>
      <w:r w:rsidRPr="00C70D60">
        <w:rPr>
          <w:b/>
          <w:bCs/>
        </w:rPr>
        <w:t xml:space="preserve">руководствоваться замечанием общего порядка </w:t>
      </w:r>
      <w:r w:rsidR="00FE05A0">
        <w:rPr>
          <w:b/>
          <w:bCs/>
        </w:rPr>
        <w:t>№ </w:t>
      </w:r>
      <w:r w:rsidRPr="00C70D60">
        <w:rPr>
          <w:b/>
          <w:bCs/>
        </w:rPr>
        <w:t>24 (2017) Комитета об обязательствах государств по Международному пакту об экономических, социальных и культурных правах в контексте предпринимательской деятельности и следовать ему.</w:t>
      </w:r>
    </w:p>
    <w:p w14:paraId="201DE6CC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Пандемия COVID-19</w:t>
      </w:r>
    </w:p>
    <w:p w14:paraId="362BECB0" w14:textId="77777777" w:rsidR="00C70D60" w:rsidRPr="00C70D60" w:rsidRDefault="00C70D60" w:rsidP="00C70D60">
      <w:pPr>
        <w:pStyle w:val="SingleTxtG"/>
        <w:rPr>
          <w:bCs/>
        </w:rPr>
      </w:pPr>
      <w:r w:rsidRPr="00C70D60">
        <w:t>20.</w:t>
      </w:r>
      <w:r w:rsidRPr="00C70D60">
        <w:tab/>
        <w:t>Комитет обеспокоен:</w:t>
      </w:r>
    </w:p>
    <w:p w14:paraId="4E23E7D7" w14:textId="3C641792" w:rsidR="00C70D60" w:rsidRPr="00C70D60" w:rsidRDefault="00C70D60" w:rsidP="00C70D60">
      <w:pPr>
        <w:pStyle w:val="SingleTxtG"/>
      </w:pPr>
      <w:r>
        <w:tab/>
      </w:r>
      <w:r w:rsidRPr="00C70D60">
        <w:t>a)</w:t>
      </w:r>
      <w:r w:rsidRPr="00C70D60">
        <w:tab/>
        <w:t>неравным доступом к вакцинации против коронавируса и связанными с COVID-19 ограничениями в предоставлении других медицинских услуг;</w:t>
      </w:r>
    </w:p>
    <w:p w14:paraId="5281FD05" w14:textId="66E8FF06" w:rsidR="00C70D60" w:rsidRPr="00C70D60" w:rsidRDefault="00C70D60" w:rsidP="00C70D60">
      <w:pPr>
        <w:pStyle w:val="SingleTxtG"/>
      </w:pPr>
      <w:r>
        <w:tab/>
      </w:r>
      <w:r w:rsidRPr="00C70D60">
        <w:t>b)</w:t>
      </w:r>
      <w:r w:rsidRPr="00C70D60">
        <w:tab/>
        <w:t xml:space="preserve">отсутствием конкретных мер реагирования на COVID-19 для защиты находящихся в неблагоприятном положении и </w:t>
      </w:r>
      <w:proofErr w:type="spellStart"/>
      <w:r w:rsidRPr="00C70D60">
        <w:t>маргинализованных</w:t>
      </w:r>
      <w:proofErr w:type="spellEnd"/>
      <w:r w:rsidRPr="00C70D60">
        <w:t xml:space="preserve"> лиц и групп;</w:t>
      </w:r>
    </w:p>
    <w:p w14:paraId="5FD48174" w14:textId="138C71DC" w:rsidR="00C70D60" w:rsidRPr="00C70D60" w:rsidRDefault="00C70D60" w:rsidP="00C70D60">
      <w:pPr>
        <w:pStyle w:val="SingleTxtG"/>
      </w:pPr>
      <w:r>
        <w:tab/>
      </w:r>
      <w:r w:rsidRPr="00C70D60">
        <w:t>c)</w:t>
      </w:r>
      <w:r w:rsidRPr="00C70D60">
        <w:tab/>
        <w:t xml:space="preserve">неспособностью охватить наиболее обездоленных и </w:t>
      </w:r>
      <w:proofErr w:type="spellStart"/>
      <w:r w:rsidRPr="00C70D60">
        <w:t>маргинализованных</w:t>
      </w:r>
      <w:proofErr w:type="spellEnd"/>
      <w:r w:rsidRPr="00C70D60">
        <w:t xml:space="preserve"> лиц и групп, а также хозяйствующих субъектов в неформальном секторе экономики мерами, принятыми в соответствии с декретом о налоговых льготах и прямых льготах субъектам экономической деятельности в частном секторе и финансовой помощи гражданам (статьи 9, 11 и 12).</w:t>
      </w:r>
    </w:p>
    <w:p w14:paraId="76773AC5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rPr>
          <w:b/>
          <w:bCs/>
        </w:rPr>
        <w:t>21.</w:t>
      </w:r>
      <w:r w:rsidRPr="00C70D60">
        <w:rPr>
          <w:b/>
          <w:bCs/>
        </w:rPr>
        <w:tab/>
        <w:t>Комитет рекомендует государству-участнику:</w:t>
      </w:r>
    </w:p>
    <w:p w14:paraId="57168C87" w14:textId="0DF8AEE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обеспечить всеобщий и равноправный доступ к тестированию на COVID-19, его лечению и вакцинации против него, а также обеспечить, чтобы предоставление медицинских услуг не нарушалось из-за медицинских услуг, связанных с COVID-19;</w:t>
      </w:r>
    </w:p>
    <w:p w14:paraId="171A05B7" w14:textId="146B547A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незамедлительно исправить ситуацию путем предоставления связанных с COVID-19 денежных пособий тем, кто был исключен, в том числе из</w:t>
      </w:r>
      <w:r w:rsidR="00FE05A0">
        <w:rPr>
          <w:b/>
          <w:bCs/>
        </w:rPr>
        <w:noBreakHyphen/>
      </w:r>
      <w:r w:rsidRPr="00C70D60">
        <w:rPr>
          <w:b/>
          <w:bCs/>
        </w:rPr>
        <w:t>за отсутствия постоянного места жительства и документов, удостоверяющих личность;</w:t>
      </w:r>
    </w:p>
    <w:p w14:paraId="5C59FBD2" w14:textId="4B6C1AD8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 xml:space="preserve">принять целевые меры по защите обездоленных и </w:t>
      </w:r>
      <w:proofErr w:type="spellStart"/>
      <w:r w:rsidRPr="00C70D60">
        <w:rPr>
          <w:b/>
          <w:bCs/>
        </w:rPr>
        <w:t>маргинализованных</w:t>
      </w:r>
      <w:proofErr w:type="spellEnd"/>
      <w:r w:rsidRPr="00C70D60">
        <w:rPr>
          <w:b/>
          <w:bCs/>
        </w:rPr>
        <w:t xml:space="preserve"> лиц и групп, включая работников и хозяйствующих субъектов неформального сектора экономики и работников с нетрадиционными формами занятости, в контексте восстановления после COVID-19.</w:t>
      </w:r>
    </w:p>
    <w:p w14:paraId="031E85ED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Меры жесткой экономии</w:t>
      </w:r>
    </w:p>
    <w:p w14:paraId="45049862" w14:textId="77777777" w:rsidR="00C70D60" w:rsidRPr="00C70D60" w:rsidRDefault="00C70D60" w:rsidP="00C70D60">
      <w:pPr>
        <w:pStyle w:val="SingleTxtG"/>
        <w:rPr>
          <w:bCs/>
        </w:rPr>
      </w:pPr>
      <w:r w:rsidRPr="00C70D60">
        <w:t>22.</w:t>
      </w:r>
      <w:r w:rsidRPr="00C70D60">
        <w:tab/>
        <w:t xml:space="preserve">Комитет отмечает меры, принятые государством-участником в ответ на финансовый кризис после 2014 года, включая введение налога на недвижимость для социального жилья, повышение ставок налога на добавленную стоимость, сокращение пенсий и уменьшение числа работников в государственном секторе. Комитет обеспокоен тем, что эти меры были приняты без надлежащих консультаций с общественностью, проведения оценки воздействия на права человека или установления конкретных сроков их поэтапной отмены. Он также обеспокоен чрезмерно негативным воздействием этих мер на осуществление экономических, социальных и культурных прав обездоленных и </w:t>
      </w:r>
      <w:proofErr w:type="spellStart"/>
      <w:r w:rsidRPr="00C70D60">
        <w:t>маргинализованных</w:t>
      </w:r>
      <w:proofErr w:type="spellEnd"/>
      <w:r w:rsidRPr="00C70D60">
        <w:t xml:space="preserve"> лиц и групп (статьи 2 (1), 6, 9 и 11).</w:t>
      </w:r>
    </w:p>
    <w:p w14:paraId="5C56C5CA" w14:textId="77777777" w:rsidR="00C70D60" w:rsidRPr="00C70D60" w:rsidRDefault="00C70D60" w:rsidP="00C70D60">
      <w:pPr>
        <w:pStyle w:val="SingleTxtG"/>
        <w:keepNext/>
        <w:rPr>
          <w:b/>
        </w:rPr>
      </w:pPr>
      <w:r w:rsidRPr="00C70D60">
        <w:lastRenderedPageBreak/>
        <w:t>23.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07EEAD3A" w14:textId="0C77FE8B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провести основанный на стандартах в области прав человека обзор мер, которые были приняты в ответ на финансовый кризис, для обеспечения того, чтобы все могли пользоваться экономическими, социальными и культурными правами;</w:t>
      </w:r>
    </w:p>
    <w:p w14:paraId="6A78518D" w14:textId="726CCC3F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обеспечить постепенную отмену таких мер жесткой экономии и повышение эффективности защиты закрепленных в Пакте прав по мере достижения прогресса в деле посткризисного восстановления экономики;</w:t>
      </w:r>
    </w:p>
    <w:p w14:paraId="24DD7301" w14:textId="52E47E1A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>восстановить докризисный объем государственных услуг и социальных пособий и обеспечить эффективное функционирование государственных учреждений;</w:t>
      </w:r>
    </w:p>
    <w:p w14:paraId="5E91AC9A" w14:textId="22C696F8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d)</w:t>
      </w:r>
      <w:r w:rsidRPr="00C70D60">
        <w:tab/>
      </w:r>
      <w:r w:rsidRPr="00C70D60">
        <w:rPr>
          <w:b/>
          <w:bCs/>
        </w:rPr>
        <w:t>принять во внимание открытое письмо Комитета государствам-участникам от 16 мая 2012 года, посвященное экономическим, социальным и культурным правам в контексте экономического и финансового кризиса, а также его заявление о государственном долге, мерах жесткой экономии и Пакте, опубликованное в 2016 году.</w:t>
      </w:r>
    </w:p>
    <w:p w14:paraId="1597757A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Максимальные пределы имеющихся ресурсов</w:t>
      </w:r>
    </w:p>
    <w:p w14:paraId="6E828184" w14:textId="77777777" w:rsidR="00C70D60" w:rsidRPr="00C70D60" w:rsidRDefault="00C70D60" w:rsidP="00C70D60">
      <w:pPr>
        <w:pStyle w:val="SingleTxtG"/>
      </w:pPr>
      <w:r w:rsidRPr="00C70D60">
        <w:t>24.</w:t>
      </w:r>
      <w:r w:rsidRPr="00C70D60">
        <w:tab/>
        <w:t>Комитет обеспокоен:</w:t>
      </w:r>
    </w:p>
    <w:p w14:paraId="1FAF87A3" w14:textId="379A74AC" w:rsidR="00C70D60" w:rsidRPr="00C70D60" w:rsidRDefault="00C70D60" w:rsidP="00C70D60">
      <w:pPr>
        <w:pStyle w:val="SingleTxtG"/>
      </w:pPr>
      <w:r>
        <w:tab/>
      </w:r>
      <w:r w:rsidRPr="00C70D60">
        <w:t>a)</w:t>
      </w:r>
      <w:r w:rsidRPr="00C70D60">
        <w:tab/>
      </w:r>
      <w:proofErr w:type="spellStart"/>
      <w:r w:rsidRPr="00C70D60">
        <w:t>непрогрессивностью</w:t>
      </w:r>
      <w:proofErr w:type="spellEnd"/>
      <w:r w:rsidRPr="00C70D60">
        <w:t xml:space="preserve"> налоговой системы государства-участника, о чем свидетельствует сильная зависимость от налогов на потребление, непрогрессивный и низкий уровень налогов на доходы физических и юридических лиц и очень низкая ставка налога на наследство;</w:t>
      </w:r>
    </w:p>
    <w:p w14:paraId="2BF3343C" w14:textId="3B7AB663" w:rsidR="00C70D60" w:rsidRPr="00C70D60" w:rsidRDefault="00C70D60" w:rsidP="00C70D60">
      <w:pPr>
        <w:pStyle w:val="SingleTxtG"/>
      </w:pPr>
      <w:r>
        <w:tab/>
      </w:r>
      <w:r w:rsidRPr="00C70D60">
        <w:t>b)</w:t>
      </w:r>
      <w:r w:rsidRPr="00C70D60">
        <w:tab/>
        <w:t>высоким уровнем неравенства доходов в государстве-участнике и минимальным перераспределительным эффектом налогов и трансфертов для уменьшения неравенства;</w:t>
      </w:r>
    </w:p>
    <w:p w14:paraId="2C27A83B" w14:textId="6D947722" w:rsidR="00C70D60" w:rsidRPr="00C70D60" w:rsidRDefault="00C70D60" w:rsidP="00C70D60">
      <w:pPr>
        <w:pStyle w:val="SingleTxtG"/>
      </w:pPr>
      <w:r>
        <w:tab/>
      </w:r>
      <w:r w:rsidRPr="00C70D60">
        <w:t>c)</w:t>
      </w:r>
      <w:r w:rsidRPr="00C70D60">
        <w:tab/>
        <w:t>сохраняющимся низким уровнем выделяемых средств, а также частыми случаями перенаправления средств, выделенных на реализацию экономических, социальных и культурных прав, на другие цели, включая военные расходы (статья</w:t>
      </w:r>
      <w:r>
        <w:t> </w:t>
      </w:r>
      <w:r w:rsidRPr="00C70D60">
        <w:t>2</w:t>
      </w:r>
      <w:r>
        <w:t> </w:t>
      </w:r>
      <w:r w:rsidRPr="00C70D60">
        <w:t>(1)).</w:t>
      </w:r>
    </w:p>
    <w:p w14:paraId="086DAF63" w14:textId="77777777" w:rsidR="00C70D60" w:rsidRPr="00C70D60" w:rsidRDefault="00C70D60" w:rsidP="00C70D60">
      <w:pPr>
        <w:pStyle w:val="SingleTxtG"/>
        <w:rPr>
          <w:b/>
        </w:rPr>
      </w:pPr>
      <w:r w:rsidRPr="00C70D60">
        <w:t>25.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72EE152B" w14:textId="73AB57D2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принять более эффективную, прогрессивную и социально справедливую налогово-бюджетную политику с целью расширения налоговой базы и фискального пространства для поступательной реализации экономических, социальных и культурных прав, а также усиления ее перераспределительного эффекта;</w:t>
      </w:r>
    </w:p>
    <w:p w14:paraId="32AF1945" w14:textId="0F5518E4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увеличить объем бюджетных ассигнований, выделяемых на службы занятости, социальную защиту, социальное жилье, здравоохранение, образование и другие сферы, имеющие отношение к правам, закрепленным в Пакте;</w:t>
      </w:r>
    </w:p>
    <w:p w14:paraId="02692F48" w14:textId="4EA89135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воздерживаться от перенаправления средств, выделенных на реализацию экономических, социальных и культурных прав, и, если это только крайне необходимо, обеспечивать, чтобы решение принималось прозрачным образом с проведением соответствующих консультаций.</w:t>
      </w:r>
    </w:p>
    <w:p w14:paraId="18478E03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Коррупция</w:t>
      </w:r>
    </w:p>
    <w:p w14:paraId="0C1FCD0E" w14:textId="2A77314A" w:rsidR="00C70D60" w:rsidRPr="00C70D60" w:rsidRDefault="00C70D60" w:rsidP="00C70D60">
      <w:pPr>
        <w:pStyle w:val="SingleTxtG"/>
        <w:rPr>
          <w:bCs/>
        </w:rPr>
      </w:pPr>
      <w:r w:rsidRPr="00C70D60">
        <w:t>26.</w:t>
      </w:r>
      <w:r w:rsidRPr="00C70D60">
        <w:tab/>
        <w:t xml:space="preserve">Комитет обеспокоен широким распространением коррупции и практики взяточничества при получении доступа к государственным услугам, а также неспособностью Агентства по борьбе с коррупцией расследовать случаи коррупции, особенно те, в которых замешаны высокопоставленные должностные лица. Комитет также сожалеет по поводу отсутствия информации о шагах, предпринятых для пересмотра правовых положений, предусматривающих исключение отдельных инфраструктурных проектов стратегического значения из правил государственных закупок. В свете ряда случаев коррупции в процессе закупок, включая случаи с </w:t>
      </w:r>
      <w:r w:rsidRPr="00C70D60">
        <w:lastRenderedPageBreak/>
        <w:t>участием высокопоставленных должностных лиц, Комитет обеспокоен потенциальным негативным влиянием этих положений на обязательство государства-участника принимать меры в максимальных пределах имеющихся ресурсов (статья</w:t>
      </w:r>
      <w:r>
        <w:t> </w:t>
      </w:r>
      <w:r w:rsidRPr="00C70D60">
        <w:t>2</w:t>
      </w:r>
      <w:r>
        <w:t> </w:t>
      </w:r>
      <w:r w:rsidRPr="00C70D60">
        <w:t>(1)).</w:t>
      </w:r>
    </w:p>
    <w:p w14:paraId="3B0A52E6" w14:textId="77777777" w:rsidR="00C70D60" w:rsidRPr="00C70D60" w:rsidRDefault="00C70D60" w:rsidP="00C70D60">
      <w:pPr>
        <w:pStyle w:val="SingleTxtG"/>
        <w:rPr>
          <w:b/>
        </w:rPr>
      </w:pPr>
      <w:r w:rsidRPr="00C70D60">
        <w:t>27.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161B1FF8" w14:textId="39AA9D94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обеспечивать тщательное и независимое расследование всех случаев коррупции, особенно тех, в которых замешаны высокопоставленные должностные лица, равно как и судебное преследование виновных, не допуская безнаказанности;</w:t>
      </w:r>
    </w:p>
    <w:p w14:paraId="29A61B7A" w14:textId="616C0B5C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укреплять полномочия и возможности антикоррупционных органов, включая Агентство по борьбе с коррупцией, с тем чтобы они могли независимо и эффективно выполнять свои мандаты;</w:t>
      </w:r>
    </w:p>
    <w:p w14:paraId="6478DB81" w14:textId="74948962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пересмотреть Закон о специальных процедурах для реализации проекта строительства и реконструкции линейной инфраструктуры, имеющей особое значение для Сербии, с целью приведения этого закона, в частности его положений об исключениях, в соответствие с международными нормами и наилучшей практикой.</w:t>
      </w:r>
    </w:p>
    <w:p w14:paraId="0B89C8F2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Недискриминация</w:t>
      </w:r>
    </w:p>
    <w:p w14:paraId="3FEEA0AA" w14:textId="77777777" w:rsidR="00C70D60" w:rsidRPr="00C70D60" w:rsidRDefault="00C70D60" w:rsidP="00C70D60">
      <w:pPr>
        <w:pStyle w:val="SingleTxtG"/>
        <w:rPr>
          <w:bCs/>
        </w:rPr>
      </w:pPr>
      <w:r w:rsidRPr="00C70D60">
        <w:t>28.</w:t>
      </w:r>
      <w:r w:rsidRPr="00C70D60">
        <w:tab/>
        <w:t xml:space="preserve">Комитет обеспокоен </w:t>
      </w:r>
      <w:proofErr w:type="gramStart"/>
      <w:r w:rsidRPr="00C70D60">
        <w:t>дискриминацией по существу</w:t>
      </w:r>
      <w:proofErr w:type="gramEnd"/>
      <w:r w:rsidRPr="00C70D60">
        <w:t xml:space="preserve">, с которой сталкиваются обездоленные и </w:t>
      </w:r>
      <w:proofErr w:type="spellStart"/>
      <w:r w:rsidRPr="00C70D60">
        <w:t>маргинализованные</w:t>
      </w:r>
      <w:proofErr w:type="spellEnd"/>
      <w:r w:rsidRPr="00C70D60">
        <w:t xml:space="preserve"> лица и группы в части получения доступа к работе, социальной защите, жилью, медицинским услугам и образованию. Ситуация еще более ухудшилась из-за роста ненавистнической риторики, в том числе в социальных сетях (статьи 2 (2), 6, 9, 10, 11, 12, 13 и 14).</w:t>
      </w:r>
    </w:p>
    <w:p w14:paraId="40966ECD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29.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 активизировать свои усилия по поощрению равенства и борьбе с дискриминацией в отношении рома и лиц, принадлежащих к группам национальных меньшинств, лиц с инвалидностью, беженцев, просителей убежища, внутренне перемещенных лиц, а также лесбиянок, гомосексуалистов, бисексуалов, трансгендеров и интерсексуалов.</w:t>
      </w:r>
      <w:r w:rsidRPr="00C70D60">
        <w:t xml:space="preserve"> </w:t>
      </w:r>
      <w:r w:rsidRPr="00C70D60">
        <w:rPr>
          <w:b/>
          <w:bCs/>
        </w:rPr>
        <w:t>В частности, он рекомендует государству-участнику:</w:t>
      </w:r>
    </w:p>
    <w:p w14:paraId="66258E87" w14:textId="792F723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предпринять необходимые шаги для отмены всех дискриминационных правовых положений и безотлагательного принятия находящегося на рассмотрении антидискриминационного законодательства, а</w:t>
      </w:r>
      <w:r w:rsidR="00FE05A0">
        <w:rPr>
          <w:b/>
          <w:bCs/>
        </w:rPr>
        <w:t> </w:t>
      </w:r>
      <w:r w:rsidRPr="00C70D60">
        <w:rPr>
          <w:b/>
          <w:bCs/>
        </w:rPr>
        <w:t>также повысить эффективность применения антидискриминационного законодательства с целью обеспечения равного пользования экономическими, социальными и культурными правами на практике;</w:t>
      </w:r>
    </w:p>
    <w:p w14:paraId="49D9CC00" w14:textId="3725B86F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 xml:space="preserve">принять меры, необходимые для обеспечения того, чтобы государственные органы проводили проверку на равенство при разработке новых нормативных актов или политики, оказывающих влияние на осуществление экономических, социальных и культурных прав обездоленными и </w:t>
      </w:r>
      <w:proofErr w:type="spellStart"/>
      <w:r w:rsidRPr="00C70D60">
        <w:rPr>
          <w:b/>
          <w:bCs/>
        </w:rPr>
        <w:t>маргинализованными</w:t>
      </w:r>
      <w:proofErr w:type="spellEnd"/>
      <w:r w:rsidRPr="00C70D60">
        <w:rPr>
          <w:b/>
          <w:bCs/>
        </w:rPr>
        <w:t xml:space="preserve"> лицами и группами, как это предусмотрено в Законе о внесении поправок в Закон о запрете дискриминации;</w:t>
      </w:r>
    </w:p>
    <w:p w14:paraId="4373F89D" w14:textId="3D215669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>повышать осведомленность и информированность государственных должностных лиц и общественности, в том числе относительно ненавистнической риторики в Интернете.</w:t>
      </w:r>
    </w:p>
    <w:p w14:paraId="531565FE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Документы, удостоверяющие личность</w:t>
      </w:r>
    </w:p>
    <w:p w14:paraId="76F69BA2" w14:textId="77777777" w:rsidR="00C70D60" w:rsidRPr="00C70D60" w:rsidRDefault="00C70D60" w:rsidP="00C70D60">
      <w:pPr>
        <w:pStyle w:val="SingleTxtG"/>
      </w:pPr>
      <w:r w:rsidRPr="00C70D60">
        <w:t>30.</w:t>
      </w:r>
      <w:r w:rsidRPr="00C70D60">
        <w:tab/>
        <w:t xml:space="preserve">Поскольку наличие документов, удостоверяющих личность, является необходимым условием для получения доступа к большинству социальных услуг, Комитет глубоко обеспокоен большим количеством детей, рождение которых не может быть зарегистрировано, а также большим количеством лиц, проживание которых не может быть зарегистрировано по адресу центра социального обеспечения, как это предусмотрено Законом о постоянном и временном проживании граждан, </w:t>
      </w:r>
      <w:r w:rsidRPr="00C70D60">
        <w:lastRenderedPageBreak/>
        <w:t>равно как и вытекающим из этого ограничением их доступа к социальным услугам (статьи 2 (2), 6, 9, 11, 12, 13 и 14).</w:t>
      </w:r>
    </w:p>
    <w:p w14:paraId="6DBD984D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31.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 принять незамедлительные меры в целях:</w:t>
      </w:r>
    </w:p>
    <w:p w14:paraId="1D88A4F5" w14:textId="42FCDD0D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исправления ситуации, когда лицам без документов, удостоверяющих личность, отказывают в доступе к социальным услугам, включая социальную защиту, медицинское обслуживание и образование;</w:t>
      </w:r>
    </w:p>
    <w:p w14:paraId="1E2CFC89" w14:textId="79B90C91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расширения применения Закона о постоянном и временном проживании граждан на внутренне перемещенных лиц, которые проживают в неформальных поселениях, и постоянное место жительства которых зарегистрировано в Косово</w:t>
      </w:r>
      <w:r w:rsidRPr="00C70D60">
        <w:rPr>
          <w:sz w:val="18"/>
          <w:vertAlign w:val="superscript"/>
        </w:rPr>
        <w:footnoteReference w:id="7"/>
      </w:r>
      <w:r w:rsidRPr="00C70D60">
        <w:rPr>
          <w:b/>
          <w:bCs/>
        </w:rPr>
        <w:t>, с тем чтобы они могли регистрировать свое место жительства по адресу центра социального обеспечения;</w:t>
      </w:r>
    </w:p>
    <w:p w14:paraId="3EE0C9B8" w14:textId="4B241681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пересмотра законодательства, касающегося регистрации рождений, включая подзаконные акты, с целью обеспечения регистрации рождения всех детей в Сербии.</w:t>
      </w:r>
    </w:p>
    <w:p w14:paraId="50A7694A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Беженцы, просители убежища и мигранты</w:t>
      </w:r>
    </w:p>
    <w:p w14:paraId="417F26BB" w14:textId="71886F2E" w:rsidR="00C70D60" w:rsidRPr="00C70D60" w:rsidRDefault="00C70D60" w:rsidP="00C70D60">
      <w:pPr>
        <w:pStyle w:val="SingleTxtG"/>
      </w:pPr>
      <w:r w:rsidRPr="00C70D60">
        <w:t>32.</w:t>
      </w:r>
      <w:r w:rsidRPr="00C70D60">
        <w:tab/>
        <w:t>Комитет обеспокоен недостатками в процедуре предоставления убежища, по</w:t>
      </w:r>
      <w:r w:rsidR="00FE05A0">
        <w:noBreakHyphen/>
      </w:r>
      <w:r w:rsidRPr="00C70D60">
        <w:t>прежнему неудовлетворительными условиями приема, а также недостаточной защитой и поддержкой, предоставляемой несопровождаемым и разлученным детям (статьи 2 (2) и 10).</w:t>
      </w:r>
    </w:p>
    <w:p w14:paraId="45FDAE86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33.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301D154F" w14:textId="42802835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усовершенствовать процедуры предоставления убежища в целях обеспечения последовательности решений и соблюдения предусмотренных законом сроков;</w:t>
      </w:r>
    </w:p>
    <w:p w14:paraId="66C74E3D" w14:textId="49934ED2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улучшить условия в центрах приема и доступ к медицинскому обслуживанию и другим базовым услугам;</w:t>
      </w:r>
    </w:p>
    <w:p w14:paraId="07117280" w14:textId="3343B8C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предоставлять всем несопровождаемым и разлученным детям альтернативный уход и опекунскую защиту, а также обеспечивать продолжение ими образования посредством оказания надлежащей поддержки, включая надлежащее изучение языка.</w:t>
      </w:r>
    </w:p>
    <w:p w14:paraId="43624109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Лица с инвалидностью</w:t>
      </w:r>
    </w:p>
    <w:p w14:paraId="2B65DA60" w14:textId="77777777" w:rsidR="00C70D60" w:rsidRPr="00C70D60" w:rsidRDefault="00C70D60" w:rsidP="00C70D60">
      <w:pPr>
        <w:pStyle w:val="SingleTxtG"/>
        <w:rPr>
          <w:bCs/>
        </w:rPr>
      </w:pPr>
      <w:r w:rsidRPr="00C70D60">
        <w:t>34.</w:t>
      </w:r>
      <w:r w:rsidRPr="00C70D60">
        <w:tab/>
        <w:t>Комитет обеспокоен тем, что отказ в разумном приспособлении для лиц с инвалидностью не признается в качестве формы дискриминации и что государственные учреждения и общественный транспорт в значительной степени недоступны для этой категории лиц. Он также обеспокоен продолжающейся институционализацией лиц с инвалидностью и ограниченной доступностью услуг на уровне общин. Кроме того, он обеспокоен сохраняющимся низким уровнем занятости и социальной интеграции лиц с инвалидностью (статьи 2 (2) и 6).</w:t>
      </w:r>
    </w:p>
    <w:p w14:paraId="7D77621F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35.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67FC49E1" w14:textId="4813EEF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обеспечить, чтобы отказ в предоставлении разумного приспособления был юридически признан формой дискриминации, и обеспечить предоставление разумного приспособления, особенно на рабочем месте и в школе;</w:t>
      </w:r>
    </w:p>
    <w:p w14:paraId="54AB1813" w14:textId="3FC2BF8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улучшить доступность государственных учреждений, включая медицинские клиники и общественный транспорт;</w:t>
      </w:r>
    </w:p>
    <w:p w14:paraId="42C77ADA" w14:textId="2D39D94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 xml:space="preserve">способствовать </w:t>
      </w:r>
      <w:proofErr w:type="spellStart"/>
      <w:r w:rsidRPr="00C70D60">
        <w:rPr>
          <w:b/>
          <w:bCs/>
        </w:rPr>
        <w:t>деинституционализации</w:t>
      </w:r>
      <w:proofErr w:type="spellEnd"/>
      <w:r w:rsidRPr="00C70D60">
        <w:rPr>
          <w:b/>
          <w:bCs/>
        </w:rPr>
        <w:t xml:space="preserve"> лиц с инвалидностью и расширять услуги, предоставляемые им на уровне общин;</w:t>
      </w:r>
    </w:p>
    <w:p w14:paraId="79C0D0E3" w14:textId="1F509C8F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lastRenderedPageBreak/>
        <w:tab/>
      </w:r>
      <w:r w:rsidRPr="00C70D60">
        <w:rPr>
          <w:b/>
          <w:bCs/>
        </w:rPr>
        <w:t>d)</w:t>
      </w:r>
      <w:r w:rsidRPr="00C70D60">
        <w:tab/>
      </w:r>
      <w:r w:rsidRPr="00C70D60">
        <w:rPr>
          <w:b/>
          <w:bCs/>
        </w:rPr>
        <w:t>улучшить ситуацию с занятостью лиц с инвалидностью, в том числе путем создания стимулов и принятия специальных мер, и интегрировать работников с инвалидностью в основной рынок труда.</w:t>
      </w:r>
    </w:p>
    <w:p w14:paraId="751A908B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Равенство мужчин и женщин</w:t>
      </w:r>
    </w:p>
    <w:p w14:paraId="17281CE9" w14:textId="3D485450" w:rsidR="00C70D60" w:rsidRPr="00C70D60" w:rsidRDefault="00C70D60" w:rsidP="00C70D60">
      <w:pPr>
        <w:pStyle w:val="SingleTxtG"/>
        <w:rPr>
          <w:bCs/>
        </w:rPr>
      </w:pPr>
      <w:r w:rsidRPr="00C70D60">
        <w:t>36.</w:t>
      </w:r>
      <w:r w:rsidRPr="00C70D60">
        <w:tab/>
        <w:t>Комитет отмечает принятие новой национальной стратегии обеспечения гендерного равенства на 2021–2030 годы, но обеспокоен недостаточной результативностью национальной стратегии обеспечения гендерного равенства на 2016–2020 годы, особенно в части участия женщин в рабочей силе и их занятости. Он</w:t>
      </w:r>
      <w:r w:rsidR="00FE05A0">
        <w:t> </w:t>
      </w:r>
      <w:r w:rsidRPr="00C70D60">
        <w:t>также обеспокоен отсутствием механизмов предоставления защиты и поддержки женщинам, которые сталкиваются с возросшими обязанностями по уходу в связи с закрытием школ и повышенным риском бытового насилия во время пандемии (статья</w:t>
      </w:r>
      <w:r>
        <w:t> </w:t>
      </w:r>
      <w:r w:rsidRPr="00C70D60">
        <w:t>3).</w:t>
      </w:r>
    </w:p>
    <w:p w14:paraId="78E9C639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37.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государство-участник:</w:t>
      </w:r>
    </w:p>
    <w:p w14:paraId="3B665FA9" w14:textId="60771C1D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полностью реализовать новую национальную стратегию обеспечения гендерного равенства на 2021–2030 годы;</w:t>
      </w:r>
    </w:p>
    <w:p w14:paraId="6170A00C" w14:textId="547E802A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выявить коренные причины, препятствующие участию женщин в рабочей силе и получению ими достойной работы, адаптировать работу служб занятости, а также профессиональное образование и подготовку для их устранения, а также предоставлять социальные услуги для обеспечения более гармоничного сочетания работы и семейной жизни;</w:t>
      </w:r>
    </w:p>
    <w:p w14:paraId="38B8DB67" w14:textId="1407C039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>расширить предоставление социальных услуг в целях обеспечения более равного распределения обязанностей по уходу между мужчинами и женщинами и содействия участию женщин на рынке труда и в общественной жизни;</w:t>
      </w:r>
    </w:p>
    <w:p w14:paraId="26C5DF9A" w14:textId="086612F1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d)</w:t>
      </w:r>
      <w:r w:rsidRPr="00C70D60">
        <w:rPr>
          <w:b/>
          <w:bCs/>
        </w:rPr>
        <w:tab/>
        <w:t>активизировать усилия по предотвращению и пресечению сексуального и гендерного насилия во всех местах, включая дом, работу и школу, в том числе путем осуществления Конвенции Совета Европы о предотвращении и пресечении насилия в отношении женщин и бытового насилия (Стамбульская конвенция).</w:t>
      </w:r>
    </w:p>
    <w:p w14:paraId="101FE0FA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Право на труд</w:t>
      </w:r>
    </w:p>
    <w:p w14:paraId="32069BFB" w14:textId="53AF9C70" w:rsidR="00C70D60" w:rsidRPr="00C70D60" w:rsidRDefault="00C70D60" w:rsidP="00C70D60">
      <w:pPr>
        <w:pStyle w:val="SingleTxtG"/>
        <w:rPr>
          <w:bCs/>
        </w:rPr>
      </w:pPr>
      <w:r w:rsidRPr="00C70D60">
        <w:t>38.</w:t>
      </w:r>
      <w:r w:rsidRPr="00C70D60">
        <w:tab/>
        <w:t>Комитет обеспокоен высоким уровнем безработицы, особенно длительной безработицы, и чрезмерным числом молодых людей, не посещающих учебные заведения, не имеющих работы и не проходящих профессиональную подготовку. Он</w:t>
      </w:r>
      <w:r w:rsidR="00FE05A0">
        <w:t> </w:t>
      </w:r>
      <w:r w:rsidRPr="00C70D60">
        <w:t>также обеспокоен низкой эффективностью мер, включая меры по осуществлению активной политики в области занятости, которые принимаются для улучшения ситуации с занятостью лиц, относящихся к категории трудно трудоустраиваемых. Кроме того, он обеспокоен тем, что выплаты, производимые учащимся учебных заведений системы среднего специального образования и молодым людям, проходящим стажировку, ниже минимальной заработной платы и что зачастую они работают в условиях, не отвечающих установленным нормам (статьи 6 и 7).</w:t>
      </w:r>
    </w:p>
    <w:p w14:paraId="429AB8C3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39.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государство-участник:</w:t>
      </w:r>
    </w:p>
    <w:p w14:paraId="44AEDCBE" w14:textId="4EF15EEC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активизировать усилия по сокращению безработицы, особенно среди молодежи;</w:t>
      </w:r>
    </w:p>
    <w:p w14:paraId="03573EF1" w14:textId="1CD3667E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повысить эффективность мер по осуществлению активной политики в области занятости путем выявления коренных причин в части лиц, относящихся к категории трудно трудоустраиваемых, и разработки конкретных программ по их устранению с целью предоставления этим лицам возможностей найти достойную и стабильную работу;</w:t>
      </w:r>
    </w:p>
    <w:p w14:paraId="451655D4" w14:textId="2D3CE985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 xml:space="preserve">принять эффективные меры по защите учащихся учебных заведений системы среднего специального образования и молодых людей, проходящих стажировку по линии таких программ, как программа </w:t>
      </w:r>
      <w:r>
        <w:rPr>
          <w:b/>
          <w:bCs/>
        </w:rPr>
        <w:t>«</w:t>
      </w:r>
      <w:r w:rsidRPr="00C70D60">
        <w:rPr>
          <w:b/>
          <w:bCs/>
        </w:rPr>
        <w:t>Моя первая зарплата</w:t>
      </w:r>
      <w:r>
        <w:rPr>
          <w:b/>
          <w:bCs/>
        </w:rPr>
        <w:t>»</w:t>
      </w:r>
      <w:r w:rsidRPr="00C70D60">
        <w:rPr>
          <w:b/>
          <w:bCs/>
        </w:rPr>
        <w:t xml:space="preserve">, </w:t>
      </w:r>
      <w:r w:rsidRPr="00C70D60">
        <w:rPr>
          <w:b/>
          <w:bCs/>
        </w:rPr>
        <w:lastRenderedPageBreak/>
        <w:t>от трудовой эксплуатации и обеспечить их защиту в соответствии с нормами трудового законодательства.</w:t>
      </w:r>
    </w:p>
    <w:p w14:paraId="04E77B4A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Торговля людьми</w:t>
      </w:r>
    </w:p>
    <w:p w14:paraId="3F716E1F" w14:textId="77777777" w:rsidR="00C70D60" w:rsidRPr="00C70D60" w:rsidRDefault="00C70D60" w:rsidP="00C70D60">
      <w:pPr>
        <w:pStyle w:val="SingleTxtG"/>
      </w:pPr>
      <w:r w:rsidRPr="00C70D60">
        <w:t>40.</w:t>
      </w:r>
      <w:r w:rsidRPr="00C70D60">
        <w:tab/>
        <w:t>Комитет приветствует создание Центра по защите жертв торговли людьми, но по-прежнему обеспокоен утверждениями о торговле людьми и экономической эксплуатации, отсутствием механизмов для поддержки и защиты жертв торговли людьми, а также недостаточным уровнем финансирования, выделяемого на предотвращение торговли людьми (статья 6).</w:t>
      </w:r>
    </w:p>
    <w:p w14:paraId="7D9A637D" w14:textId="77777777" w:rsidR="00C70D60" w:rsidRPr="00C70D60" w:rsidRDefault="00C70D60" w:rsidP="00C70D60">
      <w:pPr>
        <w:pStyle w:val="SingleTxtG"/>
        <w:rPr>
          <w:b/>
        </w:rPr>
      </w:pPr>
      <w:r w:rsidRPr="00C70D60">
        <w:t>41.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активизировать свои усилия по предупреждению торговли людьми и борьбе с нею, в частности путем:</w:t>
      </w:r>
    </w:p>
    <w:p w14:paraId="26E7B683" w14:textId="18D79264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обеспечения надлежащей подготовки сотрудников правоохранительных и судебных органов для более эффективного раннего выявления жертв;</w:t>
      </w:r>
    </w:p>
    <w:p w14:paraId="22517C0F" w14:textId="2117B89B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>улучшения защиты и физической, психологической и юридической поддержки жертв в координации с организациями гражданского общества;</w:t>
      </w:r>
    </w:p>
    <w:p w14:paraId="2B111555" w14:textId="2611E794" w:rsidR="00C70D60" w:rsidRPr="00C70D60" w:rsidRDefault="00C70D60" w:rsidP="00C70D60">
      <w:pPr>
        <w:pStyle w:val="SingleTxtG"/>
        <w:rPr>
          <w:b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tab/>
      </w:r>
      <w:r w:rsidRPr="00C70D60">
        <w:rPr>
          <w:b/>
          <w:bCs/>
        </w:rPr>
        <w:t>выделения достаточного финансирования для предотвращения торговли людьми и поддержки жертв.</w:t>
      </w:r>
    </w:p>
    <w:p w14:paraId="496C151A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Право на справедливые и благоприятные условия работы</w:t>
      </w:r>
    </w:p>
    <w:p w14:paraId="52725B43" w14:textId="3C644C46" w:rsidR="00C70D60" w:rsidRPr="00C70D60" w:rsidRDefault="00C70D60" w:rsidP="00C70D60">
      <w:pPr>
        <w:pStyle w:val="SingleTxtG"/>
        <w:rPr>
          <w:bCs/>
        </w:rPr>
      </w:pPr>
      <w:r w:rsidRPr="00C70D60">
        <w:t>42.</w:t>
      </w:r>
      <w:r w:rsidRPr="00C70D60">
        <w:tab/>
        <w:t xml:space="preserve">Комитет обеспокоен узким определением понятия </w:t>
      </w:r>
      <w:r>
        <w:t>«</w:t>
      </w:r>
      <w:r w:rsidRPr="00C70D60">
        <w:t>занятые</w:t>
      </w:r>
      <w:r>
        <w:t>»</w:t>
      </w:r>
      <w:r w:rsidRPr="00C70D60">
        <w:t xml:space="preserve"> в Законе о труде, которое исключает из сферы труда и социальной защиты большое количество работников неформального сектора экономики и работников с нетрадиционными формами занятости (статья 7).</w:t>
      </w:r>
    </w:p>
    <w:p w14:paraId="08240ADC" w14:textId="3DD30830" w:rsidR="00C70D60" w:rsidRPr="00C70D60" w:rsidRDefault="00C70D60" w:rsidP="00C70D60">
      <w:pPr>
        <w:pStyle w:val="SingleTxtG"/>
        <w:rPr>
          <w:b/>
          <w:bCs/>
        </w:rPr>
      </w:pPr>
      <w:r w:rsidRPr="00C70D60">
        <w:t>43.</w:t>
      </w:r>
      <w:r w:rsidRPr="00C70D60">
        <w:tab/>
      </w:r>
      <w:r w:rsidRPr="00C70D60">
        <w:rPr>
          <w:b/>
          <w:bCs/>
        </w:rPr>
        <w:t xml:space="preserve">Комитет рекомендует государству-участнику привести определение понятия </w:t>
      </w:r>
      <w:r>
        <w:rPr>
          <w:b/>
          <w:bCs/>
        </w:rPr>
        <w:t>«</w:t>
      </w:r>
      <w:r w:rsidRPr="00C70D60">
        <w:rPr>
          <w:b/>
          <w:bCs/>
        </w:rPr>
        <w:t>занятые</w:t>
      </w:r>
      <w:r>
        <w:rPr>
          <w:b/>
          <w:bCs/>
        </w:rPr>
        <w:t>»</w:t>
      </w:r>
      <w:r w:rsidRPr="00C70D60">
        <w:rPr>
          <w:b/>
          <w:bCs/>
        </w:rPr>
        <w:t xml:space="preserve"> в Законе о труде в соответствие со статьей 7 Пакта и международными трудовыми стандартами и обеспечить, чтобы все трудящиеся, независимо от их секторов, отраслей или форм занятости, были в равной степени защищены Законом о труде и соответствующими трудовыми нормами.</w:t>
      </w:r>
      <w:r w:rsidRPr="00C70D60">
        <w:t xml:space="preserve"> </w:t>
      </w:r>
      <w:r w:rsidRPr="00C70D60">
        <w:rPr>
          <w:b/>
          <w:bCs/>
        </w:rPr>
        <w:t>Он также рекомендует государству-участнику принять эффективные меры для перехода работников неформального сектора экономики в формальный сектор экономики.</w:t>
      </w:r>
    </w:p>
    <w:p w14:paraId="69C15483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Минимальная заработная плата</w:t>
      </w:r>
    </w:p>
    <w:p w14:paraId="38D42771" w14:textId="77777777" w:rsidR="00C70D60" w:rsidRPr="00C70D60" w:rsidRDefault="00C70D60" w:rsidP="00C70D60">
      <w:pPr>
        <w:pStyle w:val="SingleTxtG"/>
        <w:rPr>
          <w:bCs/>
        </w:rPr>
      </w:pPr>
      <w:r w:rsidRPr="00C70D60">
        <w:t>44.</w:t>
      </w:r>
      <w:r w:rsidRPr="00C70D60">
        <w:tab/>
        <w:t>Комитет обеспокоен недостаточным размером минимальной заработной платы, которая ниже стоимости минимальной потребительской корзины, и сожалеет по поводу отсутствия информации об обеспечении соблюдения минимального размера заработной платы (статья 7).</w:t>
      </w:r>
    </w:p>
    <w:p w14:paraId="3DF9EB93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45.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37CF31DB" w14:textId="17EDE75E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a)</w:t>
      </w:r>
      <w:r w:rsidRPr="00C70D60">
        <w:rPr>
          <w:b/>
          <w:bCs/>
        </w:rPr>
        <w:tab/>
        <w:t>повысить минимальную заработную плату и регулярно корректировать ее в соответствии с прожиточным минимумом в целях обеспечения достойной жизни для трудящихся и членов их семей;</w:t>
      </w:r>
    </w:p>
    <w:p w14:paraId="22B87507" w14:textId="1CD1C962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b)</w:t>
      </w:r>
      <w:r w:rsidRPr="00C70D60">
        <w:rPr>
          <w:b/>
          <w:bCs/>
        </w:rPr>
        <w:tab/>
        <w:t xml:space="preserve">обеспечить, чтобы минимальная заработная плата применялась ко </w:t>
      </w:r>
      <w:proofErr w:type="gramStart"/>
      <w:r w:rsidRPr="00C70D60">
        <w:rPr>
          <w:b/>
          <w:bCs/>
        </w:rPr>
        <w:t>всем</w:t>
      </w:r>
      <w:proofErr w:type="gramEnd"/>
      <w:r w:rsidRPr="00C70D60">
        <w:rPr>
          <w:b/>
          <w:bCs/>
        </w:rPr>
        <w:t xml:space="preserve"> трудящимся во всех секторах и в рамках всех форм занятости;</w:t>
      </w:r>
    </w:p>
    <w:p w14:paraId="196E588D" w14:textId="37276BF9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c)</w:t>
      </w:r>
      <w:r w:rsidRPr="00C70D60">
        <w:rPr>
          <w:b/>
          <w:bCs/>
        </w:rPr>
        <w:tab/>
        <w:t>обеспечить полное соблюдение минимального размера заработной платы;</w:t>
      </w:r>
    </w:p>
    <w:p w14:paraId="3947C5E1" w14:textId="06D36653" w:rsidR="00C70D60" w:rsidRPr="00C70D60" w:rsidRDefault="00C70D60" w:rsidP="00C70D60">
      <w:pPr>
        <w:pStyle w:val="SingleTxtG"/>
        <w:rPr>
          <w:b/>
          <w:bCs/>
        </w:rPr>
      </w:pPr>
      <w:r w:rsidRPr="00FE05A0">
        <w:rPr>
          <w:b/>
          <w:bCs/>
        </w:rPr>
        <w:tab/>
      </w:r>
      <w:r w:rsidRPr="00C70D60">
        <w:rPr>
          <w:b/>
          <w:bCs/>
        </w:rPr>
        <w:t>d)</w:t>
      </w:r>
      <w:r w:rsidRPr="00C70D60">
        <w:rPr>
          <w:b/>
          <w:bCs/>
        </w:rPr>
        <w:tab/>
        <w:t xml:space="preserve">принять во внимание замечание общего порядка Комитета </w:t>
      </w:r>
      <w:r w:rsidR="00FE05A0">
        <w:rPr>
          <w:b/>
          <w:bCs/>
        </w:rPr>
        <w:t>№ </w:t>
      </w:r>
      <w:r w:rsidRPr="00C70D60">
        <w:rPr>
          <w:b/>
          <w:bCs/>
        </w:rPr>
        <w:t>23 (2016) о праве на справедливые и благоприятные условия труда (пункты 18–24).</w:t>
      </w:r>
    </w:p>
    <w:p w14:paraId="117F2C79" w14:textId="77777777" w:rsidR="00C70D60" w:rsidRPr="00C70D60" w:rsidRDefault="00C70D60" w:rsidP="00C70D60">
      <w:pPr>
        <w:pStyle w:val="H23G"/>
      </w:pPr>
      <w:r w:rsidRPr="00C70D60">
        <w:lastRenderedPageBreak/>
        <w:tab/>
      </w:r>
      <w:r w:rsidRPr="00C70D60">
        <w:tab/>
        <w:t>Инспекция труда</w:t>
      </w:r>
    </w:p>
    <w:p w14:paraId="56D9C85E" w14:textId="13BF8579" w:rsidR="00C70D60" w:rsidRPr="00C70D60" w:rsidRDefault="00C70D60" w:rsidP="000648B0">
      <w:pPr>
        <w:pStyle w:val="SingleTxtG"/>
        <w:keepLines/>
        <w:rPr>
          <w:bCs/>
        </w:rPr>
      </w:pPr>
      <w:r w:rsidRPr="00C70D60">
        <w:t>46.</w:t>
      </w:r>
      <w:r w:rsidRPr="00C70D60">
        <w:tab/>
        <w:t xml:space="preserve">Комитет обеспокоен узким охватом трудовых инспекций, проводимых Инспекцией труда, что привело к ситуациям, подобным случаю с рабочими на шинном заводе </w:t>
      </w:r>
      <w:r>
        <w:t>«</w:t>
      </w:r>
      <w:proofErr w:type="spellStart"/>
      <w:r w:rsidRPr="00C70D60">
        <w:t>Линглонг</w:t>
      </w:r>
      <w:proofErr w:type="spellEnd"/>
      <w:r>
        <w:t>»</w:t>
      </w:r>
      <w:r w:rsidRPr="00C70D60">
        <w:t>, где не были выявлены нарушения трудового законодательства, несмотря на целый ряд проведенных трудовых инспекций. Он также обеспокоен ограниченными полномочиями и возможностями Инспекции труда для эффективного выполнения своего мандата (статья 7).</w:t>
      </w:r>
    </w:p>
    <w:p w14:paraId="7BE890A4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47.</w:t>
      </w:r>
      <w:r w:rsidRPr="00C70D60">
        <w:tab/>
      </w:r>
      <w:r w:rsidRPr="00C70D60">
        <w:rPr>
          <w:b/>
          <w:bCs/>
        </w:rPr>
        <w:t>Комитет рекомендует государству-участнику расширить сферу охвата трудовых инспекций, укрепить потенциал и полномочия Инспекции труда и повысить качество трудовых инспекций.</w:t>
      </w:r>
      <w:r w:rsidRPr="00C70D60">
        <w:t xml:space="preserve"> </w:t>
      </w:r>
      <w:r w:rsidRPr="00C70D60">
        <w:rPr>
          <w:b/>
          <w:bCs/>
        </w:rPr>
        <w:t>Он также рекомендует государству-участнику выделить достаточные финансовые и людские ресурсы для Инспекции труда и организовать специализированную подготовку инспекторов труда.</w:t>
      </w:r>
    </w:p>
    <w:p w14:paraId="2401E342" w14:textId="77777777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Профсоюзные права</w:t>
      </w:r>
    </w:p>
    <w:p w14:paraId="7778223B" w14:textId="77777777" w:rsidR="00C70D60" w:rsidRPr="00C70D60" w:rsidRDefault="00C70D60" w:rsidP="00C70D60">
      <w:pPr>
        <w:pStyle w:val="SingleTxtG"/>
        <w:rPr>
          <w:bCs/>
        </w:rPr>
      </w:pPr>
      <w:r w:rsidRPr="00C70D60">
        <w:t>48.</w:t>
      </w:r>
      <w:r w:rsidRPr="00C70D60">
        <w:tab/>
        <w:t>Комитет отмечает текущую работу над проектом закона о внесении поправок в Закон о забастовках, но обеспокоен положениями Закона о забастовках, касающимися минимальных услуг, которые ограничивают права на забастовку широкого круга работников (статья 8).</w:t>
      </w:r>
    </w:p>
    <w:p w14:paraId="56C627AB" w14:textId="1C2929C2" w:rsidR="00C70D60" w:rsidRPr="00C70D60" w:rsidRDefault="00C70D60" w:rsidP="00C70D60">
      <w:pPr>
        <w:pStyle w:val="SingleTxtG"/>
        <w:rPr>
          <w:b/>
          <w:bCs/>
        </w:rPr>
      </w:pPr>
      <w:r w:rsidRPr="00C70D60">
        <w:t>49.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внести изменения в Закон о забастовках в соответствии со своими обязательствами по статье 8 Пакта, а</w:t>
      </w:r>
      <w:r w:rsidR="00FE05A0">
        <w:rPr>
          <w:b/>
          <w:bCs/>
        </w:rPr>
        <w:t> </w:t>
      </w:r>
      <w:r w:rsidRPr="00C70D60">
        <w:rPr>
          <w:b/>
          <w:bCs/>
        </w:rPr>
        <w:t>также по таким конвенциям Международной организации труда (МОТ), как Конвенция 1948 года (</w:t>
      </w:r>
      <w:r w:rsidR="00FE05A0">
        <w:rPr>
          <w:b/>
          <w:bCs/>
        </w:rPr>
        <w:t>№ </w:t>
      </w:r>
      <w:r w:rsidRPr="00C70D60">
        <w:rPr>
          <w:b/>
          <w:bCs/>
        </w:rPr>
        <w:t>87) о свободе объединений и защите права объединяться в профсоюзы и Конвенция 1949 года (</w:t>
      </w:r>
      <w:r w:rsidR="00FE05A0">
        <w:rPr>
          <w:b/>
          <w:bCs/>
        </w:rPr>
        <w:t>№ </w:t>
      </w:r>
      <w:r w:rsidRPr="00C70D60">
        <w:rPr>
          <w:b/>
          <w:bCs/>
        </w:rPr>
        <w:t>98) о применении принципов права на объединение в профсоюзы и на ведение коллективных переговоров.</w:t>
      </w:r>
      <w:r w:rsidRPr="00C70D60">
        <w:t xml:space="preserve"> </w:t>
      </w:r>
      <w:r w:rsidRPr="00C70D60">
        <w:rPr>
          <w:b/>
          <w:bCs/>
        </w:rPr>
        <w:t>В частности, он рекомендует государству-участнику ограничить сферу применения определения минимальных услуг, с тем чтобы обеспечить эффективное осуществление права на забастовку без необоснованных ограничений.</w:t>
      </w:r>
    </w:p>
    <w:p w14:paraId="0AECBD3E" w14:textId="2CD58AE5" w:rsidR="00C70D60" w:rsidRPr="00C70D60" w:rsidRDefault="00C70D60" w:rsidP="00C70D60">
      <w:pPr>
        <w:pStyle w:val="H23G"/>
      </w:pPr>
      <w:r w:rsidRPr="00C70D60">
        <w:tab/>
      </w:r>
      <w:r w:rsidRPr="00C70D60">
        <w:tab/>
        <w:t>Право на социальное обеспечение</w:t>
      </w:r>
    </w:p>
    <w:p w14:paraId="37249923" w14:textId="77777777" w:rsidR="00C70D60" w:rsidRPr="00C70D60" w:rsidRDefault="00C70D60" w:rsidP="00C70D60">
      <w:pPr>
        <w:pStyle w:val="SingleTxtG"/>
        <w:rPr>
          <w:bCs/>
        </w:rPr>
      </w:pPr>
      <w:r w:rsidRPr="00C70D60">
        <w:t>50.</w:t>
      </w:r>
      <w:r w:rsidRPr="00C70D60">
        <w:tab/>
        <w:t xml:space="preserve">Комитет обеспокоен недостаточным объемом бюджетных ассигнований на социальную защиту, а также ненадлежащим охватом и размером пособий по социальному обеспечению в целом, что обуславливает неэффективность системы социального обеспечения в плане снижения уровня бедности. Он также обеспокоен некоторыми условиями предоставления пособий по социальному обеспечению, которые фактически лишают определенные обездоленные и </w:t>
      </w:r>
      <w:proofErr w:type="spellStart"/>
      <w:r w:rsidRPr="00C70D60">
        <w:t>маргинализованные</w:t>
      </w:r>
      <w:proofErr w:type="spellEnd"/>
      <w:r w:rsidRPr="00C70D60">
        <w:t xml:space="preserve"> группы доступа к таким пособиям. К ним относятся обусловленность предоставления родительских пособий определенными критериями, такими как посещение школы и вакцинация детей, что оказывает значительное дискриминационное воздействие на семьи рома, а также обусловленность предоставления финансовой социальной помощи выполнением неоплачиваемой работы. Он также обеспокоен сложной административной процедурой обращения за финансовой социальной помощью (статьи 9 и 11).</w:t>
      </w:r>
    </w:p>
    <w:p w14:paraId="1213B49A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51.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1904261B" w14:textId="398B1C9F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>увеличить объем бюджетных ассигнований на социальную защиту, а также охват и размер пособий по социальному обеспечению;</w:t>
      </w:r>
    </w:p>
    <w:p w14:paraId="4F368916" w14:textId="28D5C047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rPr>
          <w:b/>
          <w:bCs/>
        </w:rPr>
        <w:tab/>
        <w:t>пересмотреть условия предоставления пособий по социальному обеспечению, особенно родительского пособия и финансовой социальной помощи, с целью устранения условий, которые являются дискриминационными или имеют дискриминационный эффект и противоречат нормам прав человека, и принять эффективные меры для повышения показателей использования таких пособий;</w:t>
      </w:r>
    </w:p>
    <w:p w14:paraId="7A36026E" w14:textId="2B3E2655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c)</w:t>
      </w:r>
      <w:r w:rsidR="00C70D60" w:rsidRPr="00C70D60">
        <w:tab/>
      </w:r>
      <w:r w:rsidR="00C70D60" w:rsidRPr="00C70D60">
        <w:rPr>
          <w:b/>
          <w:bCs/>
        </w:rPr>
        <w:t>упростить административную процедуру, с тем чтобы сделать ее легкодоступной и удобной для пользователей.</w:t>
      </w:r>
    </w:p>
    <w:p w14:paraId="05083651" w14:textId="77777777" w:rsidR="00C70D60" w:rsidRPr="00C70D60" w:rsidRDefault="00C70D60" w:rsidP="000943BF">
      <w:pPr>
        <w:pStyle w:val="H23G"/>
      </w:pPr>
      <w:r w:rsidRPr="00C70D60">
        <w:lastRenderedPageBreak/>
        <w:tab/>
      </w:r>
      <w:r w:rsidRPr="00C70D60">
        <w:tab/>
        <w:t>Детские браки</w:t>
      </w:r>
    </w:p>
    <w:p w14:paraId="27187ABF" w14:textId="77777777" w:rsidR="00C70D60" w:rsidRPr="00C70D60" w:rsidRDefault="00C70D60" w:rsidP="000943BF">
      <w:pPr>
        <w:pStyle w:val="SingleTxtG"/>
        <w:keepLines/>
        <w:rPr>
          <w:bCs/>
        </w:rPr>
      </w:pPr>
      <w:r w:rsidRPr="00C70D60">
        <w:t>52.</w:t>
      </w:r>
      <w:r w:rsidRPr="00C70D60">
        <w:tab/>
        <w:t xml:space="preserve">Комитет отмечает, </w:t>
      </w:r>
      <w:proofErr w:type="gramStart"/>
      <w:r w:rsidRPr="00C70D60">
        <w:t>что согласно Закону</w:t>
      </w:r>
      <w:proofErr w:type="gramEnd"/>
      <w:r w:rsidRPr="00C70D60">
        <w:t xml:space="preserve"> о семье возраст вступления в брак для обоих полов составляет 18 лет, но обеспокоен сохраняющейся практикой детских браков, особенно для девочек, и ее серьезными последствиями для экономических, социальных и культурных прав (статьи 3 и 10).</w:t>
      </w:r>
    </w:p>
    <w:p w14:paraId="7129C980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53.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 обеспечить строгое соблюдение положения законодательства, согласно которому возраст вступления в брак составляет 18 лет, и принять все меры для искоренения практики детских браков и повышения осведомленности населения о ее пагубных последствиях.</w:t>
      </w:r>
    </w:p>
    <w:p w14:paraId="6B2424B7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Бедность</w:t>
      </w:r>
    </w:p>
    <w:p w14:paraId="64A16C00" w14:textId="77777777" w:rsidR="00C70D60" w:rsidRPr="00C70D60" w:rsidRDefault="00C70D60" w:rsidP="00C70D60">
      <w:pPr>
        <w:pStyle w:val="SingleTxtG"/>
        <w:rPr>
          <w:bCs/>
        </w:rPr>
      </w:pPr>
      <w:r w:rsidRPr="00C70D60">
        <w:t>54.</w:t>
      </w:r>
      <w:r w:rsidRPr="00C70D60">
        <w:tab/>
        <w:t>Комитет обеспокоен сохранением высокого уровня бедности, особенно среди рома, лиц, принадлежащих к группам национальных меньшинств, лиц с инвалидностью и внутренне перемещенных лиц, несмотря на достижение определенного прогресса. Комитет с сожалением отмечает закрытие Отдела по вопросам социальной интеграции и сокращения масштабов бедности и обеспокоен отсутствием конкретной политики и институциональной структуры для сокращения масштабов бедности (статьи 9 и 11).</w:t>
      </w:r>
    </w:p>
    <w:p w14:paraId="1FB92F04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55.</w:t>
      </w:r>
      <w:r w:rsidRPr="00C70D60">
        <w:tab/>
      </w:r>
      <w:r w:rsidRPr="00C70D60">
        <w:rPr>
          <w:b/>
          <w:bCs/>
        </w:rPr>
        <w:t>Комитет настоятельно призывает государство-участник активизировать свои усилия по ускорению темпов сокращения масштабов бедности.</w:t>
      </w:r>
      <w:r w:rsidRPr="00C70D60">
        <w:t xml:space="preserve"> </w:t>
      </w:r>
      <w:r w:rsidRPr="00C70D60">
        <w:rPr>
          <w:b/>
          <w:bCs/>
        </w:rPr>
        <w:t>В частности, он рекомендует государству-участнику:</w:t>
      </w:r>
    </w:p>
    <w:p w14:paraId="1E4D7F54" w14:textId="2D2193F3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>принять рамочную политику по сокращению масштабов бедности, по линии которой особое внимание уделялось бы тем, кто живет в условиях системной бедности, включая рома, лиц, принадлежащих к группам национальных меньшинств, лиц с инвалидностью и внутренне перемещенных лиц;</w:t>
      </w:r>
    </w:p>
    <w:p w14:paraId="1E1A68F3" w14:textId="7C35A6EB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rPr>
          <w:b/>
          <w:bCs/>
        </w:rPr>
        <w:tab/>
        <w:t>создать механизм для координации осуществления политики в области сокращения масштабов бедности различными субъектами и отслеживания прогресса;</w:t>
      </w:r>
    </w:p>
    <w:p w14:paraId="7638E4ED" w14:textId="315176D0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c)</w:t>
      </w:r>
      <w:r w:rsidR="00C70D60" w:rsidRPr="00C70D60">
        <w:rPr>
          <w:b/>
          <w:bCs/>
        </w:rPr>
        <w:tab/>
        <w:t>выделять достаточные людские и финансовые ресурсы для осуществления мер по сокращению масштабов бедности и разрабатывать их таким образом, чтобы охватить людей, живущих в условиях бедности, с целью повышения эффективности таких мер.</w:t>
      </w:r>
    </w:p>
    <w:p w14:paraId="7FB35034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Право на достаточное жилище</w:t>
      </w:r>
    </w:p>
    <w:p w14:paraId="1D18E1B0" w14:textId="77777777" w:rsidR="00C70D60" w:rsidRPr="00C70D60" w:rsidRDefault="00C70D60" w:rsidP="00C70D60">
      <w:pPr>
        <w:pStyle w:val="SingleTxtG"/>
        <w:rPr>
          <w:bCs/>
        </w:rPr>
      </w:pPr>
      <w:r w:rsidRPr="00C70D60">
        <w:t>56.</w:t>
      </w:r>
      <w:r w:rsidRPr="00C70D60">
        <w:tab/>
        <w:t xml:space="preserve">Комитет обеспокоен ограниченными масштабами предоставления социального жилья рома и другим обездоленным и </w:t>
      </w:r>
      <w:proofErr w:type="spellStart"/>
      <w:r w:rsidRPr="00C70D60">
        <w:t>маргинализованным</w:t>
      </w:r>
      <w:proofErr w:type="spellEnd"/>
      <w:r w:rsidRPr="00C70D60">
        <w:t xml:space="preserve"> лицам и семьям. Кроме того, он обеспокоен снижением уровня жизни тех, кто проживает в социальном жилье. Он также обеспокоен неудовлетворительными условиями жизни в неформальных поселениях, где, в частности, отсутствует регулярный доступ к безопасной питьевой воде, надлежащим санитарно-техническим и канализационным сооружениям, отоплению и электричеству. Кроме того, он обеспокоен выселениями, которые, как утверждается, проводятся без соблюдения надлежащей процедуры, предусмотренной Законом о жилье и эксплуатации зданий, в результате чего многие из выселенных лиц становятся бездомными (статья 11).</w:t>
      </w:r>
    </w:p>
    <w:p w14:paraId="5E96EE15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57.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5F3890F7" w14:textId="1D47E3B4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 xml:space="preserve">увеличить количество единиц социального жилья, предоставляемого обездоленным и </w:t>
      </w:r>
      <w:proofErr w:type="spellStart"/>
      <w:r w:rsidR="00C70D60" w:rsidRPr="00C70D60">
        <w:rPr>
          <w:b/>
          <w:bCs/>
        </w:rPr>
        <w:t>маргинализованным</w:t>
      </w:r>
      <w:proofErr w:type="spellEnd"/>
      <w:r w:rsidR="00C70D60" w:rsidRPr="00C70D60">
        <w:rPr>
          <w:b/>
          <w:bCs/>
        </w:rPr>
        <w:t xml:space="preserve"> лицам и семьям;</w:t>
      </w:r>
    </w:p>
    <w:p w14:paraId="181E3ECE" w14:textId="69F73792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rPr>
          <w:b/>
          <w:bCs/>
        </w:rPr>
        <w:tab/>
        <w:t>отменить налог на недвижимость, взимаемый с социального жилья;</w:t>
      </w:r>
    </w:p>
    <w:p w14:paraId="5B5C2DF7" w14:textId="4C1BCB4F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c)</w:t>
      </w:r>
      <w:r w:rsidR="00C70D60" w:rsidRPr="00C70D60">
        <w:tab/>
      </w:r>
      <w:r w:rsidR="00C70D60" w:rsidRPr="00C70D60">
        <w:rPr>
          <w:b/>
          <w:bCs/>
        </w:rPr>
        <w:t>найти долговременные решения проблемы жилья для людей, живущих в неформальных поселениях и незаконных постройках, а тем временем улучшить условия их жизни в неформальных поселениях;</w:t>
      </w:r>
    </w:p>
    <w:p w14:paraId="7A5C415B" w14:textId="6153656C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lastRenderedPageBreak/>
        <w:tab/>
      </w:r>
      <w:r w:rsidR="00C70D60" w:rsidRPr="00C70D60">
        <w:rPr>
          <w:b/>
          <w:bCs/>
        </w:rPr>
        <w:t>d)</w:t>
      </w:r>
      <w:r w:rsidR="00C70D60" w:rsidRPr="00C70D60">
        <w:rPr>
          <w:b/>
          <w:bCs/>
        </w:rPr>
        <w:tab/>
        <w:t>обеспечить, чтобы выселения, если таковые неизбежны, производились с соблюдением правовых процедур и предварялись консультациями с затрагиваемыми лицами и рассмотрением альтернативных мер, чтобы их можно было обжаловать и получить надлежащую компенсацию или достаточное альтернативное жилье;</w:t>
      </w:r>
    </w:p>
    <w:p w14:paraId="40443E17" w14:textId="27793790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e)</w:t>
      </w:r>
      <w:r w:rsidR="00C70D60" w:rsidRPr="00C70D60">
        <w:tab/>
      </w:r>
      <w:r w:rsidR="00C70D60" w:rsidRPr="00C70D60">
        <w:rPr>
          <w:b/>
          <w:bCs/>
        </w:rPr>
        <w:t xml:space="preserve">принять во внимание замечание общего порядка Комитета </w:t>
      </w:r>
      <w:r w:rsidR="00FE05A0">
        <w:rPr>
          <w:b/>
          <w:bCs/>
        </w:rPr>
        <w:t>№ </w:t>
      </w:r>
      <w:r w:rsidR="00C70D60" w:rsidRPr="00C70D60">
        <w:rPr>
          <w:b/>
          <w:bCs/>
        </w:rPr>
        <w:t>7 (1997) о принудительных выселениях.</w:t>
      </w:r>
    </w:p>
    <w:p w14:paraId="150EBFEA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Право на здоровье</w:t>
      </w:r>
    </w:p>
    <w:p w14:paraId="71E53964" w14:textId="77777777" w:rsidR="00C70D60" w:rsidRPr="00C70D60" w:rsidRDefault="00C70D60" w:rsidP="00C70D60">
      <w:pPr>
        <w:pStyle w:val="SingleTxtG"/>
      </w:pPr>
      <w:r w:rsidRPr="00C70D60">
        <w:t>58.</w:t>
      </w:r>
      <w:r w:rsidRPr="00C70D60">
        <w:tab/>
        <w:t>Комитет обеспокоен негативным воздействием мер, принятых в ответ на финансовый кризис и пандемию, на систему здравоохранения, особенно на финансовую устойчивость системы. Он также обеспокоен значительным неравенством между различными социально-экономическими группами в части доступа к услугам здравоохранения. Кроме того, он обеспокоен тем, что лица без регистрации места жительства зачастую ограничены в доступе к базовым услугам здравоохранения, хотя он и разрешен законом, и что беженцы и просители убежища, особенно проживающие в частном жилье, имеют ограниченные возможности в плане получения неотложной медицинской помощи (статьи 2 (2) и 12).</w:t>
      </w:r>
    </w:p>
    <w:p w14:paraId="01D792D0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rPr>
          <w:b/>
          <w:bCs/>
        </w:rPr>
        <w:t>59.</w:t>
      </w:r>
      <w:r w:rsidRPr="00C70D60">
        <w:rPr>
          <w:b/>
          <w:bCs/>
        </w:rPr>
        <w:tab/>
        <w:t>Комитет рекомендует государству-участнику:</w:t>
      </w:r>
    </w:p>
    <w:p w14:paraId="4627F52D" w14:textId="1C842AFD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>увеличить объем бюджетных средств, выделяемых на сектор здравоохранения, и обеспечить, чтобы на нем не сказывались какие-либо меры жесткой экономии, принимаемые государством-участником;</w:t>
      </w:r>
    </w:p>
    <w:p w14:paraId="05F5A15C" w14:textId="1571EDED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rPr>
          <w:b/>
          <w:bCs/>
        </w:rPr>
        <w:tab/>
        <w:t>расширить диапазон и охват медицинских услуг, предоставляемых в рамках национальной системы медицинского страхования, а также повысить их качество с целью устранения социально-экономических различий в части доступа к медицинским услугам;</w:t>
      </w:r>
    </w:p>
    <w:p w14:paraId="3B3C0104" w14:textId="4EC1518C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c)</w:t>
      </w:r>
      <w:r w:rsidR="00C70D60" w:rsidRPr="00C70D60">
        <w:rPr>
          <w:b/>
          <w:bCs/>
        </w:rPr>
        <w:tab/>
        <w:t>обеспечить предоставление первичной медицинской помощи всем лицам, проживающим в стране.</w:t>
      </w:r>
    </w:p>
    <w:p w14:paraId="07FFD1F2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Психическое здоровье</w:t>
      </w:r>
    </w:p>
    <w:p w14:paraId="7C25DC12" w14:textId="77777777" w:rsidR="00C70D60" w:rsidRPr="00C70D60" w:rsidRDefault="00C70D60" w:rsidP="00C70D60">
      <w:pPr>
        <w:pStyle w:val="SingleTxtG"/>
        <w:rPr>
          <w:bCs/>
        </w:rPr>
      </w:pPr>
      <w:r w:rsidRPr="00C70D60">
        <w:t>60.</w:t>
      </w:r>
      <w:r w:rsidRPr="00C70D60">
        <w:tab/>
        <w:t xml:space="preserve">Комитет отмечает текущий процесс принятия законопроекта об охране психического здоровья, но обеспокоен слабой правовой защитой лиц с психическими расстройствами, особенно в части их принудительного лечения. Он также обеспокоен недостаточной реализацией Национальной программы по охране психического здоровья, особенно в том, что касается </w:t>
      </w:r>
      <w:proofErr w:type="spellStart"/>
      <w:r w:rsidRPr="00C70D60">
        <w:t>деинституционализации</w:t>
      </w:r>
      <w:proofErr w:type="spellEnd"/>
      <w:r w:rsidRPr="00C70D60">
        <w:t xml:space="preserve"> и расширения услуг по охране психического здоровья на базе общин (статья 12).</w:t>
      </w:r>
    </w:p>
    <w:p w14:paraId="5378905B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61.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5346C99A" w14:textId="69624764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>ускорить процесс принятия закона об охране психического здоровья, соответствующего статье 12 Пакта и международным нормам в области прав человека и включающего гарантии права пациентов на согласие;</w:t>
      </w:r>
    </w:p>
    <w:p w14:paraId="5DB0EAEA" w14:textId="7A59B7DE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tab/>
      </w:r>
      <w:r w:rsidR="00C70D60" w:rsidRPr="00C70D60">
        <w:rPr>
          <w:b/>
          <w:bCs/>
        </w:rPr>
        <w:t xml:space="preserve">принять эффективные меры по </w:t>
      </w:r>
      <w:proofErr w:type="spellStart"/>
      <w:r w:rsidR="00C70D60" w:rsidRPr="00C70D60">
        <w:rPr>
          <w:b/>
          <w:bCs/>
        </w:rPr>
        <w:t>деинституционализации</w:t>
      </w:r>
      <w:proofErr w:type="spellEnd"/>
      <w:r w:rsidR="00C70D60" w:rsidRPr="00C70D60">
        <w:rPr>
          <w:b/>
          <w:bCs/>
        </w:rPr>
        <w:t xml:space="preserve"> лиц с психическими расстройствами и улучшить положение с наличием, доступностью и качеством услуг по охране психического здоровья на уровне общин путем осуществления инвестиций в подготовку медицинских работников и инфраструктуру, а также повышения осведомленности общественности о проблемах психического здоровья.</w:t>
      </w:r>
    </w:p>
    <w:p w14:paraId="67310845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Употребление наркотиков</w:t>
      </w:r>
    </w:p>
    <w:p w14:paraId="5F17232B" w14:textId="77777777" w:rsidR="00C70D60" w:rsidRPr="00C70D60" w:rsidRDefault="00C70D60" w:rsidP="00C70D60">
      <w:pPr>
        <w:pStyle w:val="SingleTxtG"/>
        <w:rPr>
          <w:bCs/>
        </w:rPr>
      </w:pPr>
      <w:r w:rsidRPr="00C70D60">
        <w:t>62.</w:t>
      </w:r>
      <w:r w:rsidRPr="00C70D60">
        <w:tab/>
        <w:t>Комитет обеспокоен криминализацией хранения наркотических средств в небольших количествах, что приводит к заключению потребителей наркотиков под стражу и их маргинализации. Он также обеспокоен ограниченной доступностью программ снижения вреда (статья 12).</w:t>
      </w:r>
    </w:p>
    <w:p w14:paraId="15AD1C3D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lastRenderedPageBreak/>
        <w:t>63.</w:t>
      </w:r>
      <w:r w:rsidRPr="00C70D60">
        <w:tab/>
      </w:r>
      <w:r w:rsidRPr="00C70D60">
        <w:rPr>
          <w:b/>
          <w:bCs/>
        </w:rPr>
        <w:t xml:space="preserve">Комитет рекомендует государству-участнику </w:t>
      </w:r>
      <w:proofErr w:type="spellStart"/>
      <w:r w:rsidRPr="00C70D60">
        <w:rPr>
          <w:b/>
          <w:bCs/>
        </w:rPr>
        <w:t>декриминализировать</w:t>
      </w:r>
      <w:proofErr w:type="spellEnd"/>
      <w:r w:rsidRPr="00C70D60">
        <w:rPr>
          <w:b/>
          <w:bCs/>
        </w:rPr>
        <w:t xml:space="preserve"> хранение наркотиков для личного потребления и пересмотреть свою политику и законодательство в отношении наркотиков с целью их приведения в соответствие с международными нормами в области прав человека и передовой практикой.</w:t>
      </w:r>
      <w:r w:rsidRPr="00C70D60">
        <w:t xml:space="preserve"> </w:t>
      </w:r>
      <w:r w:rsidRPr="00C70D60">
        <w:rPr>
          <w:b/>
          <w:bCs/>
        </w:rPr>
        <w:t>Он также рекомендует государству-участнику улучшить положение с наличием, доступностью и качеством программ снижения вреда и обеспечить доступность специализированных медицинских услуг для лиц, потребляющих наркотики.</w:t>
      </w:r>
    </w:p>
    <w:p w14:paraId="2D210E0D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Окружающая среда и изменение климата</w:t>
      </w:r>
    </w:p>
    <w:p w14:paraId="6824E3E9" w14:textId="419C00CD" w:rsidR="00C70D60" w:rsidRPr="00C70D60" w:rsidRDefault="00C70D60" w:rsidP="00C70D60">
      <w:pPr>
        <w:pStyle w:val="SingleTxtG"/>
        <w:rPr>
          <w:bCs/>
        </w:rPr>
      </w:pPr>
      <w:r w:rsidRPr="00C70D60">
        <w:t>64.</w:t>
      </w:r>
      <w:r w:rsidRPr="00C70D60">
        <w:tab/>
        <w:t xml:space="preserve">Комитет обеспокоен высоким уровнем загрязнения воздуха, главным источником которого являются теплоэлектростанции. Комитет отмечает приверженность государства-участника разработке </w:t>
      </w:r>
      <w:r>
        <w:t>«</w:t>
      </w:r>
      <w:r w:rsidRPr="00C70D60">
        <w:t>зеленой</w:t>
      </w:r>
      <w:r>
        <w:t>»</w:t>
      </w:r>
      <w:r w:rsidRPr="00C70D60">
        <w:t xml:space="preserve"> повестки дня, но по-прежнему обеспокоен тем, что планы и инициативы являются недостаточными для сокращения выбросов парниковых газов с целью выполнения обязательств по Парижскому соглашению (статья 12).</w:t>
      </w:r>
    </w:p>
    <w:p w14:paraId="6A483DA7" w14:textId="5C80BAD7" w:rsidR="00C70D60" w:rsidRPr="00C70D60" w:rsidRDefault="00C70D60" w:rsidP="00C70D60">
      <w:pPr>
        <w:pStyle w:val="SingleTxtG"/>
        <w:rPr>
          <w:b/>
          <w:bCs/>
        </w:rPr>
      </w:pPr>
      <w:r w:rsidRPr="00C70D60">
        <w:t>65.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принять эффективные меры, в том числе по линии его политики в области борьбы с изменением климата, для снижения уровня загрязнения воздуха.</w:t>
      </w:r>
      <w:r w:rsidRPr="00C70D60">
        <w:t xml:space="preserve"> </w:t>
      </w:r>
      <w:r w:rsidRPr="00C70D60">
        <w:rPr>
          <w:b/>
          <w:bCs/>
        </w:rPr>
        <w:t>Он также рекомендует государству-участнику активизировать усилия по сокращению выбросов парниковых газов с целью выполнения своих обязательств по Парижскому соглашению и принять в рамках своей программы по адаптации меры с целью устранения неблагоприятных последствий изменения климата для экономических, социальных и культурных прав.</w:t>
      </w:r>
      <w:r w:rsidRPr="00C70D60">
        <w:t xml:space="preserve"> </w:t>
      </w:r>
      <w:r w:rsidRPr="00C70D60">
        <w:rPr>
          <w:b/>
          <w:bCs/>
        </w:rPr>
        <w:t>Он обращает внимание государства-участника на свое заявление об изменении климата и Пакте</w:t>
      </w:r>
      <w:r w:rsidRPr="00C70D60">
        <w:rPr>
          <w:sz w:val="18"/>
          <w:vertAlign w:val="superscript"/>
        </w:rPr>
        <w:footnoteReference w:id="8"/>
      </w:r>
      <w:r w:rsidRPr="00C70D60">
        <w:rPr>
          <w:b/>
          <w:bCs/>
        </w:rPr>
        <w:t>, принятое 8 октября 2018 года.</w:t>
      </w:r>
    </w:p>
    <w:p w14:paraId="707231F7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Право на образование</w:t>
      </w:r>
    </w:p>
    <w:p w14:paraId="67F3CC0F" w14:textId="77777777" w:rsidR="00C70D60" w:rsidRPr="00C70D60" w:rsidRDefault="00C70D60" w:rsidP="00C70D60">
      <w:pPr>
        <w:pStyle w:val="SingleTxtG"/>
        <w:rPr>
          <w:bCs/>
        </w:rPr>
      </w:pPr>
      <w:r w:rsidRPr="00C70D60">
        <w:t>66.</w:t>
      </w:r>
      <w:r w:rsidRPr="00C70D60">
        <w:tab/>
        <w:t>Комитет обеспокоен:</w:t>
      </w:r>
    </w:p>
    <w:p w14:paraId="0EE85B0E" w14:textId="5EEFB91B" w:rsidR="00C70D60" w:rsidRPr="00C70D60" w:rsidRDefault="000943BF" w:rsidP="00C70D60">
      <w:pPr>
        <w:pStyle w:val="SingleTxtG"/>
        <w:rPr>
          <w:bCs/>
        </w:rPr>
      </w:pPr>
      <w:r>
        <w:tab/>
      </w:r>
      <w:r w:rsidR="00C70D60" w:rsidRPr="00C70D60">
        <w:t>a)</w:t>
      </w:r>
      <w:r w:rsidR="00C70D60" w:rsidRPr="00C70D60">
        <w:tab/>
        <w:t>непропорционально высокими показателями отсева детей рома в системе начального и среднего образования, а также низкими показателями посещаемости ими дошкольных и средних учебных заведений;</w:t>
      </w:r>
    </w:p>
    <w:p w14:paraId="02F9E861" w14:textId="2D9D2B95" w:rsidR="00C70D60" w:rsidRPr="00C70D60" w:rsidRDefault="000943BF" w:rsidP="00C70D60">
      <w:pPr>
        <w:pStyle w:val="SingleTxtG"/>
        <w:rPr>
          <w:bCs/>
        </w:rPr>
      </w:pPr>
      <w:r>
        <w:tab/>
      </w:r>
      <w:r w:rsidR="00C70D60" w:rsidRPr="00C70D60">
        <w:t>b)</w:t>
      </w:r>
      <w:r w:rsidR="00C70D60" w:rsidRPr="00C70D60">
        <w:tab/>
        <w:t>продолжающейся сегрегацией детей с инвалидностью в специальных школах и классах, хотя в деле решения этой проблемы и был достигнут прогресс;</w:t>
      </w:r>
    </w:p>
    <w:p w14:paraId="48547EDF" w14:textId="019DC6C1" w:rsidR="00C70D60" w:rsidRPr="00C70D60" w:rsidRDefault="000943BF" w:rsidP="00C70D60">
      <w:pPr>
        <w:pStyle w:val="SingleTxtG"/>
        <w:rPr>
          <w:bCs/>
        </w:rPr>
      </w:pPr>
      <w:r>
        <w:tab/>
      </w:r>
      <w:r w:rsidR="00C70D60" w:rsidRPr="00C70D60">
        <w:t>c)</w:t>
      </w:r>
      <w:r w:rsidR="00C70D60" w:rsidRPr="00C70D60">
        <w:tab/>
        <w:t xml:space="preserve">непропорциональным воздействием COVID-19 на обездоленных и </w:t>
      </w:r>
      <w:proofErr w:type="spellStart"/>
      <w:r w:rsidR="00C70D60" w:rsidRPr="00C70D60">
        <w:t>маргинализованных</w:t>
      </w:r>
      <w:proofErr w:type="spellEnd"/>
      <w:r w:rsidR="00C70D60" w:rsidRPr="00C70D60">
        <w:t xml:space="preserve"> детей в части доступа к образованию (статьи 2 (2), 13 и 14).</w:t>
      </w:r>
    </w:p>
    <w:p w14:paraId="6C93FC3D" w14:textId="77777777" w:rsidR="00C70D60" w:rsidRPr="00C70D60" w:rsidRDefault="00C70D60" w:rsidP="00C70D60">
      <w:pPr>
        <w:pStyle w:val="SingleTxtG"/>
        <w:rPr>
          <w:b/>
        </w:rPr>
      </w:pPr>
      <w:r w:rsidRPr="00C70D60">
        <w:t>67.</w:t>
      </w:r>
      <w:r w:rsidRPr="00C70D60">
        <w:tab/>
      </w:r>
      <w:r w:rsidRPr="00C70D60">
        <w:rPr>
          <w:b/>
          <w:bCs/>
        </w:rPr>
        <w:t>Комитет рекомендует государству-участнику:</w:t>
      </w:r>
    </w:p>
    <w:p w14:paraId="0440AF18" w14:textId="1CDE8281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a)</w:t>
      </w:r>
      <w:r w:rsidR="00C70D60" w:rsidRPr="00C70D60">
        <w:rPr>
          <w:b/>
          <w:bCs/>
        </w:rPr>
        <w:tab/>
        <w:t>принять меры для обеспечения того, чтобы все дети, особенно дети рома, завершили курс обязательного образования, посредством устранения коренных причин препятствий, существующих на этом пути;</w:t>
      </w:r>
    </w:p>
    <w:p w14:paraId="4089D3CE" w14:textId="1F413EAC" w:rsidR="00C70D60" w:rsidRPr="00C70D60" w:rsidRDefault="000943BF" w:rsidP="00C70D60">
      <w:pPr>
        <w:pStyle w:val="SingleTxtG"/>
        <w:rPr>
          <w:b/>
          <w:bCs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b)</w:t>
      </w:r>
      <w:r w:rsidR="00C70D60" w:rsidRPr="00C70D60">
        <w:rPr>
          <w:b/>
          <w:bCs/>
        </w:rPr>
        <w:tab/>
        <w:t>продолжать расширять возможности инклюзивного образования для детей с инвалидностью;</w:t>
      </w:r>
    </w:p>
    <w:p w14:paraId="028F667F" w14:textId="250E071E" w:rsidR="00C70D60" w:rsidRPr="00C70D60" w:rsidRDefault="000943BF" w:rsidP="00C70D60">
      <w:pPr>
        <w:pStyle w:val="SingleTxtG"/>
        <w:rPr>
          <w:b/>
        </w:rPr>
      </w:pPr>
      <w:r w:rsidRPr="00903ECD">
        <w:rPr>
          <w:b/>
          <w:bCs/>
        </w:rPr>
        <w:tab/>
      </w:r>
      <w:r w:rsidR="00C70D60" w:rsidRPr="00C70D60">
        <w:rPr>
          <w:b/>
          <w:bCs/>
        </w:rPr>
        <w:t>c)</w:t>
      </w:r>
      <w:r w:rsidR="00C70D60" w:rsidRPr="00C70D60">
        <w:tab/>
      </w:r>
      <w:r w:rsidR="00C70D60" w:rsidRPr="00C70D60">
        <w:rPr>
          <w:b/>
          <w:bCs/>
        </w:rPr>
        <w:t xml:space="preserve">восполнить возможности для обучения, утраченные из-за пандемии, особенно для детей из обездоленных и </w:t>
      </w:r>
      <w:proofErr w:type="spellStart"/>
      <w:r w:rsidR="00C70D60" w:rsidRPr="00C70D60">
        <w:rPr>
          <w:b/>
          <w:bCs/>
        </w:rPr>
        <w:t>маргинализованных</w:t>
      </w:r>
      <w:proofErr w:type="spellEnd"/>
      <w:r w:rsidR="00C70D60" w:rsidRPr="00C70D60">
        <w:rPr>
          <w:b/>
          <w:bCs/>
        </w:rPr>
        <w:t xml:space="preserve"> семей, и не допускать дальнейших срывов в процессе обучения.</w:t>
      </w:r>
    </w:p>
    <w:p w14:paraId="525BD5C0" w14:textId="77777777" w:rsidR="00C70D60" w:rsidRPr="00C70D60" w:rsidRDefault="00C70D60" w:rsidP="000943BF">
      <w:pPr>
        <w:pStyle w:val="H23G"/>
      </w:pPr>
      <w:r w:rsidRPr="00C70D60">
        <w:tab/>
      </w:r>
      <w:r w:rsidRPr="00C70D60">
        <w:tab/>
        <w:t>Культурные права</w:t>
      </w:r>
    </w:p>
    <w:p w14:paraId="282408C3" w14:textId="77777777" w:rsidR="00C70D60" w:rsidRPr="00C70D60" w:rsidRDefault="00C70D60" w:rsidP="00C70D60">
      <w:pPr>
        <w:pStyle w:val="SingleTxtG"/>
        <w:rPr>
          <w:bCs/>
        </w:rPr>
      </w:pPr>
      <w:r w:rsidRPr="00C70D60">
        <w:t>68.</w:t>
      </w:r>
      <w:r w:rsidRPr="00C70D60">
        <w:tab/>
        <w:t>Комитет обеспокоен неэффективным функционированием Советов национальных меньшинств из-за отсутствия четкого понимания их мандата и полномочий, а также недостаточным потенциалом Советов для выполнения своих мандатов (статья 15).</w:t>
      </w:r>
    </w:p>
    <w:p w14:paraId="0970DB70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lastRenderedPageBreak/>
        <w:t>69.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обеспечить членам Советов национальных меньшинств надлежащую подготовку по их мандатам и полномочиям, а также предоставить Советам достаточные финансовые, административные и технические ресурсы для их эффективного функционирования.</w:t>
      </w:r>
    </w:p>
    <w:p w14:paraId="499F0CD0" w14:textId="7E706A65" w:rsidR="00C70D60" w:rsidRPr="00C70D60" w:rsidRDefault="000943BF" w:rsidP="000943BF">
      <w:pPr>
        <w:pStyle w:val="H1G"/>
      </w:pPr>
      <w:r>
        <w:tab/>
      </w:r>
      <w:r w:rsidR="00C70D60" w:rsidRPr="00C70D60">
        <w:t>D.</w:t>
      </w:r>
      <w:r w:rsidR="00C70D60" w:rsidRPr="00C70D60">
        <w:tab/>
        <w:t>Другие рекомендации</w:t>
      </w:r>
    </w:p>
    <w:p w14:paraId="75BB5915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70.</w:t>
      </w:r>
      <w:r w:rsidRPr="00C70D60">
        <w:tab/>
      </w:r>
      <w:r w:rsidRPr="00C70D60">
        <w:rPr>
          <w:b/>
          <w:bCs/>
        </w:rPr>
        <w:t>Комитет рекомендует государству-участнику рассмотреть возможность ратификации Международной конвенции о защите прав всех трудящихся-мигрантов и членов их семей.</w:t>
      </w:r>
    </w:p>
    <w:p w14:paraId="2F556C72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71.</w:t>
      </w:r>
      <w:r w:rsidRPr="00C70D60">
        <w:tab/>
      </w:r>
      <w:r w:rsidRPr="00C70D60">
        <w:rPr>
          <w:b/>
          <w:bCs/>
        </w:rPr>
        <w:t>Комитет рекомендует государству-участнику в полной мере учитывать свои обязательства по Пакту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в том числе в рамках восстановления после пандемии COVID-19.</w:t>
      </w:r>
      <w:r w:rsidRPr="00C70D60">
        <w:t xml:space="preserve"> </w:t>
      </w:r>
      <w:r w:rsidRPr="00C70D60"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C70D60">
        <w:t xml:space="preserve"> </w:t>
      </w:r>
      <w:r w:rsidRPr="00C70D60">
        <w:rPr>
          <w:b/>
          <w:bCs/>
        </w:rPr>
        <w:t>Кроме того, Комитет рекомендует государству-участнику поддержать глобальное обязательство десятилетия действий по достижению Целей в области устойчивого развития.</w:t>
      </w:r>
      <w:r w:rsidRPr="00C70D60">
        <w:t xml:space="preserve"> </w:t>
      </w:r>
      <w:r w:rsidRPr="00C70D60"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 w:rsidRPr="00C70D60">
        <w:t xml:space="preserve"> </w:t>
      </w:r>
      <w:r w:rsidRPr="00C70D60"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забыть.</w:t>
      </w:r>
    </w:p>
    <w:p w14:paraId="7B2E27F4" w14:textId="77777777" w:rsidR="00C70D60" w:rsidRPr="00C70D60" w:rsidRDefault="00C70D60" w:rsidP="00C70D60">
      <w:pPr>
        <w:pStyle w:val="SingleTxtG"/>
        <w:rPr>
          <w:b/>
          <w:bCs/>
        </w:rPr>
      </w:pPr>
      <w:r w:rsidRPr="00C70D60">
        <w:t>72.</w:t>
      </w:r>
      <w:r w:rsidRPr="00C70D60">
        <w:tab/>
      </w:r>
      <w:r w:rsidRPr="00C70D60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 и муниципальном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шагах, предпринятых для их осуществления.</w:t>
      </w:r>
      <w:r w:rsidRPr="00C70D60">
        <w:t xml:space="preserve"> </w:t>
      </w:r>
      <w:r w:rsidRPr="00C70D60">
        <w:rPr>
          <w:b/>
          <w:bCs/>
        </w:rPr>
        <w:t>Комитет призывает государство-участник перед представлением своего следующего периодического доклада привлечь Защитника граждан, неправительственные организации и других членов гражданского общества к процессу принятия последующих мер в связи с настоящими заключительными замечаниями, а также к процессу консультаций на национальном уровне.</w:t>
      </w:r>
    </w:p>
    <w:p w14:paraId="34BFB3FA" w14:textId="6E5279E0" w:rsidR="00C70D60" w:rsidRPr="00C70D60" w:rsidRDefault="00C70D60" w:rsidP="00C70D60">
      <w:pPr>
        <w:pStyle w:val="SingleTxtG"/>
        <w:rPr>
          <w:b/>
          <w:bCs/>
        </w:rPr>
      </w:pPr>
      <w:r w:rsidRPr="00C70D60">
        <w:t>73.</w:t>
      </w:r>
      <w:r w:rsidRPr="00C70D60">
        <w:tab/>
      </w:r>
      <w:r w:rsidRPr="00C70D60"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представить в течение 24 месяцев с момента принятия настоящих заключительных замечаний информацию о выполнении рекомендаций, содержащихся в пунктах 17 b) (правозащитники), 19 a) (национальный план действий по вопросам предпринимательской деятельности и прав человека) и 31</w:t>
      </w:r>
      <w:r>
        <w:rPr>
          <w:b/>
          <w:bCs/>
          <w:lang w:val="en-US"/>
        </w:rPr>
        <w:t> </w:t>
      </w:r>
      <w:r w:rsidRPr="00C70D60">
        <w:rPr>
          <w:b/>
          <w:bCs/>
        </w:rPr>
        <w:t>b) и c) (документы, удостоверяющие личность) выше.</w:t>
      </w:r>
    </w:p>
    <w:p w14:paraId="39684CDF" w14:textId="2BFD60DC" w:rsidR="00C70D60" w:rsidRPr="00C70D60" w:rsidRDefault="00C70D60" w:rsidP="00C70D60">
      <w:pPr>
        <w:pStyle w:val="SingleTxtG"/>
        <w:rPr>
          <w:b/>
          <w:bCs/>
        </w:rPr>
      </w:pPr>
      <w:r w:rsidRPr="00C70D60">
        <w:t>74.</w:t>
      </w:r>
      <w:r w:rsidRPr="00C70D60">
        <w:tab/>
      </w:r>
      <w:r w:rsidRPr="00C70D60">
        <w:rPr>
          <w:b/>
          <w:bCs/>
        </w:rPr>
        <w:t>Комитет просит государство-участник представить свой четвертый периодический доклад в соответствии со статьей 16 Пакта не позднее 31 марта 2027 года, если только оно не будет уведомлено об изменении цикла обзора.</w:t>
      </w:r>
      <w:r w:rsidRPr="00C70D60">
        <w:t xml:space="preserve"> </w:t>
      </w:r>
      <w:r w:rsidRPr="00C70D60">
        <w:rPr>
          <w:b/>
          <w:bCs/>
        </w:rPr>
        <w:t>В</w:t>
      </w:r>
      <w:r>
        <w:rPr>
          <w:b/>
          <w:bCs/>
          <w:lang w:val="en-US"/>
        </w:rPr>
        <w:t> </w:t>
      </w:r>
      <w:r w:rsidRPr="00C70D60">
        <w:rPr>
          <w:b/>
          <w:bCs/>
        </w:rPr>
        <w:t>соответствии с резолюцией 68/268 Генеральной Ассамблеи объем этого доклада не должен превышать 21 200 слов.</w:t>
      </w:r>
    </w:p>
    <w:p w14:paraId="0A61BD40" w14:textId="7247514F" w:rsidR="00381C24" w:rsidRPr="00C70D60" w:rsidRDefault="00C70D60" w:rsidP="00C70D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70D60" w:rsidSect="00C70D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6219" w14:textId="77777777" w:rsidR="00453572" w:rsidRPr="00A312BC" w:rsidRDefault="00453572" w:rsidP="00A312BC"/>
  </w:endnote>
  <w:endnote w:type="continuationSeparator" w:id="0">
    <w:p w14:paraId="120BD7EA" w14:textId="77777777" w:rsidR="00453572" w:rsidRPr="00A312BC" w:rsidRDefault="004535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4AE7" w14:textId="1306FBAC" w:rsidR="00C70D60" w:rsidRPr="00C70D60" w:rsidRDefault="00C70D60">
    <w:pPr>
      <w:pStyle w:val="aa"/>
    </w:pPr>
    <w:r w:rsidRPr="00C70D60">
      <w:rPr>
        <w:b/>
        <w:sz w:val="18"/>
      </w:rPr>
      <w:fldChar w:fldCharType="begin"/>
    </w:r>
    <w:r w:rsidRPr="00C70D60">
      <w:rPr>
        <w:b/>
        <w:sz w:val="18"/>
      </w:rPr>
      <w:instrText xml:space="preserve"> PAGE  \* MERGEFORMAT </w:instrText>
    </w:r>
    <w:r w:rsidRPr="00C70D60">
      <w:rPr>
        <w:b/>
        <w:sz w:val="18"/>
      </w:rPr>
      <w:fldChar w:fldCharType="separate"/>
    </w:r>
    <w:r w:rsidRPr="00C70D60">
      <w:rPr>
        <w:b/>
        <w:noProof/>
        <w:sz w:val="18"/>
      </w:rPr>
      <w:t>2</w:t>
    </w:r>
    <w:r w:rsidRPr="00C70D60">
      <w:rPr>
        <w:b/>
        <w:sz w:val="18"/>
      </w:rPr>
      <w:fldChar w:fldCharType="end"/>
    </w:r>
    <w:r>
      <w:rPr>
        <w:b/>
        <w:sz w:val="18"/>
      </w:rPr>
      <w:tab/>
    </w:r>
    <w:r>
      <w:t>GE.22-05112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B9C5" w14:textId="668BE4F2" w:rsidR="00C70D60" w:rsidRPr="00C70D60" w:rsidRDefault="00C70D60" w:rsidP="00C70D60">
    <w:pPr>
      <w:pStyle w:val="aa"/>
      <w:tabs>
        <w:tab w:val="clear" w:pos="9639"/>
        <w:tab w:val="right" w:pos="9638"/>
      </w:tabs>
      <w:rPr>
        <w:b/>
        <w:sz w:val="18"/>
      </w:rPr>
    </w:pPr>
    <w:r>
      <w:t>GE.22-05112</w:t>
    </w:r>
    <w:r>
      <w:tab/>
    </w:r>
    <w:r w:rsidRPr="00C70D60">
      <w:rPr>
        <w:b/>
        <w:sz w:val="18"/>
      </w:rPr>
      <w:fldChar w:fldCharType="begin"/>
    </w:r>
    <w:r w:rsidRPr="00C70D60">
      <w:rPr>
        <w:b/>
        <w:sz w:val="18"/>
      </w:rPr>
      <w:instrText xml:space="preserve"> PAGE  \* MERGEFORMAT </w:instrText>
    </w:r>
    <w:r w:rsidRPr="00C70D60">
      <w:rPr>
        <w:b/>
        <w:sz w:val="18"/>
      </w:rPr>
      <w:fldChar w:fldCharType="separate"/>
    </w:r>
    <w:r w:rsidRPr="00C70D60">
      <w:rPr>
        <w:b/>
        <w:noProof/>
        <w:sz w:val="18"/>
      </w:rPr>
      <w:t>3</w:t>
    </w:r>
    <w:r w:rsidRPr="00C70D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BEB9" w14:textId="554813BA" w:rsidR="00042B72" w:rsidRPr="00275417" w:rsidRDefault="00C70D60" w:rsidP="00C70D6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699331" wp14:editId="2150ED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05112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6D813A" wp14:editId="0C97C7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17">
      <w:rPr>
        <w:lang w:val="en-US"/>
      </w:rPr>
      <w:t xml:space="preserve">   250422   270422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DCEF" w14:textId="77777777" w:rsidR="00453572" w:rsidRPr="001075E9" w:rsidRDefault="004535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B61927" w14:textId="77777777" w:rsidR="00453572" w:rsidRDefault="004535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59D2B0" w14:textId="29B3EC2D" w:rsidR="00C70D60" w:rsidRPr="000B1198" w:rsidRDefault="00C70D60" w:rsidP="00C70D60">
      <w:pPr>
        <w:pStyle w:val="af"/>
      </w:pPr>
      <w:r>
        <w:tab/>
      </w:r>
      <w:r w:rsidRPr="00390053">
        <w:rPr>
          <w:sz w:val="20"/>
        </w:rPr>
        <w:t>*</w:t>
      </w:r>
      <w:r>
        <w:tab/>
        <w:t>Приняты Комитетом на его семьдесят первой сессии (14 февраля — 4 марта 2022 года).</w:t>
      </w:r>
    </w:p>
  </w:footnote>
  <w:footnote w:id="2">
    <w:p w14:paraId="1DF49550" w14:textId="2D62ECB0" w:rsidR="00C70D60" w:rsidRPr="000B1198" w:rsidRDefault="00C70D60" w:rsidP="00C70D60">
      <w:pPr>
        <w:pStyle w:val="af"/>
        <w:rPr>
          <w:lang w:val="de-CH"/>
        </w:rPr>
      </w:pPr>
      <w:r w:rsidRPr="00757A19">
        <w:tab/>
      </w:r>
      <w:r w:rsidRPr="002E6544">
        <w:rPr>
          <w:rStyle w:val="a8"/>
        </w:rPr>
        <w:footnoteRef/>
      </w:r>
      <w:r w:rsidRPr="000B1198">
        <w:rPr>
          <w:lang w:val="de-CH"/>
        </w:rPr>
        <w:tab/>
      </w:r>
      <w:hyperlink r:id="rId1" w:history="1">
        <w:r w:rsidRPr="00C70D60">
          <w:rPr>
            <w:rStyle w:val="a7"/>
            <w:lang w:val="de-CH"/>
          </w:rPr>
          <w:t>E/C.12/SBR/3</w:t>
        </w:r>
      </w:hyperlink>
      <w:r w:rsidRPr="000B1198">
        <w:rPr>
          <w:lang w:val="de-CH"/>
        </w:rPr>
        <w:t>.</w:t>
      </w:r>
    </w:p>
  </w:footnote>
  <w:footnote w:id="3">
    <w:p w14:paraId="70A0C56C" w14:textId="3D8E911F" w:rsidR="00C70D60" w:rsidRPr="000B1198" w:rsidRDefault="00C70D60" w:rsidP="00C70D60">
      <w:pPr>
        <w:pStyle w:val="af"/>
        <w:rPr>
          <w:lang w:val="de-CH"/>
        </w:rPr>
      </w:pPr>
      <w:r w:rsidRPr="000B1198">
        <w:rPr>
          <w:lang w:val="de-CH"/>
        </w:rPr>
        <w:tab/>
      </w:r>
      <w:r w:rsidRPr="002E6544">
        <w:rPr>
          <w:rStyle w:val="a8"/>
        </w:rPr>
        <w:footnoteRef/>
      </w:r>
      <w:r w:rsidRPr="000B1198">
        <w:rPr>
          <w:lang w:val="de-CH"/>
        </w:rPr>
        <w:tab/>
      </w:r>
      <w:r>
        <w:t>См</w:t>
      </w:r>
      <w:r w:rsidRPr="000B1198">
        <w:rPr>
          <w:lang w:val="de-CH"/>
        </w:rPr>
        <w:t xml:space="preserve">. </w:t>
      </w:r>
      <w:hyperlink r:id="rId2" w:history="1">
        <w:r w:rsidRPr="00C70D60">
          <w:rPr>
            <w:rStyle w:val="a7"/>
            <w:lang w:val="de-CH"/>
          </w:rPr>
          <w:t>E/C.12/2022/SR.12</w:t>
        </w:r>
      </w:hyperlink>
      <w:r w:rsidRPr="000B1198">
        <w:rPr>
          <w:lang w:val="de-CH"/>
        </w:rPr>
        <w:t xml:space="preserve">, </w:t>
      </w:r>
      <w:hyperlink r:id="rId3" w:history="1">
        <w:r w:rsidR="00F33B5A" w:rsidRPr="00F33B5A">
          <w:rPr>
            <w:rStyle w:val="a7"/>
            <w:lang w:val="de-CH"/>
          </w:rPr>
          <w:t>E/C.12/2022/SR.14</w:t>
        </w:r>
      </w:hyperlink>
      <w:hyperlink r:id="rId4" w:history="1"/>
      <w:r w:rsidRPr="000B1198">
        <w:rPr>
          <w:lang w:val="de-CH"/>
        </w:rPr>
        <w:t xml:space="preserve"> </w:t>
      </w:r>
      <w:r>
        <w:t>и</w:t>
      </w:r>
      <w:r w:rsidRPr="000B1198">
        <w:rPr>
          <w:lang w:val="de-CH"/>
        </w:rPr>
        <w:t xml:space="preserve"> </w:t>
      </w:r>
      <w:hyperlink r:id="rId5" w:history="1">
        <w:r w:rsidR="00F33B5A" w:rsidRPr="00F33B5A">
          <w:rPr>
            <w:rStyle w:val="a7"/>
            <w:lang w:val="de-CH"/>
          </w:rPr>
          <w:t>E/C.12/2022/SR.16</w:t>
        </w:r>
      </w:hyperlink>
      <w:hyperlink r:id="rId6" w:history="1"/>
      <w:r w:rsidRPr="000B1198">
        <w:rPr>
          <w:lang w:val="de-CH"/>
        </w:rPr>
        <w:t>.</w:t>
      </w:r>
    </w:p>
  </w:footnote>
  <w:footnote w:id="4">
    <w:p w14:paraId="60F29967" w14:textId="2CE80F9A" w:rsidR="00C70D60" w:rsidRPr="000B1198" w:rsidRDefault="00C70D60" w:rsidP="00C70D60">
      <w:pPr>
        <w:pStyle w:val="af"/>
        <w:rPr>
          <w:lang w:val="de-CH"/>
        </w:rPr>
      </w:pPr>
      <w:r w:rsidRPr="000B1198">
        <w:rPr>
          <w:lang w:val="de-CH"/>
        </w:rPr>
        <w:tab/>
      </w:r>
      <w:r w:rsidRPr="002E6544">
        <w:rPr>
          <w:rStyle w:val="a8"/>
        </w:rPr>
        <w:footnoteRef/>
      </w:r>
      <w:r w:rsidRPr="000B1198">
        <w:rPr>
          <w:lang w:val="de-CH"/>
        </w:rPr>
        <w:t xml:space="preserve"> </w:t>
      </w:r>
      <w:r w:rsidRPr="000B1198">
        <w:rPr>
          <w:lang w:val="de-CH"/>
        </w:rPr>
        <w:tab/>
      </w:r>
      <w:hyperlink r:id="rId7" w:history="1">
        <w:r w:rsidRPr="00C70D60">
          <w:rPr>
            <w:rStyle w:val="a7"/>
            <w:lang w:val="de-CH"/>
          </w:rPr>
          <w:t>E/C.12/SBR/RQ/3</w:t>
        </w:r>
      </w:hyperlink>
      <w:r w:rsidRPr="000B1198">
        <w:rPr>
          <w:lang w:val="de-CH"/>
        </w:rPr>
        <w:t>.</w:t>
      </w:r>
    </w:p>
  </w:footnote>
  <w:footnote w:id="5">
    <w:p w14:paraId="55F3FFD3" w14:textId="21B7FBE7" w:rsidR="00C70D60" w:rsidRPr="000B1198" w:rsidRDefault="00C70D60" w:rsidP="00C70D60">
      <w:pPr>
        <w:pStyle w:val="af"/>
        <w:rPr>
          <w:lang w:val="de-CH"/>
        </w:rPr>
      </w:pPr>
      <w:r w:rsidRPr="000B1198">
        <w:rPr>
          <w:lang w:val="de-CH"/>
        </w:rPr>
        <w:tab/>
      </w:r>
      <w:r w:rsidRPr="002E6544">
        <w:rPr>
          <w:rStyle w:val="a8"/>
        </w:rPr>
        <w:footnoteRef/>
      </w:r>
      <w:r w:rsidRPr="000B1198">
        <w:rPr>
          <w:lang w:val="de-CH"/>
        </w:rPr>
        <w:tab/>
      </w:r>
      <w:hyperlink r:id="rId8" w:history="1">
        <w:r w:rsidR="00F33B5A" w:rsidRPr="00617469">
          <w:rPr>
            <w:rStyle w:val="a7"/>
          </w:rPr>
          <w:t>HRI/MC/2008/3.</w:t>
        </w:r>
      </w:hyperlink>
    </w:p>
  </w:footnote>
  <w:footnote w:id="6">
    <w:p w14:paraId="1ACCCC4B" w14:textId="3AF43AA7" w:rsidR="00C70D60" w:rsidRPr="000B1198" w:rsidRDefault="00C70D60" w:rsidP="00C70D60">
      <w:pPr>
        <w:pStyle w:val="af"/>
      </w:pPr>
      <w:r w:rsidRPr="000B1198">
        <w:rPr>
          <w:lang w:val="de-CH"/>
        </w:rPr>
        <w:tab/>
      </w:r>
      <w:r w:rsidRPr="002E6544">
        <w:rPr>
          <w:rStyle w:val="a8"/>
        </w:rPr>
        <w:footnoteRef/>
      </w:r>
      <w:r>
        <w:tab/>
      </w:r>
      <w:hyperlink r:id="rId9" w:history="1">
        <w:r w:rsidRPr="00C70D60">
          <w:rPr>
            <w:rStyle w:val="a7"/>
          </w:rPr>
          <w:t>E/C.12/2016/2</w:t>
        </w:r>
      </w:hyperlink>
      <w:r>
        <w:t>.</w:t>
      </w:r>
    </w:p>
  </w:footnote>
  <w:footnote w:id="7">
    <w:p w14:paraId="3F181E1F" w14:textId="77777777" w:rsidR="00C70D60" w:rsidRPr="000B1198" w:rsidRDefault="00C70D60" w:rsidP="00C70D60">
      <w:pPr>
        <w:pStyle w:val="af"/>
        <w:rPr>
          <w:szCs w:val="18"/>
        </w:rPr>
      </w:pPr>
      <w:r w:rsidRPr="00857F94">
        <w:tab/>
      </w:r>
      <w:r w:rsidRPr="002E6544">
        <w:rPr>
          <w:rStyle w:val="a8"/>
        </w:rPr>
        <w:footnoteRef/>
      </w:r>
      <w:r>
        <w:t xml:space="preserve"> </w:t>
      </w:r>
      <w:r>
        <w:tab/>
        <w:t>Ссылки на Косово следует понимать в контексте резолюции 1244 (1999) Совета Безопасности.</w:t>
      </w:r>
      <w:bookmarkStart w:id="0" w:name="_Hlk7116218"/>
      <w:bookmarkEnd w:id="0"/>
    </w:p>
  </w:footnote>
  <w:footnote w:id="8">
    <w:p w14:paraId="79416305" w14:textId="2DF08022" w:rsidR="00C70D60" w:rsidRPr="0066495A" w:rsidRDefault="00C70D60" w:rsidP="00C70D60">
      <w:pPr>
        <w:pStyle w:val="af"/>
      </w:pPr>
      <w:r>
        <w:tab/>
      </w:r>
      <w:r w:rsidRPr="002E6544">
        <w:rPr>
          <w:rStyle w:val="a8"/>
        </w:rPr>
        <w:footnoteRef/>
      </w:r>
      <w:r>
        <w:tab/>
      </w:r>
      <w:hyperlink r:id="rId10" w:history="1">
        <w:r w:rsidRPr="000943BF">
          <w:rPr>
            <w:rStyle w:val="a7"/>
          </w:rPr>
          <w:t>E/C.12/2018/1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5A1D" w14:textId="0CB5E0E5" w:rsidR="00C70D60" w:rsidRPr="00C70D60" w:rsidRDefault="00BD437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B12CD">
      <w:t>E/C.12/SRB/CO/3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AEAD" w14:textId="573F02F2" w:rsidR="00C70D60" w:rsidRPr="00C70D60" w:rsidRDefault="00BD4375" w:rsidP="00C70D6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12CD">
      <w:t>E/C.12/SRB/CO/3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72"/>
    <w:rsid w:val="00033EE1"/>
    <w:rsid w:val="00042B72"/>
    <w:rsid w:val="00043B08"/>
    <w:rsid w:val="000558BD"/>
    <w:rsid w:val="000648B0"/>
    <w:rsid w:val="000857D2"/>
    <w:rsid w:val="000943BF"/>
    <w:rsid w:val="000B57E7"/>
    <w:rsid w:val="000B6373"/>
    <w:rsid w:val="000F09DF"/>
    <w:rsid w:val="000F61B2"/>
    <w:rsid w:val="001075E9"/>
    <w:rsid w:val="001202F2"/>
    <w:rsid w:val="001253D8"/>
    <w:rsid w:val="0014152F"/>
    <w:rsid w:val="00142F5E"/>
    <w:rsid w:val="00180183"/>
    <w:rsid w:val="0018024D"/>
    <w:rsid w:val="0018649F"/>
    <w:rsid w:val="00196389"/>
    <w:rsid w:val="001B3EF6"/>
    <w:rsid w:val="001B79AA"/>
    <w:rsid w:val="001C7A89"/>
    <w:rsid w:val="001D5C5A"/>
    <w:rsid w:val="00203065"/>
    <w:rsid w:val="00275417"/>
    <w:rsid w:val="002979E2"/>
    <w:rsid w:val="002A2EFC"/>
    <w:rsid w:val="002B12CD"/>
    <w:rsid w:val="002B74B1"/>
    <w:rsid w:val="002C0E18"/>
    <w:rsid w:val="002D5AAC"/>
    <w:rsid w:val="002E5067"/>
    <w:rsid w:val="002E6544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0053"/>
    <w:rsid w:val="003958D0"/>
    <w:rsid w:val="003A0D43"/>
    <w:rsid w:val="003B00E5"/>
    <w:rsid w:val="00407B78"/>
    <w:rsid w:val="00424203"/>
    <w:rsid w:val="0042551A"/>
    <w:rsid w:val="00452493"/>
    <w:rsid w:val="00453318"/>
    <w:rsid w:val="00453572"/>
    <w:rsid w:val="00454E07"/>
    <w:rsid w:val="00472C5C"/>
    <w:rsid w:val="00473089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3ECD"/>
    <w:rsid w:val="00906890"/>
    <w:rsid w:val="00911BE4"/>
    <w:rsid w:val="0092412D"/>
    <w:rsid w:val="00951972"/>
    <w:rsid w:val="009608F3"/>
    <w:rsid w:val="009A24AC"/>
    <w:rsid w:val="00A14DA8"/>
    <w:rsid w:val="00A21F00"/>
    <w:rsid w:val="00A312BC"/>
    <w:rsid w:val="00A8199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D4375"/>
    <w:rsid w:val="00BF21E1"/>
    <w:rsid w:val="00C106D6"/>
    <w:rsid w:val="00C60F0C"/>
    <w:rsid w:val="00C70D60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2160B"/>
    <w:rsid w:val="00E73F76"/>
    <w:rsid w:val="00E9026E"/>
    <w:rsid w:val="00E90403"/>
    <w:rsid w:val="00EA2C9F"/>
    <w:rsid w:val="00EA420E"/>
    <w:rsid w:val="00ED0BDA"/>
    <w:rsid w:val="00EE142A"/>
    <w:rsid w:val="00EF1360"/>
    <w:rsid w:val="00EF3220"/>
    <w:rsid w:val="00F33B5A"/>
    <w:rsid w:val="00F43903"/>
    <w:rsid w:val="00F94155"/>
    <w:rsid w:val="00F9783F"/>
    <w:rsid w:val="00FD2EF7"/>
    <w:rsid w:val="00FD39E8"/>
    <w:rsid w:val="00FE05A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273F3"/>
  <w15:docId w15:val="{30671BC6-102B-4270-8FA4-C37F225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C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HRI/MC/2008/3" TargetMode="External"/><Relationship Id="rId3" Type="http://schemas.openxmlformats.org/officeDocument/2006/relationships/hyperlink" Target="http://undocs.org/en/E/C.12/2022/SR.14%20" TargetMode="External"/><Relationship Id="rId7" Type="http://schemas.openxmlformats.org/officeDocument/2006/relationships/hyperlink" Target="http://undocs.org/ru/E/C.12/SBR/RQ/3" TargetMode="External"/><Relationship Id="rId2" Type="http://schemas.openxmlformats.org/officeDocument/2006/relationships/hyperlink" Target="http://undocs.org/ru/E/C.12/2022/SR.12" TargetMode="External"/><Relationship Id="rId1" Type="http://schemas.openxmlformats.org/officeDocument/2006/relationships/hyperlink" Target="http://undocs.org/ru/E/C.12/SBR/3" TargetMode="External"/><Relationship Id="rId6" Type="http://schemas.openxmlformats.org/officeDocument/2006/relationships/hyperlink" Target="http://undocs.org/ru/E/C.12/2022/SR.16" TargetMode="External"/><Relationship Id="rId5" Type="http://schemas.openxmlformats.org/officeDocument/2006/relationships/hyperlink" Target="http://undocs.org/en/E/C.12/2022/SR.16" TargetMode="External"/><Relationship Id="rId10" Type="http://schemas.openxmlformats.org/officeDocument/2006/relationships/hyperlink" Target="http://undocs.org/ru/E/C.12/2018/1" TargetMode="External"/><Relationship Id="rId4" Type="http://schemas.openxmlformats.org/officeDocument/2006/relationships/hyperlink" Target="http://undocs.org/ru/E/C.12/2022/SR.14" TargetMode="External"/><Relationship Id="rId9" Type="http://schemas.openxmlformats.org/officeDocument/2006/relationships/hyperlink" Target="http://undocs.org/ru/E/C.12/2016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10</TotalTime>
  <Pages>15</Pages>
  <Words>5342</Words>
  <Characters>38217</Characters>
  <Application>Microsoft Office Word</Application>
  <DocSecurity>0</DocSecurity>
  <Lines>318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E/C.12/SRB/CO/3</vt:lpstr>
      <vt:lpstr>A/</vt:lpstr>
      <vt:lpstr>A/</vt:lpstr>
    </vt:vector>
  </TitlesOfParts>
  <Company>DCM</Company>
  <LinksUpToDate>false</LinksUpToDate>
  <CharactersWithSpaces>43473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E/C.12/SRB/CO/3</dc:title>
  <dc:subject/>
  <dc:creator>Larisa MAYKOVSKAYA</dc:creator>
  <cp:keywords/>
  <cp:lastModifiedBy>Tatiana Chvets</cp:lastModifiedBy>
  <cp:revision>3</cp:revision>
  <cp:lastPrinted>2022-04-27T06:15:00Z</cp:lastPrinted>
  <dcterms:created xsi:type="dcterms:W3CDTF">2022-04-27T06:15:00Z</dcterms:created>
  <dcterms:modified xsi:type="dcterms:W3CDTF">2022-04-27T06:18:00Z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