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40857">
        <w:trPr>
          <w:cantSplit/>
          <w:trHeight w:hRule="exact" w:val="851"/>
        </w:trPr>
        <w:tc>
          <w:tcPr>
            <w:tcW w:w="1276" w:type="dxa"/>
            <w:tcBorders>
              <w:bottom w:val="single" w:sz="4" w:space="0" w:color="auto"/>
            </w:tcBorders>
            <w:vAlign w:val="bottom"/>
          </w:tcPr>
          <w:p w:rsidR="00540857" w:rsidRDefault="00540857" w:rsidP="00540857">
            <w:pPr>
              <w:spacing w:after="80"/>
            </w:pPr>
          </w:p>
        </w:tc>
        <w:tc>
          <w:tcPr>
            <w:tcW w:w="2268" w:type="dxa"/>
            <w:tcBorders>
              <w:bottom w:val="single" w:sz="4" w:space="0" w:color="auto"/>
            </w:tcBorders>
            <w:vAlign w:val="bottom"/>
          </w:tcPr>
          <w:p w:rsidR="00540857" w:rsidRPr="00B97172" w:rsidRDefault="00540857" w:rsidP="0054085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40857" w:rsidRPr="00D47EEA" w:rsidRDefault="00540857" w:rsidP="00CE4260">
            <w:pPr>
              <w:jc w:val="right"/>
            </w:pPr>
            <w:r w:rsidRPr="00DD1051">
              <w:rPr>
                <w:color w:val="000000"/>
                <w:sz w:val="40"/>
                <w:szCs w:val="40"/>
              </w:rPr>
              <w:t>E</w:t>
            </w:r>
            <w:r w:rsidRPr="00DD1051">
              <w:rPr>
                <w:color w:val="000000"/>
              </w:rPr>
              <w:t>/C.12/</w:t>
            </w:r>
            <w:r>
              <w:rPr>
                <w:color w:val="000000"/>
              </w:rPr>
              <w:t>SRB</w:t>
            </w:r>
            <w:r w:rsidRPr="00DD1051">
              <w:rPr>
                <w:color w:val="000000"/>
              </w:rPr>
              <w:t>/CO/</w:t>
            </w:r>
            <w:r>
              <w:rPr>
                <w:color w:val="000000"/>
              </w:rPr>
              <w:t>2</w:t>
            </w:r>
          </w:p>
        </w:tc>
      </w:tr>
      <w:tr w:rsidR="00540857">
        <w:trPr>
          <w:cantSplit/>
          <w:trHeight w:hRule="exact" w:val="2835"/>
        </w:trPr>
        <w:tc>
          <w:tcPr>
            <w:tcW w:w="1276" w:type="dxa"/>
            <w:tcBorders>
              <w:top w:val="single" w:sz="4" w:space="0" w:color="auto"/>
              <w:bottom w:val="single" w:sz="12" w:space="0" w:color="auto"/>
            </w:tcBorders>
          </w:tcPr>
          <w:p w:rsidR="00540857" w:rsidRDefault="00540857" w:rsidP="0054085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p w:rsidR="00540857" w:rsidRPr="004D4BC7" w:rsidRDefault="00540857" w:rsidP="00540857"/>
        </w:tc>
        <w:tc>
          <w:tcPr>
            <w:tcW w:w="5528" w:type="dxa"/>
            <w:gridSpan w:val="2"/>
            <w:tcBorders>
              <w:top w:val="single" w:sz="4" w:space="0" w:color="auto"/>
              <w:bottom w:val="single" w:sz="12" w:space="0" w:color="auto"/>
            </w:tcBorders>
          </w:tcPr>
          <w:p w:rsidR="00540857" w:rsidRPr="00D773DF" w:rsidRDefault="00540857" w:rsidP="0054085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540857" w:rsidRPr="004D4BC7" w:rsidRDefault="00540857" w:rsidP="00540857">
            <w:pPr>
              <w:suppressAutoHyphens w:val="0"/>
              <w:spacing w:before="240" w:line="240" w:lineRule="auto"/>
              <w:rPr>
                <w:rFonts w:eastAsia="MS Mincho"/>
                <w:lang w:val="es-ES_tradnl"/>
              </w:rPr>
            </w:pPr>
            <w:r w:rsidRPr="004D4BC7">
              <w:rPr>
                <w:rFonts w:eastAsia="MS Mincho"/>
                <w:lang w:val="es-ES_tradnl"/>
              </w:rPr>
              <w:t>Distr.</w:t>
            </w:r>
            <w:r w:rsidRPr="004D4BC7">
              <w:rPr>
                <w:rFonts w:eastAsia="MS Mincho"/>
              </w:rPr>
              <w:t xml:space="preserve">: </w:t>
            </w:r>
            <w:r w:rsidR="00CE4260">
              <w:rPr>
                <w:rFonts w:eastAsia="MS Mincho"/>
              </w:rPr>
              <w:t>General</w:t>
            </w:r>
          </w:p>
          <w:p w:rsidR="00540857" w:rsidRPr="004D4BC7" w:rsidRDefault="00982E07" w:rsidP="00540857">
            <w:pPr>
              <w:suppressAutoHyphens w:val="0"/>
              <w:spacing w:after="240" w:line="240" w:lineRule="auto"/>
              <w:rPr>
                <w:rFonts w:eastAsia="MS Mincho"/>
                <w:lang w:val="en-US"/>
              </w:rPr>
            </w:pPr>
            <w:r>
              <w:rPr>
                <w:rFonts w:eastAsia="MS Mincho"/>
              </w:rPr>
              <w:t>10</w:t>
            </w:r>
            <w:r w:rsidR="00540857">
              <w:rPr>
                <w:rFonts w:eastAsia="MS Mincho"/>
              </w:rPr>
              <w:t xml:space="preserve"> </w:t>
            </w:r>
            <w:r w:rsidR="0029694E">
              <w:rPr>
                <w:rFonts w:eastAsia="MS Mincho"/>
              </w:rPr>
              <w:t>Ju</w:t>
            </w:r>
            <w:r w:rsidR="00597D54">
              <w:rPr>
                <w:rFonts w:eastAsia="MS Mincho"/>
              </w:rPr>
              <w:t>ly</w:t>
            </w:r>
            <w:r w:rsidR="00540857">
              <w:rPr>
                <w:rFonts w:eastAsia="MS Mincho"/>
              </w:rPr>
              <w:t xml:space="preserve"> </w:t>
            </w:r>
            <w:r w:rsidR="00540857" w:rsidRPr="004D4BC7">
              <w:rPr>
                <w:rFonts w:eastAsia="MS Mincho"/>
              </w:rPr>
              <w:t>201</w:t>
            </w:r>
            <w:r w:rsidR="00540857">
              <w:rPr>
                <w:rFonts w:eastAsia="MS Mincho"/>
              </w:rPr>
              <w:t>4</w:t>
            </w:r>
          </w:p>
          <w:p w:rsidR="00C6509A" w:rsidRDefault="00540857" w:rsidP="00CE5E3A">
            <w:pPr>
              <w:spacing w:line="240" w:lineRule="exact"/>
            </w:pPr>
            <w:r>
              <w:t>Original: English</w:t>
            </w:r>
          </w:p>
          <w:p w:rsidR="00C6509A" w:rsidRPr="00C6509A" w:rsidRDefault="00C6509A" w:rsidP="00540857">
            <w:pPr>
              <w:spacing w:line="240" w:lineRule="exact"/>
              <w:rPr>
                <w:b/>
              </w:rPr>
            </w:pPr>
          </w:p>
        </w:tc>
      </w:tr>
    </w:tbl>
    <w:p w:rsidR="00540857" w:rsidRPr="004D4BC7" w:rsidRDefault="00540857" w:rsidP="00540857">
      <w:pPr>
        <w:suppressAutoHyphens w:val="0"/>
        <w:spacing w:before="120" w:line="240" w:lineRule="auto"/>
        <w:rPr>
          <w:rFonts w:eastAsia="MS Mincho"/>
          <w:sz w:val="24"/>
        </w:rPr>
      </w:pPr>
      <w:r w:rsidRPr="004D4BC7">
        <w:rPr>
          <w:rFonts w:eastAsia="MS Mincho"/>
          <w:b/>
          <w:sz w:val="24"/>
          <w:szCs w:val="24"/>
        </w:rPr>
        <w:t>Committee on Economic, Social and Cultural Rights</w:t>
      </w:r>
      <w:r w:rsidR="004E2EEA">
        <w:rPr>
          <w:rFonts w:eastAsia="MS Mincho"/>
          <w:noProof/>
          <w:sz w:val="24"/>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540857" w:rsidRPr="00725125" w:rsidRDefault="00540857" w:rsidP="00725125">
      <w:pPr>
        <w:pStyle w:val="HChG"/>
        <w:tabs>
          <w:tab w:val="clear" w:pos="851"/>
          <w:tab w:val="left" w:pos="720"/>
          <w:tab w:val="left" w:pos="1134"/>
        </w:tabs>
        <w:spacing w:after="360"/>
        <w:ind w:firstLine="0"/>
      </w:pPr>
      <w:r w:rsidRPr="00A77059">
        <w:t xml:space="preserve">Concluding observations on the </w:t>
      </w:r>
      <w:r w:rsidR="00CE5E3A">
        <w:t>second periodic report of </w:t>
      </w:r>
      <w:r>
        <w:t>Serbia</w:t>
      </w:r>
      <w:r w:rsidR="00357270" w:rsidRPr="00CE5E3A">
        <w:rPr>
          <w:b w:val="0"/>
          <w:bCs/>
          <w:sz w:val="20"/>
        </w:rPr>
        <w:footnoteReference w:customMarkFollows="1" w:id="2"/>
        <w:t>*</w:t>
      </w:r>
    </w:p>
    <w:p w:rsidR="00540857" w:rsidRPr="004D4BC7" w:rsidRDefault="008B3028" w:rsidP="008B3028">
      <w:pPr>
        <w:pStyle w:val="SingleTxtG"/>
        <w:rPr>
          <w:rFonts w:eastAsia="MS Mincho"/>
        </w:rPr>
      </w:pPr>
      <w:r w:rsidRPr="004D4BC7">
        <w:rPr>
          <w:rFonts w:eastAsia="MS Mincho"/>
        </w:rPr>
        <w:t>1.</w:t>
      </w:r>
      <w:r w:rsidRPr="004D4BC7">
        <w:rPr>
          <w:rFonts w:eastAsia="MS Mincho"/>
        </w:rPr>
        <w:tab/>
      </w:r>
      <w:r w:rsidR="00540857" w:rsidRPr="004D4BC7">
        <w:rPr>
          <w:rFonts w:eastAsia="MS Mincho"/>
        </w:rPr>
        <w:t xml:space="preserve">The Committee on </w:t>
      </w:r>
      <w:r w:rsidR="00540857" w:rsidRPr="0052138A">
        <w:t>Economic</w:t>
      </w:r>
      <w:r w:rsidR="00540857" w:rsidRPr="004D4BC7">
        <w:rPr>
          <w:rFonts w:eastAsia="MS Mincho"/>
        </w:rPr>
        <w:t xml:space="preserve">, Social and Cultural Rights considered the </w:t>
      </w:r>
      <w:r w:rsidR="00540857">
        <w:rPr>
          <w:rFonts w:eastAsia="MS Mincho"/>
        </w:rPr>
        <w:t xml:space="preserve">second </w:t>
      </w:r>
      <w:r w:rsidR="00540857" w:rsidRPr="004D4BC7">
        <w:rPr>
          <w:rFonts w:eastAsia="MS Mincho"/>
        </w:rPr>
        <w:t>periodic report</w:t>
      </w:r>
      <w:r w:rsidR="00540857">
        <w:rPr>
          <w:rFonts w:eastAsia="MS Mincho"/>
        </w:rPr>
        <w:t xml:space="preserve"> </w:t>
      </w:r>
      <w:r w:rsidR="00540857" w:rsidRPr="004D4BC7">
        <w:rPr>
          <w:rFonts w:eastAsia="MS Mincho"/>
        </w:rPr>
        <w:t xml:space="preserve">of </w:t>
      </w:r>
      <w:r w:rsidR="00540857">
        <w:rPr>
          <w:rFonts w:eastAsia="MS Mincho"/>
        </w:rPr>
        <w:t xml:space="preserve">Serbia </w:t>
      </w:r>
      <w:r w:rsidR="00540857" w:rsidRPr="004D4BC7">
        <w:rPr>
          <w:rFonts w:eastAsia="MS Mincho"/>
        </w:rPr>
        <w:t xml:space="preserve">on the </w:t>
      </w:r>
      <w:r w:rsidR="00540857" w:rsidRPr="0052138A">
        <w:t>implementation</w:t>
      </w:r>
      <w:r w:rsidR="00540857" w:rsidRPr="004D4BC7">
        <w:rPr>
          <w:rFonts w:eastAsia="MS Mincho"/>
        </w:rPr>
        <w:t xml:space="preserve"> of the International Covenant on Economic, Soci</w:t>
      </w:r>
      <w:r w:rsidR="00540857">
        <w:rPr>
          <w:rFonts w:eastAsia="MS Mincho"/>
        </w:rPr>
        <w:t>al and Cultural Rights (E/C.12/SRB</w:t>
      </w:r>
      <w:r w:rsidR="00540857" w:rsidRPr="004D4BC7">
        <w:rPr>
          <w:rFonts w:eastAsia="MS Mincho"/>
        </w:rPr>
        <w:t xml:space="preserve">/2) at its </w:t>
      </w:r>
      <w:r w:rsidR="00E24436">
        <w:rPr>
          <w:rFonts w:eastAsia="MS Mincho"/>
        </w:rPr>
        <w:t>2</w:t>
      </w:r>
      <w:r w:rsidR="00E24436">
        <w:rPr>
          <w:rFonts w:eastAsia="MS Mincho"/>
          <w:lang w:val="en-GB"/>
        </w:rPr>
        <w:t>7</w:t>
      </w:r>
      <w:r w:rsidR="00E24436" w:rsidRPr="00967D5C">
        <w:rPr>
          <w:rFonts w:eastAsia="MS Mincho"/>
          <w:lang w:val="en-GB"/>
        </w:rPr>
        <w:t>th</w:t>
      </w:r>
      <w:r w:rsidR="00E24436">
        <w:rPr>
          <w:rFonts w:eastAsia="MS Mincho"/>
          <w:lang w:val="en-GB"/>
        </w:rPr>
        <w:t xml:space="preserve"> </w:t>
      </w:r>
      <w:r w:rsidR="00540857" w:rsidRPr="004D4BC7">
        <w:rPr>
          <w:rFonts w:eastAsia="MS Mincho"/>
        </w:rPr>
        <w:t xml:space="preserve">and </w:t>
      </w:r>
      <w:r w:rsidR="00540857">
        <w:rPr>
          <w:rFonts w:eastAsia="MS Mincho"/>
        </w:rPr>
        <w:t>28</w:t>
      </w:r>
      <w:r w:rsidR="00E24436" w:rsidRPr="00967D5C">
        <w:rPr>
          <w:rFonts w:eastAsia="MS Mincho"/>
          <w:lang w:val="en-GB"/>
        </w:rPr>
        <w:t>th</w:t>
      </w:r>
      <w:r w:rsidR="00E24436">
        <w:rPr>
          <w:rFonts w:eastAsia="MS Mincho"/>
          <w:lang w:val="en-GB"/>
        </w:rPr>
        <w:t xml:space="preserve"> </w:t>
      </w:r>
      <w:r w:rsidR="00540857" w:rsidRPr="004D4BC7">
        <w:rPr>
          <w:rFonts w:eastAsia="MS Mincho"/>
        </w:rPr>
        <w:t>meetings</w:t>
      </w:r>
      <w:r w:rsidR="00540857">
        <w:rPr>
          <w:rFonts w:eastAsia="MS Mincho"/>
        </w:rPr>
        <w:t xml:space="preserve"> (</w:t>
      </w:r>
      <w:r w:rsidR="00967D5C">
        <w:rPr>
          <w:rFonts w:eastAsia="MS Mincho"/>
        </w:rPr>
        <w:t xml:space="preserve">see </w:t>
      </w:r>
      <w:r w:rsidR="00540857">
        <w:rPr>
          <w:rFonts w:eastAsia="MS Mincho"/>
        </w:rPr>
        <w:t>E/C.12/2014/SR.27</w:t>
      </w:r>
      <w:r w:rsidR="009A7A35">
        <w:rPr>
          <w:rFonts w:eastAsia="MS Mincho"/>
        </w:rPr>
        <w:t xml:space="preserve"> and </w:t>
      </w:r>
      <w:r w:rsidR="00540857">
        <w:rPr>
          <w:rFonts w:eastAsia="MS Mincho"/>
        </w:rPr>
        <w:t>28)</w:t>
      </w:r>
      <w:r w:rsidR="00540857" w:rsidRPr="004D4BC7">
        <w:rPr>
          <w:rFonts w:eastAsia="MS Mincho"/>
        </w:rPr>
        <w:t xml:space="preserve">, held on </w:t>
      </w:r>
      <w:r w:rsidR="00540857">
        <w:rPr>
          <w:rFonts w:eastAsia="MS Mincho"/>
        </w:rPr>
        <w:t xml:space="preserve">15 May </w:t>
      </w:r>
      <w:r w:rsidR="00540857" w:rsidRPr="004D4BC7">
        <w:rPr>
          <w:rFonts w:eastAsia="MS Mincho"/>
        </w:rPr>
        <w:t>201</w:t>
      </w:r>
      <w:r w:rsidR="00540857">
        <w:rPr>
          <w:rFonts w:eastAsia="MS Mincho"/>
        </w:rPr>
        <w:t>4</w:t>
      </w:r>
      <w:r w:rsidR="00540857" w:rsidRPr="004D4BC7">
        <w:rPr>
          <w:rFonts w:eastAsia="MS Mincho"/>
        </w:rPr>
        <w:t xml:space="preserve">, and adopted, at its </w:t>
      </w:r>
      <w:r w:rsidR="00E24436">
        <w:rPr>
          <w:rFonts w:eastAsia="MS Mincho"/>
          <w:lang w:val="en-GB"/>
        </w:rPr>
        <w:t>40</w:t>
      </w:r>
      <w:r w:rsidR="00E24436" w:rsidRPr="00967D5C">
        <w:rPr>
          <w:rFonts w:eastAsia="MS Mincho"/>
          <w:lang w:val="en-GB"/>
        </w:rPr>
        <w:t>th</w:t>
      </w:r>
      <w:r w:rsidR="00E24436">
        <w:rPr>
          <w:rFonts w:eastAsia="MS Mincho"/>
          <w:lang w:val="en-GB"/>
        </w:rPr>
        <w:t xml:space="preserve"> </w:t>
      </w:r>
      <w:r w:rsidR="00540857" w:rsidRPr="004D4BC7">
        <w:rPr>
          <w:rFonts w:eastAsia="MS Mincho"/>
        </w:rPr>
        <w:t>meeting</w:t>
      </w:r>
      <w:r w:rsidR="00540857">
        <w:rPr>
          <w:rFonts w:eastAsia="MS Mincho"/>
        </w:rPr>
        <w:t>,</w:t>
      </w:r>
      <w:r w:rsidR="00540857" w:rsidRPr="004D4BC7">
        <w:rPr>
          <w:rFonts w:eastAsia="MS Mincho"/>
        </w:rPr>
        <w:t xml:space="preserve"> held on 2</w:t>
      </w:r>
      <w:r w:rsidR="00540857">
        <w:rPr>
          <w:rFonts w:eastAsia="MS Mincho"/>
        </w:rPr>
        <w:t>3</w:t>
      </w:r>
      <w:r w:rsidR="00540857" w:rsidRPr="004D4BC7">
        <w:rPr>
          <w:rFonts w:eastAsia="MS Mincho"/>
        </w:rPr>
        <w:t xml:space="preserve"> </w:t>
      </w:r>
      <w:r w:rsidR="00540857">
        <w:rPr>
          <w:rFonts w:eastAsia="MS Mincho"/>
        </w:rPr>
        <w:t xml:space="preserve">May </w:t>
      </w:r>
      <w:r w:rsidR="00540857" w:rsidRPr="004D4BC7">
        <w:rPr>
          <w:rFonts w:eastAsia="MS Mincho"/>
        </w:rPr>
        <w:t>201</w:t>
      </w:r>
      <w:r w:rsidR="00540857">
        <w:rPr>
          <w:rFonts w:eastAsia="MS Mincho"/>
        </w:rPr>
        <w:t>4</w:t>
      </w:r>
      <w:r w:rsidR="00540857" w:rsidRPr="004D4BC7">
        <w:rPr>
          <w:rFonts w:eastAsia="MS Mincho"/>
        </w:rPr>
        <w:t>, the following concluding observations.</w:t>
      </w:r>
    </w:p>
    <w:p w:rsidR="00540857" w:rsidRPr="004D4BC7" w:rsidRDefault="00540857" w:rsidP="00967D5C">
      <w:pPr>
        <w:pStyle w:val="H1G"/>
      </w:pPr>
      <w:r>
        <w:tab/>
      </w:r>
      <w:r w:rsidRPr="004D4BC7">
        <w:t>A.</w:t>
      </w:r>
      <w:r w:rsidRPr="004D4BC7">
        <w:tab/>
        <w:t>Introduction</w:t>
      </w:r>
    </w:p>
    <w:p w:rsidR="00540857" w:rsidRDefault="008B3028" w:rsidP="008B3028">
      <w:pPr>
        <w:pStyle w:val="SingleTxtG"/>
        <w:rPr>
          <w:rFonts w:eastAsia="MS Mincho"/>
        </w:rPr>
      </w:pPr>
      <w:r>
        <w:rPr>
          <w:rFonts w:eastAsia="MS Mincho"/>
        </w:rPr>
        <w:t>2.</w:t>
      </w:r>
      <w:r>
        <w:rPr>
          <w:rFonts w:eastAsia="MS Mincho"/>
        </w:rPr>
        <w:tab/>
      </w:r>
      <w:r w:rsidR="00540857" w:rsidRPr="004D4BC7">
        <w:rPr>
          <w:rFonts w:eastAsia="MS Mincho"/>
        </w:rPr>
        <w:t xml:space="preserve">The Committee </w:t>
      </w:r>
      <w:r w:rsidR="00540857">
        <w:rPr>
          <w:rFonts w:eastAsia="MS Mincho"/>
        </w:rPr>
        <w:t xml:space="preserve">welcomes </w:t>
      </w:r>
      <w:r w:rsidR="00540857" w:rsidRPr="004D4BC7">
        <w:rPr>
          <w:rFonts w:eastAsia="MS Mincho"/>
        </w:rPr>
        <w:t xml:space="preserve">the submission </w:t>
      </w:r>
      <w:r w:rsidR="00540857">
        <w:rPr>
          <w:rFonts w:eastAsia="MS Mincho"/>
        </w:rPr>
        <w:t>of the second periodic report of Serbia and the written replies</w:t>
      </w:r>
      <w:r w:rsidR="00967D5C">
        <w:rPr>
          <w:rFonts w:eastAsia="MS Mincho"/>
        </w:rPr>
        <w:t xml:space="preserve"> (</w:t>
      </w:r>
      <w:r w:rsidR="00967D5C" w:rsidRPr="004D4BC7">
        <w:rPr>
          <w:rFonts w:eastAsia="MS Mincho"/>
          <w:lang w:val="en-US"/>
        </w:rPr>
        <w:t>E/C.12/</w:t>
      </w:r>
      <w:r w:rsidR="00967D5C">
        <w:rPr>
          <w:rFonts w:eastAsia="MS Mincho"/>
          <w:lang w:val="en-US"/>
        </w:rPr>
        <w:t>SRB</w:t>
      </w:r>
      <w:r w:rsidR="00967D5C" w:rsidRPr="004D4BC7">
        <w:rPr>
          <w:rFonts w:eastAsia="MS Mincho"/>
          <w:lang w:val="en-US"/>
        </w:rPr>
        <w:t>/Q/2/Add.1)</w:t>
      </w:r>
      <w:r w:rsidR="00540857">
        <w:rPr>
          <w:rFonts w:eastAsia="MS Mincho"/>
        </w:rPr>
        <w:t xml:space="preserve"> which it received, albeit late, to its list of issues</w:t>
      </w:r>
      <w:r w:rsidR="00540857">
        <w:rPr>
          <w:rFonts w:eastAsia="MS Mincho"/>
          <w:lang w:val="en-US"/>
        </w:rPr>
        <w:t xml:space="preserve">. </w:t>
      </w:r>
      <w:r w:rsidR="000A4897">
        <w:rPr>
          <w:rFonts w:eastAsia="MS Mincho"/>
          <w:lang w:val="en-US"/>
        </w:rPr>
        <w:t xml:space="preserve">The Committee </w:t>
      </w:r>
      <w:r w:rsidR="00540857" w:rsidRPr="00911443">
        <w:rPr>
          <w:rFonts w:eastAsia="MS Mincho"/>
          <w:lang w:val="en-US"/>
        </w:rPr>
        <w:t>notes with appreciation that the State party’s</w:t>
      </w:r>
      <w:r w:rsidR="00A300F8">
        <w:rPr>
          <w:rFonts w:eastAsia="MS Mincho"/>
          <w:lang w:val="en-US"/>
        </w:rPr>
        <w:t xml:space="preserve"> </w:t>
      </w:r>
      <w:r w:rsidR="00540857" w:rsidRPr="00911443">
        <w:rPr>
          <w:rFonts w:eastAsia="MS Mincho"/>
          <w:lang w:val="en-US"/>
        </w:rPr>
        <w:t>delegation consisted of experts from several ministries</w:t>
      </w:r>
      <w:r w:rsidR="004648F6">
        <w:rPr>
          <w:rFonts w:eastAsia="MS Mincho"/>
          <w:lang w:val="en-US"/>
        </w:rPr>
        <w:t xml:space="preserve">, which </w:t>
      </w:r>
      <w:r w:rsidR="000A4897">
        <w:rPr>
          <w:rFonts w:eastAsia="MS Mincho"/>
          <w:lang w:val="en-US"/>
        </w:rPr>
        <w:t>enabl</w:t>
      </w:r>
      <w:r w:rsidR="004648F6">
        <w:rPr>
          <w:rFonts w:eastAsia="MS Mincho"/>
          <w:lang w:val="en-US"/>
        </w:rPr>
        <w:t xml:space="preserve">ed </w:t>
      </w:r>
      <w:r w:rsidR="000A4897" w:rsidRPr="009A7A35">
        <w:rPr>
          <w:rFonts w:eastAsia="MS Mincho"/>
          <w:lang w:val="en-US"/>
        </w:rPr>
        <w:t>an</w:t>
      </w:r>
      <w:r w:rsidR="000A4897">
        <w:rPr>
          <w:rFonts w:eastAsia="MS Mincho"/>
          <w:lang w:val="en-US"/>
        </w:rPr>
        <w:t xml:space="preserve"> </w:t>
      </w:r>
      <w:r w:rsidR="00540857" w:rsidRPr="00911443">
        <w:rPr>
          <w:rFonts w:eastAsia="MS Mincho"/>
          <w:lang w:val="en-US"/>
        </w:rPr>
        <w:t>informative and constructive dialogue and engagement with the Committee.</w:t>
      </w:r>
    </w:p>
    <w:p w:rsidR="00540857" w:rsidRPr="004D4BC7" w:rsidRDefault="00540857" w:rsidP="00967D5C">
      <w:pPr>
        <w:pStyle w:val="H1G"/>
        <w:rPr>
          <w:rFonts w:eastAsia="MS Mincho"/>
          <w:color w:val="000000"/>
        </w:rPr>
      </w:pPr>
      <w:r>
        <w:tab/>
      </w:r>
      <w:r w:rsidRPr="004D4BC7">
        <w:t>B.</w:t>
      </w:r>
      <w:r w:rsidRPr="004D4BC7">
        <w:tab/>
        <w:t>Positive aspects</w:t>
      </w:r>
    </w:p>
    <w:p w:rsidR="00540857" w:rsidRDefault="008B3028" w:rsidP="008B3028">
      <w:pPr>
        <w:pStyle w:val="SingleTxtG"/>
      </w:pPr>
      <w:r>
        <w:t>3.</w:t>
      </w:r>
      <w:r>
        <w:tab/>
      </w:r>
      <w:r w:rsidR="00540857">
        <w:t xml:space="preserve">The </w:t>
      </w:r>
      <w:r w:rsidR="00540857" w:rsidRPr="0052138A">
        <w:rPr>
          <w:rFonts w:eastAsia="MS Mincho"/>
        </w:rPr>
        <w:t>Committee</w:t>
      </w:r>
      <w:r w:rsidR="00540857">
        <w:t xml:space="preserve"> welcomes the State party’s ratification</w:t>
      </w:r>
      <w:r w:rsidR="003721E2">
        <w:t xml:space="preserve"> of</w:t>
      </w:r>
      <w:r w:rsidR="009A7A35">
        <w:t>,</w:t>
      </w:r>
      <w:r w:rsidR="003721E2">
        <w:t xml:space="preserve"> or accession</w:t>
      </w:r>
      <w:r w:rsidR="00540857">
        <w:t xml:space="preserve"> </w:t>
      </w:r>
      <w:r w:rsidR="003721E2">
        <w:t>to</w:t>
      </w:r>
      <w:r w:rsidR="009A7A35">
        <w:t>,</w:t>
      </w:r>
      <w:r w:rsidR="00540857">
        <w:t xml:space="preserve"> the following instruments:</w:t>
      </w:r>
    </w:p>
    <w:p w:rsidR="009378A7" w:rsidRPr="00CE5E3A" w:rsidRDefault="00CE5E3A" w:rsidP="00CE5E3A">
      <w:pPr>
        <w:pStyle w:val="SingleTxtG"/>
      </w:pPr>
      <w:r>
        <w:tab/>
        <w:t>(a)</w:t>
      </w:r>
      <w:r>
        <w:tab/>
      </w:r>
      <w:r w:rsidR="009378A7" w:rsidRPr="00CE5E3A">
        <w:t>International Convention for the Protection of All Persons from Enforced Disappearance, on 18 May 2011;</w:t>
      </w:r>
    </w:p>
    <w:p w:rsidR="00540857" w:rsidRPr="00CE5E3A" w:rsidRDefault="00CE5E3A" w:rsidP="00CE5E3A">
      <w:pPr>
        <w:pStyle w:val="SingleTxtG"/>
      </w:pPr>
      <w:r>
        <w:tab/>
        <w:t>(b)</w:t>
      </w:r>
      <w:r>
        <w:tab/>
      </w:r>
      <w:r w:rsidR="00540857" w:rsidRPr="00CE5E3A">
        <w:t>Convention on the Rights of Persons with Disabilities and the Optional Protocol thereto, on 31 July 2009;</w:t>
      </w:r>
    </w:p>
    <w:p w:rsidR="00ED50CF" w:rsidRPr="00CE5E3A" w:rsidRDefault="00CE5E3A" w:rsidP="00CE5E3A">
      <w:pPr>
        <w:pStyle w:val="SingleTxtG"/>
      </w:pPr>
      <w:r>
        <w:tab/>
        <w:t>(c)</w:t>
      </w:r>
      <w:r>
        <w:tab/>
      </w:r>
      <w:r w:rsidR="009378A7" w:rsidRPr="00CE5E3A">
        <w:t xml:space="preserve">Optional Protocol to the Convention against Torture and </w:t>
      </w:r>
      <w:r w:rsidR="00C11BAF">
        <w:t>O</w:t>
      </w:r>
      <w:r w:rsidR="009378A7" w:rsidRPr="00CE5E3A">
        <w:t>ther Cruel, Inhuman or Degrading Treatment or Pu</w:t>
      </w:r>
      <w:r>
        <w:t>nishment, on 26 September 2006;</w:t>
      </w:r>
    </w:p>
    <w:p w:rsidR="00540857" w:rsidRPr="00CE5E3A" w:rsidRDefault="00CE5E3A" w:rsidP="00CE5E3A">
      <w:pPr>
        <w:pStyle w:val="SingleTxtG"/>
      </w:pPr>
      <w:r>
        <w:tab/>
        <w:t>(d)</w:t>
      </w:r>
      <w:r>
        <w:tab/>
      </w:r>
      <w:r w:rsidR="00540857" w:rsidRPr="00CE5E3A">
        <w:t>European Soci</w:t>
      </w:r>
      <w:r>
        <w:t>al Charter (revised), 1996 (No. </w:t>
      </w:r>
      <w:r w:rsidR="00540857" w:rsidRPr="00CE5E3A">
        <w:t>163), on 14 September 2009;</w:t>
      </w:r>
    </w:p>
    <w:p w:rsidR="00540857" w:rsidRPr="00CE5E3A" w:rsidRDefault="00CE5E3A" w:rsidP="00CE5E3A">
      <w:pPr>
        <w:pStyle w:val="SingleTxtG"/>
      </w:pPr>
      <w:r>
        <w:tab/>
        <w:t>(e)</w:t>
      </w:r>
      <w:r>
        <w:tab/>
      </w:r>
      <w:r w:rsidR="00540857" w:rsidRPr="00CE5E3A">
        <w:t>International Labour Organi</w:t>
      </w:r>
      <w:r w:rsidR="00B33E61">
        <w:t>z</w:t>
      </w:r>
      <w:r w:rsidR="00540857" w:rsidRPr="00CE5E3A">
        <w:t xml:space="preserve">ation Convention </w:t>
      </w:r>
      <w:r w:rsidR="00C11BAF">
        <w:t>No. </w:t>
      </w:r>
      <w:r w:rsidR="00C11BAF" w:rsidRPr="00CE5E3A">
        <w:t>183 (2000)</w:t>
      </w:r>
      <w:r w:rsidR="00C11BAF">
        <w:t xml:space="preserve"> concerning the revision of the</w:t>
      </w:r>
      <w:r w:rsidR="00540857" w:rsidRPr="00CE5E3A">
        <w:t xml:space="preserve"> </w:t>
      </w:r>
      <w:r>
        <w:t>Maternity Protection</w:t>
      </w:r>
      <w:r w:rsidR="00C11BAF">
        <w:t xml:space="preserve"> Convention</w:t>
      </w:r>
      <w:r w:rsidR="00540857" w:rsidRPr="00CE5E3A">
        <w:t>, on 31 August 2010</w:t>
      </w:r>
      <w:r w:rsidR="00C11BAF">
        <w:t>,</w:t>
      </w:r>
      <w:r w:rsidR="00540857" w:rsidRPr="00CE5E3A">
        <w:t xml:space="preserve"> and Convention </w:t>
      </w:r>
      <w:r w:rsidR="00C11BAF">
        <w:t>No. </w:t>
      </w:r>
      <w:r w:rsidR="00C11BAF" w:rsidRPr="00CE5E3A">
        <w:t>150 (1978)</w:t>
      </w:r>
      <w:r w:rsidR="00C11BAF">
        <w:t xml:space="preserve"> concerning</w:t>
      </w:r>
      <w:r w:rsidR="00540857" w:rsidRPr="00CE5E3A">
        <w:t xml:space="preserve"> </w:t>
      </w:r>
      <w:r>
        <w:t>Labour Administration</w:t>
      </w:r>
      <w:r w:rsidR="00C11BAF">
        <w:t>: Role, Functions and Organisation</w:t>
      </w:r>
      <w:r w:rsidR="006E5526">
        <w:t>,</w:t>
      </w:r>
      <w:r>
        <w:t xml:space="preserve"> </w:t>
      </w:r>
      <w:r w:rsidR="00540857" w:rsidRPr="00CE5E3A">
        <w:t xml:space="preserve">and </w:t>
      </w:r>
      <w:r w:rsidR="00C11BAF">
        <w:t xml:space="preserve">the </w:t>
      </w:r>
      <w:r w:rsidR="00540857" w:rsidRPr="00CE5E3A">
        <w:t>Maritime Labour</w:t>
      </w:r>
      <w:r w:rsidR="00C11BAF">
        <w:t xml:space="preserve"> Convention</w:t>
      </w:r>
      <w:r w:rsidR="00540857" w:rsidRPr="00CE5E3A">
        <w:t xml:space="preserve"> (2006), on 15 March 2013</w:t>
      </w:r>
      <w:r>
        <w:t>;</w:t>
      </w:r>
    </w:p>
    <w:p w:rsidR="009378A7" w:rsidRPr="00CE5E3A" w:rsidRDefault="00CE5E3A" w:rsidP="00CE5E3A">
      <w:pPr>
        <w:pStyle w:val="SingleTxtG"/>
      </w:pPr>
      <w:r>
        <w:tab/>
        <w:t>(f)</w:t>
      </w:r>
      <w:r>
        <w:tab/>
      </w:r>
      <w:r w:rsidR="009378A7" w:rsidRPr="00CE5E3A">
        <w:t>1961 Convention on the Reduction of Statelessness</w:t>
      </w:r>
      <w:r w:rsidR="00C11BAF">
        <w:t>,</w:t>
      </w:r>
      <w:r w:rsidR="009378A7" w:rsidRPr="00CE5E3A">
        <w:t xml:space="preserve"> on 7 December 2011. </w:t>
      </w:r>
    </w:p>
    <w:p w:rsidR="00540857" w:rsidRDefault="008B3028" w:rsidP="008B3028">
      <w:pPr>
        <w:pStyle w:val="SingleTxtG"/>
      </w:pPr>
      <w:r>
        <w:t>4.</w:t>
      </w:r>
      <w:r>
        <w:tab/>
      </w:r>
      <w:r w:rsidR="00540857" w:rsidRPr="00546F6C">
        <w:t xml:space="preserve">The Committee </w:t>
      </w:r>
      <w:r w:rsidR="00540857">
        <w:t xml:space="preserve">welcomes the State party’s efforts to </w:t>
      </w:r>
      <w:r w:rsidR="00534D70">
        <w:rPr>
          <w:lang w:val="en-GB"/>
        </w:rPr>
        <w:t xml:space="preserve">promote </w:t>
      </w:r>
      <w:r w:rsidR="00540857">
        <w:t>economic, social and cultural rights</w:t>
      </w:r>
      <w:r w:rsidR="00534D70">
        <w:rPr>
          <w:lang w:val="en-GB"/>
        </w:rPr>
        <w:t xml:space="preserve">, </w:t>
      </w:r>
      <w:r w:rsidR="00540857">
        <w:t>which included</w:t>
      </w:r>
      <w:r w:rsidR="009616C6">
        <w:rPr>
          <w:lang w:val="en-GB"/>
        </w:rPr>
        <w:t xml:space="preserve"> the adoption of</w:t>
      </w:r>
      <w:r w:rsidR="00540857" w:rsidRPr="00546F6C">
        <w:t>:</w:t>
      </w:r>
    </w:p>
    <w:p w:rsidR="00540857" w:rsidRPr="00DC2DE1" w:rsidRDefault="00DC2DE1" w:rsidP="00DC2DE1">
      <w:pPr>
        <w:pStyle w:val="SingleTxtG"/>
      </w:pPr>
      <w:r>
        <w:tab/>
        <w:t>(a)</w:t>
      </w:r>
      <w:r>
        <w:tab/>
      </w:r>
      <w:r w:rsidR="00540857" w:rsidRPr="00DC2DE1">
        <w:t>The Law on Prohibit</w:t>
      </w:r>
      <w:r w:rsidR="003E2A7D" w:rsidRPr="00DC2DE1">
        <w:t xml:space="preserve">ion of Discrimination, </w:t>
      </w:r>
      <w:r w:rsidR="00434988" w:rsidRPr="00DC2DE1">
        <w:t xml:space="preserve">on 31 August </w:t>
      </w:r>
      <w:r w:rsidR="003E2A7D" w:rsidRPr="00DC2DE1">
        <w:t>2009</w:t>
      </w:r>
      <w:r w:rsidR="00901BD3">
        <w:t>,</w:t>
      </w:r>
      <w:r w:rsidR="009616C6" w:rsidRPr="00DC2DE1">
        <w:t xml:space="preserve"> </w:t>
      </w:r>
      <w:r w:rsidR="00434988" w:rsidRPr="00DC2DE1">
        <w:t>followed by</w:t>
      </w:r>
      <w:r w:rsidR="005C5AB1" w:rsidRPr="00DC2DE1">
        <w:t xml:space="preserve"> </w:t>
      </w:r>
      <w:r w:rsidR="003E2A7D" w:rsidRPr="00DC2DE1">
        <w:t xml:space="preserve">the </w:t>
      </w:r>
      <w:r w:rsidR="00540857" w:rsidRPr="00DC2DE1">
        <w:t>appointment of the Commissioner for Protection of Equality</w:t>
      </w:r>
      <w:r w:rsidR="009616C6" w:rsidRPr="00DC2DE1">
        <w:t xml:space="preserve">, </w:t>
      </w:r>
      <w:r w:rsidR="00540857" w:rsidRPr="00DC2DE1">
        <w:t>on 5 May 2010</w:t>
      </w:r>
      <w:r w:rsidR="00901BD3">
        <w:t>,</w:t>
      </w:r>
      <w:r w:rsidR="009616C6" w:rsidRPr="00DC2DE1">
        <w:t xml:space="preserve"> </w:t>
      </w:r>
      <w:r w:rsidR="00540857" w:rsidRPr="00DC2DE1">
        <w:t xml:space="preserve">and the </w:t>
      </w:r>
      <w:r w:rsidR="00901BD3">
        <w:t xml:space="preserve">adoption of the </w:t>
      </w:r>
      <w:r w:rsidR="00540857" w:rsidRPr="00DC2DE1">
        <w:t>Anti-Discrimination Strategy 2013</w:t>
      </w:r>
      <w:r w:rsidR="00901BD3">
        <w:t>–</w:t>
      </w:r>
      <w:r w:rsidR="00540857" w:rsidRPr="00DC2DE1">
        <w:t>2018</w:t>
      </w:r>
      <w:r w:rsidR="00901BD3">
        <w:t>,</w:t>
      </w:r>
      <w:r w:rsidR="00E7399B" w:rsidRPr="00DC2DE1">
        <w:t xml:space="preserve"> in June 2013;</w:t>
      </w:r>
    </w:p>
    <w:p w:rsidR="003E2A7D" w:rsidRPr="00DC2DE1" w:rsidRDefault="00DC2DE1" w:rsidP="00DC2DE1">
      <w:pPr>
        <w:pStyle w:val="SingleTxtG"/>
      </w:pPr>
      <w:r>
        <w:tab/>
        <w:t>(b)</w:t>
      </w:r>
      <w:r>
        <w:tab/>
      </w:r>
      <w:r w:rsidR="00540857" w:rsidRPr="00DC2DE1">
        <w:t xml:space="preserve">The </w:t>
      </w:r>
      <w:r w:rsidR="000A7071">
        <w:t xml:space="preserve">Law on </w:t>
      </w:r>
      <w:r w:rsidR="003E2A7D" w:rsidRPr="00DC2DE1">
        <w:t xml:space="preserve">Gender Equality, </w:t>
      </w:r>
      <w:r w:rsidR="00372150" w:rsidRPr="00DC2DE1">
        <w:t xml:space="preserve">which </w:t>
      </w:r>
      <w:r w:rsidR="00003F56">
        <w:t xml:space="preserve">is </w:t>
      </w:r>
      <w:r w:rsidR="00372150" w:rsidRPr="00DC2DE1">
        <w:t xml:space="preserve">aimed </w:t>
      </w:r>
      <w:r w:rsidR="00003F56">
        <w:t>at</w:t>
      </w:r>
      <w:r w:rsidR="00372150" w:rsidRPr="00DC2DE1">
        <w:t xml:space="preserve"> creat</w:t>
      </w:r>
      <w:r w:rsidR="00003F56">
        <w:t>ing</w:t>
      </w:r>
      <w:r w:rsidR="00372150" w:rsidRPr="00DC2DE1">
        <w:t>, among other</w:t>
      </w:r>
      <w:r w:rsidR="00697901">
        <w:t xml:space="preserve"> t</w:t>
      </w:r>
      <w:r w:rsidR="00003F56">
        <w:t>hings</w:t>
      </w:r>
      <w:r w:rsidR="00372150" w:rsidRPr="00DC2DE1">
        <w:t>, equal employment opportunities for women</w:t>
      </w:r>
      <w:r w:rsidR="006E5526">
        <w:t>,</w:t>
      </w:r>
      <w:r w:rsidR="00372150" w:rsidRPr="00DC2DE1">
        <w:t xml:space="preserve"> </w:t>
      </w:r>
      <w:r w:rsidR="003E2A7D" w:rsidRPr="00DC2DE1">
        <w:t xml:space="preserve">in 2009; and the amendments </w:t>
      </w:r>
      <w:r w:rsidR="005C5AB1" w:rsidRPr="00DC2DE1">
        <w:t>to</w:t>
      </w:r>
      <w:r w:rsidR="003E2A7D" w:rsidRPr="00DC2DE1">
        <w:t xml:space="preserve"> the Law on the Election of Members of the Parliament, which set a 3</w:t>
      </w:r>
      <w:r w:rsidR="00361721" w:rsidRPr="00DC2DE1">
        <w:t>3</w:t>
      </w:r>
      <w:r w:rsidR="003E2A7D" w:rsidRPr="00DC2DE1">
        <w:t xml:space="preserve"> per cent quota for </w:t>
      </w:r>
      <w:r w:rsidR="00ED339B">
        <w:t xml:space="preserve">the </w:t>
      </w:r>
      <w:r w:rsidR="003E2A7D" w:rsidRPr="00DC2DE1">
        <w:t xml:space="preserve">underrepresented </w:t>
      </w:r>
      <w:r w:rsidR="003E2A7D" w:rsidRPr="00ED339B">
        <w:t>sex</w:t>
      </w:r>
      <w:r w:rsidR="003E2A7D" w:rsidRPr="00DC2DE1">
        <w:t xml:space="preserve"> on electoral lists</w:t>
      </w:r>
      <w:r w:rsidR="00ED339B">
        <w:t>,</w:t>
      </w:r>
      <w:r w:rsidR="003E2A7D" w:rsidRPr="00DC2DE1">
        <w:t xml:space="preserve"> in 2011</w:t>
      </w:r>
      <w:r w:rsidR="00E7399B" w:rsidRPr="00DC2DE1">
        <w:t>;</w:t>
      </w:r>
    </w:p>
    <w:p w:rsidR="003E2A7D" w:rsidRPr="00DC2DE1" w:rsidRDefault="00DC2DE1" w:rsidP="00DC2DE1">
      <w:pPr>
        <w:pStyle w:val="SingleTxtG"/>
      </w:pPr>
      <w:r>
        <w:tab/>
        <w:t>(c)</w:t>
      </w:r>
      <w:r>
        <w:tab/>
      </w:r>
      <w:r w:rsidR="003E2A7D" w:rsidRPr="00DC2DE1">
        <w:t xml:space="preserve">The </w:t>
      </w:r>
      <w:r w:rsidR="00540857" w:rsidRPr="00DC2DE1">
        <w:t xml:space="preserve">Law </w:t>
      </w:r>
      <w:r w:rsidR="00FE3939">
        <w:rPr>
          <w:lang w:val="en-GB"/>
        </w:rPr>
        <w:t xml:space="preserve">on </w:t>
      </w:r>
      <w:r w:rsidR="00FE3939" w:rsidRPr="00FE3939">
        <w:t xml:space="preserve">Amending the Law </w:t>
      </w:r>
      <w:r w:rsidR="00540857" w:rsidRPr="00DC2DE1">
        <w:t>on Non-Contentious Procedure</w:t>
      </w:r>
      <w:r w:rsidR="00ED339B">
        <w:t>s</w:t>
      </w:r>
      <w:r w:rsidR="00540857" w:rsidRPr="00DC2DE1">
        <w:t xml:space="preserve"> and </w:t>
      </w:r>
      <w:r w:rsidR="003E2A7D" w:rsidRPr="00DC2DE1">
        <w:t xml:space="preserve">the </w:t>
      </w:r>
      <w:r w:rsidR="00540857" w:rsidRPr="00DC2DE1">
        <w:t>Law on Permanent and Temporary Residence, which enable</w:t>
      </w:r>
      <w:r w:rsidR="005C5AB1" w:rsidRPr="00DC2DE1">
        <w:t>d</w:t>
      </w:r>
      <w:r w:rsidR="00540857" w:rsidRPr="00DC2DE1">
        <w:t xml:space="preserve"> birth registration and issuance of personal documentation to stateless person</w:t>
      </w:r>
      <w:r w:rsidR="003E2A7D" w:rsidRPr="00DC2DE1">
        <w:t xml:space="preserve">s, in particular Roma, in </w:t>
      </w:r>
      <w:r w:rsidR="004C2E9D">
        <w:rPr>
          <w:lang w:val="en-GB"/>
        </w:rPr>
        <w:t xml:space="preserve">2012 and </w:t>
      </w:r>
      <w:r w:rsidR="003E2A7D" w:rsidRPr="00DC2DE1">
        <w:t>2009</w:t>
      </w:r>
      <w:r w:rsidR="00723DA2">
        <w:t>,</w:t>
      </w:r>
      <w:r w:rsidR="004C2E9D">
        <w:rPr>
          <w:lang w:val="en-GB"/>
        </w:rPr>
        <w:t xml:space="preserve"> respectively</w:t>
      </w:r>
      <w:r w:rsidR="003E2A7D" w:rsidRPr="00DC2DE1">
        <w:t xml:space="preserve">; </w:t>
      </w:r>
      <w:r w:rsidR="00CE5EAC" w:rsidRPr="00DC2DE1">
        <w:t>t</w:t>
      </w:r>
      <w:r w:rsidR="003E2A7D" w:rsidRPr="00DC2DE1">
        <w:t xml:space="preserve">he </w:t>
      </w:r>
      <w:r w:rsidR="00540857" w:rsidRPr="00DC2DE1">
        <w:t>Law on Asylum, in 200</w:t>
      </w:r>
      <w:r w:rsidR="005D48C1">
        <w:rPr>
          <w:lang w:val="en-GB"/>
        </w:rPr>
        <w:t>7</w:t>
      </w:r>
      <w:r w:rsidR="009616C6" w:rsidRPr="00DC2DE1">
        <w:t xml:space="preserve">; </w:t>
      </w:r>
      <w:r w:rsidR="003E2A7D" w:rsidRPr="00DC2DE1">
        <w:t xml:space="preserve">and </w:t>
      </w:r>
      <w:r w:rsidR="00540857" w:rsidRPr="00DC2DE1">
        <w:t>the Law on Migration Management</w:t>
      </w:r>
      <w:r w:rsidR="00723DA2">
        <w:t>,</w:t>
      </w:r>
      <w:r w:rsidR="00540857" w:rsidRPr="00DC2DE1">
        <w:t xml:space="preserve"> in 201</w:t>
      </w:r>
      <w:r w:rsidR="005D48C1">
        <w:rPr>
          <w:lang w:val="en-GB"/>
        </w:rPr>
        <w:t>2</w:t>
      </w:r>
      <w:r w:rsidR="00E7399B" w:rsidRPr="00DC2DE1">
        <w:t>;</w:t>
      </w:r>
    </w:p>
    <w:p w:rsidR="0042721D" w:rsidRPr="00DC2DE1" w:rsidRDefault="00DC2DE1" w:rsidP="00DC2DE1">
      <w:pPr>
        <w:pStyle w:val="SingleTxtG"/>
      </w:pPr>
      <w:r>
        <w:tab/>
        <w:t>(d)</w:t>
      </w:r>
      <w:r>
        <w:tab/>
      </w:r>
      <w:r w:rsidR="0042721D" w:rsidRPr="00DC2DE1">
        <w:t xml:space="preserve">The </w:t>
      </w:r>
      <w:r w:rsidR="005D3A64">
        <w:rPr>
          <w:lang w:val="en-GB"/>
        </w:rPr>
        <w:t xml:space="preserve">amendments to the </w:t>
      </w:r>
      <w:r w:rsidR="00540857" w:rsidRPr="00DC2DE1">
        <w:t xml:space="preserve">Law on </w:t>
      </w:r>
      <w:r w:rsidR="00693343">
        <w:t xml:space="preserve">the </w:t>
      </w:r>
      <w:r w:rsidR="00CE5EAC" w:rsidRPr="00DC2DE1">
        <w:t xml:space="preserve">Foundations of </w:t>
      </w:r>
      <w:r w:rsidR="00693343">
        <w:t xml:space="preserve">the </w:t>
      </w:r>
      <w:r w:rsidR="00540857" w:rsidRPr="00DC2DE1">
        <w:t xml:space="preserve">Education System, </w:t>
      </w:r>
      <w:r w:rsidR="00CE5EAC" w:rsidRPr="00DC2DE1">
        <w:t xml:space="preserve">which enhanced inclusive and non-discriminatory education, </w:t>
      </w:r>
      <w:r w:rsidR="00540857" w:rsidRPr="00DC2DE1">
        <w:t>in 2011</w:t>
      </w:r>
      <w:r w:rsidR="00CE5EAC" w:rsidRPr="00DC2DE1">
        <w:t xml:space="preserve">; </w:t>
      </w:r>
      <w:r w:rsidR="00434988" w:rsidRPr="00DC2DE1">
        <w:t>t</w:t>
      </w:r>
      <w:r w:rsidR="009616C6" w:rsidRPr="00DC2DE1">
        <w:t>he Law on Social Welfare, which broadened the concept of persons incapable of work and increased related social welfare benefits, in 201</w:t>
      </w:r>
      <w:r w:rsidR="005D3A64">
        <w:rPr>
          <w:lang w:val="en-GB"/>
        </w:rPr>
        <w:t>1</w:t>
      </w:r>
      <w:r w:rsidR="00CE5EAC" w:rsidRPr="00DC2DE1">
        <w:t>; and the Law on Patients</w:t>
      </w:r>
      <w:r w:rsidR="002D5EBC">
        <w:t>’</w:t>
      </w:r>
      <w:r w:rsidR="00CE5EAC" w:rsidRPr="00DC2DE1">
        <w:t xml:space="preserve"> Rights, which introduced advisors on patient</w:t>
      </w:r>
      <w:r w:rsidR="00434988" w:rsidRPr="00DC2DE1">
        <w:t>s</w:t>
      </w:r>
      <w:r w:rsidR="002D5EBC">
        <w:t>’</w:t>
      </w:r>
      <w:r w:rsidR="00E7399B" w:rsidRPr="00DC2DE1">
        <w:t xml:space="preserve"> rights in </w:t>
      </w:r>
      <w:r w:rsidR="00CE5EAC" w:rsidRPr="00DC2DE1">
        <w:t>local self-governments</w:t>
      </w:r>
      <w:r w:rsidR="002D5EBC">
        <w:t>,</w:t>
      </w:r>
      <w:r w:rsidR="00CE5EAC" w:rsidRPr="00DC2DE1">
        <w:t xml:space="preserve"> in 2013</w:t>
      </w:r>
      <w:r w:rsidR="00E7399B" w:rsidRPr="00DC2DE1">
        <w:t>;</w:t>
      </w:r>
    </w:p>
    <w:p w:rsidR="00540857" w:rsidRPr="00DC2DE1" w:rsidRDefault="00DC2DE1" w:rsidP="00DC2DE1">
      <w:pPr>
        <w:pStyle w:val="SingleTxtG"/>
      </w:pPr>
      <w:r>
        <w:tab/>
        <w:t>(e)</w:t>
      </w:r>
      <w:r>
        <w:tab/>
      </w:r>
      <w:r w:rsidR="0042721D" w:rsidRPr="00DC2DE1">
        <w:t xml:space="preserve">The </w:t>
      </w:r>
      <w:r w:rsidR="0035468A" w:rsidRPr="00DC2DE1">
        <w:t>adoption of the National Employment Strategy 2011</w:t>
      </w:r>
      <w:r w:rsidR="002D5EBC">
        <w:t>–</w:t>
      </w:r>
      <w:r w:rsidR="0035468A" w:rsidRPr="00DC2DE1">
        <w:t>2020</w:t>
      </w:r>
      <w:r w:rsidR="00372150" w:rsidRPr="00DC2DE1">
        <w:t xml:space="preserve">, which </w:t>
      </w:r>
      <w:r w:rsidR="0035468A" w:rsidRPr="00DC2DE1">
        <w:t>provid</w:t>
      </w:r>
      <w:r w:rsidR="00372150" w:rsidRPr="00DC2DE1">
        <w:t xml:space="preserve">ed </w:t>
      </w:r>
      <w:r w:rsidR="0035468A" w:rsidRPr="00DC2DE1">
        <w:t xml:space="preserve">for subsidies for the employment of Roma, in 2011; and the </w:t>
      </w:r>
      <w:r w:rsidR="00540857" w:rsidRPr="00DC2DE1">
        <w:t>amendments to the Labour Law, which extend</w:t>
      </w:r>
      <w:r w:rsidR="00CE5EAC" w:rsidRPr="00DC2DE1">
        <w:t>ed</w:t>
      </w:r>
      <w:r w:rsidR="002D5EBC">
        <w:t xml:space="preserve"> the</w:t>
      </w:r>
      <w:r w:rsidR="00540857" w:rsidRPr="00DC2DE1">
        <w:t xml:space="preserve"> protection of working m</w:t>
      </w:r>
      <w:r w:rsidR="003E2A7D" w:rsidRPr="00DC2DE1">
        <w:t>others and pregnant women</w:t>
      </w:r>
      <w:r w:rsidR="002D5EBC">
        <w:t>,</w:t>
      </w:r>
      <w:r w:rsidR="003E2A7D" w:rsidRPr="00DC2DE1">
        <w:t xml:space="preserve"> in </w:t>
      </w:r>
      <w:r w:rsidR="00E7399B" w:rsidRPr="00DC2DE1">
        <w:t>2013.</w:t>
      </w:r>
    </w:p>
    <w:p w:rsidR="00540857" w:rsidRPr="00885124" w:rsidRDefault="008B3028" w:rsidP="008B3028">
      <w:pPr>
        <w:pStyle w:val="SingleTxtG"/>
      </w:pPr>
      <w:r w:rsidRPr="00885124">
        <w:t>5.</w:t>
      </w:r>
      <w:r w:rsidRPr="00885124">
        <w:tab/>
      </w:r>
      <w:r w:rsidR="00540857" w:rsidRPr="00546F6C">
        <w:t>The Committee also welcomes the</w:t>
      </w:r>
      <w:r w:rsidR="00540857">
        <w:t xml:space="preserve"> strategies and national action plans against corruption</w:t>
      </w:r>
      <w:r w:rsidR="0042721D">
        <w:rPr>
          <w:lang w:val="en-GB"/>
        </w:rPr>
        <w:t xml:space="preserve">, </w:t>
      </w:r>
      <w:r w:rsidR="00540857">
        <w:t>t</w:t>
      </w:r>
      <w:r w:rsidR="00540857" w:rsidRPr="00B422DA">
        <w:t xml:space="preserve">rafficking in </w:t>
      </w:r>
      <w:r w:rsidR="0042721D">
        <w:t>persons</w:t>
      </w:r>
      <w:r w:rsidR="0042721D">
        <w:rPr>
          <w:lang w:val="en-GB"/>
        </w:rPr>
        <w:t xml:space="preserve">, and domestic violence, </w:t>
      </w:r>
      <w:r w:rsidR="00540857">
        <w:t xml:space="preserve">as well as the </w:t>
      </w:r>
      <w:r w:rsidR="00540857" w:rsidRPr="00072854">
        <w:t>operation</w:t>
      </w:r>
      <w:r w:rsidR="00540857">
        <w:t xml:space="preserve"> of the </w:t>
      </w:r>
      <w:r w:rsidR="005D3A64">
        <w:rPr>
          <w:lang w:val="en-GB"/>
        </w:rPr>
        <w:t xml:space="preserve">Office of the </w:t>
      </w:r>
      <w:r w:rsidR="00540857">
        <w:t>Protector of Citizens</w:t>
      </w:r>
      <w:r w:rsidR="0042721D">
        <w:rPr>
          <w:lang w:val="en-GB"/>
        </w:rPr>
        <w:t xml:space="preserve"> (Ombudsman)</w:t>
      </w:r>
      <w:r w:rsidR="00540857">
        <w:t xml:space="preserve">. </w:t>
      </w:r>
    </w:p>
    <w:p w:rsidR="00540857" w:rsidRDefault="00540857" w:rsidP="00967D5C">
      <w:pPr>
        <w:pStyle w:val="H1G"/>
      </w:pPr>
      <w:r>
        <w:tab/>
        <w:t>C.</w:t>
      </w:r>
      <w:r>
        <w:tab/>
        <w:t xml:space="preserve">Principal subjects of </w:t>
      </w:r>
      <w:r w:rsidRPr="008B7AE9">
        <w:t>concern</w:t>
      </w:r>
      <w:r>
        <w:t xml:space="preserve"> and recommendations</w:t>
      </w:r>
    </w:p>
    <w:p w:rsidR="00540857" w:rsidRPr="00D46709" w:rsidRDefault="00E7399B" w:rsidP="00967D5C">
      <w:pPr>
        <w:pStyle w:val="H23G"/>
      </w:pPr>
      <w:r>
        <w:tab/>
      </w:r>
      <w:r>
        <w:tab/>
      </w:r>
      <w:r w:rsidR="00540857" w:rsidRPr="00D46709">
        <w:t>Direct applicability of the Covenant</w:t>
      </w:r>
    </w:p>
    <w:p w:rsidR="00540857" w:rsidRDefault="008B3028" w:rsidP="008B3028">
      <w:pPr>
        <w:pStyle w:val="SingleTxtG"/>
      </w:pPr>
      <w:r>
        <w:t>6.</w:t>
      </w:r>
      <w:r>
        <w:tab/>
      </w:r>
      <w:r w:rsidR="003B035C">
        <w:rPr>
          <w:lang w:val="en-GB"/>
        </w:rPr>
        <w:t xml:space="preserve">While noting </w:t>
      </w:r>
      <w:r w:rsidR="003B035C" w:rsidRPr="0052138A">
        <w:rPr>
          <w:rFonts w:eastAsia="MS Mincho"/>
        </w:rPr>
        <w:t>that</w:t>
      </w:r>
      <w:r w:rsidR="003B035C">
        <w:rPr>
          <w:lang w:val="en-GB"/>
        </w:rPr>
        <w:t xml:space="preserve"> </w:t>
      </w:r>
      <w:r w:rsidR="003B035C" w:rsidRPr="003B035C">
        <w:t>the Covenant</w:t>
      </w:r>
      <w:r w:rsidR="003B035C">
        <w:rPr>
          <w:lang w:val="en-GB"/>
        </w:rPr>
        <w:t xml:space="preserve"> forms </w:t>
      </w:r>
      <w:r w:rsidR="003B035C" w:rsidRPr="003B035C">
        <w:t xml:space="preserve">an integral part of the legal system </w:t>
      </w:r>
      <w:r w:rsidR="003B035C">
        <w:rPr>
          <w:lang w:val="en-GB"/>
        </w:rPr>
        <w:t xml:space="preserve">and is directly applicable, the </w:t>
      </w:r>
      <w:r w:rsidR="00540857">
        <w:t xml:space="preserve">Committee regrets that the State party was not able to provide information about the cases of direct applicability of the Covenant before the courts in the State party and the </w:t>
      </w:r>
      <w:r w:rsidR="005306E0">
        <w:rPr>
          <w:lang w:val="en-GB"/>
        </w:rPr>
        <w:t xml:space="preserve">available </w:t>
      </w:r>
      <w:r w:rsidR="005306E0" w:rsidRPr="005306E0">
        <w:t>remedies for individuals claiming a violation of their economic, social and cultural rights</w:t>
      </w:r>
      <w:r w:rsidR="00540857">
        <w:t xml:space="preserve">. </w:t>
      </w:r>
    </w:p>
    <w:p w:rsidR="00540857" w:rsidRDefault="00540857" w:rsidP="00540857">
      <w:pPr>
        <w:pStyle w:val="SingleTxtG"/>
        <w:rPr>
          <w:b/>
        </w:rPr>
      </w:pPr>
      <w:r w:rsidRPr="00E71F9C">
        <w:rPr>
          <w:b/>
        </w:rPr>
        <w:t xml:space="preserve">The Committee </w:t>
      </w:r>
      <w:r w:rsidR="00290CB4">
        <w:rPr>
          <w:b/>
          <w:lang w:val="en-GB"/>
        </w:rPr>
        <w:t>calls on</w:t>
      </w:r>
      <w:r w:rsidRPr="00E71F9C">
        <w:rPr>
          <w:b/>
        </w:rPr>
        <w:t xml:space="preserve"> the State party </w:t>
      </w:r>
      <w:r w:rsidR="00290CB4">
        <w:rPr>
          <w:b/>
          <w:lang w:val="en-GB"/>
        </w:rPr>
        <w:t xml:space="preserve">to </w:t>
      </w:r>
      <w:r>
        <w:rPr>
          <w:b/>
        </w:rPr>
        <w:t xml:space="preserve">collect and </w:t>
      </w:r>
      <w:r w:rsidRPr="00E71F9C">
        <w:rPr>
          <w:b/>
        </w:rPr>
        <w:t>include in its next periodic report information on the justiciability of the rights enshrined in the Covenant, including the cases of direct application of the Covenant before domestic courts</w:t>
      </w:r>
      <w:r w:rsidR="0027759B">
        <w:rPr>
          <w:b/>
          <w:lang w:val="en-GB"/>
        </w:rPr>
        <w:t xml:space="preserve">, </w:t>
      </w:r>
      <w:r w:rsidR="00290CB4">
        <w:rPr>
          <w:b/>
          <w:lang w:val="en-GB"/>
        </w:rPr>
        <w:t>and</w:t>
      </w:r>
      <w:r w:rsidRPr="00E71F9C">
        <w:rPr>
          <w:b/>
        </w:rPr>
        <w:t xml:space="preserve"> on the available remedies for individuals claiming a violation of the economic, social and cultural rights</w:t>
      </w:r>
      <w:r w:rsidRPr="00BF1313">
        <w:rPr>
          <w:b/>
        </w:rPr>
        <w:t xml:space="preserve"> contained in the Covenant</w:t>
      </w:r>
      <w:r w:rsidRPr="00E71F9C">
        <w:rPr>
          <w:b/>
        </w:rPr>
        <w:t>. In</w:t>
      </w:r>
      <w:r>
        <w:rPr>
          <w:b/>
        </w:rPr>
        <w:t xml:space="preserve"> </w:t>
      </w:r>
      <w:r w:rsidRPr="00E71F9C">
        <w:rPr>
          <w:b/>
        </w:rPr>
        <w:t>th</w:t>
      </w:r>
      <w:r w:rsidR="00BF1313">
        <w:rPr>
          <w:b/>
        </w:rPr>
        <w:t>at</w:t>
      </w:r>
      <w:r w:rsidRPr="00E71F9C">
        <w:rPr>
          <w:b/>
        </w:rPr>
        <w:t xml:space="preserve"> respect, the Committee draws attention to its general comment No. 9</w:t>
      </w:r>
      <w:r w:rsidR="00C761DD">
        <w:rPr>
          <w:b/>
        </w:rPr>
        <w:t xml:space="preserve"> (1998)</w:t>
      </w:r>
      <w:r>
        <w:rPr>
          <w:b/>
        </w:rPr>
        <w:t xml:space="preserve"> </w:t>
      </w:r>
      <w:r w:rsidRPr="00E71F9C">
        <w:rPr>
          <w:b/>
        </w:rPr>
        <w:t xml:space="preserve">on the domestic application of the Covenant. The Committee </w:t>
      </w:r>
      <w:r w:rsidR="0027759B">
        <w:rPr>
          <w:b/>
          <w:lang w:val="en-GB"/>
        </w:rPr>
        <w:t>also</w:t>
      </w:r>
      <w:r w:rsidR="00030FCD">
        <w:rPr>
          <w:b/>
          <w:lang w:val="en-GB"/>
        </w:rPr>
        <w:t xml:space="preserve"> </w:t>
      </w:r>
      <w:r w:rsidRPr="00E71F9C">
        <w:rPr>
          <w:b/>
        </w:rPr>
        <w:t>recommends that the State party improve its human rights training programmes so as to promote better knowledge, awareness and application of the Covenant, in particular among the judiciary, law enforcement officials and other actors, as well as among the rights holders.</w:t>
      </w:r>
    </w:p>
    <w:p w:rsidR="00540857" w:rsidRPr="00D46709" w:rsidRDefault="00E7399B" w:rsidP="00967D5C">
      <w:pPr>
        <w:pStyle w:val="H23G"/>
      </w:pPr>
      <w:r>
        <w:tab/>
      </w:r>
      <w:r>
        <w:tab/>
      </w:r>
      <w:r w:rsidR="00540857" w:rsidRPr="00D46709">
        <w:t>Collection and processing of data</w:t>
      </w:r>
    </w:p>
    <w:p w:rsidR="00540857" w:rsidRDefault="008B3028" w:rsidP="008B3028">
      <w:pPr>
        <w:pStyle w:val="SingleTxtG"/>
      </w:pPr>
      <w:r>
        <w:t>7.</w:t>
      </w:r>
      <w:r>
        <w:tab/>
      </w:r>
      <w:r w:rsidR="00540857">
        <w:t xml:space="preserve">The Committee is concerned about the lack of systematic collection and processing of </w:t>
      </w:r>
      <w:r w:rsidR="00D350C8">
        <w:rPr>
          <w:lang w:val="en-GB"/>
        </w:rPr>
        <w:t xml:space="preserve">disaggregated </w:t>
      </w:r>
      <w:r w:rsidR="00540857">
        <w:t>data which would allow for an accurate assessment of the fulfilment of economic, social and cultural rights in the State party.</w:t>
      </w:r>
    </w:p>
    <w:p w:rsidR="00540857" w:rsidRDefault="00540857" w:rsidP="00540857">
      <w:pPr>
        <w:pStyle w:val="SingleTxtG"/>
        <w:rPr>
          <w:b/>
        </w:rPr>
      </w:pPr>
      <w:r w:rsidRPr="00E134C0">
        <w:rPr>
          <w:b/>
        </w:rPr>
        <w:t>The Committee recommends that</w:t>
      </w:r>
      <w:r>
        <w:rPr>
          <w:b/>
        </w:rPr>
        <w:t xml:space="preserve"> the State </w:t>
      </w:r>
      <w:r w:rsidR="00BF1313">
        <w:rPr>
          <w:b/>
        </w:rPr>
        <w:t>p</w:t>
      </w:r>
      <w:r>
        <w:rPr>
          <w:b/>
        </w:rPr>
        <w:t>arty:</w:t>
      </w:r>
    </w:p>
    <w:p w:rsidR="00540857" w:rsidRPr="00DC2DE1" w:rsidRDefault="00DC2DE1" w:rsidP="00DC2DE1">
      <w:pPr>
        <w:pStyle w:val="SingleTxtG"/>
        <w:rPr>
          <w:b/>
          <w:bCs/>
        </w:rPr>
      </w:pPr>
      <w:r>
        <w:rPr>
          <w:b/>
          <w:bCs/>
        </w:rPr>
        <w:tab/>
        <w:t>(a)</w:t>
      </w:r>
      <w:r>
        <w:rPr>
          <w:b/>
          <w:bCs/>
        </w:rPr>
        <w:tab/>
      </w:r>
      <w:r w:rsidR="00540857" w:rsidRPr="00DC2DE1">
        <w:rPr>
          <w:b/>
          <w:bCs/>
        </w:rPr>
        <w:t xml:space="preserve">Set up a system </w:t>
      </w:r>
      <w:r w:rsidR="00BF1313">
        <w:rPr>
          <w:b/>
          <w:bCs/>
        </w:rPr>
        <w:t>to collect</w:t>
      </w:r>
      <w:r w:rsidR="00BF1313" w:rsidRPr="00DC2DE1">
        <w:rPr>
          <w:b/>
          <w:bCs/>
        </w:rPr>
        <w:t xml:space="preserve"> </w:t>
      </w:r>
      <w:r w:rsidR="00540857" w:rsidRPr="00DC2DE1">
        <w:rPr>
          <w:b/>
          <w:bCs/>
        </w:rPr>
        <w:t xml:space="preserve">statistical data on the major factors </w:t>
      </w:r>
      <w:r w:rsidR="00F21C5A" w:rsidRPr="00567BC6">
        <w:rPr>
          <w:b/>
          <w:bCs/>
          <w:lang w:val="en-US"/>
        </w:rPr>
        <w:t>affecting</w:t>
      </w:r>
      <w:r w:rsidR="00F21C5A" w:rsidRPr="00DC2DE1">
        <w:rPr>
          <w:b/>
          <w:bCs/>
        </w:rPr>
        <w:t xml:space="preserve"> </w:t>
      </w:r>
      <w:r w:rsidR="00540857" w:rsidRPr="00DC2DE1">
        <w:rPr>
          <w:b/>
          <w:bCs/>
        </w:rPr>
        <w:t xml:space="preserve">the implementation of </w:t>
      </w:r>
      <w:r w:rsidR="00F21C5A" w:rsidRPr="00567BC6">
        <w:rPr>
          <w:b/>
          <w:bCs/>
          <w:lang w:val="en-US"/>
        </w:rPr>
        <w:t xml:space="preserve">the </w:t>
      </w:r>
      <w:r w:rsidR="00540857" w:rsidRPr="00DC2DE1">
        <w:rPr>
          <w:b/>
          <w:bCs/>
        </w:rPr>
        <w:t xml:space="preserve">economic, social and cultural rights set forth in the Covenant, duly disaggregated by year, sex, age, urban/rural population, ethnic origin, disadvantaged and marginalized groups and other relevant criteria, and include such statistical data </w:t>
      </w:r>
      <w:r w:rsidR="003E2FAF" w:rsidRPr="00DC2DE1">
        <w:rPr>
          <w:b/>
          <w:bCs/>
        </w:rPr>
        <w:t xml:space="preserve">in </w:t>
      </w:r>
      <w:r w:rsidR="006A133C" w:rsidRPr="00DC2DE1">
        <w:rPr>
          <w:b/>
          <w:bCs/>
        </w:rPr>
        <w:t>its next periodic report;</w:t>
      </w:r>
    </w:p>
    <w:p w:rsidR="00540857" w:rsidRPr="00DC2DE1" w:rsidRDefault="00DC2DE1" w:rsidP="00DC2DE1">
      <w:pPr>
        <w:pStyle w:val="SingleTxtG"/>
        <w:rPr>
          <w:b/>
          <w:bCs/>
        </w:rPr>
      </w:pPr>
      <w:r>
        <w:rPr>
          <w:b/>
          <w:bCs/>
        </w:rPr>
        <w:tab/>
        <w:t>(b)</w:t>
      </w:r>
      <w:r>
        <w:rPr>
          <w:b/>
          <w:bCs/>
        </w:rPr>
        <w:tab/>
      </w:r>
      <w:r w:rsidR="00540857" w:rsidRPr="00DC2DE1">
        <w:rPr>
          <w:b/>
          <w:bCs/>
        </w:rPr>
        <w:t xml:space="preserve">Undertake regular and systematic assessments, </w:t>
      </w:r>
      <w:r w:rsidR="00540857" w:rsidRPr="00072854">
        <w:rPr>
          <w:b/>
          <w:bCs/>
        </w:rPr>
        <w:t xml:space="preserve">against </w:t>
      </w:r>
      <w:r w:rsidR="004114C2">
        <w:rPr>
          <w:b/>
          <w:bCs/>
          <w:lang w:val="en-GB"/>
        </w:rPr>
        <w:t>a</w:t>
      </w:r>
      <w:r w:rsidR="00540857" w:rsidRPr="00072854">
        <w:rPr>
          <w:b/>
          <w:bCs/>
        </w:rPr>
        <w:t xml:space="preserve"> clear set of indicators</w:t>
      </w:r>
      <w:r w:rsidR="00540857" w:rsidRPr="00DC2DE1">
        <w:rPr>
          <w:b/>
          <w:bCs/>
        </w:rPr>
        <w:t>, of the level of enjoyment of all economic, social and cultural rights by various segments of the population, taking into account the conceptual and methodological framework for human rights indicators that was developed by the Office of the United Nations High Commissioner for Human Rights;</w:t>
      </w:r>
    </w:p>
    <w:p w:rsidR="00540857" w:rsidRPr="00DC2DE1" w:rsidRDefault="00DC2DE1" w:rsidP="00DC2DE1">
      <w:pPr>
        <w:pStyle w:val="SingleTxtG"/>
        <w:rPr>
          <w:b/>
          <w:bCs/>
        </w:rPr>
      </w:pPr>
      <w:r>
        <w:rPr>
          <w:b/>
          <w:bCs/>
        </w:rPr>
        <w:tab/>
        <w:t>(c)</w:t>
      </w:r>
      <w:r>
        <w:rPr>
          <w:b/>
          <w:bCs/>
        </w:rPr>
        <w:tab/>
      </w:r>
      <w:r w:rsidR="001D1F86" w:rsidRPr="00DC2DE1">
        <w:rPr>
          <w:b/>
          <w:bCs/>
        </w:rPr>
        <w:t>Apply</w:t>
      </w:r>
      <w:r w:rsidR="00540857" w:rsidRPr="00DC2DE1">
        <w:rPr>
          <w:b/>
          <w:bCs/>
        </w:rPr>
        <w:t xml:space="preserve"> human rights indicators, in particular for economic, social and cultural rights, as part of its </w:t>
      </w:r>
      <w:r w:rsidR="004114C2">
        <w:rPr>
          <w:b/>
          <w:bCs/>
          <w:lang w:val="en-GB"/>
        </w:rPr>
        <w:t>n</w:t>
      </w:r>
      <w:proofErr w:type="spellStart"/>
      <w:r w:rsidR="00540857" w:rsidRPr="00072854">
        <w:rPr>
          <w:b/>
          <w:bCs/>
        </w:rPr>
        <w:t>ational</w:t>
      </w:r>
      <w:proofErr w:type="spellEnd"/>
      <w:r w:rsidR="00540857" w:rsidRPr="00072854">
        <w:rPr>
          <w:b/>
          <w:bCs/>
        </w:rPr>
        <w:t xml:space="preserve"> </w:t>
      </w:r>
      <w:r w:rsidR="004114C2">
        <w:rPr>
          <w:b/>
          <w:bCs/>
          <w:lang w:val="en-GB"/>
        </w:rPr>
        <w:t>d</w:t>
      </w:r>
      <w:proofErr w:type="spellStart"/>
      <w:r w:rsidR="00540857" w:rsidRPr="00072854">
        <w:rPr>
          <w:b/>
          <w:bCs/>
        </w:rPr>
        <w:t>evelopment</w:t>
      </w:r>
      <w:proofErr w:type="spellEnd"/>
      <w:r w:rsidR="00540857" w:rsidRPr="00072854">
        <w:rPr>
          <w:b/>
          <w:bCs/>
        </w:rPr>
        <w:t xml:space="preserve"> and </w:t>
      </w:r>
      <w:proofErr w:type="spellStart"/>
      <w:r w:rsidR="004114C2">
        <w:rPr>
          <w:b/>
          <w:bCs/>
          <w:lang w:val="en-GB"/>
        </w:rPr>
        <w:t>i</w:t>
      </w:r>
      <w:r w:rsidRPr="00072854">
        <w:rPr>
          <w:b/>
          <w:bCs/>
        </w:rPr>
        <w:t>ntegration</w:t>
      </w:r>
      <w:proofErr w:type="spellEnd"/>
      <w:r w:rsidRPr="00072854">
        <w:rPr>
          <w:b/>
          <w:bCs/>
        </w:rPr>
        <w:t xml:space="preserve"> </w:t>
      </w:r>
      <w:r w:rsidR="004114C2">
        <w:rPr>
          <w:b/>
          <w:bCs/>
          <w:lang w:val="en-GB"/>
        </w:rPr>
        <w:t>s</w:t>
      </w:r>
      <w:proofErr w:type="spellStart"/>
      <w:r w:rsidRPr="00072854">
        <w:rPr>
          <w:b/>
          <w:bCs/>
        </w:rPr>
        <w:t>trateg</w:t>
      </w:r>
      <w:r w:rsidR="004114C2">
        <w:rPr>
          <w:b/>
          <w:bCs/>
          <w:lang w:val="en-GB"/>
        </w:rPr>
        <w:t>ies</w:t>
      </w:r>
      <w:proofErr w:type="spellEnd"/>
      <w:r>
        <w:rPr>
          <w:b/>
          <w:bCs/>
        </w:rPr>
        <w:t>.</w:t>
      </w:r>
    </w:p>
    <w:p w:rsidR="00540857" w:rsidRPr="00D46709" w:rsidRDefault="006A133C" w:rsidP="00967D5C">
      <w:pPr>
        <w:pStyle w:val="H23G"/>
      </w:pPr>
      <w:r>
        <w:tab/>
      </w:r>
      <w:r>
        <w:tab/>
      </w:r>
      <w:r w:rsidR="00540857" w:rsidRPr="00D46709">
        <w:t xml:space="preserve">Protector of </w:t>
      </w:r>
      <w:r w:rsidR="00967D5C">
        <w:t>c</w:t>
      </w:r>
      <w:r w:rsidR="00540857" w:rsidRPr="00D46709">
        <w:t>itizens</w:t>
      </w:r>
    </w:p>
    <w:p w:rsidR="00540857" w:rsidRDefault="008B3028" w:rsidP="008B3028">
      <w:pPr>
        <w:pStyle w:val="SingleTxtG"/>
      </w:pPr>
      <w:r>
        <w:t>8.</w:t>
      </w:r>
      <w:r>
        <w:tab/>
      </w:r>
      <w:r w:rsidR="00540857">
        <w:t xml:space="preserve">The Committee notes with concern the lack of </w:t>
      </w:r>
      <w:r w:rsidR="002E2CD1" w:rsidRPr="00567BC6">
        <w:rPr>
          <w:lang w:val="en-US"/>
        </w:rPr>
        <w:t xml:space="preserve">a </w:t>
      </w:r>
      <w:r w:rsidR="00540857">
        <w:t xml:space="preserve">legal </w:t>
      </w:r>
      <w:r w:rsidR="001D1F86">
        <w:rPr>
          <w:lang w:val="en-GB"/>
        </w:rPr>
        <w:t>mandate</w:t>
      </w:r>
      <w:r w:rsidR="00540857">
        <w:t xml:space="preserve"> for the Protector of Citizens (Ombudsman) </w:t>
      </w:r>
      <w:r w:rsidR="001D1F86">
        <w:rPr>
          <w:lang w:val="en-GB"/>
        </w:rPr>
        <w:t xml:space="preserve">to interact </w:t>
      </w:r>
      <w:r w:rsidR="00540857">
        <w:t>with the international human rights system</w:t>
      </w:r>
      <w:r w:rsidR="00540857" w:rsidRPr="00A504F6">
        <w:t xml:space="preserve"> </w:t>
      </w:r>
      <w:r w:rsidR="00540857">
        <w:t>and civil society organizations, the lack of sufficient financial and human resources available to the Ombudsman’s Office</w:t>
      </w:r>
      <w:r w:rsidR="00742024">
        <w:rPr>
          <w:lang w:val="en-GB"/>
        </w:rPr>
        <w:t>,</w:t>
      </w:r>
      <w:r w:rsidR="00540857">
        <w:t xml:space="preserve"> and the limited </w:t>
      </w:r>
      <w:r w:rsidR="0068753F">
        <w:rPr>
          <w:lang w:val="en-GB"/>
        </w:rPr>
        <w:t xml:space="preserve">follow-up by the State party to </w:t>
      </w:r>
      <w:r w:rsidR="00540857">
        <w:t xml:space="preserve">the views and recommendations </w:t>
      </w:r>
      <w:r w:rsidR="0068753F">
        <w:rPr>
          <w:lang w:val="en-GB"/>
        </w:rPr>
        <w:t xml:space="preserve">of </w:t>
      </w:r>
      <w:r w:rsidR="00540857">
        <w:t xml:space="preserve">the Ombudsman. </w:t>
      </w:r>
    </w:p>
    <w:p w:rsidR="00540857" w:rsidRPr="00A504F6" w:rsidRDefault="00540857" w:rsidP="00540857">
      <w:pPr>
        <w:pStyle w:val="SingleTxtG"/>
        <w:rPr>
          <w:b/>
        </w:rPr>
      </w:pPr>
      <w:r w:rsidRPr="00A504F6">
        <w:rPr>
          <w:b/>
        </w:rPr>
        <w:t xml:space="preserve">The Committee recommends that the State party: </w:t>
      </w:r>
    </w:p>
    <w:p w:rsidR="00540857" w:rsidRPr="00DC2DE1" w:rsidRDefault="00DC2DE1" w:rsidP="00DC2DE1">
      <w:pPr>
        <w:pStyle w:val="SingleTxtG"/>
        <w:rPr>
          <w:b/>
          <w:bCs/>
        </w:rPr>
      </w:pPr>
      <w:r>
        <w:rPr>
          <w:b/>
          <w:bCs/>
        </w:rPr>
        <w:tab/>
        <w:t>(a)</w:t>
      </w:r>
      <w:r>
        <w:rPr>
          <w:b/>
          <w:bCs/>
        </w:rPr>
        <w:tab/>
      </w:r>
      <w:r w:rsidR="00540857" w:rsidRPr="00DC2DE1">
        <w:rPr>
          <w:b/>
          <w:bCs/>
        </w:rPr>
        <w:t xml:space="preserve">Amend the </w:t>
      </w:r>
      <w:r w:rsidR="002E2CD1" w:rsidRPr="00567BC6">
        <w:rPr>
          <w:b/>
          <w:bCs/>
          <w:lang w:val="en-US"/>
        </w:rPr>
        <w:t>L</w:t>
      </w:r>
      <w:r w:rsidR="00540857" w:rsidRPr="00DC2DE1">
        <w:rPr>
          <w:b/>
          <w:bCs/>
        </w:rPr>
        <w:t xml:space="preserve">aw </w:t>
      </w:r>
      <w:r w:rsidR="00776450" w:rsidRPr="00DC2DE1">
        <w:rPr>
          <w:b/>
          <w:bCs/>
        </w:rPr>
        <w:t xml:space="preserve">on the Ombudsman </w:t>
      </w:r>
      <w:r w:rsidR="00294C2D" w:rsidRPr="00DC2DE1">
        <w:rPr>
          <w:b/>
          <w:bCs/>
        </w:rPr>
        <w:t xml:space="preserve">in order </w:t>
      </w:r>
      <w:r w:rsidR="00540857" w:rsidRPr="00DC2DE1">
        <w:rPr>
          <w:b/>
          <w:bCs/>
        </w:rPr>
        <w:t xml:space="preserve">to provide for </w:t>
      </w:r>
      <w:r w:rsidR="002E2CD1" w:rsidRPr="00567BC6">
        <w:rPr>
          <w:b/>
          <w:bCs/>
          <w:lang w:val="en-US"/>
        </w:rPr>
        <w:t>the</w:t>
      </w:r>
      <w:r w:rsidR="002E2CD1" w:rsidRPr="00DC2DE1">
        <w:rPr>
          <w:b/>
          <w:bCs/>
        </w:rPr>
        <w:t xml:space="preserve"> </w:t>
      </w:r>
      <w:r w:rsidR="00540857" w:rsidRPr="00DC2DE1">
        <w:rPr>
          <w:b/>
          <w:bCs/>
        </w:rPr>
        <w:t xml:space="preserve">interaction </w:t>
      </w:r>
      <w:r w:rsidR="002E2CD1" w:rsidRPr="00567BC6">
        <w:rPr>
          <w:b/>
          <w:bCs/>
          <w:lang w:val="en-US"/>
        </w:rPr>
        <w:t xml:space="preserve">of the Ombudsman </w:t>
      </w:r>
      <w:r w:rsidR="00540857" w:rsidRPr="00DC2DE1">
        <w:rPr>
          <w:b/>
          <w:bCs/>
        </w:rPr>
        <w:t>with the international human rights system an</w:t>
      </w:r>
      <w:r w:rsidR="006A133C" w:rsidRPr="00DC2DE1">
        <w:rPr>
          <w:b/>
          <w:bCs/>
        </w:rPr>
        <w:t>d civil society organizations;</w:t>
      </w:r>
    </w:p>
    <w:p w:rsidR="00540857" w:rsidRPr="00DC2DE1" w:rsidRDefault="00DC2DE1" w:rsidP="00DC2DE1">
      <w:pPr>
        <w:pStyle w:val="SingleTxtG"/>
        <w:rPr>
          <w:b/>
          <w:bCs/>
        </w:rPr>
      </w:pPr>
      <w:r>
        <w:rPr>
          <w:b/>
          <w:bCs/>
        </w:rPr>
        <w:tab/>
        <w:t>(b)</w:t>
      </w:r>
      <w:r>
        <w:rPr>
          <w:b/>
          <w:bCs/>
        </w:rPr>
        <w:tab/>
      </w:r>
      <w:r w:rsidR="00540857" w:rsidRPr="00DC2DE1">
        <w:rPr>
          <w:b/>
          <w:bCs/>
        </w:rPr>
        <w:t>Provide the Ombudsman’s Office with sufficient financial and human resources for the effective implementation of its mandate, in compliance with the principles relating to the status of national insti</w:t>
      </w:r>
      <w:r>
        <w:rPr>
          <w:b/>
          <w:bCs/>
        </w:rPr>
        <w:t xml:space="preserve">tutions </w:t>
      </w:r>
      <w:r w:rsidR="002E2CD1" w:rsidRPr="002E2CD1">
        <w:rPr>
          <w:b/>
          <w:bCs/>
        </w:rPr>
        <w:t xml:space="preserve">for the promotion and protection of human rights </w:t>
      </w:r>
      <w:r>
        <w:rPr>
          <w:b/>
          <w:bCs/>
        </w:rPr>
        <w:t>(the Paris Principles);</w:t>
      </w:r>
    </w:p>
    <w:p w:rsidR="00540857" w:rsidRPr="00DC2DE1" w:rsidRDefault="00DC2DE1" w:rsidP="00DC2DE1">
      <w:pPr>
        <w:pStyle w:val="SingleTxtG"/>
        <w:rPr>
          <w:b/>
          <w:bCs/>
        </w:rPr>
      </w:pPr>
      <w:r>
        <w:rPr>
          <w:b/>
          <w:bCs/>
        </w:rPr>
        <w:tab/>
        <w:t>(c)</w:t>
      </w:r>
      <w:r>
        <w:rPr>
          <w:b/>
          <w:bCs/>
        </w:rPr>
        <w:tab/>
      </w:r>
      <w:r w:rsidR="00BE4567" w:rsidRPr="00DC2DE1">
        <w:rPr>
          <w:b/>
          <w:bCs/>
        </w:rPr>
        <w:t xml:space="preserve">Take into account </w:t>
      </w:r>
      <w:r w:rsidR="00540857" w:rsidRPr="00DC2DE1">
        <w:rPr>
          <w:b/>
          <w:bCs/>
        </w:rPr>
        <w:t xml:space="preserve">the views and opinions expressed by the Ombudsman </w:t>
      </w:r>
      <w:r w:rsidR="00BE4567" w:rsidRPr="00DC2DE1">
        <w:rPr>
          <w:b/>
          <w:bCs/>
        </w:rPr>
        <w:t xml:space="preserve">when </w:t>
      </w:r>
      <w:r w:rsidR="00776450" w:rsidRPr="00DC2DE1">
        <w:rPr>
          <w:b/>
          <w:bCs/>
        </w:rPr>
        <w:t xml:space="preserve">adopting legislation or </w:t>
      </w:r>
      <w:r w:rsidR="00540857" w:rsidRPr="00DC2DE1">
        <w:rPr>
          <w:b/>
          <w:bCs/>
        </w:rPr>
        <w:t xml:space="preserve">formulating policies and programmes, particularly in the area of economic, </w:t>
      </w:r>
      <w:r w:rsidR="00155B29" w:rsidRPr="00DC2DE1">
        <w:rPr>
          <w:b/>
          <w:bCs/>
        </w:rPr>
        <w:t>social and cultural rights.</w:t>
      </w:r>
    </w:p>
    <w:p w:rsidR="00540857" w:rsidRPr="00D46709" w:rsidRDefault="00155B29" w:rsidP="00967D5C">
      <w:pPr>
        <w:pStyle w:val="H23G"/>
      </w:pPr>
      <w:r>
        <w:tab/>
      </w:r>
      <w:r>
        <w:tab/>
      </w:r>
      <w:r w:rsidR="00540857" w:rsidRPr="00D46709">
        <w:t>Judiciary</w:t>
      </w:r>
    </w:p>
    <w:p w:rsidR="00540857" w:rsidRDefault="008B3028" w:rsidP="008B3028">
      <w:pPr>
        <w:pStyle w:val="SingleTxtG"/>
      </w:pPr>
      <w:r>
        <w:t>9.</w:t>
      </w:r>
      <w:r>
        <w:tab/>
      </w:r>
      <w:r w:rsidR="00540857">
        <w:t xml:space="preserve">While noting the </w:t>
      </w:r>
      <w:r w:rsidR="00605BAF">
        <w:rPr>
          <w:lang w:val="en-GB"/>
        </w:rPr>
        <w:t xml:space="preserve">recent </w:t>
      </w:r>
      <w:r w:rsidR="00540857">
        <w:t xml:space="preserve">judicial reforms, the Committee </w:t>
      </w:r>
      <w:r w:rsidR="00BD5543">
        <w:rPr>
          <w:lang w:val="en-GB"/>
        </w:rPr>
        <w:t xml:space="preserve">is </w:t>
      </w:r>
      <w:r w:rsidR="00540857">
        <w:t>concern</w:t>
      </w:r>
      <w:r w:rsidR="00BD5543">
        <w:rPr>
          <w:lang w:val="en-GB"/>
        </w:rPr>
        <w:t>ed</w:t>
      </w:r>
      <w:r w:rsidR="00540857">
        <w:t xml:space="preserve"> </w:t>
      </w:r>
      <w:r w:rsidR="00605BAF">
        <w:rPr>
          <w:lang w:val="en-GB"/>
        </w:rPr>
        <w:t xml:space="preserve">that the </w:t>
      </w:r>
      <w:r w:rsidR="00540857">
        <w:t>administration of justice</w:t>
      </w:r>
      <w:r w:rsidR="00605BAF">
        <w:rPr>
          <w:lang w:val="en-GB"/>
        </w:rPr>
        <w:t xml:space="preserve"> is still ineffective</w:t>
      </w:r>
      <w:r w:rsidR="00540857">
        <w:t xml:space="preserve">, </w:t>
      </w:r>
      <w:r w:rsidR="00605BAF">
        <w:rPr>
          <w:lang w:val="en-GB"/>
        </w:rPr>
        <w:t xml:space="preserve">in particular in the context </w:t>
      </w:r>
      <w:r w:rsidR="00605BAF" w:rsidRPr="00605BAF">
        <w:t>of employment</w:t>
      </w:r>
      <w:r w:rsidR="008E364C" w:rsidRPr="00567BC6">
        <w:rPr>
          <w:lang w:val="en-US"/>
        </w:rPr>
        <w:t>-</w:t>
      </w:r>
      <w:r w:rsidR="00605BAF" w:rsidRPr="00605BAF">
        <w:t>related claims against companies that were privatized</w:t>
      </w:r>
      <w:r w:rsidR="00605BAF">
        <w:rPr>
          <w:lang w:val="en-GB"/>
        </w:rPr>
        <w:t xml:space="preserve">, </w:t>
      </w:r>
      <w:r w:rsidR="00540857">
        <w:t xml:space="preserve">as evidenced by </w:t>
      </w:r>
      <w:r w:rsidR="008E364C" w:rsidRPr="00567BC6">
        <w:rPr>
          <w:lang w:val="en-US"/>
        </w:rPr>
        <w:t xml:space="preserve">the </w:t>
      </w:r>
      <w:r w:rsidR="00540857">
        <w:t>excessive length of judicial proceedings, lack of remedy and non-enforcement of judgements under the domestic law</w:t>
      </w:r>
      <w:r w:rsidR="00155B29">
        <w:rPr>
          <w:lang w:val="en-GB"/>
        </w:rPr>
        <w:t>.</w:t>
      </w:r>
    </w:p>
    <w:p w:rsidR="00456049" w:rsidRPr="00167A48" w:rsidRDefault="00540857" w:rsidP="00167A48">
      <w:pPr>
        <w:pStyle w:val="SingleTxtG"/>
        <w:rPr>
          <w:b/>
        </w:rPr>
      </w:pPr>
      <w:r w:rsidRPr="00BE02D8">
        <w:rPr>
          <w:b/>
        </w:rPr>
        <w:t xml:space="preserve">The Committee recommends that the State party take </w:t>
      </w:r>
      <w:r w:rsidR="007704CD">
        <w:rPr>
          <w:b/>
        </w:rPr>
        <w:t xml:space="preserve">the </w:t>
      </w:r>
      <w:r w:rsidRPr="00BE02D8">
        <w:rPr>
          <w:b/>
        </w:rPr>
        <w:t xml:space="preserve">necessary legal, policy and other measures to ensure the </w:t>
      </w:r>
      <w:r>
        <w:rPr>
          <w:b/>
        </w:rPr>
        <w:t xml:space="preserve">effective and </w:t>
      </w:r>
      <w:r w:rsidRPr="00BE02D8">
        <w:rPr>
          <w:b/>
        </w:rPr>
        <w:t>independen</w:t>
      </w:r>
      <w:r>
        <w:rPr>
          <w:b/>
        </w:rPr>
        <w:t xml:space="preserve">t functioning of the </w:t>
      </w:r>
      <w:r w:rsidRPr="00BE02D8">
        <w:rPr>
          <w:b/>
        </w:rPr>
        <w:t>judiciary as a means of safeguarding the enjoyment of human rights, including economic, social and cultural rights.</w:t>
      </w:r>
    </w:p>
    <w:p w:rsidR="00540857" w:rsidRPr="00B17ACF" w:rsidRDefault="00155B29" w:rsidP="00967D5C">
      <w:pPr>
        <w:pStyle w:val="H23G"/>
      </w:pPr>
      <w:r>
        <w:tab/>
      </w:r>
      <w:r>
        <w:tab/>
      </w:r>
      <w:r w:rsidR="00540857" w:rsidRPr="00B17ACF">
        <w:t xml:space="preserve">Maximum </w:t>
      </w:r>
      <w:r w:rsidR="00540857">
        <w:t>a</w:t>
      </w:r>
      <w:r w:rsidR="00540857" w:rsidRPr="00B17ACF">
        <w:t xml:space="preserve">vailable </w:t>
      </w:r>
      <w:r w:rsidR="00540857">
        <w:t>r</w:t>
      </w:r>
      <w:r w:rsidR="00540857" w:rsidRPr="00B17ACF">
        <w:t>esources</w:t>
      </w:r>
    </w:p>
    <w:p w:rsidR="00540857" w:rsidRDefault="008B3028" w:rsidP="008B3028">
      <w:pPr>
        <w:pStyle w:val="SingleTxtG"/>
      </w:pPr>
      <w:r>
        <w:t>10.</w:t>
      </w:r>
      <w:r>
        <w:tab/>
      </w:r>
      <w:r w:rsidR="00540857">
        <w:t xml:space="preserve">The Committee </w:t>
      </w:r>
      <w:r w:rsidR="00D9616A">
        <w:rPr>
          <w:lang w:val="en-GB"/>
        </w:rPr>
        <w:t xml:space="preserve">regrets </w:t>
      </w:r>
      <w:r w:rsidR="00540857" w:rsidRPr="00072854">
        <w:t xml:space="preserve">the </w:t>
      </w:r>
      <w:r w:rsidR="00AA3717">
        <w:rPr>
          <w:lang w:val="en-GB"/>
        </w:rPr>
        <w:t xml:space="preserve">absence of </w:t>
      </w:r>
      <w:r w:rsidR="00540857" w:rsidRPr="00072854">
        <w:t>sufficient information</w:t>
      </w:r>
      <w:r w:rsidR="00761DC3">
        <w:t xml:space="preserve"> </w:t>
      </w:r>
      <w:r w:rsidR="00540857" w:rsidRPr="002C35D0">
        <w:t xml:space="preserve">on </w:t>
      </w:r>
      <w:r w:rsidR="00540857">
        <w:t xml:space="preserve">the </w:t>
      </w:r>
      <w:r w:rsidR="00540857" w:rsidRPr="002C35D0">
        <w:t>us</w:t>
      </w:r>
      <w:r w:rsidR="00540857">
        <w:t xml:space="preserve">e of </w:t>
      </w:r>
      <w:r w:rsidR="00540857" w:rsidRPr="002C35D0">
        <w:t xml:space="preserve">maximum available resources </w:t>
      </w:r>
      <w:r w:rsidR="00540857">
        <w:t xml:space="preserve">by the State party </w:t>
      </w:r>
      <w:r w:rsidR="00540857" w:rsidRPr="002C35D0">
        <w:t>in achieving progressively the full realization of the rights recognized in the Covenant</w:t>
      </w:r>
      <w:r w:rsidR="00540857">
        <w:t xml:space="preserve"> (</w:t>
      </w:r>
      <w:r w:rsidR="00DC2DE1">
        <w:t>art. </w:t>
      </w:r>
      <w:r w:rsidR="00540857" w:rsidRPr="002C35D0">
        <w:t>2</w:t>
      </w:r>
      <w:r w:rsidR="00EA6579">
        <w:rPr>
          <w:lang w:val="en-GB"/>
        </w:rPr>
        <w:t>, para.</w:t>
      </w:r>
      <w:r w:rsidR="00DC2DE1">
        <w:rPr>
          <w:lang w:val="en-GB"/>
        </w:rPr>
        <w:t> </w:t>
      </w:r>
      <w:r w:rsidR="00EA6579">
        <w:rPr>
          <w:lang w:val="en-GB"/>
        </w:rPr>
        <w:t>1</w:t>
      </w:r>
      <w:r w:rsidR="00155B29">
        <w:t>)</w:t>
      </w:r>
      <w:r w:rsidR="006A133C" w:rsidRPr="00567BC6">
        <w:rPr>
          <w:lang w:val="en-US"/>
        </w:rPr>
        <w:t>.</w:t>
      </w:r>
    </w:p>
    <w:p w:rsidR="00540857" w:rsidRPr="00AB47EC" w:rsidRDefault="00540857" w:rsidP="004A58D2">
      <w:pPr>
        <w:pStyle w:val="SingleTxtG"/>
        <w:rPr>
          <w:b/>
        </w:rPr>
      </w:pPr>
      <w:r w:rsidRPr="00BE02D8">
        <w:rPr>
          <w:b/>
        </w:rPr>
        <w:t>The Committee recommends that the State party regularly evaluate the impact of the measures taken</w:t>
      </w:r>
      <w:r w:rsidR="00CA4462">
        <w:rPr>
          <w:b/>
          <w:lang w:val="en-GB"/>
        </w:rPr>
        <w:t xml:space="preserve">, including against corruption, </w:t>
      </w:r>
      <w:r w:rsidRPr="00BE02D8">
        <w:rPr>
          <w:b/>
        </w:rPr>
        <w:t xml:space="preserve">and the budget allocations made for the implementation of the Covenant in order to assess whether the maximum available resources have been used in achieving progressively the full realization of the rights recognized in the Covenant, taking into account the Committee’s </w:t>
      </w:r>
      <w:r>
        <w:rPr>
          <w:b/>
        </w:rPr>
        <w:t>g</w:t>
      </w:r>
      <w:r w:rsidR="00DC2DE1">
        <w:rPr>
          <w:b/>
        </w:rPr>
        <w:t>eneral comment No. </w:t>
      </w:r>
      <w:r w:rsidRPr="00385878">
        <w:rPr>
          <w:b/>
        </w:rPr>
        <w:t>3</w:t>
      </w:r>
      <w:r w:rsidR="008E364C" w:rsidRPr="00567BC6">
        <w:rPr>
          <w:b/>
          <w:lang w:val="en-US"/>
        </w:rPr>
        <w:t xml:space="preserve"> (1990)</w:t>
      </w:r>
      <w:r>
        <w:rPr>
          <w:b/>
        </w:rPr>
        <w:t xml:space="preserve"> on the </w:t>
      </w:r>
      <w:r w:rsidRPr="00385878">
        <w:rPr>
          <w:b/>
        </w:rPr>
        <w:t>nature of States parties</w:t>
      </w:r>
      <w:r>
        <w:rPr>
          <w:b/>
        </w:rPr>
        <w:t>’</w:t>
      </w:r>
      <w:r w:rsidRPr="00385878">
        <w:rPr>
          <w:b/>
        </w:rPr>
        <w:t xml:space="preserve"> obligations </w:t>
      </w:r>
      <w:r>
        <w:rPr>
          <w:b/>
        </w:rPr>
        <w:t xml:space="preserve">and its </w:t>
      </w:r>
      <w:r w:rsidR="008E364C" w:rsidRPr="00567BC6">
        <w:rPr>
          <w:b/>
          <w:lang w:val="en-US"/>
        </w:rPr>
        <w:t>s</w:t>
      </w:r>
      <w:proofErr w:type="spellStart"/>
      <w:r w:rsidRPr="00BE02D8">
        <w:rPr>
          <w:b/>
        </w:rPr>
        <w:t>tatement</w:t>
      </w:r>
      <w:proofErr w:type="spellEnd"/>
      <w:r w:rsidR="008E364C" w:rsidRPr="00567BC6">
        <w:rPr>
          <w:b/>
          <w:lang w:val="en-US"/>
        </w:rPr>
        <w:t xml:space="preserve"> of 2007</w:t>
      </w:r>
      <w:r w:rsidRPr="00BE02D8">
        <w:rPr>
          <w:b/>
        </w:rPr>
        <w:t xml:space="preserve"> on the o</w:t>
      </w:r>
      <w:r w:rsidR="004A58D2">
        <w:rPr>
          <w:b/>
        </w:rPr>
        <w:t xml:space="preserve">bligation to take steps to the </w:t>
      </w:r>
      <w:r w:rsidR="008E364C" w:rsidRPr="00567BC6">
        <w:rPr>
          <w:b/>
          <w:lang w:val="en-US"/>
        </w:rPr>
        <w:t>m</w:t>
      </w:r>
      <w:proofErr w:type="spellStart"/>
      <w:r w:rsidRPr="00BE02D8">
        <w:rPr>
          <w:b/>
        </w:rPr>
        <w:t>aximum</w:t>
      </w:r>
      <w:proofErr w:type="spellEnd"/>
      <w:r w:rsidRPr="00BE02D8">
        <w:rPr>
          <w:b/>
        </w:rPr>
        <w:t xml:space="preserve"> of available resources</w:t>
      </w:r>
      <w:r>
        <w:rPr>
          <w:b/>
        </w:rPr>
        <w:t>.</w:t>
      </w:r>
    </w:p>
    <w:p w:rsidR="00540857" w:rsidRPr="00B17ACF" w:rsidRDefault="00155B29" w:rsidP="00967D5C">
      <w:pPr>
        <w:pStyle w:val="H23G"/>
      </w:pPr>
      <w:r>
        <w:tab/>
      </w:r>
      <w:r>
        <w:tab/>
      </w:r>
      <w:r w:rsidR="00540857" w:rsidRPr="00B17ACF">
        <w:t>Discrimination</w:t>
      </w:r>
    </w:p>
    <w:p w:rsidR="00540857" w:rsidRDefault="008B3028" w:rsidP="008B3028">
      <w:pPr>
        <w:pStyle w:val="SingleTxtG"/>
        <w:rPr>
          <w:bCs/>
        </w:rPr>
      </w:pPr>
      <w:r>
        <w:rPr>
          <w:bCs/>
        </w:rPr>
        <w:t>11.</w:t>
      </w:r>
      <w:r>
        <w:rPr>
          <w:bCs/>
        </w:rPr>
        <w:tab/>
      </w:r>
      <w:r w:rsidR="00540857">
        <w:rPr>
          <w:bCs/>
        </w:rPr>
        <w:t>The Committee is concerned that members of national and ethnic minorities, persons with disabilities</w:t>
      </w:r>
      <w:r w:rsidR="0026540E">
        <w:rPr>
          <w:bCs/>
          <w:lang w:val="en-GB"/>
        </w:rPr>
        <w:t xml:space="preserve">, </w:t>
      </w:r>
      <w:r w:rsidR="00540857" w:rsidRPr="0052138A">
        <w:t>refugees</w:t>
      </w:r>
      <w:r w:rsidR="0026540E">
        <w:rPr>
          <w:bCs/>
          <w:lang w:val="en-GB"/>
        </w:rPr>
        <w:t xml:space="preserve"> and</w:t>
      </w:r>
      <w:r w:rsidR="00540857">
        <w:rPr>
          <w:bCs/>
        </w:rPr>
        <w:t xml:space="preserve"> internally displaced persons</w:t>
      </w:r>
      <w:r w:rsidR="001D04D5">
        <w:rPr>
          <w:bCs/>
          <w:lang w:val="en-GB"/>
        </w:rPr>
        <w:t>,</w:t>
      </w:r>
      <w:r w:rsidR="00540857">
        <w:rPr>
          <w:bCs/>
        </w:rPr>
        <w:t xml:space="preserve"> including Roma</w:t>
      </w:r>
      <w:r w:rsidR="001D04D5">
        <w:rPr>
          <w:bCs/>
          <w:lang w:val="en-GB"/>
        </w:rPr>
        <w:t>,</w:t>
      </w:r>
      <w:r w:rsidR="00540857">
        <w:rPr>
          <w:bCs/>
        </w:rPr>
        <w:t xml:space="preserve"> and other </w:t>
      </w:r>
      <w:r w:rsidR="00A047CB">
        <w:rPr>
          <w:bCs/>
          <w:lang w:val="en-GB"/>
        </w:rPr>
        <w:t>marginali</w:t>
      </w:r>
      <w:r w:rsidR="001D04D5">
        <w:rPr>
          <w:bCs/>
          <w:lang w:val="en-GB"/>
        </w:rPr>
        <w:t>z</w:t>
      </w:r>
      <w:r w:rsidR="00A047CB">
        <w:rPr>
          <w:bCs/>
          <w:lang w:val="en-GB"/>
        </w:rPr>
        <w:t xml:space="preserve">ed </w:t>
      </w:r>
      <w:r w:rsidR="00540857">
        <w:rPr>
          <w:bCs/>
        </w:rPr>
        <w:t xml:space="preserve">groups continue to face discrimination with regard to access to </w:t>
      </w:r>
      <w:r w:rsidR="0026540E">
        <w:rPr>
          <w:bCs/>
          <w:lang w:val="en-GB"/>
        </w:rPr>
        <w:t>economic, social and cultural rights.</w:t>
      </w:r>
      <w:r w:rsidR="00540857">
        <w:rPr>
          <w:bCs/>
        </w:rPr>
        <w:t xml:space="preserve"> The Committee is also concerned that the anti-discrimination legislation is not systematically applied</w:t>
      </w:r>
      <w:r w:rsidR="008E364C">
        <w:rPr>
          <w:bCs/>
          <w:lang w:val="en-US"/>
        </w:rPr>
        <w:t>,</w:t>
      </w:r>
      <w:r w:rsidR="00540857">
        <w:rPr>
          <w:bCs/>
        </w:rPr>
        <w:t xml:space="preserve"> as evidenced by the low numbers of concluded cases </w:t>
      </w:r>
      <w:r w:rsidR="000601A3">
        <w:rPr>
          <w:bCs/>
          <w:lang w:val="en-GB"/>
        </w:rPr>
        <w:t>related to discrimination</w:t>
      </w:r>
      <w:r w:rsidR="00540857">
        <w:rPr>
          <w:bCs/>
        </w:rPr>
        <w:t xml:space="preserve"> </w:t>
      </w:r>
      <w:r w:rsidR="00DC2DE1">
        <w:rPr>
          <w:bCs/>
        </w:rPr>
        <w:t>(art. </w:t>
      </w:r>
      <w:r w:rsidR="00540857" w:rsidRPr="00752337">
        <w:rPr>
          <w:bCs/>
        </w:rPr>
        <w:t>2</w:t>
      </w:r>
      <w:r w:rsidR="00EA6579">
        <w:rPr>
          <w:bCs/>
          <w:lang w:val="en-GB"/>
        </w:rPr>
        <w:t>, para.</w:t>
      </w:r>
      <w:r w:rsidR="00DC2DE1">
        <w:rPr>
          <w:bCs/>
          <w:lang w:val="en-GB"/>
        </w:rPr>
        <w:t> </w:t>
      </w:r>
      <w:r w:rsidR="00EA6579">
        <w:rPr>
          <w:bCs/>
          <w:lang w:val="en-GB"/>
        </w:rPr>
        <w:t>2</w:t>
      </w:r>
      <w:r w:rsidR="00540857" w:rsidRPr="00752337">
        <w:rPr>
          <w:bCs/>
        </w:rPr>
        <w:t>)</w:t>
      </w:r>
      <w:r w:rsidR="006A133C" w:rsidRPr="00567BC6">
        <w:rPr>
          <w:bCs/>
          <w:lang w:val="en-US"/>
        </w:rPr>
        <w:t>.</w:t>
      </w:r>
    </w:p>
    <w:p w:rsidR="00540857" w:rsidRPr="00B25FB1" w:rsidRDefault="00540857" w:rsidP="00540857">
      <w:pPr>
        <w:pStyle w:val="SingleTxtG"/>
        <w:rPr>
          <w:b/>
          <w:bCs/>
        </w:rPr>
      </w:pPr>
      <w:r w:rsidRPr="00B25FB1">
        <w:rPr>
          <w:b/>
          <w:bCs/>
        </w:rPr>
        <w:t xml:space="preserve">The Committee </w:t>
      </w:r>
      <w:r>
        <w:rPr>
          <w:b/>
          <w:bCs/>
        </w:rPr>
        <w:t xml:space="preserve">urges the </w:t>
      </w:r>
      <w:r w:rsidRPr="00B25FB1">
        <w:rPr>
          <w:b/>
          <w:bCs/>
        </w:rPr>
        <w:t>State party</w:t>
      </w:r>
      <w:r>
        <w:rPr>
          <w:b/>
          <w:bCs/>
        </w:rPr>
        <w:t xml:space="preserve"> to</w:t>
      </w:r>
      <w:r w:rsidR="00DC2DE1">
        <w:rPr>
          <w:b/>
          <w:bCs/>
        </w:rPr>
        <w:t>:</w:t>
      </w:r>
    </w:p>
    <w:p w:rsidR="00540857" w:rsidRPr="00DC2DE1" w:rsidRDefault="00DC2DE1" w:rsidP="00DC2DE1">
      <w:pPr>
        <w:pStyle w:val="SingleTxtG"/>
        <w:rPr>
          <w:b/>
          <w:bCs/>
        </w:rPr>
      </w:pPr>
      <w:r>
        <w:rPr>
          <w:b/>
          <w:bCs/>
        </w:rPr>
        <w:tab/>
        <w:t>(a)</w:t>
      </w:r>
      <w:r>
        <w:rPr>
          <w:b/>
          <w:bCs/>
        </w:rPr>
        <w:tab/>
      </w:r>
      <w:r w:rsidR="00540857" w:rsidRPr="00DC2DE1">
        <w:rPr>
          <w:b/>
          <w:bCs/>
        </w:rPr>
        <w:t>Intensify its efforts to promote equality and combat discrimination against members of ethnic minorities, persons with disabilities</w:t>
      </w:r>
      <w:r w:rsidR="00611334" w:rsidRPr="00DC2DE1">
        <w:rPr>
          <w:b/>
          <w:bCs/>
        </w:rPr>
        <w:t>,</w:t>
      </w:r>
      <w:r w:rsidR="00540857" w:rsidRPr="00DC2DE1">
        <w:rPr>
          <w:b/>
          <w:bCs/>
        </w:rPr>
        <w:t xml:space="preserve"> refugees</w:t>
      </w:r>
      <w:r w:rsidR="00611334" w:rsidRPr="00DC2DE1">
        <w:rPr>
          <w:b/>
          <w:bCs/>
        </w:rPr>
        <w:t xml:space="preserve"> and</w:t>
      </w:r>
      <w:r w:rsidR="00540857" w:rsidRPr="00DC2DE1">
        <w:rPr>
          <w:b/>
          <w:bCs/>
        </w:rPr>
        <w:t xml:space="preserve"> internally displaced persons</w:t>
      </w:r>
      <w:r w:rsidR="001D04D5" w:rsidRPr="00DC2DE1">
        <w:rPr>
          <w:b/>
          <w:bCs/>
        </w:rPr>
        <w:t>,</w:t>
      </w:r>
      <w:r w:rsidR="00540857" w:rsidRPr="00DC2DE1">
        <w:rPr>
          <w:b/>
          <w:bCs/>
        </w:rPr>
        <w:t xml:space="preserve"> including Roma</w:t>
      </w:r>
      <w:r w:rsidR="00B94FA1" w:rsidRPr="00DC2DE1">
        <w:rPr>
          <w:b/>
          <w:bCs/>
        </w:rPr>
        <w:t xml:space="preserve">, </w:t>
      </w:r>
      <w:r w:rsidR="008E364C">
        <w:rPr>
          <w:b/>
          <w:bCs/>
          <w:lang w:val="en-US"/>
        </w:rPr>
        <w:t>lesbian, gay, bisexual and transgender</w:t>
      </w:r>
      <w:r w:rsidR="008E364C" w:rsidRPr="00DC2DE1">
        <w:rPr>
          <w:b/>
          <w:bCs/>
        </w:rPr>
        <w:t xml:space="preserve"> </w:t>
      </w:r>
      <w:r w:rsidR="00B94FA1" w:rsidRPr="00DC2DE1">
        <w:rPr>
          <w:b/>
          <w:bCs/>
        </w:rPr>
        <w:t xml:space="preserve">persons </w:t>
      </w:r>
      <w:r w:rsidR="00540857" w:rsidRPr="00DC2DE1">
        <w:rPr>
          <w:b/>
          <w:bCs/>
        </w:rPr>
        <w:t>and other</w:t>
      </w:r>
      <w:r w:rsidR="00EA6579" w:rsidRPr="00DC2DE1">
        <w:rPr>
          <w:b/>
          <w:bCs/>
        </w:rPr>
        <w:t xml:space="preserve"> </w:t>
      </w:r>
      <w:r w:rsidR="00A361C3" w:rsidRPr="00DC2DE1">
        <w:rPr>
          <w:b/>
          <w:bCs/>
        </w:rPr>
        <w:t>marginali</w:t>
      </w:r>
      <w:r w:rsidR="001D04D5" w:rsidRPr="00DC2DE1">
        <w:rPr>
          <w:b/>
          <w:bCs/>
        </w:rPr>
        <w:t>z</w:t>
      </w:r>
      <w:r w:rsidR="00A361C3" w:rsidRPr="00DC2DE1">
        <w:rPr>
          <w:b/>
          <w:bCs/>
        </w:rPr>
        <w:t>ed</w:t>
      </w:r>
      <w:r w:rsidR="00B94FA1" w:rsidRPr="00DC2DE1">
        <w:rPr>
          <w:b/>
          <w:bCs/>
        </w:rPr>
        <w:t xml:space="preserve"> persons and groups</w:t>
      </w:r>
      <w:r w:rsidR="00540857" w:rsidRPr="00DC2DE1">
        <w:rPr>
          <w:b/>
          <w:bCs/>
        </w:rPr>
        <w:t xml:space="preserve"> with regard to access to employment, </w:t>
      </w:r>
      <w:r w:rsidR="00611334" w:rsidRPr="00DC2DE1">
        <w:rPr>
          <w:b/>
          <w:bCs/>
        </w:rPr>
        <w:t xml:space="preserve">social security, </w:t>
      </w:r>
      <w:r w:rsidR="00540857" w:rsidRPr="00DC2DE1">
        <w:rPr>
          <w:b/>
          <w:bCs/>
        </w:rPr>
        <w:t xml:space="preserve">housing, </w:t>
      </w:r>
      <w:r w:rsidR="00611334" w:rsidRPr="00DC2DE1">
        <w:rPr>
          <w:b/>
          <w:bCs/>
        </w:rPr>
        <w:t xml:space="preserve">health and </w:t>
      </w:r>
      <w:r w:rsidR="00540857" w:rsidRPr="00DC2DE1">
        <w:rPr>
          <w:b/>
          <w:bCs/>
        </w:rPr>
        <w:t>education</w:t>
      </w:r>
      <w:r>
        <w:rPr>
          <w:b/>
          <w:bCs/>
        </w:rPr>
        <w:t>;</w:t>
      </w:r>
    </w:p>
    <w:p w:rsidR="00540857" w:rsidRPr="00DC2DE1" w:rsidRDefault="00DC2DE1" w:rsidP="00DC2DE1">
      <w:pPr>
        <w:pStyle w:val="SingleTxtG"/>
        <w:rPr>
          <w:b/>
          <w:bCs/>
        </w:rPr>
      </w:pPr>
      <w:r>
        <w:rPr>
          <w:b/>
          <w:bCs/>
        </w:rPr>
        <w:tab/>
        <w:t>(b)</w:t>
      </w:r>
      <w:r>
        <w:rPr>
          <w:b/>
          <w:bCs/>
        </w:rPr>
        <w:tab/>
      </w:r>
      <w:r w:rsidR="00540857" w:rsidRPr="00DC2DE1">
        <w:rPr>
          <w:b/>
          <w:bCs/>
        </w:rPr>
        <w:t>Systematically apply the Law on Prohibition of Discrimination and other relevant legislation, as well as the Strategy for Prevention and Protection against Discrimination 2013</w:t>
      </w:r>
      <w:r w:rsidR="00EE5DF4">
        <w:rPr>
          <w:b/>
          <w:bCs/>
          <w:lang w:val="en-US"/>
        </w:rPr>
        <w:t>–</w:t>
      </w:r>
      <w:r w:rsidR="00540857" w:rsidRPr="00DC2DE1">
        <w:rPr>
          <w:b/>
          <w:bCs/>
        </w:rPr>
        <w:t>2018, in order to prevent and punish all acts of discrimination, taking due account of all prohibited grounds of discrimination as contai</w:t>
      </w:r>
      <w:r>
        <w:rPr>
          <w:b/>
          <w:bCs/>
        </w:rPr>
        <w:t>ned in article </w:t>
      </w:r>
      <w:r w:rsidR="00540857" w:rsidRPr="00DC2DE1">
        <w:rPr>
          <w:b/>
          <w:bCs/>
        </w:rPr>
        <w:t>2, paragraph</w:t>
      </w:r>
      <w:r>
        <w:rPr>
          <w:b/>
          <w:bCs/>
        </w:rPr>
        <w:t> </w:t>
      </w:r>
      <w:r w:rsidR="00540857" w:rsidRPr="00DC2DE1">
        <w:rPr>
          <w:b/>
          <w:bCs/>
        </w:rPr>
        <w:t>2, of the Covenant</w:t>
      </w:r>
      <w:r w:rsidR="00841075" w:rsidRPr="00DC2DE1">
        <w:rPr>
          <w:b/>
          <w:bCs/>
        </w:rPr>
        <w:t xml:space="preserve"> and elaborated in the </w:t>
      </w:r>
      <w:r>
        <w:rPr>
          <w:b/>
          <w:bCs/>
        </w:rPr>
        <w:t>Committee’s general comment No. </w:t>
      </w:r>
      <w:r w:rsidR="00841075" w:rsidRPr="00DC2DE1">
        <w:rPr>
          <w:b/>
          <w:bCs/>
        </w:rPr>
        <w:t>20</w:t>
      </w:r>
      <w:r w:rsidR="00CB4E04">
        <w:rPr>
          <w:b/>
          <w:bCs/>
          <w:lang w:val="en-US"/>
        </w:rPr>
        <w:t xml:space="preserve"> (2009)</w:t>
      </w:r>
      <w:r w:rsidR="00841075" w:rsidRPr="00DC2DE1">
        <w:rPr>
          <w:b/>
          <w:bCs/>
        </w:rPr>
        <w:t xml:space="preserve"> on non-discrimination in economic, social and cultural rights.</w:t>
      </w:r>
    </w:p>
    <w:p w:rsidR="00540857" w:rsidRPr="00752337" w:rsidRDefault="00155B29" w:rsidP="00967D5C">
      <w:pPr>
        <w:pStyle w:val="H23G"/>
      </w:pPr>
      <w:r>
        <w:tab/>
      </w:r>
      <w:r>
        <w:tab/>
      </w:r>
      <w:r w:rsidR="00540857" w:rsidRPr="00752337">
        <w:t>Roma</w:t>
      </w:r>
    </w:p>
    <w:p w:rsidR="00540857" w:rsidRPr="006B7EF8" w:rsidRDefault="008B3028" w:rsidP="008B3028">
      <w:pPr>
        <w:pStyle w:val="SingleTxtG"/>
        <w:rPr>
          <w:bCs/>
        </w:rPr>
      </w:pPr>
      <w:r w:rsidRPr="006B7EF8">
        <w:rPr>
          <w:bCs/>
        </w:rPr>
        <w:t>12.</w:t>
      </w:r>
      <w:r w:rsidRPr="006B7EF8">
        <w:rPr>
          <w:bCs/>
        </w:rPr>
        <w:tab/>
      </w:r>
      <w:r w:rsidR="00540857">
        <w:rPr>
          <w:bCs/>
        </w:rPr>
        <w:t xml:space="preserve">The </w:t>
      </w:r>
      <w:r w:rsidR="00540857" w:rsidRPr="00A121CA">
        <w:rPr>
          <w:bCs/>
        </w:rPr>
        <w:t xml:space="preserve">Committee </w:t>
      </w:r>
      <w:r w:rsidR="00540857">
        <w:rPr>
          <w:bCs/>
        </w:rPr>
        <w:t>is concerned about the p</w:t>
      </w:r>
      <w:r w:rsidR="00841075">
        <w:rPr>
          <w:bCs/>
          <w:lang w:val="en-GB"/>
        </w:rPr>
        <w:t>revailing</w:t>
      </w:r>
      <w:r w:rsidR="00540857">
        <w:rPr>
          <w:bCs/>
        </w:rPr>
        <w:t xml:space="preserve"> discrimination against Roma as evidenced, inter alia, by disproportionately high unemployment, limited access to social security, </w:t>
      </w:r>
      <w:r w:rsidR="00540857" w:rsidRPr="002309C1">
        <w:rPr>
          <w:bCs/>
        </w:rPr>
        <w:t>accommodation in informal settlements</w:t>
      </w:r>
      <w:r w:rsidR="00540857">
        <w:rPr>
          <w:bCs/>
        </w:rPr>
        <w:t xml:space="preserve">, </w:t>
      </w:r>
      <w:r w:rsidR="00CB4E04">
        <w:rPr>
          <w:bCs/>
          <w:lang w:val="en-US"/>
        </w:rPr>
        <w:t xml:space="preserve">and </w:t>
      </w:r>
      <w:r w:rsidR="00540857">
        <w:rPr>
          <w:bCs/>
        </w:rPr>
        <w:t xml:space="preserve">inadequate health </w:t>
      </w:r>
      <w:r w:rsidR="00AA3717">
        <w:rPr>
          <w:bCs/>
          <w:lang w:val="en-GB"/>
        </w:rPr>
        <w:t xml:space="preserve">care </w:t>
      </w:r>
      <w:r w:rsidR="00540857">
        <w:rPr>
          <w:bCs/>
        </w:rPr>
        <w:t>and education.</w:t>
      </w:r>
      <w:r w:rsidR="00A361C3">
        <w:rPr>
          <w:bCs/>
          <w:lang w:val="en-GB"/>
        </w:rPr>
        <w:t xml:space="preserve"> The </w:t>
      </w:r>
      <w:r w:rsidR="00540857">
        <w:rPr>
          <w:bCs/>
        </w:rPr>
        <w:t xml:space="preserve">Committee </w:t>
      </w:r>
      <w:r w:rsidR="00841075">
        <w:rPr>
          <w:bCs/>
          <w:lang w:val="en-GB"/>
        </w:rPr>
        <w:t>therefore regrets</w:t>
      </w:r>
      <w:r w:rsidR="00540857">
        <w:rPr>
          <w:bCs/>
        </w:rPr>
        <w:t xml:space="preserve"> the shortcomings </w:t>
      </w:r>
      <w:r w:rsidR="00540857" w:rsidRPr="00A121CA">
        <w:rPr>
          <w:bCs/>
        </w:rPr>
        <w:t xml:space="preserve">in </w:t>
      </w:r>
      <w:r w:rsidR="00540857">
        <w:rPr>
          <w:bCs/>
        </w:rPr>
        <w:t>the implementation of the Strategy for Improvement of the Status of Roma 2012</w:t>
      </w:r>
      <w:r w:rsidR="00CB4E04">
        <w:rPr>
          <w:bCs/>
          <w:lang w:val="en-US"/>
        </w:rPr>
        <w:t>–</w:t>
      </w:r>
      <w:r w:rsidR="00540857">
        <w:rPr>
          <w:bCs/>
        </w:rPr>
        <w:t xml:space="preserve">2014, </w:t>
      </w:r>
      <w:r w:rsidR="00540857" w:rsidRPr="00A121CA">
        <w:rPr>
          <w:bCs/>
        </w:rPr>
        <w:t xml:space="preserve">as conceded by the State party, and the </w:t>
      </w:r>
      <w:r w:rsidR="002443EA">
        <w:rPr>
          <w:bCs/>
          <w:lang w:val="en-GB"/>
        </w:rPr>
        <w:t>insufficient implementation</w:t>
      </w:r>
      <w:r w:rsidR="00540857" w:rsidRPr="00A121CA">
        <w:rPr>
          <w:bCs/>
        </w:rPr>
        <w:t xml:space="preserve"> </w:t>
      </w:r>
      <w:r w:rsidR="002443EA">
        <w:rPr>
          <w:bCs/>
          <w:lang w:val="en-GB"/>
        </w:rPr>
        <w:t xml:space="preserve">of </w:t>
      </w:r>
      <w:r w:rsidR="00540857" w:rsidRPr="00A121CA">
        <w:rPr>
          <w:bCs/>
        </w:rPr>
        <w:t>the nationally agreed priorities regarding Roma at the local level</w:t>
      </w:r>
      <w:r w:rsidR="00540857">
        <w:rPr>
          <w:bCs/>
        </w:rPr>
        <w:t xml:space="preserve"> </w:t>
      </w:r>
      <w:r w:rsidR="00636FBF">
        <w:rPr>
          <w:bCs/>
        </w:rPr>
        <w:t>(art</w:t>
      </w:r>
      <w:r w:rsidR="00DC2DE1">
        <w:rPr>
          <w:bCs/>
        </w:rPr>
        <w:t>. </w:t>
      </w:r>
      <w:r w:rsidR="00155B29">
        <w:rPr>
          <w:bCs/>
        </w:rPr>
        <w:t>2)</w:t>
      </w:r>
      <w:r w:rsidR="006A133C" w:rsidRPr="00567BC6">
        <w:rPr>
          <w:bCs/>
          <w:lang w:val="en-US"/>
        </w:rPr>
        <w:t>.</w:t>
      </w:r>
    </w:p>
    <w:p w:rsidR="00CE6C9B" w:rsidRPr="00A300F8" w:rsidRDefault="00540857" w:rsidP="00A300F8">
      <w:pPr>
        <w:spacing w:after="120"/>
        <w:ind w:left="1134" w:right="1134"/>
        <w:jc w:val="both"/>
        <w:rPr>
          <w:b/>
          <w:bCs/>
        </w:rPr>
      </w:pPr>
      <w:r w:rsidRPr="00AC343E">
        <w:rPr>
          <w:b/>
          <w:bCs/>
        </w:rPr>
        <w:t>The Committee urges the State party to</w:t>
      </w:r>
      <w:r>
        <w:rPr>
          <w:b/>
          <w:bCs/>
        </w:rPr>
        <w:t xml:space="preserve"> take </w:t>
      </w:r>
      <w:r w:rsidRPr="00416F09">
        <w:rPr>
          <w:b/>
          <w:bCs/>
        </w:rPr>
        <w:t xml:space="preserve">further measures </w:t>
      </w:r>
      <w:r w:rsidR="00CF1A1A">
        <w:rPr>
          <w:b/>
          <w:bCs/>
        </w:rPr>
        <w:t>in order</w:t>
      </w:r>
      <w:r>
        <w:rPr>
          <w:b/>
          <w:bCs/>
        </w:rPr>
        <w:t xml:space="preserve"> to </w:t>
      </w:r>
      <w:r w:rsidRPr="00416F09">
        <w:rPr>
          <w:b/>
          <w:bCs/>
        </w:rPr>
        <w:t>overcom</w:t>
      </w:r>
      <w:r w:rsidR="00CF1A1A">
        <w:rPr>
          <w:b/>
          <w:bCs/>
        </w:rPr>
        <w:t>e</w:t>
      </w:r>
      <w:r>
        <w:rPr>
          <w:b/>
          <w:bCs/>
        </w:rPr>
        <w:t xml:space="preserve"> the </w:t>
      </w:r>
      <w:r w:rsidRPr="00416F09">
        <w:rPr>
          <w:b/>
          <w:bCs/>
        </w:rPr>
        <w:t xml:space="preserve">prevailing discrimination </w:t>
      </w:r>
      <w:r>
        <w:rPr>
          <w:b/>
          <w:bCs/>
        </w:rPr>
        <w:t xml:space="preserve">against </w:t>
      </w:r>
      <w:r w:rsidRPr="00416F09">
        <w:rPr>
          <w:b/>
          <w:bCs/>
        </w:rPr>
        <w:t>Roma in the enjoyment of economic, social and cultural rights</w:t>
      </w:r>
      <w:r>
        <w:rPr>
          <w:b/>
          <w:bCs/>
        </w:rPr>
        <w:t xml:space="preserve">, including the revision of the </w:t>
      </w:r>
      <w:r w:rsidRPr="008753CB">
        <w:rPr>
          <w:b/>
          <w:bCs/>
        </w:rPr>
        <w:t>Strategy for Improvement of the Status of Roma</w:t>
      </w:r>
      <w:r w:rsidR="00CF1A1A">
        <w:rPr>
          <w:b/>
          <w:bCs/>
        </w:rPr>
        <w:t xml:space="preserve">, by </w:t>
      </w:r>
      <w:r>
        <w:rPr>
          <w:b/>
          <w:bCs/>
        </w:rPr>
        <w:t>better reflect</w:t>
      </w:r>
      <w:r w:rsidR="00CF1A1A">
        <w:rPr>
          <w:b/>
          <w:bCs/>
        </w:rPr>
        <w:t>ing</w:t>
      </w:r>
      <w:r>
        <w:rPr>
          <w:b/>
          <w:bCs/>
        </w:rPr>
        <w:t xml:space="preserve"> the </w:t>
      </w:r>
      <w:r w:rsidR="00505B6F">
        <w:rPr>
          <w:b/>
          <w:bCs/>
        </w:rPr>
        <w:t>specific situation</w:t>
      </w:r>
      <w:r>
        <w:rPr>
          <w:b/>
          <w:bCs/>
        </w:rPr>
        <w:t xml:space="preserve"> </w:t>
      </w:r>
      <w:r w:rsidR="001D04D5">
        <w:rPr>
          <w:b/>
          <w:bCs/>
        </w:rPr>
        <w:t xml:space="preserve">of Roma </w:t>
      </w:r>
      <w:r w:rsidRPr="00416F09">
        <w:rPr>
          <w:b/>
          <w:bCs/>
        </w:rPr>
        <w:t>and ensur</w:t>
      </w:r>
      <w:r w:rsidR="00CF1A1A">
        <w:rPr>
          <w:b/>
          <w:bCs/>
        </w:rPr>
        <w:t>ing</w:t>
      </w:r>
      <w:r w:rsidRPr="00416F09">
        <w:rPr>
          <w:b/>
          <w:bCs/>
        </w:rPr>
        <w:t xml:space="preserve"> that the nationally agreed priorities on Roma are duly communicated to the local authorities to be effectively implemented</w:t>
      </w:r>
      <w:r>
        <w:rPr>
          <w:b/>
          <w:bCs/>
        </w:rPr>
        <w:t>.</w:t>
      </w:r>
    </w:p>
    <w:p w:rsidR="00540857" w:rsidRDefault="00155B29" w:rsidP="00967D5C">
      <w:pPr>
        <w:pStyle w:val="H23G"/>
      </w:pPr>
      <w:r>
        <w:tab/>
      </w:r>
      <w:r>
        <w:tab/>
      </w:r>
      <w:r w:rsidR="00540857" w:rsidRPr="009F7896">
        <w:t xml:space="preserve">Personal </w:t>
      </w:r>
      <w:r w:rsidR="00456049" w:rsidRPr="009F7896">
        <w:t>documen</w:t>
      </w:r>
      <w:r w:rsidR="00456049">
        <w:t>tation</w:t>
      </w:r>
      <w:r w:rsidR="00540857">
        <w:t xml:space="preserve"> </w:t>
      </w:r>
    </w:p>
    <w:p w:rsidR="00540857" w:rsidRDefault="008B3028" w:rsidP="008B3028">
      <w:pPr>
        <w:pStyle w:val="SingleTxtG"/>
      </w:pPr>
      <w:r>
        <w:t>13.</w:t>
      </w:r>
      <w:r>
        <w:tab/>
      </w:r>
      <w:r w:rsidR="00540857">
        <w:t xml:space="preserve">While noting the </w:t>
      </w:r>
      <w:r w:rsidR="00622991">
        <w:rPr>
          <w:lang w:val="en-GB"/>
        </w:rPr>
        <w:t xml:space="preserve">recent </w:t>
      </w:r>
      <w:r w:rsidR="00540857">
        <w:t xml:space="preserve">amendments to </w:t>
      </w:r>
      <w:r w:rsidR="00622991">
        <w:rPr>
          <w:lang w:val="en-GB"/>
        </w:rPr>
        <w:t>facilitate birth and residence registration,</w:t>
      </w:r>
      <w:r w:rsidR="00540857">
        <w:t xml:space="preserve"> the Committee is concerned that a number of refugees, returnees and internally displaced persons remain without personal identity documents, </w:t>
      </w:r>
      <w:r w:rsidR="00577FB5">
        <w:rPr>
          <w:lang w:val="en-US"/>
        </w:rPr>
        <w:t>which</w:t>
      </w:r>
      <w:r w:rsidR="00577FB5">
        <w:t xml:space="preserve"> </w:t>
      </w:r>
      <w:r w:rsidR="00540857">
        <w:t>limit</w:t>
      </w:r>
      <w:r w:rsidR="00577FB5">
        <w:rPr>
          <w:lang w:val="en-US"/>
        </w:rPr>
        <w:t>s</w:t>
      </w:r>
      <w:r w:rsidR="00540857">
        <w:t xml:space="preserve"> their enjoyment of economic, social and cultural rights</w:t>
      </w:r>
      <w:r w:rsidR="0080674E">
        <w:rPr>
          <w:lang w:val="en-GB"/>
        </w:rPr>
        <w:t xml:space="preserve">. The Committee is also concerned </w:t>
      </w:r>
      <w:r w:rsidR="00540857">
        <w:t xml:space="preserve">that many internally displaced Roma living in informal settlements without a </w:t>
      </w:r>
      <w:r w:rsidR="00E3341B">
        <w:rPr>
          <w:lang w:val="en-GB"/>
        </w:rPr>
        <w:t xml:space="preserve">registered </w:t>
      </w:r>
      <w:r w:rsidR="00540857">
        <w:t xml:space="preserve">residence did not have </w:t>
      </w:r>
      <w:r w:rsidR="00540857" w:rsidRPr="00C5021C">
        <w:t>their permanent address re-registered</w:t>
      </w:r>
      <w:r w:rsidR="008F61FC">
        <w:t xml:space="preserve"> from their last place of permanent residence</w:t>
      </w:r>
      <w:r w:rsidR="00540857">
        <w:t xml:space="preserve"> </w:t>
      </w:r>
      <w:r w:rsidR="00DC2DE1">
        <w:t>(arts. 2, 9, 11, 12, 13 and </w:t>
      </w:r>
      <w:r w:rsidR="00155B29">
        <w:t>14)</w:t>
      </w:r>
      <w:r w:rsidR="006A133C">
        <w:rPr>
          <w:lang w:val="fr-CH"/>
        </w:rPr>
        <w:t>.</w:t>
      </w:r>
    </w:p>
    <w:p w:rsidR="00A361C3" w:rsidRDefault="00540857" w:rsidP="00540857">
      <w:pPr>
        <w:pStyle w:val="SingleTxtG"/>
        <w:rPr>
          <w:b/>
          <w:lang w:val="en-GB"/>
        </w:rPr>
      </w:pPr>
      <w:r>
        <w:rPr>
          <w:b/>
        </w:rPr>
        <w:t xml:space="preserve">The Committee recommends that </w:t>
      </w:r>
      <w:r w:rsidRPr="006B7EF8">
        <w:rPr>
          <w:b/>
        </w:rPr>
        <w:t xml:space="preserve">the State party </w:t>
      </w:r>
      <w:r>
        <w:rPr>
          <w:b/>
        </w:rPr>
        <w:t xml:space="preserve">ensure effective </w:t>
      </w:r>
      <w:r w:rsidRPr="006B7EF8">
        <w:rPr>
          <w:b/>
        </w:rPr>
        <w:t xml:space="preserve">access </w:t>
      </w:r>
      <w:r w:rsidR="00604B4E">
        <w:rPr>
          <w:b/>
          <w:lang w:val="en-US"/>
        </w:rPr>
        <w:t>by</w:t>
      </w:r>
      <w:r w:rsidRPr="006B7EF8">
        <w:rPr>
          <w:b/>
        </w:rPr>
        <w:t xml:space="preserve"> </w:t>
      </w:r>
      <w:r w:rsidRPr="003A5CCC">
        <w:rPr>
          <w:b/>
        </w:rPr>
        <w:t>refugees, returnees and internally displaced persons</w:t>
      </w:r>
      <w:r>
        <w:rPr>
          <w:b/>
        </w:rPr>
        <w:t xml:space="preserve">, </w:t>
      </w:r>
      <w:r w:rsidRPr="009C112B">
        <w:rPr>
          <w:b/>
        </w:rPr>
        <w:t xml:space="preserve">in particular Roma without </w:t>
      </w:r>
      <w:r w:rsidR="00604B4E">
        <w:rPr>
          <w:b/>
          <w:lang w:val="en-US"/>
        </w:rPr>
        <w:t xml:space="preserve">a </w:t>
      </w:r>
      <w:r w:rsidRPr="009C112B">
        <w:rPr>
          <w:b/>
        </w:rPr>
        <w:t>registered residence</w:t>
      </w:r>
      <w:r>
        <w:rPr>
          <w:b/>
        </w:rPr>
        <w:t xml:space="preserve"> who live in informal settlement</w:t>
      </w:r>
      <w:r w:rsidR="00CF359E" w:rsidRPr="0080674E">
        <w:rPr>
          <w:b/>
          <w:lang w:val="en-US"/>
        </w:rPr>
        <w:t>s</w:t>
      </w:r>
      <w:r w:rsidRPr="009C112B">
        <w:rPr>
          <w:b/>
        </w:rPr>
        <w:t xml:space="preserve">, </w:t>
      </w:r>
      <w:r w:rsidRPr="006B7EF8">
        <w:rPr>
          <w:b/>
        </w:rPr>
        <w:t xml:space="preserve">to procedures </w:t>
      </w:r>
      <w:r>
        <w:rPr>
          <w:b/>
        </w:rPr>
        <w:t>for</w:t>
      </w:r>
      <w:r w:rsidRPr="006B7EF8">
        <w:rPr>
          <w:b/>
        </w:rPr>
        <w:t xml:space="preserve"> birth </w:t>
      </w:r>
      <w:r>
        <w:rPr>
          <w:b/>
        </w:rPr>
        <w:t xml:space="preserve">and residence </w:t>
      </w:r>
      <w:r w:rsidRPr="006B7EF8">
        <w:rPr>
          <w:b/>
        </w:rPr>
        <w:t xml:space="preserve">registration </w:t>
      </w:r>
      <w:r>
        <w:rPr>
          <w:b/>
        </w:rPr>
        <w:t xml:space="preserve">in order to facilitate access to </w:t>
      </w:r>
      <w:r w:rsidRPr="009E7D07">
        <w:rPr>
          <w:b/>
        </w:rPr>
        <w:t>personal documents, including birth certificates, identity cards and work booklets</w:t>
      </w:r>
      <w:r>
        <w:rPr>
          <w:b/>
        </w:rPr>
        <w:t xml:space="preserve">. </w:t>
      </w:r>
      <w:r w:rsidR="00F73FE0">
        <w:rPr>
          <w:b/>
          <w:lang w:val="en-GB"/>
        </w:rPr>
        <w:t xml:space="preserve">In the meantime, those affected should have access to economic, social and cultural rights. </w:t>
      </w:r>
    </w:p>
    <w:p w:rsidR="00540857" w:rsidRPr="00C710A5" w:rsidRDefault="00155B29" w:rsidP="00967D5C">
      <w:pPr>
        <w:pStyle w:val="H23G"/>
      </w:pPr>
      <w:r>
        <w:tab/>
      </w:r>
      <w:r>
        <w:tab/>
      </w:r>
      <w:r w:rsidR="00540857" w:rsidRPr="00C10CE2">
        <w:t>Asylum</w:t>
      </w:r>
      <w:r w:rsidR="00967D5C">
        <w:t xml:space="preserve"> </w:t>
      </w:r>
      <w:r w:rsidR="00540857" w:rsidRPr="00C10CE2">
        <w:t>seekers</w:t>
      </w:r>
      <w:r w:rsidR="0080674E">
        <w:t xml:space="preserve">, </w:t>
      </w:r>
      <w:r w:rsidR="00540857" w:rsidRPr="00C10CE2">
        <w:t>refugees</w:t>
      </w:r>
      <w:r w:rsidR="0080674E">
        <w:t xml:space="preserve"> and internally displaced persons</w:t>
      </w:r>
    </w:p>
    <w:p w:rsidR="00540857" w:rsidRDefault="008B3028" w:rsidP="008B3028">
      <w:pPr>
        <w:pStyle w:val="SingleTxtG"/>
      </w:pPr>
      <w:r>
        <w:t>14.</w:t>
      </w:r>
      <w:r>
        <w:tab/>
      </w:r>
      <w:r w:rsidR="00540857" w:rsidRPr="00423864">
        <w:t>While</w:t>
      </w:r>
      <w:r w:rsidR="00540857">
        <w:t xml:space="preserve"> noting </w:t>
      </w:r>
      <w:r w:rsidR="00540857" w:rsidRPr="00423864">
        <w:t>the f</w:t>
      </w:r>
      <w:r w:rsidR="00540857">
        <w:t xml:space="preserve">unctioning of the Asylum Office, the Committee is concerned at the lack of a fair and efficient asylum procedure, as only a very few asylum seekers in Serbia have been recognized as refugees </w:t>
      </w:r>
      <w:r w:rsidR="00661612">
        <w:rPr>
          <w:lang w:val="en-US"/>
        </w:rPr>
        <w:t xml:space="preserve">even </w:t>
      </w:r>
      <w:r w:rsidR="00540857">
        <w:t xml:space="preserve">though the majority of them come from refugee producing countries. Noting further the functioning of the </w:t>
      </w:r>
      <w:r w:rsidR="00540857" w:rsidRPr="00475BD9">
        <w:t xml:space="preserve">Serbian Commissioner for Refugees and Migration, </w:t>
      </w:r>
      <w:r w:rsidR="00540857">
        <w:t>t</w:t>
      </w:r>
      <w:r w:rsidR="00540857" w:rsidRPr="00276051">
        <w:t xml:space="preserve">he Committee </w:t>
      </w:r>
      <w:r w:rsidR="00CF359E" w:rsidRPr="0080674E">
        <w:rPr>
          <w:lang w:val="en-US"/>
        </w:rPr>
        <w:t xml:space="preserve">is </w:t>
      </w:r>
      <w:r w:rsidR="00540857" w:rsidRPr="00276051">
        <w:t>concern</w:t>
      </w:r>
      <w:r w:rsidR="00CF359E" w:rsidRPr="0080674E">
        <w:rPr>
          <w:lang w:val="en-US"/>
        </w:rPr>
        <w:t>ed</w:t>
      </w:r>
      <w:r w:rsidR="00540857">
        <w:t xml:space="preserve"> that refugees and internally displaced persons do not have access to comprehensive integration program</w:t>
      </w:r>
      <w:r w:rsidR="00661612">
        <w:rPr>
          <w:lang w:val="en-US"/>
        </w:rPr>
        <w:t>me</w:t>
      </w:r>
      <w:r w:rsidR="00540857">
        <w:t xml:space="preserve">s. The Committee </w:t>
      </w:r>
      <w:r w:rsidR="0080674E">
        <w:rPr>
          <w:lang w:val="en-GB"/>
        </w:rPr>
        <w:t xml:space="preserve">is </w:t>
      </w:r>
      <w:r w:rsidR="00540857">
        <w:t>also concern</w:t>
      </w:r>
      <w:r w:rsidR="0080674E">
        <w:rPr>
          <w:lang w:val="en-GB"/>
        </w:rPr>
        <w:t>ed</w:t>
      </w:r>
      <w:r w:rsidR="00540857">
        <w:t xml:space="preserve"> </w:t>
      </w:r>
      <w:r w:rsidR="0080674E">
        <w:rPr>
          <w:lang w:val="en-GB"/>
        </w:rPr>
        <w:t xml:space="preserve">at </w:t>
      </w:r>
      <w:r w:rsidR="00540857">
        <w:t>the limited capacities of social welfare services in places where asylum centres are located and the insufficient reception capac</w:t>
      </w:r>
      <w:r w:rsidR="00DC2DE1">
        <w:t>ities for asylum seekers (arts. 2, 9 and </w:t>
      </w:r>
      <w:r w:rsidR="00155B29">
        <w:t>11)</w:t>
      </w:r>
      <w:r w:rsidR="006A133C" w:rsidRPr="00567BC6">
        <w:rPr>
          <w:lang w:val="en-US"/>
        </w:rPr>
        <w:t>.</w:t>
      </w:r>
    </w:p>
    <w:p w:rsidR="00540857" w:rsidRDefault="00540857" w:rsidP="00540857">
      <w:pPr>
        <w:pStyle w:val="SingleTxtG"/>
        <w:rPr>
          <w:b/>
        </w:rPr>
      </w:pPr>
      <w:r w:rsidRPr="00C34998">
        <w:rPr>
          <w:b/>
        </w:rPr>
        <w:t>The Committee recommends that the State party</w:t>
      </w:r>
      <w:r>
        <w:rPr>
          <w:b/>
        </w:rPr>
        <w:t xml:space="preserve">: </w:t>
      </w:r>
    </w:p>
    <w:p w:rsidR="00540857" w:rsidRPr="00DC2DE1" w:rsidRDefault="00DC2DE1" w:rsidP="00DC2DE1">
      <w:pPr>
        <w:pStyle w:val="SingleTxtG"/>
        <w:rPr>
          <w:b/>
          <w:bCs/>
        </w:rPr>
      </w:pPr>
      <w:r>
        <w:rPr>
          <w:b/>
          <w:bCs/>
        </w:rPr>
        <w:tab/>
        <w:t>(a)</w:t>
      </w:r>
      <w:r>
        <w:rPr>
          <w:b/>
          <w:bCs/>
        </w:rPr>
        <w:tab/>
      </w:r>
      <w:r w:rsidR="00540857" w:rsidRPr="00DC2DE1">
        <w:rPr>
          <w:b/>
          <w:bCs/>
        </w:rPr>
        <w:t xml:space="preserve">Enact necessary by-laws and adopt other measures, including training </w:t>
      </w:r>
      <w:r w:rsidR="00661612">
        <w:rPr>
          <w:b/>
          <w:bCs/>
          <w:lang w:val="en-US"/>
        </w:rPr>
        <w:t>for</w:t>
      </w:r>
      <w:r w:rsidR="00540857" w:rsidRPr="00DC2DE1">
        <w:rPr>
          <w:b/>
          <w:bCs/>
        </w:rPr>
        <w:t xml:space="preserve"> migration officers</w:t>
      </w:r>
      <w:r w:rsidR="00661612">
        <w:rPr>
          <w:b/>
          <w:bCs/>
          <w:lang w:val="en-US"/>
        </w:rPr>
        <w:t>,</w:t>
      </w:r>
      <w:r w:rsidR="00540857" w:rsidRPr="00DC2DE1">
        <w:rPr>
          <w:b/>
          <w:bCs/>
        </w:rPr>
        <w:t xml:space="preserve"> as well as safeguards </w:t>
      </w:r>
      <w:r w:rsidR="00661612">
        <w:rPr>
          <w:b/>
          <w:bCs/>
          <w:lang w:val="en-US"/>
        </w:rPr>
        <w:t>for the</w:t>
      </w:r>
      <w:r w:rsidR="00540857" w:rsidRPr="00DC2DE1">
        <w:rPr>
          <w:b/>
          <w:bCs/>
        </w:rPr>
        <w:t xml:space="preserve"> independence of the Asylum Office, to ensure the full implementation of the Law on Asylum of 200</w:t>
      </w:r>
      <w:r w:rsidR="006A7656">
        <w:rPr>
          <w:b/>
          <w:bCs/>
          <w:lang w:val="en-GB"/>
        </w:rPr>
        <w:t>7</w:t>
      </w:r>
      <w:r w:rsidR="00540857" w:rsidRPr="00DC2DE1">
        <w:rPr>
          <w:b/>
          <w:bCs/>
        </w:rPr>
        <w:t xml:space="preserve"> and to guarantee a fair and efficient asylum procedure, in particular</w:t>
      </w:r>
      <w:r w:rsidR="00520AA6" w:rsidRPr="00DC2DE1">
        <w:rPr>
          <w:b/>
          <w:bCs/>
        </w:rPr>
        <w:t xml:space="preserve"> </w:t>
      </w:r>
      <w:r w:rsidR="00540857" w:rsidRPr="00DC2DE1">
        <w:rPr>
          <w:b/>
          <w:bCs/>
        </w:rPr>
        <w:t xml:space="preserve">protection against </w:t>
      </w:r>
      <w:proofErr w:type="spellStart"/>
      <w:r w:rsidR="00540857" w:rsidRPr="00DC2DE1">
        <w:rPr>
          <w:b/>
          <w:bCs/>
        </w:rPr>
        <w:t>refoulement</w:t>
      </w:r>
      <w:proofErr w:type="spellEnd"/>
      <w:r w:rsidR="00155B29" w:rsidRPr="00DC2DE1">
        <w:rPr>
          <w:b/>
          <w:bCs/>
        </w:rPr>
        <w:t>;</w:t>
      </w:r>
    </w:p>
    <w:p w:rsidR="00540857" w:rsidRPr="00DC2DE1" w:rsidRDefault="00DC2DE1" w:rsidP="00DC2DE1">
      <w:pPr>
        <w:pStyle w:val="SingleTxtG"/>
        <w:rPr>
          <w:b/>
          <w:bCs/>
        </w:rPr>
      </w:pPr>
      <w:r>
        <w:rPr>
          <w:b/>
          <w:bCs/>
        </w:rPr>
        <w:tab/>
        <w:t>(b)</w:t>
      </w:r>
      <w:r>
        <w:rPr>
          <w:b/>
          <w:bCs/>
        </w:rPr>
        <w:tab/>
      </w:r>
      <w:r w:rsidR="00540857" w:rsidRPr="00DC2DE1">
        <w:rPr>
          <w:b/>
          <w:bCs/>
        </w:rPr>
        <w:t>Establish a functional local integration mechanism for refugees recognized under the Law on Asylum</w:t>
      </w:r>
      <w:r w:rsidR="00167A48" w:rsidRPr="00DC2DE1">
        <w:rPr>
          <w:b/>
          <w:bCs/>
        </w:rPr>
        <w:t>,</w:t>
      </w:r>
      <w:r w:rsidR="00540857" w:rsidRPr="00DC2DE1">
        <w:rPr>
          <w:b/>
          <w:bCs/>
        </w:rPr>
        <w:t xml:space="preserve"> as well as </w:t>
      </w:r>
      <w:r w:rsidR="000A0FCD">
        <w:rPr>
          <w:b/>
          <w:bCs/>
          <w:lang w:val="en-US"/>
        </w:rPr>
        <w:t xml:space="preserve">for </w:t>
      </w:r>
      <w:r w:rsidR="00540857" w:rsidRPr="00DC2DE1">
        <w:rPr>
          <w:b/>
          <w:bCs/>
        </w:rPr>
        <w:t>internally displaced persons</w:t>
      </w:r>
      <w:r w:rsidR="000A0FCD">
        <w:rPr>
          <w:b/>
          <w:bCs/>
          <w:lang w:val="en-US"/>
        </w:rPr>
        <w:t>,</w:t>
      </w:r>
      <w:r w:rsidR="00540857" w:rsidRPr="00DC2DE1">
        <w:rPr>
          <w:b/>
          <w:bCs/>
        </w:rPr>
        <w:t xml:space="preserve"> in areas such as education, social assistance, language and vocational trainings and housing, and adopt and implement in th</w:t>
      </w:r>
      <w:r w:rsidR="000A0FCD">
        <w:rPr>
          <w:b/>
          <w:bCs/>
          <w:lang w:val="en-US"/>
        </w:rPr>
        <w:t>at</w:t>
      </w:r>
      <w:r w:rsidR="00540857" w:rsidRPr="00DC2DE1">
        <w:rPr>
          <w:b/>
          <w:bCs/>
        </w:rPr>
        <w:t xml:space="preserve"> regard a </w:t>
      </w:r>
      <w:r w:rsidR="000A0FCD">
        <w:rPr>
          <w:b/>
          <w:bCs/>
          <w:lang w:val="en-US"/>
        </w:rPr>
        <w:t>n</w:t>
      </w:r>
      <w:proofErr w:type="spellStart"/>
      <w:r w:rsidR="00540857" w:rsidRPr="00DC2DE1">
        <w:rPr>
          <w:b/>
          <w:bCs/>
        </w:rPr>
        <w:t>ational</w:t>
      </w:r>
      <w:proofErr w:type="spellEnd"/>
      <w:r w:rsidR="00540857" w:rsidRPr="00DC2DE1">
        <w:rPr>
          <w:b/>
          <w:bCs/>
        </w:rPr>
        <w:t xml:space="preserve"> </w:t>
      </w:r>
      <w:r w:rsidR="000A0FCD">
        <w:rPr>
          <w:b/>
          <w:bCs/>
          <w:lang w:val="en-US"/>
        </w:rPr>
        <w:t>s</w:t>
      </w:r>
      <w:proofErr w:type="spellStart"/>
      <w:r w:rsidR="00540857" w:rsidRPr="00DC2DE1">
        <w:rPr>
          <w:b/>
          <w:bCs/>
        </w:rPr>
        <w:t>trategy</w:t>
      </w:r>
      <w:proofErr w:type="spellEnd"/>
      <w:r w:rsidR="00540857" w:rsidRPr="00DC2DE1">
        <w:rPr>
          <w:b/>
          <w:bCs/>
        </w:rPr>
        <w:t xml:space="preserve"> for resolving problems of refugees and internally displaced persons beyond 2014, together with an </w:t>
      </w:r>
      <w:r w:rsidR="000A0FCD">
        <w:rPr>
          <w:b/>
          <w:bCs/>
          <w:lang w:val="en-US"/>
        </w:rPr>
        <w:t>a</w:t>
      </w:r>
      <w:proofErr w:type="spellStart"/>
      <w:r w:rsidR="00540857" w:rsidRPr="00DC2DE1">
        <w:rPr>
          <w:b/>
          <w:bCs/>
        </w:rPr>
        <w:t>ction</w:t>
      </w:r>
      <w:proofErr w:type="spellEnd"/>
      <w:r w:rsidR="00540857" w:rsidRPr="00DC2DE1">
        <w:rPr>
          <w:b/>
          <w:bCs/>
        </w:rPr>
        <w:t xml:space="preserve"> </w:t>
      </w:r>
      <w:r w:rsidR="000A0FCD">
        <w:rPr>
          <w:b/>
          <w:bCs/>
          <w:lang w:val="en-US"/>
        </w:rPr>
        <w:t>p</w:t>
      </w:r>
      <w:proofErr w:type="spellStart"/>
      <w:r w:rsidR="00540857" w:rsidRPr="00DC2DE1">
        <w:rPr>
          <w:b/>
          <w:bCs/>
        </w:rPr>
        <w:t>lan</w:t>
      </w:r>
      <w:proofErr w:type="spellEnd"/>
      <w:r w:rsidR="00540857" w:rsidRPr="00DC2DE1">
        <w:rPr>
          <w:b/>
          <w:bCs/>
        </w:rPr>
        <w:t xml:space="preserve"> which </w:t>
      </w:r>
      <w:r w:rsidR="006A7656">
        <w:rPr>
          <w:b/>
          <w:bCs/>
          <w:lang w:val="en-GB"/>
        </w:rPr>
        <w:t>should</w:t>
      </w:r>
      <w:r w:rsidR="00540857" w:rsidRPr="00DC2DE1">
        <w:rPr>
          <w:b/>
          <w:bCs/>
        </w:rPr>
        <w:t xml:space="preserve"> includ</w:t>
      </w:r>
      <w:r w:rsidR="006A133C" w:rsidRPr="00DC2DE1">
        <w:rPr>
          <w:b/>
          <w:bCs/>
        </w:rPr>
        <w:t>e clear time</w:t>
      </w:r>
      <w:r w:rsidR="000A0FCD">
        <w:rPr>
          <w:b/>
          <w:bCs/>
          <w:lang w:val="en-US"/>
        </w:rPr>
        <w:t xml:space="preserve"> </w:t>
      </w:r>
      <w:r w:rsidR="006A133C" w:rsidRPr="00DC2DE1">
        <w:rPr>
          <w:b/>
          <w:bCs/>
        </w:rPr>
        <w:t>frames</w:t>
      </w:r>
      <w:r w:rsidR="006A7656">
        <w:rPr>
          <w:b/>
          <w:bCs/>
          <w:lang w:val="en-GB"/>
        </w:rPr>
        <w:t>,</w:t>
      </w:r>
      <w:r w:rsidR="006A133C" w:rsidRPr="00DC2DE1">
        <w:rPr>
          <w:b/>
          <w:bCs/>
        </w:rPr>
        <w:t xml:space="preserve"> </w:t>
      </w:r>
      <w:r w:rsidR="006A7656">
        <w:rPr>
          <w:b/>
          <w:bCs/>
          <w:lang w:val="en-GB"/>
        </w:rPr>
        <w:t>as well as an adequate</w:t>
      </w:r>
      <w:r w:rsidR="006A133C" w:rsidRPr="00C5021C">
        <w:rPr>
          <w:b/>
          <w:bCs/>
        </w:rPr>
        <w:t xml:space="preserve"> budget</w:t>
      </w:r>
      <w:r w:rsidR="006A133C" w:rsidRPr="00DC2DE1">
        <w:rPr>
          <w:b/>
          <w:bCs/>
        </w:rPr>
        <w:t>;</w:t>
      </w:r>
    </w:p>
    <w:p w:rsidR="00540857" w:rsidRPr="00DC2DE1" w:rsidRDefault="00DC2DE1" w:rsidP="00DC2DE1">
      <w:pPr>
        <w:pStyle w:val="SingleTxtG"/>
        <w:rPr>
          <w:b/>
          <w:bCs/>
        </w:rPr>
      </w:pPr>
      <w:r>
        <w:rPr>
          <w:b/>
          <w:bCs/>
        </w:rPr>
        <w:tab/>
        <w:t>(c)</w:t>
      </w:r>
      <w:r>
        <w:rPr>
          <w:b/>
          <w:bCs/>
        </w:rPr>
        <w:tab/>
      </w:r>
      <w:r w:rsidR="00540857" w:rsidRPr="00DC2DE1">
        <w:rPr>
          <w:b/>
          <w:bCs/>
        </w:rPr>
        <w:t xml:space="preserve">Increase </w:t>
      </w:r>
      <w:r w:rsidR="000A0FCD">
        <w:rPr>
          <w:b/>
          <w:bCs/>
          <w:lang w:val="en-US"/>
        </w:rPr>
        <w:t xml:space="preserve">the </w:t>
      </w:r>
      <w:r w:rsidR="00540857" w:rsidRPr="00DC2DE1">
        <w:rPr>
          <w:b/>
          <w:bCs/>
        </w:rPr>
        <w:t>capacities of social welfare services in places where asylum centres are located, in order to better respond to the needs of asylum</w:t>
      </w:r>
      <w:r w:rsidR="000A0FCD">
        <w:rPr>
          <w:b/>
          <w:bCs/>
          <w:lang w:val="en-US"/>
        </w:rPr>
        <w:t xml:space="preserve"> </w:t>
      </w:r>
      <w:r w:rsidR="00540857" w:rsidRPr="00DC2DE1">
        <w:rPr>
          <w:b/>
          <w:bCs/>
        </w:rPr>
        <w:t>s</w:t>
      </w:r>
      <w:r>
        <w:rPr>
          <w:b/>
          <w:bCs/>
        </w:rPr>
        <w:t>eekers and recognized refugees;</w:t>
      </w:r>
    </w:p>
    <w:p w:rsidR="003B035C" w:rsidRPr="00DC2DE1" w:rsidRDefault="00DC2DE1" w:rsidP="00DC2DE1">
      <w:pPr>
        <w:pStyle w:val="SingleTxtG"/>
        <w:rPr>
          <w:b/>
          <w:bCs/>
        </w:rPr>
      </w:pPr>
      <w:r>
        <w:rPr>
          <w:b/>
          <w:bCs/>
        </w:rPr>
        <w:tab/>
        <w:t>(d)</w:t>
      </w:r>
      <w:r>
        <w:rPr>
          <w:b/>
          <w:bCs/>
        </w:rPr>
        <w:tab/>
      </w:r>
      <w:r w:rsidR="00540857" w:rsidRPr="00DC2DE1">
        <w:rPr>
          <w:b/>
          <w:bCs/>
        </w:rPr>
        <w:t>Improve the existing reception capacities for asylum</w:t>
      </w:r>
      <w:r w:rsidR="000A0FCD">
        <w:rPr>
          <w:b/>
          <w:bCs/>
          <w:lang w:val="en-US"/>
        </w:rPr>
        <w:t xml:space="preserve"> </w:t>
      </w:r>
      <w:r w:rsidR="00540857" w:rsidRPr="00DC2DE1">
        <w:rPr>
          <w:b/>
          <w:bCs/>
        </w:rPr>
        <w:t>seekers in order to be able to respond to fluctuations in the number of asylum application</w:t>
      </w:r>
      <w:r w:rsidR="00167A48" w:rsidRPr="00DC2DE1">
        <w:rPr>
          <w:b/>
          <w:bCs/>
        </w:rPr>
        <w:t>s</w:t>
      </w:r>
      <w:r w:rsidR="00540857" w:rsidRPr="00DC2DE1">
        <w:rPr>
          <w:b/>
          <w:bCs/>
        </w:rPr>
        <w:t xml:space="preserve"> and the actual length</w:t>
      </w:r>
      <w:r>
        <w:rPr>
          <w:b/>
          <w:bCs/>
        </w:rPr>
        <w:t xml:space="preserve"> of </w:t>
      </w:r>
      <w:r w:rsidR="00C5021C">
        <w:rPr>
          <w:b/>
          <w:bCs/>
        </w:rPr>
        <w:t xml:space="preserve">the </w:t>
      </w:r>
      <w:r w:rsidRPr="00C5021C">
        <w:rPr>
          <w:b/>
          <w:bCs/>
        </w:rPr>
        <w:t>asylum procedure</w:t>
      </w:r>
      <w:r>
        <w:rPr>
          <w:b/>
          <w:bCs/>
        </w:rPr>
        <w:t>.</w:t>
      </w:r>
    </w:p>
    <w:p w:rsidR="00540857" w:rsidRPr="00B321DF" w:rsidRDefault="00155B29" w:rsidP="00967D5C">
      <w:pPr>
        <w:pStyle w:val="H23G"/>
      </w:pPr>
      <w:r>
        <w:tab/>
      </w:r>
      <w:r>
        <w:tab/>
      </w:r>
      <w:r w:rsidR="00540857" w:rsidRPr="00B321DF">
        <w:t>National machinery for gender equality</w:t>
      </w:r>
    </w:p>
    <w:p w:rsidR="00540857" w:rsidRDefault="008B3028" w:rsidP="008B3028">
      <w:pPr>
        <w:pStyle w:val="SingleTxtG"/>
      </w:pPr>
      <w:r>
        <w:t>15.</w:t>
      </w:r>
      <w:r>
        <w:tab/>
      </w:r>
      <w:r w:rsidR="00540857">
        <w:t xml:space="preserve">The Committee is concerned about the </w:t>
      </w:r>
      <w:r w:rsidR="00540857" w:rsidRPr="009D2E26">
        <w:t xml:space="preserve">limited </w:t>
      </w:r>
      <w:r w:rsidR="00540857">
        <w:t>effectiveness a</w:t>
      </w:r>
      <w:r w:rsidR="00C127BD">
        <w:rPr>
          <w:lang w:val="en-GB"/>
        </w:rPr>
        <w:t>nd the</w:t>
      </w:r>
      <w:r w:rsidR="00540857">
        <w:t xml:space="preserve"> </w:t>
      </w:r>
      <w:r w:rsidR="00E3060E">
        <w:rPr>
          <w:lang w:val="en-GB"/>
        </w:rPr>
        <w:t xml:space="preserve">lack of sufficient </w:t>
      </w:r>
      <w:r w:rsidR="00540857" w:rsidRPr="009D2E26">
        <w:t xml:space="preserve">human and financial resources of the Gender Equality </w:t>
      </w:r>
      <w:r w:rsidR="00540857">
        <w:t xml:space="preserve">Directorate and </w:t>
      </w:r>
      <w:r w:rsidR="00540857" w:rsidRPr="009D2E26">
        <w:t xml:space="preserve">the Gender </w:t>
      </w:r>
      <w:r w:rsidR="00540857">
        <w:t>Equality Council</w:t>
      </w:r>
      <w:r w:rsidR="00C127BD">
        <w:rPr>
          <w:lang w:val="en-GB"/>
        </w:rPr>
        <w:t>,</w:t>
      </w:r>
      <w:r w:rsidR="00540857" w:rsidRPr="009D2E26">
        <w:t xml:space="preserve"> </w:t>
      </w:r>
      <w:r w:rsidR="007A3626">
        <w:rPr>
          <w:lang w:val="en-US"/>
        </w:rPr>
        <w:t>which has an impact on</w:t>
      </w:r>
      <w:r w:rsidR="007A3626">
        <w:t xml:space="preserve"> </w:t>
      </w:r>
      <w:r w:rsidR="00540857">
        <w:t xml:space="preserve">the implementation of the </w:t>
      </w:r>
      <w:r w:rsidR="000A7071">
        <w:t xml:space="preserve">Law on </w:t>
      </w:r>
      <w:r w:rsidR="00540857">
        <w:t xml:space="preserve">Gender Equality and the </w:t>
      </w:r>
      <w:r w:rsidR="007A3626">
        <w:rPr>
          <w:lang w:val="en-US"/>
        </w:rPr>
        <w:t xml:space="preserve">National </w:t>
      </w:r>
      <w:r w:rsidR="00540857">
        <w:t>Strategy for</w:t>
      </w:r>
      <w:r w:rsidR="007A3626">
        <w:rPr>
          <w:lang w:val="en-US"/>
        </w:rPr>
        <w:t xml:space="preserve"> the</w:t>
      </w:r>
      <w:r w:rsidR="00540857">
        <w:t xml:space="preserve"> Improv</w:t>
      </w:r>
      <w:r w:rsidR="007A3626">
        <w:rPr>
          <w:lang w:val="en-US"/>
        </w:rPr>
        <w:t>ement of</w:t>
      </w:r>
      <w:r w:rsidR="00540857">
        <w:t xml:space="preserve"> the </w:t>
      </w:r>
      <w:r w:rsidR="007A3626">
        <w:rPr>
          <w:lang w:val="en-US"/>
        </w:rPr>
        <w:t>Status</w:t>
      </w:r>
      <w:r w:rsidR="007A3626">
        <w:t xml:space="preserve"> </w:t>
      </w:r>
      <w:r w:rsidR="00540857">
        <w:t xml:space="preserve">of Women and </w:t>
      </w:r>
      <w:r w:rsidR="00A13D3F">
        <w:rPr>
          <w:lang w:val="en-US"/>
        </w:rPr>
        <w:t xml:space="preserve">the Advancement of </w:t>
      </w:r>
      <w:r w:rsidR="00540857">
        <w:t>Gender Equality</w:t>
      </w:r>
      <w:r w:rsidR="007A3626">
        <w:rPr>
          <w:lang w:val="en-US"/>
        </w:rPr>
        <w:t xml:space="preserve"> and </w:t>
      </w:r>
      <w:r w:rsidR="00A13D3F">
        <w:rPr>
          <w:lang w:val="en-US"/>
        </w:rPr>
        <w:t>its</w:t>
      </w:r>
      <w:r w:rsidR="007A3626">
        <w:rPr>
          <w:lang w:val="en-US"/>
        </w:rPr>
        <w:t xml:space="preserve"> Action Plan</w:t>
      </w:r>
      <w:r w:rsidR="00540857">
        <w:t>. The Committee is also concerned that the implementation of the</w:t>
      </w:r>
      <w:r w:rsidR="00A13D3F">
        <w:rPr>
          <w:lang w:val="en-US"/>
        </w:rPr>
        <w:t xml:space="preserve"> National</w:t>
      </w:r>
      <w:r w:rsidR="00540857">
        <w:t xml:space="preserve"> Strategy and Action Plan is not adequately monitored </w:t>
      </w:r>
      <w:r w:rsidR="00C118AB">
        <w:t>(art. </w:t>
      </w:r>
      <w:r w:rsidR="00155B29">
        <w:t>3)</w:t>
      </w:r>
      <w:r w:rsidR="006A133C" w:rsidRPr="00567BC6">
        <w:rPr>
          <w:lang w:val="en-US"/>
        </w:rPr>
        <w:t>.</w:t>
      </w:r>
    </w:p>
    <w:p w:rsidR="00540857" w:rsidRPr="00F846FD" w:rsidRDefault="00DC2DE1" w:rsidP="00540857">
      <w:pPr>
        <w:pStyle w:val="SingleTxtG"/>
        <w:rPr>
          <w:b/>
        </w:rPr>
      </w:pPr>
      <w:r>
        <w:rPr>
          <w:b/>
        </w:rPr>
        <w:t>The Committee recommends that:</w:t>
      </w:r>
    </w:p>
    <w:p w:rsidR="00540857" w:rsidRPr="00DC2DE1" w:rsidRDefault="00DC2DE1" w:rsidP="00DC2DE1">
      <w:pPr>
        <w:pStyle w:val="SingleTxtG"/>
        <w:rPr>
          <w:b/>
          <w:bCs/>
        </w:rPr>
      </w:pPr>
      <w:r>
        <w:rPr>
          <w:b/>
          <w:bCs/>
        </w:rPr>
        <w:tab/>
        <w:t>(a)</w:t>
      </w:r>
      <w:r>
        <w:rPr>
          <w:b/>
          <w:bCs/>
        </w:rPr>
        <w:tab/>
      </w:r>
      <w:r w:rsidR="00540857" w:rsidRPr="00DC2DE1">
        <w:rPr>
          <w:b/>
          <w:bCs/>
        </w:rPr>
        <w:t>The State party assess whether the gender equality mechanisms are adequate</w:t>
      </w:r>
      <w:r w:rsidR="00B62EB8">
        <w:rPr>
          <w:b/>
          <w:bCs/>
        </w:rPr>
        <w:t>,</w:t>
      </w:r>
      <w:r w:rsidR="00540857" w:rsidRPr="00DC2DE1">
        <w:rPr>
          <w:b/>
          <w:bCs/>
        </w:rPr>
        <w:t xml:space="preserve"> and provide the national machinery in the field of gender equality with the necessary human and financial resources to improve its eff</w:t>
      </w:r>
      <w:r>
        <w:rPr>
          <w:b/>
          <w:bCs/>
        </w:rPr>
        <w:t>ective and regular functioning;</w:t>
      </w:r>
    </w:p>
    <w:p w:rsidR="00540857" w:rsidRPr="00DC2DE1" w:rsidRDefault="00DC2DE1" w:rsidP="00DC2DE1">
      <w:pPr>
        <w:pStyle w:val="SingleTxtG"/>
        <w:rPr>
          <w:b/>
          <w:bCs/>
        </w:rPr>
      </w:pPr>
      <w:r>
        <w:rPr>
          <w:b/>
          <w:bCs/>
        </w:rPr>
        <w:tab/>
        <w:t>(b)</w:t>
      </w:r>
      <w:r>
        <w:rPr>
          <w:b/>
          <w:bCs/>
        </w:rPr>
        <w:tab/>
      </w:r>
      <w:r w:rsidR="00540857" w:rsidRPr="00DC2DE1">
        <w:rPr>
          <w:b/>
          <w:bCs/>
        </w:rPr>
        <w:t xml:space="preserve">The </w:t>
      </w:r>
      <w:r w:rsidR="001A67F1">
        <w:rPr>
          <w:b/>
          <w:bCs/>
          <w:lang w:val="en-US"/>
        </w:rPr>
        <w:t xml:space="preserve">National </w:t>
      </w:r>
      <w:r w:rsidR="00540857" w:rsidRPr="00DC2DE1">
        <w:rPr>
          <w:b/>
          <w:bCs/>
        </w:rPr>
        <w:t xml:space="preserve">Strategy for </w:t>
      </w:r>
      <w:r w:rsidR="001A67F1">
        <w:rPr>
          <w:b/>
          <w:bCs/>
          <w:lang w:val="en-US"/>
        </w:rPr>
        <w:t xml:space="preserve">the </w:t>
      </w:r>
      <w:r w:rsidR="00540857" w:rsidRPr="00DC2DE1">
        <w:rPr>
          <w:b/>
          <w:bCs/>
        </w:rPr>
        <w:t>Improv</w:t>
      </w:r>
      <w:r w:rsidR="001A67F1">
        <w:rPr>
          <w:b/>
          <w:bCs/>
          <w:lang w:val="en-US"/>
        </w:rPr>
        <w:t>ement of</w:t>
      </w:r>
      <w:r w:rsidR="00540857" w:rsidRPr="00DC2DE1">
        <w:rPr>
          <w:b/>
          <w:bCs/>
        </w:rPr>
        <w:t xml:space="preserve"> the </w:t>
      </w:r>
      <w:r w:rsidR="001A67F1">
        <w:rPr>
          <w:b/>
          <w:bCs/>
          <w:lang w:val="en-US"/>
        </w:rPr>
        <w:t>Status</w:t>
      </w:r>
      <w:r w:rsidR="001A67F1" w:rsidRPr="00DC2DE1">
        <w:rPr>
          <w:b/>
          <w:bCs/>
        </w:rPr>
        <w:t xml:space="preserve"> </w:t>
      </w:r>
      <w:r w:rsidR="00540857" w:rsidRPr="00DC2DE1">
        <w:rPr>
          <w:b/>
          <w:bCs/>
        </w:rPr>
        <w:t xml:space="preserve">of Women and </w:t>
      </w:r>
      <w:r w:rsidR="001A67F1">
        <w:rPr>
          <w:b/>
          <w:bCs/>
          <w:lang w:val="en-US"/>
        </w:rPr>
        <w:t xml:space="preserve">the Advancement of </w:t>
      </w:r>
      <w:r w:rsidR="00540857" w:rsidRPr="00DC2DE1">
        <w:rPr>
          <w:b/>
          <w:bCs/>
        </w:rPr>
        <w:t>Gender Equality</w:t>
      </w:r>
      <w:r w:rsidR="001A67F1">
        <w:rPr>
          <w:b/>
          <w:bCs/>
          <w:lang w:val="en-US"/>
        </w:rPr>
        <w:t xml:space="preserve"> and its Action Plan</w:t>
      </w:r>
      <w:r w:rsidR="00540857" w:rsidRPr="00DC2DE1">
        <w:rPr>
          <w:b/>
          <w:bCs/>
        </w:rPr>
        <w:t xml:space="preserve"> </w:t>
      </w:r>
      <w:r w:rsidR="00C127BD" w:rsidRPr="00DC2DE1">
        <w:rPr>
          <w:b/>
          <w:bCs/>
        </w:rPr>
        <w:t>be</w:t>
      </w:r>
      <w:r w:rsidR="00540857" w:rsidRPr="00DC2DE1">
        <w:rPr>
          <w:b/>
          <w:bCs/>
        </w:rPr>
        <w:t xml:space="preserve"> adequately monitored against </w:t>
      </w:r>
      <w:r w:rsidR="006A485E" w:rsidRPr="00DC2DE1">
        <w:rPr>
          <w:b/>
          <w:bCs/>
        </w:rPr>
        <w:t>a</w:t>
      </w:r>
      <w:r w:rsidR="00540857" w:rsidRPr="00DC2DE1">
        <w:rPr>
          <w:b/>
          <w:bCs/>
        </w:rPr>
        <w:t xml:space="preserve"> clear set of indicators</w:t>
      </w:r>
      <w:r w:rsidR="00155B29" w:rsidRPr="00DC2DE1">
        <w:rPr>
          <w:b/>
          <w:bCs/>
        </w:rPr>
        <w:t>.</w:t>
      </w:r>
    </w:p>
    <w:p w:rsidR="00540857" w:rsidRPr="00B321DF" w:rsidRDefault="00155B29" w:rsidP="00967D5C">
      <w:pPr>
        <w:pStyle w:val="H23G"/>
      </w:pPr>
      <w:r>
        <w:tab/>
      </w:r>
      <w:r>
        <w:tab/>
      </w:r>
      <w:r w:rsidR="00540857" w:rsidRPr="00B321DF">
        <w:t>Gender discrimination</w:t>
      </w:r>
    </w:p>
    <w:p w:rsidR="00C127BD" w:rsidRDefault="008B3028" w:rsidP="008B3028">
      <w:pPr>
        <w:pStyle w:val="SingleTxtG"/>
        <w:rPr>
          <w:lang w:val="en-GB"/>
        </w:rPr>
      </w:pPr>
      <w:r>
        <w:rPr>
          <w:lang w:val="en-GB"/>
        </w:rPr>
        <w:t>16.</w:t>
      </w:r>
      <w:r>
        <w:rPr>
          <w:lang w:val="en-GB"/>
        </w:rPr>
        <w:tab/>
      </w:r>
      <w:r w:rsidR="00540857">
        <w:t>The Committee is concerned about the low employment rate of women, the prevalence of gender discrimination in employmen</w:t>
      </w:r>
      <w:r w:rsidR="00C127BD">
        <w:rPr>
          <w:lang w:val="en-GB"/>
        </w:rPr>
        <w:t>t</w:t>
      </w:r>
      <w:r w:rsidR="00C127BD">
        <w:t xml:space="preserve"> </w:t>
      </w:r>
      <w:r w:rsidR="00C127BD" w:rsidRPr="00C127BD">
        <w:t>and</w:t>
      </w:r>
      <w:r w:rsidR="001A67F1">
        <w:rPr>
          <w:lang w:val="en-US"/>
        </w:rPr>
        <w:t>,</w:t>
      </w:r>
      <w:r w:rsidR="00C127BD" w:rsidRPr="00C127BD">
        <w:t xml:space="preserve"> in particular</w:t>
      </w:r>
      <w:r w:rsidR="001A67F1">
        <w:rPr>
          <w:lang w:val="en-US"/>
        </w:rPr>
        <w:t>,</w:t>
      </w:r>
      <w:r w:rsidR="00C127BD" w:rsidRPr="00C127BD">
        <w:t xml:space="preserve"> the disproportionately high unemployment </w:t>
      </w:r>
      <w:r w:rsidR="001A67F1">
        <w:rPr>
          <w:lang w:val="en-US"/>
        </w:rPr>
        <w:t xml:space="preserve">rate </w:t>
      </w:r>
      <w:r w:rsidR="00C127BD" w:rsidRPr="00C127BD">
        <w:t>of young, low-educated and older women. The Committee is also concerned about the underrepresentation of women in the national and local government bodies and public sec</w:t>
      </w:r>
      <w:r w:rsidR="00C118AB">
        <w:t>tor positions (arts. </w:t>
      </w:r>
      <w:r w:rsidR="00155B29">
        <w:t>3 and</w:t>
      </w:r>
      <w:r w:rsidR="00C118AB">
        <w:t> </w:t>
      </w:r>
      <w:r w:rsidR="00155B29">
        <w:t>6)</w:t>
      </w:r>
      <w:r w:rsidR="006A133C" w:rsidRPr="00567BC6">
        <w:rPr>
          <w:lang w:val="en-US"/>
        </w:rPr>
        <w:t>.</w:t>
      </w:r>
    </w:p>
    <w:p w:rsidR="00540857" w:rsidRDefault="00540857" w:rsidP="00540857">
      <w:pPr>
        <w:pStyle w:val="SingleTxtG"/>
        <w:rPr>
          <w:b/>
        </w:rPr>
      </w:pPr>
      <w:r>
        <w:rPr>
          <w:b/>
        </w:rPr>
        <w:t>T</w:t>
      </w:r>
      <w:r w:rsidRPr="006B7EF8">
        <w:rPr>
          <w:b/>
        </w:rPr>
        <w:t xml:space="preserve">he Committee </w:t>
      </w:r>
      <w:r>
        <w:rPr>
          <w:b/>
        </w:rPr>
        <w:t>urges the State party to:</w:t>
      </w:r>
    </w:p>
    <w:p w:rsidR="00540857" w:rsidRPr="00DC2DE1" w:rsidRDefault="00DC2DE1" w:rsidP="00DC2DE1">
      <w:pPr>
        <w:pStyle w:val="SingleTxtG"/>
        <w:rPr>
          <w:b/>
          <w:bCs/>
        </w:rPr>
      </w:pPr>
      <w:r>
        <w:rPr>
          <w:b/>
          <w:bCs/>
        </w:rPr>
        <w:tab/>
        <w:t>(a)</w:t>
      </w:r>
      <w:r>
        <w:rPr>
          <w:b/>
          <w:bCs/>
        </w:rPr>
        <w:tab/>
      </w:r>
      <w:r w:rsidR="00540857" w:rsidRPr="00DC2DE1">
        <w:rPr>
          <w:b/>
          <w:bCs/>
        </w:rPr>
        <w:t>Undertake comprehensive reform to repeal legal provisions which may perpetuate gender discrimination</w:t>
      </w:r>
      <w:r w:rsidR="00697901">
        <w:rPr>
          <w:b/>
          <w:bCs/>
        </w:rPr>
        <w:t>,</w:t>
      </w:r>
      <w:r w:rsidR="00540857" w:rsidRPr="00DC2DE1">
        <w:rPr>
          <w:b/>
          <w:bCs/>
        </w:rPr>
        <w:t xml:space="preserve"> and empower women through gender-sensitive labour policies aim</w:t>
      </w:r>
      <w:r w:rsidR="00697901">
        <w:rPr>
          <w:b/>
          <w:bCs/>
        </w:rPr>
        <w:t>ed</w:t>
      </w:r>
      <w:r w:rsidR="00540857" w:rsidRPr="00DC2DE1">
        <w:rPr>
          <w:b/>
          <w:bCs/>
        </w:rPr>
        <w:t xml:space="preserve"> at hiring women to non-traditional professions, enhancing their access to vocational and technical education and ensuring equal conditions of work;</w:t>
      </w:r>
    </w:p>
    <w:p w:rsidR="00540857" w:rsidRPr="00DC2DE1" w:rsidRDefault="00DC2DE1" w:rsidP="00DC2DE1">
      <w:pPr>
        <w:pStyle w:val="SingleTxtG"/>
        <w:rPr>
          <w:b/>
          <w:bCs/>
        </w:rPr>
      </w:pPr>
      <w:r>
        <w:rPr>
          <w:b/>
          <w:bCs/>
        </w:rPr>
        <w:tab/>
        <w:t>(b)</w:t>
      </w:r>
      <w:r>
        <w:rPr>
          <w:b/>
          <w:bCs/>
        </w:rPr>
        <w:tab/>
      </w:r>
      <w:r w:rsidR="00540857" w:rsidRPr="00DC2DE1">
        <w:rPr>
          <w:b/>
          <w:bCs/>
        </w:rPr>
        <w:t xml:space="preserve">Analyse </w:t>
      </w:r>
      <w:r w:rsidR="00697901">
        <w:rPr>
          <w:b/>
          <w:bCs/>
        </w:rPr>
        <w:t xml:space="preserve">the </w:t>
      </w:r>
      <w:r w:rsidR="00540857" w:rsidRPr="00DC2DE1">
        <w:rPr>
          <w:b/>
          <w:bCs/>
        </w:rPr>
        <w:t xml:space="preserve">determining factors of women’s entry </w:t>
      </w:r>
      <w:r w:rsidR="00540857" w:rsidRPr="00C5021C">
        <w:rPr>
          <w:b/>
          <w:bCs/>
        </w:rPr>
        <w:t xml:space="preserve">and </w:t>
      </w:r>
      <w:r w:rsidR="006A7656">
        <w:rPr>
          <w:b/>
          <w:bCs/>
          <w:lang w:val="en-GB"/>
        </w:rPr>
        <w:t>retention</w:t>
      </w:r>
      <w:r w:rsidR="00540857" w:rsidRPr="00DC2DE1">
        <w:rPr>
          <w:b/>
          <w:bCs/>
        </w:rPr>
        <w:t xml:space="preserve"> in the labour market, including in the informal economy</w:t>
      </w:r>
      <w:r w:rsidR="00697901">
        <w:rPr>
          <w:b/>
          <w:bCs/>
        </w:rPr>
        <w:t>,</w:t>
      </w:r>
      <w:r w:rsidR="00B114AE" w:rsidRPr="00DC2DE1" w:rsidDel="00B114AE">
        <w:rPr>
          <w:b/>
          <w:bCs/>
        </w:rPr>
        <w:t xml:space="preserve"> </w:t>
      </w:r>
      <w:r w:rsidR="00B114AE" w:rsidRPr="00DC2DE1">
        <w:rPr>
          <w:b/>
          <w:bCs/>
        </w:rPr>
        <w:t>and t</w:t>
      </w:r>
      <w:r w:rsidR="00540857" w:rsidRPr="00DC2DE1">
        <w:rPr>
          <w:b/>
          <w:bCs/>
        </w:rPr>
        <w:t>ake measures to eliminate the social perceptions of traditional gender roles and prejudices, including</w:t>
      </w:r>
      <w:r w:rsidR="00697901">
        <w:rPr>
          <w:b/>
          <w:bCs/>
        </w:rPr>
        <w:t xml:space="preserve"> those</w:t>
      </w:r>
      <w:r w:rsidR="00540857" w:rsidRPr="00DC2DE1">
        <w:rPr>
          <w:b/>
          <w:bCs/>
        </w:rPr>
        <w:t xml:space="preserve"> concerning employment, while raising</w:t>
      </w:r>
      <w:r w:rsidR="00697901">
        <w:rPr>
          <w:b/>
          <w:bCs/>
        </w:rPr>
        <w:t xml:space="preserve"> </w:t>
      </w:r>
      <w:r w:rsidR="00540857" w:rsidRPr="00DC2DE1">
        <w:rPr>
          <w:b/>
          <w:bCs/>
        </w:rPr>
        <w:t>awareness of both men and women about harmo</w:t>
      </w:r>
      <w:r>
        <w:rPr>
          <w:b/>
          <w:bCs/>
        </w:rPr>
        <w:t>nizing work and family duties;</w:t>
      </w:r>
    </w:p>
    <w:p w:rsidR="00540857" w:rsidRPr="00DC2DE1" w:rsidRDefault="00DC2DE1" w:rsidP="00DC2DE1">
      <w:pPr>
        <w:pStyle w:val="SingleTxtG"/>
        <w:rPr>
          <w:b/>
          <w:bCs/>
        </w:rPr>
      </w:pPr>
      <w:r>
        <w:rPr>
          <w:b/>
          <w:bCs/>
        </w:rPr>
        <w:tab/>
        <w:t>(c)</w:t>
      </w:r>
      <w:r>
        <w:rPr>
          <w:b/>
          <w:bCs/>
        </w:rPr>
        <w:tab/>
      </w:r>
      <w:r w:rsidR="00540857" w:rsidRPr="00DC2DE1">
        <w:rPr>
          <w:b/>
          <w:bCs/>
        </w:rPr>
        <w:t xml:space="preserve">Enforce the </w:t>
      </w:r>
      <w:r w:rsidR="004175D3">
        <w:rPr>
          <w:b/>
          <w:bCs/>
          <w:lang w:val="en-GB"/>
        </w:rPr>
        <w:t xml:space="preserve">Law on </w:t>
      </w:r>
      <w:r w:rsidR="00540857" w:rsidRPr="00DC2DE1">
        <w:rPr>
          <w:b/>
          <w:bCs/>
        </w:rPr>
        <w:t>Gender Equality, and in particular the State party’s 3</w:t>
      </w:r>
      <w:r w:rsidR="00B114AE" w:rsidRPr="00DC2DE1">
        <w:rPr>
          <w:b/>
          <w:bCs/>
        </w:rPr>
        <w:t>3</w:t>
      </w:r>
      <w:r w:rsidR="00540857" w:rsidRPr="00DC2DE1">
        <w:rPr>
          <w:b/>
          <w:bCs/>
        </w:rPr>
        <w:t xml:space="preserve"> per cent quota for representation of </w:t>
      </w:r>
      <w:r w:rsidR="00697901">
        <w:rPr>
          <w:b/>
          <w:bCs/>
        </w:rPr>
        <w:t xml:space="preserve">the </w:t>
      </w:r>
      <w:r w:rsidR="00540857" w:rsidRPr="00DC2DE1">
        <w:rPr>
          <w:b/>
          <w:bCs/>
        </w:rPr>
        <w:t xml:space="preserve">underrepresented gender in specific positions </w:t>
      </w:r>
      <w:r w:rsidR="00697901">
        <w:rPr>
          <w:b/>
          <w:bCs/>
        </w:rPr>
        <w:t>in</w:t>
      </w:r>
      <w:r w:rsidR="00697901" w:rsidRPr="00DC2DE1">
        <w:rPr>
          <w:b/>
          <w:bCs/>
        </w:rPr>
        <w:t xml:space="preserve"> </w:t>
      </w:r>
      <w:r w:rsidR="00540857" w:rsidRPr="00DC2DE1">
        <w:rPr>
          <w:b/>
          <w:bCs/>
        </w:rPr>
        <w:t>public administration a</w:t>
      </w:r>
      <w:r w:rsidR="00155B29" w:rsidRPr="00DC2DE1">
        <w:rPr>
          <w:b/>
          <w:bCs/>
        </w:rPr>
        <w:t xml:space="preserve">nd </w:t>
      </w:r>
      <w:r w:rsidR="000E4B06">
        <w:rPr>
          <w:b/>
          <w:bCs/>
        </w:rPr>
        <w:t xml:space="preserve">in </w:t>
      </w:r>
      <w:r w:rsidR="00155B29" w:rsidRPr="00DC2DE1">
        <w:rPr>
          <w:b/>
          <w:bCs/>
        </w:rPr>
        <w:t>decision-making processes.</w:t>
      </w:r>
    </w:p>
    <w:p w:rsidR="00540857" w:rsidRPr="00350040" w:rsidRDefault="00155B29" w:rsidP="00967D5C">
      <w:pPr>
        <w:pStyle w:val="H23G"/>
      </w:pPr>
      <w:r>
        <w:tab/>
      </w:r>
      <w:r>
        <w:tab/>
      </w:r>
      <w:r w:rsidR="00540857" w:rsidRPr="00350040">
        <w:t>Unemployment</w:t>
      </w:r>
    </w:p>
    <w:p w:rsidR="00540857" w:rsidRDefault="008B3028" w:rsidP="008B3028">
      <w:pPr>
        <w:pStyle w:val="SingleTxtG"/>
      </w:pPr>
      <w:r>
        <w:t>17.</w:t>
      </w:r>
      <w:r>
        <w:tab/>
      </w:r>
      <w:r w:rsidR="00540857">
        <w:t xml:space="preserve">While noting the National Employment Strategy and </w:t>
      </w:r>
      <w:r w:rsidR="00697901">
        <w:t xml:space="preserve">its </w:t>
      </w:r>
      <w:r w:rsidR="00540857">
        <w:t>Action Plan, t</w:t>
      </w:r>
      <w:r w:rsidR="00540857" w:rsidRPr="006B7EF8">
        <w:t>he Committee re</w:t>
      </w:r>
      <w:r w:rsidR="00BA18E1">
        <w:rPr>
          <w:lang w:val="en-GB"/>
        </w:rPr>
        <w:t xml:space="preserve">mains </w:t>
      </w:r>
      <w:r w:rsidR="00540857" w:rsidRPr="006B7EF8">
        <w:t>concern</w:t>
      </w:r>
      <w:r w:rsidR="00BA18E1">
        <w:rPr>
          <w:lang w:val="en-GB"/>
        </w:rPr>
        <w:t>ed</w:t>
      </w:r>
      <w:r w:rsidR="00540857" w:rsidRPr="006B7EF8">
        <w:t xml:space="preserve"> about the high unemployment </w:t>
      </w:r>
      <w:r w:rsidR="00540857">
        <w:t xml:space="preserve">rate in </w:t>
      </w:r>
      <w:r w:rsidR="00540857" w:rsidRPr="006B7EF8">
        <w:t>the State party</w:t>
      </w:r>
      <w:r w:rsidR="00540857">
        <w:t xml:space="preserve">, </w:t>
      </w:r>
      <w:r w:rsidR="00540857" w:rsidRPr="006B7EF8">
        <w:t xml:space="preserve">which disproportionately </w:t>
      </w:r>
      <w:r w:rsidR="00540857">
        <w:t xml:space="preserve">affects women, persons with disabilities, Roma, internally displaced persons and people living </w:t>
      </w:r>
      <w:r w:rsidR="00540857" w:rsidRPr="006B7EF8">
        <w:t>in rural areas.</w:t>
      </w:r>
      <w:r w:rsidR="00540857">
        <w:t xml:space="preserve"> </w:t>
      </w:r>
      <w:r w:rsidR="00540857" w:rsidRPr="006B7EF8">
        <w:t xml:space="preserve">The Committee is </w:t>
      </w:r>
      <w:r w:rsidR="00540857">
        <w:t xml:space="preserve">also </w:t>
      </w:r>
      <w:r w:rsidR="00540857" w:rsidRPr="006B7EF8">
        <w:t>concerned about the small proportion</w:t>
      </w:r>
      <w:r w:rsidR="00540857">
        <w:t xml:space="preserve"> </w:t>
      </w:r>
      <w:r w:rsidR="00BA18E1">
        <w:rPr>
          <w:lang w:val="en-GB"/>
        </w:rPr>
        <w:t xml:space="preserve">of </w:t>
      </w:r>
      <w:r w:rsidR="00540857" w:rsidRPr="006B7EF8">
        <w:t>employed persons with disabilities</w:t>
      </w:r>
      <w:r w:rsidR="00B854ED">
        <w:rPr>
          <w:lang w:val="en-GB"/>
        </w:rPr>
        <w:t>,</w:t>
      </w:r>
      <w:r w:rsidR="00540857" w:rsidRPr="006B7EF8">
        <w:t xml:space="preserve"> </w:t>
      </w:r>
      <w:r w:rsidR="00540857">
        <w:t>i</w:t>
      </w:r>
      <w:r w:rsidR="004175D3">
        <w:rPr>
          <w:lang w:val="en-GB"/>
        </w:rPr>
        <w:t>ndicating</w:t>
      </w:r>
      <w:r w:rsidR="00540857">
        <w:t xml:space="preserve"> </w:t>
      </w:r>
      <w:r w:rsidR="004175D3">
        <w:rPr>
          <w:lang w:val="en-GB"/>
        </w:rPr>
        <w:t xml:space="preserve">that </w:t>
      </w:r>
      <w:r w:rsidR="00540857" w:rsidRPr="006B7EF8">
        <w:t xml:space="preserve">the Law on </w:t>
      </w:r>
      <w:r w:rsidR="00540857">
        <w:t xml:space="preserve">Professional Rehabilitation </w:t>
      </w:r>
      <w:r w:rsidR="004175D3">
        <w:rPr>
          <w:lang w:val="en-GB"/>
        </w:rPr>
        <w:t xml:space="preserve">and Employment </w:t>
      </w:r>
      <w:r w:rsidR="00540857">
        <w:t xml:space="preserve">of Persons with Disabilities </w:t>
      </w:r>
      <w:r w:rsidR="004175D3">
        <w:rPr>
          <w:lang w:val="en-GB"/>
        </w:rPr>
        <w:t xml:space="preserve">has had little impact </w:t>
      </w:r>
      <w:r w:rsidR="00DC2DE1">
        <w:t>(art. </w:t>
      </w:r>
      <w:r w:rsidR="00155B29">
        <w:t>6)</w:t>
      </w:r>
      <w:r w:rsidR="006A133C" w:rsidRPr="00567BC6">
        <w:rPr>
          <w:lang w:val="en-US"/>
        </w:rPr>
        <w:t>.</w:t>
      </w:r>
    </w:p>
    <w:p w:rsidR="00540857" w:rsidRPr="006B7EF8" w:rsidRDefault="00540857" w:rsidP="004D270C">
      <w:pPr>
        <w:pStyle w:val="SingleTxtG"/>
        <w:rPr>
          <w:b/>
        </w:rPr>
      </w:pPr>
      <w:r>
        <w:rPr>
          <w:b/>
        </w:rPr>
        <w:t>T</w:t>
      </w:r>
      <w:r w:rsidRPr="006B7EF8">
        <w:rPr>
          <w:b/>
        </w:rPr>
        <w:t xml:space="preserve">he Committee urges the State party to </w:t>
      </w:r>
      <w:r>
        <w:rPr>
          <w:b/>
        </w:rPr>
        <w:t xml:space="preserve">intensify its efforts to </w:t>
      </w:r>
      <w:r w:rsidRPr="006B7EF8">
        <w:rPr>
          <w:b/>
        </w:rPr>
        <w:t xml:space="preserve">reduce </w:t>
      </w:r>
      <w:r>
        <w:rPr>
          <w:b/>
        </w:rPr>
        <w:t xml:space="preserve">the </w:t>
      </w:r>
      <w:r w:rsidRPr="006B7EF8">
        <w:rPr>
          <w:b/>
        </w:rPr>
        <w:t xml:space="preserve">unemployment </w:t>
      </w:r>
      <w:r>
        <w:rPr>
          <w:b/>
        </w:rPr>
        <w:t xml:space="preserve">rate </w:t>
      </w:r>
      <w:r w:rsidRPr="006B7EF8">
        <w:rPr>
          <w:b/>
        </w:rPr>
        <w:t xml:space="preserve">through </w:t>
      </w:r>
      <w:r>
        <w:rPr>
          <w:b/>
        </w:rPr>
        <w:t>effective m</w:t>
      </w:r>
      <w:r w:rsidRPr="006B7EF8">
        <w:rPr>
          <w:b/>
        </w:rPr>
        <w:t xml:space="preserve">easures of active employment </w:t>
      </w:r>
      <w:r>
        <w:rPr>
          <w:b/>
        </w:rPr>
        <w:t>policy</w:t>
      </w:r>
      <w:r w:rsidR="00370F72">
        <w:rPr>
          <w:b/>
          <w:lang w:val="en-GB"/>
        </w:rPr>
        <w:t>,</w:t>
      </w:r>
      <w:r>
        <w:rPr>
          <w:b/>
        </w:rPr>
        <w:t xml:space="preserve"> </w:t>
      </w:r>
      <w:r w:rsidR="00370F72">
        <w:rPr>
          <w:b/>
          <w:lang w:val="en-GB"/>
        </w:rPr>
        <w:t>including</w:t>
      </w:r>
      <w:r w:rsidRPr="006B7EF8">
        <w:rPr>
          <w:b/>
        </w:rPr>
        <w:t xml:space="preserve"> requalification, local employment initiatives, </w:t>
      </w:r>
      <w:r>
        <w:rPr>
          <w:b/>
        </w:rPr>
        <w:t xml:space="preserve">placement </w:t>
      </w:r>
      <w:r w:rsidRPr="006B7EF8">
        <w:rPr>
          <w:b/>
        </w:rPr>
        <w:t xml:space="preserve">incentives and tax benefits </w:t>
      </w:r>
      <w:r w:rsidR="007F2496">
        <w:rPr>
          <w:b/>
        </w:rPr>
        <w:t>for</w:t>
      </w:r>
      <w:r w:rsidRPr="006B7EF8">
        <w:rPr>
          <w:b/>
        </w:rPr>
        <w:t xml:space="preserve"> employers, </w:t>
      </w:r>
      <w:r w:rsidR="00370F72">
        <w:rPr>
          <w:b/>
          <w:lang w:val="en-GB"/>
        </w:rPr>
        <w:t xml:space="preserve">in order </w:t>
      </w:r>
      <w:r>
        <w:rPr>
          <w:b/>
        </w:rPr>
        <w:t xml:space="preserve">to promote </w:t>
      </w:r>
      <w:r w:rsidR="007F2496">
        <w:rPr>
          <w:b/>
        </w:rPr>
        <w:t xml:space="preserve">the </w:t>
      </w:r>
      <w:r>
        <w:rPr>
          <w:b/>
        </w:rPr>
        <w:t xml:space="preserve">employment </w:t>
      </w:r>
      <w:r w:rsidRPr="006B7EF8">
        <w:rPr>
          <w:b/>
        </w:rPr>
        <w:t xml:space="preserve">of </w:t>
      </w:r>
      <w:r>
        <w:rPr>
          <w:b/>
        </w:rPr>
        <w:t xml:space="preserve">persons from </w:t>
      </w:r>
      <w:r w:rsidRPr="006B7EF8">
        <w:rPr>
          <w:b/>
        </w:rPr>
        <w:t>marginalized groups, in particular in rural areas</w:t>
      </w:r>
      <w:r w:rsidR="004D270C">
        <w:rPr>
          <w:b/>
          <w:lang w:val="en-GB"/>
        </w:rPr>
        <w:t xml:space="preserve">. The </w:t>
      </w:r>
      <w:r w:rsidRPr="00C34998">
        <w:rPr>
          <w:b/>
        </w:rPr>
        <w:t xml:space="preserve">Committee also urges the State party to establish objectives on </w:t>
      </w:r>
      <w:r w:rsidR="00E9374A">
        <w:rPr>
          <w:b/>
        </w:rPr>
        <w:t xml:space="preserve">an </w:t>
      </w:r>
      <w:r w:rsidRPr="00C34998">
        <w:rPr>
          <w:b/>
        </w:rPr>
        <w:t xml:space="preserve">annual basis for the employment of persons with disabilities </w:t>
      </w:r>
      <w:r w:rsidR="004D270C">
        <w:rPr>
          <w:b/>
          <w:lang w:val="en-GB"/>
        </w:rPr>
        <w:t xml:space="preserve">and </w:t>
      </w:r>
      <w:r>
        <w:rPr>
          <w:b/>
        </w:rPr>
        <w:t>to collect reliable data on th</w:t>
      </w:r>
      <w:r w:rsidR="00DC2DE1">
        <w:rPr>
          <w:b/>
        </w:rPr>
        <w:t>e extent of their unemployment.</w:t>
      </w:r>
    </w:p>
    <w:p w:rsidR="00540857" w:rsidRPr="00350040" w:rsidRDefault="00155B29" w:rsidP="00967D5C">
      <w:pPr>
        <w:pStyle w:val="H23G"/>
      </w:pPr>
      <w:r>
        <w:tab/>
      </w:r>
      <w:r>
        <w:tab/>
      </w:r>
      <w:r w:rsidR="00540857" w:rsidRPr="00350040">
        <w:t>Equal pay for work of equal value</w:t>
      </w:r>
    </w:p>
    <w:p w:rsidR="00F84CDE" w:rsidRDefault="008B3028" w:rsidP="008B3028">
      <w:pPr>
        <w:pStyle w:val="SingleTxtG"/>
        <w:rPr>
          <w:lang w:val="en-GB"/>
        </w:rPr>
      </w:pPr>
      <w:r>
        <w:rPr>
          <w:lang w:val="en-GB"/>
        </w:rPr>
        <w:t>18.</w:t>
      </w:r>
      <w:r>
        <w:rPr>
          <w:lang w:val="en-GB"/>
        </w:rPr>
        <w:tab/>
      </w:r>
      <w:r w:rsidR="00540857">
        <w:t xml:space="preserve">While noting the </w:t>
      </w:r>
      <w:r w:rsidR="00540857" w:rsidRPr="00247013">
        <w:t>guarantee</w:t>
      </w:r>
      <w:r w:rsidR="00540857">
        <w:t>s</w:t>
      </w:r>
      <w:r w:rsidR="00540857" w:rsidRPr="00247013">
        <w:t xml:space="preserve"> of the principle of “equal pay for work of equal value</w:t>
      </w:r>
      <w:r w:rsidR="00540857">
        <w:t xml:space="preserve">” in the laws of the State party, the Committee is concerned </w:t>
      </w:r>
      <w:r w:rsidR="006E22C4">
        <w:rPr>
          <w:lang w:val="en-GB"/>
        </w:rPr>
        <w:t xml:space="preserve">that </w:t>
      </w:r>
      <w:r w:rsidR="009C46DE">
        <w:rPr>
          <w:lang w:val="en-GB"/>
        </w:rPr>
        <w:t>women do not receive</w:t>
      </w:r>
      <w:r w:rsidR="006E22C4">
        <w:rPr>
          <w:lang w:val="en-GB"/>
        </w:rPr>
        <w:t xml:space="preserve"> </w:t>
      </w:r>
      <w:r w:rsidR="009C46DE">
        <w:rPr>
          <w:lang w:val="en-GB"/>
        </w:rPr>
        <w:t xml:space="preserve">equal remuneration for the same </w:t>
      </w:r>
      <w:r w:rsidR="00E6402B">
        <w:rPr>
          <w:lang w:val="en-GB"/>
        </w:rPr>
        <w:t xml:space="preserve">work or </w:t>
      </w:r>
      <w:r w:rsidR="00E9374A">
        <w:rPr>
          <w:lang w:val="en-GB"/>
        </w:rPr>
        <w:t xml:space="preserve">for work </w:t>
      </w:r>
      <w:r w:rsidR="00E6402B">
        <w:rPr>
          <w:lang w:val="en-GB"/>
        </w:rPr>
        <w:t>of equal value</w:t>
      </w:r>
      <w:r w:rsidR="009C46DE">
        <w:rPr>
          <w:lang w:val="en-GB"/>
        </w:rPr>
        <w:t xml:space="preserve"> </w:t>
      </w:r>
      <w:r w:rsidR="00DC2DE1">
        <w:rPr>
          <w:lang w:val="en-GB"/>
        </w:rPr>
        <w:t>(art. </w:t>
      </w:r>
      <w:r w:rsidR="003B035C">
        <w:rPr>
          <w:lang w:val="en-GB"/>
        </w:rPr>
        <w:t>7)</w:t>
      </w:r>
      <w:r w:rsidR="006A133C">
        <w:rPr>
          <w:lang w:val="en-GB"/>
        </w:rPr>
        <w:t>.</w:t>
      </w:r>
    </w:p>
    <w:p w:rsidR="00F84CDE" w:rsidRPr="00F84CDE" w:rsidRDefault="00F84CDE" w:rsidP="00F84CDE">
      <w:pPr>
        <w:pStyle w:val="SingleTxtG"/>
        <w:rPr>
          <w:b/>
          <w:lang w:val="en-GB"/>
        </w:rPr>
      </w:pPr>
      <w:r w:rsidRPr="00F84CDE">
        <w:rPr>
          <w:b/>
          <w:lang w:val="en-GB"/>
        </w:rPr>
        <w:t xml:space="preserve">The Committee urges the State party to ensure </w:t>
      </w:r>
      <w:r w:rsidR="00E9374A">
        <w:rPr>
          <w:b/>
          <w:lang w:val="en-GB"/>
        </w:rPr>
        <w:t xml:space="preserve">the </w:t>
      </w:r>
      <w:r w:rsidRPr="00F84CDE">
        <w:rPr>
          <w:b/>
          <w:lang w:val="en-GB"/>
        </w:rPr>
        <w:t xml:space="preserve">effective implementation of the provisions of the Labour Code and the </w:t>
      </w:r>
      <w:r w:rsidR="000A7071">
        <w:rPr>
          <w:b/>
          <w:lang w:val="en-GB"/>
        </w:rPr>
        <w:t xml:space="preserve">Law on </w:t>
      </w:r>
      <w:r w:rsidRPr="00F84CDE">
        <w:rPr>
          <w:b/>
          <w:lang w:val="en-GB"/>
        </w:rPr>
        <w:t xml:space="preserve">Gender Equality </w:t>
      </w:r>
      <w:r w:rsidR="00BB288D">
        <w:rPr>
          <w:b/>
          <w:lang w:val="en-GB"/>
        </w:rPr>
        <w:t xml:space="preserve">with </w:t>
      </w:r>
      <w:r w:rsidRPr="00F84CDE">
        <w:rPr>
          <w:b/>
          <w:lang w:val="en-GB"/>
        </w:rPr>
        <w:t xml:space="preserve">regard to equal pay for </w:t>
      </w:r>
      <w:r w:rsidR="006E22C4">
        <w:rPr>
          <w:b/>
          <w:lang w:val="en-GB"/>
        </w:rPr>
        <w:t xml:space="preserve">the same work </w:t>
      </w:r>
      <w:r w:rsidR="004117B3">
        <w:rPr>
          <w:b/>
          <w:lang w:val="en-GB"/>
        </w:rPr>
        <w:t xml:space="preserve">as well as </w:t>
      </w:r>
      <w:r w:rsidR="00E6402B">
        <w:rPr>
          <w:b/>
          <w:lang w:val="en-GB"/>
        </w:rPr>
        <w:t xml:space="preserve">for </w:t>
      </w:r>
      <w:r w:rsidRPr="00F84CDE">
        <w:rPr>
          <w:b/>
          <w:lang w:val="en-GB"/>
        </w:rPr>
        <w:t xml:space="preserve">work of equal value, including through labour inspections and </w:t>
      </w:r>
      <w:r w:rsidR="00186F26">
        <w:rPr>
          <w:b/>
          <w:lang w:val="en-GB"/>
        </w:rPr>
        <w:t xml:space="preserve">the </w:t>
      </w:r>
      <w:r w:rsidRPr="00F84CDE">
        <w:rPr>
          <w:b/>
          <w:lang w:val="en-GB"/>
        </w:rPr>
        <w:t xml:space="preserve">imposition of sanctions, and address the sources of </w:t>
      </w:r>
      <w:r w:rsidR="00186F26">
        <w:rPr>
          <w:b/>
          <w:lang w:val="en-GB"/>
        </w:rPr>
        <w:t xml:space="preserve">the </w:t>
      </w:r>
      <w:r w:rsidRPr="00F84CDE">
        <w:rPr>
          <w:b/>
          <w:lang w:val="en-GB"/>
        </w:rPr>
        <w:t>limited effectiveness of the remuneration legislation</w:t>
      </w:r>
      <w:r w:rsidR="00186F26">
        <w:rPr>
          <w:b/>
          <w:lang w:val="en-GB"/>
        </w:rPr>
        <w:t>,</w:t>
      </w:r>
      <w:r w:rsidRPr="00F84CDE">
        <w:rPr>
          <w:b/>
          <w:lang w:val="en-GB"/>
        </w:rPr>
        <w:t xml:space="preserve"> in particular through public campaigns and training within the State party’s associations of employers and employees. </w:t>
      </w:r>
    </w:p>
    <w:p w:rsidR="00F84CDE" w:rsidRPr="00F84CDE" w:rsidRDefault="00155B29" w:rsidP="00967D5C">
      <w:pPr>
        <w:pStyle w:val="H23G"/>
      </w:pPr>
      <w:r>
        <w:tab/>
      </w:r>
      <w:r>
        <w:tab/>
      </w:r>
      <w:r w:rsidR="00F84CDE" w:rsidRPr="00F84CDE">
        <w:t>Labour Inspectorate</w:t>
      </w:r>
    </w:p>
    <w:p w:rsidR="00540857" w:rsidRDefault="008B3028" w:rsidP="008B3028">
      <w:pPr>
        <w:pStyle w:val="SingleTxtG"/>
      </w:pPr>
      <w:r>
        <w:t>19.</w:t>
      </w:r>
      <w:r>
        <w:tab/>
      </w:r>
      <w:r w:rsidR="00540857">
        <w:t>The Committee notes with concern the limited effectiveness of the Labour Inspectorate, in particular in preventing occupational accidents and diseases</w:t>
      </w:r>
      <w:r w:rsidR="00C70597">
        <w:t xml:space="preserve"> (art. </w:t>
      </w:r>
      <w:r w:rsidR="00155B29">
        <w:t>7)</w:t>
      </w:r>
      <w:r w:rsidR="006A133C" w:rsidRPr="00567BC6">
        <w:rPr>
          <w:lang w:val="en-US"/>
        </w:rPr>
        <w:t>.</w:t>
      </w:r>
    </w:p>
    <w:p w:rsidR="00540857" w:rsidRPr="00567BC6" w:rsidRDefault="00F84CDE" w:rsidP="00F84CDE">
      <w:pPr>
        <w:pStyle w:val="SingleTxtG"/>
        <w:rPr>
          <w:b/>
          <w:lang w:val="en-US"/>
        </w:rPr>
      </w:pPr>
      <w:r w:rsidRPr="00F84CDE">
        <w:rPr>
          <w:b/>
        </w:rPr>
        <w:t xml:space="preserve">The Committee </w:t>
      </w:r>
      <w:r>
        <w:rPr>
          <w:b/>
          <w:lang w:val="en-GB"/>
        </w:rPr>
        <w:t xml:space="preserve">recommends that the State party </w:t>
      </w:r>
      <w:r w:rsidR="00E6402B">
        <w:rPr>
          <w:b/>
        </w:rPr>
        <w:t>empower</w:t>
      </w:r>
      <w:r w:rsidR="00540857">
        <w:rPr>
          <w:b/>
        </w:rPr>
        <w:t xml:space="preserve"> the Labour Inspectorate, through both preventive and punitive instruments, in particular to help employers prevent occupational accidents and disease, </w:t>
      </w:r>
      <w:r w:rsidR="00E939D5">
        <w:rPr>
          <w:b/>
          <w:lang w:val="en-GB"/>
        </w:rPr>
        <w:t xml:space="preserve">and that it </w:t>
      </w:r>
      <w:r w:rsidR="00540857" w:rsidRPr="000E4B06">
        <w:rPr>
          <w:b/>
        </w:rPr>
        <w:t>collect relevant data an</w:t>
      </w:r>
      <w:r w:rsidR="003B035C" w:rsidRPr="000E4B06">
        <w:rPr>
          <w:b/>
        </w:rPr>
        <w:t>d undertake systematic training</w:t>
      </w:r>
      <w:r w:rsidR="003B035C" w:rsidRPr="000E4B06">
        <w:rPr>
          <w:b/>
          <w:lang w:val="en-GB"/>
        </w:rPr>
        <w:t xml:space="preserve"> </w:t>
      </w:r>
      <w:r w:rsidR="00540857" w:rsidRPr="000E4B06">
        <w:rPr>
          <w:b/>
        </w:rPr>
        <w:t>of labour</w:t>
      </w:r>
      <w:r w:rsidR="00155B29" w:rsidRPr="000E4B06">
        <w:rPr>
          <w:b/>
        </w:rPr>
        <w:t xml:space="preserve"> inspectors in this regard.</w:t>
      </w:r>
    </w:p>
    <w:p w:rsidR="00540857" w:rsidRPr="00A64A0B" w:rsidRDefault="00155B29" w:rsidP="00967D5C">
      <w:pPr>
        <w:pStyle w:val="H23G"/>
      </w:pPr>
      <w:r>
        <w:tab/>
      </w:r>
      <w:r>
        <w:tab/>
      </w:r>
      <w:r w:rsidR="00540857" w:rsidRPr="00A64A0B">
        <w:t>Minimum wage</w:t>
      </w:r>
    </w:p>
    <w:p w:rsidR="00540857" w:rsidRDefault="008B3028" w:rsidP="008B3028">
      <w:pPr>
        <w:pStyle w:val="SingleTxtG"/>
      </w:pPr>
      <w:r>
        <w:t>20.</w:t>
      </w:r>
      <w:r>
        <w:tab/>
      </w:r>
      <w:r w:rsidR="00540857">
        <w:t xml:space="preserve">The Committee notes with concern the way the minimum wage is established without taking into account </w:t>
      </w:r>
      <w:r w:rsidR="00D31CB1">
        <w:rPr>
          <w:lang w:val="en-GB"/>
        </w:rPr>
        <w:t xml:space="preserve">the cost of </w:t>
      </w:r>
      <w:r w:rsidR="00D31CB1" w:rsidRPr="0052138A">
        <w:t>living</w:t>
      </w:r>
      <w:r w:rsidR="00CE6C9B">
        <w:rPr>
          <w:lang w:val="en-GB"/>
        </w:rPr>
        <w:t xml:space="preserve"> </w:t>
      </w:r>
      <w:r w:rsidR="00335E07">
        <w:t>or</w:t>
      </w:r>
      <w:r w:rsidR="00335E07">
        <w:rPr>
          <w:lang w:val="en-GB"/>
        </w:rPr>
        <w:t xml:space="preserve"> the </w:t>
      </w:r>
      <w:r w:rsidR="00540857">
        <w:t>views of the social partners, and without regular review</w:t>
      </w:r>
      <w:r w:rsidR="007235DD">
        <w:rPr>
          <w:lang w:val="en-GB"/>
        </w:rPr>
        <w:t>. The Committee is also concerned about the low levels of income among employed persons with disabilities</w:t>
      </w:r>
      <w:r w:rsidR="00155B29">
        <w:t xml:space="preserve"> </w:t>
      </w:r>
      <w:r w:rsidR="00C70597">
        <w:t>(art. </w:t>
      </w:r>
      <w:r w:rsidR="00155B29">
        <w:t>7)</w:t>
      </w:r>
      <w:r w:rsidR="006A133C" w:rsidRPr="00567BC6">
        <w:rPr>
          <w:lang w:val="en-US"/>
        </w:rPr>
        <w:t>.</w:t>
      </w:r>
    </w:p>
    <w:p w:rsidR="00540857" w:rsidRPr="00396159" w:rsidRDefault="00540857" w:rsidP="00C70597">
      <w:pPr>
        <w:pStyle w:val="SingleTxtG"/>
        <w:rPr>
          <w:b/>
          <w:lang w:val="en-GB"/>
        </w:rPr>
      </w:pPr>
      <w:r>
        <w:rPr>
          <w:b/>
        </w:rPr>
        <w:t>T</w:t>
      </w:r>
      <w:r w:rsidRPr="00CE6FD2">
        <w:rPr>
          <w:b/>
        </w:rPr>
        <w:t xml:space="preserve">he Committee </w:t>
      </w:r>
      <w:r w:rsidR="009C6CB6">
        <w:rPr>
          <w:b/>
          <w:lang w:val="en-GB"/>
        </w:rPr>
        <w:t xml:space="preserve">calls on </w:t>
      </w:r>
      <w:r w:rsidRPr="00CE6FD2">
        <w:rPr>
          <w:b/>
        </w:rPr>
        <w:t xml:space="preserve">the State party </w:t>
      </w:r>
      <w:r w:rsidR="009C6CB6">
        <w:rPr>
          <w:b/>
          <w:lang w:val="en-GB"/>
        </w:rPr>
        <w:t xml:space="preserve">to </w:t>
      </w:r>
      <w:r w:rsidRPr="00CE6FD2">
        <w:rPr>
          <w:b/>
        </w:rPr>
        <w:t xml:space="preserve">take measures to </w:t>
      </w:r>
      <w:r>
        <w:rPr>
          <w:b/>
        </w:rPr>
        <w:t xml:space="preserve">ensure </w:t>
      </w:r>
      <w:r w:rsidRPr="00CE6FD2">
        <w:rPr>
          <w:b/>
        </w:rPr>
        <w:t xml:space="preserve">that the minimum wage is </w:t>
      </w:r>
      <w:r>
        <w:rPr>
          <w:b/>
        </w:rPr>
        <w:t xml:space="preserve">established with due account of </w:t>
      </w:r>
      <w:r w:rsidR="009C6CB6">
        <w:rPr>
          <w:b/>
          <w:lang w:val="en-GB"/>
        </w:rPr>
        <w:t xml:space="preserve">the cost of living </w:t>
      </w:r>
      <w:r w:rsidRPr="001C27CB">
        <w:rPr>
          <w:b/>
        </w:rPr>
        <w:t xml:space="preserve">and </w:t>
      </w:r>
      <w:r w:rsidR="00CE6C9B">
        <w:rPr>
          <w:b/>
          <w:lang w:val="en-GB"/>
        </w:rPr>
        <w:t xml:space="preserve">of </w:t>
      </w:r>
      <w:r w:rsidRPr="001C27CB">
        <w:rPr>
          <w:b/>
        </w:rPr>
        <w:t>views of the social partners</w:t>
      </w:r>
      <w:r>
        <w:rPr>
          <w:b/>
        </w:rPr>
        <w:t xml:space="preserve">, and </w:t>
      </w:r>
      <w:r w:rsidR="00D31CB1">
        <w:rPr>
          <w:b/>
          <w:lang w:val="en-GB"/>
        </w:rPr>
        <w:t xml:space="preserve">to </w:t>
      </w:r>
      <w:r>
        <w:rPr>
          <w:b/>
        </w:rPr>
        <w:t xml:space="preserve">periodically review </w:t>
      </w:r>
      <w:r w:rsidR="00D31CB1">
        <w:rPr>
          <w:b/>
          <w:lang w:val="en-GB"/>
        </w:rPr>
        <w:t>its</w:t>
      </w:r>
      <w:r w:rsidR="004A58D2">
        <w:rPr>
          <w:b/>
          <w:lang w:val="en-GB"/>
        </w:rPr>
        <w:t xml:space="preserve"> </w:t>
      </w:r>
      <w:r>
        <w:rPr>
          <w:b/>
        </w:rPr>
        <w:t xml:space="preserve">level to provide all workers and their families with </w:t>
      </w:r>
      <w:r w:rsidR="00335E07">
        <w:rPr>
          <w:b/>
        </w:rPr>
        <w:t xml:space="preserve">an </w:t>
      </w:r>
      <w:r>
        <w:rPr>
          <w:b/>
        </w:rPr>
        <w:t>a</w:t>
      </w:r>
      <w:r w:rsidR="00D31CB1">
        <w:rPr>
          <w:b/>
          <w:lang w:val="en-GB"/>
        </w:rPr>
        <w:t>dequate</w:t>
      </w:r>
      <w:r>
        <w:rPr>
          <w:b/>
        </w:rPr>
        <w:t xml:space="preserve"> standard of living, </w:t>
      </w:r>
      <w:r w:rsidRPr="00CE6FD2">
        <w:rPr>
          <w:b/>
        </w:rPr>
        <w:t>in accordance with arti</w:t>
      </w:r>
      <w:r w:rsidR="00C70597">
        <w:rPr>
          <w:b/>
        </w:rPr>
        <w:t>cle </w:t>
      </w:r>
      <w:r>
        <w:rPr>
          <w:b/>
        </w:rPr>
        <w:t>7</w:t>
      </w:r>
      <w:r w:rsidR="00C70597">
        <w:rPr>
          <w:b/>
        </w:rPr>
        <w:t> </w:t>
      </w:r>
      <w:r>
        <w:rPr>
          <w:b/>
        </w:rPr>
        <w:t>(a)</w:t>
      </w:r>
      <w:r w:rsidR="00C70597">
        <w:rPr>
          <w:b/>
        </w:rPr>
        <w:t> </w:t>
      </w:r>
      <w:r>
        <w:rPr>
          <w:b/>
        </w:rPr>
        <w:t>(ii) of the Covenant.</w:t>
      </w:r>
      <w:r w:rsidR="00207BF3">
        <w:rPr>
          <w:b/>
          <w:lang w:val="en-GB"/>
        </w:rPr>
        <w:t xml:space="preserve"> The Committee also calls </w:t>
      </w:r>
      <w:r w:rsidR="00396159">
        <w:rPr>
          <w:b/>
          <w:lang w:val="en-GB"/>
        </w:rPr>
        <w:t>on the State party to combat</w:t>
      </w:r>
      <w:r w:rsidRPr="00396159">
        <w:t xml:space="preserve"> </w:t>
      </w:r>
      <w:r w:rsidR="00396159" w:rsidRPr="00396159">
        <w:rPr>
          <w:b/>
        </w:rPr>
        <w:t xml:space="preserve">low income among </w:t>
      </w:r>
      <w:r w:rsidR="00396159">
        <w:rPr>
          <w:b/>
          <w:lang w:val="en-GB"/>
        </w:rPr>
        <w:t xml:space="preserve">employed </w:t>
      </w:r>
      <w:r w:rsidR="00396159" w:rsidRPr="00396159">
        <w:rPr>
          <w:b/>
        </w:rPr>
        <w:t>persons with disabilities through special measures</w:t>
      </w:r>
      <w:r w:rsidR="00396159">
        <w:rPr>
          <w:b/>
          <w:lang w:val="en-GB"/>
        </w:rPr>
        <w:t>.</w:t>
      </w:r>
    </w:p>
    <w:p w:rsidR="00540857" w:rsidRPr="00C00AC8" w:rsidRDefault="00155B29" w:rsidP="00967D5C">
      <w:pPr>
        <w:pStyle w:val="H23G"/>
      </w:pPr>
      <w:r>
        <w:tab/>
      </w:r>
      <w:r>
        <w:tab/>
      </w:r>
      <w:r w:rsidR="00540857" w:rsidRPr="00C00AC8">
        <w:t>Trade union rights</w:t>
      </w:r>
    </w:p>
    <w:p w:rsidR="00540857" w:rsidRPr="00CE6FD2" w:rsidRDefault="008B3028" w:rsidP="008B3028">
      <w:pPr>
        <w:pStyle w:val="SingleTxtG"/>
        <w:rPr>
          <w:lang w:val="en-US"/>
        </w:rPr>
      </w:pPr>
      <w:r w:rsidRPr="00CE6FD2">
        <w:rPr>
          <w:lang w:val="en-US"/>
        </w:rPr>
        <w:t>21.</w:t>
      </w:r>
      <w:r w:rsidRPr="00CE6FD2">
        <w:rPr>
          <w:lang w:val="en-US"/>
        </w:rPr>
        <w:tab/>
      </w:r>
      <w:r w:rsidR="00540857" w:rsidRPr="00CE6FD2">
        <w:rPr>
          <w:lang w:val="en-US"/>
        </w:rPr>
        <w:t xml:space="preserve">The Committee is concerned </w:t>
      </w:r>
      <w:r w:rsidR="00540857">
        <w:rPr>
          <w:lang w:val="en-US"/>
        </w:rPr>
        <w:t xml:space="preserve">at the low level of enjoyment </w:t>
      </w:r>
      <w:r w:rsidR="00646B49">
        <w:rPr>
          <w:lang w:val="en-US"/>
        </w:rPr>
        <w:t xml:space="preserve">by </w:t>
      </w:r>
      <w:r w:rsidR="00540857">
        <w:rPr>
          <w:lang w:val="en-US"/>
        </w:rPr>
        <w:t xml:space="preserve">employees </w:t>
      </w:r>
      <w:r w:rsidR="009C46DE">
        <w:rPr>
          <w:lang w:val="en-US"/>
        </w:rPr>
        <w:t xml:space="preserve">in the private sector </w:t>
      </w:r>
      <w:r w:rsidR="00646B49">
        <w:rPr>
          <w:lang w:val="en-US"/>
        </w:rPr>
        <w:t xml:space="preserve">of their right </w:t>
      </w:r>
      <w:r w:rsidR="00540857">
        <w:rPr>
          <w:lang w:val="en-US"/>
        </w:rPr>
        <w:t xml:space="preserve">to form or join trade unions and </w:t>
      </w:r>
      <w:r w:rsidR="00646B49">
        <w:rPr>
          <w:lang w:val="en-US"/>
        </w:rPr>
        <w:t xml:space="preserve">at the </w:t>
      </w:r>
      <w:r w:rsidR="00540857">
        <w:rPr>
          <w:lang w:val="en-US"/>
        </w:rPr>
        <w:t xml:space="preserve">excessive restrictions on the right to strike for public </w:t>
      </w:r>
      <w:r w:rsidR="009C46DE">
        <w:rPr>
          <w:lang w:val="en-US"/>
        </w:rPr>
        <w:t xml:space="preserve">sector </w:t>
      </w:r>
      <w:r w:rsidR="00540857">
        <w:rPr>
          <w:lang w:val="en-US"/>
        </w:rPr>
        <w:t xml:space="preserve">employees </w:t>
      </w:r>
      <w:r w:rsidR="00540857" w:rsidRPr="00CE6FD2">
        <w:rPr>
          <w:lang w:val="en-US"/>
        </w:rPr>
        <w:t xml:space="preserve">even if they do not provide </w:t>
      </w:r>
      <w:r w:rsidR="00540857">
        <w:rPr>
          <w:lang w:val="en-US"/>
        </w:rPr>
        <w:t>“</w:t>
      </w:r>
      <w:r w:rsidR="00540857" w:rsidRPr="00CE6FD2">
        <w:rPr>
          <w:lang w:val="en-US"/>
        </w:rPr>
        <w:t>essential services</w:t>
      </w:r>
      <w:r w:rsidR="00540857">
        <w:rPr>
          <w:lang w:val="en-US"/>
        </w:rPr>
        <w:t xml:space="preserve">” </w:t>
      </w:r>
      <w:r w:rsidR="00C70597">
        <w:rPr>
          <w:lang w:val="en-US"/>
        </w:rPr>
        <w:t>(art. </w:t>
      </w:r>
      <w:r w:rsidR="00155B29">
        <w:rPr>
          <w:lang w:val="en-US"/>
        </w:rPr>
        <w:t>8)</w:t>
      </w:r>
      <w:r w:rsidR="006A133C">
        <w:rPr>
          <w:lang w:val="en-US"/>
        </w:rPr>
        <w:t>.</w:t>
      </w:r>
    </w:p>
    <w:p w:rsidR="00540857" w:rsidRPr="00CE6FD2" w:rsidRDefault="00540857" w:rsidP="00540857">
      <w:pPr>
        <w:pStyle w:val="SingleTxtG"/>
        <w:rPr>
          <w:b/>
          <w:lang w:val="en-US"/>
        </w:rPr>
      </w:pPr>
      <w:r w:rsidRPr="00CE6FD2">
        <w:rPr>
          <w:b/>
          <w:lang w:val="en-US"/>
        </w:rPr>
        <w:t xml:space="preserve">The Committee urges the State party to ensure </w:t>
      </w:r>
      <w:r>
        <w:rPr>
          <w:b/>
          <w:lang w:val="en-US"/>
        </w:rPr>
        <w:t xml:space="preserve">to the employees in </w:t>
      </w:r>
      <w:r w:rsidR="009C46DE">
        <w:rPr>
          <w:b/>
          <w:lang w:val="en-US"/>
        </w:rPr>
        <w:t xml:space="preserve">both </w:t>
      </w:r>
      <w:r>
        <w:rPr>
          <w:b/>
          <w:lang w:val="en-US"/>
        </w:rPr>
        <w:t>the private and public sector</w:t>
      </w:r>
      <w:r w:rsidR="009C46DE">
        <w:rPr>
          <w:b/>
          <w:lang w:val="en-US"/>
        </w:rPr>
        <w:t>s</w:t>
      </w:r>
      <w:r>
        <w:rPr>
          <w:b/>
          <w:lang w:val="en-US"/>
        </w:rPr>
        <w:t xml:space="preserve"> the effective enjoyment of </w:t>
      </w:r>
      <w:r w:rsidRPr="00CE6FD2">
        <w:rPr>
          <w:b/>
          <w:lang w:val="en-US"/>
        </w:rPr>
        <w:t>the right to fr</w:t>
      </w:r>
      <w:r>
        <w:rPr>
          <w:b/>
          <w:lang w:val="en-US"/>
        </w:rPr>
        <w:t xml:space="preserve">eely form and join trade unions, </w:t>
      </w:r>
      <w:r w:rsidRPr="00CE6FD2">
        <w:rPr>
          <w:b/>
          <w:lang w:val="en-US"/>
        </w:rPr>
        <w:t xml:space="preserve">as well as the right to strike. </w:t>
      </w:r>
      <w:r>
        <w:rPr>
          <w:b/>
          <w:lang w:val="en-US"/>
        </w:rPr>
        <w:t xml:space="preserve">While noting the draft </w:t>
      </w:r>
      <w:r w:rsidR="00646B49">
        <w:rPr>
          <w:b/>
          <w:lang w:val="en-US"/>
        </w:rPr>
        <w:t>l</w:t>
      </w:r>
      <w:r>
        <w:rPr>
          <w:b/>
          <w:lang w:val="en-US"/>
        </w:rPr>
        <w:t xml:space="preserve">aw on </w:t>
      </w:r>
      <w:r w:rsidR="00646B49">
        <w:rPr>
          <w:b/>
          <w:lang w:val="en-US"/>
        </w:rPr>
        <w:t>s</w:t>
      </w:r>
      <w:r>
        <w:rPr>
          <w:b/>
          <w:lang w:val="en-US"/>
        </w:rPr>
        <w:t>trikes of 2013, the C</w:t>
      </w:r>
      <w:r w:rsidRPr="00CE6FD2">
        <w:rPr>
          <w:b/>
          <w:lang w:val="en-US"/>
        </w:rPr>
        <w:t xml:space="preserve">ommittee recommends that the State </w:t>
      </w:r>
      <w:r>
        <w:rPr>
          <w:b/>
          <w:lang w:val="en-US"/>
        </w:rPr>
        <w:t xml:space="preserve">party limit the </w:t>
      </w:r>
      <w:r w:rsidRPr="00CE6FD2">
        <w:rPr>
          <w:b/>
          <w:lang w:val="en-US"/>
        </w:rPr>
        <w:t xml:space="preserve">prohibition against striking for </w:t>
      </w:r>
      <w:r w:rsidRPr="003C59D9">
        <w:rPr>
          <w:b/>
          <w:lang w:val="en-US"/>
        </w:rPr>
        <w:t xml:space="preserve">public </w:t>
      </w:r>
      <w:r w:rsidR="00701B34">
        <w:rPr>
          <w:b/>
          <w:lang w:val="en-US"/>
        </w:rPr>
        <w:t xml:space="preserve">sector </w:t>
      </w:r>
      <w:r w:rsidRPr="003C59D9">
        <w:rPr>
          <w:b/>
          <w:lang w:val="en-US"/>
        </w:rPr>
        <w:t xml:space="preserve">employees </w:t>
      </w:r>
      <w:r>
        <w:rPr>
          <w:b/>
          <w:lang w:val="en-US"/>
        </w:rPr>
        <w:t xml:space="preserve">by narrowing the definition of “essential services” so that it complies with the </w:t>
      </w:r>
      <w:r w:rsidR="00701B34">
        <w:rPr>
          <w:b/>
          <w:lang w:val="en-US"/>
        </w:rPr>
        <w:t xml:space="preserve">Covenant and </w:t>
      </w:r>
      <w:r w:rsidR="009C46DE">
        <w:rPr>
          <w:b/>
          <w:lang w:val="en-US"/>
        </w:rPr>
        <w:t xml:space="preserve">relevant </w:t>
      </w:r>
      <w:r>
        <w:rPr>
          <w:b/>
          <w:lang w:val="en-US"/>
        </w:rPr>
        <w:t>I</w:t>
      </w:r>
      <w:r w:rsidR="00646B49">
        <w:rPr>
          <w:b/>
          <w:lang w:val="en-US"/>
        </w:rPr>
        <w:t xml:space="preserve">nternational </w:t>
      </w:r>
      <w:proofErr w:type="spellStart"/>
      <w:r w:rsidR="00646B49">
        <w:rPr>
          <w:b/>
          <w:lang w:val="en-US"/>
        </w:rPr>
        <w:t>Labour</w:t>
      </w:r>
      <w:proofErr w:type="spellEnd"/>
      <w:r w:rsidR="00646B49">
        <w:rPr>
          <w:b/>
          <w:lang w:val="en-US"/>
        </w:rPr>
        <w:t xml:space="preserve"> Organization</w:t>
      </w:r>
      <w:r>
        <w:rPr>
          <w:b/>
          <w:lang w:val="en-US"/>
        </w:rPr>
        <w:t xml:space="preserve"> standards. </w:t>
      </w:r>
    </w:p>
    <w:p w:rsidR="00540857" w:rsidRPr="00D21D96" w:rsidRDefault="00155B29" w:rsidP="00967D5C">
      <w:pPr>
        <w:pStyle w:val="H23G"/>
      </w:pPr>
      <w:r>
        <w:tab/>
      </w:r>
      <w:r>
        <w:tab/>
      </w:r>
      <w:r w:rsidR="00540857">
        <w:t>Unemployment</w:t>
      </w:r>
      <w:r w:rsidR="00540857" w:rsidRPr="00D21D96">
        <w:t xml:space="preserve"> benefits</w:t>
      </w:r>
    </w:p>
    <w:p w:rsidR="00540857" w:rsidRDefault="008B3028" w:rsidP="008B3028">
      <w:pPr>
        <w:pStyle w:val="SingleTxtG"/>
        <w:rPr>
          <w:lang w:val="en-US"/>
        </w:rPr>
      </w:pPr>
      <w:r>
        <w:rPr>
          <w:lang w:val="en-US"/>
        </w:rPr>
        <w:t>22.</w:t>
      </w:r>
      <w:r>
        <w:rPr>
          <w:lang w:val="en-US"/>
        </w:rPr>
        <w:tab/>
      </w:r>
      <w:r w:rsidR="00540857">
        <w:rPr>
          <w:lang w:val="en-US"/>
        </w:rPr>
        <w:t>The Committee reiterates its concern at the low level of</w:t>
      </w:r>
      <w:r w:rsidR="00646B49">
        <w:rPr>
          <w:lang w:val="en-US"/>
        </w:rPr>
        <w:t xml:space="preserve"> the</w:t>
      </w:r>
      <w:r w:rsidR="00540857">
        <w:rPr>
          <w:lang w:val="en-US"/>
        </w:rPr>
        <w:t xml:space="preserve"> unemployment benefit</w:t>
      </w:r>
      <w:r w:rsidR="00646B49">
        <w:rPr>
          <w:lang w:val="en-US"/>
        </w:rPr>
        <w:t>,</w:t>
      </w:r>
      <w:r w:rsidR="00540857">
        <w:rPr>
          <w:lang w:val="en-US"/>
        </w:rPr>
        <w:t xml:space="preserve"> which is not sufficient to ensure an </w:t>
      </w:r>
      <w:r w:rsidR="00540857" w:rsidRPr="0052138A">
        <w:t>adequate</w:t>
      </w:r>
      <w:r w:rsidR="00540857">
        <w:rPr>
          <w:lang w:val="en-US"/>
        </w:rPr>
        <w:t xml:space="preserve"> standard of living for the persons concerned and their families, and notes with concern the low percentage of unemployed </w:t>
      </w:r>
      <w:r w:rsidR="00646B49">
        <w:rPr>
          <w:lang w:val="en-US"/>
        </w:rPr>
        <w:t xml:space="preserve">persons </w:t>
      </w:r>
      <w:r w:rsidR="00540857">
        <w:rPr>
          <w:lang w:val="en-US"/>
        </w:rPr>
        <w:t xml:space="preserve">receiving </w:t>
      </w:r>
      <w:r w:rsidR="00646B49">
        <w:rPr>
          <w:lang w:val="en-US"/>
        </w:rPr>
        <w:t xml:space="preserve">the </w:t>
      </w:r>
      <w:r w:rsidR="00540857">
        <w:rPr>
          <w:lang w:val="en-US"/>
        </w:rPr>
        <w:t>unemployment benefit</w:t>
      </w:r>
      <w:r w:rsidR="00C70597">
        <w:rPr>
          <w:lang w:val="en-US"/>
        </w:rPr>
        <w:t xml:space="preserve"> (art. </w:t>
      </w:r>
      <w:r w:rsidR="00155B29">
        <w:rPr>
          <w:lang w:val="en-US"/>
        </w:rPr>
        <w:t>9)</w:t>
      </w:r>
      <w:r w:rsidR="006A133C">
        <w:rPr>
          <w:lang w:val="en-US"/>
        </w:rPr>
        <w:t>.</w:t>
      </w:r>
    </w:p>
    <w:p w:rsidR="00CE6C9B" w:rsidRDefault="00540857" w:rsidP="00A300F8">
      <w:pPr>
        <w:pStyle w:val="SingleTxtG"/>
        <w:rPr>
          <w:b/>
          <w:lang w:val="en-US"/>
        </w:rPr>
      </w:pPr>
      <w:r w:rsidRPr="0059463B">
        <w:rPr>
          <w:b/>
          <w:lang w:val="en-US"/>
        </w:rPr>
        <w:t xml:space="preserve">The Committee reiterates its recommendation that the State party increase </w:t>
      </w:r>
      <w:r w:rsidR="008836A5">
        <w:rPr>
          <w:b/>
          <w:lang w:val="en-US"/>
        </w:rPr>
        <w:t xml:space="preserve">the </w:t>
      </w:r>
      <w:r w:rsidR="00E675AD">
        <w:rPr>
          <w:b/>
          <w:lang w:val="en-US"/>
        </w:rPr>
        <w:t xml:space="preserve">amount of </w:t>
      </w:r>
      <w:r w:rsidR="00597D54">
        <w:rPr>
          <w:b/>
          <w:lang w:val="en-US"/>
        </w:rPr>
        <w:t xml:space="preserve">the </w:t>
      </w:r>
      <w:r w:rsidRPr="0059463B">
        <w:rPr>
          <w:b/>
          <w:lang w:val="en-US"/>
        </w:rPr>
        <w:t>unemployment benefit in order to ensure an adequate standard of living for unemployed workers and their families</w:t>
      </w:r>
      <w:r w:rsidR="008836A5">
        <w:rPr>
          <w:b/>
          <w:lang w:val="en-US"/>
        </w:rPr>
        <w:t>,</w:t>
      </w:r>
      <w:r w:rsidRPr="0059463B">
        <w:rPr>
          <w:b/>
          <w:lang w:val="en-US"/>
        </w:rPr>
        <w:t xml:space="preserve"> </w:t>
      </w:r>
      <w:r>
        <w:rPr>
          <w:b/>
          <w:lang w:val="en-US"/>
        </w:rPr>
        <w:t xml:space="preserve">and </w:t>
      </w:r>
      <w:r w:rsidR="008836A5">
        <w:rPr>
          <w:b/>
          <w:lang w:val="en-US"/>
        </w:rPr>
        <w:t xml:space="preserve">requests it </w:t>
      </w:r>
      <w:r>
        <w:rPr>
          <w:b/>
          <w:lang w:val="en-US"/>
        </w:rPr>
        <w:t xml:space="preserve">to </w:t>
      </w:r>
      <w:r w:rsidR="00911036">
        <w:rPr>
          <w:b/>
          <w:lang w:val="en-US"/>
        </w:rPr>
        <w:t xml:space="preserve">provide </w:t>
      </w:r>
      <w:r>
        <w:rPr>
          <w:b/>
          <w:lang w:val="en-US"/>
        </w:rPr>
        <w:t xml:space="preserve">information on the extent of </w:t>
      </w:r>
      <w:r w:rsidR="008836A5">
        <w:rPr>
          <w:b/>
          <w:lang w:val="en-US"/>
        </w:rPr>
        <w:t xml:space="preserve">the </w:t>
      </w:r>
      <w:r>
        <w:rPr>
          <w:b/>
          <w:lang w:val="en-US"/>
        </w:rPr>
        <w:t>unemployment benefit coverage, disaggregated by</w:t>
      </w:r>
      <w:r w:rsidR="008836A5">
        <w:rPr>
          <w:b/>
          <w:lang w:val="en-US"/>
        </w:rPr>
        <w:t>, inter alia,</w:t>
      </w:r>
      <w:r>
        <w:rPr>
          <w:b/>
          <w:lang w:val="en-US"/>
        </w:rPr>
        <w:t xml:space="preserve"> residency status and national or ethnic origin. </w:t>
      </w:r>
    </w:p>
    <w:p w:rsidR="00540857" w:rsidRPr="0068785B" w:rsidRDefault="00155B29" w:rsidP="00967D5C">
      <w:pPr>
        <w:pStyle w:val="H23G"/>
      </w:pPr>
      <w:r>
        <w:tab/>
      </w:r>
      <w:r>
        <w:tab/>
      </w:r>
      <w:r w:rsidR="00540857">
        <w:t>P</w:t>
      </w:r>
      <w:r w:rsidR="00540857" w:rsidRPr="0068785B">
        <w:t xml:space="preserve">ensions </w:t>
      </w:r>
      <w:r w:rsidR="008836A5">
        <w:t>for</w:t>
      </w:r>
      <w:r w:rsidR="00540857" w:rsidRPr="0068785B">
        <w:t xml:space="preserve"> refugees and </w:t>
      </w:r>
      <w:r w:rsidR="00967D5C">
        <w:t>internally displaced persons</w:t>
      </w:r>
    </w:p>
    <w:p w:rsidR="00540857" w:rsidRDefault="008B3028" w:rsidP="008B3028">
      <w:pPr>
        <w:pStyle w:val="SingleTxtG"/>
        <w:rPr>
          <w:lang w:val="en-US"/>
        </w:rPr>
      </w:pPr>
      <w:r>
        <w:rPr>
          <w:lang w:val="en-US"/>
        </w:rPr>
        <w:t>23.</w:t>
      </w:r>
      <w:r>
        <w:rPr>
          <w:lang w:val="en-US"/>
        </w:rPr>
        <w:tab/>
      </w:r>
      <w:r w:rsidR="00540857">
        <w:rPr>
          <w:lang w:val="en-US"/>
        </w:rPr>
        <w:t xml:space="preserve">The Committee is concerned </w:t>
      </w:r>
      <w:r w:rsidR="00540857" w:rsidRPr="0052138A">
        <w:t>that</w:t>
      </w:r>
      <w:r w:rsidR="00540857">
        <w:rPr>
          <w:lang w:val="en-US"/>
        </w:rPr>
        <w:t xml:space="preserve"> </w:t>
      </w:r>
      <w:r w:rsidR="00540857" w:rsidRPr="00B82A90">
        <w:rPr>
          <w:lang w:val="en-US"/>
        </w:rPr>
        <w:t xml:space="preserve">large numbers of refugees </w:t>
      </w:r>
      <w:r w:rsidR="00FA28D1">
        <w:rPr>
          <w:lang w:val="en-US"/>
        </w:rPr>
        <w:t xml:space="preserve">from </w:t>
      </w:r>
      <w:smartTag w:uri="urn:schemas-microsoft-com:office:smarttags" w:element="country-region">
        <w:smartTag w:uri="urn:schemas-microsoft-com:office:smarttags" w:element="place">
          <w:r w:rsidR="00FA28D1">
            <w:rPr>
              <w:lang w:val="en-US"/>
            </w:rPr>
            <w:t>Croatia</w:t>
          </w:r>
        </w:smartTag>
      </w:smartTag>
      <w:r w:rsidR="00FA28D1">
        <w:rPr>
          <w:lang w:val="en-US"/>
        </w:rPr>
        <w:t xml:space="preserve"> </w:t>
      </w:r>
      <w:r w:rsidR="00540857" w:rsidRPr="00B82A90">
        <w:rPr>
          <w:lang w:val="en-US"/>
        </w:rPr>
        <w:t xml:space="preserve">and internally displaced persons from Kosovo </w:t>
      </w:r>
      <w:r w:rsidR="00540857">
        <w:rPr>
          <w:lang w:val="en-US"/>
        </w:rPr>
        <w:t xml:space="preserve">continue to be deprived of </w:t>
      </w:r>
      <w:r w:rsidR="00540857" w:rsidRPr="0068785B">
        <w:rPr>
          <w:lang w:val="en-US"/>
        </w:rPr>
        <w:t>the</w:t>
      </w:r>
      <w:r w:rsidR="000F4E2D">
        <w:rPr>
          <w:lang w:val="en-US"/>
        </w:rPr>
        <w:t>ir</w:t>
      </w:r>
      <w:r w:rsidR="00540857" w:rsidRPr="0068785B">
        <w:rPr>
          <w:lang w:val="en-US"/>
        </w:rPr>
        <w:t xml:space="preserve"> </w:t>
      </w:r>
      <w:r w:rsidR="00540857" w:rsidRPr="00B82A90">
        <w:rPr>
          <w:lang w:val="en-US"/>
        </w:rPr>
        <w:t>r</w:t>
      </w:r>
      <w:r w:rsidR="00540857">
        <w:rPr>
          <w:lang w:val="en-US"/>
        </w:rPr>
        <w:t xml:space="preserve">ight to </w:t>
      </w:r>
      <w:r w:rsidR="009C3DA7">
        <w:rPr>
          <w:lang w:val="en-US"/>
        </w:rPr>
        <w:t xml:space="preserve">pensions which have been </w:t>
      </w:r>
      <w:r w:rsidR="000F4E2D">
        <w:rPr>
          <w:lang w:val="en-US"/>
        </w:rPr>
        <w:t>over</w:t>
      </w:r>
      <w:r w:rsidR="00540857">
        <w:rPr>
          <w:lang w:val="en-US"/>
        </w:rPr>
        <w:t>due and unpaid for years</w:t>
      </w:r>
      <w:r w:rsidR="00155B29">
        <w:rPr>
          <w:lang w:val="en-US"/>
        </w:rPr>
        <w:t xml:space="preserve"> (art. 9)</w:t>
      </w:r>
      <w:r w:rsidR="006A133C">
        <w:rPr>
          <w:lang w:val="en-US"/>
        </w:rPr>
        <w:t>.</w:t>
      </w:r>
    </w:p>
    <w:p w:rsidR="00540857" w:rsidRPr="008D4133" w:rsidRDefault="00540857" w:rsidP="00540857">
      <w:pPr>
        <w:pStyle w:val="SingleTxtG"/>
        <w:rPr>
          <w:b/>
          <w:lang w:val="en-US"/>
        </w:rPr>
      </w:pPr>
      <w:r w:rsidRPr="008D4133">
        <w:rPr>
          <w:b/>
          <w:lang w:val="en-US"/>
        </w:rPr>
        <w:t xml:space="preserve">The Committee strongly urges the State party to </w:t>
      </w:r>
      <w:r w:rsidR="006F2A22">
        <w:rPr>
          <w:b/>
          <w:lang w:val="en-US"/>
        </w:rPr>
        <w:t>pursue</w:t>
      </w:r>
      <w:r w:rsidRPr="008D4133">
        <w:rPr>
          <w:b/>
          <w:lang w:val="en-US"/>
        </w:rPr>
        <w:t xml:space="preserve"> bilateral negotiations regarding the payment of pensions to </w:t>
      </w:r>
      <w:r w:rsidRPr="00790E4A">
        <w:rPr>
          <w:b/>
          <w:lang w:val="en-US"/>
        </w:rPr>
        <w:t>refugees</w:t>
      </w:r>
      <w:r w:rsidR="00FA28D1">
        <w:rPr>
          <w:b/>
          <w:lang w:val="en-US"/>
        </w:rPr>
        <w:t xml:space="preserve"> from </w:t>
      </w:r>
      <w:smartTag w:uri="urn:schemas-microsoft-com:office:smarttags" w:element="country-region">
        <w:r w:rsidR="00FA28D1">
          <w:rPr>
            <w:b/>
            <w:lang w:val="en-US"/>
          </w:rPr>
          <w:t>Croatia</w:t>
        </w:r>
      </w:smartTag>
      <w:r w:rsidRPr="008D4133">
        <w:rPr>
          <w:b/>
          <w:lang w:val="en-US"/>
        </w:rPr>
        <w:t xml:space="preserve"> residing in </w:t>
      </w:r>
      <w:smartTag w:uri="urn:schemas-microsoft-com:office:smarttags" w:element="country-region">
        <w:smartTag w:uri="urn:schemas-microsoft-com:office:smarttags" w:element="place">
          <w:r w:rsidRPr="008D4133">
            <w:rPr>
              <w:b/>
              <w:lang w:val="en-US"/>
            </w:rPr>
            <w:t>Serbia</w:t>
          </w:r>
        </w:smartTag>
      </w:smartTag>
      <w:r w:rsidRPr="008D4133">
        <w:rPr>
          <w:b/>
          <w:lang w:val="en-US"/>
        </w:rPr>
        <w:t xml:space="preserve"> and to arrange for documentation substitution for the payment of pensions to internally displaced persons from Kosovo who could not present their work booklets. </w:t>
      </w:r>
    </w:p>
    <w:p w:rsidR="00540857" w:rsidRPr="00E1384D" w:rsidRDefault="00155B29" w:rsidP="00967D5C">
      <w:pPr>
        <w:pStyle w:val="H23G"/>
      </w:pPr>
      <w:r>
        <w:tab/>
      </w:r>
      <w:r>
        <w:tab/>
      </w:r>
      <w:r w:rsidR="00540857">
        <w:t>S</w:t>
      </w:r>
      <w:r w:rsidR="00540857" w:rsidRPr="00E1384D">
        <w:t>ocial se</w:t>
      </w:r>
      <w:r w:rsidR="00540857">
        <w:t xml:space="preserve">curity </w:t>
      </w:r>
    </w:p>
    <w:p w:rsidR="00540857" w:rsidRPr="00CE6FD2" w:rsidRDefault="008B3028" w:rsidP="008B3028">
      <w:pPr>
        <w:pStyle w:val="SingleTxtG"/>
        <w:rPr>
          <w:lang w:val="en-US"/>
        </w:rPr>
      </w:pPr>
      <w:r w:rsidRPr="00CE6FD2">
        <w:rPr>
          <w:lang w:val="en-US"/>
        </w:rPr>
        <w:t>24.</w:t>
      </w:r>
      <w:r w:rsidRPr="00CE6FD2">
        <w:rPr>
          <w:lang w:val="en-US"/>
        </w:rPr>
        <w:tab/>
      </w:r>
      <w:r w:rsidR="00540857" w:rsidRPr="00CE6FD2">
        <w:rPr>
          <w:lang w:val="en-US"/>
        </w:rPr>
        <w:t xml:space="preserve">The Committee regrets the lack </w:t>
      </w:r>
      <w:r w:rsidR="00540857" w:rsidRPr="0052138A">
        <w:t>of</w:t>
      </w:r>
      <w:r w:rsidR="00540857" w:rsidRPr="00CE6FD2">
        <w:rPr>
          <w:lang w:val="en-US"/>
        </w:rPr>
        <w:t xml:space="preserve"> </w:t>
      </w:r>
      <w:r w:rsidR="00540857">
        <w:rPr>
          <w:lang w:val="en-US"/>
        </w:rPr>
        <w:t xml:space="preserve">information </w:t>
      </w:r>
      <w:r w:rsidR="00540857" w:rsidRPr="00CE6FD2">
        <w:rPr>
          <w:lang w:val="en-US"/>
        </w:rPr>
        <w:t xml:space="preserve">on whether the social </w:t>
      </w:r>
      <w:r w:rsidR="002964D0">
        <w:rPr>
          <w:lang w:val="en-US"/>
        </w:rPr>
        <w:t>assistance benefits</w:t>
      </w:r>
      <w:r w:rsidR="00540857" w:rsidRPr="00CE6FD2">
        <w:rPr>
          <w:lang w:val="en-US"/>
        </w:rPr>
        <w:t xml:space="preserve"> </w:t>
      </w:r>
      <w:r w:rsidR="002964D0">
        <w:rPr>
          <w:lang w:val="en-US"/>
        </w:rPr>
        <w:t>are</w:t>
      </w:r>
      <w:r w:rsidR="00540857" w:rsidRPr="00CE6FD2">
        <w:rPr>
          <w:lang w:val="en-US"/>
        </w:rPr>
        <w:t xml:space="preserve"> </w:t>
      </w:r>
      <w:r w:rsidR="00D07DC4">
        <w:rPr>
          <w:lang w:val="en-US"/>
        </w:rPr>
        <w:t xml:space="preserve">periodically </w:t>
      </w:r>
      <w:r w:rsidR="00540857" w:rsidRPr="00CE6FD2">
        <w:rPr>
          <w:lang w:val="en-US"/>
        </w:rPr>
        <w:t xml:space="preserve">adjusted to </w:t>
      </w:r>
      <w:r w:rsidR="002964D0">
        <w:rPr>
          <w:lang w:val="en-US"/>
        </w:rPr>
        <w:t>enable</w:t>
      </w:r>
      <w:r w:rsidR="00540857" w:rsidRPr="00CE6FD2">
        <w:rPr>
          <w:lang w:val="en-US"/>
        </w:rPr>
        <w:t xml:space="preserve"> </w:t>
      </w:r>
      <w:r w:rsidR="00540857">
        <w:rPr>
          <w:lang w:val="en-US"/>
        </w:rPr>
        <w:t xml:space="preserve">all </w:t>
      </w:r>
      <w:r w:rsidR="002964D0">
        <w:rPr>
          <w:lang w:val="en-US"/>
        </w:rPr>
        <w:t xml:space="preserve">disadvantaged and </w:t>
      </w:r>
      <w:r w:rsidR="00B41CC3">
        <w:rPr>
          <w:lang w:val="en-US"/>
        </w:rPr>
        <w:t xml:space="preserve">marginalized </w:t>
      </w:r>
      <w:r w:rsidR="00540857">
        <w:rPr>
          <w:lang w:val="en-US"/>
        </w:rPr>
        <w:t>individuals</w:t>
      </w:r>
      <w:r w:rsidR="002964D0">
        <w:rPr>
          <w:lang w:val="en-US"/>
        </w:rPr>
        <w:t xml:space="preserve"> and families to enjoy </w:t>
      </w:r>
      <w:r w:rsidR="00540857" w:rsidRPr="00E1384D">
        <w:rPr>
          <w:lang w:val="en-US"/>
        </w:rPr>
        <w:t xml:space="preserve">an adequate standard of living </w:t>
      </w:r>
      <w:r w:rsidR="00540857" w:rsidRPr="00CE6FD2">
        <w:rPr>
          <w:lang w:val="en-US"/>
        </w:rPr>
        <w:t>(art</w:t>
      </w:r>
      <w:r w:rsidR="002964D0">
        <w:rPr>
          <w:lang w:val="en-US"/>
        </w:rPr>
        <w:t>s</w:t>
      </w:r>
      <w:r w:rsidR="00C70597">
        <w:rPr>
          <w:lang w:val="en-US"/>
        </w:rPr>
        <w:t>. </w:t>
      </w:r>
      <w:r w:rsidR="00540857" w:rsidRPr="00CE6FD2">
        <w:rPr>
          <w:lang w:val="en-US"/>
        </w:rPr>
        <w:t>9</w:t>
      </w:r>
      <w:r w:rsidR="00C70597">
        <w:rPr>
          <w:lang w:val="en-US"/>
        </w:rPr>
        <w:t xml:space="preserve"> and </w:t>
      </w:r>
      <w:r w:rsidR="002964D0">
        <w:rPr>
          <w:lang w:val="en-US"/>
        </w:rPr>
        <w:t>11</w:t>
      </w:r>
      <w:r w:rsidR="00155B29">
        <w:rPr>
          <w:lang w:val="en-US"/>
        </w:rPr>
        <w:t>)</w:t>
      </w:r>
      <w:r w:rsidR="006A133C">
        <w:rPr>
          <w:lang w:val="en-US"/>
        </w:rPr>
        <w:t>.</w:t>
      </w:r>
    </w:p>
    <w:p w:rsidR="00D07DC4" w:rsidRDefault="00540857" w:rsidP="00540857">
      <w:pPr>
        <w:pStyle w:val="SingleTxtG"/>
        <w:rPr>
          <w:b/>
          <w:lang w:val="en-US"/>
        </w:rPr>
      </w:pPr>
      <w:r w:rsidRPr="00CE6FD2">
        <w:rPr>
          <w:b/>
          <w:lang w:val="en-US"/>
        </w:rPr>
        <w:t>The Committee calls upon the State party to</w:t>
      </w:r>
      <w:r w:rsidR="00D07DC4">
        <w:rPr>
          <w:b/>
          <w:lang w:val="en-US"/>
        </w:rPr>
        <w:t xml:space="preserve">: </w:t>
      </w:r>
    </w:p>
    <w:p w:rsidR="00FC33F4" w:rsidRPr="00C70597" w:rsidRDefault="00C70597" w:rsidP="00C70597">
      <w:pPr>
        <w:pStyle w:val="SingleTxtG"/>
        <w:rPr>
          <w:b/>
          <w:bCs/>
        </w:rPr>
      </w:pPr>
      <w:r>
        <w:rPr>
          <w:b/>
          <w:bCs/>
        </w:rPr>
        <w:tab/>
        <w:t>(a)</w:t>
      </w:r>
      <w:r>
        <w:rPr>
          <w:b/>
          <w:bCs/>
        </w:rPr>
        <w:tab/>
      </w:r>
      <w:r w:rsidR="004B4C48" w:rsidRPr="00C70597">
        <w:rPr>
          <w:b/>
          <w:bCs/>
        </w:rPr>
        <w:t>Increase</w:t>
      </w:r>
      <w:r w:rsidR="00540857" w:rsidRPr="00C70597">
        <w:rPr>
          <w:b/>
          <w:bCs/>
        </w:rPr>
        <w:t xml:space="preserve"> the social </w:t>
      </w:r>
      <w:r w:rsidR="004B4C48" w:rsidRPr="00C70597">
        <w:rPr>
          <w:b/>
          <w:bCs/>
        </w:rPr>
        <w:t>assistance</w:t>
      </w:r>
      <w:r w:rsidR="00540857" w:rsidRPr="00C70597">
        <w:rPr>
          <w:b/>
          <w:bCs/>
        </w:rPr>
        <w:t xml:space="preserve"> </w:t>
      </w:r>
      <w:r w:rsidR="004B4C48" w:rsidRPr="00C70597">
        <w:rPr>
          <w:b/>
          <w:bCs/>
        </w:rPr>
        <w:t>benefits</w:t>
      </w:r>
      <w:r w:rsidR="00540857" w:rsidRPr="00C70597">
        <w:rPr>
          <w:b/>
          <w:bCs/>
        </w:rPr>
        <w:t xml:space="preserve">, taking into account the Committee’s </w:t>
      </w:r>
      <w:r>
        <w:rPr>
          <w:b/>
          <w:bCs/>
        </w:rPr>
        <w:t>general comment No. </w:t>
      </w:r>
      <w:r w:rsidR="00540857" w:rsidRPr="00C70597">
        <w:rPr>
          <w:b/>
          <w:bCs/>
        </w:rPr>
        <w:t xml:space="preserve">19 </w:t>
      </w:r>
      <w:r w:rsidR="001D1310">
        <w:rPr>
          <w:b/>
          <w:bCs/>
        </w:rPr>
        <w:t xml:space="preserve">(2007) </w:t>
      </w:r>
      <w:r w:rsidR="00540857" w:rsidRPr="00C70597">
        <w:rPr>
          <w:b/>
          <w:bCs/>
        </w:rPr>
        <w:t xml:space="preserve">on the right to social security, in order to assist all </w:t>
      </w:r>
      <w:r w:rsidR="00B71B34" w:rsidRPr="00C70597">
        <w:rPr>
          <w:b/>
          <w:bCs/>
        </w:rPr>
        <w:t xml:space="preserve">concerned </w:t>
      </w:r>
      <w:r w:rsidR="00540857" w:rsidRPr="00C70597">
        <w:rPr>
          <w:b/>
          <w:bCs/>
        </w:rPr>
        <w:t>individuals</w:t>
      </w:r>
      <w:r w:rsidR="004B4C48" w:rsidRPr="00C70597">
        <w:rPr>
          <w:b/>
          <w:bCs/>
        </w:rPr>
        <w:t xml:space="preserve"> and families throughout the State party</w:t>
      </w:r>
      <w:r w:rsidR="00540857" w:rsidRPr="00C70597">
        <w:rPr>
          <w:b/>
          <w:bCs/>
        </w:rPr>
        <w:t>, including persons with disabilities</w:t>
      </w:r>
      <w:r w:rsidR="00456049" w:rsidRPr="00C70597">
        <w:rPr>
          <w:b/>
          <w:bCs/>
        </w:rPr>
        <w:t xml:space="preserve">, </w:t>
      </w:r>
      <w:r w:rsidR="00540857" w:rsidRPr="00C70597">
        <w:rPr>
          <w:b/>
          <w:bCs/>
        </w:rPr>
        <w:t>older persons, children</w:t>
      </w:r>
      <w:r w:rsidR="00456049" w:rsidRPr="00C70597">
        <w:rPr>
          <w:b/>
          <w:bCs/>
        </w:rPr>
        <w:t xml:space="preserve">, </w:t>
      </w:r>
      <w:r w:rsidR="004B4C48" w:rsidRPr="00C70597">
        <w:rPr>
          <w:b/>
          <w:bCs/>
        </w:rPr>
        <w:t>low</w:t>
      </w:r>
      <w:r w:rsidR="001D1310">
        <w:rPr>
          <w:b/>
          <w:bCs/>
        </w:rPr>
        <w:t>-</w:t>
      </w:r>
      <w:r w:rsidR="004B4C48" w:rsidRPr="00C70597">
        <w:rPr>
          <w:b/>
          <w:bCs/>
        </w:rPr>
        <w:t xml:space="preserve">income </w:t>
      </w:r>
      <w:r w:rsidR="00540857" w:rsidRPr="00C70597">
        <w:rPr>
          <w:b/>
          <w:bCs/>
        </w:rPr>
        <w:t xml:space="preserve">families and those </w:t>
      </w:r>
      <w:r w:rsidR="004B4C48" w:rsidRPr="00C70597">
        <w:rPr>
          <w:b/>
          <w:bCs/>
        </w:rPr>
        <w:t xml:space="preserve">in a situation of </w:t>
      </w:r>
      <w:r w:rsidR="00540857" w:rsidRPr="00C70597">
        <w:rPr>
          <w:b/>
          <w:bCs/>
        </w:rPr>
        <w:t xml:space="preserve">long-term unemployment, </w:t>
      </w:r>
      <w:r w:rsidR="004B4C48" w:rsidRPr="00C70597">
        <w:rPr>
          <w:b/>
          <w:bCs/>
        </w:rPr>
        <w:t>to enjoy an adequate standard of living</w:t>
      </w:r>
      <w:r w:rsidR="00FC33F4" w:rsidRPr="00C70597">
        <w:rPr>
          <w:b/>
          <w:bCs/>
        </w:rPr>
        <w:t xml:space="preserve">; </w:t>
      </w:r>
    </w:p>
    <w:p w:rsidR="00FC33F4" w:rsidRPr="00C70597" w:rsidRDefault="00C70597" w:rsidP="00C70597">
      <w:pPr>
        <w:pStyle w:val="SingleTxtG"/>
        <w:rPr>
          <w:b/>
          <w:bCs/>
        </w:rPr>
      </w:pPr>
      <w:r>
        <w:rPr>
          <w:b/>
          <w:bCs/>
        </w:rPr>
        <w:tab/>
        <w:t>(b)</w:t>
      </w:r>
      <w:r>
        <w:rPr>
          <w:b/>
          <w:bCs/>
        </w:rPr>
        <w:tab/>
      </w:r>
      <w:r w:rsidR="00FC33F4" w:rsidRPr="00C70597">
        <w:rPr>
          <w:b/>
          <w:bCs/>
        </w:rPr>
        <w:t>C</w:t>
      </w:r>
      <w:r w:rsidR="00540857" w:rsidRPr="00C70597">
        <w:rPr>
          <w:b/>
          <w:bCs/>
        </w:rPr>
        <w:t>onsider the introduction of a minimum</w:t>
      </w:r>
      <w:r w:rsidR="001D1310">
        <w:rPr>
          <w:b/>
          <w:bCs/>
        </w:rPr>
        <w:t>-</w:t>
      </w:r>
      <w:r w:rsidR="00540857" w:rsidRPr="00C70597">
        <w:rPr>
          <w:b/>
          <w:bCs/>
        </w:rPr>
        <w:t xml:space="preserve">income benefit that would bring together all the existing social assistance benefits </w:t>
      </w:r>
      <w:r w:rsidR="002C7ACD" w:rsidRPr="00C70597">
        <w:rPr>
          <w:b/>
          <w:bCs/>
        </w:rPr>
        <w:t>in order to</w:t>
      </w:r>
      <w:r w:rsidR="00540857" w:rsidRPr="00C70597">
        <w:rPr>
          <w:b/>
          <w:bCs/>
        </w:rPr>
        <w:t xml:space="preserve"> ensure </w:t>
      </w:r>
      <w:r w:rsidR="002C7ACD" w:rsidRPr="00C70597">
        <w:rPr>
          <w:b/>
          <w:bCs/>
        </w:rPr>
        <w:t xml:space="preserve">an </w:t>
      </w:r>
      <w:r w:rsidR="00540857" w:rsidRPr="00C70597">
        <w:rPr>
          <w:b/>
          <w:bCs/>
        </w:rPr>
        <w:t>a</w:t>
      </w:r>
      <w:r w:rsidR="00FC33F4" w:rsidRPr="00C70597">
        <w:rPr>
          <w:b/>
          <w:bCs/>
        </w:rPr>
        <w:t xml:space="preserve">dequate standard of </w:t>
      </w:r>
      <w:r w:rsidR="00540857" w:rsidRPr="00C70597">
        <w:rPr>
          <w:b/>
          <w:bCs/>
        </w:rPr>
        <w:t>li</w:t>
      </w:r>
      <w:r w:rsidR="00FC33F4" w:rsidRPr="00C70597">
        <w:rPr>
          <w:b/>
          <w:bCs/>
        </w:rPr>
        <w:t>ving</w:t>
      </w:r>
      <w:r w:rsidR="00540857" w:rsidRPr="00C70597">
        <w:rPr>
          <w:b/>
          <w:bCs/>
        </w:rPr>
        <w:t xml:space="preserve"> for all</w:t>
      </w:r>
      <w:r w:rsidR="002C7ACD" w:rsidRPr="00C70597">
        <w:rPr>
          <w:b/>
          <w:bCs/>
        </w:rPr>
        <w:t>, in particular disadvantaged and marginalized individuals and families</w:t>
      </w:r>
      <w:r w:rsidR="00FC33F4" w:rsidRPr="00C70597">
        <w:rPr>
          <w:b/>
          <w:bCs/>
        </w:rPr>
        <w:t>;</w:t>
      </w:r>
    </w:p>
    <w:p w:rsidR="00540857" w:rsidRPr="00C70597" w:rsidRDefault="00C70597" w:rsidP="00C70597">
      <w:pPr>
        <w:pStyle w:val="SingleTxtG"/>
        <w:rPr>
          <w:b/>
          <w:bCs/>
        </w:rPr>
      </w:pPr>
      <w:r>
        <w:rPr>
          <w:b/>
          <w:bCs/>
        </w:rPr>
        <w:tab/>
        <w:t>(c)</w:t>
      </w:r>
      <w:r>
        <w:rPr>
          <w:b/>
          <w:bCs/>
        </w:rPr>
        <w:tab/>
      </w:r>
      <w:r w:rsidR="00FC33F4" w:rsidRPr="00C70597">
        <w:rPr>
          <w:b/>
          <w:bCs/>
        </w:rPr>
        <w:t>P</w:t>
      </w:r>
      <w:r w:rsidR="00540857" w:rsidRPr="00C70597">
        <w:rPr>
          <w:b/>
          <w:bCs/>
        </w:rPr>
        <w:t>revent any unjustified interruptions in the allocation of social security benefits</w:t>
      </w:r>
      <w:r w:rsidR="00A87547" w:rsidRPr="00C70597">
        <w:rPr>
          <w:b/>
          <w:bCs/>
        </w:rPr>
        <w:t>, such as benefits to those who are unable to work, which are recognized only for a period of up to nine months per calendar year</w:t>
      </w:r>
      <w:r w:rsidR="00540857" w:rsidRPr="00C70597">
        <w:rPr>
          <w:b/>
          <w:bCs/>
        </w:rPr>
        <w:t xml:space="preserve">. </w:t>
      </w:r>
    </w:p>
    <w:p w:rsidR="00540857" w:rsidRDefault="00155B29" w:rsidP="00967D5C">
      <w:pPr>
        <w:pStyle w:val="H23G"/>
      </w:pPr>
      <w:r>
        <w:tab/>
      </w:r>
      <w:r>
        <w:tab/>
      </w:r>
      <w:r w:rsidR="00540857">
        <w:t>Trafficking in persons</w:t>
      </w:r>
    </w:p>
    <w:p w:rsidR="00540857" w:rsidRPr="005832F1" w:rsidRDefault="008B3028" w:rsidP="008B3028">
      <w:pPr>
        <w:pStyle w:val="SingleTxtG"/>
        <w:rPr>
          <w:lang w:val="en-US"/>
        </w:rPr>
      </w:pPr>
      <w:r w:rsidRPr="005832F1">
        <w:rPr>
          <w:lang w:val="en-US"/>
        </w:rPr>
        <w:t>25.</w:t>
      </w:r>
      <w:r w:rsidRPr="005832F1">
        <w:rPr>
          <w:lang w:val="en-US"/>
        </w:rPr>
        <w:tab/>
      </w:r>
      <w:r w:rsidR="00540857">
        <w:rPr>
          <w:lang w:val="en-US"/>
        </w:rPr>
        <w:t xml:space="preserve">While noting </w:t>
      </w:r>
      <w:r w:rsidR="001D1310">
        <w:rPr>
          <w:lang w:val="en-US"/>
        </w:rPr>
        <w:t xml:space="preserve">the </w:t>
      </w:r>
      <w:r w:rsidR="00540857">
        <w:rPr>
          <w:lang w:val="en-US"/>
        </w:rPr>
        <w:t xml:space="preserve">measures taken against trafficking in persons, the Committee is deeply concerned about the increase in trafficking in persons, both internal and </w:t>
      </w:r>
      <w:r w:rsidR="00540857" w:rsidRPr="008D18DE">
        <w:rPr>
          <w:lang w:val="en-US"/>
        </w:rPr>
        <w:t>cross-border,</w:t>
      </w:r>
      <w:r w:rsidR="00540857">
        <w:rPr>
          <w:lang w:val="en-US"/>
        </w:rPr>
        <w:t xml:space="preserve"> in particular women and children</w:t>
      </w:r>
      <w:r w:rsidR="001D1310">
        <w:rPr>
          <w:lang w:val="en-US"/>
        </w:rPr>
        <w:t>,</w:t>
      </w:r>
      <w:r w:rsidR="00540857">
        <w:rPr>
          <w:lang w:val="en-US"/>
        </w:rPr>
        <w:t xml:space="preserve"> and </w:t>
      </w:r>
      <w:r w:rsidR="00540857" w:rsidRPr="0052138A">
        <w:t>the</w:t>
      </w:r>
      <w:r w:rsidR="00540857">
        <w:rPr>
          <w:lang w:val="en-US"/>
        </w:rPr>
        <w:t xml:space="preserve"> low numbers of persons prosecuted and convicted for the crime of trafficking in persons. </w:t>
      </w:r>
      <w:r w:rsidR="00540857" w:rsidRPr="005832F1">
        <w:rPr>
          <w:lang w:val="en-US"/>
        </w:rPr>
        <w:t xml:space="preserve">The Committee is also concerned at the lack of medical, legal and social assistance, including shelter, </w:t>
      </w:r>
      <w:r w:rsidR="001D1310">
        <w:rPr>
          <w:lang w:val="en-US"/>
        </w:rPr>
        <w:t>for</w:t>
      </w:r>
      <w:r w:rsidR="00540857" w:rsidRPr="005832F1">
        <w:rPr>
          <w:lang w:val="en-US"/>
        </w:rPr>
        <w:t xml:space="preserve"> the victims of traf</w:t>
      </w:r>
      <w:r w:rsidR="00C70597">
        <w:rPr>
          <w:lang w:val="en-US"/>
        </w:rPr>
        <w:t>ficking (art. </w:t>
      </w:r>
      <w:r w:rsidR="00540857" w:rsidRPr="005832F1">
        <w:rPr>
          <w:lang w:val="en-US"/>
        </w:rPr>
        <w:t>10).</w:t>
      </w:r>
    </w:p>
    <w:p w:rsidR="00540857" w:rsidRDefault="00540857" w:rsidP="00540857">
      <w:pPr>
        <w:pStyle w:val="SingleTxtG"/>
        <w:rPr>
          <w:b/>
          <w:lang w:val="en-US"/>
        </w:rPr>
      </w:pPr>
      <w:r>
        <w:rPr>
          <w:b/>
          <w:lang w:val="en-US"/>
        </w:rPr>
        <w:t>The Committee recommends that the State party:</w:t>
      </w:r>
    </w:p>
    <w:p w:rsidR="00540857" w:rsidRPr="00C70597" w:rsidRDefault="00C70597" w:rsidP="00C70597">
      <w:pPr>
        <w:pStyle w:val="SingleTxtG"/>
        <w:rPr>
          <w:b/>
          <w:bCs/>
        </w:rPr>
      </w:pPr>
      <w:r>
        <w:rPr>
          <w:b/>
          <w:bCs/>
        </w:rPr>
        <w:tab/>
        <w:t>(a)</w:t>
      </w:r>
      <w:r>
        <w:rPr>
          <w:b/>
          <w:bCs/>
        </w:rPr>
        <w:tab/>
      </w:r>
      <w:r w:rsidR="00540857" w:rsidRPr="00C70597">
        <w:rPr>
          <w:b/>
          <w:bCs/>
        </w:rPr>
        <w:t xml:space="preserve">Take further measures to ensure </w:t>
      </w:r>
      <w:r w:rsidR="001D1310">
        <w:rPr>
          <w:b/>
          <w:bCs/>
        </w:rPr>
        <w:t xml:space="preserve">the </w:t>
      </w:r>
      <w:r w:rsidR="00540857" w:rsidRPr="00C70597">
        <w:rPr>
          <w:b/>
          <w:bCs/>
        </w:rPr>
        <w:t xml:space="preserve">early identification of victims and </w:t>
      </w:r>
      <w:r w:rsidR="001D1310">
        <w:rPr>
          <w:b/>
          <w:bCs/>
        </w:rPr>
        <w:t xml:space="preserve">the </w:t>
      </w:r>
      <w:r w:rsidR="00540857" w:rsidRPr="00C70597">
        <w:rPr>
          <w:b/>
          <w:bCs/>
        </w:rPr>
        <w:t>adequate training of law enforcement officers and the judiciary</w:t>
      </w:r>
      <w:r w:rsidR="001D1310">
        <w:rPr>
          <w:b/>
          <w:bCs/>
        </w:rPr>
        <w:t>,</w:t>
      </w:r>
      <w:r w:rsidR="00540857" w:rsidRPr="00C70597">
        <w:rPr>
          <w:b/>
          <w:bCs/>
        </w:rPr>
        <w:t xml:space="preserve"> with a view to effective investigation and prosecution of the perpetrators of trafficking as well as of </w:t>
      </w:r>
      <w:r w:rsidR="009769B6">
        <w:rPr>
          <w:b/>
          <w:bCs/>
        </w:rPr>
        <w:t xml:space="preserve">those who </w:t>
      </w:r>
      <w:r w:rsidR="00540857" w:rsidRPr="00C70597">
        <w:rPr>
          <w:b/>
          <w:bCs/>
        </w:rPr>
        <w:t xml:space="preserve">exploit the victims of such acts; </w:t>
      </w:r>
    </w:p>
    <w:p w:rsidR="00540857" w:rsidRPr="00C70597" w:rsidRDefault="00C70597" w:rsidP="00C70597">
      <w:pPr>
        <w:pStyle w:val="SingleTxtG"/>
        <w:rPr>
          <w:b/>
          <w:bCs/>
        </w:rPr>
      </w:pPr>
      <w:r>
        <w:rPr>
          <w:b/>
          <w:bCs/>
        </w:rPr>
        <w:tab/>
        <w:t>(b)</w:t>
      </w:r>
      <w:r>
        <w:rPr>
          <w:b/>
          <w:bCs/>
        </w:rPr>
        <w:tab/>
      </w:r>
      <w:r w:rsidR="00540857" w:rsidRPr="00C70597">
        <w:rPr>
          <w:b/>
          <w:bCs/>
        </w:rPr>
        <w:t xml:space="preserve">Strengthen </w:t>
      </w:r>
      <w:r w:rsidR="001D1310">
        <w:rPr>
          <w:b/>
          <w:bCs/>
        </w:rPr>
        <w:t xml:space="preserve">the </w:t>
      </w:r>
      <w:r w:rsidR="00540857" w:rsidRPr="00C70597">
        <w:rPr>
          <w:b/>
          <w:bCs/>
        </w:rPr>
        <w:t xml:space="preserve">collection of data on the victims, </w:t>
      </w:r>
      <w:r w:rsidR="00B41CC3" w:rsidRPr="00C70597">
        <w:rPr>
          <w:b/>
          <w:bCs/>
        </w:rPr>
        <w:t xml:space="preserve">perpetrators, investigations and </w:t>
      </w:r>
      <w:r w:rsidR="00540857" w:rsidRPr="00C70597">
        <w:rPr>
          <w:b/>
          <w:bCs/>
        </w:rPr>
        <w:t xml:space="preserve">sanctions, </w:t>
      </w:r>
      <w:r w:rsidR="00540857" w:rsidRPr="000E4B06">
        <w:rPr>
          <w:b/>
          <w:bCs/>
        </w:rPr>
        <w:t xml:space="preserve">including </w:t>
      </w:r>
      <w:r w:rsidR="00044021">
        <w:rPr>
          <w:b/>
          <w:bCs/>
        </w:rPr>
        <w:t xml:space="preserve">on </w:t>
      </w:r>
      <w:r w:rsidR="004F0C46">
        <w:rPr>
          <w:b/>
          <w:bCs/>
          <w:lang w:val="en-GB"/>
        </w:rPr>
        <w:t>sanctions</w:t>
      </w:r>
      <w:r w:rsidR="00326C35">
        <w:rPr>
          <w:b/>
          <w:bCs/>
          <w:lang w:val="en-GB"/>
        </w:rPr>
        <w:t xml:space="preserve"> </w:t>
      </w:r>
      <w:r w:rsidR="00540857" w:rsidRPr="000E4B06">
        <w:rPr>
          <w:b/>
          <w:bCs/>
        </w:rPr>
        <w:t>for</w:t>
      </w:r>
      <w:r w:rsidR="00540857" w:rsidRPr="00C70597">
        <w:rPr>
          <w:b/>
          <w:bCs/>
        </w:rPr>
        <w:t xml:space="preserve"> law enforcement officia</w:t>
      </w:r>
      <w:r w:rsidR="00155B29" w:rsidRPr="00C70597">
        <w:rPr>
          <w:b/>
          <w:bCs/>
        </w:rPr>
        <w:t>ls implicated in trafficking;</w:t>
      </w:r>
    </w:p>
    <w:p w:rsidR="00540857" w:rsidRPr="00C70597" w:rsidRDefault="00C70597" w:rsidP="00C70597">
      <w:pPr>
        <w:pStyle w:val="SingleTxtG"/>
        <w:rPr>
          <w:b/>
          <w:bCs/>
        </w:rPr>
      </w:pPr>
      <w:r>
        <w:rPr>
          <w:b/>
          <w:bCs/>
        </w:rPr>
        <w:tab/>
        <w:t>(c)</w:t>
      </w:r>
      <w:r>
        <w:rPr>
          <w:b/>
          <w:bCs/>
        </w:rPr>
        <w:tab/>
      </w:r>
      <w:r w:rsidR="00540857" w:rsidRPr="00C70597">
        <w:rPr>
          <w:b/>
          <w:bCs/>
        </w:rPr>
        <w:t xml:space="preserve">Provide adequate medical, legal and social assistance, including shelter, to the victims of trafficking, and ensure their access to judicial remedies. </w:t>
      </w:r>
    </w:p>
    <w:p w:rsidR="00540857" w:rsidRPr="006C4D6A" w:rsidRDefault="00155B29" w:rsidP="00967D5C">
      <w:pPr>
        <w:pStyle w:val="H23G"/>
      </w:pPr>
      <w:r>
        <w:tab/>
      </w:r>
      <w:r>
        <w:tab/>
      </w:r>
      <w:r w:rsidR="00540857" w:rsidRPr="006C4D6A">
        <w:t xml:space="preserve">Domestic </w:t>
      </w:r>
      <w:r w:rsidR="00A72FE6">
        <w:t>v</w:t>
      </w:r>
      <w:r w:rsidR="00540857" w:rsidRPr="006C4D6A">
        <w:t>iolence</w:t>
      </w:r>
    </w:p>
    <w:p w:rsidR="00540857" w:rsidRPr="00C47F19" w:rsidRDefault="008B3028" w:rsidP="008B3028">
      <w:pPr>
        <w:pStyle w:val="SingleTxtG"/>
        <w:rPr>
          <w:lang w:val="en-US"/>
        </w:rPr>
      </w:pPr>
      <w:r w:rsidRPr="00C47F19">
        <w:rPr>
          <w:lang w:val="en-US"/>
        </w:rPr>
        <w:t>26.</w:t>
      </w:r>
      <w:r w:rsidRPr="00C47F19">
        <w:rPr>
          <w:lang w:val="en-US"/>
        </w:rPr>
        <w:tab/>
      </w:r>
      <w:r w:rsidR="00540857">
        <w:rPr>
          <w:lang w:val="en-US"/>
        </w:rPr>
        <w:t xml:space="preserve">While welcoming the criminalization of domestic violence, the </w:t>
      </w:r>
      <w:r w:rsidR="00540857" w:rsidRPr="001B0174">
        <w:rPr>
          <w:lang w:val="en-US"/>
        </w:rPr>
        <w:t xml:space="preserve">Committee </w:t>
      </w:r>
      <w:r w:rsidR="00540857">
        <w:rPr>
          <w:lang w:val="en-US"/>
        </w:rPr>
        <w:t xml:space="preserve">notes with concern the reported lack of effectiveness of the National Strategy for Preventing and Combating Violence against Women in the Family and in Intimate </w:t>
      </w:r>
      <w:r w:rsidR="00EA3322">
        <w:rPr>
          <w:lang w:val="en-US"/>
        </w:rPr>
        <w:t xml:space="preserve">Partner </w:t>
      </w:r>
      <w:r w:rsidR="00540857">
        <w:rPr>
          <w:lang w:val="en-US"/>
        </w:rPr>
        <w:t xml:space="preserve">Relationships </w:t>
      </w:r>
      <w:r w:rsidR="00EA3322">
        <w:rPr>
          <w:lang w:val="en-US"/>
        </w:rPr>
        <w:t>(</w:t>
      </w:r>
      <w:r w:rsidR="00540857">
        <w:rPr>
          <w:lang w:val="en-US"/>
        </w:rPr>
        <w:t>2011</w:t>
      </w:r>
      <w:r w:rsidR="00EA3322">
        <w:rPr>
          <w:lang w:val="en-US"/>
        </w:rPr>
        <w:t>–</w:t>
      </w:r>
      <w:r w:rsidR="00540857">
        <w:rPr>
          <w:lang w:val="en-US"/>
        </w:rPr>
        <w:t>2015</w:t>
      </w:r>
      <w:r w:rsidR="00EA3322">
        <w:rPr>
          <w:lang w:val="en-US"/>
        </w:rPr>
        <w:t>),</w:t>
      </w:r>
      <w:r w:rsidR="00540857">
        <w:rPr>
          <w:lang w:val="en-US"/>
        </w:rPr>
        <w:t xml:space="preserve"> as more than half of the women experienced some form of violence. The Committee is also concerned about the high incidence of abuse and neglect of children </w:t>
      </w:r>
      <w:r w:rsidR="00C70597">
        <w:rPr>
          <w:lang w:val="en-US"/>
        </w:rPr>
        <w:t>(art. </w:t>
      </w:r>
      <w:r w:rsidR="00540857" w:rsidRPr="001B0174">
        <w:rPr>
          <w:lang w:val="en-US"/>
        </w:rPr>
        <w:t xml:space="preserve">10). </w:t>
      </w:r>
    </w:p>
    <w:p w:rsidR="00E6402B" w:rsidRDefault="00540857" w:rsidP="00540857">
      <w:pPr>
        <w:pStyle w:val="SingleTxtG"/>
        <w:rPr>
          <w:b/>
          <w:lang w:val="en-US"/>
        </w:rPr>
      </w:pPr>
      <w:r w:rsidRPr="005832F1">
        <w:rPr>
          <w:b/>
          <w:lang w:val="en-US"/>
        </w:rPr>
        <w:t xml:space="preserve">The Committee </w:t>
      </w:r>
      <w:r>
        <w:rPr>
          <w:b/>
          <w:lang w:val="en-US"/>
        </w:rPr>
        <w:t xml:space="preserve">urges the </w:t>
      </w:r>
      <w:r w:rsidRPr="005832F1">
        <w:rPr>
          <w:b/>
          <w:lang w:val="en-US"/>
        </w:rPr>
        <w:t xml:space="preserve">State party </w:t>
      </w:r>
      <w:r>
        <w:rPr>
          <w:b/>
          <w:lang w:val="en-US"/>
        </w:rPr>
        <w:t xml:space="preserve">to </w:t>
      </w:r>
      <w:r w:rsidRPr="005832F1">
        <w:rPr>
          <w:b/>
          <w:lang w:val="en-US"/>
        </w:rPr>
        <w:t xml:space="preserve">effectively investigate, prosecute and punish all acts of </w:t>
      </w:r>
      <w:r>
        <w:rPr>
          <w:b/>
          <w:lang w:val="en-US"/>
        </w:rPr>
        <w:t>domestic and gender</w:t>
      </w:r>
      <w:r w:rsidR="001B758E">
        <w:rPr>
          <w:b/>
          <w:lang w:val="en-US"/>
        </w:rPr>
        <w:t>-</w:t>
      </w:r>
      <w:r>
        <w:rPr>
          <w:b/>
          <w:lang w:val="en-US"/>
        </w:rPr>
        <w:t xml:space="preserve">based </w:t>
      </w:r>
      <w:r w:rsidRPr="005832F1">
        <w:rPr>
          <w:b/>
          <w:lang w:val="en-US"/>
        </w:rPr>
        <w:t>violence</w:t>
      </w:r>
      <w:r>
        <w:rPr>
          <w:b/>
          <w:lang w:val="en-US"/>
        </w:rPr>
        <w:t>, including abuse and neglect of children</w:t>
      </w:r>
      <w:r w:rsidRPr="005832F1">
        <w:rPr>
          <w:b/>
          <w:lang w:val="en-US"/>
        </w:rPr>
        <w:t xml:space="preserve">; </w:t>
      </w:r>
      <w:r w:rsidR="00D75BD0">
        <w:rPr>
          <w:b/>
          <w:lang w:val="en-US"/>
        </w:rPr>
        <w:t xml:space="preserve">to </w:t>
      </w:r>
      <w:r>
        <w:rPr>
          <w:b/>
          <w:lang w:val="en-US"/>
        </w:rPr>
        <w:t>s</w:t>
      </w:r>
      <w:r w:rsidRPr="005832F1">
        <w:rPr>
          <w:b/>
          <w:lang w:val="en-US"/>
        </w:rPr>
        <w:t xml:space="preserve">upport victims of </w:t>
      </w:r>
      <w:r>
        <w:rPr>
          <w:b/>
          <w:lang w:val="en-US"/>
        </w:rPr>
        <w:t>such acts</w:t>
      </w:r>
      <w:r w:rsidRPr="005832F1">
        <w:rPr>
          <w:b/>
          <w:lang w:val="en-US"/>
        </w:rPr>
        <w:t xml:space="preserve">, including </w:t>
      </w:r>
      <w:r w:rsidR="00365ADE">
        <w:rPr>
          <w:b/>
          <w:lang w:val="en-US"/>
        </w:rPr>
        <w:t>by providing for</w:t>
      </w:r>
      <w:r w:rsidRPr="005832F1">
        <w:rPr>
          <w:b/>
          <w:lang w:val="en-US"/>
        </w:rPr>
        <w:t xml:space="preserve"> adequate crisis </w:t>
      </w:r>
      <w:proofErr w:type="spellStart"/>
      <w:r w:rsidRPr="005832F1">
        <w:rPr>
          <w:b/>
          <w:lang w:val="en-US"/>
        </w:rPr>
        <w:t>cent</w:t>
      </w:r>
      <w:r w:rsidR="001B758E">
        <w:rPr>
          <w:b/>
          <w:lang w:val="en-US"/>
        </w:rPr>
        <w:t>r</w:t>
      </w:r>
      <w:r>
        <w:rPr>
          <w:b/>
          <w:lang w:val="en-US"/>
        </w:rPr>
        <w:t>e</w:t>
      </w:r>
      <w:r w:rsidRPr="005832F1">
        <w:rPr>
          <w:b/>
          <w:lang w:val="en-US"/>
        </w:rPr>
        <w:t>s</w:t>
      </w:r>
      <w:proofErr w:type="spellEnd"/>
      <w:r w:rsidRPr="005832F1">
        <w:rPr>
          <w:b/>
          <w:lang w:val="en-US"/>
        </w:rPr>
        <w:t xml:space="preserve"> </w:t>
      </w:r>
      <w:r w:rsidR="001B758E">
        <w:rPr>
          <w:b/>
          <w:lang w:val="en-US"/>
        </w:rPr>
        <w:t xml:space="preserve">that </w:t>
      </w:r>
      <w:r>
        <w:rPr>
          <w:b/>
          <w:lang w:val="en-US"/>
        </w:rPr>
        <w:t xml:space="preserve">offer </w:t>
      </w:r>
      <w:r w:rsidRPr="005832F1">
        <w:rPr>
          <w:b/>
          <w:lang w:val="en-US"/>
        </w:rPr>
        <w:t xml:space="preserve">safe lodging and necessary assistance; </w:t>
      </w:r>
      <w:r w:rsidR="00D75BD0">
        <w:rPr>
          <w:b/>
          <w:lang w:val="en-US"/>
        </w:rPr>
        <w:t xml:space="preserve">to </w:t>
      </w:r>
      <w:r w:rsidRPr="005832F1">
        <w:rPr>
          <w:b/>
          <w:lang w:val="en-US"/>
        </w:rPr>
        <w:t>provide training to law enforcement officials and judges</w:t>
      </w:r>
      <w:r w:rsidR="00D75BD0">
        <w:rPr>
          <w:b/>
          <w:lang w:val="en-US"/>
        </w:rPr>
        <w:t>;</w:t>
      </w:r>
      <w:r w:rsidRPr="005832F1">
        <w:rPr>
          <w:b/>
          <w:lang w:val="en-US"/>
        </w:rPr>
        <w:t xml:space="preserve"> and </w:t>
      </w:r>
      <w:r w:rsidR="00D75BD0">
        <w:rPr>
          <w:b/>
          <w:lang w:val="en-US"/>
        </w:rPr>
        <w:t xml:space="preserve">to </w:t>
      </w:r>
      <w:r w:rsidRPr="005832F1">
        <w:rPr>
          <w:b/>
          <w:lang w:val="en-US"/>
        </w:rPr>
        <w:t xml:space="preserve">undertake information campaigns in order to increase public awareness about the pervasive nature of </w:t>
      </w:r>
      <w:r>
        <w:rPr>
          <w:b/>
          <w:lang w:val="en-US"/>
        </w:rPr>
        <w:t>domestic and gender</w:t>
      </w:r>
      <w:r w:rsidR="001B758E">
        <w:rPr>
          <w:b/>
          <w:lang w:val="en-US"/>
        </w:rPr>
        <w:t>-</w:t>
      </w:r>
      <w:r>
        <w:rPr>
          <w:b/>
          <w:lang w:val="en-US"/>
        </w:rPr>
        <w:t xml:space="preserve">based violence, including abuse and neglect of children. </w:t>
      </w:r>
    </w:p>
    <w:p w:rsidR="00540857" w:rsidRDefault="00155B29" w:rsidP="00967D5C">
      <w:pPr>
        <w:pStyle w:val="H23G"/>
      </w:pPr>
      <w:r>
        <w:tab/>
      </w:r>
      <w:r>
        <w:tab/>
      </w:r>
      <w:r w:rsidR="00540857">
        <w:t xml:space="preserve">Children without parental care </w:t>
      </w:r>
    </w:p>
    <w:p w:rsidR="00365ADE" w:rsidRDefault="008B3028" w:rsidP="008B3028">
      <w:pPr>
        <w:pStyle w:val="SingleTxtG"/>
        <w:rPr>
          <w:lang w:val="en-US"/>
        </w:rPr>
      </w:pPr>
      <w:r>
        <w:rPr>
          <w:lang w:val="en-US"/>
        </w:rPr>
        <w:t>27.</w:t>
      </w:r>
      <w:r>
        <w:rPr>
          <w:lang w:val="en-US"/>
        </w:rPr>
        <w:tab/>
      </w:r>
      <w:r w:rsidR="00B72416" w:rsidRPr="00B72416">
        <w:rPr>
          <w:lang w:val="en-US"/>
        </w:rPr>
        <w:t xml:space="preserve">The Committee is concerned about the increase in </w:t>
      </w:r>
      <w:r w:rsidR="001B758E">
        <w:rPr>
          <w:lang w:val="en-US"/>
        </w:rPr>
        <w:t xml:space="preserve">the </w:t>
      </w:r>
      <w:r w:rsidR="00B72416" w:rsidRPr="00B72416">
        <w:rPr>
          <w:lang w:val="en-US"/>
        </w:rPr>
        <w:t>separation of children from the family</w:t>
      </w:r>
      <w:r w:rsidR="00B72416">
        <w:rPr>
          <w:lang w:val="en-US"/>
        </w:rPr>
        <w:t>.</w:t>
      </w:r>
      <w:r w:rsidR="00B72416" w:rsidRPr="00B72416">
        <w:rPr>
          <w:lang w:val="en-US"/>
        </w:rPr>
        <w:t xml:space="preserve"> </w:t>
      </w:r>
      <w:r w:rsidR="00B72416">
        <w:rPr>
          <w:lang w:val="en-US"/>
        </w:rPr>
        <w:t xml:space="preserve">It is also </w:t>
      </w:r>
      <w:r w:rsidR="00540857">
        <w:rPr>
          <w:lang w:val="en-US"/>
        </w:rPr>
        <w:t>concern</w:t>
      </w:r>
      <w:r w:rsidR="00B72416">
        <w:rPr>
          <w:lang w:val="en-US"/>
        </w:rPr>
        <w:t>ed about</w:t>
      </w:r>
      <w:r w:rsidR="00540857">
        <w:rPr>
          <w:lang w:val="en-US"/>
        </w:rPr>
        <w:t xml:space="preserve"> the insufficient information </w:t>
      </w:r>
      <w:r w:rsidR="00B72416">
        <w:rPr>
          <w:lang w:val="en-US"/>
        </w:rPr>
        <w:t>on</w:t>
      </w:r>
      <w:r w:rsidR="00540857">
        <w:rPr>
          <w:lang w:val="en-US"/>
        </w:rPr>
        <w:t xml:space="preserve"> the efforts to provide alternative family care for </w:t>
      </w:r>
      <w:r w:rsidR="00540857" w:rsidRPr="0052138A">
        <w:t>children</w:t>
      </w:r>
      <w:r w:rsidR="00540857">
        <w:rPr>
          <w:lang w:val="en-US"/>
        </w:rPr>
        <w:t xml:space="preserve"> without parental care, and the fact that community</w:t>
      </w:r>
      <w:r w:rsidR="001B758E">
        <w:rPr>
          <w:lang w:val="en-US"/>
        </w:rPr>
        <w:t>-</w:t>
      </w:r>
      <w:r w:rsidR="00540857">
        <w:rPr>
          <w:lang w:val="en-US"/>
        </w:rPr>
        <w:t xml:space="preserve">based alternatives to institutional care are insufficiently developed </w:t>
      </w:r>
      <w:r w:rsidR="00C70597">
        <w:rPr>
          <w:lang w:val="en-US"/>
        </w:rPr>
        <w:t>(art. </w:t>
      </w:r>
      <w:r w:rsidR="00155B29">
        <w:rPr>
          <w:lang w:val="en-US"/>
        </w:rPr>
        <w:t>10)</w:t>
      </w:r>
      <w:r w:rsidR="006A133C">
        <w:rPr>
          <w:lang w:val="en-US"/>
        </w:rPr>
        <w:t>.</w:t>
      </w:r>
    </w:p>
    <w:p w:rsidR="00540857" w:rsidRDefault="00540857" w:rsidP="00540857">
      <w:pPr>
        <w:pStyle w:val="SingleTxtG"/>
        <w:rPr>
          <w:b/>
          <w:lang w:val="en-US"/>
        </w:rPr>
      </w:pPr>
      <w:r w:rsidRPr="00D90F35">
        <w:rPr>
          <w:b/>
          <w:lang w:val="en-US"/>
        </w:rPr>
        <w:t>The Committee urges the State party to</w:t>
      </w:r>
      <w:r>
        <w:rPr>
          <w:b/>
          <w:lang w:val="en-US"/>
        </w:rPr>
        <w:t xml:space="preserve">: </w:t>
      </w:r>
    </w:p>
    <w:p w:rsidR="00B72416" w:rsidRPr="00C70597" w:rsidRDefault="00C70597" w:rsidP="00C70597">
      <w:pPr>
        <w:pStyle w:val="SingleTxtG"/>
        <w:rPr>
          <w:b/>
          <w:bCs/>
        </w:rPr>
      </w:pPr>
      <w:r>
        <w:rPr>
          <w:b/>
          <w:bCs/>
        </w:rPr>
        <w:tab/>
        <w:t>(a)</w:t>
      </w:r>
      <w:r>
        <w:rPr>
          <w:b/>
          <w:bCs/>
        </w:rPr>
        <w:tab/>
      </w:r>
      <w:r w:rsidR="00B72416" w:rsidRPr="00C70597">
        <w:rPr>
          <w:b/>
          <w:bCs/>
        </w:rPr>
        <w:t>Prevent the separation of children from the family, in the best interest of the child, and take steps to ensure that the childcare system provide</w:t>
      </w:r>
      <w:r w:rsidR="001B758E">
        <w:rPr>
          <w:b/>
          <w:bCs/>
        </w:rPr>
        <w:t>s</w:t>
      </w:r>
      <w:r w:rsidR="00B72416" w:rsidRPr="00C70597">
        <w:rPr>
          <w:b/>
          <w:bCs/>
        </w:rPr>
        <w:t xml:space="preserve"> effective support to families in crisis and at risk of child </w:t>
      </w:r>
      <w:r w:rsidR="00155B29" w:rsidRPr="00C70597">
        <w:rPr>
          <w:b/>
          <w:bCs/>
        </w:rPr>
        <w:t>separation from the family;</w:t>
      </w:r>
    </w:p>
    <w:p w:rsidR="00540857" w:rsidRPr="00C70597" w:rsidRDefault="00C70597" w:rsidP="00C70597">
      <w:pPr>
        <w:pStyle w:val="SingleTxtG"/>
        <w:rPr>
          <w:b/>
          <w:bCs/>
        </w:rPr>
      </w:pPr>
      <w:r>
        <w:rPr>
          <w:b/>
          <w:bCs/>
        </w:rPr>
        <w:tab/>
        <w:t>(b)</w:t>
      </w:r>
      <w:r>
        <w:rPr>
          <w:b/>
          <w:bCs/>
        </w:rPr>
        <w:tab/>
      </w:r>
      <w:r w:rsidR="00540857" w:rsidRPr="00C70597">
        <w:rPr>
          <w:b/>
          <w:bCs/>
        </w:rPr>
        <w:t>Take further measures to provide adequate alternative family care for children without parental care, with a focus on children with disabilit</w:t>
      </w:r>
      <w:r w:rsidR="001B758E">
        <w:rPr>
          <w:b/>
          <w:bCs/>
        </w:rPr>
        <w:t>ies</w:t>
      </w:r>
      <w:r w:rsidR="00540857" w:rsidRPr="00C70597">
        <w:rPr>
          <w:b/>
          <w:bCs/>
        </w:rPr>
        <w:t xml:space="preserve">; </w:t>
      </w:r>
    </w:p>
    <w:p w:rsidR="00540857" w:rsidRPr="00C70597" w:rsidRDefault="00C70597" w:rsidP="00C70597">
      <w:pPr>
        <w:pStyle w:val="SingleTxtG"/>
        <w:rPr>
          <w:b/>
          <w:bCs/>
        </w:rPr>
      </w:pPr>
      <w:r>
        <w:rPr>
          <w:b/>
          <w:bCs/>
        </w:rPr>
        <w:tab/>
        <w:t>(c)</w:t>
      </w:r>
      <w:r>
        <w:rPr>
          <w:b/>
          <w:bCs/>
        </w:rPr>
        <w:tab/>
      </w:r>
      <w:r w:rsidR="00540857" w:rsidRPr="00C70597">
        <w:rPr>
          <w:b/>
          <w:bCs/>
        </w:rPr>
        <w:t xml:space="preserve">Accord </w:t>
      </w:r>
      <w:r w:rsidR="00E6402B" w:rsidRPr="00C70597">
        <w:rPr>
          <w:b/>
          <w:bCs/>
        </w:rPr>
        <w:t>priority to community</w:t>
      </w:r>
      <w:r w:rsidR="001B758E">
        <w:rPr>
          <w:b/>
          <w:bCs/>
        </w:rPr>
        <w:t>-</w:t>
      </w:r>
      <w:r w:rsidR="00E6402B" w:rsidRPr="00C70597">
        <w:rPr>
          <w:b/>
          <w:bCs/>
        </w:rPr>
        <w:t>based alternative social services, rather than residential institutional care</w:t>
      </w:r>
      <w:r w:rsidR="001B758E">
        <w:rPr>
          <w:b/>
          <w:bCs/>
        </w:rPr>
        <w:t>,</w:t>
      </w:r>
      <w:r w:rsidR="00E6402B" w:rsidRPr="00C70597">
        <w:rPr>
          <w:b/>
          <w:bCs/>
        </w:rPr>
        <w:t xml:space="preserve"> for children without parental care, and develop</w:t>
      </w:r>
      <w:r w:rsidR="00540857" w:rsidRPr="00C70597">
        <w:rPr>
          <w:b/>
          <w:bCs/>
        </w:rPr>
        <w:t xml:space="preserve"> proactive measures </w:t>
      </w:r>
      <w:r w:rsidR="00540857" w:rsidRPr="000E4B06">
        <w:rPr>
          <w:b/>
          <w:bCs/>
        </w:rPr>
        <w:t>for leaving</w:t>
      </w:r>
      <w:r w:rsidR="00540857" w:rsidRPr="00C70597">
        <w:rPr>
          <w:b/>
          <w:bCs/>
        </w:rPr>
        <w:t xml:space="preserve"> institutional care</w:t>
      </w:r>
      <w:r w:rsidR="00B72416" w:rsidRPr="00C70597">
        <w:rPr>
          <w:b/>
          <w:bCs/>
        </w:rPr>
        <w:t>.</w:t>
      </w:r>
      <w:r w:rsidR="00540857" w:rsidRPr="00C70597">
        <w:rPr>
          <w:b/>
          <w:bCs/>
        </w:rPr>
        <w:t xml:space="preserve"> </w:t>
      </w:r>
    </w:p>
    <w:p w:rsidR="00540857" w:rsidRPr="00C76359" w:rsidRDefault="00155B29" w:rsidP="00967D5C">
      <w:pPr>
        <w:pStyle w:val="H23G"/>
      </w:pPr>
      <w:r>
        <w:tab/>
      </w:r>
      <w:r>
        <w:tab/>
      </w:r>
      <w:r w:rsidR="00540857">
        <w:t>Child labo</w:t>
      </w:r>
      <w:r w:rsidR="00967D5C">
        <w:t>u</w:t>
      </w:r>
      <w:r w:rsidR="00540857" w:rsidRPr="00C76359">
        <w:t>r</w:t>
      </w:r>
    </w:p>
    <w:p w:rsidR="00540857" w:rsidRPr="00C34998" w:rsidRDefault="008B3028" w:rsidP="008B3028">
      <w:pPr>
        <w:pStyle w:val="SingleTxtG"/>
        <w:rPr>
          <w:lang w:val="en-US"/>
        </w:rPr>
      </w:pPr>
      <w:r w:rsidRPr="00C34998">
        <w:rPr>
          <w:lang w:val="en-US"/>
        </w:rPr>
        <w:t>28.</w:t>
      </w:r>
      <w:r w:rsidRPr="00C34998">
        <w:rPr>
          <w:lang w:val="en-US"/>
        </w:rPr>
        <w:tab/>
      </w:r>
      <w:r w:rsidR="00540857" w:rsidRPr="00D11103">
        <w:t>The</w:t>
      </w:r>
      <w:r w:rsidR="00540857" w:rsidRPr="00C34998">
        <w:rPr>
          <w:lang w:val="en-US"/>
        </w:rPr>
        <w:t xml:space="preserve"> Committee </w:t>
      </w:r>
      <w:r w:rsidR="00540857">
        <w:rPr>
          <w:lang w:val="en-US"/>
        </w:rPr>
        <w:t>notes with concern that many children, in particular Roma</w:t>
      </w:r>
      <w:r w:rsidR="001B758E">
        <w:rPr>
          <w:lang w:val="en-US"/>
        </w:rPr>
        <w:t xml:space="preserve"> children</w:t>
      </w:r>
      <w:r w:rsidR="00540857">
        <w:rPr>
          <w:lang w:val="en-US"/>
        </w:rPr>
        <w:t xml:space="preserve">, below the minimum age for employment </w:t>
      </w:r>
      <w:r w:rsidR="00540857" w:rsidRPr="00C34998">
        <w:rPr>
          <w:lang w:val="en-US"/>
        </w:rPr>
        <w:t xml:space="preserve">of 15 </w:t>
      </w:r>
      <w:r w:rsidR="00540857" w:rsidRPr="0052138A">
        <w:t>years</w:t>
      </w:r>
      <w:r w:rsidR="00540857" w:rsidRPr="00C34998">
        <w:rPr>
          <w:lang w:val="en-US"/>
        </w:rPr>
        <w:t xml:space="preserve"> </w:t>
      </w:r>
      <w:r w:rsidR="00540857">
        <w:rPr>
          <w:lang w:val="en-US"/>
        </w:rPr>
        <w:t xml:space="preserve">work in the streets and in </w:t>
      </w:r>
      <w:r w:rsidR="00BB288D">
        <w:rPr>
          <w:lang w:val="en-US"/>
        </w:rPr>
        <w:t xml:space="preserve">the </w:t>
      </w:r>
      <w:r w:rsidR="00540857">
        <w:rPr>
          <w:lang w:val="en-US"/>
        </w:rPr>
        <w:t xml:space="preserve">informal economy, </w:t>
      </w:r>
      <w:r w:rsidR="001B758E">
        <w:rPr>
          <w:lang w:val="en-US"/>
        </w:rPr>
        <w:t xml:space="preserve">and are </w:t>
      </w:r>
      <w:r w:rsidR="00540857">
        <w:rPr>
          <w:lang w:val="en-US"/>
        </w:rPr>
        <w:t xml:space="preserve">exposed to exploitation and trafficking in persons </w:t>
      </w:r>
      <w:r w:rsidR="00C70597">
        <w:rPr>
          <w:lang w:val="en-US"/>
        </w:rPr>
        <w:t>(art. </w:t>
      </w:r>
      <w:r w:rsidR="00155B29">
        <w:rPr>
          <w:lang w:val="en-US"/>
        </w:rPr>
        <w:t>10)</w:t>
      </w:r>
      <w:r w:rsidR="006A133C">
        <w:rPr>
          <w:lang w:val="en-US"/>
        </w:rPr>
        <w:t>.</w:t>
      </w:r>
    </w:p>
    <w:p w:rsidR="00540857" w:rsidRPr="00CE6FD2" w:rsidRDefault="00540857" w:rsidP="00540857">
      <w:pPr>
        <w:pStyle w:val="SingleTxtG"/>
        <w:rPr>
          <w:b/>
          <w:lang w:val="en-US"/>
        </w:rPr>
      </w:pPr>
      <w:r w:rsidRPr="00953EA9">
        <w:rPr>
          <w:b/>
          <w:lang w:val="en-US"/>
        </w:rPr>
        <w:t xml:space="preserve">The </w:t>
      </w:r>
      <w:r>
        <w:rPr>
          <w:b/>
          <w:lang w:val="en-US"/>
        </w:rPr>
        <w:t xml:space="preserve">Committee urges the </w:t>
      </w:r>
      <w:r w:rsidRPr="00953EA9">
        <w:rPr>
          <w:b/>
          <w:lang w:val="en-US"/>
        </w:rPr>
        <w:t>State p</w:t>
      </w:r>
      <w:r>
        <w:rPr>
          <w:b/>
          <w:lang w:val="en-US"/>
        </w:rPr>
        <w:t xml:space="preserve">arty to strengthen the monitoring of </w:t>
      </w:r>
      <w:r w:rsidRPr="00953EA9">
        <w:rPr>
          <w:b/>
          <w:lang w:val="en-US"/>
        </w:rPr>
        <w:t xml:space="preserve">child </w:t>
      </w:r>
      <w:proofErr w:type="spellStart"/>
      <w:r w:rsidRPr="00953EA9">
        <w:rPr>
          <w:b/>
          <w:lang w:val="en-US"/>
        </w:rPr>
        <w:t>labo</w:t>
      </w:r>
      <w:r w:rsidR="001B758E">
        <w:rPr>
          <w:b/>
          <w:lang w:val="en-US"/>
        </w:rPr>
        <w:t>u</w:t>
      </w:r>
      <w:r w:rsidRPr="00953EA9">
        <w:rPr>
          <w:b/>
          <w:lang w:val="en-US"/>
        </w:rPr>
        <w:t>r</w:t>
      </w:r>
      <w:proofErr w:type="spellEnd"/>
      <w:r w:rsidRPr="00953EA9">
        <w:rPr>
          <w:b/>
          <w:lang w:val="en-US"/>
        </w:rPr>
        <w:t xml:space="preserve">, in particular by </w:t>
      </w:r>
      <w:r w:rsidR="00DE5AD2">
        <w:rPr>
          <w:b/>
          <w:lang w:val="en-US"/>
        </w:rPr>
        <w:t xml:space="preserve">enhancing </w:t>
      </w:r>
      <w:r w:rsidRPr="00953EA9">
        <w:rPr>
          <w:b/>
          <w:lang w:val="en-US"/>
        </w:rPr>
        <w:t xml:space="preserve">the </w:t>
      </w:r>
      <w:proofErr w:type="spellStart"/>
      <w:r w:rsidRPr="00953EA9">
        <w:rPr>
          <w:b/>
          <w:lang w:val="en-US"/>
        </w:rPr>
        <w:t>Labo</w:t>
      </w:r>
      <w:r w:rsidR="00D75BD0">
        <w:rPr>
          <w:b/>
          <w:lang w:val="en-US"/>
        </w:rPr>
        <w:t>u</w:t>
      </w:r>
      <w:r w:rsidRPr="00953EA9">
        <w:rPr>
          <w:b/>
          <w:lang w:val="en-US"/>
        </w:rPr>
        <w:t>r</w:t>
      </w:r>
      <w:proofErr w:type="spellEnd"/>
      <w:r w:rsidRPr="00953EA9">
        <w:rPr>
          <w:b/>
          <w:lang w:val="en-US"/>
        </w:rPr>
        <w:t xml:space="preserve"> Inspect</w:t>
      </w:r>
      <w:r w:rsidR="00326C35">
        <w:rPr>
          <w:b/>
          <w:lang w:val="en-US"/>
        </w:rPr>
        <w:t>orate</w:t>
      </w:r>
      <w:r w:rsidR="001B758E">
        <w:rPr>
          <w:b/>
          <w:lang w:val="en-US"/>
        </w:rPr>
        <w:t>,</w:t>
      </w:r>
      <w:r>
        <w:rPr>
          <w:b/>
          <w:lang w:val="en-US"/>
        </w:rPr>
        <w:t xml:space="preserve"> in order to detect and </w:t>
      </w:r>
      <w:r w:rsidR="00C6745E">
        <w:rPr>
          <w:b/>
          <w:lang w:val="en-US"/>
        </w:rPr>
        <w:t xml:space="preserve">prevent </w:t>
      </w:r>
      <w:r w:rsidRPr="00953EA9">
        <w:rPr>
          <w:b/>
          <w:lang w:val="en-US"/>
        </w:rPr>
        <w:t xml:space="preserve">the worst forms of child </w:t>
      </w:r>
      <w:proofErr w:type="spellStart"/>
      <w:r w:rsidRPr="00953EA9">
        <w:rPr>
          <w:b/>
          <w:lang w:val="en-US"/>
        </w:rPr>
        <w:t>labo</w:t>
      </w:r>
      <w:r w:rsidR="001B758E">
        <w:rPr>
          <w:b/>
          <w:lang w:val="en-US"/>
        </w:rPr>
        <w:t>u</w:t>
      </w:r>
      <w:r w:rsidRPr="00953EA9">
        <w:rPr>
          <w:b/>
          <w:lang w:val="en-US"/>
        </w:rPr>
        <w:t>r</w:t>
      </w:r>
      <w:proofErr w:type="spellEnd"/>
      <w:r>
        <w:rPr>
          <w:b/>
          <w:lang w:val="en-US"/>
        </w:rPr>
        <w:t>, in</w:t>
      </w:r>
      <w:r w:rsidR="00C6745E">
        <w:rPr>
          <w:b/>
          <w:lang w:val="en-US"/>
        </w:rPr>
        <w:t xml:space="preserve"> particular by </w:t>
      </w:r>
      <w:r>
        <w:rPr>
          <w:b/>
          <w:lang w:val="en-US"/>
        </w:rPr>
        <w:t xml:space="preserve">street children. </w:t>
      </w:r>
      <w:r w:rsidRPr="00953EA9">
        <w:rPr>
          <w:b/>
          <w:lang w:val="en-US"/>
        </w:rPr>
        <w:t xml:space="preserve">The State party should also </w:t>
      </w:r>
      <w:r w:rsidR="00DE5AD2">
        <w:rPr>
          <w:b/>
          <w:lang w:val="en-US"/>
        </w:rPr>
        <w:t>improve</w:t>
      </w:r>
      <w:r w:rsidRPr="00953EA9">
        <w:rPr>
          <w:b/>
          <w:lang w:val="en-US"/>
        </w:rPr>
        <w:t xml:space="preserve"> pr</w:t>
      </w:r>
      <w:r>
        <w:rPr>
          <w:b/>
          <w:lang w:val="en-US"/>
        </w:rPr>
        <w:t xml:space="preserve">otection and </w:t>
      </w:r>
      <w:r w:rsidRPr="00953EA9">
        <w:rPr>
          <w:b/>
          <w:lang w:val="en-US"/>
        </w:rPr>
        <w:t xml:space="preserve">reintegration </w:t>
      </w:r>
      <w:proofErr w:type="spellStart"/>
      <w:r w:rsidRPr="00953EA9">
        <w:rPr>
          <w:b/>
          <w:lang w:val="en-US"/>
        </w:rPr>
        <w:t>program</w:t>
      </w:r>
      <w:r w:rsidR="001B758E">
        <w:rPr>
          <w:b/>
          <w:lang w:val="en-US"/>
        </w:rPr>
        <w:t>me</w:t>
      </w:r>
      <w:r w:rsidRPr="00953EA9">
        <w:rPr>
          <w:b/>
          <w:lang w:val="en-US"/>
        </w:rPr>
        <w:t>s</w:t>
      </w:r>
      <w:proofErr w:type="spellEnd"/>
      <w:r w:rsidRPr="00953EA9">
        <w:rPr>
          <w:b/>
          <w:lang w:val="en-US"/>
        </w:rPr>
        <w:t xml:space="preserve"> that focus on family empowerment and elimination of </w:t>
      </w:r>
      <w:r w:rsidR="001B758E">
        <w:rPr>
          <w:b/>
          <w:lang w:val="en-US"/>
        </w:rPr>
        <w:t xml:space="preserve">various </w:t>
      </w:r>
      <w:r>
        <w:rPr>
          <w:b/>
          <w:lang w:val="en-US"/>
        </w:rPr>
        <w:t xml:space="preserve">forms of abuse and economic exploitation of children, including </w:t>
      </w:r>
      <w:r w:rsidRPr="00953EA9">
        <w:rPr>
          <w:b/>
          <w:lang w:val="en-US"/>
        </w:rPr>
        <w:t>positive parenting</w:t>
      </w:r>
      <w:r w:rsidRPr="00AB47EC">
        <w:rPr>
          <w:b/>
        </w:rPr>
        <w:t xml:space="preserve"> programmes</w:t>
      </w:r>
      <w:r w:rsidRPr="00953EA9">
        <w:rPr>
          <w:b/>
          <w:lang w:val="en-US"/>
        </w:rPr>
        <w:t xml:space="preserve"> for marginali</w:t>
      </w:r>
      <w:r>
        <w:rPr>
          <w:b/>
          <w:lang w:val="en-US"/>
        </w:rPr>
        <w:t>z</w:t>
      </w:r>
      <w:r w:rsidRPr="00953EA9">
        <w:rPr>
          <w:b/>
          <w:lang w:val="en-US"/>
        </w:rPr>
        <w:t>ed communities</w:t>
      </w:r>
      <w:r>
        <w:rPr>
          <w:b/>
          <w:lang w:val="en-US"/>
        </w:rPr>
        <w:t xml:space="preserve">, and </w:t>
      </w:r>
      <w:r w:rsidR="00C6745E">
        <w:rPr>
          <w:b/>
          <w:lang w:val="en-US"/>
        </w:rPr>
        <w:t xml:space="preserve">compile information thereon, including </w:t>
      </w:r>
      <w:r>
        <w:rPr>
          <w:b/>
          <w:lang w:val="en-US"/>
        </w:rPr>
        <w:t>statistics</w:t>
      </w:r>
      <w:r w:rsidR="00155B29">
        <w:rPr>
          <w:b/>
          <w:lang w:val="en-US"/>
        </w:rPr>
        <w:t>.</w:t>
      </w:r>
    </w:p>
    <w:p w:rsidR="00540857" w:rsidRPr="00274C68" w:rsidRDefault="00155B29" w:rsidP="00967D5C">
      <w:pPr>
        <w:pStyle w:val="H23G"/>
      </w:pPr>
      <w:r>
        <w:tab/>
      </w:r>
      <w:r>
        <w:tab/>
      </w:r>
      <w:r w:rsidR="00540857" w:rsidRPr="00274C68">
        <w:t>Poverty</w:t>
      </w:r>
    </w:p>
    <w:p w:rsidR="00540857" w:rsidRPr="00724FBC" w:rsidRDefault="008B3028" w:rsidP="008B3028">
      <w:pPr>
        <w:pStyle w:val="SingleTxtG"/>
      </w:pPr>
      <w:r w:rsidRPr="00724FBC">
        <w:t>29.</w:t>
      </w:r>
      <w:r w:rsidRPr="00724FBC">
        <w:tab/>
      </w:r>
      <w:r w:rsidR="00540857">
        <w:t xml:space="preserve">The Committee remains concerned about the limited effectiveness of the current </w:t>
      </w:r>
      <w:r w:rsidR="00540857" w:rsidRPr="00B7010A">
        <w:t xml:space="preserve">strategies to address extreme poverty </w:t>
      </w:r>
      <w:r w:rsidR="00540857">
        <w:t xml:space="preserve">in the State party, </w:t>
      </w:r>
      <w:r w:rsidR="00540857" w:rsidRPr="00B7010A">
        <w:t xml:space="preserve">in particular </w:t>
      </w:r>
      <w:r w:rsidR="00540857">
        <w:t xml:space="preserve">among refugees, returnees, internally displaced persons, members of minorities, older persons and persons with </w:t>
      </w:r>
      <w:r w:rsidR="00E6402B">
        <w:t>disabiliti</w:t>
      </w:r>
      <w:r w:rsidR="00E6402B">
        <w:rPr>
          <w:lang w:val="en-GB"/>
        </w:rPr>
        <w:t>es</w:t>
      </w:r>
      <w:r w:rsidR="001B758E">
        <w:rPr>
          <w:lang w:val="en-GB"/>
        </w:rPr>
        <w:t>,</w:t>
      </w:r>
      <w:r w:rsidR="00540857">
        <w:t xml:space="preserve"> and about the </w:t>
      </w:r>
      <w:r w:rsidR="00540857" w:rsidRPr="00C10CE2">
        <w:t xml:space="preserve">prevalence of regional disparities </w:t>
      </w:r>
      <w:r w:rsidR="00540857">
        <w:t xml:space="preserve">in </w:t>
      </w:r>
      <w:r w:rsidR="00540857" w:rsidRPr="00C10CE2">
        <w:t>the enjoyment of all economic, social and cultural right</w:t>
      </w:r>
      <w:r w:rsidR="00C70597">
        <w:t>s without discrimination (arts. 2 and </w:t>
      </w:r>
      <w:r w:rsidR="00540857" w:rsidRPr="00C10CE2">
        <w:t>11).</w:t>
      </w:r>
      <w:r w:rsidR="00540857" w:rsidRPr="00724FBC">
        <w:t xml:space="preserve"> </w:t>
      </w:r>
    </w:p>
    <w:p w:rsidR="00540857" w:rsidRPr="00F219FB" w:rsidRDefault="00540857" w:rsidP="00540857">
      <w:pPr>
        <w:pStyle w:val="SingleTxtG"/>
        <w:rPr>
          <w:b/>
        </w:rPr>
      </w:pPr>
      <w:r w:rsidRPr="003A658A">
        <w:rPr>
          <w:b/>
        </w:rPr>
        <w:t xml:space="preserve">The Committee urges the State party to </w:t>
      </w:r>
      <w:r>
        <w:rPr>
          <w:b/>
        </w:rPr>
        <w:t>expand its Poverty Reduction Strategy t</w:t>
      </w:r>
      <w:r w:rsidRPr="00752337">
        <w:rPr>
          <w:b/>
        </w:rPr>
        <w:t xml:space="preserve">o address </w:t>
      </w:r>
      <w:r w:rsidR="00D526DF">
        <w:rPr>
          <w:b/>
        </w:rPr>
        <w:t xml:space="preserve">the </w:t>
      </w:r>
      <w:r w:rsidRPr="00752337">
        <w:rPr>
          <w:b/>
        </w:rPr>
        <w:t>extreme poverty faced in particular by members of marginali</w:t>
      </w:r>
      <w:r w:rsidRPr="00542C63">
        <w:rPr>
          <w:b/>
        </w:rPr>
        <w:t>z</w:t>
      </w:r>
      <w:r w:rsidRPr="009E7D07">
        <w:rPr>
          <w:b/>
        </w:rPr>
        <w:t>ed groups</w:t>
      </w:r>
      <w:r>
        <w:rPr>
          <w:b/>
        </w:rPr>
        <w:t xml:space="preserve">, to </w:t>
      </w:r>
      <w:r w:rsidRPr="009E7D07">
        <w:rPr>
          <w:b/>
        </w:rPr>
        <w:t xml:space="preserve">take all </w:t>
      </w:r>
      <w:r w:rsidRPr="002309C1">
        <w:rPr>
          <w:b/>
        </w:rPr>
        <w:t xml:space="preserve">necessary </w:t>
      </w:r>
      <w:r w:rsidRPr="00415121">
        <w:rPr>
          <w:b/>
        </w:rPr>
        <w:t>remedial measures to address the regiona</w:t>
      </w:r>
      <w:r w:rsidRPr="009D2E26">
        <w:rPr>
          <w:b/>
        </w:rPr>
        <w:t>l disparities that affect the equal enjoyment of economic, social and cultural rights</w:t>
      </w:r>
      <w:r>
        <w:rPr>
          <w:b/>
        </w:rPr>
        <w:t xml:space="preserve">, and </w:t>
      </w:r>
      <w:r w:rsidR="00D526DF">
        <w:rPr>
          <w:b/>
        </w:rPr>
        <w:t xml:space="preserve">to </w:t>
      </w:r>
      <w:r w:rsidRPr="00F846FD">
        <w:rPr>
          <w:b/>
        </w:rPr>
        <w:t>allocate sufficient funds for the implementation of th</w:t>
      </w:r>
      <w:r w:rsidR="00D526DF">
        <w:rPr>
          <w:b/>
        </w:rPr>
        <w:t>o</w:t>
      </w:r>
      <w:r w:rsidRPr="00F846FD">
        <w:rPr>
          <w:b/>
        </w:rPr>
        <w:t>se strategies, taking into account the Committee’s statement on povert</w:t>
      </w:r>
      <w:r w:rsidRPr="00D507D5">
        <w:rPr>
          <w:b/>
        </w:rPr>
        <w:t>y and the International Covenant on Economic, Social and Cultural Rights</w:t>
      </w:r>
      <w:r w:rsidR="00C72611">
        <w:rPr>
          <w:b/>
          <w:lang w:val="en-GB"/>
        </w:rPr>
        <w:t xml:space="preserve"> of</w:t>
      </w:r>
      <w:r>
        <w:rPr>
          <w:b/>
        </w:rPr>
        <w:t xml:space="preserve"> 2001</w:t>
      </w:r>
      <w:r w:rsidRPr="00F219FB">
        <w:rPr>
          <w:b/>
        </w:rPr>
        <w:t>.</w:t>
      </w:r>
    </w:p>
    <w:p w:rsidR="00540857" w:rsidRPr="0041388C" w:rsidRDefault="00155B29" w:rsidP="00967D5C">
      <w:pPr>
        <w:pStyle w:val="H23G"/>
      </w:pPr>
      <w:r>
        <w:tab/>
      </w:r>
      <w:r>
        <w:tab/>
      </w:r>
      <w:r w:rsidR="00540857" w:rsidRPr="0041388C">
        <w:t>Forced evictions</w:t>
      </w:r>
      <w:r w:rsidR="00540857">
        <w:t xml:space="preserve"> </w:t>
      </w:r>
    </w:p>
    <w:p w:rsidR="00540857" w:rsidRPr="00B92B4E" w:rsidRDefault="008B3028" w:rsidP="008B3028">
      <w:pPr>
        <w:pStyle w:val="SingleTxtG"/>
      </w:pPr>
      <w:r w:rsidRPr="00B92B4E">
        <w:t>30.</w:t>
      </w:r>
      <w:r w:rsidRPr="00B92B4E">
        <w:tab/>
      </w:r>
      <w:r w:rsidR="00540857" w:rsidRPr="00D46709">
        <w:t xml:space="preserve">The Committee is concerned about the recent incidents of forced eviction and </w:t>
      </w:r>
      <w:r w:rsidR="00540857">
        <w:t>resettlement of internally displaced persons and other disadvantaged groups</w:t>
      </w:r>
      <w:r w:rsidR="00301086">
        <w:rPr>
          <w:lang w:val="en-GB"/>
        </w:rPr>
        <w:t>,</w:t>
      </w:r>
      <w:r w:rsidR="00540857">
        <w:t xml:space="preserve"> </w:t>
      </w:r>
      <w:r w:rsidR="00540857" w:rsidRPr="00E6402B">
        <w:rPr>
          <w:lang w:val="en-GB"/>
        </w:rPr>
        <w:t>inc</w:t>
      </w:r>
      <w:r w:rsidR="00E6402B" w:rsidRPr="00E6402B">
        <w:rPr>
          <w:lang w:val="en-GB"/>
        </w:rPr>
        <w:t>l</w:t>
      </w:r>
      <w:r w:rsidR="00540857" w:rsidRPr="00E6402B">
        <w:rPr>
          <w:lang w:val="en-GB"/>
        </w:rPr>
        <w:t xml:space="preserve">uding </w:t>
      </w:r>
      <w:r w:rsidR="00540857">
        <w:t xml:space="preserve">Roma, </w:t>
      </w:r>
      <w:proofErr w:type="spellStart"/>
      <w:r w:rsidR="00540857">
        <w:t>Ashkhali</w:t>
      </w:r>
      <w:proofErr w:type="spellEnd"/>
      <w:r w:rsidR="00540857">
        <w:t xml:space="preserve"> and Egyptians</w:t>
      </w:r>
      <w:r w:rsidR="00301086">
        <w:rPr>
          <w:lang w:val="en-GB"/>
        </w:rPr>
        <w:t>,</w:t>
      </w:r>
      <w:r w:rsidR="00540857">
        <w:t xml:space="preserve"> from </w:t>
      </w:r>
      <w:r w:rsidR="00540857" w:rsidRPr="00B058AF">
        <w:t>irregular settlements</w:t>
      </w:r>
      <w:r w:rsidR="00540857">
        <w:t xml:space="preserve"> in Belgrade and other parts of the country. The Committee is particular</w:t>
      </w:r>
      <w:r w:rsidR="00301086">
        <w:rPr>
          <w:lang w:val="en-GB"/>
        </w:rPr>
        <w:t>ly</w:t>
      </w:r>
      <w:r w:rsidR="00540857">
        <w:t xml:space="preserve"> concerned about reports that some of the concerned </w:t>
      </w:r>
      <w:r w:rsidR="00540857" w:rsidRPr="00B058AF">
        <w:t>families with chi</w:t>
      </w:r>
      <w:r w:rsidR="00540857" w:rsidRPr="007A7671">
        <w:t xml:space="preserve">ldren </w:t>
      </w:r>
      <w:r w:rsidR="00540857">
        <w:t xml:space="preserve">were not consulted beforehand and were left </w:t>
      </w:r>
      <w:r w:rsidR="00540857" w:rsidRPr="007A7671">
        <w:t>without a</w:t>
      </w:r>
      <w:r w:rsidR="00540857">
        <w:t xml:space="preserve">dequate </w:t>
      </w:r>
      <w:r w:rsidR="00540857" w:rsidRPr="007A7671">
        <w:t xml:space="preserve">alternative </w:t>
      </w:r>
      <w:r w:rsidR="00540857" w:rsidRPr="00D8339C">
        <w:t>housing, compensation</w:t>
      </w:r>
      <w:r w:rsidR="00540857">
        <w:t xml:space="preserve"> and </w:t>
      </w:r>
      <w:r w:rsidR="00540857" w:rsidRPr="00D8339C">
        <w:t>protection</w:t>
      </w:r>
      <w:r w:rsidR="00C70597">
        <w:t xml:space="preserve"> (art. </w:t>
      </w:r>
      <w:r w:rsidR="00540857">
        <w:t>11</w:t>
      </w:r>
      <w:r w:rsidR="00155B29">
        <w:t>)</w:t>
      </w:r>
      <w:r w:rsidR="006A133C" w:rsidRPr="00567BC6">
        <w:rPr>
          <w:lang w:val="en-US"/>
        </w:rPr>
        <w:t>.</w:t>
      </w:r>
    </w:p>
    <w:p w:rsidR="00540857" w:rsidRPr="007A5E84" w:rsidRDefault="00540857" w:rsidP="00540857">
      <w:pPr>
        <w:pStyle w:val="SingleTxtG"/>
        <w:rPr>
          <w:b/>
        </w:rPr>
      </w:pPr>
      <w:r w:rsidRPr="00B92B4E">
        <w:rPr>
          <w:b/>
        </w:rPr>
        <w:t>The Committee urges the State party to take urgent measures to consult affected communities throughout all stages of</w:t>
      </w:r>
      <w:r w:rsidRPr="00AB2C15">
        <w:rPr>
          <w:b/>
        </w:rPr>
        <w:t xml:space="preserve"> evictions, to ensure due process guarantees and compensation and to provide in particular for adequate alternative accommodation</w:t>
      </w:r>
      <w:r>
        <w:rPr>
          <w:b/>
        </w:rPr>
        <w:t xml:space="preserve"> </w:t>
      </w:r>
      <w:r w:rsidR="00301086">
        <w:rPr>
          <w:b/>
          <w:lang w:val="en-GB"/>
        </w:rPr>
        <w:t>in</w:t>
      </w:r>
      <w:r>
        <w:rPr>
          <w:b/>
        </w:rPr>
        <w:t xml:space="preserve"> locations </w:t>
      </w:r>
      <w:r w:rsidR="00301086">
        <w:rPr>
          <w:b/>
          <w:lang w:val="en-GB"/>
        </w:rPr>
        <w:t xml:space="preserve">suitable </w:t>
      </w:r>
      <w:r>
        <w:rPr>
          <w:b/>
        </w:rPr>
        <w:t>for social housing construction</w:t>
      </w:r>
      <w:r w:rsidRPr="00AB2C15">
        <w:rPr>
          <w:b/>
        </w:rPr>
        <w:t xml:space="preserve">, taking into account </w:t>
      </w:r>
      <w:r w:rsidRPr="006A7DE2">
        <w:rPr>
          <w:b/>
        </w:rPr>
        <w:t>the C</w:t>
      </w:r>
      <w:r w:rsidR="00C70597">
        <w:rPr>
          <w:b/>
        </w:rPr>
        <w:t xml:space="preserve">ommittee’s </w:t>
      </w:r>
      <w:r w:rsidR="00D526DF">
        <w:rPr>
          <w:b/>
        </w:rPr>
        <w:t>g</w:t>
      </w:r>
      <w:r w:rsidR="00C70597">
        <w:rPr>
          <w:b/>
        </w:rPr>
        <w:t xml:space="preserve">eneral </w:t>
      </w:r>
      <w:r w:rsidR="00D526DF">
        <w:rPr>
          <w:b/>
        </w:rPr>
        <w:t>c</w:t>
      </w:r>
      <w:r w:rsidR="00C70597">
        <w:rPr>
          <w:b/>
        </w:rPr>
        <w:t>omments No. </w:t>
      </w:r>
      <w:r w:rsidRPr="006A7DE2">
        <w:rPr>
          <w:b/>
        </w:rPr>
        <w:t xml:space="preserve">4 </w:t>
      </w:r>
      <w:r w:rsidR="009A09C7">
        <w:rPr>
          <w:b/>
        </w:rPr>
        <w:t xml:space="preserve">(1991) </w:t>
      </w:r>
      <w:r w:rsidRPr="006A7DE2">
        <w:rPr>
          <w:b/>
        </w:rPr>
        <w:t>and 7</w:t>
      </w:r>
      <w:r w:rsidRPr="006947FC">
        <w:rPr>
          <w:b/>
        </w:rPr>
        <w:t xml:space="preserve"> </w:t>
      </w:r>
      <w:r w:rsidR="009A09C7">
        <w:rPr>
          <w:b/>
        </w:rPr>
        <w:t xml:space="preserve">(1997) </w:t>
      </w:r>
      <w:r w:rsidRPr="006947FC">
        <w:rPr>
          <w:b/>
        </w:rPr>
        <w:t xml:space="preserve">on the right to adequate housing and </w:t>
      </w:r>
      <w:r w:rsidR="00D77D23">
        <w:rPr>
          <w:b/>
          <w:lang w:val="en-GB"/>
        </w:rPr>
        <w:t xml:space="preserve">on </w:t>
      </w:r>
      <w:r w:rsidRPr="006947FC">
        <w:rPr>
          <w:b/>
        </w:rPr>
        <w:t>forced evictions</w:t>
      </w:r>
      <w:r w:rsidRPr="009F7896">
        <w:rPr>
          <w:b/>
        </w:rPr>
        <w:t xml:space="preserve">. </w:t>
      </w:r>
    </w:p>
    <w:p w:rsidR="00540857" w:rsidRPr="00340867" w:rsidRDefault="0052138A" w:rsidP="00967D5C">
      <w:pPr>
        <w:pStyle w:val="H23G"/>
      </w:pPr>
      <w:r>
        <w:tab/>
      </w:r>
      <w:r>
        <w:tab/>
      </w:r>
      <w:r w:rsidR="00540857" w:rsidRPr="00340867">
        <w:t xml:space="preserve">Social housing and </w:t>
      </w:r>
      <w:r w:rsidR="00C6745E">
        <w:t>conditions in i</w:t>
      </w:r>
      <w:r w:rsidR="00540857" w:rsidRPr="00340867">
        <w:t>nformal settlements</w:t>
      </w:r>
    </w:p>
    <w:p w:rsidR="00540857" w:rsidRPr="00B35AEB" w:rsidRDefault="008B3028" w:rsidP="008B3028">
      <w:pPr>
        <w:pStyle w:val="SingleTxtG"/>
      </w:pPr>
      <w:r w:rsidRPr="00B35AEB">
        <w:t>31.</w:t>
      </w:r>
      <w:r w:rsidRPr="00B35AEB">
        <w:tab/>
      </w:r>
      <w:r w:rsidR="00540857" w:rsidRPr="00960D0A">
        <w:t xml:space="preserve">The Committee </w:t>
      </w:r>
      <w:r w:rsidR="00540857">
        <w:t>expresses its concern at the small number of social housing units constructed annually for low</w:t>
      </w:r>
      <w:r w:rsidR="009A09C7">
        <w:t>-</w:t>
      </w:r>
      <w:r w:rsidR="00540857">
        <w:t>income families. The Committee also reiterates its concern</w:t>
      </w:r>
      <w:r w:rsidR="004A58D2">
        <w:t xml:space="preserve"> </w:t>
      </w:r>
      <w:r w:rsidR="00540857">
        <w:t xml:space="preserve">that thousands of Roma continue to live in </w:t>
      </w:r>
      <w:r w:rsidR="008D601A">
        <w:t>impoverished</w:t>
      </w:r>
      <w:r w:rsidR="00540857">
        <w:t xml:space="preserve"> informal settlements without access to electricity, running water and sewage, as well as </w:t>
      </w:r>
      <w:r w:rsidR="009A09C7">
        <w:t xml:space="preserve">without </w:t>
      </w:r>
      <w:r w:rsidR="00FC6AC4" w:rsidRPr="008144DF">
        <w:rPr>
          <w:lang w:val="en-US"/>
        </w:rPr>
        <w:t xml:space="preserve">access to </w:t>
      </w:r>
      <w:r w:rsidR="00540857">
        <w:t xml:space="preserve">medical care and education </w:t>
      </w:r>
      <w:r w:rsidR="00540857" w:rsidRPr="00960D0A">
        <w:t>(a</w:t>
      </w:r>
      <w:r w:rsidR="00C70597">
        <w:t>rt. </w:t>
      </w:r>
      <w:r w:rsidR="00540857" w:rsidRPr="00B35AEB">
        <w:t xml:space="preserve">11). </w:t>
      </w:r>
    </w:p>
    <w:p w:rsidR="00540857" w:rsidRDefault="00540857" w:rsidP="00540857">
      <w:pPr>
        <w:pStyle w:val="SingleTxtG"/>
        <w:rPr>
          <w:b/>
        </w:rPr>
      </w:pPr>
      <w:r w:rsidRPr="001D59E7">
        <w:rPr>
          <w:b/>
        </w:rPr>
        <w:t>The Committee re</w:t>
      </w:r>
      <w:r>
        <w:rPr>
          <w:b/>
        </w:rPr>
        <w:t xml:space="preserve">commends that the </w:t>
      </w:r>
      <w:r w:rsidRPr="001D59E7">
        <w:rPr>
          <w:b/>
        </w:rPr>
        <w:t>State party</w:t>
      </w:r>
      <w:r>
        <w:rPr>
          <w:b/>
        </w:rPr>
        <w:t xml:space="preserve">: </w:t>
      </w:r>
    </w:p>
    <w:p w:rsidR="00540857" w:rsidRPr="00C70597" w:rsidRDefault="00C70597" w:rsidP="00C70597">
      <w:pPr>
        <w:pStyle w:val="SingleTxtG"/>
        <w:rPr>
          <w:b/>
          <w:bCs/>
        </w:rPr>
      </w:pPr>
      <w:r>
        <w:rPr>
          <w:b/>
          <w:bCs/>
        </w:rPr>
        <w:tab/>
        <w:t>(a)</w:t>
      </w:r>
      <w:r>
        <w:rPr>
          <w:b/>
          <w:bCs/>
        </w:rPr>
        <w:tab/>
      </w:r>
      <w:r w:rsidR="00540857" w:rsidRPr="00C70597">
        <w:rPr>
          <w:b/>
          <w:bCs/>
        </w:rPr>
        <w:t xml:space="preserve">Take policy and financial measures to expand the network and quality of social housing </w:t>
      </w:r>
      <w:r w:rsidR="0004033A">
        <w:rPr>
          <w:b/>
          <w:bCs/>
          <w:lang w:val="en-GB"/>
        </w:rPr>
        <w:t>for</w:t>
      </w:r>
      <w:r w:rsidR="00540857" w:rsidRPr="00C70597">
        <w:rPr>
          <w:b/>
          <w:bCs/>
        </w:rPr>
        <w:t xml:space="preserve"> low</w:t>
      </w:r>
      <w:r w:rsidR="009A09C7">
        <w:rPr>
          <w:b/>
          <w:bCs/>
        </w:rPr>
        <w:t>-</w:t>
      </w:r>
      <w:r w:rsidR="00540857" w:rsidRPr="00C70597">
        <w:rPr>
          <w:b/>
          <w:bCs/>
        </w:rPr>
        <w:t>income families</w:t>
      </w:r>
      <w:r w:rsidR="009A09C7">
        <w:rPr>
          <w:b/>
          <w:bCs/>
        </w:rPr>
        <w:t>,</w:t>
      </w:r>
      <w:r w:rsidR="00540857" w:rsidRPr="00C70597">
        <w:rPr>
          <w:b/>
          <w:bCs/>
        </w:rPr>
        <w:t xml:space="preserve"> which should become part of the existing national p</w:t>
      </w:r>
      <w:r w:rsidR="0052138A" w:rsidRPr="00C70597">
        <w:rPr>
          <w:b/>
          <w:bCs/>
        </w:rPr>
        <w:t>lan of action on housing;</w:t>
      </w:r>
    </w:p>
    <w:p w:rsidR="00540857" w:rsidRPr="00C70597" w:rsidRDefault="00C70597" w:rsidP="00C70597">
      <w:pPr>
        <w:pStyle w:val="SingleTxtG"/>
        <w:rPr>
          <w:b/>
          <w:bCs/>
        </w:rPr>
      </w:pPr>
      <w:r>
        <w:rPr>
          <w:b/>
          <w:bCs/>
        </w:rPr>
        <w:tab/>
        <w:t>(b)</w:t>
      </w:r>
      <w:r>
        <w:rPr>
          <w:b/>
          <w:bCs/>
        </w:rPr>
        <w:tab/>
      </w:r>
      <w:r w:rsidR="00540857" w:rsidRPr="00C70597">
        <w:rPr>
          <w:b/>
          <w:bCs/>
        </w:rPr>
        <w:t>Accelerate measures for ensuring that Roma have ac</w:t>
      </w:r>
      <w:r w:rsidR="00E6402B" w:rsidRPr="00C70597">
        <w:rPr>
          <w:b/>
          <w:bCs/>
        </w:rPr>
        <w:t>c</w:t>
      </w:r>
      <w:r w:rsidR="00540857" w:rsidRPr="00C70597">
        <w:rPr>
          <w:b/>
          <w:bCs/>
        </w:rPr>
        <w:t>ess to adequate and affordable housing with</w:t>
      </w:r>
      <w:r w:rsidR="009A09C7">
        <w:rPr>
          <w:b/>
          <w:bCs/>
        </w:rPr>
        <w:t>, inter alia,</w:t>
      </w:r>
      <w:r w:rsidR="00540857" w:rsidRPr="00C70597">
        <w:rPr>
          <w:b/>
          <w:bCs/>
        </w:rPr>
        <w:t xml:space="preserve"> legal security of tenure, safe drinking water, adequate sanitation</w:t>
      </w:r>
      <w:r w:rsidR="009A09C7">
        <w:rPr>
          <w:b/>
          <w:bCs/>
        </w:rPr>
        <w:t xml:space="preserve"> and</w:t>
      </w:r>
      <w:r w:rsidR="00540857" w:rsidRPr="00C70597">
        <w:rPr>
          <w:b/>
          <w:bCs/>
        </w:rPr>
        <w:t xml:space="preserve"> electricity, including by improving the </w:t>
      </w:r>
      <w:r w:rsidR="00D507CC" w:rsidRPr="00C70597">
        <w:rPr>
          <w:b/>
          <w:bCs/>
        </w:rPr>
        <w:t xml:space="preserve">conditions of </w:t>
      </w:r>
      <w:r w:rsidR="00540857" w:rsidRPr="00C70597">
        <w:rPr>
          <w:b/>
          <w:bCs/>
        </w:rPr>
        <w:t xml:space="preserve">existing settlements or </w:t>
      </w:r>
      <w:r w:rsidR="00D507CC" w:rsidRPr="00C70597">
        <w:rPr>
          <w:b/>
          <w:bCs/>
        </w:rPr>
        <w:t xml:space="preserve">by </w:t>
      </w:r>
      <w:r w:rsidR="00540857" w:rsidRPr="00C70597">
        <w:rPr>
          <w:b/>
          <w:bCs/>
        </w:rPr>
        <w:t>constructi</w:t>
      </w:r>
      <w:r w:rsidR="009A09C7">
        <w:rPr>
          <w:b/>
          <w:bCs/>
        </w:rPr>
        <w:t>ng</w:t>
      </w:r>
      <w:r w:rsidR="00540857" w:rsidRPr="00C70597">
        <w:rPr>
          <w:b/>
          <w:bCs/>
        </w:rPr>
        <w:t xml:space="preserve"> social housing</w:t>
      </w:r>
      <w:r w:rsidR="00D507CC" w:rsidRPr="00C70597">
        <w:rPr>
          <w:b/>
          <w:bCs/>
        </w:rPr>
        <w:t xml:space="preserve"> units</w:t>
      </w:r>
      <w:r w:rsidR="0052138A" w:rsidRPr="00C70597">
        <w:rPr>
          <w:b/>
          <w:bCs/>
        </w:rPr>
        <w:t>.</w:t>
      </w:r>
    </w:p>
    <w:p w:rsidR="00540857" w:rsidRDefault="0052138A" w:rsidP="00967D5C">
      <w:pPr>
        <w:pStyle w:val="H23G"/>
      </w:pPr>
      <w:r>
        <w:tab/>
      </w:r>
      <w:r>
        <w:tab/>
      </w:r>
      <w:r w:rsidR="00540857">
        <w:t>Safe drinking water</w:t>
      </w:r>
    </w:p>
    <w:p w:rsidR="00540857" w:rsidRPr="00233AD4" w:rsidRDefault="008B3028" w:rsidP="008B3028">
      <w:pPr>
        <w:pStyle w:val="SingleTxtG"/>
      </w:pPr>
      <w:r w:rsidRPr="00233AD4">
        <w:t>32.</w:t>
      </w:r>
      <w:r w:rsidRPr="00233AD4">
        <w:tab/>
      </w:r>
      <w:r w:rsidR="00540857">
        <w:t>The Committee is concerned about the lack of access to safe drinking water in some parts of the State party, especia</w:t>
      </w:r>
      <w:r w:rsidR="00C70597">
        <w:t>lly in rural areas (art. </w:t>
      </w:r>
      <w:r w:rsidR="0052138A">
        <w:t>11)</w:t>
      </w:r>
      <w:r w:rsidR="006A133C" w:rsidRPr="00567BC6">
        <w:rPr>
          <w:lang w:val="en-US"/>
        </w:rPr>
        <w:t>.</w:t>
      </w:r>
    </w:p>
    <w:p w:rsidR="00540857" w:rsidRPr="00567BC6" w:rsidRDefault="00540857" w:rsidP="00540857">
      <w:pPr>
        <w:pStyle w:val="SingleTxtG"/>
        <w:rPr>
          <w:b/>
          <w:lang w:val="en-US"/>
        </w:rPr>
      </w:pPr>
      <w:r w:rsidRPr="00341140">
        <w:rPr>
          <w:b/>
        </w:rPr>
        <w:t>The Committee recommends that the State party undertake additional measures</w:t>
      </w:r>
      <w:r w:rsidR="00C6745E">
        <w:rPr>
          <w:b/>
          <w:lang w:val="en-GB"/>
        </w:rPr>
        <w:t xml:space="preserve"> </w:t>
      </w:r>
      <w:r w:rsidRPr="00341140">
        <w:rPr>
          <w:b/>
        </w:rPr>
        <w:t>to implement water supply projects to ensure equal access to safe drinking water in all parts of the country. In th</w:t>
      </w:r>
      <w:r w:rsidR="00AE38AE">
        <w:rPr>
          <w:b/>
        </w:rPr>
        <w:t>at</w:t>
      </w:r>
      <w:r w:rsidRPr="00341140">
        <w:rPr>
          <w:b/>
        </w:rPr>
        <w:t xml:space="preserve"> regard, the Committee invites the State party to take into </w:t>
      </w:r>
      <w:r w:rsidR="00C70597">
        <w:rPr>
          <w:b/>
        </w:rPr>
        <w:t>account its general comment No. </w:t>
      </w:r>
      <w:r w:rsidRPr="00341140">
        <w:rPr>
          <w:b/>
        </w:rPr>
        <w:t>15 (200</w:t>
      </w:r>
      <w:r w:rsidR="0052138A">
        <w:rPr>
          <w:b/>
        </w:rPr>
        <w:t>2) on the right to water.</w:t>
      </w:r>
    </w:p>
    <w:p w:rsidR="00540857" w:rsidRPr="00F66DD9" w:rsidRDefault="0052138A" w:rsidP="00967D5C">
      <w:pPr>
        <w:pStyle w:val="H23G"/>
      </w:pPr>
      <w:r>
        <w:tab/>
      </w:r>
      <w:r>
        <w:tab/>
      </w:r>
      <w:r w:rsidR="00540857" w:rsidRPr="00F66DD9">
        <w:t>Right to health</w:t>
      </w:r>
    </w:p>
    <w:p w:rsidR="00540857" w:rsidRPr="001D1FDE" w:rsidRDefault="008B3028" w:rsidP="008B3028">
      <w:pPr>
        <w:pStyle w:val="SingleTxtG"/>
      </w:pPr>
      <w:r w:rsidRPr="001D1FDE">
        <w:t>33.</w:t>
      </w:r>
      <w:r w:rsidRPr="001D1FDE">
        <w:tab/>
      </w:r>
      <w:r w:rsidR="00540857" w:rsidRPr="00C56110">
        <w:t>The Committee is concerned about the inadequate budget</w:t>
      </w:r>
      <w:r w:rsidR="00540857">
        <w:t xml:space="preserve"> for</w:t>
      </w:r>
      <w:r w:rsidR="00017117">
        <w:t xml:space="preserve"> the</w:t>
      </w:r>
      <w:r w:rsidR="00540857">
        <w:t xml:space="preserve"> health</w:t>
      </w:r>
      <w:r w:rsidR="00017117">
        <w:t>-</w:t>
      </w:r>
      <w:r w:rsidR="00540857">
        <w:t xml:space="preserve">care system, </w:t>
      </w:r>
      <w:r w:rsidR="00540857" w:rsidRPr="003C59D9">
        <w:t xml:space="preserve">the </w:t>
      </w:r>
      <w:r w:rsidR="00540857">
        <w:t xml:space="preserve">lack of access to health care for </w:t>
      </w:r>
      <w:r w:rsidR="00C6745E">
        <w:rPr>
          <w:lang w:val="en-GB"/>
        </w:rPr>
        <w:t xml:space="preserve">disadvantaged </w:t>
      </w:r>
      <w:r w:rsidR="00540857">
        <w:t>individuals who do not have a health card</w:t>
      </w:r>
      <w:r w:rsidR="00017117">
        <w:t>,</w:t>
      </w:r>
      <w:r w:rsidR="00540857">
        <w:t xml:space="preserve"> and the </w:t>
      </w:r>
      <w:r w:rsidR="00540857" w:rsidRPr="003C59D9">
        <w:t>limited access to health services</w:t>
      </w:r>
      <w:r w:rsidR="00FC6AC4" w:rsidRPr="008144DF">
        <w:rPr>
          <w:lang w:val="en-US"/>
        </w:rPr>
        <w:t>,</w:t>
      </w:r>
      <w:r w:rsidR="00540857" w:rsidRPr="003C59D9">
        <w:t xml:space="preserve"> in </w:t>
      </w:r>
      <w:r w:rsidR="00540857">
        <w:t xml:space="preserve">particular in rural areas. The Committee is also concerned about the increase of HIV/AIDS, the </w:t>
      </w:r>
      <w:r w:rsidR="00540857" w:rsidRPr="00D1016B">
        <w:t xml:space="preserve">absence of information on sexual and reproductive health </w:t>
      </w:r>
      <w:r w:rsidR="00540857">
        <w:t xml:space="preserve">and rights </w:t>
      </w:r>
      <w:r w:rsidR="00540857" w:rsidRPr="00D1016B">
        <w:t>as part of the education curricula</w:t>
      </w:r>
      <w:r w:rsidR="00540857">
        <w:t xml:space="preserve">, and the limited network of mental health services for children </w:t>
      </w:r>
      <w:r w:rsidR="00C70597">
        <w:t>(art. </w:t>
      </w:r>
      <w:r w:rsidR="0052138A">
        <w:t>12)</w:t>
      </w:r>
      <w:r w:rsidR="006A133C" w:rsidRPr="00567BC6">
        <w:rPr>
          <w:lang w:val="en-US"/>
        </w:rPr>
        <w:t>.</w:t>
      </w:r>
    </w:p>
    <w:p w:rsidR="00E6402B" w:rsidRPr="00567BC6" w:rsidRDefault="00540857" w:rsidP="00CE6C9B">
      <w:pPr>
        <w:pStyle w:val="SingleTxtG"/>
        <w:rPr>
          <w:b/>
          <w:lang w:val="en-US"/>
        </w:rPr>
      </w:pPr>
      <w:r w:rsidRPr="0059463B">
        <w:rPr>
          <w:b/>
        </w:rPr>
        <w:t xml:space="preserve">The Committee </w:t>
      </w:r>
      <w:r w:rsidRPr="00D019C8">
        <w:rPr>
          <w:b/>
        </w:rPr>
        <w:t>recommends that</w:t>
      </w:r>
      <w:r w:rsidRPr="008D4133">
        <w:rPr>
          <w:b/>
        </w:rPr>
        <w:t xml:space="preserve"> the State party </w:t>
      </w:r>
      <w:r>
        <w:rPr>
          <w:b/>
        </w:rPr>
        <w:t xml:space="preserve">intensify its measures </w:t>
      </w:r>
      <w:r w:rsidRPr="008D4133">
        <w:rPr>
          <w:b/>
        </w:rPr>
        <w:t xml:space="preserve">to </w:t>
      </w:r>
      <w:r w:rsidRPr="008760E1">
        <w:rPr>
          <w:b/>
        </w:rPr>
        <w:t>increas</w:t>
      </w:r>
      <w:r>
        <w:rPr>
          <w:b/>
        </w:rPr>
        <w:t>e</w:t>
      </w:r>
      <w:r w:rsidR="004A58D2">
        <w:rPr>
          <w:b/>
        </w:rPr>
        <w:t xml:space="preserve"> </w:t>
      </w:r>
      <w:r w:rsidRPr="008760E1">
        <w:rPr>
          <w:b/>
        </w:rPr>
        <w:t>the budgetary allocations to the health sector</w:t>
      </w:r>
      <w:r>
        <w:rPr>
          <w:b/>
        </w:rPr>
        <w:t xml:space="preserve">, ensure that </w:t>
      </w:r>
      <w:r w:rsidR="00FC6AC4" w:rsidRPr="008144DF">
        <w:rPr>
          <w:b/>
          <w:lang w:val="en-US"/>
        </w:rPr>
        <w:t xml:space="preserve">disadvantaged </w:t>
      </w:r>
      <w:r>
        <w:rPr>
          <w:b/>
        </w:rPr>
        <w:t>individuals have a health card so that they can have access to health care</w:t>
      </w:r>
      <w:r w:rsidR="00DE6930">
        <w:rPr>
          <w:b/>
        </w:rPr>
        <w:t>,</w:t>
      </w:r>
      <w:r>
        <w:rPr>
          <w:b/>
        </w:rPr>
        <w:t xml:space="preserve"> </w:t>
      </w:r>
      <w:r w:rsidRPr="008760E1">
        <w:rPr>
          <w:b/>
        </w:rPr>
        <w:t>and</w:t>
      </w:r>
      <w:r>
        <w:rPr>
          <w:b/>
        </w:rPr>
        <w:t xml:space="preserve"> </w:t>
      </w:r>
      <w:r w:rsidRPr="008760E1">
        <w:rPr>
          <w:b/>
        </w:rPr>
        <w:t>extend</w:t>
      </w:r>
      <w:r>
        <w:rPr>
          <w:b/>
        </w:rPr>
        <w:t xml:space="preserve"> </w:t>
      </w:r>
      <w:r w:rsidRPr="008760E1">
        <w:rPr>
          <w:b/>
        </w:rPr>
        <w:t xml:space="preserve">health services to rural areas. The State party should </w:t>
      </w:r>
      <w:r>
        <w:rPr>
          <w:b/>
        </w:rPr>
        <w:t xml:space="preserve">also </w:t>
      </w:r>
      <w:r w:rsidRPr="008760E1">
        <w:rPr>
          <w:b/>
        </w:rPr>
        <w:t xml:space="preserve">continue </w:t>
      </w:r>
      <w:r w:rsidR="00DE6930">
        <w:rPr>
          <w:b/>
        </w:rPr>
        <w:t xml:space="preserve">to </w:t>
      </w:r>
      <w:r w:rsidRPr="008760E1">
        <w:rPr>
          <w:b/>
        </w:rPr>
        <w:t xml:space="preserve">address </w:t>
      </w:r>
      <w:r>
        <w:rPr>
          <w:b/>
        </w:rPr>
        <w:t xml:space="preserve">the spread of HIV/AIDS by promoting adolescent health and providing health counselling and services to the general public, </w:t>
      </w:r>
      <w:r w:rsidRPr="008760E1">
        <w:rPr>
          <w:b/>
        </w:rPr>
        <w:t>provide for</w:t>
      </w:r>
      <w:r w:rsidR="00E6402B">
        <w:rPr>
          <w:b/>
          <w:lang w:val="en-GB"/>
        </w:rPr>
        <w:t xml:space="preserve"> </w:t>
      </w:r>
      <w:r w:rsidR="00BE7949" w:rsidRPr="008144DF">
        <w:rPr>
          <w:b/>
          <w:lang w:val="en-US"/>
        </w:rPr>
        <w:t>comprehensive sexuality education</w:t>
      </w:r>
      <w:r w:rsidRPr="008760E1">
        <w:rPr>
          <w:b/>
        </w:rPr>
        <w:t xml:space="preserve">, and </w:t>
      </w:r>
      <w:r>
        <w:rPr>
          <w:b/>
        </w:rPr>
        <w:t xml:space="preserve">extend the </w:t>
      </w:r>
      <w:r w:rsidRPr="00F66DD9">
        <w:rPr>
          <w:b/>
        </w:rPr>
        <w:t>network of mental health services for children while replacing institutional care with community</w:t>
      </w:r>
      <w:r w:rsidR="006B6F53">
        <w:rPr>
          <w:b/>
        </w:rPr>
        <w:t>-</w:t>
      </w:r>
      <w:r w:rsidRPr="00F66DD9">
        <w:rPr>
          <w:b/>
        </w:rPr>
        <w:t>based suppor</w:t>
      </w:r>
      <w:r w:rsidR="00CE6C9B">
        <w:rPr>
          <w:b/>
        </w:rPr>
        <w:t>t services.</w:t>
      </w:r>
    </w:p>
    <w:p w:rsidR="00A300F8" w:rsidRDefault="0052138A" w:rsidP="00967D5C">
      <w:pPr>
        <w:pStyle w:val="H23G"/>
      </w:pPr>
      <w:r>
        <w:tab/>
      </w:r>
      <w:r>
        <w:tab/>
      </w:r>
      <w:r w:rsidR="00540857" w:rsidRPr="00F66DD9">
        <w:t>Right to education</w:t>
      </w:r>
    </w:p>
    <w:p w:rsidR="00540857" w:rsidRPr="00A300F8" w:rsidRDefault="008B3028" w:rsidP="008B3028">
      <w:pPr>
        <w:pStyle w:val="SingleTxtG"/>
        <w:rPr>
          <w:b/>
        </w:rPr>
      </w:pPr>
      <w:r w:rsidRPr="00A300F8">
        <w:t>34.</w:t>
      </w:r>
      <w:r w:rsidRPr="00A300F8">
        <w:tab/>
      </w:r>
      <w:r w:rsidR="00540857">
        <w:t>The Committee notes that asylum</w:t>
      </w:r>
      <w:r w:rsidR="006B6F53">
        <w:t xml:space="preserve"> </w:t>
      </w:r>
      <w:r w:rsidR="00540857">
        <w:t>seekers and persons granted asylum can access primary and secondary education free of charge</w:t>
      </w:r>
      <w:r w:rsidR="008144DF">
        <w:rPr>
          <w:lang w:val="en-GB"/>
        </w:rPr>
        <w:t>;</w:t>
      </w:r>
      <w:r w:rsidR="00540857">
        <w:t xml:space="preserve"> however, it is concerned that asylum-seeking children accommodated in the asylum centres in the State party are not being enrolled in local schools</w:t>
      </w:r>
      <w:r w:rsidR="00C70597">
        <w:t xml:space="preserve"> (arts. </w:t>
      </w:r>
      <w:r w:rsidR="0052138A">
        <w:t>13 and</w:t>
      </w:r>
      <w:r w:rsidR="00C70597">
        <w:t> </w:t>
      </w:r>
      <w:r w:rsidR="0052138A">
        <w:t>14)</w:t>
      </w:r>
      <w:r w:rsidR="006A133C" w:rsidRPr="00567BC6">
        <w:rPr>
          <w:lang w:val="en-US"/>
        </w:rPr>
        <w:t>.</w:t>
      </w:r>
    </w:p>
    <w:p w:rsidR="00540857" w:rsidRPr="00567BC6" w:rsidRDefault="00540857" w:rsidP="00540857">
      <w:pPr>
        <w:pStyle w:val="SingleTxtG"/>
        <w:rPr>
          <w:lang w:val="en-US"/>
        </w:rPr>
      </w:pPr>
      <w:r w:rsidRPr="008451FB">
        <w:rPr>
          <w:b/>
        </w:rPr>
        <w:t xml:space="preserve">The Committee recommends that the State party enable access to </w:t>
      </w:r>
      <w:r w:rsidR="00C66DA9">
        <w:rPr>
          <w:b/>
          <w:lang w:val="en-GB"/>
        </w:rPr>
        <w:t xml:space="preserve">primary education </w:t>
      </w:r>
      <w:r w:rsidRPr="008451FB">
        <w:rPr>
          <w:b/>
        </w:rPr>
        <w:t xml:space="preserve">and </w:t>
      </w:r>
      <w:r w:rsidR="00C66DA9">
        <w:rPr>
          <w:b/>
          <w:lang w:val="en-GB"/>
        </w:rPr>
        <w:t xml:space="preserve">facilitate access to </w:t>
      </w:r>
      <w:r w:rsidRPr="008451FB">
        <w:rPr>
          <w:b/>
        </w:rPr>
        <w:t>secondary education</w:t>
      </w:r>
      <w:r w:rsidR="006B6F53">
        <w:rPr>
          <w:b/>
        </w:rPr>
        <w:t>,</w:t>
      </w:r>
      <w:r w:rsidRPr="008451FB">
        <w:rPr>
          <w:b/>
        </w:rPr>
        <w:t xml:space="preserve"> in line with the Law on Asylum</w:t>
      </w:r>
      <w:r w:rsidR="006B6F53">
        <w:rPr>
          <w:b/>
        </w:rPr>
        <w:t>,</w:t>
      </w:r>
      <w:r w:rsidRPr="008451FB">
        <w:rPr>
          <w:b/>
        </w:rPr>
        <w:t xml:space="preserve"> to all </w:t>
      </w:r>
      <w:r w:rsidR="00C66DA9">
        <w:rPr>
          <w:b/>
          <w:lang w:val="en-GB"/>
        </w:rPr>
        <w:t xml:space="preserve">child </w:t>
      </w:r>
      <w:r w:rsidRPr="008451FB">
        <w:rPr>
          <w:b/>
        </w:rPr>
        <w:t>asylum</w:t>
      </w:r>
      <w:r w:rsidR="009561C0">
        <w:rPr>
          <w:b/>
        </w:rPr>
        <w:t xml:space="preserve"> </w:t>
      </w:r>
      <w:r w:rsidRPr="008451FB">
        <w:rPr>
          <w:b/>
        </w:rPr>
        <w:t>seek</w:t>
      </w:r>
      <w:r w:rsidR="00C66DA9">
        <w:rPr>
          <w:b/>
          <w:lang w:val="en-GB"/>
        </w:rPr>
        <w:t xml:space="preserve">ers </w:t>
      </w:r>
      <w:r w:rsidR="008144DF">
        <w:rPr>
          <w:b/>
          <w:lang w:val="en-GB"/>
        </w:rPr>
        <w:t xml:space="preserve">pending consideration of </w:t>
      </w:r>
      <w:r w:rsidR="0052138A">
        <w:rPr>
          <w:b/>
        </w:rPr>
        <w:t>their refugee claim.</w:t>
      </w:r>
    </w:p>
    <w:p w:rsidR="00540857" w:rsidRPr="00D036A9" w:rsidRDefault="008B3028" w:rsidP="008B3028">
      <w:pPr>
        <w:pStyle w:val="SingleTxtG"/>
      </w:pPr>
      <w:r w:rsidRPr="00D036A9">
        <w:t>35.</w:t>
      </w:r>
      <w:r w:rsidRPr="00D036A9">
        <w:tab/>
      </w:r>
      <w:r w:rsidR="00540857">
        <w:t xml:space="preserve">The Committee is </w:t>
      </w:r>
      <w:r w:rsidR="00540857" w:rsidRPr="00D036A9">
        <w:t xml:space="preserve">concerned about the </w:t>
      </w:r>
      <w:r w:rsidR="00540857">
        <w:t>prevalence of violence and discrimination in</w:t>
      </w:r>
      <w:r w:rsidR="00E6402B">
        <w:rPr>
          <w:lang w:val="en-GB"/>
        </w:rPr>
        <w:t xml:space="preserve"> </w:t>
      </w:r>
      <w:r w:rsidR="00BE7949" w:rsidRPr="008144DF">
        <w:rPr>
          <w:lang w:val="en-US"/>
        </w:rPr>
        <w:t>schools</w:t>
      </w:r>
      <w:r w:rsidR="00540857">
        <w:t xml:space="preserve"> and the lack of enrolment of children with disabilities in mainstream </w:t>
      </w:r>
      <w:r w:rsidR="0004033A">
        <w:rPr>
          <w:lang w:val="en-GB"/>
        </w:rPr>
        <w:t>schools</w:t>
      </w:r>
      <w:r w:rsidR="00540857">
        <w:t>. The Committee is also concerned about the placement of Roma children in specia</w:t>
      </w:r>
      <w:r w:rsidR="00E6402B">
        <w:t>l schools or classes</w:t>
      </w:r>
      <w:r w:rsidR="009561C0">
        <w:t xml:space="preserve"> and</w:t>
      </w:r>
      <w:r w:rsidR="00E6402B">
        <w:t xml:space="preserve"> </w:t>
      </w:r>
      <w:r w:rsidR="009561C0">
        <w:t xml:space="preserve">the </w:t>
      </w:r>
      <w:r w:rsidR="00E6402B">
        <w:t>high drop</w:t>
      </w:r>
      <w:r w:rsidR="00E6402B">
        <w:rPr>
          <w:lang w:val="en-GB"/>
        </w:rPr>
        <w:t>-</w:t>
      </w:r>
      <w:r w:rsidR="00540857">
        <w:t>out rates of Roma children from primary education</w:t>
      </w:r>
      <w:r w:rsidR="009561C0">
        <w:t>,</w:t>
      </w:r>
      <w:r w:rsidR="00540857">
        <w:t xml:space="preserve"> as well as low school attendance </w:t>
      </w:r>
      <w:r w:rsidR="0052138A">
        <w:t>(arts.</w:t>
      </w:r>
      <w:r w:rsidR="004A58D2">
        <w:t> </w:t>
      </w:r>
      <w:r w:rsidR="0052138A">
        <w:t>13 and</w:t>
      </w:r>
      <w:r w:rsidR="004A58D2">
        <w:t> </w:t>
      </w:r>
      <w:r w:rsidR="0052138A">
        <w:t>14)</w:t>
      </w:r>
      <w:r w:rsidR="006A133C" w:rsidRPr="00567BC6">
        <w:rPr>
          <w:lang w:val="en-US"/>
        </w:rPr>
        <w:t>.</w:t>
      </w:r>
    </w:p>
    <w:p w:rsidR="00540857" w:rsidRPr="00567BC6" w:rsidRDefault="00540857" w:rsidP="00540857">
      <w:pPr>
        <w:pStyle w:val="SingleTxtG"/>
        <w:rPr>
          <w:b/>
          <w:lang w:val="en-US"/>
        </w:rPr>
      </w:pPr>
      <w:r w:rsidRPr="008760E1">
        <w:rPr>
          <w:b/>
        </w:rPr>
        <w:t>The Committee recommends that the State party</w:t>
      </w:r>
      <w:r>
        <w:rPr>
          <w:b/>
        </w:rPr>
        <w:t xml:space="preserve"> continue legal and policy reforms to allow every child to achieve the right t</w:t>
      </w:r>
      <w:r w:rsidR="0052138A">
        <w:rPr>
          <w:b/>
        </w:rPr>
        <w:t>o education, and to that end:</w:t>
      </w:r>
    </w:p>
    <w:p w:rsidR="00540857" w:rsidRPr="00C70597" w:rsidRDefault="00C70597" w:rsidP="00C70597">
      <w:pPr>
        <w:pStyle w:val="SingleTxtG"/>
        <w:rPr>
          <w:b/>
          <w:bCs/>
        </w:rPr>
      </w:pPr>
      <w:r>
        <w:rPr>
          <w:b/>
          <w:bCs/>
        </w:rPr>
        <w:tab/>
        <w:t>(a)</w:t>
      </w:r>
      <w:r>
        <w:rPr>
          <w:b/>
          <w:bCs/>
        </w:rPr>
        <w:tab/>
      </w:r>
      <w:r w:rsidR="00540857" w:rsidRPr="00C70597">
        <w:rPr>
          <w:b/>
          <w:bCs/>
        </w:rPr>
        <w:t xml:space="preserve">Intensify </w:t>
      </w:r>
      <w:r w:rsidR="009561C0">
        <w:rPr>
          <w:b/>
          <w:bCs/>
        </w:rPr>
        <w:t xml:space="preserve">the </w:t>
      </w:r>
      <w:r w:rsidR="00540857" w:rsidRPr="00C70597">
        <w:rPr>
          <w:b/>
          <w:bCs/>
        </w:rPr>
        <w:t xml:space="preserve">implementation of measures to prevent violence and discrimination in schools, including </w:t>
      </w:r>
      <w:r w:rsidR="009561C0">
        <w:rPr>
          <w:b/>
          <w:bCs/>
        </w:rPr>
        <w:t>through</w:t>
      </w:r>
      <w:r w:rsidR="009561C0" w:rsidRPr="00C70597">
        <w:rPr>
          <w:b/>
          <w:bCs/>
        </w:rPr>
        <w:t xml:space="preserve"> </w:t>
      </w:r>
      <w:r w:rsidR="00540857" w:rsidRPr="00C70597">
        <w:rPr>
          <w:b/>
          <w:bCs/>
        </w:rPr>
        <w:t>peer programmes and e</w:t>
      </w:r>
      <w:r>
        <w:rPr>
          <w:b/>
          <w:bCs/>
        </w:rPr>
        <w:t>nhanced intra-school relations;</w:t>
      </w:r>
    </w:p>
    <w:p w:rsidR="00540857" w:rsidRPr="00C70597" w:rsidRDefault="00C70597" w:rsidP="00C70597">
      <w:pPr>
        <w:pStyle w:val="SingleTxtG"/>
        <w:rPr>
          <w:b/>
          <w:bCs/>
        </w:rPr>
      </w:pPr>
      <w:r>
        <w:rPr>
          <w:b/>
          <w:bCs/>
        </w:rPr>
        <w:tab/>
        <w:t>(b)</w:t>
      </w:r>
      <w:r>
        <w:rPr>
          <w:b/>
          <w:bCs/>
        </w:rPr>
        <w:tab/>
      </w:r>
      <w:r w:rsidR="000C19FD" w:rsidRPr="00C70597">
        <w:rPr>
          <w:b/>
          <w:bCs/>
        </w:rPr>
        <w:t xml:space="preserve">Ensure inclusive education </w:t>
      </w:r>
      <w:r w:rsidR="008908CC">
        <w:rPr>
          <w:b/>
          <w:bCs/>
        </w:rPr>
        <w:t>for</w:t>
      </w:r>
      <w:r w:rsidR="000C19FD" w:rsidRPr="00C70597">
        <w:rPr>
          <w:b/>
          <w:bCs/>
        </w:rPr>
        <w:t xml:space="preserve"> all children with disabilities in mainstream schools</w:t>
      </w:r>
      <w:r>
        <w:rPr>
          <w:b/>
          <w:bCs/>
        </w:rPr>
        <w:t>;</w:t>
      </w:r>
    </w:p>
    <w:p w:rsidR="00540857" w:rsidRPr="00C70597" w:rsidRDefault="00C70597" w:rsidP="00C70597">
      <w:pPr>
        <w:pStyle w:val="SingleTxtG"/>
        <w:rPr>
          <w:b/>
          <w:bCs/>
        </w:rPr>
      </w:pPr>
      <w:r>
        <w:rPr>
          <w:b/>
          <w:bCs/>
        </w:rPr>
        <w:tab/>
        <w:t>(c)</w:t>
      </w:r>
      <w:r>
        <w:rPr>
          <w:b/>
          <w:bCs/>
        </w:rPr>
        <w:tab/>
      </w:r>
      <w:r w:rsidR="00540857" w:rsidRPr="00C70597">
        <w:rPr>
          <w:b/>
          <w:bCs/>
        </w:rPr>
        <w:t>Guarantee the enrolment of Roma children in regular classes of primary schools instead of schools or classes for</w:t>
      </w:r>
      <w:r w:rsidR="0052138A" w:rsidRPr="00C70597">
        <w:rPr>
          <w:b/>
          <w:bCs/>
        </w:rPr>
        <w:t xml:space="preserve"> children with special needs;</w:t>
      </w:r>
    </w:p>
    <w:p w:rsidR="00540857" w:rsidRPr="00C70597" w:rsidRDefault="00C70597" w:rsidP="00C70597">
      <w:pPr>
        <w:pStyle w:val="SingleTxtG"/>
        <w:rPr>
          <w:b/>
          <w:bCs/>
        </w:rPr>
      </w:pPr>
      <w:r>
        <w:rPr>
          <w:b/>
          <w:bCs/>
        </w:rPr>
        <w:tab/>
        <w:t>(d)</w:t>
      </w:r>
      <w:r>
        <w:rPr>
          <w:b/>
          <w:bCs/>
        </w:rPr>
        <w:tab/>
      </w:r>
      <w:r w:rsidR="00540857" w:rsidRPr="00C70597">
        <w:rPr>
          <w:b/>
          <w:bCs/>
        </w:rPr>
        <w:t xml:space="preserve">Reduce the high drop-out rates of Roma children from primary education, </w:t>
      </w:r>
      <w:r w:rsidR="00540857" w:rsidRPr="000E4B06">
        <w:rPr>
          <w:b/>
          <w:bCs/>
        </w:rPr>
        <w:t>take effective measures to keep Roma attending school and increase</w:t>
      </w:r>
      <w:r w:rsidR="004A58D2" w:rsidRPr="000E4B06">
        <w:rPr>
          <w:b/>
          <w:bCs/>
        </w:rPr>
        <w:t xml:space="preserve"> </w:t>
      </w:r>
      <w:r w:rsidR="00540857" w:rsidRPr="000E4B06">
        <w:rPr>
          <w:b/>
          <w:bCs/>
        </w:rPr>
        <w:t>school attendance at the secondary level through affirmative action</w:t>
      </w:r>
      <w:r w:rsidR="00E6402B" w:rsidRPr="000E4B06">
        <w:rPr>
          <w:b/>
          <w:bCs/>
        </w:rPr>
        <w:t>,</w:t>
      </w:r>
      <w:r w:rsidR="00540857" w:rsidRPr="00C70597">
        <w:rPr>
          <w:b/>
          <w:bCs/>
        </w:rPr>
        <w:t xml:space="preserve"> such as </w:t>
      </w:r>
      <w:r w:rsidR="008908CC">
        <w:rPr>
          <w:b/>
          <w:bCs/>
        </w:rPr>
        <w:t xml:space="preserve">the </w:t>
      </w:r>
      <w:r w:rsidR="00540857" w:rsidRPr="00C70597">
        <w:rPr>
          <w:b/>
          <w:bCs/>
        </w:rPr>
        <w:t>grant</w:t>
      </w:r>
      <w:r w:rsidR="008908CC">
        <w:rPr>
          <w:b/>
          <w:bCs/>
        </w:rPr>
        <w:t>i</w:t>
      </w:r>
      <w:r w:rsidR="00171999">
        <w:rPr>
          <w:b/>
          <w:bCs/>
        </w:rPr>
        <w:t>n</w:t>
      </w:r>
      <w:r w:rsidR="008908CC">
        <w:rPr>
          <w:b/>
          <w:bCs/>
        </w:rPr>
        <w:t>g</w:t>
      </w:r>
      <w:r w:rsidR="00540857" w:rsidRPr="00C70597">
        <w:rPr>
          <w:b/>
          <w:bCs/>
        </w:rPr>
        <w:t xml:space="preserve"> of scholarships and </w:t>
      </w:r>
      <w:r w:rsidR="00171999">
        <w:rPr>
          <w:b/>
          <w:bCs/>
        </w:rPr>
        <w:t xml:space="preserve">the </w:t>
      </w:r>
      <w:r w:rsidR="00540857" w:rsidRPr="00C70597">
        <w:rPr>
          <w:b/>
          <w:bCs/>
        </w:rPr>
        <w:t xml:space="preserve">provision of schoolbooks. </w:t>
      </w:r>
    </w:p>
    <w:p w:rsidR="000C19FD" w:rsidRDefault="0052138A" w:rsidP="00967D5C">
      <w:pPr>
        <w:pStyle w:val="H23G"/>
      </w:pPr>
      <w:r>
        <w:tab/>
      </w:r>
      <w:r>
        <w:tab/>
      </w:r>
      <w:r w:rsidR="00CE5EAC" w:rsidRPr="00CE5EAC">
        <w:t>Cultural rights</w:t>
      </w:r>
    </w:p>
    <w:p w:rsidR="00540857" w:rsidRPr="000C19FD" w:rsidRDefault="008B3028" w:rsidP="008B3028">
      <w:pPr>
        <w:pStyle w:val="SingleTxtG"/>
        <w:rPr>
          <w:b/>
          <w:lang w:val="en-GB"/>
        </w:rPr>
      </w:pPr>
      <w:r w:rsidRPr="000C19FD">
        <w:rPr>
          <w:lang w:val="en-GB"/>
        </w:rPr>
        <w:t>36.</w:t>
      </w:r>
      <w:r w:rsidRPr="000C19FD">
        <w:rPr>
          <w:lang w:val="en-GB"/>
        </w:rPr>
        <w:tab/>
      </w:r>
      <w:r w:rsidR="00540857" w:rsidRPr="00D036A9">
        <w:t xml:space="preserve">The Committee </w:t>
      </w:r>
      <w:r w:rsidR="00540857">
        <w:t xml:space="preserve">is concerned that </w:t>
      </w:r>
      <w:r w:rsidR="008908CC">
        <w:t xml:space="preserve">the </w:t>
      </w:r>
      <w:r w:rsidR="00540857">
        <w:t>cultural rights guaranteed under the Covenant are not</w:t>
      </w:r>
      <w:r w:rsidR="004A58D2">
        <w:t xml:space="preserve"> </w:t>
      </w:r>
      <w:r w:rsidR="00540857">
        <w:t>accessible to all persons, in particular in rural areas. While noting the measures</w:t>
      </w:r>
      <w:r w:rsidR="008908CC">
        <w:t xml:space="preserve"> taken</w:t>
      </w:r>
      <w:r w:rsidR="00540857">
        <w:t xml:space="preserve"> for the equal enjoyment of cultural rights by all groups, in particular the establishment of national minority councils in 2010, the Committee is concerned that </w:t>
      </w:r>
      <w:proofErr w:type="spellStart"/>
      <w:r w:rsidR="00540857" w:rsidRPr="00D036A9">
        <w:t>Bosniacs</w:t>
      </w:r>
      <w:proofErr w:type="spellEnd"/>
      <w:r w:rsidR="00540857" w:rsidRPr="00D036A9">
        <w:t xml:space="preserve"> have not benefited from the </w:t>
      </w:r>
      <w:r w:rsidR="00E308C4">
        <w:rPr>
          <w:lang w:val="en-GB"/>
        </w:rPr>
        <w:t xml:space="preserve">full </w:t>
      </w:r>
      <w:r w:rsidR="00540857" w:rsidRPr="00D036A9">
        <w:t>enjoyment and protection of minority rights</w:t>
      </w:r>
      <w:r w:rsidR="00540857">
        <w:t xml:space="preserve"> </w:t>
      </w:r>
      <w:r w:rsidR="00C70597">
        <w:t>(arts. </w:t>
      </w:r>
      <w:r w:rsidR="00540857">
        <w:t xml:space="preserve">2, </w:t>
      </w:r>
      <w:r w:rsidR="00C70597">
        <w:t>13, 14 and </w:t>
      </w:r>
      <w:r w:rsidR="0052138A">
        <w:t>15)</w:t>
      </w:r>
      <w:r w:rsidR="006A133C" w:rsidRPr="00567BC6">
        <w:rPr>
          <w:lang w:val="en-US"/>
        </w:rPr>
        <w:t>.</w:t>
      </w:r>
    </w:p>
    <w:p w:rsidR="00540857" w:rsidRPr="008760E1" w:rsidRDefault="00540857" w:rsidP="00540857">
      <w:pPr>
        <w:pStyle w:val="SingleTxtG"/>
        <w:rPr>
          <w:b/>
        </w:rPr>
      </w:pPr>
      <w:r>
        <w:rPr>
          <w:b/>
        </w:rPr>
        <w:t xml:space="preserve">The Committee recommends that the State party adopt a comprehensive </w:t>
      </w:r>
      <w:r w:rsidR="00DC2551">
        <w:rPr>
          <w:b/>
        </w:rPr>
        <w:t>c</w:t>
      </w:r>
      <w:r>
        <w:rPr>
          <w:b/>
        </w:rPr>
        <w:t xml:space="preserve">ultural </w:t>
      </w:r>
      <w:r w:rsidR="00DC2551">
        <w:rPr>
          <w:b/>
        </w:rPr>
        <w:t>s</w:t>
      </w:r>
      <w:r>
        <w:rPr>
          <w:b/>
        </w:rPr>
        <w:t>trategy, with a coordination mechanism, for the promotion, protection and e</w:t>
      </w:r>
      <w:r w:rsidR="00E6402B">
        <w:rPr>
          <w:b/>
          <w:lang w:val="en-GB"/>
        </w:rPr>
        <w:t>n</w:t>
      </w:r>
      <w:r>
        <w:rPr>
          <w:b/>
        </w:rPr>
        <w:t xml:space="preserve">joyment of cultural rights by all individuals and groups in the entire territory of the State party, while preserving cultural diversity. The Committee encourages the State party </w:t>
      </w:r>
      <w:r w:rsidRPr="008760E1">
        <w:rPr>
          <w:b/>
        </w:rPr>
        <w:t xml:space="preserve">to </w:t>
      </w:r>
      <w:r w:rsidR="006B2146">
        <w:rPr>
          <w:b/>
          <w:lang w:val="en-GB"/>
        </w:rPr>
        <w:t xml:space="preserve">take further measures so that </w:t>
      </w:r>
      <w:r w:rsidR="00E308C4">
        <w:rPr>
          <w:b/>
          <w:lang w:val="en-GB"/>
        </w:rPr>
        <w:t>all</w:t>
      </w:r>
      <w:r w:rsidRPr="008760E1">
        <w:rPr>
          <w:b/>
        </w:rPr>
        <w:t xml:space="preserve"> communities with specific identities, </w:t>
      </w:r>
      <w:r>
        <w:rPr>
          <w:b/>
        </w:rPr>
        <w:t xml:space="preserve">including </w:t>
      </w:r>
      <w:r w:rsidRPr="008760E1">
        <w:rPr>
          <w:b/>
        </w:rPr>
        <w:t>Bosniacs</w:t>
      </w:r>
      <w:r w:rsidR="008A6828">
        <w:rPr>
          <w:b/>
          <w:lang w:val="en-GB"/>
        </w:rPr>
        <w:t>,</w:t>
      </w:r>
      <w:r w:rsidRPr="008760E1">
        <w:rPr>
          <w:b/>
        </w:rPr>
        <w:t xml:space="preserve"> can benefit from the enjoyment and protection of minority rights.</w:t>
      </w:r>
      <w:r>
        <w:rPr>
          <w:b/>
        </w:rPr>
        <w:t xml:space="preserve"> </w:t>
      </w:r>
      <w:r w:rsidRPr="008760E1">
        <w:rPr>
          <w:b/>
        </w:rPr>
        <w:t xml:space="preserve">The Committee </w:t>
      </w:r>
      <w:r>
        <w:rPr>
          <w:b/>
        </w:rPr>
        <w:t xml:space="preserve">also </w:t>
      </w:r>
      <w:r w:rsidRPr="008760E1">
        <w:rPr>
          <w:b/>
        </w:rPr>
        <w:t>encourages the State party to consider increasing the budget allocated to cultural development and participation in cultural life</w:t>
      </w:r>
      <w:r>
        <w:rPr>
          <w:b/>
        </w:rPr>
        <w:t>,</w:t>
      </w:r>
      <w:r w:rsidR="00C70597">
        <w:rPr>
          <w:b/>
        </w:rPr>
        <w:t xml:space="preserve"> in line with article </w:t>
      </w:r>
      <w:r w:rsidRPr="008760E1">
        <w:rPr>
          <w:b/>
        </w:rPr>
        <w:t xml:space="preserve">15 of the Covenant. </w:t>
      </w:r>
    </w:p>
    <w:p w:rsidR="00B879B2" w:rsidRDefault="0052138A" w:rsidP="00967D5C">
      <w:pPr>
        <w:pStyle w:val="H1G"/>
      </w:pPr>
      <w:r>
        <w:tab/>
      </w:r>
      <w:r w:rsidR="008B7AE9" w:rsidRPr="00567BC6">
        <w:rPr>
          <w:lang w:val="en-US"/>
        </w:rPr>
        <w:t>D.</w:t>
      </w:r>
      <w:r>
        <w:tab/>
      </w:r>
      <w:r w:rsidR="00B879B2">
        <w:t>Other recommendations</w:t>
      </w:r>
    </w:p>
    <w:p w:rsidR="00E6402B" w:rsidRDefault="008B3028" w:rsidP="008B3028">
      <w:pPr>
        <w:pStyle w:val="SingleTxtG"/>
        <w:rPr>
          <w:b/>
          <w:lang w:val="en-GB"/>
        </w:rPr>
      </w:pPr>
      <w:r>
        <w:rPr>
          <w:lang w:val="en-GB"/>
        </w:rPr>
        <w:t>37.</w:t>
      </w:r>
      <w:r>
        <w:rPr>
          <w:lang w:val="en-GB"/>
        </w:rPr>
        <w:tab/>
      </w:r>
      <w:r w:rsidR="00540857" w:rsidRPr="008760E1">
        <w:rPr>
          <w:b/>
        </w:rPr>
        <w:t>The Committee encourages the State party to consider signing and ratifying the Optional Protocol to the International Covenant on Economic, Social and Cultural Rights.</w:t>
      </w:r>
      <w:r w:rsidR="00E308C4">
        <w:rPr>
          <w:b/>
          <w:lang w:val="en-GB"/>
        </w:rPr>
        <w:t xml:space="preserve"> </w:t>
      </w:r>
      <w:r w:rsidR="00E308C4" w:rsidRPr="00E308C4">
        <w:rPr>
          <w:b/>
          <w:lang w:val="en-GB"/>
        </w:rPr>
        <w:t xml:space="preserve">The Committee also encourages the State party to consider ratifying the International Convention on the Protection of the Rights of All Migrant Workers and Members of </w:t>
      </w:r>
      <w:r w:rsidR="00DC2551">
        <w:rPr>
          <w:b/>
          <w:lang w:val="en-GB"/>
        </w:rPr>
        <w:t>T</w:t>
      </w:r>
      <w:r w:rsidR="00E308C4" w:rsidRPr="00E308C4">
        <w:rPr>
          <w:b/>
          <w:lang w:val="en-GB"/>
        </w:rPr>
        <w:t>heir Families.</w:t>
      </w:r>
    </w:p>
    <w:p w:rsidR="00540857" w:rsidRDefault="008B3028" w:rsidP="008B3028">
      <w:pPr>
        <w:pStyle w:val="SingleTxtG"/>
        <w:rPr>
          <w:b/>
        </w:rPr>
      </w:pPr>
      <w:r>
        <w:t>38.</w:t>
      </w:r>
      <w:r>
        <w:tab/>
      </w:r>
      <w:r w:rsidR="00540857" w:rsidRPr="008760E1">
        <w:rPr>
          <w:b/>
        </w:rPr>
        <w:t xml:space="preserve">The Committee requests the State party to disseminate the present concluding observations widely among all levels of society, particularly among government officials, </w:t>
      </w:r>
      <w:r w:rsidR="00D507CC">
        <w:rPr>
          <w:b/>
          <w:lang w:val="en-GB"/>
        </w:rPr>
        <w:t xml:space="preserve">members of Parliament, </w:t>
      </w:r>
      <w:r w:rsidR="00540857" w:rsidRPr="008760E1">
        <w:rPr>
          <w:b/>
        </w:rPr>
        <w:t>judicial authorities and civil society organizations, and to inform the Committee</w:t>
      </w:r>
      <w:r w:rsidR="009A7A35">
        <w:rPr>
          <w:b/>
        </w:rPr>
        <w:t>,</w:t>
      </w:r>
      <w:r w:rsidR="00540857" w:rsidRPr="008760E1">
        <w:rPr>
          <w:b/>
        </w:rPr>
        <w:t xml:space="preserve"> </w:t>
      </w:r>
      <w:r w:rsidR="009A7A35" w:rsidRPr="008760E1">
        <w:rPr>
          <w:b/>
        </w:rPr>
        <w:t>in its next periodic report</w:t>
      </w:r>
      <w:r w:rsidR="009A7A35">
        <w:rPr>
          <w:b/>
        </w:rPr>
        <w:t>,</w:t>
      </w:r>
      <w:r w:rsidR="009A7A35" w:rsidRPr="008760E1">
        <w:rPr>
          <w:b/>
        </w:rPr>
        <w:t xml:space="preserve"> </w:t>
      </w:r>
      <w:r w:rsidR="00540857" w:rsidRPr="008760E1">
        <w:rPr>
          <w:b/>
        </w:rPr>
        <w:t xml:space="preserve">on all steps taken to implement them. It also encourages the State party to engage non-governmental organizations and other members of civil society in the process of discussion at the national level prior to the submission of its next periodic report. </w:t>
      </w:r>
    </w:p>
    <w:p w:rsidR="00540857" w:rsidRPr="004A58D2" w:rsidRDefault="008B3028" w:rsidP="008B3028">
      <w:pPr>
        <w:pStyle w:val="SingleTxtG"/>
        <w:rPr>
          <w:b/>
          <w:bCs/>
          <w:u w:val="single"/>
        </w:rPr>
      </w:pPr>
      <w:r w:rsidRPr="004A58D2">
        <w:rPr>
          <w:bCs/>
        </w:rPr>
        <w:t>39.</w:t>
      </w:r>
      <w:r w:rsidRPr="004A58D2">
        <w:rPr>
          <w:bCs/>
        </w:rPr>
        <w:tab/>
      </w:r>
      <w:r w:rsidR="00540857" w:rsidRPr="004A58D2">
        <w:rPr>
          <w:b/>
          <w:bCs/>
        </w:rPr>
        <w:t>The Committee requests the State party to submit its third periodic report</w:t>
      </w:r>
      <w:r w:rsidR="008A3167">
        <w:rPr>
          <w:b/>
          <w:bCs/>
        </w:rPr>
        <w:t>, prepared</w:t>
      </w:r>
      <w:r w:rsidR="00540857" w:rsidRPr="004A58D2">
        <w:rPr>
          <w:b/>
          <w:bCs/>
        </w:rPr>
        <w:t xml:space="preserve"> in accordance with the </w:t>
      </w:r>
      <w:r w:rsidR="008A3167">
        <w:rPr>
          <w:b/>
          <w:bCs/>
        </w:rPr>
        <w:t xml:space="preserve">revised reporting </w:t>
      </w:r>
      <w:r w:rsidR="00540857" w:rsidRPr="004A58D2">
        <w:rPr>
          <w:b/>
          <w:bCs/>
        </w:rPr>
        <w:t>guidelines adopted by the Committe</w:t>
      </w:r>
      <w:r w:rsidR="0052138A" w:rsidRPr="004A58D2">
        <w:rPr>
          <w:b/>
          <w:bCs/>
        </w:rPr>
        <w:t>e in 2008 (E/C.12/2008/2), by 3</w:t>
      </w:r>
      <w:r w:rsidR="0052138A" w:rsidRPr="00567BC6">
        <w:rPr>
          <w:b/>
          <w:bCs/>
          <w:lang w:val="en-US"/>
        </w:rPr>
        <w:t>0</w:t>
      </w:r>
      <w:r w:rsidR="00540857" w:rsidRPr="004A58D2">
        <w:rPr>
          <w:b/>
          <w:bCs/>
        </w:rPr>
        <w:t xml:space="preserve"> May 2019.</w:t>
      </w:r>
    </w:p>
    <w:p w:rsidR="004A58D2" w:rsidRPr="004A58D2" w:rsidRDefault="004A58D2" w:rsidP="004A58D2">
      <w:pPr>
        <w:pStyle w:val="SingleTxtG"/>
        <w:spacing w:before="160" w:after="0"/>
        <w:jc w:val="center"/>
        <w:rPr>
          <w:u w:val="single"/>
        </w:rPr>
      </w:pPr>
      <w:r>
        <w:rPr>
          <w:u w:val="single"/>
        </w:rPr>
        <w:tab/>
      </w:r>
      <w:r>
        <w:rPr>
          <w:u w:val="single"/>
        </w:rPr>
        <w:tab/>
      </w:r>
      <w:r>
        <w:rPr>
          <w:u w:val="single"/>
        </w:rPr>
        <w:tab/>
      </w:r>
    </w:p>
    <w:sectPr w:rsidR="004A58D2" w:rsidRPr="004A58D2" w:rsidSect="0054085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2E" w:rsidRDefault="0000352E"/>
  </w:endnote>
  <w:endnote w:type="continuationSeparator" w:id="0">
    <w:p w:rsidR="0000352E" w:rsidRDefault="0000352E"/>
  </w:endnote>
  <w:endnote w:type="continuationNotice" w:id="1">
    <w:p w:rsidR="0000352E" w:rsidRDefault="000035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E" w:rsidRPr="002454D0" w:rsidRDefault="0000352E" w:rsidP="00540857">
    <w:pPr>
      <w:pStyle w:val="Footer"/>
      <w:tabs>
        <w:tab w:val="right" w:pos="9638"/>
      </w:tabs>
    </w:pPr>
    <w:r w:rsidRPr="002454D0">
      <w:rPr>
        <w:b/>
        <w:sz w:val="18"/>
      </w:rPr>
      <w:fldChar w:fldCharType="begin"/>
    </w:r>
    <w:r w:rsidRPr="002454D0">
      <w:rPr>
        <w:b/>
        <w:sz w:val="18"/>
      </w:rPr>
      <w:instrText xml:space="preserve"> </w:instrText>
    </w:r>
    <w:r>
      <w:rPr>
        <w:b/>
        <w:sz w:val="18"/>
      </w:rPr>
      <w:instrText>PAGE</w:instrText>
    </w:r>
    <w:r w:rsidRPr="002454D0">
      <w:rPr>
        <w:b/>
        <w:sz w:val="18"/>
      </w:rPr>
      <w:instrText xml:space="preserve">  \* MERGEFORMAT </w:instrText>
    </w:r>
    <w:r w:rsidRPr="002454D0">
      <w:rPr>
        <w:b/>
        <w:sz w:val="18"/>
      </w:rPr>
      <w:fldChar w:fldCharType="separate"/>
    </w:r>
    <w:r>
      <w:rPr>
        <w:b/>
        <w:noProof/>
        <w:sz w:val="18"/>
      </w:rPr>
      <w:t>2</w:t>
    </w:r>
    <w:r w:rsidRPr="002454D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E" w:rsidRPr="002454D0" w:rsidRDefault="0000352E" w:rsidP="00540857">
    <w:pPr>
      <w:pStyle w:val="Footer"/>
      <w:tabs>
        <w:tab w:val="right" w:pos="9638"/>
      </w:tabs>
      <w:rPr>
        <w:b/>
        <w:sz w:val="18"/>
      </w:rPr>
    </w:pPr>
    <w:r>
      <w:tab/>
    </w:r>
    <w:r w:rsidRPr="002454D0">
      <w:rPr>
        <w:b/>
        <w:sz w:val="18"/>
      </w:rPr>
      <w:fldChar w:fldCharType="begin"/>
    </w:r>
    <w:r w:rsidRPr="002454D0">
      <w:rPr>
        <w:b/>
        <w:sz w:val="18"/>
      </w:rPr>
      <w:instrText xml:space="preserve"> </w:instrText>
    </w:r>
    <w:r>
      <w:rPr>
        <w:b/>
        <w:sz w:val="18"/>
      </w:rPr>
      <w:instrText>PAGE</w:instrText>
    </w:r>
    <w:r w:rsidRPr="002454D0">
      <w:rPr>
        <w:b/>
        <w:sz w:val="18"/>
      </w:rPr>
      <w:instrText xml:space="preserve">  \* MERGEFORMAT </w:instrText>
    </w:r>
    <w:r w:rsidRPr="002454D0">
      <w:rPr>
        <w:b/>
        <w:sz w:val="18"/>
      </w:rPr>
      <w:fldChar w:fldCharType="separate"/>
    </w:r>
    <w:r>
      <w:rPr>
        <w:b/>
        <w:noProof/>
        <w:sz w:val="18"/>
      </w:rPr>
      <w:t>3</w:t>
    </w:r>
    <w:r w:rsidRPr="002454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E" w:rsidRPr="002454D0" w:rsidRDefault="0000352E">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GE.14-08028  (E)</w:t>
    </w:r>
    <w:r>
      <w:rPr>
        <w:sz w:val="20"/>
      </w:rPr>
      <w:br/>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r w:rsidRPr="004E2EE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2E" w:rsidRPr="000B175B" w:rsidRDefault="0000352E" w:rsidP="00540857">
      <w:pPr>
        <w:tabs>
          <w:tab w:val="right" w:pos="2155"/>
        </w:tabs>
        <w:spacing w:after="80"/>
        <w:ind w:left="680"/>
        <w:rPr>
          <w:u w:val="single"/>
        </w:rPr>
      </w:pPr>
      <w:r>
        <w:rPr>
          <w:u w:val="single"/>
        </w:rPr>
        <w:tab/>
      </w:r>
    </w:p>
  </w:footnote>
  <w:footnote w:type="continuationSeparator" w:id="0">
    <w:p w:rsidR="0000352E" w:rsidRPr="00FC68B7" w:rsidRDefault="0000352E" w:rsidP="00540857">
      <w:pPr>
        <w:tabs>
          <w:tab w:val="left" w:pos="2155"/>
        </w:tabs>
        <w:spacing w:after="80"/>
        <w:ind w:left="680"/>
        <w:rPr>
          <w:u w:val="single"/>
        </w:rPr>
      </w:pPr>
      <w:r>
        <w:rPr>
          <w:u w:val="single"/>
        </w:rPr>
        <w:tab/>
      </w:r>
    </w:p>
  </w:footnote>
  <w:footnote w:type="continuationNotice" w:id="1">
    <w:p w:rsidR="0000352E" w:rsidRDefault="0000352E"/>
  </w:footnote>
  <w:footnote w:id="2">
    <w:p w:rsidR="0000352E" w:rsidRPr="00A300F8" w:rsidRDefault="0000352E">
      <w:pPr>
        <w:pStyle w:val="FootnoteText"/>
        <w:rPr>
          <w:lang w:val="en-GB"/>
        </w:rPr>
      </w:pPr>
      <w:r>
        <w:rPr>
          <w:lang w:val="en-GB"/>
        </w:rPr>
        <w:tab/>
      </w:r>
      <w:r w:rsidRPr="00CE5E3A">
        <w:rPr>
          <w:rStyle w:val="FootnoteReference"/>
          <w:sz w:val="20"/>
          <w:vertAlign w:val="baseline"/>
        </w:rPr>
        <w:t>*</w:t>
      </w:r>
      <w:r w:rsidRPr="00567BC6">
        <w:rPr>
          <w:lang w:val="en-US"/>
        </w:rPr>
        <w:tab/>
      </w:r>
      <w:r w:rsidRPr="00357270">
        <w:t>Adopted by the Committee at its fifty-</w:t>
      </w:r>
      <w:r>
        <w:rPr>
          <w:lang w:val="en-GB"/>
        </w:rPr>
        <w:t xml:space="preserve">second </w:t>
      </w:r>
      <w:r w:rsidRPr="00567BC6">
        <w:rPr>
          <w:lang w:val="en-US"/>
        </w:rPr>
        <w:t>session</w:t>
      </w:r>
      <w:r w:rsidRPr="00357270">
        <w:t xml:space="preserve"> (</w:t>
      </w:r>
      <w:r>
        <w:rPr>
          <w:lang w:val="en-GB"/>
        </w:rPr>
        <w:t xml:space="preserve">28 April–23 May </w:t>
      </w:r>
      <w:r w:rsidRPr="00357270">
        <w:t>201</w:t>
      </w:r>
      <w:r>
        <w:rPr>
          <w:lang w:val="en-GB"/>
        </w:rPr>
        <w:t>4</w:t>
      </w:r>
      <w:r w:rsidRPr="0035727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E" w:rsidRPr="006B7EF8" w:rsidRDefault="0000352E" w:rsidP="00540857">
    <w:pPr>
      <w:pStyle w:val="Header"/>
    </w:pPr>
    <w:r>
      <w:t>E/C.12/SRB</w:t>
    </w:r>
    <w:r w:rsidRPr="006B7EF8">
      <w:t>/CO/</w:t>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E" w:rsidRPr="006B7EF8" w:rsidRDefault="0000352E" w:rsidP="00540857">
    <w:pPr>
      <w:pStyle w:val="Header"/>
      <w:jc w:val="right"/>
    </w:pPr>
    <w:r w:rsidRPr="006B7EF8">
      <w:t>E/C.12/</w:t>
    </w:r>
    <w:r>
      <w:t>SRB</w:t>
    </w:r>
    <w:r w:rsidRPr="006B7EF8">
      <w:t>/CO/</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362"/>
    <w:multiLevelType w:val="hybridMultilevel"/>
    <w:tmpl w:val="B3EA9828"/>
    <w:lvl w:ilvl="0" w:tplc="9078C854">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B6D5460"/>
    <w:multiLevelType w:val="hybridMultilevel"/>
    <w:tmpl w:val="5F465552"/>
    <w:lvl w:ilvl="0" w:tplc="6BEC97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C6E6BB1"/>
    <w:multiLevelType w:val="hybridMultilevel"/>
    <w:tmpl w:val="5140952A"/>
    <w:lvl w:ilvl="0" w:tplc="2EA4C8E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291E2603"/>
    <w:multiLevelType w:val="hybridMultilevel"/>
    <w:tmpl w:val="F56A9DA4"/>
    <w:lvl w:ilvl="0" w:tplc="DA48B29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20060ED"/>
    <w:multiLevelType w:val="hybridMultilevel"/>
    <w:tmpl w:val="EE0E1C36"/>
    <w:lvl w:ilvl="0" w:tplc="B1EC1FF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0720477"/>
    <w:multiLevelType w:val="hybridMultilevel"/>
    <w:tmpl w:val="3E28FD9E"/>
    <w:lvl w:ilvl="0" w:tplc="07A21DE4">
      <w:start w:val="1"/>
      <w:numFmt w:val="lowerLetter"/>
      <w:lvlText w:val="(%1)"/>
      <w:lvlJc w:val="left"/>
      <w:pPr>
        <w:ind w:left="2881" w:hanging="118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nsid w:val="40761D90"/>
    <w:multiLevelType w:val="hybridMultilevel"/>
    <w:tmpl w:val="8974BF22"/>
    <w:lvl w:ilvl="0" w:tplc="6BEC9736">
      <w:start w:val="1"/>
      <w:numFmt w:val="lowerLetter"/>
      <w:lvlText w:val="(%1)"/>
      <w:lvlJc w:val="left"/>
      <w:pPr>
        <w:ind w:left="2421" w:hanging="360"/>
      </w:pPr>
      <w:rPr>
        <w:rFonts w:hint="default"/>
      </w:rPr>
    </w:lvl>
    <w:lvl w:ilvl="1" w:tplc="6BEC973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nsid w:val="4107614C"/>
    <w:multiLevelType w:val="hybridMultilevel"/>
    <w:tmpl w:val="FC9EFF62"/>
    <w:lvl w:ilvl="0" w:tplc="6BEC9736">
      <w:start w:val="1"/>
      <w:numFmt w:val="lowerLetter"/>
      <w:lvlText w:val="(%1)"/>
      <w:lvlJc w:val="left"/>
      <w:pPr>
        <w:ind w:left="2421" w:hanging="360"/>
      </w:pPr>
      <w:rPr>
        <w:rFonts w:hint="default"/>
      </w:rPr>
    </w:lvl>
    <w:lvl w:ilvl="1" w:tplc="6BEC973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47473227"/>
    <w:multiLevelType w:val="hybridMultilevel"/>
    <w:tmpl w:val="7F4C1468"/>
    <w:lvl w:ilvl="0" w:tplc="6BEC9736">
      <w:start w:val="1"/>
      <w:numFmt w:val="lowerLetter"/>
      <w:lvlText w:val="(%1)"/>
      <w:lvlJc w:val="left"/>
      <w:pPr>
        <w:ind w:left="2421" w:hanging="360"/>
      </w:pPr>
      <w:rPr>
        <w:rFonts w:hint="default"/>
      </w:rPr>
    </w:lvl>
    <w:lvl w:ilvl="1" w:tplc="6BEC973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nsid w:val="49F8685C"/>
    <w:multiLevelType w:val="hybridMultilevel"/>
    <w:tmpl w:val="CC4C1152"/>
    <w:lvl w:ilvl="0" w:tplc="6BEC9736">
      <w:start w:val="1"/>
      <w:numFmt w:val="lowerLetter"/>
      <w:lvlText w:val="(%1)"/>
      <w:lvlJc w:val="left"/>
      <w:pPr>
        <w:ind w:left="720" w:hanging="360"/>
      </w:pPr>
      <w:rPr>
        <w:rFonts w:hint="default"/>
      </w:rPr>
    </w:lvl>
    <w:lvl w:ilvl="1" w:tplc="6BEC97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EF1D2E"/>
    <w:multiLevelType w:val="hybridMultilevel"/>
    <w:tmpl w:val="412CB456"/>
    <w:lvl w:ilvl="0" w:tplc="6BEC9736">
      <w:start w:val="1"/>
      <w:numFmt w:val="lowerLetter"/>
      <w:lvlText w:val="(%1)"/>
      <w:lvlJc w:val="left"/>
      <w:pPr>
        <w:ind w:left="2421" w:hanging="360"/>
      </w:pPr>
      <w:rPr>
        <w:rFonts w:hint="default"/>
      </w:rPr>
    </w:lvl>
    <w:lvl w:ilvl="1" w:tplc="6BEC973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62B62E59"/>
    <w:multiLevelType w:val="hybridMultilevel"/>
    <w:tmpl w:val="95F8BC4C"/>
    <w:lvl w:ilvl="0" w:tplc="6BEC973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95710E"/>
    <w:multiLevelType w:val="hybridMultilevel"/>
    <w:tmpl w:val="EBAA9FB2"/>
    <w:lvl w:ilvl="0" w:tplc="6BEC9736">
      <w:start w:val="1"/>
      <w:numFmt w:val="lowerLetter"/>
      <w:lvlText w:val="(%1)"/>
      <w:lvlJc w:val="left"/>
      <w:pPr>
        <w:ind w:left="2421" w:hanging="360"/>
      </w:pPr>
      <w:rPr>
        <w:rFonts w:hint="default"/>
      </w:rPr>
    </w:lvl>
    <w:lvl w:ilvl="1" w:tplc="6BEC973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nsid w:val="6E190474"/>
    <w:multiLevelType w:val="hybridMultilevel"/>
    <w:tmpl w:val="DADA941A"/>
    <w:lvl w:ilvl="0" w:tplc="20585644">
      <w:start w:val="1"/>
      <w:numFmt w:val="decimal"/>
      <w:lvlText w:val="%1."/>
      <w:lvlJc w:val="left"/>
      <w:pPr>
        <w:ind w:left="1854" w:hanging="360"/>
      </w:pPr>
      <w:rPr>
        <w:b w:val="0"/>
      </w:rPr>
    </w:lvl>
    <w:lvl w:ilvl="1" w:tplc="F0766104">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
  </w:num>
  <w:num w:numId="4">
    <w:abstractNumId w:val="2"/>
  </w:num>
  <w:num w:numId="5">
    <w:abstractNumId w:val="4"/>
  </w:num>
  <w:num w:numId="6">
    <w:abstractNumId w:val="0"/>
  </w:num>
  <w:num w:numId="7">
    <w:abstractNumId w:val="5"/>
  </w:num>
  <w:num w:numId="8">
    <w:abstractNumId w:val="3"/>
  </w:num>
  <w:num w:numId="9">
    <w:abstractNumId w:val="14"/>
  </w:num>
  <w:num w:numId="10">
    <w:abstractNumId w:val="9"/>
  </w:num>
  <w:num w:numId="11">
    <w:abstractNumId w:val="10"/>
  </w:num>
  <w:num w:numId="12">
    <w:abstractNumId w:val="11"/>
  </w:num>
  <w:num w:numId="13">
    <w:abstractNumId w:val="13"/>
  </w:num>
  <w:num w:numId="14">
    <w:abstractNumId w:val="8"/>
  </w:num>
  <w:num w:numId="15">
    <w:abstractNumId w:val="7"/>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D0"/>
    <w:rsid w:val="0000352E"/>
    <w:rsid w:val="00003F56"/>
    <w:rsid w:val="00010704"/>
    <w:rsid w:val="0001396D"/>
    <w:rsid w:val="000167FC"/>
    <w:rsid w:val="00017117"/>
    <w:rsid w:val="00030A06"/>
    <w:rsid w:val="00030FCD"/>
    <w:rsid w:val="00033DF7"/>
    <w:rsid w:val="000362E3"/>
    <w:rsid w:val="0004033A"/>
    <w:rsid w:val="00044021"/>
    <w:rsid w:val="000601A3"/>
    <w:rsid w:val="00071951"/>
    <w:rsid w:val="00072854"/>
    <w:rsid w:val="0008712D"/>
    <w:rsid w:val="000A0FCD"/>
    <w:rsid w:val="000A4897"/>
    <w:rsid w:val="000A7071"/>
    <w:rsid w:val="000C19FD"/>
    <w:rsid w:val="000C6C95"/>
    <w:rsid w:val="000D3986"/>
    <w:rsid w:val="000E4B06"/>
    <w:rsid w:val="000F4E2D"/>
    <w:rsid w:val="00104993"/>
    <w:rsid w:val="00106629"/>
    <w:rsid w:val="00113976"/>
    <w:rsid w:val="00115FD0"/>
    <w:rsid w:val="00142A55"/>
    <w:rsid w:val="00155B29"/>
    <w:rsid w:val="00161721"/>
    <w:rsid w:val="001655A2"/>
    <w:rsid w:val="00167A48"/>
    <w:rsid w:val="00171999"/>
    <w:rsid w:val="001772AA"/>
    <w:rsid w:val="00186F26"/>
    <w:rsid w:val="00194887"/>
    <w:rsid w:val="001A4A94"/>
    <w:rsid w:val="001A67F1"/>
    <w:rsid w:val="001B2E2C"/>
    <w:rsid w:val="001B758E"/>
    <w:rsid w:val="001C196D"/>
    <w:rsid w:val="001D04D5"/>
    <w:rsid w:val="001D1310"/>
    <w:rsid w:val="001D1F86"/>
    <w:rsid w:val="00207BF3"/>
    <w:rsid w:val="002414F9"/>
    <w:rsid w:val="002443EA"/>
    <w:rsid w:val="002515D6"/>
    <w:rsid w:val="0026540E"/>
    <w:rsid w:val="00271690"/>
    <w:rsid w:val="00272A87"/>
    <w:rsid w:val="0027759B"/>
    <w:rsid w:val="00290CB4"/>
    <w:rsid w:val="00294C2D"/>
    <w:rsid w:val="002964D0"/>
    <w:rsid w:val="0029694E"/>
    <w:rsid w:val="002B1CC8"/>
    <w:rsid w:val="002C7ACD"/>
    <w:rsid w:val="002D5EBC"/>
    <w:rsid w:val="002E2CD1"/>
    <w:rsid w:val="00301086"/>
    <w:rsid w:val="00305F8E"/>
    <w:rsid w:val="00312278"/>
    <w:rsid w:val="00313570"/>
    <w:rsid w:val="00316871"/>
    <w:rsid w:val="00326C35"/>
    <w:rsid w:val="00335E07"/>
    <w:rsid w:val="00351838"/>
    <w:rsid w:val="003533BC"/>
    <w:rsid w:val="0035468A"/>
    <w:rsid w:val="00357270"/>
    <w:rsid w:val="00361721"/>
    <w:rsid w:val="00364D63"/>
    <w:rsid w:val="00365ADE"/>
    <w:rsid w:val="00366773"/>
    <w:rsid w:val="00370A59"/>
    <w:rsid w:val="00370F72"/>
    <w:rsid w:val="00372150"/>
    <w:rsid w:val="003721E2"/>
    <w:rsid w:val="003828C8"/>
    <w:rsid w:val="0039021A"/>
    <w:rsid w:val="00393A2E"/>
    <w:rsid w:val="00396159"/>
    <w:rsid w:val="003B035C"/>
    <w:rsid w:val="003E2A7D"/>
    <w:rsid w:val="003E2FAF"/>
    <w:rsid w:val="004114C2"/>
    <w:rsid w:val="004117B3"/>
    <w:rsid w:val="00413FD9"/>
    <w:rsid w:val="004175D3"/>
    <w:rsid w:val="00423AF4"/>
    <w:rsid w:val="0042721D"/>
    <w:rsid w:val="004302C5"/>
    <w:rsid w:val="00434988"/>
    <w:rsid w:val="00444371"/>
    <w:rsid w:val="00446444"/>
    <w:rsid w:val="00456049"/>
    <w:rsid w:val="00462F07"/>
    <w:rsid w:val="004648F6"/>
    <w:rsid w:val="00480406"/>
    <w:rsid w:val="00484512"/>
    <w:rsid w:val="004859E0"/>
    <w:rsid w:val="004A2013"/>
    <w:rsid w:val="004A58D2"/>
    <w:rsid w:val="004B0E2F"/>
    <w:rsid w:val="004B2BA5"/>
    <w:rsid w:val="004B4C48"/>
    <w:rsid w:val="004C2E9D"/>
    <w:rsid w:val="004D270C"/>
    <w:rsid w:val="004D32C8"/>
    <w:rsid w:val="004D7CC1"/>
    <w:rsid w:val="004E2EEA"/>
    <w:rsid w:val="004F0C46"/>
    <w:rsid w:val="004F5B2A"/>
    <w:rsid w:val="005059A8"/>
    <w:rsid w:val="00505B6F"/>
    <w:rsid w:val="00506EE9"/>
    <w:rsid w:val="00511439"/>
    <w:rsid w:val="00517A88"/>
    <w:rsid w:val="00520AA6"/>
    <w:rsid w:val="0052138A"/>
    <w:rsid w:val="005235E2"/>
    <w:rsid w:val="00527DAE"/>
    <w:rsid w:val="005306E0"/>
    <w:rsid w:val="00534D70"/>
    <w:rsid w:val="00535D63"/>
    <w:rsid w:val="00540857"/>
    <w:rsid w:val="00546730"/>
    <w:rsid w:val="005522D5"/>
    <w:rsid w:val="00560FC9"/>
    <w:rsid w:val="00567BC6"/>
    <w:rsid w:val="0057273A"/>
    <w:rsid w:val="00577FB5"/>
    <w:rsid w:val="00592644"/>
    <w:rsid w:val="00597D54"/>
    <w:rsid w:val="005B12AD"/>
    <w:rsid w:val="005C16CF"/>
    <w:rsid w:val="005C5AB1"/>
    <w:rsid w:val="005D3A64"/>
    <w:rsid w:val="005D48C1"/>
    <w:rsid w:val="005F054A"/>
    <w:rsid w:val="005F1FD8"/>
    <w:rsid w:val="005F6106"/>
    <w:rsid w:val="00601B05"/>
    <w:rsid w:val="00602699"/>
    <w:rsid w:val="00603260"/>
    <w:rsid w:val="00604B4E"/>
    <w:rsid w:val="00605BAF"/>
    <w:rsid w:val="00611334"/>
    <w:rsid w:val="00621A3B"/>
    <w:rsid w:val="00622991"/>
    <w:rsid w:val="00627936"/>
    <w:rsid w:val="00636FBF"/>
    <w:rsid w:val="00644A46"/>
    <w:rsid w:val="00646B49"/>
    <w:rsid w:val="00656421"/>
    <w:rsid w:val="00661612"/>
    <w:rsid w:val="00662251"/>
    <w:rsid w:val="00665605"/>
    <w:rsid w:val="00670EF8"/>
    <w:rsid w:val="0068753F"/>
    <w:rsid w:val="00693343"/>
    <w:rsid w:val="00697901"/>
    <w:rsid w:val="006A133C"/>
    <w:rsid w:val="006A485E"/>
    <w:rsid w:val="006A7656"/>
    <w:rsid w:val="006B113C"/>
    <w:rsid w:val="006B2146"/>
    <w:rsid w:val="006B6F53"/>
    <w:rsid w:val="006D0300"/>
    <w:rsid w:val="006E22C4"/>
    <w:rsid w:val="006E5526"/>
    <w:rsid w:val="006F2A22"/>
    <w:rsid w:val="00701B34"/>
    <w:rsid w:val="0071494C"/>
    <w:rsid w:val="007235DD"/>
    <w:rsid w:val="00723DA2"/>
    <w:rsid w:val="00725125"/>
    <w:rsid w:val="00742024"/>
    <w:rsid w:val="00761DC3"/>
    <w:rsid w:val="007704CD"/>
    <w:rsid w:val="00770DD0"/>
    <w:rsid w:val="00776450"/>
    <w:rsid w:val="00790E4A"/>
    <w:rsid w:val="00794742"/>
    <w:rsid w:val="007A3626"/>
    <w:rsid w:val="007F141A"/>
    <w:rsid w:val="007F2496"/>
    <w:rsid w:val="008018C4"/>
    <w:rsid w:val="0080674E"/>
    <w:rsid w:val="008144DF"/>
    <w:rsid w:val="00841075"/>
    <w:rsid w:val="00866FB6"/>
    <w:rsid w:val="00882E75"/>
    <w:rsid w:val="008836A5"/>
    <w:rsid w:val="008908CC"/>
    <w:rsid w:val="008A3167"/>
    <w:rsid w:val="008A6828"/>
    <w:rsid w:val="008B3028"/>
    <w:rsid w:val="008B7AE9"/>
    <w:rsid w:val="008D33C8"/>
    <w:rsid w:val="008D601A"/>
    <w:rsid w:val="008E364C"/>
    <w:rsid w:val="008E3A00"/>
    <w:rsid w:val="008F61FC"/>
    <w:rsid w:val="00901BD3"/>
    <w:rsid w:val="00911036"/>
    <w:rsid w:val="00917630"/>
    <w:rsid w:val="009378A7"/>
    <w:rsid w:val="00942EB9"/>
    <w:rsid w:val="009561C0"/>
    <w:rsid w:val="009616C6"/>
    <w:rsid w:val="00967D5C"/>
    <w:rsid w:val="009700BB"/>
    <w:rsid w:val="009769B6"/>
    <w:rsid w:val="00982BB4"/>
    <w:rsid w:val="00982E07"/>
    <w:rsid w:val="00991E30"/>
    <w:rsid w:val="009A09C7"/>
    <w:rsid w:val="009A7A35"/>
    <w:rsid w:val="009B3DB8"/>
    <w:rsid w:val="009C22A8"/>
    <w:rsid w:val="009C3DA7"/>
    <w:rsid w:val="009C46DE"/>
    <w:rsid w:val="009C5FBF"/>
    <w:rsid w:val="009C6CB6"/>
    <w:rsid w:val="009D5220"/>
    <w:rsid w:val="009D7E69"/>
    <w:rsid w:val="00A0161D"/>
    <w:rsid w:val="00A02500"/>
    <w:rsid w:val="00A047CB"/>
    <w:rsid w:val="00A13D3F"/>
    <w:rsid w:val="00A14EF8"/>
    <w:rsid w:val="00A21DCB"/>
    <w:rsid w:val="00A267AF"/>
    <w:rsid w:val="00A300F8"/>
    <w:rsid w:val="00A361C3"/>
    <w:rsid w:val="00A72FE6"/>
    <w:rsid w:val="00A82FF8"/>
    <w:rsid w:val="00A84E1A"/>
    <w:rsid w:val="00A87547"/>
    <w:rsid w:val="00AA3717"/>
    <w:rsid w:val="00AC6B65"/>
    <w:rsid w:val="00AE38AE"/>
    <w:rsid w:val="00AF3A4A"/>
    <w:rsid w:val="00AF5CE8"/>
    <w:rsid w:val="00AF7F82"/>
    <w:rsid w:val="00B071AC"/>
    <w:rsid w:val="00B114AE"/>
    <w:rsid w:val="00B13B47"/>
    <w:rsid w:val="00B30682"/>
    <w:rsid w:val="00B33E61"/>
    <w:rsid w:val="00B34115"/>
    <w:rsid w:val="00B41CC3"/>
    <w:rsid w:val="00B51332"/>
    <w:rsid w:val="00B62EB8"/>
    <w:rsid w:val="00B663A0"/>
    <w:rsid w:val="00B71B34"/>
    <w:rsid w:val="00B72416"/>
    <w:rsid w:val="00B746AC"/>
    <w:rsid w:val="00B854ED"/>
    <w:rsid w:val="00B879B2"/>
    <w:rsid w:val="00B94FA1"/>
    <w:rsid w:val="00B97E09"/>
    <w:rsid w:val="00BA18E1"/>
    <w:rsid w:val="00BA653D"/>
    <w:rsid w:val="00BB288D"/>
    <w:rsid w:val="00BC605A"/>
    <w:rsid w:val="00BD5543"/>
    <w:rsid w:val="00BE0AD5"/>
    <w:rsid w:val="00BE4567"/>
    <w:rsid w:val="00BE7949"/>
    <w:rsid w:val="00BF1313"/>
    <w:rsid w:val="00C0184C"/>
    <w:rsid w:val="00C118AB"/>
    <w:rsid w:val="00C11BAF"/>
    <w:rsid w:val="00C127BD"/>
    <w:rsid w:val="00C13AAC"/>
    <w:rsid w:val="00C172C1"/>
    <w:rsid w:val="00C5021C"/>
    <w:rsid w:val="00C52B51"/>
    <w:rsid w:val="00C56CC5"/>
    <w:rsid w:val="00C6509A"/>
    <w:rsid w:val="00C66DA9"/>
    <w:rsid w:val="00C6745E"/>
    <w:rsid w:val="00C70597"/>
    <w:rsid w:val="00C710A5"/>
    <w:rsid w:val="00C72611"/>
    <w:rsid w:val="00C761DD"/>
    <w:rsid w:val="00CA4462"/>
    <w:rsid w:val="00CB4E04"/>
    <w:rsid w:val="00CD0F7C"/>
    <w:rsid w:val="00CE4260"/>
    <w:rsid w:val="00CE5E3A"/>
    <w:rsid w:val="00CE5EAC"/>
    <w:rsid w:val="00CE6C9B"/>
    <w:rsid w:val="00CF1A1A"/>
    <w:rsid w:val="00CF359E"/>
    <w:rsid w:val="00D06F16"/>
    <w:rsid w:val="00D07DC4"/>
    <w:rsid w:val="00D123D7"/>
    <w:rsid w:val="00D13E54"/>
    <w:rsid w:val="00D170C2"/>
    <w:rsid w:val="00D31CB1"/>
    <w:rsid w:val="00D3208B"/>
    <w:rsid w:val="00D350C8"/>
    <w:rsid w:val="00D446DC"/>
    <w:rsid w:val="00D507CC"/>
    <w:rsid w:val="00D526DF"/>
    <w:rsid w:val="00D75BD0"/>
    <w:rsid w:val="00D77D23"/>
    <w:rsid w:val="00D9616A"/>
    <w:rsid w:val="00DA509D"/>
    <w:rsid w:val="00DB397C"/>
    <w:rsid w:val="00DC2551"/>
    <w:rsid w:val="00DC2DE1"/>
    <w:rsid w:val="00DC3385"/>
    <w:rsid w:val="00DC72AB"/>
    <w:rsid w:val="00DD057E"/>
    <w:rsid w:val="00DE5AD2"/>
    <w:rsid w:val="00DE6930"/>
    <w:rsid w:val="00DF691D"/>
    <w:rsid w:val="00E24436"/>
    <w:rsid w:val="00E3060E"/>
    <w:rsid w:val="00E308C4"/>
    <w:rsid w:val="00E325F7"/>
    <w:rsid w:val="00E3341B"/>
    <w:rsid w:val="00E40D45"/>
    <w:rsid w:val="00E5180B"/>
    <w:rsid w:val="00E56605"/>
    <w:rsid w:val="00E6402B"/>
    <w:rsid w:val="00E66FBB"/>
    <w:rsid w:val="00E675AD"/>
    <w:rsid w:val="00E7399B"/>
    <w:rsid w:val="00E7738E"/>
    <w:rsid w:val="00E86BC2"/>
    <w:rsid w:val="00E93735"/>
    <w:rsid w:val="00E9374A"/>
    <w:rsid w:val="00E939D5"/>
    <w:rsid w:val="00E946FC"/>
    <w:rsid w:val="00EA159D"/>
    <w:rsid w:val="00EA3322"/>
    <w:rsid w:val="00EA6579"/>
    <w:rsid w:val="00EB2C25"/>
    <w:rsid w:val="00EB5BAB"/>
    <w:rsid w:val="00EC0CB5"/>
    <w:rsid w:val="00ED339B"/>
    <w:rsid w:val="00ED391E"/>
    <w:rsid w:val="00ED50CF"/>
    <w:rsid w:val="00EE5DF4"/>
    <w:rsid w:val="00F17EBE"/>
    <w:rsid w:val="00F21C5A"/>
    <w:rsid w:val="00F24D2D"/>
    <w:rsid w:val="00F31777"/>
    <w:rsid w:val="00F3381F"/>
    <w:rsid w:val="00F54B74"/>
    <w:rsid w:val="00F6243A"/>
    <w:rsid w:val="00F73FE0"/>
    <w:rsid w:val="00F76D1C"/>
    <w:rsid w:val="00F84CDE"/>
    <w:rsid w:val="00F865D5"/>
    <w:rsid w:val="00F86BE5"/>
    <w:rsid w:val="00FA28D1"/>
    <w:rsid w:val="00FB64F3"/>
    <w:rsid w:val="00FB6DB0"/>
    <w:rsid w:val="00FC33F4"/>
    <w:rsid w:val="00FC41AA"/>
    <w:rsid w:val="00FC6AC4"/>
    <w:rsid w:val="00FE39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rsid w:val="00E925AD"/>
    <w:rPr>
      <w:rFonts w:ascii="Times New Roman" w:hAnsi="Times New Roman"/>
      <w:sz w:val="18"/>
      <w:vertAlign w:val="superscript"/>
    </w:rPr>
  </w:style>
  <w:style w:type="paragraph" w:styleId="FootnoteText">
    <w:name w:val="footnote text"/>
    <w:aliases w:val="5_G,Footnote Text Char1,Footnote Text Char Char,Char,Char Char Char,Char Char Char Char,single space,Footnote Text Char Char Char Char Char Char Char, Char, Char Char Char, Char Char Char Char,Note de bas de page2,Текст сноски Знак"/>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2454D0"/>
    <w:rPr>
      <w:b/>
      <w:sz w:val="24"/>
      <w:lang w:eastAsia="en-U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uiPriority w:val="99"/>
    <w:locked/>
    <w:rsid w:val="002454D0"/>
    <w:rPr>
      <w:sz w:val="18"/>
      <w:lang w:eastAsia="en-US"/>
    </w:rPr>
  </w:style>
  <w:style w:type="character" w:styleId="Strong">
    <w:name w:val="Strong"/>
    <w:qFormat/>
    <w:rsid w:val="009762AD"/>
    <w:rPr>
      <w:b/>
      <w:bCs/>
    </w:rPr>
  </w:style>
  <w:style w:type="character" w:customStyle="1" w:styleId="SingleTxtGChar">
    <w:name w:val="_ Single Txt_G Char"/>
    <w:link w:val="SingleTxtG"/>
    <w:rsid w:val="009762AD"/>
    <w:rPr>
      <w:lang w:eastAsia="en-US"/>
    </w:rPr>
  </w:style>
  <w:style w:type="character" w:customStyle="1" w:styleId="highlight1">
    <w:name w:val="highlight1"/>
    <w:rsid w:val="000C098A"/>
    <w:rPr>
      <w:shd w:val="clear" w:color="auto" w:fill="FFCC33"/>
    </w:rPr>
  </w:style>
  <w:style w:type="character" w:styleId="CommentReference">
    <w:name w:val="annotation reference"/>
    <w:rsid w:val="001279C2"/>
    <w:rPr>
      <w:sz w:val="16"/>
      <w:szCs w:val="16"/>
    </w:rPr>
  </w:style>
  <w:style w:type="paragraph" w:styleId="CommentText">
    <w:name w:val="annotation text"/>
    <w:basedOn w:val="Normal"/>
    <w:link w:val="CommentTextChar"/>
    <w:rsid w:val="001279C2"/>
    <w:rPr>
      <w:lang/>
    </w:rPr>
  </w:style>
  <w:style w:type="character" w:customStyle="1" w:styleId="CommentTextChar">
    <w:name w:val="Comment Text Char"/>
    <w:link w:val="CommentText"/>
    <w:rsid w:val="001279C2"/>
    <w:rPr>
      <w:lang w:eastAsia="en-US"/>
    </w:rPr>
  </w:style>
  <w:style w:type="paragraph" w:styleId="CommentSubject">
    <w:name w:val="annotation subject"/>
    <w:basedOn w:val="CommentText"/>
    <w:next w:val="CommentText"/>
    <w:link w:val="CommentSubjectChar"/>
    <w:rsid w:val="001279C2"/>
    <w:rPr>
      <w:b/>
      <w:bCs/>
    </w:rPr>
  </w:style>
  <w:style w:type="character" w:customStyle="1" w:styleId="CommentSubjectChar">
    <w:name w:val="Comment Subject Char"/>
    <w:link w:val="CommentSubject"/>
    <w:rsid w:val="001279C2"/>
    <w:rPr>
      <w:b/>
      <w:bCs/>
      <w:lang w:eastAsia="en-US"/>
    </w:rPr>
  </w:style>
  <w:style w:type="paragraph" w:styleId="BalloonText">
    <w:name w:val="Balloon Text"/>
    <w:basedOn w:val="Normal"/>
    <w:link w:val="BalloonTextChar"/>
    <w:rsid w:val="001279C2"/>
    <w:pPr>
      <w:spacing w:line="240" w:lineRule="auto"/>
    </w:pPr>
    <w:rPr>
      <w:rFonts w:ascii="Tahoma" w:hAnsi="Tahoma"/>
      <w:sz w:val="16"/>
      <w:szCs w:val="16"/>
      <w:lang/>
    </w:rPr>
  </w:style>
  <w:style w:type="character" w:customStyle="1" w:styleId="BalloonTextChar">
    <w:name w:val="Balloon Text Char"/>
    <w:link w:val="BalloonText"/>
    <w:rsid w:val="001279C2"/>
    <w:rPr>
      <w:rFonts w:ascii="Tahoma" w:hAnsi="Tahoma" w:cs="Tahoma"/>
      <w:sz w:val="16"/>
      <w:szCs w:val="16"/>
      <w:lang w:eastAsia="en-US"/>
    </w:rPr>
  </w:style>
  <w:style w:type="character" w:customStyle="1" w:styleId="HChGChar">
    <w:name w:val="_ H _Ch_G Char"/>
    <w:link w:val="HChG"/>
    <w:rsid w:val="004D4BC7"/>
    <w:rPr>
      <w:b/>
      <w:sz w:val="28"/>
      <w:lang w:eastAsia="en-US"/>
    </w:rPr>
  </w:style>
  <w:style w:type="paragraph" w:customStyle="1" w:styleId="ParNoG">
    <w:name w:val="_ParNo_G"/>
    <w:basedOn w:val="SingleTxtG"/>
    <w:link w:val="ParNoGCar"/>
    <w:rsid w:val="0052138A"/>
    <w:pPr>
      <w:ind w:left="0"/>
    </w:pPr>
    <w:rPr>
      <w:lang w:val="fr-CH"/>
    </w:rPr>
  </w:style>
  <w:style w:type="character" w:customStyle="1" w:styleId="ParNoGCar">
    <w:name w:val="_ParNo_G Car"/>
    <w:link w:val="ParNoG"/>
    <w:rsid w:val="0052138A"/>
    <w:rPr>
      <w:lang w:val="fr-CH"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12</Pages>
  <Words>5405</Words>
  <Characters>30406</Characters>
  <Application>Microsoft Office Outlook</Application>
  <DocSecurity>4</DocSecurity>
  <Lines>513</Lines>
  <Paragraphs>155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PDF</cp:lastModifiedBy>
  <cp:revision>2</cp:revision>
  <cp:lastPrinted>2014-05-22T15:45:00Z</cp:lastPrinted>
  <dcterms:created xsi:type="dcterms:W3CDTF">2014-07-10T16:00:00Z</dcterms:created>
  <dcterms:modified xsi:type="dcterms:W3CDTF">2014-07-10T16:00:00Z</dcterms:modified>
</cp:coreProperties>
</file>