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3A036C38" w14:textId="77777777" w:rsidTr="0002432E">
        <w:trPr>
          <w:trHeight w:hRule="exact" w:val="851"/>
        </w:trPr>
        <w:tc>
          <w:tcPr>
            <w:tcW w:w="1276" w:type="dxa"/>
            <w:tcBorders>
              <w:bottom w:val="single" w:sz="4" w:space="0" w:color="auto"/>
            </w:tcBorders>
          </w:tcPr>
          <w:p w14:paraId="1BF3180D" w14:textId="77777777" w:rsidR="0080236C" w:rsidRPr="00DB58B5" w:rsidRDefault="0080236C" w:rsidP="002C6DD4"/>
        </w:tc>
        <w:tc>
          <w:tcPr>
            <w:tcW w:w="2268" w:type="dxa"/>
            <w:tcBorders>
              <w:bottom w:val="single" w:sz="4" w:space="0" w:color="auto"/>
            </w:tcBorders>
            <w:vAlign w:val="bottom"/>
          </w:tcPr>
          <w:p w14:paraId="57EE6637"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FD42E5C" w14:textId="5811D43E" w:rsidR="0080236C" w:rsidRPr="00DB58B5" w:rsidRDefault="002C6DD4" w:rsidP="002C6DD4">
            <w:pPr>
              <w:jc w:val="right"/>
            </w:pPr>
            <w:r w:rsidRPr="002C6DD4">
              <w:rPr>
                <w:sz w:val="40"/>
              </w:rPr>
              <w:t>E</w:t>
            </w:r>
            <w:r>
              <w:t>/C.12/ZAF/FCO/1</w:t>
            </w:r>
          </w:p>
        </w:tc>
      </w:tr>
      <w:tr w:rsidR="0080236C" w:rsidRPr="00DB58B5" w14:paraId="74CEFBC0" w14:textId="77777777" w:rsidTr="0002432E">
        <w:trPr>
          <w:trHeight w:hRule="exact" w:val="2835"/>
        </w:trPr>
        <w:tc>
          <w:tcPr>
            <w:tcW w:w="1276" w:type="dxa"/>
            <w:tcBorders>
              <w:top w:val="single" w:sz="4" w:space="0" w:color="auto"/>
              <w:bottom w:val="single" w:sz="12" w:space="0" w:color="auto"/>
            </w:tcBorders>
          </w:tcPr>
          <w:p w14:paraId="305B704B" w14:textId="77777777" w:rsidR="0080236C" w:rsidRPr="00DB58B5" w:rsidRDefault="0080236C" w:rsidP="0002432E">
            <w:pPr>
              <w:spacing w:before="120"/>
              <w:jc w:val="center"/>
            </w:pPr>
            <w:r>
              <w:rPr>
                <w:noProof/>
                <w:lang w:eastAsia="fr-CH"/>
              </w:rPr>
              <w:drawing>
                <wp:inline distT="0" distB="0" distL="0" distR="0" wp14:anchorId="75FE16F0" wp14:editId="2FC2F25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EEFBFD1"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6C841AC" w14:textId="77777777" w:rsidR="0080236C" w:rsidRDefault="002C6DD4" w:rsidP="0002432E">
            <w:pPr>
              <w:spacing w:before="240"/>
            </w:pPr>
            <w:proofErr w:type="spellStart"/>
            <w:r>
              <w:t>Distr</w:t>
            </w:r>
            <w:proofErr w:type="spellEnd"/>
            <w:r>
              <w:t>. générale</w:t>
            </w:r>
          </w:p>
          <w:p w14:paraId="216F4C93" w14:textId="77777777" w:rsidR="002C6DD4" w:rsidRDefault="002C6DD4" w:rsidP="002C6DD4">
            <w:pPr>
              <w:spacing w:line="240" w:lineRule="exact"/>
            </w:pPr>
            <w:r>
              <w:t>21 mai 2021</w:t>
            </w:r>
          </w:p>
          <w:p w14:paraId="74D80811" w14:textId="77777777" w:rsidR="002C6DD4" w:rsidRDefault="002C6DD4" w:rsidP="002C6DD4">
            <w:pPr>
              <w:spacing w:line="240" w:lineRule="exact"/>
            </w:pPr>
            <w:r>
              <w:t>Français</w:t>
            </w:r>
          </w:p>
          <w:p w14:paraId="04F02067" w14:textId="0A7417FC" w:rsidR="002C6DD4" w:rsidRDefault="002C6DD4" w:rsidP="002C6DD4">
            <w:pPr>
              <w:spacing w:line="240" w:lineRule="exact"/>
            </w:pPr>
            <w:r>
              <w:t>Original</w:t>
            </w:r>
            <w:r w:rsidR="003428E0">
              <w:t> :</w:t>
            </w:r>
            <w:r>
              <w:t xml:space="preserve"> anglais</w:t>
            </w:r>
          </w:p>
          <w:p w14:paraId="0E9E9536" w14:textId="44C64273" w:rsidR="002C6DD4" w:rsidRPr="00DB58B5" w:rsidRDefault="002C6DD4" w:rsidP="002C6DD4">
            <w:pPr>
              <w:spacing w:line="240" w:lineRule="exact"/>
            </w:pPr>
            <w:r>
              <w:t>Anglais, espagnol et français seulement</w:t>
            </w:r>
          </w:p>
        </w:tc>
      </w:tr>
    </w:tbl>
    <w:p w14:paraId="3B52035C" w14:textId="77777777" w:rsidR="002C6DD4" w:rsidRPr="00E043FE" w:rsidRDefault="002C6DD4" w:rsidP="00967489">
      <w:pPr>
        <w:spacing w:before="120"/>
        <w:rPr>
          <w:b/>
          <w:sz w:val="24"/>
          <w:szCs w:val="24"/>
        </w:rPr>
      </w:pPr>
      <w:r w:rsidRPr="00E043FE">
        <w:rPr>
          <w:b/>
          <w:sz w:val="24"/>
          <w:szCs w:val="24"/>
        </w:rPr>
        <w:t>Comité des droits économiques, sociaux et culturels</w:t>
      </w:r>
    </w:p>
    <w:p w14:paraId="380CF4C2" w14:textId="67BA5CB2" w:rsidR="00F12F47" w:rsidRPr="004D30AB" w:rsidRDefault="00F12F47" w:rsidP="003428E0">
      <w:pPr>
        <w:pStyle w:val="HMG"/>
        <w:spacing w:before="360"/>
      </w:pPr>
      <w:r w:rsidRPr="004D30AB">
        <w:tab/>
      </w:r>
      <w:r w:rsidRPr="004D30AB">
        <w:tab/>
        <w:t>Renseignements reçus de l</w:t>
      </w:r>
      <w:r>
        <w:t>’</w:t>
      </w:r>
      <w:r w:rsidRPr="004D30AB">
        <w:t xml:space="preserve">Afrique du Sud </w:t>
      </w:r>
      <w:r w:rsidR="003428E0">
        <w:br/>
      </w:r>
      <w:r w:rsidRPr="004D30AB">
        <w:t xml:space="preserve">au sujet de la suite donnée aux observations </w:t>
      </w:r>
      <w:r w:rsidR="003428E0">
        <w:br/>
      </w:r>
      <w:r w:rsidRPr="004D30AB">
        <w:t>finales concernant son rapport initial</w:t>
      </w:r>
      <w:r w:rsidRPr="004D30AB">
        <w:rPr>
          <w:b w:val="0"/>
          <w:bCs/>
          <w:sz w:val="20"/>
        </w:rPr>
        <w:footnoteReference w:customMarkFollows="1" w:id="2"/>
        <w:t>*</w:t>
      </w:r>
    </w:p>
    <w:p w14:paraId="64169735" w14:textId="0C4AEC12" w:rsidR="00F12F47" w:rsidRPr="004D30AB" w:rsidRDefault="00F12F47" w:rsidP="003428E0">
      <w:pPr>
        <w:pStyle w:val="SingleTxtG"/>
        <w:jc w:val="right"/>
      </w:pPr>
      <w:r w:rsidRPr="004D30AB">
        <w:t>[Date de réception</w:t>
      </w:r>
      <w:r w:rsidR="003428E0">
        <w:t> :</w:t>
      </w:r>
      <w:r w:rsidRPr="004D30AB">
        <w:t xml:space="preserve"> 14 mai 2021]</w:t>
      </w:r>
    </w:p>
    <w:p w14:paraId="51B3B933" w14:textId="77777777" w:rsidR="00F12F47" w:rsidRPr="004D30AB" w:rsidRDefault="00F12F47" w:rsidP="00F12F47">
      <w:pPr>
        <w:pStyle w:val="SingleTxtG"/>
      </w:pPr>
      <w:r w:rsidRPr="004D30AB">
        <w:br w:type="page"/>
      </w:r>
    </w:p>
    <w:p w14:paraId="76D4B769" w14:textId="77777777" w:rsidR="00F12F47" w:rsidRPr="004D30AB" w:rsidRDefault="00F12F47" w:rsidP="003428E0">
      <w:pPr>
        <w:pStyle w:val="HChG"/>
      </w:pPr>
      <w:r w:rsidRPr="004D30AB">
        <w:lastRenderedPageBreak/>
        <w:tab/>
        <w:t>I.</w:t>
      </w:r>
      <w:r w:rsidRPr="004D30AB">
        <w:tab/>
        <w:t>Introduction</w:t>
      </w:r>
    </w:p>
    <w:p w14:paraId="598D27D6" w14:textId="6D506561" w:rsidR="00F12F47" w:rsidRPr="004D30AB" w:rsidRDefault="00F12F47" w:rsidP="003428E0">
      <w:pPr>
        <w:pStyle w:val="SingleTxtG"/>
      </w:pPr>
      <w:r w:rsidRPr="004D30AB">
        <w:t>1.</w:t>
      </w:r>
      <w:r w:rsidRPr="004D30AB">
        <w:tab/>
        <w:t>Le Comité des droits économiques, sociaux et culturels (le «</w:t>
      </w:r>
      <w:r w:rsidR="0077320C">
        <w:t> </w:t>
      </w:r>
      <w:r w:rsidRPr="004D30AB">
        <w:t>Comité</w:t>
      </w:r>
      <w:r w:rsidR="0077320C">
        <w:t> </w:t>
      </w:r>
      <w:r w:rsidRPr="004D30AB">
        <w:t xml:space="preserve">»), après avoir examiné le rapport initial </w:t>
      </w:r>
      <w:r>
        <w:t xml:space="preserve">de </w:t>
      </w:r>
      <w:r w:rsidRPr="004D30AB">
        <w:t>l</w:t>
      </w:r>
      <w:r>
        <w:t>’</w:t>
      </w:r>
      <w:r w:rsidRPr="004D30AB">
        <w:t>Afrique du Sud et entendu l</w:t>
      </w:r>
      <w:r>
        <w:t>’</w:t>
      </w:r>
      <w:r w:rsidRPr="004D30AB">
        <w:t xml:space="preserve">exposé fait par la délégation </w:t>
      </w:r>
      <w:r>
        <w:t>sud</w:t>
      </w:r>
      <w:r w:rsidR="0077320C">
        <w:noBreakHyphen/>
      </w:r>
      <w:r>
        <w:t>africaine</w:t>
      </w:r>
      <w:r w:rsidRPr="004D30AB">
        <w:t xml:space="preserve">, a demandé que </w:t>
      </w:r>
      <w:r>
        <w:t xml:space="preserve">l’État partie </w:t>
      </w:r>
      <w:r w:rsidRPr="004D30AB">
        <w:t xml:space="preserve">lui fournisse, dans les </w:t>
      </w:r>
      <w:r w:rsidR="0077320C">
        <w:t>vingt-quatre</w:t>
      </w:r>
      <w:r w:rsidRPr="004D30AB">
        <w:t xml:space="preserve"> mois </w:t>
      </w:r>
      <w:r>
        <w:t>faisant suite à</w:t>
      </w:r>
      <w:r w:rsidRPr="004D30AB">
        <w:t xml:space="preserve"> l</w:t>
      </w:r>
      <w:r>
        <w:t>’</w:t>
      </w:r>
      <w:r w:rsidRPr="004D30AB">
        <w:t>adoption des observations finale</w:t>
      </w:r>
      <w:r>
        <w:t>s</w:t>
      </w:r>
      <w:r w:rsidRPr="004D30AB">
        <w:t xml:space="preserve">, conformément à la procédure de suivi, des renseignements complets sur les recommandations </w:t>
      </w:r>
      <w:r>
        <w:t>figurant</w:t>
      </w:r>
      <w:r w:rsidRPr="004D30AB">
        <w:t xml:space="preserve"> aux paragraphes</w:t>
      </w:r>
      <w:r w:rsidR="0077320C">
        <w:t> </w:t>
      </w:r>
      <w:r w:rsidRPr="004D30AB">
        <w:t>48</w:t>
      </w:r>
      <w:r w:rsidR="0077320C">
        <w:t> </w:t>
      </w:r>
      <w:r w:rsidRPr="004D30AB">
        <w:t xml:space="preserve">a) et c) </w:t>
      </w:r>
      <w:r>
        <w:t>(</w:t>
      </w:r>
      <w:r w:rsidRPr="004D30AB">
        <w:t>élaboration d</w:t>
      </w:r>
      <w:r>
        <w:t>’</w:t>
      </w:r>
      <w:r w:rsidRPr="004D30AB">
        <w:t>un indice composite permettant d</w:t>
      </w:r>
      <w:r>
        <w:t>’</w:t>
      </w:r>
      <w:r w:rsidRPr="004D30AB">
        <w:t>évaluer les coûts de la vie et accès à l</w:t>
      </w:r>
      <w:r>
        <w:t>’</w:t>
      </w:r>
      <w:r w:rsidRPr="004D30AB">
        <w:t>aide sociale pour les personnes âgées de 18 à 59</w:t>
      </w:r>
      <w:r w:rsidR="0077320C">
        <w:t> </w:t>
      </w:r>
      <w:r w:rsidRPr="004D30AB">
        <w:t>ans</w:t>
      </w:r>
      <w:r>
        <w:t>)</w:t>
      </w:r>
      <w:r w:rsidRPr="004D30AB">
        <w:t>, 57</w:t>
      </w:r>
      <w:r w:rsidR="0077320C">
        <w:t> </w:t>
      </w:r>
      <w:r w:rsidRPr="004D30AB">
        <w:t xml:space="preserve">c) </w:t>
      </w:r>
      <w:r>
        <w:t>(</w:t>
      </w:r>
      <w:r w:rsidRPr="004D30AB">
        <w:t>adoption du projet de loi de 2018 portant modification de la loi sur l</w:t>
      </w:r>
      <w:r>
        <w:t>’</w:t>
      </w:r>
      <w:r w:rsidRPr="004D30AB">
        <w:t>assistance sociale</w:t>
      </w:r>
      <w:r>
        <w:t>)</w:t>
      </w:r>
      <w:r w:rsidRPr="004D30AB">
        <w:t xml:space="preserve"> et 73 c) </w:t>
      </w:r>
      <w:r>
        <w:t>(</w:t>
      </w:r>
      <w:r w:rsidRPr="004D30AB">
        <w:t>accès à l</w:t>
      </w:r>
      <w:r>
        <w:t>’</w:t>
      </w:r>
      <w:r w:rsidRPr="004D30AB">
        <w:t>éducation pour les enfants migrants, réfugiés et demandeurs d</w:t>
      </w:r>
      <w:r>
        <w:t>’</w:t>
      </w:r>
      <w:r w:rsidRPr="004D30AB">
        <w:t xml:space="preserve">asile </w:t>
      </w:r>
      <w:r>
        <w:t>sans papiers)</w:t>
      </w:r>
      <w:r w:rsidRPr="004D30AB">
        <w:t>.</w:t>
      </w:r>
    </w:p>
    <w:p w14:paraId="173E1DC7" w14:textId="77777777" w:rsidR="00F12F47" w:rsidRPr="004D30AB" w:rsidRDefault="00F12F47" w:rsidP="003428E0">
      <w:pPr>
        <w:pStyle w:val="SingleTxtG"/>
      </w:pPr>
      <w:r w:rsidRPr="004D30AB">
        <w:t>2.</w:t>
      </w:r>
      <w:r w:rsidRPr="004D30AB">
        <w:tab/>
        <w:t xml:space="preserve">On trouvera </w:t>
      </w:r>
      <w:r>
        <w:t>ci-après les</w:t>
      </w:r>
      <w:r w:rsidRPr="004D30AB">
        <w:t xml:space="preserve"> </w:t>
      </w:r>
      <w:r>
        <w:t>informations</w:t>
      </w:r>
      <w:r w:rsidRPr="004D30AB">
        <w:t xml:space="preserve"> </w:t>
      </w:r>
      <w:r>
        <w:t>recueillies</w:t>
      </w:r>
      <w:r w:rsidRPr="004D30AB">
        <w:t xml:space="preserve"> </w:t>
      </w:r>
      <w:r>
        <w:t xml:space="preserve">par </w:t>
      </w:r>
      <w:r w:rsidRPr="004D30AB">
        <w:t>l</w:t>
      </w:r>
      <w:r>
        <w:t>’</w:t>
      </w:r>
      <w:r w:rsidRPr="004D30AB">
        <w:t xml:space="preserve">État partie </w:t>
      </w:r>
      <w:r>
        <w:t>auprès</w:t>
      </w:r>
      <w:r w:rsidRPr="004D30AB">
        <w:t xml:space="preserve"> des différents </w:t>
      </w:r>
      <w:r>
        <w:t>organismes publics et ministères qui s’occupent</w:t>
      </w:r>
      <w:r w:rsidRPr="004D30AB">
        <w:t xml:space="preserve"> </w:t>
      </w:r>
      <w:r>
        <w:t>d</w:t>
      </w:r>
      <w:r w:rsidRPr="004D30AB">
        <w:t xml:space="preserve">es </w:t>
      </w:r>
      <w:r>
        <w:t xml:space="preserve">questions traitées dans les </w:t>
      </w:r>
      <w:r w:rsidRPr="004D30AB">
        <w:t xml:space="preserve">observations finales et les recommandations susmentionnées, à savoir </w:t>
      </w:r>
      <w:proofErr w:type="spellStart"/>
      <w:r w:rsidRPr="004D30AB">
        <w:t>Statistics</w:t>
      </w:r>
      <w:proofErr w:type="spellEnd"/>
      <w:r w:rsidRPr="004D30AB">
        <w:t xml:space="preserve"> South </w:t>
      </w:r>
      <w:proofErr w:type="spellStart"/>
      <w:r w:rsidRPr="004D30AB">
        <w:t>Africa</w:t>
      </w:r>
      <w:proofErr w:type="spellEnd"/>
      <w:r w:rsidRPr="004D30AB">
        <w:t xml:space="preserve">, le Ministère du développement social et </w:t>
      </w:r>
      <w:r>
        <w:t xml:space="preserve">le </w:t>
      </w:r>
      <w:r w:rsidRPr="004D30AB">
        <w:t>Ministère de l</w:t>
      </w:r>
      <w:r>
        <w:t>’</w:t>
      </w:r>
      <w:r w:rsidRPr="004D30AB">
        <w:t>éducation.</w:t>
      </w:r>
    </w:p>
    <w:p w14:paraId="45091763" w14:textId="6FEE4CF2" w:rsidR="00F12F47" w:rsidRPr="004D30AB" w:rsidRDefault="00F12F47" w:rsidP="003428E0">
      <w:pPr>
        <w:pStyle w:val="HChG"/>
      </w:pPr>
      <w:r w:rsidRPr="004D30AB">
        <w:tab/>
        <w:t>II.</w:t>
      </w:r>
      <w:r w:rsidRPr="004D30AB">
        <w:tab/>
      </w:r>
      <w:r w:rsidRPr="004D30AB">
        <w:rPr>
          <w:szCs w:val="28"/>
        </w:rPr>
        <w:t>Recommandations</w:t>
      </w:r>
      <w:r w:rsidRPr="004D30AB">
        <w:rPr>
          <w:rStyle w:val="Marquedecommentaire"/>
          <w:bCs/>
          <w:sz w:val="28"/>
          <w:szCs w:val="28"/>
        </w:rPr>
        <w:t xml:space="preserve"> et </w:t>
      </w:r>
      <w:r>
        <w:t>informations</w:t>
      </w:r>
      <w:r w:rsidRPr="004D30AB">
        <w:t xml:space="preserve"> communiquées </w:t>
      </w:r>
      <w:r w:rsidR="003428E0">
        <w:br/>
      </w:r>
      <w:r>
        <w:t xml:space="preserve">par </w:t>
      </w:r>
      <w:r w:rsidRPr="004D30AB">
        <w:t>l</w:t>
      </w:r>
      <w:r>
        <w:t>’</w:t>
      </w:r>
      <w:r w:rsidRPr="004D30AB">
        <w:t>État partie</w:t>
      </w:r>
    </w:p>
    <w:p w14:paraId="08D2FE5F" w14:textId="34E26F79" w:rsidR="00F12F47" w:rsidRPr="004D30AB" w:rsidRDefault="00F12F47" w:rsidP="00EB03C1">
      <w:pPr>
        <w:pStyle w:val="H23G"/>
      </w:pPr>
      <w:bookmarkStart w:id="0" w:name="_Hlk59175659"/>
      <w:r w:rsidRPr="004D30AB">
        <w:tab/>
      </w:r>
      <w:r w:rsidRPr="004D30AB">
        <w:tab/>
      </w:r>
      <w:r>
        <w:t>S</w:t>
      </w:r>
      <w:r w:rsidRPr="004D30AB">
        <w:t>uite donnée aux recommandations formulées au paragraphe 48 des observations finales (E/C.12/ZAF/CO/1)</w:t>
      </w:r>
      <w:bookmarkEnd w:id="0"/>
      <w:r w:rsidR="003428E0">
        <w:t> :</w:t>
      </w:r>
      <w:r>
        <w:t xml:space="preserve"> </w:t>
      </w:r>
      <w:r w:rsidRPr="004D30AB">
        <w:t>élaborer et mettre à jour régulièrement un indice composite permettant d</w:t>
      </w:r>
      <w:r>
        <w:t>’</w:t>
      </w:r>
      <w:r w:rsidRPr="004D30AB">
        <w:t>évaluer le coût de la vie</w:t>
      </w:r>
    </w:p>
    <w:p w14:paraId="217527FA" w14:textId="75716614" w:rsidR="00F12F47" w:rsidRPr="004D30AB" w:rsidRDefault="00F12F47" w:rsidP="00EB03C1">
      <w:pPr>
        <w:pStyle w:val="SingleTxtG"/>
      </w:pPr>
      <w:r w:rsidRPr="004D30AB">
        <w:t>3.</w:t>
      </w:r>
      <w:r w:rsidRPr="004D30AB">
        <w:tab/>
        <w:t>L</w:t>
      </w:r>
      <w:r>
        <w:t>’</w:t>
      </w:r>
      <w:r w:rsidRPr="004D30AB">
        <w:t>indice officiel des prix à la consommation (IPC) sert d</w:t>
      </w:r>
      <w:r>
        <w:t>’</w:t>
      </w:r>
      <w:r w:rsidRPr="004D30AB">
        <w:t>indice du coût de la vie et d</w:t>
      </w:r>
      <w:r>
        <w:t>’</w:t>
      </w:r>
      <w:r w:rsidRPr="004D30AB">
        <w:t>indicateur macroéconomique de l</w:t>
      </w:r>
      <w:r>
        <w:t>’</w:t>
      </w:r>
      <w:r w:rsidRPr="004D30AB">
        <w:t>inflation</w:t>
      </w:r>
      <w:r w:rsidRPr="00D37B95">
        <w:t xml:space="preserve"> </w:t>
      </w:r>
      <w:r>
        <w:t>en</w:t>
      </w:r>
      <w:r w:rsidRPr="004D30AB">
        <w:t xml:space="preserve"> Afrique du Sud. </w:t>
      </w:r>
      <w:proofErr w:type="spellStart"/>
      <w:r w:rsidRPr="004D30AB">
        <w:t>Statistics</w:t>
      </w:r>
      <w:proofErr w:type="spellEnd"/>
      <w:r w:rsidRPr="004D30AB">
        <w:t xml:space="preserve"> South </w:t>
      </w:r>
      <w:proofErr w:type="spellStart"/>
      <w:r w:rsidRPr="004D30AB">
        <w:t>Africa</w:t>
      </w:r>
      <w:proofErr w:type="spellEnd"/>
      <w:r w:rsidRPr="004D30AB">
        <w:t xml:space="preserve"> publie tous les mois des indices relatifs aux déciles de dépenses qui rendent compte de l</w:t>
      </w:r>
      <w:r>
        <w:t>’</w:t>
      </w:r>
      <w:r w:rsidRPr="004D30AB">
        <w:t>évolution du coût de la vie pour tous les niveaux de revenu</w:t>
      </w:r>
      <w:r w:rsidR="004C67A7">
        <w:t>s</w:t>
      </w:r>
      <w:r w:rsidRPr="004D30AB">
        <w:t xml:space="preserve">, </w:t>
      </w:r>
      <w:r>
        <w:t>et</w:t>
      </w:r>
      <w:r w:rsidRPr="004D30AB">
        <w:t xml:space="preserve"> des indices concernant les habitants des zones rurales. L</w:t>
      </w:r>
      <w:r>
        <w:t>’</w:t>
      </w:r>
      <w:r w:rsidRPr="004D30AB">
        <w:t>IPC</w:t>
      </w:r>
      <w:r>
        <w:t xml:space="preserve">, qui </w:t>
      </w:r>
      <w:r w:rsidRPr="004D30AB">
        <w:t>est établi conformément aux normes internationales</w:t>
      </w:r>
      <w:r>
        <w:t xml:space="preserve">, </w:t>
      </w:r>
      <w:r w:rsidRPr="004D30AB">
        <w:t>permet d</w:t>
      </w:r>
      <w:r>
        <w:t>’</w:t>
      </w:r>
      <w:r w:rsidRPr="004D30AB">
        <w:t xml:space="preserve">informer les économistes et les </w:t>
      </w:r>
      <w:r>
        <w:t>décideurs</w:t>
      </w:r>
      <w:r w:rsidRPr="004D30AB">
        <w:t xml:space="preserve"> publi</w:t>
      </w:r>
      <w:r>
        <w:t>c</w:t>
      </w:r>
      <w:r w:rsidRPr="004D30AB">
        <w:t xml:space="preserve">s </w:t>
      </w:r>
      <w:r>
        <w:t xml:space="preserve">afin qu’ils puissent élaborer des politiques </w:t>
      </w:r>
      <w:r w:rsidRPr="004D30AB">
        <w:t xml:space="preserve">fondées sur </w:t>
      </w:r>
      <w:r>
        <w:t>des données concrètes</w:t>
      </w:r>
      <w:r w:rsidRPr="004D30AB">
        <w:t xml:space="preserve"> </w:t>
      </w:r>
      <w:r>
        <w:t>concernant, par exemple,</w:t>
      </w:r>
      <w:r w:rsidRPr="004D30AB">
        <w:t xml:space="preserve"> la révision des subventions sociales</w:t>
      </w:r>
      <w:r>
        <w:t xml:space="preserve"> ou</w:t>
      </w:r>
      <w:r w:rsidRPr="004D30AB">
        <w:t xml:space="preserve"> des pensions alimentaires</w:t>
      </w:r>
      <w:r>
        <w:t>,</w:t>
      </w:r>
      <w:r w:rsidRPr="004D30AB">
        <w:t xml:space="preserve"> </w:t>
      </w:r>
      <w:r>
        <w:t>ou l</w:t>
      </w:r>
      <w:r w:rsidRPr="004D30AB">
        <w:t xml:space="preserve">es politiques monétaires </w:t>
      </w:r>
      <w:r>
        <w:t xml:space="preserve">à caractère </w:t>
      </w:r>
      <w:r w:rsidRPr="004D30AB">
        <w:t>plus général.</w:t>
      </w:r>
    </w:p>
    <w:p w14:paraId="268B74C5" w14:textId="5A3E48D6" w:rsidR="00F12F47" w:rsidRPr="004D30AB" w:rsidRDefault="00F12F47" w:rsidP="00EB03C1">
      <w:pPr>
        <w:pStyle w:val="SingleTxtG"/>
      </w:pPr>
      <w:r w:rsidRPr="004D30AB">
        <w:t>4.</w:t>
      </w:r>
      <w:r w:rsidRPr="004D30AB">
        <w:tab/>
        <w:t>L</w:t>
      </w:r>
      <w:r>
        <w:t>’</w:t>
      </w:r>
      <w:r w:rsidRPr="004D30AB">
        <w:t xml:space="preserve">IPC est un indicateur socioéconomique </w:t>
      </w:r>
      <w:r>
        <w:t xml:space="preserve">dont on se sert couramment </w:t>
      </w:r>
      <w:r w:rsidRPr="004D30AB">
        <w:t>pour mesurer l</w:t>
      </w:r>
      <w:r>
        <w:t>’</w:t>
      </w:r>
      <w:r w:rsidRPr="004D30AB">
        <w:t>évolution du niveau général des prix des biens et services de consommation qui sont achetés, utilisés ou payés par les ménages</w:t>
      </w:r>
      <w:r>
        <w:t>, de même que</w:t>
      </w:r>
      <w:r w:rsidRPr="004D30AB">
        <w:t xml:space="preserve"> les effets de cette évolution sur le coût de la vie. Il s</w:t>
      </w:r>
      <w:r>
        <w:t>’</w:t>
      </w:r>
      <w:r w:rsidRPr="004D30AB">
        <w:t xml:space="preserve">agit pour ce faire </w:t>
      </w:r>
      <w:r>
        <w:t>de calculer</w:t>
      </w:r>
      <w:r w:rsidRPr="004D30AB">
        <w:t xml:space="preserve"> le coût d</w:t>
      </w:r>
      <w:r>
        <w:t>’</w:t>
      </w:r>
      <w:r w:rsidRPr="004D30AB">
        <w:t>achat d</w:t>
      </w:r>
      <w:r>
        <w:t>’</w:t>
      </w:r>
      <w:r w:rsidRPr="004D30AB">
        <w:t>un panier fixe de biens et de services de consommation d</w:t>
      </w:r>
      <w:r>
        <w:t>’</w:t>
      </w:r>
      <w:r w:rsidRPr="004D30AB">
        <w:t>une qualité constante et aux caractéristiques analogues. Les</w:t>
      </w:r>
      <w:r w:rsidR="00EB0B55">
        <w:t> </w:t>
      </w:r>
      <w:r w:rsidRPr="004D30AB">
        <w:t>produits de ce panier sont jugés représentatifs des dépenses engagées par les ménages au cours d</w:t>
      </w:r>
      <w:r>
        <w:t>’</w:t>
      </w:r>
      <w:r w:rsidRPr="004D30AB">
        <w:t>une année ou d</w:t>
      </w:r>
      <w:r>
        <w:t>’</w:t>
      </w:r>
      <w:r w:rsidRPr="004D30AB">
        <w:t>une autre période définie.</w:t>
      </w:r>
    </w:p>
    <w:p w14:paraId="4F0B5FF7" w14:textId="10DB0040" w:rsidR="00F12F47" w:rsidRPr="004D30AB" w:rsidRDefault="00F12F47" w:rsidP="00EB03C1">
      <w:pPr>
        <w:pStyle w:val="SingleTxtG"/>
        <w:keepNext/>
      </w:pPr>
      <w:r w:rsidRPr="004D30AB">
        <w:t>5.</w:t>
      </w:r>
      <w:r w:rsidRPr="004D30AB">
        <w:tab/>
        <w:t>L</w:t>
      </w:r>
      <w:r>
        <w:t>’</w:t>
      </w:r>
      <w:r w:rsidRPr="004D30AB">
        <w:t>IPC vise trois objectifs d</w:t>
      </w:r>
      <w:r>
        <w:t>’</w:t>
      </w:r>
      <w:r w:rsidRPr="004D30AB">
        <w:t>importance égale, à savoir</w:t>
      </w:r>
      <w:r w:rsidR="003428E0">
        <w:t> :</w:t>
      </w:r>
    </w:p>
    <w:p w14:paraId="026D5BA1" w14:textId="2AB2B229" w:rsidR="00F12F47" w:rsidRPr="004D30AB" w:rsidRDefault="00F12F47" w:rsidP="00EB03C1">
      <w:pPr>
        <w:pStyle w:val="SingleTxtG"/>
        <w:ind w:firstLine="567"/>
      </w:pPr>
      <w:r w:rsidRPr="004D30AB">
        <w:t>a)</w:t>
      </w:r>
      <w:r w:rsidRPr="004D30AB">
        <w:tab/>
        <w:t>Mesurer l</w:t>
      </w:r>
      <w:r>
        <w:t>’</w:t>
      </w:r>
      <w:r w:rsidRPr="004D30AB">
        <w:t xml:space="preserve">inflation afin que les politiques macroéconomiques soient fondées sur des informations complètes et </w:t>
      </w:r>
      <w:r>
        <w:t>actualisées</w:t>
      </w:r>
      <w:r w:rsidRPr="004D30AB">
        <w:t xml:space="preserve"> sur les prix</w:t>
      </w:r>
      <w:r w:rsidR="003428E0">
        <w:t> ;</w:t>
      </w:r>
    </w:p>
    <w:p w14:paraId="3860DB3F" w14:textId="46B52445" w:rsidR="00F12F47" w:rsidRPr="004D30AB" w:rsidRDefault="00F12F47" w:rsidP="00EB03C1">
      <w:pPr>
        <w:pStyle w:val="SingleTxtG"/>
        <w:ind w:firstLine="567"/>
      </w:pPr>
      <w:r w:rsidRPr="004D30AB">
        <w:t>b)</w:t>
      </w:r>
      <w:r w:rsidRPr="004D30AB">
        <w:tab/>
        <w:t xml:space="preserve">Fournir un déflateur des dépenses de </w:t>
      </w:r>
      <w:r>
        <w:t xml:space="preserve">consommation </w:t>
      </w:r>
      <w:r w:rsidRPr="004D30AB">
        <w:t>applicable aux comptes nationaux</w:t>
      </w:r>
      <w:r>
        <w:t>,</w:t>
      </w:r>
      <w:r w:rsidRPr="004D30AB">
        <w:t xml:space="preserve"> </w:t>
      </w:r>
      <w:r>
        <w:t xml:space="preserve">ainsi que </w:t>
      </w:r>
      <w:r w:rsidRPr="004D30AB">
        <w:t>d</w:t>
      </w:r>
      <w:r>
        <w:t>’</w:t>
      </w:r>
      <w:r w:rsidRPr="004D30AB">
        <w:t>autres données économiques</w:t>
      </w:r>
      <w:r w:rsidR="003428E0">
        <w:t> ;</w:t>
      </w:r>
    </w:p>
    <w:p w14:paraId="76C7DCB9" w14:textId="037B317C" w:rsidR="00F12F47" w:rsidRPr="004D30AB" w:rsidRDefault="00F12F47" w:rsidP="00EB03C1">
      <w:pPr>
        <w:pStyle w:val="SingleTxtG"/>
        <w:ind w:firstLine="567"/>
      </w:pPr>
      <w:r w:rsidRPr="004D30AB">
        <w:t>c)</w:t>
      </w:r>
      <w:r w:rsidRPr="004D30AB">
        <w:tab/>
      </w:r>
      <w:r>
        <w:t>Suivre</w:t>
      </w:r>
      <w:r w:rsidRPr="004D30AB">
        <w:t xml:space="preserve"> l</w:t>
      </w:r>
      <w:r>
        <w:t>’</w:t>
      </w:r>
      <w:r w:rsidRPr="004D30AB">
        <w:t xml:space="preserve">évolution du coût de la vie pour les ménages </w:t>
      </w:r>
      <w:r>
        <w:t>afin de prendre des</w:t>
      </w:r>
      <w:r w:rsidRPr="004D30AB">
        <w:t xml:space="preserve"> mesures </w:t>
      </w:r>
      <w:r>
        <w:t>aussi équitables que possible</w:t>
      </w:r>
      <w:r w:rsidRPr="004D30AB">
        <w:t xml:space="preserve"> pour ajuster les salaires, les subventions, les accords de service et les contrats.</w:t>
      </w:r>
    </w:p>
    <w:p w14:paraId="6C6B9812" w14:textId="77777777" w:rsidR="00F12F47" w:rsidRPr="004D30AB" w:rsidRDefault="00F12F47" w:rsidP="00EB03C1">
      <w:pPr>
        <w:pStyle w:val="SingleTxtG"/>
      </w:pPr>
      <w:r w:rsidRPr="004D30AB">
        <w:t>6.</w:t>
      </w:r>
      <w:r w:rsidRPr="004D30AB">
        <w:tab/>
        <w:t>Selon le Gouvernement sud-africain, l</w:t>
      </w:r>
      <w:r>
        <w:t>’</w:t>
      </w:r>
      <w:r w:rsidRPr="004D30AB">
        <w:t xml:space="preserve">IPC est un indice composite </w:t>
      </w:r>
      <w:r>
        <w:t>permettant d’évaluer</w:t>
      </w:r>
      <w:r w:rsidRPr="004D30AB">
        <w:t xml:space="preserve"> le coût de la vie qui donne aux autorités et aux autres utilisateurs concernés un point de référence sur la base duquel </w:t>
      </w:r>
      <w:r>
        <w:t xml:space="preserve">ils peuvent </w:t>
      </w:r>
      <w:r w:rsidRPr="004D30AB">
        <w:t>fixer des niveaux de prestations sociales et de salaires adéquats tout en garantissant un niveau de vie suffisant pour tous.</w:t>
      </w:r>
    </w:p>
    <w:p w14:paraId="76B5D5E9" w14:textId="0048CE1C" w:rsidR="00F12F47" w:rsidRPr="004D30AB" w:rsidRDefault="00F12F47" w:rsidP="00EB03C1">
      <w:pPr>
        <w:pStyle w:val="H23G"/>
      </w:pPr>
      <w:r w:rsidRPr="004D30AB">
        <w:lastRenderedPageBreak/>
        <w:tab/>
      </w:r>
      <w:r w:rsidRPr="004D30AB">
        <w:tab/>
      </w:r>
      <w:r>
        <w:t>S</w:t>
      </w:r>
      <w:r w:rsidRPr="004D30AB">
        <w:t>uite donnée aux recommandations formulées au paragraphe 48 c) des observations finales</w:t>
      </w:r>
      <w:r w:rsidR="003428E0">
        <w:t> :</w:t>
      </w:r>
      <w:r>
        <w:t xml:space="preserve"> </w:t>
      </w:r>
      <w:r w:rsidRPr="004D30AB">
        <w:t xml:space="preserve">instaurer une aide sociale pour les personnes âgées de 18 à 59 ans </w:t>
      </w:r>
      <w:r w:rsidR="00801980">
        <w:br/>
      </w:r>
      <w:r w:rsidRPr="004D30AB">
        <w:t>qui ont peu de revenus ou qui n</w:t>
      </w:r>
      <w:r>
        <w:t>’</w:t>
      </w:r>
      <w:r w:rsidRPr="004D30AB">
        <w:t xml:space="preserve">en ont </w:t>
      </w:r>
      <w:r>
        <w:t>pas</w:t>
      </w:r>
    </w:p>
    <w:p w14:paraId="38DC30B9" w14:textId="7B9F8126" w:rsidR="00F12F47" w:rsidRPr="004D30AB" w:rsidRDefault="00F12F47" w:rsidP="00EB03C1">
      <w:pPr>
        <w:pStyle w:val="SingleTxtG"/>
      </w:pPr>
      <w:r w:rsidRPr="004D30AB">
        <w:t>7.</w:t>
      </w:r>
      <w:r w:rsidRPr="004D30AB">
        <w:tab/>
        <w:t xml:space="preserve">Le Ministère du développement social </w:t>
      </w:r>
      <w:r>
        <w:t xml:space="preserve">étudie la possibilité d’allouer </w:t>
      </w:r>
      <w:r w:rsidRPr="004D30AB">
        <w:t xml:space="preserve">un complément de revenu </w:t>
      </w:r>
      <w:r>
        <w:t>aux</w:t>
      </w:r>
      <w:r w:rsidRPr="004D30AB">
        <w:t xml:space="preserve"> personnes âgées de 18 à 59</w:t>
      </w:r>
      <w:r w:rsidR="00C740A9">
        <w:t> </w:t>
      </w:r>
      <w:r w:rsidRPr="004D30AB">
        <w:t>ans qui ont peu de revenus ou qui n</w:t>
      </w:r>
      <w:r>
        <w:t>’</w:t>
      </w:r>
      <w:r w:rsidRPr="004D30AB">
        <w:t xml:space="preserve">en ont </w:t>
      </w:r>
      <w:r>
        <w:t>pas, et notamment de créer un</w:t>
      </w:r>
      <w:r w:rsidRPr="004D30AB">
        <w:t xml:space="preserve"> revenu universel.</w:t>
      </w:r>
      <w:r>
        <w:t xml:space="preserve"> Un document de travail a été élaboré et des consultations initiales ont été lancées à ce sujet. Les partenaires sociaux réunis au sein du Conseil national du développement économique et du travail s’emploient de leur côté à convaincre les autorités d’inclure le complément de revenu dans les propositions de réforme de la sécurité sociale.</w:t>
      </w:r>
    </w:p>
    <w:p w14:paraId="72460464" w14:textId="2A73A34E" w:rsidR="00F12F47" w:rsidRPr="004D30AB" w:rsidRDefault="00F12F47" w:rsidP="00EB03C1">
      <w:pPr>
        <w:pStyle w:val="H23G"/>
      </w:pPr>
      <w:r w:rsidRPr="004D30AB">
        <w:tab/>
      </w:r>
      <w:r w:rsidRPr="004D30AB">
        <w:tab/>
      </w:r>
      <w:r w:rsidRPr="004D30AB">
        <w:tab/>
      </w:r>
      <w:r>
        <w:t>S</w:t>
      </w:r>
      <w:r w:rsidRPr="004D30AB">
        <w:t>uite donnée aux recommandations formulées au paragraphe 57</w:t>
      </w:r>
      <w:r>
        <w:t> </w:t>
      </w:r>
      <w:r w:rsidRPr="004D30AB">
        <w:t>c) des observations finales</w:t>
      </w:r>
      <w:r w:rsidR="003428E0">
        <w:t> :</w:t>
      </w:r>
      <w:r>
        <w:t xml:space="preserve"> accélérer l’adoption du projet de loi de 2018 portant modification de la loi </w:t>
      </w:r>
      <w:r w:rsidR="00AB0EB8">
        <w:br/>
      </w:r>
      <w:r>
        <w:t xml:space="preserve">sur l’assistance sociale qui vise à allouer une allocation pour enfants à charge </w:t>
      </w:r>
      <w:r w:rsidR="00AB0EB8">
        <w:br/>
      </w:r>
      <w:r>
        <w:t xml:space="preserve">plus élevée à ceux qui s’occupent d’orphelins et d’enfants abandonnés, </w:t>
      </w:r>
      <w:r w:rsidR="00AB0EB8">
        <w:br/>
      </w:r>
      <w:r>
        <w:t>des fonds ayant déjà été affectés pour cela</w:t>
      </w:r>
    </w:p>
    <w:p w14:paraId="032372B5" w14:textId="77777777" w:rsidR="00F12F47" w:rsidRPr="004D30AB" w:rsidRDefault="00F12F47" w:rsidP="00EB03C1">
      <w:pPr>
        <w:pStyle w:val="SingleTxtG"/>
      </w:pPr>
      <w:r w:rsidRPr="004D30AB">
        <w:t>8.</w:t>
      </w:r>
      <w:r w:rsidRPr="004D30AB">
        <w:tab/>
      </w:r>
      <w:r>
        <w:t>Le projet de loi portant modification de la loi sur l’assistance sociale, qui a été adopté par le Parlement en octobre 2020, se trouve actuellement entre les mains du Président pour promulgation. Une fois que la loi aura été promulguée, le Ministre du développement social publiera le règlement d’application qui permettra d’allouer une allocation pour enfants à charge</w:t>
      </w:r>
      <w:r w:rsidDel="002C7EDA">
        <w:t xml:space="preserve"> </w:t>
      </w:r>
      <w:r>
        <w:t>plus élevée à ceux qui s’occupent d’orphelins. Tout devrait être achevé en avril 2021 au plus tard.</w:t>
      </w:r>
    </w:p>
    <w:p w14:paraId="01F43F55" w14:textId="4F7780FC" w:rsidR="00F12F47" w:rsidRPr="004D30AB" w:rsidRDefault="00F12F47" w:rsidP="00F12F47">
      <w:pPr>
        <w:pStyle w:val="H23G"/>
      </w:pPr>
      <w:r w:rsidRPr="004D30AB">
        <w:tab/>
      </w:r>
      <w:r w:rsidRPr="004D30AB">
        <w:tab/>
      </w:r>
      <w:r>
        <w:t xml:space="preserve">Suite </w:t>
      </w:r>
      <w:r w:rsidRPr="004D30AB">
        <w:t>donnée aux recommandations formulées au paragraphe 73</w:t>
      </w:r>
      <w:r>
        <w:t> </w:t>
      </w:r>
      <w:r w:rsidRPr="004D30AB">
        <w:t>c) des observations finales</w:t>
      </w:r>
      <w:r w:rsidR="003428E0">
        <w:t> :</w:t>
      </w:r>
      <w:r>
        <w:t xml:space="preserve"> veiller à ce que tous les enfants migrants, réfugiés et demandeurs d’asile </w:t>
      </w:r>
      <w:r w:rsidR="00760AD4">
        <w:br/>
      </w:r>
      <w:r>
        <w:t xml:space="preserve">aient accès à l’éducation, quel que soit leur statut au regard de l’immigration. </w:t>
      </w:r>
      <w:r w:rsidR="00760AD4">
        <w:br/>
      </w:r>
      <w:r>
        <w:t>À cet égard, le Comité invite l’État partie à se référer à sa déclaration intitulée «</w:t>
      </w:r>
      <w:r w:rsidR="005969F6">
        <w:t> </w:t>
      </w:r>
      <w:r>
        <w:t>Devoirs des États envers les réfugiés et les migrants au titre du Pacte international relatif aux droits économiques, sociaux et culturels</w:t>
      </w:r>
      <w:r w:rsidR="005969F6">
        <w:t> </w:t>
      </w:r>
      <w:r>
        <w:t>»</w:t>
      </w:r>
    </w:p>
    <w:p w14:paraId="122E4E7D" w14:textId="0C818817" w:rsidR="00F12F47" w:rsidRPr="004D30AB" w:rsidRDefault="00F12F47" w:rsidP="00EB03C1">
      <w:pPr>
        <w:pStyle w:val="SingleTxtG"/>
      </w:pPr>
      <w:r w:rsidRPr="004D30AB">
        <w:t>9.</w:t>
      </w:r>
      <w:r w:rsidRPr="004D30AB">
        <w:tab/>
      </w:r>
      <w:r>
        <w:t>Aux paragraphes</w:t>
      </w:r>
      <w:r w:rsidR="00A043CD">
        <w:t> </w:t>
      </w:r>
      <w:r>
        <w:t>1 et 2</w:t>
      </w:r>
      <w:r w:rsidR="00A043CD">
        <w:t> </w:t>
      </w:r>
      <w:r>
        <w:t>a) de l’a</w:t>
      </w:r>
      <w:r w:rsidRPr="004D30AB">
        <w:t>rticle</w:t>
      </w:r>
      <w:r>
        <w:t> </w:t>
      </w:r>
      <w:r w:rsidRPr="004D30AB">
        <w:t>13</w:t>
      </w:r>
      <w:r>
        <w:t>,</w:t>
      </w:r>
      <w:r w:rsidRPr="004D30AB">
        <w:t xml:space="preserve"> </w:t>
      </w:r>
      <w:r>
        <w:t>le Pacte dispose ce qui suit</w:t>
      </w:r>
      <w:r w:rsidR="003428E0">
        <w:t> :</w:t>
      </w:r>
      <w:r w:rsidRPr="004D30AB">
        <w:t xml:space="preserve"> </w:t>
      </w:r>
      <w:r>
        <w:t xml:space="preserve">« Les États </w:t>
      </w:r>
      <w:r w:rsidR="000D3AD3">
        <w:t>p</w:t>
      </w:r>
      <w:r>
        <w:t>arties au présent Pacte reconnaissent le droit de toute personne à l’éducation. Ils conviennent que l’éducation doit viser au plein épanouissement de la personnalité humaine et du sens de sa dignité et renforcer le respect des droits de l’homme et des libertés fondamentales. Ils</w:t>
      </w:r>
      <w:r w:rsidR="000D3AD3">
        <w:t> </w:t>
      </w:r>
      <w:r>
        <w:t xml:space="preserve">conviennent en outre que l’éducation doit mettre toute personne en mesure de jouer un rôle utile dans une société libre, favoriser la compréhension, la tolérance et l’amitié entre toutes les nations et tous les groupes raciaux, ethniques ou religieux et encourager le développement des activités des Nations Unies pour le maintien de la paix. Les États </w:t>
      </w:r>
      <w:r w:rsidR="000D3AD3">
        <w:t>p</w:t>
      </w:r>
      <w:r>
        <w:t>arties au présent Pacte reconnaissent qu’en vue d’assurer le plein exercice de ce droit</w:t>
      </w:r>
      <w:r w:rsidR="003428E0">
        <w:t> :</w:t>
      </w:r>
      <w:r>
        <w:t xml:space="preserve"> </w:t>
      </w:r>
      <w:r w:rsidRPr="004D30AB">
        <w:t>a)</w:t>
      </w:r>
      <w:r w:rsidR="00A043CD">
        <w:t> </w:t>
      </w:r>
      <w:r>
        <w:t>L’enseignement primaire doit être obligatoire et accessible gratuitement à tous</w:t>
      </w:r>
      <w:r w:rsidR="00E26727">
        <w:t>.</w:t>
      </w:r>
      <w:r>
        <w:t> ».</w:t>
      </w:r>
    </w:p>
    <w:p w14:paraId="1585DB23" w14:textId="3EA44D12" w:rsidR="00F12F47" w:rsidRPr="004D30AB" w:rsidRDefault="00F12F47" w:rsidP="00EB03C1">
      <w:pPr>
        <w:pStyle w:val="SingleTxtG"/>
      </w:pPr>
      <w:r w:rsidRPr="004D30AB">
        <w:t>10.</w:t>
      </w:r>
      <w:r w:rsidRPr="004D30AB">
        <w:tab/>
      </w:r>
      <w:r>
        <w:t>Conformément à l’article</w:t>
      </w:r>
      <w:r w:rsidR="00E26727">
        <w:t> </w:t>
      </w:r>
      <w:r>
        <w:t>28 de la Convention relative aux droits de l’enfant,</w:t>
      </w:r>
      <w:r w:rsidRPr="001C41C2">
        <w:t xml:space="preserve"> </w:t>
      </w:r>
      <w:r>
        <w:t>les États parties sont tenus de reconnaître le droit de l’enfant à l’éducation, et en particulier, en vue d’assurer l’exercice de ce droit progressivement et sur la base de l’égalité des chances</w:t>
      </w:r>
      <w:r w:rsidRPr="004C01E3">
        <w:rPr>
          <w:lang w:val="fr-FR"/>
        </w:rPr>
        <w:t>,</w:t>
      </w:r>
      <w:r>
        <w:t xml:space="preserve"> ils sont également tenus de rendre l’enseignement primaire obligatoire et gratuit pour tous.</w:t>
      </w:r>
    </w:p>
    <w:p w14:paraId="4B3495BD" w14:textId="7092E75D" w:rsidR="00F12F47" w:rsidRPr="004D30AB" w:rsidRDefault="00F12F47" w:rsidP="00EB03C1">
      <w:pPr>
        <w:pStyle w:val="SingleTxtG"/>
      </w:pPr>
      <w:r w:rsidRPr="004D30AB">
        <w:t>11.</w:t>
      </w:r>
      <w:r w:rsidRPr="004D30AB">
        <w:tab/>
      </w:r>
      <w:r>
        <w:t>Conformément au paragraphe 2</w:t>
      </w:r>
      <w:r w:rsidR="00E26727">
        <w:t> </w:t>
      </w:r>
      <w:r>
        <w:t>a) et b) de l’article</w:t>
      </w:r>
      <w:r w:rsidR="00E26727">
        <w:t> </w:t>
      </w:r>
      <w:r>
        <w:t>24 de la Convention relative aux droits des personnes handicapées, les États parties sont tenus de reconnaître les droits des personnes handicapées à l’éducation et de veiller à ce que les enfants handicapés ne soient pas exclus, sur le fondement de leur handicap, de l’enseignement primaire gratuit et obligatoire ou de l’enseignement secondaire</w:t>
      </w:r>
      <w:r w:rsidR="00E26727">
        <w:t>,</w:t>
      </w:r>
      <w:r>
        <w:t xml:space="preserve"> et à ce que les personnes handicapées puissent, sur la base de l’égalité avec les autres, avoir accès, dans les communautés où elles vivent, à un enseignement primaire inclusif, de qualité et gratuit, et à l’enseignement secondaire</w:t>
      </w:r>
      <w:r w:rsidRPr="004D30AB">
        <w:t>.</w:t>
      </w:r>
    </w:p>
    <w:p w14:paraId="3B615B01" w14:textId="27A526F0" w:rsidR="00F12F47" w:rsidRPr="004D30AB" w:rsidRDefault="00F12F47" w:rsidP="00EB03C1">
      <w:pPr>
        <w:pStyle w:val="SingleTxtG"/>
      </w:pPr>
      <w:r w:rsidRPr="004D30AB">
        <w:t>12.</w:t>
      </w:r>
      <w:r w:rsidRPr="004D30AB">
        <w:tab/>
      </w:r>
      <w:r>
        <w:t>Dans son observation générale n</w:t>
      </w:r>
      <w:r w:rsidRPr="00A82F67">
        <w:rPr>
          <w:vertAlign w:val="superscript"/>
        </w:rPr>
        <w:t>o</w:t>
      </w:r>
      <w:r>
        <w:t xml:space="preserve"> 13 </w:t>
      </w:r>
      <w:r w:rsidRPr="004D30AB">
        <w:t>(1999),</w:t>
      </w:r>
      <w:r>
        <w:t xml:space="preserve"> le Comité des droits économiques, sociaux et culturels a confirmé que le principe de non</w:t>
      </w:r>
      <w:r w:rsidR="00C3607F">
        <w:noBreakHyphen/>
      </w:r>
      <w:r>
        <w:t>discrimination « s’étend[ait] à toutes les personnes d’âge scolaire qui résident sur le territoire d’un État partie, y compris les non</w:t>
      </w:r>
      <w:r w:rsidR="00C3607F">
        <w:noBreakHyphen/>
      </w:r>
      <w:r>
        <w:t>nationaux, indépendamment de leur statut juridique »</w:t>
      </w:r>
      <w:r w:rsidRPr="004D30AB">
        <w:t xml:space="preserve"> (</w:t>
      </w:r>
      <w:r>
        <w:t>par. 3</w:t>
      </w:r>
      <w:r w:rsidRPr="004D30AB">
        <w:t>4).</w:t>
      </w:r>
      <w:r>
        <w:t xml:space="preserve"> Il a en outre indiqué, dans son observation générale n</w:t>
      </w:r>
      <w:r w:rsidRPr="00B9515A">
        <w:rPr>
          <w:vertAlign w:val="superscript"/>
        </w:rPr>
        <w:t>o</w:t>
      </w:r>
      <w:r>
        <w:t xml:space="preserve"> 20, que « tous les enfants vivant dans un État </w:t>
      </w:r>
      <w:r w:rsidR="00C3607F">
        <w:t>[</w:t>
      </w:r>
      <w:r>
        <w:t>…</w:t>
      </w:r>
      <w:r w:rsidR="00C3607F">
        <w:t>]</w:t>
      </w:r>
      <w:r>
        <w:t xml:space="preserve"> [avaient] le droit de recevoir une éducation »</w:t>
      </w:r>
      <w:r w:rsidRPr="004D30AB">
        <w:t xml:space="preserve"> (</w:t>
      </w:r>
      <w:r>
        <w:t>par. </w:t>
      </w:r>
      <w:r w:rsidRPr="004D30AB">
        <w:t>30).</w:t>
      </w:r>
    </w:p>
    <w:p w14:paraId="20ED19D8" w14:textId="1D6CBC21" w:rsidR="00F12F47" w:rsidRPr="004D30AB" w:rsidRDefault="00F12F47" w:rsidP="00EB03C1">
      <w:pPr>
        <w:pStyle w:val="SingleTxtG"/>
      </w:pPr>
      <w:r w:rsidRPr="004D30AB">
        <w:lastRenderedPageBreak/>
        <w:t>13.</w:t>
      </w:r>
      <w:r w:rsidRPr="004D30AB">
        <w:tab/>
      </w:r>
      <w:r>
        <w:t>La Charte des droits qui figure dans la</w:t>
      </w:r>
      <w:r w:rsidRPr="004D30AB">
        <w:t xml:space="preserve"> Constitution </w:t>
      </w:r>
      <w:r>
        <w:t>sud-africaine de 1996 dispose, au paragraphe 1 de son article 29, que toute personne a droit à une éducation de base</w:t>
      </w:r>
      <w:r w:rsidRPr="004D30AB">
        <w:t>.</w:t>
      </w:r>
      <w:r>
        <w:t xml:space="preserve"> L’article</w:t>
      </w:r>
      <w:r w:rsidR="006F53FE">
        <w:t> </w:t>
      </w:r>
      <w:r>
        <w:t>29 ne contient aucune disposition discriminatoire ni restriction en ce qui concerne le droit à l’éducation. Ce droit peut toutefois faire l’objet de restrictions en application de l’article</w:t>
      </w:r>
      <w:r w:rsidR="006F53FE">
        <w:t> </w:t>
      </w:r>
      <w:r>
        <w:t xml:space="preserve">36, qui dispose que les droits énoncés dans la Charte </w:t>
      </w:r>
      <w:r w:rsidRPr="001A4DAD">
        <w:t>ne peuvent être limités que par une loi d</w:t>
      </w:r>
      <w:r>
        <w:t>’</w:t>
      </w:r>
      <w:r w:rsidRPr="001A4DAD">
        <w:t>application générale, dans la mesure où</w:t>
      </w:r>
      <w:r>
        <w:t xml:space="preserve"> la limitation imposée est raisonnable et justifiable dans une société libre et démocratique fondée sur la dignité humaine, l’égalité et la liberté, tous les facteurs pertinents étant pris en compte</w:t>
      </w:r>
      <w:r w:rsidRPr="004C01E3">
        <w:rPr>
          <w:rStyle w:val="Appelnotedebasdep"/>
        </w:rPr>
        <w:footnoteReference w:id="3"/>
      </w:r>
      <w:r>
        <w:t>. La Cour constitutionnelle a aussi constaté que, bien qu’il soit universel, le droit à une éducation de base n’était pas un droit absolu et pouvait être limité en application de l’article</w:t>
      </w:r>
      <w:r w:rsidR="006F53FE">
        <w:t> </w:t>
      </w:r>
      <w:r>
        <w:t>36 de la Constitution</w:t>
      </w:r>
      <w:r w:rsidRPr="004C01E3">
        <w:rPr>
          <w:rStyle w:val="Appelnotedebasdep"/>
        </w:rPr>
        <w:footnoteReference w:id="4"/>
      </w:r>
      <w:r>
        <w:t>.</w:t>
      </w:r>
      <w:r w:rsidRPr="004D30AB">
        <w:t xml:space="preserve"> </w:t>
      </w:r>
      <w:r>
        <w:t>Une</w:t>
      </w:r>
      <w:r w:rsidR="006F53FE">
        <w:t xml:space="preserve"> </w:t>
      </w:r>
      <w:r w:rsidRPr="001A4DAD">
        <w:t>loi d</w:t>
      </w:r>
      <w:r>
        <w:t>’</w:t>
      </w:r>
      <w:r w:rsidRPr="001A4DAD">
        <w:t>application générale</w:t>
      </w:r>
      <w:r>
        <w:t xml:space="preserve"> s’applique à tous dans les mêmes conditions et ne doit pas être arbitraire.</w:t>
      </w:r>
    </w:p>
    <w:p w14:paraId="43053D33" w14:textId="77777777" w:rsidR="00F12F47" w:rsidRPr="004D30AB" w:rsidRDefault="00F12F47" w:rsidP="00EB03C1">
      <w:pPr>
        <w:pStyle w:val="SingleTxtG"/>
      </w:pPr>
      <w:r w:rsidRPr="004D30AB">
        <w:t>14.</w:t>
      </w:r>
      <w:r w:rsidRPr="004D30AB">
        <w:tab/>
      </w:r>
      <w:r>
        <w:t>Dans l’affaire</w:t>
      </w:r>
      <w:r w:rsidRPr="004D30AB">
        <w:t xml:space="preserve"> </w:t>
      </w:r>
      <w:r w:rsidRPr="001F7D17">
        <w:rPr>
          <w:i/>
          <w:iCs/>
          <w:lang w:val="fr-FR"/>
        </w:rPr>
        <w:t xml:space="preserve">Centre for Child Law &amp; </w:t>
      </w:r>
      <w:proofErr w:type="spellStart"/>
      <w:r w:rsidRPr="001F7D17">
        <w:rPr>
          <w:i/>
          <w:iCs/>
          <w:lang w:val="fr-FR"/>
        </w:rPr>
        <w:t>Others</w:t>
      </w:r>
      <w:proofErr w:type="spellEnd"/>
      <w:r w:rsidRPr="001F7D17">
        <w:rPr>
          <w:i/>
          <w:iCs/>
          <w:lang w:val="fr-FR"/>
        </w:rPr>
        <w:t xml:space="preserve"> v </w:t>
      </w:r>
      <w:proofErr w:type="spellStart"/>
      <w:r w:rsidRPr="001F7D17">
        <w:rPr>
          <w:i/>
          <w:iCs/>
          <w:lang w:val="fr-FR"/>
        </w:rPr>
        <w:t>Minister</w:t>
      </w:r>
      <w:proofErr w:type="spellEnd"/>
      <w:r w:rsidRPr="001F7D17">
        <w:rPr>
          <w:i/>
          <w:iCs/>
          <w:lang w:val="fr-FR"/>
        </w:rPr>
        <w:t xml:space="preserve"> of Basic </w:t>
      </w:r>
      <w:proofErr w:type="spellStart"/>
      <w:r w:rsidRPr="001F7D17">
        <w:rPr>
          <w:i/>
          <w:iCs/>
          <w:lang w:val="fr-FR"/>
        </w:rPr>
        <w:t>Education</w:t>
      </w:r>
      <w:proofErr w:type="spellEnd"/>
      <w:r>
        <w:t>, la Haute Cour a jugé que les dispositions 15 et 21 des règles d’admission dans le système scolaire public étaient contraires à la Constitution et donc sans effet</w:t>
      </w:r>
      <w:r w:rsidRPr="004C01E3">
        <w:rPr>
          <w:rStyle w:val="Appelnotedebasdep"/>
        </w:rPr>
        <w:footnoteReference w:id="5"/>
      </w:r>
      <w:r>
        <w:t>. Elle a en outre ordonné que les chefs d’établissement acceptent, à défaut d’un acte de naissance officiel, tout autre</w:t>
      </w:r>
      <w:r w:rsidRPr="009D7633">
        <w:t xml:space="preserve"> </w:t>
      </w:r>
      <w:r>
        <w:t xml:space="preserve">document permettant d’identifier la personne à inscrire, tel qu’une déclaration sous serment faite par un </w:t>
      </w:r>
      <w:r w:rsidRPr="004D30AB">
        <w:t>parent</w:t>
      </w:r>
      <w:r>
        <w:t>, un aidant ou un tuteur.</w:t>
      </w:r>
    </w:p>
    <w:p w14:paraId="3B099D2D" w14:textId="4F1B1609" w:rsidR="00F12F47" w:rsidRPr="004D30AB" w:rsidRDefault="00F12F47" w:rsidP="00EB03C1">
      <w:pPr>
        <w:pStyle w:val="SingleTxtG"/>
      </w:pPr>
      <w:r w:rsidRPr="004D30AB">
        <w:t>15.</w:t>
      </w:r>
      <w:r w:rsidRPr="004D30AB">
        <w:tab/>
      </w:r>
      <w:r>
        <w:t>La Haute Cour a indiqué avoir été guidée par l’article</w:t>
      </w:r>
      <w:r w:rsidR="0020289B">
        <w:t> </w:t>
      </w:r>
      <w:r>
        <w:t>29 de la Constitution de 1996, selon lequel toute personne a droit à une éducation de base</w:t>
      </w:r>
      <w:r w:rsidRPr="004D30AB">
        <w:t xml:space="preserve">. </w:t>
      </w:r>
      <w:r>
        <w:t xml:space="preserve">Elle a affirmé que </w:t>
      </w:r>
      <w:r w:rsidRPr="007D2E60">
        <w:t>le droit à l</w:t>
      </w:r>
      <w:r>
        <w:t>’</w:t>
      </w:r>
      <w:r w:rsidRPr="007D2E60">
        <w:t xml:space="preserve">éducation était </w:t>
      </w:r>
      <w:r>
        <w:t xml:space="preserve">un droit </w:t>
      </w:r>
      <w:r w:rsidRPr="007D2E60">
        <w:t xml:space="preserve">immédiatement </w:t>
      </w:r>
      <w:r>
        <w:t>réalisable</w:t>
      </w:r>
      <w:r w:rsidRPr="007D2E60">
        <w:t xml:space="preserve"> et </w:t>
      </w:r>
      <w:r>
        <w:t>qu’il revêtait u</w:t>
      </w:r>
      <w:r w:rsidRPr="007D2E60">
        <w:t>ne importance particulière. Dans son</w:t>
      </w:r>
      <w:r>
        <w:t xml:space="preserve"> arrêt, elle a précisé que ce droit s’appliquait à toutes les personnes qui se trouvaient sur le territoire sud-africain, quelles que soient leur </w:t>
      </w:r>
      <w:r w:rsidRPr="004D30AB">
        <w:t>nationalit</w:t>
      </w:r>
      <w:r>
        <w:t>é et leur situation au regard de l’</w:t>
      </w:r>
      <w:r w:rsidRPr="004D30AB">
        <w:t>immigration.</w:t>
      </w:r>
    </w:p>
    <w:p w14:paraId="7ADFA468" w14:textId="77777777" w:rsidR="00F12F47" w:rsidRPr="004D30AB" w:rsidRDefault="00F12F47" w:rsidP="00EB03C1">
      <w:pPr>
        <w:pStyle w:val="SingleTxtG"/>
      </w:pPr>
      <w:r w:rsidRPr="004D30AB">
        <w:t>16.</w:t>
      </w:r>
      <w:r w:rsidRPr="004D30AB">
        <w:tab/>
      </w:r>
      <w:r>
        <w:t>Comme suite à l’arrêt rendu par la Haute Cour</w:t>
      </w:r>
      <w:r w:rsidRPr="004D30AB">
        <w:t xml:space="preserve"> </w:t>
      </w:r>
      <w:r>
        <w:t>dans l’affaire</w:t>
      </w:r>
      <w:r w:rsidRPr="004D30AB">
        <w:rPr>
          <w:i/>
          <w:iCs/>
        </w:rPr>
        <w:t xml:space="preserve"> </w:t>
      </w:r>
      <w:r w:rsidRPr="004C01E3">
        <w:rPr>
          <w:i/>
          <w:iCs/>
          <w:lang w:val="fr-FR"/>
        </w:rPr>
        <w:t xml:space="preserve">Centre for Child Law and </w:t>
      </w:r>
      <w:proofErr w:type="spellStart"/>
      <w:r w:rsidRPr="004C01E3">
        <w:rPr>
          <w:i/>
          <w:iCs/>
          <w:lang w:val="fr-FR"/>
        </w:rPr>
        <w:t>Others</w:t>
      </w:r>
      <w:proofErr w:type="spellEnd"/>
      <w:r w:rsidRPr="004C01E3">
        <w:rPr>
          <w:i/>
          <w:iCs/>
          <w:lang w:val="fr-FR"/>
        </w:rPr>
        <w:t xml:space="preserve"> v. </w:t>
      </w:r>
      <w:proofErr w:type="spellStart"/>
      <w:r w:rsidRPr="004C01E3">
        <w:rPr>
          <w:i/>
          <w:iCs/>
          <w:lang w:val="fr-FR"/>
        </w:rPr>
        <w:t>Minister</w:t>
      </w:r>
      <w:proofErr w:type="spellEnd"/>
      <w:r w:rsidRPr="004C01E3">
        <w:rPr>
          <w:i/>
          <w:iCs/>
          <w:lang w:val="fr-FR"/>
        </w:rPr>
        <w:t xml:space="preserve"> of Basic </w:t>
      </w:r>
      <w:proofErr w:type="spellStart"/>
      <w:r w:rsidRPr="004C01E3">
        <w:rPr>
          <w:i/>
          <w:iCs/>
          <w:lang w:val="fr-FR"/>
        </w:rPr>
        <w:t>Education</w:t>
      </w:r>
      <w:proofErr w:type="spellEnd"/>
      <w:r w:rsidRPr="004C01E3">
        <w:rPr>
          <w:i/>
          <w:iCs/>
          <w:lang w:val="fr-FR"/>
        </w:rPr>
        <w:t xml:space="preserve"> and </w:t>
      </w:r>
      <w:proofErr w:type="spellStart"/>
      <w:r w:rsidRPr="004C01E3">
        <w:rPr>
          <w:i/>
          <w:iCs/>
          <w:lang w:val="fr-FR"/>
        </w:rPr>
        <w:t>Others</w:t>
      </w:r>
      <w:proofErr w:type="spellEnd"/>
      <w:r w:rsidRPr="004C01E3">
        <w:rPr>
          <w:rStyle w:val="Appelnotedebasdep"/>
        </w:rPr>
        <w:footnoteReference w:id="6"/>
      </w:r>
      <w:r>
        <w:t>,</w:t>
      </w:r>
      <w:r w:rsidRPr="004D30AB">
        <w:t xml:space="preserve"> </w:t>
      </w:r>
      <w:r>
        <w:t>le Ministère de l’éducation de base et le Ministère de l’intérieur</w:t>
      </w:r>
      <w:r w:rsidRPr="004D30AB">
        <w:t xml:space="preserve"> </w:t>
      </w:r>
      <w:r>
        <w:t>ont supprimé l’obligation de produire un document officiel pour pouvoir s’inscrire à l’école</w:t>
      </w:r>
      <w:r w:rsidRPr="004D30AB">
        <w:t xml:space="preserve">. </w:t>
      </w:r>
      <w:r>
        <w:t xml:space="preserve">La circulaire </w:t>
      </w:r>
      <w:r w:rsidRPr="004D30AB">
        <w:t xml:space="preserve">1 </w:t>
      </w:r>
      <w:r>
        <w:t xml:space="preserve">de </w:t>
      </w:r>
      <w:r w:rsidRPr="004D30AB">
        <w:t>2020, sign</w:t>
      </w:r>
      <w:r>
        <w:t>ée par le</w:t>
      </w:r>
      <w:r w:rsidRPr="004D30AB">
        <w:t xml:space="preserve"> </w:t>
      </w:r>
      <w:r w:rsidRPr="00CF31D6">
        <w:t>Ministre de l</w:t>
      </w:r>
      <w:r>
        <w:t>’</w:t>
      </w:r>
      <w:r w:rsidRPr="00CF31D6">
        <w:t>éducation de base</w:t>
      </w:r>
      <w:r>
        <w:t xml:space="preserve"> et fondée sur l’arrêt susmentionné</w:t>
      </w:r>
      <w:r w:rsidRPr="004D30AB">
        <w:t>,</w:t>
      </w:r>
      <w:r>
        <w:t xml:space="preserve"> la Charte des droits et le droit </w:t>
      </w:r>
      <w:r w:rsidRPr="004D30AB">
        <w:t>international,</w:t>
      </w:r>
      <w:r>
        <w:t xml:space="preserve"> fait obligation à tous les chefs d’établissement et à tous les conseils d’administration d’écoles</w:t>
      </w:r>
      <w:r w:rsidRPr="004D30AB">
        <w:t xml:space="preserve"> </w:t>
      </w:r>
      <w:r>
        <w:t>d’admettre les enfants en situation irrégulière</w:t>
      </w:r>
      <w:r w:rsidRPr="004D30AB">
        <w:t xml:space="preserve"> </w:t>
      </w:r>
      <w:r>
        <w:t xml:space="preserve">et de les aider à obtenir les </w:t>
      </w:r>
      <w:r w:rsidRPr="004D30AB">
        <w:t>documents</w:t>
      </w:r>
      <w:r>
        <w:t xml:space="preserve"> nécessaires</w:t>
      </w:r>
      <w:r w:rsidRPr="004D30AB">
        <w:t xml:space="preserve">. </w:t>
      </w:r>
      <w:r>
        <w:t>La circulaire est jointe à l’a</w:t>
      </w:r>
      <w:r w:rsidRPr="004D30AB">
        <w:t>nnexe A.</w:t>
      </w:r>
    </w:p>
    <w:p w14:paraId="70B31A8C" w14:textId="77777777" w:rsidR="00F12F47" w:rsidRPr="004D30AB" w:rsidRDefault="00F12F47" w:rsidP="00BA264E">
      <w:pPr>
        <w:pStyle w:val="HChG"/>
        <w:spacing w:before="300" w:after="200"/>
      </w:pPr>
      <w:r w:rsidRPr="004D30AB">
        <w:tab/>
        <w:t>III.</w:t>
      </w:r>
      <w:r w:rsidRPr="004D30AB">
        <w:tab/>
        <w:t>Conclusion</w:t>
      </w:r>
    </w:p>
    <w:p w14:paraId="7AF0E32E" w14:textId="557C853A" w:rsidR="00446FE5" w:rsidRDefault="00F12F47" w:rsidP="00F12F47">
      <w:pPr>
        <w:pStyle w:val="SingleTxtG"/>
      </w:pPr>
      <w:r w:rsidRPr="004D30AB">
        <w:t>17.</w:t>
      </w:r>
      <w:r w:rsidRPr="004D30AB">
        <w:tab/>
      </w:r>
      <w:r>
        <w:t>Le</w:t>
      </w:r>
      <w:r w:rsidRPr="004D30AB">
        <w:t xml:space="preserve"> Gouvernement </w:t>
      </w:r>
      <w:r>
        <w:t>sud-africain réaffirme sa volonté de s’acquitter de bonne foi de ses obligations conventionnelles</w:t>
      </w:r>
      <w:r w:rsidRPr="004D30AB">
        <w:t xml:space="preserve"> </w:t>
      </w:r>
      <w:r>
        <w:t>conformément au droit</w:t>
      </w:r>
      <w:r w:rsidRPr="004D30AB">
        <w:t xml:space="preserve"> international</w:t>
      </w:r>
      <w:r>
        <w:t>, en particulier l’a</w:t>
      </w:r>
      <w:r w:rsidRPr="004D30AB">
        <w:t>rticle</w:t>
      </w:r>
      <w:r>
        <w:t> </w:t>
      </w:r>
      <w:r w:rsidRPr="004D30AB">
        <w:t xml:space="preserve">26 </w:t>
      </w:r>
      <w:r>
        <w:t>de la</w:t>
      </w:r>
      <w:r w:rsidRPr="004D30AB">
        <w:t xml:space="preserve"> Convention </w:t>
      </w:r>
      <w:r w:rsidRPr="004C01E3">
        <w:rPr>
          <w:lang w:val="fr-FR"/>
        </w:rPr>
        <w:t>de Vienne sur le droit des traités</w:t>
      </w:r>
      <w:r w:rsidRPr="004D30AB">
        <w:t xml:space="preserve">, </w:t>
      </w:r>
      <w:r>
        <w:t>et d’examiner sérieusement et de bonne foi les observations et recommandations qui lui sont adressées par les organes conventionnels compétents</w:t>
      </w:r>
      <w:r w:rsidRPr="004D30AB">
        <w:t xml:space="preserve">. </w:t>
      </w:r>
      <w:r w:rsidR="00EB03C1">
        <w:t>À</w:t>
      </w:r>
      <w:r>
        <w:t xml:space="preserve"> cet égard, le Gouvernement </w:t>
      </w:r>
      <w:r w:rsidRPr="004D30AB">
        <w:t xml:space="preserve">a </w:t>
      </w:r>
      <w:r>
        <w:t>fait afficher</w:t>
      </w:r>
      <w:r w:rsidRPr="004D30AB">
        <w:t xml:space="preserve"> </w:t>
      </w:r>
      <w:r>
        <w:t xml:space="preserve">les </w:t>
      </w:r>
      <w:r w:rsidRPr="004D30AB">
        <w:t xml:space="preserve">observations </w:t>
      </w:r>
      <w:r>
        <w:t xml:space="preserve">finales et les recommandations sur le site Web du </w:t>
      </w:r>
      <w:r w:rsidRPr="007F3CFE">
        <w:t xml:space="preserve">Ministère de la justice et du développement constitutionnel </w:t>
      </w:r>
      <w:r>
        <w:t>pour permettre au grand public ainsi qu’aux autres ministères intéressés d’en prendre connaissance</w:t>
      </w:r>
      <w:r w:rsidRPr="004D30AB">
        <w:t xml:space="preserve">. </w:t>
      </w:r>
      <w:r>
        <w:t>Il</w:t>
      </w:r>
      <w:r w:rsidRPr="004D30AB">
        <w:t xml:space="preserve"> </w:t>
      </w:r>
      <w:r>
        <w:t>transmettra au Comité</w:t>
      </w:r>
      <w:r w:rsidRPr="004D30AB">
        <w:t xml:space="preserve"> </w:t>
      </w:r>
      <w:r>
        <w:t>des informations détaillées sur la mise en œuvre de toutes les recommandations dans son</w:t>
      </w:r>
      <w:r w:rsidRPr="004D30AB">
        <w:t xml:space="preserve"> </w:t>
      </w:r>
      <w:r>
        <w:t>prochain rapport périodique, attendu</w:t>
      </w:r>
      <w:r w:rsidRPr="004D30AB">
        <w:t xml:space="preserve"> </w:t>
      </w:r>
      <w:r>
        <w:t>e</w:t>
      </w:r>
      <w:r w:rsidRPr="004D30AB">
        <w:t>n 2023.</w:t>
      </w:r>
    </w:p>
    <w:p w14:paraId="3ACEA62F" w14:textId="24CA250E" w:rsidR="00F12F47" w:rsidRPr="00F12F47" w:rsidRDefault="00F12F47" w:rsidP="00BA264E">
      <w:pPr>
        <w:pStyle w:val="SingleTxtG"/>
        <w:spacing w:before="240" w:after="0"/>
        <w:jc w:val="center"/>
        <w:rPr>
          <w:u w:val="single"/>
        </w:rPr>
      </w:pPr>
      <w:r>
        <w:rPr>
          <w:u w:val="single"/>
        </w:rPr>
        <w:tab/>
      </w:r>
      <w:r>
        <w:rPr>
          <w:u w:val="single"/>
        </w:rPr>
        <w:tab/>
      </w:r>
      <w:r>
        <w:rPr>
          <w:u w:val="single"/>
        </w:rPr>
        <w:tab/>
      </w:r>
    </w:p>
    <w:sectPr w:rsidR="00F12F47" w:rsidRPr="00F12F47" w:rsidSect="002C6DD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EF913" w14:textId="77777777" w:rsidR="006B3774" w:rsidRDefault="006B3774" w:rsidP="00F95C08">
      <w:pPr>
        <w:spacing w:line="240" w:lineRule="auto"/>
      </w:pPr>
    </w:p>
  </w:endnote>
  <w:endnote w:type="continuationSeparator" w:id="0">
    <w:p w14:paraId="0ED5929C" w14:textId="77777777" w:rsidR="006B3774" w:rsidRPr="00AC3823" w:rsidRDefault="006B3774" w:rsidP="00AC3823">
      <w:pPr>
        <w:pStyle w:val="Pieddepage"/>
      </w:pPr>
    </w:p>
  </w:endnote>
  <w:endnote w:type="continuationNotice" w:id="1">
    <w:p w14:paraId="15FAE2D0" w14:textId="77777777" w:rsidR="006B3774" w:rsidRDefault="006B37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41954" w14:textId="2C97F681" w:rsidR="002C6DD4" w:rsidRPr="002C6DD4" w:rsidRDefault="002C6DD4" w:rsidP="002C6DD4">
    <w:pPr>
      <w:pStyle w:val="Pieddepage"/>
      <w:tabs>
        <w:tab w:val="right" w:pos="9638"/>
      </w:tabs>
    </w:pPr>
    <w:r w:rsidRPr="002C6DD4">
      <w:rPr>
        <w:b/>
        <w:sz w:val="18"/>
      </w:rPr>
      <w:fldChar w:fldCharType="begin"/>
    </w:r>
    <w:r w:rsidRPr="002C6DD4">
      <w:rPr>
        <w:b/>
        <w:sz w:val="18"/>
      </w:rPr>
      <w:instrText xml:space="preserve"> PAGE  \* MERGEFORMAT </w:instrText>
    </w:r>
    <w:r w:rsidRPr="002C6DD4">
      <w:rPr>
        <w:b/>
        <w:sz w:val="18"/>
      </w:rPr>
      <w:fldChar w:fldCharType="separate"/>
    </w:r>
    <w:r w:rsidRPr="002C6DD4">
      <w:rPr>
        <w:b/>
        <w:noProof/>
        <w:sz w:val="18"/>
      </w:rPr>
      <w:t>2</w:t>
    </w:r>
    <w:r w:rsidRPr="002C6DD4">
      <w:rPr>
        <w:b/>
        <w:sz w:val="18"/>
      </w:rPr>
      <w:fldChar w:fldCharType="end"/>
    </w:r>
    <w:r>
      <w:rPr>
        <w:b/>
        <w:sz w:val="18"/>
      </w:rPr>
      <w:tab/>
    </w:r>
    <w:r>
      <w:t>GE.21-06716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31561" w14:textId="4F3C4B53" w:rsidR="002C6DD4" w:rsidRPr="002C6DD4" w:rsidRDefault="002C6DD4" w:rsidP="002C6DD4">
    <w:pPr>
      <w:pStyle w:val="Pieddepage"/>
      <w:tabs>
        <w:tab w:val="right" w:pos="9638"/>
      </w:tabs>
      <w:rPr>
        <w:b/>
        <w:sz w:val="18"/>
      </w:rPr>
    </w:pPr>
    <w:r>
      <w:t>GE.21-06716</w:t>
    </w:r>
    <w:r>
      <w:tab/>
    </w:r>
    <w:r w:rsidRPr="002C6DD4">
      <w:rPr>
        <w:b/>
        <w:sz w:val="18"/>
      </w:rPr>
      <w:fldChar w:fldCharType="begin"/>
    </w:r>
    <w:r w:rsidRPr="002C6DD4">
      <w:rPr>
        <w:b/>
        <w:sz w:val="18"/>
      </w:rPr>
      <w:instrText xml:space="preserve"> PAGE  \* MERGEFORMAT </w:instrText>
    </w:r>
    <w:r w:rsidRPr="002C6DD4">
      <w:rPr>
        <w:b/>
        <w:sz w:val="18"/>
      </w:rPr>
      <w:fldChar w:fldCharType="separate"/>
    </w:r>
    <w:r w:rsidRPr="002C6DD4">
      <w:rPr>
        <w:b/>
        <w:noProof/>
        <w:sz w:val="18"/>
      </w:rPr>
      <w:t>3</w:t>
    </w:r>
    <w:r w:rsidRPr="002C6DD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D2EF9" w14:textId="65C47398" w:rsidR="0080236C" w:rsidRPr="002C6DD4" w:rsidRDefault="002C6DD4" w:rsidP="002C6DD4">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43454824" wp14:editId="6F44E72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21-06716  (F)</w:t>
    </w:r>
    <w:r>
      <w:rPr>
        <w:noProof/>
        <w:sz w:val="20"/>
      </w:rPr>
      <w:drawing>
        <wp:anchor distT="0" distB="0" distL="114300" distR="114300" simplePos="0" relativeHeight="251660288" behindDoc="0" locked="0" layoutInCell="1" allowOverlap="1" wp14:anchorId="4ACD9A35" wp14:editId="64D7D7AB">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290621    290621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6F473" w14:textId="77777777" w:rsidR="006B3774" w:rsidRPr="00AC3823" w:rsidRDefault="006B3774" w:rsidP="00AC3823">
      <w:pPr>
        <w:pStyle w:val="Pieddepage"/>
        <w:tabs>
          <w:tab w:val="right" w:pos="2155"/>
        </w:tabs>
        <w:spacing w:after="80" w:line="240" w:lineRule="atLeast"/>
        <w:ind w:left="680"/>
        <w:rPr>
          <w:u w:val="single"/>
        </w:rPr>
      </w:pPr>
      <w:r>
        <w:rPr>
          <w:u w:val="single"/>
        </w:rPr>
        <w:tab/>
      </w:r>
    </w:p>
  </w:footnote>
  <w:footnote w:type="continuationSeparator" w:id="0">
    <w:p w14:paraId="5B722205" w14:textId="77777777" w:rsidR="006B3774" w:rsidRPr="00AC3823" w:rsidRDefault="006B3774" w:rsidP="00AC3823">
      <w:pPr>
        <w:pStyle w:val="Pieddepage"/>
        <w:tabs>
          <w:tab w:val="right" w:pos="2155"/>
        </w:tabs>
        <w:spacing w:after="80" w:line="240" w:lineRule="atLeast"/>
        <w:ind w:left="680"/>
        <w:rPr>
          <w:u w:val="single"/>
        </w:rPr>
      </w:pPr>
      <w:r>
        <w:rPr>
          <w:u w:val="single"/>
        </w:rPr>
        <w:tab/>
      </w:r>
    </w:p>
  </w:footnote>
  <w:footnote w:type="continuationNotice" w:id="1">
    <w:p w14:paraId="63E78A28" w14:textId="77777777" w:rsidR="006B3774" w:rsidRPr="00AC3823" w:rsidRDefault="006B3774">
      <w:pPr>
        <w:spacing w:line="240" w:lineRule="auto"/>
        <w:rPr>
          <w:sz w:val="2"/>
          <w:szCs w:val="2"/>
        </w:rPr>
      </w:pPr>
    </w:p>
  </w:footnote>
  <w:footnote w:id="2">
    <w:p w14:paraId="1ADD3A34" w14:textId="4809610B" w:rsidR="00F12F47" w:rsidRPr="00592A9C" w:rsidRDefault="00F12F47" w:rsidP="00F12F47">
      <w:pPr>
        <w:pStyle w:val="Notedebasdepage"/>
      </w:pPr>
      <w:r w:rsidRPr="00592A9C">
        <w:tab/>
      </w:r>
      <w:r w:rsidRPr="003428E0">
        <w:rPr>
          <w:rStyle w:val="Appelnotedebasdep"/>
          <w:sz w:val="20"/>
          <w:vertAlign w:val="baseline"/>
        </w:rPr>
        <w:t>*</w:t>
      </w:r>
      <w:r w:rsidRPr="00592A9C">
        <w:rPr>
          <w:sz w:val="20"/>
        </w:rPr>
        <w:tab/>
      </w:r>
      <w:r w:rsidRPr="00592A9C">
        <w:t>La version originale du présent document n</w:t>
      </w:r>
      <w:r w:rsidR="003428E0">
        <w:t>’</w:t>
      </w:r>
      <w:r w:rsidRPr="00592A9C">
        <w:t>a pas été revue par les services d</w:t>
      </w:r>
      <w:r w:rsidR="003428E0">
        <w:t>’</w:t>
      </w:r>
      <w:r w:rsidRPr="00592A9C">
        <w:t>édition.</w:t>
      </w:r>
    </w:p>
  </w:footnote>
  <w:footnote w:id="3">
    <w:p w14:paraId="1997DB8D" w14:textId="77777777" w:rsidR="002B132A" w:rsidRDefault="00F12F47" w:rsidP="00F12F47">
      <w:pPr>
        <w:pStyle w:val="Notedebasdepage"/>
      </w:pPr>
      <w:r w:rsidRPr="00592A9C">
        <w:tab/>
      </w:r>
      <w:r w:rsidRPr="004C01E3">
        <w:rPr>
          <w:rStyle w:val="Appelnotedebasdep"/>
        </w:rPr>
        <w:footnoteRef/>
      </w:r>
      <w:r w:rsidRPr="00592A9C">
        <w:tab/>
      </w:r>
      <w:r w:rsidR="002B132A">
        <w:t>À</w:t>
      </w:r>
      <w:r>
        <w:t xml:space="preserve"> savoir</w:t>
      </w:r>
      <w:r w:rsidR="002B132A">
        <w:t> :</w:t>
      </w:r>
    </w:p>
    <w:p w14:paraId="340EAD84" w14:textId="08ADE1B2" w:rsidR="00F12F47" w:rsidRPr="00592A9C" w:rsidRDefault="00F12F47" w:rsidP="002B132A">
      <w:pPr>
        <w:pStyle w:val="Notedebasdepage"/>
        <w:ind w:firstLine="0"/>
      </w:pPr>
      <w:r w:rsidRPr="00592A9C">
        <w:t xml:space="preserve">a) </w:t>
      </w:r>
      <w:r w:rsidR="002B132A">
        <w:t>L</w:t>
      </w:r>
      <w:r w:rsidRPr="00592A9C">
        <w:t>a nature du droit concerné</w:t>
      </w:r>
      <w:r w:rsidR="003428E0">
        <w:t> ;</w:t>
      </w:r>
    </w:p>
    <w:p w14:paraId="32236584" w14:textId="5CCA5C33" w:rsidR="00F12F47" w:rsidRPr="00592A9C" w:rsidRDefault="00F12F47" w:rsidP="002B132A">
      <w:pPr>
        <w:pStyle w:val="Notedebasdepage"/>
        <w:ind w:firstLine="0"/>
      </w:pPr>
      <w:r w:rsidRPr="00592A9C">
        <w:tab/>
        <w:t xml:space="preserve">b) </w:t>
      </w:r>
      <w:r w:rsidR="002B132A">
        <w:t>L</w:t>
      </w:r>
      <w:r w:rsidR="003428E0">
        <w:t>’</w:t>
      </w:r>
      <w:r w:rsidRPr="00592A9C">
        <w:t xml:space="preserve">importance </w:t>
      </w:r>
      <w:r>
        <w:t>du but</w:t>
      </w:r>
      <w:r w:rsidRPr="00592A9C">
        <w:t xml:space="preserve"> visé par l</w:t>
      </w:r>
      <w:r w:rsidR="003428E0">
        <w:t>’</w:t>
      </w:r>
      <w:r w:rsidRPr="00592A9C">
        <w:t>imposition de la limitation</w:t>
      </w:r>
      <w:r w:rsidR="003428E0">
        <w:t> ;</w:t>
      </w:r>
    </w:p>
    <w:p w14:paraId="12FA3426" w14:textId="64A100B1" w:rsidR="00F12F47" w:rsidRPr="00592A9C" w:rsidRDefault="00F12F47" w:rsidP="002B132A">
      <w:pPr>
        <w:pStyle w:val="Notedebasdepage"/>
        <w:ind w:firstLine="0"/>
      </w:pPr>
      <w:r w:rsidRPr="00592A9C">
        <w:tab/>
        <w:t xml:space="preserve">c) </w:t>
      </w:r>
      <w:r w:rsidR="002B132A">
        <w:t>L</w:t>
      </w:r>
      <w:r w:rsidRPr="00592A9C">
        <w:t>a nature et l</w:t>
      </w:r>
      <w:r w:rsidR="003428E0">
        <w:t>’</w:t>
      </w:r>
      <w:r w:rsidRPr="00592A9C">
        <w:t>étendue de la limitation</w:t>
      </w:r>
      <w:r>
        <w:t xml:space="preserve"> imposée</w:t>
      </w:r>
      <w:r w:rsidR="003428E0">
        <w:t> ;</w:t>
      </w:r>
    </w:p>
    <w:p w14:paraId="23AF5C50" w14:textId="34CBDFEB" w:rsidR="00F12F47" w:rsidRPr="00592A9C" w:rsidRDefault="00F12F47" w:rsidP="002B132A">
      <w:pPr>
        <w:pStyle w:val="Notedebasdepage"/>
        <w:ind w:firstLine="0"/>
      </w:pPr>
      <w:r w:rsidRPr="00592A9C">
        <w:tab/>
        <w:t xml:space="preserve">d) </w:t>
      </w:r>
      <w:r w:rsidR="002B132A">
        <w:t>L</w:t>
      </w:r>
      <w:r w:rsidRPr="00592A9C">
        <w:t xml:space="preserve">e lien entre la limitation </w:t>
      </w:r>
      <w:r>
        <w:t xml:space="preserve">imposée </w:t>
      </w:r>
      <w:r w:rsidRPr="00592A9C">
        <w:t>et l</w:t>
      </w:r>
      <w:r>
        <w:t>e but</w:t>
      </w:r>
      <w:r w:rsidRPr="00592A9C">
        <w:t xml:space="preserve"> recherché</w:t>
      </w:r>
      <w:r w:rsidR="003428E0">
        <w:t> ;</w:t>
      </w:r>
    </w:p>
    <w:p w14:paraId="19753FFB" w14:textId="73901246" w:rsidR="00F12F47" w:rsidRPr="00592A9C" w:rsidRDefault="00F12F47" w:rsidP="002B132A">
      <w:pPr>
        <w:pStyle w:val="Notedebasdepage"/>
        <w:ind w:firstLine="0"/>
      </w:pPr>
      <w:r w:rsidRPr="00592A9C">
        <w:tab/>
        <w:t xml:space="preserve">e) </w:t>
      </w:r>
      <w:r w:rsidR="002B132A">
        <w:t>L</w:t>
      </w:r>
      <w:r w:rsidRPr="00592A9C">
        <w:t xml:space="preserve">es éventuels moyens de parvenir </w:t>
      </w:r>
      <w:r>
        <w:t>au but</w:t>
      </w:r>
      <w:r w:rsidRPr="00592A9C">
        <w:t xml:space="preserve"> recherché</w:t>
      </w:r>
      <w:r>
        <w:t xml:space="preserve"> en imposant des restrictions moins importantes</w:t>
      </w:r>
      <w:r w:rsidRPr="00592A9C">
        <w:t>.</w:t>
      </w:r>
    </w:p>
  </w:footnote>
  <w:footnote w:id="4">
    <w:p w14:paraId="42244EA2" w14:textId="7A7D6449" w:rsidR="00F12F47" w:rsidRPr="004C01E3" w:rsidRDefault="00F12F47" w:rsidP="00F12F47">
      <w:pPr>
        <w:pStyle w:val="Notedebasdepage"/>
        <w:rPr>
          <w:lang w:val="en-US"/>
        </w:rPr>
      </w:pPr>
      <w:r w:rsidRPr="00592A9C">
        <w:tab/>
      </w:r>
      <w:r w:rsidRPr="004C01E3">
        <w:rPr>
          <w:rStyle w:val="Appelnotedebasdep"/>
        </w:rPr>
        <w:footnoteRef/>
      </w:r>
      <w:r w:rsidRPr="004C01E3">
        <w:rPr>
          <w:lang w:val="en-US"/>
        </w:rPr>
        <w:tab/>
      </w:r>
      <w:bookmarkStart w:id="1" w:name="_Hlk75865788"/>
      <w:proofErr w:type="spellStart"/>
      <w:r w:rsidRPr="00F12F47">
        <w:rPr>
          <w:i/>
          <w:iCs/>
          <w:lang w:val="en-US"/>
        </w:rPr>
        <w:t>Juma</w:t>
      </w:r>
      <w:proofErr w:type="spellEnd"/>
      <w:r w:rsidRPr="00F12F47">
        <w:rPr>
          <w:i/>
          <w:iCs/>
          <w:lang w:val="en-US"/>
        </w:rPr>
        <w:t xml:space="preserve"> Musjid Primary School &amp; Others v. Essay N.O. and Others</w:t>
      </w:r>
      <w:bookmarkEnd w:id="1"/>
      <w:r w:rsidRPr="004C01E3">
        <w:rPr>
          <w:lang w:val="en-US"/>
        </w:rPr>
        <w:t>,</w:t>
      </w:r>
      <w:r w:rsidRPr="004C01E3">
        <w:rPr>
          <w:i/>
          <w:iCs/>
          <w:lang w:val="en-US"/>
        </w:rPr>
        <w:t xml:space="preserve"> </w:t>
      </w:r>
      <w:r w:rsidRPr="004C01E3">
        <w:rPr>
          <w:lang w:val="en-US"/>
        </w:rPr>
        <w:t>2011 (8) BCLR 761 (CC), par.</w:t>
      </w:r>
      <w:r w:rsidR="00B61775">
        <w:rPr>
          <w:lang w:val="en-US"/>
        </w:rPr>
        <w:t> </w:t>
      </w:r>
      <w:r w:rsidRPr="004C01E3">
        <w:rPr>
          <w:lang w:val="en-US"/>
        </w:rPr>
        <w:t>37</w:t>
      </w:r>
      <w:r w:rsidR="00B61775">
        <w:rPr>
          <w:lang w:val="en-US"/>
        </w:rPr>
        <w:t>.</w:t>
      </w:r>
    </w:p>
  </w:footnote>
  <w:footnote w:id="5">
    <w:p w14:paraId="05E97D83" w14:textId="7380283C" w:rsidR="00F12F47" w:rsidRPr="004C01E3" w:rsidRDefault="00F12F47" w:rsidP="00F12F47">
      <w:pPr>
        <w:pStyle w:val="Notedebasdepage"/>
        <w:rPr>
          <w:lang w:val="en-US"/>
        </w:rPr>
      </w:pPr>
      <w:r w:rsidRPr="004C01E3">
        <w:rPr>
          <w:lang w:val="en-US"/>
        </w:rPr>
        <w:tab/>
      </w:r>
      <w:r w:rsidRPr="004C01E3">
        <w:rPr>
          <w:rStyle w:val="Appelnotedebasdep"/>
        </w:rPr>
        <w:footnoteRef/>
      </w:r>
      <w:r w:rsidRPr="004C01E3">
        <w:rPr>
          <w:lang w:val="en-US"/>
        </w:rPr>
        <w:tab/>
      </w:r>
      <w:r w:rsidRPr="00F12F47">
        <w:rPr>
          <w:i/>
          <w:iCs/>
          <w:lang w:val="en-US"/>
        </w:rPr>
        <w:t>Centre for Child Law and Others v Minister of Basic Education and Others</w:t>
      </w:r>
      <w:r w:rsidRPr="00F12F47">
        <w:rPr>
          <w:lang w:val="en-US"/>
        </w:rPr>
        <w:t xml:space="preserve"> </w:t>
      </w:r>
      <w:r w:rsidRPr="004C01E3">
        <w:rPr>
          <w:lang w:val="en-US"/>
        </w:rPr>
        <w:t>(2840/2017) [2019] ZAECGHC 126</w:t>
      </w:r>
      <w:r w:rsidR="00E2166E">
        <w:rPr>
          <w:lang w:val="en-US"/>
        </w:rPr>
        <w:t> ;</w:t>
      </w:r>
      <w:r w:rsidRPr="004C01E3">
        <w:rPr>
          <w:lang w:val="en-US"/>
        </w:rPr>
        <w:t xml:space="preserve"> [2020] 1 All SA 711 (ECG)</w:t>
      </w:r>
      <w:r w:rsidR="003428E0">
        <w:rPr>
          <w:lang w:val="en-US"/>
        </w:rPr>
        <w:t> ;</w:t>
      </w:r>
      <w:r w:rsidRPr="004C01E3">
        <w:rPr>
          <w:lang w:val="en-US"/>
        </w:rPr>
        <w:t xml:space="preserve"> 2020 (3) SA 141 (ECG) (12 </w:t>
      </w:r>
      <w:proofErr w:type="spellStart"/>
      <w:r w:rsidRPr="004C01E3">
        <w:rPr>
          <w:lang w:val="en-US"/>
        </w:rPr>
        <w:t>décembre</w:t>
      </w:r>
      <w:proofErr w:type="spellEnd"/>
      <w:r w:rsidRPr="004C01E3">
        <w:rPr>
          <w:lang w:val="en-US"/>
        </w:rPr>
        <w:t xml:space="preserve"> 2019</w:t>
      </w:r>
      <w:r w:rsidR="00E2166E">
        <w:rPr>
          <w:lang w:val="en-US"/>
        </w:rPr>
        <w:t>).</w:t>
      </w:r>
    </w:p>
  </w:footnote>
  <w:footnote w:id="6">
    <w:p w14:paraId="6980CA34" w14:textId="0E8D824F" w:rsidR="00F12F47" w:rsidRPr="004C01E3" w:rsidRDefault="00F12F47" w:rsidP="00F12F47">
      <w:pPr>
        <w:pStyle w:val="Notedebasdepage"/>
        <w:rPr>
          <w:lang w:val="en-US"/>
        </w:rPr>
      </w:pPr>
      <w:r w:rsidRPr="004C01E3">
        <w:rPr>
          <w:lang w:val="en-US"/>
        </w:rPr>
        <w:tab/>
      </w:r>
      <w:r w:rsidRPr="004C01E3">
        <w:rPr>
          <w:rStyle w:val="Appelnotedebasdep"/>
        </w:rPr>
        <w:footnoteRef/>
      </w:r>
      <w:r w:rsidRPr="004C01E3">
        <w:rPr>
          <w:lang w:val="en-US"/>
        </w:rPr>
        <w:tab/>
      </w:r>
      <w:r w:rsidRPr="00F12F47">
        <w:rPr>
          <w:i/>
          <w:iCs/>
          <w:lang w:val="en-US"/>
        </w:rPr>
        <w:t>Centre for Child Law and Others v Minister of Basic Education and Others</w:t>
      </w:r>
      <w:r w:rsidRPr="00F12F47">
        <w:rPr>
          <w:lang w:val="en-US"/>
        </w:rPr>
        <w:t xml:space="preserve"> </w:t>
      </w:r>
      <w:r w:rsidRPr="004C01E3">
        <w:rPr>
          <w:lang w:val="en-US"/>
        </w:rPr>
        <w:t>(2840/2017) [2019] ZAECGHC 126</w:t>
      </w:r>
      <w:r w:rsidR="001F7D17">
        <w:rPr>
          <w:lang w:val="en-US"/>
        </w:rPr>
        <w:t> ;</w:t>
      </w:r>
      <w:r w:rsidRPr="004C01E3">
        <w:rPr>
          <w:lang w:val="en-US"/>
        </w:rPr>
        <w:t xml:space="preserve"> [2020] 1 All SA 711 (ECG)</w:t>
      </w:r>
      <w:r w:rsidR="003428E0">
        <w:rPr>
          <w:lang w:val="en-US"/>
        </w:rPr>
        <w:t> ;</w:t>
      </w:r>
      <w:r w:rsidRPr="004C01E3">
        <w:rPr>
          <w:lang w:val="en-US"/>
        </w:rPr>
        <w:t xml:space="preserve"> 2020 (3) SA 141 (ECG) (12 </w:t>
      </w:r>
      <w:proofErr w:type="spellStart"/>
      <w:r w:rsidRPr="004C01E3">
        <w:rPr>
          <w:lang w:val="en-US"/>
        </w:rPr>
        <w:t>décembre</w:t>
      </w:r>
      <w:proofErr w:type="spellEnd"/>
      <w:r w:rsidRPr="004C01E3">
        <w:rPr>
          <w:lang w:val="en-US"/>
        </w:rPr>
        <w:t xml:space="preserve"> 2019)</w:t>
      </w:r>
      <w:r w:rsidR="001F7D17">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91BE2" w14:textId="0E4EC892" w:rsidR="002C6DD4" w:rsidRPr="002C6DD4" w:rsidRDefault="002C6DD4">
    <w:pPr>
      <w:pStyle w:val="En-tte"/>
    </w:pPr>
    <w:fldSimple w:instr=" TITLE  \* MERGEFORMAT ">
      <w:r>
        <w:t>E/C.12/ZAF/FCO/1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20147" w14:textId="2EAF4112" w:rsidR="002C6DD4" w:rsidRPr="002C6DD4" w:rsidRDefault="002C6DD4" w:rsidP="002C6DD4">
    <w:pPr>
      <w:pStyle w:val="En-tte"/>
      <w:jc w:val="right"/>
    </w:pPr>
    <w:fldSimple w:instr=" TITLE  \* MERGEFORMAT ">
      <w:r>
        <w:t>E/C.12/ZAF/FCO/1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774"/>
    <w:rsid w:val="00017F94"/>
    <w:rsid w:val="00023842"/>
    <w:rsid w:val="0002432E"/>
    <w:rsid w:val="000334F9"/>
    <w:rsid w:val="00073B9D"/>
    <w:rsid w:val="0007796D"/>
    <w:rsid w:val="000B7790"/>
    <w:rsid w:val="000D3AD3"/>
    <w:rsid w:val="00111F2F"/>
    <w:rsid w:val="0014365E"/>
    <w:rsid w:val="00176178"/>
    <w:rsid w:val="001C3868"/>
    <w:rsid w:val="001F525A"/>
    <w:rsid w:val="001F7D17"/>
    <w:rsid w:val="0020289B"/>
    <w:rsid w:val="00223272"/>
    <w:rsid w:val="00246855"/>
    <w:rsid w:val="0024779E"/>
    <w:rsid w:val="002515E3"/>
    <w:rsid w:val="00266ACE"/>
    <w:rsid w:val="002832AC"/>
    <w:rsid w:val="002B132A"/>
    <w:rsid w:val="002C6DD4"/>
    <w:rsid w:val="002D7C93"/>
    <w:rsid w:val="002F7598"/>
    <w:rsid w:val="003428E0"/>
    <w:rsid w:val="00441C3B"/>
    <w:rsid w:val="00446FE5"/>
    <w:rsid w:val="00452396"/>
    <w:rsid w:val="004C67A7"/>
    <w:rsid w:val="004E468C"/>
    <w:rsid w:val="005505B7"/>
    <w:rsid w:val="00573BE5"/>
    <w:rsid w:val="00586ED3"/>
    <w:rsid w:val="005969F6"/>
    <w:rsid w:val="00596AA9"/>
    <w:rsid w:val="006B3774"/>
    <w:rsid w:val="006F53FE"/>
    <w:rsid w:val="0071601D"/>
    <w:rsid w:val="00760AD4"/>
    <w:rsid w:val="0077320C"/>
    <w:rsid w:val="007A62E6"/>
    <w:rsid w:val="007C1326"/>
    <w:rsid w:val="00801980"/>
    <w:rsid w:val="0080236C"/>
    <w:rsid w:val="0080684C"/>
    <w:rsid w:val="00871C75"/>
    <w:rsid w:val="008776DC"/>
    <w:rsid w:val="00967489"/>
    <w:rsid w:val="009705C8"/>
    <w:rsid w:val="009C1CF4"/>
    <w:rsid w:val="00A043CD"/>
    <w:rsid w:val="00A30353"/>
    <w:rsid w:val="00AA42FA"/>
    <w:rsid w:val="00AB0EB8"/>
    <w:rsid w:val="00AC3823"/>
    <w:rsid w:val="00AE323C"/>
    <w:rsid w:val="00AF290F"/>
    <w:rsid w:val="00B00181"/>
    <w:rsid w:val="00B00B0D"/>
    <w:rsid w:val="00B61775"/>
    <w:rsid w:val="00B765F7"/>
    <w:rsid w:val="00BA0CA9"/>
    <w:rsid w:val="00BA264E"/>
    <w:rsid w:val="00C02897"/>
    <w:rsid w:val="00C3607F"/>
    <w:rsid w:val="00C740A9"/>
    <w:rsid w:val="00CF2129"/>
    <w:rsid w:val="00D3439C"/>
    <w:rsid w:val="00D75300"/>
    <w:rsid w:val="00DB1831"/>
    <w:rsid w:val="00DD3BFD"/>
    <w:rsid w:val="00DF6678"/>
    <w:rsid w:val="00E2166E"/>
    <w:rsid w:val="00E26727"/>
    <w:rsid w:val="00EB03C1"/>
    <w:rsid w:val="00EB0B55"/>
    <w:rsid w:val="00EF2E22"/>
    <w:rsid w:val="00F12F47"/>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D0B8A7"/>
  <w15:docId w15:val="{F8CC1B80-A1E2-4EBB-A9A5-F1B44BBE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1C3868"/>
    <w:pPr>
      <w:tabs>
        <w:tab w:val="left" w:pos="1701"/>
        <w:tab w:val="left" w:pos="2268"/>
        <w:tab w:val="left" w:pos="2835"/>
      </w:tabs>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customStyle="1" w:styleId="SingleTxtGChar">
    <w:name w:val="_ Single Txt_G Char"/>
    <w:basedOn w:val="Policepardfaut"/>
    <w:link w:val="SingleTxtG"/>
    <w:rsid w:val="00F12F47"/>
    <w:rPr>
      <w:rFonts w:ascii="Times New Roman" w:eastAsiaTheme="minorHAnsi" w:hAnsi="Times New Roman" w:cs="Times New Roman"/>
      <w:sz w:val="20"/>
      <w:szCs w:val="20"/>
      <w:lang w:eastAsia="en-US"/>
    </w:rPr>
  </w:style>
  <w:style w:type="character" w:styleId="Marquedecommentaire">
    <w:name w:val="annotation reference"/>
    <w:basedOn w:val="Policepardfaut"/>
    <w:uiPriority w:val="99"/>
    <w:semiHidden/>
    <w:unhideWhenUsed/>
    <w:rsid w:val="00F12F4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4</Pages>
  <Words>1680</Words>
  <Characters>10351</Characters>
  <Application>Microsoft Office Word</Application>
  <DocSecurity>0</DocSecurity>
  <Lines>1725</Lines>
  <Paragraphs>633</Paragraphs>
  <ScaleCrop>false</ScaleCrop>
  <HeadingPairs>
    <vt:vector size="2" baseType="variant">
      <vt:variant>
        <vt:lpstr>Titre</vt:lpstr>
      </vt:variant>
      <vt:variant>
        <vt:i4>1</vt:i4>
      </vt:variant>
    </vt:vector>
  </HeadingPairs>
  <TitlesOfParts>
    <vt:vector size="1" baseType="lpstr">
      <vt:lpstr>E/C.12/ZAF/FCO/1</vt:lpstr>
    </vt:vector>
  </TitlesOfParts>
  <Company>DCM</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E/C.12/ZAF/FCO/1</dc:title>
  <dc:subject/>
  <dc:creator>Nathalie VITTOZ</dc:creator>
  <cp:keywords/>
  <cp:lastModifiedBy>Nathalie Vittoz</cp:lastModifiedBy>
  <cp:revision>2</cp:revision>
  <cp:lastPrinted>2014-05-14T10:59:00Z</cp:lastPrinted>
  <dcterms:created xsi:type="dcterms:W3CDTF">2021-06-29T13:38:00Z</dcterms:created>
  <dcterms:modified xsi:type="dcterms:W3CDTF">2021-06-29T13:38:00Z</dcterms:modified>
</cp:coreProperties>
</file>