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F21AED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F23919" w14:textId="77777777" w:rsidR="002D5AAC" w:rsidRDefault="002D5AAC" w:rsidP="007F69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855D49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5884F9" w14:textId="770EB26E" w:rsidR="002D5AAC" w:rsidRDefault="007F6994" w:rsidP="007F6994">
            <w:pPr>
              <w:jc w:val="right"/>
            </w:pPr>
            <w:r w:rsidRPr="00A94341">
              <w:rPr>
                <w:sz w:val="40"/>
              </w:rPr>
              <w:t>E</w:t>
            </w:r>
            <w:r w:rsidRPr="00A94341">
              <w:t>/C.12/UZB/CO/3</w:t>
            </w:r>
          </w:p>
        </w:tc>
      </w:tr>
      <w:tr w:rsidR="002D5AAC" w:rsidRPr="00E42796" w14:paraId="6869C323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FFC11A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EBF6B8" wp14:editId="4464B81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9FD578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AB5814" w14:textId="77777777" w:rsidR="002D5AAC" w:rsidRDefault="007F6994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33447D" w14:textId="77777777" w:rsidR="007F6994" w:rsidRDefault="007F6994" w:rsidP="007F69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March 2022</w:t>
            </w:r>
          </w:p>
          <w:p w14:paraId="132FF310" w14:textId="77777777" w:rsidR="007F6994" w:rsidRDefault="007F6994" w:rsidP="007F69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CD19F6" w14:textId="6FBE9AEB" w:rsidR="007F6994" w:rsidRPr="00D62A45" w:rsidRDefault="007F6994" w:rsidP="007F69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700E93" w14:textId="3E0DC40B" w:rsidR="007F6994" w:rsidRPr="007F6994" w:rsidRDefault="007F6994" w:rsidP="007F6994">
      <w:pPr>
        <w:spacing w:before="120"/>
        <w:rPr>
          <w:sz w:val="24"/>
          <w:szCs w:val="24"/>
        </w:rPr>
      </w:pPr>
      <w:r w:rsidRPr="007F6994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7F6994">
        <w:rPr>
          <w:b/>
          <w:bCs/>
          <w:sz w:val="24"/>
          <w:szCs w:val="24"/>
        </w:rPr>
        <w:t>и культурным правам</w:t>
      </w:r>
    </w:p>
    <w:p w14:paraId="61D59E4C" w14:textId="77777777" w:rsidR="007F6994" w:rsidRPr="007F6994" w:rsidRDefault="007F6994" w:rsidP="007F6994">
      <w:pPr>
        <w:pStyle w:val="HChG"/>
      </w:pPr>
      <w:r w:rsidRPr="007F6994">
        <w:tab/>
      </w:r>
      <w:r w:rsidRPr="007F6994">
        <w:tab/>
        <w:t>Заключительные замечания по третьему периодическому докладу Узбекистана</w:t>
      </w:r>
      <w:r w:rsidRPr="007F6994">
        <w:rPr>
          <w:b w:val="0"/>
          <w:bCs/>
          <w:sz w:val="20"/>
          <w:szCs w:val="14"/>
        </w:rPr>
        <w:footnoteReference w:customMarkFollows="1" w:id="1"/>
        <w:t>*</w:t>
      </w:r>
    </w:p>
    <w:p w14:paraId="5B26A71E" w14:textId="77777777" w:rsidR="007F6994" w:rsidRPr="007F6994" w:rsidRDefault="007F6994" w:rsidP="007F6994">
      <w:pPr>
        <w:pStyle w:val="SingleTxtG"/>
      </w:pPr>
      <w:r w:rsidRPr="007F6994">
        <w:t>1.</w:t>
      </w:r>
      <w:r w:rsidRPr="007F6994">
        <w:tab/>
        <w:t>Комитет рассмотрел третий периодический доклад Узбекистана</w:t>
      </w:r>
      <w:r w:rsidRPr="007F6994">
        <w:rPr>
          <w:sz w:val="18"/>
          <w:szCs w:val="18"/>
          <w:vertAlign w:val="superscript"/>
        </w:rPr>
        <w:footnoteReference w:id="2"/>
      </w:r>
      <w:r w:rsidRPr="007F6994">
        <w:t xml:space="preserve"> на своих 13-м, 15-м и 17-м заседаниях</w:t>
      </w:r>
      <w:r w:rsidRPr="007F6994">
        <w:rPr>
          <w:sz w:val="18"/>
          <w:szCs w:val="18"/>
          <w:vertAlign w:val="superscript"/>
        </w:rPr>
        <w:footnoteReference w:id="3"/>
      </w:r>
      <w:r w:rsidRPr="007F6994">
        <w:t xml:space="preserve">, состоявшихся 22, 23 и 24 февраля 2022 года, и принял настоящие заключительные замечания на своем 30-м заседании, состоявшемся 4 марта 2022 года. </w:t>
      </w:r>
    </w:p>
    <w:p w14:paraId="74E61E1C" w14:textId="77777777" w:rsidR="007F6994" w:rsidRPr="007F6994" w:rsidRDefault="007F6994" w:rsidP="007F6994">
      <w:pPr>
        <w:pStyle w:val="H1G"/>
      </w:pPr>
      <w:r w:rsidRPr="007F6994">
        <w:tab/>
        <w:t>A.</w:t>
      </w:r>
      <w:r w:rsidRPr="007F6994">
        <w:tab/>
        <w:t>Введение</w:t>
      </w:r>
    </w:p>
    <w:p w14:paraId="3B1E0DCF" w14:textId="77777777" w:rsidR="007F6994" w:rsidRPr="007F6994" w:rsidRDefault="007F6994" w:rsidP="007F6994">
      <w:pPr>
        <w:pStyle w:val="SingleTxtG"/>
      </w:pPr>
      <w:r w:rsidRPr="007F6994">
        <w:t>2.</w:t>
      </w:r>
      <w:r w:rsidRPr="007F6994">
        <w:tab/>
        <w:t>Комитет приветствует представление государством-участником третьего периодического доклада и дополнительную информацию, предоставленную в ответах на перечень вопросов</w:t>
      </w:r>
      <w:r w:rsidRPr="007F6994">
        <w:rPr>
          <w:sz w:val="18"/>
          <w:szCs w:val="18"/>
          <w:vertAlign w:val="superscript"/>
        </w:rPr>
        <w:footnoteReference w:id="4"/>
      </w:r>
      <w:r w:rsidRPr="007F6994">
        <w:t>. Комитет высоко оценивает конструктивный диалог, проведенный с межведомственной делегацией высокого уровня государства-участника.</w:t>
      </w:r>
    </w:p>
    <w:p w14:paraId="0B049EEF" w14:textId="77777777" w:rsidR="007F6994" w:rsidRPr="007F6994" w:rsidRDefault="007F6994" w:rsidP="007F6994">
      <w:pPr>
        <w:pStyle w:val="H1G"/>
      </w:pPr>
      <w:r w:rsidRPr="007F6994">
        <w:tab/>
        <w:t>B.</w:t>
      </w:r>
      <w:r w:rsidRPr="007F6994">
        <w:tab/>
        <w:t>Позитивные аспекты</w:t>
      </w:r>
    </w:p>
    <w:p w14:paraId="4B51FD68" w14:textId="5A6A8927" w:rsidR="007F6994" w:rsidRPr="007F6994" w:rsidRDefault="007F6994" w:rsidP="007F6994">
      <w:pPr>
        <w:pStyle w:val="SingleTxtG"/>
      </w:pPr>
      <w:r w:rsidRPr="007F6994">
        <w:t>3.</w:t>
      </w:r>
      <w:r w:rsidRPr="007F6994">
        <w:tab/>
        <w:t>Комитет приветствует законодательные, институциональные и политические меры, принятые государством-участником для более активного осуществления экономических, социальных и культурных прав, о которых говорится в настоящих заключительных замечаниях. В частности, Комитет приветствует принятие Закона «О</w:t>
      </w:r>
      <w:r>
        <w:rPr>
          <w:lang w:val="en-US"/>
        </w:rPr>
        <w:t> </w:t>
      </w:r>
      <w:r w:rsidRPr="007F6994">
        <w:t>противодействии коррупции» (№ ЗРУ-419 от 3 января 2017 года) и создание Агентства по противодействию коррупции.</w:t>
      </w:r>
    </w:p>
    <w:p w14:paraId="23735CAB" w14:textId="17C882F4" w:rsidR="007F6994" w:rsidRPr="007F6994" w:rsidRDefault="007F6994" w:rsidP="007F6994">
      <w:pPr>
        <w:pStyle w:val="H1G"/>
      </w:pPr>
      <w:r w:rsidRPr="007F6994">
        <w:tab/>
        <w:t>C.</w:t>
      </w:r>
      <w:r w:rsidRPr="007F6994">
        <w:tab/>
        <w:t>Основные вопросы, вызывающие обеспокоенность, и</w:t>
      </w:r>
      <w:r>
        <w:rPr>
          <w:lang w:val="en-US"/>
        </w:rPr>
        <w:t> </w:t>
      </w:r>
      <w:r w:rsidRPr="007F6994">
        <w:t>рекомендации</w:t>
      </w:r>
    </w:p>
    <w:p w14:paraId="1BB6D674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>Применение Пакта во внутреннем праве</w:t>
      </w:r>
    </w:p>
    <w:p w14:paraId="504DDACF" w14:textId="2994CE96" w:rsidR="007F6994" w:rsidRPr="007F6994" w:rsidRDefault="007F6994" w:rsidP="007F6994">
      <w:pPr>
        <w:pStyle w:val="SingleTxtG"/>
      </w:pPr>
      <w:r w:rsidRPr="007F6994">
        <w:t>4.</w:t>
      </w:r>
      <w:r w:rsidRPr="007F6994">
        <w:tab/>
        <w:t xml:space="preserve">Отмечая, что Пакт является составной частью правовой базы страны в соответствии с Конституцией и что суды компетентны ссылаться на Пакт, Комитет </w:t>
      </w:r>
      <w:r>
        <w:br/>
      </w:r>
      <w:r w:rsidRPr="007F6994">
        <w:t xml:space="preserve">по-прежнему обеспокоен тем, что на положения Пакта редко ссылаются в судах </w:t>
      </w:r>
      <w:r>
        <w:br/>
      </w:r>
      <w:r w:rsidRPr="007F6994">
        <w:t>(п. 1 ст. 2).</w:t>
      </w:r>
    </w:p>
    <w:p w14:paraId="55D019A7" w14:textId="77777777" w:rsidR="007F6994" w:rsidRPr="007F6994" w:rsidRDefault="007F6994" w:rsidP="007F6994">
      <w:pPr>
        <w:pStyle w:val="SingleTxtG"/>
      </w:pPr>
      <w:r w:rsidRPr="007F6994">
        <w:t>5.</w:t>
      </w:r>
      <w:r w:rsidRPr="007F6994">
        <w:tab/>
      </w:r>
      <w:r w:rsidRPr="007F6994">
        <w:rPr>
          <w:b/>
          <w:bCs/>
        </w:rPr>
        <w:t xml:space="preserve">Комитет рекомендует государству-участнику повысить осведомленность общественности о Пакте и обеспечить программы по наращиванию потенциала для судей, прокуроров и адвокатов, чтобы они могли ссылаться на </w:t>
      </w:r>
      <w:r w:rsidRPr="007F6994">
        <w:rPr>
          <w:b/>
          <w:bCs/>
        </w:rPr>
        <w:lastRenderedPageBreak/>
        <w:t>экономические, социальные и культурные права и применять их в национальных судах.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замечание общего порядка № 9 (1998) о применении Пакта во внутреннем праве.</w:t>
      </w:r>
      <w:r w:rsidRPr="007F6994">
        <w:t xml:space="preserve"> </w:t>
      </w:r>
    </w:p>
    <w:p w14:paraId="2B750F6F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>Независимость судебных органов</w:t>
      </w:r>
    </w:p>
    <w:p w14:paraId="44DDE127" w14:textId="6788692E" w:rsidR="007F6994" w:rsidRPr="007F6994" w:rsidRDefault="007F6994" w:rsidP="007F6994">
      <w:pPr>
        <w:pStyle w:val="SingleTxtG"/>
      </w:pPr>
      <w:r w:rsidRPr="007F6994">
        <w:t>6.</w:t>
      </w:r>
      <w:r w:rsidRPr="007F6994">
        <w:tab/>
        <w:t xml:space="preserve">Комитет принимает к сведению информацию государства-участника о мерах, принятых для реформирования судебной системы, включая создание Высшего судейского совета и новые процедуры отбора и назначения кандидатов на должности судей. Тем не менее Комитет обеспокоен различными недостатками в сфере независимости судебной власти, такими как вмешательство исполнительной и законодательной ветвей власти в процесс отбора кандидатов на должности судей Конституционного суда и Верховного суда и назначения на должности судей </w:t>
      </w:r>
      <w:r>
        <w:br/>
      </w:r>
      <w:r w:rsidRPr="007F6994">
        <w:t xml:space="preserve">(п. 1 ст. 2). </w:t>
      </w:r>
    </w:p>
    <w:p w14:paraId="0F13681E" w14:textId="126EA850" w:rsidR="007F6994" w:rsidRPr="007F6994" w:rsidRDefault="007F6994" w:rsidP="007F6994">
      <w:pPr>
        <w:pStyle w:val="SingleTxtG"/>
      </w:pPr>
      <w:r w:rsidRPr="007F6994">
        <w:t>7.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активизировать усилия по обеспечению независимости и беспристрастности судебных органов как средства гарантирования осуществления прав человека, включая экономические, социальные и культурные права, путем укрепления полномочий Высшего судейского совета и предотвращения вмешательства исполнительной и законодательной ветвей власти в работу судебных органов, особенно при отборе кандидатов и назначении на должности судей.</w:t>
      </w:r>
      <w:r w:rsidRPr="007F6994">
        <w:t xml:space="preserve"> </w:t>
      </w:r>
      <w:r w:rsidRPr="007F6994">
        <w:rPr>
          <w:b/>
          <w:bCs/>
        </w:rPr>
        <w:t>Комитет рекомендует государству-участнику активизировать усилия по выполнению рекомендаций, сделанных Специальным докладчиком по вопросу о независимости судей и адвокатов в его докладе о посещении Узбекистана (</w:t>
      </w:r>
      <w:hyperlink r:id="rId8" w:history="1">
        <w:r w:rsidRPr="007F6994">
          <w:rPr>
            <w:rStyle w:val="a7"/>
            <w:b/>
            <w:bCs/>
          </w:rPr>
          <w:t>A/HRC/44/47/Add.1</w:t>
        </w:r>
      </w:hyperlink>
      <w:r w:rsidRPr="007F6994">
        <w:rPr>
          <w:b/>
          <w:bCs/>
        </w:rPr>
        <w:t>).</w:t>
      </w:r>
      <w:r w:rsidRPr="007F6994">
        <w:t xml:space="preserve"> </w:t>
      </w:r>
    </w:p>
    <w:p w14:paraId="768DFD4B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 xml:space="preserve">Национальное правозащитное учреждение </w:t>
      </w:r>
    </w:p>
    <w:p w14:paraId="403B2181" w14:textId="77777777" w:rsidR="007F6994" w:rsidRPr="007F6994" w:rsidRDefault="007F6994" w:rsidP="007F6994">
      <w:pPr>
        <w:pStyle w:val="SingleTxtG"/>
      </w:pPr>
      <w:r w:rsidRPr="007F6994">
        <w:t>8.</w:t>
      </w:r>
      <w:r w:rsidRPr="007F6994">
        <w:tab/>
        <w:t xml:space="preserve">Комитет принимает к сведению информацию государства-участника о мандате и деятельности Уполномоченного Олий Мажлиса по правам человека (Омбудсмена). Вместе с тем Комитет обеспокоен отсутствием прозрачного процесса отбора кандидатов и назначения на должность Омбудсмена, а также недостаточным уровнем ресурсов, что негативно сказывается на его функционировании (п. 1 ст. 2). </w:t>
      </w:r>
    </w:p>
    <w:p w14:paraId="3781240F" w14:textId="77777777" w:rsidR="007F6994" w:rsidRPr="007F6994" w:rsidRDefault="007F6994" w:rsidP="007F6994">
      <w:pPr>
        <w:pStyle w:val="SingleTxtG"/>
      </w:pPr>
      <w:r w:rsidRPr="007F6994">
        <w:t>9.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принять меры для приведения института Омбудсмена в полное соответствие с принципами, касающимися статуса национальных учреждений по поощрению и защите прав человека (Парижские принципы), в том числе путем дальнейшего укрепления его независимости и предоставления ему достаточных финансовых и людских ресурсов для эффективного и независимого осуществления им своего мандата, включая поощрение и защиту экономических, социальных и культурных прав.</w:t>
      </w:r>
    </w:p>
    <w:p w14:paraId="70513740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 xml:space="preserve">Гражданское общество </w:t>
      </w:r>
    </w:p>
    <w:p w14:paraId="76C1905A" w14:textId="77777777" w:rsidR="007F6994" w:rsidRPr="007F6994" w:rsidRDefault="007F6994" w:rsidP="007F6994">
      <w:pPr>
        <w:pStyle w:val="SingleTxtG"/>
      </w:pPr>
      <w:r w:rsidRPr="007F6994">
        <w:t>10.</w:t>
      </w:r>
      <w:r w:rsidRPr="007F6994">
        <w:tab/>
        <w:t xml:space="preserve">Комитет принимает к сведению информацию государства-участника об усилиях по разработке проекта закона о негосударственных некоммерческих организациях. Вместе с тем Комитет по-прежнему обеспокоен административным и процедурным бременем, возникающим при регистрации новых организаций гражданского общества, невозможностью их свободной деятельности из-за ограничений, а также низким числом новых зарегистрированных организаций, несмотря на недавние реформы (п. 1 ст. 2). </w:t>
      </w:r>
    </w:p>
    <w:p w14:paraId="7ACBC181" w14:textId="77777777" w:rsidR="007F6994" w:rsidRPr="007F6994" w:rsidRDefault="007F6994" w:rsidP="007F6994">
      <w:pPr>
        <w:pStyle w:val="SingleTxtG"/>
      </w:pPr>
      <w:r w:rsidRPr="007F6994">
        <w:t>11.</w:t>
      </w:r>
      <w:r w:rsidRPr="007F6994">
        <w:tab/>
      </w:r>
      <w:r w:rsidRPr="007F6994">
        <w:rPr>
          <w:b/>
          <w:bCs/>
        </w:rPr>
        <w:t>Комитет рекомендует государству-участнику ускорить процесс консультаций для принятия проекта закона о негосударственных некоммерческих организациях при эффективном и конструктивном участии организаций гражданского общества.</w:t>
      </w:r>
      <w:r w:rsidRPr="007F6994">
        <w:t xml:space="preserve"> </w:t>
      </w:r>
      <w:r w:rsidRPr="007F6994">
        <w:rPr>
          <w:b/>
          <w:bCs/>
        </w:rPr>
        <w:t>Комитет также рекомендует обеспечить благоприятные условия, включая эффективную процедуру регистрации, для неправительственных организаций, занимающихся поощрением и защитой экономических, социальных и культурных прав.</w:t>
      </w:r>
      <w:r w:rsidRPr="007F6994">
        <w:t xml:space="preserve"> </w:t>
      </w:r>
      <w:r w:rsidRPr="007F6994">
        <w:rPr>
          <w:b/>
          <w:bCs/>
        </w:rPr>
        <w:t xml:space="preserve">Комитет обращает внимание </w:t>
      </w:r>
      <w:r w:rsidRPr="007F6994">
        <w:rPr>
          <w:b/>
          <w:bCs/>
        </w:rPr>
        <w:lastRenderedPageBreak/>
        <w:t>государства-участника на свое заявление по вопросу о правозащитниках и экономических, социальных и культурных правах</w:t>
      </w:r>
      <w:r w:rsidRPr="007F6994">
        <w:rPr>
          <w:sz w:val="18"/>
          <w:szCs w:val="18"/>
          <w:vertAlign w:val="superscript"/>
        </w:rPr>
        <w:footnoteReference w:id="5"/>
      </w:r>
      <w:r w:rsidRPr="007F6994">
        <w:rPr>
          <w:b/>
          <w:bCs/>
        </w:rPr>
        <w:t>.</w:t>
      </w:r>
      <w:r w:rsidRPr="007F6994">
        <w:t xml:space="preserve"> </w:t>
      </w:r>
    </w:p>
    <w:p w14:paraId="75CB78F5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 xml:space="preserve">Коррупция </w:t>
      </w:r>
    </w:p>
    <w:p w14:paraId="19EC3C07" w14:textId="77777777" w:rsidR="007F6994" w:rsidRPr="007F6994" w:rsidRDefault="007F6994" w:rsidP="007F6994">
      <w:pPr>
        <w:pStyle w:val="SingleTxtG"/>
      </w:pPr>
      <w:r w:rsidRPr="007F6994">
        <w:t>12.</w:t>
      </w:r>
      <w:r w:rsidRPr="007F6994">
        <w:tab/>
        <w:t xml:space="preserve">Комитет принимает к сведению информацию государства-участника о реализации антикоррупционной политики (2021–2022 годы), полномочиях Агентства по противодействию коррупции и введении системы обязательного декларирования доходов и имущества государственных служащих. Вместе с тем Комитет обеспокоен информацией о том, что коррупция по-прежнему широко распространена, и отсутствием информации о наличии безопасных и доступных каналов для сообщений о коррупции (п. 1 ст. 2). </w:t>
      </w:r>
    </w:p>
    <w:p w14:paraId="16C7971C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13.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активизировать свои усилия по борьбе с коррупцией путем:</w:t>
      </w:r>
      <w:r w:rsidRPr="007F6994">
        <w:t xml:space="preserve"> </w:t>
      </w:r>
    </w:p>
    <w:p w14:paraId="01FCDA5A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>обеспечения эффективной реализации Закона «О противодействии коррупции» (№ ЗРУ-419 от 3 января 2017 года) и усиления роли Агентства по противодействию коррупции, в том числе путем предоставления достаточных финансовых и людских ресурсов, обеспечения его независимости и расширения его инспекционной и мониторинговой роли;</w:t>
      </w:r>
      <w:r w:rsidRPr="007F6994">
        <w:t xml:space="preserve"> </w:t>
      </w:r>
    </w:p>
    <w:p w14:paraId="5C51659E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разработки и принятия всеобъемлющей и долгосрочной стратегии противодействия коррупции, в том числе на местном уровне;</w:t>
      </w:r>
    </w:p>
    <w:p w14:paraId="39B43DB6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c)</w:t>
      </w:r>
      <w:r w:rsidRPr="007F6994">
        <w:rPr>
          <w:b/>
          <w:bCs/>
        </w:rPr>
        <w:tab/>
        <w:t>создания безопасных и доступных каналов для сообщений о коррупции и принятия мер по обеспечению защиты активистов борьбы с коррупцией, информаторов и свидетелей.</w:t>
      </w:r>
      <w:r w:rsidRPr="007F6994">
        <w:t xml:space="preserve"> </w:t>
      </w:r>
    </w:p>
    <w:p w14:paraId="52B03B65" w14:textId="213A3E46" w:rsidR="007F6994" w:rsidRPr="007F6994" w:rsidRDefault="007F6994" w:rsidP="007F6994">
      <w:pPr>
        <w:pStyle w:val="H23G"/>
      </w:pPr>
      <w:r>
        <w:tab/>
      </w:r>
      <w:r>
        <w:tab/>
      </w:r>
      <w:r w:rsidRPr="007F6994">
        <w:t>Предпринимательская деятельность и права человека</w:t>
      </w:r>
    </w:p>
    <w:p w14:paraId="4DE36815" w14:textId="77777777" w:rsidR="007F6994" w:rsidRPr="007F6994" w:rsidRDefault="007F6994" w:rsidP="007F6994">
      <w:pPr>
        <w:pStyle w:val="SingleTxtG"/>
      </w:pPr>
      <w:r w:rsidRPr="007F6994">
        <w:t>14.</w:t>
      </w:r>
      <w:r w:rsidRPr="007F6994">
        <w:tab/>
        <w:t xml:space="preserve">Комитет принимает к сведению информацию, предоставленную государством-участником в ходе диалога, об усилиях по подготовке плана действий по вопросам предпринимательской деятельности и прав человека. Вместе с тем Комитет обеспокоен отсутствием информации о действующей нормативной базе, обеспечивающей соблюдение субъектами предпринимательства прав, предусмотренных Пактом, и применение ими политики должной осмотрительности в вопросах прав человека (п. 1 ст. 2). </w:t>
      </w:r>
    </w:p>
    <w:p w14:paraId="281CD807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15.</w:t>
      </w:r>
      <w:r w:rsidRPr="007F6994">
        <w:tab/>
      </w:r>
      <w:r w:rsidRPr="007F6994">
        <w:rPr>
          <w:b/>
          <w:bCs/>
        </w:rPr>
        <w:t>Комитет рекомендует государству-участнику:</w:t>
      </w:r>
      <w:r w:rsidRPr="007F6994">
        <w:t xml:space="preserve"> </w:t>
      </w:r>
    </w:p>
    <w:p w14:paraId="75985BAE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>ускорить подготовку и принятие национального плана действий по вопросам предпринимательской деятельности и прав человека;</w:t>
      </w:r>
    </w:p>
    <w:p w14:paraId="71022BED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разработать и внедрить нормативные положения о проявлении должной осмотрительности в вопросах прав человека, обязывающие компании, зарегистрированные в государстве-участнике или находящиеся под его юрисдикцией, выявлять, предотвращать и устранять нарушения прав человека в ходе их внутренней и зарубежной деятельности;</w:t>
      </w:r>
      <w:r w:rsidRPr="007F6994">
        <w:t xml:space="preserve"> </w:t>
      </w:r>
    </w:p>
    <w:p w14:paraId="7B5C1DE7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c)</w:t>
      </w:r>
      <w:r w:rsidRPr="007F6994">
        <w:rPr>
          <w:b/>
          <w:bCs/>
        </w:rPr>
        <w:tab/>
        <w:t>принимать меры для привлечения компаний, зарегистрированных на территории государства-участника или управляемых с его территории, к правовой ответственности за нарушения экономических, социальных и культурных прав в результате их деятельности и предоставлять жертвам надлежащие средства правовой защиты;</w:t>
      </w:r>
    </w:p>
    <w:p w14:paraId="17F41C09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d)</w:t>
      </w:r>
      <w:r w:rsidRPr="007F6994">
        <w:rPr>
          <w:b/>
          <w:bCs/>
        </w:rPr>
        <w:tab/>
        <w:t>собирать информацию о жалобах, поданных лицами, которые стали жертвами нарушений экономических, социальных и культурных прав в результате деятельности субъектов предпринимательства.</w:t>
      </w:r>
      <w:r w:rsidRPr="007F6994">
        <w:t xml:space="preserve"> </w:t>
      </w:r>
    </w:p>
    <w:p w14:paraId="0AE43527" w14:textId="77777777" w:rsidR="007F6994" w:rsidRPr="007F6994" w:rsidRDefault="007F6994" w:rsidP="007F6994">
      <w:pPr>
        <w:pStyle w:val="SingleTxtG"/>
      </w:pPr>
      <w:r w:rsidRPr="007F6994">
        <w:rPr>
          <w:b/>
          <w:bCs/>
        </w:rPr>
        <w:t xml:space="preserve">Комитет обращает внимание государства-участника на свое замечание общего порядка № 24 (2017) об обязательствах государств по Международному пакту об </w:t>
      </w:r>
      <w:r w:rsidRPr="007F6994">
        <w:rPr>
          <w:b/>
          <w:bCs/>
        </w:rPr>
        <w:lastRenderedPageBreak/>
        <w:t>экономических, социальных и культурных правах в контексте предпринимательской деятельности.</w:t>
      </w:r>
      <w:r w:rsidRPr="007F6994">
        <w:t xml:space="preserve"> </w:t>
      </w:r>
    </w:p>
    <w:p w14:paraId="6FD7CF43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>Изменение климата</w:t>
      </w:r>
    </w:p>
    <w:p w14:paraId="45374316" w14:textId="77777777" w:rsidR="007F6994" w:rsidRPr="007F6994" w:rsidRDefault="007F6994" w:rsidP="007F6994">
      <w:pPr>
        <w:pStyle w:val="SingleTxtG"/>
      </w:pPr>
      <w:r w:rsidRPr="007F6994">
        <w:t>16.</w:t>
      </w:r>
      <w:r w:rsidRPr="007F6994">
        <w:tab/>
        <w:t xml:space="preserve">Комитет принимает к сведению представление пересмотренных определяемых на национальном уровне вкладов в соответствии с Парижским соглашением и принятие Стратегии по переходу на «зеленую» экономику к 2030 году. Вместе с тем Комитет обеспокоен недостаточностью мер по адаптации, принятых для решения проблемы воздействия изменения климата на население, особенно прогнозируемым сокращением водных ресурсов (п. 1 ст. 2). </w:t>
      </w:r>
    </w:p>
    <w:p w14:paraId="741585AB" w14:textId="77777777" w:rsidR="007F6994" w:rsidRPr="007F6994" w:rsidRDefault="007F6994" w:rsidP="007F6994">
      <w:pPr>
        <w:pStyle w:val="SingleTxtG"/>
      </w:pPr>
      <w:r w:rsidRPr="007F6994">
        <w:t>17.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обеспечить применение правозащитного подхода в своих стратегиях адаптации, направленных на противодействие последствиям стихийных бедствий и изменения климата, включая создание механизмов мониторинга.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заявление об изменении климата и Пакте</w:t>
      </w:r>
      <w:r w:rsidRPr="007F6994">
        <w:rPr>
          <w:sz w:val="18"/>
          <w:szCs w:val="18"/>
          <w:vertAlign w:val="superscript"/>
        </w:rPr>
        <w:footnoteReference w:id="6"/>
      </w:r>
      <w:r w:rsidRPr="007F6994">
        <w:rPr>
          <w:b/>
          <w:bCs/>
        </w:rPr>
        <w:t>, принятое 8 октября 2018 года, и на совместное заявление о правах человека и изменении климата, опубликованное 16 сентября 2019 года</w:t>
      </w:r>
      <w:r w:rsidRPr="007F6994">
        <w:rPr>
          <w:sz w:val="18"/>
          <w:szCs w:val="18"/>
          <w:vertAlign w:val="superscript"/>
        </w:rPr>
        <w:footnoteReference w:id="7"/>
      </w:r>
      <w:r w:rsidRPr="007F6994">
        <w:rPr>
          <w:b/>
          <w:bCs/>
        </w:rPr>
        <w:t>.</w:t>
      </w:r>
    </w:p>
    <w:p w14:paraId="78B5F9CA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>Максимальные пределы имеющихся ресурсов</w:t>
      </w:r>
    </w:p>
    <w:p w14:paraId="783CA035" w14:textId="77777777" w:rsidR="007F6994" w:rsidRPr="007F6994" w:rsidRDefault="007F6994" w:rsidP="007F6994">
      <w:pPr>
        <w:pStyle w:val="SingleTxtG"/>
      </w:pPr>
      <w:r w:rsidRPr="007F6994">
        <w:t>18.</w:t>
      </w:r>
      <w:r w:rsidRPr="007F6994">
        <w:tab/>
        <w:t xml:space="preserve">Комитет принимает к сведению информацию о реформе налоговой системы. Вместе с тем Комитет обеспокоен тем, что доля валового внутреннего продукта, выделяемая на государственные расходы, остается низкой, несмотря на ее увеличение с 2011 года (п. 1 ст. 2). </w:t>
      </w:r>
    </w:p>
    <w:p w14:paraId="48DB0BC3" w14:textId="77777777" w:rsidR="007F6994" w:rsidRPr="007F6994" w:rsidRDefault="007F6994" w:rsidP="007F6994">
      <w:pPr>
        <w:pStyle w:val="SingleTxtG"/>
      </w:pPr>
      <w:r w:rsidRPr="007F6994">
        <w:t>19.</w:t>
      </w:r>
      <w:r w:rsidRPr="007F6994">
        <w:tab/>
      </w:r>
      <w:r w:rsidRPr="007F6994">
        <w:rPr>
          <w:b/>
          <w:bCs/>
        </w:rPr>
        <w:t>Комитет рекомендует государству-участнику увеличить уровень социальных расходов как на национальном, так и на местном уровнях, уделяя при этом особое внимание находящимся в неблагоприятном положении и маргинализированным лицам и группам населения, и провести оценку воздействия своей макроэкономической и бюджетной политики на права человека с целью максимального использования имеющихся ресурсов для достижения полной реализации экономических, социальных и культурных прав.</w:t>
      </w:r>
      <w:r w:rsidRPr="007F6994">
        <w:t xml:space="preserve"> </w:t>
      </w:r>
    </w:p>
    <w:p w14:paraId="165F1115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 xml:space="preserve">Недискриминация </w:t>
      </w:r>
    </w:p>
    <w:p w14:paraId="581F12EB" w14:textId="77777777" w:rsidR="007F6994" w:rsidRPr="007F6994" w:rsidRDefault="007F6994" w:rsidP="007F6994">
      <w:pPr>
        <w:pStyle w:val="SingleTxtG"/>
      </w:pPr>
      <w:r w:rsidRPr="007F6994">
        <w:t>20.</w:t>
      </w:r>
      <w:r w:rsidRPr="007F6994">
        <w:tab/>
        <w:t xml:space="preserve">Комитет принимает к сведению информацию государства-участника о запрете дискриминации в Конституции и законодательной базе, а также информацию о разработке проекта закона «О равенстве и недопущении дискриминации», который находится на рассмотрении парламента. Комитет обеспокоен: </w:t>
      </w:r>
    </w:p>
    <w:p w14:paraId="3B25955E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spacing w:val="-2"/>
        </w:rPr>
        <w:t>a)</w:t>
      </w:r>
      <w:r w:rsidRPr="007F6994">
        <w:rPr>
          <w:spacing w:val="-2"/>
        </w:rPr>
        <w:tab/>
        <w:t>отсутствием всеобъемлющего антидискриминационного законодательства</w:t>
      </w:r>
      <w:r w:rsidRPr="007F6994">
        <w:t xml:space="preserve"> и политических рамок; </w:t>
      </w:r>
    </w:p>
    <w:p w14:paraId="2BE00261" w14:textId="77777777" w:rsidR="007F6994" w:rsidRPr="007F6994" w:rsidRDefault="007F6994" w:rsidP="007F6994">
      <w:pPr>
        <w:pStyle w:val="SingleTxtG"/>
      </w:pPr>
      <w:r w:rsidRPr="007F6994">
        <w:tab/>
        <w:t>b)</w:t>
      </w:r>
      <w:r w:rsidRPr="007F6994">
        <w:tab/>
        <w:t>криминализацией сексуальных отношений между взрослыми мужчинами, действующими по обоюдному согласию, согласно статье 120 Уголовного кодекса, а также распространенностью случаев запугивания, преследования, насилия и стигматизации в отношении лесбиянок, геев, бисексуальных, трансгендерных и интерсекс-людей, что препятствует осуществлению ими экономических, социальных и культурных прав;</w:t>
      </w:r>
    </w:p>
    <w:p w14:paraId="4BC804CD" w14:textId="77777777" w:rsidR="007F6994" w:rsidRPr="007F6994" w:rsidRDefault="007F6994" w:rsidP="007F6994">
      <w:pPr>
        <w:pStyle w:val="SingleTxtG"/>
      </w:pPr>
      <w:r w:rsidRPr="007F6994">
        <w:tab/>
        <w:t>c)</w:t>
      </w:r>
      <w:r w:rsidRPr="007F6994">
        <w:tab/>
        <w:t>стигматизацией и дискриминацией, с которыми сталкиваются люди, живущие с ВИЧ/СПИДом, в области медицинского обслуживания, трудоустройства и семейных прав из-за дискриминационных положений в законодательной базе государства-участника (п. 2 ст. 2).</w:t>
      </w:r>
    </w:p>
    <w:p w14:paraId="536D03D7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21.</w:t>
      </w:r>
      <w:r w:rsidRPr="007F6994">
        <w:tab/>
      </w:r>
      <w:r w:rsidRPr="007F6994">
        <w:rPr>
          <w:b/>
          <w:bCs/>
        </w:rPr>
        <w:t>Комитет рекомендует государству-участнику:</w:t>
      </w:r>
      <w:r w:rsidRPr="007F6994">
        <w:t xml:space="preserve"> </w:t>
      </w:r>
    </w:p>
    <w:p w14:paraId="18392101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 xml:space="preserve">ускорить принятие проекта закона «О равенстве и недопущении дискриминации» и обеспечить, чтобы он гарантировал надлежащую защиту от </w:t>
      </w:r>
      <w:r w:rsidRPr="007F6994">
        <w:rPr>
          <w:b/>
          <w:bCs/>
        </w:rPr>
        <w:lastRenderedPageBreak/>
        <w:t>всех форм дискриминации для обеспечения равного доступа ко всем экономическим, социальным и культурным правам;</w:t>
      </w:r>
      <w:r w:rsidRPr="007F6994">
        <w:t xml:space="preserve"> </w:t>
      </w:r>
    </w:p>
    <w:p w14:paraId="62B3EB4B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отменить статью 120 Уголовного кодекса;</w:t>
      </w:r>
      <w:r w:rsidRPr="007F6994">
        <w:t xml:space="preserve"> </w:t>
      </w:r>
    </w:p>
    <w:p w14:paraId="2B568479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c)</w:t>
      </w:r>
      <w:r w:rsidRPr="007F6994">
        <w:rPr>
          <w:b/>
          <w:bCs/>
        </w:rPr>
        <w:tab/>
        <w:t>рассмотреть свою законодательную базу с целью устранения дискриминационных положений в отношении лиц с ВИЧ/СПИДом;</w:t>
      </w:r>
    </w:p>
    <w:p w14:paraId="3124E2D6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d)</w:t>
      </w:r>
      <w:r w:rsidRPr="007F6994">
        <w:rPr>
          <w:b/>
          <w:bCs/>
        </w:rPr>
        <w:tab/>
        <w:t>создать механизмы для обеспечения того, чтобы жертвы дискриминации могли добиваться возмещения ущерба, включая эффективные административные и судебные средства правовой защиты;</w:t>
      </w:r>
    </w:p>
    <w:p w14:paraId="6F1EED27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e)</w:t>
      </w:r>
      <w:r w:rsidRPr="007F6994">
        <w:rPr>
          <w:b/>
          <w:bCs/>
        </w:rPr>
        <w:tab/>
        <w:t>проводить информационно-просветительские кампании среди населения, медицинских работников, сотрудников правоохранительных органов и других государственных служащих с целью искоренения негативных стереотипов и стигматизации в отношении представителей маргинализированных групп, таких как люди, живущие с ВИЧ, а также лесбиянки, геи, бисексуальные, трансгендерные и интерсекс-люди;</w:t>
      </w:r>
    </w:p>
    <w:p w14:paraId="107CE0F7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f)</w:t>
      </w:r>
      <w:r w:rsidRPr="007F6994">
        <w:rPr>
          <w:b/>
          <w:bCs/>
        </w:rPr>
        <w:tab/>
        <w:t>рассмотреть его замечание общего порядка № 20 (2009) о недискриминации экономических, социальных и культурных прав.</w:t>
      </w:r>
    </w:p>
    <w:p w14:paraId="21CF1782" w14:textId="77777777" w:rsidR="007F6994" w:rsidRPr="007F6994" w:rsidRDefault="007F6994" w:rsidP="007F6994">
      <w:pPr>
        <w:pStyle w:val="H23G"/>
      </w:pPr>
      <w:r w:rsidRPr="007F6994">
        <w:tab/>
      </w:r>
      <w:r w:rsidRPr="007F6994">
        <w:tab/>
        <w:t>Беженцы и просители убежища</w:t>
      </w:r>
    </w:p>
    <w:p w14:paraId="20C59D69" w14:textId="77777777" w:rsidR="007F6994" w:rsidRPr="007F6994" w:rsidRDefault="007F6994" w:rsidP="007F6994">
      <w:pPr>
        <w:pStyle w:val="SingleTxtG"/>
      </w:pPr>
      <w:r w:rsidRPr="007F6994">
        <w:t>22.</w:t>
      </w:r>
      <w:r w:rsidRPr="007F6994">
        <w:tab/>
        <w:t xml:space="preserve">Комитет принимает к сведению принятие Закона «О правовом положении иностранных граждан и лиц без гражданства» (№ ЗРУ-692 от 4 июня 2021 года). Тем не менее Комитет обеспокоен отсутствием всеобъемлющей правовой и политической базы для беженцев и просителей убежища, что препятствует их доступу к экономическим и социальным правам (п. 2 ст. 2). </w:t>
      </w:r>
    </w:p>
    <w:p w14:paraId="58348E0C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23.</w:t>
      </w:r>
      <w:r w:rsidRPr="007F6994">
        <w:tab/>
      </w:r>
      <w:r w:rsidRPr="007F6994">
        <w:rPr>
          <w:b/>
          <w:bCs/>
        </w:rPr>
        <w:t>Комитет рекомендует государству-участнику создать национальную правовую и политическую базу в соответствии с международными стандартами для беженцев и просителей убежища, чтобы обеспечить их доступ к занятости, социальной помощи, образованию и медицинскому обслуживанию.</w:t>
      </w:r>
      <w:r w:rsidRPr="007F6994">
        <w:t xml:space="preserve"> </w:t>
      </w:r>
      <w:r w:rsidRPr="007F6994">
        <w:rPr>
          <w:b/>
          <w:bCs/>
        </w:rPr>
        <w:t>Он также рекомендует государству-участнику присоединиться к Конвенции 1951 года о статусе беженцев и Протоколу 1967 года, касающемуся статуса беженцев, а также к Конвенции 1954 года о статусе апатридов и Конвенции 1961 года о сокращении безгражданства.</w:t>
      </w:r>
    </w:p>
    <w:p w14:paraId="733A5872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Лица с инвалидностью </w:t>
      </w:r>
    </w:p>
    <w:p w14:paraId="205FF172" w14:textId="1FC05BDD" w:rsidR="007F6994" w:rsidRPr="007F6994" w:rsidRDefault="007F6994" w:rsidP="007F6994">
      <w:pPr>
        <w:pStyle w:val="SingleTxtG"/>
      </w:pPr>
      <w:r w:rsidRPr="007F6994">
        <w:t>24.</w:t>
      </w:r>
      <w:r w:rsidRPr="007F6994">
        <w:tab/>
        <w:t xml:space="preserve">Комитет принимает к сведению принятие Закона «О правах лиц с инвалидностью» (№ ЗРУ-641 от 15 октября 2020 года) и другие меры по поощрению прав лиц с инвалидностью. Однако Комитет обеспокоен тем, что лица с инвалидностью сталкиваются с препятствиями в доступе к экономическим, социальным и культурным правам из-за неэффективного предоставления разумного приспособления, особенно в школах, университетах и медицинских учреждениях </w:t>
      </w:r>
      <w:r w:rsidR="004E6915">
        <w:br/>
      </w:r>
      <w:r w:rsidRPr="007F6994">
        <w:t xml:space="preserve">(п. 2 ст. 2). </w:t>
      </w:r>
    </w:p>
    <w:p w14:paraId="1BBE68C6" w14:textId="77777777" w:rsidR="007F6994" w:rsidRPr="007F6994" w:rsidRDefault="007F6994" w:rsidP="007F6994">
      <w:pPr>
        <w:pStyle w:val="SingleTxtG"/>
      </w:pPr>
      <w:r w:rsidRPr="007F6994">
        <w:t>25.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принять меры по обеспечению лицам с инвалидностью доступа к государственным услугам и объектам, а также по обеспечению им доступа к занятости, медицинскому обслуживанию и социальным услугам.</w:t>
      </w:r>
      <w:r w:rsidRPr="007F6994">
        <w:t xml:space="preserve"> </w:t>
      </w:r>
      <w:r w:rsidRPr="007F6994">
        <w:rPr>
          <w:b/>
          <w:bCs/>
        </w:rPr>
        <w:t>Он также рекомендует активизировать усилия государства-участника по обеспечению инклюзивного образования на всех уровнях, в том числе путем улучшения физической доступности школ и университетов, предоставления надлежащих транспортных средств, оснащения учебных заведений адаптированными учебными материалами и обеспечения надлежащей подготовки учителей и педагогов.</w:t>
      </w:r>
    </w:p>
    <w:p w14:paraId="72C63CE8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Равенство прав мужчин и женщин </w:t>
      </w:r>
    </w:p>
    <w:p w14:paraId="3A1B8D56" w14:textId="77777777" w:rsidR="007F6994" w:rsidRPr="007F6994" w:rsidRDefault="007F6994" w:rsidP="007F6994">
      <w:pPr>
        <w:pStyle w:val="SingleTxtG"/>
      </w:pPr>
      <w:r w:rsidRPr="007F6994">
        <w:t>26.</w:t>
      </w:r>
      <w:r w:rsidRPr="007F6994">
        <w:tab/>
        <w:t xml:space="preserve">Комитет высоко оценивает правовые и политические меры, принятые с целью достижения гендерного равенства, в том числе Закон «О гарантиях равных прав и возможностей для женщин и мужчин» (№ ЗРУ-562 от 2 сентября 2019 года) и </w:t>
      </w:r>
      <w:r w:rsidRPr="007F6994">
        <w:lastRenderedPageBreak/>
        <w:t xml:space="preserve">национальную Стратегию достижения гендерного равенства. Вместе с тем Комитет по-прежнему обеспокоен сообщениями о том, что женщины зарабатывают меньше мужчин на рынке труда и сосредоточены в неформальном секторе, а также низким уровнем охвата женщин и девочек высшим и средним образованием. Он также обеспокоен низкой представленностью женщин на связанных с принятием решений и руководящих должностях (ст. 3). </w:t>
      </w:r>
    </w:p>
    <w:p w14:paraId="4E09FC3A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27.</w:t>
      </w:r>
      <w:r w:rsidRPr="007F6994">
        <w:tab/>
      </w:r>
      <w:r w:rsidRPr="007F6994">
        <w:rPr>
          <w:b/>
          <w:bCs/>
        </w:rPr>
        <w:t>Комитет рекомендует государству-участнику:</w:t>
      </w:r>
      <w:r w:rsidRPr="007F6994">
        <w:t xml:space="preserve"> </w:t>
      </w:r>
    </w:p>
    <w:p w14:paraId="701E0AB2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>создать механизмы для обеспечения эффективной реализации его законодательной и политической базы в области гендерного равенства и гарантировать полный доступ женщин и девочек к экономическим, социальным и культурным правам;</w:t>
      </w:r>
      <w:r w:rsidRPr="007F6994">
        <w:t xml:space="preserve"> </w:t>
      </w:r>
    </w:p>
    <w:p w14:paraId="4B8D2F65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принять меры по ликвидации гендерно-ролевых стереотипов и решению проблемы низкого охвата женщин средним и высшим образованием, в том числе путем проведения информационно-просветительских кампаний, ориентированных на широкую общественность, в частности с целью содействия участию женщин и девочек в экономике, на рынке труда, в образовании и других областях социальной и культурной жизни;</w:t>
      </w:r>
    </w:p>
    <w:p w14:paraId="026022B7" w14:textId="3190E748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c)</w:t>
      </w:r>
      <w:r w:rsidRPr="007F6994">
        <w:rPr>
          <w:b/>
          <w:bCs/>
        </w:rPr>
        <w:tab/>
        <w:t>активизировать свои усилия по сокращению гендерного разрыва в оплате труда, а также обеспечить профессиональную подготовку женщин и наращивание их потенциала в нетрадиционных сферах занятости и в областях, которые обеспечат им равные возможности для карьерного роста;</w:t>
      </w:r>
      <w:r w:rsidRPr="007F6994">
        <w:t xml:space="preserve"> </w:t>
      </w:r>
    </w:p>
    <w:p w14:paraId="3D2084F9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d)</w:t>
      </w:r>
      <w:r w:rsidRPr="007F6994">
        <w:rPr>
          <w:b/>
          <w:bCs/>
        </w:rPr>
        <w:tab/>
        <w:t>укрепить систему квот и принять меры для решения проблемы недостаточной представленности женщин на руководящих и связанных с принятием решений должностях, особенно на местном уровне.</w:t>
      </w:r>
    </w:p>
    <w:p w14:paraId="239A0AAB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Принудительный труд </w:t>
      </w:r>
    </w:p>
    <w:p w14:paraId="6798142A" w14:textId="77777777" w:rsidR="007F6994" w:rsidRPr="007F6994" w:rsidRDefault="007F6994" w:rsidP="007F6994">
      <w:pPr>
        <w:pStyle w:val="SingleTxtG"/>
      </w:pPr>
      <w:r w:rsidRPr="007F6994">
        <w:t>28.</w:t>
      </w:r>
      <w:r w:rsidRPr="007F6994">
        <w:tab/>
        <w:t xml:space="preserve">Комитет высоко оценивает усилия государства-участника, которые привели к сокращению масштабов принудительного труда, особенно детского. Вместе с тем Комитет обеспокоен сообщениями о том, что принудительный труд все еще существует в сезон сбора хлопка (ст. 6 и 7). </w:t>
      </w:r>
    </w:p>
    <w:p w14:paraId="504A8B7D" w14:textId="1F057F43" w:rsidR="007F6994" w:rsidRPr="007F6994" w:rsidRDefault="007F6994" w:rsidP="007F6994">
      <w:pPr>
        <w:pStyle w:val="SingleTxtG"/>
      </w:pPr>
      <w:r w:rsidRPr="007F6994">
        <w:t>29.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активизировать усилия по искоренению принудительного труда и остающихся форм детского труда, в том числе путем обеспечения эффективного применения существующих законов и политики, запрещающих принудительный труд, путем укрепления Государственной трудовой инспекции для обеспечения надлежащего расследования и судебного преследования таких случаев и путем обеспечения предоставления полного возмещения ущерба жертвам.</w:t>
      </w:r>
    </w:p>
    <w:p w14:paraId="56D61A64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Право на справедливые и благоприятные условия труда </w:t>
      </w:r>
    </w:p>
    <w:p w14:paraId="6EBF6251" w14:textId="77777777" w:rsidR="007F6994" w:rsidRPr="007F6994" w:rsidRDefault="007F6994" w:rsidP="007F6994">
      <w:pPr>
        <w:pStyle w:val="SingleTxtG"/>
      </w:pPr>
      <w:r w:rsidRPr="007F6994">
        <w:t>30.</w:t>
      </w:r>
      <w:r w:rsidRPr="007F6994">
        <w:tab/>
        <w:t xml:space="preserve">Комитет принимает к сведению информацию о ежегодном пересмотре размера минимальной заработной платы и ее увеличении за последние пять лет после проведения законодательной реформы. Однако Комитет обеспокоен тем, что минимальная заработная плата остается недостаточной для обеспечения удовлетворительного существования для трудящихся и их семей. Комитет сожалеет об отсутствии информации о критериях, используемых в процессе пересмотра размера минимальной заработной платы. Он также обеспокоен отсутствием информации о полномочиях Государственной трудовой инспекции по обеспечению соблюдения уровня минимальной заработной платы и проведению проверок в неформальном секторе экономики (ст. 7). </w:t>
      </w:r>
    </w:p>
    <w:p w14:paraId="3F2B9E29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31.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обеспечить участие социальных партнеров в ежегодном периодическом пересмотре минимальной заработной платы и индексировать ее с учетом стоимости жизни, с тем чтобы гарантировать трудящимся и их семьям достойный уровень жизни.</w:t>
      </w:r>
      <w:r w:rsidRPr="007F6994">
        <w:t xml:space="preserve"> </w:t>
      </w:r>
      <w:r w:rsidRPr="007F6994">
        <w:rPr>
          <w:b/>
          <w:bCs/>
        </w:rPr>
        <w:t xml:space="preserve">Он также рекомендует создать механизмы обеспечения выплаты минимальной заработной платы, особенно для неформального сектора, и обеспечить безопасные и </w:t>
      </w:r>
      <w:r w:rsidRPr="007F6994">
        <w:rPr>
          <w:b/>
          <w:bCs/>
        </w:rPr>
        <w:lastRenderedPageBreak/>
        <w:t>доступные каналы подачи жалоб.</w:t>
      </w:r>
      <w:r w:rsidRPr="007F6994">
        <w:t xml:space="preserve"> </w:t>
      </w:r>
      <w:r w:rsidRPr="007F6994">
        <w:rPr>
          <w:b/>
          <w:bCs/>
        </w:rPr>
        <w:t>Он рекомендует укрепить Государственную трудовую инспекцию с целью обеспечения соблюдения уровня минимальной заработной платы и проведения проверок в неформальном секторе экономики.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замечание общего порядка № 23 (2016) о праве на справедливые и благоприятные условия труда.</w:t>
      </w:r>
    </w:p>
    <w:p w14:paraId="075F518E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>Безработица среди молодежи</w:t>
      </w:r>
    </w:p>
    <w:p w14:paraId="6EC87313" w14:textId="77777777" w:rsidR="007F6994" w:rsidRPr="007F6994" w:rsidRDefault="007F6994" w:rsidP="007F6994">
      <w:pPr>
        <w:pStyle w:val="SingleTxtG"/>
      </w:pPr>
      <w:r w:rsidRPr="007F6994">
        <w:t>32.</w:t>
      </w:r>
      <w:r w:rsidRPr="007F6994">
        <w:tab/>
        <w:t xml:space="preserve">Комитет обеспокоен высокой долей молодых людей, особенно молодых женщин, которые не имеют работы, образования или профессиональной подготовки после получения среднего образования (ст. 3 и 6). </w:t>
      </w:r>
    </w:p>
    <w:p w14:paraId="1AF38C7A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33.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активизировать усилия по сокращению числа молодых людей, не имеющих работы, образования или профессиональной подготовки, в том числе путем расширения возможностей профессионально-технического обучения с учетом потребностей рынка труда, уделяя особое внимание женщинам.</w:t>
      </w:r>
    </w:p>
    <w:p w14:paraId="0C60DF71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>Профсоюзные права</w:t>
      </w:r>
    </w:p>
    <w:p w14:paraId="7B68B196" w14:textId="0142390E" w:rsidR="007F6994" w:rsidRPr="007F6994" w:rsidRDefault="007F6994" w:rsidP="007F6994">
      <w:pPr>
        <w:pStyle w:val="SingleTxtG"/>
      </w:pPr>
      <w:r w:rsidRPr="007F6994">
        <w:t>34.</w:t>
      </w:r>
      <w:r w:rsidRPr="007F6994">
        <w:tab/>
        <w:t>Комитет принимает к сведению информацию о принятии Закона «О</w:t>
      </w:r>
      <w:r w:rsidR="004E6915">
        <w:rPr>
          <w:lang w:val="en-US"/>
        </w:rPr>
        <w:t> </w:t>
      </w:r>
      <w:r w:rsidRPr="007F6994">
        <w:t xml:space="preserve">профессиональных союзах» (№ ЗРУ-588 от 6 декабря 2019 года). В то же время Комитет обеспокоен тем, что для регистрации профсоюзов требуется получить разрешение Министерства юстиции. Он также обеспокоен отсутствием роста числа зарегистрированных профсоюзов с 2016 года и низким уровнем участия работников государственного и частного секторов в профсоюзах (ст. 8). </w:t>
      </w:r>
    </w:p>
    <w:p w14:paraId="7A71C8E4" w14:textId="77777777" w:rsidR="007F6994" w:rsidRPr="007F6994" w:rsidRDefault="007F6994" w:rsidP="007F6994">
      <w:pPr>
        <w:pStyle w:val="SingleTxtG"/>
      </w:pPr>
      <w:r w:rsidRPr="007F6994">
        <w:t>35.</w:t>
      </w:r>
      <w:r w:rsidRPr="007F6994">
        <w:tab/>
      </w:r>
      <w:r w:rsidRPr="007F6994">
        <w:rPr>
          <w:b/>
          <w:bCs/>
        </w:rPr>
        <w:t>Комитет рекомендует государству-участнику усилить меры по обеспечению права работников на создание профсоюзов по своему выбору, отменив требование о получении предварительного разрешения Министерства юстиции и устранив административные препятствия для создания профсоюзов.</w:t>
      </w:r>
      <w:r w:rsidRPr="007F6994">
        <w:t xml:space="preserve"> </w:t>
      </w:r>
      <w:r w:rsidRPr="007F6994">
        <w:rPr>
          <w:b/>
          <w:bCs/>
        </w:rPr>
        <w:t>Он также рекомендует ускорить принятие проекта закона «О митингах, собраниях и демонстрациях» при эффективном и значимом участии профсоюзов и соответствующих заинтересованных сторон, гарантируя при этом, что профсоюзы могут осуществлять свои права и деятельность свободно и без необоснованных ограничений и запугивания.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замечание общего порядка № 18 (2005) о праве на труд и напоминает государству-участнику о своем совместном заявлении с Комитетом по правам человека о свободе ассоциации, включая право создавать профсоюзы и вступать в них</w:t>
      </w:r>
      <w:r w:rsidRPr="007F6994">
        <w:rPr>
          <w:sz w:val="18"/>
          <w:szCs w:val="18"/>
          <w:vertAlign w:val="superscript"/>
        </w:rPr>
        <w:footnoteReference w:id="8"/>
      </w:r>
      <w:r w:rsidRPr="007F6994">
        <w:rPr>
          <w:b/>
          <w:bCs/>
        </w:rPr>
        <w:t>, принятом в 2019 году.</w:t>
      </w:r>
    </w:p>
    <w:p w14:paraId="7A34C757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Право на забастовку </w:t>
      </w:r>
    </w:p>
    <w:p w14:paraId="55D03FD4" w14:textId="77777777" w:rsidR="007F6994" w:rsidRPr="007F6994" w:rsidRDefault="007F6994" w:rsidP="007F6994">
      <w:pPr>
        <w:pStyle w:val="SingleTxtG"/>
      </w:pPr>
      <w:r w:rsidRPr="007F6994">
        <w:t>36.</w:t>
      </w:r>
      <w:r w:rsidRPr="007F6994">
        <w:tab/>
        <w:t>Комитет обеспокоен отсутствием нормативной базы по праву на забастовку в государстве-участнике (ст. 8).</w:t>
      </w:r>
    </w:p>
    <w:p w14:paraId="312D7F29" w14:textId="77777777" w:rsidR="007F6994" w:rsidRPr="007F6994" w:rsidRDefault="007F6994" w:rsidP="007F6994">
      <w:pPr>
        <w:pStyle w:val="SingleTxtG"/>
      </w:pPr>
      <w:r w:rsidRPr="007F6994">
        <w:t>37.</w:t>
      </w:r>
      <w:r w:rsidRPr="007F6994">
        <w:tab/>
      </w:r>
      <w:r w:rsidRPr="007F6994">
        <w:rPr>
          <w:b/>
          <w:bCs/>
        </w:rPr>
        <w:t>Комитет рекомендует государству-участнику ускорить принятие поправок к Трудовому кодексу и обеспечить введение права на забастовку в соответствии с международными стандартами.</w:t>
      </w:r>
    </w:p>
    <w:p w14:paraId="397404E3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>Право на социальное обеспечение</w:t>
      </w:r>
    </w:p>
    <w:p w14:paraId="32EC4CC3" w14:textId="77777777" w:rsidR="007F6994" w:rsidRPr="007F6994" w:rsidRDefault="007F6994" w:rsidP="007F6994">
      <w:pPr>
        <w:pStyle w:val="SingleTxtG"/>
      </w:pPr>
      <w:r w:rsidRPr="007F6994">
        <w:t>38.</w:t>
      </w:r>
      <w:r w:rsidRPr="007F6994">
        <w:tab/>
        <w:t xml:space="preserve">Комитет принимает к сведению информацию государства-участника о принятии Национальной стратегии социальной защиты населения (2021–2030 годы) и реализации первого этапа внедрения системы обязательного медицинского страхования. Вместе с тем Комитет обеспокоен отсутствием координации между государственными органами в отношении различных мер социальной защиты, а также недостаточным уровнем социальных пособий и их недоступностью для всех соответствующих групп населения (ст. 9 и 12). </w:t>
      </w:r>
    </w:p>
    <w:p w14:paraId="2E499594" w14:textId="649373FF" w:rsidR="007F6994" w:rsidRPr="007F6994" w:rsidRDefault="007F6994" w:rsidP="007F6994">
      <w:pPr>
        <w:pStyle w:val="SingleTxtG"/>
      </w:pPr>
      <w:r w:rsidRPr="007F6994">
        <w:lastRenderedPageBreak/>
        <w:t>39.</w:t>
      </w:r>
      <w:r w:rsidRPr="007F6994">
        <w:tab/>
      </w:r>
      <w:r w:rsidRPr="007F6994">
        <w:rPr>
          <w:b/>
          <w:bCs/>
        </w:rPr>
        <w:t>Комитет рекомендует государству-участнику эффективно осуществлять свою Национальную стратегию социальной защиты населения, в том числе путем создания четкого координационного и административного механизма, с целью охвата всех слоев населения, особенно занятых в неформальном секторе, и ускорить внедрение системы обязательного медицинского страхования.</w:t>
      </w:r>
      <w:r w:rsidRPr="007F6994">
        <w:t xml:space="preserve"> </w:t>
      </w:r>
      <w:r w:rsidRPr="007F6994">
        <w:rPr>
          <w:b/>
          <w:bCs/>
        </w:rPr>
        <w:t>Он также рекомендует обеспечить надлежащий уровень пособий по социальной защите для лиц с инвалидностью, пожилых людей, рома/люли, беженцев и просителей убежища и проводить периодические перерасчеты социальных пособий.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замечание общего порядка № 19 (2007) о праве на социальное обеспечение и на свое принятое в 2015 году заявление под названием «Минимальные уровни социальной защиты: важнейшая составляющая права на социальное обеспечение и целей в области устойчивого развития»</w:t>
      </w:r>
      <w:r w:rsidRPr="007F6994">
        <w:rPr>
          <w:sz w:val="18"/>
          <w:szCs w:val="18"/>
          <w:vertAlign w:val="superscript"/>
        </w:rPr>
        <w:footnoteReference w:id="9"/>
      </w:r>
      <w:r w:rsidRPr="007F6994">
        <w:rPr>
          <w:b/>
          <w:bCs/>
        </w:rPr>
        <w:t>.</w:t>
      </w:r>
      <w:r w:rsidRPr="007F6994">
        <w:t xml:space="preserve"> </w:t>
      </w:r>
    </w:p>
    <w:p w14:paraId="57FC2635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>Защита семьи и детей</w:t>
      </w:r>
    </w:p>
    <w:p w14:paraId="7F52981E" w14:textId="2E38DF2D" w:rsidR="007F6994" w:rsidRPr="007F6994" w:rsidRDefault="007F6994" w:rsidP="007F6994">
      <w:pPr>
        <w:pStyle w:val="SingleTxtG"/>
      </w:pPr>
      <w:r w:rsidRPr="007F6994">
        <w:t>40.</w:t>
      </w:r>
      <w:r w:rsidRPr="007F6994">
        <w:tab/>
        <w:t>Комитет принимает к сведению информацию государства-участника о подготовке проекта закона о бытовом насилии и проекта закона «О социальной защите детей-сирот и детей, оставшихся без попечения родителей», а также о реализации политики деинституционализации детей. Вместе с тем Комитет обеспокоен недостаточным уровнем поддержки детей на базе семьи и альтернативного ухода, особенно детей, принадлежащих к находящимся в неблагоприятном положении и маргинализированным группам населения. Комитет также обеспокоен отсутствием систематического сбора данных о положении детей, принадлежащих к находящимся в неблагоприятном положении и маргинализированным группам населения (ст. 9 и 10).</w:t>
      </w:r>
    </w:p>
    <w:p w14:paraId="1EA2A113" w14:textId="56D68801" w:rsidR="007F6994" w:rsidRPr="007F6994" w:rsidRDefault="007F6994" w:rsidP="007F6994">
      <w:pPr>
        <w:pStyle w:val="SingleTxtG"/>
      </w:pPr>
      <w:r w:rsidRPr="007F6994">
        <w:t>41.</w:t>
      </w:r>
      <w:r w:rsidRPr="007F6994">
        <w:tab/>
      </w:r>
      <w:r w:rsidRPr="007F6994">
        <w:rPr>
          <w:b/>
          <w:bCs/>
        </w:rPr>
        <w:t>Комитет рекомендует государству-участнику:</w:t>
      </w:r>
      <w:r w:rsidRPr="007F6994">
        <w:t xml:space="preserve"> </w:t>
      </w:r>
    </w:p>
    <w:p w14:paraId="600A1836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>ускорить принятие проекта закона о бытовом насилии с целью введения уголовной ответственности за все формы бытового насилия, включая изнасилование в браке, и обеспечить его эффективное применение в целях защиты всех жертв, привлечения виновных к ответственности и недопущения безнаказанности;</w:t>
      </w:r>
      <w:r w:rsidRPr="007F6994">
        <w:t xml:space="preserve"> </w:t>
      </w:r>
    </w:p>
    <w:p w14:paraId="7E4FC64D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ускорить принятие проекта закона «О социальной защите детей-сирот и детей, оставшихся без попечения родителей» и активизировать усилия по укреплению поддержки детей на базе семьи и альтернативного ухода, особенно детей с инвалидностью, обеспечивая при этом эффективную реализацию политики деинституционализации;</w:t>
      </w:r>
      <w:r w:rsidRPr="007F6994">
        <w:t xml:space="preserve"> </w:t>
      </w:r>
    </w:p>
    <w:p w14:paraId="55776D62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c)</w:t>
      </w:r>
      <w:r w:rsidRPr="007F6994">
        <w:rPr>
          <w:b/>
          <w:bCs/>
        </w:rPr>
        <w:tab/>
        <w:t>обеспечить систематический сбор статистических данных о детях, принадлежащих к находящимся в неблагоприятном положении и маргинализированным группам населения.</w:t>
      </w:r>
      <w:r w:rsidRPr="007F6994">
        <w:t xml:space="preserve"> </w:t>
      </w:r>
    </w:p>
    <w:p w14:paraId="61AC3AB7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Принудительные выселения </w:t>
      </w:r>
    </w:p>
    <w:p w14:paraId="275570D3" w14:textId="77777777" w:rsidR="007F6994" w:rsidRPr="007F6994" w:rsidRDefault="007F6994" w:rsidP="007F6994">
      <w:pPr>
        <w:pStyle w:val="SingleTxtG"/>
      </w:pPr>
      <w:r w:rsidRPr="007F6994">
        <w:t>42.</w:t>
      </w:r>
      <w:r w:rsidRPr="007F6994">
        <w:tab/>
        <w:t xml:space="preserve">Комитет принимает к сведению предоставленную государством-участником информацию о принятых мерах, касающихся лишения имущества и земли. Вместе с тем Комитет выражает сожаление по поводу сообщений об экспроприации имущества, сносе домов и принудительном выселении в связи с проектами городского развития. Он также обеспокоен сообщениями о несоблюдении национальной правовой базы в отношении лишения имущества, особенно об отсутствии предварительных консультаций с затрагиваемыми жителями и отсутствии или недостаточности компенсации и альтернативного жилья (ст. 11). </w:t>
      </w:r>
    </w:p>
    <w:p w14:paraId="13D6092D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43.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принять правовые и политические меры к тому, чтобы:</w:t>
      </w:r>
      <w:r w:rsidRPr="007F6994">
        <w:t xml:space="preserve"> </w:t>
      </w:r>
    </w:p>
    <w:p w14:paraId="152AB182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lastRenderedPageBreak/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>обеспечить осуществление выселения только в качестве крайней меры и в соответствии с законом и положениями международных пактов о правах человека;</w:t>
      </w:r>
      <w:r w:rsidRPr="007F6994">
        <w:t xml:space="preserve"> </w:t>
      </w:r>
    </w:p>
    <w:p w14:paraId="21E87782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в тех случаях, когда выселение все же происходит, обеспечить соблюдение процедурных мер защиты и гарантий, таких как проведение подлинных консультаций, обеспечение адекватного и разумного уведомления, обеспечение доступности альтернативного жилья в разумные сроки, а также предоставление средств правовой защиты;</w:t>
      </w:r>
      <w:r w:rsidRPr="007F6994">
        <w:t xml:space="preserve"> </w:t>
      </w:r>
    </w:p>
    <w:p w14:paraId="6E3D814D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c)</w:t>
      </w:r>
      <w:r w:rsidRPr="007F6994">
        <w:rPr>
          <w:b/>
          <w:bCs/>
        </w:rPr>
        <w:tab/>
        <w:t>обеспечить наличие и доступность недорогой юридической помощи для пострадавших жителей;</w:t>
      </w:r>
      <w:r w:rsidRPr="007F6994">
        <w:t xml:space="preserve"> </w:t>
      </w:r>
    </w:p>
    <w:p w14:paraId="48966753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d)</w:t>
      </w:r>
      <w:r w:rsidRPr="007F6994">
        <w:rPr>
          <w:b/>
          <w:bCs/>
        </w:rPr>
        <w:tab/>
        <w:t>предотвратить бездомность в случаях выселения путем обеспечения наличия достаточного альтернативного жилища;</w:t>
      </w:r>
    </w:p>
    <w:p w14:paraId="4D06BAD6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e)</w:t>
      </w:r>
      <w:r w:rsidRPr="007F6994">
        <w:rPr>
          <w:b/>
          <w:bCs/>
        </w:rPr>
        <w:tab/>
        <w:t>рассмотреть его замечание общего порядка № 7 (1997) о принудительных выселениях.</w:t>
      </w:r>
    </w:p>
    <w:p w14:paraId="163A7BDC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Право на достаточное жилище </w:t>
      </w:r>
    </w:p>
    <w:p w14:paraId="5CAE71C6" w14:textId="77777777" w:rsidR="007F6994" w:rsidRPr="007F6994" w:rsidRDefault="007F6994" w:rsidP="007F6994">
      <w:pPr>
        <w:pStyle w:val="SingleTxtG"/>
      </w:pPr>
      <w:r w:rsidRPr="007F6994">
        <w:t>44.</w:t>
      </w:r>
      <w:r w:rsidRPr="007F6994">
        <w:tab/>
        <w:t xml:space="preserve">Комитет принимает к сведению информацию о программах доступного жилья, осуществляемых государством-участником. Однако Комитет обеспокоен недостаточным количеством социального жилья, особенно для лиц, принадлежащих к находящимся в неблагоприятном положении и маргинализированным группам населения, а также отсутствием информации о положении жителей, пострадавших в результате прорыва плотины Сардобинского водохранилища в мае 2020 года (ст. 11). </w:t>
      </w:r>
    </w:p>
    <w:p w14:paraId="2B4FA461" w14:textId="7F2C7337" w:rsidR="007F6994" w:rsidRPr="007F6994" w:rsidRDefault="007F6994" w:rsidP="007F6994">
      <w:pPr>
        <w:pStyle w:val="SingleTxtG"/>
        <w:rPr>
          <w:b/>
          <w:bCs/>
        </w:rPr>
      </w:pPr>
      <w:r w:rsidRPr="007F6994">
        <w:t>45.</w:t>
      </w:r>
      <w:r w:rsidRPr="007F6994">
        <w:tab/>
      </w:r>
      <w:r w:rsidRPr="007F6994">
        <w:rPr>
          <w:b/>
          <w:bCs/>
        </w:rPr>
        <w:t>Ссылаясь на свое замечание общего порядка № 4 (1991) о праве на достаточное жилище, Комитет рекомендует государству-участнику активизировать усилия по предоставлению доступного и социального жилья, в том числе жителям Сардобинского района, потерявшим свои дома в результате наводнения в мае 2020 года, лицам с инвалидностью, люли/рома, беженцам, лицам без гражданства и просителям убежища.</w:t>
      </w:r>
      <w:r w:rsidRPr="007F6994">
        <w:t xml:space="preserve"> </w:t>
      </w:r>
    </w:p>
    <w:p w14:paraId="2961E2D9" w14:textId="674CF18D" w:rsidR="007F6994" w:rsidRPr="007F6994" w:rsidRDefault="007F6994" w:rsidP="004E6915">
      <w:pPr>
        <w:pStyle w:val="H23G"/>
      </w:pPr>
      <w:r w:rsidRPr="007F6994">
        <w:tab/>
      </w:r>
      <w:r w:rsidRPr="007F6994">
        <w:tab/>
        <w:t>Право на питание</w:t>
      </w:r>
    </w:p>
    <w:p w14:paraId="2B486EDB" w14:textId="77777777" w:rsidR="007F6994" w:rsidRPr="007F6994" w:rsidRDefault="007F6994" w:rsidP="007F6994">
      <w:pPr>
        <w:pStyle w:val="SingleTxtG"/>
      </w:pPr>
      <w:r w:rsidRPr="007F6994">
        <w:t>46.</w:t>
      </w:r>
      <w:r w:rsidRPr="007F6994">
        <w:tab/>
        <w:t xml:space="preserve">Комитет обеспокоен отсутствием всеобъемлющей законодательной базы по праву на питание. Он также обеспокоен отсутствием продовольственной безопасности и состоянием питания населения государства-участника (ст. 11). </w:t>
      </w:r>
    </w:p>
    <w:p w14:paraId="14D1A11A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47.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принять всеобъемлющую законодательную базу, гарантирующую право на достаточное питание, и активизировать усилия по борьбе с голодом и хроническим недоеданием, особенно для групп населения, находящихся в неблагоприятном положении.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замечание общего порядка № 12 (1999) о праве на достаточное питание и на Добровольные руководящие принципы в поддержку постепенного осуществления права на достаточное питание в контексте национальной продовольственной безопасности, принятые Советом Продовольственной и сельскохозяйственной организации Объединенных Наций в 2004 году.</w:t>
      </w:r>
      <w:r w:rsidRPr="007F6994">
        <w:t xml:space="preserve"> </w:t>
      </w:r>
    </w:p>
    <w:p w14:paraId="491E183E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>Право на здоровье</w:t>
      </w:r>
    </w:p>
    <w:p w14:paraId="2294EC66" w14:textId="77777777" w:rsidR="007F6994" w:rsidRPr="007F6994" w:rsidRDefault="007F6994" w:rsidP="007F6994">
      <w:pPr>
        <w:pStyle w:val="SingleTxtG"/>
      </w:pPr>
      <w:r w:rsidRPr="007F6994">
        <w:t>48.</w:t>
      </w:r>
      <w:r w:rsidRPr="007F6994">
        <w:tab/>
        <w:t xml:space="preserve">Комитет принимает к сведению информацию о подготовке проекта закона об охране здоровья. Тем не менее Комитет обеспокоен сообщениями о ненадлежащем качестве услуг, предоставляемых в государственном секторе здравоохранения, ограниченной доступности услуг в сельских и отдаленных районах и распространенности коррупции в секторе здравоохранения. Комитет особенно обеспокоен сообщениями о высоком уровне материнской смертности и высоком уровне младенческой смертности (ст. 12). </w:t>
      </w:r>
    </w:p>
    <w:p w14:paraId="463DD1C8" w14:textId="77777777" w:rsidR="007F6994" w:rsidRPr="007F6994" w:rsidRDefault="007F6994" w:rsidP="004E6915">
      <w:pPr>
        <w:pStyle w:val="SingleTxtG"/>
        <w:keepNext/>
      </w:pPr>
      <w:r w:rsidRPr="007F6994">
        <w:lastRenderedPageBreak/>
        <w:t>49.</w:t>
      </w:r>
      <w:r w:rsidRPr="007F6994">
        <w:tab/>
      </w:r>
      <w:r w:rsidRPr="007F6994">
        <w:rPr>
          <w:b/>
          <w:bCs/>
        </w:rPr>
        <w:t>Комитет рекомендует государству-участнику:</w:t>
      </w:r>
      <w:r w:rsidRPr="007F6994">
        <w:t xml:space="preserve"> </w:t>
      </w:r>
    </w:p>
    <w:p w14:paraId="4CA5BF7F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>активизировать усилия по укреплению и развитию государственной системы здравоохранения, в том числе путем выделения достаточных людских и финансовых ресурсов и принятия мер по борьбе с коррупцией, для обеспечения наличия и доступности качественных медицинских услуг, в частности в сельских и отдаленных районах и для лиц, принадлежащих к маргинализированным группам населения;</w:t>
      </w:r>
      <w:r w:rsidRPr="007F6994">
        <w:t xml:space="preserve"> </w:t>
      </w:r>
    </w:p>
    <w:p w14:paraId="0DB03CD0" w14:textId="77777777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укрепить усилия по снижению уровней материнской и младенческой смертности путем улучшения стандартов ухода за женщинами в период беременности и родов в учреждениях первичной медико-санитарной помощи.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замечание общего порядка № 22 (2016) о праве на сексуальное и репродуктивное здоровье.</w:t>
      </w:r>
      <w:r w:rsidRPr="007F6994">
        <w:t xml:space="preserve"> </w:t>
      </w:r>
    </w:p>
    <w:p w14:paraId="3D19AA97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>Психическое здоровье</w:t>
      </w:r>
    </w:p>
    <w:p w14:paraId="1CB23115" w14:textId="7262A365" w:rsidR="007F6994" w:rsidRPr="007F6994" w:rsidRDefault="007F6994" w:rsidP="007F6994">
      <w:pPr>
        <w:pStyle w:val="SingleTxtG"/>
      </w:pPr>
      <w:r w:rsidRPr="007F6994">
        <w:t>50.</w:t>
      </w:r>
      <w:r w:rsidRPr="007F6994">
        <w:tab/>
        <w:t xml:space="preserve">Комитет принимает к сведению информацию государства-участника о мерах, принятых для улучшения системы охраны психического здоровья. Вместе с тем Комитет обеспокоен ненадлежащим уровнем услуг в области психического здоровья из-за недостаточного количества учреждений и профессиональных врачей-психиатров. Он также обеспокоен высоким уровнем самоубийств и высоким уровнем членовредительства среди населения (ст. 12). </w:t>
      </w:r>
    </w:p>
    <w:p w14:paraId="7B11BE61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51.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принять меры по увеличению наличия и доступности качественных услуг в области психического здоровья на всей территории государства-участника.</w:t>
      </w:r>
      <w:r w:rsidRPr="007F6994">
        <w:t xml:space="preserve"> </w:t>
      </w:r>
      <w:r w:rsidRPr="007F6994">
        <w:rPr>
          <w:b/>
          <w:bCs/>
        </w:rPr>
        <w:t>Он также рекомендует активизировать усилия государства-участника по изучению и устранению коренных причин высокой распространенности самоубийств и обеспечить для отдельных лиц и групп населения, подверженных риску совершения самоубийства, эффективные программы профилактики и оказания поддержки.</w:t>
      </w:r>
    </w:p>
    <w:p w14:paraId="72C18193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Употребление наркотиков </w:t>
      </w:r>
    </w:p>
    <w:p w14:paraId="0494EBCD" w14:textId="77777777" w:rsidR="007F6994" w:rsidRPr="007F6994" w:rsidRDefault="007F6994" w:rsidP="007F6994">
      <w:pPr>
        <w:pStyle w:val="SingleTxtG"/>
      </w:pPr>
      <w:r w:rsidRPr="007F6994">
        <w:t>52.</w:t>
      </w:r>
      <w:r w:rsidRPr="007F6994">
        <w:tab/>
        <w:t xml:space="preserve">Комитет обеспокоен репрессивными законами и политикой по решению проблемы употребления наркотиков, которые препятствуют доступу потребителей наркотиков к занятости и не позволяют потребителям наркотиков, опасающимся привлечения к уголовной ответственности, получить доступ к необходимому лечению или программам снижения вреда. Комитет также сожалеет, что опиоидная заместительная терапия недоступна в государстве-участнике (ст. 12). </w:t>
      </w:r>
    </w:p>
    <w:p w14:paraId="6026D3A3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53.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провести обзор своей законодательной базы, чтобы обеспечить применение правозащитного подхода к проблеме употребления наркотиков, отменив обязательную регистрацию потребителей наркотиков, и рассмотреть возможность отмены уголовной ответственности за хранение наркотических средств для личного потребления.</w:t>
      </w:r>
      <w:r w:rsidRPr="007F6994">
        <w:t xml:space="preserve"> </w:t>
      </w:r>
      <w:r w:rsidRPr="007F6994">
        <w:rPr>
          <w:b/>
          <w:bCs/>
        </w:rPr>
        <w:t>Он также рекомендует государству-участнику разработать политику по профилактике злоупотребления наркотиками, укрепить программы снижения вреда и предоставлять потребителям наркотиков надлежащее медицинское обслуживание, психологическую поддержку и услуги по реабилитации, в том числе путем возобновления заместительной терапии при лечении опиоидной зависимости.</w:t>
      </w:r>
      <w:r w:rsidRPr="007F6994">
        <w:t xml:space="preserve"> </w:t>
      </w:r>
      <w:r w:rsidRPr="007F6994">
        <w:rPr>
          <w:b/>
          <w:bCs/>
        </w:rPr>
        <w:t>Государству-участнику следует также принять необходимые меры для борьбы с социальной стигматизацией потребителей наркотиков путем подготовки сотрудников правоохранительных органов и медицинских работников и повышения информированности общественности, особенно о праве потребителей наркотиков на здоровье.</w:t>
      </w:r>
      <w:r w:rsidRPr="007F6994">
        <w:t xml:space="preserve"> </w:t>
      </w:r>
    </w:p>
    <w:p w14:paraId="4C920EF2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Право на образование </w:t>
      </w:r>
    </w:p>
    <w:p w14:paraId="1A5447FD" w14:textId="77777777" w:rsidR="007F6994" w:rsidRPr="007F6994" w:rsidRDefault="007F6994" w:rsidP="007F6994">
      <w:pPr>
        <w:pStyle w:val="SingleTxtG"/>
      </w:pPr>
      <w:r w:rsidRPr="007F6994">
        <w:t>54.</w:t>
      </w:r>
      <w:r w:rsidRPr="007F6994">
        <w:tab/>
        <w:t xml:space="preserve">Комитет принимает к сведению меры, принятые в целях улучшения доступа к образованию, включая расширение охвата дошкольным образованием, и продолжающиеся усилия по повышению качества образования. Вместе с тем Комитет обеспокоен сообщениями о недоступности и недостаточной доступности учебных </w:t>
      </w:r>
      <w:r w:rsidRPr="007F6994">
        <w:lastRenderedPageBreak/>
        <w:t xml:space="preserve">заведений для лиц с инвалидностью. Комитет обеспокоен низким уровнем охвата образованием детей рома/люли (ст. 13 и 14). </w:t>
      </w:r>
    </w:p>
    <w:p w14:paraId="2E5A61DE" w14:textId="77777777" w:rsidR="007F6994" w:rsidRPr="007F6994" w:rsidRDefault="007F6994" w:rsidP="007F6994">
      <w:pPr>
        <w:pStyle w:val="SingleTxtG"/>
      </w:pPr>
      <w:r w:rsidRPr="007F6994">
        <w:t>55.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наращивать усилия по обеспечению всеобщего доступа к качественному образованию на всех уровнях, в том числе путем:</w:t>
      </w:r>
    </w:p>
    <w:p w14:paraId="5C695AE3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ab/>
      </w:r>
      <w:r w:rsidRPr="007F6994">
        <w:rPr>
          <w:b/>
          <w:bCs/>
        </w:rPr>
        <w:t>a)</w:t>
      </w:r>
      <w:r w:rsidRPr="007F6994">
        <w:rPr>
          <w:b/>
          <w:bCs/>
        </w:rPr>
        <w:tab/>
        <w:t>усиления мер по улучшению качества образования посредством выделения достаточных ресурсов на сектор образования, увеличения числа квалифицированных преподавателей и повышения качества учебных материалов;</w:t>
      </w:r>
      <w:r w:rsidRPr="007F6994">
        <w:t xml:space="preserve"> </w:t>
      </w:r>
    </w:p>
    <w:p w14:paraId="50D09D1E" w14:textId="4D235446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b)</w:t>
      </w:r>
      <w:r w:rsidRPr="007F6994">
        <w:rPr>
          <w:b/>
          <w:bCs/>
        </w:rPr>
        <w:tab/>
        <w:t>совершенствования инфраструктуры системы образования в целях обеспечения доступности всех школ и университетов для лиц с инвалидностью и достижения инклюзивного образования;</w:t>
      </w:r>
      <w:r w:rsidRPr="007F6994">
        <w:t xml:space="preserve"> </w:t>
      </w:r>
    </w:p>
    <w:p w14:paraId="6E285BE4" w14:textId="5F64E190" w:rsidR="007F6994" w:rsidRPr="007F6994" w:rsidRDefault="007F6994" w:rsidP="007F6994">
      <w:pPr>
        <w:pStyle w:val="SingleTxtG"/>
      </w:pPr>
      <w:r w:rsidRPr="007F6994">
        <w:tab/>
      </w:r>
      <w:r w:rsidRPr="007F6994">
        <w:rPr>
          <w:b/>
          <w:bCs/>
        </w:rPr>
        <w:t>c)</w:t>
      </w:r>
      <w:r w:rsidRPr="007F6994">
        <w:rPr>
          <w:b/>
          <w:bCs/>
        </w:rPr>
        <w:tab/>
        <w:t>принятия эффективных мер для улучшения доступа к образованию детей рома/люли и их удержания в школе, а также для повышения показателей окончания средней школы.</w:t>
      </w:r>
    </w:p>
    <w:p w14:paraId="1D5A2B6C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 xml:space="preserve">Культурные права </w:t>
      </w:r>
    </w:p>
    <w:p w14:paraId="27408FCC" w14:textId="77777777" w:rsidR="007F6994" w:rsidRPr="007F6994" w:rsidRDefault="007F6994" w:rsidP="007F6994">
      <w:pPr>
        <w:pStyle w:val="SingleTxtG"/>
      </w:pPr>
      <w:r w:rsidRPr="007F6994">
        <w:t>56.</w:t>
      </w:r>
      <w:r w:rsidRPr="007F6994">
        <w:tab/>
        <w:t xml:space="preserve">Комитет принимает к сведению информацию о принятии мер по усилению охраны объектов культурного наследия. Однако Комитет обеспокоен сообщениями о сносе домов и сооружений в кварталах, расположенных вблизи объектов всемирного культурного наследия Организации Объединенных Наций по вопросам образования, науки и культуры (ЮНЕСКО), в связи с проектами городского развития (ст. 15). </w:t>
      </w:r>
    </w:p>
    <w:p w14:paraId="72D95C79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57.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обеспечить, чтобы управление объектами всемирного культурного наследия и их развитие соответствовали передовой практике, рекомендованной Организацией Объединенных Наций по вопросам образования, науки и культуры (ЮНЕСКО) и Международным советом по охране памятников и исторических мест, в том числе на основе всестороннего участия местных общин с целью обеспечения их благополучия и при полной гарантии осуществления их культурных прав.</w:t>
      </w:r>
      <w:r w:rsidRPr="007F6994">
        <w:t xml:space="preserve"> </w:t>
      </w:r>
    </w:p>
    <w:p w14:paraId="17BD8638" w14:textId="77777777" w:rsidR="007F6994" w:rsidRPr="007F6994" w:rsidRDefault="007F6994" w:rsidP="004E6915">
      <w:pPr>
        <w:pStyle w:val="H23G"/>
      </w:pPr>
      <w:r w:rsidRPr="007F6994">
        <w:tab/>
      </w:r>
      <w:r w:rsidRPr="007F6994">
        <w:tab/>
        <w:t>Цифровой разрыв</w:t>
      </w:r>
    </w:p>
    <w:p w14:paraId="5CD2DA59" w14:textId="77777777" w:rsidR="007F6994" w:rsidRPr="007F6994" w:rsidRDefault="007F6994" w:rsidP="007F6994">
      <w:pPr>
        <w:pStyle w:val="SingleTxtG"/>
      </w:pPr>
      <w:r w:rsidRPr="007F6994">
        <w:t>58.</w:t>
      </w:r>
      <w:r w:rsidRPr="007F6994">
        <w:tab/>
        <w:t>Комитет с озабоченностью отмечает ограниченность доступа к Интернету, особенно для маргинализированных и находящихся в неблагоприятном положении групп населения, что препятствует их доступу к экономическим, социальным и культурным правам, особенно в связи с пандемией коронавирусного заболевания (COVID-19) (ст. 15).</w:t>
      </w:r>
    </w:p>
    <w:p w14:paraId="200F7787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59.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принять меры по обеспечению доступного и недорогого Интернета, особенно для маргинализированных и находящихся в неблагоприятном положении групп населения.</w:t>
      </w:r>
      <w:r w:rsidRPr="007F6994">
        <w:t xml:space="preserve"> </w:t>
      </w:r>
      <w:r w:rsidRPr="007F6994">
        <w:rPr>
          <w:b/>
          <w:bCs/>
        </w:rPr>
        <w:t>Комитет обращает внимание государства-участника на свое замечание общего порядка № 25 (2020) о науке и экономических, социальных и культурных правах.</w:t>
      </w:r>
    </w:p>
    <w:p w14:paraId="0C693ECD" w14:textId="77777777" w:rsidR="007F6994" w:rsidRPr="007F6994" w:rsidRDefault="007F6994" w:rsidP="004E6915">
      <w:pPr>
        <w:pStyle w:val="H1G"/>
      </w:pPr>
      <w:r w:rsidRPr="007F6994">
        <w:tab/>
        <w:t>D.</w:t>
      </w:r>
      <w:r w:rsidRPr="007F6994">
        <w:tab/>
        <w:t xml:space="preserve">Другие рекомендации </w:t>
      </w:r>
    </w:p>
    <w:p w14:paraId="3C9B0043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60.</w:t>
      </w:r>
      <w:r w:rsidRPr="007F6994">
        <w:tab/>
      </w:r>
      <w:r w:rsidRPr="007F6994">
        <w:rPr>
          <w:b/>
          <w:bCs/>
        </w:rPr>
        <w:t>Комитет призывает государство-участник присоединиться к Факультативному протоколу к Международному пакту об экономических, социальных и культурных правах.</w:t>
      </w:r>
    </w:p>
    <w:p w14:paraId="2165D040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>61.</w:t>
      </w:r>
      <w:r w:rsidRPr="007F6994">
        <w:tab/>
      </w:r>
      <w:r w:rsidRPr="007F6994">
        <w:rPr>
          <w:b/>
          <w:bCs/>
        </w:rPr>
        <w:t>Комитет рекомендует государству-участнику рассмотреть вопрос о ратификации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исчезновений.</w:t>
      </w:r>
      <w:r w:rsidRPr="007F6994">
        <w:t xml:space="preserve"> </w:t>
      </w:r>
    </w:p>
    <w:p w14:paraId="59F2ECC8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lastRenderedPageBreak/>
        <w:t>62.</w:t>
      </w:r>
      <w:r w:rsidRPr="007F6994">
        <w:tab/>
      </w:r>
      <w:r w:rsidRPr="007F6994"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в том числе в рамках восстановления после пандемии COVID-19.</w:t>
      </w:r>
      <w:r w:rsidRPr="007F6994">
        <w:t xml:space="preserve"> </w:t>
      </w:r>
      <w:r w:rsidRPr="007F6994">
        <w:rPr>
          <w:b/>
          <w:bCs/>
        </w:rPr>
        <w:t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 w:rsidRPr="007F6994">
        <w:t xml:space="preserve"> </w:t>
      </w:r>
      <w:r w:rsidRPr="007F6994">
        <w:rPr>
          <w:b/>
          <w:bCs/>
        </w:rPr>
        <w:t>Кроме того, Комитет рекомендует государству-участнику поддержать глобальное обязательство десятилетия действий по достижению Целей в области устойчивого развития.</w:t>
      </w:r>
      <w:r w:rsidRPr="007F6994">
        <w:t xml:space="preserve"> </w:t>
      </w:r>
      <w:r w:rsidRPr="007F6994"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был забыт.</w:t>
      </w:r>
      <w:r w:rsidRPr="007F6994">
        <w:t xml:space="preserve"> </w:t>
      </w:r>
      <w:r w:rsidRPr="007F6994"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забыть.</w:t>
      </w:r>
    </w:p>
    <w:p w14:paraId="5772A413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 xml:space="preserve">63. </w:t>
      </w:r>
      <w:r w:rsidRPr="007F6994">
        <w:tab/>
      </w:r>
      <w:r w:rsidRPr="007F6994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общества, в том числе в Республике Каракалпакстан и на областном уровне,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шагах, предпринятых для их осуществления.</w:t>
      </w:r>
      <w:r w:rsidRPr="007F6994">
        <w:t xml:space="preserve"> </w:t>
      </w:r>
      <w:r w:rsidRPr="007F6994">
        <w:rPr>
          <w:b/>
          <w:bCs/>
        </w:rPr>
        <w:t>Комитет призывает государство-участник вовлечь в последующую работу в связи с настоящими заключительными замечаниями и в процесс консультаций на национальном уровне перед представлением своего следующего периодического доклада неправительственные организации и других членов гражданского общества.</w:t>
      </w:r>
      <w:r w:rsidRPr="007F6994">
        <w:t xml:space="preserve"> </w:t>
      </w:r>
    </w:p>
    <w:p w14:paraId="640D4A90" w14:textId="77777777" w:rsidR="007F6994" w:rsidRPr="007F6994" w:rsidRDefault="007F6994" w:rsidP="007F6994">
      <w:pPr>
        <w:pStyle w:val="SingleTxtG"/>
        <w:rPr>
          <w:b/>
          <w:bCs/>
        </w:rPr>
      </w:pPr>
      <w:r w:rsidRPr="007F6994">
        <w:t xml:space="preserve">64. </w:t>
      </w:r>
      <w:r w:rsidRPr="007F6994">
        <w:tab/>
      </w:r>
      <w:r w:rsidRPr="007F6994"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содержащихся в пунктах 13 (коррупция), 21 (недискриминация) и 33 (безработица среди молодежи) выше.</w:t>
      </w:r>
      <w:r w:rsidRPr="007F6994">
        <w:t xml:space="preserve"> </w:t>
      </w:r>
    </w:p>
    <w:p w14:paraId="3858843B" w14:textId="19F349D7" w:rsidR="00381C24" w:rsidRDefault="007F6994" w:rsidP="007F6994">
      <w:pPr>
        <w:pStyle w:val="SingleTxtG"/>
      </w:pPr>
      <w:r w:rsidRPr="007F6994">
        <w:t>65.</w:t>
      </w:r>
      <w:r w:rsidRPr="007F6994">
        <w:tab/>
      </w:r>
      <w:r w:rsidRPr="007F6994">
        <w:rPr>
          <w:b/>
          <w:bCs/>
        </w:rPr>
        <w:t>Комитет просит государство-участник представить свой четвертый периодический доклад в соответствии со статьей 16 Пакта к 31 марта 2027 года, если в результате изменения цикла обзора не поступит иного уведомления.</w:t>
      </w:r>
      <w:r w:rsidRPr="007F6994">
        <w:t xml:space="preserve"> </w:t>
      </w:r>
      <w:r w:rsidRPr="007F6994">
        <w:rPr>
          <w:b/>
          <w:bCs/>
        </w:rPr>
        <w:t>В</w:t>
      </w:r>
      <w:r w:rsidR="004E6915">
        <w:rPr>
          <w:b/>
          <w:bCs/>
          <w:lang w:val="en-US"/>
        </w:rPr>
        <w:t> </w:t>
      </w:r>
      <w:r w:rsidRPr="007F6994">
        <w:rPr>
          <w:b/>
          <w:bCs/>
        </w:rPr>
        <w:t>соответствии с резолюцией 68/268 Генеральной Ассамблеи объем доклада не должен превышать 21 200 слов.</w:t>
      </w:r>
    </w:p>
    <w:p w14:paraId="50DD8644" w14:textId="0C2E62F2" w:rsidR="007F6994" w:rsidRPr="007F6994" w:rsidRDefault="007F6994" w:rsidP="007F69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6994" w:rsidRPr="007F6994" w:rsidSect="007F69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4C4B" w14:textId="77777777" w:rsidR="00213FFC" w:rsidRPr="00A312BC" w:rsidRDefault="00213FFC" w:rsidP="00A312BC"/>
  </w:endnote>
  <w:endnote w:type="continuationSeparator" w:id="0">
    <w:p w14:paraId="2657B3B9" w14:textId="77777777" w:rsidR="00213FFC" w:rsidRPr="00A312BC" w:rsidRDefault="00213F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2AF9" w14:textId="284FF460" w:rsidR="007F6994" w:rsidRPr="007F6994" w:rsidRDefault="007F6994">
    <w:pPr>
      <w:pStyle w:val="aa"/>
    </w:pPr>
    <w:r w:rsidRPr="007F6994">
      <w:rPr>
        <w:b/>
        <w:sz w:val="18"/>
      </w:rPr>
      <w:fldChar w:fldCharType="begin"/>
    </w:r>
    <w:r w:rsidRPr="007F6994">
      <w:rPr>
        <w:b/>
        <w:sz w:val="18"/>
      </w:rPr>
      <w:instrText xml:space="preserve"> PAGE  \* MERGEFORMAT </w:instrText>
    </w:r>
    <w:r w:rsidRPr="007F6994">
      <w:rPr>
        <w:b/>
        <w:sz w:val="18"/>
      </w:rPr>
      <w:fldChar w:fldCharType="separate"/>
    </w:r>
    <w:r w:rsidRPr="007F6994">
      <w:rPr>
        <w:b/>
        <w:noProof/>
        <w:sz w:val="18"/>
      </w:rPr>
      <w:t>2</w:t>
    </w:r>
    <w:r w:rsidRPr="007F6994">
      <w:rPr>
        <w:b/>
        <w:sz w:val="18"/>
      </w:rPr>
      <w:fldChar w:fldCharType="end"/>
    </w:r>
    <w:r>
      <w:rPr>
        <w:b/>
        <w:sz w:val="18"/>
      </w:rPr>
      <w:tab/>
    </w:r>
    <w:r>
      <w:t>GE.22-04767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B8F7" w14:textId="798FD01B" w:rsidR="007F6994" w:rsidRPr="007F6994" w:rsidRDefault="007F6994" w:rsidP="007F6994">
    <w:pPr>
      <w:pStyle w:val="aa"/>
      <w:tabs>
        <w:tab w:val="clear" w:pos="9639"/>
        <w:tab w:val="right" w:pos="9638"/>
      </w:tabs>
      <w:rPr>
        <w:b/>
        <w:sz w:val="18"/>
      </w:rPr>
    </w:pPr>
    <w:r>
      <w:t>GE.22-04767</w:t>
    </w:r>
    <w:r>
      <w:tab/>
    </w:r>
    <w:r w:rsidRPr="007F6994">
      <w:rPr>
        <w:b/>
        <w:sz w:val="18"/>
      </w:rPr>
      <w:fldChar w:fldCharType="begin"/>
    </w:r>
    <w:r w:rsidRPr="007F6994">
      <w:rPr>
        <w:b/>
        <w:sz w:val="18"/>
      </w:rPr>
      <w:instrText xml:space="preserve"> PAGE  \* MERGEFORMAT </w:instrText>
    </w:r>
    <w:r w:rsidRPr="007F6994">
      <w:rPr>
        <w:b/>
        <w:sz w:val="18"/>
      </w:rPr>
      <w:fldChar w:fldCharType="separate"/>
    </w:r>
    <w:r w:rsidRPr="007F6994">
      <w:rPr>
        <w:b/>
        <w:noProof/>
        <w:sz w:val="18"/>
      </w:rPr>
      <w:t>3</w:t>
    </w:r>
    <w:r w:rsidRPr="007F69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F597" w14:textId="2BB7C9FB" w:rsidR="00042B72" w:rsidRPr="004D1FAE" w:rsidRDefault="007F6994" w:rsidP="007F699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BEB9A1" wp14:editId="73515A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22-04767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AC2246" wp14:editId="6AF931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E">
      <w:rPr>
        <w:lang w:val="en-US"/>
      </w:rPr>
      <w:t xml:space="preserve">  030522  090522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8D51" w14:textId="77777777" w:rsidR="00213FFC" w:rsidRPr="001075E9" w:rsidRDefault="00213F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CD36BB" w14:textId="77777777" w:rsidR="00213FFC" w:rsidRDefault="00213F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44767B" w14:textId="0AD22835" w:rsidR="007F6994" w:rsidRPr="00C94798" w:rsidRDefault="007F6994" w:rsidP="007F6994">
      <w:pPr>
        <w:pStyle w:val="af"/>
      </w:pPr>
      <w:r>
        <w:tab/>
      </w:r>
      <w:r w:rsidRPr="007F6994">
        <w:rPr>
          <w:sz w:val="20"/>
          <w:szCs w:val="22"/>
        </w:rPr>
        <w:t>*</w:t>
      </w:r>
      <w:r>
        <w:tab/>
        <w:t>Приняты Комитетом на его семьдесят первой сессии (14 февраля — 4 марта 2022 года).</w:t>
      </w:r>
    </w:p>
  </w:footnote>
  <w:footnote w:id="2">
    <w:p w14:paraId="088207A8" w14:textId="7BE8A57F" w:rsidR="007F6994" w:rsidRPr="007F6994" w:rsidRDefault="007F6994" w:rsidP="007F6994">
      <w:pPr>
        <w:pStyle w:val="af"/>
        <w:rPr>
          <w:lang w:val="de-CH"/>
        </w:rPr>
      </w:pPr>
      <w:r w:rsidRPr="00411C22">
        <w:tab/>
      </w:r>
      <w:r w:rsidRPr="004D6DC8">
        <w:rPr>
          <w:rStyle w:val="a8"/>
        </w:rPr>
        <w:footnoteRef/>
      </w:r>
      <w:r w:rsidRPr="007F6994">
        <w:rPr>
          <w:lang w:val="de-CH"/>
        </w:rPr>
        <w:tab/>
      </w:r>
      <w:hyperlink r:id="rId1" w:history="1">
        <w:r w:rsidRPr="00A94341">
          <w:rPr>
            <w:rStyle w:val="a7"/>
            <w:lang w:val="de-CH"/>
          </w:rPr>
          <w:t>E/C.12/UZB/3</w:t>
        </w:r>
      </w:hyperlink>
      <w:r w:rsidRPr="007F6994">
        <w:rPr>
          <w:lang w:val="de-CH"/>
        </w:rPr>
        <w:t>.</w:t>
      </w:r>
    </w:p>
  </w:footnote>
  <w:footnote w:id="3">
    <w:p w14:paraId="7F6C69A1" w14:textId="6BA9FF35" w:rsidR="007F6994" w:rsidRPr="007F6994" w:rsidRDefault="007F6994" w:rsidP="007F6994">
      <w:pPr>
        <w:pStyle w:val="af"/>
        <w:rPr>
          <w:lang w:val="de-CH"/>
        </w:rPr>
      </w:pPr>
      <w:r w:rsidRPr="007F6994">
        <w:rPr>
          <w:lang w:val="de-CH"/>
        </w:rPr>
        <w:tab/>
      </w:r>
      <w:r w:rsidRPr="004D6DC8">
        <w:rPr>
          <w:rStyle w:val="a8"/>
        </w:rPr>
        <w:footnoteRef/>
      </w:r>
      <w:r w:rsidRPr="007F6994">
        <w:rPr>
          <w:lang w:val="de-CH"/>
        </w:rPr>
        <w:t xml:space="preserve"> </w:t>
      </w:r>
      <w:r w:rsidRPr="007F6994">
        <w:rPr>
          <w:lang w:val="de-CH"/>
        </w:rPr>
        <w:tab/>
      </w:r>
      <w:r>
        <w:t>См</w:t>
      </w:r>
      <w:r w:rsidRPr="007F6994">
        <w:rPr>
          <w:lang w:val="de-CH"/>
        </w:rPr>
        <w:t xml:space="preserve">. </w:t>
      </w:r>
      <w:hyperlink r:id="rId2" w:history="1">
        <w:r w:rsidRPr="00A94341">
          <w:rPr>
            <w:rStyle w:val="a7"/>
            <w:lang w:val="de-CH"/>
          </w:rPr>
          <w:t>E/C.12/2022/SR.13</w:t>
        </w:r>
      </w:hyperlink>
      <w:r w:rsidRPr="007F6994">
        <w:rPr>
          <w:lang w:val="de-CH"/>
        </w:rPr>
        <w:t xml:space="preserve">, </w:t>
      </w:r>
      <w:hyperlink r:id="rId3" w:history="1">
        <w:r w:rsidRPr="00A94341">
          <w:rPr>
            <w:rStyle w:val="a7"/>
            <w:lang w:val="de-CH"/>
          </w:rPr>
          <w:t>E/C.12/2022/SR.15</w:t>
        </w:r>
      </w:hyperlink>
      <w:r w:rsidRPr="007F6994">
        <w:rPr>
          <w:lang w:val="de-CH"/>
        </w:rPr>
        <w:t xml:space="preserve"> </w:t>
      </w:r>
      <w:r>
        <w:t>и</w:t>
      </w:r>
      <w:r w:rsidRPr="007F6994">
        <w:rPr>
          <w:lang w:val="de-CH"/>
        </w:rPr>
        <w:t xml:space="preserve"> </w:t>
      </w:r>
      <w:hyperlink r:id="rId4" w:history="1">
        <w:r w:rsidRPr="00A94341">
          <w:rPr>
            <w:rStyle w:val="a7"/>
            <w:lang w:val="de-CH"/>
          </w:rPr>
          <w:t>E/C.12/2022/SR.17</w:t>
        </w:r>
      </w:hyperlink>
      <w:r w:rsidRPr="007F6994">
        <w:rPr>
          <w:lang w:val="de-CH"/>
        </w:rPr>
        <w:t>.</w:t>
      </w:r>
    </w:p>
  </w:footnote>
  <w:footnote w:id="4">
    <w:p w14:paraId="7D1D4F21" w14:textId="4E8A2496" w:rsidR="007F6994" w:rsidRPr="007F6994" w:rsidRDefault="007F6994" w:rsidP="007F6994">
      <w:pPr>
        <w:pStyle w:val="af"/>
        <w:rPr>
          <w:lang w:val="de-CH"/>
        </w:rPr>
      </w:pPr>
      <w:r w:rsidRPr="007F6994">
        <w:rPr>
          <w:lang w:val="de-CH"/>
        </w:rPr>
        <w:tab/>
      </w:r>
      <w:r w:rsidRPr="004D6DC8">
        <w:rPr>
          <w:rStyle w:val="a8"/>
        </w:rPr>
        <w:footnoteRef/>
      </w:r>
      <w:r w:rsidRPr="007F6994">
        <w:rPr>
          <w:lang w:val="de-CH"/>
        </w:rPr>
        <w:t xml:space="preserve"> </w:t>
      </w:r>
      <w:r w:rsidRPr="007F6994">
        <w:rPr>
          <w:lang w:val="de-CH"/>
        </w:rPr>
        <w:tab/>
      </w:r>
      <w:hyperlink r:id="rId5" w:history="1">
        <w:r w:rsidRPr="00A94341">
          <w:rPr>
            <w:rStyle w:val="a7"/>
            <w:lang w:val="de-CH"/>
          </w:rPr>
          <w:t>E/C.12/UZB/RQ/3</w:t>
        </w:r>
      </w:hyperlink>
      <w:r w:rsidRPr="007F6994">
        <w:rPr>
          <w:lang w:val="de-CH"/>
        </w:rPr>
        <w:t>.</w:t>
      </w:r>
    </w:p>
  </w:footnote>
  <w:footnote w:id="5">
    <w:p w14:paraId="687198C0" w14:textId="29004F62" w:rsidR="007F6994" w:rsidRPr="007F6994" w:rsidRDefault="007F6994" w:rsidP="007F6994">
      <w:pPr>
        <w:pStyle w:val="af"/>
        <w:rPr>
          <w:lang w:val="de-CH"/>
        </w:rPr>
      </w:pPr>
      <w:r w:rsidRPr="007F6994">
        <w:rPr>
          <w:lang w:val="de-CH"/>
        </w:rPr>
        <w:tab/>
      </w:r>
      <w:r w:rsidRPr="004D6DC8">
        <w:rPr>
          <w:rStyle w:val="a8"/>
        </w:rPr>
        <w:footnoteRef/>
      </w:r>
      <w:r w:rsidRPr="007F6994">
        <w:rPr>
          <w:lang w:val="de-CH"/>
        </w:rPr>
        <w:tab/>
      </w:r>
      <w:hyperlink r:id="rId6" w:history="1">
        <w:r w:rsidRPr="00A94341">
          <w:rPr>
            <w:rStyle w:val="a7"/>
            <w:lang w:val="de-CH"/>
          </w:rPr>
          <w:t>E/C.12/2016/2</w:t>
        </w:r>
      </w:hyperlink>
      <w:r w:rsidRPr="007F6994">
        <w:rPr>
          <w:lang w:val="de-CH"/>
        </w:rPr>
        <w:t>.</w:t>
      </w:r>
    </w:p>
  </w:footnote>
  <w:footnote w:id="6">
    <w:p w14:paraId="68FDF003" w14:textId="717565D7" w:rsidR="007F6994" w:rsidRPr="007F6994" w:rsidRDefault="007F6994" w:rsidP="007F6994">
      <w:pPr>
        <w:pStyle w:val="af"/>
        <w:rPr>
          <w:lang w:val="de-CH"/>
        </w:rPr>
      </w:pPr>
      <w:r w:rsidRPr="007F6994">
        <w:rPr>
          <w:lang w:val="de-CH"/>
        </w:rPr>
        <w:tab/>
      </w:r>
      <w:r w:rsidRPr="004D6DC8">
        <w:rPr>
          <w:rStyle w:val="a8"/>
        </w:rPr>
        <w:footnoteRef/>
      </w:r>
      <w:r w:rsidRPr="007F6994">
        <w:rPr>
          <w:lang w:val="de-CH"/>
        </w:rPr>
        <w:tab/>
      </w:r>
      <w:hyperlink r:id="rId7" w:history="1">
        <w:r w:rsidRPr="00A94341">
          <w:rPr>
            <w:rStyle w:val="a7"/>
            <w:lang w:val="de-CH"/>
          </w:rPr>
          <w:t>E/C.12/2018/1</w:t>
        </w:r>
      </w:hyperlink>
      <w:r w:rsidRPr="007F6994">
        <w:rPr>
          <w:lang w:val="de-CH"/>
        </w:rPr>
        <w:t>.</w:t>
      </w:r>
    </w:p>
  </w:footnote>
  <w:footnote w:id="7">
    <w:p w14:paraId="70EDA35D" w14:textId="0BE5C0CF" w:rsidR="007F6994" w:rsidRPr="007F6994" w:rsidRDefault="007F6994" w:rsidP="007F6994">
      <w:pPr>
        <w:pStyle w:val="af"/>
        <w:rPr>
          <w:lang w:val="de-CH"/>
        </w:rPr>
      </w:pPr>
      <w:r w:rsidRPr="007F6994">
        <w:rPr>
          <w:lang w:val="de-CH"/>
        </w:rPr>
        <w:tab/>
      </w:r>
      <w:r w:rsidRPr="004D6DC8">
        <w:rPr>
          <w:rStyle w:val="a8"/>
        </w:rPr>
        <w:footnoteRef/>
      </w:r>
      <w:r w:rsidRPr="007F6994">
        <w:rPr>
          <w:lang w:val="de-CH"/>
        </w:rPr>
        <w:tab/>
      </w:r>
      <w:hyperlink r:id="rId8" w:history="1">
        <w:r w:rsidRPr="00A94341">
          <w:rPr>
            <w:rStyle w:val="a7"/>
            <w:lang w:val="de-CH"/>
          </w:rPr>
          <w:t>HRI/2019/1</w:t>
        </w:r>
      </w:hyperlink>
      <w:r w:rsidRPr="007F6994">
        <w:rPr>
          <w:lang w:val="de-CH"/>
        </w:rPr>
        <w:t>.</w:t>
      </w:r>
    </w:p>
  </w:footnote>
  <w:footnote w:id="8">
    <w:p w14:paraId="67A125C9" w14:textId="34480D5E" w:rsidR="007F6994" w:rsidRPr="00C94798" w:rsidRDefault="007F6994" w:rsidP="007F6994">
      <w:pPr>
        <w:pStyle w:val="af"/>
        <w:rPr>
          <w:lang w:val="fr-CH"/>
        </w:rPr>
      </w:pPr>
      <w:r w:rsidRPr="007F6994">
        <w:rPr>
          <w:lang w:val="de-CH"/>
        </w:rPr>
        <w:tab/>
      </w:r>
      <w:r w:rsidRPr="004D6DC8">
        <w:rPr>
          <w:rStyle w:val="a8"/>
        </w:rPr>
        <w:footnoteRef/>
      </w:r>
      <w:r w:rsidRPr="00C94798">
        <w:rPr>
          <w:lang w:val="fr-CH"/>
        </w:rPr>
        <w:tab/>
      </w:r>
      <w:hyperlink r:id="rId9" w:history="1">
        <w:r w:rsidRPr="00A94341">
          <w:rPr>
            <w:rStyle w:val="a7"/>
            <w:lang w:val="fr-CH"/>
          </w:rPr>
          <w:t>E/C.12/66/5-CCPR/C/127/4</w:t>
        </w:r>
      </w:hyperlink>
      <w:r w:rsidRPr="00C94798">
        <w:rPr>
          <w:lang w:val="fr-CH"/>
        </w:rPr>
        <w:t>.</w:t>
      </w:r>
    </w:p>
  </w:footnote>
  <w:footnote w:id="9">
    <w:p w14:paraId="2C338BBA" w14:textId="48A19497" w:rsidR="007F6994" w:rsidRPr="004C4C9D" w:rsidRDefault="007F6994" w:rsidP="007F6994">
      <w:pPr>
        <w:pStyle w:val="af"/>
      </w:pPr>
      <w:r w:rsidRPr="00C94798">
        <w:rPr>
          <w:lang w:val="fr-CH"/>
        </w:rPr>
        <w:tab/>
      </w:r>
      <w:r w:rsidRPr="004D6DC8">
        <w:rPr>
          <w:rStyle w:val="a8"/>
        </w:rPr>
        <w:footnoteRef/>
      </w:r>
      <w:r>
        <w:tab/>
      </w:r>
      <w:hyperlink r:id="rId10" w:history="1">
        <w:r w:rsidRPr="00A94341">
          <w:rPr>
            <w:rStyle w:val="a7"/>
          </w:rPr>
          <w:t>E/C.12/2015/1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7DB2" w14:textId="35025A38" w:rsidR="007F6994" w:rsidRPr="007F6994" w:rsidRDefault="00B009B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E/C.12/UZB/CO/3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DDA5" w14:textId="167E7876" w:rsidR="007F6994" w:rsidRPr="007F6994" w:rsidRDefault="00B009B8" w:rsidP="007F699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E/C.12/UZB/CO/3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FC"/>
    <w:rsid w:val="00033EE1"/>
    <w:rsid w:val="00042B72"/>
    <w:rsid w:val="00043B08"/>
    <w:rsid w:val="000558BD"/>
    <w:rsid w:val="000857D2"/>
    <w:rsid w:val="000B57E7"/>
    <w:rsid w:val="000B6373"/>
    <w:rsid w:val="000C7E6A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F7B13"/>
    <w:rsid w:val="00203065"/>
    <w:rsid w:val="00213FFC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D1FAE"/>
    <w:rsid w:val="004E6915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6994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94341"/>
    <w:rsid w:val="00AB2DBD"/>
    <w:rsid w:val="00AB4B51"/>
    <w:rsid w:val="00AC3430"/>
    <w:rsid w:val="00B009B8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01F96"/>
    <w:rsid w:val="00E42796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C045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278B2"/>
  <w15:docId w15:val="{C357DCD1-EE7D-40C4-966F-C78B654B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A9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HRC/44/47/Add.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HRI/2019/1" TargetMode="External"/><Relationship Id="rId3" Type="http://schemas.openxmlformats.org/officeDocument/2006/relationships/hyperlink" Target="https://documents-dds-ny.un.org/doc/UNDOC/GEN/G22/265/62/pdf/G2226562.pdf?OpenElement" TargetMode="External"/><Relationship Id="rId7" Type="http://schemas.openxmlformats.org/officeDocument/2006/relationships/hyperlink" Target="http://undocs.org/ru/E/C.12/2018/1" TargetMode="External"/><Relationship Id="rId2" Type="http://schemas.openxmlformats.org/officeDocument/2006/relationships/hyperlink" Target="https://documents-dds-ny.un.org/doc/UNDOC/GEN/G22/264/57/pdf/G2226457.pdf?OpenElement" TargetMode="External"/><Relationship Id="rId1" Type="http://schemas.openxmlformats.org/officeDocument/2006/relationships/hyperlink" Target="http://undocs.org/ru/E/C.12/UZB/3" TargetMode="External"/><Relationship Id="rId6" Type="http://schemas.openxmlformats.org/officeDocument/2006/relationships/hyperlink" Target="http://undocs.org/ru/E/C.12/2016/2" TargetMode="External"/><Relationship Id="rId5" Type="http://schemas.openxmlformats.org/officeDocument/2006/relationships/hyperlink" Target="http://undocs.org/ru/E/C.12/UZB/RQ/3" TargetMode="External"/><Relationship Id="rId10" Type="http://schemas.openxmlformats.org/officeDocument/2006/relationships/hyperlink" Target="http://undocs.org/ru/E/C.12/2015/1" TargetMode="External"/><Relationship Id="rId4" Type="http://schemas.openxmlformats.org/officeDocument/2006/relationships/hyperlink" Target="https://documents-dds-ny.un.org/doc/UNDOC/GEN/G22/266/73/pdf/G2226673.pdf?OpenElement" TargetMode="External"/><Relationship Id="rId9" Type="http://schemas.openxmlformats.org/officeDocument/2006/relationships/hyperlink" Target="http://undocs.org/ru/E/C.12/66/5-CCPR/C/127/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5</TotalTime>
  <Pages>12</Pages>
  <Words>4379</Words>
  <Characters>31364</Characters>
  <Application>Microsoft Office Word</Application>
  <DocSecurity>0</DocSecurity>
  <Lines>575</Lines>
  <Paragraphs>140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E/C.12/UZB/CO/3</vt:lpstr>
      <vt:lpstr>A/</vt:lpstr>
      <vt:lpstr>A/</vt:lpstr>
    </vt:vector>
  </TitlesOfParts>
  <Company>DCM</Company>
  <LinksUpToDate>false</LinksUpToDate>
  <CharactersWithSpaces>35779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E/C.12/UZB/CO/3</dc:title>
  <dc:subject/>
  <dc:creator>Anna PETELINA</dc:creator>
  <cp:keywords/>
  <cp:lastModifiedBy>Ioulia Goussarova</cp:lastModifiedBy>
  <cp:revision>3</cp:revision>
  <cp:lastPrinted>2022-05-09T14:53:00Z</cp:lastPrinted>
  <dcterms:created xsi:type="dcterms:W3CDTF">2022-05-09T14:53:00Z</dcterms:created>
  <dcterms:modified xsi:type="dcterms:W3CDTF">2022-05-09T14:53:00Z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