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F16A235" w14:textId="77777777" w:rsidTr="00EE2AFF">
        <w:trPr>
          <w:trHeight w:hRule="exact" w:val="851"/>
        </w:trPr>
        <w:tc>
          <w:tcPr>
            <w:tcW w:w="1274" w:type="dxa"/>
            <w:tcBorders>
              <w:bottom w:val="single" w:sz="4" w:space="0" w:color="auto"/>
            </w:tcBorders>
          </w:tcPr>
          <w:p w14:paraId="6A110390" w14:textId="77777777" w:rsidR="006B3E27" w:rsidRPr="00E9504D" w:rsidRDefault="006B3E27" w:rsidP="009C2027">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29C2AC6A"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2C5D3713" w14:textId="5E8B313B" w:rsidR="006B3E27" w:rsidRPr="008A550E" w:rsidRDefault="008A550E" w:rsidP="008A550E">
            <w:pPr>
              <w:bidi w:val="0"/>
              <w:jc w:val="left"/>
            </w:pPr>
            <w:r w:rsidRPr="00BA0473">
              <w:rPr>
                <w:sz w:val="40"/>
              </w:rPr>
              <w:t>E</w:t>
            </w:r>
            <w:r w:rsidRPr="00BA0473">
              <w:t>/C.12/UZB/CO/3</w:t>
            </w:r>
          </w:p>
        </w:tc>
      </w:tr>
      <w:tr w:rsidR="006B3E27" w:rsidRPr="00BA0473" w14:paraId="7BC0E9EF" w14:textId="77777777" w:rsidTr="00EE2AFF">
        <w:trPr>
          <w:trHeight w:hRule="exact" w:val="2835"/>
        </w:trPr>
        <w:tc>
          <w:tcPr>
            <w:tcW w:w="1274" w:type="dxa"/>
            <w:tcBorders>
              <w:top w:val="single" w:sz="4" w:space="0" w:color="auto"/>
              <w:bottom w:val="single" w:sz="12" w:space="0" w:color="auto"/>
            </w:tcBorders>
          </w:tcPr>
          <w:p w14:paraId="7259779C" w14:textId="77777777" w:rsidR="006B3E27" w:rsidRPr="00ED7442" w:rsidRDefault="0059622A" w:rsidP="00EE2AFF">
            <w:pPr>
              <w:jc w:val="center"/>
              <w:rPr>
                <w:sz w:val="56"/>
                <w:szCs w:val="56"/>
                <w:rtl/>
              </w:rPr>
            </w:pPr>
            <w:r w:rsidRPr="00ED7442">
              <w:rPr>
                <w:noProof/>
                <w:sz w:val="56"/>
                <w:szCs w:val="56"/>
              </w:rPr>
              <w:drawing>
                <wp:inline distT="0" distB="0" distL="0" distR="0" wp14:anchorId="2504620E" wp14:editId="34327B2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6D4E89E4"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46240DE2" w14:textId="71905E25" w:rsidR="006B3E27" w:rsidRPr="00BA0473" w:rsidRDefault="008A550E" w:rsidP="00EE2AFF">
            <w:pPr>
              <w:bidi w:val="0"/>
              <w:spacing w:before="240"/>
              <w:jc w:val="left"/>
            </w:pPr>
            <w:r w:rsidRPr="00BA0473">
              <w:t xml:space="preserve">Distr.: </w:t>
            </w:r>
            <w:r w:rsidR="00A9151E" w:rsidRPr="00BA0473">
              <w:t>General</w:t>
            </w:r>
          </w:p>
          <w:p w14:paraId="4C23CBC4" w14:textId="2BBD646C" w:rsidR="008A550E" w:rsidRPr="00BA0473" w:rsidRDefault="00A9151E" w:rsidP="008A550E">
            <w:pPr>
              <w:bidi w:val="0"/>
              <w:spacing w:line="240" w:lineRule="exact"/>
              <w:jc w:val="left"/>
            </w:pPr>
            <w:r w:rsidRPr="00BA0473">
              <w:t>31 March 2022</w:t>
            </w:r>
          </w:p>
          <w:p w14:paraId="565B498C" w14:textId="77777777" w:rsidR="008A550E" w:rsidRPr="00BA0473" w:rsidRDefault="008A550E" w:rsidP="008A550E">
            <w:pPr>
              <w:bidi w:val="0"/>
              <w:spacing w:line="240" w:lineRule="exact"/>
              <w:jc w:val="left"/>
            </w:pPr>
            <w:r w:rsidRPr="00BA0473">
              <w:t>Arabic</w:t>
            </w:r>
          </w:p>
          <w:p w14:paraId="790CD128" w14:textId="40A24B24" w:rsidR="008A550E" w:rsidRPr="00BA0473" w:rsidRDefault="008A550E" w:rsidP="008A550E">
            <w:pPr>
              <w:bidi w:val="0"/>
              <w:spacing w:line="240" w:lineRule="exact"/>
              <w:jc w:val="left"/>
            </w:pPr>
            <w:r w:rsidRPr="00BA0473">
              <w:t xml:space="preserve">Original: </w:t>
            </w:r>
            <w:r w:rsidR="00A9151E" w:rsidRPr="00BA0473">
              <w:t>English</w:t>
            </w:r>
          </w:p>
        </w:tc>
      </w:tr>
    </w:tbl>
    <w:p w14:paraId="73DA5DAD" w14:textId="77777777" w:rsidR="002A6E22" w:rsidRPr="003B49E0" w:rsidRDefault="002A6E22" w:rsidP="003B49E0">
      <w:pPr>
        <w:spacing w:before="120" w:line="360" w:lineRule="exact"/>
        <w:textDirection w:val="tbRlV"/>
        <w:rPr>
          <w:b/>
          <w:sz w:val="26"/>
          <w:szCs w:val="26"/>
          <w:lang w:val="ar-SA" w:eastAsia="zh-TW" w:bidi="en-GB"/>
        </w:rPr>
      </w:pPr>
      <w:r w:rsidRPr="003B49E0">
        <w:rPr>
          <w:b/>
          <w:bCs/>
          <w:sz w:val="26"/>
          <w:szCs w:val="26"/>
          <w:rtl/>
        </w:rPr>
        <w:t>اللجنة المعنية بالحقوق الاقتصادية والاجتماعية والثقافية‏‏</w:t>
      </w:r>
    </w:p>
    <w:p w14:paraId="1B48AA5D" w14:textId="50714A19" w:rsidR="002A6E22" w:rsidRPr="003B49E0" w:rsidRDefault="002A6E22" w:rsidP="003B49E0">
      <w:pPr>
        <w:pStyle w:val="HChGA"/>
        <w:rPr>
          <w:lang w:val="en-US" w:eastAsia="zh-TW" w:bidi="en-GB"/>
        </w:rPr>
      </w:pPr>
      <w:r>
        <w:rPr>
          <w:rtl/>
        </w:rPr>
        <w:tab/>
      </w:r>
      <w:r w:rsidRPr="00067F34">
        <w:rPr>
          <w:rtl/>
        </w:rPr>
        <w:tab/>
        <w:t>الملاحظات الختامية بشأن التقرير الدوري الثالث لأوزبكستان</w:t>
      </w:r>
      <w:r w:rsidRPr="00D83907">
        <w:rPr>
          <w:sz w:val="22"/>
          <w:szCs w:val="22"/>
          <w:rtl/>
        </w:rPr>
        <w:footnoteReference w:customMarkFollows="1" w:id="1"/>
        <w:t>*</w:t>
      </w:r>
    </w:p>
    <w:p w14:paraId="4DBC76A5" w14:textId="3F0977DF" w:rsidR="002A6E22" w:rsidRPr="00D019BF" w:rsidRDefault="002A6E22" w:rsidP="003B49E0">
      <w:pPr>
        <w:pStyle w:val="SingleTxtGA"/>
        <w:rPr>
          <w:szCs w:val="20"/>
          <w:lang w:val="en-US" w:eastAsia="zh-TW" w:bidi="en-GB"/>
        </w:rPr>
      </w:pPr>
      <w:r w:rsidRPr="003B49E0">
        <w:rPr>
          <w:rtl/>
        </w:rPr>
        <w:t>1-</w:t>
      </w:r>
      <w:r>
        <w:rPr>
          <w:rtl/>
        </w:rPr>
        <w:tab/>
        <w:t>نظرت اللجنة في التقرير الدوري الثالث لأوزبكستان</w:t>
      </w:r>
      <w:r w:rsidR="00D83907">
        <w:rPr>
          <w:rStyle w:val="FootnoteReference"/>
          <w:rtl/>
        </w:rPr>
        <w:t>(</w:t>
      </w:r>
      <w:r w:rsidR="00D83907" w:rsidRPr="004D6DC8">
        <w:rPr>
          <w:rStyle w:val="FootnoteReference"/>
          <w:rtl/>
        </w:rPr>
        <w:footnoteReference w:id="2"/>
      </w:r>
      <w:r w:rsidR="00D83907">
        <w:rPr>
          <w:rStyle w:val="FootnoteReference"/>
          <w:rtl/>
        </w:rPr>
        <w:t>)</w:t>
      </w:r>
      <w:r>
        <w:rPr>
          <w:rtl/>
        </w:rPr>
        <w:t xml:space="preserve"> في جلساتها </w:t>
      </w:r>
      <w:r w:rsidRPr="003B49E0">
        <w:rPr>
          <w:rtl/>
        </w:rPr>
        <w:t>13</w:t>
      </w:r>
      <w:r>
        <w:rPr>
          <w:rtl/>
        </w:rPr>
        <w:t xml:space="preserve"> و</w:t>
      </w:r>
      <w:r w:rsidRPr="003B49E0">
        <w:rPr>
          <w:rtl/>
        </w:rPr>
        <w:t>15</w:t>
      </w:r>
      <w:r w:rsidR="00BA0473">
        <w:rPr>
          <w:rtl/>
        </w:rPr>
        <w:t>،</w:t>
      </w:r>
      <w:r>
        <w:rPr>
          <w:rtl/>
        </w:rPr>
        <w:t xml:space="preserve"> و</w:t>
      </w:r>
      <w:r w:rsidRPr="003B49E0">
        <w:rPr>
          <w:rtl/>
        </w:rPr>
        <w:t>17</w:t>
      </w:r>
      <w:r w:rsidR="00D83907">
        <w:rPr>
          <w:rStyle w:val="FootnoteReference"/>
          <w:rtl/>
        </w:rPr>
        <w:t>(</w:t>
      </w:r>
      <w:r w:rsidR="00D83907" w:rsidRPr="004D6DC8">
        <w:rPr>
          <w:rStyle w:val="FootnoteReference"/>
          <w:rtl/>
        </w:rPr>
        <w:footnoteReference w:id="3"/>
      </w:r>
      <w:r w:rsidR="00D83907">
        <w:rPr>
          <w:rStyle w:val="FootnoteReference"/>
          <w:rtl/>
        </w:rPr>
        <w:t>)</w:t>
      </w:r>
      <w:r>
        <w:rPr>
          <w:rtl/>
        </w:rPr>
        <w:t xml:space="preserve"> المعقودة في </w:t>
      </w:r>
      <w:r w:rsidRPr="003B49E0">
        <w:rPr>
          <w:rtl/>
        </w:rPr>
        <w:t>22</w:t>
      </w:r>
      <w:r w:rsidR="00BA0473">
        <w:rPr>
          <w:rtl/>
        </w:rPr>
        <w:t>،</w:t>
      </w:r>
      <w:r>
        <w:rPr>
          <w:rtl/>
        </w:rPr>
        <w:t xml:space="preserve"> </w:t>
      </w:r>
      <w:r w:rsidRPr="003B49E0">
        <w:rPr>
          <w:rtl/>
        </w:rPr>
        <w:t>23</w:t>
      </w:r>
      <w:r w:rsidR="00BA0473">
        <w:rPr>
          <w:rtl/>
        </w:rPr>
        <w:t>،</w:t>
      </w:r>
      <w:r>
        <w:rPr>
          <w:rtl/>
        </w:rPr>
        <w:t xml:space="preserve"> و</w:t>
      </w:r>
      <w:r w:rsidRPr="003B49E0">
        <w:rPr>
          <w:rtl/>
        </w:rPr>
        <w:t>24</w:t>
      </w:r>
      <w:r>
        <w:rPr>
          <w:rtl/>
        </w:rPr>
        <w:t xml:space="preserve"> شباط</w:t>
      </w:r>
      <w:r w:rsidRPr="003B49E0">
        <w:rPr>
          <w:rtl/>
        </w:rPr>
        <w:t>/</w:t>
      </w:r>
      <w:r>
        <w:rPr>
          <w:rtl/>
        </w:rPr>
        <w:t xml:space="preserve">فبراير </w:t>
      </w:r>
      <w:r w:rsidRPr="003B49E0">
        <w:rPr>
          <w:rtl/>
        </w:rPr>
        <w:t>2022</w:t>
      </w:r>
      <w:r w:rsidR="00BA0473">
        <w:rPr>
          <w:rtl/>
        </w:rPr>
        <w:t>،</w:t>
      </w:r>
      <w:r>
        <w:rPr>
          <w:rtl/>
        </w:rPr>
        <w:t xml:space="preserve"> واعتمدت هذه الملاحظات الختامية في جلستها </w:t>
      </w:r>
      <w:r w:rsidRPr="003B49E0">
        <w:rPr>
          <w:rtl/>
        </w:rPr>
        <w:t>30</w:t>
      </w:r>
      <w:r w:rsidR="00BA0473">
        <w:rPr>
          <w:rtl/>
        </w:rPr>
        <w:t>،</w:t>
      </w:r>
      <w:r>
        <w:rPr>
          <w:rtl/>
        </w:rPr>
        <w:t xml:space="preserve"> المعقودة في</w:t>
      </w:r>
      <w:r w:rsidR="00D83907">
        <w:rPr>
          <w:rFonts w:hint="cs"/>
          <w:rtl/>
        </w:rPr>
        <w:t> </w:t>
      </w:r>
      <w:r w:rsidRPr="003B49E0">
        <w:rPr>
          <w:rtl/>
        </w:rPr>
        <w:t>4</w:t>
      </w:r>
      <w:r>
        <w:rPr>
          <w:rtl/>
        </w:rPr>
        <w:t xml:space="preserve"> آذار</w:t>
      </w:r>
      <w:r w:rsidRPr="003B49E0">
        <w:rPr>
          <w:rtl/>
        </w:rPr>
        <w:t>/</w:t>
      </w:r>
      <w:r>
        <w:rPr>
          <w:rtl/>
        </w:rPr>
        <w:t xml:space="preserve">مارس </w:t>
      </w:r>
      <w:r w:rsidRPr="003B49E0">
        <w:rPr>
          <w:rtl/>
        </w:rPr>
        <w:t>2022</w:t>
      </w:r>
      <w:r>
        <w:rPr>
          <w:rFonts w:ascii="Traditional Arabic"/>
          <w:szCs w:val="20"/>
          <w:rtl/>
        </w:rPr>
        <w:t>.</w:t>
      </w:r>
      <w:r>
        <w:rPr>
          <w:rtl/>
        </w:rPr>
        <w:t xml:space="preserve"> </w:t>
      </w:r>
    </w:p>
    <w:p w14:paraId="52206F02" w14:textId="77777777" w:rsidR="002A6E22" w:rsidRPr="006D18BD" w:rsidRDefault="002A6E22" w:rsidP="003B49E0">
      <w:pPr>
        <w:pStyle w:val="H1GA"/>
        <w:rPr>
          <w:lang w:eastAsia="zh-TW" w:bidi="en-GB"/>
        </w:rPr>
      </w:pPr>
      <w:r>
        <w:rPr>
          <w:rtl/>
        </w:rPr>
        <w:tab/>
      </w:r>
      <w:r w:rsidRPr="004B6FA9">
        <w:rPr>
          <w:rtl/>
        </w:rPr>
        <w:t>ألف</w:t>
      </w:r>
      <w:r w:rsidRPr="003B49E0">
        <w:rPr>
          <w:rtl/>
        </w:rPr>
        <w:t>-</w:t>
      </w:r>
      <w:r w:rsidRPr="004B6FA9">
        <w:rPr>
          <w:rtl/>
        </w:rPr>
        <w:tab/>
        <w:t>مقدمة</w:t>
      </w:r>
    </w:p>
    <w:p w14:paraId="414F7C1D" w14:textId="1BCB31FA" w:rsidR="002A6E22" w:rsidRPr="00251006" w:rsidRDefault="002A6E22" w:rsidP="003B49E0">
      <w:pPr>
        <w:pStyle w:val="SingleTxtGA"/>
        <w:rPr>
          <w:szCs w:val="20"/>
          <w:rtl/>
          <w:lang w:val="en-US" w:eastAsia="zh-TW"/>
        </w:rPr>
      </w:pPr>
      <w:r w:rsidRPr="003B49E0">
        <w:rPr>
          <w:rtl/>
        </w:rPr>
        <w:t>2-</w:t>
      </w:r>
      <w:r>
        <w:rPr>
          <w:rtl/>
        </w:rPr>
        <w:tab/>
        <w:t>تُرحِّب اللجنة بتقديم الدولة الطرف تقريرها الدوري الثالث</w:t>
      </w:r>
      <w:r w:rsidR="00BA0473">
        <w:rPr>
          <w:rtl/>
        </w:rPr>
        <w:t>،</w:t>
      </w:r>
      <w:r>
        <w:rPr>
          <w:rtl/>
        </w:rPr>
        <w:t xml:space="preserve"> وبما قدمت من معلومات إضافية في ردودها على قائمة المسائل</w:t>
      </w:r>
      <w:r w:rsidR="00D83907">
        <w:rPr>
          <w:rStyle w:val="FootnoteReference"/>
          <w:rtl/>
        </w:rPr>
        <w:t>(</w:t>
      </w:r>
      <w:r w:rsidR="00D83907" w:rsidRPr="004D6DC8">
        <w:rPr>
          <w:rStyle w:val="FootnoteReference"/>
          <w:rtl/>
        </w:rPr>
        <w:footnoteReference w:id="4"/>
      </w:r>
      <w:r w:rsidR="00D83907">
        <w:rPr>
          <w:rStyle w:val="FootnoteReference"/>
          <w:rtl/>
        </w:rPr>
        <w:t>)</w:t>
      </w:r>
      <w:r w:rsidR="00D83907">
        <w:rPr>
          <w:rFonts w:hint="cs"/>
          <w:rtl/>
        </w:rPr>
        <w:t>.</w:t>
      </w:r>
      <w:r>
        <w:rPr>
          <w:rtl/>
        </w:rPr>
        <w:t xml:space="preserve"> وتعرب اللجنة عن تقديرها لإجراء حوار بنَّاء مع وفد الدولة الطرف الرفيع المستوى المشترك بين الوزارات .</w:t>
      </w:r>
    </w:p>
    <w:p w14:paraId="21593CF4" w14:textId="77777777" w:rsidR="002A6E22" w:rsidRPr="00D7426B" w:rsidRDefault="002A6E22" w:rsidP="003B49E0">
      <w:pPr>
        <w:pStyle w:val="H1GA"/>
        <w:rPr>
          <w:szCs w:val="20"/>
          <w:lang w:val="en-US" w:eastAsia="zh-TW" w:bidi="en-GB"/>
        </w:rPr>
      </w:pPr>
      <w:r>
        <w:rPr>
          <w:rtl/>
        </w:rPr>
        <w:tab/>
        <w:t>باء</w:t>
      </w:r>
      <w:r w:rsidRPr="003B49E0">
        <w:rPr>
          <w:rtl/>
        </w:rPr>
        <w:t>-</w:t>
      </w:r>
      <w:r>
        <w:rPr>
          <w:rtl/>
        </w:rPr>
        <w:tab/>
        <w:t>الجوانب الإيجابية</w:t>
      </w:r>
    </w:p>
    <w:p w14:paraId="77841D00" w14:textId="536C2E78" w:rsidR="002A6E22" w:rsidRPr="00D83907" w:rsidRDefault="002A6E22" w:rsidP="003B49E0">
      <w:pPr>
        <w:pStyle w:val="SingleTxtGA"/>
        <w:rPr>
          <w:lang w:val="en-US" w:eastAsia="zh-TW" w:bidi="en-GB"/>
        </w:rPr>
      </w:pPr>
      <w:r w:rsidRPr="00D83907">
        <w:rPr>
          <w:rtl/>
        </w:rPr>
        <w:t>3-</w:t>
      </w:r>
      <w:r w:rsidRPr="00D83907">
        <w:rPr>
          <w:rtl/>
        </w:rPr>
        <w:tab/>
        <w:t>ترحب اللجنة بالتدابير التشريعية والمؤسساتية والسياساتية التي اتخذتها الدولة الطرف لتحسين إعمال الحقوق الاقتصادية والاجتماعية والثقافية</w:t>
      </w:r>
      <w:r w:rsidR="00BA0473">
        <w:rPr>
          <w:rtl/>
        </w:rPr>
        <w:t>،</w:t>
      </w:r>
      <w:r w:rsidRPr="00D83907">
        <w:rPr>
          <w:rtl/>
        </w:rPr>
        <w:t xml:space="preserve"> على النحو المشار إليه في هذه الملاحظات الختامية. وترحب اللجنة بوجه خاص باعتماد قانون مكافحة الفساد </w:t>
      </w:r>
      <w:r w:rsidRPr="00D83907">
        <w:rPr>
          <w:rFonts w:ascii="Traditional Arabic"/>
          <w:rtl/>
        </w:rPr>
        <w:t>(</w:t>
      </w:r>
      <w:r w:rsidRPr="00D83907">
        <w:rPr>
          <w:rFonts w:cs="Times New Roman"/>
          <w:rtl/>
        </w:rPr>
        <w:t>No. LRU</w:t>
      </w:r>
      <w:r w:rsidRPr="00D83907">
        <w:rPr>
          <w:rtl/>
        </w:rPr>
        <w:t>-419 المؤرخ 3 كانون الثاني/</w:t>
      </w:r>
      <w:r w:rsidR="00D83907" w:rsidRPr="00D83907">
        <w:rPr>
          <w:rFonts w:hint="cs"/>
          <w:rtl/>
        </w:rPr>
        <w:t xml:space="preserve"> </w:t>
      </w:r>
      <w:r w:rsidRPr="00D83907">
        <w:rPr>
          <w:rtl/>
        </w:rPr>
        <w:t>يناير</w:t>
      </w:r>
      <w:r w:rsidR="00D83907" w:rsidRPr="00D83907">
        <w:rPr>
          <w:rFonts w:hint="cs"/>
          <w:rtl/>
        </w:rPr>
        <w:t> </w:t>
      </w:r>
      <w:r w:rsidRPr="00D83907">
        <w:rPr>
          <w:rtl/>
        </w:rPr>
        <w:t>2017</w:t>
      </w:r>
      <w:r w:rsidRPr="00D83907">
        <w:rPr>
          <w:rFonts w:ascii="Traditional Arabic"/>
          <w:rtl/>
        </w:rPr>
        <w:t>)</w:t>
      </w:r>
      <w:r w:rsidRPr="00D83907">
        <w:rPr>
          <w:rtl/>
        </w:rPr>
        <w:t xml:space="preserve"> وإنشاء وكالة مكافحة الفساد.</w:t>
      </w:r>
    </w:p>
    <w:p w14:paraId="22598A54" w14:textId="77777777" w:rsidR="002A6E22" w:rsidRPr="00467CCB" w:rsidRDefault="002A6E22" w:rsidP="003B49E0">
      <w:pPr>
        <w:pStyle w:val="H1GA"/>
        <w:rPr>
          <w:szCs w:val="20"/>
          <w:lang w:val="ar-SA" w:eastAsia="zh-TW" w:bidi="en-GB"/>
        </w:rPr>
      </w:pPr>
      <w:r>
        <w:rPr>
          <w:rtl/>
        </w:rPr>
        <w:tab/>
        <w:t>جيم</w:t>
      </w:r>
      <w:r w:rsidRPr="003B49E0">
        <w:rPr>
          <w:rtl/>
        </w:rPr>
        <w:t>-</w:t>
      </w:r>
      <w:r>
        <w:rPr>
          <w:rtl/>
        </w:rPr>
        <w:tab/>
        <w:t>دواعي القلق الرئيسية والتوصيات</w:t>
      </w:r>
    </w:p>
    <w:p w14:paraId="601C7FC5" w14:textId="77777777" w:rsidR="002A6E22" w:rsidRPr="00467CCB" w:rsidRDefault="002A6E22" w:rsidP="003B49E0">
      <w:pPr>
        <w:pStyle w:val="H23GA"/>
        <w:rPr>
          <w:szCs w:val="20"/>
          <w:lang w:val="ar-SA" w:eastAsia="zh-TW" w:bidi="en-GB"/>
        </w:rPr>
      </w:pPr>
      <w:r>
        <w:rPr>
          <w:rtl/>
        </w:rPr>
        <w:tab/>
      </w:r>
      <w:r>
        <w:rPr>
          <w:rtl/>
        </w:rPr>
        <w:tab/>
        <w:t>التطبيق المحلي للعهد</w:t>
      </w:r>
    </w:p>
    <w:p w14:paraId="405E9ECE" w14:textId="578CCDF5" w:rsidR="002A6E22" w:rsidRDefault="002A6E22" w:rsidP="003B49E0">
      <w:pPr>
        <w:pStyle w:val="SingleTxtGA"/>
        <w:rPr>
          <w:szCs w:val="20"/>
          <w:lang w:val="ar-SA" w:eastAsia="zh-TW" w:bidi="en-GB"/>
        </w:rPr>
      </w:pPr>
      <w:r w:rsidRPr="003B49E0">
        <w:rPr>
          <w:rtl/>
        </w:rPr>
        <w:t>4-</w:t>
      </w:r>
      <w:r>
        <w:rPr>
          <w:rtl/>
        </w:rPr>
        <w:tab/>
        <w:t>تلاحظ اللجنة أن العهد يشكل جزءا</w:t>
      </w:r>
      <w:r w:rsidR="00D83907">
        <w:rPr>
          <w:rFonts w:hint="cs"/>
          <w:rtl/>
        </w:rPr>
        <w:t>ً</w:t>
      </w:r>
      <w:r>
        <w:rPr>
          <w:rtl/>
        </w:rPr>
        <w:t xml:space="preserve"> لا يتجزأ من الإطار القانوني الوطني وف</w:t>
      </w:r>
      <w:r w:rsidR="00DD1067">
        <w:rPr>
          <w:rtl/>
        </w:rPr>
        <w:t xml:space="preserve">قاً </w:t>
      </w:r>
      <w:r>
        <w:rPr>
          <w:rtl/>
        </w:rPr>
        <w:t>للدستور</w:t>
      </w:r>
      <w:r w:rsidR="00BA0473">
        <w:rPr>
          <w:rtl/>
        </w:rPr>
        <w:t>،</w:t>
      </w:r>
      <w:r>
        <w:rPr>
          <w:rtl/>
        </w:rPr>
        <w:t xml:space="preserve"> وأن للمحاكم اختصاص الرجوع إلى العهد</w:t>
      </w:r>
      <w:r w:rsidR="00BA0473">
        <w:rPr>
          <w:rtl/>
        </w:rPr>
        <w:t>،</w:t>
      </w:r>
      <w:r>
        <w:rPr>
          <w:rtl/>
        </w:rPr>
        <w:t xml:space="preserve"> لكنها لا تزال تشعر بالقلق لأن أحكام العهد نادرا</w:t>
      </w:r>
      <w:r w:rsidR="00D83907">
        <w:rPr>
          <w:rFonts w:hint="cs"/>
          <w:rtl/>
        </w:rPr>
        <w:t>ً</w:t>
      </w:r>
      <w:r>
        <w:rPr>
          <w:rtl/>
        </w:rPr>
        <w:t xml:space="preserve"> ما يُحتج بها في المحاكم (المادة </w:t>
      </w:r>
      <w:r w:rsidRPr="003B49E0">
        <w:rPr>
          <w:rtl/>
        </w:rPr>
        <w:t>2</w:t>
      </w:r>
      <w:r>
        <w:rPr>
          <w:rFonts w:ascii="Traditional Arabic"/>
          <w:szCs w:val="20"/>
          <w:rtl/>
        </w:rPr>
        <w:t>(</w:t>
      </w:r>
      <w:r w:rsidRPr="003B49E0">
        <w:rPr>
          <w:rtl/>
        </w:rPr>
        <w:t>1</w:t>
      </w:r>
      <w:r>
        <w:rPr>
          <w:rFonts w:ascii="Traditional Arabic"/>
          <w:szCs w:val="20"/>
          <w:rtl/>
        </w:rPr>
        <w:t>))</w:t>
      </w:r>
      <w:r>
        <w:rPr>
          <w:rtl/>
        </w:rPr>
        <w:t>.</w:t>
      </w:r>
    </w:p>
    <w:p w14:paraId="08FF1071" w14:textId="78B0FFF7" w:rsidR="002A6E22" w:rsidRPr="00BA0473" w:rsidRDefault="002A6E22" w:rsidP="003B49E0">
      <w:pPr>
        <w:pStyle w:val="SingleTxtGA"/>
        <w:rPr>
          <w:b/>
          <w:bCs/>
          <w:szCs w:val="20"/>
          <w:lang w:val="ar-SA" w:eastAsia="zh-TW" w:bidi="en-GB"/>
        </w:rPr>
      </w:pPr>
      <w:r w:rsidRPr="003B49E0">
        <w:rPr>
          <w:rtl/>
        </w:rPr>
        <w:lastRenderedPageBreak/>
        <w:t>5-</w:t>
      </w:r>
      <w:r>
        <w:rPr>
          <w:rtl/>
        </w:rPr>
        <w:tab/>
      </w:r>
      <w:r w:rsidRPr="00BA0473">
        <w:rPr>
          <w:b/>
          <w:bCs/>
          <w:rtl/>
        </w:rPr>
        <w:t>توصي اللجنة الدولة الطرف بإذكاء وعي الجمهور بالعهد</w:t>
      </w:r>
      <w:r w:rsidR="00BA0473" w:rsidRPr="00BA0473">
        <w:rPr>
          <w:b/>
          <w:bCs/>
          <w:rtl/>
        </w:rPr>
        <w:t>،</w:t>
      </w:r>
      <w:r w:rsidRPr="00BA0473">
        <w:rPr>
          <w:b/>
          <w:bCs/>
          <w:rtl/>
        </w:rPr>
        <w:t xml:space="preserve"> وتوفير برامج لبناء قدرات القضاة والمدعين العامين والمحامين لتمكينهم من الاحتجاج بالحقوق الاقتصادية والاجتماعية والثقافية وتطبيقها في المحاكم المحلية. وتوجه اللجنة نظر الدولة الطرف إلى تعليقها العام رقم 9</w:t>
      </w:r>
      <w:r w:rsidRPr="00BA0473">
        <w:rPr>
          <w:rFonts w:ascii="Traditional Arabic"/>
          <w:b/>
          <w:bCs/>
          <w:szCs w:val="20"/>
          <w:rtl/>
        </w:rPr>
        <w:t>(</w:t>
      </w:r>
      <w:r w:rsidRPr="00BA0473">
        <w:rPr>
          <w:b/>
          <w:bCs/>
          <w:rtl/>
        </w:rPr>
        <w:t>1998</w:t>
      </w:r>
      <w:r w:rsidRPr="00BA0473">
        <w:rPr>
          <w:rFonts w:ascii="Traditional Arabic"/>
          <w:b/>
          <w:bCs/>
          <w:szCs w:val="20"/>
          <w:rtl/>
        </w:rPr>
        <w:t>)</w:t>
      </w:r>
      <w:r w:rsidRPr="00BA0473">
        <w:rPr>
          <w:b/>
          <w:bCs/>
          <w:rtl/>
        </w:rPr>
        <w:t xml:space="preserve"> بشأن التطبيق المحلي للعهد. </w:t>
      </w:r>
    </w:p>
    <w:p w14:paraId="3C267D18" w14:textId="77777777" w:rsidR="002A6E22" w:rsidRPr="002E768C" w:rsidRDefault="002A6E22" w:rsidP="003B49E0">
      <w:pPr>
        <w:pStyle w:val="H23GA"/>
        <w:rPr>
          <w:szCs w:val="20"/>
          <w:lang w:val="ar-SA" w:eastAsia="zh-TW" w:bidi="en-GB"/>
        </w:rPr>
      </w:pPr>
      <w:r>
        <w:rPr>
          <w:rtl/>
        </w:rPr>
        <w:tab/>
      </w:r>
      <w:r>
        <w:rPr>
          <w:rtl/>
        </w:rPr>
        <w:tab/>
        <w:t>استقلال السلطة القضائية</w:t>
      </w:r>
    </w:p>
    <w:p w14:paraId="2B99C47B" w14:textId="76EC7D5D" w:rsidR="002A6E22" w:rsidRPr="005F766D" w:rsidRDefault="002A6E22" w:rsidP="003B49E0">
      <w:pPr>
        <w:pStyle w:val="SingleTxtGA"/>
        <w:rPr>
          <w:szCs w:val="20"/>
          <w:lang w:val="en-US" w:eastAsia="zh-TW" w:bidi="en-GB"/>
        </w:rPr>
      </w:pPr>
      <w:r w:rsidRPr="003B49E0">
        <w:rPr>
          <w:rtl/>
        </w:rPr>
        <w:t>6-</w:t>
      </w:r>
      <w:r>
        <w:rPr>
          <w:rtl/>
        </w:rPr>
        <w:tab/>
        <w:t xml:space="preserve">تحيط اللجنة </w:t>
      </w:r>
      <w:r w:rsidR="00DD1067">
        <w:rPr>
          <w:rtl/>
        </w:rPr>
        <w:t>علماً</w:t>
      </w:r>
      <w:r>
        <w:rPr>
          <w:rtl/>
        </w:rPr>
        <w:t xml:space="preserve"> بالمعلومات التي قدمتها الدولة الطرف بشأن التدابير المتخذة لإصلاح نظامها القضائي</w:t>
      </w:r>
      <w:r w:rsidR="00BA0473">
        <w:rPr>
          <w:rtl/>
        </w:rPr>
        <w:t>،</w:t>
      </w:r>
      <w:r>
        <w:rPr>
          <w:rtl/>
        </w:rPr>
        <w:t xml:space="preserve"> بما في ذلك إنشاء مجلس القضاء الأعلى والإجراءات الجديدة في اختيار وتعيين المرشحات والمرشحين للمناصب القضائية. ومع ذلك</w:t>
      </w:r>
      <w:r w:rsidR="00BA0473">
        <w:rPr>
          <w:rtl/>
        </w:rPr>
        <w:t>،</w:t>
      </w:r>
      <w:r>
        <w:rPr>
          <w:rtl/>
        </w:rPr>
        <w:t xml:space="preserve"> يساور اللجنة القلق إزاء أوجه القصور المختلفة فيما يتعلق باستقلال القضاء</w:t>
      </w:r>
      <w:r w:rsidR="00BA0473">
        <w:rPr>
          <w:rtl/>
        </w:rPr>
        <w:t>،</w:t>
      </w:r>
      <w:r>
        <w:rPr>
          <w:rtl/>
        </w:rPr>
        <w:t xml:space="preserve"> مثل تدخل السلطتين التنفيذية والتشريعية في اختيار قضاة المحكمة الدستورية والمحكمة العليا وفي تعيين القضاة (المادة </w:t>
      </w:r>
      <w:r w:rsidRPr="003B49E0">
        <w:rPr>
          <w:rtl/>
        </w:rPr>
        <w:t>2</w:t>
      </w:r>
      <w:r>
        <w:rPr>
          <w:rFonts w:ascii="Traditional Arabic"/>
          <w:szCs w:val="20"/>
          <w:rtl/>
        </w:rPr>
        <w:t>(</w:t>
      </w:r>
      <w:r w:rsidRPr="003B49E0">
        <w:rPr>
          <w:rtl/>
        </w:rPr>
        <w:t>1</w:t>
      </w:r>
      <w:r>
        <w:rPr>
          <w:rFonts w:ascii="Traditional Arabic"/>
          <w:szCs w:val="20"/>
          <w:rtl/>
        </w:rPr>
        <w:t>))</w:t>
      </w:r>
      <w:r>
        <w:rPr>
          <w:rtl/>
        </w:rPr>
        <w:t>.</w:t>
      </w:r>
    </w:p>
    <w:p w14:paraId="45137674" w14:textId="658168FA" w:rsidR="002A6E22" w:rsidRPr="00D019BF" w:rsidRDefault="002A6E22" w:rsidP="003B49E0">
      <w:pPr>
        <w:pStyle w:val="SingleTxtGA"/>
        <w:rPr>
          <w:b/>
          <w:bCs/>
          <w:lang w:val="en-US" w:eastAsia="zh-TW" w:bidi="en-GB"/>
        </w:rPr>
      </w:pPr>
      <w:r w:rsidRPr="008179C5">
        <w:rPr>
          <w:rtl/>
        </w:rPr>
        <w:t>7-</w:t>
      </w:r>
      <w:r w:rsidRPr="008179C5">
        <w:rPr>
          <w:rtl/>
        </w:rPr>
        <w:tab/>
      </w:r>
      <w:r w:rsidRPr="008179C5">
        <w:rPr>
          <w:b/>
          <w:bCs/>
          <w:rtl/>
        </w:rPr>
        <w:t>توصي اللجنة الدولة الطرف بتكثيف جهودها لضمان استقلال القضاء وحياده باعتباره وسيلة لضمان التمتع بحقوق الإنسان</w:t>
      </w:r>
      <w:r w:rsidR="00BA0473" w:rsidRPr="008179C5">
        <w:rPr>
          <w:b/>
          <w:bCs/>
          <w:rtl/>
        </w:rPr>
        <w:t>،</w:t>
      </w:r>
      <w:r w:rsidRPr="008179C5">
        <w:rPr>
          <w:b/>
          <w:bCs/>
          <w:rtl/>
        </w:rPr>
        <w:t xml:space="preserve"> بما فيها الحقوق الاقتصادية والاجتماعية والثقافية</w:t>
      </w:r>
      <w:r w:rsidR="00BA0473" w:rsidRPr="008179C5">
        <w:rPr>
          <w:b/>
          <w:bCs/>
          <w:rtl/>
        </w:rPr>
        <w:t>،</w:t>
      </w:r>
      <w:r w:rsidRPr="008179C5">
        <w:rPr>
          <w:b/>
          <w:bCs/>
          <w:rtl/>
        </w:rPr>
        <w:t xml:space="preserve"> عن طريق تعزيز ولاية مجلس القضاء الأعلى</w:t>
      </w:r>
      <w:r w:rsidR="00BA0473" w:rsidRPr="008179C5">
        <w:rPr>
          <w:b/>
          <w:bCs/>
          <w:rtl/>
        </w:rPr>
        <w:t>،</w:t>
      </w:r>
      <w:r w:rsidRPr="008179C5">
        <w:rPr>
          <w:b/>
          <w:bCs/>
          <w:rtl/>
        </w:rPr>
        <w:t xml:space="preserve"> ومنع تدخل السلطتين التنفيذية والتشريعية في النظام القضائي</w:t>
      </w:r>
      <w:r w:rsidR="00BA0473" w:rsidRPr="008179C5">
        <w:rPr>
          <w:b/>
          <w:bCs/>
          <w:rtl/>
        </w:rPr>
        <w:t>،</w:t>
      </w:r>
      <w:r w:rsidR="004131A5">
        <w:rPr>
          <w:b/>
          <w:bCs/>
          <w:rtl/>
        </w:rPr>
        <w:t xml:space="preserve"> </w:t>
      </w:r>
      <w:r w:rsidRPr="008179C5">
        <w:rPr>
          <w:b/>
          <w:bCs/>
          <w:rtl/>
        </w:rPr>
        <w:t>لا سيما في اختيار القضاة وتعيينهم. وتوصي اللجنة الدولة الطرف بتعزيز جهودها الرامية إلى تنفيذ التوصيات التي قدمها المقرر الخاص المعني باستقلال القضاة والمحامين في تقريره عن زيارته إلى أوزبكستان</w:t>
      </w:r>
      <w:r w:rsidRPr="008179C5">
        <w:rPr>
          <w:rtl/>
        </w:rPr>
        <w:t xml:space="preserve"> </w:t>
      </w:r>
      <w:r w:rsidRPr="00D019BF">
        <w:rPr>
          <w:rFonts w:ascii="Traditional Arabic"/>
          <w:b/>
          <w:bCs/>
          <w:rtl/>
        </w:rPr>
        <w:t>(</w:t>
      </w:r>
      <w:hyperlink r:id="rId9" w:history="1">
        <w:r w:rsidRPr="00D019BF">
          <w:rPr>
            <w:rStyle w:val="Hyperlink"/>
            <w:rFonts w:cs="Times New Roman"/>
            <w:b/>
            <w:bCs/>
          </w:rPr>
          <w:t>A</w:t>
        </w:r>
        <w:r w:rsidRPr="00D019BF">
          <w:rPr>
            <w:rStyle w:val="Hyperlink"/>
            <w:b/>
            <w:bCs/>
          </w:rPr>
          <w:t>/</w:t>
        </w:r>
        <w:r w:rsidRPr="00D019BF">
          <w:rPr>
            <w:rStyle w:val="Hyperlink"/>
            <w:rFonts w:cs="Times New Roman"/>
            <w:b/>
            <w:bCs/>
          </w:rPr>
          <w:t>HRC</w:t>
        </w:r>
        <w:r w:rsidRPr="00D019BF">
          <w:rPr>
            <w:rStyle w:val="Hyperlink"/>
            <w:b/>
            <w:bCs/>
          </w:rPr>
          <w:t>/44/47/</w:t>
        </w:r>
        <w:r w:rsidRPr="00D019BF">
          <w:rPr>
            <w:rStyle w:val="Hyperlink"/>
            <w:rFonts w:cs="Times New Roman"/>
            <w:b/>
            <w:bCs/>
          </w:rPr>
          <w:t>Add.</w:t>
        </w:r>
        <w:r w:rsidRPr="00D019BF">
          <w:rPr>
            <w:rStyle w:val="Hyperlink"/>
            <w:b/>
            <w:bCs/>
          </w:rPr>
          <w:t>1</w:t>
        </w:r>
      </w:hyperlink>
      <w:r w:rsidRPr="00D019BF">
        <w:rPr>
          <w:rFonts w:ascii="Traditional Arabic"/>
          <w:b/>
          <w:bCs/>
          <w:rtl/>
        </w:rPr>
        <w:t>)</w:t>
      </w:r>
      <w:r w:rsidRPr="00D019BF">
        <w:rPr>
          <w:b/>
          <w:bCs/>
          <w:rtl/>
        </w:rPr>
        <w:t xml:space="preserve">. </w:t>
      </w:r>
    </w:p>
    <w:p w14:paraId="16B41CD4" w14:textId="77777777" w:rsidR="002A6E22" w:rsidRPr="000A0A89" w:rsidRDefault="002A6E22" w:rsidP="003B49E0">
      <w:pPr>
        <w:pStyle w:val="H23GA"/>
        <w:rPr>
          <w:szCs w:val="20"/>
          <w:lang w:val="ar-SA" w:eastAsia="zh-TW" w:bidi="en-GB"/>
        </w:rPr>
      </w:pPr>
      <w:r>
        <w:rPr>
          <w:rtl/>
        </w:rPr>
        <w:tab/>
      </w:r>
      <w:r>
        <w:rPr>
          <w:rtl/>
        </w:rPr>
        <w:tab/>
        <w:t xml:space="preserve">المؤسسة الوطنية لحقوق الإنسان. </w:t>
      </w:r>
    </w:p>
    <w:p w14:paraId="16C2BEF2" w14:textId="2889A85C" w:rsidR="002A6E22" w:rsidRPr="008179C5" w:rsidRDefault="002A6E22" w:rsidP="003B49E0">
      <w:pPr>
        <w:pStyle w:val="SingleTxtGA"/>
        <w:rPr>
          <w:spacing w:val="-4"/>
          <w:szCs w:val="20"/>
          <w:lang w:val="ar-SA" w:eastAsia="zh-TW" w:bidi="en-GB"/>
        </w:rPr>
      </w:pPr>
      <w:r w:rsidRPr="003B49E0">
        <w:rPr>
          <w:rtl/>
        </w:rPr>
        <w:t>8-</w:t>
      </w:r>
      <w:r>
        <w:rPr>
          <w:rtl/>
        </w:rPr>
        <w:tab/>
        <w:t xml:space="preserve">تحيط اللجنة </w:t>
      </w:r>
      <w:r w:rsidR="00DD1067">
        <w:rPr>
          <w:rtl/>
        </w:rPr>
        <w:t>علماً</w:t>
      </w:r>
      <w:r>
        <w:rPr>
          <w:rtl/>
        </w:rPr>
        <w:t xml:space="preserve"> بالمعلومات المقدمة من الدولة الطرف بشأن ولاية وأنشطة الشخص المفوض لمجلس أوليي لحقوق الإنسان (أمين المظالم). بيد أن اللجنة تشعر بالقلق إزاء عدم وجود عملية شفافة </w:t>
      </w:r>
      <w:r w:rsidRPr="008179C5">
        <w:rPr>
          <w:spacing w:val="-4"/>
          <w:rtl/>
        </w:rPr>
        <w:t>لاختيار أمين المظالم وتعيينه</w:t>
      </w:r>
      <w:r w:rsidR="00BA0473" w:rsidRPr="008179C5">
        <w:rPr>
          <w:spacing w:val="-4"/>
          <w:rtl/>
        </w:rPr>
        <w:t>،</w:t>
      </w:r>
      <w:r w:rsidRPr="008179C5">
        <w:rPr>
          <w:spacing w:val="-4"/>
          <w:rtl/>
        </w:rPr>
        <w:t xml:space="preserve"> وعدم كفاية مستوى الموارد</w:t>
      </w:r>
      <w:r w:rsidR="00BA0473" w:rsidRPr="008179C5">
        <w:rPr>
          <w:spacing w:val="-4"/>
          <w:rtl/>
        </w:rPr>
        <w:t>،</w:t>
      </w:r>
      <w:r w:rsidRPr="008179C5">
        <w:rPr>
          <w:spacing w:val="-4"/>
          <w:rtl/>
        </w:rPr>
        <w:t xml:space="preserve"> الأمر الذي يؤثر سلبا</w:t>
      </w:r>
      <w:r w:rsidR="008179C5" w:rsidRPr="008179C5">
        <w:rPr>
          <w:rFonts w:hint="cs"/>
          <w:spacing w:val="-4"/>
          <w:rtl/>
        </w:rPr>
        <w:t>ً</w:t>
      </w:r>
      <w:r w:rsidRPr="008179C5">
        <w:rPr>
          <w:spacing w:val="-4"/>
          <w:rtl/>
        </w:rPr>
        <w:t xml:space="preserve"> على أدائه (المادة 2</w:t>
      </w:r>
      <w:r w:rsidRPr="008179C5">
        <w:rPr>
          <w:rFonts w:ascii="Traditional Arabic"/>
          <w:spacing w:val="-4"/>
          <w:szCs w:val="20"/>
          <w:rtl/>
        </w:rPr>
        <w:t>(</w:t>
      </w:r>
      <w:r w:rsidRPr="008179C5">
        <w:rPr>
          <w:spacing w:val="-4"/>
          <w:rtl/>
        </w:rPr>
        <w:t>1</w:t>
      </w:r>
      <w:r w:rsidRPr="008179C5">
        <w:rPr>
          <w:rFonts w:ascii="Traditional Arabic"/>
          <w:spacing w:val="-4"/>
          <w:szCs w:val="20"/>
          <w:rtl/>
        </w:rPr>
        <w:t>))</w:t>
      </w:r>
      <w:r w:rsidRPr="008179C5">
        <w:rPr>
          <w:spacing w:val="-4"/>
          <w:rtl/>
        </w:rPr>
        <w:t xml:space="preserve">. </w:t>
      </w:r>
    </w:p>
    <w:p w14:paraId="4823F9CB" w14:textId="4C25FE29" w:rsidR="002A6E22" w:rsidRPr="008179C5" w:rsidRDefault="002A6E22" w:rsidP="003B49E0">
      <w:pPr>
        <w:pStyle w:val="SingleTxtGA"/>
        <w:rPr>
          <w:b/>
          <w:bCs/>
          <w:szCs w:val="20"/>
          <w:lang w:val="ar-SA" w:eastAsia="zh-TW" w:bidi="en-GB"/>
        </w:rPr>
      </w:pPr>
      <w:r w:rsidRPr="003B49E0">
        <w:rPr>
          <w:rtl/>
        </w:rPr>
        <w:t>9-</w:t>
      </w:r>
      <w:r>
        <w:rPr>
          <w:rtl/>
        </w:rPr>
        <w:tab/>
      </w:r>
      <w:r w:rsidRPr="008179C5">
        <w:rPr>
          <w:b/>
          <w:bCs/>
          <w:rtl/>
        </w:rPr>
        <w:t>توصي اللجنة الدولة الطرف باعتماد تدابير لجعل ديوان أمين المظالم يمتثل امتثالا</w:t>
      </w:r>
      <w:r w:rsidR="00DD1067">
        <w:rPr>
          <w:rFonts w:hint="cs"/>
          <w:b/>
          <w:bCs/>
          <w:rtl/>
        </w:rPr>
        <w:t>ً</w:t>
      </w:r>
      <w:r w:rsidRPr="008179C5">
        <w:rPr>
          <w:b/>
          <w:bCs/>
          <w:rtl/>
        </w:rPr>
        <w:t xml:space="preserve"> تاما</w:t>
      </w:r>
      <w:r w:rsidR="00DD1067">
        <w:rPr>
          <w:rFonts w:hint="cs"/>
          <w:b/>
          <w:bCs/>
          <w:rtl/>
        </w:rPr>
        <w:t>ً</w:t>
      </w:r>
      <w:r w:rsidRPr="008179C5">
        <w:rPr>
          <w:b/>
          <w:bCs/>
          <w:rtl/>
        </w:rPr>
        <w:t xml:space="preserve"> للمبادئ المتعلقة بمركز المؤسسات الوطنية لتعزيز وحماية حقوق الإنسان (مبادئ باريس)</w:t>
      </w:r>
      <w:r w:rsidR="00BA0473" w:rsidRPr="008179C5">
        <w:rPr>
          <w:b/>
          <w:bCs/>
          <w:rtl/>
        </w:rPr>
        <w:t>،</w:t>
      </w:r>
      <w:r w:rsidRPr="008179C5">
        <w:rPr>
          <w:b/>
          <w:bCs/>
          <w:rtl/>
        </w:rPr>
        <w:t xml:space="preserve"> بما في ذلك تعزيزه بالموارد المالية والبشرية الكافية للاضطلاع بولايته بفعالية واستقلالية</w:t>
      </w:r>
      <w:r w:rsidR="00BA0473" w:rsidRPr="008179C5">
        <w:rPr>
          <w:b/>
          <w:bCs/>
          <w:rtl/>
        </w:rPr>
        <w:t>،</w:t>
      </w:r>
      <w:r w:rsidRPr="008179C5">
        <w:rPr>
          <w:b/>
          <w:bCs/>
          <w:rtl/>
        </w:rPr>
        <w:t xml:space="preserve"> إضافة إلى تعزيز وحماية الحقوق الاقتصادية والاجتماعية والثقافية.</w:t>
      </w:r>
    </w:p>
    <w:p w14:paraId="2732BD36" w14:textId="77777777" w:rsidR="002A6E22" w:rsidRPr="000B3676" w:rsidRDefault="002A6E22" w:rsidP="003B49E0">
      <w:pPr>
        <w:pStyle w:val="H23GA"/>
        <w:rPr>
          <w:szCs w:val="20"/>
          <w:lang w:val="ar-SA" w:eastAsia="zh-TW" w:bidi="en-GB"/>
        </w:rPr>
      </w:pPr>
      <w:r>
        <w:rPr>
          <w:rtl/>
        </w:rPr>
        <w:tab/>
      </w:r>
      <w:r>
        <w:rPr>
          <w:rtl/>
        </w:rPr>
        <w:tab/>
        <w:t xml:space="preserve">المجتمع المدني </w:t>
      </w:r>
    </w:p>
    <w:p w14:paraId="609179A3" w14:textId="31EB3F5A" w:rsidR="002A6E22" w:rsidRPr="008179C5" w:rsidRDefault="002A6E22" w:rsidP="003B49E0">
      <w:pPr>
        <w:pStyle w:val="SingleTxtGA"/>
        <w:rPr>
          <w:spacing w:val="-4"/>
          <w:szCs w:val="20"/>
          <w:lang w:val="ar-SA" w:eastAsia="zh-TW" w:bidi="en-GB"/>
        </w:rPr>
      </w:pPr>
      <w:r w:rsidRPr="008179C5">
        <w:rPr>
          <w:spacing w:val="-4"/>
          <w:rtl/>
        </w:rPr>
        <w:t>10-</w:t>
      </w:r>
      <w:r w:rsidRPr="008179C5">
        <w:rPr>
          <w:spacing w:val="-4"/>
          <w:rtl/>
        </w:rPr>
        <w:tab/>
        <w:t xml:space="preserve">تحيط اللجنة </w:t>
      </w:r>
      <w:r w:rsidR="00DD1067">
        <w:rPr>
          <w:spacing w:val="-4"/>
          <w:rtl/>
        </w:rPr>
        <w:t>علماً</w:t>
      </w:r>
      <w:r w:rsidRPr="008179C5">
        <w:rPr>
          <w:spacing w:val="-4"/>
          <w:rtl/>
        </w:rPr>
        <w:t xml:space="preserve"> بالمعلومات التي قدمتها الدولة الطرف بشأن الجهود المبذولة لصياغة مشروع قانون المنظمات غير الحكومية غير الربحية. بيد أن اللجنة لا تزال تشعر بالقلق إزاء الأعباء الإدارية والإجرائية عند تسجيل منظمات المجتمع المدني الجديدة</w:t>
      </w:r>
      <w:r w:rsidR="00BA0473" w:rsidRPr="008179C5">
        <w:rPr>
          <w:spacing w:val="-4"/>
          <w:rtl/>
        </w:rPr>
        <w:t>،</w:t>
      </w:r>
      <w:r w:rsidRPr="008179C5">
        <w:rPr>
          <w:spacing w:val="-4"/>
          <w:rtl/>
        </w:rPr>
        <w:t xml:space="preserve"> وعدم قدرتها على العمل بحرية بسبب القيود المفروضة عليها</w:t>
      </w:r>
      <w:r w:rsidR="00BA0473" w:rsidRPr="008179C5">
        <w:rPr>
          <w:spacing w:val="-4"/>
          <w:rtl/>
        </w:rPr>
        <w:t>،</w:t>
      </w:r>
      <w:r w:rsidRPr="008179C5">
        <w:rPr>
          <w:spacing w:val="-4"/>
          <w:rtl/>
        </w:rPr>
        <w:t xml:space="preserve"> وانخفاض عدد المنظمات المسجلة حديثًا</w:t>
      </w:r>
      <w:r w:rsidR="00BA0473" w:rsidRPr="008179C5">
        <w:rPr>
          <w:spacing w:val="-4"/>
          <w:rtl/>
        </w:rPr>
        <w:t>،</w:t>
      </w:r>
      <w:r w:rsidRPr="008179C5">
        <w:rPr>
          <w:spacing w:val="-4"/>
          <w:rtl/>
        </w:rPr>
        <w:t xml:space="preserve"> على الرغم من الإصلاحات الأخيرة (المادة 2</w:t>
      </w:r>
      <w:r w:rsidRPr="008179C5">
        <w:rPr>
          <w:rFonts w:ascii="Traditional Arabic"/>
          <w:spacing w:val="-4"/>
          <w:szCs w:val="20"/>
          <w:rtl/>
        </w:rPr>
        <w:t>(</w:t>
      </w:r>
      <w:r w:rsidRPr="008179C5">
        <w:rPr>
          <w:spacing w:val="-4"/>
          <w:rtl/>
        </w:rPr>
        <w:t>1</w:t>
      </w:r>
      <w:r w:rsidRPr="008179C5">
        <w:rPr>
          <w:rFonts w:ascii="Traditional Arabic"/>
          <w:spacing w:val="-4"/>
          <w:szCs w:val="20"/>
          <w:rtl/>
        </w:rPr>
        <w:t>))</w:t>
      </w:r>
      <w:r w:rsidRPr="008179C5">
        <w:rPr>
          <w:spacing w:val="-4"/>
          <w:rtl/>
        </w:rPr>
        <w:t xml:space="preserve">. </w:t>
      </w:r>
    </w:p>
    <w:p w14:paraId="47F444D2" w14:textId="5AD8A52C" w:rsidR="002A6E22" w:rsidRPr="008179C5" w:rsidRDefault="002A6E22" w:rsidP="003B49E0">
      <w:pPr>
        <w:pStyle w:val="SingleTxtGA"/>
        <w:rPr>
          <w:b/>
          <w:bCs/>
          <w:szCs w:val="20"/>
          <w:lang w:val="ar-SA" w:eastAsia="zh-TW" w:bidi="en-GB"/>
        </w:rPr>
      </w:pPr>
      <w:r w:rsidRPr="003B49E0">
        <w:rPr>
          <w:rtl/>
        </w:rPr>
        <w:t>11-</w:t>
      </w:r>
      <w:r>
        <w:rPr>
          <w:rtl/>
        </w:rPr>
        <w:tab/>
      </w:r>
      <w:r w:rsidRPr="008179C5">
        <w:rPr>
          <w:b/>
          <w:bCs/>
          <w:rtl/>
        </w:rPr>
        <w:t>توصي اللجنة الدولة الطرف بالتعجيل بعملية التشاور من أجل اعتماد مشروع قانون المنظمات غير الحكومية غير الربحية</w:t>
      </w:r>
      <w:r w:rsidR="00BA0473" w:rsidRPr="008179C5">
        <w:rPr>
          <w:b/>
          <w:bCs/>
          <w:rtl/>
        </w:rPr>
        <w:t>،</w:t>
      </w:r>
      <w:r w:rsidRPr="008179C5">
        <w:rPr>
          <w:b/>
          <w:bCs/>
          <w:rtl/>
        </w:rPr>
        <w:t xml:space="preserve"> وإشراك منظمات المجتمع المدني في ذلك بشكل فعال وجدي. وتوصي اللجنة </w:t>
      </w:r>
      <w:r w:rsidR="00DD1067">
        <w:rPr>
          <w:b/>
          <w:bCs/>
          <w:rtl/>
        </w:rPr>
        <w:t>أيضاً</w:t>
      </w:r>
      <w:r w:rsidRPr="008179C5">
        <w:rPr>
          <w:b/>
          <w:bCs/>
          <w:rtl/>
        </w:rPr>
        <w:t xml:space="preserve"> بتوفير بيئة تمكينية</w:t>
      </w:r>
      <w:r w:rsidR="00BA0473" w:rsidRPr="008179C5">
        <w:rPr>
          <w:b/>
          <w:bCs/>
          <w:rtl/>
        </w:rPr>
        <w:t>،</w:t>
      </w:r>
      <w:r w:rsidRPr="008179C5">
        <w:rPr>
          <w:b/>
          <w:bCs/>
          <w:rtl/>
        </w:rPr>
        <w:t xml:space="preserve"> بما في ذلك تيسير إجراء تسجيل المنظمات غير الحكومية </w:t>
      </w:r>
      <w:r w:rsidRPr="008179C5">
        <w:rPr>
          <w:b/>
          <w:bCs/>
          <w:rtl/>
        </w:rPr>
        <w:lastRenderedPageBreak/>
        <w:t>العاملة في مجال تعزيز وحماية الحقوق الاقتصادية والاجتماعية والثقافية. وتحيل اللجنة الدولة الطرف إلى بيانها بشأن المدافعين عن حقوق الإنسان والحقوق الاقتصادية والاجتماعية والثقافية</w:t>
      </w:r>
      <w:r w:rsidR="00D83907" w:rsidRPr="008179C5">
        <w:rPr>
          <w:rStyle w:val="FootnoteReference"/>
          <w:b/>
          <w:bCs/>
          <w:rtl/>
        </w:rPr>
        <w:t>(</w:t>
      </w:r>
      <w:r w:rsidR="00D83907" w:rsidRPr="008179C5">
        <w:rPr>
          <w:rStyle w:val="FootnoteReference"/>
          <w:b/>
          <w:bCs/>
          <w:rtl/>
        </w:rPr>
        <w:footnoteReference w:id="5"/>
      </w:r>
      <w:r w:rsidR="00D83907" w:rsidRPr="008179C5">
        <w:rPr>
          <w:rStyle w:val="FootnoteReference"/>
          <w:b/>
          <w:bCs/>
          <w:rtl/>
        </w:rPr>
        <w:t>)</w:t>
      </w:r>
      <w:r w:rsidR="008179C5">
        <w:rPr>
          <w:rFonts w:hint="cs"/>
          <w:b/>
          <w:bCs/>
          <w:rtl/>
        </w:rPr>
        <w:t>.</w:t>
      </w:r>
      <w:r w:rsidRPr="008179C5">
        <w:rPr>
          <w:b/>
          <w:bCs/>
          <w:rtl/>
        </w:rPr>
        <w:t xml:space="preserve"> </w:t>
      </w:r>
    </w:p>
    <w:p w14:paraId="010107A1" w14:textId="77777777" w:rsidR="002A6E22" w:rsidRPr="00D770AB" w:rsidRDefault="002A6E22" w:rsidP="003B49E0">
      <w:pPr>
        <w:pStyle w:val="H23GA"/>
        <w:rPr>
          <w:szCs w:val="20"/>
          <w:lang w:val="ar-SA" w:eastAsia="zh-TW" w:bidi="en-GB"/>
        </w:rPr>
      </w:pPr>
      <w:r>
        <w:rPr>
          <w:rtl/>
        </w:rPr>
        <w:tab/>
      </w:r>
      <w:r>
        <w:rPr>
          <w:rtl/>
        </w:rPr>
        <w:tab/>
        <w:t xml:space="preserve">الفساد </w:t>
      </w:r>
    </w:p>
    <w:p w14:paraId="1F8E6F13" w14:textId="3DADE2EF" w:rsidR="002A6E22" w:rsidRDefault="002A6E22" w:rsidP="003B49E0">
      <w:pPr>
        <w:pStyle w:val="SingleTxtGA"/>
        <w:rPr>
          <w:szCs w:val="20"/>
          <w:lang w:val="ar-SA" w:eastAsia="zh-TW" w:bidi="en-GB"/>
        </w:rPr>
      </w:pPr>
      <w:r w:rsidRPr="003B49E0">
        <w:rPr>
          <w:rtl/>
        </w:rPr>
        <w:t>12-</w:t>
      </w:r>
      <w:r w:rsidRPr="001C15E1">
        <w:rPr>
          <w:rtl/>
        </w:rPr>
        <w:tab/>
        <w:t xml:space="preserve">تحيط اللجنة </w:t>
      </w:r>
      <w:r w:rsidR="00DD1067">
        <w:rPr>
          <w:rtl/>
        </w:rPr>
        <w:t>علماً</w:t>
      </w:r>
      <w:r w:rsidRPr="001C15E1">
        <w:rPr>
          <w:rtl/>
        </w:rPr>
        <w:t xml:space="preserve"> بالمعلومات التي قدمتها </w:t>
      </w:r>
      <w:r>
        <w:rPr>
          <w:rtl/>
        </w:rPr>
        <w:t xml:space="preserve">الدولة الطرف بشأن تنفيذ سياسة مكافحة الفساد </w:t>
      </w:r>
      <w:r>
        <w:rPr>
          <w:rFonts w:ascii="Traditional Arabic"/>
          <w:szCs w:val="20"/>
          <w:rtl/>
        </w:rPr>
        <w:t>(</w:t>
      </w:r>
      <w:r w:rsidRPr="003B49E0">
        <w:rPr>
          <w:rtl/>
        </w:rPr>
        <w:t>2021-2022</w:t>
      </w:r>
      <w:r>
        <w:rPr>
          <w:rFonts w:ascii="Traditional Arabic"/>
          <w:szCs w:val="20"/>
          <w:rtl/>
        </w:rPr>
        <w:t>)</w:t>
      </w:r>
      <w:r w:rsidR="00BA0473">
        <w:rPr>
          <w:rtl/>
        </w:rPr>
        <w:t>،</w:t>
      </w:r>
      <w:r>
        <w:rPr>
          <w:rtl/>
        </w:rPr>
        <w:t xml:space="preserve"> وولاية وكالة مكافحة الفساد</w:t>
      </w:r>
      <w:r w:rsidR="00BA0473">
        <w:rPr>
          <w:rtl/>
        </w:rPr>
        <w:t>،</w:t>
      </w:r>
      <w:r>
        <w:rPr>
          <w:rtl/>
        </w:rPr>
        <w:t xml:space="preserve"> وبدء العمل بنظام الإقرار الإلزامي للدخل والممتلكات الخاص بالموظفين العموميين. بيد أن اللجنة تشعر بالقلق إزاء معلومات تفيد بأن الفساد لا يزال سائدا</w:t>
      </w:r>
      <w:r w:rsidR="00A65B25">
        <w:rPr>
          <w:rFonts w:hint="cs"/>
          <w:rtl/>
        </w:rPr>
        <w:t>ً</w:t>
      </w:r>
      <w:r>
        <w:rPr>
          <w:rtl/>
        </w:rPr>
        <w:t xml:space="preserve"> وإزاء نقص المعلومات عن توافر قنوات مأمونة وسهلة المنال للإبلاغ عن الفساد (المادة </w:t>
      </w:r>
      <w:r w:rsidRPr="003B49E0">
        <w:rPr>
          <w:rtl/>
        </w:rPr>
        <w:t>2</w:t>
      </w:r>
      <w:r>
        <w:rPr>
          <w:rFonts w:ascii="Traditional Arabic"/>
          <w:szCs w:val="20"/>
          <w:rtl/>
        </w:rPr>
        <w:t>(</w:t>
      </w:r>
      <w:r w:rsidRPr="003B49E0">
        <w:rPr>
          <w:rtl/>
        </w:rPr>
        <w:t>1</w:t>
      </w:r>
      <w:r>
        <w:rPr>
          <w:rFonts w:ascii="Traditional Arabic"/>
          <w:szCs w:val="20"/>
          <w:rtl/>
        </w:rPr>
        <w:t>))</w:t>
      </w:r>
      <w:r>
        <w:rPr>
          <w:rtl/>
        </w:rPr>
        <w:t xml:space="preserve">. </w:t>
      </w:r>
    </w:p>
    <w:p w14:paraId="3647FF99" w14:textId="2A7AA9C4" w:rsidR="002A6E22" w:rsidRPr="00A65B25" w:rsidRDefault="002A6E22" w:rsidP="003B49E0">
      <w:pPr>
        <w:pStyle w:val="SingleTxtGA"/>
        <w:rPr>
          <w:b/>
          <w:bCs/>
          <w:szCs w:val="20"/>
          <w:lang w:val="ar-SA" w:eastAsia="zh-TW" w:bidi="en-GB"/>
        </w:rPr>
      </w:pPr>
      <w:r w:rsidRPr="003B49E0">
        <w:rPr>
          <w:rtl/>
        </w:rPr>
        <w:t>13-</w:t>
      </w:r>
      <w:r>
        <w:rPr>
          <w:rtl/>
        </w:rPr>
        <w:tab/>
      </w:r>
      <w:r w:rsidRPr="00A65B25">
        <w:rPr>
          <w:b/>
          <w:bCs/>
          <w:rtl/>
        </w:rPr>
        <w:t>توصي اللجنة الدولة الطرف بتكثيف جهودها لمكافحة الفساد كما يلي</w:t>
      </w:r>
      <w:r w:rsidRPr="00A65B25">
        <w:rPr>
          <w:rFonts w:ascii="Traditional Arabic"/>
          <w:b/>
          <w:bCs/>
          <w:szCs w:val="20"/>
          <w:rtl/>
        </w:rPr>
        <w:t>:</w:t>
      </w:r>
    </w:p>
    <w:p w14:paraId="032571CE" w14:textId="78DB2A16" w:rsidR="002A6E22" w:rsidRPr="00A65B25" w:rsidRDefault="003B49E0" w:rsidP="003B49E0">
      <w:pPr>
        <w:pStyle w:val="SingleTxtGA"/>
        <w:rPr>
          <w:b/>
          <w:bCs/>
          <w:lang w:val="ar-SA" w:eastAsia="zh-TW" w:bidi="en-GB"/>
        </w:rPr>
      </w:pPr>
      <w:r w:rsidRPr="00A65B25">
        <w:rPr>
          <w:b/>
          <w:bCs/>
          <w:rtl/>
        </w:rPr>
        <w:tab/>
      </w:r>
      <w:r w:rsidR="002A6E22" w:rsidRPr="00A65B25">
        <w:rPr>
          <w:b/>
          <w:bCs/>
          <w:rtl/>
        </w:rPr>
        <w:t>(أ)</w:t>
      </w:r>
      <w:r w:rsidR="002A6E22" w:rsidRPr="00A65B25">
        <w:rPr>
          <w:b/>
          <w:bCs/>
          <w:rtl/>
        </w:rPr>
        <w:tab/>
        <w:t xml:space="preserve">ضمان التنفيذ الفعال لقانون مكافحة الفساد (رقم </w:t>
      </w:r>
      <w:r w:rsidR="002A6E22" w:rsidRPr="00A65B25">
        <w:rPr>
          <w:rFonts w:cs="Times New Roman"/>
          <w:b/>
          <w:bCs/>
          <w:rtl/>
        </w:rPr>
        <w:t>LRU</w:t>
      </w:r>
      <w:r w:rsidR="002A6E22" w:rsidRPr="00A65B25">
        <w:rPr>
          <w:b/>
          <w:bCs/>
          <w:rtl/>
        </w:rPr>
        <w:t>-419 المؤرخ 3 كانون الثاني/يناير 2017</w:t>
      </w:r>
      <w:r w:rsidR="002A6E22" w:rsidRPr="00A65B25">
        <w:rPr>
          <w:rFonts w:ascii="Traditional Arabic"/>
          <w:b/>
          <w:bCs/>
          <w:rtl/>
        </w:rPr>
        <w:t>)</w:t>
      </w:r>
      <w:r w:rsidR="002A6E22" w:rsidRPr="00A65B25">
        <w:rPr>
          <w:b/>
          <w:bCs/>
          <w:rtl/>
        </w:rPr>
        <w:t xml:space="preserve"> وتعزيز دور وكالة مكافحة الفساد</w:t>
      </w:r>
      <w:r w:rsidR="00BA0473" w:rsidRPr="00A65B25">
        <w:rPr>
          <w:b/>
          <w:bCs/>
          <w:rtl/>
        </w:rPr>
        <w:t>،</w:t>
      </w:r>
      <w:r w:rsidR="002A6E22" w:rsidRPr="00A65B25">
        <w:rPr>
          <w:b/>
          <w:bCs/>
          <w:rtl/>
        </w:rPr>
        <w:t xml:space="preserve"> بما في ذلك توفير الموارد المالية والبشرية الكافية لها</w:t>
      </w:r>
      <w:r w:rsidR="00BA0473" w:rsidRPr="00A65B25">
        <w:rPr>
          <w:b/>
          <w:bCs/>
          <w:rtl/>
        </w:rPr>
        <w:t>،</w:t>
      </w:r>
      <w:r w:rsidR="002A6E22" w:rsidRPr="00A65B25">
        <w:rPr>
          <w:b/>
          <w:bCs/>
          <w:rtl/>
        </w:rPr>
        <w:t xml:space="preserve"> وضمان استقلالها وتوسيع نطاق دورها في التفتيش والرصد؛ </w:t>
      </w:r>
    </w:p>
    <w:p w14:paraId="4E8BA621" w14:textId="636C4530" w:rsidR="002A6E22" w:rsidRPr="00A65B25" w:rsidRDefault="003B49E0" w:rsidP="003B49E0">
      <w:pPr>
        <w:pStyle w:val="SingleTxtGA"/>
        <w:rPr>
          <w:b/>
          <w:bCs/>
          <w:szCs w:val="20"/>
          <w:lang w:val="ar-SA" w:eastAsia="zh-TW" w:bidi="en-GB"/>
        </w:rPr>
      </w:pPr>
      <w:r w:rsidRPr="00A65B25">
        <w:rPr>
          <w:b/>
          <w:bCs/>
          <w:rtl/>
        </w:rPr>
        <w:tab/>
      </w:r>
      <w:r w:rsidR="002A6E22" w:rsidRPr="00A65B25">
        <w:rPr>
          <w:b/>
          <w:bCs/>
          <w:rtl/>
        </w:rPr>
        <w:t>(ب)</w:t>
      </w:r>
      <w:r w:rsidR="002A6E22" w:rsidRPr="00A65B25">
        <w:rPr>
          <w:b/>
          <w:bCs/>
          <w:rtl/>
        </w:rPr>
        <w:tab/>
        <w:t>وضع واعتماد استراتيجية شاملة وطويلة الأجل لمكافحة الفساد</w:t>
      </w:r>
      <w:r w:rsidR="00BA0473" w:rsidRPr="00A65B25">
        <w:rPr>
          <w:b/>
          <w:bCs/>
          <w:rtl/>
        </w:rPr>
        <w:t>،</w:t>
      </w:r>
      <w:r w:rsidR="002A6E22" w:rsidRPr="00A65B25">
        <w:rPr>
          <w:b/>
          <w:bCs/>
          <w:rtl/>
        </w:rPr>
        <w:t xml:space="preserve"> بما في ذلك على الصعيد المحلي؛</w:t>
      </w:r>
    </w:p>
    <w:p w14:paraId="5E7125F7" w14:textId="678CA397" w:rsidR="002A6E22" w:rsidRPr="00A65B25" w:rsidRDefault="003B49E0" w:rsidP="003B49E0">
      <w:pPr>
        <w:pStyle w:val="SingleTxtGA"/>
        <w:rPr>
          <w:b/>
          <w:bCs/>
          <w:szCs w:val="20"/>
          <w:lang w:val="ar-SA" w:eastAsia="zh-TW" w:bidi="en-GB"/>
        </w:rPr>
      </w:pPr>
      <w:r w:rsidRPr="00A65B25">
        <w:rPr>
          <w:b/>
          <w:bCs/>
          <w:rtl/>
        </w:rPr>
        <w:tab/>
      </w:r>
      <w:r w:rsidR="002A6E22" w:rsidRPr="00A65B25">
        <w:rPr>
          <w:b/>
          <w:bCs/>
          <w:rtl/>
        </w:rPr>
        <w:t>(ج)</w:t>
      </w:r>
      <w:r w:rsidR="002A6E22" w:rsidRPr="00A65B25">
        <w:rPr>
          <w:b/>
          <w:bCs/>
          <w:rtl/>
        </w:rPr>
        <w:tab/>
        <w:t>إنشاء قنوات آمنة وسهلة المنال للإبلاغ عن الفساد</w:t>
      </w:r>
      <w:r w:rsidR="00BA0473" w:rsidRPr="00A65B25">
        <w:rPr>
          <w:b/>
          <w:bCs/>
          <w:rtl/>
        </w:rPr>
        <w:t>،</w:t>
      </w:r>
      <w:r w:rsidR="002A6E22" w:rsidRPr="00A65B25">
        <w:rPr>
          <w:b/>
          <w:bCs/>
          <w:rtl/>
        </w:rPr>
        <w:t xml:space="preserve"> واعتماد تدابير لضمان حماية نشطاء مكافحة الفساد والمبلغين عن المخالفات والشهود. </w:t>
      </w:r>
    </w:p>
    <w:p w14:paraId="35CA6DBE" w14:textId="2EA7EF83" w:rsidR="002A6E22" w:rsidRDefault="003B49E0" w:rsidP="003B49E0">
      <w:pPr>
        <w:pStyle w:val="H23GA"/>
        <w:rPr>
          <w:szCs w:val="20"/>
          <w:lang w:val="ar-SA" w:eastAsia="zh-TW" w:bidi="en-GB"/>
        </w:rPr>
      </w:pPr>
      <w:r>
        <w:rPr>
          <w:rtl/>
        </w:rPr>
        <w:tab/>
      </w:r>
      <w:r>
        <w:rPr>
          <w:rtl/>
        </w:rPr>
        <w:tab/>
      </w:r>
      <w:r w:rsidR="002A6E22">
        <w:rPr>
          <w:rtl/>
        </w:rPr>
        <w:t>الأعمال التجارية وحقوق الإنسان</w:t>
      </w:r>
    </w:p>
    <w:p w14:paraId="31E0D2EA" w14:textId="1D264553" w:rsidR="002A6E22" w:rsidRPr="004866C8" w:rsidRDefault="002A6E22" w:rsidP="003B49E0">
      <w:pPr>
        <w:pStyle w:val="SingleTxtGA"/>
        <w:rPr>
          <w:szCs w:val="20"/>
          <w:lang w:val="ar-SA" w:eastAsia="zh-TW" w:bidi="en-GB"/>
        </w:rPr>
      </w:pPr>
      <w:r w:rsidRPr="003B49E0">
        <w:rPr>
          <w:rtl/>
        </w:rPr>
        <w:t>14-</w:t>
      </w:r>
      <w:r>
        <w:rPr>
          <w:rtl/>
        </w:rPr>
        <w:tab/>
        <w:t xml:space="preserve">تحيط اللجنة </w:t>
      </w:r>
      <w:r w:rsidR="00DD1067">
        <w:rPr>
          <w:rtl/>
        </w:rPr>
        <w:t>علماً</w:t>
      </w:r>
      <w:r>
        <w:rPr>
          <w:rtl/>
        </w:rPr>
        <w:t xml:space="preserve"> بالمعلومات التي قدمتها الدولة الطرف أثناء الحوار بشأن الجهود المبذولة لإعداد خطة عمل بشأن الأعمال التجارية وحقوق الإنسان. بيد أن اللجنة تشعر بالقلق إزاء نقص المعلومات عن الإطار التنظيمي المعمول به لضمان احترام كيانات الأعمال التجارية الحقوق المنصوص عليها في العهد وتطبيق العناية الواجبة بحقوق الإنسان (المادة </w:t>
      </w:r>
      <w:r w:rsidRPr="003B49E0">
        <w:rPr>
          <w:rtl/>
        </w:rPr>
        <w:t>2</w:t>
      </w:r>
      <w:r>
        <w:rPr>
          <w:rFonts w:ascii="Traditional Arabic"/>
          <w:szCs w:val="20"/>
          <w:rtl/>
        </w:rPr>
        <w:t>(</w:t>
      </w:r>
      <w:r w:rsidRPr="003B49E0">
        <w:rPr>
          <w:rtl/>
        </w:rPr>
        <w:t>1</w:t>
      </w:r>
      <w:r>
        <w:rPr>
          <w:rFonts w:ascii="Traditional Arabic"/>
          <w:szCs w:val="20"/>
          <w:rtl/>
        </w:rPr>
        <w:t>))</w:t>
      </w:r>
      <w:r>
        <w:rPr>
          <w:rtl/>
        </w:rPr>
        <w:t xml:space="preserve">. </w:t>
      </w:r>
    </w:p>
    <w:p w14:paraId="19081A06" w14:textId="77777777" w:rsidR="002A6E22" w:rsidRPr="00A65B25" w:rsidRDefault="002A6E22" w:rsidP="003B49E0">
      <w:pPr>
        <w:pStyle w:val="SingleTxtGA"/>
        <w:rPr>
          <w:b/>
          <w:bCs/>
          <w:szCs w:val="20"/>
          <w:lang w:val="ar-SA" w:eastAsia="zh-TW" w:bidi="en-GB"/>
        </w:rPr>
      </w:pPr>
      <w:r w:rsidRPr="003B49E0">
        <w:rPr>
          <w:rtl/>
        </w:rPr>
        <w:t>15-</w:t>
      </w:r>
      <w:r>
        <w:rPr>
          <w:rtl/>
        </w:rPr>
        <w:tab/>
      </w:r>
      <w:r w:rsidRPr="00A65B25">
        <w:rPr>
          <w:b/>
          <w:bCs/>
          <w:rtl/>
        </w:rPr>
        <w:t>توصي اللجنة الدولة الطرف بما يلي</w:t>
      </w:r>
      <w:r w:rsidRPr="00A65B25">
        <w:rPr>
          <w:rFonts w:ascii="Traditional Arabic"/>
          <w:b/>
          <w:bCs/>
          <w:szCs w:val="20"/>
        </w:rPr>
        <w:t>:</w:t>
      </w:r>
      <w:r w:rsidRPr="00A65B25">
        <w:rPr>
          <w:b/>
          <w:bCs/>
          <w:rtl/>
        </w:rPr>
        <w:t xml:space="preserve"> </w:t>
      </w:r>
    </w:p>
    <w:p w14:paraId="66DB28CD" w14:textId="7B9C4596" w:rsidR="002A6E22" w:rsidRPr="00A65B25" w:rsidRDefault="003B49E0" w:rsidP="003B49E0">
      <w:pPr>
        <w:pStyle w:val="SingleTxtGA"/>
        <w:rPr>
          <w:b/>
          <w:bCs/>
          <w:szCs w:val="20"/>
          <w:lang w:val="ar-SA" w:eastAsia="zh-TW" w:bidi="en-GB"/>
        </w:rPr>
      </w:pPr>
      <w:r w:rsidRPr="00A65B25">
        <w:rPr>
          <w:b/>
          <w:bCs/>
          <w:rtl/>
        </w:rPr>
        <w:tab/>
      </w:r>
      <w:r w:rsidR="002A6E22" w:rsidRPr="00A65B25">
        <w:rPr>
          <w:b/>
          <w:bCs/>
          <w:rtl/>
        </w:rPr>
        <w:t>(أ)</w:t>
      </w:r>
      <w:r w:rsidR="002A6E22" w:rsidRPr="00A65B25">
        <w:rPr>
          <w:b/>
          <w:bCs/>
          <w:rtl/>
        </w:rPr>
        <w:tab/>
        <w:t>التعجيل بإعداد واعتماد خطة العمل الوطنية بشأن الأعمال التجارية وحقوق الإنسان؛</w:t>
      </w:r>
    </w:p>
    <w:p w14:paraId="00B92B66" w14:textId="23453024" w:rsidR="002A6E22" w:rsidRPr="00A65B25" w:rsidRDefault="003B49E0" w:rsidP="003B49E0">
      <w:pPr>
        <w:pStyle w:val="SingleTxtGA"/>
        <w:rPr>
          <w:b/>
          <w:bCs/>
          <w:szCs w:val="20"/>
          <w:lang w:val="ar-SA" w:eastAsia="zh-TW" w:bidi="en-GB"/>
        </w:rPr>
      </w:pPr>
      <w:r w:rsidRPr="00A65B25">
        <w:rPr>
          <w:b/>
          <w:bCs/>
          <w:rtl/>
        </w:rPr>
        <w:tab/>
      </w:r>
      <w:r w:rsidR="002A6E22" w:rsidRPr="00A65B25">
        <w:rPr>
          <w:b/>
          <w:bCs/>
          <w:rtl/>
        </w:rPr>
        <w:t>(ب)</w:t>
      </w:r>
      <w:r w:rsidR="002A6E22" w:rsidRPr="00A65B25">
        <w:rPr>
          <w:b/>
          <w:bCs/>
          <w:rtl/>
        </w:rPr>
        <w:tab/>
        <w:t>وضع وتنفيذ إطار تنظيمي بشأن العناية الواجبة في مجال حقوق الإنسان لإلزام الشركات التي تتخذ من الدولة الطرف مق</w:t>
      </w:r>
      <w:r w:rsidR="00DD1067">
        <w:rPr>
          <w:b/>
          <w:bCs/>
          <w:rtl/>
        </w:rPr>
        <w:t xml:space="preserve">راً </w:t>
      </w:r>
      <w:r w:rsidR="002A6E22" w:rsidRPr="00A65B25">
        <w:rPr>
          <w:b/>
          <w:bCs/>
          <w:rtl/>
        </w:rPr>
        <w:t xml:space="preserve">لها أو تخضع لولايتها القضائية بتحديد انتهاكات حقوق الإنسان ومنعها والتصدي لها في عملياتها المحلية والخارجية؛ </w:t>
      </w:r>
    </w:p>
    <w:p w14:paraId="5AC2A33F" w14:textId="7AE99FD3" w:rsidR="002A6E22" w:rsidRPr="00A65B25" w:rsidRDefault="003B49E0" w:rsidP="003B49E0">
      <w:pPr>
        <w:pStyle w:val="SingleTxtGA"/>
        <w:rPr>
          <w:b/>
          <w:bCs/>
          <w:szCs w:val="20"/>
          <w:lang w:val="ar-SA" w:eastAsia="zh-TW" w:bidi="en-GB"/>
        </w:rPr>
      </w:pPr>
      <w:r w:rsidRPr="00A65B25">
        <w:rPr>
          <w:b/>
          <w:bCs/>
          <w:rtl/>
        </w:rPr>
        <w:tab/>
      </w:r>
      <w:r w:rsidR="002A6E22" w:rsidRPr="00A65B25">
        <w:rPr>
          <w:b/>
          <w:bCs/>
          <w:rtl/>
        </w:rPr>
        <w:t>(ج)</w:t>
      </w:r>
      <w:r w:rsidR="002A6E22" w:rsidRPr="00A65B25">
        <w:rPr>
          <w:b/>
          <w:bCs/>
          <w:rtl/>
        </w:rPr>
        <w:tab/>
        <w:t>اعتماد تدابير لضمان المسؤولية القانونية للشركات الموجودة في إقليم الدولة الطرف أو التي تديرها هناك عن انتهاكات الحقوق الاقتصادية والاجتماعية والثقافية بسبب أنشطتها</w:t>
      </w:r>
      <w:r w:rsidR="00BA0473" w:rsidRPr="00A65B25">
        <w:rPr>
          <w:b/>
          <w:bCs/>
          <w:rtl/>
        </w:rPr>
        <w:t>،</w:t>
      </w:r>
      <w:r w:rsidR="002A6E22" w:rsidRPr="00A65B25">
        <w:rPr>
          <w:b/>
          <w:bCs/>
          <w:rtl/>
        </w:rPr>
        <w:t xml:space="preserve"> وتوفير سبل انتصاف مناسبة للضحايا؛</w:t>
      </w:r>
    </w:p>
    <w:p w14:paraId="77FD94C1" w14:textId="24FDBBD3" w:rsidR="002A6E22" w:rsidRPr="00A65B25" w:rsidRDefault="003B49E0" w:rsidP="003B49E0">
      <w:pPr>
        <w:pStyle w:val="SingleTxtGA"/>
        <w:rPr>
          <w:b/>
          <w:bCs/>
          <w:szCs w:val="20"/>
          <w:lang w:val="en-US" w:eastAsia="zh-TW" w:bidi="en-GB"/>
        </w:rPr>
      </w:pPr>
      <w:r w:rsidRPr="00A65B25">
        <w:rPr>
          <w:b/>
          <w:bCs/>
          <w:rtl/>
        </w:rPr>
        <w:tab/>
      </w:r>
      <w:r w:rsidR="002A6E22" w:rsidRPr="00A65B25">
        <w:rPr>
          <w:b/>
          <w:bCs/>
          <w:rtl/>
        </w:rPr>
        <w:t>(د)</w:t>
      </w:r>
      <w:r w:rsidR="002A6E22" w:rsidRPr="00A65B25">
        <w:rPr>
          <w:b/>
          <w:bCs/>
          <w:rtl/>
        </w:rPr>
        <w:tab/>
        <w:t xml:space="preserve">جمع معلومات عن المطالبات المقدمة من ضحايا انتهاكات الحقوق الاقتصادية والاجتماعية والثقافية التي ترتكبها كيانات الأعمال التجارية؛ </w:t>
      </w:r>
    </w:p>
    <w:p w14:paraId="5640B8DB" w14:textId="1F133847" w:rsidR="002A6E22" w:rsidRPr="00A65B25" w:rsidRDefault="002A6E22" w:rsidP="003B49E0">
      <w:pPr>
        <w:pStyle w:val="SingleTxtGA"/>
        <w:rPr>
          <w:b/>
          <w:bCs/>
          <w:szCs w:val="20"/>
          <w:lang w:val="ar-SA" w:eastAsia="zh-TW" w:bidi="en-GB"/>
        </w:rPr>
      </w:pPr>
      <w:r w:rsidRPr="00A65B25">
        <w:rPr>
          <w:b/>
          <w:bCs/>
          <w:rtl/>
        </w:rPr>
        <w:lastRenderedPageBreak/>
        <w:t>وتوجه اللجنة انتباه الدولة الطرف إلى تعليقها العام رقم 24</w:t>
      </w:r>
      <w:r w:rsidRPr="00A65B25">
        <w:rPr>
          <w:rFonts w:ascii="Traditional Arabic"/>
          <w:b/>
          <w:bCs/>
          <w:szCs w:val="20"/>
          <w:rtl/>
        </w:rPr>
        <w:t>(</w:t>
      </w:r>
      <w:r w:rsidRPr="00A65B25">
        <w:rPr>
          <w:b/>
          <w:bCs/>
          <w:rtl/>
        </w:rPr>
        <w:t>2017</w:t>
      </w:r>
      <w:r w:rsidRPr="00A65B25">
        <w:rPr>
          <w:rFonts w:ascii="Traditional Arabic"/>
          <w:b/>
          <w:bCs/>
          <w:szCs w:val="20"/>
          <w:rtl/>
        </w:rPr>
        <w:t>)</w:t>
      </w:r>
      <w:r w:rsidRPr="00A65B25">
        <w:rPr>
          <w:b/>
          <w:bCs/>
          <w:rtl/>
        </w:rPr>
        <w:t xml:space="preserve"> بشأن التزامات الدول بموجب العهد الدولي الخاص بالحقوق الاقتصادية والاجتماعية والثقافية في سياق الأنشطة التجارية. </w:t>
      </w:r>
    </w:p>
    <w:p w14:paraId="0C00966F" w14:textId="77777777" w:rsidR="002A6E22" w:rsidRPr="00461DD8" w:rsidRDefault="002A6E22" w:rsidP="003B49E0">
      <w:pPr>
        <w:pStyle w:val="H23GA"/>
        <w:rPr>
          <w:szCs w:val="20"/>
          <w:lang w:val="ar-SA" w:eastAsia="zh-TW" w:bidi="en-GB"/>
        </w:rPr>
      </w:pPr>
      <w:r>
        <w:rPr>
          <w:rtl/>
        </w:rPr>
        <w:tab/>
      </w:r>
      <w:r>
        <w:rPr>
          <w:rtl/>
        </w:rPr>
        <w:tab/>
        <w:t>تغير المناخ</w:t>
      </w:r>
    </w:p>
    <w:p w14:paraId="0D97D0E2" w14:textId="3A94251F" w:rsidR="002A6E22" w:rsidRPr="00A65B25" w:rsidRDefault="002A6E22" w:rsidP="003B49E0">
      <w:pPr>
        <w:pStyle w:val="SingleTxtGA"/>
        <w:rPr>
          <w:spacing w:val="-4"/>
          <w:szCs w:val="20"/>
          <w:lang w:val="ar-SA" w:eastAsia="zh-TW" w:bidi="en-GB"/>
        </w:rPr>
      </w:pPr>
      <w:r w:rsidRPr="003B49E0">
        <w:rPr>
          <w:rtl/>
        </w:rPr>
        <w:t>16-</w:t>
      </w:r>
      <w:r>
        <w:rPr>
          <w:rtl/>
        </w:rPr>
        <w:tab/>
        <w:t xml:space="preserve">تلاحظ اللجنة تقديم المساهمات المنقحة المحددة وطنيا بموجب اتفاق باريس واعتماد استراتيجية الانتقال إلى اقتصاد أخضر بحلول عام </w:t>
      </w:r>
      <w:r w:rsidRPr="003B49E0">
        <w:rPr>
          <w:rtl/>
        </w:rPr>
        <w:t>2030</w:t>
      </w:r>
      <w:r>
        <w:rPr>
          <w:rFonts w:ascii="Traditional Arabic"/>
          <w:szCs w:val="20"/>
          <w:rtl/>
        </w:rPr>
        <w:t>.</w:t>
      </w:r>
      <w:r>
        <w:rPr>
          <w:rtl/>
        </w:rPr>
        <w:t xml:space="preserve"> ومع ذلك</w:t>
      </w:r>
      <w:r w:rsidR="00BA0473">
        <w:rPr>
          <w:rtl/>
        </w:rPr>
        <w:t>،</w:t>
      </w:r>
      <w:r>
        <w:rPr>
          <w:rtl/>
        </w:rPr>
        <w:t xml:space="preserve"> يساور اللجنة القلق إزاء عدم كفاية تدابير </w:t>
      </w:r>
      <w:r w:rsidRPr="00A65B25">
        <w:rPr>
          <w:spacing w:val="-4"/>
          <w:rtl/>
        </w:rPr>
        <w:t>التكيف المتخذة لمعالجة أثر تغير المناخ على السكان</w:t>
      </w:r>
      <w:r w:rsidR="00BA0473" w:rsidRPr="00A65B25">
        <w:rPr>
          <w:spacing w:val="-4"/>
          <w:rtl/>
        </w:rPr>
        <w:t>،</w:t>
      </w:r>
      <w:r w:rsidRPr="00A65B25">
        <w:rPr>
          <w:spacing w:val="-4"/>
          <w:rtl/>
        </w:rPr>
        <w:t xml:space="preserve"> لا سيما النقص المتوقع للموارد المائية (المادة 2</w:t>
      </w:r>
      <w:r w:rsidRPr="00A65B25">
        <w:rPr>
          <w:rFonts w:ascii="Traditional Arabic"/>
          <w:spacing w:val="-4"/>
          <w:szCs w:val="20"/>
          <w:rtl/>
        </w:rPr>
        <w:t>(</w:t>
      </w:r>
      <w:r w:rsidRPr="00A65B25">
        <w:rPr>
          <w:spacing w:val="-4"/>
          <w:rtl/>
        </w:rPr>
        <w:t>1</w:t>
      </w:r>
      <w:r w:rsidRPr="00A65B25">
        <w:rPr>
          <w:rFonts w:ascii="Traditional Arabic"/>
          <w:spacing w:val="-4"/>
          <w:szCs w:val="20"/>
          <w:rtl/>
        </w:rPr>
        <w:t>))</w:t>
      </w:r>
      <w:r w:rsidRPr="00A65B25">
        <w:rPr>
          <w:spacing w:val="-4"/>
          <w:rtl/>
        </w:rPr>
        <w:t xml:space="preserve">. </w:t>
      </w:r>
    </w:p>
    <w:p w14:paraId="14351631" w14:textId="1CD42BB5" w:rsidR="002A6E22" w:rsidRPr="00A65B25" w:rsidRDefault="002A6E22" w:rsidP="003B49E0">
      <w:pPr>
        <w:pStyle w:val="SingleTxtGA"/>
        <w:rPr>
          <w:b/>
          <w:bCs/>
          <w:szCs w:val="20"/>
          <w:lang w:val="ar-SA" w:eastAsia="zh-TW" w:bidi="en-GB"/>
        </w:rPr>
      </w:pPr>
      <w:r w:rsidRPr="003B49E0">
        <w:rPr>
          <w:rtl/>
        </w:rPr>
        <w:t>17-</w:t>
      </w:r>
      <w:r>
        <w:rPr>
          <w:rtl/>
        </w:rPr>
        <w:tab/>
      </w:r>
      <w:r w:rsidRPr="00A65B25">
        <w:rPr>
          <w:b/>
          <w:bCs/>
          <w:rtl/>
        </w:rPr>
        <w:t>توصي اللجنة الدولة الطرف بضمان اتباع نهج قائم على حقوق الإنسان في استراتيجياتها للتكيف من أجل التصدي لآثار الكوارث الطبيعية وتغير المناخ</w:t>
      </w:r>
      <w:r w:rsidR="00BA0473" w:rsidRPr="00A65B25">
        <w:rPr>
          <w:b/>
          <w:bCs/>
          <w:rtl/>
        </w:rPr>
        <w:t>،</w:t>
      </w:r>
      <w:r w:rsidRPr="00A65B25">
        <w:rPr>
          <w:b/>
          <w:bCs/>
          <w:rtl/>
        </w:rPr>
        <w:t xml:space="preserve"> بما في ذلك إنشاء آليات للرصد. وتحيل اللجنة الدولة الطرف إلى بيانها بشأن تغير المناخ والعهد</w:t>
      </w:r>
      <w:r w:rsidR="00D83907" w:rsidRPr="00A65B25">
        <w:rPr>
          <w:rStyle w:val="FootnoteReference"/>
          <w:b/>
          <w:bCs/>
          <w:rtl/>
        </w:rPr>
        <w:t>(</w:t>
      </w:r>
      <w:r w:rsidR="00D83907" w:rsidRPr="00A65B25">
        <w:rPr>
          <w:rStyle w:val="FootnoteReference"/>
          <w:b/>
          <w:bCs/>
          <w:rtl/>
        </w:rPr>
        <w:footnoteReference w:id="6"/>
      </w:r>
      <w:r w:rsidR="00D83907" w:rsidRPr="00A65B25">
        <w:rPr>
          <w:rStyle w:val="FootnoteReference"/>
          <w:b/>
          <w:bCs/>
          <w:rtl/>
        </w:rPr>
        <w:t>)</w:t>
      </w:r>
      <w:r w:rsidR="00A65B25">
        <w:rPr>
          <w:rFonts w:hint="cs"/>
          <w:b/>
          <w:bCs/>
          <w:rtl/>
        </w:rPr>
        <w:t>،</w:t>
      </w:r>
      <w:r w:rsidRPr="00A65B25">
        <w:rPr>
          <w:b/>
          <w:bCs/>
          <w:rtl/>
        </w:rPr>
        <w:t xml:space="preserve"> المعتمد في 8 تشرين الأول/أكتوبر 2018</w:t>
      </w:r>
      <w:r w:rsidR="00BA0473" w:rsidRPr="00A65B25">
        <w:rPr>
          <w:b/>
          <w:bCs/>
          <w:rtl/>
        </w:rPr>
        <w:t>،</w:t>
      </w:r>
      <w:r w:rsidRPr="00A65B25">
        <w:rPr>
          <w:b/>
          <w:bCs/>
          <w:rtl/>
        </w:rPr>
        <w:t xml:space="preserve"> وإلى البيان المشترك بشأن حقوق الإنسان وتغير المناخ</w:t>
      </w:r>
      <w:r w:rsidR="00D83907" w:rsidRPr="00A65B25">
        <w:rPr>
          <w:rStyle w:val="FootnoteReference"/>
          <w:b/>
          <w:bCs/>
          <w:rtl/>
        </w:rPr>
        <w:t>(</w:t>
      </w:r>
      <w:r w:rsidR="00D83907" w:rsidRPr="00A65B25">
        <w:rPr>
          <w:rStyle w:val="FootnoteReference"/>
          <w:b/>
          <w:bCs/>
          <w:rtl/>
        </w:rPr>
        <w:footnoteReference w:id="7"/>
      </w:r>
      <w:r w:rsidR="00D83907" w:rsidRPr="00A65B25">
        <w:rPr>
          <w:rStyle w:val="FootnoteReference"/>
          <w:b/>
          <w:bCs/>
          <w:rtl/>
        </w:rPr>
        <w:t>)</w:t>
      </w:r>
      <w:r w:rsidR="00A65B25">
        <w:rPr>
          <w:rFonts w:hint="cs"/>
          <w:b/>
          <w:bCs/>
          <w:rtl/>
        </w:rPr>
        <w:t>،</w:t>
      </w:r>
      <w:r w:rsidRPr="00A65B25">
        <w:rPr>
          <w:b/>
          <w:bCs/>
          <w:rtl/>
        </w:rPr>
        <w:t xml:space="preserve"> الصادر في 16 أيلول/سبتمبر 2019.</w:t>
      </w:r>
    </w:p>
    <w:p w14:paraId="53A11018" w14:textId="77777777" w:rsidR="002A6E22" w:rsidRPr="0007456F" w:rsidRDefault="002A6E22" w:rsidP="003B49E0">
      <w:pPr>
        <w:pStyle w:val="H23GA"/>
        <w:rPr>
          <w:szCs w:val="20"/>
          <w:lang w:val="ar-SA" w:eastAsia="zh-TW" w:bidi="en-GB"/>
        </w:rPr>
      </w:pPr>
      <w:r>
        <w:rPr>
          <w:rtl/>
        </w:rPr>
        <w:tab/>
      </w:r>
      <w:r>
        <w:rPr>
          <w:rtl/>
        </w:rPr>
        <w:tab/>
        <w:t>الحد الأقصى من الموارد المتاحة</w:t>
      </w:r>
    </w:p>
    <w:p w14:paraId="64F34EB2" w14:textId="501F1782" w:rsidR="002A6E22" w:rsidRDefault="002A6E22" w:rsidP="003B49E0">
      <w:pPr>
        <w:pStyle w:val="SingleTxtGA"/>
        <w:rPr>
          <w:szCs w:val="20"/>
          <w:lang w:val="ar-SA" w:eastAsia="zh-TW" w:bidi="en-GB"/>
        </w:rPr>
      </w:pPr>
      <w:r w:rsidRPr="003B49E0">
        <w:rPr>
          <w:rtl/>
        </w:rPr>
        <w:t>18-</w:t>
      </w:r>
      <w:r>
        <w:rPr>
          <w:rtl/>
        </w:rPr>
        <w:tab/>
        <w:t xml:space="preserve">تحيط اللجنة </w:t>
      </w:r>
      <w:r w:rsidR="00DD1067">
        <w:rPr>
          <w:rtl/>
        </w:rPr>
        <w:t>علماً</w:t>
      </w:r>
      <w:r>
        <w:rPr>
          <w:rtl/>
        </w:rPr>
        <w:t xml:space="preserve"> بالمعلومات المتعلقة بإصلاح النظام الضريبي. بيد أن اللجنة تشعر بالقلق لأن حصة إجمالي الناتج المحلي المخصصة للإنفاق العام لا تزال منخفضة</w:t>
      </w:r>
      <w:r w:rsidR="00BA0473">
        <w:rPr>
          <w:rtl/>
        </w:rPr>
        <w:t>،</w:t>
      </w:r>
      <w:r>
        <w:rPr>
          <w:rtl/>
        </w:rPr>
        <w:t xml:space="preserve"> على الرغم من زيادتها منذ عام </w:t>
      </w:r>
      <w:r w:rsidRPr="003B49E0">
        <w:rPr>
          <w:rtl/>
        </w:rPr>
        <w:t>2011</w:t>
      </w:r>
      <w:r>
        <w:rPr>
          <w:rFonts w:ascii="Traditional Arabic"/>
          <w:szCs w:val="20"/>
          <w:rtl/>
        </w:rPr>
        <w:t xml:space="preserve"> (</w:t>
      </w:r>
      <w:r>
        <w:rPr>
          <w:rtl/>
        </w:rPr>
        <w:t xml:space="preserve">المادة </w:t>
      </w:r>
      <w:r w:rsidRPr="003B49E0">
        <w:rPr>
          <w:rtl/>
        </w:rPr>
        <w:t>2</w:t>
      </w:r>
      <w:r>
        <w:rPr>
          <w:rFonts w:ascii="Traditional Arabic"/>
          <w:szCs w:val="20"/>
          <w:rtl/>
        </w:rPr>
        <w:t>(</w:t>
      </w:r>
      <w:r w:rsidRPr="003B49E0">
        <w:rPr>
          <w:rtl/>
        </w:rPr>
        <w:t>1</w:t>
      </w:r>
      <w:r>
        <w:rPr>
          <w:rFonts w:ascii="Traditional Arabic"/>
          <w:szCs w:val="20"/>
          <w:rtl/>
        </w:rPr>
        <w:t>)).</w:t>
      </w:r>
      <w:r>
        <w:rPr>
          <w:rtl/>
        </w:rPr>
        <w:t xml:space="preserve"> </w:t>
      </w:r>
    </w:p>
    <w:p w14:paraId="651EE4AB" w14:textId="54DC1B4F" w:rsidR="002A6E22" w:rsidRDefault="002A6E22" w:rsidP="003B49E0">
      <w:pPr>
        <w:pStyle w:val="SingleTxtGA"/>
        <w:rPr>
          <w:szCs w:val="20"/>
          <w:lang w:val="ar-SA" w:eastAsia="zh-TW" w:bidi="en-GB"/>
        </w:rPr>
      </w:pPr>
      <w:r w:rsidRPr="003B49E0">
        <w:rPr>
          <w:rtl/>
        </w:rPr>
        <w:t>19-</w:t>
      </w:r>
      <w:r>
        <w:rPr>
          <w:rtl/>
        </w:rPr>
        <w:tab/>
      </w:r>
      <w:r w:rsidRPr="00936074">
        <w:rPr>
          <w:b/>
          <w:bCs/>
          <w:rtl/>
        </w:rPr>
        <w:t>توصي اللجنة الدولة الطرف بزيادة مستوى الإنفاق الاجتماعي على الصعيدين الوطني والمحلي</w:t>
      </w:r>
      <w:r w:rsidR="00BA0473" w:rsidRPr="00936074">
        <w:rPr>
          <w:b/>
          <w:bCs/>
          <w:rtl/>
        </w:rPr>
        <w:t>،</w:t>
      </w:r>
      <w:r w:rsidRPr="00936074">
        <w:rPr>
          <w:b/>
          <w:bCs/>
          <w:rtl/>
        </w:rPr>
        <w:t xml:space="preserve"> مع إيلاء اهتمام خاص للأحوال الهشة للأفراد والفئات المحرومة والمهمشة</w:t>
      </w:r>
      <w:r w:rsidR="00BA0473" w:rsidRPr="00936074">
        <w:rPr>
          <w:b/>
          <w:bCs/>
          <w:rtl/>
        </w:rPr>
        <w:t>،</w:t>
      </w:r>
      <w:r w:rsidRPr="00936074">
        <w:rPr>
          <w:b/>
          <w:bCs/>
          <w:rtl/>
        </w:rPr>
        <w:t xml:space="preserve"> وإجراء تقييم لأثر سياساتها المتعلقة بالاقتصاد الكلي والميزانية على حقوق الإنسان</w:t>
      </w:r>
      <w:r w:rsidR="00BA0473" w:rsidRPr="00936074">
        <w:rPr>
          <w:b/>
          <w:bCs/>
          <w:rtl/>
        </w:rPr>
        <w:t>،</w:t>
      </w:r>
      <w:r w:rsidRPr="00936074">
        <w:rPr>
          <w:b/>
          <w:bCs/>
          <w:rtl/>
        </w:rPr>
        <w:t xml:space="preserve"> بغية الاستفادة</w:t>
      </w:r>
      <w:r w:rsidR="004131A5">
        <w:rPr>
          <w:b/>
          <w:bCs/>
          <w:rtl/>
        </w:rPr>
        <w:t xml:space="preserve"> </w:t>
      </w:r>
      <w:r w:rsidRPr="00936074">
        <w:rPr>
          <w:b/>
          <w:bCs/>
          <w:rtl/>
        </w:rPr>
        <w:t xml:space="preserve">من الموارد المتاحة إلى أقصى حد ممكن لتحقيق الإعمال الكامل للحقوق الاقتصادية والاجتماعية والثقافية. </w:t>
      </w:r>
    </w:p>
    <w:p w14:paraId="6D376470" w14:textId="77777777" w:rsidR="002A6E22" w:rsidRPr="00EC7048" w:rsidRDefault="002A6E22" w:rsidP="003B49E0">
      <w:pPr>
        <w:pStyle w:val="H23GA"/>
        <w:rPr>
          <w:szCs w:val="20"/>
          <w:lang w:val="ar-SA" w:eastAsia="zh-TW" w:bidi="en-GB"/>
        </w:rPr>
      </w:pPr>
      <w:r>
        <w:rPr>
          <w:rtl/>
        </w:rPr>
        <w:tab/>
      </w:r>
      <w:r>
        <w:rPr>
          <w:rtl/>
        </w:rPr>
        <w:tab/>
        <w:t xml:space="preserve">عدم التمييز </w:t>
      </w:r>
    </w:p>
    <w:p w14:paraId="0115013F" w14:textId="4ADB4ACD" w:rsidR="002A6E22" w:rsidRDefault="002A6E22" w:rsidP="003B49E0">
      <w:pPr>
        <w:pStyle w:val="SingleTxtGA"/>
        <w:rPr>
          <w:szCs w:val="20"/>
          <w:lang w:val="ar-SA" w:eastAsia="zh-TW" w:bidi="en-GB"/>
        </w:rPr>
      </w:pPr>
      <w:r w:rsidRPr="003B49E0">
        <w:rPr>
          <w:rtl/>
        </w:rPr>
        <w:t>20-</w:t>
      </w:r>
      <w:r>
        <w:rPr>
          <w:rtl/>
        </w:rPr>
        <w:tab/>
        <w:t xml:space="preserve">تحيط اللجنة </w:t>
      </w:r>
      <w:r w:rsidR="00DD1067">
        <w:rPr>
          <w:rtl/>
        </w:rPr>
        <w:t>علماً</w:t>
      </w:r>
      <w:r>
        <w:rPr>
          <w:rtl/>
        </w:rPr>
        <w:t xml:space="preserve"> بالمعلومات التي قدمتها الدولة الطرف بشأن حظرها التمييز في الدستور وفي إطارها التشريعي</w:t>
      </w:r>
      <w:r w:rsidR="00BA0473">
        <w:rPr>
          <w:rtl/>
        </w:rPr>
        <w:t>،</w:t>
      </w:r>
      <w:r>
        <w:rPr>
          <w:rtl/>
        </w:rPr>
        <w:t xml:space="preserve"> </w:t>
      </w:r>
      <w:r w:rsidR="00DD1067">
        <w:rPr>
          <w:rtl/>
        </w:rPr>
        <w:t>فضلاً</w:t>
      </w:r>
      <w:r>
        <w:rPr>
          <w:rtl/>
        </w:rPr>
        <w:t xml:space="preserve"> عن المعلومات المتعلقة بصياغة مشروع قانون المساواة وعدم التمييز</w:t>
      </w:r>
      <w:r w:rsidR="00BA0473">
        <w:rPr>
          <w:rtl/>
        </w:rPr>
        <w:t>،</w:t>
      </w:r>
      <w:r>
        <w:rPr>
          <w:rtl/>
        </w:rPr>
        <w:t xml:space="preserve"> الذي ينظر فيه البرلمان. ويساور اللجنة القلق إزاء ما يلي</w:t>
      </w:r>
      <w:r>
        <w:rPr>
          <w:rFonts w:ascii="Traditional Arabic"/>
          <w:szCs w:val="20"/>
        </w:rPr>
        <w:t>:</w:t>
      </w:r>
      <w:r>
        <w:rPr>
          <w:rtl/>
        </w:rPr>
        <w:t xml:space="preserve"> </w:t>
      </w:r>
    </w:p>
    <w:p w14:paraId="1DDD7860" w14:textId="744A81E1" w:rsidR="002A6E22" w:rsidRDefault="003B49E0" w:rsidP="003B49E0">
      <w:pPr>
        <w:pStyle w:val="SingleTxtGA"/>
        <w:rPr>
          <w:szCs w:val="20"/>
          <w:lang w:val="ar-SA" w:eastAsia="zh-TW" w:bidi="en-GB"/>
        </w:rPr>
      </w:pPr>
      <w:r>
        <w:rPr>
          <w:rtl/>
        </w:rPr>
        <w:tab/>
      </w:r>
      <w:r w:rsidR="002A6E22">
        <w:rPr>
          <w:rtl/>
        </w:rPr>
        <w:t>(أ)</w:t>
      </w:r>
      <w:r w:rsidR="002A6E22">
        <w:rPr>
          <w:rtl/>
        </w:rPr>
        <w:tab/>
        <w:t xml:space="preserve">عدم وجود تشريعات وأطر سياسات شاملة لمكافحة التمييز؛ </w:t>
      </w:r>
    </w:p>
    <w:p w14:paraId="545FADFA" w14:textId="2BBABB2B" w:rsidR="002A6E22" w:rsidRDefault="003B49E0" w:rsidP="003B49E0">
      <w:pPr>
        <w:pStyle w:val="SingleTxtGA"/>
        <w:rPr>
          <w:szCs w:val="20"/>
          <w:lang w:val="ar-SA" w:eastAsia="zh-TW" w:bidi="en-GB"/>
        </w:rPr>
      </w:pPr>
      <w:r>
        <w:rPr>
          <w:rtl/>
        </w:rPr>
        <w:tab/>
      </w:r>
      <w:r w:rsidR="002A6E22">
        <w:rPr>
          <w:rtl/>
        </w:rPr>
        <w:t>(ب)</w:t>
      </w:r>
      <w:r w:rsidR="002A6E22">
        <w:rPr>
          <w:rtl/>
        </w:rPr>
        <w:tab/>
        <w:t>تجريم العلاقات الجنسية بالتراضي بين البالغين الذكور</w:t>
      </w:r>
      <w:r w:rsidR="00BA0473">
        <w:rPr>
          <w:rtl/>
        </w:rPr>
        <w:t>،</w:t>
      </w:r>
      <w:r w:rsidR="002A6E22">
        <w:rPr>
          <w:rtl/>
        </w:rPr>
        <w:t xml:space="preserve"> بموجب المادة </w:t>
      </w:r>
      <w:r w:rsidR="002A6E22" w:rsidRPr="003B49E0">
        <w:rPr>
          <w:rtl/>
        </w:rPr>
        <w:t>120</w:t>
      </w:r>
      <w:r w:rsidR="002A6E22">
        <w:rPr>
          <w:rtl/>
        </w:rPr>
        <w:t xml:space="preserve"> من القانون الجنائي</w:t>
      </w:r>
      <w:r w:rsidR="00BA0473">
        <w:rPr>
          <w:rtl/>
        </w:rPr>
        <w:t>،</w:t>
      </w:r>
      <w:r w:rsidR="002A6E22">
        <w:rPr>
          <w:rtl/>
        </w:rPr>
        <w:t xml:space="preserve"> وانتشار أعمال التخويف والتحرش والعنف والوصم ضد المثليات والمثليين ومزدوجي الميل الجنسي ومغايري الهوية الجنسانية وحاملي صفات الجنسين</w:t>
      </w:r>
      <w:r w:rsidR="00BA0473">
        <w:rPr>
          <w:rtl/>
        </w:rPr>
        <w:t>،</w:t>
      </w:r>
      <w:r w:rsidR="002A6E22">
        <w:rPr>
          <w:rtl/>
        </w:rPr>
        <w:t xml:space="preserve"> الأمر الذي يعوق تمتعهم بحقوقهم الاقتصادية والاجتماعية والثقافية؛</w:t>
      </w:r>
    </w:p>
    <w:p w14:paraId="75A23083" w14:textId="03EEBE0E" w:rsidR="002A6E22" w:rsidRDefault="003B49E0" w:rsidP="003B49E0">
      <w:pPr>
        <w:pStyle w:val="SingleTxtGA"/>
        <w:rPr>
          <w:szCs w:val="20"/>
          <w:lang w:val="ar-SA" w:eastAsia="zh-TW" w:bidi="en-GB"/>
        </w:rPr>
      </w:pPr>
      <w:r>
        <w:rPr>
          <w:rtl/>
        </w:rPr>
        <w:tab/>
      </w:r>
      <w:r w:rsidR="002A6E22">
        <w:rPr>
          <w:rtl/>
        </w:rPr>
        <w:t>(ج)</w:t>
      </w:r>
      <w:r w:rsidR="002A6E22">
        <w:rPr>
          <w:rtl/>
        </w:rPr>
        <w:tab/>
        <w:t>الوصم والتمييز في حق الأشخاص المصابين بفيروس نقص المناعة البشرية</w:t>
      </w:r>
      <w:r w:rsidR="002A6E22" w:rsidRPr="003B49E0">
        <w:rPr>
          <w:rtl/>
        </w:rPr>
        <w:t>/</w:t>
      </w:r>
      <w:r w:rsidR="002A6E22">
        <w:rPr>
          <w:rtl/>
        </w:rPr>
        <w:t>الإيدز في مجالات الرعاية الطبية والعمل وحقوق الأسرة</w:t>
      </w:r>
      <w:r w:rsidR="00BA0473">
        <w:rPr>
          <w:rtl/>
        </w:rPr>
        <w:t>،</w:t>
      </w:r>
      <w:r w:rsidR="002A6E22">
        <w:rPr>
          <w:rtl/>
        </w:rPr>
        <w:t xml:space="preserve"> بسبب الأحكام التمييزية في الإطار التشريعي للدولة الطرف (المادة </w:t>
      </w:r>
      <w:r w:rsidR="002A6E22" w:rsidRPr="003B49E0">
        <w:rPr>
          <w:rtl/>
        </w:rPr>
        <w:t>2</w:t>
      </w:r>
      <w:r w:rsidR="002A6E22">
        <w:rPr>
          <w:rFonts w:ascii="Traditional Arabic"/>
          <w:szCs w:val="20"/>
          <w:rtl/>
        </w:rPr>
        <w:t>(</w:t>
      </w:r>
      <w:r w:rsidR="002A6E22" w:rsidRPr="003B49E0">
        <w:rPr>
          <w:rtl/>
        </w:rPr>
        <w:t>2</w:t>
      </w:r>
      <w:r w:rsidR="002A6E22">
        <w:rPr>
          <w:rFonts w:ascii="Traditional Arabic"/>
          <w:szCs w:val="20"/>
          <w:rtl/>
        </w:rPr>
        <w:t>))</w:t>
      </w:r>
      <w:r w:rsidR="002A6E22">
        <w:rPr>
          <w:rtl/>
        </w:rPr>
        <w:t>.</w:t>
      </w:r>
    </w:p>
    <w:p w14:paraId="6A2C0E45" w14:textId="77777777" w:rsidR="002A6E22" w:rsidRPr="00936074" w:rsidRDefault="002A6E22" w:rsidP="003B49E0">
      <w:pPr>
        <w:pStyle w:val="SingleTxtGA"/>
        <w:rPr>
          <w:b/>
          <w:bCs/>
          <w:szCs w:val="20"/>
          <w:lang w:val="ar-SA" w:eastAsia="zh-TW" w:bidi="en-GB"/>
        </w:rPr>
      </w:pPr>
      <w:r w:rsidRPr="003B49E0">
        <w:rPr>
          <w:rtl/>
        </w:rPr>
        <w:t>21-</w:t>
      </w:r>
      <w:r>
        <w:rPr>
          <w:rtl/>
        </w:rPr>
        <w:tab/>
      </w:r>
      <w:r w:rsidRPr="00936074">
        <w:rPr>
          <w:b/>
          <w:bCs/>
          <w:rtl/>
        </w:rPr>
        <w:t>توصي اللجنة الدولة الطرف بما يلي</w:t>
      </w:r>
      <w:r w:rsidRPr="00936074">
        <w:rPr>
          <w:rFonts w:ascii="Traditional Arabic"/>
          <w:b/>
          <w:bCs/>
          <w:szCs w:val="20"/>
        </w:rPr>
        <w:t>:</w:t>
      </w:r>
      <w:r w:rsidRPr="00936074">
        <w:rPr>
          <w:b/>
          <w:bCs/>
          <w:rtl/>
        </w:rPr>
        <w:t xml:space="preserve"> </w:t>
      </w:r>
    </w:p>
    <w:p w14:paraId="372C507F" w14:textId="241FDD13" w:rsidR="002A6E22" w:rsidRPr="00936074" w:rsidRDefault="003B49E0" w:rsidP="003B49E0">
      <w:pPr>
        <w:pStyle w:val="SingleTxtGA"/>
        <w:rPr>
          <w:b/>
          <w:bCs/>
          <w:szCs w:val="20"/>
          <w:lang w:val="ar-SA" w:eastAsia="zh-TW" w:bidi="en-GB"/>
        </w:rPr>
      </w:pPr>
      <w:r w:rsidRPr="00936074">
        <w:rPr>
          <w:b/>
          <w:bCs/>
          <w:rtl/>
        </w:rPr>
        <w:lastRenderedPageBreak/>
        <w:tab/>
      </w:r>
      <w:r w:rsidR="002A6E22" w:rsidRPr="00936074">
        <w:rPr>
          <w:b/>
          <w:bCs/>
          <w:rtl/>
        </w:rPr>
        <w:t>(أ)</w:t>
      </w:r>
      <w:r w:rsidR="002A6E22" w:rsidRPr="00936074">
        <w:rPr>
          <w:b/>
          <w:bCs/>
          <w:rtl/>
        </w:rPr>
        <w:tab/>
        <w:t>التعجيل باعتماد مشروع قانون المساواة وعدم التمييز وضمان أنه يتيح الحماية المناسبة من جميع أشكال التمييز ضمانا</w:t>
      </w:r>
      <w:r w:rsidR="00936074" w:rsidRPr="00936074">
        <w:rPr>
          <w:rFonts w:hint="cs"/>
          <w:b/>
          <w:bCs/>
          <w:rtl/>
        </w:rPr>
        <w:t>ً</w:t>
      </w:r>
      <w:r w:rsidR="002A6E22" w:rsidRPr="00936074">
        <w:rPr>
          <w:b/>
          <w:bCs/>
          <w:rtl/>
        </w:rPr>
        <w:t xml:space="preserve"> للمساواة في الحصول على جميع الحقوق الاقتصادية والاجتماعية والثقافية؛ </w:t>
      </w:r>
    </w:p>
    <w:p w14:paraId="3A18F366" w14:textId="6E321A54" w:rsidR="002A6E22" w:rsidRPr="00936074" w:rsidRDefault="003B49E0" w:rsidP="003B49E0">
      <w:pPr>
        <w:pStyle w:val="SingleTxtGA"/>
        <w:rPr>
          <w:b/>
          <w:bCs/>
          <w:szCs w:val="20"/>
          <w:lang w:val="ar-SA" w:eastAsia="zh-TW" w:bidi="en-GB"/>
        </w:rPr>
      </w:pPr>
      <w:r w:rsidRPr="00936074">
        <w:rPr>
          <w:b/>
          <w:bCs/>
          <w:rtl/>
        </w:rPr>
        <w:tab/>
      </w:r>
      <w:r w:rsidR="002A6E22" w:rsidRPr="00936074">
        <w:rPr>
          <w:b/>
          <w:bCs/>
          <w:rtl/>
        </w:rPr>
        <w:t>(ب)</w:t>
      </w:r>
      <w:r w:rsidR="002A6E22" w:rsidRPr="00936074">
        <w:rPr>
          <w:b/>
          <w:bCs/>
          <w:rtl/>
        </w:rPr>
        <w:tab/>
        <w:t xml:space="preserve">إلغاء المادة 120 من القانون الجنائي؛ </w:t>
      </w:r>
    </w:p>
    <w:p w14:paraId="6A3E7308" w14:textId="1328E92D" w:rsidR="002A6E22" w:rsidRPr="00936074" w:rsidRDefault="003B49E0" w:rsidP="003B49E0">
      <w:pPr>
        <w:pStyle w:val="SingleTxtGA"/>
        <w:rPr>
          <w:b/>
          <w:bCs/>
          <w:szCs w:val="20"/>
          <w:lang w:val="ar-SA" w:eastAsia="zh-TW" w:bidi="en-GB"/>
        </w:rPr>
      </w:pPr>
      <w:r w:rsidRPr="00936074">
        <w:rPr>
          <w:b/>
          <w:bCs/>
          <w:rtl/>
        </w:rPr>
        <w:tab/>
      </w:r>
      <w:r w:rsidR="002A6E22" w:rsidRPr="00936074">
        <w:rPr>
          <w:b/>
          <w:bCs/>
          <w:rtl/>
        </w:rPr>
        <w:t>(ج)</w:t>
      </w:r>
      <w:r w:rsidR="002A6E22" w:rsidRPr="00936074">
        <w:rPr>
          <w:b/>
          <w:bCs/>
          <w:rtl/>
        </w:rPr>
        <w:tab/>
        <w:t>استعراض إطارها التشريعي بهدف القضاء على الأحكام التمييزية ضد الأشخاص المصابين بفيروس نقص المناعة البشرية/الإيدز؛</w:t>
      </w:r>
    </w:p>
    <w:p w14:paraId="78CFF815" w14:textId="39EBADDC" w:rsidR="002A6E22" w:rsidRPr="00936074" w:rsidRDefault="003B49E0" w:rsidP="003B49E0">
      <w:pPr>
        <w:pStyle w:val="SingleTxtGA"/>
        <w:rPr>
          <w:b/>
          <w:bCs/>
          <w:szCs w:val="20"/>
          <w:lang w:val="ar-SA" w:eastAsia="zh-TW" w:bidi="en-GB"/>
        </w:rPr>
      </w:pPr>
      <w:r w:rsidRPr="00936074">
        <w:rPr>
          <w:b/>
          <w:bCs/>
          <w:rtl/>
        </w:rPr>
        <w:tab/>
      </w:r>
      <w:r w:rsidR="002A6E22" w:rsidRPr="00936074">
        <w:rPr>
          <w:b/>
          <w:bCs/>
          <w:rtl/>
        </w:rPr>
        <w:t>(د)</w:t>
      </w:r>
      <w:r w:rsidR="002A6E22" w:rsidRPr="00936074">
        <w:rPr>
          <w:b/>
          <w:bCs/>
          <w:rtl/>
        </w:rPr>
        <w:tab/>
        <w:t>إنشاء آليات لضمان تمكن ضحايا التمييز من التماس الانتصاف</w:t>
      </w:r>
      <w:r w:rsidR="00BA0473" w:rsidRPr="00936074">
        <w:rPr>
          <w:b/>
          <w:bCs/>
          <w:rtl/>
        </w:rPr>
        <w:t>،</w:t>
      </w:r>
      <w:r w:rsidR="002A6E22" w:rsidRPr="00936074">
        <w:rPr>
          <w:b/>
          <w:bCs/>
          <w:rtl/>
        </w:rPr>
        <w:t xml:space="preserve"> بما في ذلك سبل الانتصاف الإدارية والقضائية الفعالة؛</w:t>
      </w:r>
    </w:p>
    <w:p w14:paraId="5D6D3956" w14:textId="23DF9522" w:rsidR="002A6E22" w:rsidRPr="00936074" w:rsidRDefault="003B49E0" w:rsidP="003B49E0">
      <w:pPr>
        <w:pStyle w:val="SingleTxtGA"/>
        <w:rPr>
          <w:b/>
          <w:bCs/>
          <w:szCs w:val="20"/>
          <w:lang w:val="ar-SA" w:eastAsia="zh-TW" w:bidi="en-GB"/>
        </w:rPr>
      </w:pPr>
      <w:r w:rsidRPr="00936074">
        <w:rPr>
          <w:b/>
          <w:bCs/>
          <w:rtl/>
        </w:rPr>
        <w:tab/>
      </w:r>
      <w:r w:rsidR="002A6E22" w:rsidRPr="00936074">
        <w:rPr>
          <w:b/>
          <w:bCs/>
          <w:rtl/>
        </w:rPr>
        <w:t>(هـ)</w:t>
      </w:r>
      <w:r w:rsidR="002A6E22" w:rsidRPr="00936074">
        <w:rPr>
          <w:b/>
          <w:bCs/>
          <w:rtl/>
        </w:rPr>
        <w:tab/>
        <w:t>تنظيم حملات توعية تستهدف الجمهور ومقدمي الرعاية الصحية والموظفين المكلفين بإنفاذ القانون وغيرهم من الموظفين العموميين للقضاء على القوالب النمطية السلبية ووصم الأفراد من الفئات المهمشة</w:t>
      </w:r>
      <w:r w:rsidR="00BA0473" w:rsidRPr="00936074">
        <w:rPr>
          <w:b/>
          <w:bCs/>
          <w:rtl/>
        </w:rPr>
        <w:t>،</w:t>
      </w:r>
      <w:r w:rsidR="002A6E22" w:rsidRPr="00936074">
        <w:rPr>
          <w:b/>
          <w:bCs/>
          <w:rtl/>
        </w:rPr>
        <w:t xml:space="preserve"> مثل الأشخاص المصابين بفيروس نقص المناعة البشرية</w:t>
      </w:r>
      <w:r w:rsidR="00BA0473" w:rsidRPr="00936074">
        <w:rPr>
          <w:b/>
          <w:bCs/>
          <w:rtl/>
        </w:rPr>
        <w:t>،</w:t>
      </w:r>
      <w:r w:rsidR="002A6E22" w:rsidRPr="00936074">
        <w:rPr>
          <w:b/>
          <w:bCs/>
          <w:rtl/>
        </w:rPr>
        <w:t xml:space="preserve"> والمثليات والمثليين ومزدوجي الميل الجنسي ومغايري الهوية الجنسانية وحاملي صفات الجنسين؛</w:t>
      </w:r>
    </w:p>
    <w:p w14:paraId="423D6DE3" w14:textId="7FFE1CE2" w:rsidR="002A6E22" w:rsidRPr="00936074" w:rsidRDefault="003B49E0" w:rsidP="003B49E0">
      <w:pPr>
        <w:pStyle w:val="SingleTxtGA"/>
        <w:rPr>
          <w:b/>
          <w:bCs/>
          <w:szCs w:val="20"/>
          <w:lang w:val="ar-SA" w:eastAsia="zh-TW" w:bidi="en-GB"/>
        </w:rPr>
      </w:pPr>
      <w:r w:rsidRPr="00936074">
        <w:rPr>
          <w:b/>
          <w:bCs/>
          <w:rtl/>
        </w:rPr>
        <w:tab/>
      </w:r>
      <w:r w:rsidR="002A6E22" w:rsidRPr="00936074">
        <w:rPr>
          <w:b/>
          <w:bCs/>
          <w:rtl/>
        </w:rPr>
        <w:t>(و)</w:t>
      </w:r>
      <w:r w:rsidR="002A6E22" w:rsidRPr="00936074">
        <w:rPr>
          <w:b/>
          <w:bCs/>
          <w:rtl/>
        </w:rPr>
        <w:tab/>
        <w:t>النظر في التعليق العام رقم 20</w:t>
      </w:r>
      <w:r w:rsidR="002A6E22" w:rsidRPr="00936074">
        <w:rPr>
          <w:rFonts w:ascii="Traditional Arabic"/>
          <w:b/>
          <w:bCs/>
          <w:szCs w:val="20"/>
          <w:rtl/>
        </w:rPr>
        <w:t>(</w:t>
      </w:r>
      <w:r w:rsidR="002A6E22" w:rsidRPr="00936074">
        <w:rPr>
          <w:b/>
          <w:bCs/>
          <w:rtl/>
        </w:rPr>
        <w:t>2009</w:t>
      </w:r>
      <w:r w:rsidR="002A6E22" w:rsidRPr="00936074">
        <w:rPr>
          <w:rFonts w:ascii="Traditional Arabic"/>
          <w:b/>
          <w:bCs/>
          <w:szCs w:val="20"/>
          <w:rtl/>
        </w:rPr>
        <w:t>)</w:t>
      </w:r>
      <w:r w:rsidR="002A6E22" w:rsidRPr="00936074">
        <w:rPr>
          <w:b/>
          <w:bCs/>
          <w:rtl/>
        </w:rPr>
        <w:t xml:space="preserve"> للجنة المعنية بالحقوق الاقتصادية والاجتماعية والثقافية</w:t>
      </w:r>
      <w:r w:rsidR="00BA0473" w:rsidRPr="00936074">
        <w:rPr>
          <w:b/>
          <w:bCs/>
          <w:rtl/>
        </w:rPr>
        <w:t>،</w:t>
      </w:r>
      <w:r w:rsidR="002A6E22" w:rsidRPr="00936074">
        <w:rPr>
          <w:b/>
          <w:bCs/>
          <w:rtl/>
        </w:rPr>
        <w:t xml:space="preserve"> بشأن عدم التمييز في الحقوق الاقتصادية والاجتماعية والثقافية.</w:t>
      </w:r>
    </w:p>
    <w:p w14:paraId="49AD688B" w14:textId="77777777" w:rsidR="002A6E22" w:rsidRPr="003F57FD" w:rsidRDefault="002A6E22" w:rsidP="003B49E0">
      <w:pPr>
        <w:pStyle w:val="H23GA"/>
        <w:rPr>
          <w:szCs w:val="20"/>
          <w:lang w:val="ar-SA" w:eastAsia="zh-TW" w:bidi="en-GB"/>
        </w:rPr>
      </w:pPr>
      <w:r>
        <w:rPr>
          <w:rtl/>
        </w:rPr>
        <w:tab/>
      </w:r>
      <w:r>
        <w:rPr>
          <w:rtl/>
        </w:rPr>
        <w:tab/>
        <w:t>اللاجئون وملتمسو اللجوء</w:t>
      </w:r>
    </w:p>
    <w:p w14:paraId="1C90767D" w14:textId="03F6083F" w:rsidR="002A6E22" w:rsidRPr="00D7107B" w:rsidRDefault="002A6E22" w:rsidP="003B49E0">
      <w:pPr>
        <w:pStyle w:val="SingleTxtGA"/>
        <w:rPr>
          <w:lang w:val="ar-SA" w:eastAsia="zh-TW" w:bidi="en-GB"/>
        </w:rPr>
      </w:pPr>
      <w:r w:rsidRPr="00D7107B">
        <w:rPr>
          <w:rtl/>
        </w:rPr>
        <w:t>22-</w:t>
      </w:r>
      <w:r w:rsidRPr="00D7107B">
        <w:rPr>
          <w:rtl/>
        </w:rPr>
        <w:tab/>
        <w:t xml:space="preserve">تلاحظ اللجنة اعتماد القانون المتعلق بالوضع القانوني للمواطنين الأجانب والأشخاص عديمي الجنسية </w:t>
      </w:r>
      <w:r w:rsidRPr="00D7107B">
        <w:rPr>
          <w:rFonts w:ascii="Traditional Arabic"/>
          <w:rtl/>
        </w:rPr>
        <w:t xml:space="preserve">(رقم </w:t>
      </w:r>
      <w:r w:rsidRPr="00D7107B">
        <w:rPr>
          <w:rFonts w:cs="Times New Roman"/>
          <w:rtl/>
        </w:rPr>
        <w:t>ZRU</w:t>
      </w:r>
      <w:r w:rsidRPr="00D7107B">
        <w:rPr>
          <w:rtl/>
        </w:rPr>
        <w:t>-692 المؤرخ 4 حزيران/يونيه 2021</w:t>
      </w:r>
      <w:r w:rsidRPr="00D7107B">
        <w:rPr>
          <w:rFonts w:ascii="Traditional Arabic"/>
          <w:rtl/>
        </w:rPr>
        <w:t>)</w:t>
      </w:r>
      <w:r w:rsidRPr="00D7107B">
        <w:rPr>
          <w:rtl/>
        </w:rPr>
        <w:t>. ومع ذلك</w:t>
      </w:r>
      <w:r w:rsidR="00BA0473" w:rsidRPr="00D7107B">
        <w:rPr>
          <w:rtl/>
        </w:rPr>
        <w:t>،</w:t>
      </w:r>
      <w:r w:rsidRPr="00D7107B">
        <w:rPr>
          <w:rtl/>
        </w:rPr>
        <w:t xml:space="preserve"> يساور اللجنة القلق إزاء عدم وجود إطار قانوني وسياساتي شامل للاجئين وملتمسي اللجوء</w:t>
      </w:r>
      <w:r w:rsidR="00BA0473" w:rsidRPr="00D7107B">
        <w:rPr>
          <w:rtl/>
        </w:rPr>
        <w:t>،</w:t>
      </w:r>
      <w:r w:rsidRPr="00D7107B">
        <w:rPr>
          <w:rtl/>
        </w:rPr>
        <w:t xml:space="preserve"> الأمر الذي يعوق حصولهم على حقوقهم الاقتصادية والاجتماعية (المادة 2</w:t>
      </w:r>
      <w:r w:rsidRPr="00D7107B">
        <w:rPr>
          <w:rFonts w:ascii="Traditional Arabic"/>
          <w:rtl/>
        </w:rPr>
        <w:t>(</w:t>
      </w:r>
      <w:r w:rsidRPr="00D7107B">
        <w:rPr>
          <w:rtl/>
        </w:rPr>
        <w:t>2</w:t>
      </w:r>
      <w:r w:rsidRPr="00D7107B">
        <w:rPr>
          <w:rFonts w:ascii="Traditional Arabic"/>
          <w:rtl/>
        </w:rPr>
        <w:t>))</w:t>
      </w:r>
      <w:r w:rsidRPr="00D7107B">
        <w:rPr>
          <w:rtl/>
        </w:rPr>
        <w:t xml:space="preserve">. </w:t>
      </w:r>
    </w:p>
    <w:p w14:paraId="6D1E52A7" w14:textId="3F6EEE27" w:rsidR="002A6E22" w:rsidRPr="00D7107B" w:rsidRDefault="002A6E22" w:rsidP="003B49E0">
      <w:pPr>
        <w:pStyle w:val="SingleTxtGA"/>
        <w:rPr>
          <w:b/>
          <w:bCs/>
          <w:szCs w:val="20"/>
          <w:lang w:val="ar-SA" w:eastAsia="zh-TW" w:bidi="en-GB"/>
        </w:rPr>
      </w:pPr>
      <w:r w:rsidRPr="003B49E0">
        <w:rPr>
          <w:rtl/>
        </w:rPr>
        <w:t>23-</w:t>
      </w:r>
      <w:r>
        <w:rPr>
          <w:rtl/>
        </w:rPr>
        <w:tab/>
      </w:r>
      <w:r w:rsidRPr="00D7107B">
        <w:rPr>
          <w:b/>
          <w:bCs/>
          <w:rtl/>
        </w:rPr>
        <w:t>توصي اللجنة الدولة الطرف بوضع أطر قانونية وسياساتية وطنية تتماشى مع المعايير الدولية للاجئين وملتمسي اللجوء</w:t>
      </w:r>
      <w:r w:rsidR="00BA0473" w:rsidRPr="00D7107B">
        <w:rPr>
          <w:b/>
          <w:bCs/>
          <w:rtl/>
        </w:rPr>
        <w:t>،</w:t>
      </w:r>
      <w:r w:rsidRPr="00D7107B">
        <w:rPr>
          <w:b/>
          <w:bCs/>
          <w:rtl/>
        </w:rPr>
        <w:t xml:space="preserve"> لضمان حصولهم على العمل والمساعدة الاجتماعية والتعليم والخدمات الصحية. وتوصي اللجنة الدولة الطرف </w:t>
      </w:r>
      <w:r w:rsidR="00DD1067">
        <w:rPr>
          <w:b/>
          <w:bCs/>
          <w:rtl/>
        </w:rPr>
        <w:t>أيضاً</w:t>
      </w:r>
      <w:r w:rsidRPr="00D7107B">
        <w:rPr>
          <w:b/>
          <w:bCs/>
          <w:rtl/>
        </w:rPr>
        <w:t xml:space="preserve"> بالانضمام إلى الاتفاقية الخاصة بوضع اللاجئين لعام 1951</w:t>
      </w:r>
      <w:r w:rsidR="00BA0473" w:rsidRPr="00D7107B">
        <w:rPr>
          <w:b/>
          <w:bCs/>
          <w:rtl/>
        </w:rPr>
        <w:t>،</w:t>
      </w:r>
      <w:r w:rsidRPr="00D7107B">
        <w:rPr>
          <w:b/>
          <w:bCs/>
          <w:rtl/>
        </w:rPr>
        <w:t xml:space="preserve"> والبروتوكول الخاص بوضع اللاجئين لعام 1967</w:t>
      </w:r>
      <w:r w:rsidR="00BA0473" w:rsidRPr="00D7107B">
        <w:rPr>
          <w:b/>
          <w:bCs/>
          <w:rtl/>
        </w:rPr>
        <w:t>،</w:t>
      </w:r>
      <w:r w:rsidRPr="00D7107B">
        <w:rPr>
          <w:b/>
          <w:bCs/>
          <w:rtl/>
        </w:rPr>
        <w:t xml:space="preserve"> </w:t>
      </w:r>
      <w:r w:rsidR="00DD1067">
        <w:rPr>
          <w:b/>
          <w:bCs/>
          <w:rtl/>
        </w:rPr>
        <w:t>فضلاً</w:t>
      </w:r>
      <w:r w:rsidRPr="00D7107B">
        <w:rPr>
          <w:b/>
          <w:bCs/>
          <w:rtl/>
        </w:rPr>
        <w:t xml:space="preserve"> عن الاتفاقية المتعلقة بوضع الأشخاص عديمي الجنسية لعام 1954</w:t>
      </w:r>
      <w:r w:rsidR="00BA0473" w:rsidRPr="00D7107B">
        <w:rPr>
          <w:b/>
          <w:bCs/>
          <w:rtl/>
        </w:rPr>
        <w:t>،</w:t>
      </w:r>
      <w:r w:rsidRPr="00D7107B">
        <w:rPr>
          <w:b/>
          <w:bCs/>
          <w:rtl/>
        </w:rPr>
        <w:t xml:space="preserve"> واتفاقية خفض حالات انعدام الجنسية لعام 1961.</w:t>
      </w:r>
    </w:p>
    <w:p w14:paraId="3F55C82E" w14:textId="77777777" w:rsidR="002A6E22" w:rsidRPr="00BE6528" w:rsidRDefault="002A6E22" w:rsidP="003B49E0">
      <w:pPr>
        <w:pStyle w:val="H23GA"/>
        <w:rPr>
          <w:szCs w:val="20"/>
          <w:lang w:val="ar-SA" w:eastAsia="zh-TW" w:bidi="en-GB"/>
        </w:rPr>
      </w:pPr>
      <w:r>
        <w:rPr>
          <w:rtl/>
        </w:rPr>
        <w:tab/>
      </w:r>
      <w:r>
        <w:rPr>
          <w:rtl/>
        </w:rPr>
        <w:tab/>
        <w:t xml:space="preserve">الأشخاص ذوو الإعاقة </w:t>
      </w:r>
    </w:p>
    <w:p w14:paraId="58ED5BC2" w14:textId="432D95D9" w:rsidR="002A6E22" w:rsidRPr="00D7107B" w:rsidRDefault="002A6E22" w:rsidP="003B49E0">
      <w:pPr>
        <w:pStyle w:val="SingleTxtGA"/>
        <w:rPr>
          <w:lang w:val="ar-SA" w:eastAsia="zh-TW" w:bidi="en-GB"/>
        </w:rPr>
      </w:pPr>
      <w:r w:rsidRPr="00D7107B">
        <w:rPr>
          <w:rtl/>
        </w:rPr>
        <w:t>24-</w:t>
      </w:r>
      <w:r w:rsidRPr="00D7107B">
        <w:rPr>
          <w:rtl/>
        </w:rPr>
        <w:tab/>
        <w:t xml:space="preserve">تلاحظ اللجنة اعتماد قانون حقوق الأشخاص ذوي الإعاقة </w:t>
      </w:r>
      <w:r w:rsidRPr="00D7107B">
        <w:rPr>
          <w:rFonts w:ascii="Traditional Arabic"/>
          <w:rtl/>
        </w:rPr>
        <w:t>(</w:t>
      </w:r>
      <w:r w:rsidRPr="00D7107B">
        <w:rPr>
          <w:rtl/>
        </w:rPr>
        <w:t>رقم</w:t>
      </w:r>
      <w:r w:rsidRPr="00D7107B">
        <w:rPr>
          <w:rFonts w:cs="Times New Roman"/>
          <w:rtl/>
        </w:rPr>
        <w:t xml:space="preserve"> ZRU</w:t>
      </w:r>
      <w:r w:rsidRPr="00D7107B">
        <w:rPr>
          <w:rtl/>
        </w:rPr>
        <w:t>-641 المؤرخ 15 تشرين الأول/أكتوبر 2020</w:t>
      </w:r>
      <w:r w:rsidRPr="00D7107B">
        <w:rPr>
          <w:rFonts w:ascii="Traditional Arabic"/>
          <w:rtl/>
        </w:rPr>
        <w:t>)</w:t>
      </w:r>
      <w:r w:rsidRPr="00D7107B">
        <w:rPr>
          <w:rtl/>
        </w:rPr>
        <w:t xml:space="preserve"> وتدابير أخرى لتعزيز حقوق الأشخاص ذوي الإعاقة. بيد أن اللجنة تشعر بالقلق لأن الأشخاص ذوي الإعاقة يواجهون عقبات تحول دون حصولهم على حقوقهم الاقتصادية والاجتماعية والثقافية</w:t>
      </w:r>
      <w:r w:rsidR="00BA0473" w:rsidRPr="00D7107B">
        <w:rPr>
          <w:rtl/>
        </w:rPr>
        <w:t>،</w:t>
      </w:r>
      <w:r w:rsidRPr="00D7107B">
        <w:rPr>
          <w:rtl/>
        </w:rPr>
        <w:t xml:space="preserve"> بسبب عدم التنفيذ الفعال للترتيبات التيسيرية المعقولة</w:t>
      </w:r>
      <w:r w:rsidR="00BA0473" w:rsidRPr="00D7107B">
        <w:rPr>
          <w:rtl/>
        </w:rPr>
        <w:t>،</w:t>
      </w:r>
      <w:r w:rsidRPr="00D7107B">
        <w:rPr>
          <w:rtl/>
        </w:rPr>
        <w:t xml:space="preserve"> لا سيما في المدارس والجامعات والمرافق الطبية (المادة 2</w:t>
      </w:r>
      <w:r w:rsidRPr="00D7107B">
        <w:rPr>
          <w:rFonts w:ascii="Traditional Arabic"/>
          <w:rtl/>
        </w:rPr>
        <w:t>(</w:t>
      </w:r>
      <w:r w:rsidRPr="00D7107B">
        <w:rPr>
          <w:rtl/>
        </w:rPr>
        <w:t>2</w:t>
      </w:r>
      <w:r w:rsidRPr="00D7107B">
        <w:rPr>
          <w:rFonts w:ascii="Traditional Arabic"/>
          <w:rtl/>
        </w:rPr>
        <w:t>))</w:t>
      </w:r>
      <w:r w:rsidRPr="00D7107B">
        <w:rPr>
          <w:rtl/>
        </w:rPr>
        <w:t xml:space="preserve">. </w:t>
      </w:r>
    </w:p>
    <w:p w14:paraId="24E61385" w14:textId="3EBF777D" w:rsidR="002A6E22" w:rsidRPr="00D7107B" w:rsidRDefault="002A6E22" w:rsidP="003B49E0">
      <w:pPr>
        <w:pStyle w:val="SingleTxtGA"/>
        <w:rPr>
          <w:b/>
          <w:bCs/>
          <w:szCs w:val="20"/>
          <w:lang w:val="en-US" w:eastAsia="zh-TW" w:bidi="en-GB"/>
        </w:rPr>
      </w:pPr>
      <w:r w:rsidRPr="003B49E0">
        <w:rPr>
          <w:rtl/>
        </w:rPr>
        <w:t>25-</w:t>
      </w:r>
      <w:r>
        <w:rPr>
          <w:rtl/>
        </w:rPr>
        <w:tab/>
      </w:r>
      <w:r w:rsidRPr="00D7107B">
        <w:rPr>
          <w:b/>
          <w:bCs/>
          <w:rtl/>
        </w:rPr>
        <w:t>توصي اللجنة الدولة الطرف باعتماد تدابير لضمان وصول الأشخاص ذوي الإعاقة</w:t>
      </w:r>
      <w:r w:rsidR="004131A5">
        <w:rPr>
          <w:b/>
          <w:bCs/>
          <w:rtl/>
        </w:rPr>
        <w:t xml:space="preserve"> </w:t>
      </w:r>
      <w:r w:rsidRPr="00D7107B">
        <w:rPr>
          <w:b/>
          <w:bCs/>
          <w:rtl/>
        </w:rPr>
        <w:t>إلى الخدمات والمرافق العامة</w:t>
      </w:r>
      <w:r w:rsidR="00BA0473" w:rsidRPr="00D7107B">
        <w:rPr>
          <w:b/>
          <w:bCs/>
          <w:rtl/>
        </w:rPr>
        <w:t>،</w:t>
      </w:r>
      <w:r w:rsidRPr="00D7107B">
        <w:rPr>
          <w:b/>
          <w:bCs/>
          <w:rtl/>
        </w:rPr>
        <w:t xml:space="preserve"> وضمان حصولهم على العمل والخدمات الصحية والخدمات الاجتماعية. وتوصي اللجنة </w:t>
      </w:r>
      <w:r w:rsidR="00DD1067">
        <w:rPr>
          <w:b/>
          <w:bCs/>
          <w:rtl/>
        </w:rPr>
        <w:t>أيضاً</w:t>
      </w:r>
      <w:r w:rsidRPr="00D7107B">
        <w:rPr>
          <w:b/>
          <w:bCs/>
          <w:rtl/>
        </w:rPr>
        <w:t xml:space="preserve"> بتعزيز الجهود التي تبذلها الدولة الطرف لتحقيق التعليم الشامل للجميع على جميع المستويات</w:t>
      </w:r>
      <w:r w:rsidR="00BA0473" w:rsidRPr="00D7107B">
        <w:rPr>
          <w:b/>
          <w:bCs/>
          <w:rtl/>
        </w:rPr>
        <w:t>،</w:t>
      </w:r>
      <w:r w:rsidRPr="00D7107B">
        <w:rPr>
          <w:b/>
          <w:bCs/>
          <w:rtl/>
        </w:rPr>
        <w:t xml:space="preserve"> بما في ذلك عن طريق تحسين إمكانية الوصول الفعلي إلى المدارس والجامعات</w:t>
      </w:r>
      <w:r w:rsidR="00BA0473" w:rsidRPr="00D7107B">
        <w:rPr>
          <w:b/>
          <w:bCs/>
          <w:rtl/>
        </w:rPr>
        <w:t>،</w:t>
      </w:r>
      <w:r w:rsidRPr="00D7107B">
        <w:rPr>
          <w:b/>
          <w:bCs/>
          <w:rtl/>
        </w:rPr>
        <w:t xml:space="preserve"> </w:t>
      </w:r>
      <w:r w:rsidRPr="00D7107B">
        <w:rPr>
          <w:b/>
          <w:bCs/>
          <w:rtl/>
        </w:rPr>
        <w:lastRenderedPageBreak/>
        <w:t>وتوفير وسائل النقل الكافية</w:t>
      </w:r>
      <w:r w:rsidR="00BA0473" w:rsidRPr="00D7107B">
        <w:rPr>
          <w:b/>
          <w:bCs/>
          <w:rtl/>
        </w:rPr>
        <w:t>،</w:t>
      </w:r>
      <w:r w:rsidRPr="00D7107B">
        <w:rPr>
          <w:b/>
          <w:bCs/>
          <w:rtl/>
        </w:rPr>
        <w:t xml:space="preserve"> وتزويد المرافق التعليمية بمواد تعليمية ملائمة </w:t>
      </w:r>
      <w:r w:rsidR="00BA0473" w:rsidRPr="00D7107B">
        <w:rPr>
          <w:b/>
          <w:bCs/>
          <w:rtl/>
        </w:rPr>
        <w:t>،</w:t>
      </w:r>
      <w:r w:rsidRPr="00D7107B">
        <w:rPr>
          <w:b/>
          <w:bCs/>
          <w:rtl/>
        </w:rPr>
        <w:t xml:space="preserve"> وتوفير التدريب المناسب</w:t>
      </w:r>
      <w:r w:rsidR="004131A5">
        <w:rPr>
          <w:b/>
          <w:bCs/>
          <w:rtl/>
        </w:rPr>
        <w:t xml:space="preserve"> </w:t>
      </w:r>
      <w:r w:rsidRPr="00D7107B">
        <w:rPr>
          <w:b/>
          <w:bCs/>
          <w:rtl/>
        </w:rPr>
        <w:t>للمدرسين والمربين.</w:t>
      </w:r>
    </w:p>
    <w:p w14:paraId="29879A54" w14:textId="77777777" w:rsidR="002A6E22" w:rsidRPr="00A923E0" w:rsidRDefault="002A6E22" w:rsidP="003B49E0">
      <w:pPr>
        <w:pStyle w:val="H23GA"/>
        <w:rPr>
          <w:szCs w:val="20"/>
          <w:lang w:val="ar-SA" w:eastAsia="zh-TW" w:bidi="en-GB"/>
        </w:rPr>
      </w:pPr>
      <w:r>
        <w:rPr>
          <w:rtl/>
        </w:rPr>
        <w:tab/>
      </w:r>
      <w:r>
        <w:rPr>
          <w:rtl/>
        </w:rPr>
        <w:tab/>
        <w:t xml:space="preserve">المساواة في الحقوق بين الرجل والمرأة </w:t>
      </w:r>
    </w:p>
    <w:p w14:paraId="52384728" w14:textId="0D436B94" w:rsidR="002A6E22" w:rsidRPr="00CB4F3F" w:rsidRDefault="002A6E22" w:rsidP="003B49E0">
      <w:pPr>
        <w:pStyle w:val="SingleTxtGA"/>
        <w:rPr>
          <w:lang w:val="ar-SA" w:eastAsia="zh-TW" w:bidi="en-GB"/>
        </w:rPr>
      </w:pPr>
      <w:r w:rsidRPr="00CB4F3F">
        <w:rPr>
          <w:rtl/>
        </w:rPr>
        <w:t>26-</w:t>
      </w:r>
      <w:r w:rsidRPr="00CB4F3F">
        <w:rPr>
          <w:rtl/>
        </w:rPr>
        <w:tab/>
        <w:t>تثني اللجنة على التدابير القانونية والسياساتية المعتمدة لتحقيق المساواة بين الجنسين</w:t>
      </w:r>
      <w:r w:rsidR="00BA0473" w:rsidRPr="00CB4F3F">
        <w:rPr>
          <w:rtl/>
        </w:rPr>
        <w:t>،</w:t>
      </w:r>
      <w:r w:rsidRPr="00CB4F3F">
        <w:rPr>
          <w:rtl/>
        </w:rPr>
        <w:t xml:space="preserve"> بما في ذلك قانون ضمانات المساواة في الحقوق والفرص بين المرأة والرجل (رقم </w:t>
      </w:r>
      <w:r w:rsidRPr="00CB4F3F">
        <w:rPr>
          <w:rFonts w:cs="Times New Roman"/>
          <w:rtl/>
        </w:rPr>
        <w:t>ZRU</w:t>
      </w:r>
      <w:r w:rsidRPr="00CB4F3F">
        <w:rPr>
          <w:rtl/>
        </w:rPr>
        <w:t>-562 المؤرخ 2 أيلول/سبتمبر 2019</w:t>
      </w:r>
      <w:r w:rsidRPr="00CB4F3F">
        <w:rPr>
          <w:rFonts w:ascii="Traditional Arabic"/>
          <w:rtl/>
        </w:rPr>
        <w:t>)</w:t>
      </w:r>
      <w:r w:rsidRPr="00CB4F3F">
        <w:rPr>
          <w:rtl/>
        </w:rPr>
        <w:t xml:space="preserve"> والاستراتيجية الوطنية للمساواة بين الجنسين. بيد أن اللجنة لا تزال تشعر بالقلق إزاء تقارير تفيد بأن النساء يكسبن أقل من الرجال في سوق العمل</w:t>
      </w:r>
      <w:r w:rsidR="00BA0473" w:rsidRPr="00CB4F3F">
        <w:rPr>
          <w:rtl/>
        </w:rPr>
        <w:t>،</w:t>
      </w:r>
      <w:r w:rsidRPr="00CB4F3F">
        <w:rPr>
          <w:rtl/>
        </w:rPr>
        <w:t xml:space="preserve"> وأن أغلبهن يعملن في القطاع غير الرسمي</w:t>
      </w:r>
      <w:r w:rsidR="00BA0473" w:rsidRPr="00CB4F3F">
        <w:rPr>
          <w:rtl/>
        </w:rPr>
        <w:t>،</w:t>
      </w:r>
      <w:r w:rsidRPr="00CB4F3F">
        <w:rPr>
          <w:rtl/>
        </w:rPr>
        <w:t xml:space="preserve"> وإزاء انخفاض مستوى التحاق النساء والفتيات بالتعليم العالي والتعليم الثانوي. ويساورها القلق </w:t>
      </w:r>
      <w:r w:rsidR="00DD1067">
        <w:rPr>
          <w:rtl/>
        </w:rPr>
        <w:t>أيضاً</w:t>
      </w:r>
      <w:r w:rsidRPr="00CB4F3F">
        <w:rPr>
          <w:rtl/>
        </w:rPr>
        <w:t xml:space="preserve"> إزاء انخفاض تمثيل المرأة في مناصب صنع القرار والمناصب القيادية (المادة 3</w:t>
      </w:r>
      <w:r w:rsidRPr="00CB4F3F">
        <w:rPr>
          <w:rFonts w:ascii="Traditional Arabic"/>
          <w:rtl/>
        </w:rPr>
        <w:t>)</w:t>
      </w:r>
      <w:r w:rsidRPr="00CB4F3F">
        <w:rPr>
          <w:rtl/>
        </w:rPr>
        <w:t xml:space="preserve">. </w:t>
      </w:r>
    </w:p>
    <w:p w14:paraId="540E9DAD" w14:textId="77777777" w:rsidR="002A6E22" w:rsidRPr="00B1561C" w:rsidRDefault="002A6E22" w:rsidP="003B49E0">
      <w:pPr>
        <w:pStyle w:val="SingleTxtGA"/>
        <w:rPr>
          <w:szCs w:val="20"/>
          <w:lang w:val="en-US" w:eastAsia="zh-TW" w:bidi="en-GB"/>
        </w:rPr>
      </w:pPr>
      <w:r w:rsidRPr="003B49E0">
        <w:rPr>
          <w:rtl/>
        </w:rPr>
        <w:t>27-</w:t>
      </w:r>
      <w:r>
        <w:rPr>
          <w:rtl/>
        </w:rPr>
        <w:tab/>
      </w:r>
      <w:r w:rsidRPr="00CB4F3F">
        <w:rPr>
          <w:b/>
          <w:bCs/>
          <w:rtl/>
        </w:rPr>
        <w:t>توصي اللجنة الدولة الطرف بما يلي</w:t>
      </w:r>
      <w:r w:rsidRPr="00CB4F3F">
        <w:rPr>
          <w:rFonts w:ascii="Traditional Arabic"/>
          <w:b/>
          <w:bCs/>
          <w:szCs w:val="20"/>
        </w:rPr>
        <w:t>:</w:t>
      </w:r>
      <w:r>
        <w:rPr>
          <w:rtl/>
        </w:rPr>
        <w:t xml:space="preserve"> </w:t>
      </w:r>
    </w:p>
    <w:p w14:paraId="4FC3CF03" w14:textId="4CDE62B5" w:rsidR="002A6E22" w:rsidRPr="00CB4F3F" w:rsidRDefault="003B49E0" w:rsidP="003B49E0">
      <w:pPr>
        <w:pStyle w:val="SingleTxtGA"/>
        <w:rPr>
          <w:b/>
          <w:bCs/>
          <w:szCs w:val="20"/>
          <w:lang w:val="en-US" w:eastAsia="zh-TW" w:bidi="en-GB"/>
        </w:rPr>
      </w:pPr>
      <w:r w:rsidRPr="00CB4F3F">
        <w:rPr>
          <w:b/>
          <w:bCs/>
          <w:rtl/>
        </w:rPr>
        <w:tab/>
      </w:r>
      <w:r w:rsidR="002A6E22" w:rsidRPr="00CB4F3F">
        <w:rPr>
          <w:b/>
          <w:bCs/>
          <w:rtl/>
        </w:rPr>
        <w:t>(أ)</w:t>
      </w:r>
      <w:r w:rsidR="002A6E22" w:rsidRPr="00CB4F3F">
        <w:rPr>
          <w:b/>
          <w:bCs/>
          <w:rtl/>
        </w:rPr>
        <w:tab/>
        <w:t>إنشاء آليات لضمان التنفيذ الفعال لأطرها التشريعية والسياسية المتعلقة بالمساواة</w:t>
      </w:r>
      <w:r w:rsidR="00D019BF">
        <w:rPr>
          <w:rFonts w:hint="cs"/>
          <w:b/>
          <w:bCs/>
          <w:rtl/>
        </w:rPr>
        <w:t> </w:t>
      </w:r>
      <w:r w:rsidR="002A6E22" w:rsidRPr="00CB4F3F">
        <w:rPr>
          <w:b/>
          <w:bCs/>
          <w:rtl/>
        </w:rPr>
        <w:t>بين الجنسين</w:t>
      </w:r>
      <w:r w:rsidR="00BA0473" w:rsidRPr="00CB4F3F">
        <w:rPr>
          <w:b/>
          <w:bCs/>
          <w:rtl/>
        </w:rPr>
        <w:t>،</w:t>
      </w:r>
      <w:r w:rsidR="002A6E22" w:rsidRPr="00CB4F3F">
        <w:rPr>
          <w:b/>
          <w:bCs/>
          <w:rtl/>
        </w:rPr>
        <w:t xml:space="preserve"> وضمان حصول النساء والفتيات بشكل كامل على حقوقهن الاقتصادية والاجتماعية والثقافية؛ </w:t>
      </w:r>
    </w:p>
    <w:p w14:paraId="25E985C6" w14:textId="70A83BC9" w:rsidR="002A6E22" w:rsidRPr="00CB4F3F" w:rsidRDefault="003B49E0" w:rsidP="003B49E0">
      <w:pPr>
        <w:pStyle w:val="SingleTxtGA"/>
        <w:rPr>
          <w:b/>
          <w:bCs/>
          <w:szCs w:val="20"/>
          <w:lang w:val="ar-SA" w:eastAsia="zh-TW" w:bidi="en-GB"/>
        </w:rPr>
      </w:pPr>
      <w:r w:rsidRPr="00CB4F3F">
        <w:rPr>
          <w:b/>
          <w:bCs/>
          <w:rtl/>
        </w:rPr>
        <w:tab/>
      </w:r>
      <w:r w:rsidR="002A6E22" w:rsidRPr="00CB4F3F">
        <w:rPr>
          <w:b/>
          <w:bCs/>
          <w:rtl/>
        </w:rPr>
        <w:t>(ب)</w:t>
      </w:r>
      <w:r w:rsidR="002A6E22" w:rsidRPr="00CB4F3F">
        <w:rPr>
          <w:b/>
          <w:bCs/>
          <w:rtl/>
        </w:rPr>
        <w:tab/>
        <w:t>اعتماد تدابير للقضاء على القوالب النمطية لدور الجنسين ومعالجة انخفاض معدل التحاق المرأة بالتعليم الثانوي والتعليم العالي</w:t>
      </w:r>
      <w:r w:rsidR="00BA0473" w:rsidRPr="00CB4F3F">
        <w:rPr>
          <w:b/>
          <w:bCs/>
          <w:rtl/>
        </w:rPr>
        <w:t>،</w:t>
      </w:r>
      <w:r w:rsidR="002A6E22" w:rsidRPr="00CB4F3F">
        <w:rPr>
          <w:b/>
          <w:bCs/>
          <w:rtl/>
        </w:rPr>
        <w:t xml:space="preserve"> بما في ذلك عن طريق حملات توعية تستهدف عامة الجمهور</w:t>
      </w:r>
      <w:r w:rsidR="00BA0473" w:rsidRPr="00CB4F3F">
        <w:rPr>
          <w:b/>
          <w:bCs/>
          <w:rtl/>
        </w:rPr>
        <w:t>،</w:t>
      </w:r>
      <w:r w:rsidR="002A6E22" w:rsidRPr="00CB4F3F">
        <w:rPr>
          <w:b/>
          <w:bCs/>
          <w:rtl/>
        </w:rPr>
        <w:t xml:space="preserve"> لا سيما بهدف تيسير مشاركة النساء والفتيات في الاقتصاد وسوق العمل والتعليم وغير ذلك من مجالات الحياة الاجتماعية والثقافية؛</w:t>
      </w:r>
    </w:p>
    <w:p w14:paraId="0ABDD50D" w14:textId="0B78040C" w:rsidR="002A6E22" w:rsidRPr="00CB4F3F" w:rsidRDefault="003B49E0" w:rsidP="003B49E0">
      <w:pPr>
        <w:pStyle w:val="SingleTxtGA"/>
        <w:rPr>
          <w:b/>
          <w:bCs/>
          <w:szCs w:val="20"/>
          <w:lang w:val="ar-SA" w:eastAsia="zh-TW" w:bidi="en-GB"/>
        </w:rPr>
      </w:pPr>
      <w:r w:rsidRPr="00CB4F3F">
        <w:rPr>
          <w:b/>
          <w:bCs/>
          <w:rtl/>
        </w:rPr>
        <w:tab/>
      </w:r>
      <w:r w:rsidR="002A6E22" w:rsidRPr="00CB4F3F">
        <w:rPr>
          <w:b/>
          <w:bCs/>
          <w:rtl/>
        </w:rPr>
        <w:t xml:space="preserve">(ج) </w:t>
      </w:r>
      <w:r w:rsidR="002A6E22" w:rsidRPr="00CB4F3F">
        <w:rPr>
          <w:b/>
          <w:bCs/>
          <w:rtl/>
        </w:rPr>
        <w:tab/>
        <w:t>تعزيز جهودها الرامية إلى تقليص الفجوة في الأجور بين الجنسين</w:t>
      </w:r>
      <w:r w:rsidR="00BA0473" w:rsidRPr="00CB4F3F">
        <w:rPr>
          <w:b/>
          <w:bCs/>
          <w:rtl/>
        </w:rPr>
        <w:t>،</w:t>
      </w:r>
      <w:r w:rsidR="002A6E22" w:rsidRPr="00CB4F3F">
        <w:rPr>
          <w:b/>
          <w:bCs/>
          <w:rtl/>
        </w:rPr>
        <w:t xml:space="preserve"> وتوفير التدريب للمرأة وبناء قدراتها في مجالات العمل غير التقليدية وفي المجالات التي من شأنها أن تتيح لها فرصًا وظيفية متساوية؛ </w:t>
      </w:r>
    </w:p>
    <w:p w14:paraId="2FA2F837" w14:textId="67D74615" w:rsidR="002A6E22" w:rsidRPr="00CB4F3F" w:rsidRDefault="003B49E0" w:rsidP="003B49E0">
      <w:pPr>
        <w:pStyle w:val="SingleTxtGA"/>
        <w:rPr>
          <w:b/>
          <w:bCs/>
          <w:szCs w:val="20"/>
          <w:lang w:val="ar-SA" w:eastAsia="zh-TW" w:bidi="en-GB"/>
        </w:rPr>
      </w:pPr>
      <w:r w:rsidRPr="00CB4F3F">
        <w:rPr>
          <w:b/>
          <w:bCs/>
          <w:rtl/>
        </w:rPr>
        <w:tab/>
      </w:r>
      <w:r w:rsidR="002A6E22" w:rsidRPr="00CB4F3F">
        <w:rPr>
          <w:b/>
          <w:bCs/>
          <w:rtl/>
        </w:rPr>
        <w:t>(د)</w:t>
      </w:r>
      <w:r w:rsidR="002A6E22" w:rsidRPr="00CB4F3F">
        <w:rPr>
          <w:b/>
          <w:bCs/>
          <w:rtl/>
        </w:rPr>
        <w:tab/>
        <w:t>تعزيز نظام الحصص</w:t>
      </w:r>
      <w:r w:rsidR="00BA0473" w:rsidRPr="00CB4F3F">
        <w:rPr>
          <w:b/>
          <w:bCs/>
          <w:rtl/>
        </w:rPr>
        <w:t>،</w:t>
      </w:r>
      <w:r w:rsidR="002A6E22" w:rsidRPr="00CB4F3F">
        <w:rPr>
          <w:b/>
          <w:bCs/>
          <w:rtl/>
        </w:rPr>
        <w:t xml:space="preserve"> واعتماد تدابير لمعالجة نقص تمثيل المرأة في المناصب القيادية ومناصب صنع القرار</w:t>
      </w:r>
      <w:r w:rsidR="00BA0473" w:rsidRPr="00CB4F3F">
        <w:rPr>
          <w:b/>
          <w:bCs/>
          <w:rtl/>
        </w:rPr>
        <w:t>،</w:t>
      </w:r>
      <w:r w:rsidR="002A6E22" w:rsidRPr="00CB4F3F">
        <w:rPr>
          <w:b/>
          <w:bCs/>
          <w:rtl/>
        </w:rPr>
        <w:t xml:space="preserve"> لا سيما على المستوى المحلي.</w:t>
      </w:r>
    </w:p>
    <w:p w14:paraId="1A191B11" w14:textId="77777777" w:rsidR="002A6E22" w:rsidRPr="00A923E0" w:rsidRDefault="002A6E22" w:rsidP="003B49E0">
      <w:pPr>
        <w:pStyle w:val="H23GA"/>
        <w:rPr>
          <w:szCs w:val="20"/>
          <w:lang w:val="ar-SA" w:eastAsia="zh-TW" w:bidi="en-GB"/>
        </w:rPr>
      </w:pPr>
      <w:r>
        <w:rPr>
          <w:rtl/>
        </w:rPr>
        <w:tab/>
      </w:r>
      <w:r>
        <w:rPr>
          <w:rtl/>
        </w:rPr>
        <w:tab/>
        <w:t xml:space="preserve">العمل القسري </w:t>
      </w:r>
    </w:p>
    <w:p w14:paraId="503020C9" w14:textId="4A21C918" w:rsidR="002A6E22" w:rsidRDefault="002A6E22" w:rsidP="003B49E0">
      <w:pPr>
        <w:pStyle w:val="SingleTxtGA"/>
        <w:rPr>
          <w:szCs w:val="20"/>
          <w:lang w:val="ar-SA" w:eastAsia="zh-TW" w:bidi="en-GB"/>
        </w:rPr>
      </w:pPr>
      <w:r w:rsidRPr="003B49E0">
        <w:rPr>
          <w:rtl/>
        </w:rPr>
        <w:t>28-</w:t>
      </w:r>
      <w:r>
        <w:rPr>
          <w:rtl/>
        </w:rPr>
        <w:tab/>
        <w:t>تثني اللجنة على الجهود التي بذلتها الدولة الطرف والتي أسفرت عن الحد من العمل القسري</w:t>
      </w:r>
      <w:r w:rsidR="00BA0473">
        <w:rPr>
          <w:rtl/>
        </w:rPr>
        <w:t>،</w:t>
      </w:r>
      <w:r>
        <w:rPr>
          <w:rtl/>
        </w:rPr>
        <w:t xml:space="preserve"> لا</w:t>
      </w:r>
      <w:r w:rsidR="006B1117">
        <w:rPr>
          <w:rFonts w:hint="cs"/>
          <w:rtl/>
        </w:rPr>
        <w:t> </w:t>
      </w:r>
      <w:r>
        <w:rPr>
          <w:rtl/>
        </w:rPr>
        <w:t xml:space="preserve">سيما عمل الأطفال. بيد أن اللجنة تشعر بالقلق إزاء تقارير تشير إلى أن العمل القسري لا يزال قائما في موسم حصاد القطن (المادتان </w:t>
      </w:r>
      <w:r w:rsidRPr="003B49E0">
        <w:rPr>
          <w:rtl/>
        </w:rPr>
        <w:t>6</w:t>
      </w:r>
      <w:r>
        <w:rPr>
          <w:rtl/>
        </w:rPr>
        <w:t xml:space="preserve"> و</w:t>
      </w:r>
      <w:r w:rsidRPr="003B49E0">
        <w:rPr>
          <w:rtl/>
        </w:rPr>
        <w:t>7</w:t>
      </w:r>
      <w:r>
        <w:rPr>
          <w:rFonts w:ascii="Traditional Arabic"/>
          <w:szCs w:val="20"/>
          <w:rtl/>
        </w:rPr>
        <w:t>)</w:t>
      </w:r>
      <w:r>
        <w:rPr>
          <w:rtl/>
        </w:rPr>
        <w:t xml:space="preserve">. </w:t>
      </w:r>
    </w:p>
    <w:p w14:paraId="61668F0B" w14:textId="7974D041" w:rsidR="002A6E22" w:rsidRPr="0081099F" w:rsidRDefault="002A6E22" w:rsidP="003B49E0">
      <w:pPr>
        <w:pStyle w:val="SingleTxtGA"/>
        <w:rPr>
          <w:b/>
          <w:bCs/>
          <w:szCs w:val="20"/>
          <w:lang w:val="ar-SA" w:eastAsia="zh-TW" w:bidi="en-GB"/>
        </w:rPr>
      </w:pPr>
      <w:r w:rsidRPr="003B49E0">
        <w:rPr>
          <w:rtl/>
        </w:rPr>
        <w:t>29-</w:t>
      </w:r>
      <w:r>
        <w:rPr>
          <w:rtl/>
        </w:rPr>
        <w:t xml:space="preserve"> </w:t>
      </w:r>
      <w:r>
        <w:rPr>
          <w:rtl/>
        </w:rPr>
        <w:tab/>
      </w:r>
      <w:r w:rsidRPr="0081099F">
        <w:rPr>
          <w:b/>
          <w:bCs/>
          <w:rtl/>
        </w:rPr>
        <w:t>توصي اللجنة الدولة الطرف بتكثيف جهودها للقضاء على العمل القسري والأشكال المتبقية من عمل الأطفال</w:t>
      </w:r>
      <w:r w:rsidR="00BA0473" w:rsidRPr="0081099F">
        <w:rPr>
          <w:b/>
          <w:bCs/>
          <w:rtl/>
        </w:rPr>
        <w:t>،</w:t>
      </w:r>
      <w:r w:rsidRPr="0081099F">
        <w:rPr>
          <w:b/>
          <w:bCs/>
          <w:rtl/>
        </w:rPr>
        <w:t xml:space="preserve"> بما في ذلك عن طريق ضمان التنفيذ الفعال للقوانين والسياسات القائمة التي تحظر العمل القسري</w:t>
      </w:r>
      <w:r w:rsidR="00BA0473" w:rsidRPr="0081099F">
        <w:rPr>
          <w:b/>
          <w:bCs/>
          <w:rtl/>
        </w:rPr>
        <w:t>،</w:t>
      </w:r>
      <w:r w:rsidRPr="0081099F">
        <w:rPr>
          <w:b/>
          <w:bCs/>
          <w:rtl/>
        </w:rPr>
        <w:t xml:space="preserve"> وتعزيز مفتشية العمل الحكومية لضمان التحقيق والمقاضاة المناسبين في هذه الحالات</w:t>
      </w:r>
      <w:r w:rsidR="00BA0473" w:rsidRPr="0081099F">
        <w:rPr>
          <w:b/>
          <w:bCs/>
          <w:rtl/>
        </w:rPr>
        <w:t>،</w:t>
      </w:r>
      <w:r w:rsidRPr="0081099F">
        <w:rPr>
          <w:b/>
          <w:bCs/>
          <w:rtl/>
        </w:rPr>
        <w:t xml:space="preserve"> وضمان تقديم تعويضات كاملة للضحايا.</w:t>
      </w:r>
    </w:p>
    <w:p w14:paraId="368A7289" w14:textId="77777777" w:rsidR="002A6E22" w:rsidRPr="0079653D" w:rsidRDefault="002A6E22" w:rsidP="003B49E0">
      <w:pPr>
        <w:pStyle w:val="H23GA"/>
        <w:rPr>
          <w:szCs w:val="20"/>
          <w:lang w:val="ar-SA" w:eastAsia="zh-TW" w:bidi="en-GB"/>
        </w:rPr>
      </w:pPr>
      <w:r>
        <w:rPr>
          <w:rtl/>
        </w:rPr>
        <w:tab/>
      </w:r>
      <w:r>
        <w:rPr>
          <w:rtl/>
        </w:rPr>
        <w:tab/>
        <w:t xml:space="preserve">الحق في ظروف عمل عادلة ومواتية </w:t>
      </w:r>
    </w:p>
    <w:p w14:paraId="7858CDEE" w14:textId="52B2DAE2" w:rsidR="002A6E22" w:rsidRDefault="002A6E22" w:rsidP="003B49E0">
      <w:pPr>
        <w:pStyle w:val="SingleTxtGA"/>
        <w:rPr>
          <w:szCs w:val="20"/>
          <w:lang w:val="ar-SA" w:eastAsia="zh-TW" w:bidi="en-GB"/>
        </w:rPr>
      </w:pPr>
      <w:r w:rsidRPr="003B49E0">
        <w:rPr>
          <w:rtl/>
        </w:rPr>
        <w:t>30-</w:t>
      </w:r>
      <w:r>
        <w:rPr>
          <w:rtl/>
        </w:rPr>
        <w:tab/>
        <w:t xml:space="preserve">تحيط اللجنة </w:t>
      </w:r>
      <w:r w:rsidR="00DD1067">
        <w:rPr>
          <w:rtl/>
        </w:rPr>
        <w:t>علماً</w:t>
      </w:r>
      <w:r>
        <w:rPr>
          <w:rtl/>
        </w:rPr>
        <w:t xml:space="preserve"> بالمعلومات المتعلقة بالاستعراض السنوي للحد الأدنى للأجور وزيادته في السنوات الخمس الماضية</w:t>
      </w:r>
      <w:r w:rsidR="00BA0473">
        <w:rPr>
          <w:rtl/>
        </w:rPr>
        <w:t>،</w:t>
      </w:r>
      <w:r>
        <w:rPr>
          <w:rtl/>
        </w:rPr>
        <w:t xml:space="preserve"> عقب الإصلاح التشريعي. بيد أن اللجنة تشعر بالقلق لأن الحد الأدنى للأجور لا يزال غير كاف لضمان عيش كريم للعمال وأسرهم. وتأسف اللجنة لعدم وجود معلومات عن معايير </w:t>
      </w:r>
      <w:r>
        <w:rPr>
          <w:rtl/>
        </w:rPr>
        <w:lastRenderedPageBreak/>
        <w:t xml:space="preserve">عملية الاستعراض لتحديد مستوى الحد الأدنى للأجور. ويساورها القلق </w:t>
      </w:r>
      <w:r w:rsidR="00DD1067">
        <w:rPr>
          <w:rtl/>
        </w:rPr>
        <w:t>أيضاً</w:t>
      </w:r>
      <w:r>
        <w:rPr>
          <w:rtl/>
        </w:rPr>
        <w:t xml:space="preserve"> إزاء عدم وجود معلومات عن ولاية مفتشية العمل الحكومية لإنفاذ الحد الأدنى للأجور وإجراء عمليات تفتيش في الاقتصاد غير الرسمي (المادة </w:t>
      </w:r>
      <w:r w:rsidRPr="003B49E0">
        <w:rPr>
          <w:rtl/>
        </w:rPr>
        <w:t>7</w:t>
      </w:r>
      <w:r>
        <w:rPr>
          <w:rFonts w:ascii="Traditional Arabic"/>
          <w:szCs w:val="20"/>
          <w:rtl/>
        </w:rPr>
        <w:t>)</w:t>
      </w:r>
      <w:r>
        <w:rPr>
          <w:rtl/>
        </w:rPr>
        <w:t xml:space="preserve">. </w:t>
      </w:r>
    </w:p>
    <w:p w14:paraId="01E10D57" w14:textId="279EEEFD" w:rsidR="002A6E22" w:rsidRPr="003663C8" w:rsidRDefault="002A6E22" w:rsidP="003B49E0">
      <w:pPr>
        <w:pStyle w:val="SingleTxtGA"/>
        <w:rPr>
          <w:b/>
          <w:bCs/>
          <w:szCs w:val="20"/>
          <w:lang w:val="ar-SA" w:eastAsia="zh-TW" w:bidi="en-GB"/>
        </w:rPr>
      </w:pPr>
      <w:r w:rsidRPr="003B49E0">
        <w:rPr>
          <w:rtl/>
        </w:rPr>
        <w:t>31-</w:t>
      </w:r>
      <w:r>
        <w:rPr>
          <w:rtl/>
        </w:rPr>
        <w:tab/>
      </w:r>
      <w:r w:rsidRPr="003663C8">
        <w:rPr>
          <w:b/>
          <w:bCs/>
          <w:rtl/>
        </w:rPr>
        <w:t>توصي اللجنة الدولة الطرف بأن تكفل مشاركة الجهات الاجتماعية الشريكة في الاستعراض الدوري السنوي للحد الأدنى للأجور</w:t>
      </w:r>
      <w:r w:rsidR="00BA0473" w:rsidRPr="003663C8">
        <w:rPr>
          <w:b/>
          <w:bCs/>
          <w:rtl/>
        </w:rPr>
        <w:t>،</w:t>
      </w:r>
      <w:r w:rsidRPr="003663C8">
        <w:rPr>
          <w:b/>
          <w:bCs/>
          <w:rtl/>
        </w:rPr>
        <w:t xml:space="preserve"> وأن تربطه بمؤشر تكاليف المعيشة</w:t>
      </w:r>
      <w:r w:rsidR="00BA0473" w:rsidRPr="003663C8">
        <w:rPr>
          <w:b/>
          <w:bCs/>
          <w:rtl/>
        </w:rPr>
        <w:t>،</w:t>
      </w:r>
      <w:r w:rsidRPr="003663C8">
        <w:rPr>
          <w:b/>
          <w:bCs/>
          <w:rtl/>
        </w:rPr>
        <w:t xml:space="preserve"> بحيث يكفل ذلك تمكين العمال وأسرهم من التمتع بحياة كريمة. وتوصي </w:t>
      </w:r>
      <w:r w:rsidR="00DD1067">
        <w:rPr>
          <w:b/>
          <w:bCs/>
          <w:rtl/>
        </w:rPr>
        <w:t>أيضاً</w:t>
      </w:r>
      <w:r w:rsidRPr="003663C8">
        <w:rPr>
          <w:b/>
          <w:bCs/>
          <w:rtl/>
        </w:rPr>
        <w:t xml:space="preserve"> بإنشاء آليات إنفاذ لدفع الحد الأدنى للأجور</w:t>
      </w:r>
      <w:r w:rsidR="00BA0473" w:rsidRPr="003663C8">
        <w:rPr>
          <w:b/>
          <w:bCs/>
          <w:rtl/>
        </w:rPr>
        <w:t>،</w:t>
      </w:r>
      <w:r w:rsidRPr="003663C8">
        <w:rPr>
          <w:b/>
          <w:bCs/>
          <w:rtl/>
        </w:rPr>
        <w:t xml:space="preserve"> لا سيما في القطاع غير الرسمي</w:t>
      </w:r>
      <w:r w:rsidR="00BA0473" w:rsidRPr="003663C8">
        <w:rPr>
          <w:b/>
          <w:bCs/>
          <w:rtl/>
        </w:rPr>
        <w:t>،</w:t>
      </w:r>
      <w:r w:rsidRPr="003663C8">
        <w:rPr>
          <w:b/>
          <w:bCs/>
          <w:rtl/>
        </w:rPr>
        <w:t xml:space="preserve"> وضمان قنوات شكاوى آمنة وميسرة. وتوصي بتعزيز مفتشية العمل الحكومية لإنفاذ الحد الأدنى للأجور وإجراء عمليات تفتيش في قطاع الاقتصاد غير الرسمي. وتوجه اللجنة انتباه الدولة الطرف إلى تعليقها العام رقم 23</w:t>
      </w:r>
      <w:r w:rsidRPr="003663C8">
        <w:rPr>
          <w:rFonts w:ascii="Traditional Arabic"/>
          <w:b/>
          <w:bCs/>
          <w:szCs w:val="20"/>
          <w:rtl/>
        </w:rPr>
        <w:t>(</w:t>
      </w:r>
      <w:r w:rsidRPr="003663C8">
        <w:rPr>
          <w:b/>
          <w:bCs/>
          <w:rtl/>
        </w:rPr>
        <w:t>2016</w:t>
      </w:r>
      <w:r w:rsidRPr="003663C8">
        <w:rPr>
          <w:rFonts w:ascii="Traditional Arabic"/>
          <w:b/>
          <w:bCs/>
          <w:szCs w:val="20"/>
          <w:rtl/>
        </w:rPr>
        <w:t>)</w:t>
      </w:r>
      <w:r w:rsidRPr="003663C8">
        <w:rPr>
          <w:b/>
          <w:bCs/>
          <w:rtl/>
        </w:rPr>
        <w:t xml:space="preserve"> بشأن الحق في التمتع بشروط عمل عادلة ومواتية.</w:t>
      </w:r>
    </w:p>
    <w:p w14:paraId="31C9690B" w14:textId="77777777" w:rsidR="002A6E22" w:rsidRPr="00641060" w:rsidRDefault="002A6E22" w:rsidP="003B49E0">
      <w:pPr>
        <w:pStyle w:val="H23GA"/>
        <w:rPr>
          <w:szCs w:val="20"/>
          <w:lang w:val="ar-SA" w:eastAsia="zh-TW" w:bidi="en-GB"/>
        </w:rPr>
      </w:pPr>
      <w:r>
        <w:rPr>
          <w:rtl/>
        </w:rPr>
        <w:tab/>
      </w:r>
      <w:r>
        <w:rPr>
          <w:rtl/>
        </w:rPr>
        <w:tab/>
        <w:t>بطالة الشباب</w:t>
      </w:r>
    </w:p>
    <w:p w14:paraId="16CFABCF" w14:textId="07DF0DDD" w:rsidR="002A6E22" w:rsidRDefault="002A6E22" w:rsidP="003B49E0">
      <w:pPr>
        <w:pStyle w:val="SingleTxtGA"/>
        <w:rPr>
          <w:szCs w:val="20"/>
          <w:lang w:val="ar-SA" w:eastAsia="zh-TW" w:bidi="en-GB"/>
        </w:rPr>
      </w:pPr>
      <w:r w:rsidRPr="003B49E0">
        <w:rPr>
          <w:rtl/>
        </w:rPr>
        <w:t>32-</w:t>
      </w:r>
      <w:r>
        <w:rPr>
          <w:rtl/>
        </w:rPr>
        <w:tab/>
        <w:t>يساور اللجنة القلق إزاء ارتفاع معدل الشباب</w:t>
      </w:r>
      <w:r w:rsidR="00BA0473">
        <w:rPr>
          <w:rtl/>
        </w:rPr>
        <w:t>،</w:t>
      </w:r>
      <w:r>
        <w:rPr>
          <w:rtl/>
        </w:rPr>
        <w:t xml:space="preserve"> لا سيما الشابات</w:t>
      </w:r>
      <w:r w:rsidR="00BA0473">
        <w:rPr>
          <w:rtl/>
        </w:rPr>
        <w:t>،</w:t>
      </w:r>
      <w:r>
        <w:rPr>
          <w:rtl/>
        </w:rPr>
        <w:t xml:space="preserve"> الذين لم يحصلوا على عمل أو فرص للتعليم أو التدريب بعد مستوى التعليم الثانوي (المادتان </w:t>
      </w:r>
      <w:r w:rsidRPr="003B49E0">
        <w:rPr>
          <w:rtl/>
        </w:rPr>
        <w:t>3</w:t>
      </w:r>
      <w:r>
        <w:rPr>
          <w:rtl/>
        </w:rPr>
        <w:t xml:space="preserve"> و</w:t>
      </w:r>
      <w:r w:rsidRPr="003B49E0">
        <w:rPr>
          <w:rtl/>
        </w:rPr>
        <w:t>6</w:t>
      </w:r>
      <w:r>
        <w:rPr>
          <w:rFonts w:ascii="Traditional Arabic"/>
          <w:szCs w:val="20"/>
          <w:rtl/>
        </w:rPr>
        <w:t>)</w:t>
      </w:r>
      <w:r>
        <w:rPr>
          <w:rtl/>
        </w:rPr>
        <w:t xml:space="preserve">. </w:t>
      </w:r>
    </w:p>
    <w:p w14:paraId="37FEE264" w14:textId="552C9891" w:rsidR="002A6E22" w:rsidRPr="00D019BF" w:rsidRDefault="002A6E22" w:rsidP="003B49E0">
      <w:pPr>
        <w:pStyle w:val="SingleTxtGA"/>
        <w:rPr>
          <w:b/>
          <w:bCs/>
          <w:szCs w:val="20"/>
          <w:lang w:val="ar-SA" w:eastAsia="zh-TW" w:bidi="en-GB"/>
        </w:rPr>
      </w:pPr>
      <w:r w:rsidRPr="003B49E0">
        <w:rPr>
          <w:rtl/>
        </w:rPr>
        <w:t>33-</w:t>
      </w:r>
      <w:r>
        <w:rPr>
          <w:rtl/>
        </w:rPr>
        <w:tab/>
      </w:r>
      <w:r w:rsidRPr="00D019BF">
        <w:rPr>
          <w:b/>
          <w:bCs/>
          <w:rtl/>
        </w:rPr>
        <w:t>توصي اللجنة الدولة الطرف بتعزيز جهودها الرامية إلى خفض عدد الشباب الذين لم يحصلوا على فرص للعمل أو التعليم أو التدريب</w:t>
      </w:r>
      <w:r w:rsidR="00BA0473" w:rsidRPr="00D019BF">
        <w:rPr>
          <w:b/>
          <w:bCs/>
          <w:rtl/>
        </w:rPr>
        <w:t>،</w:t>
      </w:r>
      <w:r w:rsidRPr="00D019BF">
        <w:rPr>
          <w:b/>
          <w:bCs/>
          <w:rtl/>
        </w:rPr>
        <w:t xml:space="preserve"> والسعي كذلك إلى زيادة فرص التدريب التقني والمهني المصممة خصي</w:t>
      </w:r>
      <w:r w:rsidR="00DD1067" w:rsidRPr="00D019BF">
        <w:rPr>
          <w:b/>
          <w:bCs/>
          <w:rtl/>
        </w:rPr>
        <w:t xml:space="preserve">صاً </w:t>
      </w:r>
      <w:r w:rsidRPr="00D019BF">
        <w:rPr>
          <w:b/>
          <w:bCs/>
          <w:rtl/>
        </w:rPr>
        <w:t>لسوق العمل</w:t>
      </w:r>
      <w:r w:rsidR="00BA0473" w:rsidRPr="00D019BF">
        <w:rPr>
          <w:b/>
          <w:bCs/>
          <w:rtl/>
        </w:rPr>
        <w:t>،</w:t>
      </w:r>
      <w:r w:rsidRPr="00D019BF">
        <w:rPr>
          <w:b/>
          <w:bCs/>
          <w:rtl/>
        </w:rPr>
        <w:t xml:space="preserve"> مع التركيز على المرأة بوجه خاص.</w:t>
      </w:r>
    </w:p>
    <w:p w14:paraId="483FE707" w14:textId="77777777" w:rsidR="002A6E22" w:rsidRPr="005A4E4D" w:rsidRDefault="002A6E22" w:rsidP="003B49E0">
      <w:pPr>
        <w:pStyle w:val="H23GA"/>
        <w:rPr>
          <w:szCs w:val="20"/>
          <w:lang w:val="ar-SA" w:eastAsia="zh-TW" w:bidi="en-GB"/>
        </w:rPr>
      </w:pPr>
      <w:r>
        <w:rPr>
          <w:rtl/>
        </w:rPr>
        <w:tab/>
      </w:r>
      <w:r>
        <w:rPr>
          <w:rtl/>
        </w:rPr>
        <w:tab/>
        <w:t>حقوق النقابات</w:t>
      </w:r>
    </w:p>
    <w:p w14:paraId="568EC312" w14:textId="084B4464" w:rsidR="002A6E22" w:rsidRPr="003663C8" w:rsidRDefault="002A6E22" w:rsidP="003B49E0">
      <w:pPr>
        <w:pStyle w:val="SingleTxtGA"/>
        <w:rPr>
          <w:lang w:val="ar-SA" w:eastAsia="zh-TW" w:bidi="en-GB"/>
        </w:rPr>
      </w:pPr>
      <w:r w:rsidRPr="003663C8">
        <w:rPr>
          <w:rtl/>
        </w:rPr>
        <w:t>34-</w:t>
      </w:r>
      <w:r w:rsidRPr="003663C8">
        <w:rPr>
          <w:rtl/>
        </w:rPr>
        <w:tab/>
        <w:t xml:space="preserve">تحيط اللجنة </w:t>
      </w:r>
      <w:r w:rsidR="00DD1067">
        <w:rPr>
          <w:rtl/>
        </w:rPr>
        <w:t>علماً</w:t>
      </w:r>
      <w:r w:rsidRPr="003663C8">
        <w:rPr>
          <w:rtl/>
        </w:rPr>
        <w:t xml:space="preserve"> بالمعلومات المتعلقة باعتماد قانون النقابات العمالية </w:t>
      </w:r>
      <w:r w:rsidRPr="003663C8">
        <w:rPr>
          <w:rFonts w:ascii="Traditional Arabic"/>
          <w:rtl/>
        </w:rPr>
        <w:t>(</w:t>
      </w:r>
      <w:r w:rsidRPr="003663C8">
        <w:rPr>
          <w:rtl/>
        </w:rPr>
        <w:t>رقم</w:t>
      </w:r>
      <w:r w:rsidRPr="003663C8">
        <w:rPr>
          <w:rFonts w:cs="Times New Roman"/>
          <w:rtl/>
        </w:rPr>
        <w:t xml:space="preserve"> ZRU</w:t>
      </w:r>
      <w:r w:rsidRPr="003663C8">
        <w:rPr>
          <w:rtl/>
        </w:rPr>
        <w:t>-588 المؤرخ 6 كانون الأول/ديسمبر 2019</w:t>
      </w:r>
      <w:r w:rsidRPr="003663C8">
        <w:rPr>
          <w:rFonts w:ascii="Traditional Arabic"/>
          <w:rtl/>
        </w:rPr>
        <w:t>)</w:t>
      </w:r>
      <w:r w:rsidRPr="003663C8">
        <w:rPr>
          <w:rtl/>
        </w:rPr>
        <w:t xml:space="preserve">. بيد أن اللجنة تشعر بالقلق لأنه يتعين على النقابات الحصول على موافقة من وزارة العدل للتسجيل </w:t>
      </w:r>
      <w:r w:rsidR="00DD1067">
        <w:rPr>
          <w:rtl/>
        </w:rPr>
        <w:t>رسمياً</w:t>
      </w:r>
      <w:r w:rsidRPr="003663C8">
        <w:rPr>
          <w:rtl/>
        </w:rPr>
        <w:t xml:space="preserve">. ويساورها القلق </w:t>
      </w:r>
      <w:r w:rsidR="00DD1067">
        <w:rPr>
          <w:rtl/>
        </w:rPr>
        <w:t>أيضاً</w:t>
      </w:r>
      <w:r w:rsidRPr="003663C8">
        <w:rPr>
          <w:rtl/>
        </w:rPr>
        <w:t xml:space="preserve"> لعدم حدوث زيادة في عدد النقابات المسجلة منذ عام 2016</w:t>
      </w:r>
      <w:r w:rsidR="00BA0473" w:rsidRPr="003663C8">
        <w:rPr>
          <w:rtl/>
        </w:rPr>
        <w:t>،</w:t>
      </w:r>
      <w:r w:rsidRPr="003663C8">
        <w:rPr>
          <w:rtl/>
        </w:rPr>
        <w:t xml:space="preserve"> وإزاء انخفاض مستوى مشاركة موظفي القطاعين العام والخاص في النقابات العمالية (المادة 8</w:t>
      </w:r>
      <w:r w:rsidRPr="003663C8">
        <w:rPr>
          <w:rFonts w:ascii="Traditional Arabic"/>
          <w:rtl/>
        </w:rPr>
        <w:t>)</w:t>
      </w:r>
      <w:r w:rsidRPr="003663C8">
        <w:rPr>
          <w:rtl/>
        </w:rPr>
        <w:t xml:space="preserve">. </w:t>
      </w:r>
    </w:p>
    <w:p w14:paraId="3DDE66FA" w14:textId="6D1E55C9" w:rsidR="002A6E22" w:rsidRPr="00027BD5" w:rsidRDefault="002A6E22" w:rsidP="003B49E0">
      <w:pPr>
        <w:pStyle w:val="SingleTxtGA"/>
        <w:rPr>
          <w:rFonts w:ascii="Times New Roman Bold" w:hAnsi="Times New Roman Bold" w:hint="eastAsia"/>
          <w:b/>
          <w:bCs/>
          <w:spacing w:val="-2"/>
          <w:szCs w:val="20"/>
          <w:lang w:val="ar-SA" w:eastAsia="zh-TW" w:bidi="en-GB"/>
        </w:rPr>
      </w:pPr>
      <w:r w:rsidRPr="003B49E0">
        <w:rPr>
          <w:rtl/>
        </w:rPr>
        <w:t>35-</w:t>
      </w:r>
      <w:r>
        <w:rPr>
          <w:rtl/>
        </w:rPr>
        <w:tab/>
      </w:r>
      <w:r w:rsidRPr="003663C8">
        <w:rPr>
          <w:b/>
          <w:bCs/>
          <w:rtl/>
        </w:rPr>
        <w:t>توصي اللجنة الدولة الطرف بتعزيز تدابيرها الرامية إلى ضمان حق الموظفين في إنشاء نقابات يختارونها بأنفسهم</w:t>
      </w:r>
      <w:r w:rsidR="00BA0473" w:rsidRPr="003663C8">
        <w:rPr>
          <w:b/>
          <w:bCs/>
          <w:rtl/>
        </w:rPr>
        <w:t>،</w:t>
      </w:r>
      <w:r w:rsidRPr="003663C8">
        <w:rPr>
          <w:b/>
          <w:bCs/>
          <w:rtl/>
        </w:rPr>
        <w:t xml:space="preserve"> وذلك بإلغاء شرط الحصول على إذن مسبق من وزارة العدل</w:t>
      </w:r>
      <w:r w:rsidR="00BA0473" w:rsidRPr="003663C8">
        <w:rPr>
          <w:b/>
          <w:bCs/>
          <w:rtl/>
        </w:rPr>
        <w:t>،</w:t>
      </w:r>
      <w:r w:rsidRPr="003663C8">
        <w:rPr>
          <w:b/>
          <w:bCs/>
          <w:rtl/>
        </w:rPr>
        <w:t xml:space="preserve"> وإزالة العقبات الإدارية التي تحول دون تشكيل نقابات العمال. وتوصي </w:t>
      </w:r>
      <w:r w:rsidR="00DD1067">
        <w:rPr>
          <w:b/>
          <w:bCs/>
          <w:rtl/>
        </w:rPr>
        <w:t>أيضاً</w:t>
      </w:r>
      <w:r w:rsidRPr="003663C8">
        <w:rPr>
          <w:b/>
          <w:bCs/>
          <w:rtl/>
        </w:rPr>
        <w:t xml:space="preserve"> بالتعجيل باعتماد مشروع قانون التجمعات والاجتماعات والمظاهرات</w:t>
      </w:r>
      <w:r w:rsidR="00BA0473" w:rsidRPr="003663C8">
        <w:rPr>
          <w:b/>
          <w:bCs/>
          <w:rtl/>
        </w:rPr>
        <w:t>،</w:t>
      </w:r>
      <w:r w:rsidRPr="003663C8">
        <w:rPr>
          <w:b/>
          <w:bCs/>
          <w:rtl/>
        </w:rPr>
        <w:t xml:space="preserve"> تشارك فيه النقابات العمالية والجهات المعنية صاحبة المصلحة بشكل فعلي ومجدي</w:t>
      </w:r>
      <w:r w:rsidR="00BA0473" w:rsidRPr="003663C8">
        <w:rPr>
          <w:b/>
          <w:bCs/>
          <w:rtl/>
        </w:rPr>
        <w:t>،</w:t>
      </w:r>
      <w:r w:rsidRPr="003663C8">
        <w:rPr>
          <w:b/>
          <w:bCs/>
          <w:rtl/>
        </w:rPr>
        <w:t xml:space="preserve"> مع ضمان أن تتمكن النقابات العمالية من ممارسة حقوقها وأنشطتها بحرية ودون قيود وترهيب لا مبرر لهما. وتوجه اللجنة انتباه الدولة الطرف إلى تعليقها العام رقم 18</w:t>
      </w:r>
      <w:r w:rsidRPr="003663C8">
        <w:rPr>
          <w:rFonts w:ascii="Traditional Arabic"/>
          <w:b/>
          <w:bCs/>
          <w:szCs w:val="20"/>
          <w:rtl/>
        </w:rPr>
        <w:t>(</w:t>
      </w:r>
      <w:r w:rsidRPr="003663C8">
        <w:rPr>
          <w:b/>
          <w:bCs/>
          <w:rtl/>
        </w:rPr>
        <w:t>2005</w:t>
      </w:r>
      <w:r w:rsidRPr="003663C8">
        <w:rPr>
          <w:rFonts w:ascii="Traditional Arabic"/>
          <w:b/>
          <w:bCs/>
          <w:szCs w:val="20"/>
          <w:rtl/>
        </w:rPr>
        <w:t>)</w:t>
      </w:r>
      <w:r w:rsidRPr="003663C8">
        <w:rPr>
          <w:b/>
          <w:bCs/>
          <w:rtl/>
        </w:rPr>
        <w:t xml:space="preserve"> بشأن الحق </w:t>
      </w:r>
      <w:r w:rsidRPr="00027BD5">
        <w:rPr>
          <w:rFonts w:ascii="Times New Roman Bold" w:hAnsi="Times New Roman Bold"/>
          <w:b/>
          <w:bCs/>
          <w:spacing w:val="-2"/>
          <w:rtl/>
        </w:rPr>
        <w:t>في العمل</w:t>
      </w:r>
      <w:r w:rsidR="00BA0473" w:rsidRPr="00027BD5">
        <w:rPr>
          <w:rFonts w:ascii="Times New Roman Bold" w:hAnsi="Times New Roman Bold"/>
          <w:b/>
          <w:bCs/>
          <w:spacing w:val="-2"/>
          <w:rtl/>
        </w:rPr>
        <w:t>،</w:t>
      </w:r>
      <w:r w:rsidRPr="00027BD5">
        <w:rPr>
          <w:rFonts w:ascii="Times New Roman Bold" w:hAnsi="Times New Roman Bold"/>
          <w:b/>
          <w:bCs/>
          <w:spacing w:val="-2"/>
          <w:rtl/>
        </w:rPr>
        <w:t xml:space="preserve"> وتحيل الدولة الطرف إلى بيانها المشترك مع اللجنة المعنية بحقوق الإنسان بشأن حرية تكوين الجمعيات</w:t>
      </w:r>
      <w:r w:rsidR="00BA0473" w:rsidRPr="00027BD5">
        <w:rPr>
          <w:rFonts w:ascii="Times New Roman Bold" w:hAnsi="Times New Roman Bold"/>
          <w:b/>
          <w:bCs/>
          <w:spacing w:val="-2"/>
          <w:rtl/>
        </w:rPr>
        <w:t>،</w:t>
      </w:r>
      <w:r w:rsidRPr="00027BD5">
        <w:rPr>
          <w:rFonts w:ascii="Times New Roman Bold" w:hAnsi="Times New Roman Bold"/>
          <w:b/>
          <w:bCs/>
          <w:spacing w:val="-2"/>
          <w:rtl/>
        </w:rPr>
        <w:t xml:space="preserve"> بما في ذلك الحق في تكوين نقابات العمال</w:t>
      </w:r>
      <w:r w:rsidR="00D83907" w:rsidRPr="00027BD5">
        <w:rPr>
          <w:rStyle w:val="FootnoteReference"/>
          <w:rFonts w:ascii="Times New Roman Bold" w:hAnsi="Times New Roman Bold"/>
          <w:b/>
          <w:bCs/>
          <w:spacing w:val="-2"/>
          <w:rtl/>
        </w:rPr>
        <w:t>(</w:t>
      </w:r>
      <w:r w:rsidR="00D83907" w:rsidRPr="00027BD5">
        <w:rPr>
          <w:rStyle w:val="FootnoteReference"/>
          <w:rFonts w:ascii="Times New Roman Bold" w:hAnsi="Times New Roman Bold"/>
          <w:b/>
          <w:bCs/>
          <w:spacing w:val="-2"/>
          <w:rtl/>
        </w:rPr>
        <w:footnoteReference w:id="8"/>
      </w:r>
      <w:r w:rsidR="00D83907" w:rsidRPr="00027BD5">
        <w:rPr>
          <w:rStyle w:val="FootnoteReference"/>
          <w:rFonts w:ascii="Times New Roman Bold" w:hAnsi="Times New Roman Bold"/>
          <w:b/>
          <w:bCs/>
          <w:spacing w:val="-2"/>
          <w:rtl/>
        </w:rPr>
        <w:t>)</w:t>
      </w:r>
      <w:r w:rsidRPr="00027BD5">
        <w:rPr>
          <w:rFonts w:ascii="Times New Roman Bold" w:hAnsi="Times New Roman Bold"/>
          <w:b/>
          <w:bCs/>
          <w:spacing w:val="-2"/>
          <w:rtl/>
        </w:rPr>
        <w:t xml:space="preserve"> والانضمام إليها</w:t>
      </w:r>
      <w:r w:rsidR="00BA0473" w:rsidRPr="00027BD5">
        <w:rPr>
          <w:rFonts w:ascii="Times New Roman Bold" w:hAnsi="Times New Roman Bold"/>
          <w:b/>
          <w:bCs/>
          <w:spacing w:val="-2"/>
          <w:rtl/>
        </w:rPr>
        <w:t>،</w:t>
      </w:r>
      <w:r w:rsidRPr="00027BD5">
        <w:rPr>
          <w:rFonts w:ascii="Times New Roman Bold" w:hAnsi="Times New Roman Bold"/>
          <w:b/>
          <w:bCs/>
          <w:spacing w:val="-2"/>
          <w:rtl/>
        </w:rPr>
        <w:t xml:space="preserve"> الذي اعتُمد في عام 2019.</w:t>
      </w:r>
    </w:p>
    <w:p w14:paraId="18214BB5" w14:textId="77777777" w:rsidR="002A6E22" w:rsidRPr="005A4E4D" w:rsidRDefault="002A6E22" w:rsidP="003B49E0">
      <w:pPr>
        <w:pStyle w:val="H23GA"/>
        <w:rPr>
          <w:szCs w:val="20"/>
          <w:lang w:val="ar-SA" w:eastAsia="zh-TW" w:bidi="en-GB"/>
        </w:rPr>
      </w:pPr>
      <w:r>
        <w:rPr>
          <w:rtl/>
        </w:rPr>
        <w:tab/>
      </w:r>
      <w:r>
        <w:rPr>
          <w:rtl/>
        </w:rPr>
        <w:tab/>
        <w:t xml:space="preserve">الحق في الإضراب </w:t>
      </w:r>
    </w:p>
    <w:p w14:paraId="50620BC9" w14:textId="77777777" w:rsidR="002A6E22" w:rsidRDefault="002A6E22" w:rsidP="003B49E0">
      <w:pPr>
        <w:pStyle w:val="SingleTxtGA"/>
        <w:rPr>
          <w:szCs w:val="20"/>
          <w:lang w:val="ar-SA" w:eastAsia="zh-TW" w:bidi="en-GB"/>
        </w:rPr>
      </w:pPr>
      <w:r w:rsidRPr="003B49E0">
        <w:rPr>
          <w:rtl/>
        </w:rPr>
        <w:t>36-</w:t>
      </w:r>
      <w:r>
        <w:rPr>
          <w:rtl/>
        </w:rPr>
        <w:tab/>
        <w:t xml:space="preserve">يساور اللجنة القلق إزاء عدم وجود إطار تنظيمي بشأن الحق في الإضراب في الدولة الطرف (المادة </w:t>
      </w:r>
      <w:r w:rsidRPr="003B49E0">
        <w:rPr>
          <w:rtl/>
        </w:rPr>
        <w:t>8</w:t>
      </w:r>
      <w:r>
        <w:rPr>
          <w:rFonts w:ascii="Traditional Arabic"/>
          <w:szCs w:val="20"/>
          <w:rtl/>
        </w:rPr>
        <w:t>)</w:t>
      </w:r>
      <w:r>
        <w:rPr>
          <w:rtl/>
        </w:rPr>
        <w:t>.</w:t>
      </w:r>
    </w:p>
    <w:p w14:paraId="5C6AFE3A" w14:textId="7C8E2877" w:rsidR="002A6E22" w:rsidRPr="00027BD5" w:rsidRDefault="002A6E22" w:rsidP="003B49E0">
      <w:pPr>
        <w:pStyle w:val="SingleTxtGA"/>
        <w:rPr>
          <w:b/>
          <w:bCs/>
          <w:szCs w:val="20"/>
          <w:lang w:val="ar-SA" w:eastAsia="zh-TW" w:bidi="en-GB"/>
        </w:rPr>
      </w:pPr>
      <w:r w:rsidRPr="003B49E0">
        <w:rPr>
          <w:rtl/>
        </w:rPr>
        <w:lastRenderedPageBreak/>
        <w:t>37-</w:t>
      </w:r>
      <w:r>
        <w:rPr>
          <w:rtl/>
        </w:rPr>
        <w:tab/>
      </w:r>
      <w:r w:rsidRPr="00027BD5">
        <w:rPr>
          <w:b/>
          <w:bCs/>
          <w:rtl/>
        </w:rPr>
        <w:t>توصي اللجنة الدولة الطرف بالتعجيل باعتماد التعديلات التي أُدخلت على قانون العمل وضمان بدأ العمل بالحق في الإضراب وف</w:t>
      </w:r>
      <w:r w:rsidR="00DD1067">
        <w:rPr>
          <w:b/>
          <w:bCs/>
          <w:rtl/>
        </w:rPr>
        <w:t xml:space="preserve">قاً </w:t>
      </w:r>
      <w:r w:rsidRPr="00027BD5">
        <w:rPr>
          <w:b/>
          <w:bCs/>
          <w:rtl/>
        </w:rPr>
        <w:t>للمعايير الدولية.</w:t>
      </w:r>
    </w:p>
    <w:p w14:paraId="0FA7D99B" w14:textId="77777777" w:rsidR="002A6E22" w:rsidRPr="00D03C5F" w:rsidRDefault="002A6E22" w:rsidP="003B49E0">
      <w:pPr>
        <w:pStyle w:val="H23GA"/>
        <w:rPr>
          <w:szCs w:val="20"/>
          <w:lang w:val="ar-SA" w:eastAsia="zh-TW" w:bidi="en-GB"/>
        </w:rPr>
      </w:pPr>
      <w:r>
        <w:rPr>
          <w:rtl/>
        </w:rPr>
        <w:tab/>
      </w:r>
      <w:r>
        <w:rPr>
          <w:rtl/>
        </w:rPr>
        <w:tab/>
        <w:t>الحق في الضمان الاجتماعي</w:t>
      </w:r>
    </w:p>
    <w:p w14:paraId="3553BD51" w14:textId="62E4EBF6" w:rsidR="002A6E22" w:rsidRPr="004C4C9D" w:rsidRDefault="002A6E22" w:rsidP="003B49E0">
      <w:pPr>
        <w:pStyle w:val="SingleTxtGA"/>
        <w:rPr>
          <w:color w:val="000000" w:themeColor="text1"/>
          <w:szCs w:val="20"/>
          <w:lang w:val="ar-SA" w:eastAsia="zh-TW" w:bidi="en-GB"/>
        </w:rPr>
      </w:pPr>
      <w:r w:rsidRPr="003B49E0">
        <w:rPr>
          <w:rtl/>
        </w:rPr>
        <w:t>38-</w:t>
      </w:r>
      <w:r>
        <w:rPr>
          <w:rtl/>
        </w:rPr>
        <w:tab/>
        <w:t xml:space="preserve">تحيط اللجنة </w:t>
      </w:r>
      <w:r w:rsidR="00DD1067">
        <w:rPr>
          <w:rtl/>
        </w:rPr>
        <w:t>علماً</w:t>
      </w:r>
      <w:r>
        <w:rPr>
          <w:rtl/>
        </w:rPr>
        <w:t xml:space="preserve"> بالمعلومات الواردة من الدولة الطرف بشأن اعتماد الاستراتيجية الوطنية للحماية الاجتماعية </w:t>
      </w:r>
      <w:r>
        <w:rPr>
          <w:rFonts w:ascii="Traditional Arabic"/>
          <w:szCs w:val="20"/>
          <w:rtl/>
        </w:rPr>
        <w:t>(</w:t>
      </w:r>
      <w:r w:rsidRPr="003B49E0">
        <w:rPr>
          <w:rtl/>
        </w:rPr>
        <w:t>2021-2030</w:t>
      </w:r>
      <w:r>
        <w:rPr>
          <w:rFonts w:ascii="Traditional Arabic"/>
          <w:szCs w:val="20"/>
          <w:rtl/>
        </w:rPr>
        <w:t>)</w:t>
      </w:r>
      <w:r>
        <w:rPr>
          <w:rtl/>
        </w:rPr>
        <w:t xml:space="preserve"> وتنفيذ المرحلة الأولى من نظام التأمين الصحي الإلزامي. بيد أن اللجنة تشعر بالقلق إزاء عدم التنسيق بين الكيانات الحكومية فيما يتعلق بمختلف تدابير الحماية الاجتماعية</w:t>
      </w:r>
      <w:r w:rsidR="00BA0473">
        <w:rPr>
          <w:rtl/>
        </w:rPr>
        <w:t>،</w:t>
      </w:r>
      <w:r>
        <w:rPr>
          <w:rtl/>
        </w:rPr>
        <w:t xml:space="preserve"> وعدم كفاية مستوى الاستحقاقات الاجتماعية وعدم توافرها لجميع الفئات السكانية المعنية (المادتان </w:t>
      </w:r>
      <w:r w:rsidRPr="003B49E0">
        <w:rPr>
          <w:rtl/>
        </w:rPr>
        <w:t>9</w:t>
      </w:r>
      <w:r>
        <w:rPr>
          <w:rtl/>
        </w:rPr>
        <w:t xml:space="preserve"> و</w:t>
      </w:r>
      <w:r w:rsidRPr="003B49E0">
        <w:rPr>
          <w:rtl/>
        </w:rPr>
        <w:t>12</w:t>
      </w:r>
      <w:r>
        <w:rPr>
          <w:rFonts w:ascii="Traditional Arabic"/>
          <w:szCs w:val="20"/>
          <w:rtl/>
        </w:rPr>
        <w:t>)</w:t>
      </w:r>
      <w:r>
        <w:rPr>
          <w:rtl/>
        </w:rPr>
        <w:t xml:space="preserve">. </w:t>
      </w:r>
    </w:p>
    <w:p w14:paraId="68929421" w14:textId="5A7E7863" w:rsidR="002A6E22" w:rsidRPr="00027BD5" w:rsidRDefault="002A6E22" w:rsidP="003B49E0">
      <w:pPr>
        <w:pStyle w:val="SingleTxtGA"/>
        <w:rPr>
          <w:b/>
          <w:bCs/>
          <w:szCs w:val="20"/>
          <w:lang w:val="ar-SA" w:eastAsia="zh-TW" w:bidi="en-GB"/>
        </w:rPr>
      </w:pPr>
      <w:r w:rsidRPr="003B49E0">
        <w:rPr>
          <w:rtl/>
        </w:rPr>
        <w:t>39-</w:t>
      </w:r>
      <w:r>
        <w:rPr>
          <w:rtl/>
        </w:rPr>
        <w:t xml:space="preserve"> </w:t>
      </w:r>
      <w:r>
        <w:rPr>
          <w:rtl/>
        </w:rPr>
        <w:tab/>
      </w:r>
      <w:r w:rsidRPr="00027BD5">
        <w:rPr>
          <w:b/>
          <w:bCs/>
          <w:rtl/>
        </w:rPr>
        <w:t>توصي اللجنة الدولة الطرف بأن تنفذ بشكل فعال استراتيجيتها الوطنية للحماية الاجتماعية</w:t>
      </w:r>
      <w:r w:rsidR="00BA0473" w:rsidRPr="00027BD5">
        <w:rPr>
          <w:b/>
          <w:bCs/>
          <w:rtl/>
        </w:rPr>
        <w:t>،</w:t>
      </w:r>
      <w:r w:rsidRPr="00027BD5">
        <w:rPr>
          <w:b/>
          <w:bCs/>
          <w:rtl/>
        </w:rPr>
        <w:t xml:space="preserve"> بما في ذلك عن طريق إنشاء آلية واضحة للتنسيق والإدارة</w:t>
      </w:r>
      <w:r w:rsidR="00BA0473" w:rsidRPr="00027BD5">
        <w:rPr>
          <w:b/>
          <w:bCs/>
          <w:rtl/>
        </w:rPr>
        <w:t>،</w:t>
      </w:r>
      <w:r w:rsidRPr="00027BD5">
        <w:rPr>
          <w:b/>
          <w:bCs/>
          <w:rtl/>
        </w:rPr>
        <w:t xml:space="preserve"> بغية تغطية جميع شرائح السكان</w:t>
      </w:r>
      <w:r w:rsidR="00BA0473" w:rsidRPr="00027BD5">
        <w:rPr>
          <w:b/>
          <w:bCs/>
          <w:rtl/>
        </w:rPr>
        <w:t>،</w:t>
      </w:r>
      <w:r w:rsidRPr="00027BD5">
        <w:rPr>
          <w:b/>
          <w:bCs/>
          <w:rtl/>
        </w:rPr>
        <w:t xml:space="preserve"> لا سيما العاملين في القطاع غير الرسمي</w:t>
      </w:r>
      <w:r w:rsidR="00BA0473" w:rsidRPr="00027BD5">
        <w:rPr>
          <w:b/>
          <w:bCs/>
          <w:rtl/>
        </w:rPr>
        <w:t>،</w:t>
      </w:r>
      <w:r w:rsidRPr="00027BD5">
        <w:rPr>
          <w:b/>
          <w:bCs/>
          <w:rtl/>
        </w:rPr>
        <w:t xml:space="preserve"> وأن تعجل ببدء العمل بالتأمين الصحي الإلزامي. وتوصي </w:t>
      </w:r>
      <w:r w:rsidR="00DD1067">
        <w:rPr>
          <w:b/>
          <w:bCs/>
          <w:rtl/>
        </w:rPr>
        <w:t>أيضاً</w:t>
      </w:r>
      <w:r w:rsidRPr="00027BD5">
        <w:rPr>
          <w:b/>
          <w:bCs/>
          <w:rtl/>
        </w:rPr>
        <w:t xml:space="preserve"> بضمان مستوى مناسب من استحقاقات الحماية الاجتماعية للأشخاص ذوي الإعاقة</w:t>
      </w:r>
      <w:r w:rsidR="00BA0473" w:rsidRPr="00027BD5">
        <w:rPr>
          <w:b/>
          <w:bCs/>
          <w:rtl/>
        </w:rPr>
        <w:t>،</w:t>
      </w:r>
      <w:r w:rsidRPr="00027BD5">
        <w:rPr>
          <w:b/>
          <w:bCs/>
          <w:rtl/>
        </w:rPr>
        <w:t xml:space="preserve"> وكبار السن</w:t>
      </w:r>
      <w:r w:rsidR="00BA0473" w:rsidRPr="00027BD5">
        <w:rPr>
          <w:b/>
          <w:bCs/>
          <w:rtl/>
        </w:rPr>
        <w:t>،</w:t>
      </w:r>
      <w:r w:rsidRPr="00027BD5">
        <w:rPr>
          <w:b/>
          <w:bCs/>
          <w:rtl/>
        </w:rPr>
        <w:t xml:space="preserve"> والروما/الليولي</w:t>
      </w:r>
      <w:r w:rsidR="00BA0473" w:rsidRPr="00027BD5">
        <w:rPr>
          <w:b/>
          <w:bCs/>
          <w:rtl/>
        </w:rPr>
        <w:t>،</w:t>
      </w:r>
      <w:r w:rsidRPr="00027BD5">
        <w:rPr>
          <w:b/>
          <w:bCs/>
          <w:rtl/>
        </w:rPr>
        <w:t xml:space="preserve"> واللاجئين</w:t>
      </w:r>
      <w:r w:rsidR="00BA0473" w:rsidRPr="00027BD5">
        <w:rPr>
          <w:b/>
          <w:bCs/>
          <w:rtl/>
        </w:rPr>
        <w:t>،</w:t>
      </w:r>
      <w:r w:rsidRPr="00027BD5">
        <w:rPr>
          <w:b/>
          <w:bCs/>
          <w:rtl/>
        </w:rPr>
        <w:t xml:space="preserve"> وملتمسي اللجوء</w:t>
      </w:r>
      <w:r w:rsidR="00BA0473" w:rsidRPr="00027BD5">
        <w:rPr>
          <w:b/>
          <w:bCs/>
          <w:rtl/>
        </w:rPr>
        <w:t>،</w:t>
      </w:r>
      <w:r w:rsidRPr="00027BD5">
        <w:rPr>
          <w:b/>
          <w:bCs/>
          <w:rtl/>
        </w:rPr>
        <w:t xml:space="preserve"> وإجراء عمليات إعادة حساب البدلات الاجتماعية دوريا. وتحيل اللجنة الدولة الطرف إلى تعليقها العام رقم 19</w:t>
      </w:r>
      <w:r w:rsidRPr="00027BD5">
        <w:rPr>
          <w:rFonts w:ascii="Traditional Arabic"/>
          <w:b/>
          <w:bCs/>
          <w:szCs w:val="20"/>
          <w:rtl/>
        </w:rPr>
        <w:t>(</w:t>
      </w:r>
      <w:r w:rsidRPr="00027BD5">
        <w:rPr>
          <w:b/>
          <w:bCs/>
          <w:rtl/>
        </w:rPr>
        <w:t>2007</w:t>
      </w:r>
      <w:r w:rsidRPr="00027BD5">
        <w:rPr>
          <w:rFonts w:ascii="Traditional Arabic"/>
          <w:b/>
          <w:bCs/>
          <w:szCs w:val="20"/>
          <w:rtl/>
        </w:rPr>
        <w:t>)</w:t>
      </w:r>
      <w:r w:rsidRPr="00027BD5">
        <w:rPr>
          <w:b/>
          <w:bCs/>
          <w:rtl/>
        </w:rPr>
        <w:t xml:space="preserve"> بشأن الحق في الضمان الاجتماعي وإلى بيانها المعتمد في عام 2015 والمعنون "الحدود الدنيا للحماية الاجتماعية: عنصر أساسي من عناصر الحق في الضمان الاجتماعي وأهداف التنمية المستدامة"</w:t>
      </w:r>
      <w:r w:rsidR="00D83907" w:rsidRPr="00027BD5">
        <w:rPr>
          <w:rStyle w:val="FootnoteReference"/>
          <w:b/>
          <w:bCs/>
          <w:rtl/>
        </w:rPr>
        <w:t>(</w:t>
      </w:r>
      <w:r w:rsidR="00D83907" w:rsidRPr="00027BD5">
        <w:rPr>
          <w:rStyle w:val="FootnoteReference"/>
          <w:b/>
          <w:bCs/>
          <w:rtl/>
        </w:rPr>
        <w:footnoteReference w:id="9"/>
      </w:r>
      <w:r w:rsidR="00D83907" w:rsidRPr="00027BD5">
        <w:rPr>
          <w:rStyle w:val="FootnoteReference"/>
          <w:b/>
          <w:bCs/>
          <w:rtl/>
        </w:rPr>
        <w:t>)</w:t>
      </w:r>
      <w:r w:rsidR="00027BD5">
        <w:rPr>
          <w:rFonts w:hint="cs"/>
          <w:b/>
          <w:bCs/>
          <w:rtl/>
        </w:rPr>
        <w:t>.</w:t>
      </w:r>
      <w:r w:rsidRPr="00027BD5">
        <w:rPr>
          <w:b/>
          <w:bCs/>
          <w:rtl/>
        </w:rPr>
        <w:t xml:space="preserve"> </w:t>
      </w:r>
    </w:p>
    <w:p w14:paraId="5A49AFAC" w14:textId="77777777" w:rsidR="002A6E22" w:rsidRPr="00E72EE3" w:rsidRDefault="002A6E22" w:rsidP="003B49E0">
      <w:pPr>
        <w:pStyle w:val="H23GA"/>
        <w:rPr>
          <w:szCs w:val="20"/>
          <w:lang w:val="ar-SA" w:eastAsia="zh-TW" w:bidi="en-GB"/>
        </w:rPr>
      </w:pPr>
      <w:r>
        <w:rPr>
          <w:rtl/>
        </w:rPr>
        <w:tab/>
      </w:r>
      <w:r>
        <w:rPr>
          <w:rtl/>
        </w:rPr>
        <w:tab/>
        <w:t>حماية الأسرة والأطفال</w:t>
      </w:r>
    </w:p>
    <w:p w14:paraId="57E532B9" w14:textId="5A27D9D0" w:rsidR="002A6E22" w:rsidRPr="00707AC3" w:rsidRDefault="002A6E22" w:rsidP="003B49E0">
      <w:pPr>
        <w:pStyle w:val="SingleTxtGA"/>
        <w:rPr>
          <w:spacing w:val="-2"/>
          <w:szCs w:val="20"/>
          <w:lang w:val="ar-SA" w:eastAsia="zh-TW" w:bidi="en-GB"/>
        </w:rPr>
      </w:pPr>
      <w:r w:rsidRPr="00707AC3">
        <w:rPr>
          <w:spacing w:val="-2"/>
          <w:rtl/>
        </w:rPr>
        <w:t xml:space="preserve">40- </w:t>
      </w:r>
      <w:r w:rsidRPr="00707AC3">
        <w:rPr>
          <w:spacing w:val="-2"/>
          <w:rtl/>
        </w:rPr>
        <w:tab/>
        <w:t xml:space="preserve">تحيط اللجنة </w:t>
      </w:r>
      <w:r w:rsidR="00DD1067">
        <w:rPr>
          <w:spacing w:val="-2"/>
          <w:rtl/>
        </w:rPr>
        <w:t>علماً</w:t>
      </w:r>
      <w:r w:rsidRPr="00707AC3">
        <w:rPr>
          <w:spacing w:val="-2"/>
          <w:rtl/>
        </w:rPr>
        <w:t xml:space="preserve"> بالمعلومات الواردة من الدولة الطرف بشأن إعداد مشروع قانون بشأن العنف العائلي ومشروع قانون الحماية الاجتماعية لليتامى والأطفال المحرومين من الرعاية الأبوية</w:t>
      </w:r>
      <w:r w:rsidR="00BA0473" w:rsidRPr="00707AC3">
        <w:rPr>
          <w:spacing w:val="-2"/>
          <w:rtl/>
        </w:rPr>
        <w:t>،</w:t>
      </w:r>
      <w:r w:rsidRPr="00707AC3">
        <w:rPr>
          <w:spacing w:val="-2"/>
          <w:rtl/>
        </w:rPr>
        <w:t xml:space="preserve"> </w:t>
      </w:r>
      <w:r w:rsidR="00DD1067">
        <w:rPr>
          <w:spacing w:val="-2"/>
          <w:rtl/>
        </w:rPr>
        <w:t>فضلاً</w:t>
      </w:r>
      <w:r w:rsidRPr="00707AC3">
        <w:rPr>
          <w:spacing w:val="-2"/>
          <w:rtl/>
        </w:rPr>
        <w:t xml:space="preserve"> عن تنفيذ سياسة إنهاء إيداع الأطفال في مؤسسات الرعاية. بيد أن اللجنة تشعر بالقلق إزاء عدم كفاية مستوى الدعم الأسري ودعم الرعاية البديلة للأطفال</w:t>
      </w:r>
      <w:r w:rsidR="00BA0473" w:rsidRPr="00707AC3">
        <w:rPr>
          <w:spacing w:val="-2"/>
          <w:rtl/>
        </w:rPr>
        <w:t>،</w:t>
      </w:r>
      <w:r w:rsidRPr="00707AC3">
        <w:rPr>
          <w:spacing w:val="-2"/>
          <w:rtl/>
        </w:rPr>
        <w:t xml:space="preserve"> لا سيما أطفال الفئات المحرومة والمهمشة. ويساور اللجنة القلق </w:t>
      </w:r>
      <w:r w:rsidR="00DD1067">
        <w:rPr>
          <w:spacing w:val="-2"/>
          <w:rtl/>
        </w:rPr>
        <w:t>أيضاً</w:t>
      </w:r>
      <w:r w:rsidRPr="00707AC3">
        <w:rPr>
          <w:spacing w:val="-2"/>
          <w:rtl/>
        </w:rPr>
        <w:t xml:space="preserve"> إزاء عدم وجود جمع منهجي للبيانات عن حالة أطفال الفئات المحرومة والمهمشة (المادتان 9 و10</w:t>
      </w:r>
      <w:r w:rsidRPr="00707AC3">
        <w:rPr>
          <w:rFonts w:ascii="Traditional Arabic"/>
          <w:spacing w:val="-2"/>
          <w:szCs w:val="20"/>
          <w:rtl/>
        </w:rPr>
        <w:t>)</w:t>
      </w:r>
      <w:r w:rsidRPr="00707AC3">
        <w:rPr>
          <w:spacing w:val="-2"/>
          <w:rtl/>
        </w:rPr>
        <w:t>.</w:t>
      </w:r>
    </w:p>
    <w:p w14:paraId="0ED7C9DD" w14:textId="77777777" w:rsidR="002A6E22" w:rsidRDefault="002A6E22" w:rsidP="003B49E0">
      <w:pPr>
        <w:pStyle w:val="SingleTxtGA"/>
        <w:rPr>
          <w:szCs w:val="20"/>
          <w:lang w:val="ar-SA" w:eastAsia="zh-TW" w:bidi="en-GB"/>
        </w:rPr>
      </w:pPr>
      <w:r w:rsidRPr="003B49E0">
        <w:rPr>
          <w:rtl/>
        </w:rPr>
        <w:t>41-</w:t>
      </w:r>
      <w:r>
        <w:rPr>
          <w:rtl/>
        </w:rPr>
        <w:t xml:space="preserve"> </w:t>
      </w:r>
      <w:r>
        <w:rPr>
          <w:rtl/>
        </w:rPr>
        <w:tab/>
      </w:r>
      <w:r w:rsidRPr="00707AC3">
        <w:rPr>
          <w:b/>
          <w:bCs/>
          <w:rtl/>
        </w:rPr>
        <w:t>توصي اللجنة الدولة الطرف بما يلي</w:t>
      </w:r>
      <w:r w:rsidRPr="00707AC3">
        <w:rPr>
          <w:rFonts w:ascii="Traditional Arabic"/>
          <w:b/>
          <w:bCs/>
          <w:szCs w:val="20"/>
        </w:rPr>
        <w:t>:</w:t>
      </w:r>
      <w:r>
        <w:rPr>
          <w:rtl/>
        </w:rPr>
        <w:t xml:space="preserve"> </w:t>
      </w:r>
    </w:p>
    <w:p w14:paraId="0767D0EC" w14:textId="0F0DAB37" w:rsidR="002A6E22" w:rsidRPr="00707AC3" w:rsidRDefault="003B49E0" w:rsidP="003B49E0">
      <w:pPr>
        <w:pStyle w:val="SingleTxtGA"/>
        <w:rPr>
          <w:b/>
          <w:bCs/>
          <w:szCs w:val="20"/>
          <w:lang w:val="en-US" w:eastAsia="zh-TW" w:bidi="en-GB"/>
        </w:rPr>
      </w:pPr>
      <w:r w:rsidRPr="00707AC3">
        <w:rPr>
          <w:b/>
          <w:bCs/>
          <w:rtl/>
        </w:rPr>
        <w:tab/>
      </w:r>
      <w:r w:rsidR="002A6E22" w:rsidRPr="00707AC3">
        <w:rPr>
          <w:b/>
          <w:bCs/>
          <w:rtl/>
        </w:rPr>
        <w:t>(أ)</w:t>
      </w:r>
      <w:r w:rsidR="002A6E22" w:rsidRPr="00707AC3">
        <w:rPr>
          <w:b/>
          <w:bCs/>
          <w:rtl/>
        </w:rPr>
        <w:tab/>
        <w:t>التعجيل باعتماد مشروع قانون بشأن العنف العائلي</w:t>
      </w:r>
      <w:r w:rsidR="004131A5">
        <w:rPr>
          <w:b/>
          <w:bCs/>
          <w:rtl/>
        </w:rPr>
        <w:t xml:space="preserve"> </w:t>
      </w:r>
      <w:r w:rsidR="002A6E22" w:rsidRPr="00707AC3">
        <w:rPr>
          <w:b/>
          <w:bCs/>
          <w:rtl/>
        </w:rPr>
        <w:t>يجرم جميع أشكال العنف العائلي</w:t>
      </w:r>
      <w:r w:rsidR="00BA0473" w:rsidRPr="00707AC3">
        <w:rPr>
          <w:b/>
          <w:bCs/>
          <w:rtl/>
        </w:rPr>
        <w:t>،</w:t>
      </w:r>
      <w:r w:rsidR="002A6E22" w:rsidRPr="00707AC3">
        <w:rPr>
          <w:b/>
          <w:bCs/>
          <w:rtl/>
        </w:rPr>
        <w:t xml:space="preserve"> بما في ذلك الاغتصاب الزوجي</w:t>
      </w:r>
      <w:r w:rsidR="00BA0473" w:rsidRPr="00707AC3">
        <w:rPr>
          <w:b/>
          <w:bCs/>
          <w:rtl/>
        </w:rPr>
        <w:t>،</w:t>
      </w:r>
      <w:r w:rsidR="002A6E22" w:rsidRPr="00707AC3">
        <w:rPr>
          <w:b/>
          <w:bCs/>
          <w:rtl/>
        </w:rPr>
        <w:t xml:space="preserve"> وضمان تنفيذ القانون بشكل فعال</w:t>
      </w:r>
      <w:r w:rsidR="00BA0473" w:rsidRPr="00707AC3">
        <w:rPr>
          <w:b/>
          <w:bCs/>
          <w:rtl/>
        </w:rPr>
        <w:t>،</w:t>
      </w:r>
      <w:r w:rsidR="002A6E22" w:rsidRPr="00707AC3">
        <w:rPr>
          <w:b/>
          <w:bCs/>
          <w:rtl/>
        </w:rPr>
        <w:t xml:space="preserve"> بغية حماية جميع الضحايا</w:t>
      </w:r>
      <w:r w:rsidR="00BA0473" w:rsidRPr="00707AC3">
        <w:rPr>
          <w:b/>
          <w:bCs/>
          <w:rtl/>
        </w:rPr>
        <w:t>،</w:t>
      </w:r>
      <w:r w:rsidR="002A6E22" w:rsidRPr="00707AC3">
        <w:rPr>
          <w:b/>
          <w:bCs/>
          <w:rtl/>
        </w:rPr>
        <w:t xml:space="preserve"> وتقديم الجناة إلى العدالة</w:t>
      </w:r>
      <w:r w:rsidR="00BA0473" w:rsidRPr="00707AC3">
        <w:rPr>
          <w:b/>
          <w:bCs/>
          <w:rtl/>
        </w:rPr>
        <w:t>،</w:t>
      </w:r>
      <w:r w:rsidR="002A6E22" w:rsidRPr="00707AC3">
        <w:rPr>
          <w:b/>
          <w:bCs/>
          <w:rtl/>
        </w:rPr>
        <w:t xml:space="preserve"> ومنع الإفلات من العقاب؛ </w:t>
      </w:r>
    </w:p>
    <w:p w14:paraId="34C6929A" w14:textId="4CDB3EC2" w:rsidR="002A6E22" w:rsidRPr="00707AC3" w:rsidRDefault="003B49E0" w:rsidP="003B49E0">
      <w:pPr>
        <w:pStyle w:val="SingleTxtGA"/>
        <w:rPr>
          <w:b/>
          <w:bCs/>
          <w:szCs w:val="20"/>
          <w:lang w:val="ar-SA" w:eastAsia="zh-TW" w:bidi="en-GB"/>
        </w:rPr>
      </w:pPr>
      <w:r w:rsidRPr="00707AC3">
        <w:rPr>
          <w:b/>
          <w:bCs/>
          <w:rtl/>
        </w:rPr>
        <w:tab/>
      </w:r>
      <w:r w:rsidR="002A6E22" w:rsidRPr="00707AC3">
        <w:rPr>
          <w:b/>
          <w:bCs/>
          <w:rtl/>
        </w:rPr>
        <w:t>(ب)</w:t>
      </w:r>
      <w:r w:rsidR="002A6E22" w:rsidRPr="00707AC3">
        <w:rPr>
          <w:b/>
          <w:bCs/>
          <w:rtl/>
        </w:rPr>
        <w:tab/>
        <w:t>التعجيل باعتماد مشروع قانون الحماية الاجتماعية للأيتام والأطفال المحرومين من الرعاية الأبوية وتكثيف جهودها لتعزيز دعم الرعاية الأسرية والبديلة للأطفال</w:t>
      </w:r>
      <w:r w:rsidR="00BA0473" w:rsidRPr="00707AC3">
        <w:rPr>
          <w:b/>
          <w:bCs/>
          <w:rtl/>
        </w:rPr>
        <w:t>،</w:t>
      </w:r>
      <w:r w:rsidR="002A6E22" w:rsidRPr="00707AC3">
        <w:rPr>
          <w:b/>
          <w:bCs/>
          <w:rtl/>
        </w:rPr>
        <w:t xml:space="preserve"> لا سيما الأطفال ذوي الإعاقة</w:t>
      </w:r>
      <w:r w:rsidR="00BA0473" w:rsidRPr="00707AC3">
        <w:rPr>
          <w:b/>
          <w:bCs/>
          <w:rtl/>
        </w:rPr>
        <w:t>،</w:t>
      </w:r>
      <w:r w:rsidR="002A6E22" w:rsidRPr="00707AC3">
        <w:rPr>
          <w:b/>
          <w:bCs/>
          <w:rtl/>
        </w:rPr>
        <w:t xml:space="preserve"> مع ضمان التنفيذ الفعال لسياسة إنهاء الإيداع في مؤسسات الرعاية؛ </w:t>
      </w:r>
    </w:p>
    <w:p w14:paraId="40F2DF82" w14:textId="2C5C5FC6" w:rsidR="002A6E22" w:rsidRPr="00707AC3" w:rsidRDefault="003B49E0" w:rsidP="003B49E0">
      <w:pPr>
        <w:pStyle w:val="SingleTxtGA"/>
        <w:rPr>
          <w:b/>
          <w:bCs/>
          <w:szCs w:val="20"/>
          <w:lang w:val="ar-SA" w:eastAsia="zh-TW" w:bidi="en-GB"/>
        </w:rPr>
      </w:pPr>
      <w:r w:rsidRPr="00707AC3">
        <w:rPr>
          <w:b/>
          <w:bCs/>
          <w:rtl/>
        </w:rPr>
        <w:tab/>
      </w:r>
      <w:r w:rsidR="002A6E22" w:rsidRPr="00707AC3">
        <w:rPr>
          <w:b/>
          <w:bCs/>
          <w:rtl/>
        </w:rPr>
        <w:t>(ج)</w:t>
      </w:r>
      <w:r w:rsidR="002A6E22" w:rsidRPr="00707AC3">
        <w:rPr>
          <w:b/>
          <w:bCs/>
          <w:rtl/>
        </w:rPr>
        <w:tab/>
        <w:t xml:space="preserve">ضمان الجمع المنهجي للإحصاءات المتعلقة بأطفال الفئات المحرومة والمهمشة. </w:t>
      </w:r>
    </w:p>
    <w:p w14:paraId="40755598" w14:textId="77777777" w:rsidR="002A6E22" w:rsidRPr="00E72EE3" w:rsidRDefault="002A6E22" w:rsidP="003B49E0">
      <w:pPr>
        <w:pStyle w:val="H23GA"/>
        <w:rPr>
          <w:szCs w:val="20"/>
          <w:lang w:val="ar-SA" w:eastAsia="zh-TW" w:bidi="en-GB"/>
        </w:rPr>
      </w:pPr>
      <w:r>
        <w:rPr>
          <w:rtl/>
        </w:rPr>
        <w:tab/>
      </w:r>
      <w:r>
        <w:rPr>
          <w:rtl/>
        </w:rPr>
        <w:tab/>
        <w:t xml:space="preserve">حالات الإخلاء القسري </w:t>
      </w:r>
    </w:p>
    <w:p w14:paraId="70617A1D" w14:textId="1ECC64CB" w:rsidR="002A6E22" w:rsidRDefault="002A6E22" w:rsidP="003B49E0">
      <w:pPr>
        <w:pStyle w:val="SingleTxtGA"/>
        <w:rPr>
          <w:szCs w:val="20"/>
          <w:lang w:val="ar-SA" w:eastAsia="zh-TW" w:bidi="en-GB"/>
        </w:rPr>
      </w:pPr>
      <w:r w:rsidRPr="003B49E0">
        <w:rPr>
          <w:rtl/>
        </w:rPr>
        <w:t>42-</w:t>
      </w:r>
      <w:r>
        <w:rPr>
          <w:rtl/>
        </w:rPr>
        <w:tab/>
        <w:t xml:space="preserve">تحيط اللجنة </w:t>
      </w:r>
      <w:r w:rsidR="00DD1067">
        <w:rPr>
          <w:rtl/>
        </w:rPr>
        <w:t>علماً</w:t>
      </w:r>
      <w:r>
        <w:rPr>
          <w:rtl/>
        </w:rPr>
        <w:t xml:space="preserve"> بالمعلومات التي قدمتها الدولة الطرف بشأن التدابير المتخذة فيما يتعلق بنزع الممتلكات وملكية الأراضي. بيد أن اللجنة تأسف للتقارير التي تفيد بمصادرة الممتلكات وهدم المنازل </w:t>
      </w:r>
      <w:r>
        <w:rPr>
          <w:rtl/>
        </w:rPr>
        <w:lastRenderedPageBreak/>
        <w:t xml:space="preserve">والإخلاء القسري في ضوء مشاريع التنمية الحضرية. ويساورها القلق </w:t>
      </w:r>
      <w:r w:rsidR="00DD1067">
        <w:rPr>
          <w:rtl/>
        </w:rPr>
        <w:t>أيضاً</w:t>
      </w:r>
      <w:r>
        <w:rPr>
          <w:rtl/>
        </w:rPr>
        <w:t xml:space="preserve"> إزاء تقارير تفيد بعدم الامتثال للإطار القانوني الوطني المتعلق بمصادرة الممتلكات</w:t>
      </w:r>
      <w:r w:rsidR="00BA0473">
        <w:rPr>
          <w:rtl/>
        </w:rPr>
        <w:t>،</w:t>
      </w:r>
      <w:r>
        <w:rPr>
          <w:rtl/>
        </w:rPr>
        <w:t xml:space="preserve"> لا سيما إزاء عدم إجراء مشاورات مسبقة مع السكان المتضررين وعدم منح تعويضات أو توفير سكن بديل أو عدم كفاية ذلك (المادة </w:t>
      </w:r>
      <w:r w:rsidRPr="003B49E0">
        <w:rPr>
          <w:rtl/>
        </w:rPr>
        <w:t>11</w:t>
      </w:r>
      <w:r>
        <w:rPr>
          <w:rFonts w:ascii="Traditional Arabic"/>
          <w:szCs w:val="20"/>
          <w:rtl/>
        </w:rPr>
        <w:t>)</w:t>
      </w:r>
      <w:r>
        <w:rPr>
          <w:rtl/>
        </w:rPr>
        <w:t xml:space="preserve">. </w:t>
      </w:r>
    </w:p>
    <w:p w14:paraId="669698D4" w14:textId="77777777" w:rsidR="002A6E22" w:rsidRPr="00707AC3" w:rsidRDefault="002A6E22" w:rsidP="003B49E0">
      <w:pPr>
        <w:pStyle w:val="SingleTxtGA"/>
        <w:rPr>
          <w:b/>
          <w:bCs/>
          <w:szCs w:val="20"/>
          <w:lang w:val="ar-SA" w:eastAsia="zh-TW" w:bidi="en-GB"/>
        </w:rPr>
      </w:pPr>
      <w:r w:rsidRPr="003B49E0">
        <w:rPr>
          <w:rtl/>
        </w:rPr>
        <w:t>43-</w:t>
      </w:r>
      <w:r>
        <w:rPr>
          <w:rtl/>
        </w:rPr>
        <w:tab/>
      </w:r>
      <w:r w:rsidRPr="00707AC3">
        <w:rPr>
          <w:b/>
          <w:bCs/>
          <w:rtl/>
        </w:rPr>
        <w:t>توصي اللجنة الدولة الطرف باعتماد تدابير قانونية وسياساتية من أجل</w:t>
      </w:r>
      <w:r w:rsidRPr="00707AC3">
        <w:rPr>
          <w:rFonts w:ascii="Traditional Arabic"/>
          <w:b/>
          <w:bCs/>
          <w:szCs w:val="20"/>
        </w:rPr>
        <w:t>:</w:t>
      </w:r>
      <w:r w:rsidRPr="00707AC3">
        <w:rPr>
          <w:b/>
          <w:bCs/>
          <w:rtl/>
        </w:rPr>
        <w:t xml:space="preserve"> </w:t>
      </w:r>
    </w:p>
    <w:p w14:paraId="3A71E53E" w14:textId="1CFAE0C4" w:rsidR="002A6E22" w:rsidRPr="00707AC3" w:rsidRDefault="003B49E0" w:rsidP="003B49E0">
      <w:pPr>
        <w:pStyle w:val="SingleTxtGA"/>
        <w:rPr>
          <w:b/>
          <w:bCs/>
          <w:szCs w:val="20"/>
          <w:lang w:val="en-US" w:eastAsia="zh-TW" w:bidi="en-GB"/>
        </w:rPr>
      </w:pPr>
      <w:r w:rsidRPr="00707AC3">
        <w:rPr>
          <w:b/>
          <w:bCs/>
          <w:rtl/>
        </w:rPr>
        <w:tab/>
      </w:r>
      <w:r w:rsidR="002A6E22" w:rsidRPr="00707AC3">
        <w:rPr>
          <w:b/>
          <w:bCs/>
          <w:rtl/>
        </w:rPr>
        <w:t>(أ)</w:t>
      </w:r>
      <w:r w:rsidR="002A6E22" w:rsidRPr="00707AC3">
        <w:rPr>
          <w:b/>
          <w:bCs/>
          <w:rtl/>
        </w:rPr>
        <w:tab/>
        <w:t>ضمان عدم تنفيذ عمليات الإخلاء إلا كملاذ أخير</w:t>
      </w:r>
      <w:r w:rsidR="00BA0473" w:rsidRPr="00707AC3">
        <w:rPr>
          <w:b/>
          <w:bCs/>
          <w:rtl/>
        </w:rPr>
        <w:t>،</w:t>
      </w:r>
      <w:r w:rsidR="002A6E22" w:rsidRPr="00707AC3">
        <w:rPr>
          <w:b/>
          <w:bCs/>
          <w:rtl/>
        </w:rPr>
        <w:t xml:space="preserve"> ووف</w:t>
      </w:r>
      <w:r w:rsidR="00DD1067">
        <w:rPr>
          <w:b/>
          <w:bCs/>
          <w:rtl/>
        </w:rPr>
        <w:t xml:space="preserve">قاً </w:t>
      </w:r>
      <w:r w:rsidR="002A6E22" w:rsidRPr="00707AC3">
        <w:rPr>
          <w:b/>
          <w:bCs/>
          <w:rtl/>
        </w:rPr>
        <w:t xml:space="preserve">للقانون وأحكام العهدين الدوليين الخاصين بحقوق الإنسان؛ </w:t>
      </w:r>
    </w:p>
    <w:p w14:paraId="3E744866" w14:textId="0D08C282" w:rsidR="002A6E22" w:rsidRPr="00707AC3" w:rsidRDefault="003B49E0" w:rsidP="003B49E0">
      <w:pPr>
        <w:pStyle w:val="SingleTxtGA"/>
        <w:rPr>
          <w:b/>
          <w:bCs/>
          <w:szCs w:val="20"/>
          <w:lang w:val="en-US" w:eastAsia="zh-TW"/>
        </w:rPr>
      </w:pPr>
      <w:r w:rsidRPr="00707AC3">
        <w:rPr>
          <w:b/>
          <w:bCs/>
          <w:rtl/>
        </w:rPr>
        <w:tab/>
      </w:r>
      <w:r w:rsidR="002A6E22" w:rsidRPr="00707AC3">
        <w:rPr>
          <w:b/>
          <w:bCs/>
          <w:rtl/>
        </w:rPr>
        <w:t>(ب)</w:t>
      </w:r>
      <w:r w:rsidR="002A6E22" w:rsidRPr="00707AC3">
        <w:rPr>
          <w:b/>
          <w:bCs/>
          <w:rtl/>
        </w:rPr>
        <w:tab/>
        <w:t>ضمان احترام الحماية والضمانات الإجرائية</w:t>
      </w:r>
      <w:r w:rsidR="00BA0473" w:rsidRPr="00707AC3">
        <w:rPr>
          <w:b/>
          <w:bCs/>
          <w:rtl/>
        </w:rPr>
        <w:t>،</w:t>
      </w:r>
      <w:r w:rsidR="002A6E22" w:rsidRPr="00707AC3">
        <w:rPr>
          <w:b/>
          <w:bCs/>
          <w:rtl/>
        </w:rPr>
        <w:t xml:space="preserve"> مثل إجراء مشاورات حقيقية</w:t>
      </w:r>
      <w:r w:rsidR="00BA0473" w:rsidRPr="00707AC3">
        <w:rPr>
          <w:b/>
          <w:bCs/>
          <w:rtl/>
        </w:rPr>
        <w:t>،</w:t>
      </w:r>
      <w:r w:rsidR="002A6E22" w:rsidRPr="00707AC3">
        <w:rPr>
          <w:b/>
          <w:bCs/>
          <w:rtl/>
        </w:rPr>
        <w:t xml:space="preserve"> وضمان الإشعار قبل فترة كافية ومعقولة في حال الإخلاء</w:t>
      </w:r>
      <w:r w:rsidR="00BA0473" w:rsidRPr="00707AC3">
        <w:rPr>
          <w:b/>
          <w:bCs/>
          <w:rtl/>
        </w:rPr>
        <w:t>،</w:t>
      </w:r>
      <w:r w:rsidR="002A6E22" w:rsidRPr="00707AC3">
        <w:rPr>
          <w:b/>
          <w:bCs/>
          <w:rtl/>
        </w:rPr>
        <w:t xml:space="preserve"> وضمان توافر أماكن إقامة بديلة في وقت معقول</w:t>
      </w:r>
      <w:r w:rsidR="00BA0473" w:rsidRPr="00707AC3">
        <w:rPr>
          <w:b/>
          <w:bCs/>
          <w:rtl/>
        </w:rPr>
        <w:t>،</w:t>
      </w:r>
      <w:r w:rsidR="002A6E22" w:rsidRPr="00707AC3">
        <w:rPr>
          <w:b/>
          <w:bCs/>
          <w:rtl/>
        </w:rPr>
        <w:t xml:space="preserve"> وإتاحة سبل الانتصاف القانونية؛ </w:t>
      </w:r>
    </w:p>
    <w:p w14:paraId="0E0A58D5" w14:textId="0FA27481" w:rsidR="002A6E22" w:rsidRPr="00707AC3" w:rsidRDefault="003B49E0" w:rsidP="003B49E0">
      <w:pPr>
        <w:pStyle w:val="SingleTxtGA"/>
        <w:rPr>
          <w:b/>
          <w:bCs/>
          <w:szCs w:val="20"/>
          <w:lang w:val="ar-SA" w:eastAsia="zh-TW" w:bidi="en-GB"/>
        </w:rPr>
      </w:pPr>
      <w:r w:rsidRPr="00707AC3">
        <w:rPr>
          <w:b/>
          <w:bCs/>
          <w:rtl/>
        </w:rPr>
        <w:tab/>
      </w:r>
      <w:r w:rsidR="002A6E22" w:rsidRPr="00707AC3">
        <w:rPr>
          <w:b/>
          <w:bCs/>
          <w:rtl/>
        </w:rPr>
        <w:t>(ج)</w:t>
      </w:r>
      <w:r w:rsidR="002A6E22" w:rsidRPr="00707AC3">
        <w:rPr>
          <w:b/>
          <w:bCs/>
          <w:rtl/>
        </w:rPr>
        <w:tab/>
        <w:t xml:space="preserve">ضمان توافر المعونة القضائية بتكاليف معقولة للسكان المتضررين وتمكينهم من الحصول عليها؛ </w:t>
      </w:r>
    </w:p>
    <w:p w14:paraId="3DFEACCF" w14:textId="665C31A8" w:rsidR="002A6E22" w:rsidRPr="00707AC3" w:rsidRDefault="003B49E0" w:rsidP="003B49E0">
      <w:pPr>
        <w:pStyle w:val="SingleTxtGA"/>
        <w:rPr>
          <w:b/>
          <w:bCs/>
          <w:szCs w:val="20"/>
          <w:lang w:val="ar-SA" w:eastAsia="zh-TW" w:bidi="en-GB"/>
        </w:rPr>
      </w:pPr>
      <w:r w:rsidRPr="00707AC3">
        <w:rPr>
          <w:b/>
          <w:bCs/>
          <w:rtl/>
        </w:rPr>
        <w:tab/>
      </w:r>
      <w:r w:rsidR="002A6E22" w:rsidRPr="00707AC3">
        <w:rPr>
          <w:b/>
          <w:bCs/>
          <w:rtl/>
        </w:rPr>
        <w:t>(د)</w:t>
      </w:r>
      <w:r w:rsidR="002A6E22" w:rsidRPr="00707AC3">
        <w:rPr>
          <w:b/>
          <w:bCs/>
          <w:rtl/>
        </w:rPr>
        <w:tab/>
        <w:t>منع التشرد في حالات الإخلاء بضمان توافر السكن البديل الملائم؛</w:t>
      </w:r>
    </w:p>
    <w:p w14:paraId="6E385B56" w14:textId="39F5E5CB" w:rsidR="002A6E22" w:rsidRPr="00707AC3" w:rsidRDefault="003B49E0" w:rsidP="003B49E0">
      <w:pPr>
        <w:pStyle w:val="SingleTxtGA"/>
        <w:rPr>
          <w:b/>
          <w:bCs/>
          <w:szCs w:val="20"/>
          <w:lang w:val="ar-SA" w:eastAsia="zh-TW" w:bidi="en-GB"/>
        </w:rPr>
      </w:pPr>
      <w:r w:rsidRPr="00707AC3">
        <w:rPr>
          <w:b/>
          <w:bCs/>
          <w:rtl/>
        </w:rPr>
        <w:tab/>
      </w:r>
      <w:r w:rsidR="002A6E22" w:rsidRPr="00707AC3">
        <w:rPr>
          <w:b/>
          <w:bCs/>
          <w:rtl/>
        </w:rPr>
        <w:t>(هـ)</w:t>
      </w:r>
      <w:r w:rsidR="002A6E22" w:rsidRPr="00707AC3">
        <w:rPr>
          <w:b/>
          <w:bCs/>
          <w:rtl/>
        </w:rPr>
        <w:tab/>
        <w:t>النظر في تعليق اللجنة العام رقم 7</w:t>
      </w:r>
      <w:r w:rsidR="002A6E22" w:rsidRPr="00707AC3">
        <w:rPr>
          <w:rFonts w:ascii="Traditional Arabic"/>
          <w:b/>
          <w:bCs/>
          <w:szCs w:val="20"/>
          <w:rtl/>
        </w:rPr>
        <w:t>(</w:t>
      </w:r>
      <w:r w:rsidR="002A6E22" w:rsidRPr="00707AC3">
        <w:rPr>
          <w:b/>
          <w:bCs/>
          <w:rtl/>
        </w:rPr>
        <w:t>1997</w:t>
      </w:r>
      <w:r w:rsidR="002A6E22" w:rsidRPr="00707AC3">
        <w:rPr>
          <w:rFonts w:ascii="Traditional Arabic"/>
          <w:b/>
          <w:bCs/>
          <w:szCs w:val="20"/>
          <w:rtl/>
        </w:rPr>
        <w:t>)</w:t>
      </w:r>
      <w:r w:rsidR="002A6E22" w:rsidRPr="00707AC3">
        <w:rPr>
          <w:b/>
          <w:bCs/>
          <w:rtl/>
        </w:rPr>
        <w:t xml:space="preserve"> بشأن حالات الإخلاء القسري.</w:t>
      </w:r>
    </w:p>
    <w:p w14:paraId="0314DFCB" w14:textId="77777777" w:rsidR="002A6E22" w:rsidRPr="00000AD0" w:rsidRDefault="002A6E22" w:rsidP="003B49E0">
      <w:pPr>
        <w:pStyle w:val="H23GA"/>
        <w:rPr>
          <w:szCs w:val="20"/>
          <w:lang w:val="ar-SA" w:eastAsia="zh-TW" w:bidi="en-GB"/>
        </w:rPr>
      </w:pPr>
      <w:r>
        <w:rPr>
          <w:rtl/>
        </w:rPr>
        <w:tab/>
      </w:r>
      <w:r>
        <w:rPr>
          <w:rtl/>
        </w:rPr>
        <w:tab/>
        <w:t xml:space="preserve">الحق في سكن لائق </w:t>
      </w:r>
    </w:p>
    <w:p w14:paraId="52DA1170" w14:textId="12A7CC5D" w:rsidR="002A6E22" w:rsidRDefault="002A6E22" w:rsidP="003B49E0">
      <w:pPr>
        <w:pStyle w:val="SingleTxtGA"/>
        <w:rPr>
          <w:szCs w:val="20"/>
          <w:lang w:val="ar-SA" w:eastAsia="zh-TW" w:bidi="en-GB"/>
        </w:rPr>
      </w:pPr>
      <w:r w:rsidRPr="003B49E0">
        <w:rPr>
          <w:rtl/>
        </w:rPr>
        <w:t>44-</w:t>
      </w:r>
      <w:r>
        <w:rPr>
          <w:rtl/>
        </w:rPr>
        <w:tab/>
        <w:t xml:space="preserve">تحيط اللجنة </w:t>
      </w:r>
      <w:r w:rsidR="00DD1067">
        <w:rPr>
          <w:rtl/>
        </w:rPr>
        <w:t>علماً</w:t>
      </w:r>
      <w:r>
        <w:rPr>
          <w:rtl/>
        </w:rPr>
        <w:t xml:space="preserve"> بالمعلومات المتعلقة ببرامج الإسكان الميسور التكلفة التي تنفذها الدولة الطرف. بيد أن اللجنة تشعر بالقلق إزاء عدم كفاية السكن الاجتماعي</w:t>
      </w:r>
      <w:r w:rsidR="00BA0473">
        <w:rPr>
          <w:rtl/>
        </w:rPr>
        <w:t>،</w:t>
      </w:r>
      <w:r>
        <w:rPr>
          <w:rtl/>
        </w:rPr>
        <w:t xml:space="preserve"> لا سيما بالنسبة لأفراد الفئات المحرومة والمهمشة</w:t>
      </w:r>
      <w:r w:rsidR="00BA0473">
        <w:rPr>
          <w:rtl/>
        </w:rPr>
        <w:t>،</w:t>
      </w:r>
      <w:r>
        <w:rPr>
          <w:rtl/>
        </w:rPr>
        <w:t xml:space="preserve"> وإزاء نقص المعلومات عن حالة السكان المتضررين من انهيار سد خزان سردوبا في أيار</w:t>
      </w:r>
      <w:r w:rsidRPr="003B49E0">
        <w:rPr>
          <w:rtl/>
        </w:rPr>
        <w:t>/</w:t>
      </w:r>
      <w:r>
        <w:rPr>
          <w:rtl/>
        </w:rPr>
        <w:t xml:space="preserve">مايو </w:t>
      </w:r>
      <w:r w:rsidRPr="003B49E0">
        <w:rPr>
          <w:rtl/>
        </w:rPr>
        <w:t>2020</w:t>
      </w:r>
      <w:r>
        <w:rPr>
          <w:rFonts w:ascii="Traditional Arabic"/>
          <w:szCs w:val="20"/>
          <w:rtl/>
        </w:rPr>
        <w:t xml:space="preserve"> (</w:t>
      </w:r>
      <w:r>
        <w:rPr>
          <w:rtl/>
        </w:rPr>
        <w:t xml:space="preserve">المادة </w:t>
      </w:r>
      <w:r w:rsidRPr="003B49E0">
        <w:rPr>
          <w:rtl/>
        </w:rPr>
        <w:t>11</w:t>
      </w:r>
      <w:r>
        <w:rPr>
          <w:rFonts w:ascii="Traditional Arabic"/>
          <w:szCs w:val="20"/>
          <w:rtl/>
        </w:rPr>
        <w:t>).</w:t>
      </w:r>
      <w:r>
        <w:rPr>
          <w:rtl/>
        </w:rPr>
        <w:t xml:space="preserve"> </w:t>
      </w:r>
    </w:p>
    <w:p w14:paraId="12DBD35A" w14:textId="14B06553" w:rsidR="002A6E22" w:rsidRPr="00707AC3" w:rsidRDefault="002A6E22" w:rsidP="003B49E0">
      <w:pPr>
        <w:pStyle w:val="SingleTxtGA"/>
        <w:rPr>
          <w:b/>
          <w:bCs/>
          <w:szCs w:val="20"/>
          <w:lang w:val="ar-SA" w:eastAsia="zh-TW" w:bidi="en-GB"/>
        </w:rPr>
      </w:pPr>
      <w:r w:rsidRPr="003B49E0">
        <w:rPr>
          <w:rtl/>
        </w:rPr>
        <w:t>45-</w:t>
      </w:r>
      <w:r>
        <w:rPr>
          <w:rtl/>
        </w:rPr>
        <w:t xml:space="preserve"> </w:t>
      </w:r>
      <w:r>
        <w:rPr>
          <w:rtl/>
        </w:rPr>
        <w:tab/>
      </w:r>
      <w:r w:rsidRPr="00707AC3">
        <w:rPr>
          <w:b/>
          <w:bCs/>
          <w:rtl/>
        </w:rPr>
        <w:t>بالإشارة إلى تعليقها العام رقم 4</w:t>
      </w:r>
      <w:r w:rsidRPr="00707AC3">
        <w:rPr>
          <w:rFonts w:ascii="Traditional Arabic"/>
          <w:b/>
          <w:bCs/>
          <w:szCs w:val="20"/>
          <w:rtl/>
        </w:rPr>
        <w:t>(</w:t>
      </w:r>
      <w:r w:rsidRPr="00707AC3">
        <w:rPr>
          <w:b/>
          <w:bCs/>
          <w:rtl/>
        </w:rPr>
        <w:t>1991</w:t>
      </w:r>
      <w:r w:rsidRPr="00707AC3">
        <w:rPr>
          <w:rFonts w:ascii="Traditional Arabic"/>
          <w:b/>
          <w:bCs/>
          <w:szCs w:val="20"/>
          <w:rtl/>
        </w:rPr>
        <w:t>)</w:t>
      </w:r>
      <w:r w:rsidRPr="00707AC3">
        <w:rPr>
          <w:b/>
          <w:bCs/>
          <w:rtl/>
        </w:rPr>
        <w:t xml:space="preserve"> بشأن الحق في السكن اللائق</w:t>
      </w:r>
      <w:r w:rsidR="00BA0473" w:rsidRPr="00707AC3">
        <w:rPr>
          <w:b/>
          <w:bCs/>
          <w:rtl/>
        </w:rPr>
        <w:t>،</w:t>
      </w:r>
      <w:r w:rsidRPr="00707AC3">
        <w:rPr>
          <w:b/>
          <w:bCs/>
          <w:rtl/>
        </w:rPr>
        <w:t xml:space="preserve"> توصي اللجنة الدولة الطرف بتكثيف جهودها لتوفير مساكن اجتماعية ميسورة التكلفة</w:t>
      </w:r>
      <w:r w:rsidR="00BA0473" w:rsidRPr="00707AC3">
        <w:rPr>
          <w:b/>
          <w:bCs/>
          <w:rtl/>
        </w:rPr>
        <w:t>،</w:t>
      </w:r>
      <w:r w:rsidRPr="00707AC3">
        <w:rPr>
          <w:b/>
          <w:bCs/>
          <w:rtl/>
        </w:rPr>
        <w:t xml:space="preserve"> بما في ذلك لسكان منطقة سردوبا الذين فقدوا منازلهم بسبب الفيضان الذي حدث في أيار/مايو 2020</w:t>
      </w:r>
      <w:r w:rsidR="00BA0473" w:rsidRPr="00707AC3">
        <w:rPr>
          <w:b/>
          <w:bCs/>
          <w:rtl/>
        </w:rPr>
        <w:t>،</w:t>
      </w:r>
      <w:r w:rsidRPr="00707AC3">
        <w:rPr>
          <w:b/>
          <w:bCs/>
          <w:rtl/>
        </w:rPr>
        <w:t xml:space="preserve"> والأشخاص ذوي الإعاقة</w:t>
      </w:r>
      <w:r w:rsidR="00BA0473" w:rsidRPr="00707AC3">
        <w:rPr>
          <w:b/>
          <w:bCs/>
          <w:rtl/>
        </w:rPr>
        <w:t>،</w:t>
      </w:r>
      <w:r w:rsidRPr="00707AC3">
        <w:rPr>
          <w:b/>
          <w:bCs/>
          <w:rtl/>
        </w:rPr>
        <w:t xml:space="preserve"> والليولي/الروما</w:t>
      </w:r>
      <w:r w:rsidR="00BA0473" w:rsidRPr="00707AC3">
        <w:rPr>
          <w:b/>
          <w:bCs/>
          <w:rtl/>
        </w:rPr>
        <w:t>،</w:t>
      </w:r>
      <w:r w:rsidRPr="00707AC3">
        <w:rPr>
          <w:b/>
          <w:bCs/>
          <w:rtl/>
        </w:rPr>
        <w:t xml:space="preserve"> واللاجئين</w:t>
      </w:r>
      <w:r w:rsidR="00BA0473" w:rsidRPr="00707AC3">
        <w:rPr>
          <w:b/>
          <w:bCs/>
          <w:rtl/>
        </w:rPr>
        <w:t>،</w:t>
      </w:r>
      <w:r w:rsidRPr="00707AC3">
        <w:rPr>
          <w:b/>
          <w:bCs/>
          <w:rtl/>
        </w:rPr>
        <w:t xml:space="preserve"> والأشخاص عديمي الجنسية</w:t>
      </w:r>
      <w:r w:rsidR="00BA0473" w:rsidRPr="00707AC3">
        <w:rPr>
          <w:b/>
          <w:bCs/>
          <w:rtl/>
        </w:rPr>
        <w:t>،</w:t>
      </w:r>
      <w:r w:rsidRPr="00707AC3">
        <w:rPr>
          <w:b/>
          <w:bCs/>
          <w:rtl/>
        </w:rPr>
        <w:t xml:space="preserve"> وملتمسي اللجوء. </w:t>
      </w:r>
    </w:p>
    <w:p w14:paraId="1647F020" w14:textId="77777777" w:rsidR="002A6E22" w:rsidRPr="00D043DE" w:rsidRDefault="002A6E22" w:rsidP="003B49E0">
      <w:pPr>
        <w:pStyle w:val="H23GA"/>
        <w:rPr>
          <w:szCs w:val="20"/>
          <w:lang w:val="ar-SA" w:eastAsia="zh-TW" w:bidi="en-GB"/>
        </w:rPr>
      </w:pPr>
      <w:r>
        <w:rPr>
          <w:rtl/>
        </w:rPr>
        <w:tab/>
      </w:r>
      <w:r>
        <w:rPr>
          <w:rtl/>
        </w:rPr>
        <w:tab/>
        <w:t xml:space="preserve">الحق في الغذاء </w:t>
      </w:r>
    </w:p>
    <w:p w14:paraId="60D3B997" w14:textId="0B42AD50" w:rsidR="002A6E22" w:rsidRDefault="002A6E22" w:rsidP="003B49E0">
      <w:pPr>
        <w:pStyle w:val="SingleTxtGA"/>
        <w:rPr>
          <w:szCs w:val="20"/>
          <w:lang w:val="ar-SA" w:eastAsia="zh-TW" w:bidi="en-GB"/>
        </w:rPr>
      </w:pPr>
      <w:r w:rsidRPr="003B49E0">
        <w:rPr>
          <w:rtl/>
        </w:rPr>
        <w:t>46-</w:t>
      </w:r>
      <w:r>
        <w:rPr>
          <w:rtl/>
        </w:rPr>
        <w:tab/>
        <w:t xml:space="preserve">يساور اللجنة القلق إزاء عدم وجود إطار تشريعي شامل بشأن الحق في الغذاء. ويساورها القلق </w:t>
      </w:r>
      <w:r w:rsidR="00DD1067">
        <w:rPr>
          <w:rtl/>
        </w:rPr>
        <w:t>أيضاً</w:t>
      </w:r>
      <w:r>
        <w:rPr>
          <w:rtl/>
        </w:rPr>
        <w:t xml:space="preserve"> إزاء انعدام الأمن الغذائي والحالة التغذوية لسكان الدولة الطرف (المادة </w:t>
      </w:r>
      <w:r w:rsidRPr="003B49E0">
        <w:rPr>
          <w:rtl/>
        </w:rPr>
        <w:t>11</w:t>
      </w:r>
      <w:r>
        <w:rPr>
          <w:rFonts w:ascii="Traditional Arabic"/>
          <w:szCs w:val="20"/>
          <w:rtl/>
        </w:rPr>
        <w:t>)</w:t>
      </w:r>
      <w:r>
        <w:rPr>
          <w:rtl/>
        </w:rPr>
        <w:t xml:space="preserve">. </w:t>
      </w:r>
    </w:p>
    <w:p w14:paraId="3583B803" w14:textId="48D79555" w:rsidR="002A6E22" w:rsidRPr="00707AC3" w:rsidRDefault="002A6E22" w:rsidP="003B49E0">
      <w:pPr>
        <w:pStyle w:val="SingleTxtGA"/>
        <w:rPr>
          <w:b/>
          <w:bCs/>
          <w:szCs w:val="20"/>
          <w:lang w:val="ar-SA" w:eastAsia="zh-TW" w:bidi="en-GB"/>
        </w:rPr>
      </w:pPr>
      <w:r w:rsidRPr="003B49E0">
        <w:rPr>
          <w:rtl/>
        </w:rPr>
        <w:t>47-</w:t>
      </w:r>
      <w:r>
        <w:rPr>
          <w:rtl/>
        </w:rPr>
        <w:tab/>
      </w:r>
      <w:r w:rsidRPr="00707AC3">
        <w:rPr>
          <w:b/>
          <w:bCs/>
          <w:rtl/>
        </w:rPr>
        <w:t>توصي اللجنة الدولة الطرف باعتماد إطار تشريعي شامل لضمان الحق في الغذاء الكافي وتعزيز جهودها في مكافحة الجوع وسوء التغذية المزمن</w:t>
      </w:r>
      <w:r w:rsidR="00BA0473" w:rsidRPr="00707AC3">
        <w:rPr>
          <w:b/>
          <w:bCs/>
          <w:rtl/>
        </w:rPr>
        <w:t>،</w:t>
      </w:r>
      <w:r w:rsidRPr="00707AC3">
        <w:rPr>
          <w:b/>
          <w:bCs/>
          <w:rtl/>
        </w:rPr>
        <w:t xml:space="preserve"> لا سيما بالنسبة للفئات المحرومة. وتحيل اللجنة الدولة الطرف إلى تعليقها العام رقم 12</w:t>
      </w:r>
      <w:r w:rsidRPr="00707AC3">
        <w:rPr>
          <w:rFonts w:ascii="Traditional Arabic"/>
          <w:b/>
          <w:bCs/>
          <w:szCs w:val="20"/>
          <w:rtl/>
        </w:rPr>
        <w:t>(</w:t>
      </w:r>
      <w:r w:rsidRPr="00707AC3">
        <w:rPr>
          <w:b/>
          <w:bCs/>
          <w:rtl/>
        </w:rPr>
        <w:t>1999</w:t>
      </w:r>
      <w:r w:rsidRPr="00707AC3">
        <w:rPr>
          <w:rFonts w:ascii="Traditional Arabic"/>
          <w:b/>
          <w:bCs/>
          <w:szCs w:val="20"/>
          <w:rtl/>
        </w:rPr>
        <w:t>)</w:t>
      </w:r>
      <w:r w:rsidRPr="00707AC3">
        <w:rPr>
          <w:b/>
          <w:bCs/>
          <w:rtl/>
        </w:rPr>
        <w:t xml:space="preserve"> بشأن الحق في الغذاء الكافي</w:t>
      </w:r>
      <w:r w:rsidR="00BA0473" w:rsidRPr="00707AC3">
        <w:rPr>
          <w:b/>
          <w:bCs/>
          <w:rtl/>
        </w:rPr>
        <w:t>،</w:t>
      </w:r>
      <w:r w:rsidRPr="00707AC3">
        <w:rPr>
          <w:b/>
          <w:bCs/>
          <w:rtl/>
        </w:rPr>
        <w:t xml:space="preserve"> وإلى الخطوط التوجيهية الطوعية لدعم الإعمال المطرد للحق في غذاء كاف في سياق الأمن الغذائي القُطري</w:t>
      </w:r>
      <w:r w:rsidR="00BA0473" w:rsidRPr="00707AC3">
        <w:rPr>
          <w:b/>
          <w:bCs/>
          <w:rtl/>
        </w:rPr>
        <w:t>،</w:t>
      </w:r>
      <w:r w:rsidRPr="00707AC3">
        <w:rPr>
          <w:b/>
          <w:bCs/>
          <w:rtl/>
        </w:rPr>
        <w:t xml:space="preserve"> التي اعتمدها مجلس منظمة الأغذية والزراعة للأمم المتحدة في عام 2004</w:t>
      </w:r>
      <w:r w:rsidRPr="00707AC3">
        <w:rPr>
          <w:rFonts w:ascii="Traditional Arabic"/>
          <w:b/>
          <w:bCs/>
          <w:szCs w:val="20"/>
          <w:rtl/>
        </w:rPr>
        <w:t>.</w:t>
      </w:r>
      <w:r w:rsidRPr="00707AC3">
        <w:rPr>
          <w:b/>
          <w:bCs/>
          <w:rtl/>
        </w:rPr>
        <w:t xml:space="preserve"> </w:t>
      </w:r>
    </w:p>
    <w:p w14:paraId="193722FC" w14:textId="77777777" w:rsidR="002A6E22" w:rsidRPr="00EC5B8F" w:rsidRDefault="002A6E22" w:rsidP="003B49E0">
      <w:pPr>
        <w:pStyle w:val="H23GA"/>
        <w:rPr>
          <w:szCs w:val="20"/>
          <w:lang w:val="ar-SA" w:eastAsia="zh-TW" w:bidi="en-GB"/>
        </w:rPr>
      </w:pPr>
      <w:r>
        <w:rPr>
          <w:rtl/>
        </w:rPr>
        <w:tab/>
      </w:r>
      <w:r>
        <w:rPr>
          <w:rtl/>
        </w:rPr>
        <w:tab/>
        <w:t>الحق في الصحة</w:t>
      </w:r>
    </w:p>
    <w:p w14:paraId="7345D37E" w14:textId="228DC7CF" w:rsidR="002A6E22" w:rsidRDefault="002A6E22" w:rsidP="003B49E0">
      <w:pPr>
        <w:pStyle w:val="SingleTxtGA"/>
        <w:rPr>
          <w:szCs w:val="20"/>
          <w:lang w:val="ar-SA" w:eastAsia="zh-TW" w:bidi="en-GB"/>
        </w:rPr>
      </w:pPr>
      <w:r w:rsidRPr="003B49E0">
        <w:rPr>
          <w:rtl/>
        </w:rPr>
        <w:t>48-</w:t>
      </w:r>
      <w:r>
        <w:rPr>
          <w:rtl/>
        </w:rPr>
        <w:tab/>
        <w:t xml:space="preserve">تحيط اللجنة </w:t>
      </w:r>
      <w:r w:rsidR="00DD1067">
        <w:rPr>
          <w:rtl/>
        </w:rPr>
        <w:t>علماً</w:t>
      </w:r>
      <w:r>
        <w:rPr>
          <w:rtl/>
        </w:rPr>
        <w:t xml:space="preserve"> بالمعلومات المتعلقة بإعداد مشروع قانون الصحة. ومع ذلك</w:t>
      </w:r>
      <w:r w:rsidR="00BA0473">
        <w:rPr>
          <w:rtl/>
        </w:rPr>
        <w:t>،</w:t>
      </w:r>
      <w:r>
        <w:rPr>
          <w:rtl/>
        </w:rPr>
        <w:t xml:space="preserve"> يساور اللجنة القلق إزاء تقارير تفيد بعدم كفاية نوعية الخدمات المقدمة في قطاع الصحة العامة</w:t>
      </w:r>
      <w:r w:rsidR="00BA0473">
        <w:rPr>
          <w:rtl/>
        </w:rPr>
        <w:t>،</w:t>
      </w:r>
      <w:r>
        <w:rPr>
          <w:rtl/>
        </w:rPr>
        <w:t xml:space="preserve"> ومحدودية توافر </w:t>
      </w:r>
      <w:r>
        <w:rPr>
          <w:rtl/>
        </w:rPr>
        <w:lastRenderedPageBreak/>
        <w:t>الخدمات في المناطق الريفية والنائية</w:t>
      </w:r>
      <w:r w:rsidR="00BA0473">
        <w:rPr>
          <w:rtl/>
        </w:rPr>
        <w:t>،</w:t>
      </w:r>
      <w:r>
        <w:rPr>
          <w:rtl/>
        </w:rPr>
        <w:t xml:space="preserve"> وانتشار الفساد في قطاع الصحة. ويساور اللجنة القلق بوجه خاص إزاء تقارير تفيد بارتفاع معدل وفيات الأمومة وارتفاع معدل وفيات الرضع (المادة </w:t>
      </w:r>
      <w:r w:rsidRPr="003B49E0">
        <w:rPr>
          <w:rtl/>
        </w:rPr>
        <w:t>12</w:t>
      </w:r>
      <w:r>
        <w:rPr>
          <w:rFonts w:ascii="Traditional Arabic"/>
          <w:szCs w:val="20"/>
          <w:rtl/>
        </w:rPr>
        <w:t>)</w:t>
      </w:r>
      <w:r>
        <w:rPr>
          <w:rtl/>
        </w:rPr>
        <w:t xml:space="preserve">. </w:t>
      </w:r>
    </w:p>
    <w:p w14:paraId="58CF8095" w14:textId="77777777" w:rsidR="002A6E22" w:rsidRPr="007E52CA" w:rsidRDefault="002A6E22" w:rsidP="003B49E0">
      <w:pPr>
        <w:pStyle w:val="SingleTxtGA"/>
        <w:rPr>
          <w:b/>
          <w:bCs/>
          <w:szCs w:val="20"/>
          <w:lang w:val="ar-SA" w:eastAsia="zh-TW" w:bidi="en-GB"/>
        </w:rPr>
      </w:pPr>
      <w:r w:rsidRPr="003B49E0">
        <w:rPr>
          <w:rtl/>
        </w:rPr>
        <w:t>49-</w:t>
      </w:r>
      <w:r>
        <w:rPr>
          <w:rtl/>
        </w:rPr>
        <w:tab/>
      </w:r>
      <w:r w:rsidRPr="007E52CA">
        <w:rPr>
          <w:b/>
          <w:bCs/>
          <w:rtl/>
        </w:rPr>
        <w:t>توصي اللجنة الدولة الطرف بما يلي</w:t>
      </w:r>
      <w:r w:rsidRPr="007E52CA">
        <w:rPr>
          <w:rFonts w:ascii="Traditional Arabic"/>
          <w:b/>
          <w:bCs/>
          <w:szCs w:val="20"/>
        </w:rPr>
        <w:t>:</w:t>
      </w:r>
      <w:r w:rsidRPr="007E52CA">
        <w:rPr>
          <w:b/>
          <w:bCs/>
          <w:rtl/>
        </w:rPr>
        <w:t xml:space="preserve"> </w:t>
      </w:r>
    </w:p>
    <w:p w14:paraId="2B84BF0E" w14:textId="0ED81600" w:rsidR="002A6E22" w:rsidRPr="007E52CA" w:rsidRDefault="003B49E0" w:rsidP="003B49E0">
      <w:pPr>
        <w:pStyle w:val="SingleTxtGA"/>
        <w:rPr>
          <w:rFonts w:ascii="Times New Roman Bold" w:hAnsi="Times New Roman Bold" w:hint="eastAsia"/>
          <w:b/>
          <w:bCs/>
          <w:spacing w:val="-2"/>
          <w:szCs w:val="20"/>
          <w:lang w:val="ar-SA" w:eastAsia="zh-TW" w:bidi="en-GB"/>
        </w:rPr>
      </w:pPr>
      <w:r w:rsidRPr="007E52CA">
        <w:rPr>
          <w:b/>
          <w:bCs/>
          <w:rtl/>
        </w:rPr>
        <w:tab/>
      </w:r>
      <w:r w:rsidR="002A6E22" w:rsidRPr="007E52CA">
        <w:rPr>
          <w:b/>
          <w:bCs/>
          <w:rtl/>
        </w:rPr>
        <w:t>(أ)</w:t>
      </w:r>
      <w:r w:rsidR="002A6E22" w:rsidRPr="007E52CA">
        <w:rPr>
          <w:b/>
          <w:bCs/>
          <w:rtl/>
        </w:rPr>
        <w:tab/>
        <w:t>تكثيف جهودها لتعزيز وتطوير نظام الرعاية الصحية العامة</w:t>
      </w:r>
      <w:r w:rsidR="00BA0473" w:rsidRPr="007E52CA">
        <w:rPr>
          <w:b/>
          <w:bCs/>
          <w:rtl/>
        </w:rPr>
        <w:t>،</w:t>
      </w:r>
      <w:r w:rsidR="002A6E22" w:rsidRPr="007E52CA">
        <w:rPr>
          <w:b/>
          <w:bCs/>
          <w:rtl/>
        </w:rPr>
        <w:t xml:space="preserve"> بما في ذلك عن طريق </w:t>
      </w:r>
      <w:r w:rsidR="002A6E22" w:rsidRPr="007E52CA">
        <w:rPr>
          <w:rFonts w:ascii="Times New Roman Bold" w:hAnsi="Times New Roman Bold"/>
          <w:b/>
          <w:bCs/>
          <w:spacing w:val="-2"/>
          <w:rtl/>
        </w:rPr>
        <w:t>تخصيص موارد بشرية ومالية كافية واعتماد تدابير لمكافحة الفساد</w:t>
      </w:r>
      <w:r w:rsidR="00BA0473" w:rsidRPr="007E52CA">
        <w:rPr>
          <w:rFonts w:ascii="Times New Roman Bold" w:hAnsi="Times New Roman Bold"/>
          <w:b/>
          <w:bCs/>
          <w:spacing w:val="-2"/>
          <w:rtl/>
        </w:rPr>
        <w:t>،</w:t>
      </w:r>
      <w:r w:rsidR="002A6E22" w:rsidRPr="007E52CA">
        <w:rPr>
          <w:rFonts w:ascii="Times New Roman Bold" w:hAnsi="Times New Roman Bold"/>
          <w:b/>
          <w:bCs/>
          <w:spacing w:val="-2"/>
          <w:rtl/>
        </w:rPr>
        <w:t xml:space="preserve"> لضمان توافر خدمات الرعاية الصحية الجيدة وإمكانية الحصول عليها</w:t>
      </w:r>
      <w:r w:rsidR="00BA0473" w:rsidRPr="007E52CA">
        <w:rPr>
          <w:rFonts w:ascii="Times New Roman Bold" w:hAnsi="Times New Roman Bold"/>
          <w:b/>
          <w:bCs/>
          <w:spacing w:val="-2"/>
          <w:rtl/>
        </w:rPr>
        <w:t>،</w:t>
      </w:r>
      <w:r w:rsidR="002A6E22" w:rsidRPr="007E52CA">
        <w:rPr>
          <w:rFonts w:ascii="Times New Roman Bold" w:hAnsi="Times New Roman Bold"/>
          <w:b/>
          <w:bCs/>
          <w:spacing w:val="-2"/>
          <w:rtl/>
        </w:rPr>
        <w:t xml:space="preserve"> لا سيما في المناطق الريفية والنائية وللأشخاص من الفئات المهمشة؛ </w:t>
      </w:r>
    </w:p>
    <w:p w14:paraId="1EA23748" w14:textId="6DBF09C3" w:rsidR="002A6E22" w:rsidRPr="007E52CA" w:rsidRDefault="003B49E0" w:rsidP="003B49E0">
      <w:pPr>
        <w:pStyle w:val="SingleTxtGA"/>
        <w:rPr>
          <w:b/>
          <w:bCs/>
          <w:szCs w:val="20"/>
          <w:lang w:val="ar-SA" w:eastAsia="zh-TW" w:bidi="en-GB"/>
        </w:rPr>
      </w:pPr>
      <w:r w:rsidRPr="007E52CA">
        <w:rPr>
          <w:rFonts w:ascii="Times New Roman Bold" w:hAnsi="Times New Roman Bold"/>
          <w:b/>
          <w:bCs/>
          <w:spacing w:val="-2"/>
          <w:rtl/>
        </w:rPr>
        <w:tab/>
      </w:r>
      <w:r w:rsidR="002A6E22" w:rsidRPr="007E52CA">
        <w:rPr>
          <w:rFonts w:ascii="Times New Roman Bold" w:hAnsi="Times New Roman Bold"/>
          <w:b/>
          <w:bCs/>
          <w:spacing w:val="-2"/>
          <w:rtl/>
        </w:rPr>
        <w:t>(ب)</w:t>
      </w:r>
      <w:r w:rsidR="002A6E22" w:rsidRPr="007E52CA">
        <w:rPr>
          <w:rFonts w:ascii="Times New Roman Bold" w:hAnsi="Times New Roman Bold"/>
          <w:b/>
          <w:bCs/>
          <w:spacing w:val="-2"/>
          <w:rtl/>
        </w:rPr>
        <w:tab/>
        <w:t>تعزيز جهودها الرامية إلى خفض معدلات وفيات الأمومة والرضع</w:t>
      </w:r>
      <w:r w:rsidR="00BA0473" w:rsidRPr="007E52CA">
        <w:rPr>
          <w:rFonts w:ascii="Times New Roman Bold" w:hAnsi="Times New Roman Bold"/>
          <w:b/>
          <w:bCs/>
          <w:spacing w:val="-2"/>
          <w:rtl/>
        </w:rPr>
        <w:t>،</w:t>
      </w:r>
      <w:r w:rsidR="002A6E22" w:rsidRPr="007E52CA">
        <w:rPr>
          <w:rFonts w:ascii="Times New Roman Bold" w:hAnsi="Times New Roman Bold"/>
          <w:b/>
          <w:bCs/>
          <w:spacing w:val="-2"/>
          <w:rtl/>
        </w:rPr>
        <w:t xml:space="preserve"> عن طريق تحسين مستوى الرعاية المقدمة للنساء طوال فترة الحمل وأثناء الولادة في مرافق الرعاية الصحية الأولية. وتحيل اللجنة الدولة الط</w:t>
      </w:r>
      <w:r w:rsidR="002A6E22" w:rsidRPr="007E52CA">
        <w:rPr>
          <w:b/>
          <w:bCs/>
          <w:rtl/>
        </w:rPr>
        <w:t>رف إلى تعليقها العام رقم 22</w:t>
      </w:r>
      <w:r w:rsidR="002A6E22" w:rsidRPr="007E52CA">
        <w:rPr>
          <w:rFonts w:ascii="Traditional Arabic"/>
          <w:b/>
          <w:bCs/>
          <w:szCs w:val="20"/>
          <w:rtl/>
        </w:rPr>
        <w:t>(</w:t>
      </w:r>
      <w:r w:rsidR="002A6E22" w:rsidRPr="007E52CA">
        <w:rPr>
          <w:b/>
          <w:bCs/>
          <w:rtl/>
        </w:rPr>
        <w:t>2016</w:t>
      </w:r>
      <w:r w:rsidR="002A6E22" w:rsidRPr="007E52CA">
        <w:rPr>
          <w:rFonts w:ascii="Traditional Arabic"/>
          <w:b/>
          <w:bCs/>
          <w:szCs w:val="20"/>
          <w:rtl/>
        </w:rPr>
        <w:t>)</w:t>
      </w:r>
      <w:r w:rsidR="002A6E22" w:rsidRPr="007E52CA">
        <w:rPr>
          <w:b/>
          <w:bCs/>
          <w:rtl/>
        </w:rPr>
        <w:t xml:space="preserve"> بشأن الحق في الصحة الجنسية والإنجابية. </w:t>
      </w:r>
    </w:p>
    <w:p w14:paraId="502F8BAA" w14:textId="1FBF73E8" w:rsidR="002A6E22" w:rsidRPr="00EC5B8F" w:rsidRDefault="003B49E0" w:rsidP="003B49E0">
      <w:pPr>
        <w:pStyle w:val="H23GA"/>
        <w:rPr>
          <w:szCs w:val="20"/>
          <w:lang w:val="ar-SA" w:eastAsia="zh-TW" w:bidi="en-GB"/>
        </w:rPr>
      </w:pPr>
      <w:r>
        <w:rPr>
          <w:rtl/>
        </w:rPr>
        <w:tab/>
      </w:r>
      <w:r w:rsidR="002A6E22">
        <w:rPr>
          <w:rtl/>
        </w:rPr>
        <w:tab/>
        <w:t>الصحة العقلية</w:t>
      </w:r>
    </w:p>
    <w:p w14:paraId="4B0DCFAD" w14:textId="3F44021F" w:rsidR="002A6E22" w:rsidRDefault="002A6E22" w:rsidP="003B49E0">
      <w:pPr>
        <w:pStyle w:val="SingleTxtGA"/>
        <w:rPr>
          <w:szCs w:val="20"/>
          <w:lang w:val="ar-SA" w:eastAsia="zh-TW" w:bidi="en-GB"/>
        </w:rPr>
      </w:pPr>
      <w:r w:rsidRPr="003B49E0">
        <w:rPr>
          <w:rtl/>
        </w:rPr>
        <w:t>50-</w:t>
      </w:r>
      <w:r w:rsidRPr="00E63FA1">
        <w:rPr>
          <w:rtl/>
        </w:rPr>
        <w:t xml:space="preserve"> </w:t>
      </w:r>
      <w:r w:rsidRPr="00E63FA1">
        <w:rPr>
          <w:rtl/>
        </w:rPr>
        <w:tab/>
        <w:t xml:space="preserve">تحيط اللجنة </w:t>
      </w:r>
      <w:r w:rsidR="00DD1067">
        <w:rPr>
          <w:rtl/>
        </w:rPr>
        <w:t>علماً</w:t>
      </w:r>
      <w:r w:rsidRPr="00E63FA1">
        <w:rPr>
          <w:rtl/>
        </w:rPr>
        <w:t xml:space="preserve"> بالمعلومات الواردة من الدولة الطرف بشأن التدابير المعتمدة لتحسين نظام الرعاية الصحية العقلية. بيد أن اللجنة تشعر بالقلق إزاء عدم كفاية مستوى خدمات الصحة العقلية بسبب عدم كفاية عدد المرافق </w:t>
      </w:r>
      <w:r w:rsidRPr="00CA71C0">
        <w:rPr>
          <w:rtl/>
        </w:rPr>
        <w:t xml:space="preserve">ومقدمي الرعاية المهنية في مجال </w:t>
      </w:r>
      <w:r w:rsidRPr="00E63FA1">
        <w:rPr>
          <w:rtl/>
        </w:rPr>
        <w:t xml:space="preserve">الصحة العقلية. ويساورها القلق </w:t>
      </w:r>
      <w:r w:rsidR="00DD1067">
        <w:rPr>
          <w:rtl/>
        </w:rPr>
        <w:t>أيضاً</w:t>
      </w:r>
      <w:r w:rsidRPr="00E63FA1">
        <w:rPr>
          <w:rtl/>
        </w:rPr>
        <w:t xml:space="preserve"> إزاء ارتفاع معدل الانتحار وارتفاع مستوى إيذاء النفس بين السكان (المادة </w:t>
      </w:r>
      <w:r w:rsidRPr="003B49E0">
        <w:rPr>
          <w:rtl/>
        </w:rPr>
        <w:t>12</w:t>
      </w:r>
      <w:r w:rsidRPr="00E63FA1">
        <w:rPr>
          <w:rFonts w:ascii="Traditional Arabic"/>
          <w:szCs w:val="20"/>
          <w:rtl/>
        </w:rPr>
        <w:t>)</w:t>
      </w:r>
      <w:r w:rsidRPr="00E63FA1">
        <w:rPr>
          <w:rtl/>
        </w:rPr>
        <w:t>.</w:t>
      </w:r>
      <w:r>
        <w:rPr>
          <w:rtl/>
        </w:rPr>
        <w:t xml:space="preserve"> </w:t>
      </w:r>
    </w:p>
    <w:p w14:paraId="6BE4EE4C" w14:textId="4244FA86" w:rsidR="002A6E22" w:rsidRPr="00DD1067" w:rsidRDefault="002A6E22" w:rsidP="003B49E0">
      <w:pPr>
        <w:pStyle w:val="SingleTxtGA"/>
        <w:rPr>
          <w:b/>
          <w:bCs/>
          <w:szCs w:val="20"/>
          <w:lang w:val="ar-SA" w:eastAsia="zh-TW" w:bidi="en-GB"/>
        </w:rPr>
      </w:pPr>
      <w:r w:rsidRPr="003B49E0">
        <w:rPr>
          <w:rtl/>
        </w:rPr>
        <w:t>51-</w:t>
      </w:r>
      <w:r>
        <w:rPr>
          <w:rtl/>
        </w:rPr>
        <w:tab/>
      </w:r>
      <w:r w:rsidRPr="00DD1067">
        <w:rPr>
          <w:b/>
          <w:bCs/>
          <w:rtl/>
        </w:rPr>
        <w:t xml:space="preserve">توصي اللجنة الدولة الطرف باعتماد تدابير لزيادة توافر خدمات الصحة العقلية الجيدة وإمكانية الحصول عليها في جميع أنحاء الدولة الطرف. وتوصي اللجنة الدولة الطرف </w:t>
      </w:r>
      <w:r w:rsidR="00DD1067">
        <w:rPr>
          <w:b/>
          <w:bCs/>
          <w:rtl/>
        </w:rPr>
        <w:t>أيضاً</w:t>
      </w:r>
      <w:r w:rsidRPr="00DD1067">
        <w:rPr>
          <w:b/>
          <w:bCs/>
          <w:rtl/>
        </w:rPr>
        <w:t xml:space="preserve"> بتعزيز جهودها للتصدي ومعالجة الأسباب الجذرية لارتفاع معدل انتشار الانتحار</w:t>
      </w:r>
      <w:r w:rsidR="00BA0473" w:rsidRPr="00DD1067">
        <w:rPr>
          <w:b/>
          <w:bCs/>
          <w:rtl/>
        </w:rPr>
        <w:t>،</w:t>
      </w:r>
      <w:r w:rsidRPr="00DD1067">
        <w:rPr>
          <w:b/>
          <w:bCs/>
          <w:rtl/>
        </w:rPr>
        <w:t xml:space="preserve"> وتزويد الجماعات والأفراد المعرضين لخطر الانتحار ببرامج وقائية وخدمات دعم فعالة.</w:t>
      </w:r>
    </w:p>
    <w:p w14:paraId="4896BA44" w14:textId="77777777" w:rsidR="002A6E22" w:rsidRPr="006C3FB0" w:rsidRDefault="002A6E22" w:rsidP="003B49E0">
      <w:pPr>
        <w:pStyle w:val="H23GA"/>
        <w:rPr>
          <w:szCs w:val="20"/>
          <w:lang w:val="ar-SA" w:eastAsia="zh-TW" w:bidi="en-GB"/>
        </w:rPr>
      </w:pPr>
      <w:r>
        <w:rPr>
          <w:rtl/>
        </w:rPr>
        <w:tab/>
      </w:r>
      <w:r>
        <w:rPr>
          <w:rtl/>
        </w:rPr>
        <w:tab/>
        <w:t xml:space="preserve">تعاطي المخدرات </w:t>
      </w:r>
    </w:p>
    <w:p w14:paraId="5974A8D4" w14:textId="0EEF8259" w:rsidR="002A6E22" w:rsidRDefault="002A6E22" w:rsidP="003B49E0">
      <w:pPr>
        <w:pStyle w:val="SingleTxtGA"/>
        <w:rPr>
          <w:szCs w:val="20"/>
          <w:lang w:val="ar-SA" w:eastAsia="zh-TW" w:bidi="en-GB"/>
        </w:rPr>
      </w:pPr>
      <w:r w:rsidRPr="003B49E0">
        <w:rPr>
          <w:rtl/>
        </w:rPr>
        <w:t>52-</w:t>
      </w:r>
      <w:r>
        <w:rPr>
          <w:rtl/>
        </w:rPr>
        <w:tab/>
        <w:t>يساور اللجنة القلق إزاء القوانين والسياسات القمعية للتعامل مع تعاطي المخدرات</w:t>
      </w:r>
      <w:r w:rsidR="00BA0473">
        <w:rPr>
          <w:rtl/>
        </w:rPr>
        <w:t>،</w:t>
      </w:r>
      <w:r>
        <w:rPr>
          <w:rtl/>
        </w:rPr>
        <w:t xml:space="preserve"> التي تحول دون حصول متعاطي المخدرات على فرص العمل وتمنعهم من الحصول على العلاج اللازم</w:t>
      </w:r>
      <w:r w:rsidR="00BA0473">
        <w:rPr>
          <w:rtl/>
        </w:rPr>
        <w:t>،</w:t>
      </w:r>
      <w:r>
        <w:rPr>
          <w:rtl/>
        </w:rPr>
        <w:t xml:space="preserve"> أو برامج الحد من الضرر بسبب الخوف من التجريم. وتأسف اللجنة </w:t>
      </w:r>
      <w:r w:rsidR="00DD1067">
        <w:rPr>
          <w:rtl/>
        </w:rPr>
        <w:t>أيضاً</w:t>
      </w:r>
      <w:r>
        <w:rPr>
          <w:rtl/>
        </w:rPr>
        <w:t xml:space="preserve"> لعدم توافر العلاج </w:t>
      </w:r>
      <w:r w:rsidRPr="000B7796">
        <w:rPr>
          <w:rtl/>
        </w:rPr>
        <w:t>ببدائل</w:t>
      </w:r>
      <w:r w:rsidR="004131A5">
        <w:rPr>
          <w:rtl/>
        </w:rPr>
        <w:t xml:space="preserve"> </w:t>
      </w:r>
      <w:r>
        <w:rPr>
          <w:rtl/>
        </w:rPr>
        <w:t xml:space="preserve">المواد الأفيونية في الدولة الطرف (المادة </w:t>
      </w:r>
      <w:r w:rsidRPr="003B49E0">
        <w:rPr>
          <w:rtl/>
        </w:rPr>
        <w:t>12</w:t>
      </w:r>
      <w:r>
        <w:rPr>
          <w:rFonts w:ascii="Traditional Arabic"/>
          <w:szCs w:val="20"/>
          <w:rtl/>
        </w:rPr>
        <w:t>)</w:t>
      </w:r>
      <w:r>
        <w:rPr>
          <w:rtl/>
        </w:rPr>
        <w:t xml:space="preserve">. </w:t>
      </w:r>
    </w:p>
    <w:p w14:paraId="6B7DBCF5" w14:textId="5B6E7456" w:rsidR="002A6E22" w:rsidRPr="00DD1067" w:rsidRDefault="002A6E22" w:rsidP="003B49E0">
      <w:pPr>
        <w:pStyle w:val="SingleTxtGA"/>
        <w:rPr>
          <w:b/>
          <w:bCs/>
          <w:szCs w:val="20"/>
          <w:lang w:val="en-US" w:eastAsia="zh-TW" w:bidi="en-GB"/>
        </w:rPr>
      </w:pPr>
      <w:r w:rsidRPr="003B49E0">
        <w:rPr>
          <w:rtl/>
        </w:rPr>
        <w:t>53-</w:t>
      </w:r>
      <w:r>
        <w:rPr>
          <w:rtl/>
        </w:rPr>
        <w:tab/>
      </w:r>
      <w:r w:rsidRPr="00DD1067">
        <w:rPr>
          <w:b/>
          <w:bCs/>
          <w:rtl/>
        </w:rPr>
        <w:t>توصي اللجنة الدولة الطرف بإجراء استعراض لإطارها التشريعي لضمان اتباع نهج قائم على حقوق الإنسان إزاء تعاطي المخدرات</w:t>
      </w:r>
      <w:r w:rsidR="00BA0473" w:rsidRPr="00DD1067">
        <w:rPr>
          <w:b/>
          <w:bCs/>
          <w:rtl/>
        </w:rPr>
        <w:t>،</w:t>
      </w:r>
      <w:r w:rsidRPr="00DD1067">
        <w:rPr>
          <w:b/>
          <w:bCs/>
          <w:rtl/>
        </w:rPr>
        <w:t xml:space="preserve"> عن طريق إلغاء التسجيل الإلزامي لمتعاطي المخدرات</w:t>
      </w:r>
      <w:r w:rsidR="00BA0473" w:rsidRPr="00DD1067">
        <w:rPr>
          <w:b/>
          <w:bCs/>
          <w:rtl/>
        </w:rPr>
        <w:t>،</w:t>
      </w:r>
      <w:r w:rsidRPr="00DD1067">
        <w:rPr>
          <w:b/>
          <w:bCs/>
          <w:rtl/>
        </w:rPr>
        <w:t xml:space="preserve"> والنظر في إلغاء تجريم حيازة المخدرات للاستهلاك الشخصي. وتوصي اللجنة الدولة الطرف </w:t>
      </w:r>
      <w:r w:rsidR="00DD1067">
        <w:rPr>
          <w:b/>
          <w:bCs/>
          <w:rtl/>
        </w:rPr>
        <w:t>أيضاً</w:t>
      </w:r>
      <w:r w:rsidRPr="00DD1067">
        <w:rPr>
          <w:b/>
          <w:bCs/>
          <w:rtl/>
        </w:rPr>
        <w:t xml:space="preserve"> بوضع سياسات لمنع سوء استعمال المخدرات</w:t>
      </w:r>
      <w:r w:rsidR="00BA0473" w:rsidRPr="00DD1067">
        <w:rPr>
          <w:b/>
          <w:bCs/>
          <w:rtl/>
        </w:rPr>
        <w:t>،</w:t>
      </w:r>
      <w:r w:rsidRPr="00DD1067">
        <w:rPr>
          <w:b/>
          <w:bCs/>
          <w:rtl/>
        </w:rPr>
        <w:t xml:space="preserve"> وتعزيز برامج الحد من الضرر</w:t>
      </w:r>
      <w:r w:rsidR="00BA0473" w:rsidRPr="00DD1067">
        <w:rPr>
          <w:b/>
          <w:bCs/>
          <w:rtl/>
        </w:rPr>
        <w:t>،</w:t>
      </w:r>
      <w:r w:rsidRPr="00DD1067">
        <w:rPr>
          <w:b/>
          <w:bCs/>
          <w:rtl/>
        </w:rPr>
        <w:t xml:space="preserve"> وتوفير الرعاية الصحية المناسبة</w:t>
      </w:r>
      <w:r w:rsidR="00BA0473" w:rsidRPr="00DD1067">
        <w:rPr>
          <w:b/>
          <w:bCs/>
          <w:rtl/>
        </w:rPr>
        <w:t>،</w:t>
      </w:r>
      <w:r w:rsidRPr="00DD1067">
        <w:rPr>
          <w:b/>
          <w:bCs/>
          <w:rtl/>
        </w:rPr>
        <w:t xml:space="preserve"> وخدمات الدعم النفسي</w:t>
      </w:r>
      <w:r w:rsidR="00BA0473" w:rsidRPr="00DD1067">
        <w:rPr>
          <w:b/>
          <w:bCs/>
          <w:rtl/>
        </w:rPr>
        <w:t>،</w:t>
      </w:r>
      <w:r w:rsidRPr="00DD1067">
        <w:rPr>
          <w:b/>
          <w:bCs/>
          <w:rtl/>
        </w:rPr>
        <w:t xml:space="preserve"> وإعادة تأهيل متعاطي المخدرات</w:t>
      </w:r>
      <w:r w:rsidR="00BA0473" w:rsidRPr="00DD1067">
        <w:rPr>
          <w:b/>
          <w:bCs/>
          <w:rtl/>
        </w:rPr>
        <w:t>،</w:t>
      </w:r>
      <w:r w:rsidRPr="00DD1067">
        <w:rPr>
          <w:b/>
          <w:bCs/>
          <w:rtl/>
        </w:rPr>
        <w:t xml:space="preserve"> بما في ذلك عن طريق استئناف العلاج ببدائل</w:t>
      </w:r>
      <w:r w:rsidR="004131A5">
        <w:rPr>
          <w:b/>
          <w:bCs/>
          <w:rtl/>
        </w:rPr>
        <w:t xml:space="preserve"> </w:t>
      </w:r>
      <w:r w:rsidRPr="00DD1067">
        <w:rPr>
          <w:b/>
          <w:bCs/>
          <w:rtl/>
        </w:rPr>
        <w:t xml:space="preserve">المواد الأفيونية. وينبغي للدولة الطرف </w:t>
      </w:r>
      <w:r w:rsidR="00DD1067">
        <w:rPr>
          <w:b/>
          <w:bCs/>
          <w:rtl/>
        </w:rPr>
        <w:t>أيضاً</w:t>
      </w:r>
      <w:r w:rsidRPr="00DD1067">
        <w:rPr>
          <w:b/>
          <w:bCs/>
          <w:rtl/>
        </w:rPr>
        <w:t xml:space="preserve"> أن تتخذ التدابير اللازمة لمكافحة الوصم الاجتماعي لمتعاطي المخدرات</w:t>
      </w:r>
      <w:r w:rsidR="00BA0473" w:rsidRPr="00DD1067">
        <w:rPr>
          <w:b/>
          <w:bCs/>
          <w:rtl/>
        </w:rPr>
        <w:t>،</w:t>
      </w:r>
      <w:r w:rsidRPr="00DD1067">
        <w:rPr>
          <w:b/>
          <w:bCs/>
          <w:rtl/>
        </w:rPr>
        <w:t xml:space="preserve"> عن طريق تدريب الموظفين المكلفين بإنفاذ القانون والمهنيين الطبيين</w:t>
      </w:r>
      <w:r w:rsidR="00BA0473" w:rsidRPr="00DD1067">
        <w:rPr>
          <w:b/>
          <w:bCs/>
          <w:rtl/>
        </w:rPr>
        <w:t>،</w:t>
      </w:r>
      <w:r w:rsidRPr="00DD1067">
        <w:rPr>
          <w:b/>
          <w:bCs/>
          <w:rtl/>
        </w:rPr>
        <w:t xml:space="preserve"> وإذكاء الوعي العام</w:t>
      </w:r>
      <w:r w:rsidR="00BA0473" w:rsidRPr="00DD1067">
        <w:rPr>
          <w:b/>
          <w:bCs/>
          <w:rtl/>
        </w:rPr>
        <w:t>،</w:t>
      </w:r>
      <w:r w:rsidRPr="00DD1067">
        <w:rPr>
          <w:b/>
          <w:bCs/>
          <w:rtl/>
        </w:rPr>
        <w:t xml:space="preserve"> لا سيما بشأن حق متعاطي المخدرات في الصحة. </w:t>
      </w:r>
    </w:p>
    <w:p w14:paraId="51C6EB14" w14:textId="77777777" w:rsidR="002A6E22" w:rsidRPr="005F1BA8" w:rsidRDefault="002A6E22" w:rsidP="003B49E0">
      <w:pPr>
        <w:pStyle w:val="H23GA"/>
        <w:rPr>
          <w:szCs w:val="20"/>
          <w:lang w:val="ar-SA" w:eastAsia="zh-TW" w:bidi="en-GB"/>
        </w:rPr>
      </w:pPr>
      <w:r>
        <w:rPr>
          <w:rtl/>
        </w:rPr>
        <w:tab/>
      </w:r>
      <w:r>
        <w:rPr>
          <w:rtl/>
        </w:rPr>
        <w:tab/>
        <w:t xml:space="preserve">الحق في التعليم </w:t>
      </w:r>
    </w:p>
    <w:p w14:paraId="573543A4" w14:textId="686D7464" w:rsidR="002A6E22" w:rsidRPr="00DD1067" w:rsidRDefault="002A6E22" w:rsidP="003B49E0">
      <w:pPr>
        <w:pStyle w:val="SingleTxtGA"/>
        <w:rPr>
          <w:spacing w:val="-2"/>
          <w:szCs w:val="20"/>
          <w:lang w:val="ar-SA" w:eastAsia="zh-TW" w:bidi="en-GB"/>
        </w:rPr>
      </w:pPr>
      <w:r w:rsidRPr="00DD1067">
        <w:rPr>
          <w:spacing w:val="-2"/>
          <w:rtl/>
        </w:rPr>
        <w:t>54-</w:t>
      </w:r>
      <w:r w:rsidRPr="00DD1067">
        <w:rPr>
          <w:spacing w:val="-2"/>
          <w:rtl/>
        </w:rPr>
        <w:tab/>
        <w:t xml:space="preserve">تحيط اللجنة </w:t>
      </w:r>
      <w:r w:rsidR="00DD1067">
        <w:rPr>
          <w:spacing w:val="-2"/>
          <w:rtl/>
        </w:rPr>
        <w:t>علماً</w:t>
      </w:r>
      <w:r w:rsidRPr="00DD1067">
        <w:rPr>
          <w:spacing w:val="-2"/>
          <w:rtl/>
        </w:rPr>
        <w:t xml:space="preserve"> بالتدابير المعتمدة لتحسين فرص الحصول على التعليم</w:t>
      </w:r>
      <w:r w:rsidR="00BA0473" w:rsidRPr="00DD1067">
        <w:rPr>
          <w:spacing w:val="-2"/>
          <w:rtl/>
        </w:rPr>
        <w:t>،</w:t>
      </w:r>
      <w:r w:rsidRPr="00DD1067">
        <w:rPr>
          <w:spacing w:val="-2"/>
          <w:rtl/>
        </w:rPr>
        <w:t xml:space="preserve"> بما في ذلك زيادة عدد الأطفال في مرحلة ما قبل المدرسة</w:t>
      </w:r>
      <w:r w:rsidR="00BA0473" w:rsidRPr="00DD1067">
        <w:rPr>
          <w:spacing w:val="-2"/>
          <w:rtl/>
        </w:rPr>
        <w:t>،</w:t>
      </w:r>
      <w:r w:rsidRPr="00DD1067">
        <w:rPr>
          <w:spacing w:val="-2"/>
          <w:rtl/>
        </w:rPr>
        <w:t xml:space="preserve"> والجهود الجارية للنهوض بنوعية التعليم. بيد أن اللجنة تشعر بالقلق إزاء </w:t>
      </w:r>
      <w:r w:rsidRPr="00DD1067">
        <w:rPr>
          <w:spacing w:val="-2"/>
          <w:rtl/>
        </w:rPr>
        <w:lastRenderedPageBreak/>
        <w:t>تقارير تفيد بانعدام وعدم كفاية إمكانية وصول الأشخاص ذوي الإعاقة إلى المؤسسات التعليمية. ويساور اللجنة القلق إزاء انخفاض مستوى التحاق أطفال الروما/الليولي بالتعليم (المادتان 13 و14</w:t>
      </w:r>
      <w:r w:rsidRPr="00DD1067">
        <w:rPr>
          <w:rFonts w:ascii="Traditional Arabic"/>
          <w:spacing w:val="-2"/>
          <w:szCs w:val="20"/>
          <w:rtl/>
        </w:rPr>
        <w:t>)</w:t>
      </w:r>
      <w:r w:rsidRPr="00DD1067">
        <w:rPr>
          <w:spacing w:val="-2"/>
          <w:rtl/>
        </w:rPr>
        <w:t xml:space="preserve">. </w:t>
      </w:r>
    </w:p>
    <w:p w14:paraId="3170E191" w14:textId="2DEF0961" w:rsidR="002A6E22" w:rsidRPr="00DD1067" w:rsidRDefault="002A6E22" w:rsidP="003B49E0">
      <w:pPr>
        <w:pStyle w:val="SingleTxtGA"/>
        <w:rPr>
          <w:b/>
          <w:bCs/>
          <w:szCs w:val="20"/>
          <w:lang w:val="ar-SA" w:eastAsia="zh-TW" w:bidi="en-GB"/>
        </w:rPr>
      </w:pPr>
      <w:r w:rsidRPr="003B49E0">
        <w:rPr>
          <w:rtl/>
        </w:rPr>
        <w:t>55-</w:t>
      </w:r>
      <w:r>
        <w:rPr>
          <w:rtl/>
        </w:rPr>
        <w:tab/>
      </w:r>
      <w:r w:rsidRPr="00DD1067">
        <w:rPr>
          <w:b/>
          <w:bCs/>
          <w:rtl/>
        </w:rPr>
        <w:t>توصي اللجنة الدولة الطرف بتعزيز جهودها الرامية إلى تحقيق حصول الجميع على تعليم جيد على جميع المستويات</w:t>
      </w:r>
      <w:r w:rsidR="00BA0473" w:rsidRPr="00DD1067">
        <w:rPr>
          <w:b/>
          <w:bCs/>
          <w:rtl/>
        </w:rPr>
        <w:t>،</w:t>
      </w:r>
      <w:r w:rsidRPr="00DD1067">
        <w:rPr>
          <w:b/>
          <w:bCs/>
          <w:rtl/>
        </w:rPr>
        <w:t xml:space="preserve"> بتدابير منها ما يلي:</w:t>
      </w:r>
    </w:p>
    <w:p w14:paraId="528A3C3C" w14:textId="4216E655" w:rsidR="002A6E22" w:rsidRPr="00DD1067" w:rsidRDefault="003B49E0" w:rsidP="003B49E0">
      <w:pPr>
        <w:pStyle w:val="SingleTxtGA"/>
        <w:rPr>
          <w:b/>
          <w:bCs/>
          <w:szCs w:val="20"/>
          <w:lang w:val="ar-SA" w:eastAsia="zh-TW" w:bidi="en-GB"/>
        </w:rPr>
      </w:pPr>
      <w:r w:rsidRPr="00DD1067">
        <w:rPr>
          <w:b/>
          <w:bCs/>
          <w:rtl/>
        </w:rPr>
        <w:tab/>
      </w:r>
      <w:r w:rsidR="002A6E22" w:rsidRPr="00DD1067">
        <w:rPr>
          <w:b/>
          <w:bCs/>
          <w:rtl/>
        </w:rPr>
        <w:t>(أ)</w:t>
      </w:r>
      <w:r w:rsidR="002A6E22" w:rsidRPr="00DD1067">
        <w:rPr>
          <w:b/>
          <w:bCs/>
          <w:rtl/>
        </w:rPr>
        <w:tab/>
        <w:t>تعزيز التدابير الرامية إلى تحسين نوعية التعليم عن طريق تخصيص موارد كافية لهذا القطاع</w:t>
      </w:r>
      <w:r w:rsidR="00BA0473" w:rsidRPr="00DD1067">
        <w:rPr>
          <w:b/>
          <w:bCs/>
          <w:rtl/>
        </w:rPr>
        <w:t>،</w:t>
      </w:r>
      <w:r w:rsidR="002A6E22" w:rsidRPr="00DD1067">
        <w:rPr>
          <w:b/>
          <w:bCs/>
          <w:rtl/>
        </w:rPr>
        <w:t xml:space="preserve"> وزيادة عدد المدرسين المؤهلين وتحسين نوعية المواد التعليمية؛ </w:t>
      </w:r>
    </w:p>
    <w:p w14:paraId="1C35AB5B" w14:textId="1D0A7EF5" w:rsidR="002A6E22" w:rsidRPr="00DD1067" w:rsidRDefault="003B49E0" w:rsidP="003B49E0">
      <w:pPr>
        <w:pStyle w:val="SingleTxtGA"/>
        <w:rPr>
          <w:b/>
          <w:bCs/>
          <w:szCs w:val="20"/>
          <w:lang w:val="ar-SA" w:eastAsia="zh-TW" w:bidi="en-GB"/>
        </w:rPr>
      </w:pPr>
      <w:r w:rsidRPr="00DD1067">
        <w:rPr>
          <w:b/>
          <w:bCs/>
          <w:rtl/>
        </w:rPr>
        <w:tab/>
      </w:r>
      <w:r w:rsidR="002A6E22" w:rsidRPr="00DD1067">
        <w:rPr>
          <w:b/>
          <w:bCs/>
          <w:rtl/>
        </w:rPr>
        <w:t xml:space="preserve">(ب) </w:t>
      </w:r>
      <w:r w:rsidR="002A6E22" w:rsidRPr="00DD1067">
        <w:rPr>
          <w:b/>
          <w:bCs/>
          <w:rtl/>
        </w:rPr>
        <w:tab/>
        <w:t xml:space="preserve">تحسين البنية التحتية التعليمية لضمان وصول الأشخاص ذوي الإعاقة إلى جميع المدارس والجامعات وتحقيق التعليم الشامل؛ </w:t>
      </w:r>
    </w:p>
    <w:p w14:paraId="51FB8891" w14:textId="23BD2CD2" w:rsidR="002A6E22" w:rsidRPr="00DD1067" w:rsidRDefault="003B49E0" w:rsidP="003B49E0">
      <w:pPr>
        <w:pStyle w:val="SingleTxtGA"/>
        <w:rPr>
          <w:b/>
          <w:bCs/>
          <w:szCs w:val="20"/>
          <w:lang w:val="ar-SA" w:eastAsia="zh-TW" w:bidi="en-GB"/>
        </w:rPr>
      </w:pPr>
      <w:r w:rsidRPr="00DD1067">
        <w:rPr>
          <w:b/>
          <w:bCs/>
          <w:rtl/>
        </w:rPr>
        <w:tab/>
      </w:r>
      <w:r w:rsidR="002A6E22" w:rsidRPr="00DD1067">
        <w:rPr>
          <w:b/>
          <w:bCs/>
          <w:rtl/>
        </w:rPr>
        <w:t xml:space="preserve">(ج) </w:t>
      </w:r>
      <w:r w:rsidR="002A6E22" w:rsidRPr="00DD1067">
        <w:rPr>
          <w:b/>
          <w:bCs/>
          <w:rtl/>
        </w:rPr>
        <w:tab/>
        <w:t>اتخاذ تدابير فعالة لتحسين فرص حصول أطفال الروما/الليولي على التعليم وعدم الانقطاع عن الدراسة</w:t>
      </w:r>
      <w:r w:rsidR="00BA0473" w:rsidRPr="00DD1067">
        <w:rPr>
          <w:b/>
          <w:bCs/>
          <w:rtl/>
        </w:rPr>
        <w:t>،</w:t>
      </w:r>
      <w:r w:rsidR="002A6E22" w:rsidRPr="00DD1067">
        <w:rPr>
          <w:b/>
          <w:bCs/>
          <w:rtl/>
        </w:rPr>
        <w:t xml:space="preserve"> وزيادة معدلات إتمام دراستهم الثانوية.</w:t>
      </w:r>
    </w:p>
    <w:p w14:paraId="39B2F998" w14:textId="77777777" w:rsidR="002A6E22" w:rsidRPr="00E527C1" w:rsidRDefault="002A6E22" w:rsidP="003B49E0">
      <w:pPr>
        <w:pStyle w:val="H23GA"/>
        <w:rPr>
          <w:szCs w:val="20"/>
          <w:lang w:val="ar-SA" w:eastAsia="zh-TW" w:bidi="en-GB"/>
        </w:rPr>
      </w:pPr>
      <w:r>
        <w:rPr>
          <w:rtl/>
        </w:rPr>
        <w:tab/>
      </w:r>
      <w:r>
        <w:rPr>
          <w:rtl/>
        </w:rPr>
        <w:tab/>
        <w:t xml:space="preserve">الحقوق الثقافية </w:t>
      </w:r>
    </w:p>
    <w:p w14:paraId="221E0AAC" w14:textId="737E9C21" w:rsidR="002A6E22" w:rsidRDefault="002A6E22" w:rsidP="003B49E0">
      <w:pPr>
        <w:pStyle w:val="SingleTxtGA"/>
        <w:rPr>
          <w:szCs w:val="20"/>
          <w:lang w:val="ar-SA" w:eastAsia="zh-TW" w:bidi="en-GB"/>
        </w:rPr>
      </w:pPr>
      <w:r w:rsidRPr="003B49E0">
        <w:rPr>
          <w:rtl/>
        </w:rPr>
        <w:t>56-</w:t>
      </w:r>
      <w:r>
        <w:rPr>
          <w:rtl/>
        </w:rPr>
        <w:tab/>
        <w:t xml:space="preserve">تحيط اللجنة </w:t>
      </w:r>
      <w:r w:rsidR="00DD1067">
        <w:rPr>
          <w:rtl/>
        </w:rPr>
        <w:t>علماً</w:t>
      </w:r>
      <w:r>
        <w:rPr>
          <w:rtl/>
        </w:rPr>
        <w:t xml:space="preserve"> بالمعلومات المتعلقة باعتماد تدابير لزيادة حماية مواقع التراث الثقافي. بيد أن اللجنة تشعر بالقلق إزاء تقارير تفيد بهدم المنازل والمرافق في الأحياء القريبة من مواقع التراث الثقافي العالمي بحسب تصنيف منظمة الأمم المتحدة للتربية والعلم والثقافة (اليونسكو)</w:t>
      </w:r>
      <w:r w:rsidR="00BA0473">
        <w:rPr>
          <w:rtl/>
        </w:rPr>
        <w:t>،</w:t>
      </w:r>
      <w:r>
        <w:rPr>
          <w:rtl/>
        </w:rPr>
        <w:t xml:space="preserve"> بسبب مشاريع التنمية الحضرية (المادة </w:t>
      </w:r>
      <w:r w:rsidRPr="003B49E0">
        <w:rPr>
          <w:rtl/>
        </w:rPr>
        <w:t>15</w:t>
      </w:r>
      <w:r>
        <w:rPr>
          <w:rFonts w:ascii="Traditional Arabic"/>
          <w:szCs w:val="20"/>
          <w:rtl/>
        </w:rPr>
        <w:t>)</w:t>
      </w:r>
      <w:r>
        <w:rPr>
          <w:rtl/>
        </w:rPr>
        <w:t xml:space="preserve">. </w:t>
      </w:r>
    </w:p>
    <w:p w14:paraId="758C22C7" w14:textId="2DDAD83C" w:rsidR="002A6E22" w:rsidRPr="00DD1067" w:rsidRDefault="002A6E22" w:rsidP="003B49E0">
      <w:pPr>
        <w:pStyle w:val="SingleTxtGA"/>
        <w:rPr>
          <w:b/>
          <w:bCs/>
          <w:szCs w:val="20"/>
          <w:lang w:val="ar-SA" w:eastAsia="zh-TW" w:bidi="en-GB"/>
        </w:rPr>
      </w:pPr>
      <w:r w:rsidRPr="003B49E0">
        <w:rPr>
          <w:rtl/>
        </w:rPr>
        <w:t>57-</w:t>
      </w:r>
      <w:r>
        <w:rPr>
          <w:rtl/>
        </w:rPr>
        <w:tab/>
      </w:r>
      <w:r w:rsidRPr="00DD1067">
        <w:rPr>
          <w:b/>
          <w:bCs/>
          <w:rtl/>
        </w:rPr>
        <w:t>توصي اللجنة الدولة الطرف بأن تكفل اتساق إدارة وتطوير مواقع التراث الثقافي العالمي مع أفضل الممارسات التي أوصت بها منظمة الأمم المتحدة للتربية والعلم والثقافة (اليونسكو) والمجلس الدولي للآثار والمواقع</w:t>
      </w:r>
      <w:r w:rsidR="00BA0473" w:rsidRPr="00DD1067">
        <w:rPr>
          <w:b/>
          <w:bCs/>
          <w:rtl/>
        </w:rPr>
        <w:t>،</w:t>
      </w:r>
      <w:r w:rsidRPr="00DD1067">
        <w:rPr>
          <w:b/>
          <w:bCs/>
          <w:rtl/>
        </w:rPr>
        <w:t xml:space="preserve"> بما في ذلك إتاحة فرصة مشاركة المجتمعات المحلية</w:t>
      </w:r>
      <w:r w:rsidR="004131A5">
        <w:rPr>
          <w:b/>
          <w:bCs/>
          <w:rtl/>
        </w:rPr>
        <w:t xml:space="preserve"> </w:t>
      </w:r>
      <w:r w:rsidRPr="00DD1067">
        <w:rPr>
          <w:b/>
          <w:bCs/>
          <w:rtl/>
        </w:rPr>
        <w:t>مشاركة كاملة</w:t>
      </w:r>
      <w:r w:rsidR="004131A5">
        <w:rPr>
          <w:b/>
          <w:bCs/>
          <w:rtl/>
        </w:rPr>
        <w:t xml:space="preserve"> </w:t>
      </w:r>
      <w:r w:rsidRPr="00DD1067">
        <w:rPr>
          <w:b/>
          <w:bCs/>
          <w:rtl/>
        </w:rPr>
        <w:t>لضمان تحقيق رفاهها</w:t>
      </w:r>
      <w:r w:rsidR="004131A5">
        <w:rPr>
          <w:b/>
          <w:bCs/>
          <w:rtl/>
        </w:rPr>
        <w:t xml:space="preserve"> </w:t>
      </w:r>
      <w:r w:rsidRPr="00DD1067">
        <w:rPr>
          <w:b/>
          <w:bCs/>
          <w:rtl/>
        </w:rPr>
        <w:t xml:space="preserve">وتمتعها بكامل حقوقها الثقافية. </w:t>
      </w:r>
    </w:p>
    <w:p w14:paraId="1C1F1246" w14:textId="77777777" w:rsidR="002A6E22" w:rsidRPr="00D46C53" w:rsidRDefault="002A6E22" w:rsidP="003B49E0">
      <w:pPr>
        <w:pStyle w:val="H23GA"/>
        <w:rPr>
          <w:szCs w:val="20"/>
          <w:lang w:val="ar-SA" w:eastAsia="zh-TW" w:bidi="en-GB"/>
        </w:rPr>
      </w:pPr>
      <w:r>
        <w:rPr>
          <w:rtl/>
        </w:rPr>
        <w:tab/>
      </w:r>
      <w:r>
        <w:rPr>
          <w:rtl/>
        </w:rPr>
        <w:tab/>
        <w:t>الفجوة الرقمية</w:t>
      </w:r>
    </w:p>
    <w:p w14:paraId="6F0CC325" w14:textId="14A72B23" w:rsidR="002A6E22" w:rsidRDefault="002A6E22" w:rsidP="003B49E0">
      <w:pPr>
        <w:pStyle w:val="SingleTxtGA"/>
        <w:rPr>
          <w:szCs w:val="20"/>
          <w:lang w:val="ar-SA" w:eastAsia="zh-TW" w:bidi="en-GB"/>
        </w:rPr>
      </w:pPr>
      <w:r w:rsidRPr="003B49E0">
        <w:rPr>
          <w:rtl/>
        </w:rPr>
        <w:t>58-</w:t>
      </w:r>
      <w:r>
        <w:rPr>
          <w:rtl/>
        </w:rPr>
        <w:tab/>
        <w:t>تلاحظ اللجنة بقلق محدودية الاستعانة بالإنترنت</w:t>
      </w:r>
      <w:r w:rsidR="00BA0473">
        <w:rPr>
          <w:rtl/>
        </w:rPr>
        <w:t>،</w:t>
      </w:r>
      <w:r>
        <w:rPr>
          <w:rtl/>
        </w:rPr>
        <w:t xml:space="preserve"> لا سيما بالنسبة للفئات المهمشة والمحرومة</w:t>
      </w:r>
      <w:r w:rsidR="00BA0473">
        <w:rPr>
          <w:rtl/>
        </w:rPr>
        <w:t>،</w:t>
      </w:r>
      <w:r>
        <w:rPr>
          <w:rtl/>
        </w:rPr>
        <w:t xml:space="preserve"> وهو ما يعوق حصولها على حقوقها الاقتصادية والاجتماعية والثقافية</w:t>
      </w:r>
      <w:r w:rsidR="00BA0473">
        <w:rPr>
          <w:rtl/>
        </w:rPr>
        <w:t>،</w:t>
      </w:r>
      <w:r>
        <w:rPr>
          <w:rtl/>
        </w:rPr>
        <w:t xml:space="preserve"> لا سيما في ضوء جائحة مرض فيروس كورونا (كوفيد</w:t>
      </w:r>
      <w:r w:rsidRPr="003B49E0">
        <w:rPr>
          <w:rtl/>
        </w:rPr>
        <w:t>-19</w:t>
      </w:r>
      <w:r>
        <w:rPr>
          <w:rFonts w:ascii="Traditional Arabic"/>
          <w:szCs w:val="20"/>
          <w:rtl/>
        </w:rPr>
        <w:t>)</w:t>
      </w:r>
      <w:r>
        <w:rPr>
          <w:rtl/>
        </w:rPr>
        <w:t xml:space="preserve"> </w:t>
      </w:r>
      <w:r>
        <w:rPr>
          <w:rFonts w:ascii="Traditional Arabic"/>
          <w:szCs w:val="20"/>
          <w:rtl/>
        </w:rPr>
        <w:t>(</w:t>
      </w:r>
      <w:r>
        <w:rPr>
          <w:rtl/>
        </w:rPr>
        <w:t xml:space="preserve">المادة </w:t>
      </w:r>
      <w:r w:rsidRPr="003B49E0">
        <w:rPr>
          <w:rtl/>
        </w:rPr>
        <w:t>15</w:t>
      </w:r>
      <w:r>
        <w:rPr>
          <w:rFonts w:ascii="Traditional Arabic"/>
          <w:szCs w:val="20"/>
          <w:rtl/>
        </w:rPr>
        <w:t>)</w:t>
      </w:r>
      <w:r>
        <w:rPr>
          <w:rtl/>
        </w:rPr>
        <w:t>.</w:t>
      </w:r>
    </w:p>
    <w:p w14:paraId="57A759BA" w14:textId="53F77A47" w:rsidR="002A6E22" w:rsidRPr="00DD1067" w:rsidRDefault="002A6E22" w:rsidP="003B49E0">
      <w:pPr>
        <w:pStyle w:val="SingleTxtGA"/>
        <w:rPr>
          <w:b/>
          <w:bCs/>
          <w:szCs w:val="20"/>
          <w:lang w:val="ar-SA" w:eastAsia="zh-TW" w:bidi="en-GB"/>
        </w:rPr>
      </w:pPr>
      <w:r w:rsidRPr="003B49E0">
        <w:rPr>
          <w:rtl/>
        </w:rPr>
        <w:t>59-</w:t>
      </w:r>
      <w:r>
        <w:rPr>
          <w:rtl/>
        </w:rPr>
        <w:tab/>
      </w:r>
      <w:r w:rsidRPr="00DD1067">
        <w:rPr>
          <w:b/>
          <w:bCs/>
          <w:rtl/>
        </w:rPr>
        <w:t>توصي اللجنة الدولة الطرف باعتماد تدابير لضمان توفير الإنترنت وتيسيره بأسعار معقولة</w:t>
      </w:r>
      <w:r w:rsidR="00BA0473" w:rsidRPr="00DD1067">
        <w:rPr>
          <w:b/>
          <w:bCs/>
          <w:rtl/>
        </w:rPr>
        <w:t>،</w:t>
      </w:r>
      <w:r w:rsidRPr="00DD1067">
        <w:rPr>
          <w:b/>
          <w:bCs/>
          <w:rtl/>
        </w:rPr>
        <w:t xml:space="preserve"> لا سيما للفئات المهمشة والمحرومة. وتحيل اللجنة الدولة الطرف إلى تعليقها العام رقم 25</w:t>
      </w:r>
      <w:r w:rsidRPr="00DD1067">
        <w:rPr>
          <w:rFonts w:ascii="Traditional Arabic"/>
          <w:b/>
          <w:bCs/>
          <w:szCs w:val="20"/>
          <w:rtl/>
        </w:rPr>
        <w:t>(</w:t>
      </w:r>
      <w:r w:rsidRPr="00DD1067">
        <w:rPr>
          <w:b/>
          <w:bCs/>
          <w:rtl/>
        </w:rPr>
        <w:t>2020</w:t>
      </w:r>
      <w:r w:rsidRPr="00DD1067">
        <w:rPr>
          <w:rFonts w:ascii="Traditional Arabic"/>
          <w:b/>
          <w:bCs/>
          <w:szCs w:val="20"/>
          <w:rtl/>
        </w:rPr>
        <w:t>)</w:t>
      </w:r>
      <w:r w:rsidRPr="00DD1067">
        <w:rPr>
          <w:b/>
          <w:bCs/>
          <w:rtl/>
        </w:rPr>
        <w:t xml:space="preserve"> بشأن العلم والحقوق الاقتصادية والاجتماعية والثقافية.</w:t>
      </w:r>
    </w:p>
    <w:p w14:paraId="4A2A1501" w14:textId="77777777" w:rsidR="002A6E22" w:rsidRPr="00411C22" w:rsidRDefault="002A6E22" w:rsidP="003B49E0">
      <w:pPr>
        <w:pStyle w:val="H1GA"/>
        <w:rPr>
          <w:szCs w:val="20"/>
          <w:lang w:val="ar-SA" w:eastAsia="zh-TW" w:bidi="en-GB"/>
        </w:rPr>
      </w:pPr>
      <w:r>
        <w:rPr>
          <w:rtl/>
        </w:rPr>
        <w:tab/>
        <w:t>دال</w:t>
      </w:r>
      <w:r w:rsidRPr="003B49E0">
        <w:rPr>
          <w:rtl/>
        </w:rPr>
        <w:t>-</w:t>
      </w:r>
      <w:r>
        <w:rPr>
          <w:rtl/>
        </w:rPr>
        <w:tab/>
        <w:t xml:space="preserve">توصيات أخرى </w:t>
      </w:r>
    </w:p>
    <w:p w14:paraId="4B74986F" w14:textId="49890149" w:rsidR="002A6E22" w:rsidRPr="00A9151E" w:rsidRDefault="00065F05" w:rsidP="003B49E0">
      <w:pPr>
        <w:pStyle w:val="SingleTxtGA"/>
        <w:rPr>
          <w:b/>
          <w:bCs/>
        </w:rPr>
      </w:pPr>
      <w:r>
        <w:rPr>
          <w:rFonts w:hint="cs"/>
          <w:rtl/>
        </w:rPr>
        <w:t>60</w:t>
      </w:r>
      <w:r w:rsidR="002A6E22" w:rsidRPr="003B49E0">
        <w:rPr>
          <w:rtl/>
        </w:rPr>
        <w:t>-</w:t>
      </w:r>
      <w:r w:rsidR="002A6E22">
        <w:rPr>
          <w:rtl/>
        </w:rPr>
        <w:tab/>
      </w:r>
      <w:r w:rsidR="002A6E22" w:rsidRPr="00A9151E">
        <w:rPr>
          <w:b/>
          <w:bCs/>
          <w:rtl/>
        </w:rPr>
        <w:t>تشجع اللجنة الدولة الطرف على الانضمام إلى البروتوكول الاختياري الملحق بالعهد الدولي الخاص بالحقوق الاقتصادية والاجتماعية والثقافية.</w:t>
      </w:r>
    </w:p>
    <w:p w14:paraId="5308C8B1" w14:textId="3402775D" w:rsidR="002A6E22" w:rsidRPr="00A9151E" w:rsidRDefault="00065F05" w:rsidP="003B49E0">
      <w:pPr>
        <w:pStyle w:val="SingleTxtGA"/>
        <w:rPr>
          <w:b/>
          <w:bCs/>
          <w:szCs w:val="20"/>
          <w:lang w:val="ar-SA" w:eastAsia="zh-TW" w:bidi="en-GB"/>
        </w:rPr>
      </w:pPr>
      <w:r>
        <w:rPr>
          <w:rFonts w:hint="cs"/>
          <w:rtl/>
        </w:rPr>
        <w:t>61</w:t>
      </w:r>
      <w:r w:rsidR="002A6E22" w:rsidRPr="003B49E0">
        <w:rPr>
          <w:rtl/>
        </w:rPr>
        <w:t>-</w:t>
      </w:r>
      <w:r w:rsidR="002A6E22">
        <w:rPr>
          <w:rtl/>
        </w:rPr>
        <w:tab/>
      </w:r>
      <w:r w:rsidR="002A6E22" w:rsidRPr="00A9151E">
        <w:rPr>
          <w:b/>
          <w:bCs/>
          <w:rtl/>
        </w:rPr>
        <w:t xml:space="preserve">توصي اللجنة الدولة الطرف بالنظر في التصديق على الاتفاقية الدولية لحماية حقوق جميع العمال المهاجرين وأفراد أسرهم والاتفاقية الدولية لحماية جميع الأشخاص من الاختفاء القسري. </w:t>
      </w:r>
    </w:p>
    <w:p w14:paraId="13081D7F" w14:textId="3DD6CFC2" w:rsidR="002A6E22" w:rsidRPr="00A9151E" w:rsidRDefault="00065F05" w:rsidP="003B49E0">
      <w:pPr>
        <w:pStyle w:val="SingleTxtGA"/>
        <w:rPr>
          <w:b/>
          <w:bCs/>
          <w:szCs w:val="20"/>
          <w:lang w:val="en-US" w:eastAsia="zh-TW" w:bidi="en-GB"/>
        </w:rPr>
      </w:pPr>
      <w:r>
        <w:rPr>
          <w:rFonts w:hint="cs"/>
          <w:rtl/>
        </w:rPr>
        <w:t>62</w:t>
      </w:r>
      <w:r w:rsidR="002A6E22" w:rsidRPr="003B49E0">
        <w:rPr>
          <w:rtl/>
        </w:rPr>
        <w:t>-</w:t>
      </w:r>
      <w:r w:rsidR="002A6E22">
        <w:rPr>
          <w:rtl/>
        </w:rPr>
        <w:tab/>
      </w:r>
      <w:r w:rsidR="002A6E22" w:rsidRPr="00A9151E">
        <w:rPr>
          <w:b/>
          <w:bCs/>
          <w:rtl/>
        </w:rPr>
        <w:t>توصي اللجنة الدولة الطرف بمراعاة كامل التزاماتها بموجب العهد وأن تكفل التمتع الكامل بالحقوق المكرسة فيه في تنفيذ خطة التنمية المستدامة لعام 2030 على الصعيد الوطني</w:t>
      </w:r>
      <w:r w:rsidR="00BA0473">
        <w:rPr>
          <w:b/>
          <w:bCs/>
          <w:rtl/>
        </w:rPr>
        <w:t>،</w:t>
      </w:r>
      <w:r w:rsidR="002A6E22" w:rsidRPr="00A9151E">
        <w:rPr>
          <w:b/>
          <w:bCs/>
          <w:rtl/>
        </w:rPr>
        <w:t xml:space="preserve"> بما في ذلك </w:t>
      </w:r>
      <w:r w:rsidR="002A6E22" w:rsidRPr="00A9151E">
        <w:rPr>
          <w:b/>
          <w:bCs/>
          <w:rtl/>
        </w:rPr>
        <w:lastRenderedPageBreak/>
        <w:t>في مرحلة التعافي من جائحة كوفيد-19</w:t>
      </w:r>
      <w:r w:rsidR="002A6E22" w:rsidRPr="00A9151E">
        <w:rPr>
          <w:rFonts w:ascii="Traditional Arabic"/>
          <w:b/>
          <w:bCs/>
          <w:szCs w:val="20"/>
          <w:rtl/>
        </w:rPr>
        <w:t>.</w:t>
      </w:r>
      <w:r w:rsidR="002A6E22" w:rsidRPr="00A9151E">
        <w:rPr>
          <w:b/>
          <w:bCs/>
          <w:rtl/>
        </w:rPr>
        <w:t xml:space="preserve"> وبإمكان الدولة الطرف أن تحقق إلى حد كبير أهداف التنمية المستدامة بإنشاء آليات مستقلة لرصد التقدم المحرز ومعاملة الجهات المستفيدة من البرامج العامة بوصفها صاحبة حقوق ويمكنها المطالبة بالاستحقاقات ذات الصلة. وتوصي اللجنة الدولة الطرف</w:t>
      </w:r>
      <w:r w:rsidR="00BA0473">
        <w:rPr>
          <w:b/>
          <w:bCs/>
          <w:rtl/>
        </w:rPr>
        <w:t>،</w:t>
      </w:r>
      <w:r w:rsidR="002A6E22" w:rsidRPr="00A9151E">
        <w:rPr>
          <w:b/>
          <w:bCs/>
          <w:rtl/>
        </w:rPr>
        <w:t xml:space="preserve"> علاوة على ذلك</w:t>
      </w:r>
      <w:r w:rsidR="00BA0473">
        <w:rPr>
          <w:b/>
          <w:bCs/>
          <w:rtl/>
        </w:rPr>
        <w:t>،</w:t>
      </w:r>
      <w:r w:rsidR="002A6E22" w:rsidRPr="00A9151E">
        <w:rPr>
          <w:b/>
          <w:bCs/>
          <w:rtl/>
        </w:rPr>
        <w:t xml:space="preserve"> بدعم الالتزام العالمي لعقد العمل بتحقيق أهداف التنمية المستدامة. ومن شأن تنفيذ أهداف التنمية المستدامة على أساس مبادئ المشاركة والمساءلة وعدم التمييز أن يكفل عدم ترك أحد خلف الركب. وفي هذا الصدد</w:t>
      </w:r>
      <w:r w:rsidR="00BA0473">
        <w:rPr>
          <w:b/>
          <w:bCs/>
          <w:rtl/>
        </w:rPr>
        <w:t>،</w:t>
      </w:r>
      <w:r w:rsidR="002A6E22" w:rsidRPr="00A9151E">
        <w:rPr>
          <w:b/>
          <w:bCs/>
          <w:rtl/>
        </w:rPr>
        <w:t xml:space="preserve"> توجه اللجنة انتباه الدولة الطرف إلى بيانها بشأن التعهد بعدم ترك أي أحد خلف الركب.</w:t>
      </w:r>
    </w:p>
    <w:p w14:paraId="396059E5" w14:textId="20BC2740" w:rsidR="002A6E22" w:rsidRPr="00A9151E" w:rsidRDefault="00065F05" w:rsidP="003B49E0">
      <w:pPr>
        <w:pStyle w:val="SingleTxtGA"/>
        <w:rPr>
          <w:b/>
          <w:bCs/>
          <w:szCs w:val="20"/>
          <w:lang w:val="ar-SA" w:eastAsia="zh-TW" w:bidi="en-GB"/>
        </w:rPr>
      </w:pPr>
      <w:r>
        <w:rPr>
          <w:rFonts w:hint="cs"/>
          <w:rtl/>
        </w:rPr>
        <w:t>63</w:t>
      </w:r>
      <w:r w:rsidR="002A6E22" w:rsidRPr="003B49E0">
        <w:rPr>
          <w:rtl/>
        </w:rPr>
        <w:t>-</w:t>
      </w:r>
      <w:r w:rsidR="002A6E22">
        <w:rPr>
          <w:rtl/>
        </w:rPr>
        <w:t xml:space="preserve"> </w:t>
      </w:r>
      <w:r w:rsidR="002A6E22">
        <w:rPr>
          <w:rtl/>
        </w:rPr>
        <w:tab/>
      </w:r>
      <w:r w:rsidR="002A6E22" w:rsidRPr="00A9151E">
        <w:rPr>
          <w:b/>
          <w:bCs/>
          <w:rtl/>
        </w:rPr>
        <w:t>وتطلب اللجنة إلى الدولة الطرف نشر هذه الملاحظات الختامية على نطاق واسع وعلى جميع مستويات المجتمع</w:t>
      </w:r>
      <w:r w:rsidR="00BA0473">
        <w:rPr>
          <w:b/>
          <w:bCs/>
          <w:rtl/>
        </w:rPr>
        <w:t>،</w:t>
      </w:r>
      <w:r w:rsidR="002A6E22" w:rsidRPr="00A9151E">
        <w:rPr>
          <w:b/>
          <w:bCs/>
          <w:rtl/>
        </w:rPr>
        <w:t xml:space="preserve"> بما في ذلك في جمهورية كاراكالباكستان</w:t>
      </w:r>
      <w:r w:rsidR="00BA0473">
        <w:rPr>
          <w:b/>
          <w:bCs/>
          <w:rtl/>
        </w:rPr>
        <w:t>،</w:t>
      </w:r>
      <w:r w:rsidR="002A6E22" w:rsidRPr="00A9151E">
        <w:rPr>
          <w:b/>
          <w:bCs/>
          <w:rtl/>
        </w:rPr>
        <w:t xml:space="preserve"> وعلى المستوى المحلي</w:t>
      </w:r>
      <w:r w:rsidR="00BA0473">
        <w:rPr>
          <w:b/>
          <w:bCs/>
          <w:rtl/>
        </w:rPr>
        <w:t>،</w:t>
      </w:r>
      <w:r w:rsidR="002A6E22" w:rsidRPr="00A9151E">
        <w:rPr>
          <w:b/>
          <w:bCs/>
          <w:rtl/>
        </w:rPr>
        <w:t xml:space="preserve"> لا سيما في صفوف البرلمانيين والموظفين العموميين والسلطات القضائية</w:t>
      </w:r>
      <w:r w:rsidR="00BA0473">
        <w:rPr>
          <w:b/>
          <w:bCs/>
          <w:rtl/>
        </w:rPr>
        <w:t>،</w:t>
      </w:r>
      <w:r w:rsidR="002A6E22" w:rsidRPr="00A9151E">
        <w:rPr>
          <w:b/>
          <w:bCs/>
          <w:rtl/>
        </w:rPr>
        <w:t xml:space="preserve"> وإطلاع اللجنة</w:t>
      </w:r>
      <w:r w:rsidR="00BA0473">
        <w:rPr>
          <w:b/>
          <w:bCs/>
          <w:rtl/>
        </w:rPr>
        <w:t>،</w:t>
      </w:r>
      <w:r w:rsidR="002A6E22" w:rsidRPr="00A9151E">
        <w:rPr>
          <w:b/>
          <w:bCs/>
          <w:rtl/>
        </w:rPr>
        <w:t xml:space="preserve"> في تقريرها الدوري المقبل</w:t>
      </w:r>
      <w:r w:rsidR="00BA0473">
        <w:rPr>
          <w:b/>
          <w:bCs/>
          <w:rtl/>
        </w:rPr>
        <w:t>،</w:t>
      </w:r>
      <w:r w:rsidR="002A6E22" w:rsidRPr="00A9151E">
        <w:rPr>
          <w:b/>
          <w:bCs/>
          <w:rtl/>
        </w:rPr>
        <w:t xml:space="preserve"> على الخطوات المتخذة لتنفيذ هذه الملاحظات. وتشجع اللجنة الدولة الطرف على التعاون مع المنظمات غير الحكومية وسائر أعضاء المجتمع المدني في متابعة هذه الملاحظات الختامية وفي عملية التشاور على المستوى الوطني قبل تقديم تقريرها الدوري المقبل. </w:t>
      </w:r>
    </w:p>
    <w:p w14:paraId="406567FB" w14:textId="740E824A" w:rsidR="002A6E22" w:rsidRPr="00A9151E" w:rsidRDefault="00065F05" w:rsidP="003B49E0">
      <w:pPr>
        <w:pStyle w:val="SingleTxtGA"/>
        <w:rPr>
          <w:b/>
          <w:bCs/>
          <w:szCs w:val="20"/>
          <w:lang w:val="ar-SA" w:eastAsia="zh-TW" w:bidi="en-GB"/>
        </w:rPr>
      </w:pPr>
      <w:r>
        <w:rPr>
          <w:rFonts w:hint="cs"/>
          <w:rtl/>
        </w:rPr>
        <w:t>64</w:t>
      </w:r>
      <w:r w:rsidR="002A6E22" w:rsidRPr="003B49E0">
        <w:rPr>
          <w:rtl/>
        </w:rPr>
        <w:t>-</w:t>
      </w:r>
      <w:r w:rsidR="002A6E22">
        <w:rPr>
          <w:rtl/>
        </w:rPr>
        <w:t xml:space="preserve"> </w:t>
      </w:r>
      <w:r w:rsidR="002A6E22">
        <w:rPr>
          <w:rtl/>
        </w:rPr>
        <w:tab/>
      </w:r>
      <w:r w:rsidR="002A6E22" w:rsidRPr="00A9151E">
        <w:rPr>
          <w:b/>
          <w:bCs/>
          <w:rtl/>
        </w:rPr>
        <w:t>ووفقا</w:t>
      </w:r>
      <w:r w:rsidR="003B49E0" w:rsidRPr="00A9151E">
        <w:rPr>
          <w:rFonts w:hint="cs"/>
          <w:b/>
          <w:bCs/>
          <w:rtl/>
        </w:rPr>
        <w:t>ً</w:t>
      </w:r>
      <w:r w:rsidR="002A6E22" w:rsidRPr="00A9151E">
        <w:rPr>
          <w:b/>
          <w:bCs/>
          <w:rtl/>
        </w:rPr>
        <w:t xml:space="preserve"> لإجراءات متابعة الملاحظات الختامية التي اعتمدتها اللجنة</w:t>
      </w:r>
      <w:r w:rsidR="00BA0473">
        <w:rPr>
          <w:b/>
          <w:bCs/>
          <w:rtl/>
        </w:rPr>
        <w:t>،</w:t>
      </w:r>
      <w:r w:rsidR="002A6E22" w:rsidRPr="00A9151E">
        <w:rPr>
          <w:b/>
          <w:bCs/>
          <w:rtl/>
        </w:rPr>
        <w:t xml:space="preserve"> يُطلب إلى الدولة الطرف أن تقدم</w:t>
      </w:r>
      <w:r w:rsidR="00BA0473">
        <w:rPr>
          <w:b/>
          <w:bCs/>
          <w:rtl/>
        </w:rPr>
        <w:t>،</w:t>
      </w:r>
      <w:r w:rsidR="002A6E22" w:rsidRPr="00A9151E">
        <w:rPr>
          <w:b/>
          <w:bCs/>
          <w:rtl/>
        </w:rPr>
        <w:t xml:space="preserve"> في غضون 24 شهرا</w:t>
      </w:r>
      <w:r w:rsidR="00A9151E" w:rsidRPr="00A9151E">
        <w:rPr>
          <w:rFonts w:hint="cs"/>
          <w:b/>
          <w:bCs/>
          <w:rtl/>
        </w:rPr>
        <w:t>ً</w:t>
      </w:r>
      <w:r w:rsidR="002A6E22" w:rsidRPr="00A9151E">
        <w:rPr>
          <w:b/>
          <w:bCs/>
          <w:rtl/>
        </w:rPr>
        <w:t xml:space="preserve"> من اعتماد هذه الملاحظات الختامية</w:t>
      </w:r>
      <w:r w:rsidR="00BA0473">
        <w:rPr>
          <w:b/>
          <w:bCs/>
          <w:rtl/>
        </w:rPr>
        <w:t>،</w:t>
      </w:r>
      <w:r w:rsidR="002A6E22" w:rsidRPr="00A9151E">
        <w:rPr>
          <w:b/>
          <w:bCs/>
          <w:rtl/>
        </w:rPr>
        <w:t xml:space="preserve"> معلومات عن تنفيذ توصيات اللجنة الواردة في الفقرة 13</w:t>
      </w:r>
      <w:r w:rsidR="002A6E22" w:rsidRPr="00A9151E">
        <w:rPr>
          <w:rFonts w:ascii="Traditional Arabic"/>
          <w:b/>
          <w:bCs/>
          <w:szCs w:val="20"/>
          <w:rtl/>
        </w:rPr>
        <w:t xml:space="preserve"> (</w:t>
      </w:r>
      <w:r w:rsidR="002A6E22" w:rsidRPr="00A9151E">
        <w:rPr>
          <w:b/>
          <w:bCs/>
          <w:rtl/>
        </w:rPr>
        <w:t>الفساد</w:t>
      </w:r>
      <w:r w:rsidR="002A6E22" w:rsidRPr="00A9151E">
        <w:rPr>
          <w:rFonts w:ascii="Traditional Arabic"/>
          <w:b/>
          <w:bCs/>
          <w:szCs w:val="20"/>
          <w:rtl/>
        </w:rPr>
        <w:t>)</w:t>
      </w:r>
      <w:r w:rsidR="00BA0473">
        <w:rPr>
          <w:b/>
          <w:bCs/>
          <w:rtl/>
        </w:rPr>
        <w:t>،</w:t>
      </w:r>
      <w:r w:rsidR="002A6E22" w:rsidRPr="00A9151E">
        <w:rPr>
          <w:b/>
          <w:bCs/>
          <w:rtl/>
        </w:rPr>
        <w:t xml:space="preserve"> و21</w:t>
      </w:r>
      <w:r w:rsidR="002A6E22" w:rsidRPr="00A9151E">
        <w:rPr>
          <w:rFonts w:ascii="Traditional Arabic"/>
          <w:b/>
          <w:bCs/>
          <w:szCs w:val="20"/>
          <w:rtl/>
        </w:rPr>
        <w:t xml:space="preserve"> (</w:t>
      </w:r>
      <w:r w:rsidR="002A6E22" w:rsidRPr="00A9151E">
        <w:rPr>
          <w:b/>
          <w:bCs/>
          <w:rtl/>
        </w:rPr>
        <w:t>عدم التمييز</w:t>
      </w:r>
      <w:r w:rsidR="002A6E22" w:rsidRPr="00A9151E">
        <w:rPr>
          <w:rFonts w:ascii="Traditional Arabic"/>
          <w:b/>
          <w:bCs/>
          <w:szCs w:val="20"/>
          <w:rtl/>
        </w:rPr>
        <w:t>)</w:t>
      </w:r>
      <w:r w:rsidR="002A6E22" w:rsidRPr="00A9151E">
        <w:rPr>
          <w:b/>
          <w:bCs/>
          <w:rtl/>
        </w:rPr>
        <w:t xml:space="preserve"> و33</w:t>
      </w:r>
      <w:r w:rsidR="002A6E22" w:rsidRPr="00A9151E">
        <w:rPr>
          <w:rFonts w:ascii="Traditional Arabic"/>
          <w:b/>
          <w:bCs/>
          <w:szCs w:val="20"/>
          <w:rtl/>
        </w:rPr>
        <w:t xml:space="preserve"> (</w:t>
      </w:r>
      <w:r w:rsidR="002A6E22" w:rsidRPr="00A9151E">
        <w:rPr>
          <w:b/>
          <w:bCs/>
          <w:rtl/>
        </w:rPr>
        <w:t>بطالة الشباب</w:t>
      </w:r>
      <w:r w:rsidR="002A6E22" w:rsidRPr="00A9151E">
        <w:rPr>
          <w:rFonts w:ascii="Traditional Arabic"/>
          <w:b/>
          <w:bCs/>
          <w:szCs w:val="20"/>
          <w:rtl/>
        </w:rPr>
        <w:t>)</w:t>
      </w:r>
      <w:r w:rsidR="002A6E22" w:rsidRPr="00A9151E">
        <w:rPr>
          <w:b/>
          <w:bCs/>
          <w:rtl/>
        </w:rPr>
        <w:t xml:space="preserve"> أعلاه. </w:t>
      </w:r>
    </w:p>
    <w:p w14:paraId="0D52CE18" w14:textId="10D08F41" w:rsidR="002A6E22" w:rsidRPr="00373348" w:rsidRDefault="00065F05" w:rsidP="003B49E0">
      <w:pPr>
        <w:pStyle w:val="SingleTxtGA"/>
        <w:rPr>
          <w:szCs w:val="20"/>
          <w:lang w:val="ar-SA" w:eastAsia="zh-TW" w:bidi="en-GB"/>
        </w:rPr>
      </w:pPr>
      <w:r>
        <w:rPr>
          <w:rFonts w:hint="cs"/>
          <w:rtl/>
        </w:rPr>
        <w:t>65</w:t>
      </w:r>
      <w:r w:rsidR="002A6E22" w:rsidRPr="003B49E0">
        <w:rPr>
          <w:rtl/>
        </w:rPr>
        <w:t>-</w:t>
      </w:r>
      <w:r w:rsidR="002A6E22">
        <w:rPr>
          <w:rtl/>
        </w:rPr>
        <w:tab/>
      </w:r>
      <w:r w:rsidR="002A6E22" w:rsidRPr="00A9151E">
        <w:rPr>
          <w:b/>
          <w:bCs/>
          <w:rtl/>
        </w:rPr>
        <w:t>وتطلب اللجنة إلى الدولة الطرف أن تقدم تقريرها الدوري الرابع</w:t>
      </w:r>
      <w:r w:rsidR="00BA0473">
        <w:rPr>
          <w:b/>
          <w:bCs/>
          <w:rtl/>
        </w:rPr>
        <w:t>،</w:t>
      </w:r>
      <w:r w:rsidR="002A6E22" w:rsidRPr="00A9151E">
        <w:rPr>
          <w:b/>
          <w:bCs/>
          <w:rtl/>
        </w:rPr>
        <w:t xml:space="preserve"> وف</w:t>
      </w:r>
      <w:r w:rsidR="00DD1067">
        <w:rPr>
          <w:b/>
          <w:bCs/>
          <w:rtl/>
        </w:rPr>
        <w:t xml:space="preserve">قاً </w:t>
      </w:r>
      <w:r w:rsidR="002A6E22" w:rsidRPr="00A9151E">
        <w:rPr>
          <w:b/>
          <w:bCs/>
          <w:rtl/>
        </w:rPr>
        <w:t>للمادة 16 من العهد</w:t>
      </w:r>
      <w:r w:rsidR="00BA0473">
        <w:rPr>
          <w:b/>
          <w:bCs/>
          <w:rtl/>
        </w:rPr>
        <w:t>،</w:t>
      </w:r>
      <w:r w:rsidR="002A6E22" w:rsidRPr="00A9151E">
        <w:rPr>
          <w:b/>
          <w:bCs/>
          <w:rtl/>
        </w:rPr>
        <w:t xml:space="preserve"> بحلول 31 آذار/مارس 2027</w:t>
      </w:r>
      <w:r w:rsidR="00BA0473">
        <w:rPr>
          <w:b/>
          <w:bCs/>
          <w:rtl/>
        </w:rPr>
        <w:t>،</w:t>
      </w:r>
      <w:r w:rsidR="002A6E22" w:rsidRPr="00A9151E">
        <w:rPr>
          <w:b/>
          <w:bCs/>
          <w:rtl/>
        </w:rPr>
        <w:t xml:space="preserve"> ما لم تُبلَّغ بخلاف ذلك بسبب تغير موعد جولة الاستعراض. ووف</w:t>
      </w:r>
      <w:r w:rsidR="00DD1067">
        <w:rPr>
          <w:b/>
          <w:bCs/>
          <w:rtl/>
        </w:rPr>
        <w:t xml:space="preserve">قاً </w:t>
      </w:r>
      <w:r w:rsidR="002A6E22" w:rsidRPr="00A9151E">
        <w:rPr>
          <w:b/>
          <w:bCs/>
          <w:rtl/>
        </w:rPr>
        <w:t>لقرار الجمعية العامة 68/268</w:t>
      </w:r>
      <w:r w:rsidR="00BA0473">
        <w:rPr>
          <w:b/>
          <w:bCs/>
          <w:rtl/>
        </w:rPr>
        <w:t>،</w:t>
      </w:r>
      <w:r w:rsidR="002A6E22" w:rsidRPr="00A9151E">
        <w:rPr>
          <w:b/>
          <w:bCs/>
          <w:rtl/>
        </w:rPr>
        <w:t xml:space="preserve"> يبلغ الحد الأقصى لعدد كلمات التقرير 200</w:t>
      </w:r>
      <w:r w:rsidR="002A6E22" w:rsidRPr="00A9151E">
        <w:rPr>
          <w:rFonts w:ascii="Traditional Arabic"/>
          <w:b/>
          <w:bCs/>
          <w:szCs w:val="20"/>
          <w:rtl/>
        </w:rPr>
        <w:t xml:space="preserve"> </w:t>
      </w:r>
      <w:r w:rsidR="002A6E22" w:rsidRPr="00A9151E">
        <w:rPr>
          <w:b/>
          <w:bCs/>
          <w:rtl/>
        </w:rPr>
        <w:t>21 كلمة.</w:t>
      </w:r>
    </w:p>
    <w:p w14:paraId="3CB93441" w14:textId="77777777" w:rsidR="002A6E22" w:rsidRPr="00065F05" w:rsidRDefault="002A6E22" w:rsidP="002A6E22">
      <w:pPr>
        <w:pStyle w:val="SingleTxtG"/>
        <w:spacing w:before="240" w:after="0"/>
        <w:jc w:val="center"/>
        <w:rPr>
          <w:lang w:val="en-US"/>
        </w:rPr>
      </w:pPr>
      <w:r w:rsidRPr="000B17C9">
        <w:rPr>
          <w:u w:val="single"/>
        </w:rPr>
        <w:tab/>
      </w:r>
      <w:r w:rsidRPr="000B17C9">
        <w:rPr>
          <w:u w:val="single"/>
        </w:rPr>
        <w:tab/>
      </w:r>
      <w:r w:rsidRPr="000B17C9">
        <w:rPr>
          <w:u w:val="single"/>
        </w:rPr>
        <w:tab/>
      </w:r>
      <w:r w:rsidRPr="000B17C9">
        <w:rPr>
          <w:u w:val="single"/>
        </w:rPr>
        <w:tab/>
      </w:r>
    </w:p>
    <w:sectPr w:rsidR="002A6E22" w:rsidRPr="00065F05" w:rsidSect="008A550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8797" w14:textId="77777777" w:rsidR="00E9504D" w:rsidRPr="002901D9" w:rsidRDefault="00E9504D" w:rsidP="00485999">
      <w:pPr>
        <w:spacing w:after="60" w:line="240" w:lineRule="auto"/>
        <w:ind w:left="57"/>
        <w:rPr>
          <w:i/>
          <w:iCs/>
        </w:rPr>
      </w:pPr>
      <w:r>
        <w:rPr>
          <w:rFonts w:hint="cs"/>
          <w:i/>
          <w:iCs/>
          <w:rtl/>
        </w:rPr>
        <w:t>الحواشي</w:t>
      </w:r>
    </w:p>
  </w:endnote>
  <w:endnote w:type="continuationSeparator" w:id="0">
    <w:p w14:paraId="298FC913" w14:textId="77777777" w:rsidR="00E9504D" w:rsidRDefault="00E950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C3FC" w14:textId="36BEF715" w:rsidR="009C2027" w:rsidRPr="009C2027" w:rsidRDefault="009C2027" w:rsidP="009C2027">
    <w:pPr>
      <w:pStyle w:val="Footer"/>
      <w:tabs>
        <w:tab w:val="right" w:pos="9638"/>
      </w:tabs>
      <w:rPr>
        <w:b/>
        <w:sz w:val="18"/>
        <w:lang w:val="en-US"/>
      </w:rPr>
    </w:pPr>
    <w:r>
      <w:rPr>
        <w:lang w:val="en-US"/>
      </w:rPr>
      <w:t>GE.22-04767</w:t>
    </w:r>
    <w:r>
      <w:rPr>
        <w:lang w:val="en-US"/>
      </w:rPr>
      <w:tab/>
    </w:r>
    <w:r w:rsidRPr="009C2027">
      <w:rPr>
        <w:b/>
        <w:sz w:val="18"/>
        <w:lang w:val="en-US"/>
      </w:rPr>
      <w:fldChar w:fldCharType="begin"/>
    </w:r>
    <w:r w:rsidRPr="009C2027">
      <w:rPr>
        <w:b/>
        <w:sz w:val="18"/>
        <w:lang w:val="en-US"/>
      </w:rPr>
      <w:instrText xml:space="preserve"> PAGE  \* MERGEFORMAT </w:instrText>
    </w:r>
    <w:r w:rsidRPr="009C2027">
      <w:rPr>
        <w:b/>
        <w:sz w:val="18"/>
        <w:lang w:val="en-US"/>
      </w:rPr>
      <w:fldChar w:fldCharType="separate"/>
    </w:r>
    <w:r w:rsidRPr="009C2027">
      <w:rPr>
        <w:b/>
        <w:noProof/>
        <w:sz w:val="18"/>
        <w:lang w:val="en-US"/>
      </w:rPr>
      <w:t>2</w:t>
    </w:r>
    <w:r w:rsidRPr="009C202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6F9A" w14:textId="33EB7176" w:rsidR="006959B0" w:rsidRPr="009C2027" w:rsidRDefault="009C2027" w:rsidP="009C2027">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GE.22-04767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964C" w14:textId="13C84ABA" w:rsidR="00FD4BC9" w:rsidRPr="009C2027" w:rsidRDefault="009C2027" w:rsidP="009C2027">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0C845B40" wp14:editId="7ED47F9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22-04767 (A)</w:t>
    </w:r>
    <w:r>
      <w:rPr>
        <w:noProof/>
        <w:sz w:val="20"/>
        <w:lang w:val="en-US"/>
      </w:rPr>
      <w:drawing>
        <wp:anchor distT="0" distB="0" distL="114300" distR="114300" simplePos="0" relativeHeight="251659264" behindDoc="0" locked="0" layoutInCell="1" allowOverlap="1" wp14:anchorId="77BE7F64" wp14:editId="66A6F0BB">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F06C" w14:textId="77777777" w:rsidR="00E9504D" w:rsidRPr="00EE401A" w:rsidRDefault="00E9504D"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EF3E42D" w14:textId="77777777" w:rsidR="00E9504D" w:rsidRDefault="00E9504D" w:rsidP="00656392">
      <w:pPr>
        <w:spacing w:line="240" w:lineRule="auto"/>
      </w:pPr>
      <w:r>
        <w:continuationSeparator/>
      </w:r>
    </w:p>
  </w:footnote>
  <w:footnote w:id="1">
    <w:p w14:paraId="28166AAC" w14:textId="69258D5C" w:rsidR="002A6E22" w:rsidRPr="00BA0473" w:rsidRDefault="002A6E22" w:rsidP="007D4BB1">
      <w:pPr>
        <w:pStyle w:val="FootnoteText"/>
        <w:tabs>
          <w:tab w:val="clear" w:pos="1021"/>
        </w:tabs>
        <w:bidi/>
        <w:spacing w:after="60" w:line="280" w:lineRule="exact"/>
        <w:ind w:left="1247" w:right="1247" w:hanging="567"/>
        <w:jc w:val="lowKashida"/>
        <w:textDirection w:val="tbRlV"/>
        <w:rPr>
          <w:szCs w:val="18"/>
          <w:lang w:val="ar-SA" w:eastAsia="zh-TW" w:bidi="en-GB"/>
        </w:rPr>
      </w:pPr>
      <w:r w:rsidRPr="00BA0473">
        <w:rPr>
          <w:rFonts w:ascii="Traditional Arabic"/>
          <w:szCs w:val="18"/>
        </w:rPr>
        <w:t>*</w:t>
      </w:r>
      <w:r w:rsidRPr="00BA0473">
        <w:rPr>
          <w:szCs w:val="18"/>
          <w:rtl/>
        </w:rPr>
        <w:tab/>
        <w:t xml:space="preserve">اعتمدتها اللجنة في دورتها الحادية والعشرين </w:t>
      </w:r>
      <w:r w:rsidRPr="00BA0473">
        <w:rPr>
          <w:rFonts w:ascii="Traditional Arabic"/>
          <w:szCs w:val="18"/>
          <w:rtl/>
        </w:rPr>
        <w:t>(14</w:t>
      </w:r>
      <w:r w:rsidRPr="00BA0473">
        <w:rPr>
          <w:szCs w:val="18"/>
          <w:rtl/>
        </w:rPr>
        <w:t xml:space="preserve"> شباط/فبراير - </w:t>
      </w:r>
      <w:r w:rsidRPr="00BA0473">
        <w:rPr>
          <w:rFonts w:ascii="Traditional Arabic"/>
          <w:szCs w:val="18"/>
          <w:rtl/>
        </w:rPr>
        <w:t>4</w:t>
      </w:r>
      <w:r w:rsidRPr="00BA0473">
        <w:rPr>
          <w:szCs w:val="18"/>
          <w:rtl/>
        </w:rPr>
        <w:t xml:space="preserve"> </w:t>
      </w:r>
      <w:r w:rsidR="007F7726">
        <w:rPr>
          <w:rFonts w:hint="cs"/>
          <w:szCs w:val="18"/>
          <w:rtl/>
        </w:rPr>
        <w:t>آذار/</w:t>
      </w:r>
      <w:r w:rsidRPr="00BA0473">
        <w:rPr>
          <w:szCs w:val="18"/>
          <w:rtl/>
        </w:rPr>
        <w:t xml:space="preserve">مارس </w:t>
      </w:r>
      <w:r w:rsidRPr="00BA0473">
        <w:rPr>
          <w:rFonts w:ascii="Traditional Arabic"/>
          <w:szCs w:val="18"/>
          <w:rtl/>
        </w:rPr>
        <w:t>2022)</w:t>
      </w:r>
      <w:r w:rsidRPr="00BA0473">
        <w:rPr>
          <w:szCs w:val="18"/>
          <w:rtl/>
        </w:rPr>
        <w:t>.</w:t>
      </w:r>
    </w:p>
  </w:footnote>
  <w:footnote w:id="2">
    <w:p w14:paraId="536015A7" w14:textId="09EC2D6D"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 xml:space="preserve"> </w:t>
      </w:r>
      <w:r w:rsidRPr="00BA0473">
        <w:rPr>
          <w:szCs w:val="18"/>
          <w:rtl/>
        </w:rPr>
        <w:tab/>
      </w:r>
      <w:hyperlink r:id="rId1" w:history="1">
        <w:r w:rsidR="00B30255" w:rsidRPr="00BA0473">
          <w:rPr>
            <w:rStyle w:val="Hyperlink"/>
            <w:rFonts w:cs="Times New Roman"/>
            <w:szCs w:val="18"/>
          </w:rPr>
          <w:t>E/C.12/UZB/3</w:t>
        </w:r>
      </w:hyperlink>
      <w:r w:rsidR="00B30255" w:rsidRPr="00BA0473">
        <w:rPr>
          <w:szCs w:val="18"/>
          <w:rtl/>
        </w:rPr>
        <w:t>.</w:t>
      </w:r>
    </w:p>
  </w:footnote>
  <w:footnote w:id="3">
    <w:p w14:paraId="363BD593" w14:textId="3B06AB73" w:rsidR="00D83907" w:rsidRPr="00B30255" w:rsidRDefault="00D83907" w:rsidP="007D4BB1">
      <w:pPr>
        <w:pStyle w:val="FootnoteText"/>
        <w:tabs>
          <w:tab w:val="clear" w:pos="1021"/>
        </w:tabs>
        <w:bidi/>
        <w:spacing w:after="60" w:line="280" w:lineRule="exact"/>
        <w:ind w:left="1247" w:right="1247" w:hanging="567"/>
        <w:jc w:val="lowKashida"/>
        <w:textDirection w:val="tbRlV"/>
        <w:rPr>
          <w:szCs w:val="18"/>
          <w:lang w:val="en-GB"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ab/>
      </w:r>
      <w:r w:rsidR="00B30255" w:rsidRPr="00BA0473">
        <w:rPr>
          <w:szCs w:val="18"/>
          <w:rtl/>
        </w:rPr>
        <w:t xml:space="preserve">انظر </w:t>
      </w:r>
      <w:hyperlink r:id="rId2" w:history="1">
        <w:r w:rsidR="00B30255" w:rsidRPr="00BA0473">
          <w:rPr>
            <w:rStyle w:val="Hyperlink"/>
            <w:rFonts w:cs="Times New Roman"/>
            <w:szCs w:val="18"/>
          </w:rPr>
          <w:t>E/C.12/2022/SR.13</w:t>
        </w:r>
      </w:hyperlink>
      <w:r w:rsidR="00B30255">
        <w:rPr>
          <w:szCs w:val="18"/>
          <w:rtl/>
        </w:rPr>
        <w:t>،</w:t>
      </w:r>
      <w:r w:rsidR="00B30255" w:rsidRPr="00BA0473">
        <w:rPr>
          <w:szCs w:val="18"/>
          <w:rtl/>
        </w:rPr>
        <w:t xml:space="preserve"> و</w:t>
      </w:r>
      <w:hyperlink r:id="rId3" w:history="1">
        <w:r w:rsidR="00B30255" w:rsidRPr="00BA0473">
          <w:rPr>
            <w:rStyle w:val="Hyperlink"/>
            <w:rFonts w:cs="Times New Roman"/>
            <w:szCs w:val="18"/>
          </w:rPr>
          <w:t>E/C.12/2022/SR.15</w:t>
        </w:r>
      </w:hyperlink>
      <w:r w:rsidR="00B30255">
        <w:rPr>
          <w:szCs w:val="18"/>
          <w:rtl/>
        </w:rPr>
        <w:t>،</w:t>
      </w:r>
      <w:r w:rsidR="00B30255" w:rsidRPr="00BA0473">
        <w:rPr>
          <w:szCs w:val="18"/>
          <w:rtl/>
        </w:rPr>
        <w:t xml:space="preserve"> و</w:t>
      </w:r>
      <w:hyperlink r:id="rId4" w:history="1">
        <w:r w:rsidR="00B30255" w:rsidRPr="00BA0473">
          <w:rPr>
            <w:rStyle w:val="Hyperlink"/>
            <w:rFonts w:cs="Times New Roman"/>
            <w:szCs w:val="18"/>
          </w:rPr>
          <w:t>E/C.12/2022/SR.17</w:t>
        </w:r>
      </w:hyperlink>
      <w:r w:rsidR="00B30255" w:rsidRPr="00BA0473">
        <w:rPr>
          <w:szCs w:val="18"/>
          <w:rtl/>
        </w:rPr>
        <w:t>.</w:t>
      </w:r>
    </w:p>
  </w:footnote>
  <w:footnote w:id="4">
    <w:p w14:paraId="59F9277D" w14:textId="2371D0B6"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val="fr-FR"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 xml:space="preserve"> </w:t>
      </w:r>
      <w:r w:rsidRPr="00BA0473">
        <w:rPr>
          <w:szCs w:val="18"/>
          <w:rtl/>
        </w:rPr>
        <w:tab/>
      </w:r>
      <w:hyperlink r:id="rId5" w:history="1">
        <w:r w:rsidRPr="00BA0473">
          <w:rPr>
            <w:rStyle w:val="Hyperlink"/>
            <w:rFonts w:cs="Times New Roman"/>
            <w:szCs w:val="18"/>
            <w:lang w:val="fr-FR"/>
          </w:rPr>
          <w:t>E/C.12/UZB/RQ/3</w:t>
        </w:r>
      </w:hyperlink>
      <w:r w:rsidRPr="00BA0473">
        <w:rPr>
          <w:szCs w:val="18"/>
          <w:rtl/>
        </w:rPr>
        <w:t>.</w:t>
      </w:r>
    </w:p>
  </w:footnote>
  <w:footnote w:id="5">
    <w:p w14:paraId="67F2E1A5" w14:textId="4849B2C3"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val="fr-FR"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ab/>
      </w:r>
      <w:hyperlink r:id="rId6" w:history="1">
        <w:r w:rsidRPr="00BA0473">
          <w:rPr>
            <w:rStyle w:val="Hyperlink"/>
            <w:rFonts w:cs="Times New Roman"/>
            <w:szCs w:val="18"/>
            <w:lang w:val="fr-FR"/>
          </w:rPr>
          <w:t>E/C.12/2016/2</w:t>
        </w:r>
      </w:hyperlink>
      <w:r w:rsidRPr="00BA0473">
        <w:rPr>
          <w:szCs w:val="18"/>
          <w:rtl/>
        </w:rPr>
        <w:t>.</w:t>
      </w:r>
    </w:p>
  </w:footnote>
  <w:footnote w:id="6">
    <w:p w14:paraId="30C54E0F" w14:textId="14431D62"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val="es-ES"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ab/>
      </w:r>
      <w:hyperlink r:id="rId7" w:history="1">
        <w:r w:rsidRPr="00BA0473">
          <w:rPr>
            <w:rStyle w:val="Hyperlink"/>
            <w:rFonts w:cs="Times New Roman"/>
            <w:szCs w:val="18"/>
            <w:lang w:val="es-ES"/>
          </w:rPr>
          <w:t>E/C.12/2018/1</w:t>
        </w:r>
      </w:hyperlink>
      <w:r w:rsidRPr="00BA0473">
        <w:rPr>
          <w:szCs w:val="18"/>
          <w:rtl/>
        </w:rPr>
        <w:t>.</w:t>
      </w:r>
    </w:p>
  </w:footnote>
  <w:footnote w:id="7">
    <w:p w14:paraId="4B1199F7" w14:textId="10D88BFA"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val="es-ES"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ab/>
      </w:r>
      <w:r w:rsidR="00D73164">
        <w:fldChar w:fldCharType="begin"/>
      </w:r>
      <w:r w:rsidR="00D73164" w:rsidRPr="00065F05">
        <w:rPr>
          <w:lang w:val="es-ES"/>
        </w:rPr>
        <w:instrText xml:space="preserve"> HYPERLINK "http://undocs.org/ar/HRI/2019/1" </w:instrText>
      </w:r>
      <w:r w:rsidR="00D73164">
        <w:fldChar w:fldCharType="separate"/>
      </w:r>
      <w:r w:rsidRPr="00BA0473">
        <w:rPr>
          <w:rStyle w:val="Hyperlink"/>
          <w:rFonts w:cs="Times New Roman"/>
          <w:szCs w:val="18"/>
          <w:lang w:val="es-ES"/>
        </w:rPr>
        <w:t>HRI/2019/1</w:t>
      </w:r>
      <w:r w:rsidR="00D73164">
        <w:rPr>
          <w:rStyle w:val="Hyperlink"/>
          <w:rFonts w:cs="Times New Roman"/>
          <w:szCs w:val="18"/>
          <w:lang w:val="es-ES"/>
        </w:rPr>
        <w:fldChar w:fldCharType="end"/>
      </w:r>
      <w:r w:rsidRPr="00BA0473">
        <w:rPr>
          <w:szCs w:val="18"/>
          <w:rtl/>
        </w:rPr>
        <w:t>.</w:t>
      </w:r>
    </w:p>
  </w:footnote>
  <w:footnote w:id="8">
    <w:p w14:paraId="30054B7C" w14:textId="641FDC32"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val="es-ES"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ab/>
      </w:r>
      <w:r w:rsidR="00D73164">
        <w:fldChar w:fldCharType="begin"/>
      </w:r>
      <w:r w:rsidR="00D73164" w:rsidRPr="00065F05">
        <w:rPr>
          <w:lang w:val="es-ES"/>
        </w:rPr>
        <w:instrText xml:space="preserve"> HYPERLINK "http://undocs.org/ar/E/C.12/66/5-CCPR/C/127/4" </w:instrText>
      </w:r>
      <w:r w:rsidR="00D73164">
        <w:fldChar w:fldCharType="separate"/>
      </w:r>
      <w:r w:rsidRPr="00BA0473">
        <w:rPr>
          <w:rStyle w:val="Hyperlink"/>
          <w:rFonts w:cs="Times New Roman"/>
          <w:szCs w:val="18"/>
          <w:lang w:val="es-ES"/>
        </w:rPr>
        <w:t>E/C.12/66/5-CCPR/C/127/4</w:t>
      </w:r>
      <w:r w:rsidR="00D73164">
        <w:rPr>
          <w:rStyle w:val="Hyperlink"/>
          <w:rFonts w:cs="Times New Roman"/>
          <w:szCs w:val="18"/>
          <w:lang w:val="es-ES"/>
        </w:rPr>
        <w:fldChar w:fldCharType="end"/>
      </w:r>
      <w:r w:rsidRPr="00BA0473">
        <w:rPr>
          <w:szCs w:val="18"/>
          <w:rtl/>
        </w:rPr>
        <w:t>.</w:t>
      </w:r>
    </w:p>
  </w:footnote>
  <w:footnote w:id="9">
    <w:p w14:paraId="72AB1725" w14:textId="0B4BE7F6" w:rsidR="00D83907" w:rsidRPr="00BA0473" w:rsidRDefault="00D83907" w:rsidP="007D4BB1">
      <w:pPr>
        <w:pStyle w:val="FootnoteText"/>
        <w:tabs>
          <w:tab w:val="clear" w:pos="1021"/>
        </w:tabs>
        <w:bidi/>
        <w:spacing w:after="60" w:line="280" w:lineRule="exact"/>
        <w:ind w:left="1247" w:right="1247" w:hanging="567"/>
        <w:jc w:val="lowKashida"/>
        <w:textDirection w:val="tbRlV"/>
        <w:rPr>
          <w:szCs w:val="18"/>
          <w:lang w:val="ar-SA" w:eastAsia="zh-TW" w:bidi="en-GB"/>
        </w:rPr>
      </w:pPr>
      <w:r w:rsidRPr="00BA0473">
        <w:rPr>
          <w:rStyle w:val="FootnoteReference"/>
          <w:vertAlign w:val="baseline"/>
          <w:rtl/>
        </w:rPr>
        <w:t>(</w:t>
      </w:r>
      <w:r w:rsidRPr="00BA0473">
        <w:rPr>
          <w:rStyle w:val="FootnoteReference"/>
          <w:vertAlign w:val="baseline"/>
          <w:rtl/>
        </w:rPr>
        <w:footnoteRef/>
      </w:r>
      <w:r w:rsidRPr="00BA0473">
        <w:rPr>
          <w:rStyle w:val="FootnoteReference"/>
          <w:vertAlign w:val="baseline"/>
          <w:rtl/>
        </w:rPr>
        <w:t>)</w:t>
      </w:r>
      <w:r w:rsidRPr="00BA0473">
        <w:rPr>
          <w:szCs w:val="18"/>
          <w:rtl/>
        </w:rPr>
        <w:tab/>
      </w:r>
      <w:hyperlink r:id="rId8" w:history="1">
        <w:r w:rsidRPr="00BA0473">
          <w:rPr>
            <w:rStyle w:val="Hyperlink"/>
            <w:rFonts w:cs="Times New Roman"/>
            <w:szCs w:val="18"/>
          </w:rPr>
          <w:t>E/C.12/2015/1</w:t>
        </w:r>
      </w:hyperlink>
      <w:r w:rsidRPr="00BA0473">
        <w:rPr>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E297" w14:textId="47D50441" w:rsidR="009C2027" w:rsidRPr="009C2027" w:rsidRDefault="009C2027" w:rsidP="009C202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E/C.12/UZB/CO/3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2B4D" w14:textId="1B6AEEE7" w:rsidR="009C2027" w:rsidRPr="009C2027" w:rsidRDefault="009C2027" w:rsidP="009C202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E/C.12/UZB/CO/3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C09E"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4D"/>
    <w:rsid w:val="000076D5"/>
    <w:rsid w:val="000148E3"/>
    <w:rsid w:val="00027BD5"/>
    <w:rsid w:val="00043663"/>
    <w:rsid w:val="000505CF"/>
    <w:rsid w:val="00065F05"/>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E1CAD"/>
    <w:rsid w:val="001E290D"/>
    <w:rsid w:val="002144FA"/>
    <w:rsid w:val="0023469A"/>
    <w:rsid w:val="00242AA9"/>
    <w:rsid w:val="00243C8A"/>
    <w:rsid w:val="00263FCF"/>
    <w:rsid w:val="00267A0E"/>
    <w:rsid w:val="002901D9"/>
    <w:rsid w:val="002976C2"/>
    <w:rsid w:val="002A6E22"/>
    <w:rsid w:val="00310E12"/>
    <w:rsid w:val="00325CC1"/>
    <w:rsid w:val="003260FF"/>
    <w:rsid w:val="00343D95"/>
    <w:rsid w:val="00360ABA"/>
    <w:rsid w:val="003663C8"/>
    <w:rsid w:val="00374341"/>
    <w:rsid w:val="003B49E0"/>
    <w:rsid w:val="003D1062"/>
    <w:rsid w:val="003E159A"/>
    <w:rsid w:val="003F4B0C"/>
    <w:rsid w:val="004131A5"/>
    <w:rsid w:val="004205C7"/>
    <w:rsid w:val="00420D7B"/>
    <w:rsid w:val="00450B21"/>
    <w:rsid w:val="00453B63"/>
    <w:rsid w:val="00455780"/>
    <w:rsid w:val="00485999"/>
    <w:rsid w:val="004B0A1C"/>
    <w:rsid w:val="004C7897"/>
    <w:rsid w:val="004D298E"/>
    <w:rsid w:val="004E32F4"/>
    <w:rsid w:val="004E5B63"/>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5F766D"/>
    <w:rsid w:val="0060473A"/>
    <w:rsid w:val="00606EDF"/>
    <w:rsid w:val="00634937"/>
    <w:rsid w:val="00656392"/>
    <w:rsid w:val="00682790"/>
    <w:rsid w:val="0068781D"/>
    <w:rsid w:val="006959B0"/>
    <w:rsid w:val="006B1117"/>
    <w:rsid w:val="006B3E27"/>
    <w:rsid w:val="006B6507"/>
    <w:rsid w:val="006C104C"/>
    <w:rsid w:val="006E1F50"/>
    <w:rsid w:val="006F5600"/>
    <w:rsid w:val="00707AC3"/>
    <w:rsid w:val="00733704"/>
    <w:rsid w:val="00740188"/>
    <w:rsid w:val="0078071A"/>
    <w:rsid w:val="007A70BB"/>
    <w:rsid w:val="007C1C49"/>
    <w:rsid w:val="007D4BB1"/>
    <w:rsid w:val="007E52CA"/>
    <w:rsid w:val="007F7726"/>
    <w:rsid w:val="0081099F"/>
    <w:rsid w:val="008179C5"/>
    <w:rsid w:val="00852A9A"/>
    <w:rsid w:val="00871544"/>
    <w:rsid w:val="008864E6"/>
    <w:rsid w:val="008930DB"/>
    <w:rsid w:val="00895D16"/>
    <w:rsid w:val="008A550E"/>
    <w:rsid w:val="008F49E1"/>
    <w:rsid w:val="0090370F"/>
    <w:rsid w:val="00912FE7"/>
    <w:rsid w:val="009269D2"/>
    <w:rsid w:val="00936074"/>
    <w:rsid w:val="00942135"/>
    <w:rsid w:val="009521B0"/>
    <w:rsid w:val="009A7E9F"/>
    <w:rsid w:val="009C2027"/>
    <w:rsid w:val="009E0EDE"/>
    <w:rsid w:val="009E5018"/>
    <w:rsid w:val="00A072C6"/>
    <w:rsid w:val="00A12B37"/>
    <w:rsid w:val="00A15998"/>
    <w:rsid w:val="00A50EC0"/>
    <w:rsid w:val="00A65B25"/>
    <w:rsid w:val="00A74331"/>
    <w:rsid w:val="00A862CC"/>
    <w:rsid w:val="00A9151E"/>
    <w:rsid w:val="00AB6758"/>
    <w:rsid w:val="00B13763"/>
    <w:rsid w:val="00B24420"/>
    <w:rsid w:val="00B30255"/>
    <w:rsid w:val="00B477A4"/>
    <w:rsid w:val="00B54045"/>
    <w:rsid w:val="00BA0473"/>
    <w:rsid w:val="00BA1F0F"/>
    <w:rsid w:val="00BA641F"/>
    <w:rsid w:val="00C022F5"/>
    <w:rsid w:val="00C438D7"/>
    <w:rsid w:val="00C53FE8"/>
    <w:rsid w:val="00C81B50"/>
    <w:rsid w:val="00CA655B"/>
    <w:rsid w:val="00CB3C3C"/>
    <w:rsid w:val="00CB4F3F"/>
    <w:rsid w:val="00CD1801"/>
    <w:rsid w:val="00CE29BB"/>
    <w:rsid w:val="00D017AC"/>
    <w:rsid w:val="00D019BF"/>
    <w:rsid w:val="00D10EF1"/>
    <w:rsid w:val="00D42810"/>
    <w:rsid w:val="00D7107B"/>
    <w:rsid w:val="00D83907"/>
    <w:rsid w:val="00D914A7"/>
    <w:rsid w:val="00DD1067"/>
    <w:rsid w:val="00DD13C3"/>
    <w:rsid w:val="00DD596E"/>
    <w:rsid w:val="00DD621E"/>
    <w:rsid w:val="00DF0575"/>
    <w:rsid w:val="00E049EC"/>
    <w:rsid w:val="00E3601B"/>
    <w:rsid w:val="00E70E04"/>
    <w:rsid w:val="00E9504D"/>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9FB72D"/>
  <w15:docId w15:val="{A0704BE9-BA44-411F-BD5A-81A2F160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ar/A/HRC/44/47/Add.1"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C.12/2015/1" TargetMode="External"/><Relationship Id="rId3" Type="http://schemas.openxmlformats.org/officeDocument/2006/relationships/hyperlink" Target="http://undocs.org/ar/E/C.12/2022/SR.15" TargetMode="External"/><Relationship Id="rId7" Type="http://schemas.openxmlformats.org/officeDocument/2006/relationships/hyperlink" Target="http://undocs.org/ar/E/C.12/2018/1" TargetMode="External"/><Relationship Id="rId2" Type="http://schemas.openxmlformats.org/officeDocument/2006/relationships/hyperlink" Target="http://undocs.org/ar/E/C.12/2022/SR.13" TargetMode="External"/><Relationship Id="rId1" Type="http://schemas.openxmlformats.org/officeDocument/2006/relationships/hyperlink" Target="http://undocs.org/ar/E/C.12/UZB/3" TargetMode="External"/><Relationship Id="rId6" Type="http://schemas.openxmlformats.org/officeDocument/2006/relationships/hyperlink" Target="http://undocs.org/ar/E/C.12/2016/2" TargetMode="External"/><Relationship Id="rId5" Type="http://schemas.openxmlformats.org/officeDocument/2006/relationships/hyperlink" Target="http://undocs.org/ar/E/C.12/UZB/RQ/3" TargetMode="External"/><Relationship Id="rId4" Type="http://schemas.openxmlformats.org/officeDocument/2006/relationships/hyperlink" Target="http://undocs.org/ar/E/C.12/2022/SR.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4325</Words>
  <Characters>22709</Characters>
  <Application>Microsoft Office Word</Application>
  <DocSecurity>0</DocSecurity>
  <Lines>398</Lines>
  <Paragraphs>201</Paragraphs>
  <ScaleCrop>false</ScaleCrop>
  <HeadingPairs>
    <vt:vector size="2" baseType="variant">
      <vt:variant>
        <vt:lpstr>Title</vt:lpstr>
      </vt:variant>
      <vt:variant>
        <vt:i4>1</vt:i4>
      </vt:variant>
    </vt:vector>
  </HeadingPairs>
  <TitlesOfParts>
    <vt:vector size="1" baseType="lpstr">
      <vt:lpstr>E/C.12/UZB/CO/3</vt:lpstr>
    </vt:vector>
  </TitlesOfParts>
  <Company>DCM</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E/C.12/UZB/CO/3</dc:title>
  <dc:subject>GE.2204767(A)</dc:subject>
  <dc:creator>Ihab RIZ - </dc:creator>
  <cp:keywords>GE.2229841(A)</cp:keywords>
  <dc:description>_x000d_
_x000d_
Arabic_x000d_
</dc:description>
  <cp:lastModifiedBy>Jamal Alkahlout</cp:lastModifiedBy>
  <cp:revision>2</cp:revision>
  <dcterms:created xsi:type="dcterms:W3CDTF">2022-04-21T09:41:00Z</dcterms:created>
  <dcterms:modified xsi:type="dcterms:W3CDTF">2022-04-21T09:41:00Z</dcterms:modified>
  <cp:category>Final</cp:category>
</cp:coreProperties>
</file>