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ECBA994" w14:textId="77777777" w:rsidTr="00DD44B1">
        <w:trPr>
          <w:trHeight w:hRule="exact" w:val="851"/>
        </w:trPr>
        <w:tc>
          <w:tcPr>
            <w:tcW w:w="142" w:type="dxa"/>
            <w:tcBorders>
              <w:bottom w:val="single" w:sz="4" w:space="0" w:color="auto"/>
            </w:tcBorders>
          </w:tcPr>
          <w:p w14:paraId="439B0B2C" w14:textId="77777777" w:rsidR="002D5AAC" w:rsidRDefault="002D5AAC" w:rsidP="00CB351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E086476" w14:textId="77777777"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302D5AB" w14:textId="77777777" w:rsidR="002D5AAC" w:rsidRDefault="00CB351A" w:rsidP="00CB351A">
            <w:pPr>
              <w:jc w:val="right"/>
            </w:pPr>
            <w:r w:rsidRPr="00CB351A">
              <w:rPr>
                <w:sz w:val="40"/>
              </w:rPr>
              <w:t>E</w:t>
            </w:r>
            <w:r>
              <w:t>/C.12/UZB/RQ/3</w:t>
            </w:r>
          </w:p>
        </w:tc>
      </w:tr>
      <w:tr w:rsidR="002D5AAC" w:rsidRPr="007E121F" w14:paraId="49472C2B" w14:textId="77777777" w:rsidTr="007E121F">
        <w:trPr>
          <w:trHeight w:hRule="exact" w:val="2835"/>
        </w:trPr>
        <w:tc>
          <w:tcPr>
            <w:tcW w:w="1280" w:type="dxa"/>
            <w:gridSpan w:val="2"/>
            <w:tcBorders>
              <w:top w:val="single" w:sz="4" w:space="0" w:color="auto"/>
              <w:bottom w:val="single" w:sz="12" w:space="0" w:color="auto"/>
            </w:tcBorders>
          </w:tcPr>
          <w:p w14:paraId="16359645" w14:textId="77777777" w:rsidR="002D5AAC" w:rsidRDefault="002E5067" w:rsidP="00DD44B1">
            <w:pPr>
              <w:spacing w:before="120"/>
              <w:jc w:val="center"/>
            </w:pPr>
            <w:r>
              <w:rPr>
                <w:noProof/>
                <w:lang w:val="fr-CH" w:eastAsia="fr-CH"/>
              </w:rPr>
              <w:drawing>
                <wp:inline distT="0" distB="0" distL="0" distR="0" wp14:anchorId="0221113A" wp14:editId="499E7DB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0D28027" w14:textId="77777777"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14:paraId="468B1CA7" w14:textId="77777777" w:rsidR="002D5AAC" w:rsidRDefault="00CB351A" w:rsidP="00DD44B1">
            <w:pPr>
              <w:spacing w:before="240"/>
              <w:rPr>
                <w:lang w:val="en-US"/>
              </w:rPr>
            </w:pPr>
            <w:r>
              <w:rPr>
                <w:lang w:val="en-US"/>
              </w:rPr>
              <w:t>Distr.: General</w:t>
            </w:r>
          </w:p>
          <w:p w14:paraId="61D70D41" w14:textId="77777777" w:rsidR="00CB351A" w:rsidRDefault="00CB351A" w:rsidP="00CB351A">
            <w:pPr>
              <w:spacing w:line="240" w:lineRule="exact"/>
              <w:rPr>
                <w:lang w:val="en-US"/>
              </w:rPr>
            </w:pPr>
            <w:r>
              <w:rPr>
                <w:lang w:val="en-US"/>
              </w:rPr>
              <w:t>13 November 2020</w:t>
            </w:r>
          </w:p>
          <w:p w14:paraId="246C2F23" w14:textId="77777777" w:rsidR="007E121F" w:rsidRDefault="007E121F" w:rsidP="00CB351A">
            <w:pPr>
              <w:spacing w:line="240" w:lineRule="exact"/>
              <w:rPr>
                <w:lang w:val="en-US"/>
              </w:rPr>
            </w:pPr>
          </w:p>
          <w:p w14:paraId="1224679C" w14:textId="3B115EBC" w:rsidR="00CB351A" w:rsidRDefault="00CB351A" w:rsidP="00CB351A">
            <w:pPr>
              <w:spacing w:line="240" w:lineRule="exact"/>
              <w:rPr>
                <w:lang w:val="en-US"/>
              </w:rPr>
            </w:pPr>
            <w:bookmarkStart w:id="0" w:name="_GoBack"/>
            <w:bookmarkEnd w:id="0"/>
            <w:r>
              <w:rPr>
                <w:lang w:val="en-US"/>
              </w:rPr>
              <w:t>Original: Russian</w:t>
            </w:r>
          </w:p>
          <w:p w14:paraId="19A77BDA" w14:textId="77777777" w:rsidR="00CB351A" w:rsidRPr="00D62A45" w:rsidRDefault="00CB351A" w:rsidP="00CB351A">
            <w:pPr>
              <w:spacing w:line="240" w:lineRule="exact"/>
              <w:rPr>
                <w:lang w:val="en-US"/>
              </w:rPr>
            </w:pPr>
            <w:r>
              <w:rPr>
                <w:lang w:val="en-US"/>
              </w:rPr>
              <w:t>English, French, Russian and Spanish only</w:t>
            </w:r>
          </w:p>
        </w:tc>
      </w:tr>
    </w:tbl>
    <w:p w14:paraId="4A763C85" w14:textId="77777777" w:rsidR="00CB351A" w:rsidRPr="00DD57FB" w:rsidRDefault="00CB351A" w:rsidP="00CB351A">
      <w:pPr>
        <w:spacing w:before="120"/>
        <w:rPr>
          <w:b/>
          <w:bCs/>
          <w:sz w:val="24"/>
          <w:szCs w:val="24"/>
        </w:rPr>
      </w:pPr>
      <w:r>
        <w:rPr>
          <w:b/>
          <w:bCs/>
        </w:rPr>
        <w:t xml:space="preserve">Комитет по экономическим, социальным </w:t>
      </w:r>
      <w:r>
        <w:rPr>
          <w:b/>
          <w:bCs/>
        </w:rPr>
        <w:br/>
        <w:t>и культурным правам</w:t>
      </w:r>
    </w:p>
    <w:p w14:paraId="34FC9E6C" w14:textId="77777777" w:rsidR="00CB351A" w:rsidRPr="00DD57FB" w:rsidRDefault="00CB351A" w:rsidP="00CB351A">
      <w:pPr>
        <w:rPr>
          <w:b/>
          <w:bCs/>
        </w:rPr>
      </w:pPr>
      <w:r>
        <w:rPr>
          <w:b/>
          <w:bCs/>
        </w:rPr>
        <w:t>Семидесятая сессия</w:t>
      </w:r>
      <w:r>
        <w:t xml:space="preserve"> </w:t>
      </w:r>
    </w:p>
    <w:p w14:paraId="5A56627C" w14:textId="77777777" w:rsidR="00CB351A" w:rsidRPr="00DD57FB" w:rsidRDefault="00CB351A" w:rsidP="00CB351A">
      <w:r>
        <w:t xml:space="preserve">27 сентября </w:t>
      </w:r>
      <w:r w:rsidRPr="00A02EAD">
        <w:t>—</w:t>
      </w:r>
      <w:r>
        <w:t xml:space="preserve"> 15 октября 2021 года</w:t>
      </w:r>
    </w:p>
    <w:p w14:paraId="3F0D134D" w14:textId="77777777" w:rsidR="00CB351A" w:rsidRPr="00DD57FB" w:rsidRDefault="00CB351A" w:rsidP="00CB351A">
      <w:pPr>
        <w:rPr>
          <w:b/>
          <w:bCs/>
        </w:rPr>
      </w:pPr>
      <w:r>
        <w:rPr>
          <w:b/>
          <w:bCs/>
        </w:rPr>
        <w:t xml:space="preserve">Рассмотрение докладов: доклады, </w:t>
      </w:r>
      <w:r w:rsidR="00A02EAD">
        <w:rPr>
          <w:b/>
          <w:bCs/>
        </w:rPr>
        <w:br/>
      </w:r>
      <w:r>
        <w:rPr>
          <w:b/>
          <w:bCs/>
        </w:rPr>
        <w:t xml:space="preserve">представленные государствами-участниками </w:t>
      </w:r>
      <w:r>
        <w:rPr>
          <w:b/>
          <w:bCs/>
        </w:rPr>
        <w:br/>
        <w:t>в соответствии со статьями 16 и 17 Пакта</w:t>
      </w:r>
    </w:p>
    <w:p w14:paraId="73AA4C28" w14:textId="77777777" w:rsidR="00CB351A" w:rsidRPr="00CB351A" w:rsidRDefault="00CB351A" w:rsidP="00CB351A">
      <w:pPr>
        <w:pStyle w:val="HChG"/>
        <w:rPr>
          <w:b w:val="0"/>
          <w:bCs/>
          <w:sz w:val="20"/>
        </w:rPr>
      </w:pPr>
      <w:r>
        <w:tab/>
      </w:r>
      <w:r>
        <w:tab/>
        <w:t>Ответы Узбекистана на перечень вопросов в связи с</w:t>
      </w:r>
      <w:r>
        <w:rPr>
          <w:lang w:val="fr-CH"/>
        </w:rPr>
        <w:t> </w:t>
      </w:r>
      <w:r>
        <w:t>рассмотрением его третьего периодического доклада</w:t>
      </w:r>
      <w:r w:rsidRPr="00CB351A">
        <w:rPr>
          <w:b w:val="0"/>
          <w:bCs/>
          <w:sz w:val="20"/>
        </w:rPr>
        <w:footnoteReference w:customMarkFollows="1" w:id="1"/>
        <w:t>*</w:t>
      </w:r>
    </w:p>
    <w:p w14:paraId="67389CE8" w14:textId="77777777" w:rsidR="00CB351A" w:rsidRDefault="00CB351A" w:rsidP="00CB351A">
      <w:pPr>
        <w:pStyle w:val="SingleTxtG"/>
        <w:jc w:val="right"/>
        <w:rPr>
          <w:rFonts w:eastAsia="SimSun"/>
        </w:rPr>
      </w:pPr>
      <w:r>
        <w:tab/>
        <w:t>[Дата</w:t>
      </w:r>
      <w:r w:rsidRPr="007E121F">
        <w:t xml:space="preserve"> </w:t>
      </w:r>
      <w:r>
        <w:t>получения: 8 сентября 2020 года]</w:t>
      </w:r>
    </w:p>
    <w:p w14:paraId="01E84C39" w14:textId="77777777" w:rsidR="00CB351A" w:rsidRPr="007E121F" w:rsidRDefault="00CB351A" w:rsidP="00896BA2">
      <w:r w:rsidRPr="007E121F">
        <w:br w:type="page"/>
      </w:r>
    </w:p>
    <w:p w14:paraId="47C0D550" w14:textId="77777777" w:rsidR="00CB351A" w:rsidRPr="00CB351A" w:rsidRDefault="00CB351A" w:rsidP="00CB351A">
      <w:pPr>
        <w:pStyle w:val="HChG"/>
      </w:pPr>
      <w:r>
        <w:lastRenderedPageBreak/>
        <w:tab/>
      </w:r>
      <w:r w:rsidRPr="00C20E92">
        <w:rPr>
          <w:rFonts w:eastAsia="Calibri"/>
          <w:lang w:val="en-US"/>
        </w:rPr>
        <w:t>I</w:t>
      </w:r>
      <w:r w:rsidRPr="00CB351A">
        <w:rPr>
          <w:rFonts w:eastAsia="Calibri"/>
        </w:rPr>
        <w:t>.</w:t>
      </w:r>
      <w:r w:rsidRPr="00CB351A">
        <w:rPr>
          <w:rFonts w:eastAsia="Calibri"/>
        </w:rPr>
        <w:tab/>
      </w:r>
      <w:r>
        <w:rPr>
          <w:rFonts w:eastAsia="Calibri"/>
        </w:rPr>
        <w:t>О</w:t>
      </w:r>
      <w:r w:rsidRPr="00643474">
        <w:t>бщая информация</w:t>
      </w:r>
    </w:p>
    <w:p w14:paraId="4BC43727" w14:textId="77777777" w:rsidR="00CB351A" w:rsidRPr="000A15F8" w:rsidRDefault="00CB351A" w:rsidP="00CB351A">
      <w:pPr>
        <w:pStyle w:val="H1G"/>
      </w:pPr>
      <w:r>
        <w:tab/>
      </w:r>
      <w:r>
        <w:tab/>
      </w:r>
      <w:r w:rsidRPr="000A15F8">
        <w:t>Пункт 1</w:t>
      </w:r>
    </w:p>
    <w:p w14:paraId="4184C2E3" w14:textId="77777777" w:rsidR="00CB351A" w:rsidRPr="000A15F8" w:rsidRDefault="00CB351A" w:rsidP="00CB351A">
      <w:pPr>
        <w:pStyle w:val="SingleTxtG"/>
      </w:pPr>
      <w:r w:rsidRPr="000A15F8">
        <w:t>1.</w:t>
      </w:r>
      <w:r w:rsidRPr="000A15F8">
        <w:tab/>
        <w:t xml:space="preserve">Национальная стратегия по правам человека и «Дорожная карта» по ее реализации утверждены 22.06.2020 г., чему предшествовало широкое обсуждение их положений в течение более полутора лет со стороны государственных органов и общественных формирований </w:t>
      </w:r>
      <w:r w:rsidRPr="00266798">
        <w:t>граждан</w:t>
      </w:r>
      <w:r w:rsidRPr="000A15F8">
        <w:t xml:space="preserve">. Проект Стратегии был опубликован для широкого ознакомления, представления замечаний и предложений на веб-портале </w:t>
      </w:r>
      <w:hyperlink r:id="rId8" w:history="1">
        <w:r w:rsidRPr="00452985">
          <w:rPr>
            <w:rFonts w:eastAsiaTheme="minorHAnsi" w:cstheme="minorBidi"/>
            <w:color w:val="0000FF"/>
            <w:szCs w:val="22"/>
          </w:rPr>
          <w:t>regulation</w:t>
        </w:r>
        <w:r w:rsidRPr="00266798">
          <w:rPr>
            <w:rFonts w:eastAsiaTheme="minorHAnsi" w:cstheme="minorBidi"/>
            <w:color w:val="0000FF"/>
            <w:szCs w:val="22"/>
          </w:rPr>
          <w:t>.</w:t>
        </w:r>
        <w:r w:rsidRPr="00452985">
          <w:rPr>
            <w:rFonts w:eastAsiaTheme="minorHAnsi" w:cstheme="minorBidi"/>
            <w:color w:val="0000FF"/>
            <w:szCs w:val="22"/>
          </w:rPr>
          <w:t>gov</w:t>
        </w:r>
        <w:r w:rsidRPr="00266798">
          <w:rPr>
            <w:rFonts w:eastAsiaTheme="minorHAnsi" w:cstheme="minorBidi"/>
            <w:color w:val="0000FF"/>
            <w:szCs w:val="22"/>
          </w:rPr>
          <w:t>.</w:t>
        </w:r>
        <w:r w:rsidRPr="00452985">
          <w:rPr>
            <w:rFonts w:eastAsiaTheme="minorHAnsi" w:cstheme="minorBidi"/>
            <w:color w:val="0000FF"/>
            <w:szCs w:val="22"/>
          </w:rPr>
          <w:t>uz</w:t>
        </w:r>
      </w:hyperlink>
      <w:r w:rsidRPr="000A15F8">
        <w:t>.</w:t>
      </w:r>
    </w:p>
    <w:p w14:paraId="1D3551A3" w14:textId="77777777" w:rsidR="00CB351A" w:rsidRPr="000A15F8" w:rsidRDefault="00CB351A" w:rsidP="00CB351A">
      <w:pPr>
        <w:pStyle w:val="SingleTxtG"/>
      </w:pPr>
      <w:r w:rsidRPr="000A15F8">
        <w:t>2.</w:t>
      </w:r>
      <w:r w:rsidRPr="000A15F8">
        <w:tab/>
        <w:t>В Стратегии определены достигнутые успехи и имеющиеся недостатки в области прав человека, а также дальнейшие задачи по совершенствованию политики государства, в т</w:t>
      </w:r>
      <w:r>
        <w:t xml:space="preserve">ом </w:t>
      </w:r>
      <w:r w:rsidRPr="000A15F8">
        <w:t>ч</w:t>
      </w:r>
      <w:r>
        <w:t>исле</w:t>
      </w:r>
      <w:r w:rsidRPr="000A15F8">
        <w:t xml:space="preserve"> в сфере реализации экономических, социальных и культурных прав человека.</w:t>
      </w:r>
    </w:p>
    <w:p w14:paraId="2189A585" w14:textId="77777777" w:rsidR="00CB351A" w:rsidRPr="000A15F8" w:rsidRDefault="00CB351A" w:rsidP="00CB351A">
      <w:pPr>
        <w:pStyle w:val="SingleTxtG"/>
      </w:pPr>
      <w:r w:rsidRPr="000A15F8">
        <w:t>3.</w:t>
      </w:r>
      <w:r w:rsidRPr="000A15F8">
        <w:tab/>
        <w:t>В «Дорожной карте» по реализации Национальной стратегии предусмотрены меры по совершенствованию законодательства, касающегося прав, закрепленных в Пакте:</w:t>
      </w:r>
    </w:p>
    <w:p w14:paraId="389FA7D9" w14:textId="77777777" w:rsidR="00CB351A" w:rsidRPr="000A15F8" w:rsidRDefault="00CB351A" w:rsidP="00CB351A">
      <w:pPr>
        <w:pStyle w:val="Bullet1G"/>
        <w:numPr>
          <w:ilvl w:val="0"/>
          <w:numId w:val="0"/>
        </w:numPr>
        <w:tabs>
          <w:tab w:val="left" w:pos="1701"/>
        </w:tabs>
        <w:ind w:left="1701" w:hanging="170"/>
      </w:pPr>
      <w:r w:rsidRPr="000A15F8">
        <w:t>•</w:t>
      </w:r>
      <w:r w:rsidRPr="000A15F8">
        <w:tab/>
        <w:t>разработка проекта закона «О равенстве и недопущении дискриминации», которым предусматривается: введение в законодательство понятий «дискриминация», «прямая, косвенная и множественная дискриминация», «признаки дискриминации»; обеспечение полной защиты граждан от возможной дискриминации в различных сферах общественной жизни; совершенствование методов и средств защиты прав граждан;</w:t>
      </w:r>
    </w:p>
    <w:p w14:paraId="5FF70313" w14:textId="77777777" w:rsidR="00CB351A" w:rsidRPr="00890BAE" w:rsidRDefault="00CB351A" w:rsidP="00CB351A">
      <w:pPr>
        <w:pStyle w:val="Bullet1G"/>
        <w:numPr>
          <w:ilvl w:val="0"/>
          <w:numId w:val="0"/>
        </w:numPr>
        <w:tabs>
          <w:tab w:val="left" w:pos="1701"/>
        </w:tabs>
        <w:ind w:left="1701" w:hanging="170"/>
      </w:pPr>
      <w:r w:rsidRPr="000A15F8">
        <w:t>•</w:t>
      </w:r>
      <w:r w:rsidRPr="000A15F8">
        <w:tab/>
        <w:t xml:space="preserve">разработка и </w:t>
      </w:r>
      <w:r w:rsidRPr="00890BAE">
        <w:t xml:space="preserve">реализация Программы сокращения бедности в качестве эффективного фактора обеспечения экономических и социальных прав человека, в которой предусматривается разработка методологии, охватывающей понятие бедности, критерии ее определения и методы оценки с учетом региональных особенностей; </w:t>
      </w:r>
    </w:p>
    <w:p w14:paraId="223DE88A" w14:textId="77777777" w:rsidR="00CB351A" w:rsidRPr="00890BAE" w:rsidRDefault="00CB351A" w:rsidP="00CB351A">
      <w:pPr>
        <w:pStyle w:val="Bullet1G"/>
        <w:numPr>
          <w:ilvl w:val="0"/>
          <w:numId w:val="0"/>
        </w:numPr>
        <w:tabs>
          <w:tab w:val="left" w:pos="1701"/>
        </w:tabs>
        <w:ind w:left="1701" w:hanging="170"/>
      </w:pPr>
      <w:r w:rsidRPr="00890BAE">
        <w:t>•</w:t>
      </w:r>
      <w:r w:rsidRPr="00890BAE">
        <w:tab/>
        <w:t>разработка проекта Предпринимательского кодекса, в котором предусматриваются: полная кодификация законодательства в сфере предпринимательской деятельности, кардинальный пересмотр антимонопольного регулирования предпринимательской деятельности с учетом перехода национальной экономики на рыночные отношения;</w:t>
      </w:r>
    </w:p>
    <w:p w14:paraId="3C0EBA8B" w14:textId="77777777" w:rsidR="00CB351A" w:rsidRPr="00890BAE" w:rsidRDefault="00CB351A" w:rsidP="00CB351A">
      <w:pPr>
        <w:pStyle w:val="Bullet1G"/>
        <w:numPr>
          <w:ilvl w:val="0"/>
          <w:numId w:val="0"/>
        </w:numPr>
        <w:tabs>
          <w:tab w:val="left" w:pos="1701"/>
        </w:tabs>
        <w:ind w:left="1701" w:hanging="170"/>
      </w:pPr>
      <w:r w:rsidRPr="00890BAE">
        <w:t>•</w:t>
      </w:r>
      <w:r w:rsidRPr="00890BAE">
        <w:tab/>
      </w:r>
      <w:r w:rsidRPr="00890BAE">
        <w:rPr>
          <w:lang w:val="uz-Cyrl-UZ"/>
        </w:rPr>
        <w:t>подготовка проекта закона «Об обязательном медицинском страховании», в котором предусматриваются: правовые основы, механизмы и этапы внедрения обязательного медицинского страхования; определение прав и обязанностей субъектов обязательного медицинского страхования и уполномоченного органа по регулированию правоотношений в данной сфере</w:t>
      </w:r>
      <w:r w:rsidRPr="00890BAE">
        <w:t>;</w:t>
      </w:r>
    </w:p>
    <w:p w14:paraId="1C173A1E" w14:textId="77777777" w:rsidR="00CB351A" w:rsidRPr="00890BAE" w:rsidRDefault="00CB351A" w:rsidP="00CB351A">
      <w:pPr>
        <w:pStyle w:val="Bullet1G"/>
        <w:numPr>
          <w:ilvl w:val="0"/>
          <w:numId w:val="0"/>
        </w:numPr>
        <w:tabs>
          <w:tab w:val="left" w:pos="1701"/>
        </w:tabs>
        <w:ind w:left="1701" w:hanging="170"/>
      </w:pPr>
      <w:r w:rsidRPr="00890BAE">
        <w:t>•</w:t>
      </w:r>
      <w:r w:rsidRPr="00890BAE">
        <w:tab/>
        <w:t xml:space="preserve">совершенствование сферы медицинского страхования, обеспечение всестороннего охвата населения качественными услугами здравоохранения, сокращение до 2030 года уровня материнской смертности — на одну треть, грудных детей в возрасте до одного года, а также детей в возрасте до </w:t>
      </w:r>
      <w:r>
        <w:br/>
      </w:r>
      <w:r w:rsidRPr="00890BAE">
        <w:t>пяти лет — в два раза, ранней смертности от сердечно-сосудистых заболеваний, рака, диабета и хронических респираторных заболеваний — на 30 процентов и</w:t>
      </w:r>
      <w:r>
        <w:rPr>
          <w:lang w:val="en-US"/>
        </w:rPr>
        <w:t> </w:t>
      </w:r>
      <w:r w:rsidRPr="00890BAE">
        <w:t>др.</w:t>
      </w:r>
    </w:p>
    <w:p w14:paraId="421D5FA6" w14:textId="77777777" w:rsidR="00CB351A" w:rsidRPr="000A15F8" w:rsidRDefault="00CB351A" w:rsidP="00CB351A">
      <w:pPr>
        <w:pStyle w:val="SingleTxtG"/>
      </w:pPr>
      <w:r w:rsidRPr="000A15F8">
        <w:t>4.</w:t>
      </w:r>
      <w:r w:rsidRPr="000A15F8">
        <w:tab/>
      </w:r>
      <w:r w:rsidRPr="00890BAE">
        <w:t>Ст.</w:t>
      </w:r>
      <w:r>
        <w:rPr>
          <w:lang w:val="en-US"/>
        </w:rPr>
        <w:t> </w:t>
      </w:r>
      <w:r w:rsidRPr="00890BAE">
        <w:t>3</w:t>
      </w:r>
      <w:r w:rsidRPr="000A15F8">
        <w:t xml:space="preserve"> Закона «О международных договорах Республики Узбекистан» предусмотрено, что </w:t>
      </w:r>
      <w:r w:rsidRPr="00266798">
        <w:t>международные</w:t>
      </w:r>
      <w:r w:rsidRPr="000A15F8">
        <w:t xml:space="preserve"> договоры Узбекистана наряду с общепризнанными принципами и нормами международного права являются составной частью правовой системы Узбекистана.</w:t>
      </w:r>
    </w:p>
    <w:p w14:paraId="7BEB3978" w14:textId="77777777" w:rsidR="00CB351A" w:rsidRPr="000A15F8" w:rsidRDefault="00CB351A" w:rsidP="00CB351A">
      <w:pPr>
        <w:pStyle w:val="SingleTxtG"/>
      </w:pPr>
      <w:r w:rsidRPr="000A15F8">
        <w:t>5.</w:t>
      </w:r>
      <w:r w:rsidRPr="000A15F8">
        <w:tab/>
        <w:t>Верховным судом совместно с проектом ПРООН и ЮСАИД «Партнерство в сфере верховенства закона в Узбекистане» планируется проведение ряда региональных семинаров для судей по гражданским (292 судей), уголовным (361</w:t>
      </w:r>
      <w:r>
        <w:t> </w:t>
      </w:r>
      <w:r w:rsidRPr="000A15F8">
        <w:t xml:space="preserve">судья), административным (245 судей) и экономическим (177 судей) делам на тему «Применение международных пактов при вынесении судебных актов».  </w:t>
      </w:r>
    </w:p>
    <w:p w14:paraId="0A08AC74" w14:textId="77777777" w:rsidR="00CB351A" w:rsidRPr="000A15F8" w:rsidRDefault="00CB351A" w:rsidP="00CB351A">
      <w:pPr>
        <w:pStyle w:val="SingleTxtG"/>
      </w:pPr>
      <w:r w:rsidRPr="000A15F8">
        <w:lastRenderedPageBreak/>
        <w:t>6.</w:t>
      </w:r>
      <w:r w:rsidRPr="000A15F8">
        <w:tab/>
        <w:t>«Дорожной картой» по реализации Национальной стратегии по правам человека (п.</w:t>
      </w:r>
      <w:r>
        <w:t xml:space="preserve"> </w:t>
      </w:r>
      <w:r w:rsidRPr="000A15F8">
        <w:t>5) предусмотрено принятие Пленумом Верховного суда постановления «О</w:t>
      </w:r>
      <w:r>
        <w:t> </w:t>
      </w:r>
      <w:r w:rsidRPr="000A15F8">
        <w:t>практике применения судами принципов и норм международного права, а также международных договоров Республики Узбекистан».</w:t>
      </w:r>
    </w:p>
    <w:p w14:paraId="09CC9B5C" w14:textId="77777777" w:rsidR="00CB351A" w:rsidRPr="000A15F8" w:rsidRDefault="00CB351A" w:rsidP="00CB351A">
      <w:pPr>
        <w:pStyle w:val="SingleTxtG"/>
      </w:pPr>
      <w:r w:rsidRPr="000A15F8">
        <w:t>7.</w:t>
      </w:r>
      <w:r w:rsidRPr="000A15F8">
        <w:tab/>
        <w:t>Вторым направлением Стратегии действий по пяти приоритетным направлениям развития Узбекистана в 2017</w:t>
      </w:r>
      <w:r>
        <w:t>–</w:t>
      </w:r>
      <w:r w:rsidRPr="000A15F8">
        <w:t>2021 годах устанавливается обеспечение верховенства закона и дальнейшего реформирования судебно-правовой системы, которая направлена на укрепление судебной власти и гарантий надежной защиты прав и охраняемых законом интересов граждан.</w:t>
      </w:r>
    </w:p>
    <w:p w14:paraId="0970DB43" w14:textId="77777777" w:rsidR="00CB351A" w:rsidRPr="000A15F8" w:rsidRDefault="00CB351A" w:rsidP="00CB351A">
      <w:pPr>
        <w:pStyle w:val="SingleTxtG"/>
      </w:pPr>
      <w:r w:rsidRPr="000A15F8">
        <w:t>8.</w:t>
      </w:r>
      <w:r w:rsidRPr="000A15F8">
        <w:tab/>
        <w:t>В</w:t>
      </w:r>
      <w:r>
        <w:t xml:space="preserve"> </w:t>
      </w:r>
      <w:r w:rsidRPr="000A15F8">
        <w:t>качестве органа</w:t>
      </w:r>
      <w:r>
        <w:t xml:space="preserve"> </w:t>
      </w:r>
      <w:r w:rsidRPr="000A15F8">
        <w:t>судейского сообщества Высший</w:t>
      </w:r>
      <w:r>
        <w:t xml:space="preserve"> </w:t>
      </w:r>
      <w:r w:rsidRPr="000A15F8">
        <w:t>судейский совет призван осуществлять содействие обеспечению соблюдения конституционного принципа независимости</w:t>
      </w:r>
      <w:r>
        <w:t xml:space="preserve"> </w:t>
      </w:r>
      <w:r w:rsidRPr="000A15F8">
        <w:t>судебной власти.</w:t>
      </w:r>
      <w:r>
        <w:t xml:space="preserve"> </w:t>
      </w:r>
      <w:r w:rsidRPr="000A15F8">
        <w:t>На</w:t>
      </w:r>
      <w:r>
        <w:t xml:space="preserve"> </w:t>
      </w:r>
      <w:r w:rsidRPr="000A15F8">
        <w:t>Высший</w:t>
      </w:r>
      <w:r>
        <w:t xml:space="preserve"> </w:t>
      </w:r>
      <w:r w:rsidRPr="000A15F8">
        <w:t>судейский совет возложены задачи по формированию</w:t>
      </w:r>
      <w:r>
        <w:t xml:space="preserve"> </w:t>
      </w:r>
      <w:r w:rsidRPr="000A15F8">
        <w:t>судейского корпуса на основе открытого и прозрачного конкурсного отбора кандидатов на должности</w:t>
      </w:r>
      <w:r>
        <w:t xml:space="preserve"> </w:t>
      </w:r>
      <w:r w:rsidRPr="000A15F8">
        <w:t>судей из числа наиболее квалифицированных специалистов, принятию мер по предотвращению нарушения неприкосновенности</w:t>
      </w:r>
      <w:r>
        <w:t xml:space="preserve"> </w:t>
      </w:r>
      <w:r w:rsidRPr="000A15F8">
        <w:t>судей и вмешательства в их деятельность по отправлению правосудия и др. Совету</w:t>
      </w:r>
      <w:r>
        <w:t xml:space="preserve"> </w:t>
      </w:r>
      <w:r w:rsidRPr="000A15F8">
        <w:t>передано полномочие назначения по согласованию с Президентом на должность и освобождения от должности</w:t>
      </w:r>
      <w:r>
        <w:t xml:space="preserve"> </w:t>
      </w:r>
      <w:r w:rsidRPr="000A15F8">
        <w:t>судей, за исключением</w:t>
      </w:r>
      <w:r>
        <w:t xml:space="preserve"> </w:t>
      </w:r>
      <w:r w:rsidRPr="000A15F8">
        <w:t>судей Конституционного</w:t>
      </w:r>
      <w:r>
        <w:t xml:space="preserve"> </w:t>
      </w:r>
      <w:r w:rsidRPr="000A15F8">
        <w:t>суда, Верховного</w:t>
      </w:r>
      <w:r>
        <w:t xml:space="preserve"> </w:t>
      </w:r>
      <w:r w:rsidRPr="000A15F8">
        <w:t>суда, председателей и заместителей председателей Военного</w:t>
      </w:r>
      <w:r>
        <w:t xml:space="preserve"> </w:t>
      </w:r>
      <w:r w:rsidRPr="000A15F8">
        <w:t>суда,</w:t>
      </w:r>
      <w:r>
        <w:t xml:space="preserve"> </w:t>
      </w:r>
      <w:r w:rsidRPr="000A15F8">
        <w:t xml:space="preserve">судов Республики Каракалпакстан, областей и города Ташкента. </w:t>
      </w:r>
    </w:p>
    <w:p w14:paraId="49984DB7" w14:textId="77777777" w:rsidR="00CB351A" w:rsidRPr="000A15F8" w:rsidRDefault="00CB351A" w:rsidP="00CB351A">
      <w:pPr>
        <w:pStyle w:val="SingleTxtG"/>
      </w:pPr>
      <w:r w:rsidRPr="000A15F8">
        <w:t>9.</w:t>
      </w:r>
      <w:r w:rsidRPr="000A15F8">
        <w:tab/>
        <w:t>В целях соблюдения принципа независимости</w:t>
      </w:r>
      <w:r>
        <w:t xml:space="preserve"> </w:t>
      </w:r>
      <w:r w:rsidRPr="000A15F8">
        <w:t>судебной власти, самостоятельного решения вопросов материально-технического и финансового обеспечения</w:t>
      </w:r>
      <w:r>
        <w:t xml:space="preserve"> </w:t>
      </w:r>
      <w:r w:rsidRPr="000A15F8">
        <w:t>судов</w:t>
      </w:r>
      <w:r>
        <w:t xml:space="preserve"> </w:t>
      </w:r>
      <w:r w:rsidRPr="000A15F8">
        <w:t>образован Департамент по обеспечению деятельности</w:t>
      </w:r>
      <w:r>
        <w:t xml:space="preserve"> </w:t>
      </w:r>
      <w:r w:rsidRPr="000A15F8">
        <w:t>судов при Верховном</w:t>
      </w:r>
      <w:r>
        <w:t xml:space="preserve"> </w:t>
      </w:r>
      <w:r w:rsidRPr="000A15F8">
        <w:t>суде. Осуществлена передача штатной численности военных</w:t>
      </w:r>
      <w:r>
        <w:t xml:space="preserve"> </w:t>
      </w:r>
      <w:r w:rsidRPr="000A15F8">
        <w:t>судов из состава Вооруженных Сил в систему</w:t>
      </w:r>
      <w:r>
        <w:t xml:space="preserve"> </w:t>
      </w:r>
      <w:r w:rsidRPr="000A15F8">
        <w:t>Верховного</w:t>
      </w:r>
      <w:r>
        <w:t xml:space="preserve"> </w:t>
      </w:r>
      <w:r w:rsidRPr="000A15F8">
        <w:t xml:space="preserve">суда. </w:t>
      </w:r>
    </w:p>
    <w:p w14:paraId="72EA3E0B" w14:textId="77777777" w:rsidR="00CB351A" w:rsidRPr="000A15F8" w:rsidRDefault="00CB351A" w:rsidP="00CB351A">
      <w:pPr>
        <w:pStyle w:val="SingleTxtG"/>
      </w:pPr>
      <w:r w:rsidRPr="000A15F8">
        <w:t>10.</w:t>
      </w:r>
      <w:r w:rsidRPr="000A15F8">
        <w:tab/>
        <w:t>При Парламенте создана Комиссия по содействию обеспечения независимости судебной власти для осуществления системного мониторинга за исполнением законодательства, направленного на обеспечение независимости судебной власти и судей, критического анализа проблем в сфере законодательства, изучения действительного положения дел в сфере обеспечения независимости судебной власти и судей.</w:t>
      </w:r>
    </w:p>
    <w:p w14:paraId="1F5B20A9" w14:textId="77777777" w:rsidR="00CB351A" w:rsidRPr="000A15F8" w:rsidRDefault="00CB351A" w:rsidP="00CB351A">
      <w:pPr>
        <w:pStyle w:val="H1G"/>
      </w:pPr>
      <w:r w:rsidRPr="000A15F8">
        <w:tab/>
      </w:r>
      <w:r w:rsidRPr="000A15F8">
        <w:tab/>
        <w:t>Пункт 2</w:t>
      </w:r>
    </w:p>
    <w:p w14:paraId="0600C632" w14:textId="77777777" w:rsidR="00CB351A" w:rsidRPr="000A15F8" w:rsidRDefault="00CB351A" w:rsidP="00CB351A">
      <w:pPr>
        <w:pStyle w:val="SingleTxtG"/>
      </w:pPr>
      <w:r w:rsidRPr="000A15F8">
        <w:t>11.</w:t>
      </w:r>
      <w:r w:rsidRPr="000A15F8">
        <w:tab/>
        <w:t>Ст.</w:t>
      </w:r>
      <w:r>
        <w:rPr>
          <w:lang w:val="en-US"/>
        </w:rPr>
        <w:t> </w:t>
      </w:r>
      <w:r w:rsidRPr="000A15F8">
        <w:t>56 Конституции установлено, что общественными объединениями признаются профессиональные союзы, политические партии, общества ученых, женские организации, организации ветеранов и молодежи, творческие союзы, массовые движения и иные объединения граждан, зарегистрированные в установленном законом порядке.</w:t>
      </w:r>
    </w:p>
    <w:p w14:paraId="66C014A0" w14:textId="77777777" w:rsidR="00CB351A" w:rsidRPr="000A15F8" w:rsidRDefault="00CB351A" w:rsidP="00CB351A">
      <w:pPr>
        <w:pStyle w:val="SingleTxtG"/>
      </w:pPr>
      <w:r w:rsidRPr="000A15F8">
        <w:t>12.</w:t>
      </w:r>
      <w:r w:rsidRPr="000A15F8">
        <w:tab/>
        <w:t>Ст.</w:t>
      </w:r>
      <w:r>
        <w:rPr>
          <w:lang w:val="en-US"/>
        </w:rPr>
        <w:t> </w:t>
      </w:r>
      <w:r w:rsidRPr="000A15F8">
        <w:t>22 Закона «О негосударственных некоммерческих организациях» установлен перечень документов, требуемый для государственной регистрации ННО и представляемый в регистрирующий орган, которым проводится рассмотрение документов в соответствии с требованиями Положения о порядке государственной регистрации ННО, утвержденного постановлением Правительства от 10.03.2014 г</w:t>
      </w:r>
      <w:r w:rsidRPr="00A54F01">
        <w:t>.</w:t>
      </w:r>
      <w:r w:rsidRPr="000A15F8">
        <w:t>, в месячный срок со дня их представления.</w:t>
      </w:r>
    </w:p>
    <w:p w14:paraId="71E41B42" w14:textId="77777777" w:rsidR="00CB351A" w:rsidRPr="000A15F8" w:rsidRDefault="00CB351A" w:rsidP="00CB351A">
      <w:pPr>
        <w:pStyle w:val="SingleTxtG"/>
      </w:pPr>
      <w:r w:rsidRPr="000A15F8">
        <w:t>13.</w:t>
      </w:r>
      <w:r w:rsidRPr="000A15F8">
        <w:tab/>
        <w:t xml:space="preserve">Регистрирующий орган в лице Минюста и региональных органов юстиции, осуществляет проверку достоверности документов о государственной регистрации ННО на предмет их соответствия законодательству. По результатам рассмотрения принимается одно из следующих решений: о государственной регистрации; об отказе в государственной регистрации. </w:t>
      </w:r>
    </w:p>
    <w:p w14:paraId="56F6AAB6" w14:textId="77777777" w:rsidR="00CB351A" w:rsidRPr="000A15F8" w:rsidRDefault="00CB351A" w:rsidP="00CB351A">
      <w:pPr>
        <w:pStyle w:val="SingleTxtG"/>
      </w:pPr>
      <w:r w:rsidRPr="000A15F8">
        <w:t>14.</w:t>
      </w:r>
      <w:r w:rsidRPr="000A15F8">
        <w:tab/>
        <w:t>Ст.</w:t>
      </w:r>
      <w:r>
        <w:t> </w:t>
      </w:r>
      <w:r w:rsidRPr="000A15F8">
        <w:t>25 данного Закона установлены основания отказа в государственной регистрации ННО. Решение об отказе в государственной регистрации ННО сообщается заявителю в письменной форме в течение трех дней после его принятия. Решение регистрирующего органа об отказе в государственной регистрации ННО может быть обжаловано в суд в установленном порядке.</w:t>
      </w:r>
    </w:p>
    <w:p w14:paraId="4FFFEC25" w14:textId="77777777" w:rsidR="00CB351A" w:rsidRPr="000A15F8" w:rsidRDefault="00CB351A" w:rsidP="00CB351A">
      <w:pPr>
        <w:pStyle w:val="SingleTxtG"/>
      </w:pPr>
      <w:r w:rsidRPr="000A15F8">
        <w:lastRenderedPageBreak/>
        <w:t>15.</w:t>
      </w:r>
      <w:r w:rsidRPr="000A15F8">
        <w:tab/>
        <w:t>Рабочей группой во главе с министром юстиции, ведется работа по разработке проекта Кодекса о негосударственных некоммерческих организациях на основе изучения передового зарубежного опыта и национальной правоприменительной практики. В процесс разработки проекта привлечена экспертная группа в составе более 20 представителей ННО.</w:t>
      </w:r>
    </w:p>
    <w:p w14:paraId="28133417" w14:textId="77777777" w:rsidR="00CB351A" w:rsidRPr="000A15F8" w:rsidRDefault="00CB351A" w:rsidP="00CB351A">
      <w:pPr>
        <w:pStyle w:val="SingleTxtG"/>
      </w:pPr>
      <w:r w:rsidRPr="000A15F8">
        <w:t>16.</w:t>
      </w:r>
      <w:r w:rsidRPr="000A15F8">
        <w:tab/>
        <w:t xml:space="preserve">В соответствии с Концепцией совершенствования нормотворческой деятельности, проведена работа по систематизации и унификации нормативно-правовых актов, регулирующих отношения в сфере ННО. В настоящее время проект Кодекса совершенствуется с учетом результатов научной и общественной экспертизы и анализа существующих проблемных вопросов в сфере и предложений, представленных членами экспертной группы, государственными органами, национальными институтами по правам человека. По окончании доработки проект Кодекса будет выставлен на общественное обсуждение в установленном порядке. </w:t>
      </w:r>
    </w:p>
    <w:p w14:paraId="03C2185F" w14:textId="77777777" w:rsidR="00CB351A" w:rsidRPr="000A15F8" w:rsidRDefault="00CB351A" w:rsidP="00CB351A">
      <w:pPr>
        <w:pStyle w:val="SingleTxtG"/>
      </w:pPr>
      <w:r w:rsidRPr="000A15F8">
        <w:t>17.</w:t>
      </w:r>
      <w:r w:rsidRPr="000A15F8">
        <w:tab/>
        <w:t>В результате принятых законодательных мер ННО становятся полноправным партнером государства, а их количество последовательными темпами увеличивается. Характерной чертой развития ННО стало их участие во всех сферах жизни общества, они участвуют в законотворческой деятельности, в разработке и реализации государственных программ, проведении общественного контроля за деятельностью органов государственной власти и управления и должностных лиц.</w:t>
      </w:r>
    </w:p>
    <w:p w14:paraId="482DA8F6" w14:textId="77777777" w:rsidR="00CB351A" w:rsidRPr="000A15F8" w:rsidRDefault="00CB351A" w:rsidP="00CB351A">
      <w:pPr>
        <w:pStyle w:val="SingleTxtG"/>
      </w:pPr>
      <w:r w:rsidRPr="000A15F8">
        <w:t>18.</w:t>
      </w:r>
      <w:r w:rsidRPr="000A15F8">
        <w:tab/>
        <w:t>За последние несколько лет проведена работа по коренному совершенствованию системы поддержки, стимулирования и развития деятельности ННО:</w:t>
      </w:r>
    </w:p>
    <w:p w14:paraId="1AB7C4E7" w14:textId="77777777" w:rsidR="00CB351A" w:rsidRPr="000A15F8" w:rsidRDefault="00CB351A" w:rsidP="00CB351A">
      <w:pPr>
        <w:pStyle w:val="Bullet1G"/>
        <w:numPr>
          <w:ilvl w:val="0"/>
          <w:numId w:val="0"/>
        </w:numPr>
        <w:tabs>
          <w:tab w:val="left" w:pos="1701"/>
        </w:tabs>
        <w:ind w:left="1701" w:hanging="170"/>
        <w:rPr>
          <w:lang w:bidi="ru-RU"/>
        </w:rPr>
      </w:pPr>
      <w:r w:rsidRPr="000A15F8">
        <w:rPr>
          <w:lang w:bidi="ru-RU"/>
        </w:rPr>
        <w:t>•</w:t>
      </w:r>
      <w:r w:rsidRPr="000A15F8">
        <w:rPr>
          <w:lang w:bidi="ru-RU"/>
        </w:rPr>
        <w:tab/>
        <w:t>снижены ставки государственной пошлины за государственную регистрацию ННО (</w:t>
      </w:r>
      <w:r w:rsidRPr="00252F63">
        <w:rPr>
          <w:lang w:bidi="ru-RU"/>
        </w:rPr>
        <w:t>5</w:t>
      </w:r>
      <w:r w:rsidRPr="000A15F8">
        <w:rPr>
          <w:lang w:bidi="ru-RU"/>
        </w:rPr>
        <w:t xml:space="preserve"> раз) и символик (2,5 раза);</w:t>
      </w:r>
    </w:p>
    <w:p w14:paraId="17099C1A" w14:textId="77777777" w:rsidR="00CB351A" w:rsidRPr="00890BAE" w:rsidRDefault="00CB351A" w:rsidP="00CB351A">
      <w:pPr>
        <w:pStyle w:val="Bullet1G"/>
        <w:numPr>
          <w:ilvl w:val="0"/>
          <w:numId w:val="0"/>
        </w:numPr>
        <w:tabs>
          <w:tab w:val="left" w:pos="1701"/>
        </w:tabs>
        <w:ind w:left="1701" w:hanging="170"/>
        <w:rPr>
          <w:lang w:bidi="ru-RU"/>
        </w:rPr>
      </w:pPr>
      <w:r w:rsidRPr="000A15F8">
        <w:rPr>
          <w:lang w:bidi="ru-RU"/>
        </w:rPr>
        <w:t>•</w:t>
      </w:r>
      <w:r w:rsidRPr="000A15F8">
        <w:rPr>
          <w:lang w:bidi="ru-RU"/>
        </w:rPr>
        <w:tab/>
        <w:t xml:space="preserve">срок рассмотрения заявления о государственной регистрации ННО снижен с двух до одного </w:t>
      </w:r>
      <w:r w:rsidRPr="00890BAE">
        <w:rPr>
          <w:lang w:bidi="ru-RU"/>
        </w:rPr>
        <w:t>месяца;</w:t>
      </w:r>
    </w:p>
    <w:p w14:paraId="66B63E2D" w14:textId="77777777" w:rsidR="00CB351A" w:rsidRPr="00890BAE" w:rsidRDefault="00CB351A" w:rsidP="00CB351A">
      <w:pPr>
        <w:pStyle w:val="Bullet1G"/>
        <w:numPr>
          <w:ilvl w:val="0"/>
          <w:numId w:val="0"/>
        </w:numPr>
        <w:tabs>
          <w:tab w:val="left" w:pos="1701"/>
        </w:tabs>
        <w:ind w:left="1701" w:hanging="170"/>
        <w:rPr>
          <w:lang w:bidi="ru-RU"/>
        </w:rPr>
      </w:pPr>
      <w:r w:rsidRPr="00890BAE">
        <w:rPr>
          <w:lang w:bidi="ru-RU"/>
        </w:rPr>
        <w:t>•</w:t>
      </w:r>
      <w:r w:rsidRPr="00890BAE">
        <w:rPr>
          <w:lang w:bidi="ru-RU"/>
        </w:rPr>
        <w:tab/>
        <w:t>ННО освобождены от уплаты более 10 видов налогов и других обязательных платежей;</w:t>
      </w:r>
    </w:p>
    <w:p w14:paraId="787C2F0B" w14:textId="77777777" w:rsidR="00CB351A" w:rsidRPr="00252F63" w:rsidRDefault="00CB351A" w:rsidP="00CB351A">
      <w:pPr>
        <w:pStyle w:val="Bullet1G"/>
        <w:numPr>
          <w:ilvl w:val="0"/>
          <w:numId w:val="0"/>
        </w:numPr>
        <w:tabs>
          <w:tab w:val="left" w:pos="1701"/>
        </w:tabs>
        <w:ind w:left="1701" w:hanging="170"/>
        <w:rPr>
          <w:lang w:bidi="ru-RU"/>
        </w:rPr>
      </w:pPr>
      <w:r w:rsidRPr="00890BAE">
        <w:rPr>
          <w:lang w:bidi="ru-RU"/>
        </w:rPr>
        <w:t>•</w:t>
      </w:r>
      <w:r w:rsidRPr="00890BAE">
        <w:rPr>
          <w:lang w:bidi="ru-RU"/>
        </w:rPr>
        <w:tab/>
        <w:t>роспуск, запрещение или ограничение деятельности ННО могут иметь место только на основании решении суда, а ликвидация ННО осуществляется только по решению ее высшего органа либо на</w:t>
      </w:r>
      <w:r w:rsidRPr="000A15F8">
        <w:rPr>
          <w:lang w:bidi="ru-RU"/>
        </w:rPr>
        <w:t xml:space="preserve"> основании решения суда и др.</w:t>
      </w:r>
      <w:r>
        <w:rPr>
          <w:lang w:bidi="ru-RU"/>
        </w:rPr>
        <w:t>;</w:t>
      </w:r>
    </w:p>
    <w:p w14:paraId="4F25AC03" w14:textId="77777777" w:rsidR="00CB351A" w:rsidRPr="000A15F8" w:rsidRDefault="00CB351A" w:rsidP="00CB351A">
      <w:pPr>
        <w:pStyle w:val="SingleTxtG"/>
        <w:rPr>
          <w:lang w:eastAsia="ru-RU" w:bidi="ru-RU"/>
        </w:rPr>
      </w:pPr>
      <w:r w:rsidRPr="00890BAE">
        <w:rPr>
          <w:lang w:eastAsia="ru-RU" w:bidi="ru-RU"/>
        </w:rPr>
        <w:t>19.</w:t>
      </w:r>
      <w:r>
        <w:rPr>
          <w:lang w:eastAsia="ru-RU" w:bidi="ru-RU"/>
        </w:rPr>
        <w:tab/>
        <w:t>С</w:t>
      </w:r>
      <w:r w:rsidRPr="000A15F8">
        <w:rPr>
          <w:lang w:eastAsia="ru-RU" w:bidi="ru-RU"/>
        </w:rPr>
        <w:t>огласно Указу от 04.05.18 г. значительно упрощены требования и процедуры взаимодействия ННО с государственными органами:</w:t>
      </w:r>
    </w:p>
    <w:p w14:paraId="7344C208" w14:textId="77777777" w:rsidR="00CB351A" w:rsidRPr="000A15F8" w:rsidRDefault="00CB351A" w:rsidP="00CB351A">
      <w:pPr>
        <w:pStyle w:val="Bullet1G"/>
        <w:numPr>
          <w:ilvl w:val="0"/>
          <w:numId w:val="4"/>
        </w:numPr>
        <w:rPr>
          <w:lang w:bidi="ru-RU"/>
        </w:rPr>
      </w:pPr>
      <w:r w:rsidRPr="000A15F8">
        <w:rPr>
          <w:lang w:bidi="ru-RU"/>
        </w:rPr>
        <w:tab/>
        <w:t>отменен порядок согласования ННО мероприятий с регистрирующим органом путем внедрения уведомительного порядка;</w:t>
      </w:r>
    </w:p>
    <w:p w14:paraId="2FD4B008" w14:textId="77777777" w:rsidR="00CB351A" w:rsidRPr="000A15F8" w:rsidRDefault="00CB351A" w:rsidP="00CB351A">
      <w:pPr>
        <w:pStyle w:val="Bullet1G"/>
        <w:numPr>
          <w:ilvl w:val="0"/>
          <w:numId w:val="4"/>
        </w:numPr>
        <w:rPr>
          <w:lang w:bidi="ru-RU"/>
        </w:rPr>
      </w:pPr>
      <w:r w:rsidRPr="000A15F8">
        <w:rPr>
          <w:lang w:bidi="ru-RU"/>
        </w:rPr>
        <w:tab/>
        <w:t>упорядочен порядок проведения проверок и мониторинга деятельности ННО, с установлением конкретных сроков и периодичности;</w:t>
      </w:r>
    </w:p>
    <w:p w14:paraId="0D71F7F4" w14:textId="77777777" w:rsidR="00CB351A" w:rsidRPr="000A15F8" w:rsidRDefault="00CB351A" w:rsidP="00CB351A">
      <w:pPr>
        <w:pStyle w:val="Bullet1G"/>
        <w:numPr>
          <w:ilvl w:val="0"/>
          <w:numId w:val="4"/>
        </w:numPr>
        <w:rPr>
          <w:lang w:bidi="ru-RU"/>
        </w:rPr>
      </w:pPr>
      <w:r w:rsidRPr="000A15F8">
        <w:rPr>
          <w:lang w:bidi="ru-RU"/>
        </w:rPr>
        <w:tab/>
        <w:t>сокращены виды отчетности и упрощена форма отчетов ННО, предоставляемые в регистрирующие, налоговые, статистические органы и др.</w:t>
      </w:r>
    </w:p>
    <w:p w14:paraId="68420555" w14:textId="77777777" w:rsidR="00CB351A" w:rsidRPr="000A15F8" w:rsidRDefault="00CB351A" w:rsidP="00CB351A">
      <w:pPr>
        <w:pStyle w:val="SingleTxtG"/>
      </w:pPr>
      <w:r w:rsidRPr="000A15F8">
        <w:t>20.</w:t>
      </w:r>
      <w:r w:rsidRPr="000A15F8">
        <w:tab/>
        <w:t xml:space="preserve">В целях упрощения процедуры регистрации, в настоящее время ННО можно зарегистрировать через веб-портал </w:t>
      </w:r>
      <w:hyperlink r:id="rId9" w:history="1">
        <w:r w:rsidRPr="00252F63">
          <w:rPr>
            <w:rFonts w:eastAsiaTheme="minorHAnsi" w:cstheme="minorBidi"/>
            <w:color w:val="0000FF"/>
            <w:szCs w:val="22"/>
          </w:rPr>
          <w:t>e-ngo.uz</w:t>
        </w:r>
      </w:hyperlink>
      <w:r w:rsidRPr="000A15F8">
        <w:t xml:space="preserve">. </w:t>
      </w:r>
    </w:p>
    <w:p w14:paraId="47D388D6" w14:textId="77777777" w:rsidR="00CB351A" w:rsidRPr="000A15F8" w:rsidRDefault="00CB351A" w:rsidP="00CB351A">
      <w:pPr>
        <w:pStyle w:val="SingleTxtG"/>
      </w:pPr>
      <w:r w:rsidRPr="000A15F8">
        <w:t>21.</w:t>
      </w:r>
      <w:r w:rsidRPr="000A15F8">
        <w:tab/>
        <w:t>16.04.2020 г. принят Указ «О создании Общественной палаты при Президенте Республики Узбекистан» в целях расширения масштаба участия населения в управлении делами государства и общества, усиления общественного контроля за деятельностью государственных органов и учреждений.</w:t>
      </w:r>
    </w:p>
    <w:p w14:paraId="1935565B" w14:textId="77777777" w:rsidR="00CB351A" w:rsidRPr="00643474" w:rsidRDefault="00CB351A" w:rsidP="00CB351A">
      <w:pPr>
        <w:pStyle w:val="H1G"/>
      </w:pPr>
      <w:r>
        <w:tab/>
      </w:r>
      <w:r>
        <w:tab/>
      </w:r>
      <w:r w:rsidRPr="00643474">
        <w:t>Пункт 3</w:t>
      </w:r>
    </w:p>
    <w:p w14:paraId="2E3EA804" w14:textId="77777777" w:rsidR="00CB351A" w:rsidRPr="00D421A9" w:rsidRDefault="00CB351A" w:rsidP="00CB351A">
      <w:pPr>
        <w:pStyle w:val="SingleTxtG"/>
      </w:pPr>
      <w:r w:rsidRPr="00D421A9">
        <w:t>22.</w:t>
      </w:r>
      <w:r w:rsidRPr="00D421A9">
        <w:tab/>
        <w:t xml:space="preserve">В Узбекистане принимаются системные меры по сбору, обобщению, анализу и оценке данных, характеризующих показатели развития страны и обеспечения защиты прав человека во всех сферах жизни общества. </w:t>
      </w:r>
    </w:p>
    <w:p w14:paraId="34C07BD1" w14:textId="77777777" w:rsidR="00CB351A" w:rsidRPr="00D421A9" w:rsidRDefault="00CB351A" w:rsidP="00CB351A">
      <w:pPr>
        <w:pStyle w:val="SingleTxtG"/>
      </w:pPr>
      <w:r w:rsidRPr="00D421A9">
        <w:lastRenderedPageBreak/>
        <w:t>23.</w:t>
      </w:r>
      <w:r w:rsidRPr="00D421A9">
        <w:tab/>
        <w:t xml:space="preserve">9.04.2019 г. принято Постановление «О дополнительных мерах по обеспечению открытости и прозрачности государственного управления, а также повышению статистического потенциала страны», которое предусматривает дальнейшее совершенствование Портала открытых данных, разработку законопроекта </w:t>
      </w:r>
      <w:r w:rsidRPr="00D421A9">
        <w:br/>
        <w:t>«Об официальной статистике».</w:t>
      </w:r>
    </w:p>
    <w:p w14:paraId="575ADD03" w14:textId="77777777" w:rsidR="00CB351A" w:rsidRPr="00D421A9" w:rsidRDefault="00CB351A" w:rsidP="00CB351A">
      <w:pPr>
        <w:pStyle w:val="SingleTxtG"/>
      </w:pPr>
      <w:r w:rsidRPr="00D421A9">
        <w:t>24.</w:t>
      </w:r>
      <w:r w:rsidRPr="00D421A9">
        <w:tab/>
        <w:t>Принят Закон «О переписи населения» от 16.03.2020 г., 5.02.2019 г. утверждена Концепция проведения в 2022 году переписи населения в Узбекистане, в которой определены цели и основные задачи переписи населения, этапы подготовки и проведения переписи, участники подготовки и проведения переписи.</w:t>
      </w:r>
    </w:p>
    <w:p w14:paraId="53DD9EFF" w14:textId="77777777" w:rsidR="00CB351A" w:rsidRPr="00D421A9" w:rsidRDefault="00CB351A" w:rsidP="00CB351A">
      <w:pPr>
        <w:pStyle w:val="SingleTxtG"/>
      </w:pPr>
      <w:r w:rsidRPr="00D421A9">
        <w:t>25.</w:t>
      </w:r>
      <w:r w:rsidRPr="00D421A9">
        <w:tab/>
        <w:t>Принято Постановление «О мерах по дальнейшему совершенствованию и развитию национальной системы статистики Республики Узбекистан» от 3.08.2020 г., которым утверждена Национальная стратегия развития статистики Республики Узбекистан в 2020</w:t>
      </w:r>
      <w:r w:rsidRPr="00252F63">
        <w:t>–</w:t>
      </w:r>
      <w:r w:rsidRPr="00D421A9">
        <w:t>2025 годах.</w:t>
      </w:r>
    </w:p>
    <w:p w14:paraId="78296D7B" w14:textId="77777777" w:rsidR="00CB351A" w:rsidRPr="00D421A9" w:rsidRDefault="00CB351A" w:rsidP="00CB351A">
      <w:pPr>
        <w:pStyle w:val="SingleTxtG"/>
      </w:pPr>
      <w:r w:rsidRPr="00D421A9">
        <w:t>26.</w:t>
      </w:r>
      <w:r w:rsidRPr="00D421A9">
        <w:tab/>
        <w:t>В 2019 г</w:t>
      </w:r>
      <w:r>
        <w:t>оду</w:t>
      </w:r>
      <w:r w:rsidRPr="00D421A9">
        <w:t xml:space="preserve"> Госкомстатом опубликован статистический сборник «Женщины и мужчины Узбекистана», создан официальный веб-сайт Госкомстата </w:t>
      </w:r>
      <w:hyperlink r:id="rId10" w:history="1">
        <w:r w:rsidRPr="00252F63">
          <w:rPr>
            <w:rFonts w:eastAsiaTheme="minorHAnsi" w:cstheme="minorBidi"/>
            <w:color w:val="0000FF"/>
            <w:szCs w:val="22"/>
          </w:rPr>
          <w:t>https://gender.stat.uz/</w:t>
        </w:r>
      </w:hyperlink>
      <w:r w:rsidRPr="00252F63">
        <w:rPr>
          <w:rFonts w:eastAsiaTheme="minorHAnsi" w:cstheme="minorBidi"/>
          <w:szCs w:val="22"/>
        </w:rPr>
        <w:t>.</w:t>
      </w:r>
    </w:p>
    <w:p w14:paraId="685A0782" w14:textId="77777777" w:rsidR="00CB351A" w:rsidRPr="00D421A9" w:rsidRDefault="00CB351A" w:rsidP="00CB351A">
      <w:pPr>
        <w:pStyle w:val="SingleTxtG"/>
      </w:pPr>
      <w:r w:rsidRPr="00D421A9">
        <w:t>27.</w:t>
      </w:r>
      <w:r w:rsidRPr="00D421A9">
        <w:tab/>
        <w:t>Начата разработка методологии по формированию сбора гендерной статистики, формирование межведомственного координационного механизма по гендерной статистике, проведению общенациональной переписи населения в 2022 году, проведение обследования домохозяйств по методике кластерного обследования по многим показателям с целью оценки положения детей и женщин в стране и будет включать статистические данные в гендерном разрезе.</w:t>
      </w:r>
    </w:p>
    <w:p w14:paraId="60DF01EE" w14:textId="77777777" w:rsidR="00CB351A" w:rsidRPr="00865DA7" w:rsidRDefault="00CB351A" w:rsidP="00CB351A">
      <w:pPr>
        <w:pStyle w:val="H1G"/>
      </w:pPr>
      <w:r w:rsidRPr="00D421A9">
        <w:tab/>
      </w:r>
      <w:r w:rsidRPr="00D421A9">
        <w:tab/>
      </w:r>
      <w:r w:rsidRPr="00865DA7">
        <w:t>Пункт 4</w:t>
      </w:r>
    </w:p>
    <w:p w14:paraId="665A0364" w14:textId="77777777" w:rsidR="00CB351A" w:rsidRPr="00865DA7" w:rsidRDefault="00CB351A" w:rsidP="00CB351A">
      <w:pPr>
        <w:pStyle w:val="SingleTxtG"/>
      </w:pPr>
      <w:r w:rsidRPr="00865DA7">
        <w:t>28.</w:t>
      </w:r>
      <w:r w:rsidRPr="00865DA7">
        <w:tab/>
        <w:t>В последние годы в стране последовательно осуществляются масштабные реформы, направленные на предупреждение и противодействие коррупции, искоренение коррупциогенных факторов во всех сферах государственного и общественного строительства.</w:t>
      </w:r>
    </w:p>
    <w:p w14:paraId="2640FDCE" w14:textId="77777777" w:rsidR="00CB351A" w:rsidRPr="00865DA7" w:rsidRDefault="00CB351A" w:rsidP="00CB351A">
      <w:pPr>
        <w:pStyle w:val="SingleTxtG"/>
      </w:pPr>
      <w:r w:rsidRPr="00865DA7">
        <w:t>29.</w:t>
      </w:r>
      <w:r w:rsidRPr="00865DA7">
        <w:tab/>
        <w:t>Указом «О мерах по дальнейшему совершенствованию системы противодействия коррупции в Республике Узбекистан» от 27.05.2019</w:t>
      </w:r>
      <w:r w:rsidRPr="00643474">
        <w:t> </w:t>
      </w:r>
      <w:r w:rsidRPr="00865DA7">
        <w:t>г. предусмотрена организация и реализации проекта «Сфера без коррупции» в сфере высшего образования, с поэтапным внедрением данного проекта в других сферах.</w:t>
      </w:r>
    </w:p>
    <w:p w14:paraId="26557F96" w14:textId="77777777" w:rsidR="00CB351A" w:rsidRPr="00EF4E7D" w:rsidRDefault="00CB351A" w:rsidP="00CB351A">
      <w:pPr>
        <w:pStyle w:val="SingleTxtG"/>
      </w:pPr>
      <w:r w:rsidRPr="00862334">
        <w:t>30.</w:t>
      </w:r>
      <w:r w:rsidRPr="00862334">
        <w:tab/>
        <w:t>31.07.2019</w:t>
      </w:r>
      <w:r w:rsidRPr="00643474">
        <w:t> </w:t>
      </w:r>
      <w:r w:rsidRPr="00862334">
        <w:t xml:space="preserve">г. утвержден «План действий, направленный на повышение правосознания и правовой культуры населения и формирования в обществе нетерпимого отношения к коррупции». </w:t>
      </w:r>
      <w:r w:rsidRPr="00EF4E7D">
        <w:t>Генпрокуратурой в 2019 году осуществлено более 35 тыс. пропагандистских мероприяти</w:t>
      </w:r>
      <w:r>
        <w:t>й</w:t>
      </w:r>
      <w:r w:rsidRPr="00EF4E7D">
        <w:t>. 31.07.2019</w:t>
      </w:r>
      <w:r w:rsidRPr="00643474">
        <w:t> </w:t>
      </w:r>
      <w:r w:rsidRPr="00EF4E7D">
        <w:t>г. утвержден «План мероприятий по формированию активного мировоззрения и крепкой гражданской позиции по противодействию коррупции среди молодежи». 16.08.2019</w:t>
      </w:r>
      <w:r w:rsidRPr="00643474">
        <w:t> </w:t>
      </w:r>
      <w:r w:rsidRPr="00EF4E7D">
        <w:t xml:space="preserve">г. разработана Комплексная программа мер по обеспечению правового образования молодежи в области борьбы с коррупцией. </w:t>
      </w:r>
    </w:p>
    <w:p w14:paraId="390C565D" w14:textId="77777777" w:rsidR="00CB351A" w:rsidRPr="008E6C99" w:rsidRDefault="00CB351A" w:rsidP="00CB351A">
      <w:pPr>
        <w:pStyle w:val="SingleTxtG"/>
      </w:pPr>
      <w:r w:rsidRPr="008E6C99">
        <w:t>31.</w:t>
      </w:r>
      <w:r w:rsidRPr="008E6C99">
        <w:tab/>
        <w:t>Принят Указ «О дополнительных мерах по совершенствованию системы противодействия коррупции в Республике Узбекистан» от 29.06.2020 г., которым образовано Агентство по противодействию коррупции.</w:t>
      </w:r>
    </w:p>
    <w:p w14:paraId="295A0275" w14:textId="77777777" w:rsidR="00CB351A" w:rsidRPr="008E6C99" w:rsidRDefault="00CB351A" w:rsidP="00CB351A">
      <w:pPr>
        <w:pStyle w:val="SingleTxtG"/>
      </w:pPr>
      <w:r w:rsidRPr="008E6C99">
        <w:t>32.</w:t>
      </w:r>
      <w:r w:rsidRPr="008E6C99">
        <w:tab/>
        <w:t>Минтрудом в 2020 году был проведен ряд мероприятий в 631 медицинской организации по изучению локальных документов, регулирующих деятельность системы здравоохранения. В результате проведенных мероприятий было выявлено 4896 случаев правонарушений в системе здравоохранения. По всем выявленным правонарушениям были приняты соответствующие меры в соответствие с законодательством.</w:t>
      </w:r>
    </w:p>
    <w:p w14:paraId="7D1CFFB8" w14:textId="77777777" w:rsidR="00CB351A" w:rsidRPr="008E6C99" w:rsidRDefault="00CB351A" w:rsidP="00CB351A">
      <w:pPr>
        <w:pStyle w:val="SingleTxtG"/>
      </w:pPr>
      <w:r w:rsidRPr="008E6C99">
        <w:t>33.</w:t>
      </w:r>
      <w:r w:rsidRPr="008E6C99">
        <w:tab/>
        <w:t>«Дорожной картой» по реализации Национальной стратегии по правам человека предусмотрена разработка проекта Кодекса здравоохранения (п.</w:t>
      </w:r>
      <w:r>
        <w:rPr>
          <w:lang w:val="en-US"/>
        </w:rPr>
        <w:t> </w:t>
      </w:r>
      <w:r w:rsidRPr="008E6C99">
        <w:t>37), которым предусмотрено регулирование всех направлений деятельности медицинских организаций.</w:t>
      </w:r>
    </w:p>
    <w:p w14:paraId="5C8B1F0B" w14:textId="77777777" w:rsidR="00CB351A" w:rsidRPr="008E6C99" w:rsidRDefault="00CB351A" w:rsidP="00CB351A">
      <w:pPr>
        <w:pStyle w:val="SingleTxtG"/>
      </w:pPr>
      <w:r w:rsidRPr="008E6C99">
        <w:lastRenderedPageBreak/>
        <w:t>34.</w:t>
      </w:r>
      <w:r w:rsidRPr="008E6C99">
        <w:tab/>
        <w:t>Согласно Постановлению «О мерах по коренному совершенствованию деятельности органов внутренних дел в сфере миграционных процессов и оформления гражданства» от 11.07.2017</w:t>
      </w:r>
      <w:r w:rsidRPr="00643474">
        <w:t> </w:t>
      </w:r>
      <w:r w:rsidRPr="008E6C99">
        <w:t>г. и в целях искоренения коррупционных проявлений в сфере регистрации по месту жительства, в деятельности подразделений миграции и оформления гражданства внедрены:</w:t>
      </w:r>
    </w:p>
    <w:p w14:paraId="6032C3BC" w14:textId="77777777" w:rsidR="00CB351A" w:rsidRPr="008E6C99" w:rsidRDefault="00CB351A" w:rsidP="00CB351A">
      <w:pPr>
        <w:pStyle w:val="Bullet1G"/>
        <w:numPr>
          <w:ilvl w:val="0"/>
          <w:numId w:val="0"/>
        </w:numPr>
        <w:tabs>
          <w:tab w:val="left" w:pos="1701"/>
        </w:tabs>
        <w:ind w:left="1701" w:hanging="170"/>
      </w:pPr>
      <w:r w:rsidRPr="008E6C99">
        <w:t>•</w:t>
      </w:r>
      <w:r w:rsidRPr="008E6C99">
        <w:tab/>
        <w:t>электронная система оказания государственных услуг и регулирования приема граждан по вопросам паспортной системы, обеспечивающая бесконтактную форму взаимодействия;</w:t>
      </w:r>
    </w:p>
    <w:p w14:paraId="168BDBDD" w14:textId="77777777" w:rsidR="00CB351A" w:rsidRPr="008E6C99" w:rsidRDefault="00CB351A" w:rsidP="00CB351A">
      <w:pPr>
        <w:pStyle w:val="Bullet1G"/>
        <w:numPr>
          <w:ilvl w:val="0"/>
          <w:numId w:val="0"/>
        </w:numPr>
        <w:tabs>
          <w:tab w:val="left" w:pos="1701"/>
        </w:tabs>
        <w:ind w:left="1701" w:hanging="170"/>
      </w:pPr>
      <w:r w:rsidRPr="008E6C99">
        <w:t>•</w:t>
      </w:r>
      <w:r w:rsidRPr="008E6C99">
        <w:tab/>
        <w:t>интегрированные базы данных в области постоянной и временной прописки, учета по месту пребывания, выезда, въезда и пребывания в Узбекистане.</w:t>
      </w:r>
    </w:p>
    <w:p w14:paraId="0E7E7B97" w14:textId="77777777" w:rsidR="00CB351A" w:rsidRPr="008E6C99" w:rsidRDefault="00CB351A" w:rsidP="00CB351A">
      <w:pPr>
        <w:pStyle w:val="SingleTxtG"/>
      </w:pPr>
      <w:r w:rsidRPr="008E6C99">
        <w:t>35.</w:t>
      </w:r>
      <w:r w:rsidRPr="008E6C99">
        <w:tab/>
        <w:t>28.08.2018 г. принято Постановление «О мерах по совершенствованию порядка постоянной и временной прописки иностранных граждан и лиц без гражданства». 12.11.2019 г. принят Указ «О мерах по созданию благоприятных условий иностранным гражданам и лицам без гражданства при оказании государственных услуг».</w:t>
      </w:r>
    </w:p>
    <w:p w14:paraId="2557FC37" w14:textId="77777777" w:rsidR="00CB351A" w:rsidRPr="008E6C99" w:rsidRDefault="00CB351A" w:rsidP="00CB351A">
      <w:pPr>
        <w:pStyle w:val="SingleTxtG"/>
      </w:pPr>
      <w:r w:rsidRPr="008E6C99">
        <w:t>36.</w:t>
      </w:r>
      <w:r w:rsidRPr="008E6C99">
        <w:tab/>
        <w:t>Указом «О мерах по реформированию порядка постоянной прописки и учета по месту пребывания» от 22.04.2020</w:t>
      </w:r>
      <w:r w:rsidRPr="00166556">
        <w:t xml:space="preserve"> </w:t>
      </w:r>
      <w:r w:rsidRPr="008E6C99">
        <w:t>г. предусмотрен поэтапный переход от системы постоянной прописки, имеющей разрешительный характер к системе регистрации уведомительного характера. Внесены соответствующие изменения и дополнения в Закон «О перечне категорий лиц</w:t>
      </w:r>
      <w:r>
        <w:t xml:space="preserve"> — </w:t>
      </w:r>
      <w:r w:rsidRPr="008E6C99">
        <w:t>граждан Республики Узбекистан, подлежащих регистрации по месту постоянного проживания в городе Ташкенте и Ташкентской области».</w:t>
      </w:r>
    </w:p>
    <w:p w14:paraId="3B7391D6" w14:textId="77777777" w:rsidR="00CB351A" w:rsidRPr="008E6C99" w:rsidRDefault="00CB351A" w:rsidP="00CB351A">
      <w:pPr>
        <w:pStyle w:val="SingleTxtG"/>
      </w:pPr>
      <w:r w:rsidRPr="008E6C99">
        <w:t>37.</w:t>
      </w:r>
      <w:r w:rsidRPr="008E6C99">
        <w:tab/>
        <w:t>Согласно ст.</w:t>
      </w:r>
      <w:r>
        <w:rPr>
          <w:lang w:val="en-US"/>
        </w:rPr>
        <w:t> </w:t>
      </w:r>
      <w:r w:rsidRPr="008E6C99">
        <w:t>120 Конституции, ст.</w:t>
      </w:r>
      <w:r>
        <w:rPr>
          <w:lang w:val="en-US"/>
        </w:rPr>
        <w:t> </w:t>
      </w:r>
      <w:r w:rsidRPr="008E6C99">
        <w:t xml:space="preserve">5 Закона «О прокуратуре» органы прокуратуры осуществляют свои полномочия независимо от каких бы то ни было государственных органов, общественных объединений и должностных лиц, подчиняясь только закону. </w:t>
      </w:r>
    </w:p>
    <w:p w14:paraId="5BAE9FFF" w14:textId="77777777" w:rsidR="00CB351A" w:rsidRPr="008E6C99" w:rsidRDefault="00CB351A" w:rsidP="00CB351A">
      <w:pPr>
        <w:pStyle w:val="SingleTxtG"/>
      </w:pPr>
      <w:r w:rsidRPr="008E6C99">
        <w:t>38.</w:t>
      </w:r>
      <w:r w:rsidRPr="008E6C99">
        <w:tab/>
        <w:t>На конституционном уровне принцип независимости определен в форме закрепления порядка назначения и освобождения от должности Генерального прокурора, его заместителей, прокуроров областей, районных и городских прокуроров, назначаются на должность и освобождаются от должности Генеральным прокурором Республики Узбекистан.</w:t>
      </w:r>
    </w:p>
    <w:p w14:paraId="553CF0FF" w14:textId="77777777" w:rsidR="00CB351A" w:rsidRPr="008E6C99" w:rsidRDefault="00CB351A" w:rsidP="00CB351A">
      <w:pPr>
        <w:pStyle w:val="SingleTxtG"/>
      </w:pPr>
      <w:r w:rsidRPr="008E6C99">
        <w:t>39.</w:t>
      </w:r>
      <w:r w:rsidRPr="008E6C99">
        <w:tab/>
        <w:t>Указом «О мерах по дальнейшему совершенствованию системы противодействия коррупции в Республике Узбекистан» от 27.05.2019</w:t>
      </w:r>
      <w:r w:rsidRPr="00643474">
        <w:t> </w:t>
      </w:r>
      <w:r w:rsidRPr="008E6C99">
        <w:t>г. предусмотрена разработка законопроекта «О порядке прохождения службы в органах прокуратуры», а также формирование Совета прокуроров Узбекистана, являющ</w:t>
      </w:r>
      <w:r>
        <w:t>его</w:t>
      </w:r>
      <w:r w:rsidRPr="008E6C99">
        <w:t>ся коллегиальным органом, оказывающим содействие в обеспечении независимости и прозрачности органов прокуратуры.</w:t>
      </w:r>
    </w:p>
    <w:p w14:paraId="1DF64E0A" w14:textId="77777777" w:rsidR="00CB351A" w:rsidRPr="000A15F8" w:rsidRDefault="00CB351A" w:rsidP="00CB351A">
      <w:pPr>
        <w:pStyle w:val="SingleTxtG"/>
      </w:pPr>
      <w:r w:rsidRPr="000A15F8">
        <w:t>40.</w:t>
      </w:r>
      <w:r w:rsidRPr="000A15F8">
        <w:tab/>
        <w:t>Согласно ст.</w:t>
      </w:r>
      <w:r>
        <w:t xml:space="preserve"> </w:t>
      </w:r>
      <w:r w:rsidRPr="000A15F8">
        <w:t>106 Конституции, ст.</w:t>
      </w:r>
      <w:r>
        <w:t xml:space="preserve"> </w:t>
      </w:r>
      <w:r w:rsidRPr="000A15F8">
        <w:t>4 Закона «О судах», судебная власть в Узбекистане действует независимо от законодательной и исполнительной власти, политических партий, иных общественных объединений. Указом «О мерах по коренному совершенствованию структуры и повышению эффективности деятельности судебной системы Республики Узбекистан» от 21.02.2017</w:t>
      </w:r>
      <w:r w:rsidRPr="00643474">
        <w:t> </w:t>
      </w:r>
      <w:r w:rsidRPr="000A15F8">
        <w:t>г. был образован Высший судейский совет, призванный оказывать содействие в обеспечении соблюдения конституционного принципа независимости судебной власти.</w:t>
      </w:r>
    </w:p>
    <w:p w14:paraId="0D1CA296" w14:textId="77777777" w:rsidR="00CB351A" w:rsidRPr="000A15F8" w:rsidRDefault="00CB351A" w:rsidP="00CB351A">
      <w:pPr>
        <w:pStyle w:val="SingleTxtG"/>
      </w:pPr>
      <w:r w:rsidRPr="000A15F8">
        <w:t>41.</w:t>
      </w:r>
      <w:r w:rsidRPr="000A15F8">
        <w:tab/>
        <w:t>В 2018 году Парламентом сформирована Комиссия по содействию обеспечению независимости судебной власти</w:t>
      </w:r>
      <w:r>
        <w:t xml:space="preserve">, </w:t>
      </w:r>
      <w:r w:rsidRPr="000A15F8">
        <w:t>основными задачами которой является проведение системного мониторинга за исполнением актов законодательства, направленных на обеспечение независимости судебной власти и судей и др.</w:t>
      </w:r>
    </w:p>
    <w:p w14:paraId="1E961CE0" w14:textId="77777777" w:rsidR="00CB351A" w:rsidRPr="00643474" w:rsidRDefault="00CB351A" w:rsidP="00CB351A">
      <w:pPr>
        <w:pStyle w:val="HChG"/>
        <w:rPr>
          <w:color w:val="000000"/>
          <w:sz w:val="24"/>
          <w:szCs w:val="24"/>
        </w:rPr>
      </w:pPr>
      <w:bookmarkStart w:id="1" w:name="_Hlk49417789"/>
      <w:r>
        <w:rPr>
          <w:rFonts w:eastAsia="Calibri"/>
          <w:color w:val="000000"/>
        </w:rPr>
        <w:lastRenderedPageBreak/>
        <w:tab/>
      </w:r>
      <w:r w:rsidRPr="00DE3DC5">
        <w:rPr>
          <w:rFonts w:eastAsia="Calibri"/>
          <w:color w:val="000000"/>
        </w:rPr>
        <w:t>II.</w:t>
      </w:r>
      <w:r>
        <w:rPr>
          <w:rFonts w:eastAsia="Calibri"/>
          <w:color w:val="000000"/>
        </w:rPr>
        <w:tab/>
      </w:r>
      <w:r w:rsidRPr="00643474">
        <w:t>Вопросы, касающиеся общих положений Пакта (</w:t>
      </w:r>
      <w:bookmarkStart w:id="2" w:name="_Hlk49417574"/>
      <w:r w:rsidRPr="00643474">
        <w:t>статьи</w:t>
      </w:r>
      <w:r>
        <w:t> </w:t>
      </w:r>
      <w:r w:rsidRPr="00643474">
        <w:t>1</w:t>
      </w:r>
      <w:r>
        <w:t>–</w:t>
      </w:r>
      <w:r w:rsidRPr="00643474">
        <w:t>5</w:t>
      </w:r>
      <w:bookmarkEnd w:id="2"/>
      <w:r w:rsidRPr="00643474">
        <w:t>)</w:t>
      </w:r>
      <w:bookmarkEnd w:id="1"/>
    </w:p>
    <w:p w14:paraId="7FDE82AE" w14:textId="77777777" w:rsidR="00CB351A" w:rsidRPr="00865DA7" w:rsidRDefault="00CB351A" w:rsidP="00CB351A">
      <w:pPr>
        <w:pStyle w:val="H1G"/>
      </w:pPr>
      <w:r w:rsidRPr="00865DA7">
        <w:tab/>
      </w:r>
      <w:r w:rsidRPr="00865DA7">
        <w:tab/>
        <w:t>Пункт 5</w:t>
      </w:r>
    </w:p>
    <w:p w14:paraId="16484E17" w14:textId="77777777" w:rsidR="00CB351A" w:rsidRPr="00865DA7" w:rsidRDefault="00CB351A" w:rsidP="00CB351A">
      <w:pPr>
        <w:pStyle w:val="SingleTxtG"/>
      </w:pPr>
      <w:r w:rsidRPr="00865DA7">
        <w:t>42.</w:t>
      </w:r>
      <w:r w:rsidRPr="00865DA7">
        <w:tab/>
        <w:t>Узбекистан представил предполагаемый определяемый на национальном уровне вклад (ПОНВ) (климатическое обязательство страны по сокращению выбросов парниковых газов) в секретариат РКИК 19.04.2017 г.</w:t>
      </w:r>
    </w:p>
    <w:p w14:paraId="6EE88C03" w14:textId="77777777" w:rsidR="00CB351A" w:rsidRPr="00865DA7" w:rsidRDefault="00CB351A" w:rsidP="00CB351A">
      <w:pPr>
        <w:pStyle w:val="SingleTxtG"/>
      </w:pPr>
      <w:r w:rsidRPr="00865DA7">
        <w:t>43.</w:t>
      </w:r>
      <w:r w:rsidRPr="00865DA7">
        <w:tab/>
        <w:t xml:space="preserve">Ключевое обязательство Узбекистана по Парижскому соглашению согласно ПОНВ </w:t>
      </w:r>
      <w:r>
        <w:t>—</w:t>
      </w:r>
      <w:r w:rsidRPr="00865DA7">
        <w:t xml:space="preserve"> снизить удельные выбросы парниковых газов на единицу ВВП на 10</w:t>
      </w:r>
      <w:r>
        <w:t xml:space="preserve"> процентов </w:t>
      </w:r>
      <w:r w:rsidRPr="00865DA7">
        <w:t xml:space="preserve">к 2030 г. по отношению к 2010 г. ПОНВ Узбекистана включает меры и действия по смягчению и адаптации на период до 2030 г. </w:t>
      </w:r>
    </w:p>
    <w:p w14:paraId="6A50501D" w14:textId="77777777" w:rsidR="00CB351A" w:rsidRPr="00865DA7" w:rsidRDefault="00CB351A" w:rsidP="00CB351A">
      <w:pPr>
        <w:pStyle w:val="SingleTxtG"/>
      </w:pPr>
      <w:r w:rsidRPr="00865DA7">
        <w:t>44.</w:t>
      </w:r>
      <w:r w:rsidRPr="00865DA7">
        <w:tab/>
        <w:t>Постановлением Президента от 04.10.2019 г. утверждена Стратегия по переходу Узбекистана на «зеленую» экономику на период 2019</w:t>
      </w:r>
      <w:r>
        <w:t>–</w:t>
      </w:r>
      <w:r w:rsidRPr="00865DA7">
        <w:t>2030 годов, в соответствии с которой каждому министерству и ведомству определены задачи по смягчению, либо адаптации к изменению климата.</w:t>
      </w:r>
    </w:p>
    <w:p w14:paraId="261E60A6" w14:textId="77777777" w:rsidR="00CB351A" w:rsidRPr="00890BAE" w:rsidRDefault="00CB351A" w:rsidP="00CB351A">
      <w:pPr>
        <w:pStyle w:val="SingleTxtG"/>
      </w:pPr>
      <w:r w:rsidRPr="00865DA7">
        <w:t>45.</w:t>
      </w:r>
      <w:r w:rsidRPr="00865DA7">
        <w:tab/>
        <w:t xml:space="preserve">В </w:t>
      </w:r>
      <w:r w:rsidRPr="00890BAE">
        <w:t xml:space="preserve">результате реализации Стратегии к 2030 году ожидается: </w:t>
      </w:r>
    </w:p>
    <w:p w14:paraId="766E7A4C" w14:textId="77777777" w:rsidR="00CB351A" w:rsidRPr="00890BAE" w:rsidRDefault="00CB351A" w:rsidP="00CB351A">
      <w:pPr>
        <w:pStyle w:val="Bullet1G"/>
        <w:numPr>
          <w:ilvl w:val="0"/>
          <w:numId w:val="4"/>
        </w:numPr>
      </w:pPr>
      <w:r w:rsidRPr="00890BAE">
        <w:t>снижение удельного выброса парниковых газов на единицу ВВП на 10</w:t>
      </w:r>
      <w:r>
        <w:rPr>
          <w:lang w:val="en-US"/>
        </w:rPr>
        <w:t> </w:t>
      </w:r>
      <w:r w:rsidRPr="00890BAE">
        <w:t xml:space="preserve">процентов от уровня 2010 года; </w:t>
      </w:r>
    </w:p>
    <w:p w14:paraId="0756A615" w14:textId="77777777" w:rsidR="00CB351A" w:rsidRPr="00890BAE" w:rsidRDefault="00CB351A" w:rsidP="00CB351A">
      <w:pPr>
        <w:pStyle w:val="Bullet1G"/>
        <w:numPr>
          <w:ilvl w:val="0"/>
          <w:numId w:val="4"/>
        </w:numPr>
      </w:pPr>
      <w:r w:rsidRPr="00890BAE">
        <w:t xml:space="preserve">двукратное повышение показателя энергоэффективности и снижение </w:t>
      </w:r>
      <w:proofErr w:type="spellStart"/>
      <w:r w:rsidRPr="00890BAE">
        <w:t>углеродоемкости</w:t>
      </w:r>
      <w:proofErr w:type="spellEnd"/>
      <w:r w:rsidRPr="00890BAE">
        <w:t xml:space="preserve"> валового внутреннего продукта; </w:t>
      </w:r>
    </w:p>
    <w:p w14:paraId="222E1978" w14:textId="77777777" w:rsidR="00CB351A" w:rsidRPr="00890BAE" w:rsidRDefault="00CB351A" w:rsidP="00CB351A">
      <w:pPr>
        <w:pStyle w:val="Bullet1G"/>
        <w:numPr>
          <w:ilvl w:val="0"/>
          <w:numId w:val="4"/>
        </w:numPr>
      </w:pPr>
      <w:r w:rsidRPr="00890BAE">
        <w:t xml:space="preserve">дальнейшее развитие возобновляемых источников энергии с доведением их доли до 25 процентов от общего объема генерации электрической энергии; </w:t>
      </w:r>
    </w:p>
    <w:p w14:paraId="5D93E004" w14:textId="77777777" w:rsidR="00CB351A" w:rsidRPr="00890BAE" w:rsidRDefault="00CB351A" w:rsidP="00CB351A">
      <w:pPr>
        <w:pStyle w:val="Bullet1G"/>
        <w:numPr>
          <w:ilvl w:val="0"/>
          <w:numId w:val="4"/>
        </w:numPr>
      </w:pPr>
      <w:r w:rsidRPr="00890BAE">
        <w:t>модернизация инфраструктуры промышленных предприятий, обеспечение их устойчивости за счет повышения энергоэффективности не менее чем на 20 про</w:t>
      </w:r>
      <w:r>
        <w:t>ц</w:t>
      </w:r>
      <w:r w:rsidRPr="00890BAE">
        <w:t>ентов и более широкого применения чистых и экологически безопасных технологий и промышленных процессов;</w:t>
      </w:r>
    </w:p>
    <w:p w14:paraId="0D05E7FA" w14:textId="77777777" w:rsidR="00CB351A" w:rsidRPr="00890BAE" w:rsidRDefault="00CB351A" w:rsidP="00CB351A">
      <w:pPr>
        <w:pStyle w:val="Bullet1G"/>
        <w:numPr>
          <w:ilvl w:val="0"/>
          <w:numId w:val="4"/>
        </w:numPr>
      </w:pPr>
      <w:r w:rsidRPr="00890BAE">
        <w:t xml:space="preserve">существенное повышение эффективности водопользования во всех секторах экономики, внедрение технологий капельного орошения на площади </w:t>
      </w:r>
      <w:r>
        <w:br/>
      </w:r>
      <w:r w:rsidRPr="00890BAE">
        <w:t>1 млн г</w:t>
      </w:r>
      <w:r>
        <w:t>а</w:t>
      </w:r>
      <w:r w:rsidRPr="00890BAE">
        <w:t xml:space="preserve"> и повышение урожайности до 20–40 процентов возделываемых на них культур и др. </w:t>
      </w:r>
    </w:p>
    <w:p w14:paraId="36A1123A" w14:textId="77777777" w:rsidR="00CB351A" w:rsidRPr="00890BAE" w:rsidRDefault="00CB351A" w:rsidP="00CB351A">
      <w:pPr>
        <w:pStyle w:val="SingleTxtG"/>
      </w:pPr>
      <w:r w:rsidRPr="00890BAE">
        <w:t>46.</w:t>
      </w:r>
      <w:r w:rsidRPr="00890BAE">
        <w:tab/>
        <w:t>В соответствии с Указом «Об утверждении Концепции охраны окружающей среды Узбекистана до 2030 года» от 30.10.19 г. подготовлен Национальный план действий по реализации Парижского соглашения, который в настоящее время находится на рассмотрении в Правительстве.</w:t>
      </w:r>
    </w:p>
    <w:p w14:paraId="5C44FB95" w14:textId="77777777" w:rsidR="00CB351A" w:rsidRPr="00890BAE" w:rsidRDefault="00CB351A" w:rsidP="00CB351A">
      <w:pPr>
        <w:pStyle w:val="SingleTxtG"/>
      </w:pPr>
      <w:r w:rsidRPr="00890BAE">
        <w:t>47.</w:t>
      </w:r>
      <w:r w:rsidRPr="00890BAE">
        <w:tab/>
        <w:t>Ведется работа с Адаптационным фондом (АФ) и Зеленым климатическим фондом (ЗКФ). При поддержке Глобального экологического фонда, ПРООН, Программы ООН по окружающей среде (ЮНЕП) была успешно реализована подготовка Национальных сообщений об изменении климата.</w:t>
      </w:r>
    </w:p>
    <w:p w14:paraId="5D746C07" w14:textId="77777777" w:rsidR="00CB351A" w:rsidRPr="00890BAE" w:rsidRDefault="00CB351A" w:rsidP="00CB351A">
      <w:pPr>
        <w:pStyle w:val="SingleTxtG"/>
      </w:pPr>
      <w:r w:rsidRPr="00890BAE">
        <w:t>48.</w:t>
      </w:r>
      <w:r w:rsidRPr="00890BAE">
        <w:tab/>
        <w:t xml:space="preserve">В целях принятия неотложных и адресных мер по смягчению последствий </w:t>
      </w:r>
      <w:proofErr w:type="spellStart"/>
      <w:r w:rsidRPr="00890BAE">
        <w:t>Аральской</w:t>
      </w:r>
      <w:proofErr w:type="spellEnd"/>
      <w:r w:rsidRPr="00890BAE">
        <w:t xml:space="preserve"> катастрофы, Правительством принят ряд программ, направленных на обеспечение экологического баланса и социально-экономического развития региона Приаралья на общую сумму более 11 375 млн долл. США.</w:t>
      </w:r>
    </w:p>
    <w:p w14:paraId="56612DC5" w14:textId="77777777" w:rsidR="00CB351A" w:rsidRPr="00890BAE" w:rsidRDefault="00CB351A" w:rsidP="00CB351A">
      <w:pPr>
        <w:pStyle w:val="SingleTxtG"/>
      </w:pPr>
      <w:r w:rsidRPr="00890BAE">
        <w:t>49.</w:t>
      </w:r>
      <w:r w:rsidRPr="00890BAE">
        <w:tab/>
        <w:t xml:space="preserve">В период 2013–2017 годов реализовано более 500 проектов по развитию региона Приаралья на общую сумму более 6248 млрд долл. США. </w:t>
      </w:r>
    </w:p>
    <w:p w14:paraId="6925C79D" w14:textId="77777777" w:rsidR="00CB351A" w:rsidRPr="00890BAE" w:rsidRDefault="00CB351A" w:rsidP="00CB351A">
      <w:pPr>
        <w:pStyle w:val="SingleTxtG"/>
      </w:pPr>
      <w:r w:rsidRPr="00890BAE">
        <w:t>50.</w:t>
      </w:r>
      <w:r w:rsidRPr="00890BAE">
        <w:tab/>
        <w:t>В результате принятых мер по улучшению социально-экономических условий в регионе в период 2013–2017 годов:</w:t>
      </w:r>
    </w:p>
    <w:p w14:paraId="6967C533" w14:textId="77777777" w:rsidR="00CB351A" w:rsidRPr="000A15F8" w:rsidRDefault="00CB351A" w:rsidP="00CB351A">
      <w:pPr>
        <w:pStyle w:val="Bullet1G"/>
        <w:numPr>
          <w:ilvl w:val="0"/>
          <w:numId w:val="4"/>
        </w:numPr>
      </w:pPr>
      <w:r w:rsidRPr="000A15F8">
        <w:t>в целях улучшения обеспечения населения чистой питьевой водой построены и реконструированы 73 объекта системы водоснабжения, построены 130,1 км водоводов и 160,3 км водопроводных сетей, в результате принятых мер обеспечены чистой питьевой водой более 150,0 тыс. человек;</w:t>
      </w:r>
    </w:p>
    <w:p w14:paraId="4D051656" w14:textId="77777777" w:rsidR="00CB351A" w:rsidRPr="00643474" w:rsidRDefault="00CB351A" w:rsidP="00CB351A">
      <w:pPr>
        <w:pStyle w:val="Bullet1G"/>
        <w:numPr>
          <w:ilvl w:val="0"/>
          <w:numId w:val="4"/>
        </w:numPr>
      </w:pPr>
      <w:r w:rsidRPr="000A15F8">
        <w:lastRenderedPageBreak/>
        <w:t xml:space="preserve">введены в действие амбулаторно-поликлинические учреждения общей мощностью </w:t>
      </w:r>
      <w:r w:rsidRPr="00643474">
        <w:t>11 648 посещений в смену;</w:t>
      </w:r>
    </w:p>
    <w:p w14:paraId="5736AECB" w14:textId="77777777" w:rsidR="00CB351A" w:rsidRPr="000A15F8" w:rsidRDefault="00CB351A" w:rsidP="00CB351A">
      <w:pPr>
        <w:pStyle w:val="Bullet1G"/>
        <w:numPr>
          <w:ilvl w:val="0"/>
          <w:numId w:val="4"/>
        </w:numPr>
      </w:pPr>
      <w:r w:rsidRPr="000A15F8">
        <w:t>за счет мер по улучшению инвестиционной привлекательности региона созданы 158,9 тыс</w:t>
      </w:r>
      <w:r>
        <w:t>.</w:t>
      </w:r>
      <w:r w:rsidRPr="000A15F8">
        <w:t xml:space="preserve"> новых рабочих мест.</w:t>
      </w:r>
    </w:p>
    <w:p w14:paraId="67DC7B82" w14:textId="77777777" w:rsidR="00CB351A" w:rsidRPr="000A15F8" w:rsidRDefault="00CB351A" w:rsidP="00CB351A">
      <w:pPr>
        <w:pStyle w:val="SingleTxtG"/>
      </w:pPr>
      <w:r w:rsidRPr="000A15F8">
        <w:t>51.</w:t>
      </w:r>
      <w:r w:rsidRPr="000A15F8">
        <w:tab/>
        <w:t>Создан Фонд развития региона Приаралья. За последние полтора года Фондом было направлено более 16,0 млн долл. на обеспечение населения питьевой водой, благоустройство населенных пунктов и</w:t>
      </w:r>
      <w:r>
        <w:t xml:space="preserve"> </w:t>
      </w:r>
      <w:r w:rsidRPr="000A15F8">
        <w:t>жилищных условий, совершенствование инженерно-коммуникационной и социальной инфраструктуры, улучшение мелиоративного состояния земель и борьба с опустыниванием. В 2018 г. на развитие социальных объектов и инженерных коммуникаций в регионе Приаралья Фондом направлено 86,5 млн долл. США.</w:t>
      </w:r>
    </w:p>
    <w:p w14:paraId="107B1B4C" w14:textId="77777777" w:rsidR="00CB351A" w:rsidRPr="000A15F8" w:rsidRDefault="00CB351A" w:rsidP="00CB351A">
      <w:pPr>
        <w:pStyle w:val="SingleTxtG"/>
      </w:pPr>
      <w:r w:rsidRPr="000A15F8">
        <w:t>52.</w:t>
      </w:r>
      <w:r w:rsidRPr="000A15F8">
        <w:tab/>
        <w:t xml:space="preserve">В сельской местности Каракалпакстана введены в эксплуатацию около </w:t>
      </w:r>
      <w:r>
        <w:br/>
      </w:r>
      <w:r w:rsidRPr="000A15F8">
        <w:t>1,7 тыс. км водопроводных сетей, обеспеченность сельского населения питьевой водой выросла почти в 4 раза, построены, реконструированы и</w:t>
      </w:r>
      <w:r>
        <w:t xml:space="preserve"> </w:t>
      </w:r>
      <w:r w:rsidRPr="000A15F8">
        <w:t>оснащены современным медицинским оборудованием более 100</w:t>
      </w:r>
      <w:r>
        <w:t xml:space="preserve"> </w:t>
      </w:r>
      <w:r w:rsidRPr="000A15F8">
        <w:t>сельских врачебных поликлиник. В</w:t>
      </w:r>
      <w:r w:rsidRPr="00643474">
        <w:t> </w:t>
      </w:r>
      <w:r w:rsidRPr="000A15F8">
        <w:t>Каракалпакстане и Хорезмской области введены в</w:t>
      </w:r>
      <w:r>
        <w:t xml:space="preserve"> </w:t>
      </w:r>
      <w:r w:rsidRPr="000A15F8">
        <w:t xml:space="preserve">эксплуатации 8 районных амбулаторно-поликлинических учреждений с жилыми домами для врачей, рассчитанных на 128 коек и 550 посещений в смену. </w:t>
      </w:r>
    </w:p>
    <w:p w14:paraId="5DD2E9C1" w14:textId="77777777" w:rsidR="00CB351A" w:rsidRPr="000A15F8" w:rsidRDefault="00CB351A" w:rsidP="00CB351A">
      <w:pPr>
        <w:pStyle w:val="SingleTxtG"/>
      </w:pPr>
      <w:r w:rsidRPr="000A15F8">
        <w:t>53.</w:t>
      </w:r>
      <w:r w:rsidRPr="000A15F8">
        <w:tab/>
        <w:t xml:space="preserve">В результате, по сравнению с 2000 годом, число врожденных аномалий в Каракалпакстане сократилось в 3,1 раза (с 352 до 114), показатель материнской смертности </w:t>
      </w:r>
      <w:r>
        <w:t>—</w:t>
      </w:r>
      <w:r w:rsidRPr="000A15F8">
        <w:t xml:space="preserve"> в 2,9 раза (с 38,8 </w:t>
      </w:r>
      <w:r>
        <w:t xml:space="preserve">процента </w:t>
      </w:r>
      <w:r w:rsidRPr="000A15F8">
        <w:t>до 13,2</w:t>
      </w:r>
      <w:r>
        <w:t xml:space="preserve"> процента</w:t>
      </w:r>
      <w:r w:rsidRPr="000A15F8">
        <w:t xml:space="preserve">), младенческой </w:t>
      </w:r>
      <w:r>
        <w:br/>
      </w:r>
      <w:r w:rsidRPr="000A15F8">
        <w:t xml:space="preserve">смертности </w:t>
      </w:r>
      <w:r>
        <w:t>—</w:t>
      </w:r>
      <w:r w:rsidRPr="000A15F8">
        <w:t xml:space="preserve"> в 1,3 раза (с 20,5</w:t>
      </w:r>
      <w:r>
        <w:t xml:space="preserve"> процента</w:t>
      </w:r>
      <w:r w:rsidRPr="000A15F8">
        <w:t xml:space="preserve"> до 16,3</w:t>
      </w:r>
      <w:r>
        <w:t xml:space="preserve"> процента</w:t>
      </w:r>
      <w:r w:rsidRPr="000A15F8">
        <w:t>).</w:t>
      </w:r>
    </w:p>
    <w:p w14:paraId="7F5E8553" w14:textId="77777777" w:rsidR="00CB351A" w:rsidRPr="000A15F8" w:rsidRDefault="00CB351A" w:rsidP="00CB351A">
      <w:pPr>
        <w:pStyle w:val="SingleTxtG"/>
      </w:pPr>
      <w:r w:rsidRPr="000A15F8">
        <w:t>54.</w:t>
      </w:r>
      <w:r w:rsidRPr="000A15F8">
        <w:tab/>
        <w:t>В рамках реализуемых Госпрограмм по развитию региона Приаралья на период 2018</w:t>
      </w:r>
      <w:r>
        <w:t>–</w:t>
      </w:r>
      <w:r w:rsidRPr="000A15F8">
        <w:t>2021 годов предусмотрена реализация комплексных мер на</w:t>
      </w:r>
      <w:r w:rsidRPr="00643474">
        <w:t> </w:t>
      </w:r>
      <w:r w:rsidRPr="000A15F8">
        <w:t xml:space="preserve">общую сумму более 5128 млрд долл. США. Для усиления адресной социальной защиты населения внедрен новый вид социального пособия нуждающимся семьям </w:t>
      </w:r>
      <w:r>
        <w:t>—</w:t>
      </w:r>
      <w:r w:rsidRPr="000A15F8">
        <w:t xml:space="preserve"> одиноким гражданам, пенсионерам, семьям с кормильцем-инвалидом и </w:t>
      </w:r>
      <w:proofErr w:type="gramStart"/>
      <w:r w:rsidRPr="000A15F8">
        <w:t>другим малообеспеченным категориям населения</w:t>
      </w:r>
      <w:proofErr w:type="gramEnd"/>
      <w:r w:rsidRPr="000A15F8">
        <w:t xml:space="preserve"> и семьям. Общая сумма предоставляемых ежегодно льгот и преференций превышает 100 млн долларов.</w:t>
      </w:r>
    </w:p>
    <w:p w14:paraId="682DB6CA" w14:textId="77777777" w:rsidR="00CB351A" w:rsidRPr="000A15F8" w:rsidRDefault="00CB351A" w:rsidP="00CB351A">
      <w:pPr>
        <w:pStyle w:val="H1G"/>
      </w:pPr>
      <w:r w:rsidRPr="000A15F8">
        <w:tab/>
      </w:r>
      <w:r w:rsidRPr="000A15F8">
        <w:tab/>
        <w:t>Пункт 6, подпункт а)</w:t>
      </w:r>
    </w:p>
    <w:p w14:paraId="3CCA441E" w14:textId="77777777" w:rsidR="00CB351A" w:rsidRPr="000A15F8" w:rsidRDefault="00CB351A" w:rsidP="00CB351A">
      <w:pPr>
        <w:pStyle w:val="SingleTxtG"/>
      </w:pPr>
      <w:r w:rsidRPr="000A15F8">
        <w:t>55.</w:t>
      </w:r>
      <w:r w:rsidRPr="000A15F8">
        <w:tab/>
        <w:t xml:space="preserve">С 2010 по 2019 год наблюдается снижение в неравномерности распределения доходов населения Узбекистана. Доходы наиболее обеспеченных семей по отношению к наименее обеспеченным снизились </w:t>
      </w:r>
      <w:r w:rsidRPr="00166556">
        <w:t>с 8,5 в 2010 году до 6,0</w:t>
      </w:r>
      <w:r w:rsidRPr="000A15F8">
        <w:t xml:space="preserve"> раз</w:t>
      </w:r>
      <w:r>
        <w:t>а</w:t>
      </w:r>
      <w:r w:rsidRPr="000A15F8">
        <w:t xml:space="preserve"> в 2019 г., что свидетельствует о сглаживании неравенства населения по уровню дохода. </w:t>
      </w:r>
      <w:r w:rsidRPr="000A15F8">
        <w:rPr>
          <w:i/>
          <w:iCs/>
        </w:rPr>
        <w:t>(Подробная информация доступна в приложении)</w:t>
      </w:r>
      <w:r w:rsidRPr="000A15F8">
        <w:t>.</w:t>
      </w:r>
    </w:p>
    <w:p w14:paraId="36A3F97B" w14:textId="77777777" w:rsidR="00CB351A" w:rsidRPr="000A15F8" w:rsidRDefault="00CB351A" w:rsidP="00CB351A">
      <w:pPr>
        <w:pStyle w:val="H1G"/>
      </w:pPr>
      <w:r w:rsidRPr="000A15F8">
        <w:tab/>
      </w:r>
      <w:r w:rsidRPr="000A15F8">
        <w:tab/>
        <w:t xml:space="preserve">Пункт 6, подпункт </w:t>
      </w:r>
      <w:r>
        <w:rPr>
          <w:lang w:val="en-US"/>
        </w:rPr>
        <w:t>b</w:t>
      </w:r>
      <w:r w:rsidRPr="000A15F8">
        <w:t xml:space="preserve">), подпункт </w:t>
      </w:r>
      <w:r>
        <w:rPr>
          <w:lang w:val="en-US"/>
        </w:rPr>
        <w:t>c</w:t>
      </w:r>
      <w:r w:rsidRPr="000A15F8">
        <w:t xml:space="preserve">), подпункт </w:t>
      </w:r>
      <w:r>
        <w:rPr>
          <w:lang w:val="en-US"/>
        </w:rPr>
        <w:t>d</w:t>
      </w:r>
      <w:r w:rsidRPr="000A15F8">
        <w:t xml:space="preserve">), подпункт </w:t>
      </w:r>
      <w:r>
        <w:rPr>
          <w:lang w:val="en-US"/>
        </w:rPr>
        <w:t>e</w:t>
      </w:r>
      <w:r w:rsidRPr="000A15F8">
        <w:t>)</w:t>
      </w:r>
    </w:p>
    <w:p w14:paraId="4BA6C191" w14:textId="77777777" w:rsidR="00CB351A" w:rsidRPr="000A15F8" w:rsidRDefault="00CB351A" w:rsidP="00CB351A">
      <w:pPr>
        <w:pStyle w:val="SingleTxtG"/>
        <w:rPr>
          <w:lang w:eastAsia="ru-RU"/>
        </w:rPr>
      </w:pPr>
      <w:r w:rsidRPr="000A15F8">
        <w:rPr>
          <w:lang w:eastAsia="ru-RU"/>
        </w:rPr>
        <w:t>56.</w:t>
      </w:r>
      <w:r w:rsidRPr="000A15F8">
        <w:rPr>
          <w:lang w:eastAsia="ru-RU"/>
        </w:rPr>
        <w:tab/>
        <w:t>Информация доступна в приложении.</w:t>
      </w:r>
    </w:p>
    <w:p w14:paraId="575CC85E" w14:textId="77777777" w:rsidR="00CB351A" w:rsidRPr="000A15F8" w:rsidRDefault="00CB351A" w:rsidP="00CB351A">
      <w:pPr>
        <w:pStyle w:val="H1G"/>
      </w:pPr>
      <w:r w:rsidRPr="000A15F8">
        <w:tab/>
      </w:r>
      <w:r w:rsidRPr="000A15F8">
        <w:tab/>
        <w:t>Пункт 7</w:t>
      </w:r>
    </w:p>
    <w:p w14:paraId="1D7F9F2F" w14:textId="77777777" w:rsidR="00CB351A" w:rsidRPr="000A15F8" w:rsidRDefault="00CB351A" w:rsidP="00CB351A">
      <w:pPr>
        <w:pStyle w:val="SingleTxtG"/>
      </w:pPr>
      <w:r w:rsidRPr="000A15F8">
        <w:t>57.</w:t>
      </w:r>
      <w:r w:rsidRPr="000A15F8">
        <w:tab/>
        <w:t>«Дорожной картой» по реализации Национальной стратегии по правам человека предусмотрено разработка проекта закона «О равенстве и недопущении дискриминации» (п.</w:t>
      </w:r>
      <w:r>
        <w:t xml:space="preserve"> </w:t>
      </w:r>
      <w:r w:rsidRPr="000A15F8">
        <w:t>12), в котором предусматриваются: введение в законодательство понятий «дискриминация», «прямая, косвенная и множественная дискриминация», «признаки дискриминации»; обеспечение полной защиты граждан от возможной дискриминации в различных сферах общественной жизни независимо от расы, пола, языка, религии, политических убеждений, национального или социального происхождения, имущественного, классового или иного состояния; совершенствование методов и средств защиты прав граждан.</w:t>
      </w:r>
    </w:p>
    <w:p w14:paraId="440A8A2B" w14:textId="77777777" w:rsidR="00CB351A" w:rsidRPr="000A15F8" w:rsidRDefault="00CB351A" w:rsidP="00CB351A">
      <w:pPr>
        <w:pStyle w:val="SingleTxtG"/>
      </w:pPr>
      <w:r w:rsidRPr="000A15F8">
        <w:lastRenderedPageBreak/>
        <w:t>58.</w:t>
      </w:r>
      <w:r w:rsidRPr="000A15F8">
        <w:tab/>
        <w:t>Согласно ст.</w:t>
      </w:r>
      <w:r>
        <w:t xml:space="preserve"> </w:t>
      </w:r>
      <w:r w:rsidRPr="000A15F8">
        <w:t xml:space="preserve">18 Конституции все граждане Узбекистана имеют одинаковые права и свободы и равны перед законом без различия пола, расы, национальности, языка, религии, социального происхождения, убеждений, личного и общественного положения. </w:t>
      </w:r>
    </w:p>
    <w:p w14:paraId="63636105" w14:textId="77777777" w:rsidR="00CB351A" w:rsidRPr="000A15F8" w:rsidRDefault="00CB351A" w:rsidP="00CB351A">
      <w:pPr>
        <w:pStyle w:val="SingleTxtG"/>
      </w:pPr>
      <w:r w:rsidRPr="000A15F8">
        <w:t>59.</w:t>
      </w:r>
      <w:r w:rsidRPr="000A15F8">
        <w:tab/>
        <w:t>В соответствии со ст.</w:t>
      </w:r>
      <w:r>
        <w:t xml:space="preserve"> </w:t>
      </w:r>
      <w:r w:rsidRPr="000A15F8">
        <w:t>6 ТК все граждане имеют равные возможности в обладании и использовании трудовых прав. Установление каких-либо ограничений или предоставление преимуществ в области трудовых отношений в зависимости от пола, возраста, расы, национальности, языка, социального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 не связанных с деловыми качествами работников и результатами их труда, недопустимо и является дискриминацией.</w:t>
      </w:r>
    </w:p>
    <w:p w14:paraId="768DEF01" w14:textId="77777777" w:rsidR="00CB351A" w:rsidRPr="000A15F8" w:rsidRDefault="00CB351A" w:rsidP="00CB351A">
      <w:pPr>
        <w:pStyle w:val="SingleTxtG"/>
      </w:pPr>
      <w:r w:rsidRPr="000A15F8">
        <w:t>60.</w:t>
      </w:r>
      <w:r w:rsidRPr="000A15F8">
        <w:tab/>
        <w:t>Согласно ст.</w:t>
      </w:r>
      <w:r>
        <w:t xml:space="preserve"> </w:t>
      </w:r>
      <w:r w:rsidRPr="000A15F8">
        <w:t>4 Закона «Об образовании» каждому гарантируются равные права на получение образования, независимо от пола, языка, возраста, расовой национальной принадлежности, убеждений, отношения к религии, социального происхождения, рода занятий, общественного положения, места жительства, продолжительности проживания на территории Республики Узбекистан.</w:t>
      </w:r>
    </w:p>
    <w:p w14:paraId="3E16F2AC" w14:textId="77777777" w:rsidR="00CB351A" w:rsidRPr="000A15F8" w:rsidRDefault="00CB351A" w:rsidP="00CB351A">
      <w:pPr>
        <w:pStyle w:val="SingleTxtG"/>
      </w:pPr>
      <w:r w:rsidRPr="000A15F8">
        <w:t>61.</w:t>
      </w:r>
      <w:r w:rsidRPr="000A15F8">
        <w:tab/>
        <w:t>В ст.</w:t>
      </w:r>
      <w:r>
        <w:t> </w:t>
      </w:r>
      <w:r w:rsidRPr="000A15F8">
        <w:t>13 Закона «Об охране здоровья граждан» предусматривается, что государство обеспечивает гражданам охрану здоровья независимо от возраста, пола, расы, национальности, языка, отношения к религии, социального происхождения, убеждений, личного и общественного положения.</w:t>
      </w:r>
    </w:p>
    <w:p w14:paraId="11688D53" w14:textId="77777777" w:rsidR="00CB351A" w:rsidRPr="000A15F8" w:rsidRDefault="00CB351A" w:rsidP="00CB351A">
      <w:pPr>
        <w:pStyle w:val="SingleTxtG"/>
      </w:pPr>
      <w:r w:rsidRPr="000A15F8">
        <w:t>62.</w:t>
      </w:r>
      <w:r w:rsidRPr="000A15F8">
        <w:tab/>
        <w:t>Государство гарантирует гражданам защиту от дискриминации, независимо от наличия у них любых форм заболеваний. Лица, виновные в нарушении данного положения, несут ответственность в порядке, установленном законом.</w:t>
      </w:r>
    </w:p>
    <w:p w14:paraId="73025EA6" w14:textId="77777777" w:rsidR="00CB351A" w:rsidRPr="000A15F8" w:rsidRDefault="00CB351A" w:rsidP="00CB351A">
      <w:pPr>
        <w:pStyle w:val="SingleTxtG"/>
      </w:pPr>
      <w:r w:rsidRPr="000A15F8">
        <w:t>63.</w:t>
      </w:r>
      <w:r w:rsidRPr="000A15F8">
        <w:tab/>
        <w:t>П.</w:t>
      </w:r>
      <w:r>
        <w:t xml:space="preserve"> </w:t>
      </w:r>
      <w:r w:rsidRPr="000A15F8">
        <w:t>17 «Дорожной карты» по реализации Национальной стратегии по правам человека предусмотрена реализация Концепции государственной политики Республики Узбекистан в области межнациональных отношений на 2019</w:t>
      </w:r>
      <w:r>
        <w:t>–</w:t>
      </w:r>
      <w:r w:rsidRPr="000A15F8">
        <w:t>2021 годы, обеспечение социальных и культурных прав национальных меньшинств.</w:t>
      </w:r>
    </w:p>
    <w:p w14:paraId="3CF5FAAB" w14:textId="77777777" w:rsidR="00CB351A" w:rsidRPr="000A15F8" w:rsidRDefault="00CB351A" w:rsidP="00CB351A">
      <w:pPr>
        <w:pStyle w:val="SingleTxtG"/>
      </w:pPr>
      <w:r w:rsidRPr="000A15F8">
        <w:t>64.</w:t>
      </w:r>
      <w:r w:rsidRPr="000A15F8">
        <w:tab/>
        <w:t>П.</w:t>
      </w:r>
      <w:r>
        <w:t xml:space="preserve"> </w:t>
      </w:r>
      <w:r w:rsidRPr="000A15F8">
        <w:t>23 «Дорожной карты» предусматривается создание парламентской комиссии по контролю за соблюдением международных обязательств в области прав человека, а п.</w:t>
      </w:r>
      <w:r>
        <w:t> </w:t>
      </w:r>
      <w:r w:rsidRPr="000A15F8">
        <w:t xml:space="preserve">63 предусмотрено принятие закона «О правах лиц с инвалидностью», </w:t>
      </w:r>
      <w:r>
        <w:br/>
      </w:r>
      <w:r w:rsidRPr="000A15F8">
        <w:t>п.</w:t>
      </w:r>
      <w:r>
        <w:t xml:space="preserve"> </w:t>
      </w:r>
      <w:r w:rsidRPr="000A15F8">
        <w:t>37 «Дорожной карты» планируется принятие проекта Кодекса здравоохранения, а также новой редакции Жилищного кодекса (п.</w:t>
      </w:r>
      <w:r>
        <w:t xml:space="preserve"> </w:t>
      </w:r>
      <w:r w:rsidRPr="000A15F8">
        <w:t>53), направленного на конкретизацию принципа равенства граждан на доступ к жилью.</w:t>
      </w:r>
    </w:p>
    <w:p w14:paraId="439E4F68" w14:textId="77777777" w:rsidR="00CB351A" w:rsidRPr="000A15F8" w:rsidRDefault="00CB351A" w:rsidP="00CB351A">
      <w:pPr>
        <w:pStyle w:val="SingleTxtG"/>
      </w:pPr>
      <w:r w:rsidRPr="000A15F8">
        <w:t>65.</w:t>
      </w:r>
      <w:r w:rsidRPr="000A15F8">
        <w:tab/>
        <w:t>Вопрос отмены уголовной ответственности за гомосексуализм не рассматривался, ввиду актуальности борьбы с распространением ВИЧ-инфекции.</w:t>
      </w:r>
    </w:p>
    <w:p w14:paraId="2B592817" w14:textId="77777777" w:rsidR="00CB351A" w:rsidRPr="000A15F8" w:rsidRDefault="00CB351A" w:rsidP="00CB351A">
      <w:pPr>
        <w:pStyle w:val="SingleTxtG"/>
      </w:pPr>
      <w:r w:rsidRPr="000A15F8">
        <w:t>66.</w:t>
      </w:r>
      <w:r w:rsidRPr="000A15F8">
        <w:tab/>
        <w:t xml:space="preserve">В 2019 году для проведения просветительских мероприятий МВД сформированы около 3800 пропагандистских групп, которыми осуществлены более 7500 освещений в СМИ, из них 2600 </w:t>
      </w:r>
      <w:r>
        <w:t>—</w:t>
      </w:r>
      <w:r w:rsidRPr="000A15F8">
        <w:t xml:space="preserve"> по сети Интернет, 2500 выступлений </w:t>
      </w:r>
      <w:r>
        <w:t xml:space="preserve">— </w:t>
      </w:r>
      <w:r w:rsidRPr="000A15F8">
        <w:t>по</w:t>
      </w:r>
      <w:r>
        <w:t> </w:t>
      </w:r>
      <w:r w:rsidRPr="000A15F8">
        <w:t xml:space="preserve">телевидению, 1600 </w:t>
      </w:r>
      <w:r>
        <w:t>—</w:t>
      </w:r>
      <w:r w:rsidRPr="000A15F8">
        <w:t xml:space="preserve"> по радио, а также 1000 </w:t>
      </w:r>
      <w:r>
        <w:t>—</w:t>
      </w:r>
      <w:r w:rsidRPr="000A15F8">
        <w:t xml:space="preserve"> в печати.</w:t>
      </w:r>
    </w:p>
    <w:p w14:paraId="1663D5FF" w14:textId="77777777" w:rsidR="00CB351A" w:rsidRPr="000A15F8" w:rsidRDefault="00CB351A" w:rsidP="00CB351A">
      <w:pPr>
        <w:pStyle w:val="SingleTxtG"/>
      </w:pPr>
      <w:r w:rsidRPr="000A15F8">
        <w:t>67.</w:t>
      </w:r>
      <w:r w:rsidRPr="000A15F8">
        <w:tab/>
        <w:t>Кроме этого, за этот период проведены около 24</w:t>
      </w:r>
      <w:r>
        <w:t xml:space="preserve"> </w:t>
      </w:r>
      <w:r w:rsidRPr="000A15F8">
        <w:t xml:space="preserve">400 «круглых столов», более 8600 семинаров и 15 практических конференций. Проводятся просветительские мероприятия по предупреждению торговли людьми и нелегальной миграции в аэропортах, на вокзалах и приграничных пунктах пропуска посредством проведения профилактических бесед. В этих местах распространены 235 000 флаеров, буклетов, размещены 5100 баннеров. Проведенными мероприятиями охвачены более </w:t>
      </w:r>
      <w:r>
        <w:br/>
      </w:r>
      <w:r w:rsidRPr="000A15F8">
        <w:t>2,5 млн граждан.</w:t>
      </w:r>
    </w:p>
    <w:p w14:paraId="0F1550BC" w14:textId="77777777" w:rsidR="00CB351A" w:rsidRPr="000A15F8" w:rsidRDefault="00CB351A" w:rsidP="00CB351A">
      <w:pPr>
        <w:pStyle w:val="H1G"/>
      </w:pPr>
      <w:r w:rsidRPr="000A15F8">
        <w:tab/>
      </w:r>
      <w:r w:rsidRPr="000A15F8">
        <w:tab/>
        <w:t>Пункт 8</w:t>
      </w:r>
    </w:p>
    <w:p w14:paraId="3FC6FF82" w14:textId="77777777" w:rsidR="00CB351A" w:rsidRPr="000A15F8" w:rsidRDefault="00CB351A" w:rsidP="00CB351A">
      <w:pPr>
        <w:pStyle w:val="SingleTxtG"/>
      </w:pPr>
      <w:r w:rsidRPr="000A15F8">
        <w:t>68.</w:t>
      </w:r>
      <w:r w:rsidRPr="000A15F8">
        <w:tab/>
        <w:t xml:space="preserve">Закон «О гарантиях равных прав и возможностей для женщин и мужчин», определил основные направления государственной политики в сфере обеспечения гендерного равенства во всех сферах жизни общества, установил полномочия </w:t>
      </w:r>
      <w:r w:rsidRPr="000A15F8">
        <w:lastRenderedPageBreak/>
        <w:t xml:space="preserve">государственных органов и формы участия институтов гражданского общества в данной сфере. Создана Комиссия по вопросам обеспечения гендерного равенства. </w:t>
      </w:r>
    </w:p>
    <w:p w14:paraId="5044F571" w14:textId="77777777" w:rsidR="00CB351A" w:rsidRPr="000A15F8" w:rsidRDefault="00CB351A" w:rsidP="00CB351A">
      <w:pPr>
        <w:pStyle w:val="SingleTxtG"/>
      </w:pPr>
      <w:r w:rsidRPr="000A15F8">
        <w:t>69.</w:t>
      </w:r>
      <w:r w:rsidRPr="000A15F8">
        <w:tab/>
        <w:t>В соответствии со ст.</w:t>
      </w:r>
      <w:r>
        <w:t xml:space="preserve"> </w:t>
      </w:r>
      <w:r w:rsidRPr="000A15F8">
        <w:t xml:space="preserve">7 Закона в нормотворческую сферу введена обязательная гендерно-правовая экспертиза нормативно-правовых актов. В структуре Сената образован Комитет по вопросам женщин и гендерного равенства. В целях дальнейшего усиления гарантий трудовых прав и поддержки </w:t>
      </w:r>
      <w:r w:rsidRPr="00266798">
        <w:t>оказания</w:t>
      </w:r>
      <w:r w:rsidRPr="000A15F8">
        <w:t xml:space="preserve"> помощи жертвам бытового насилия образованы Республиканский центр реабилитации и адаптации лиц, пострадавших от насилия и предупреждения суицидов, Центр женского предпринимательства.</w:t>
      </w:r>
    </w:p>
    <w:p w14:paraId="0088DA61" w14:textId="77777777" w:rsidR="00CB351A" w:rsidRPr="000A15F8" w:rsidRDefault="00CB351A" w:rsidP="00CB351A">
      <w:pPr>
        <w:pStyle w:val="SingleTxtG"/>
      </w:pPr>
      <w:r w:rsidRPr="000A15F8">
        <w:t>70.</w:t>
      </w:r>
      <w:r w:rsidRPr="000A15F8">
        <w:tab/>
        <w:t>20.11.2019</w:t>
      </w:r>
      <w:r>
        <w:rPr>
          <w:lang w:val="en-US"/>
        </w:rPr>
        <w:t> </w:t>
      </w:r>
      <w:r w:rsidRPr="000A15F8">
        <w:t>г. принято Постановление «О мерах по обеспечению трудоустройства женщин и дальнейшему совершенствованию системы развития предпринимательства среди них», которым утверждены:</w:t>
      </w:r>
    </w:p>
    <w:p w14:paraId="1D2E650D" w14:textId="77777777" w:rsidR="00CB351A" w:rsidRPr="000A15F8" w:rsidRDefault="00CB351A" w:rsidP="00CB351A">
      <w:pPr>
        <w:pStyle w:val="Bullet1G"/>
        <w:numPr>
          <w:ilvl w:val="0"/>
          <w:numId w:val="4"/>
        </w:numPr>
        <w:rPr>
          <w:lang w:bidi="ru-RU"/>
        </w:rPr>
      </w:pPr>
      <w:r w:rsidRPr="000A15F8">
        <w:rPr>
          <w:lang w:bidi="ru-RU"/>
        </w:rPr>
        <w:t>Программа мероприятий по обеспечению занятости безработных женщин на 2019 год;</w:t>
      </w:r>
    </w:p>
    <w:p w14:paraId="17E764D7" w14:textId="77777777" w:rsidR="00CB351A" w:rsidRPr="000A15F8" w:rsidRDefault="00CB351A" w:rsidP="00CB351A">
      <w:pPr>
        <w:pStyle w:val="Bullet1G"/>
        <w:numPr>
          <w:ilvl w:val="0"/>
          <w:numId w:val="4"/>
        </w:numPr>
        <w:rPr>
          <w:lang w:bidi="ru-RU"/>
        </w:rPr>
      </w:pPr>
      <w:r w:rsidRPr="000A15F8">
        <w:rPr>
          <w:lang w:bidi="ru-RU"/>
        </w:rPr>
        <w:t>Программа по распределению безработных женщин по направлениям занятости на 2019 год.</w:t>
      </w:r>
    </w:p>
    <w:p w14:paraId="2314452A" w14:textId="77777777" w:rsidR="00CB351A" w:rsidRPr="000A15F8" w:rsidRDefault="00CB351A" w:rsidP="00CB351A">
      <w:pPr>
        <w:pStyle w:val="SingleTxtG"/>
      </w:pPr>
      <w:r w:rsidRPr="000A15F8">
        <w:t>71.</w:t>
      </w:r>
      <w:r w:rsidRPr="000A15F8">
        <w:tab/>
        <w:t>Постановлением «О мерах по совершенствованию системы защиты женщин от притеснения и насилия» от 4.01.2020</w:t>
      </w:r>
      <w:r>
        <w:rPr>
          <w:lang w:val="en-US"/>
        </w:rPr>
        <w:t> </w:t>
      </w:r>
      <w:r w:rsidRPr="000A15F8">
        <w:t>г. утверждено Положение о порядке предоставления, обеспечения исполнения и мониторинге предоставленных охранных ордеров женщинам, подвергшихся притеснению и насилию, а также Положение о порядке прохождения коррекционной программы по исправлению поведения лиц, совершивших насильственные действий или склонных к насилию.</w:t>
      </w:r>
    </w:p>
    <w:p w14:paraId="5BAE2F2A" w14:textId="77777777" w:rsidR="00CB351A" w:rsidRPr="000A15F8" w:rsidRDefault="00CB351A" w:rsidP="00CB351A">
      <w:pPr>
        <w:pStyle w:val="SingleTxtG"/>
      </w:pPr>
      <w:r w:rsidRPr="000A15F8">
        <w:t>72.</w:t>
      </w:r>
      <w:r w:rsidRPr="000A15F8">
        <w:tab/>
        <w:t>Гарантии равных прав и возможностей для женщин и мужчин в сфере трудовых отношений закреплены в Трудовом кодексе, законах «О занятости», «О гарантиях равных прав и возможностей для женщин и мужчин» и других нормативно-правовых актах.</w:t>
      </w:r>
    </w:p>
    <w:p w14:paraId="44544AB7" w14:textId="77777777" w:rsidR="00CB351A" w:rsidRPr="000A15F8" w:rsidRDefault="00CB351A" w:rsidP="00CB351A">
      <w:pPr>
        <w:pStyle w:val="SingleTxtG"/>
      </w:pPr>
      <w:r w:rsidRPr="000A15F8">
        <w:t>73.</w:t>
      </w:r>
      <w:r w:rsidRPr="000A15F8">
        <w:tab/>
        <w:t>Ст</w:t>
      </w:r>
      <w:r>
        <w:t>.</w:t>
      </w:r>
      <w:r>
        <w:rPr>
          <w:lang w:val="en-US"/>
        </w:rPr>
        <w:t> </w:t>
      </w:r>
      <w:r w:rsidRPr="000A15F8">
        <w:t xml:space="preserve">21 Закона «О гарантиях равных прав и возможностей для женщин и мужчин» установлены следующие гарантии трудовых прав женщин: </w:t>
      </w:r>
    </w:p>
    <w:p w14:paraId="70C33894" w14:textId="77777777" w:rsidR="00CB351A" w:rsidRPr="000A15F8" w:rsidRDefault="00CB351A" w:rsidP="00CB351A">
      <w:pPr>
        <w:pStyle w:val="Bullet1G"/>
        <w:numPr>
          <w:ilvl w:val="0"/>
          <w:numId w:val="4"/>
        </w:numPr>
      </w:pPr>
      <w:r w:rsidRPr="000A15F8">
        <w:t xml:space="preserve">равные возможности при найме на работу; </w:t>
      </w:r>
    </w:p>
    <w:p w14:paraId="0C5E6767" w14:textId="77777777" w:rsidR="00CB351A" w:rsidRPr="000A15F8" w:rsidRDefault="00CB351A" w:rsidP="00CB351A">
      <w:pPr>
        <w:pStyle w:val="Bullet1G"/>
        <w:numPr>
          <w:ilvl w:val="0"/>
          <w:numId w:val="4"/>
        </w:numPr>
      </w:pPr>
      <w:r w:rsidRPr="000A15F8">
        <w:t xml:space="preserve">равную заработную плату за равный труд и равный подход к оценке качества работы женщин и мужчин; </w:t>
      </w:r>
    </w:p>
    <w:p w14:paraId="1CB1819C" w14:textId="77777777" w:rsidR="00CB351A" w:rsidRPr="000A15F8" w:rsidRDefault="00CB351A" w:rsidP="00CB351A">
      <w:pPr>
        <w:pStyle w:val="Bullet1G"/>
        <w:numPr>
          <w:ilvl w:val="0"/>
          <w:numId w:val="4"/>
        </w:numPr>
      </w:pPr>
      <w:r w:rsidRPr="000A15F8">
        <w:t>равные возможности при продвижении по службе и др.</w:t>
      </w:r>
    </w:p>
    <w:p w14:paraId="60C5F112" w14:textId="77777777" w:rsidR="00CB351A" w:rsidRPr="000A15F8" w:rsidRDefault="00CB351A" w:rsidP="00CB351A">
      <w:pPr>
        <w:pStyle w:val="SingleTxtG"/>
      </w:pPr>
      <w:r w:rsidRPr="000A15F8">
        <w:t>74.</w:t>
      </w:r>
      <w:r w:rsidRPr="000A15F8">
        <w:tab/>
        <w:t>Законом установлено также обязательное включение в коллективные договоры положений, обеспечивающих гендерное равенство в сфере труда и занятости, исключающее дискриминацию женщин при найме на работу, продвижении по службе и оплате труда.</w:t>
      </w:r>
    </w:p>
    <w:p w14:paraId="24BE309C" w14:textId="77777777" w:rsidR="00CB351A" w:rsidRPr="000A15F8" w:rsidRDefault="00CB351A" w:rsidP="00CB351A">
      <w:pPr>
        <w:pStyle w:val="SingleTxtG"/>
      </w:pPr>
      <w:r w:rsidRPr="000A15F8">
        <w:t>75.</w:t>
      </w:r>
      <w:r w:rsidRPr="000A15F8">
        <w:tab/>
        <w:t>Постановлением «О</w:t>
      </w:r>
      <w:r w:rsidRPr="00FB1161">
        <w:t xml:space="preserve"> </w:t>
      </w:r>
      <w:r w:rsidRPr="000A15F8">
        <w:t>мерах</w:t>
      </w:r>
      <w:r w:rsidRPr="00FB1161">
        <w:t xml:space="preserve"> </w:t>
      </w:r>
      <w:r w:rsidRPr="000A15F8">
        <w:t>по</w:t>
      </w:r>
      <w:r w:rsidRPr="00FB1161">
        <w:t xml:space="preserve"> </w:t>
      </w:r>
      <w:r w:rsidRPr="000A15F8">
        <w:t>дальнейшему усилению гарантий трудовых прав</w:t>
      </w:r>
      <w:r w:rsidRPr="00FB1161">
        <w:t xml:space="preserve"> </w:t>
      </w:r>
      <w:r w:rsidRPr="000A15F8">
        <w:t>и</w:t>
      </w:r>
      <w:r w:rsidRPr="00FB1161">
        <w:t xml:space="preserve"> </w:t>
      </w:r>
      <w:r w:rsidRPr="000A15F8">
        <w:t>поддержке предпринимательской деятельности женщин» от 7.03.2019 г. отменены запреты применения труда женщин в определенных отраслях или профессиях, в форме бизнес-инкубаторов созданы «Центры предпринимательства женщин», основными задачами которых является переподготовка женщин, находившихся в отпуске по уходу за ребенком, а также оказавшихся в тяжелом экономическом положении. Женщинам, успешно освоившим специальную программу обучения, для организации предпринимательской деятельности выделяются льготные кредиты на срок не менее 3</w:t>
      </w:r>
      <w:r>
        <w:rPr>
          <w:lang w:val="en-US"/>
        </w:rPr>
        <w:t> </w:t>
      </w:r>
      <w:r w:rsidRPr="000A15F8">
        <w:t>лет с 6-месячным льготным периодом и 8</w:t>
      </w:r>
      <w:r w:rsidRPr="00FB1161">
        <w:t>-</w:t>
      </w:r>
      <w:r w:rsidRPr="000A15F8">
        <w:t xml:space="preserve">процентной годовой ставкой за счет Фонда и грантов международных организаций. </w:t>
      </w:r>
    </w:p>
    <w:p w14:paraId="2F5B87D2" w14:textId="77777777" w:rsidR="00CB351A" w:rsidRPr="000A15F8" w:rsidRDefault="00CB351A" w:rsidP="00CB351A">
      <w:pPr>
        <w:pStyle w:val="SingleTxtG"/>
      </w:pPr>
      <w:r w:rsidRPr="000A15F8">
        <w:t>76.</w:t>
      </w:r>
      <w:r w:rsidRPr="000A15F8">
        <w:tab/>
        <w:t>Женщины Узбекистана широко представлены в таких общественных секторах рынка труда, как образование, здравоохранение и социальные услуги, культура и искусство, гостиничный бизнес и общественное питание. Они составляют 76,6</w:t>
      </w:r>
      <w:r>
        <w:t> процента</w:t>
      </w:r>
      <w:r w:rsidRPr="000A15F8">
        <w:t xml:space="preserve"> от общего числа занятых в сфере здравоохранения, социального обеспечения и спорта, и 75,6</w:t>
      </w:r>
      <w:r>
        <w:t xml:space="preserve"> процента</w:t>
      </w:r>
      <w:r w:rsidRPr="000A15F8">
        <w:t xml:space="preserve"> работников образования, культуры, искусства и науки. В сельском, лесном и рыбном хозяйстве женщины составляют 44,3</w:t>
      </w:r>
      <w:r>
        <w:t xml:space="preserve"> процента</w:t>
      </w:r>
      <w:r w:rsidRPr="000A15F8">
        <w:t>.</w:t>
      </w:r>
    </w:p>
    <w:p w14:paraId="65765123" w14:textId="77777777" w:rsidR="00CB351A" w:rsidRPr="000A15F8" w:rsidRDefault="00CB351A" w:rsidP="00CB351A">
      <w:pPr>
        <w:pStyle w:val="SingleTxtG"/>
      </w:pPr>
      <w:r w:rsidRPr="000A15F8">
        <w:lastRenderedPageBreak/>
        <w:t>77.</w:t>
      </w:r>
      <w:r w:rsidRPr="000A15F8">
        <w:tab/>
        <w:t xml:space="preserve">Женщины </w:t>
      </w:r>
      <w:r>
        <w:t>—</w:t>
      </w:r>
      <w:r w:rsidRPr="000A15F8">
        <w:t xml:space="preserve"> руководители фермерских хозяйств в Узбекистане составляют 5,4</w:t>
      </w:r>
      <w:r>
        <w:t> процента</w:t>
      </w:r>
      <w:r w:rsidRPr="000A15F8">
        <w:t xml:space="preserve"> (8105), они специализируются на: садоводство-виноградарство </w:t>
      </w:r>
      <w:r>
        <w:t>—</w:t>
      </w:r>
      <w:r w:rsidRPr="000A15F8">
        <w:t xml:space="preserve"> </w:t>
      </w:r>
      <w:r>
        <w:br/>
      </w:r>
      <w:r w:rsidRPr="000A15F8">
        <w:t>36,3</w:t>
      </w:r>
      <w:r>
        <w:t xml:space="preserve"> процента</w:t>
      </w:r>
      <w:r w:rsidRPr="000A15F8">
        <w:t xml:space="preserve">; хлопководство-виноградарство </w:t>
      </w:r>
      <w:r>
        <w:t>—</w:t>
      </w:r>
      <w:r w:rsidRPr="000A15F8">
        <w:t xml:space="preserve"> 35,5</w:t>
      </w:r>
      <w:r>
        <w:t xml:space="preserve"> процента</w:t>
      </w:r>
      <w:r w:rsidRPr="000A15F8">
        <w:t xml:space="preserve">; масличные культуры и бахчеводство </w:t>
      </w:r>
      <w:r>
        <w:t>—</w:t>
      </w:r>
      <w:r w:rsidRPr="000A15F8">
        <w:t xml:space="preserve"> 10</w:t>
      </w:r>
      <w:r>
        <w:t xml:space="preserve"> процентов</w:t>
      </w:r>
      <w:r w:rsidRPr="000A15F8">
        <w:t xml:space="preserve">; овощеводство </w:t>
      </w:r>
      <w:r>
        <w:t>—</w:t>
      </w:r>
      <w:r w:rsidRPr="000A15F8">
        <w:t xml:space="preserve"> 7,7</w:t>
      </w:r>
      <w:r>
        <w:t xml:space="preserve"> процента</w:t>
      </w:r>
      <w:r w:rsidRPr="000A15F8">
        <w:t xml:space="preserve">; животноводство </w:t>
      </w:r>
      <w:r>
        <w:t>—</w:t>
      </w:r>
      <w:r w:rsidRPr="000A15F8">
        <w:t xml:space="preserve"> 6,2</w:t>
      </w:r>
      <w:r>
        <w:t xml:space="preserve"> процента</w:t>
      </w:r>
      <w:r w:rsidRPr="000A15F8">
        <w:t xml:space="preserve">; овощеводство-бахчеводство </w:t>
      </w:r>
      <w:r>
        <w:t>—</w:t>
      </w:r>
      <w:r w:rsidRPr="000A15F8">
        <w:t xml:space="preserve"> 4,4</w:t>
      </w:r>
      <w:r>
        <w:t xml:space="preserve"> процента</w:t>
      </w:r>
      <w:r w:rsidRPr="000A15F8">
        <w:t>.</w:t>
      </w:r>
    </w:p>
    <w:p w14:paraId="0713A15B" w14:textId="77777777" w:rsidR="00CB351A" w:rsidRPr="000A15F8" w:rsidRDefault="00CB351A" w:rsidP="00CB351A">
      <w:pPr>
        <w:pStyle w:val="SingleTxtG"/>
      </w:pPr>
      <w:r w:rsidRPr="000A15F8">
        <w:t>78.</w:t>
      </w:r>
      <w:r w:rsidRPr="000A15F8">
        <w:tab/>
        <w:t xml:space="preserve">В соответствии с государственными программами «Благоустроенная деревня» и «Благоустроенная </w:t>
      </w:r>
      <w:proofErr w:type="spellStart"/>
      <w:r w:rsidRPr="000A15F8">
        <w:t>махалла</w:t>
      </w:r>
      <w:proofErr w:type="spellEnd"/>
      <w:r w:rsidRPr="000A15F8">
        <w:t>» изучено положение дел более чем в 112 900 домов, выявлено более 13</w:t>
      </w:r>
      <w:r>
        <w:t> </w:t>
      </w:r>
      <w:r w:rsidRPr="000A15F8">
        <w:t>994 семей, живущих в тяжелых условиях. Для улучшения экономического положения проживающих в них женщин 1629 женщины прошли обучение швейному мастерству и им выделены швейные машинки, 780 из них зарегистрировались как надомницы.</w:t>
      </w:r>
    </w:p>
    <w:p w14:paraId="1721DA48" w14:textId="77777777" w:rsidR="00CB351A" w:rsidRPr="000A15F8" w:rsidRDefault="00CB351A" w:rsidP="00CB351A">
      <w:pPr>
        <w:pStyle w:val="SingleTxtG"/>
      </w:pPr>
      <w:r w:rsidRPr="000A15F8">
        <w:t>79.</w:t>
      </w:r>
      <w:r w:rsidRPr="000A15F8">
        <w:tab/>
        <w:t xml:space="preserve">На основе зарекомендовавшего себя как успешный метод получения профессии «Мастер-Ученик» 5604 женщины в регионах привлечены к ремесленничеству, </w:t>
      </w:r>
      <w:r>
        <w:br/>
      </w:r>
      <w:r w:rsidRPr="000A15F8">
        <w:t>13 754 обеспечены надомным трудом. Создано более 800 мини</w:t>
      </w:r>
      <w:r>
        <w:t>-</w:t>
      </w:r>
      <w:r w:rsidRPr="000A15F8">
        <w:t xml:space="preserve">швейных цехов в </w:t>
      </w:r>
      <w:proofErr w:type="spellStart"/>
      <w:r w:rsidRPr="000A15F8">
        <w:t>махаллях</w:t>
      </w:r>
      <w:proofErr w:type="spellEnd"/>
      <w:r w:rsidRPr="000A15F8">
        <w:t xml:space="preserve">, что дает возможность зарабатывать и улучшать экономическое состояние без отрыва от семьи и воспитания детей. </w:t>
      </w:r>
    </w:p>
    <w:p w14:paraId="08BFB4CE" w14:textId="77777777" w:rsidR="00CB351A" w:rsidRPr="000A15F8" w:rsidRDefault="00CB351A" w:rsidP="00CB351A">
      <w:pPr>
        <w:pStyle w:val="SingleTxtG"/>
      </w:pPr>
      <w:r w:rsidRPr="000A15F8">
        <w:t>80.</w:t>
      </w:r>
      <w:r w:rsidRPr="000A15F8">
        <w:tab/>
        <w:t>Права граждан на владение недвижимостью и участие в строительстве жилья закреплено в шести официальных кодексах и восьми законах, включая законы «О</w:t>
      </w:r>
      <w:r>
        <w:t> </w:t>
      </w:r>
      <w:r w:rsidRPr="000A15F8">
        <w:t xml:space="preserve">залоге» и «Об ипотеке», 29 постановлениях Президента и 44 постановлениях Правительства. </w:t>
      </w:r>
    </w:p>
    <w:p w14:paraId="3D88029A" w14:textId="77777777" w:rsidR="00CB351A" w:rsidRPr="000A15F8" w:rsidRDefault="00CB351A" w:rsidP="00CB351A">
      <w:pPr>
        <w:pStyle w:val="SingleTxtG"/>
      </w:pPr>
      <w:r w:rsidRPr="000A15F8">
        <w:t>81.</w:t>
      </w:r>
      <w:r w:rsidRPr="000A15F8">
        <w:tab/>
        <w:t xml:space="preserve">В результате адресной политики при выделении доступных жилищных кредитов сельским жителям, предоставляющей дополнительные льготы для женщин </w:t>
      </w:r>
      <w:proofErr w:type="spellStart"/>
      <w:r w:rsidRPr="000A15F8">
        <w:t>заемщиц</w:t>
      </w:r>
      <w:proofErr w:type="spellEnd"/>
      <w:r w:rsidRPr="000A15F8">
        <w:t>, в рамках проекта «Строительство доступного жилья по типовым проектам в сельской местности» в 2012</w:t>
      </w:r>
      <w:r>
        <w:t>–</w:t>
      </w:r>
      <w:r w:rsidRPr="000A15F8">
        <w:t>2015 г</w:t>
      </w:r>
      <w:r>
        <w:t>оды</w:t>
      </w:r>
      <w:r w:rsidRPr="000A15F8">
        <w:t xml:space="preserve"> женщины стали зарегистрированными владельцами 4300 (26,5</w:t>
      </w:r>
      <w:r>
        <w:t xml:space="preserve"> процента</w:t>
      </w:r>
      <w:r w:rsidRPr="000A15F8">
        <w:t>) жилых домов, построенных по типовым проектам в сельской местности. В 2018</w:t>
      </w:r>
      <w:r>
        <w:t>–</w:t>
      </w:r>
      <w:r w:rsidRPr="000A15F8">
        <w:t>2019 год</w:t>
      </w:r>
      <w:r>
        <w:t>ы</w:t>
      </w:r>
      <w:r w:rsidRPr="000A15F8">
        <w:t xml:space="preserve"> эта цифра выросла вдвое </w:t>
      </w:r>
      <w:r>
        <w:t>—</w:t>
      </w:r>
      <w:r w:rsidRPr="000A15F8">
        <w:t xml:space="preserve"> 52</w:t>
      </w:r>
      <w:r>
        <w:t xml:space="preserve"> процентов</w:t>
      </w:r>
      <w:r w:rsidRPr="000A15F8">
        <w:t xml:space="preserve"> льготных жилищных займов были выделены заявителям-женщинам.</w:t>
      </w:r>
    </w:p>
    <w:p w14:paraId="25D89787" w14:textId="77777777" w:rsidR="00CB351A" w:rsidRPr="000A15F8" w:rsidRDefault="00CB351A" w:rsidP="00CB351A">
      <w:pPr>
        <w:pStyle w:val="SingleTxtG"/>
      </w:pPr>
      <w:r w:rsidRPr="000A15F8">
        <w:t>82.</w:t>
      </w:r>
      <w:r w:rsidRPr="000A15F8">
        <w:tab/>
        <w:t>В 2018 году Общественным фондом поддержки женщин и семьи 1600</w:t>
      </w:r>
      <w:r>
        <w:t> </w:t>
      </w:r>
      <w:r w:rsidRPr="000A15F8">
        <w:t xml:space="preserve">женщинам с инвалидностью, нуждающимся в жилье были безвозмездно выплачены первоначальные взносы на жилье на сумму в общей сложности </w:t>
      </w:r>
      <w:r>
        <w:br/>
      </w:r>
      <w:r w:rsidRPr="000A15F8">
        <w:t xml:space="preserve">54 млрд 581 млн </w:t>
      </w:r>
      <w:proofErr w:type="spellStart"/>
      <w:r w:rsidRPr="000A15F8">
        <w:t>сум</w:t>
      </w:r>
      <w:proofErr w:type="spellEnd"/>
      <w:r w:rsidRPr="000A15F8">
        <w:t>.</w:t>
      </w:r>
    </w:p>
    <w:p w14:paraId="0139D7C2" w14:textId="77777777" w:rsidR="00CB351A" w:rsidRPr="000A15F8" w:rsidRDefault="00CB351A" w:rsidP="00CB351A">
      <w:pPr>
        <w:pStyle w:val="SingleTxtG"/>
      </w:pPr>
      <w:r w:rsidRPr="000A15F8">
        <w:t>83.</w:t>
      </w:r>
      <w:r w:rsidRPr="000A15F8">
        <w:tab/>
        <w:t xml:space="preserve">В 2019 году Фондом безвозмездно выплачены первоначальные взносы на жилье </w:t>
      </w:r>
      <w:r w:rsidRPr="000A15F8">
        <w:br/>
        <w:t>1576 женщинам с инвалидностью, нуждающимся в жилье и проживающим в тяжелых жизненных условиях.</w:t>
      </w:r>
    </w:p>
    <w:p w14:paraId="2316EC6B" w14:textId="77777777" w:rsidR="00CB351A" w:rsidRPr="000A15F8" w:rsidRDefault="00CB351A" w:rsidP="00CB351A">
      <w:pPr>
        <w:pStyle w:val="SingleTxtG"/>
      </w:pPr>
      <w:r w:rsidRPr="000A15F8">
        <w:t>84.</w:t>
      </w:r>
      <w:r w:rsidRPr="000A15F8">
        <w:tab/>
        <w:t>«Дорожной карте» по реализации Национальной стратегии (п.</w:t>
      </w:r>
      <w:r>
        <w:rPr>
          <w:lang w:val="en-US"/>
        </w:rPr>
        <w:t> </w:t>
      </w:r>
      <w:r w:rsidRPr="000A15F8">
        <w:t>44) предусмотрена разработка предложений об обеспечении гендерного равенства и предотвращении насилия во всех сферах общественной жизни.</w:t>
      </w:r>
    </w:p>
    <w:p w14:paraId="41788E87" w14:textId="77777777" w:rsidR="00CB351A" w:rsidRPr="000A15F8" w:rsidRDefault="00CB351A" w:rsidP="00CB351A">
      <w:pPr>
        <w:pStyle w:val="SingleTxtG"/>
      </w:pPr>
      <w:r w:rsidRPr="000A15F8">
        <w:t>85.</w:t>
      </w:r>
      <w:r w:rsidRPr="000A15F8">
        <w:tab/>
        <w:t xml:space="preserve">В сфере представленности женщин на руководящих политических должностях приняты указы и постановления Президента об обеспечении прав женщин, в частности, о гендерном равенстве и защите женщин от притеснения и насилия, об укреплении статуса женского предпринимательства. Впервые в истории страны, новым председателем Сената избрана женщина. По итогам прошедших выборов в Законодательную палату количество женщин удвоилось по сравнению с </w:t>
      </w:r>
      <w:r>
        <w:br/>
      </w:r>
      <w:r w:rsidRPr="000A15F8">
        <w:t xml:space="preserve">2014 годом </w:t>
      </w:r>
      <w:r>
        <w:t>—</w:t>
      </w:r>
      <w:r w:rsidRPr="000A15F8">
        <w:t xml:space="preserve"> 48 из 150 депутатов или 32 процента избранных составили женщины. </w:t>
      </w:r>
    </w:p>
    <w:p w14:paraId="4900A53A" w14:textId="77777777" w:rsidR="00CB351A" w:rsidRPr="000A15F8" w:rsidRDefault="00CB351A" w:rsidP="00CB351A">
      <w:pPr>
        <w:pStyle w:val="SingleTxtG"/>
      </w:pPr>
      <w:r w:rsidRPr="000A15F8">
        <w:t>86.</w:t>
      </w:r>
      <w:r w:rsidRPr="000A15F8">
        <w:tab/>
        <w:t xml:space="preserve">В местных </w:t>
      </w:r>
      <w:proofErr w:type="spellStart"/>
      <w:r w:rsidRPr="000A15F8">
        <w:t>кенгашах</w:t>
      </w:r>
      <w:proofErr w:type="spellEnd"/>
      <w:r w:rsidRPr="000A15F8">
        <w:t xml:space="preserve"> народных депутатов в среднем представленность женщин составила 25,6 процент</w:t>
      </w:r>
      <w:r>
        <w:t>а</w:t>
      </w:r>
      <w:r w:rsidRPr="000A15F8">
        <w:t>. Свыше 9 тыс</w:t>
      </w:r>
      <w:r>
        <w:t>.</w:t>
      </w:r>
      <w:r w:rsidRPr="000A15F8">
        <w:t xml:space="preserve"> женщин эффективно работают в </w:t>
      </w:r>
      <w:proofErr w:type="spellStart"/>
      <w:r w:rsidRPr="000A15F8">
        <w:t>махаллях</w:t>
      </w:r>
      <w:proofErr w:type="spellEnd"/>
      <w:r w:rsidRPr="000A15F8">
        <w:t xml:space="preserve"> специалистами по работе с женщинами и укреплению духовно-нравственных ценностей в семьях. 1061 из председателей </w:t>
      </w:r>
      <w:proofErr w:type="spellStart"/>
      <w:r w:rsidRPr="000A15F8">
        <w:t>махалли</w:t>
      </w:r>
      <w:proofErr w:type="spellEnd"/>
      <w:r w:rsidRPr="000A15F8">
        <w:t xml:space="preserve"> составляет женщины. </w:t>
      </w:r>
    </w:p>
    <w:p w14:paraId="38CF6B80" w14:textId="77777777" w:rsidR="00CB351A" w:rsidRPr="000A15F8" w:rsidRDefault="00CB351A" w:rsidP="00CB351A">
      <w:pPr>
        <w:pStyle w:val="SingleTxtG"/>
      </w:pPr>
      <w:r w:rsidRPr="000A15F8">
        <w:t>87.</w:t>
      </w:r>
      <w:r w:rsidRPr="000A15F8">
        <w:tab/>
        <w:t xml:space="preserve">Впервые в практике внешнеполитических ведомств, женщина назначена послом (Израиль), женщины занимают должности заместителей руководителей в министерствах здравоохранения, культуры, по поддержке </w:t>
      </w:r>
      <w:proofErr w:type="spellStart"/>
      <w:r w:rsidRPr="000A15F8">
        <w:t>махалли</w:t>
      </w:r>
      <w:proofErr w:type="spellEnd"/>
      <w:r w:rsidRPr="000A15F8">
        <w:t xml:space="preserve"> и семьи и других ключевых министерствах и ведомствах. Должность Уполномоченного по правам ребенка представлена женщиной.</w:t>
      </w:r>
    </w:p>
    <w:p w14:paraId="085BE7A4" w14:textId="77777777" w:rsidR="00CB351A" w:rsidRPr="000A15F8" w:rsidRDefault="00CB351A" w:rsidP="00CB351A">
      <w:pPr>
        <w:pStyle w:val="SingleTxtG"/>
      </w:pPr>
      <w:r w:rsidRPr="000A15F8">
        <w:lastRenderedPageBreak/>
        <w:t>88.</w:t>
      </w:r>
      <w:r w:rsidRPr="000A15F8">
        <w:tab/>
        <w:t>Согласно ст.</w:t>
      </w:r>
      <w:r>
        <w:t xml:space="preserve"> </w:t>
      </w:r>
      <w:r w:rsidRPr="000A15F8">
        <w:t>70 Избирательного кодекса политические партии правомочны выдвинуть 150 кандидатов в депутаты, число женщин должно состоять не менее 30</w:t>
      </w:r>
      <w:r>
        <w:t> </w:t>
      </w:r>
      <w:r w:rsidRPr="000A15F8">
        <w:t>процентов от общего числа кандидатов, выдвинутых от политической партии.</w:t>
      </w:r>
    </w:p>
    <w:p w14:paraId="48D245C3" w14:textId="77777777" w:rsidR="00CB351A" w:rsidRPr="000A15F8" w:rsidRDefault="00CB351A" w:rsidP="00CB351A">
      <w:pPr>
        <w:pStyle w:val="SingleTxtG"/>
      </w:pPr>
      <w:r w:rsidRPr="000A15F8">
        <w:t>89.</w:t>
      </w:r>
      <w:r w:rsidRPr="000A15F8">
        <w:tab/>
        <w:t xml:space="preserve">На выборах Президента 4 декабря 2016 года было зарегистрировано </w:t>
      </w:r>
      <w:r>
        <w:br/>
      </w:r>
      <w:r w:rsidRPr="000A15F8">
        <w:t>20</w:t>
      </w:r>
      <w:r w:rsidRPr="00643474">
        <w:t> </w:t>
      </w:r>
      <w:r w:rsidRPr="000A15F8">
        <w:t>461</w:t>
      </w:r>
      <w:r w:rsidRPr="00643474">
        <w:t> </w:t>
      </w:r>
      <w:r w:rsidRPr="000A15F8">
        <w:t xml:space="preserve">805 избирателей, из них 10 825 641 женщина, или около 50 </w:t>
      </w:r>
      <w:r>
        <w:t>процентов</w:t>
      </w:r>
      <w:r w:rsidRPr="000A15F8">
        <w:t xml:space="preserve"> от общего числа избирателей. </w:t>
      </w:r>
    </w:p>
    <w:p w14:paraId="45CB12BF" w14:textId="77777777" w:rsidR="00CB351A" w:rsidRPr="000A15F8" w:rsidRDefault="00CB351A" w:rsidP="00CB351A">
      <w:pPr>
        <w:pStyle w:val="SingleTxtG"/>
      </w:pPr>
      <w:r w:rsidRPr="000A15F8">
        <w:t>90.</w:t>
      </w:r>
      <w:r w:rsidRPr="000A15F8">
        <w:tab/>
        <w:t>Благодаря сотрудничеству с политическими партиями подписаны меморандумы и приняты планы мероприятий на 2018–2019 г</w:t>
      </w:r>
      <w:r>
        <w:t>оды</w:t>
      </w:r>
      <w:r w:rsidRPr="000A15F8">
        <w:t>, направленные на осуществление практических мер по социально-правовой поддержке женщин. Пятью политическими партиями (ЛДПУ, НДПУ, ДПУ «</w:t>
      </w:r>
      <w:proofErr w:type="spellStart"/>
      <w:r w:rsidRPr="000A15F8">
        <w:t>Миллий</w:t>
      </w:r>
      <w:proofErr w:type="spellEnd"/>
      <w:r w:rsidRPr="000A15F8">
        <w:t xml:space="preserve"> </w:t>
      </w:r>
      <w:proofErr w:type="spellStart"/>
      <w:r w:rsidRPr="000A15F8">
        <w:t>Тикланиш</w:t>
      </w:r>
      <w:proofErr w:type="spellEnd"/>
      <w:r w:rsidRPr="000A15F8">
        <w:t>», СДПУ «</w:t>
      </w:r>
      <w:proofErr w:type="spellStart"/>
      <w:r w:rsidRPr="000A15F8">
        <w:t>Адолат</w:t>
      </w:r>
      <w:proofErr w:type="spellEnd"/>
      <w:r w:rsidRPr="000A15F8">
        <w:t xml:space="preserve">», Экологическая партия) более 6086 активных женщин внесены в резерв кадров. На сегодняшний день 120 из них рекомендованы на руководящие должности, с 328 ведется </w:t>
      </w:r>
      <w:proofErr w:type="gramStart"/>
      <w:r w:rsidRPr="000A15F8">
        <w:t>работа по подготовке</w:t>
      </w:r>
      <w:proofErr w:type="gramEnd"/>
      <w:r w:rsidRPr="000A15F8">
        <w:t xml:space="preserve"> и предоставлению их кандидатами в депутаты в процессе выборов. </w:t>
      </w:r>
    </w:p>
    <w:p w14:paraId="1A9AF91D" w14:textId="77777777" w:rsidR="00CB351A" w:rsidRPr="000A15F8" w:rsidRDefault="00CB351A" w:rsidP="00CB351A">
      <w:pPr>
        <w:pStyle w:val="HChG"/>
      </w:pPr>
      <w:r w:rsidRPr="000A15F8">
        <w:rPr>
          <w:szCs w:val="28"/>
        </w:rPr>
        <w:tab/>
      </w:r>
      <w:r>
        <w:rPr>
          <w:szCs w:val="28"/>
        </w:rPr>
        <w:t>III</w:t>
      </w:r>
      <w:r w:rsidRPr="000A15F8">
        <w:rPr>
          <w:szCs w:val="28"/>
        </w:rPr>
        <w:t>.</w:t>
      </w:r>
      <w:r w:rsidRPr="000A15F8">
        <w:rPr>
          <w:szCs w:val="28"/>
        </w:rPr>
        <w:tab/>
      </w:r>
      <w:r w:rsidRPr="000A15F8">
        <w:t>Вопросы, касающиеся конкретных положений Пакта (статьи 6–15)</w:t>
      </w:r>
    </w:p>
    <w:p w14:paraId="46538B33" w14:textId="77777777" w:rsidR="00CB351A" w:rsidRPr="000A15F8" w:rsidRDefault="00CB351A" w:rsidP="00CB351A">
      <w:pPr>
        <w:pStyle w:val="H1G"/>
      </w:pPr>
      <w:r w:rsidRPr="000A15F8">
        <w:tab/>
      </w:r>
      <w:r w:rsidRPr="000A15F8">
        <w:tab/>
        <w:t>Пункт 9</w:t>
      </w:r>
    </w:p>
    <w:p w14:paraId="0E10102D" w14:textId="77777777" w:rsidR="00CB351A" w:rsidRPr="000A15F8" w:rsidRDefault="00CB351A" w:rsidP="00CB351A">
      <w:pPr>
        <w:pStyle w:val="SingleTxtG"/>
      </w:pPr>
      <w:r w:rsidRPr="000A15F8">
        <w:t>91.</w:t>
      </w:r>
      <w:r w:rsidRPr="000A15F8">
        <w:tab/>
        <w:t>Во исполнение Постановления «О дополнительных мерах по искоренению принудительного труда в Республике Узбекистан» от 10.05.2018 г., Государственной трудовой инспекцией в 2018 году было проведено 1126 мониторингов, выявлено 292</w:t>
      </w:r>
      <w:r>
        <w:t> </w:t>
      </w:r>
      <w:r w:rsidRPr="000A15F8">
        <w:t>нарушения в сфере принудительного груда и наложен 291 штраф. В 2019 году Инспекцией были размещены по всей республике 600 баннеров и распространены 200</w:t>
      </w:r>
      <w:r>
        <w:t> </w:t>
      </w:r>
      <w:r w:rsidRPr="000A15F8">
        <w:t xml:space="preserve">тыс. флаеров о недопущении принудительного труда, было проведено около </w:t>
      </w:r>
      <w:r>
        <w:br/>
      </w:r>
      <w:r w:rsidRPr="000A15F8">
        <w:t>3000 мониторингов и 7000 разъяснительных мероприятий с участием граждан в фермерских хозяйствах для повышения осведомленности работников и работодателей об искоренении принудительного труда, конвенциях МОТ, нарушениях и наказаниях, предусмотренных трудовым законодательством за нарушения в сфере занятости, охраны труда и др. За 2019 год количество выявленных правонарушений в области принудительного труда составило 259. За первое полугодие 2020 года Инспекцией было проведено порядка 700 мониторингов по искоренению любых форм принудительного труда, выявлено 28 случаев принудительного труда.</w:t>
      </w:r>
    </w:p>
    <w:p w14:paraId="1949505D" w14:textId="77777777" w:rsidR="00CB351A" w:rsidRPr="000A15F8" w:rsidRDefault="00CB351A" w:rsidP="00CB351A">
      <w:pPr>
        <w:pStyle w:val="SingleTxtG"/>
      </w:pPr>
      <w:r w:rsidRPr="000A15F8">
        <w:t>92.</w:t>
      </w:r>
      <w:r w:rsidRPr="000A15F8">
        <w:tab/>
        <w:t>Национальный мониторинг создания благоприятных условий труда для сборщиков, недопущения детского и принудительного труда при сборе хлопка в хлопкоуборочном сезоне 2019 года проводился совместно с Национальной комиссией по противодействию торговле людьми и принудительному труду.</w:t>
      </w:r>
    </w:p>
    <w:p w14:paraId="2C9CB43D" w14:textId="77777777" w:rsidR="00CB351A" w:rsidRPr="000A15F8" w:rsidRDefault="00CB351A" w:rsidP="00CB351A">
      <w:pPr>
        <w:pStyle w:val="SingleTxtG"/>
      </w:pPr>
      <w:r w:rsidRPr="000A15F8">
        <w:t>93.</w:t>
      </w:r>
      <w:r w:rsidRPr="000A15F8">
        <w:tab/>
        <w:t>Национальный мониторинг был проведен с 26 сентября по 31 октября 2019 г., было осуществлено 399 визитов территориальных рабочих групп в случайно отобранные районы и города Республики.</w:t>
      </w:r>
    </w:p>
    <w:p w14:paraId="12BB4155" w14:textId="77777777" w:rsidR="00CB351A" w:rsidRPr="000A15F8" w:rsidRDefault="00CB351A" w:rsidP="00CB351A">
      <w:pPr>
        <w:pStyle w:val="SingleTxtG"/>
      </w:pPr>
      <w:r w:rsidRPr="000A15F8">
        <w:t>94.</w:t>
      </w:r>
      <w:r w:rsidRPr="000A15F8">
        <w:tab/>
        <w:t>В ходе данных визитов посещено 731 фермерское хозяйство, 12 колледжей, 1</w:t>
      </w:r>
      <w:r>
        <w:t> </w:t>
      </w:r>
      <w:r w:rsidRPr="000A15F8">
        <w:t xml:space="preserve">академический лицей, 278 общеобразовательных школ, 55 детских дошкольных учреждений, 106 учреждений здравоохранения, 77 субъектов предпринимательства (включая 37 агропромышленных кластеров), 56 </w:t>
      </w:r>
      <w:proofErr w:type="spellStart"/>
      <w:r w:rsidRPr="000A15F8">
        <w:t>хокимиятов</w:t>
      </w:r>
      <w:proofErr w:type="spellEnd"/>
      <w:r w:rsidRPr="000A15F8">
        <w:t xml:space="preserve"> и 35 </w:t>
      </w:r>
      <w:proofErr w:type="spellStart"/>
      <w:r w:rsidRPr="000A15F8">
        <w:t>махаллинских</w:t>
      </w:r>
      <w:proofErr w:type="spellEnd"/>
      <w:r w:rsidRPr="000A15F8">
        <w:t xml:space="preserve"> сходов граждан.</w:t>
      </w:r>
    </w:p>
    <w:p w14:paraId="34C6240F" w14:textId="77777777" w:rsidR="00CB351A" w:rsidRPr="000A15F8" w:rsidRDefault="00CB351A" w:rsidP="00CB351A">
      <w:pPr>
        <w:pStyle w:val="SingleTxtG"/>
      </w:pPr>
      <w:r w:rsidRPr="000A15F8">
        <w:t>95.</w:t>
      </w:r>
      <w:r w:rsidRPr="000A15F8">
        <w:tab/>
        <w:t>При изучении фактов привлечения на сбор хлопка работников государственных органов, хозяйствующих субъектов и бюджетных учреждений, выявлено 47 случаев с суммарным привлечением более 3895 работников.</w:t>
      </w:r>
    </w:p>
    <w:p w14:paraId="3062268C" w14:textId="77777777" w:rsidR="00CB351A" w:rsidRPr="000A15F8" w:rsidRDefault="00CB351A" w:rsidP="00CB351A">
      <w:pPr>
        <w:pStyle w:val="SingleTxtG"/>
      </w:pPr>
      <w:r w:rsidRPr="000A15F8">
        <w:t>96.</w:t>
      </w:r>
      <w:r w:rsidRPr="000A15F8">
        <w:tab/>
        <w:t>По итогам мониторинга сделан вывод о том, что уровень добровольного участия граждан в сборе хлопка урожая 2019 года оценен в 96,8</w:t>
      </w:r>
      <w:r>
        <w:t xml:space="preserve"> процента</w:t>
      </w:r>
      <w:r w:rsidRPr="000A15F8">
        <w:t>.</w:t>
      </w:r>
    </w:p>
    <w:p w14:paraId="406D8D32" w14:textId="77777777" w:rsidR="00CB351A" w:rsidRPr="000A15F8" w:rsidRDefault="00CB351A" w:rsidP="00CB351A">
      <w:pPr>
        <w:pStyle w:val="H1G"/>
      </w:pPr>
      <w:r w:rsidRPr="000A15F8">
        <w:lastRenderedPageBreak/>
        <w:tab/>
      </w:r>
      <w:r w:rsidRPr="000A15F8">
        <w:tab/>
        <w:t>Пункт 10</w:t>
      </w:r>
    </w:p>
    <w:p w14:paraId="45CE83D1" w14:textId="77777777" w:rsidR="00CB351A" w:rsidRPr="000A15F8" w:rsidRDefault="00CB351A" w:rsidP="00CB351A">
      <w:pPr>
        <w:pStyle w:val="SingleTxtG"/>
      </w:pPr>
      <w:r w:rsidRPr="000A15F8">
        <w:t>97.</w:t>
      </w:r>
      <w:r w:rsidRPr="000A15F8">
        <w:tab/>
        <w:t>Согласно ст.</w:t>
      </w:r>
      <w:r>
        <w:t xml:space="preserve"> </w:t>
      </w:r>
      <w:r w:rsidRPr="000A15F8">
        <w:t>37 Конституции, каждый имеет право на труд, на свободный выбор работы, на справедливые условия труда и на защиту от безработицы в порядке, установленном законом.</w:t>
      </w:r>
    </w:p>
    <w:p w14:paraId="1EA3BBCD" w14:textId="77777777" w:rsidR="00CB351A" w:rsidRPr="000A15F8" w:rsidRDefault="00CB351A" w:rsidP="00CB351A">
      <w:pPr>
        <w:pStyle w:val="SingleTxtG"/>
      </w:pPr>
      <w:r w:rsidRPr="000A15F8">
        <w:t>98.</w:t>
      </w:r>
      <w:r w:rsidRPr="000A15F8">
        <w:tab/>
        <w:t>Запрещается принудительный труд иначе как в порядке исполнения наказания по приговору суда, либо в других случаях, предусмотренных законом.</w:t>
      </w:r>
    </w:p>
    <w:p w14:paraId="0A6856E8" w14:textId="77777777" w:rsidR="00CB351A" w:rsidRPr="000A15F8" w:rsidRDefault="00CB351A" w:rsidP="00CB351A">
      <w:pPr>
        <w:pStyle w:val="SingleTxtG"/>
      </w:pPr>
      <w:r w:rsidRPr="000A15F8">
        <w:t>99.</w:t>
      </w:r>
      <w:r w:rsidRPr="000A15F8">
        <w:tab/>
        <w:t>Ст</w:t>
      </w:r>
      <w:r>
        <w:t>.</w:t>
      </w:r>
      <w:r w:rsidRPr="000A15F8">
        <w:t xml:space="preserve"> 153</w:t>
      </w:r>
      <w:r>
        <w:t>–</w:t>
      </w:r>
      <w:r w:rsidRPr="000A15F8">
        <w:t xml:space="preserve">164 Трудового кодекса (ТК) регулируются вопросы по установлению гарантий, минимальному размеру, изменению условий и сроков оплаты труда, обеспечивающие соблюдения принципа равной оплаты </w:t>
      </w:r>
      <w:proofErr w:type="gramStart"/>
      <w:r w:rsidRPr="000A15F8">
        <w:t>за труд</w:t>
      </w:r>
      <w:proofErr w:type="gramEnd"/>
      <w:r w:rsidRPr="000A15F8">
        <w:t xml:space="preserve"> равной ценности. </w:t>
      </w:r>
    </w:p>
    <w:p w14:paraId="5FDAB4EE" w14:textId="77777777" w:rsidR="00CB351A" w:rsidRPr="000A15F8" w:rsidRDefault="00CB351A" w:rsidP="00CB351A">
      <w:pPr>
        <w:pStyle w:val="SingleTxtG"/>
      </w:pPr>
      <w:r w:rsidRPr="000A15F8">
        <w:t>100.</w:t>
      </w:r>
      <w:r w:rsidRPr="000A15F8">
        <w:tab/>
        <w:t>В новой редакции ТК внесена статья, предусматривающая следующие гарантии в области оплаты труда:</w:t>
      </w:r>
    </w:p>
    <w:p w14:paraId="645C0692" w14:textId="77777777" w:rsidR="00CB351A" w:rsidRPr="000A15F8" w:rsidRDefault="00CB351A" w:rsidP="00CB351A">
      <w:pPr>
        <w:pStyle w:val="Bullet1G"/>
        <w:numPr>
          <w:ilvl w:val="0"/>
          <w:numId w:val="4"/>
        </w:numPr>
      </w:pPr>
      <w:r w:rsidRPr="00890BAE">
        <w:t>недопустимость</w:t>
      </w:r>
      <w:r w:rsidRPr="000A15F8">
        <w:t xml:space="preserve"> дискриминации в области оплаты труда; </w:t>
      </w:r>
    </w:p>
    <w:p w14:paraId="3974EF66" w14:textId="77777777" w:rsidR="00CB351A" w:rsidRPr="000A15F8" w:rsidRDefault="00CB351A" w:rsidP="00CB351A">
      <w:pPr>
        <w:pStyle w:val="Bullet1G"/>
        <w:numPr>
          <w:ilvl w:val="0"/>
          <w:numId w:val="4"/>
        </w:numPr>
      </w:pPr>
      <w:r w:rsidRPr="000A15F8">
        <w:t xml:space="preserve">установление минимального размера оплаты труда; </w:t>
      </w:r>
    </w:p>
    <w:p w14:paraId="5610E628" w14:textId="77777777" w:rsidR="00CB351A" w:rsidRPr="000A15F8" w:rsidRDefault="00CB351A" w:rsidP="00CB351A">
      <w:pPr>
        <w:pStyle w:val="Bullet1G"/>
        <w:numPr>
          <w:ilvl w:val="0"/>
          <w:numId w:val="4"/>
        </w:numPr>
      </w:pPr>
      <w:r w:rsidRPr="000A15F8">
        <w:t>ограничение оплаты труда в натуральной форме;</w:t>
      </w:r>
    </w:p>
    <w:p w14:paraId="615A7F05" w14:textId="77777777" w:rsidR="00CB351A" w:rsidRPr="000A15F8" w:rsidRDefault="00CB351A" w:rsidP="00CB351A">
      <w:pPr>
        <w:pStyle w:val="Bullet1G"/>
        <w:numPr>
          <w:ilvl w:val="0"/>
          <w:numId w:val="4"/>
        </w:numPr>
      </w:pPr>
      <w:r w:rsidRPr="000A15F8">
        <w:t>регламентация требований к порядку и срокам выплаты заработной платы;</w:t>
      </w:r>
    </w:p>
    <w:p w14:paraId="67C7D1A2" w14:textId="77777777" w:rsidR="00CB351A" w:rsidRPr="000A15F8" w:rsidRDefault="00CB351A" w:rsidP="00CB351A">
      <w:pPr>
        <w:pStyle w:val="Bullet1G"/>
        <w:numPr>
          <w:ilvl w:val="0"/>
          <w:numId w:val="4"/>
        </w:numPr>
      </w:pPr>
      <w:r w:rsidRPr="000A15F8">
        <w:t>недопущение дискриминации и обеспечение равной оплаты труда за труд, равной ценности;</w:t>
      </w:r>
    </w:p>
    <w:p w14:paraId="77C2267D" w14:textId="77777777" w:rsidR="00CB351A" w:rsidRPr="000A15F8" w:rsidRDefault="00CB351A" w:rsidP="00CB351A">
      <w:pPr>
        <w:pStyle w:val="Bullet1G"/>
        <w:numPr>
          <w:ilvl w:val="0"/>
          <w:numId w:val="4"/>
        </w:numPr>
      </w:pPr>
      <w:r w:rsidRPr="000A15F8">
        <w:t>обеспечение получения работником заработной платы в случае прекращения деятельности работодателя и его неплатежеспособности и др.</w:t>
      </w:r>
    </w:p>
    <w:p w14:paraId="6E4B862A" w14:textId="77777777" w:rsidR="00CB351A" w:rsidRPr="000A15F8" w:rsidRDefault="00CB351A" w:rsidP="00CB351A">
      <w:pPr>
        <w:pStyle w:val="SingleTxtG"/>
      </w:pPr>
      <w:r w:rsidRPr="000A15F8">
        <w:t>101.</w:t>
      </w:r>
      <w:r w:rsidRPr="000A15F8">
        <w:tab/>
        <w:t>В соответстви</w:t>
      </w:r>
      <w:r>
        <w:t xml:space="preserve">и </w:t>
      </w:r>
      <w:r w:rsidRPr="000A15F8">
        <w:t>со ст.</w:t>
      </w:r>
      <w:r>
        <w:t xml:space="preserve"> </w:t>
      </w:r>
      <w:r w:rsidRPr="000A15F8">
        <w:t xml:space="preserve">155 ТК месячная оплата труда работника, выполнившего полностью определенные на этот период нормы труда и трудовые обязанности, не может быть ниже установленного законодательством размера. С 1 февраля 2020 года повышен размер заработной платы работников бюджетных учреждений и организаций, пенсий, стипендий, пособий, а также материальной помощи малообеспеченным семьям в 1,07 раза. Минимальный размер оплаты труда с 1 февраля 2020 года установлен — 679 330 </w:t>
      </w:r>
      <w:proofErr w:type="spellStart"/>
      <w:r w:rsidRPr="000A15F8">
        <w:t>сумов</w:t>
      </w:r>
      <w:proofErr w:type="spellEnd"/>
      <w:r w:rsidRPr="000A15F8">
        <w:t xml:space="preserve"> в месяц.</w:t>
      </w:r>
    </w:p>
    <w:p w14:paraId="6266E3BB" w14:textId="77777777" w:rsidR="00CB351A" w:rsidRPr="000A15F8" w:rsidRDefault="00CB351A" w:rsidP="00CB351A">
      <w:pPr>
        <w:pStyle w:val="SingleTxtG"/>
      </w:pPr>
      <w:r w:rsidRPr="000A15F8">
        <w:t>102.</w:t>
      </w:r>
      <w:r w:rsidRPr="000A15F8">
        <w:tab/>
        <w:t>Согласно Положению о Государственной трудовой инспекции, одной из основных задач является осуществление государственного надзора и контроля за соблюдением организациями, независимо от организационно-правовой формы, требований законодательства в сфере обеспечения соблюдения и защиты трудовых прав граждан, а также безопасных условий и охраны труда, в том числе за своевременной и полной выплаты заработной платы работникам.</w:t>
      </w:r>
    </w:p>
    <w:p w14:paraId="203B5B1F" w14:textId="77777777" w:rsidR="00CB351A" w:rsidRPr="000A15F8" w:rsidRDefault="00CB351A" w:rsidP="00CB351A">
      <w:pPr>
        <w:pStyle w:val="SingleTxtG"/>
      </w:pPr>
      <w:r w:rsidRPr="000A15F8">
        <w:t>103.</w:t>
      </w:r>
      <w:r w:rsidRPr="000A15F8">
        <w:tab/>
        <w:t>В связи с изложенным за период 2019 года Инспекцией были рассмотрены 3933</w:t>
      </w:r>
      <w:r>
        <w:t> </w:t>
      </w:r>
      <w:r w:rsidRPr="000A15F8">
        <w:t xml:space="preserve">дела по вопросам нарушения своевременной и полной выплаты заработной платы работникам, по итогам 5 месяцев 2020 года </w:t>
      </w:r>
      <w:r>
        <w:t>—</w:t>
      </w:r>
      <w:r w:rsidRPr="000A15F8">
        <w:t xml:space="preserve"> 2023 дела.</w:t>
      </w:r>
    </w:p>
    <w:p w14:paraId="2023741A" w14:textId="77777777" w:rsidR="00CB351A" w:rsidRPr="000A15F8" w:rsidRDefault="00CB351A" w:rsidP="00CB351A">
      <w:pPr>
        <w:pStyle w:val="SingleTxtG"/>
      </w:pPr>
      <w:r w:rsidRPr="000A15F8">
        <w:t>104.</w:t>
      </w:r>
      <w:r w:rsidRPr="000A15F8">
        <w:tab/>
        <w:t>Согласно Указу «О совершенствовании порядка определения размеров оплаты труда, пенсий и иных платежей» от 21.05.2019 г., устранена зависимость между оплатой труда, назначением пенсий и взиманием налогов, государственных пошлин, штрафов, сборов и других платежей.</w:t>
      </w:r>
    </w:p>
    <w:p w14:paraId="0B29D9FF" w14:textId="77777777" w:rsidR="00CB351A" w:rsidRPr="000A15F8" w:rsidRDefault="00CB351A" w:rsidP="00CB351A">
      <w:pPr>
        <w:pStyle w:val="SingleTxtG"/>
      </w:pPr>
      <w:r w:rsidRPr="000A15F8">
        <w:t>105.</w:t>
      </w:r>
      <w:r w:rsidRPr="000A15F8">
        <w:tab/>
        <w:t>Таким образом, взамен минимального размера заработной платы введено:</w:t>
      </w:r>
    </w:p>
    <w:p w14:paraId="5F9CC93A" w14:textId="77777777" w:rsidR="00CB351A" w:rsidRPr="00643474" w:rsidRDefault="00CB351A" w:rsidP="00CB351A">
      <w:pPr>
        <w:pStyle w:val="Bullet1G"/>
        <w:numPr>
          <w:ilvl w:val="0"/>
          <w:numId w:val="4"/>
        </w:numPr>
      </w:pPr>
      <w:r w:rsidRPr="00643474">
        <w:t>минимальный размер оплаты труда;</w:t>
      </w:r>
    </w:p>
    <w:p w14:paraId="1CE09BC0" w14:textId="77777777" w:rsidR="00CB351A" w:rsidRPr="000A15F8" w:rsidRDefault="00CB351A" w:rsidP="00CB351A">
      <w:pPr>
        <w:pStyle w:val="Bullet1G"/>
        <w:numPr>
          <w:ilvl w:val="0"/>
          <w:numId w:val="4"/>
        </w:numPr>
      </w:pPr>
      <w:r w:rsidRPr="000A15F8">
        <w:t>базовая расчетная величина (текущий МРЗП);</w:t>
      </w:r>
    </w:p>
    <w:p w14:paraId="6FC3DAE1" w14:textId="77777777" w:rsidR="00CB351A" w:rsidRPr="00643474" w:rsidRDefault="00CB351A" w:rsidP="00CB351A">
      <w:pPr>
        <w:pStyle w:val="Bullet1G"/>
        <w:numPr>
          <w:ilvl w:val="0"/>
          <w:numId w:val="4"/>
        </w:numPr>
      </w:pPr>
      <w:r w:rsidRPr="00643474">
        <w:t>базовая величина исчисления пенсии.</w:t>
      </w:r>
    </w:p>
    <w:p w14:paraId="47B0EA8A" w14:textId="77777777" w:rsidR="00CB351A" w:rsidRPr="000A15F8" w:rsidRDefault="00CB351A" w:rsidP="00CB351A">
      <w:pPr>
        <w:pStyle w:val="SingleTxtG"/>
      </w:pPr>
      <w:r w:rsidRPr="000A15F8">
        <w:t>106.</w:t>
      </w:r>
      <w:r w:rsidRPr="000A15F8">
        <w:tab/>
        <w:t>Минимальный размер оплаты труда — денежное выражение месячной тарифной ставки по первому разряду Единой тарифной сетки по оплате труда с тарифным коэффициентом 1,0.</w:t>
      </w:r>
    </w:p>
    <w:p w14:paraId="69229343" w14:textId="77777777" w:rsidR="00CB351A" w:rsidRPr="000A15F8" w:rsidRDefault="00CB351A" w:rsidP="00CB351A">
      <w:pPr>
        <w:pStyle w:val="SingleTxtG"/>
      </w:pPr>
      <w:r w:rsidRPr="000A15F8">
        <w:t>107.</w:t>
      </w:r>
      <w:r w:rsidRPr="000A15F8">
        <w:tab/>
        <w:t xml:space="preserve">МРОТ применяется в сфере трудовых отношений для определения суммы должностного оклада, надбавок, доплат, гонораров, компенсационных выплат за </w:t>
      </w:r>
      <w:r w:rsidRPr="000A15F8">
        <w:lastRenderedPageBreak/>
        <w:t>дополнительную работу и других видов выплат стимулирующего характера, а также удержаний, установленных законодательством, и других платежей, ранее установленных в отношении к МРЗП, а также определения нуждаемости семьи в социальной поддержке и размера пособия по безработице.</w:t>
      </w:r>
    </w:p>
    <w:p w14:paraId="6E785717" w14:textId="77777777" w:rsidR="00CB351A" w:rsidRPr="000A15F8" w:rsidRDefault="00CB351A" w:rsidP="00CB351A">
      <w:pPr>
        <w:pStyle w:val="SingleTxtG"/>
      </w:pPr>
      <w:r w:rsidRPr="000A15F8">
        <w:t>108.</w:t>
      </w:r>
      <w:r w:rsidRPr="000A15F8">
        <w:tab/>
        <w:t>МРОТ является обязательным для всех работодателей, независимо от организационно-правовой формы и трудовых отношений, в качестве нижней границы оплаты труда работников, полностью выполнивших установленные трудовые нормы.</w:t>
      </w:r>
    </w:p>
    <w:p w14:paraId="19B200D3" w14:textId="77777777" w:rsidR="00CB351A" w:rsidRPr="000A15F8" w:rsidRDefault="00CB351A" w:rsidP="00CB351A">
      <w:pPr>
        <w:pStyle w:val="SingleTxtG"/>
      </w:pPr>
      <w:r w:rsidRPr="000A15F8">
        <w:t>109.</w:t>
      </w:r>
      <w:r w:rsidRPr="000A15F8">
        <w:tab/>
        <w:t>В новой редакции ТК внесена статья, предусматривающая установление минимального размера оплаты труда.</w:t>
      </w:r>
    </w:p>
    <w:p w14:paraId="5CD64EAE" w14:textId="77777777" w:rsidR="00CB351A" w:rsidRPr="000A15F8" w:rsidRDefault="00CB351A" w:rsidP="00CB351A">
      <w:pPr>
        <w:pStyle w:val="SingleTxtG"/>
      </w:pPr>
      <w:r w:rsidRPr="000A15F8">
        <w:t>110.</w:t>
      </w:r>
      <w:r w:rsidRPr="000A15F8">
        <w:tab/>
        <w:t>Согласно данной статьи, минимальный размер оплаты труда устанавливается Президентом, одновременно на всей территории Узбекистана не реже одного раза в год и является обязательным для всех работодателей независимо от форм собственности и хозяйствования.</w:t>
      </w:r>
    </w:p>
    <w:p w14:paraId="2495539C" w14:textId="77777777" w:rsidR="00CB351A" w:rsidRPr="000A15F8" w:rsidRDefault="00CB351A" w:rsidP="00CB351A">
      <w:pPr>
        <w:pStyle w:val="SingleTxtG"/>
      </w:pPr>
      <w:r w:rsidRPr="000A15F8">
        <w:t>111.</w:t>
      </w:r>
      <w:r w:rsidRPr="000A15F8">
        <w:tab/>
        <w:t>Месячный размер оплаты груда, работника, отработавшего месячную норму рабочего времени и выполнившего определенную трудовым договором трудовую функцию, не может быть ниже установленного законодательством минимального размера оплаты труда.</w:t>
      </w:r>
    </w:p>
    <w:p w14:paraId="0FB55ED1" w14:textId="77777777" w:rsidR="00CB351A" w:rsidRPr="00643474" w:rsidRDefault="00CB351A" w:rsidP="00CB351A">
      <w:pPr>
        <w:pStyle w:val="H1G"/>
      </w:pPr>
      <w:r>
        <w:tab/>
      </w:r>
      <w:r>
        <w:tab/>
      </w:r>
      <w:r w:rsidRPr="00643474">
        <w:t>Пункт 11</w:t>
      </w:r>
    </w:p>
    <w:p w14:paraId="3C0334EB" w14:textId="77777777" w:rsidR="00CB351A" w:rsidRPr="00D421A9" w:rsidRDefault="00CB351A" w:rsidP="00CB351A">
      <w:pPr>
        <w:pStyle w:val="SingleTxtG"/>
      </w:pPr>
      <w:r w:rsidRPr="00D421A9">
        <w:t>112.</w:t>
      </w:r>
      <w:r w:rsidRPr="00D421A9">
        <w:tab/>
        <w:t>В Законе «О профессиональных союзах» от 06.12.2019 г. впервые введена статья, раскрывающая основные понятия, как «профсоюз», «первичная профсоюзная организация», «подразделение профсоюза», «объединение профсоюзов».</w:t>
      </w:r>
    </w:p>
    <w:p w14:paraId="6211EFAA" w14:textId="77777777" w:rsidR="00CB351A" w:rsidRPr="00865DA7" w:rsidRDefault="00CB351A" w:rsidP="00CB351A">
      <w:pPr>
        <w:pStyle w:val="SingleTxtG"/>
      </w:pPr>
      <w:r w:rsidRPr="00D421A9">
        <w:t>113.</w:t>
      </w:r>
      <w:r w:rsidRPr="00D421A9">
        <w:tab/>
        <w:t>Согласно ст.</w:t>
      </w:r>
      <w:r>
        <w:t xml:space="preserve"> </w:t>
      </w:r>
      <w:r w:rsidRPr="00D421A9">
        <w:t xml:space="preserve">8 Закона «принадлежность или непринадлежность к профсоюзам не влечет за собой какого-либо ограничения трудовых, иных социально-экономических, политических, личных прав, свобод и законных интересов граждан, гарантируемых законодательством. </w:t>
      </w:r>
      <w:r w:rsidRPr="00865DA7">
        <w:t xml:space="preserve">Запрещается обуславливать прием на работу, продвижение по работе, а также прекращение трудового договора с работником принадлежностью к определенному профсоюзу, вступлением или выходом из него. </w:t>
      </w:r>
    </w:p>
    <w:p w14:paraId="652433DB" w14:textId="77777777" w:rsidR="00CB351A" w:rsidRPr="00865DA7" w:rsidRDefault="00CB351A" w:rsidP="00CB351A">
      <w:pPr>
        <w:pStyle w:val="SingleTxtG"/>
      </w:pPr>
      <w:r w:rsidRPr="00865DA7">
        <w:rPr>
          <w:rStyle w:val="clausesuff"/>
        </w:rPr>
        <w:t>114.</w:t>
      </w:r>
      <w:r w:rsidRPr="00865DA7">
        <w:rPr>
          <w:rStyle w:val="clausesuff"/>
        </w:rPr>
        <w:tab/>
        <w:t>Ст</w:t>
      </w:r>
      <w:r>
        <w:rPr>
          <w:rStyle w:val="clausesuff"/>
        </w:rPr>
        <w:t>. </w:t>
      </w:r>
      <w:r w:rsidRPr="00865DA7">
        <w:rPr>
          <w:rStyle w:val="clausesuff"/>
        </w:rPr>
        <w:t xml:space="preserve">12 Закона </w:t>
      </w:r>
      <w:r w:rsidRPr="00865DA7">
        <w:t xml:space="preserve">предоставляет гарантии </w:t>
      </w:r>
      <w:r w:rsidRPr="00865DA7">
        <w:rPr>
          <w:rStyle w:val="clausesuff"/>
        </w:rPr>
        <w:t xml:space="preserve">невмешательства в деятельность профсоюзов, их объединений. </w:t>
      </w:r>
      <w:r w:rsidRPr="00865DA7">
        <w:t xml:space="preserve">Предусматривается право профессиональных союзов образовывать национальные федерации или конфедерации и право последних основывать международные профессиональные организации или присоединяться к таковым. </w:t>
      </w:r>
    </w:p>
    <w:p w14:paraId="38E6565D" w14:textId="77777777" w:rsidR="00CB351A" w:rsidRPr="00865DA7" w:rsidRDefault="00CB351A" w:rsidP="00CB351A">
      <w:pPr>
        <w:pStyle w:val="SingleTxtG"/>
      </w:pPr>
      <w:r w:rsidRPr="00865DA7">
        <w:t>115.</w:t>
      </w:r>
      <w:r w:rsidRPr="00865DA7">
        <w:tab/>
        <w:t>Согласно данному Закону права профсоюзов предоставлены и объединениям профсоюзов, впервые раскрыты основные принципы деятельности профсоюзов: законность, добровольность, недопустимость дискриминации, независимость и самоуправление, гласность и открытость.</w:t>
      </w:r>
    </w:p>
    <w:p w14:paraId="778C06A6" w14:textId="77777777" w:rsidR="00CB351A" w:rsidRPr="00865DA7" w:rsidRDefault="00CB351A" w:rsidP="00CB351A">
      <w:pPr>
        <w:pStyle w:val="SingleTxtG"/>
      </w:pPr>
      <w:r w:rsidRPr="00865DA7">
        <w:t>116.</w:t>
      </w:r>
      <w:r w:rsidRPr="00865DA7">
        <w:tab/>
        <w:t>Весьма важным нововведением Закона является упрощение создания и регистрация профсоюзов. При этом подразделение профсоюзов и первичные профсоюзные организации могут быть созданы как со статусом, так и без статуса юридического лица. Государственной регистрации подлежат только те из них, которые имеют статус юридического лица, а те, кто не имеет этого статуса</w:t>
      </w:r>
      <w:r>
        <w:t xml:space="preserve">, </w:t>
      </w:r>
      <w:r w:rsidRPr="00865DA7">
        <w:t>регистрируются самими профсоюзами.</w:t>
      </w:r>
    </w:p>
    <w:p w14:paraId="51E7F87A" w14:textId="77777777" w:rsidR="00CB351A" w:rsidRPr="00865DA7" w:rsidRDefault="00CB351A" w:rsidP="00CB351A">
      <w:pPr>
        <w:pStyle w:val="SingleTxtG"/>
      </w:pPr>
      <w:r w:rsidRPr="00865DA7">
        <w:t>117.</w:t>
      </w:r>
      <w:r w:rsidRPr="00865DA7">
        <w:tab/>
        <w:t>Государственные органы, их должностные лица, а также работодатели не могут быть инициаторами создания профсоюзов, а также членами их руководящих органов. Эта норма соответствуют положениям Конвенции МОТ № 98 о применении принципов права на организацию и на ведение коллективных переговоров.</w:t>
      </w:r>
    </w:p>
    <w:p w14:paraId="4B3448FF" w14:textId="77777777" w:rsidR="00CB351A" w:rsidRPr="00865DA7" w:rsidRDefault="00CB351A" w:rsidP="00CB351A">
      <w:pPr>
        <w:pStyle w:val="SingleTxtG"/>
      </w:pPr>
      <w:r w:rsidRPr="00865DA7">
        <w:t>118.</w:t>
      </w:r>
      <w:r w:rsidRPr="00865DA7">
        <w:tab/>
        <w:t>Закон также предоставляет защиту имущественных прав профсоюзов. При этом профсоюзам запрещается оказывать финансовую поддержку объединением работодателей и политическим партиям.</w:t>
      </w:r>
    </w:p>
    <w:p w14:paraId="2FE12EF6" w14:textId="77777777" w:rsidR="00CB351A" w:rsidRPr="00865DA7" w:rsidRDefault="00CB351A" w:rsidP="00CB351A">
      <w:pPr>
        <w:pStyle w:val="SingleTxtG"/>
      </w:pPr>
      <w:r w:rsidRPr="00865DA7">
        <w:t>119.</w:t>
      </w:r>
      <w:r w:rsidRPr="00865DA7">
        <w:tab/>
        <w:t>Принятый Закон «О профессиональных союзах» соответствует ст</w:t>
      </w:r>
      <w:r>
        <w:t>. </w:t>
      </w:r>
      <w:r w:rsidRPr="00865DA7">
        <w:t>8 Международного пакта об экономических, социальных и культурных правах.</w:t>
      </w:r>
    </w:p>
    <w:p w14:paraId="6CD3626A" w14:textId="77777777" w:rsidR="00CB351A" w:rsidRPr="00865DA7" w:rsidRDefault="00CB351A" w:rsidP="00CB351A">
      <w:pPr>
        <w:pStyle w:val="SingleTxtG"/>
      </w:pPr>
      <w:r w:rsidRPr="00865DA7">
        <w:lastRenderedPageBreak/>
        <w:t>120.</w:t>
      </w:r>
      <w:r w:rsidRPr="00865DA7">
        <w:tab/>
        <w:t>Проект Кодекса о неправительственных некоммерческих организациях приведен в соответствие со ст</w:t>
      </w:r>
      <w:r>
        <w:t>.</w:t>
      </w:r>
      <w:r w:rsidRPr="00865DA7">
        <w:t xml:space="preserve"> 8 Пакта путем устранения административных барьеров, а именно предусматриваются:</w:t>
      </w:r>
    </w:p>
    <w:p w14:paraId="04736E8D" w14:textId="77777777" w:rsidR="00CB351A" w:rsidRPr="00643474" w:rsidRDefault="00CB351A" w:rsidP="00CB351A">
      <w:pPr>
        <w:pStyle w:val="Bullet1G"/>
        <w:numPr>
          <w:ilvl w:val="0"/>
          <w:numId w:val="4"/>
        </w:numPr>
      </w:pPr>
      <w:r w:rsidRPr="00643474">
        <w:t>конкретизация принципов деятельности НПО;</w:t>
      </w:r>
    </w:p>
    <w:p w14:paraId="5B64DC61" w14:textId="77777777" w:rsidR="00CB351A" w:rsidRPr="00643474" w:rsidRDefault="00CB351A" w:rsidP="00CB351A">
      <w:pPr>
        <w:pStyle w:val="Bullet1G"/>
        <w:numPr>
          <w:ilvl w:val="0"/>
          <w:numId w:val="4"/>
        </w:numPr>
      </w:pPr>
      <w:r w:rsidRPr="00643474">
        <w:t>расширение организационно-правовых форм НПО;</w:t>
      </w:r>
    </w:p>
    <w:p w14:paraId="4767682E" w14:textId="77777777" w:rsidR="00CB351A" w:rsidRPr="00643474" w:rsidRDefault="00CB351A" w:rsidP="00CB351A">
      <w:pPr>
        <w:pStyle w:val="Bullet1G"/>
        <w:numPr>
          <w:ilvl w:val="0"/>
          <w:numId w:val="4"/>
        </w:numPr>
      </w:pPr>
      <w:r w:rsidRPr="00643474">
        <w:t>предусмотрены нормы, направленные на дальнейшее совершенствование процесса формирования органов управления ННО и проведения заседаний коллегиальных руководящих органов;</w:t>
      </w:r>
    </w:p>
    <w:p w14:paraId="6514789D" w14:textId="77777777" w:rsidR="00CB351A" w:rsidRPr="00643474" w:rsidRDefault="00CB351A" w:rsidP="00CB351A">
      <w:pPr>
        <w:pStyle w:val="Bullet1G"/>
        <w:numPr>
          <w:ilvl w:val="0"/>
          <w:numId w:val="4"/>
        </w:numPr>
      </w:pPr>
      <w:r w:rsidRPr="00643474">
        <w:t>введение порядка оказания электронной услуги регистрирующим органом при регистрации (перерегистрации, ликвидации) НПО путем сокращения, представляемых для регистрации (перерегистрации) документов, а также упрощение процедуры регистрации (перерегистрации, ликвидации) с учетом Закона «Об административных процедурах»;</w:t>
      </w:r>
    </w:p>
    <w:p w14:paraId="5D63F8F3" w14:textId="77777777" w:rsidR="00CB351A" w:rsidRPr="00643474" w:rsidRDefault="00CB351A" w:rsidP="00CB351A">
      <w:pPr>
        <w:pStyle w:val="Bullet1G"/>
        <w:numPr>
          <w:ilvl w:val="0"/>
          <w:numId w:val="4"/>
        </w:numPr>
      </w:pPr>
      <w:r w:rsidRPr="00643474">
        <w:t>установление порядка регистрации обособленных подразделений ННО взамен отмены порядка их учета;</w:t>
      </w:r>
    </w:p>
    <w:p w14:paraId="5F525AEA" w14:textId="77777777" w:rsidR="00CB351A" w:rsidRPr="00643474" w:rsidRDefault="00CB351A" w:rsidP="00CB351A">
      <w:pPr>
        <w:pStyle w:val="Bullet1G"/>
        <w:numPr>
          <w:ilvl w:val="0"/>
          <w:numId w:val="4"/>
        </w:numPr>
      </w:pPr>
      <w:r w:rsidRPr="00643474">
        <w:t>конкретизация оснований для отказа в государственной регистрации ННО с учетом Закона «Об административных процедурах»;</w:t>
      </w:r>
    </w:p>
    <w:p w14:paraId="7576BEA3" w14:textId="77777777" w:rsidR="00CB351A" w:rsidRPr="00643474" w:rsidRDefault="00CB351A" w:rsidP="00CB351A">
      <w:pPr>
        <w:pStyle w:val="Bullet1G"/>
        <w:numPr>
          <w:ilvl w:val="0"/>
          <w:numId w:val="4"/>
        </w:numPr>
      </w:pPr>
      <w:r w:rsidRPr="00643474">
        <w:t xml:space="preserve">упрощение процедуры регистрации символики ННО путем сокращения сроков </w:t>
      </w:r>
      <w:r w:rsidRPr="00643474">
        <w:br/>
        <w:t>их рассмотрения и перечня представляемых документов.</w:t>
      </w:r>
    </w:p>
    <w:p w14:paraId="677C682D" w14:textId="77777777" w:rsidR="00CB351A" w:rsidRPr="00D421A9" w:rsidRDefault="00CB351A" w:rsidP="00CB351A">
      <w:pPr>
        <w:pStyle w:val="SingleTxtG"/>
      </w:pPr>
      <w:r w:rsidRPr="00D421A9">
        <w:t>121.</w:t>
      </w:r>
      <w:r w:rsidRPr="00D421A9">
        <w:tab/>
        <w:t>Проект Кодекса находится на завершающем этапе разработки и в скором времени будет представлен на общественное обсуждение в установленном порядке.</w:t>
      </w:r>
    </w:p>
    <w:p w14:paraId="2AB57505" w14:textId="77777777" w:rsidR="00CB351A" w:rsidRPr="00D421A9" w:rsidRDefault="00CB351A" w:rsidP="00CB351A">
      <w:pPr>
        <w:pStyle w:val="SingleTxtG"/>
      </w:pPr>
      <w:r w:rsidRPr="00D421A9">
        <w:t>122.</w:t>
      </w:r>
      <w:r w:rsidRPr="00D421A9">
        <w:tab/>
        <w:t>В проекте Закона «О митингах, собраниях и демонстрациях» предусмотрены понятия и порядок проведения «митинга», «собрания», «демонстрации», а также «уличных шествий», «пикетирования» и «флешмобов», которые определены в качестве форм демонстрации.</w:t>
      </w:r>
    </w:p>
    <w:p w14:paraId="0E56FF29" w14:textId="77777777" w:rsidR="00CB351A" w:rsidRPr="00D421A9" w:rsidRDefault="00CB351A" w:rsidP="00CB351A">
      <w:pPr>
        <w:pStyle w:val="SingleTxtG"/>
      </w:pPr>
      <w:r w:rsidRPr="00D421A9">
        <w:t>123.</w:t>
      </w:r>
      <w:r w:rsidRPr="00D421A9">
        <w:tab/>
        <w:t>Реализация прав граждан на проведение митингов, собраний и демонстраций предусмотрены ст</w:t>
      </w:r>
      <w:r>
        <w:t>.</w:t>
      </w:r>
      <w:r w:rsidRPr="00D421A9">
        <w:t xml:space="preserve"> 10 и 11 законопроекта. </w:t>
      </w:r>
    </w:p>
    <w:p w14:paraId="3A87802B" w14:textId="77777777" w:rsidR="00CB351A" w:rsidRPr="00D421A9" w:rsidRDefault="00CB351A" w:rsidP="00CB351A">
      <w:pPr>
        <w:pStyle w:val="SingleTxtG"/>
      </w:pPr>
      <w:r w:rsidRPr="00D421A9">
        <w:t>124.</w:t>
      </w:r>
      <w:r w:rsidRPr="00D421A9">
        <w:tab/>
        <w:t>В ст</w:t>
      </w:r>
      <w:r>
        <w:t>. </w:t>
      </w:r>
      <w:r w:rsidRPr="00D421A9">
        <w:t xml:space="preserve">5 Закона установлены ограничения, связанные с организацией и проведением митингов, собраний и демонстраций, а именно: </w:t>
      </w:r>
    </w:p>
    <w:p w14:paraId="7B4CB4E7" w14:textId="77777777" w:rsidR="00CB351A" w:rsidRPr="00865DA7" w:rsidRDefault="00CB351A" w:rsidP="00CB351A">
      <w:pPr>
        <w:pStyle w:val="Bullet1G"/>
        <w:numPr>
          <w:ilvl w:val="0"/>
          <w:numId w:val="4"/>
        </w:numPr>
      </w:pPr>
      <w:r w:rsidRPr="00865DA7">
        <w:t xml:space="preserve">проводить их в целях насильственного свержения конституционного строя, разжигания национальной, расовой или религиозной вражды, пропаганды насилия и войны; </w:t>
      </w:r>
    </w:p>
    <w:p w14:paraId="48C50677" w14:textId="77777777" w:rsidR="00CB351A" w:rsidRPr="00865DA7" w:rsidRDefault="00CB351A" w:rsidP="00CB351A">
      <w:pPr>
        <w:pStyle w:val="Bullet1G"/>
        <w:numPr>
          <w:ilvl w:val="0"/>
          <w:numId w:val="4"/>
        </w:numPr>
      </w:pPr>
      <w:r w:rsidRPr="00865DA7">
        <w:t xml:space="preserve">воспрепятствовать работе государственных органов и организаций, предприятий и учреждений; </w:t>
      </w:r>
    </w:p>
    <w:p w14:paraId="4995E982" w14:textId="77777777" w:rsidR="00CB351A" w:rsidRPr="00865DA7" w:rsidRDefault="00CB351A" w:rsidP="00CB351A">
      <w:pPr>
        <w:pStyle w:val="Bullet1G"/>
        <w:numPr>
          <w:ilvl w:val="0"/>
          <w:numId w:val="4"/>
        </w:numPr>
      </w:pPr>
      <w:r w:rsidRPr="00865DA7">
        <w:t>распространять заведомо ложные сведения, умышленно унижающие честь и достоинство человека;</w:t>
      </w:r>
    </w:p>
    <w:p w14:paraId="172BF7BF" w14:textId="77777777" w:rsidR="00CB351A" w:rsidRPr="00865DA7" w:rsidRDefault="00CB351A" w:rsidP="00CB351A">
      <w:pPr>
        <w:pStyle w:val="Bullet1G"/>
        <w:numPr>
          <w:ilvl w:val="0"/>
          <w:numId w:val="4"/>
        </w:numPr>
      </w:pPr>
      <w:r w:rsidRPr="00865DA7">
        <w:t xml:space="preserve">использовать транспортные средства на территории проведения митинга, собрания и демонстрации; </w:t>
      </w:r>
    </w:p>
    <w:p w14:paraId="0CCC13DC" w14:textId="77777777" w:rsidR="00CB351A" w:rsidRPr="00865DA7" w:rsidRDefault="00CB351A" w:rsidP="00CB351A">
      <w:pPr>
        <w:pStyle w:val="Bullet1G"/>
        <w:numPr>
          <w:ilvl w:val="0"/>
          <w:numId w:val="4"/>
        </w:numPr>
      </w:pPr>
      <w:r w:rsidRPr="00865DA7">
        <w:t>участвовать в состоянии алкогольного, наркотического или иного опьянения, а также употреблять алкогольные продукции, психотропные или другие вещества, влияющие на интеллектуально-волевую деятельность человека и др.</w:t>
      </w:r>
    </w:p>
    <w:p w14:paraId="0C229E9D" w14:textId="77777777" w:rsidR="00CB351A" w:rsidRPr="00865DA7" w:rsidRDefault="00CB351A" w:rsidP="00CB351A">
      <w:pPr>
        <w:pStyle w:val="SingleTxtG"/>
      </w:pPr>
      <w:r w:rsidRPr="00865DA7">
        <w:t>125.</w:t>
      </w:r>
      <w:r w:rsidRPr="00865DA7">
        <w:tab/>
        <w:t xml:space="preserve">Что касается вопроса проведения забастовки, то в настоящее время на портале </w:t>
      </w:r>
      <w:hyperlink r:id="rId11" w:history="1">
        <w:r w:rsidRPr="00266300">
          <w:rPr>
            <w:rFonts w:eastAsiaTheme="minorHAnsi" w:cstheme="minorBidi"/>
            <w:color w:val="0000FF"/>
            <w:szCs w:val="22"/>
          </w:rPr>
          <w:t>regulation.gov.uz</w:t>
        </w:r>
      </w:hyperlink>
      <w:r w:rsidRPr="00865DA7">
        <w:t xml:space="preserve"> опубликован Трудовой кодекс (новая редакция), где закрепляется отдельное положение, касающееся права на забастовки профсоюзов. </w:t>
      </w:r>
    </w:p>
    <w:p w14:paraId="272BAFA6" w14:textId="77777777" w:rsidR="00CB351A" w:rsidRPr="00865DA7" w:rsidRDefault="00CB351A" w:rsidP="00CB351A">
      <w:pPr>
        <w:pStyle w:val="SingleTxtG"/>
      </w:pPr>
      <w:r w:rsidRPr="00865DA7">
        <w:t>126.</w:t>
      </w:r>
      <w:r w:rsidRPr="00865DA7">
        <w:tab/>
        <w:t>В ст</w:t>
      </w:r>
      <w:r>
        <w:t>.</w:t>
      </w:r>
      <w:r w:rsidRPr="00865DA7">
        <w:t xml:space="preserve"> 625 проекта Трудового кодекса закреплено, что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соглашения, достигнутого в ходе разрешения коллективного трудового спора, работники могут принять решение о проведении забастовки, в качестве крайнего способа разрешения коллективного трудового спора. Не допускается </w:t>
      </w:r>
      <w:r w:rsidRPr="00865DA7">
        <w:lastRenderedPageBreak/>
        <w:t>проведение забастовки в целях разрешения коллективного трудового спора в случаях, предусмотренных частями первой, второй и третьей ст</w:t>
      </w:r>
      <w:r>
        <w:t>.</w:t>
      </w:r>
      <w:r w:rsidRPr="00865DA7">
        <w:t xml:space="preserve"> 629 вышеуказанного проекта Кодекса. </w:t>
      </w:r>
    </w:p>
    <w:p w14:paraId="51FE3923" w14:textId="77777777" w:rsidR="00CB351A" w:rsidRPr="00643474" w:rsidRDefault="00CB351A" w:rsidP="00CB351A">
      <w:pPr>
        <w:pStyle w:val="H1G"/>
      </w:pPr>
      <w:r>
        <w:tab/>
      </w:r>
      <w:r>
        <w:tab/>
      </w:r>
      <w:r w:rsidRPr="00643474">
        <w:t>Пункт 12</w:t>
      </w:r>
    </w:p>
    <w:p w14:paraId="20E2D8A5" w14:textId="77777777" w:rsidR="00CB351A" w:rsidRPr="00643474" w:rsidRDefault="00CB351A" w:rsidP="00CB351A">
      <w:pPr>
        <w:pStyle w:val="SingleTxtG"/>
      </w:pPr>
      <w:r w:rsidRPr="00643474">
        <w:t>127</w:t>
      </w:r>
      <w:r>
        <w:t>.</w:t>
      </w:r>
      <w:r>
        <w:tab/>
      </w:r>
      <w:r w:rsidRPr="00643474">
        <w:t>Информация по данному Пункту доступна в приложении.</w:t>
      </w:r>
    </w:p>
    <w:p w14:paraId="399DFF1E" w14:textId="77777777" w:rsidR="00CB351A" w:rsidRPr="00643474" w:rsidRDefault="00CB351A" w:rsidP="00CB351A">
      <w:pPr>
        <w:pStyle w:val="H1G"/>
      </w:pPr>
      <w:r>
        <w:tab/>
      </w:r>
      <w:r>
        <w:tab/>
      </w:r>
      <w:r w:rsidRPr="00643474">
        <w:t>Пункт 13</w:t>
      </w:r>
    </w:p>
    <w:p w14:paraId="7D50FF2E" w14:textId="77777777" w:rsidR="00CB351A" w:rsidRPr="00D421A9" w:rsidRDefault="00CB351A" w:rsidP="00CB351A">
      <w:pPr>
        <w:pStyle w:val="SingleTxtG"/>
      </w:pPr>
      <w:r w:rsidRPr="00D421A9">
        <w:t>128.</w:t>
      </w:r>
      <w:r w:rsidRPr="00D421A9">
        <w:tab/>
      </w:r>
      <w:r w:rsidRPr="00890BAE">
        <w:t>В соответствии с п. 37 Плана мер, разработанного исходя из Послания Президента в Парламент</w:t>
      </w:r>
      <w:r w:rsidRPr="00D421A9">
        <w:t xml:space="preserve"> 24 января 2020 года, начата разработка проекта Концепции социальной защиты и внесение ее в установленном порядке в Правительство. </w:t>
      </w:r>
    </w:p>
    <w:p w14:paraId="275A8D63" w14:textId="77777777" w:rsidR="00CB351A" w:rsidRPr="00D421A9" w:rsidRDefault="00CB351A" w:rsidP="00CB351A">
      <w:pPr>
        <w:pStyle w:val="SingleTxtG"/>
      </w:pPr>
      <w:r w:rsidRPr="00D421A9">
        <w:t>129.</w:t>
      </w:r>
      <w:r w:rsidRPr="00D421A9">
        <w:tab/>
        <w:t>«Дорожной картой» по реализации Национальной стратегии по правам человека (п.</w:t>
      </w:r>
      <w:r>
        <w:t xml:space="preserve"> </w:t>
      </w:r>
      <w:r w:rsidRPr="00D421A9">
        <w:t xml:space="preserve">45) предусмотрена разработка Концепции социальной защиты населения, в которой предусматривается: </w:t>
      </w:r>
    </w:p>
    <w:p w14:paraId="57EEC43D" w14:textId="77777777" w:rsidR="00CB351A" w:rsidRPr="00865DA7" w:rsidRDefault="00CB351A" w:rsidP="00CB351A">
      <w:pPr>
        <w:pStyle w:val="Bullet1G"/>
        <w:numPr>
          <w:ilvl w:val="0"/>
          <w:numId w:val="4"/>
        </w:numPr>
      </w:pPr>
      <w:r w:rsidRPr="00865DA7">
        <w:t xml:space="preserve">внедрение совершенной системы выплаты социальных пособий; </w:t>
      </w:r>
    </w:p>
    <w:p w14:paraId="7DEB379E" w14:textId="77777777" w:rsidR="00CB351A" w:rsidRPr="00865DA7" w:rsidRDefault="00CB351A" w:rsidP="00CB351A">
      <w:pPr>
        <w:pStyle w:val="Bullet1G"/>
        <w:numPr>
          <w:ilvl w:val="0"/>
          <w:numId w:val="4"/>
        </w:numPr>
      </w:pPr>
      <w:r w:rsidRPr="00865DA7">
        <w:t>создание</w:t>
      </w:r>
      <w:r>
        <w:t xml:space="preserve"> </w:t>
      </w:r>
      <w:r w:rsidRPr="00865DA7">
        <w:t>критериев</w:t>
      </w:r>
      <w:r>
        <w:t xml:space="preserve"> </w:t>
      </w:r>
      <w:r w:rsidRPr="00865DA7">
        <w:t xml:space="preserve">определения малообеспеченных и слоев населения с низким уровнем дохода; </w:t>
      </w:r>
    </w:p>
    <w:p w14:paraId="43C191F9" w14:textId="77777777" w:rsidR="00CB351A" w:rsidRPr="00865DA7" w:rsidRDefault="00CB351A" w:rsidP="00CB351A">
      <w:pPr>
        <w:pStyle w:val="Bullet1G"/>
        <w:numPr>
          <w:ilvl w:val="0"/>
          <w:numId w:val="4"/>
        </w:numPr>
      </w:pPr>
      <w:r w:rsidRPr="00865DA7">
        <w:t xml:space="preserve">пересмотр критериев в назначении пособий и создание открытой и справедливой системы их определения; </w:t>
      </w:r>
    </w:p>
    <w:p w14:paraId="7409D4BF" w14:textId="77777777" w:rsidR="00CB351A" w:rsidRPr="00865DA7" w:rsidRDefault="00CB351A" w:rsidP="00CB351A">
      <w:pPr>
        <w:pStyle w:val="Bullet1G"/>
        <w:numPr>
          <w:ilvl w:val="0"/>
          <w:numId w:val="4"/>
        </w:numPr>
      </w:pPr>
      <w:r w:rsidRPr="00865DA7">
        <w:t xml:space="preserve">совершенствование системы выплаты субсидий из Государственного бюджета на покрытие части первоначального взноса и (или) процентов по ипотечному кредиту, выделенному на основе рыночных принципов лицам, нуждающимся в улучшении жилищных условий и др. </w:t>
      </w:r>
    </w:p>
    <w:p w14:paraId="383394AE" w14:textId="77777777" w:rsidR="00CB351A" w:rsidRPr="00865DA7" w:rsidRDefault="00CB351A" w:rsidP="00CB351A">
      <w:pPr>
        <w:pStyle w:val="SingleTxtG"/>
      </w:pPr>
      <w:r w:rsidRPr="00865DA7">
        <w:t>130.</w:t>
      </w:r>
      <w:r w:rsidRPr="00865DA7">
        <w:tab/>
        <w:t>В целях дальнейшего совершенствования системы государственной поддержки пожилых людей, лиц с ограниченными возможностями и одиноких престарелых, 28.12.2016 г. принято Постановление «О дополнительных мерах по дальнейшему совершенствованию системы государственной поддержки престарелых и инвалидов», утвержден Комплекс мер по дальнейшему совершенствованию системы государственной поддержки престарелых и инвалидов на 2017</w:t>
      </w:r>
      <w:r>
        <w:t>–</w:t>
      </w:r>
      <w:r w:rsidRPr="00865DA7">
        <w:t xml:space="preserve">2020 годы. </w:t>
      </w:r>
    </w:p>
    <w:p w14:paraId="2DDBA344" w14:textId="77777777" w:rsidR="00CB351A" w:rsidRPr="00862334" w:rsidRDefault="00CB351A" w:rsidP="00CB351A">
      <w:pPr>
        <w:pStyle w:val="SingleTxtG"/>
      </w:pPr>
      <w:r w:rsidRPr="00862334">
        <w:t>131.</w:t>
      </w:r>
      <w:r w:rsidRPr="00862334">
        <w:tab/>
        <w:t xml:space="preserve">1.03.2019 г. принято Постановление «О дополнительных мерах по усилению социальной защиты детей-сирот и детей, оставшихся без попечения родителей» от 11.02.2019 г., которым: </w:t>
      </w:r>
    </w:p>
    <w:p w14:paraId="5E132930" w14:textId="77777777" w:rsidR="00CB351A" w:rsidRPr="00E54644" w:rsidRDefault="00CB351A" w:rsidP="00CB351A">
      <w:pPr>
        <w:pStyle w:val="Bullet1G"/>
        <w:numPr>
          <w:ilvl w:val="0"/>
          <w:numId w:val="4"/>
        </w:numPr>
      </w:pPr>
      <w:r w:rsidRPr="00EF4E7D">
        <w:t xml:space="preserve">размер пособия, выплачиваемого каждому ребенку, принятому на воспитание в семью </w:t>
      </w:r>
      <w:r w:rsidRPr="00E54644">
        <w:t xml:space="preserve">(патронат), увеличен в 1,33 раза и составляет 820 000 </w:t>
      </w:r>
      <w:proofErr w:type="spellStart"/>
      <w:r w:rsidRPr="00E54644">
        <w:t>сумов</w:t>
      </w:r>
      <w:proofErr w:type="spellEnd"/>
      <w:r w:rsidRPr="00E54644">
        <w:t>;</w:t>
      </w:r>
    </w:p>
    <w:p w14:paraId="20200D33" w14:textId="77777777" w:rsidR="00CB351A" w:rsidRPr="000A15F8" w:rsidRDefault="00CB351A" w:rsidP="00CB351A">
      <w:pPr>
        <w:pStyle w:val="Bullet1G"/>
        <w:numPr>
          <w:ilvl w:val="0"/>
          <w:numId w:val="4"/>
        </w:numPr>
      </w:pPr>
      <w:r w:rsidRPr="000A15F8">
        <w:t>утверждена «Дорожная карта» по усилению социальной защиты детей-сирот и детей, оставшихся без попечения родителей и др.</w:t>
      </w:r>
    </w:p>
    <w:p w14:paraId="08A7338C" w14:textId="77777777" w:rsidR="00CB351A" w:rsidRPr="000A15F8" w:rsidRDefault="00CB351A" w:rsidP="00CB351A">
      <w:pPr>
        <w:pStyle w:val="SingleTxtG"/>
      </w:pPr>
      <w:r w:rsidRPr="000A15F8">
        <w:t>132.</w:t>
      </w:r>
      <w:r w:rsidRPr="000A15F8">
        <w:tab/>
        <w:t>22.04.2019</w:t>
      </w:r>
      <w:r>
        <w:t> </w:t>
      </w:r>
      <w:r w:rsidRPr="000A15F8">
        <w:t>г. принято Постановление «О дополнительных мерах по дальнейшему усилению гарантий прав ребенка», которым:</w:t>
      </w:r>
    </w:p>
    <w:p w14:paraId="1171496B" w14:textId="77777777" w:rsidR="00CB351A" w:rsidRPr="000A15F8" w:rsidRDefault="00CB351A" w:rsidP="00CB351A">
      <w:pPr>
        <w:pStyle w:val="Bullet1G"/>
        <w:numPr>
          <w:ilvl w:val="0"/>
          <w:numId w:val="4"/>
        </w:numPr>
      </w:pPr>
      <w:r w:rsidRPr="000A15F8">
        <w:t>детям, оставшимся без попечения родителей, до достижения ими возраста восемнадцати лет предоставляется право бронирования жилого помещения в муниципальном и коммунальном жилищных фондах целевого назначения, в котором они проживали, на весь период нахождения в домах «</w:t>
      </w:r>
      <w:proofErr w:type="spellStart"/>
      <w:r w:rsidRPr="000A15F8">
        <w:t>Мехрибонлик</w:t>
      </w:r>
      <w:proofErr w:type="spellEnd"/>
      <w:r w:rsidRPr="000A15F8">
        <w:t>» либо проживания с согласия органа опеки и попечительства с опекуном или попечителем;</w:t>
      </w:r>
    </w:p>
    <w:p w14:paraId="421A5341" w14:textId="77777777" w:rsidR="00CB351A" w:rsidRPr="000A15F8" w:rsidRDefault="00CB351A" w:rsidP="00CB351A">
      <w:pPr>
        <w:pStyle w:val="Bullet1G"/>
        <w:numPr>
          <w:ilvl w:val="0"/>
          <w:numId w:val="4"/>
        </w:numPr>
      </w:pPr>
      <w:r w:rsidRPr="000A15F8">
        <w:t>детям оказываются все виды социальных услуг независимо от места их регистрации и гражданства;</w:t>
      </w:r>
    </w:p>
    <w:p w14:paraId="06F8C619" w14:textId="77777777" w:rsidR="00CB351A" w:rsidRPr="000A15F8" w:rsidRDefault="00CB351A" w:rsidP="00CB351A">
      <w:pPr>
        <w:pStyle w:val="Bullet1G"/>
        <w:numPr>
          <w:ilvl w:val="0"/>
          <w:numId w:val="4"/>
        </w:numPr>
      </w:pPr>
      <w:r w:rsidRPr="000A15F8">
        <w:t>введена должность заместителя Уполномоченного правам человека (омбудсм</w:t>
      </w:r>
      <w:r>
        <w:t>е</w:t>
      </w:r>
      <w:r w:rsidRPr="000A15F8">
        <w:t>на) — Уполномоченного по правам ребенка;</w:t>
      </w:r>
    </w:p>
    <w:p w14:paraId="10D46CA0" w14:textId="77777777" w:rsidR="00CB351A" w:rsidRPr="000A15F8" w:rsidRDefault="00CB351A" w:rsidP="00CB351A">
      <w:pPr>
        <w:pStyle w:val="Bullet1G"/>
        <w:numPr>
          <w:ilvl w:val="0"/>
          <w:numId w:val="4"/>
        </w:numPr>
      </w:pPr>
      <w:r w:rsidRPr="000A15F8">
        <w:lastRenderedPageBreak/>
        <w:t>предусмотрено принятие Закона «О социальной защите детей-сирот и детей, оставшихся без попечения родителей» и др.</w:t>
      </w:r>
    </w:p>
    <w:p w14:paraId="4057EACD" w14:textId="77777777" w:rsidR="00CB351A" w:rsidRPr="000A15F8" w:rsidRDefault="00CB351A" w:rsidP="00CB351A">
      <w:pPr>
        <w:pStyle w:val="SingleTxtG"/>
      </w:pPr>
      <w:r w:rsidRPr="000A15F8">
        <w:t>133.</w:t>
      </w:r>
      <w:r w:rsidRPr="000A15F8">
        <w:tab/>
        <w:t xml:space="preserve">Приняты постановления «О дополнительных мерах государственной поддержки общественных объединений лиц с инвалидностью» от 23.08.2019 г., </w:t>
      </w:r>
      <w:r>
        <w:br/>
        <w:t>«</w:t>
      </w:r>
      <w:hyperlink r:id="rId12" w:history="1">
        <w:r w:rsidRPr="000A15F8">
          <w:t>О мерах по дальнейшему улучшению медицинской и социальной помощи детям с редкими (</w:t>
        </w:r>
        <w:proofErr w:type="spellStart"/>
        <w:r w:rsidRPr="000A15F8">
          <w:t>орфанными</w:t>
        </w:r>
        <w:proofErr w:type="spellEnd"/>
        <w:r w:rsidRPr="000A15F8">
          <w:t>) и другими наследственно-генетическими заболеваниями</w:t>
        </w:r>
      </w:hyperlink>
      <w:r w:rsidRPr="000A15F8">
        <w:t xml:space="preserve">» от 7.09.2019 г., «О мерах по совершенствованию управления системой и выбора альтернативных форм по предотвращению социального сиротства оставшихся детей без попечения родителей, укрепления института семьи и размещения детей-сирот» от 30.09.2019 г. </w:t>
      </w:r>
    </w:p>
    <w:p w14:paraId="07D7888D" w14:textId="77777777" w:rsidR="00CB351A" w:rsidRPr="000A15F8" w:rsidRDefault="00CB351A" w:rsidP="00CB351A">
      <w:pPr>
        <w:pStyle w:val="SingleTxtG"/>
      </w:pPr>
      <w:r w:rsidRPr="000A15F8">
        <w:t>134.</w:t>
      </w:r>
      <w:r w:rsidRPr="000A15F8">
        <w:tab/>
        <w:t>Постановлением «О повышении качества и дальнейшем расширении охвата медицинской помощью, оказываемой женщинам репродуктивного возраста, беременным и детям» от 8.11.2019 г., утверждена Программа мер по повышению качества и дальнейшему расширению охвата медицинской помощью, оказываемой женщинам репродуктивного возраста, беременным и детям, на 2019</w:t>
      </w:r>
      <w:r>
        <w:t>–</w:t>
      </w:r>
      <w:r w:rsidRPr="000A15F8">
        <w:t>2023 годы. При</w:t>
      </w:r>
      <w:r>
        <w:t> </w:t>
      </w:r>
      <w:r w:rsidRPr="000A15F8">
        <w:t>Правительстве образован Совет по укреплению репродуктивного здоровья населения, охране здоровья матери и ребенка, а также определены его основные задачи.</w:t>
      </w:r>
    </w:p>
    <w:p w14:paraId="729E4709" w14:textId="77777777" w:rsidR="00CB351A" w:rsidRPr="000A15F8" w:rsidRDefault="00CB351A" w:rsidP="00CB351A">
      <w:pPr>
        <w:pStyle w:val="SingleTxtG"/>
      </w:pPr>
      <w:r w:rsidRPr="000A15F8">
        <w:t>135.</w:t>
      </w:r>
      <w:r w:rsidRPr="000A15F8">
        <w:tab/>
        <w:t>Постановлением «О дополнительных мерах по дальнейшему совершенствованию системы государственной поддержки престарелых» от 28.05.2020</w:t>
      </w:r>
      <w:r>
        <w:t> </w:t>
      </w:r>
      <w:r w:rsidRPr="000A15F8">
        <w:t>г. утверждена Программа мероприятий по дальнейшему совершенствованию системы государственной поддержки пожилых людей.</w:t>
      </w:r>
    </w:p>
    <w:p w14:paraId="3D181EDA" w14:textId="77777777" w:rsidR="00CB351A" w:rsidRPr="000A15F8" w:rsidRDefault="00CB351A" w:rsidP="00CB351A">
      <w:pPr>
        <w:pStyle w:val="H1G"/>
      </w:pPr>
      <w:r w:rsidRPr="000A15F8">
        <w:tab/>
      </w:r>
      <w:r w:rsidRPr="000A15F8">
        <w:tab/>
        <w:t>Пункт 14</w:t>
      </w:r>
    </w:p>
    <w:p w14:paraId="61647154" w14:textId="77777777" w:rsidR="00CB351A" w:rsidRPr="000A15F8" w:rsidRDefault="00CB351A" w:rsidP="00CB351A">
      <w:pPr>
        <w:pStyle w:val="SingleTxtG"/>
      </w:pPr>
      <w:r w:rsidRPr="000A15F8">
        <w:t>136.</w:t>
      </w:r>
      <w:r w:rsidRPr="000A15F8">
        <w:tab/>
        <w:t>Согласно ст.</w:t>
      </w:r>
      <w:r>
        <w:rPr>
          <w:lang w:val="en-US"/>
        </w:rPr>
        <w:t> </w:t>
      </w:r>
      <w:r w:rsidRPr="000A15F8">
        <w:t>64 Конституции, государство и общество обеспечивают содержание, воспитание и образование детей-сирот и детей, лишенных родительской опеки, поощряют благотворительную деятельность по отношению к ним.</w:t>
      </w:r>
    </w:p>
    <w:p w14:paraId="655C7F13" w14:textId="77777777" w:rsidR="00CB351A" w:rsidRPr="000A15F8" w:rsidRDefault="00CB351A" w:rsidP="00CB351A">
      <w:pPr>
        <w:pStyle w:val="SingleTxtG"/>
      </w:pPr>
      <w:r w:rsidRPr="000A15F8">
        <w:t>137.</w:t>
      </w:r>
      <w:r w:rsidRPr="000A15F8">
        <w:tab/>
        <w:t>Государством принимается меры по предупреждению всех форм эксплуатации и насилия в отношении ребенка, выявлению и устранению причин и условий, способствовавших их совершению, а также оказанию необходимой педагогической, психологической, медицинской, юридической помощи детям, подвергшимся эксплуатации и насилию.</w:t>
      </w:r>
    </w:p>
    <w:p w14:paraId="2883FAC2" w14:textId="77777777" w:rsidR="00CB351A" w:rsidRPr="000A15F8" w:rsidRDefault="00CB351A" w:rsidP="00CB351A">
      <w:pPr>
        <w:pStyle w:val="SingleTxtG"/>
      </w:pPr>
      <w:r w:rsidRPr="000A15F8">
        <w:t>138.</w:t>
      </w:r>
      <w:r w:rsidRPr="000A15F8">
        <w:tab/>
        <w:t xml:space="preserve">10.03.2020 г. принят Закон, которым внесены изменения и дополнения в Семейный кодекс, </w:t>
      </w:r>
      <w:proofErr w:type="spellStart"/>
      <w:r w:rsidRPr="000A15F8">
        <w:t>Гражданско</w:t>
      </w:r>
      <w:proofErr w:type="spellEnd"/>
      <w:r w:rsidRPr="000A15F8">
        <w:t xml:space="preserve"> процессуальный кодекс, Закон «О гарантиях прав ребенка», направленные на установления дополнительных гарантий прав ребенка.</w:t>
      </w:r>
    </w:p>
    <w:p w14:paraId="6A37ABCE" w14:textId="77777777" w:rsidR="00CB351A" w:rsidRPr="000A15F8" w:rsidRDefault="00CB351A" w:rsidP="00CB351A">
      <w:pPr>
        <w:pStyle w:val="SingleTxtG"/>
      </w:pPr>
      <w:r w:rsidRPr="000A15F8">
        <w:t>139.</w:t>
      </w:r>
      <w:r w:rsidRPr="000A15F8">
        <w:tab/>
        <w:t>Указом от 29.04.2019 г. утверждена Концепция развития системы народного образования Республики Узбекистан до 2030 года, одним из приоритетных задач является внедрение в общеобразовательных учреждениях программы по предотвращению насилия (</w:t>
      </w:r>
      <w:proofErr w:type="spellStart"/>
      <w:r w:rsidRPr="000A15F8">
        <w:t>булинг</w:t>
      </w:r>
      <w:proofErr w:type="spellEnd"/>
      <w:r w:rsidRPr="000A15F8">
        <w:t>) среди учащихся на основе изучения передового опыта развитых стран.</w:t>
      </w:r>
    </w:p>
    <w:p w14:paraId="74C6FB0A" w14:textId="77777777" w:rsidR="00CB351A" w:rsidRPr="000A15F8" w:rsidRDefault="00CB351A" w:rsidP="00CB351A">
      <w:pPr>
        <w:pStyle w:val="SingleTxtG"/>
      </w:pPr>
      <w:r w:rsidRPr="000A15F8">
        <w:t>140.</w:t>
      </w:r>
      <w:r w:rsidRPr="000A15F8">
        <w:tab/>
        <w:t>На сегодняшний день в специализированных учебно-воспитательных учреждениях получают образование 356 детей, за прошедший период (2019</w:t>
      </w:r>
      <w:r>
        <w:t>–</w:t>
      </w:r>
      <w:r w:rsidRPr="000A15F8">
        <w:t>2020 гг.) 345 несовершеннолетних были благополучно реинтегрированы в свои семьи.</w:t>
      </w:r>
    </w:p>
    <w:p w14:paraId="10999C7B" w14:textId="77777777" w:rsidR="00CB351A" w:rsidRPr="000A15F8" w:rsidRDefault="00CB351A" w:rsidP="00CB351A">
      <w:pPr>
        <w:pStyle w:val="SingleTxtG"/>
      </w:pPr>
      <w:r w:rsidRPr="000A15F8">
        <w:t>141.</w:t>
      </w:r>
      <w:r w:rsidRPr="000A15F8">
        <w:tab/>
        <w:t>Постановлением «О дополнительных мерах по дальнейшему усилению гарантий прав ребенка» от 22.04.2019 г</w:t>
      </w:r>
      <w:r w:rsidRPr="00496C6C">
        <w:t>.</w:t>
      </w:r>
      <w:r w:rsidRPr="000A15F8">
        <w:t xml:space="preserve"> была введена должность Уполномоченного по правам ребенка.</w:t>
      </w:r>
    </w:p>
    <w:p w14:paraId="7014D93F" w14:textId="77777777" w:rsidR="00CB351A" w:rsidRPr="000A15F8" w:rsidRDefault="00CB351A" w:rsidP="00CB351A">
      <w:pPr>
        <w:pStyle w:val="SingleTxtG"/>
      </w:pPr>
      <w:r w:rsidRPr="000A15F8">
        <w:t>142.</w:t>
      </w:r>
      <w:r w:rsidRPr="000A15F8">
        <w:tab/>
        <w:t xml:space="preserve">Уполномоченному по правам ребенка для осуществления возложенных на него задач и функций предоставлено право регулярно и беспрепятственно посещать учреждения, службы и органы, ответственные за заботу и защиту детей, в том числе образовательные, медицинские учреждения, места содержания под стражей и учреждения по исполнению наказаний. </w:t>
      </w:r>
    </w:p>
    <w:p w14:paraId="6ADF396D" w14:textId="77777777" w:rsidR="00CB351A" w:rsidRPr="000A15F8" w:rsidRDefault="00CB351A" w:rsidP="00CB351A">
      <w:pPr>
        <w:pStyle w:val="SingleTxtG"/>
      </w:pPr>
      <w:r w:rsidRPr="000A15F8">
        <w:lastRenderedPageBreak/>
        <w:t>143.</w:t>
      </w:r>
      <w:r w:rsidRPr="000A15F8">
        <w:tab/>
        <w:t xml:space="preserve">С марта по август 2020 года Уполномоченным в </w:t>
      </w:r>
      <w:r>
        <w:t>семи</w:t>
      </w:r>
      <w:r w:rsidRPr="000A15F8">
        <w:t xml:space="preserve"> областях и г. Ташкенте проведен мониторинг 33 детских домов «</w:t>
      </w:r>
      <w:proofErr w:type="spellStart"/>
      <w:r w:rsidRPr="000A15F8">
        <w:t>Мурувват</w:t>
      </w:r>
      <w:proofErr w:type="spellEnd"/>
      <w:r w:rsidRPr="000A15F8">
        <w:t>», «</w:t>
      </w:r>
      <w:proofErr w:type="spellStart"/>
      <w:r w:rsidRPr="000A15F8">
        <w:t>Мехрибонлик</w:t>
      </w:r>
      <w:proofErr w:type="spellEnd"/>
      <w:r w:rsidRPr="000A15F8">
        <w:t>» и других специализированных детских учреждений. По итогам мониторинга представлены 10</w:t>
      </w:r>
      <w:r>
        <w:t> </w:t>
      </w:r>
      <w:r w:rsidRPr="000A15F8">
        <w:t xml:space="preserve">заключений и рекомендаций об устранении выявленных нарушений в Генеральную прокуратуру, министерства внутренних дел, здравоохранения, высшего и среднего специального образования, народного образования. </w:t>
      </w:r>
    </w:p>
    <w:p w14:paraId="10AAE809" w14:textId="77777777" w:rsidR="00CB351A" w:rsidRPr="000A15F8" w:rsidRDefault="00CB351A" w:rsidP="00CB351A">
      <w:pPr>
        <w:pStyle w:val="SingleTxtG"/>
      </w:pPr>
      <w:r w:rsidRPr="000A15F8">
        <w:t>144.</w:t>
      </w:r>
      <w:r w:rsidRPr="000A15F8">
        <w:tab/>
        <w:t xml:space="preserve">На сегодняшний день в республике зарегистрировано более 28 тыс. детей рома/люли, из которых 15 тыс. находятся на домашнем, 428 на дошкольном воспитании, 12 тыс. обучаются в школах, 98 </w:t>
      </w:r>
      <w:r>
        <w:t>—</w:t>
      </w:r>
      <w:r w:rsidRPr="000A15F8">
        <w:t xml:space="preserve"> в колледжах и лицеях, 12 </w:t>
      </w:r>
      <w:r>
        <w:t>—</w:t>
      </w:r>
      <w:r w:rsidRPr="000A15F8">
        <w:t xml:space="preserve"> в высших учебных заведениях.</w:t>
      </w:r>
    </w:p>
    <w:p w14:paraId="0794683B" w14:textId="77777777" w:rsidR="00CB351A" w:rsidRPr="000A15F8" w:rsidRDefault="00CB351A" w:rsidP="00CB351A">
      <w:pPr>
        <w:pStyle w:val="SingleTxtG"/>
      </w:pPr>
      <w:r w:rsidRPr="000A15F8">
        <w:t>145.</w:t>
      </w:r>
      <w:r w:rsidRPr="000A15F8">
        <w:tab/>
        <w:t>В целях обеспечения социальной защиты прав, свобод и законных интересов детей рома/люли проделана определенная работа: в 2018 г. свыше 1200, в 2019 г.</w:t>
      </w:r>
      <w:r>
        <w:t xml:space="preserve"> </w:t>
      </w:r>
      <w:r>
        <w:br/>
      </w:r>
      <w:r w:rsidRPr="000A15F8">
        <w:t>1400, в настоящее время 1800 детей рома/люли получают предусмотренную законодательством социальную помощь.</w:t>
      </w:r>
    </w:p>
    <w:p w14:paraId="636F536F" w14:textId="77777777" w:rsidR="00CB351A" w:rsidRPr="000A15F8" w:rsidRDefault="00CB351A" w:rsidP="00CB351A">
      <w:pPr>
        <w:pStyle w:val="SingleTxtG"/>
      </w:pPr>
      <w:r w:rsidRPr="000A15F8">
        <w:t>146.</w:t>
      </w:r>
      <w:r w:rsidRPr="000A15F8">
        <w:tab/>
        <w:t>Более 2000 детей рома/люли в 2018 г</w:t>
      </w:r>
      <w:r>
        <w:t>оду</w:t>
      </w:r>
      <w:r w:rsidRPr="000A15F8">
        <w:t xml:space="preserve">, 2100 </w:t>
      </w:r>
      <w:r>
        <w:t>—</w:t>
      </w:r>
      <w:r w:rsidRPr="000A15F8">
        <w:t xml:space="preserve"> в 2019 году и 1900 </w:t>
      </w:r>
      <w:r>
        <w:t>—</w:t>
      </w:r>
      <w:r w:rsidRPr="000A15F8">
        <w:t xml:space="preserve"> </w:t>
      </w:r>
      <w:r>
        <w:br/>
      </w:r>
      <w:r w:rsidRPr="000A15F8">
        <w:t xml:space="preserve">за прошедший период 2020 г. получили паспорта. На работу устроены в 2018 г. </w:t>
      </w:r>
      <w:r>
        <w:t>—</w:t>
      </w:r>
      <w:r w:rsidRPr="000A15F8">
        <w:t xml:space="preserve"> 159, в 2019 г. </w:t>
      </w:r>
      <w:r>
        <w:t>—</w:t>
      </w:r>
      <w:r w:rsidRPr="000A15F8">
        <w:t xml:space="preserve"> 209 и за прошедший период 2020 г. </w:t>
      </w:r>
      <w:r>
        <w:t>—</w:t>
      </w:r>
      <w:r w:rsidRPr="000A15F8">
        <w:t xml:space="preserve"> 262. В 2018 г. </w:t>
      </w:r>
      <w:r>
        <w:t>—</w:t>
      </w:r>
      <w:r w:rsidRPr="000A15F8">
        <w:t xml:space="preserve"> 13, в 2019 г. </w:t>
      </w:r>
      <w:r>
        <w:t>—</w:t>
      </w:r>
      <w:r w:rsidRPr="000A15F8">
        <w:t xml:space="preserve"> </w:t>
      </w:r>
      <w:r>
        <w:br/>
      </w:r>
      <w:r w:rsidRPr="000A15F8">
        <w:t>146 и за 5 месяцев 2020 г</w:t>
      </w:r>
      <w:r>
        <w:t>.</w:t>
      </w:r>
      <w:r w:rsidRPr="000A15F8">
        <w:t xml:space="preserve"> </w:t>
      </w:r>
      <w:r>
        <w:t>—</w:t>
      </w:r>
      <w:r w:rsidRPr="000A15F8">
        <w:t xml:space="preserve"> 5 нуждающихся семей рома/люли с детьми обеспечены жильем.</w:t>
      </w:r>
    </w:p>
    <w:p w14:paraId="40E0A569" w14:textId="77777777" w:rsidR="00CB351A" w:rsidRPr="000A15F8" w:rsidRDefault="00CB351A" w:rsidP="00CB351A">
      <w:pPr>
        <w:pStyle w:val="H1G"/>
      </w:pPr>
      <w:r w:rsidRPr="000A15F8">
        <w:tab/>
      </w:r>
      <w:r w:rsidRPr="000A15F8">
        <w:tab/>
        <w:t>Пункт 15</w:t>
      </w:r>
    </w:p>
    <w:p w14:paraId="0536900E" w14:textId="77777777" w:rsidR="00CB351A" w:rsidRPr="000A15F8" w:rsidRDefault="00CB351A" w:rsidP="00CB351A">
      <w:pPr>
        <w:pStyle w:val="SingleTxtG"/>
      </w:pPr>
      <w:r w:rsidRPr="000A15F8">
        <w:t>147.</w:t>
      </w:r>
      <w:r w:rsidRPr="000A15F8">
        <w:tab/>
        <w:t>В 2019 году принят ряд документов, направленных на регулирование прав на недвижимое имущество, в т</w:t>
      </w:r>
      <w:r>
        <w:t xml:space="preserve">ом </w:t>
      </w:r>
      <w:r w:rsidRPr="000A15F8">
        <w:t>ч</w:t>
      </w:r>
      <w:r>
        <w:t>исле</w:t>
      </w:r>
      <w:r w:rsidRPr="000A15F8">
        <w:t xml:space="preserve"> Постановление Президента от 5.04.2019 г. «О</w:t>
      </w:r>
      <w:r>
        <w:t> </w:t>
      </w:r>
      <w:r w:rsidRPr="000A15F8">
        <w:t>мерах по дальнейшему совершенствованию системы государственной регистрации прав на недвижимое имущество» по вопросам регистрации права на недвижимое имущество; постановление Правительства «</w:t>
      </w:r>
      <w:hyperlink r:id="rId13" w:history="1">
        <w:r w:rsidRPr="000A15F8">
          <w:t>О дополнительных мерах по внедрению современных и прозрачных механизмов предоставления земельных участков и реализации права на пожизненное наследуемое владение земельными участками под индивидуальное жилищное строительство</w:t>
        </w:r>
      </w:hyperlink>
      <w:r w:rsidRPr="000A15F8">
        <w:t>» от 28.01.2019 г., которым утверждено Положение о порядке предоставления земельных участков и реализации права на пожизненное наследуемое владение земельными участками под индивидуальное жилищное строительство. Принят Закон «О приватизации земельных участков несельскохозяйственного назначения» от 13.08.2019 г., который основан на гендерном равенстве.</w:t>
      </w:r>
    </w:p>
    <w:p w14:paraId="19411393" w14:textId="77777777" w:rsidR="00CB351A" w:rsidRPr="000A15F8" w:rsidRDefault="00CB351A" w:rsidP="00CB351A">
      <w:pPr>
        <w:pStyle w:val="SingleTxtG"/>
      </w:pPr>
      <w:r w:rsidRPr="000A15F8">
        <w:t>148.</w:t>
      </w:r>
      <w:r w:rsidRPr="000A15F8">
        <w:tab/>
        <w:t>Законом «О гарантиях равных прав и возможностей для женщин и мужчин» от 2.09.2019 г. женщины и мужчины имеют равный доступ к экономическим ресурсам общества, включая движимое и недвижимое имущество, землю, финансовые активы, кредиты, общественные фонды, а также к свободно избранным видам предпринимательской деятельности.</w:t>
      </w:r>
    </w:p>
    <w:p w14:paraId="7098A180" w14:textId="77777777" w:rsidR="00CB351A" w:rsidRPr="000A15F8" w:rsidRDefault="00CB351A" w:rsidP="00CB351A">
      <w:pPr>
        <w:pStyle w:val="SingleTxtG"/>
      </w:pPr>
      <w:r w:rsidRPr="000A15F8">
        <w:t>149.</w:t>
      </w:r>
      <w:r w:rsidRPr="000A15F8">
        <w:tab/>
        <w:t>Права граждан на владение недвижимостью и участие в строительстве жилья закреплено в шести официальных кодексах и восьми законах, включая законы «О</w:t>
      </w:r>
      <w:r>
        <w:t> </w:t>
      </w:r>
      <w:r w:rsidRPr="000A15F8">
        <w:t>залоге» и «Об ипотеке», 29 постановлениях Президента и 44 постановлениях Правительства.</w:t>
      </w:r>
    </w:p>
    <w:p w14:paraId="2A78A70F" w14:textId="77777777" w:rsidR="00CB351A" w:rsidRPr="000A15F8" w:rsidRDefault="00CB351A" w:rsidP="00CB351A">
      <w:pPr>
        <w:pStyle w:val="SingleTxtG"/>
      </w:pPr>
      <w:r w:rsidRPr="000A15F8">
        <w:t>150.</w:t>
      </w:r>
      <w:r w:rsidRPr="000A15F8">
        <w:tab/>
        <w:t xml:space="preserve">За последние годы Узбекистан предпринял эффективные меры в обеспечении продовольственной безопасности. По необходимым, жизненно важным продуктам питания Узбекистан полностью удовлетворяет внутреннюю потребность в зерне, соли, растительном масле, яйцах, сахаре, картофеле, </w:t>
      </w:r>
      <w:proofErr w:type="spellStart"/>
      <w:r w:rsidRPr="000A15F8">
        <w:t>плодоовощах</w:t>
      </w:r>
      <w:proofErr w:type="spellEnd"/>
      <w:r w:rsidRPr="000A15F8">
        <w:t>, бахче и винограде. Из</w:t>
      </w:r>
      <w:r>
        <w:t> </w:t>
      </w:r>
      <w:r w:rsidRPr="000A15F8">
        <w:t>них за счет собственного производства свыше 70</w:t>
      </w:r>
      <w:r>
        <w:t xml:space="preserve"> процентов</w:t>
      </w:r>
      <w:r w:rsidRPr="000A15F8">
        <w:t xml:space="preserve"> </w:t>
      </w:r>
      <w:r>
        <w:t>—</w:t>
      </w:r>
      <w:r w:rsidRPr="000A15F8">
        <w:t xml:space="preserve"> зерно и яйца; свыше 100</w:t>
      </w:r>
      <w:r>
        <w:t xml:space="preserve"> процентов</w:t>
      </w:r>
      <w:r w:rsidRPr="000A15F8">
        <w:t xml:space="preserve"> </w:t>
      </w:r>
      <w:r>
        <w:t>—</w:t>
      </w:r>
      <w:r w:rsidRPr="000A15F8">
        <w:t xml:space="preserve"> масло растительное, молоко, картофель, овощи, плоды, бахчевые, виноград, соль, сахар (дополнительная информация доступна в приложении). Степень устойчивости системы продовольственного обеспечения составляет выше 85</w:t>
      </w:r>
      <w:r>
        <w:t> процентов</w:t>
      </w:r>
      <w:r w:rsidRPr="000A15F8">
        <w:t xml:space="preserve">. Показатель распространенности недоедания снизился. </w:t>
      </w:r>
    </w:p>
    <w:p w14:paraId="71ADB227" w14:textId="77777777" w:rsidR="00CB351A" w:rsidRPr="000A15F8" w:rsidRDefault="00CB351A" w:rsidP="00CB351A">
      <w:pPr>
        <w:pStyle w:val="SingleTxtG"/>
      </w:pPr>
      <w:r w:rsidRPr="000A15F8">
        <w:t>151.</w:t>
      </w:r>
      <w:r w:rsidRPr="000A15F8">
        <w:tab/>
        <w:t xml:space="preserve">Тем не менее, несмотря на столь значительный прогресс в борьбе с голодом, распространенность недоедания по-прежнему вызывает обеспокоенность в </w:t>
      </w:r>
      <w:r w:rsidRPr="000A15F8">
        <w:lastRenderedPageBreak/>
        <w:t xml:space="preserve">Узбекистане, а также процент ожирения 15,3 </w:t>
      </w:r>
      <w:r>
        <w:t>процента</w:t>
      </w:r>
      <w:r w:rsidRPr="000A15F8">
        <w:t>. Для Узбекистана характерен низкий уровень обеспеченности белком и энергетической ценности рациона питания. Наблюдается снижение количества людей, страдающих анемией. В 2018 году показатель составил 5,2 тыс. человек на 100 тыс. чел. по сравнению с 2015</w:t>
      </w:r>
      <w:r>
        <w:t xml:space="preserve"> г. —</w:t>
      </w:r>
      <w:r w:rsidRPr="000A15F8">
        <w:t xml:space="preserve"> </w:t>
      </w:r>
      <w:r>
        <w:br/>
      </w:r>
      <w:r w:rsidRPr="000A15F8">
        <w:t xml:space="preserve">6,1 тыс. на 100 тыс. чел. </w:t>
      </w:r>
    </w:p>
    <w:p w14:paraId="2F987BDA" w14:textId="77777777" w:rsidR="00CB351A" w:rsidRPr="000A15F8" w:rsidRDefault="00CB351A" w:rsidP="00CB351A">
      <w:pPr>
        <w:pStyle w:val="SingleTxtG"/>
      </w:pPr>
      <w:r w:rsidRPr="000A15F8">
        <w:t>152.</w:t>
      </w:r>
      <w:r w:rsidRPr="000A15F8">
        <w:tab/>
        <w:t xml:space="preserve">В этих целях приняты и реализуются: </w:t>
      </w:r>
    </w:p>
    <w:p w14:paraId="07D43370" w14:textId="77777777" w:rsidR="00CB351A" w:rsidRPr="000A15F8" w:rsidRDefault="00CB351A" w:rsidP="00CB351A">
      <w:pPr>
        <w:pStyle w:val="Bullet1G"/>
        <w:numPr>
          <w:ilvl w:val="0"/>
          <w:numId w:val="4"/>
        </w:numPr>
      </w:pPr>
      <w:r w:rsidRPr="000A15F8">
        <w:t xml:space="preserve">Закон «О профилактике </w:t>
      </w:r>
      <w:proofErr w:type="spellStart"/>
      <w:r w:rsidRPr="000A15F8">
        <w:t>микронутриентной</w:t>
      </w:r>
      <w:proofErr w:type="spellEnd"/>
      <w:r w:rsidRPr="000A15F8">
        <w:t xml:space="preserve"> недостаточности среди населения»; </w:t>
      </w:r>
    </w:p>
    <w:p w14:paraId="72C60FF9" w14:textId="77777777" w:rsidR="00CB351A" w:rsidRPr="000A15F8" w:rsidRDefault="00CB351A" w:rsidP="00CB351A">
      <w:pPr>
        <w:pStyle w:val="Bullet1G"/>
        <w:numPr>
          <w:ilvl w:val="0"/>
          <w:numId w:val="4"/>
        </w:numPr>
      </w:pPr>
      <w:r w:rsidRPr="000A15F8">
        <w:t>Концепция и Комплекс мер по обеспечению здорового питания населения Республики Узбекистан на период 2015</w:t>
      </w:r>
      <w:r>
        <w:t>–</w:t>
      </w:r>
      <w:r w:rsidRPr="000A15F8">
        <w:t>2020 год</w:t>
      </w:r>
      <w:r>
        <w:t>ов</w:t>
      </w:r>
      <w:r w:rsidRPr="000A15F8">
        <w:t>.</w:t>
      </w:r>
    </w:p>
    <w:p w14:paraId="335FBDD1" w14:textId="77777777" w:rsidR="00CB351A" w:rsidRPr="00643474" w:rsidRDefault="00CB351A" w:rsidP="00CB351A">
      <w:pPr>
        <w:pStyle w:val="SingleTxtG"/>
      </w:pPr>
      <w:r w:rsidRPr="00643474">
        <w:t>153</w:t>
      </w:r>
      <w:r>
        <w:t>.</w:t>
      </w:r>
      <w:r>
        <w:tab/>
      </w:r>
      <w:r w:rsidRPr="00643474">
        <w:t xml:space="preserve">Заболеваемость анемией на 100 тыс. населения в 2018 году составила детей </w:t>
      </w:r>
      <w:r w:rsidRPr="00643474">
        <w:br/>
        <w:t xml:space="preserve">в возрасте до 5 лет </w:t>
      </w:r>
      <w:r>
        <w:t>—</w:t>
      </w:r>
      <w:r w:rsidRPr="00643474">
        <w:t xml:space="preserve"> 11,1 тыс. чел; беременных женщин </w:t>
      </w:r>
      <w:r>
        <w:t>—</w:t>
      </w:r>
      <w:r w:rsidRPr="00643474">
        <w:t xml:space="preserve"> 2,8 тыс. чел. Целевой ориентир к 2030 году </w:t>
      </w:r>
      <w:r>
        <w:t xml:space="preserve">— </w:t>
      </w:r>
      <w:r w:rsidRPr="00643474">
        <w:t>снизить заболеваемость анемией на 50</w:t>
      </w:r>
      <w:r>
        <w:t xml:space="preserve"> процентов</w:t>
      </w:r>
      <w:r w:rsidRPr="00643474">
        <w:t xml:space="preserve"> по сравнению с 2018 годом.</w:t>
      </w:r>
    </w:p>
    <w:p w14:paraId="7B01C63A" w14:textId="77777777" w:rsidR="00CB351A" w:rsidRPr="00890BAE" w:rsidRDefault="00CB351A" w:rsidP="00CB351A">
      <w:pPr>
        <w:pStyle w:val="SingleTxtG"/>
      </w:pPr>
      <w:r w:rsidRPr="00D421A9">
        <w:t>154.</w:t>
      </w:r>
      <w:r w:rsidRPr="00D421A9">
        <w:tab/>
        <w:t xml:space="preserve">В рамках исполнения государственных программ продолжается реализация мер, направленных на улучшение питания населения путем предоставления дополнительных микронутриентов, особенно матерям и детям, обеспечения беременных женщин комплексами поливитаминов; </w:t>
      </w:r>
      <w:proofErr w:type="spellStart"/>
      <w:r w:rsidRPr="00D421A9">
        <w:t>саплементации</w:t>
      </w:r>
      <w:proofErr w:type="spellEnd"/>
      <w:r w:rsidRPr="00D421A9">
        <w:t xml:space="preserve"> витамином «А» детей в возрасте от 6 месяцев до 5 лет; фортификации муки и йодирования соли. </w:t>
      </w:r>
      <w:r w:rsidRPr="00865DA7">
        <w:t xml:space="preserve">Ежегодно по Республике около 3,2 млн детей в возрасте от 6 месяцев до 5 лет </w:t>
      </w:r>
      <w:r>
        <w:br/>
      </w:r>
      <w:r w:rsidRPr="00865DA7">
        <w:t>(99,1</w:t>
      </w:r>
      <w:r>
        <w:t xml:space="preserve"> процента</w:t>
      </w:r>
      <w:r w:rsidRPr="00865DA7">
        <w:t xml:space="preserve">) </w:t>
      </w:r>
      <w:r w:rsidRPr="00890BAE">
        <w:t xml:space="preserve">охвачены </w:t>
      </w:r>
      <w:proofErr w:type="spellStart"/>
      <w:r w:rsidRPr="00890BAE">
        <w:t>саплементацией</w:t>
      </w:r>
      <w:proofErr w:type="spellEnd"/>
      <w:r w:rsidRPr="00890BAE">
        <w:t xml:space="preserve"> витамином «А».</w:t>
      </w:r>
    </w:p>
    <w:p w14:paraId="0E1E8DF8" w14:textId="77777777" w:rsidR="00CB351A" w:rsidRPr="00865DA7" w:rsidRDefault="00CB351A" w:rsidP="00CB351A">
      <w:pPr>
        <w:pStyle w:val="SingleTxtG"/>
      </w:pPr>
      <w:r w:rsidRPr="00890BAE">
        <w:t>155.</w:t>
      </w:r>
      <w:r w:rsidRPr="00890BAE">
        <w:tab/>
        <w:t>Принят Закон «О поддержке грудного вскармливания и требованиях к продуктам питания для младенцев и детей раннего возраста», направленный на регулирование отношений в области поддержки грудного вскармливания, а также обеспечения соблюдения уст</w:t>
      </w:r>
      <w:r w:rsidRPr="00865DA7">
        <w:t>ановленных требований к продуктам питания для младенцев и детей раннего возраста.</w:t>
      </w:r>
    </w:p>
    <w:p w14:paraId="45390FFA" w14:textId="77777777" w:rsidR="00CB351A" w:rsidRPr="00865DA7" w:rsidRDefault="00CB351A" w:rsidP="00CB351A">
      <w:pPr>
        <w:pStyle w:val="SingleTxtG"/>
      </w:pPr>
      <w:r w:rsidRPr="00865DA7">
        <w:t>156.</w:t>
      </w:r>
      <w:r w:rsidRPr="00865DA7">
        <w:tab/>
        <w:t xml:space="preserve">В 2018 году доля детей в возрасте до пяти лет с отставанием в росте в числе среднегодовой численности населения детей в возрасте до пяти лет составила </w:t>
      </w:r>
      <w:r>
        <w:br/>
      </w:r>
      <w:r w:rsidRPr="00865DA7">
        <w:t>0,7</w:t>
      </w:r>
      <w:r>
        <w:t xml:space="preserve"> процента</w:t>
      </w:r>
      <w:r w:rsidRPr="00865DA7">
        <w:t xml:space="preserve">, доля детей в возрасте до пяти лет, имеющих истощение вследствие неполноценного питания, в числе среднегодовой численности населения детей в возрасте до пяти лет </w:t>
      </w:r>
      <w:r>
        <w:t>—</w:t>
      </w:r>
      <w:r w:rsidRPr="00865DA7">
        <w:t xml:space="preserve"> 0,14</w:t>
      </w:r>
      <w:r>
        <w:t xml:space="preserve"> процента</w:t>
      </w:r>
      <w:r w:rsidRPr="00865DA7">
        <w:t xml:space="preserve">, доля детей в возрасте до пяти лет, имеющих избыточный вес вследствие неполноценного питания, в числе среднегодовой численности населения детей в возрасте до пяти лет </w:t>
      </w:r>
      <w:r>
        <w:t>—</w:t>
      </w:r>
      <w:r w:rsidRPr="00865DA7">
        <w:t xml:space="preserve"> 0,17</w:t>
      </w:r>
      <w:r>
        <w:t xml:space="preserve"> процента</w:t>
      </w:r>
      <w:r w:rsidRPr="00865DA7">
        <w:t xml:space="preserve">. </w:t>
      </w:r>
    </w:p>
    <w:p w14:paraId="3926BC18" w14:textId="77777777" w:rsidR="00CB351A" w:rsidRPr="00862334" w:rsidRDefault="00CB351A" w:rsidP="00CB351A">
      <w:pPr>
        <w:pStyle w:val="SingleTxtG"/>
      </w:pPr>
      <w:r w:rsidRPr="00862334">
        <w:t>157.</w:t>
      </w:r>
      <w:r w:rsidRPr="00862334">
        <w:tab/>
        <w:t>Целевые индикаторы к 2030 г.</w:t>
      </w:r>
      <w:r>
        <w:t xml:space="preserve"> —</w:t>
      </w:r>
      <w:r w:rsidRPr="00862334">
        <w:t>снизить долю детей до 5 лет с отставанием в росте на 20</w:t>
      </w:r>
      <w:r>
        <w:t xml:space="preserve"> процентов</w:t>
      </w:r>
      <w:r w:rsidRPr="00862334">
        <w:t>; имеющих истощение вследствие неполноценного питания на 20</w:t>
      </w:r>
      <w:r>
        <w:t xml:space="preserve"> процентов</w:t>
      </w:r>
      <w:r w:rsidRPr="00862334">
        <w:t>; имеющих избыточный вес вследствие неполноценного питания на 20</w:t>
      </w:r>
      <w:r>
        <w:t> процентов</w:t>
      </w:r>
      <w:r w:rsidRPr="00862334">
        <w:t>.</w:t>
      </w:r>
    </w:p>
    <w:p w14:paraId="1E0AA921" w14:textId="77777777" w:rsidR="00CB351A" w:rsidRPr="00EF4E7D" w:rsidRDefault="00CB351A" w:rsidP="00CB351A">
      <w:pPr>
        <w:pStyle w:val="H1G"/>
      </w:pPr>
      <w:r w:rsidRPr="00862334">
        <w:tab/>
      </w:r>
      <w:r w:rsidRPr="00862334">
        <w:tab/>
      </w:r>
      <w:r w:rsidRPr="00EF4E7D">
        <w:t>Пункт 16</w:t>
      </w:r>
    </w:p>
    <w:p w14:paraId="1A072A9C" w14:textId="77777777" w:rsidR="00CB351A" w:rsidRPr="00EF4E7D" w:rsidRDefault="00CB351A" w:rsidP="00CB351A">
      <w:pPr>
        <w:pStyle w:val="SingleTxtG"/>
      </w:pPr>
      <w:r w:rsidRPr="00EF4E7D">
        <w:t>158.</w:t>
      </w:r>
      <w:r w:rsidRPr="00EF4E7D">
        <w:tab/>
        <w:t>Указом «О мерах по дальнейшему совершенствованию системы защиты прав и законных интересов субъектов предпринимательства» от 27.07.2018</w:t>
      </w:r>
      <w:r w:rsidRPr="00E54644">
        <w:t> </w:t>
      </w:r>
      <w:r w:rsidRPr="00EF4E7D">
        <w:t>г. при Правительстве образован Централизованный фонд по возмещению убытков гражданам и субъектам предпринимательства в связи с изъятием у них земельных участков для государственных и общественных нужд.</w:t>
      </w:r>
    </w:p>
    <w:p w14:paraId="1FFA716C" w14:textId="77777777" w:rsidR="00CB351A" w:rsidRPr="008E6C99" w:rsidRDefault="00CB351A" w:rsidP="00CB351A">
      <w:pPr>
        <w:pStyle w:val="SingleTxtG"/>
      </w:pPr>
      <w:r w:rsidRPr="008E6C99">
        <w:t>159.</w:t>
      </w:r>
      <w:r w:rsidRPr="008E6C99">
        <w:tab/>
        <w:t>Указом «О мерах по кардинальному улучшению инвестиционного климата в Республике Узбекистан» от 01.08.2018</w:t>
      </w:r>
      <w:r w:rsidRPr="00E54644">
        <w:t> </w:t>
      </w:r>
      <w:r w:rsidRPr="008E6C99">
        <w:t>г., предусмотрено, что:</w:t>
      </w:r>
    </w:p>
    <w:p w14:paraId="65DE1266" w14:textId="77777777" w:rsidR="00CB351A" w:rsidRPr="008E6C99" w:rsidRDefault="00CB351A" w:rsidP="00CB351A">
      <w:pPr>
        <w:pStyle w:val="Bullet1G"/>
        <w:numPr>
          <w:ilvl w:val="0"/>
          <w:numId w:val="4"/>
        </w:numPr>
      </w:pPr>
      <w:r w:rsidRPr="008E6C99">
        <w:t>принятие решений об изъятии земельных участков для государственных и общественных нужд допускается исключительно после проведения открытого обсуждения с заинтересованными лицами, земельные участки которых планируется изымать, а также оценки выгод и издержек;</w:t>
      </w:r>
    </w:p>
    <w:p w14:paraId="1374CEEA" w14:textId="77777777" w:rsidR="00CB351A" w:rsidRPr="008E6C99" w:rsidRDefault="00CB351A" w:rsidP="00CB351A">
      <w:pPr>
        <w:pStyle w:val="Bullet1G"/>
        <w:numPr>
          <w:ilvl w:val="0"/>
          <w:numId w:val="4"/>
        </w:numPr>
      </w:pPr>
      <w:r w:rsidRPr="008E6C99">
        <w:t xml:space="preserve">снос жилых, производственных помещений, иных строений и сооружений, принадлежащих гражданам и субъектам предпринимательства, при изъятии земельных участков разрешается после полного возмещения рыночной </w:t>
      </w:r>
      <w:r w:rsidRPr="008E6C99">
        <w:lastRenderedPageBreak/>
        <w:t>стоимости недвижимого имущества и убытков, причиненных собственникам в связи с таким изъятием;</w:t>
      </w:r>
    </w:p>
    <w:p w14:paraId="0332A427" w14:textId="77777777" w:rsidR="00CB351A" w:rsidRPr="008E6C99" w:rsidRDefault="00CB351A" w:rsidP="00CB351A">
      <w:pPr>
        <w:pStyle w:val="Bullet1G"/>
        <w:numPr>
          <w:ilvl w:val="0"/>
          <w:numId w:val="4"/>
        </w:numPr>
      </w:pPr>
      <w:r w:rsidRPr="008E6C99">
        <w:t>убытки, причиненные гражданам и субъектам предпринимательства в результате вынесения незаконного административного акта государственного органа (должностного лица), подлежат возмещению государством, в первую очередь за счет внебюджетных средств соответствующих органов с последующим взысканием с виновного лица в регрессном порядке.</w:t>
      </w:r>
    </w:p>
    <w:p w14:paraId="48D02809" w14:textId="77777777" w:rsidR="00CB351A" w:rsidRPr="00643474" w:rsidRDefault="00CB351A" w:rsidP="00CB351A">
      <w:pPr>
        <w:pStyle w:val="SingleTxtG"/>
      </w:pPr>
      <w:r w:rsidRPr="00643474">
        <w:t>160</w:t>
      </w:r>
      <w:r>
        <w:t>.</w:t>
      </w:r>
      <w:r>
        <w:tab/>
      </w:r>
      <w:r w:rsidRPr="00643474">
        <w:t>Распоряжением Президента от 03.08.2019</w:t>
      </w:r>
      <w:r w:rsidRPr="00DE3DC5">
        <w:t> </w:t>
      </w:r>
      <w:r w:rsidRPr="00643474">
        <w:t>г. установлено, что изъятие земельных участков и снос объектов недвижимого имущества, принадлежащих гражданам и субъектам предпринимательства для государственных и общественных нужд, осуществляется в порядке, состоящем из следующих этапов:</w:t>
      </w:r>
    </w:p>
    <w:p w14:paraId="749CC021" w14:textId="77777777" w:rsidR="00CB351A" w:rsidRPr="00865DA7" w:rsidRDefault="00CB351A" w:rsidP="00CB351A">
      <w:pPr>
        <w:pStyle w:val="Bullet1G"/>
        <w:numPr>
          <w:ilvl w:val="0"/>
          <w:numId w:val="4"/>
        </w:numPr>
      </w:pPr>
      <w:r w:rsidRPr="00865DA7">
        <w:t xml:space="preserve">на первом этапе </w:t>
      </w:r>
      <w:r>
        <w:t>—</w:t>
      </w:r>
      <w:r w:rsidRPr="00865DA7">
        <w:t xml:space="preserve"> председателем Совета министров Каракалпакстана, </w:t>
      </w:r>
      <w:proofErr w:type="spellStart"/>
      <w:r w:rsidRPr="00865DA7">
        <w:t>хокимами</w:t>
      </w:r>
      <w:proofErr w:type="spellEnd"/>
      <w:r w:rsidRPr="00865DA7">
        <w:t xml:space="preserve"> областей и г.</w:t>
      </w:r>
      <w:r>
        <w:t xml:space="preserve"> </w:t>
      </w:r>
      <w:r w:rsidRPr="00865DA7">
        <w:t>Ташкента вносится в правительств</w:t>
      </w:r>
      <w:r>
        <w:t>о</w:t>
      </w:r>
      <w:r w:rsidRPr="00865DA7">
        <w:t xml:space="preserve"> сборник материалов по территории, запланированной к сносу;</w:t>
      </w:r>
    </w:p>
    <w:p w14:paraId="3C83A12F" w14:textId="77777777" w:rsidR="00CB351A" w:rsidRPr="00865DA7" w:rsidRDefault="00CB351A" w:rsidP="00CB351A">
      <w:pPr>
        <w:pStyle w:val="Bullet1G"/>
        <w:numPr>
          <w:ilvl w:val="0"/>
          <w:numId w:val="4"/>
        </w:numPr>
      </w:pPr>
      <w:r w:rsidRPr="00865DA7">
        <w:t xml:space="preserve">на втором этапе </w:t>
      </w:r>
      <w:r>
        <w:t>—</w:t>
      </w:r>
      <w:r w:rsidRPr="00865DA7">
        <w:t xml:space="preserve"> в правительстве готовится заключение по градостроительным требованиям;</w:t>
      </w:r>
    </w:p>
    <w:p w14:paraId="20CB50D5" w14:textId="77777777" w:rsidR="00CB351A" w:rsidRPr="00865DA7" w:rsidRDefault="00CB351A" w:rsidP="00CB351A">
      <w:pPr>
        <w:pStyle w:val="Bullet1G"/>
        <w:numPr>
          <w:ilvl w:val="0"/>
          <w:numId w:val="4"/>
        </w:numPr>
      </w:pPr>
      <w:r w:rsidRPr="00865DA7">
        <w:t xml:space="preserve">на третьем этапе </w:t>
      </w:r>
      <w:r>
        <w:t>—</w:t>
      </w:r>
      <w:r w:rsidRPr="00865DA7">
        <w:t xml:space="preserve"> подготовленное заключение вносится Премьер-министру для рассмотрения и принятия решения.</w:t>
      </w:r>
    </w:p>
    <w:p w14:paraId="32E8BD2B" w14:textId="77777777" w:rsidR="00CB351A" w:rsidRPr="00643474" w:rsidRDefault="00CB351A" w:rsidP="00CB351A">
      <w:pPr>
        <w:pStyle w:val="SingleTxtG"/>
      </w:pPr>
      <w:r w:rsidRPr="00643474">
        <w:t>161</w:t>
      </w:r>
      <w:r>
        <w:t>.</w:t>
      </w:r>
      <w:r>
        <w:tab/>
      </w:r>
      <w:r w:rsidRPr="00643474">
        <w:t>Постановлением Правительства от 16.11.2019</w:t>
      </w:r>
      <w:r w:rsidRPr="00DE3DC5">
        <w:t> </w:t>
      </w:r>
      <w:r w:rsidRPr="00643474">
        <w:t>г. «О дополнительных мерах по совершенствованию порядка проведения предоставления компенсаций по изъятию и предоставлению земельных участков и обеспечению гарантии прав собственности физических и юридических лиц», определен следующий порядок предоставления компенсаций:</w:t>
      </w:r>
    </w:p>
    <w:p w14:paraId="25ADE088" w14:textId="77777777" w:rsidR="00CB351A" w:rsidRPr="00643474" w:rsidRDefault="00CB351A" w:rsidP="00CB351A">
      <w:pPr>
        <w:pStyle w:val="Bullet1G"/>
        <w:numPr>
          <w:ilvl w:val="0"/>
          <w:numId w:val="4"/>
        </w:numPr>
        <w:rPr>
          <w:noProof/>
        </w:rPr>
      </w:pPr>
      <w:r w:rsidRPr="00643474">
        <w:rPr>
          <w:noProof/>
        </w:rPr>
        <w:t xml:space="preserve">путем перевода денежных средств на соответствующий банковский (депозитный) счет собственника; </w:t>
      </w:r>
    </w:p>
    <w:p w14:paraId="1A8B86F1" w14:textId="77777777" w:rsidR="00CB351A" w:rsidRPr="00643474" w:rsidRDefault="00CB351A" w:rsidP="00CB351A">
      <w:pPr>
        <w:pStyle w:val="Bullet1G"/>
        <w:numPr>
          <w:ilvl w:val="0"/>
          <w:numId w:val="4"/>
        </w:numPr>
        <w:rPr>
          <w:noProof/>
        </w:rPr>
      </w:pPr>
      <w:r w:rsidRPr="00643474">
        <w:rPr>
          <w:noProof/>
        </w:rPr>
        <w:t>в случае изъятия земельного участка, занятого многоквартирным домом или блокированным домом (таунхаус), по соглашению сторон собственнику предоставляется в собственность расположенная в этом же или другом районе (городе) квартира, площадью не менее площади прежней квартиры;</w:t>
      </w:r>
    </w:p>
    <w:p w14:paraId="75C4949A" w14:textId="77777777" w:rsidR="00CB351A" w:rsidRPr="00643474" w:rsidRDefault="00CB351A" w:rsidP="00CB351A">
      <w:pPr>
        <w:pStyle w:val="Bullet1G"/>
        <w:numPr>
          <w:ilvl w:val="0"/>
          <w:numId w:val="4"/>
        </w:numPr>
        <w:rPr>
          <w:noProof/>
        </w:rPr>
      </w:pPr>
      <w:r w:rsidRPr="00643474">
        <w:rPr>
          <w:noProof/>
        </w:rPr>
        <w:t xml:space="preserve">в случае изъятия земельного участка, занятого индивидуальным жильем </w:t>
      </w:r>
      <w:r>
        <w:rPr>
          <w:noProof/>
        </w:rPr>
        <w:br/>
      </w:r>
      <w:r w:rsidRPr="00643474">
        <w:rPr>
          <w:noProof/>
        </w:rPr>
        <w:t>(в том числе незавершенным строительством, но зарегистрированным в установленном порядке), по соглашению сторон собственнику предоставляется в собственность расположенное в этом же или другом районе (городе) индивидуальное жилье, общей площадью не менее площади прежнего жилья и земли, с условиями не меньшего уровня;</w:t>
      </w:r>
    </w:p>
    <w:p w14:paraId="1185DBF9" w14:textId="77777777" w:rsidR="00CB351A" w:rsidRPr="00643474" w:rsidRDefault="00CB351A" w:rsidP="00CB351A">
      <w:pPr>
        <w:pStyle w:val="Bullet1G"/>
        <w:numPr>
          <w:ilvl w:val="0"/>
          <w:numId w:val="4"/>
        </w:numPr>
        <w:rPr>
          <w:noProof/>
        </w:rPr>
      </w:pPr>
      <w:r w:rsidRPr="00643474">
        <w:rPr>
          <w:noProof/>
        </w:rPr>
        <w:t>в случае изъятия земельного участка, принадлежащего на праве владения, постоянного пользования или временного пользования, владельцу этого права предоставляется другой земельный участок, равный по площади прежнему.</w:t>
      </w:r>
    </w:p>
    <w:p w14:paraId="57549508" w14:textId="77777777" w:rsidR="00CB351A" w:rsidRPr="00D421A9" w:rsidRDefault="00CB351A" w:rsidP="00CB351A">
      <w:pPr>
        <w:pStyle w:val="SingleTxtG"/>
      </w:pPr>
      <w:r w:rsidRPr="00D421A9">
        <w:t>162.</w:t>
      </w:r>
      <w:r w:rsidRPr="00D421A9">
        <w:tab/>
        <w:t>По соглашению сторон объем и размер других видов компенсации могут быть уменьшены и вместо них предоставлена компенсация в виде соответствующего дополнительного земельного участка.</w:t>
      </w:r>
    </w:p>
    <w:p w14:paraId="62E628E0" w14:textId="77777777" w:rsidR="00CB351A" w:rsidRPr="00D421A9" w:rsidRDefault="00CB351A" w:rsidP="00CB351A">
      <w:pPr>
        <w:pStyle w:val="SingleTxtG"/>
      </w:pPr>
      <w:r w:rsidRPr="00D421A9">
        <w:t>163.</w:t>
      </w:r>
      <w:r w:rsidRPr="00D421A9">
        <w:tab/>
        <w:t>Решения государственного органа об изъятии земельного участка или об отказе в изъятии, а также о сносе объектов недвижимого имущества могут быть об</w:t>
      </w:r>
      <w:r>
        <w:t>жалованы в судебном порядке.</w:t>
      </w:r>
    </w:p>
    <w:p w14:paraId="32BAF277" w14:textId="77777777" w:rsidR="00CB351A" w:rsidRPr="00643474" w:rsidRDefault="00CB351A" w:rsidP="00CB351A">
      <w:pPr>
        <w:pStyle w:val="H1G"/>
      </w:pPr>
      <w:r>
        <w:tab/>
      </w:r>
      <w:r>
        <w:tab/>
      </w:r>
      <w:r w:rsidRPr="00643474">
        <w:t>Пункт 17</w:t>
      </w:r>
    </w:p>
    <w:p w14:paraId="48F497F2" w14:textId="77777777" w:rsidR="00CB351A" w:rsidRPr="00865DA7" w:rsidRDefault="00CB351A" w:rsidP="00CB351A">
      <w:pPr>
        <w:pStyle w:val="SingleTxtG"/>
      </w:pPr>
      <w:r w:rsidRPr="00D421A9">
        <w:t>164.</w:t>
      </w:r>
      <w:r w:rsidRPr="00D421A9">
        <w:tab/>
        <w:t xml:space="preserve">В соответствии с Указом «О дополнительных мерах по совершенствованию механизмов ипотечного кредитования» от 28 ноября 2019 года, введен новый порядок обеспечения населения жильем посредством ипотечных кредитов на основе рыночных принципов. </w:t>
      </w:r>
      <w:r w:rsidRPr="00865DA7">
        <w:t xml:space="preserve">В 2020 году были утверждены целевые показатели жилья на 30,006 единиц </w:t>
      </w:r>
      <w:r w:rsidRPr="00865DA7">
        <w:lastRenderedPageBreak/>
        <w:t>(для семей, нуждающихся в улучшении жилищных условий, трудовых мигрантов, молодых семей, оказавшихся в трудной социальной ситуации):</w:t>
      </w:r>
    </w:p>
    <w:p w14:paraId="6A75FB26" w14:textId="77777777" w:rsidR="00CB351A" w:rsidRPr="00EF4E7D" w:rsidRDefault="00CB351A" w:rsidP="00CB351A">
      <w:pPr>
        <w:pStyle w:val="Bullet1G"/>
        <w:numPr>
          <w:ilvl w:val="0"/>
          <w:numId w:val="4"/>
        </w:numPr>
      </w:pPr>
      <w:r w:rsidRPr="00EF4E7D">
        <w:t>по</w:t>
      </w:r>
      <w:r>
        <w:t xml:space="preserve"> </w:t>
      </w:r>
      <w:r w:rsidRPr="00EF4E7D">
        <w:t xml:space="preserve">новому порядку </w:t>
      </w:r>
      <w:r>
        <w:t>—</w:t>
      </w:r>
      <w:r w:rsidRPr="00EF4E7D">
        <w:t xml:space="preserve"> 17 750 квартир (4,3 трлн </w:t>
      </w:r>
      <w:proofErr w:type="spellStart"/>
      <w:r w:rsidRPr="00EF4E7D">
        <w:t>сумов</w:t>
      </w:r>
      <w:proofErr w:type="spellEnd"/>
      <w:r w:rsidRPr="00EF4E7D">
        <w:t>);</w:t>
      </w:r>
    </w:p>
    <w:p w14:paraId="4B30D1A5" w14:textId="77777777" w:rsidR="00CB351A" w:rsidRPr="008E6C99" w:rsidRDefault="00CB351A" w:rsidP="00CB351A">
      <w:pPr>
        <w:pStyle w:val="Bullet1G"/>
        <w:numPr>
          <w:ilvl w:val="0"/>
          <w:numId w:val="4"/>
        </w:numPr>
      </w:pPr>
      <w:r w:rsidRPr="008E6C99">
        <w:t>по</w:t>
      </w:r>
      <w:r>
        <w:t xml:space="preserve"> </w:t>
      </w:r>
      <w:r w:rsidRPr="008E6C99">
        <w:t xml:space="preserve">старому порядку </w:t>
      </w:r>
      <w:r>
        <w:t>—</w:t>
      </w:r>
      <w:r w:rsidRPr="008E6C99">
        <w:t xml:space="preserve"> 12 256 квартир (2,4 трлн </w:t>
      </w:r>
      <w:proofErr w:type="spellStart"/>
      <w:r w:rsidRPr="008E6C99">
        <w:t>сумов</w:t>
      </w:r>
      <w:proofErr w:type="spellEnd"/>
      <w:r w:rsidRPr="008E6C99">
        <w:t>).</w:t>
      </w:r>
    </w:p>
    <w:p w14:paraId="2AE795E9" w14:textId="77777777" w:rsidR="00CB351A" w:rsidRPr="008E6C99" w:rsidRDefault="00CB351A" w:rsidP="00CB351A">
      <w:pPr>
        <w:pStyle w:val="SingleTxtG"/>
      </w:pPr>
      <w:r w:rsidRPr="008E6C99">
        <w:t>165.</w:t>
      </w:r>
      <w:r w:rsidRPr="008E6C99">
        <w:tab/>
        <w:t xml:space="preserve">В рамках Указа предусмотрено открытие кредитных линий коммерческим банкам на сумму 8,0 трлн </w:t>
      </w:r>
      <w:proofErr w:type="spellStart"/>
      <w:r w:rsidRPr="008E6C99">
        <w:t>сумов</w:t>
      </w:r>
      <w:proofErr w:type="spellEnd"/>
      <w:r w:rsidRPr="008E6C99">
        <w:t xml:space="preserve"> с погашением 15 процентов сроком на 20 лет.</w:t>
      </w:r>
    </w:p>
    <w:p w14:paraId="116EE5DD" w14:textId="77777777" w:rsidR="00CB351A" w:rsidRPr="008E6C99" w:rsidRDefault="00CB351A" w:rsidP="00CB351A">
      <w:pPr>
        <w:pStyle w:val="SingleTxtG"/>
      </w:pPr>
      <w:r w:rsidRPr="008E6C99">
        <w:t>166.</w:t>
      </w:r>
      <w:r w:rsidRPr="008E6C99">
        <w:tab/>
        <w:t>Принято постановление Правительства от 25.03.2020 г., в рамках которого предусматривается выплата субсидий 16</w:t>
      </w:r>
      <w:r>
        <w:t> </w:t>
      </w:r>
      <w:r w:rsidRPr="008E6C99">
        <w:t>090 лицам с низкими доходами, нуждающимся в улучшении жилищных условий</w:t>
      </w:r>
      <w:r w:rsidRPr="00890BAE">
        <w:t xml:space="preserve">. Из этого числа 2890 человек будет выделено военным, 10 800 человек — в городских районах и 2400 человек — </w:t>
      </w:r>
      <w:r>
        <w:br/>
      </w:r>
      <w:r w:rsidRPr="00890BAE">
        <w:t>в сельских районах.</w:t>
      </w:r>
    </w:p>
    <w:p w14:paraId="6674F712" w14:textId="77777777" w:rsidR="00CB351A" w:rsidRPr="008E6C99" w:rsidRDefault="00CB351A" w:rsidP="00CB351A">
      <w:pPr>
        <w:pStyle w:val="SingleTxtG"/>
      </w:pPr>
      <w:r w:rsidRPr="008E6C99">
        <w:t>167.</w:t>
      </w:r>
      <w:r w:rsidRPr="008E6C99">
        <w:tab/>
        <w:t xml:space="preserve">Приобретение построенного и готового к эксплуатации жилья: </w:t>
      </w:r>
      <w:r>
        <w:br/>
      </w:r>
      <w:r w:rsidRPr="008E6C99">
        <w:t>из 17</w:t>
      </w:r>
      <w:r>
        <w:t> </w:t>
      </w:r>
      <w:r w:rsidRPr="008E6C99">
        <w:t xml:space="preserve">501 многоквартирных домов, построенных по всей Республике, продано </w:t>
      </w:r>
      <w:r w:rsidRPr="00890BAE">
        <w:t xml:space="preserve">гражданам 1206 квартир, а 16 386, или 93 процента, не были проданы (в Ташкенте </w:t>
      </w:r>
      <w:r w:rsidRPr="00890BAE">
        <w:br/>
        <w:t>5742</w:t>
      </w:r>
      <w:r>
        <w:t xml:space="preserve"> из </w:t>
      </w:r>
      <w:r w:rsidRPr="00890BAE">
        <w:t>5965 (96 процентов), Самарканде 5447</w:t>
      </w:r>
      <w:r>
        <w:t xml:space="preserve"> из </w:t>
      </w:r>
      <w:r w:rsidRPr="00890BAE">
        <w:t xml:space="preserve">5626 (96 процентов), Намангане </w:t>
      </w:r>
      <w:r w:rsidRPr="00890BAE">
        <w:br/>
        <w:t>2009</w:t>
      </w:r>
      <w:r>
        <w:t xml:space="preserve"> из </w:t>
      </w:r>
      <w:r w:rsidRPr="00890BAE">
        <w:t>2037 из (98 процентов), Бухаре 1494</w:t>
      </w:r>
      <w:r>
        <w:t xml:space="preserve"> из </w:t>
      </w:r>
      <w:r w:rsidRPr="00890BAE">
        <w:t>1587 (94 процента).</w:t>
      </w:r>
      <w:r w:rsidRPr="008E6C99">
        <w:t xml:space="preserve"> </w:t>
      </w:r>
    </w:p>
    <w:p w14:paraId="303758B0" w14:textId="77777777" w:rsidR="00CB351A" w:rsidRPr="008E6C99" w:rsidRDefault="00CB351A" w:rsidP="00CB351A">
      <w:pPr>
        <w:pStyle w:val="SingleTxtG"/>
      </w:pPr>
      <w:r w:rsidRPr="008E6C99">
        <w:t>168.</w:t>
      </w:r>
      <w:r w:rsidRPr="008E6C99">
        <w:tab/>
        <w:t xml:space="preserve">Упрощенная процедура получения жилья предусмотрена Постановлением </w:t>
      </w:r>
      <w:r w:rsidRPr="008E6C99">
        <w:br/>
        <w:t>«О дополнительных мерах по улучшению жилищных условий населения и дальнейшему расширению рынка ипотечного кредитования» от 1.05.2020 г., в Андижанской области в качестве эксперимента изучен вопрос выделения физическим лицам кредитов на строительство и реконструкцию индивидуальных жилых домов на земельных участках, отведенных под строительство жилья, выделено ипотечных кредитов 300 семьям в упрощенном порядке на основе новой системы.</w:t>
      </w:r>
    </w:p>
    <w:p w14:paraId="56522809" w14:textId="77777777" w:rsidR="00CB351A" w:rsidRPr="008E6C99" w:rsidRDefault="00CB351A" w:rsidP="00CB351A">
      <w:pPr>
        <w:pStyle w:val="SingleTxtG"/>
      </w:pPr>
      <w:r w:rsidRPr="008E6C99">
        <w:t>169.</w:t>
      </w:r>
      <w:r w:rsidRPr="008E6C99">
        <w:tab/>
        <w:t>Основными условиями ипотечного кредитования для строительства и реконструкции индивидуального жилья хозяйственным способом по выбору клиента в упрощенном порядке на основе новой системы являются:</w:t>
      </w:r>
    </w:p>
    <w:p w14:paraId="28D6C1C7" w14:textId="77777777" w:rsidR="00CB351A" w:rsidRPr="00643474" w:rsidRDefault="00CB351A" w:rsidP="00CB351A">
      <w:pPr>
        <w:pStyle w:val="Bullet1G"/>
        <w:numPr>
          <w:ilvl w:val="0"/>
          <w:numId w:val="4"/>
        </w:numPr>
      </w:pPr>
      <w:r w:rsidRPr="00643474">
        <w:t>выделение кредитных средств путем поэтапного перевода на банковскую пластиковую карту заемщика;</w:t>
      </w:r>
    </w:p>
    <w:p w14:paraId="51D4C755" w14:textId="77777777" w:rsidR="00CB351A" w:rsidRPr="00643474" w:rsidRDefault="00CB351A" w:rsidP="00CB351A">
      <w:pPr>
        <w:pStyle w:val="Bullet1G"/>
        <w:numPr>
          <w:ilvl w:val="0"/>
          <w:numId w:val="4"/>
        </w:numPr>
      </w:pPr>
      <w:r w:rsidRPr="00643474">
        <w:t>установление льготного периода 6 месяцев для периода строительства;</w:t>
      </w:r>
    </w:p>
    <w:p w14:paraId="6AEFF220" w14:textId="77777777" w:rsidR="00CB351A" w:rsidRPr="00643474" w:rsidRDefault="00CB351A" w:rsidP="00CB351A">
      <w:pPr>
        <w:pStyle w:val="Bullet1G"/>
        <w:numPr>
          <w:ilvl w:val="0"/>
          <w:numId w:val="4"/>
        </w:numPr>
      </w:pPr>
      <w:r w:rsidRPr="00643474">
        <w:t>использование метода расчета процентов и основных платежей по кредиту аннуитетным или дифференцированным способом;</w:t>
      </w:r>
    </w:p>
    <w:p w14:paraId="1228A532" w14:textId="77777777" w:rsidR="00CB351A" w:rsidRPr="00643474" w:rsidRDefault="00CB351A" w:rsidP="00CB351A">
      <w:pPr>
        <w:pStyle w:val="Bullet1G"/>
        <w:numPr>
          <w:ilvl w:val="0"/>
          <w:numId w:val="4"/>
        </w:numPr>
      </w:pPr>
      <w:r w:rsidRPr="00643474">
        <w:t xml:space="preserve">учет справки о доходах, выданные работодателем как минимум за последние </w:t>
      </w:r>
      <w:r w:rsidRPr="00643474">
        <w:br/>
      </w:r>
      <w:r>
        <w:t>три</w:t>
      </w:r>
      <w:r w:rsidRPr="00643474">
        <w:t xml:space="preserve"> месяца, и другие доходы при расчете кредитоспособности клиента.</w:t>
      </w:r>
    </w:p>
    <w:p w14:paraId="3C563479" w14:textId="77777777" w:rsidR="00CB351A" w:rsidRPr="00643474" w:rsidRDefault="00CB351A" w:rsidP="00CB351A">
      <w:pPr>
        <w:pStyle w:val="SingleTxtG"/>
      </w:pPr>
      <w:r w:rsidRPr="00643474">
        <w:t>170</w:t>
      </w:r>
      <w:r>
        <w:t>.</w:t>
      </w:r>
      <w:r>
        <w:tab/>
      </w:r>
      <w:r w:rsidRPr="00643474">
        <w:t>Данные о бездомных людях, т.</w:t>
      </w:r>
      <w:r>
        <w:t> </w:t>
      </w:r>
      <w:r w:rsidRPr="00643474">
        <w:t xml:space="preserve">е. людях, живущих на улице ввиду отсутствия жилья, отсутствуют ввиду </w:t>
      </w:r>
      <w:proofErr w:type="spellStart"/>
      <w:r w:rsidRPr="00643474">
        <w:t>неразработанности</w:t>
      </w:r>
      <w:proofErr w:type="spellEnd"/>
      <w:r w:rsidRPr="00643474">
        <w:t xml:space="preserve"> критериев отнесения людей к разряду бездомных.</w:t>
      </w:r>
    </w:p>
    <w:p w14:paraId="5227E078" w14:textId="77777777" w:rsidR="00CB351A" w:rsidRPr="00643474" w:rsidRDefault="00CB351A" w:rsidP="00CB351A">
      <w:pPr>
        <w:pStyle w:val="SingleTxtG"/>
      </w:pPr>
      <w:r w:rsidRPr="00643474">
        <w:t>171</w:t>
      </w:r>
      <w:r>
        <w:t>.</w:t>
      </w:r>
      <w:r>
        <w:tab/>
      </w:r>
      <w:r w:rsidRPr="00643474">
        <w:t>В Узбекистане ведется учет граждан, нуждающихся в жилье, однако их не относят к бездомным лицам, поскольку они имеют временное жилье.</w:t>
      </w:r>
    </w:p>
    <w:p w14:paraId="5EDB459E" w14:textId="77777777" w:rsidR="00CB351A" w:rsidRPr="00643474" w:rsidRDefault="00CB351A" w:rsidP="00CB351A">
      <w:pPr>
        <w:pStyle w:val="H1G"/>
      </w:pPr>
      <w:r>
        <w:tab/>
      </w:r>
      <w:r>
        <w:tab/>
      </w:r>
      <w:r w:rsidRPr="00643474">
        <w:t>Пункт 18</w:t>
      </w:r>
    </w:p>
    <w:p w14:paraId="1D0A9910" w14:textId="77777777" w:rsidR="00CB351A" w:rsidRPr="00D421A9" w:rsidRDefault="00CB351A" w:rsidP="00CB351A">
      <w:pPr>
        <w:pStyle w:val="SingleTxtG"/>
      </w:pPr>
      <w:r w:rsidRPr="00D421A9">
        <w:t>172.</w:t>
      </w:r>
      <w:r w:rsidRPr="00D421A9">
        <w:tab/>
        <w:t>Постановлением Правительства от 30.09.2019 г. утверждено Положение о порядке формирования Перечня гарантированных объемов медицинской помощи, покрываемых за счет Государственного бюджета по следующим видам медицинской помощи: экстренная, первичная, специализированная и паллиативная медицинская помощь и включает в себя профилактические медицинские осмотры взрослого населения не более двух раз в год, лиц, вступающих в брак; лиц, страдающих социально значимыми заболеваниями, лиц призывного возраста, помощь матерям и детям, скрининг беременных, консультирование их на ВИЧ, прием родов, послеродовой уход и др.</w:t>
      </w:r>
    </w:p>
    <w:p w14:paraId="3A9ECC69" w14:textId="77777777" w:rsidR="00CB351A" w:rsidRPr="00D421A9" w:rsidRDefault="00CB351A" w:rsidP="00CB351A">
      <w:pPr>
        <w:pStyle w:val="SingleTxtG"/>
      </w:pPr>
      <w:r w:rsidRPr="00D421A9">
        <w:lastRenderedPageBreak/>
        <w:t>173.</w:t>
      </w:r>
      <w:r w:rsidRPr="00D421A9">
        <w:tab/>
        <w:t xml:space="preserve">Важнейшим направлением государственной политики в сфере медицины являются обследование психического здоровья населения, профилактика, диагностика, лечение, уход и медико-социальная реабилитация лиц, страдающих психическими расстройствами. </w:t>
      </w:r>
    </w:p>
    <w:p w14:paraId="7914AA90" w14:textId="77777777" w:rsidR="00CB351A" w:rsidRPr="00D421A9" w:rsidRDefault="00CB351A" w:rsidP="00CB351A">
      <w:pPr>
        <w:pStyle w:val="SingleTxtG"/>
      </w:pPr>
      <w:r w:rsidRPr="00D421A9">
        <w:t>174.</w:t>
      </w:r>
      <w:r w:rsidRPr="00D421A9">
        <w:tab/>
        <w:t>16.03.2018</w:t>
      </w:r>
      <w:r>
        <w:t> </w:t>
      </w:r>
      <w:r w:rsidRPr="00D421A9">
        <w:t xml:space="preserve">г. принято Постановление «О мерах по коренному совершенствованию системы оказания психиатрической помощи», 13.02.2019 г. </w:t>
      </w:r>
      <w:r>
        <w:t>—</w:t>
      </w:r>
      <w:r w:rsidRPr="00D421A9">
        <w:t xml:space="preserve"> «Об утверждении Концепции развития службы охраны психического здоровья населения Республики Узбекистан на 2019</w:t>
      </w:r>
      <w:r>
        <w:t>–</w:t>
      </w:r>
      <w:r w:rsidRPr="00D421A9">
        <w:t>2025 годы».</w:t>
      </w:r>
    </w:p>
    <w:p w14:paraId="28E04F06" w14:textId="77777777" w:rsidR="00CB351A" w:rsidRPr="00D421A9" w:rsidRDefault="00CB351A" w:rsidP="00CB351A">
      <w:pPr>
        <w:pStyle w:val="SingleTxtG"/>
      </w:pPr>
      <w:r w:rsidRPr="00D421A9">
        <w:t>175.</w:t>
      </w:r>
      <w:r w:rsidRPr="00D421A9">
        <w:tab/>
        <w:t>Реализация мероприятий, предусмотренных данными постановлениями, направлены на дальнейшее усиление и повышение эффективности системы охраны психического здоровья населения, обеспечению более четкой координации и тесного взаимодействия государственных, общественных и международных организаций в сфере внедрения дополнительных современных профилактических, диагностических, лечебных и реабилитационных мероприятий по охране психического здоровья населения.</w:t>
      </w:r>
    </w:p>
    <w:p w14:paraId="404464A2" w14:textId="77777777" w:rsidR="00CB351A" w:rsidRPr="00D421A9" w:rsidRDefault="00CB351A" w:rsidP="00CB351A">
      <w:pPr>
        <w:pStyle w:val="SingleTxtG"/>
      </w:pPr>
      <w:r w:rsidRPr="00D421A9">
        <w:t>176.</w:t>
      </w:r>
      <w:r w:rsidRPr="00D421A9">
        <w:tab/>
        <w:t>Утверждена Национальная концепция развития службы охраны психического здоровья населения Узбекистана на 2019</w:t>
      </w:r>
      <w:r>
        <w:t>–</w:t>
      </w:r>
      <w:r w:rsidRPr="00D421A9">
        <w:t>2025 годы.</w:t>
      </w:r>
    </w:p>
    <w:p w14:paraId="1AD57152" w14:textId="77777777" w:rsidR="00CB351A" w:rsidRPr="00865DA7" w:rsidRDefault="00CB351A" w:rsidP="00CB351A">
      <w:pPr>
        <w:pStyle w:val="SingleTxtG"/>
      </w:pPr>
      <w:r w:rsidRPr="00D421A9">
        <w:t>177.</w:t>
      </w:r>
      <w:r w:rsidRPr="00D421A9">
        <w:tab/>
        <w:t>Для оказания внебольничной (амбулаторной) психиатрической помощи в 2019</w:t>
      </w:r>
      <w:r>
        <w:t> </w:t>
      </w:r>
      <w:r w:rsidRPr="00D421A9">
        <w:t xml:space="preserve">г. функционировало 14 психоневрологических диспансеров и 6 диспансерных отделений при психиатрических больницах на 2085 посещений в смену. </w:t>
      </w:r>
      <w:r w:rsidRPr="00865DA7">
        <w:t>Общее число посещений составило 2</w:t>
      </w:r>
      <w:r>
        <w:t> </w:t>
      </w:r>
      <w:r w:rsidRPr="00865DA7">
        <w:t>827</w:t>
      </w:r>
      <w:r>
        <w:t> </w:t>
      </w:r>
      <w:r w:rsidRPr="00865DA7">
        <w:t>798. Общее число психоневрологических (психотерапевтических) кабинетов составило в 2019 г. 359.</w:t>
      </w:r>
    </w:p>
    <w:p w14:paraId="096921CC" w14:textId="77777777" w:rsidR="00CB351A" w:rsidRPr="00865DA7" w:rsidRDefault="00CB351A" w:rsidP="00CB351A">
      <w:pPr>
        <w:pStyle w:val="SingleTxtG"/>
      </w:pPr>
      <w:r w:rsidRPr="00865DA7">
        <w:t>178.</w:t>
      </w:r>
      <w:r w:rsidRPr="00865DA7">
        <w:tab/>
        <w:t xml:space="preserve">Для оказания стационарной психиатрической помощи в Республике функционирует 4685 психиатрических коек в структуре 13 психиатрических больниц, 3119 </w:t>
      </w:r>
      <w:r>
        <w:t>—</w:t>
      </w:r>
      <w:r w:rsidRPr="00865DA7">
        <w:t xml:space="preserve"> 12</w:t>
      </w:r>
      <w:r>
        <w:t xml:space="preserve"> </w:t>
      </w:r>
      <w:r w:rsidRPr="00865DA7">
        <w:t xml:space="preserve">психоневрологических диспансеров и 40 при </w:t>
      </w:r>
      <w:r>
        <w:t>двух</w:t>
      </w:r>
      <w:r w:rsidRPr="00865DA7">
        <w:t xml:space="preserve"> многопрофильных лечебно-профилактических учреждениях. В целом в психиатрических учреждениях и их структурных подразделениях имеются 8007 круглосуточных психиатрических коек.</w:t>
      </w:r>
    </w:p>
    <w:p w14:paraId="21423BC5" w14:textId="77777777" w:rsidR="00CB351A" w:rsidRPr="00643474" w:rsidRDefault="00CB351A" w:rsidP="00CB351A">
      <w:pPr>
        <w:pStyle w:val="H1G"/>
      </w:pPr>
      <w:r>
        <w:tab/>
      </w:r>
      <w:r>
        <w:tab/>
      </w:r>
      <w:r w:rsidRPr="00643474">
        <w:t>Пункт 19</w:t>
      </w:r>
    </w:p>
    <w:p w14:paraId="04FBB1F0" w14:textId="77777777" w:rsidR="00CB351A" w:rsidRPr="00865DA7" w:rsidRDefault="00CB351A" w:rsidP="00CB351A">
      <w:pPr>
        <w:pStyle w:val="SingleTxtG"/>
      </w:pPr>
      <w:r w:rsidRPr="00D421A9">
        <w:t>179.</w:t>
      </w:r>
      <w:r w:rsidRPr="00D421A9">
        <w:tab/>
        <w:t>Узбекистан активно участвует и поддерживает достижение целей Глобальной стратегии «Ускорение для достижения прекращения эпидемии СПИДа к 2030 году» и целей 90</w:t>
      </w:r>
      <w:r>
        <w:t>–</w:t>
      </w:r>
      <w:r w:rsidRPr="00D421A9">
        <w:t>90</w:t>
      </w:r>
      <w:r>
        <w:t>–</w:t>
      </w:r>
      <w:r w:rsidRPr="00D421A9">
        <w:t xml:space="preserve">90. </w:t>
      </w:r>
      <w:r w:rsidRPr="00865DA7">
        <w:t>На сегодняшний день в Узбекистане число людей, живущих с ВИЧ, составляет 54 000 человек согласно оценкам программы «Спектрум» (2018 год), зарегистрированное число составляет 42 425 человек.</w:t>
      </w:r>
    </w:p>
    <w:p w14:paraId="46E5EE99" w14:textId="77777777" w:rsidR="00CB351A" w:rsidRPr="00865DA7" w:rsidRDefault="00CB351A" w:rsidP="00CB351A">
      <w:pPr>
        <w:pStyle w:val="SingleTxtG"/>
      </w:pPr>
      <w:r w:rsidRPr="00865DA7">
        <w:t>180.</w:t>
      </w:r>
      <w:r w:rsidRPr="00865DA7">
        <w:tab/>
        <w:t>За последние годы наблюдается прогресс в осуществлении мероприятий по противодействию распространению ВИЧ/СПИДу, приняты постановления Президента «О мерах по дальнейшему совершенствованию системы противодействия распространения ВИЧ инфекции в Республике Узбекистан на 2018 год» от 25.01.2018</w:t>
      </w:r>
      <w:r>
        <w:t> </w:t>
      </w:r>
      <w:r w:rsidRPr="00865DA7">
        <w:t>г., «О дополнительных мерах по противодействию заболевания, вызываемого вирусом иммунодефицита человека, и профилактике внутрибольничных инфекций» от 22.06.2018 г.</w:t>
      </w:r>
    </w:p>
    <w:p w14:paraId="7DFF3613" w14:textId="77777777" w:rsidR="00CB351A" w:rsidRPr="00865DA7" w:rsidRDefault="00CB351A" w:rsidP="00CB351A">
      <w:pPr>
        <w:pStyle w:val="SingleTxtG"/>
      </w:pPr>
      <w:r w:rsidRPr="00865DA7">
        <w:t>181.</w:t>
      </w:r>
      <w:r w:rsidRPr="00865DA7">
        <w:tab/>
        <w:t xml:space="preserve">На основе лучших международных практик, в республике создана устойчивая сеть пороговых служб для предоставления профилактических услуг среди групп с высоким риском заражения ВИЧ-инфекции через национальную сеть «Кабинетов доверия» и «Дружественных кабинетов». </w:t>
      </w:r>
    </w:p>
    <w:p w14:paraId="42CA7695" w14:textId="77777777" w:rsidR="00CB351A" w:rsidRPr="00865DA7" w:rsidRDefault="00CB351A" w:rsidP="00CB351A">
      <w:pPr>
        <w:pStyle w:val="SingleTxtG"/>
      </w:pPr>
      <w:r w:rsidRPr="00865DA7">
        <w:t>182.</w:t>
      </w:r>
      <w:r w:rsidRPr="00865DA7">
        <w:tab/>
        <w:t>В Республике проводится активная работа по расширению доступа и спектра профилактических услуг для уязвимых групп населения. Осуществляются мероприятия среди потребителей инъекционных наркотиков (ПИН) по программе снижения вреда от употребления наркотиков через «Кабинеты доверия» (более 130).</w:t>
      </w:r>
    </w:p>
    <w:p w14:paraId="6C33F962" w14:textId="77777777" w:rsidR="00CB351A" w:rsidRPr="00862334" w:rsidRDefault="00CB351A" w:rsidP="00CB351A">
      <w:pPr>
        <w:pStyle w:val="SingleTxtG"/>
      </w:pPr>
      <w:r w:rsidRPr="00862334">
        <w:t>183.</w:t>
      </w:r>
      <w:r w:rsidRPr="00862334">
        <w:tab/>
        <w:t xml:space="preserve">В Узбекистане совершенствование профилактики и лечения социально значимых заболеваний, в том числе туберкулеза, является одним из важных направлений политики государства и деятельности органов здравоохранения. </w:t>
      </w:r>
      <w:r w:rsidRPr="00862334">
        <w:lastRenderedPageBreak/>
        <w:t>С</w:t>
      </w:r>
      <w:r>
        <w:t> </w:t>
      </w:r>
      <w:r w:rsidRPr="00862334">
        <w:t>11.05.2001</w:t>
      </w:r>
      <w:r>
        <w:t> </w:t>
      </w:r>
      <w:r w:rsidRPr="00862334">
        <w:t>г. действует Закон «О защите населения от туберкулеза», который устанавливает правовые основы проведения социальных, медицинских, санитарно-гигиенических, противоэпидемических и других мер, направленных на профилактику заболевания, а также выявление, лечение, диспансерное наблюдение и реабилитацию больных туберкулезом.</w:t>
      </w:r>
    </w:p>
    <w:p w14:paraId="20F31AD7" w14:textId="77777777" w:rsidR="00CB351A" w:rsidRPr="00EF4E7D" w:rsidRDefault="00CB351A" w:rsidP="00CB351A">
      <w:pPr>
        <w:pStyle w:val="SingleTxtG"/>
      </w:pPr>
      <w:r w:rsidRPr="00EF4E7D">
        <w:t>184.</w:t>
      </w:r>
      <w:r w:rsidRPr="00EF4E7D">
        <w:tab/>
        <w:t>Создание фундаментальных основ по улучшению оказания противотуберкулезной помощи населению было заложено в Концепции по совершенствованию оказания противотуберкулезной помощи населению Узбекистана и успешно реализовано выполнением Государственной программы по борьбе с туберкул</w:t>
      </w:r>
      <w:r>
        <w:t>е</w:t>
      </w:r>
      <w:r w:rsidRPr="00EF4E7D">
        <w:t>зом в Узбекистане на период 2011</w:t>
      </w:r>
      <w:r>
        <w:t>–</w:t>
      </w:r>
      <w:r w:rsidRPr="00EF4E7D">
        <w:t>2015 гг.</w:t>
      </w:r>
    </w:p>
    <w:p w14:paraId="295975DC" w14:textId="77777777" w:rsidR="00CB351A" w:rsidRPr="00EF4E7D" w:rsidRDefault="00CB351A" w:rsidP="00CB351A">
      <w:pPr>
        <w:pStyle w:val="SingleTxtG"/>
      </w:pPr>
      <w:r w:rsidRPr="00EF4E7D">
        <w:t>185.</w:t>
      </w:r>
      <w:r w:rsidRPr="00EF4E7D">
        <w:tab/>
        <w:t xml:space="preserve">Для совершенствования фтизиатрической и пульмонологической службы было принято Постановление Президента «О мерах по совершенствованию системы оказания специализированной фтизиатрической и пульмонологической помощи» от 13.02.2019 г. </w:t>
      </w:r>
    </w:p>
    <w:p w14:paraId="680B44E6" w14:textId="77777777" w:rsidR="00CB351A" w:rsidRPr="000A15F8" w:rsidRDefault="00CB351A" w:rsidP="00CB351A">
      <w:pPr>
        <w:pStyle w:val="SingleTxtG"/>
      </w:pPr>
      <w:r w:rsidRPr="00EF4E7D">
        <w:t>186.</w:t>
      </w:r>
      <w:r w:rsidRPr="00EF4E7D">
        <w:tab/>
        <w:t>Благодаря выполнению целого комплекса широкомасштабных противотуберкулезных мероприятий в 2019 году отмечалось снижение показателя заболеваемости на 100</w:t>
      </w:r>
      <w:r>
        <w:t> </w:t>
      </w:r>
      <w:r w:rsidRPr="00EF4E7D">
        <w:t xml:space="preserve">000 населения по сравнению </w:t>
      </w:r>
      <w:r w:rsidRPr="000A15F8">
        <w:t>2011 годом на 17,6</w:t>
      </w:r>
      <w:r>
        <w:t xml:space="preserve"> процента</w:t>
      </w:r>
      <w:r w:rsidRPr="000A15F8">
        <w:t>, по сравнению 2015 годом на 6,8</w:t>
      </w:r>
      <w:r>
        <w:t xml:space="preserve"> процента</w:t>
      </w:r>
      <w:r w:rsidRPr="000A15F8">
        <w:t>.</w:t>
      </w:r>
    </w:p>
    <w:p w14:paraId="135F0C71" w14:textId="77777777" w:rsidR="00CB351A" w:rsidRPr="000A15F8" w:rsidRDefault="00CB351A" w:rsidP="00CB351A">
      <w:pPr>
        <w:pStyle w:val="SingleTxtG"/>
      </w:pPr>
      <w:r w:rsidRPr="000A15F8">
        <w:t>187.</w:t>
      </w:r>
      <w:r>
        <w:tab/>
      </w:r>
      <w:r w:rsidRPr="000A15F8">
        <w:t>В 2019 году основные эпидемиологические показатели, как заболеваемость и смертность на 100 000 населения составили 43,6 и 1,2 соответственно.</w:t>
      </w:r>
    </w:p>
    <w:p w14:paraId="406CF935" w14:textId="77777777" w:rsidR="00CB351A" w:rsidRPr="000A15F8" w:rsidRDefault="00CB351A" w:rsidP="00CB351A">
      <w:pPr>
        <w:pStyle w:val="H1G"/>
      </w:pPr>
      <w:r w:rsidRPr="000A15F8">
        <w:tab/>
      </w:r>
      <w:r w:rsidRPr="000A15F8">
        <w:tab/>
        <w:t>Пункт 20</w:t>
      </w:r>
    </w:p>
    <w:p w14:paraId="2FA13BE6" w14:textId="77777777" w:rsidR="00CB351A" w:rsidRPr="000A15F8" w:rsidRDefault="00CB351A" w:rsidP="00CB351A">
      <w:pPr>
        <w:pStyle w:val="SingleTxtG"/>
      </w:pPr>
      <w:r w:rsidRPr="000A15F8">
        <w:t>188.</w:t>
      </w:r>
      <w:r w:rsidRPr="000A15F8">
        <w:tab/>
        <w:t>В Узбекистане реализуется национальная модель репродуктивного здоровья, здоровья матери и ребенка. Политика в области охраны материнства и детства, проводимая в Узбекистане, высоко оценена ВОЗ, Детским фондом ООН, Фондом народонаселения ООН.</w:t>
      </w:r>
    </w:p>
    <w:p w14:paraId="5783B1A2" w14:textId="77777777" w:rsidR="00CB351A" w:rsidRPr="000A15F8" w:rsidRDefault="00CB351A" w:rsidP="00CB351A">
      <w:pPr>
        <w:pStyle w:val="SingleTxtG"/>
      </w:pPr>
      <w:r w:rsidRPr="000A15F8">
        <w:t>189.</w:t>
      </w:r>
      <w:r w:rsidRPr="000A15F8">
        <w:tab/>
        <w:t>Закон «Об охране репродуктивного здоровья граждан» от 11.03.2019 г. закрепил понятие «репродуктивное здоровье», основные направления и принципы его охраны государством, гарантии осуществления репродуктивных прав граждан. В Законе закреплена отдельная ст.</w:t>
      </w:r>
      <w:r w:rsidRPr="00417A05">
        <w:t xml:space="preserve"> </w:t>
      </w:r>
      <w:r w:rsidRPr="000A15F8">
        <w:t xml:space="preserve">11 об охране репродуктивных прав женщин, которая гласит, что охрана репродуктивного здоровья женщин включает в себя: получение достоверной и полной информации о своем репродуктивном здоровье, методах лечения бесплодия и контрацепции; обеспечение доступа к услугам в области охраны репродуктивного здоровья; получение медицинских консультаций и услуг по вопросам репродуктивного здоровья с соблюдением конфиденциальности. </w:t>
      </w:r>
    </w:p>
    <w:p w14:paraId="72426DD6" w14:textId="77777777" w:rsidR="00CB351A" w:rsidRPr="000A15F8" w:rsidRDefault="00CB351A" w:rsidP="00CB351A">
      <w:pPr>
        <w:pStyle w:val="SingleTxtG"/>
      </w:pPr>
      <w:r w:rsidRPr="000A15F8">
        <w:t>190.</w:t>
      </w:r>
      <w:r w:rsidRPr="000A15F8">
        <w:tab/>
        <w:t>В настоящее время в учреждениях первичной медико-санитарной помощи организованы «Женские консультации», а в центральных многопрофильных поликлиниках «Центры здоровья девочек». Наряду с этим для укрепления репродуктивного здоровья населения функционируют Республиканский и 14</w:t>
      </w:r>
      <w:r>
        <w:rPr>
          <w:lang w:val="en-US"/>
        </w:rPr>
        <w:t> </w:t>
      </w:r>
      <w:r w:rsidRPr="000A15F8">
        <w:t xml:space="preserve">региональных центров репродуктивного здоровья населения. Гражданам оказывается медицинская помощь по индивидуальному подбору методов контрацепции с учетом состояния здоровья, возраста и индивидуальных особенностей с предупреждением возможных нежелательных последствий. Путем добровольного выбора после проведения консультирования в условиях амбулаторно-поликлинической службы контрацептивные средства предоставляются на бесплатной основе. </w:t>
      </w:r>
    </w:p>
    <w:p w14:paraId="797CB0B6" w14:textId="77777777" w:rsidR="00CB351A" w:rsidRPr="000A15F8" w:rsidRDefault="00CB351A" w:rsidP="00CB351A">
      <w:pPr>
        <w:pStyle w:val="SingleTxtG"/>
      </w:pPr>
      <w:r w:rsidRPr="000A15F8">
        <w:t>191.</w:t>
      </w:r>
      <w:r w:rsidRPr="000A15F8">
        <w:tab/>
        <w:t xml:space="preserve">11 марта 2020 года ВОЗ объявила о пандемии </w:t>
      </w:r>
      <w:proofErr w:type="spellStart"/>
      <w:r w:rsidRPr="000A15F8">
        <w:t>коронавирусной</w:t>
      </w:r>
      <w:proofErr w:type="spellEnd"/>
      <w:r w:rsidRPr="000A15F8">
        <w:t xml:space="preserve"> инфекции в мире. В связи с возникшей ситуацией с </w:t>
      </w:r>
      <w:proofErr w:type="spellStart"/>
      <w:r w:rsidRPr="000A15F8">
        <w:t>коронавирусной</w:t>
      </w:r>
      <w:proofErr w:type="spellEnd"/>
      <w:r w:rsidRPr="000A15F8">
        <w:t xml:space="preserve"> инфекцией в нашей стране, наряду с проводимыми противоэпидемическими мероприятиями, закупка современных средств контрацепции была осуществлена в соответствии с установленными сроками. </w:t>
      </w:r>
    </w:p>
    <w:p w14:paraId="3F942DA1" w14:textId="77777777" w:rsidR="00CB351A" w:rsidRPr="000A15F8" w:rsidRDefault="00CB351A" w:rsidP="00CB351A">
      <w:pPr>
        <w:pStyle w:val="SingleTxtG"/>
      </w:pPr>
      <w:r w:rsidRPr="000A15F8">
        <w:t>192.</w:t>
      </w:r>
      <w:r w:rsidRPr="000A15F8">
        <w:tab/>
        <w:t xml:space="preserve">С целью повышения уровня медицинской грамотности среди населения и подростков медицинскими работниками проводится работа по вопросам охраны репродуктивного здоровья в </w:t>
      </w:r>
      <w:proofErr w:type="spellStart"/>
      <w:r w:rsidRPr="000A15F8">
        <w:t>махаллях</w:t>
      </w:r>
      <w:proofErr w:type="spellEnd"/>
      <w:r w:rsidRPr="000A15F8">
        <w:t xml:space="preserve">, учебных заведениях, на предприятиях </w:t>
      </w:r>
      <w:r w:rsidRPr="000A15F8">
        <w:lastRenderedPageBreak/>
        <w:t>(учреждениях) с распространением наглядной информации. Утверждены стандарты по репродуктивному здоровью, обучены специалисты, предоставляющие услуги населению.</w:t>
      </w:r>
    </w:p>
    <w:p w14:paraId="32A7488A" w14:textId="77777777" w:rsidR="00CB351A" w:rsidRPr="000A15F8" w:rsidRDefault="00CB351A" w:rsidP="00CB351A">
      <w:pPr>
        <w:pStyle w:val="SingleTxtG"/>
      </w:pPr>
      <w:r w:rsidRPr="000A15F8">
        <w:t>193.</w:t>
      </w:r>
      <w:r w:rsidRPr="000A15F8">
        <w:tab/>
        <w:t>В 2019 году в пилотном регионе обучено 60 девочек тренеров-волонт</w:t>
      </w:r>
      <w:r>
        <w:t>е</w:t>
      </w:r>
      <w:r w:rsidRPr="000A15F8">
        <w:t>ров и 25</w:t>
      </w:r>
      <w:r>
        <w:rPr>
          <w:lang w:val="en-US"/>
        </w:rPr>
        <w:t> </w:t>
      </w:r>
      <w:r w:rsidRPr="000A15F8">
        <w:t>медицинских сестер, работающих с данными волонт</w:t>
      </w:r>
      <w:r>
        <w:t>е</w:t>
      </w:r>
      <w:r w:rsidRPr="000A15F8">
        <w:t>рами, данный проект на сегодняшний день очень хорошо проявил себя, девочки волонтёры активно участвуют в «Центрах здоровья девочек». Утверждены руководства для волонт</w:t>
      </w:r>
      <w:r>
        <w:t>е</w:t>
      </w:r>
      <w:r w:rsidRPr="000A15F8">
        <w:t xml:space="preserve">ров из числа девочек-подростков. На постоянной основе реализуются интерактивный метод обучения подростков </w:t>
      </w:r>
      <w:r>
        <w:t>—</w:t>
      </w:r>
      <w:r w:rsidRPr="000A15F8">
        <w:t xml:space="preserve"> «Маршрут безопасности».</w:t>
      </w:r>
    </w:p>
    <w:p w14:paraId="5696A1CF" w14:textId="77777777" w:rsidR="00CB351A" w:rsidRPr="000A15F8" w:rsidRDefault="00CB351A" w:rsidP="00CB351A">
      <w:pPr>
        <w:pStyle w:val="SingleTxtG"/>
      </w:pPr>
      <w:r w:rsidRPr="000A15F8">
        <w:t>194.</w:t>
      </w:r>
      <w:r w:rsidRPr="000A15F8">
        <w:tab/>
        <w:t xml:space="preserve">В результате своевременной и последовательной разработки правовой базы, осуществления пакета целевых программ в области укрепления здоровья матери и ребенка, направленных на повышение медицинской культуры семьи, оздоровление женщин, укрепление материально-технической базы детских и родовспомогательных учреждений, показатели материнской и детской смертности снизились более чем в три раза. </w:t>
      </w:r>
    </w:p>
    <w:p w14:paraId="6BCA6D92" w14:textId="77777777" w:rsidR="00CB351A" w:rsidRPr="000A15F8" w:rsidRDefault="00CB351A" w:rsidP="00CB351A">
      <w:pPr>
        <w:pStyle w:val="SingleTxtG"/>
      </w:pPr>
      <w:r w:rsidRPr="000A15F8">
        <w:t>195.</w:t>
      </w:r>
      <w:r w:rsidRPr="000A15F8">
        <w:tab/>
        <w:t>Принято Постановление «О мерах по дальнейшему развитию системы охраны здоровья материнства и детства Республики</w:t>
      </w:r>
      <w:r>
        <w:t xml:space="preserve"> </w:t>
      </w:r>
      <w:r w:rsidRPr="000A15F8">
        <w:t>Узбекистан</w:t>
      </w:r>
      <w:r>
        <w:t xml:space="preserve"> </w:t>
      </w:r>
      <w:r w:rsidRPr="000A15F8">
        <w:t>на 2016</w:t>
      </w:r>
      <w:r>
        <w:t>–</w:t>
      </w:r>
      <w:r w:rsidRPr="000A15F8">
        <w:t xml:space="preserve">2020 годы», которым предусмотрены меры по снижению материнской и младенческой смертности недоношенных и незрелых детей. Согласно постановления производится централизованный закуп на бюджетные средства и успешное применение препаратов </w:t>
      </w:r>
      <w:proofErr w:type="spellStart"/>
      <w:r w:rsidRPr="000A15F8">
        <w:t>протромбинового</w:t>
      </w:r>
      <w:proofErr w:type="spellEnd"/>
      <w:r w:rsidRPr="000A15F8">
        <w:t xml:space="preserve"> комплекса во всех родовспомогательных учреждениях страны. Это позволило за истекший период снизить материнскую смертность от кровотечений почти в </w:t>
      </w:r>
      <w:r>
        <w:t>четыре</w:t>
      </w:r>
      <w:r w:rsidRPr="000A15F8">
        <w:t xml:space="preserve"> раза. Также осуществл</w:t>
      </w:r>
      <w:r>
        <w:t>е</w:t>
      </w:r>
      <w:r w:rsidRPr="000A15F8">
        <w:t xml:space="preserve">н централизованный закуп на бюджетные средства препарата для созревания легких у недоношенных и незрелых младенцев. Это позволило снизить младенческую смертность в данной группе детей более чем в </w:t>
      </w:r>
      <w:r>
        <w:t>три </w:t>
      </w:r>
      <w:r w:rsidRPr="000A15F8">
        <w:t>раза.</w:t>
      </w:r>
    </w:p>
    <w:p w14:paraId="4FDA5F0B" w14:textId="77777777" w:rsidR="00CB351A" w:rsidRPr="000A15F8" w:rsidRDefault="00CB351A" w:rsidP="00CB351A">
      <w:pPr>
        <w:pStyle w:val="SingleTxtG"/>
      </w:pPr>
      <w:r w:rsidRPr="000A15F8">
        <w:t>196.</w:t>
      </w:r>
      <w:r w:rsidRPr="000A15F8">
        <w:tab/>
        <w:t>Численность населения Узбекистана в части представителей национальности рома/люли составляет 68 151 человек.</w:t>
      </w:r>
    </w:p>
    <w:p w14:paraId="077CFD25" w14:textId="77777777" w:rsidR="00CB351A" w:rsidRPr="000A15F8" w:rsidRDefault="00CB351A" w:rsidP="00CB351A">
      <w:pPr>
        <w:pStyle w:val="SingleTxtG"/>
      </w:pPr>
      <w:r w:rsidRPr="000A15F8">
        <w:t>197.</w:t>
      </w:r>
      <w:r w:rsidRPr="000A15F8">
        <w:tab/>
        <w:t xml:space="preserve">Из них проживает в Самаркандской области </w:t>
      </w:r>
      <w:r>
        <w:t>—</w:t>
      </w:r>
      <w:r w:rsidRPr="000A15F8">
        <w:t xml:space="preserve"> 21</w:t>
      </w:r>
      <w:r>
        <w:t> </w:t>
      </w:r>
      <w:r w:rsidRPr="000A15F8">
        <w:t xml:space="preserve">278 человек, в Кашкадарьинской области </w:t>
      </w:r>
      <w:r>
        <w:t>—</w:t>
      </w:r>
      <w:r w:rsidRPr="000A15F8">
        <w:t xml:space="preserve"> 14</w:t>
      </w:r>
      <w:r>
        <w:t> </w:t>
      </w:r>
      <w:r w:rsidRPr="000A15F8">
        <w:t xml:space="preserve">127, Сурхандарьинской области </w:t>
      </w:r>
      <w:r>
        <w:t>—</w:t>
      </w:r>
      <w:r w:rsidRPr="000A15F8">
        <w:t xml:space="preserve"> 8603, в Бухарской области </w:t>
      </w:r>
      <w:r>
        <w:t>—</w:t>
      </w:r>
      <w:r w:rsidRPr="000A15F8">
        <w:t xml:space="preserve"> 6948, в Андижанской области </w:t>
      </w:r>
      <w:r>
        <w:t>—</w:t>
      </w:r>
      <w:r w:rsidRPr="000A15F8">
        <w:t xml:space="preserve"> 6220, в Джизакской области </w:t>
      </w:r>
      <w:r>
        <w:t>—</w:t>
      </w:r>
      <w:r w:rsidRPr="000A15F8">
        <w:t xml:space="preserve"> 4271, в</w:t>
      </w:r>
      <w:r>
        <w:t> </w:t>
      </w:r>
      <w:proofErr w:type="spellStart"/>
      <w:r w:rsidRPr="000A15F8">
        <w:t>Навоийской</w:t>
      </w:r>
      <w:proofErr w:type="spellEnd"/>
      <w:r w:rsidRPr="000A15F8">
        <w:t xml:space="preserve"> области </w:t>
      </w:r>
      <w:r>
        <w:t>—</w:t>
      </w:r>
      <w:r w:rsidRPr="000A15F8">
        <w:t xml:space="preserve"> 2442, в Наманганской области </w:t>
      </w:r>
      <w:r>
        <w:t>—</w:t>
      </w:r>
      <w:r w:rsidRPr="000A15F8">
        <w:t xml:space="preserve"> 1652, в Сырдарьинской области </w:t>
      </w:r>
      <w:r>
        <w:t>—</w:t>
      </w:r>
      <w:r w:rsidRPr="000A15F8">
        <w:t xml:space="preserve"> 46, а в городе Ташкенте </w:t>
      </w:r>
      <w:r>
        <w:t>—</w:t>
      </w:r>
      <w:r w:rsidRPr="000A15F8">
        <w:t xml:space="preserve"> 2564 человек</w:t>
      </w:r>
      <w:r>
        <w:t>а</w:t>
      </w:r>
      <w:r w:rsidRPr="000A15F8">
        <w:t>.</w:t>
      </w:r>
    </w:p>
    <w:p w14:paraId="6108273E" w14:textId="77777777" w:rsidR="00CB351A" w:rsidRPr="000A15F8" w:rsidRDefault="00CB351A" w:rsidP="00CB351A">
      <w:pPr>
        <w:pStyle w:val="SingleTxtG"/>
      </w:pPr>
      <w:r w:rsidRPr="000A15F8">
        <w:t>198.</w:t>
      </w:r>
      <w:r w:rsidRPr="000A15F8">
        <w:tab/>
        <w:t>В Узбекистане созданы все условия для представителей граждан по национальности рома/люли. Они живут вместе со всеми нациями равными среди равных.</w:t>
      </w:r>
    </w:p>
    <w:p w14:paraId="10D65536" w14:textId="77777777" w:rsidR="00CB351A" w:rsidRPr="000A15F8" w:rsidRDefault="00CB351A" w:rsidP="00CB351A">
      <w:pPr>
        <w:pStyle w:val="SingleTxtG"/>
      </w:pPr>
      <w:r w:rsidRPr="000A15F8">
        <w:t>199.</w:t>
      </w:r>
      <w:r w:rsidRPr="000A15F8">
        <w:tab/>
        <w:t>Пос</w:t>
      </w:r>
      <w:r>
        <w:t>е</w:t>
      </w:r>
      <w:r w:rsidRPr="000A15F8">
        <w:t xml:space="preserve">лок </w:t>
      </w:r>
      <w:proofErr w:type="spellStart"/>
      <w:r w:rsidRPr="000A15F8">
        <w:t>Олтинкуль</w:t>
      </w:r>
      <w:proofErr w:type="spellEnd"/>
      <w:r w:rsidRPr="000A15F8">
        <w:t xml:space="preserve"> </w:t>
      </w:r>
      <w:r>
        <w:t>—</w:t>
      </w:r>
      <w:r w:rsidRPr="000A15F8">
        <w:t xml:space="preserve"> современный жилой массив в Джизакской области, является ярким примером проводимых в нашей стране мер по защите прав и свобод людей разных национальностей. В 2020 году здесь было сооружено 460 новых коттеджей, объекты бытового обслуживания и текстильная фабрика на 500 рабочих мест. На сегодняшний день в пос</w:t>
      </w:r>
      <w:r>
        <w:t>е</w:t>
      </w:r>
      <w:r w:rsidRPr="000A15F8">
        <w:t>лке проживают 939 семей, из них 301 семья численностью 1225 человек являются представителями малочисленной национальности рома/люли, которые проживают вместе с представителями разных национальностей: узбеками, таджиками, казахами, киргизами, татарами и другими.</w:t>
      </w:r>
    </w:p>
    <w:p w14:paraId="098FAA60" w14:textId="77777777" w:rsidR="00CB351A" w:rsidRPr="000A15F8" w:rsidRDefault="00CB351A" w:rsidP="00CB351A">
      <w:pPr>
        <w:pStyle w:val="H1G"/>
      </w:pPr>
      <w:r w:rsidRPr="000A15F8">
        <w:tab/>
      </w:r>
      <w:r w:rsidRPr="000A15F8">
        <w:tab/>
        <w:t>Пункт 21</w:t>
      </w:r>
    </w:p>
    <w:p w14:paraId="6787C95D" w14:textId="77777777" w:rsidR="00CB351A" w:rsidRPr="000A15F8" w:rsidRDefault="00CB351A" w:rsidP="00CB351A">
      <w:pPr>
        <w:pStyle w:val="SingleTxtG"/>
      </w:pPr>
      <w:r w:rsidRPr="000A15F8">
        <w:t>200.</w:t>
      </w:r>
      <w:r w:rsidRPr="000A15F8">
        <w:tab/>
        <w:t xml:space="preserve">В целях дальнейшего совершенствования системы народного образования посредством внедрения новых механизмов управления и стандартов качества в учебно-воспитательный процесс 5.09.2018 г. были приняты Указ «О дополнительных мерах по совершенствованию системы управления народным образованием» и Постановление «О мерах по внедрению новых принципов управления в систему народного образования», которым определены основные задачи Министерства народного образования, утверждена его обновленная организационная структура, </w:t>
      </w:r>
      <w:r w:rsidRPr="000A15F8">
        <w:lastRenderedPageBreak/>
        <w:t>а</w:t>
      </w:r>
      <w:r>
        <w:t> </w:t>
      </w:r>
      <w:r w:rsidRPr="000A15F8">
        <w:t>также утверждена Программа мер по дальнейшему совершенствованию системы народного образования Республики Узбекистан на 2018</w:t>
      </w:r>
      <w:r>
        <w:t>–</w:t>
      </w:r>
      <w:r w:rsidRPr="000A15F8">
        <w:t xml:space="preserve">2021 годы. </w:t>
      </w:r>
    </w:p>
    <w:p w14:paraId="5F44E03B" w14:textId="77777777" w:rsidR="00CB351A" w:rsidRPr="000A15F8" w:rsidRDefault="00CB351A" w:rsidP="00CB351A">
      <w:pPr>
        <w:pStyle w:val="SingleTxtG"/>
      </w:pPr>
      <w:r w:rsidRPr="000A15F8">
        <w:t>201.</w:t>
      </w:r>
      <w:r w:rsidRPr="000A15F8">
        <w:tab/>
        <w:t>В соответствии с Постановлением «О мерах по созданию «Современных школ» от 26.11.2019 г. осуществляется поэтапная работа по укреплению материально-технической базы общих средних образовательных учреждений на основе передового международного опыта и современными требованиями общества, что в свою очередь создаст благоприятные условия для получения учащейся</w:t>
      </w:r>
      <w:r>
        <w:t xml:space="preserve"> </w:t>
      </w:r>
      <w:r w:rsidRPr="000A15F8">
        <w:t>молодежью качественного образования, в том числе проживающих в отдаленных и сельских местностях.</w:t>
      </w:r>
    </w:p>
    <w:p w14:paraId="705B2367" w14:textId="77777777" w:rsidR="00CB351A" w:rsidRPr="000A15F8" w:rsidRDefault="00CB351A" w:rsidP="00CB351A">
      <w:pPr>
        <w:pStyle w:val="SingleTxtG"/>
      </w:pPr>
      <w:r w:rsidRPr="000A15F8">
        <w:t>202.</w:t>
      </w:r>
      <w:r w:rsidRPr="000A15F8">
        <w:tab/>
        <w:t xml:space="preserve">Налажена работа по увеличению числа образовательных учреждений </w:t>
      </w:r>
      <w:r>
        <w:br/>
      </w:r>
      <w:r w:rsidRPr="000A15F8">
        <w:t xml:space="preserve">на основе государственно-частного партнерства. Количество негосударственных общеобразовательных учреждений по сравнению с 2016 годом выросло в </w:t>
      </w:r>
      <w:r>
        <w:t>шесть</w:t>
      </w:r>
      <w:r w:rsidRPr="000A15F8">
        <w:t xml:space="preserve"> раз.</w:t>
      </w:r>
    </w:p>
    <w:p w14:paraId="736A1CCD" w14:textId="77777777" w:rsidR="00CB351A" w:rsidRPr="000A15F8" w:rsidRDefault="00CB351A" w:rsidP="00CB351A">
      <w:pPr>
        <w:pStyle w:val="SingleTxtG"/>
      </w:pPr>
      <w:r w:rsidRPr="000A15F8">
        <w:t>203.</w:t>
      </w:r>
      <w:r w:rsidRPr="000A15F8">
        <w:tab/>
        <w:t>Разработана и внедрена в практику система «онлайн-школа», предоставляющая возможность получать знания учащимися по общеобразовательным предметам в дистанционной форме, посредством трансляции уроков по телевизионным каналам.</w:t>
      </w:r>
    </w:p>
    <w:p w14:paraId="48DFE460" w14:textId="77777777" w:rsidR="00CB351A" w:rsidRPr="000A15F8" w:rsidRDefault="00CB351A" w:rsidP="00CB351A">
      <w:pPr>
        <w:pStyle w:val="SingleTxtG"/>
      </w:pPr>
      <w:r w:rsidRPr="000A15F8">
        <w:t>204.</w:t>
      </w:r>
      <w:r w:rsidRPr="000A15F8">
        <w:tab/>
        <w:t>Ведется активная работа по разработке Национальной учебной программы общего среднего образования, оптимизации количества предметов и учебной нагрузки учащихся, совершенствуется система вариативных учебных программ обучения для учащихся старших классов.</w:t>
      </w:r>
    </w:p>
    <w:p w14:paraId="5049131C" w14:textId="77777777" w:rsidR="00CB351A" w:rsidRPr="000A15F8" w:rsidRDefault="00CB351A" w:rsidP="00CB351A">
      <w:pPr>
        <w:pStyle w:val="H1G"/>
      </w:pPr>
      <w:r w:rsidRPr="000A15F8">
        <w:tab/>
      </w:r>
      <w:r w:rsidRPr="000A15F8">
        <w:tab/>
        <w:t>Пункт 22, пункт 23</w:t>
      </w:r>
    </w:p>
    <w:p w14:paraId="1E6F0A04" w14:textId="77777777" w:rsidR="00CB351A" w:rsidRPr="000A15F8" w:rsidRDefault="00CB351A" w:rsidP="00CB351A">
      <w:pPr>
        <w:pStyle w:val="SingleTxtG"/>
      </w:pPr>
      <w:r w:rsidRPr="000A15F8">
        <w:t>205.</w:t>
      </w:r>
      <w:r w:rsidRPr="000A15F8">
        <w:tab/>
        <w:t>В последние годы в Узбекистане был принят ряд актов нормативно-правового характера в области обеспечения гендерного равенства.</w:t>
      </w:r>
    </w:p>
    <w:p w14:paraId="24E00410" w14:textId="77777777" w:rsidR="00CB351A" w:rsidRPr="000A15F8" w:rsidRDefault="00CB351A" w:rsidP="00CB351A">
      <w:pPr>
        <w:pStyle w:val="SingleTxtG"/>
      </w:pPr>
      <w:r w:rsidRPr="000A15F8">
        <w:t>206.</w:t>
      </w:r>
      <w:r w:rsidRPr="000A15F8">
        <w:tab/>
        <w:t>Приняты Постановление «О мерах по дальнейшему усилению гарантий трудовых прав и поддержке предпринимательской деятельности женщин» от 7.03.2019</w:t>
      </w:r>
      <w:r>
        <w:t> </w:t>
      </w:r>
      <w:r w:rsidRPr="000A15F8">
        <w:t xml:space="preserve">г., законы «О защите женщин от притеснения и насилия» от 2.09.2019 г. и «О гарантиях равных прав и возможностей женщин и мужчин» от 2.09.2019 г., которые стали важной правовой основой защиты прав женщин в нашей стране. Большое внимание уделяется обеспечению доступа женщин ко всем уровням образования. </w:t>
      </w:r>
    </w:p>
    <w:p w14:paraId="41088DAA" w14:textId="77777777" w:rsidR="00CB351A" w:rsidRPr="000A15F8" w:rsidRDefault="00CB351A" w:rsidP="00CB351A">
      <w:pPr>
        <w:pStyle w:val="SingleTxtG"/>
      </w:pPr>
      <w:r w:rsidRPr="000A15F8">
        <w:t>207.</w:t>
      </w:r>
      <w:r w:rsidRPr="000A15F8">
        <w:tab/>
        <w:t>Сегодня в образовательных учреждениях системы высшего и среднего образования обучаются 149 578 студенток</w:t>
      </w:r>
      <w:r>
        <w:t>-</w:t>
      </w:r>
      <w:r w:rsidRPr="000A15F8">
        <w:t>женщин</w:t>
      </w:r>
      <w:r>
        <w:t>/</w:t>
      </w:r>
      <w:r w:rsidRPr="000A15F8">
        <w:t>девушек (31</w:t>
      </w:r>
      <w:r>
        <w:t xml:space="preserve"> процент</w:t>
      </w:r>
      <w:r w:rsidRPr="000A15F8">
        <w:t>). Из них 32</w:t>
      </w:r>
      <w:r>
        <w:t> </w:t>
      </w:r>
      <w:r w:rsidRPr="000A15F8">
        <w:t>907 (22</w:t>
      </w:r>
      <w:r>
        <w:t xml:space="preserve"> процента</w:t>
      </w:r>
      <w:r w:rsidRPr="000A15F8">
        <w:t>) состоят в браке, а 13 462 (9</w:t>
      </w:r>
      <w:r>
        <w:t xml:space="preserve"> процентов</w:t>
      </w:r>
      <w:r w:rsidRPr="000A15F8">
        <w:t>) работают в свободное от учебы время. Им были предоставлены соответствующие условия для получения образования в учебных заведениях.</w:t>
      </w:r>
    </w:p>
    <w:p w14:paraId="002F80EA" w14:textId="77777777" w:rsidR="00CB351A" w:rsidRPr="000A15F8" w:rsidRDefault="00CB351A" w:rsidP="00CB351A">
      <w:pPr>
        <w:pStyle w:val="SingleTxtG"/>
      </w:pPr>
      <w:r w:rsidRPr="000A15F8">
        <w:t>208.</w:t>
      </w:r>
      <w:r w:rsidRPr="000A15F8">
        <w:tab/>
        <w:t xml:space="preserve">В сфере высшего образования с 2017 года многие высшие учебные заведения восстановили заочные отделения по разным специальностям. Заочная форма обучения предназначена для студентов, совмещающих обучение с работой. Молодым женщинам эта форма обучения даст возможность получить высшее образование, совмещая обучение с уходом за детьми и другими семейными обязанностями. </w:t>
      </w:r>
      <w:r>
        <w:br/>
      </w:r>
      <w:r w:rsidRPr="000A15F8">
        <w:t>С 2018–2019 учебного года наблюдается положительная гендерная динамика: индекс паритета женщин и мужчин, обучающихся на заочной форме обучения составил 2,03</w:t>
      </w:r>
      <w:r>
        <w:t> </w:t>
      </w:r>
      <w:r w:rsidRPr="000A15F8">
        <w:t>(67</w:t>
      </w:r>
      <w:r>
        <w:t xml:space="preserve"> процентов</w:t>
      </w:r>
      <w:r w:rsidRPr="000A15F8">
        <w:t xml:space="preserve"> девушек и 33</w:t>
      </w:r>
      <w:r>
        <w:t xml:space="preserve"> процента</w:t>
      </w:r>
      <w:r w:rsidRPr="000A15F8">
        <w:t xml:space="preserve"> юношей).</w:t>
      </w:r>
    </w:p>
    <w:p w14:paraId="39712F6E" w14:textId="77777777" w:rsidR="00CB351A" w:rsidRPr="000A15F8" w:rsidRDefault="00CB351A" w:rsidP="00CB351A">
      <w:pPr>
        <w:pStyle w:val="SingleTxtG"/>
      </w:pPr>
      <w:r w:rsidRPr="000A15F8">
        <w:t>209.</w:t>
      </w:r>
      <w:r w:rsidRPr="000A15F8">
        <w:tab/>
        <w:t>Наблюдается увеличение числа студентов женского пола, продолжающих обучение в магистратуре в 2017</w:t>
      </w:r>
      <w:r>
        <w:t>–</w:t>
      </w:r>
      <w:r w:rsidRPr="000A15F8">
        <w:t xml:space="preserve">2019 годах. Так, в 2017 году обучалось </w:t>
      </w:r>
      <w:r>
        <w:br/>
      </w:r>
      <w:r w:rsidRPr="000A15F8">
        <w:t>1632 женщин</w:t>
      </w:r>
      <w:r>
        <w:t>/</w:t>
      </w:r>
      <w:r w:rsidRPr="000A15F8">
        <w:t>девушек, в 2018 году 2706 женщин</w:t>
      </w:r>
      <w:r>
        <w:t>/</w:t>
      </w:r>
      <w:r w:rsidRPr="000A15F8">
        <w:t xml:space="preserve">девушек, в 2019 году </w:t>
      </w:r>
      <w:r>
        <w:br/>
      </w:r>
      <w:r w:rsidRPr="000A15F8">
        <w:t>4488 женщин</w:t>
      </w:r>
      <w:r>
        <w:t>/</w:t>
      </w:r>
      <w:r w:rsidRPr="000A15F8">
        <w:t>девушек, количество обучающихся выросло на 27,5</w:t>
      </w:r>
      <w:r>
        <w:t xml:space="preserve"> процента</w:t>
      </w:r>
      <w:r w:rsidRPr="000A15F8">
        <w:t xml:space="preserve"> по сравнению с 2017 годом. Обеспечено выделение квот для приема женщин</w:t>
      </w:r>
      <w:r>
        <w:t>/</w:t>
      </w:r>
      <w:r w:rsidRPr="000A15F8">
        <w:t xml:space="preserve">девушек на основе специальных государственных грантов в высшие учебные заведения республики с 2020/2021 учебного года. Начиная с 2020/2021 учебного года для женщин, имеющих рекомендацию Министерства по поддержке </w:t>
      </w:r>
      <w:proofErr w:type="spellStart"/>
      <w:r w:rsidRPr="000A15F8">
        <w:t>махалли</w:t>
      </w:r>
      <w:proofErr w:type="spellEnd"/>
      <w:r w:rsidRPr="000A15F8">
        <w:t xml:space="preserve"> и семьи, выделяются четырехпроцентные показатели приема на основе государственного гранта дополнительно к установленным общим показателям приема на основе государственного гранта по очной форме обучения бакалавриата.</w:t>
      </w:r>
    </w:p>
    <w:p w14:paraId="46355F10" w14:textId="77777777" w:rsidR="00CB351A" w:rsidRPr="000A15F8" w:rsidRDefault="00CB351A" w:rsidP="00CB351A">
      <w:pPr>
        <w:pStyle w:val="SingleTxtG"/>
      </w:pPr>
      <w:r w:rsidRPr="000A15F8">
        <w:lastRenderedPageBreak/>
        <w:t>210.</w:t>
      </w:r>
      <w:r w:rsidRPr="000A15F8">
        <w:tab/>
        <w:t>В настоящее время женщины составляют 41 процент работников, работающих в системе высшего и среднего специального образования. В частности, работают 460</w:t>
      </w:r>
      <w:r>
        <w:t> </w:t>
      </w:r>
      <w:r w:rsidRPr="000A15F8">
        <w:t>докторов наук, 2080 кандидатов наук, 430 докторов философии (</w:t>
      </w:r>
      <w:proofErr w:type="spellStart"/>
      <w:r w:rsidRPr="00E54644">
        <w:t>PhD</w:t>
      </w:r>
      <w:proofErr w:type="spellEnd"/>
      <w:r w:rsidRPr="000A15F8">
        <w:t xml:space="preserve">). Кроме того, женщины работают в качестве </w:t>
      </w:r>
      <w:r>
        <w:t>двух</w:t>
      </w:r>
      <w:r w:rsidRPr="000A15F8">
        <w:t xml:space="preserve"> ректоров (директоров), 14 проректоров (мест), 40</w:t>
      </w:r>
      <w:r>
        <w:t> </w:t>
      </w:r>
      <w:r w:rsidRPr="000A15F8">
        <w:t>деканов факультетов.</w:t>
      </w:r>
    </w:p>
    <w:p w14:paraId="088CB159" w14:textId="77777777" w:rsidR="00CB351A" w:rsidRPr="000A15F8" w:rsidRDefault="00CB351A" w:rsidP="00CB351A">
      <w:pPr>
        <w:pStyle w:val="SingleTxtG"/>
      </w:pPr>
      <w:r w:rsidRPr="000A15F8">
        <w:t>211.</w:t>
      </w:r>
      <w:r w:rsidRPr="000A15F8">
        <w:tab/>
        <w:t>В соответствии со ст.</w:t>
      </w:r>
      <w:r>
        <w:t> </w:t>
      </w:r>
      <w:r w:rsidRPr="000A15F8">
        <w:t>4 Закона «Об образовании» от 29.08.1997</w:t>
      </w:r>
      <w:r>
        <w:t> </w:t>
      </w:r>
      <w:r w:rsidRPr="000A15F8">
        <w:t>г</w:t>
      </w:r>
      <w:r>
        <w:t>.</w:t>
      </w:r>
      <w:r w:rsidRPr="000A15F8">
        <w:t xml:space="preserve"> регламентировано, что «каждому гарантируются равные права на получение образования, независимо от пола, языка, возраста, расовой, национальной принадлежности, убеждений, отношения к религии, социального происхождения, рода занятий, общественного положения, места жительства, продолжительности проживания на территории Республики Узбекистан».</w:t>
      </w:r>
    </w:p>
    <w:p w14:paraId="187C5038" w14:textId="77777777" w:rsidR="00CB351A" w:rsidRPr="000A15F8" w:rsidRDefault="00CB351A" w:rsidP="00CB351A">
      <w:pPr>
        <w:pStyle w:val="SingleTxtG"/>
      </w:pPr>
      <w:r w:rsidRPr="000A15F8">
        <w:t>212.</w:t>
      </w:r>
      <w:r w:rsidRPr="000A15F8">
        <w:tab/>
        <w:t>В этой связи в системе общего среднего образования не установлены какие</w:t>
      </w:r>
      <w:r>
        <w:noBreakHyphen/>
      </w:r>
      <w:r w:rsidRPr="000A15F8">
        <w:t>либо ограничения в получении образования лицам, в том числе в вопросах гендерной принадлежности.</w:t>
      </w:r>
    </w:p>
    <w:p w14:paraId="741E2040" w14:textId="77777777" w:rsidR="00CB351A" w:rsidRPr="000A15F8" w:rsidRDefault="00CB351A" w:rsidP="00CB351A">
      <w:pPr>
        <w:pStyle w:val="SingleTxtG"/>
      </w:pPr>
      <w:r w:rsidRPr="000A15F8">
        <w:t>213.</w:t>
      </w:r>
      <w:r w:rsidRPr="000A15F8">
        <w:tab/>
        <w:t xml:space="preserve">Законом «О гарантиях равных прав и возможностей женщин и мужчин» от 9.03.2019 г. предусмотрены гарантии защиты прав женщин в сфере образования </w:t>
      </w:r>
      <w:r>
        <w:br/>
      </w:r>
      <w:r w:rsidRPr="000A15F8">
        <w:t>(ст. 26</w:t>
      </w:r>
      <w:r>
        <w:t>–</w:t>
      </w:r>
      <w:r w:rsidRPr="000A15F8">
        <w:t>27), «Дорожной картой» по реализации Национальной стратегии по правам человека предусмотрена разработка Стратегии гендерного равенства в Узбекистане на 2021</w:t>
      </w:r>
      <w:r>
        <w:t>–</w:t>
      </w:r>
      <w:r w:rsidRPr="000A15F8">
        <w:t>2025 годы (п.</w:t>
      </w:r>
      <w:r>
        <w:t xml:space="preserve"> </w:t>
      </w:r>
      <w:r w:rsidRPr="000A15F8">
        <w:t>44) с целью достижению гендерного равенства во всех сферах, совершенствование механизмов защиты женщин от насилия, а также повышение участия женщин в политической деятельности и процессе принятия решений.</w:t>
      </w:r>
    </w:p>
    <w:p w14:paraId="42C82206" w14:textId="77777777" w:rsidR="00CB351A" w:rsidRPr="00643474" w:rsidRDefault="00CB351A" w:rsidP="00CB351A">
      <w:pPr>
        <w:pStyle w:val="H1G"/>
        <w:rPr>
          <w:lang w:val="uz-Cyrl-UZ"/>
        </w:rPr>
      </w:pPr>
      <w:r>
        <w:rPr>
          <w:lang w:val="uz-Cyrl-UZ"/>
        </w:rPr>
        <w:tab/>
      </w:r>
      <w:r>
        <w:rPr>
          <w:lang w:val="uz-Cyrl-UZ"/>
        </w:rPr>
        <w:tab/>
      </w:r>
      <w:r w:rsidRPr="00643474">
        <w:rPr>
          <w:lang w:val="uz-Cyrl-UZ"/>
        </w:rPr>
        <w:t>Пункт 24</w:t>
      </w:r>
    </w:p>
    <w:p w14:paraId="12CE13E1" w14:textId="77777777" w:rsidR="00CB351A" w:rsidRPr="00D421A9" w:rsidRDefault="00CB351A" w:rsidP="00CB351A">
      <w:pPr>
        <w:pStyle w:val="SingleTxtG"/>
        <w:rPr>
          <w:lang w:val="uz-Cyrl-UZ"/>
        </w:rPr>
      </w:pPr>
      <w:r w:rsidRPr="00D421A9">
        <w:rPr>
          <w:lang w:val="uz-Cyrl-UZ"/>
        </w:rPr>
        <w:t>214.</w:t>
      </w:r>
      <w:r w:rsidRPr="00D421A9">
        <w:rPr>
          <w:lang w:val="uz-Cyrl-UZ"/>
        </w:rPr>
        <w:tab/>
        <w:t>Узбекистан принимаются последовательные меры по сохранению культурных объектов расположенных в Бухаре и Самарканде (всего в Узбекистане 2079</w:t>
      </w:r>
      <w:r>
        <w:rPr>
          <w:lang w:val="uz-Cyrl-UZ"/>
        </w:rPr>
        <w:t> </w:t>
      </w:r>
      <w:r w:rsidRPr="00D421A9">
        <w:rPr>
          <w:lang w:val="uz-Cyrl-UZ"/>
        </w:rPr>
        <w:t>памятников архитектуры и 4308 археологических объектов).</w:t>
      </w:r>
    </w:p>
    <w:p w14:paraId="06DD4E19" w14:textId="77777777" w:rsidR="00CB351A" w:rsidRPr="00D421A9" w:rsidRDefault="00CB351A" w:rsidP="00CB351A">
      <w:pPr>
        <w:pStyle w:val="SingleTxtG"/>
        <w:rPr>
          <w:lang w:val="uz-Cyrl-UZ"/>
        </w:rPr>
      </w:pPr>
      <w:r w:rsidRPr="00D421A9">
        <w:rPr>
          <w:lang w:val="uz-Cyrl-UZ"/>
        </w:rPr>
        <w:t>215.</w:t>
      </w:r>
      <w:r w:rsidRPr="00D421A9">
        <w:rPr>
          <w:lang w:val="uz-Cyrl-UZ"/>
        </w:rPr>
        <w:tab/>
        <w:t>19.12.2018</w:t>
      </w:r>
      <w:r>
        <w:rPr>
          <w:lang w:val="uz-Cyrl-UZ"/>
        </w:rPr>
        <w:t> </w:t>
      </w:r>
      <w:r w:rsidRPr="00D421A9">
        <w:rPr>
          <w:lang w:val="uz-Cyrl-UZ"/>
        </w:rPr>
        <w:t>г. принято Постановление «О мерах по коренному совершенствованию деятельности в сфере охраны объектов материального культурного наследия», которым образован Департамент культурного наследия при Министерстве культуры, утверждена «Дорожная карта» по коренному совершенствованию охраны, сохранения, научного исследования, пропаганды и рационального использования объектов материального культурного наследия на 2019</w:t>
      </w:r>
      <w:r>
        <w:rPr>
          <w:lang w:val="uz-Cyrl-UZ"/>
        </w:rPr>
        <w:t>–</w:t>
      </w:r>
      <w:r w:rsidRPr="00D421A9">
        <w:rPr>
          <w:lang w:val="uz-Cyrl-UZ"/>
        </w:rPr>
        <w:t>2021 годы.</w:t>
      </w:r>
    </w:p>
    <w:p w14:paraId="7309C0C3" w14:textId="77777777" w:rsidR="00CB351A" w:rsidRPr="00D421A9" w:rsidRDefault="00CB351A" w:rsidP="00CB351A">
      <w:pPr>
        <w:pStyle w:val="SingleTxtG"/>
        <w:rPr>
          <w:lang w:val="uz-Cyrl-UZ"/>
        </w:rPr>
      </w:pPr>
      <w:r w:rsidRPr="00D421A9">
        <w:rPr>
          <w:lang w:val="uz-Cyrl-UZ"/>
        </w:rPr>
        <w:t>216.</w:t>
      </w:r>
      <w:r w:rsidRPr="00D421A9">
        <w:rPr>
          <w:lang w:val="uz-Cyrl-UZ"/>
        </w:rPr>
        <w:tab/>
        <w:t xml:space="preserve">Также установлено, что территории Республики, включенные по своей историко-культурной ценности в Список всемирного наследия ЮНЕСКО, считаются особо охраняемыми историко-культурными территориями, проекты запланированных на их территории работ по строительству и благоустройству подлежат обязательному согласованию с Департаментом и Центром всемирного наследия ЮНЕСКО. </w:t>
      </w:r>
    </w:p>
    <w:p w14:paraId="5834F512" w14:textId="77777777" w:rsidR="00CB351A" w:rsidRPr="00D421A9" w:rsidRDefault="00CB351A" w:rsidP="00CB351A">
      <w:pPr>
        <w:pStyle w:val="SingleTxtG"/>
        <w:rPr>
          <w:lang w:val="uz-Cyrl-UZ"/>
        </w:rPr>
      </w:pPr>
      <w:r w:rsidRPr="00D421A9">
        <w:rPr>
          <w:lang w:val="uz-Cyrl-UZ"/>
        </w:rPr>
        <w:t>217.</w:t>
      </w:r>
      <w:r w:rsidRPr="00D421A9">
        <w:rPr>
          <w:lang w:val="uz-Cyrl-UZ"/>
        </w:rPr>
        <w:tab/>
        <w:t>9.06.2018 г. принято постановление Правительства «Об охране территорий Республики Узбекистан, включенных в</w:t>
      </w:r>
      <w:r>
        <w:rPr>
          <w:lang w:val="uz-Cyrl-UZ"/>
        </w:rPr>
        <w:t xml:space="preserve"> </w:t>
      </w:r>
      <w:r w:rsidRPr="00D421A9">
        <w:rPr>
          <w:lang w:val="uz-Cyrl-UZ"/>
        </w:rPr>
        <w:t>Список всемирного наследия ЮНЕСКО», которым утверждена «Дорожная карта» по</w:t>
      </w:r>
      <w:r>
        <w:rPr>
          <w:lang w:val="uz-Cyrl-UZ"/>
        </w:rPr>
        <w:t xml:space="preserve"> </w:t>
      </w:r>
      <w:r w:rsidRPr="00D421A9">
        <w:rPr>
          <w:lang w:val="uz-Cyrl-UZ"/>
        </w:rPr>
        <w:t>совершенствованию охраны территорий, включенных в</w:t>
      </w:r>
      <w:r>
        <w:rPr>
          <w:lang w:val="uz-Cyrl-UZ"/>
        </w:rPr>
        <w:t xml:space="preserve"> </w:t>
      </w:r>
      <w:r w:rsidRPr="00D421A9">
        <w:rPr>
          <w:lang w:val="uz-Cyrl-UZ"/>
        </w:rPr>
        <w:t>Список всемирного наследия.</w:t>
      </w:r>
    </w:p>
    <w:p w14:paraId="02AA93AD" w14:textId="77777777" w:rsidR="00CB351A" w:rsidRPr="00865DA7" w:rsidRDefault="00CB351A" w:rsidP="00CB351A">
      <w:pPr>
        <w:pStyle w:val="SingleTxtG"/>
        <w:rPr>
          <w:lang w:val="uz-Cyrl-UZ"/>
        </w:rPr>
      </w:pPr>
      <w:r w:rsidRPr="00D421A9">
        <w:rPr>
          <w:lang w:val="uz-Cyrl-UZ"/>
        </w:rPr>
        <w:t>218.</w:t>
      </w:r>
      <w:r w:rsidRPr="00D421A9">
        <w:rPr>
          <w:lang w:val="uz-Cyrl-UZ"/>
        </w:rPr>
        <w:tab/>
        <w:t xml:space="preserve">Обучение в общих средних образовательных учреждениях Узбекистана осуществляется в соответствии с требованиями государственных образовательных программ на 7 языках (узбекский, русский, каракалпакский, казахский, кыргызский, таджикский и туркменский). </w:t>
      </w:r>
      <w:r w:rsidRPr="00865DA7">
        <w:rPr>
          <w:lang w:val="uz-Cyrl-UZ"/>
        </w:rPr>
        <w:t>Подробная информация по данному вопросу подробно освещена в десятом</w:t>
      </w:r>
      <w:r>
        <w:rPr>
          <w:lang w:val="uz-Cyrl-UZ"/>
        </w:rPr>
        <w:t>–</w:t>
      </w:r>
      <w:r w:rsidRPr="00865DA7">
        <w:rPr>
          <w:lang w:val="uz-Cyrl-UZ"/>
        </w:rPr>
        <w:t>двенадцатом национальных докладах Узбекистана по выполнению Конвенции ООН о ликвидации всех форм расовой дискриминации</w:t>
      </w:r>
      <w:r w:rsidRPr="00E54644">
        <w:rPr>
          <w:rStyle w:val="a8"/>
        </w:rPr>
        <w:footnoteReference w:id="2"/>
      </w:r>
      <w:r w:rsidRPr="00865DA7">
        <w:rPr>
          <w:lang w:val="uz-Cyrl-UZ"/>
        </w:rPr>
        <w:t>.</w:t>
      </w:r>
    </w:p>
    <w:p w14:paraId="64F0090B" w14:textId="77777777" w:rsidR="00CB351A" w:rsidRPr="00643474" w:rsidRDefault="00CB351A" w:rsidP="00CB351A">
      <w:pPr>
        <w:pStyle w:val="H1G"/>
        <w:rPr>
          <w:lang w:val="uz-Cyrl-UZ"/>
        </w:rPr>
      </w:pPr>
      <w:r>
        <w:rPr>
          <w:lang w:val="uz-Cyrl-UZ"/>
        </w:rPr>
        <w:lastRenderedPageBreak/>
        <w:tab/>
      </w:r>
      <w:r>
        <w:rPr>
          <w:lang w:val="uz-Cyrl-UZ"/>
        </w:rPr>
        <w:tab/>
      </w:r>
      <w:r w:rsidRPr="00643474">
        <w:rPr>
          <w:lang w:val="uz-Cyrl-UZ"/>
        </w:rPr>
        <w:t>Пункт 25</w:t>
      </w:r>
    </w:p>
    <w:p w14:paraId="6797E9DA" w14:textId="77777777" w:rsidR="00CB351A" w:rsidRPr="00D421A9" w:rsidRDefault="00CB351A" w:rsidP="00CB351A">
      <w:pPr>
        <w:pStyle w:val="SingleTxtG"/>
        <w:rPr>
          <w:lang w:val="uz-Cyrl-UZ"/>
        </w:rPr>
      </w:pPr>
      <w:r w:rsidRPr="00D421A9">
        <w:rPr>
          <w:lang w:val="uz-Cyrl-UZ"/>
        </w:rPr>
        <w:t>219.</w:t>
      </w:r>
      <w:r w:rsidRPr="00D421A9">
        <w:rPr>
          <w:lang w:val="uz-Cyrl-UZ"/>
        </w:rPr>
        <w:tab/>
        <w:t xml:space="preserve">В Узбекистане созданы необходимые условия для доступа к культурным </w:t>
      </w:r>
      <w:r>
        <w:rPr>
          <w:lang w:val="uz-Cyrl-UZ"/>
        </w:rPr>
        <w:tab/>
      </w:r>
      <w:r w:rsidRPr="00D421A9">
        <w:rPr>
          <w:lang w:val="uz-Cyrl-UZ"/>
        </w:rPr>
        <w:t>объектам.</w:t>
      </w:r>
    </w:p>
    <w:p w14:paraId="49F32E88" w14:textId="77777777" w:rsidR="00CB351A" w:rsidRPr="00D421A9" w:rsidRDefault="00CB351A" w:rsidP="00CB351A">
      <w:pPr>
        <w:pStyle w:val="SingleTxtG"/>
        <w:rPr>
          <w:lang w:val="uz-Cyrl-UZ"/>
        </w:rPr>
      </w:pPr>
      <w:r w:rsidRPr="00D421A9">
        <w:rPr>
          <w:lang w:val="uz-Cyrl-UZ"/>
        </w:rPr>
        <w:t>220.</w:t>
      </w:r>
      <w:r w:rsidRPr="00D421A9">
        <w:rPr>
          <w:lang w:val="uz-Cyrl-UZ"/>
        </w:rPr>
        <w:tab/>
        <w:t>В соответствии с положением «О порядке и условиях посещения музейных предметов и музейных коллекций, включенных в состав Национального музейного фонда», установлены правила ознакомления с музеями.</w:t>
      </w:r>
    </w:p>
    <w:p w14:paraId="114CE52F" w14:textId="77777777" w:rsidR="00CB351A" w:rsidRPr="00865DA7" w:rsidRDefault="00CB351A" w:rsidP="00CB351A">
      <w:pPr>
        <w:pStyle w:val="SingleTxtG"/>
        <w:rPr>
          <w:lang w:val="uz-Cyrl-UZ"/>
        </w:rPr>
      </w:pPr>
      <w:r w:rsidRPr="00D421A9">
        <w:rPr>
          <w:lang w:val="uz-Cyrl-UZ"/>
        </w:rPr>
        <w:t>221.</w:t>
      </w:r>
      <w:r w:rsidRPr="00D421A9">
        <w:rPr>
          <w:lang w:val="uz-Cyrl-UZ"/>
        </w:rPr>
        <w:tab/>
        <w:t xml:space="preserve">Посещение музейных предметов и музейных коллекций, включенных в состав Национального музейного фонда, осуществляется в рамках «Недели музеев», ежегодно с 2 по 8 сентября на бесплатной основе. </w:t>
      </w:r>
      <w:r w:rsidRPr="00865DA7">
        <w:rPr>
          <w:lang w:val="uz-Cyrl-UZ"/>
        </w:rPr>
        <w:t>В целях расширения доступа детей и подростков к культурно-историческому наследию и возможности ознакомиться с ним, каждый вторник и пятницу недели дети и сопровождающие их родители (или</w:t>
      </w:r>
      <w:r>
        <w:rPr>
          <w:lang w:val="uz-Cyrl-UZ"/>
        </w:rPr>
        <w:t> </w:t>
      </w:r>
      <w:r w:rsidRPr="00865DA7">
        <w:rPr>
          <w:lang w:val="uz-Cyrl-UZ"/>
        </w:rPr>
        <w:t>лица, их заменяющие) посещают музеи и музейные коллекции, включенные в состав Национального музейного фонда на бесплатной основе.</w:t>
      </w:r>
    </w:p>
    <w:p w14:paraId="4E010461" w14:textId="77777777" w:rsidR="00CB351A" w:rsidRPr="00865DA7" w:rsidRDefault="00CB351A" w:rsidP="00CB351A">
      <w:pPr>
        <w:pStyle w:val="SingleTxtG"/>
        <w:rPr>
          <w:lang w:val="uz-Cyrl-UZ"/>
        </w:rPr>
      </w:pPr>
      <w:r w:rsidRPr="00865DA7">
        <w:rPr>
          <w:lang w:val="uz-Cyrl-UZ"/>
        </w:rPr>
        <w:t>222.</w:t>
      </w:r>
      <w:r w:rsidRPr="00865DA7">
        <w:rPr>
          <w:lang w:val="uz-Cyrl-UZ"/>
        </w:rPr>
        <w:tab/>
        <w:t>1.08.2018 г. принято Постановление «О мерах по созданию условий для развития государственно-частного партнерства в сфере культуры и искусства» с целью дальнейшего развития сферы культуры и искусства, расширения сети учреждений культуры и искусства и укрепления их материально-технической базы, организации качественных услуг населению.</w:t>
      </w:r>
    </w:p>
    <w:p w14:paraId="1811E1F2" w14:textId="77777777" w:rsidR="00CB351A" w:rsidRPr="00865DA7" w:rsidRDefault="00CB351A" w:rsidP="00CB351A">
      <w:pPr>
        <w:pStyle w:val="SingleTxtG"/>
        <w:rPr>
          <w:lang w:val="uz-Cyrl-UZ"/>
        </w:rPr>
      </w:pPr>
      <w:r w:rsidRPr="00865DA7">
        <w:rPr>
          <w:lang w:val="uz-Cyrl-UZ"/>
        </w:rPr>
        <w:t>223.</w:t>
      </w:r>
      <w:r w:rsidRPr="00865DA7">
        <w:rPr>
          <w:lang w:val="uz-Cyrl-UZ"/>
        </w:rPr>
        <w:tab/>
        <w:t>26.08.2018 г. принято Постановление «О мерах по инновационному развитию сферы культуры и искусства в Республике Узбекистан» с целью обеспечения инновационного развития сферы культуры и искусства, улучшения материально-технической базы учреждений культуры и искусства, стимулирования интереса населения к их посещению, интеграции страны в мировое культурное пространство, которым утверждена «Дорожная карта» по инновационному развитию сферы культуры и искусства в Республике Узбекистан на 2018</w:t>
      </w:r>
      <w:r>
        <w:rPr>
          <w:lang w:val="uz-Cyrl-UZ"/>
        </w:rPr>
        <w:t>–</w:t>
      </w:r>
      <w:r w:rsidRPr="00865DA7">
        <w:rPr>
          <w:lang w:val="uz-Cyrl-UZ"/>
        </w:rPr>
        <w:t>2020 годы.</w:t>
      </w:r>
    </w:p>
    <w:p w14:paraId="0115B930" w14:textId="77777777" w:rsidR="00CB351A" w:rsidRPr="00865DA7" w:rsidRDefault="00CB351A" w:rsidP="00CB351A">
      <w:pPr>
        <w:pStyle w:val="SingleTxtG"/>
        <w:rPr>
          <w:lang w:val="uz-Cyrl-UZ"/>
        </w:rPr>
      </w:pPr>
      <w:r w:rsidRPr="00865DA7">
        <w:rPr>
          <w:lang w:val="uz-Cyrl-UZ"/>
        </w:rPr>
        <w:t>224.</w:t>
      </w:r>
      <w:r w:rsidRPr="00865DA7">
        <w:rPr>
          <w:lang w:val="uz-Cyrl-UZ"/>
        </w:rPr>
        <w:tab/>
        <w:t>Согласно п.</w:t>
      </w:r>
      <w:r>
        <w:rPr>
          <w:lang w:val="uz-Cyrl-UZ"/>
        </w:rPr>
        <w:t xml:space="preserve"> </w:t>
      </w:r>
      <w:r w:rsidRPr="00865DA7">
        <w:rPr>
          <w:lang w:val="uz-Cyrl-UZ"/>
        </w:rPr>
        <w:t>14 Указа «О мерах по дальнейшему повышению роли и значения сферы культуры и искусства в жизни общества» от 26.05.2020 г. начиная с сентября 2020 года в государственных музеях первое воскресенье каждого месяца объявлено «днем открытых дверей» и установлено, что в «день открытых дверей» граждане бесплатно допускаются в государственные музеи к музейным предметам и музейным коллекциям.</w:t>
      </w:r>
    </w:p>
    <w:p w14:paraId="396E29B9" w14:textId="77777777" w:rsidR="00CB351A" w:rsidRPr="00865DA7" w:rsidRDefault="00CB351A" w:rsidP="00CB351A">
      <w:pPr>
        <w:pStyle w:val="SingleTxtG"/>
        <w:rPr>
          <w:lang w:val="uz-Cyrl-UZ"/>
        </w:rPr>
      </w:pPr>
      <w:r w:rsidRPr="00865DA7">
        <w:rPr>
          <w:lang w:val="uz-Cyrl-UZ"/>
        </w:rPr>
        <w:t>225.</w:t>
      </w:r>
      <w:r w:rsidRPr="00865DA7">
        <w:rPr>
          <w:lang w:val="uz-Cyrl-UZ"/>
        </w:rPr>
        <w:tab/>
        <w:t>28.11.2018 г. принято Постановление Президента, в соответствии с которым утверждена Концепция дальнейшего развития национальной культуры в Республике Узбекистан с целью сохранения сформировавшихся на протяжении многих веков высоких духовных ценностей и духовного наследия народа Узбекистана.</w:t>
      </w:r>
    </w:p>
    <w:p w14:paraId="52437C64" w14:textId="77777777" w:rsidR="00CB351A" w:rsidRPr="00865DA7" w:rsidRDefault="00CB351A" w:rsidP="00CB351A">
      <w:pPr>
        <w:pStyle w:val="SingleTxtG"/>
        <w:rPr>
          <w:lang w:val="uz-Cyrl-UZ"/>
        </w:rPr>
      </w:pPr>
      <w:r w:rsidRPr="00865DA7">
        <w:rPr>
          <w:lang w:val="uz-Cyrl-UZ"/>
        </w:rPr>
        <w:t>226.</w:t>
      </w:r>
      <w:r w:rsidRPr="00865DA7">
        <w:rPr>
          <w:lang w:val="uz-Cyrl-UZ"/>
        </w:rPr>
        <w:tab/>
        <w:t xml:space="preserve">В последнее время кардинально изменилось отношение к развитию науки и научных исследований, функционирует проект «Укрепление инклюзивной системы науки, технологий и инноваций (НТИ), который реализуется для целей устойчивого развития в Узбекистане» совместно с ЮНЕСКО. </w:t>
      </w:r>
    </w:p>
    <w:p w14:paraId="0207FA00" w14:textId="77777777" w:rsidR="00CB351A" w:rsidRPr="00865DA7" w:rsidRDefault="00CB351A" w:rsidP="00CB351A">
      <w:pPr>
        <w:pStyle w:val="SingleTxtG"/>
        <w:rPr>
          <w:lang w:val="uz-Cyrl-UZ"/>
        </w:rPr>
      </w:pPr>
      <w:r w:rsidRPr="00865DA7">
        <w:rPr>
          <w:lang w:val="uz-Cyrl-UZ"/>
        </w:rPr>
        <w:t>227.</w:t>
      </w:r>
      <w:r w:rsidRPr="00865DA7">
        <w:rPr>
          <w:lang w:val="uz-Cyrl-UZ"/>
        </w:rPr>
        <w:tab/>
        <w:t xml:space="preserve">В настоящее время специалистами ЮНЕСКО разработан национальный обзор системы НТИ в Узбекистане с включением рекомендаций по основным направлениям привлечения инвестиций в сферу НТИ, дальнейшему укреплению ее инфраструктуры, а также обеспечения равного доступа к результатам научно-инновационной деятельности среди всех слоев населения. </w:t>
      </w:r>
    </w:p>
    <w:p w14:paraId="070E742C" w14:textId="77777777" w:rsidR="00CB351A" w:rsidRPr="00865DA7" w:rsidRDefault="00CB351A" w:rsidP="00CB351A">
      <w:pPr>
        <w:pStyle w:val="SingleTxtG"/>
        <w:rPr>
          <w:lang w:val="uz-Cyrl-UZ"/>
        </w:rPr>
      </w:pPr>
      <w:r w:rsidRPr="00865DA7">
        <w:rPr>
          <w:lang w:val="uz-Cyrl-UZ"/>
        </w:rPr>
        <w:t>228.</w:t>
      </w:r>
      <w:r w:rsidRPr="00865DA7">
        <w:rPr>
          <w:lang w:val="uz-Cyrl-UZ"/>
        </w:rPr>
        <w:tab/>
        <w:t xml:space="preserve">Благодаря развитию в Узбекистане сети Интернет значительно усилилось участие граждан в решении государственных и общественных дел. </w:t>
      </w:r>
    </w:p>
    <w:p w14:paraId="508B68DE" w14:textId="77777777" w:rsidR="00CB351A" w:rsidRPr="00865DA7" w:rsidRDefault="00CB351A" w:rsidP="00CB351A">
      <w:pPr>
        <w:pStyle w:val="SingleTxtG"/>
        <w:rPr>
          <w:lang w:val="uz-Cyrl-UZ"/>
        </w:rPr>
      </w:pPr>
      <w:r w:rsidRPr="00865DA7">
        <w:rPr>
          <w:lang w:val="uz-Cyrl-UZ"/>
        </w:rPr>
        <w:t>229.</w:t>
      </w:r>
      <w:r w:rsidRPr="00865DA7">
        <w:rPr>
          <w:lang w:val="uz-Cyrl-UZ"/>
        </w:rPr>
        <w:tab/>
        <w:t xml:space="preserve">Усилилась открытость законодательной деятельности парламента на основе указов «О мерах по коренному совершенствованию системы распространения актов законодательства» от 8.02.2017 г., «Об утверждении концепции совершенствования нормотворческой деятельности» от 8.08.2018 г., в нормотворческий процесс внедрены современные информационно-коммуникационные технологии. Для обсуждения населением законопроектов, Указом Президента от 22.01.2018 г. введен порядок </w:t>
      </w:r>
      <w:r w:rsidRPr="00865DA7">
        <w:rPr>
          <w:lang w:val="uz-Cyrl-UZ"/>
        </w:rPr>
        <w:lastRenderedPageBreak/>
        <w:t xml:space="preserve">общественного обращения в палаты Парламента и местные Кенгаши народных депутатов через специальный веб-портал «Mening fikrim» («Мое мнение»). </w:t>
      </w:r>
    </w:p>
    <w:p w14:paraId="0F42F5EB" w14:textId="77777777" w:rsidR="00CB351A" w:rsidRPr="00865DA7" w:rsidRDefault="00CB351A" w:rsidP="00CB351A">
      <w:pPr>
        <w:pStyle w:val="SingleTxtG"/>
        <w:rPr>
          <w:lang w:val="uz-Cyrl-UZ"/>
        </w:rPr>
      </w:pPr>
      <w:r w:rsidRPr="00865DA7">
        <w:rPr>
          <w:lang w:val="uz-Cyrl-UZ"/>
        </w:rPr>
        <w:t>230.</w:t>
      </w:r>
      <w:r w:rsidRPr="00865DA7">
        <w:rPr>
          <w:lang w:val="uz-Cyrl-UZ"/>
        </w:rPr>
        <w:tab/>
        <w:t>28.04.2020 г. принято Постановление «О мерах по широкому внедрению цифровой экономики и электронного правительства», согласно которому образованы Государственное учреждение «Центр управления проектами электронного правительства» и Государственное учреждение «Центр исследований цифровой экономики», утверждены:</w:t>
      </w:r>
    </w:p>
    <w:p w14:paraId="16E0E46F" w14:textId="77777777" w:rsidR="00CB351A" w:rsidRPr="00643474" w:rsidRDefault="00CB351A" w:rsidP="00CB351A">
      <w:pPr>
        <w:pStyle w:val="Bullet1G"/>
        <w:numPr>
          <w:ilvl w:val="0"/>
          <w:numId w:val="4"/>
        </w:numPr>
      </w:pPr>
      <w:r w:rsidRPr="00643474">
        <w:t xml:space="preserve">Архитектура системы «Электронное правительство»; </w:t>
      </w:r>
    </w:p>
    <w:p w14:paraId="4CA8224F" w14:textId="77777777" w:rsidR="00CB351A" w:rsidRPr="00643474" w:rsidRDefault="00CB351A" w:rsidP="00CB351A">
      <w:pPr>
        <w:pStyle w:val="Bullet1G"/>
        <w:numPr>
          <w:ilvl w:val="0"/>
          <w:numId w:val="4"/>
        </w:numPr>
      </w:pPr>
      <w:r w:rsidRPr="00643474">
        <w:t>Перечень приоритетных проектов по развитию информационных технологий и телекоммуникаций в 2020</w:t>
      </w:r>
      <w:r>
        <w:t>–</w:t>
      </w:r>
      <w:r w:rsidRPr="00643474">
        <w:t>2022 годах;</w:t>
      </w:r>
    </w:p>
    <w:p w14:paraId="6938FC13" w14:textId="77777777" w:rsidR="00CB351A" w:rsidRPr="00643474" w:rsidRDefault="00CB351A" w:rsidP="00CB351A">
      <w:pPr>
        <w:pStyle w:val="Bullet1G"/>
        <w:numPr>
          <w:ilvl w:val="0"/>
          <w:numId w:val="4"/>
        </w:numPr>
      </w:pPr>
      <w:r w:rsidRPr="00643474">
        <w:t>«Дорожная карта» по внедрению цифровых технологий в сельское и водное хозяйство в 2020</w:t>
      </w:r>
      <w:r>
        <w:t>–</w:t>
      </w:r>
      <w:r w:rsidRPr="00643474">
        <w:t>2021 годах</w:t>
      </w:r>
      <w:r>
        <w:t>.</w:t>
      </w:r>
    </w:p>
    <w:p w14:paraId="4A2B5AC4" w14:textId="77777777" w:rsidR="00CB351A" w:rsidRPr="00D421A9" w:rsidRDefault="00CB351A" w:rsidP="00CB351A">
      <w:pPr>
        <w:pStyle w:val="SingleTxtG"/>
      </w:pPr>
      <w:r w:rsidRPr="00D421A9">
        <w:t>231</w:t>
      </w:r>
      <w:r>
        <w:t>.</w:t>
      </w:r>
      <w:r>
        <w:tab/>
      </w:r>
      <w:r w:rsidRPr="00D421A9">
        <w:t>В Узбекистане реализуются проект «</w:t>
      </w:r>
      <w:proofErr w:type="spellStart"/>
      <w:r w:rsidRPr="00D421A9">
        <w:t>TechnoBus</w:t>
      </w:r>
      <w:proofErr w:type="spellEnd"/>
      <w:r w:rsidRPr="00D421A9">
        <w:t xml:space="preserve">» </w:t>
      </w:r>
      <w:r>
        <w:t>—</w:t>
      </w:r>
      <w:r w:rsidRPr="00D421A9">
        <w:t xml:space="preserve"> образовательная платформа мобильных технологий </w:t>
      </w:r>
      <w:proofErr w:type="spellStart"/>
      <w:r w:rsidRPr="00D421A9">
        <w:t>TechnoBus</w:t>
      </w:r>
      <w:proofErr w:type="spellEnd"/>
      <w:r w:rsidRPr="00D421A9">
        <w:t xml:space="preserve"> в отдаленных районах страны, которая предназначена для обучения одаренной молодежи, интересующейся сферами, важными для развития страны, а также проект «Инновационная трость», посвященный производству «инновационной трости», которая собирает информацию о потенциальных препятствиях и глубинах, излучая электромагнитные волны, и предупреждает владельца трости специальным сигналом или вибрацией.</w:t>
      </w:r>
    </w:p>
    <w:p w14:paraId="7C45E053" w14:textId="77777777" w:rsidR="00CB351A" w:rsidRPr="00643474" w:rsidRDefault="00CB351A" w:rsidP="00CB351A">
      <w:pPr>
        <w:spacing w:before="240"/>
        <w:ind w:left="1134" w:right="1134"/>
        <w:jc w:val="center"/>
        <w:rPr>
          <w:u w:val="single"/>
        </w:rPr>
      </w:pPr>
      <w:r w:rsidRPr="00643474">
        <w:rPr>
          <w:u w:val="single"/>
        </w:rPr>
        <w:tab/>
      </w:r>
      <w:r w:rsidRPr="00643474">
        <w:rPr>
          <w:u w:val="single"/>
        </w:rPr>
        <w:tab/>
      </w:r>
      <w:r w:rsidRPr="00643474">
        <w:rPr>
          <w:u w:val="single"/>
        </w:rPr>
        <w:tab/>
      </w:r>
      <w:r w:rsidRPr="00643474">
        <w:rPr>
          <w:u w:val="single"/>
        </w:rPr>
        <w:tab/>
      </w:r>
    </w:p>
    <w:p w14:paraId="1FBBC92A" w14:textId="77777777" w:rsidR="00381C24" w:rsidRPr="00CB351A" w:rsidRDefault="00381C24" w:rsidP="00896BA2"/>
    <w:sectPr w:rsidR="00381C24" w:rsidRPr="00CB351A" w:rsidSect="00CB351A">
      <w:headerReference w:type="even" r:id="rId14"/>
      <w:headerReference w:type="default" r:id="rId15"/>
      <w:footerReference w:type="even" r:id="rId16"/>
      <w:footerReference w:type="default" r:id="rId17"/>
      <w:footerReference w:type="first" r:id="rId1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43267" w14:textId="77777777" w:rsidR="004E0697" w:rsidRPr="00A312BC" w:rsidRDefault="004E0697" w:rsidP="00A312BC"/>
  </w:endnote>
  <w:endnote w:type="continuationSeparator" w:id="0">
    <w:p w14:paraId="7D473745" w14:textId="77777777" w:rsidR="004E0697" w:rsidRPr="00A312BC" w:rsidRDefault="004E069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A50E0" w14:textId="77777777" w:rsidR="00CB351A" w:rsidRPr="00CB351A" w:rsidRDefault="00CB351A">
    <w:pPr>
      <w:pStyle w:val="aa"/>
    </w:pPr>
    <w:r w:rsidRPr="00CB351A">
      <w:rPr>
        <w:b/>
        <w:sz w:val="18"/>
      </w:rPr>
      <w:fldChar w:fldCharType="begin"/>
    </w:r>
    <w:r w:rsidRPr="00CB351A">
      <w:rPr>
        <w:b/>
        <w:sz w:val="18"/>
      </w:rPr>
      <w:instrText xml:space="preserve"> PAGE  \* MERGEFORMAT </w:instrText>
    </w:r>
    <w:r w:rsidRPr="00CB351A">
      <w:rPr>
        <w:b/>
        <w:sz w:val="18"/>
      </w:rPr>
      <w:fldChar w:fldCharType="separate"/>
    </w:r>
    <w:r w:rsidRPr="00CB351A">
      <w:rPr>
        <w:b/>
        <w:noProof/>
        <w:sz w:val="18"/>
      </w:rPr>
      <w:t>2</w:t>
    </w:r>
    <w:r w:rsidRPr="00CB351A">
      <w:rPr>
        <w:b/>
        <w:sz w:val="18"/>
      </w:rPr>
      <w:fldChar w:fldCharType="end"/>
    </w:r>
    <w:r>
      <w:rPr>
        <w:b/>
        <w:sz w:val="18"/>
      </w:rPr>
      <w:tab/>
    </w:r>
    <w:r>
      <w:t>GE.20-15165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80E60" w14:textId="77777777" w:rsidR="00CB351A" w:rsidRPr="00CB351A" w:rsidRDefault="00CB351A" w:rsidP="00CB351A">
    <w:pPr>
      <w:pStyle w:val="aa"/>
      <w:tabs>
        <w:tab w:val="clear" w:pos="9639"/>
        <w:tab w:val="right" w:pos="9638"/>
      </w:tabs>
      <w:rPr>
        <w:b/>
        <w:sz w:val="18"/>
      </w:rPr>
    </w:pPr>
    <w:r>
      <w:t>GE.20-15165</w:t>
    </w:r>
    <w:r>
      <w:tab/>
    </w:r>
    <w:r w:rsidRPr="00CB351A">
      <w:rPr>
        <w:b/>
        <w:sz w:val="18"/>
      </w:rPr>
      <w:fldChar w:fldCharType="begin"/>
    </w:r>
    <w:r w:rsidRPr="00CB351A">
      <w:rPr>
        <w:b/>
        <w:sz w:val="18"/>
      </w:rPr>
      <w:instrText xml:space="preserve"> PAGE  \* MERGEFORMAT </w:instrText>
    </w:r>
    <w:r w:rsidRPr="00CB351A">
      <w:rPr>
        <w:b/>
        <w:sz w:val="18"/>
      </w:rPr>
      <w:fldChar w:fldCharType="separate"/>
    </w:r>
    <w:r w:rsidRPr="00CB351A">
      <w:rPr>
        <w:b/>
        <w:noProof/>
        <w:sz w:val="18"/>
      </w:rPr>
      <w:t>3</w:t>
    </w:r>
    <w:r w:rsidRPr="00CB351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900DB" w14:textId="77777777" w:rsidR="00042B72" w:rsidRPr="00CB351A" w:rsidRDefault="00CB351A" w:rsidP="00CB351A">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2CEA3FCC" wp14:editId="319E48A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15165  (</w:t>
    </w:r>
    <w:proofErr w:type="gramEnd"/>
    <w:r>
      <w:t>R)</w:t>
    </w:r>
    <w:r>
      <w:rPr>
        <w:lang w:val="fr-CH"/>
      </w:rPr>
      <w:t xml:space="preserve">  161120  171120</w:t>
    </w:r>
    <w:r>
      <w:br/>
    </w:r>
    <w:r w:rsidRPr="00CB351A">
      <w:rPr>
        <w:rFonts w:ascii="C39T30Lfz" w:hAnsi="C39T30Lfz"/>
        <w:kern w:val="14"/>
        <w:sz w:val="56"/>
      </w:rPr>
      <w:t>*2015165*</w:t>
    </w:r>
    <w:r>
      <w:rPr>
        <w:noProof/>
      </w:rPr>
      <w:drawing>
        <wp:anchor distT="0" distB="0" distL="114300" distR="114300" simplePos="0" relativeHeight="251659264" behindDoc="0" locked="0" layoutInCell="1" allowOverlap="1" wp14:anchorId="7D736E9D" wp14:editId="50676B1B">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0ED45" w14:textId="77777777" w:rsidR="004E0697" w:rsidRPr="001075E9" w:rsidRDefault="004E0697" w:rsidP="001075E9">
      <w:pPr>
        <w:tabs>
          <w:tab w:val="right" w:pos="2155"/>
        </w:tabs>
        <w:spacing w:after="80" w:line="240" w:lineRule="auto"/>
        <w:ind w:left="680"/>
        <w:rPr>
          <w:u w:val="single"/>
        </w:rPr>
      </w:pPr>
      <w:r>
        <w:rPr>
          <w:u w:val="single"/>
        </w:rPr>
        <w:tab/>
      </w:r>
    </w:p>
  </w:footnote>
  <w:footnote w:type="continuationSeparator" w:id="0">
    <w:p w14:paraId="6DF318F0" w14:textId="77777777" w:rsidR="004E0697" w:rsidRDefault="004E0697" w:rsidP="00407B78">
      <w:pPr>
        <w:tabs>
          <w:tab w:val="right" w:pos="2155"/>
        </w:tabs>
        <w:spacing w:after="80"/>
        <w:ind w:left="680"/>
        <w:rPr>
          <w:u w:val="single"/>
        </w:rPr>
      </w:pPr>
      <w:r>
        <w:rPr>
          <w:u w:val="single"/>
        </w:rPr>
        <w:tab/>
      </w:r>
    </w:p>
  </w:footnote>
  <w:footnote w:id="1">
    <w:p w14:paraId="2A84BE35" w14:textId="77777777" w:rsidR="00CB351A" w:rsidRPr="00DD57FB" w:rsidRDefault="00CB351A" w:rsidP="00CB351A">
      <w:pPr>
        <w:pStyle w:val="af"/>
      </w:pPr>
      <w:r>
        <w:tab/>
      </w:r>
      <w:r w:rsidRPr="00CB351A">
        <w:rPr>
          <w:sz w:val="20"/>
        </w:rPr>
        <w:t>*</w:t>
      </w:r>
      <w:r>
        <w:tab/>
        <w:t>Настоящий документ выпускается без официального редактирования.</w:t>
      </w:r>
    </w:p>
  </w:footnote>
  <w:footnote w:id="2">
    <w:p w14:paraId="4181B119" w14:textId="77777777" w:rsidR="00CB351A" w:rsidRPr="006322F3" w:rsidRDefault="00CB351A" w:rsidP="00CB351A">
      <w:pPr>
        <w:pStyle w:val="af"/>
        <w:jc w:val="both"/>
        <w:rPr>
          <w:sz w:val="16"/>
          <w:szCs w:val="16"/>
          <w:lang w:val="de-CH"/>
        </w:rPr>
      </w:pPr>
      <w:r w:rsidRPr="007E121F">
        <w:rPr>
          <w:rStyle w:val="a8"/>
          <w:sz w:val="16"/>
          <w:szCs w:val="16"/>
          <w:lang w:val="de-CH"/>
        </w:rPr>
        <w:tab/>
      </w:r>
      <w:r w:rsidRPr="00E54644">
        <w:rPr>
          <w:rStyle w:val="a8"/>
        </w:rPr>
        <w:footnoteRef/>
      </w:r>
      <w:r w:rsidRPr="006322F3">
        <w:rPr>
          <w:rStyle w:val="a8"/>
          <w:sz w:val="16"/>
          <w:szCs w:val="16"/>
          <w:lang w:val="de-CH"/>
        </w:rPr>
        <w:tab/>
      </w:r>
      <w:r w:rsidR="008A4967">
        <w:fldChar w:fldCharType="begin"/>
      </w:r>
      <w:r w:rsidR="008A4967" w:rsidRPr="007E121F">
        <w:rPr>
          <w:lang w:val="de-CH"/>
        </w:rPr>
        <w:instrText xml:space="preserve"> HYPERLINK "https://tbinternet.ohchr.org/_layouts/15/treatybodyexternal/Download.aspx?symbolno=CERD%2fC%2fUZB%2f10-12&amp;Lang=ru" </w:instrText>
      </w:r>
      <w:r w:rsidR="008A4967">
        <w:fldChar w:fldCharType="separate"/>
      </w:r>
      <w:r w:rsidRPr="006322F3">
        <w:rPr>
          <w:rFonts w:eastAsiaTheme="minorHAnsi" w:cstheme="minorBidi"/>
          <w:color w:val="0000FF"/>
          <w:szCs w:val="18"/>
          <w:lang w:val="de-CH"/>
        </w:rPr>
        <w:t>https://tbinternet.ohchr.org/_layouts/15/treatybodyexternal/Download.aspx?symbolno= CERD%2fC%2fUZB%2f10-12&amp;Lang=</w:t>
      </w:r>
      <w:proofErr w:type="spellStart"/>
      <w:r w:rsidRPr="006322F3">
        <w:rPr>
          <w:rFonts w:eastAsiaTheme="minorHAnsi" w:cstheme="minorBidi"/>
          <w:color w:val="0000FF"/>
          <w:szCs w:val="18"/>
          <w:lang w:val="de-CH"/>
        </w:rPr>
        <w:t>ru</w:t>
      </w:r>
      <w:proofErr w:type="spellEnd"/>
      <w:r w:rsidR="008A4967">
        <w:rPr>
          <w:rFonts w:eastAsiaTheme="minorHAnsi" w:cstheme="minorBidi"/>
          <w:color w:val="0000FF"/>
          <w:szCs w:val="18"/>
          <w:lang w:val="de-CH"/>
        </w:rPr>
        <w:fldChar w:fldCharType="end"/>
      </w:r>
      <w:r w:rsidRPr="006322F3">
        <w:rPr>
          <w:sz w:val="16"/>
          <w:szCs w:val="16"/>
          <w:lang w:val="de-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0766F" w14:textId="2BACCDD8" w:rsidR="00CB351A" w:rsidRPr="00CB351A" w:rsidRDefault="008A4967">
    <w:pPr>
      <w:pStyle w:val="a5"/>
    </w:pPr>
    <w:r>
      <w:fldChar w:fldCharType="begin"/>
    </w:r>
    <w:r>
      <w:instrText xml:space="preserve"> TITLE  \* MERGEFORMAT </w:instrText>
    </w:r>
    <w:r>
      <w:fldChar w:fldCharType="separate"/>
    </w:r>
    <w:r>
      <w:t>E/C.12/UZB/RQ/3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1632A" w14:textId="7EFEF658" w:rsidR="00CB351A" w:rsidRPr="00CB351A" w:rsidRDefault="008A4967" w:rsidP="00CB351A">
    <w:pPr>
      <w:pStyle w:val="a5"/>
      <w:jc w:val="right"/>
    </w:pPr>
    <w:r>
      <w:fldChar w:fldCharType="begin"/>
    </w:r>
    <w:r>
      <w:instrText xml:space="preserve"> TITLE  \* MERGEFORMAT </w:instrText>
    </w:r>
    <w:r>
      <w:fldChar w:fldCharType="separate"/>
    </w:r>
    <w:r>
      <w:t>E/C.12/UZB/RQ/3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97"/>
    <w:rsid w:val="00033EE1"/>
    <w:rsid w:val="00042B72"/>
    <w:rsid w:val="00043B08"/>
    <w:rsid w:val="000558BD"/>
    <w:rsid w:val="000857D2"/>
    <w:rsid w:val="000B57E7"/>
    <w:rsid w:val="000B6373"/>
    <w:rsid w:val="000F09DF"/>
    <w:rsid w:val="000F61B2"/>
    <w:rsid w:val="001075E9"/>
    <w:rsid w:val="001253D8"/>
    <w:rsid w:val="0014152F"/>
    <w:rsid w:val="00142F5E"/>
    <w:rsid w:val="00180183"/>
    <w:rsid w:val="0018024D"/>
    <w:rsid w:val="0018649F"/>
    <w:rsid w:val="00196389"/>
    <w:rsid w:val="001B3EF6"/>
    <w:rsid w:val="001C7A89"/>
    <w:rsid w:val="001D5C5A"/>
    <w:rsid w:val="00203065"/>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658DC"/>
    <w:rsid w:val="00381C24"/>
    <w:rsid w:val="003958D0"/>
    <w:rsid w:val="003A0D43"/>
    <w:rsid w:val="003B00E5"/>
    <w:rsid w:val="00407B78"/>
    <w:rsid w:val="00424203"/>
    <w:rsid w:val="0042551A"/>
    <w:rsid w:val="00452493"/>
    <w:rsid w:val="00453318"/>
    <w:rsid w:val="00454E07"/>
    <w:rsid w:val="00472C5C"/>
    <w:rsid w:val="004E0697"/>
    <w:rsid w:val="0050108D"/>
    <w:rsid w:val="00513081"/>
    <w:rsid w:val="00517901"/>
    <w:rsid w:val="00526683"/>
    <w:rsid w:val="005709E0"/>
    <w:rsid w:val="00572E19"/>
    <w:rsid w:val="005961C8"/>
    <w:rsid w:val="005966F1"/>
    <w:rsid w:val="005B2F86"/>
    <w:rsid w:val="005D7914"/>
    <w:rsid w:val="005E2B41"/>
    <w:rsid w:val="005F0B42"/>
    <w:rsid w:val="005F1707"/>
    <w:rsid w:val="00640F49"/>
    <w:rsid w:val="00681A10"/>
    <w:rsid w:val="006A16E3"/>
    <w:rsid w:val="006A1ED8"/>
    <w:rsid w:val="006C2031"/>
    <w:rsid w:val="006D461A"/>
    <w:rsid w:val="006F35EE"/>
    <w:rsid w:val="007021FF"/>
    <w:rsid w:val="00712895"/>
    <w:rsid w:val="00734ACB"/>
    <w:rsid w:val="00757357"/>
    <w:rsid w:val="00792497"/>
    <w:rsid w:val="007E121F"/>
    <w:rsid w:val="00806737"/>
    <w:rsid w:val="00811570"/>
    <w:rsid w:val="00825F8D"/>
    <w:rsid w:val="00834B71"/>
    <w:rsid w:val="0086445C"/>
    <w:rsid w:val="00881771"/>
    <w:rsid w:val="00894693"/>
    <w:rsid w:val="00896BA2"/>
    <w:rsid w:val="008A08D7"/>
    <w:rsid w:val="008A4967"/>
    <w:rsid w:val="008B6909"/>
    <w:rsid w:val="008C30BC"/>
    <w:rsid w:val="00906890"/>
    <w:rsid w:val="00911BE4"/>
    <w:rsid w:val="00951972"/>
    <w:rsid w:val="009608F3"/>
    <w:rsid w:val="009A24AC"/>
    <w:rsid w:val="00A02EAD"/>
    <w:rsid w:val="00A03051"/>
    <w:rsid w:val="00A14DA8"/>
    <w:rsid w:val="00A21F00"/>
    <w:rsid w:val="00A312BC"/>
    <w:rsid w:val="00A84021"/>
    <w:rsid w:val="00A84D35"/>
    <w:rsid w:val="00A917B3"/>
    <w:rsid w:val="00AB2DBD"/>
    <w:rsid w:val="00AB4B51"/>
    <w:rsid w:val="00AC3430"/>
    <w:rsid w:val="00B10CC7"/>
    <w:rsid w:val="00B36DF7"/>
    <w:rsid w:val="00B539E7"/>
    <w:rsid w:val="00B62458"/>
    <w:rsid w:val="00BC18B2"/>
    <w:rsid w:val="00BD33EE"/>
    <w:rsid w:val="00BF21E1"/>
    <w:rsid w:val="00C106D6"/>
    <w:rsid w:val="00C60F0C"/>
    <w:rsid w:val="00C6703E"/>
    <w:rsid w:val="00C805C9"/>
    <w:rsid w:val="00C92939"/>
    <w:rsid w:val="00CA1679"/>
    <w:rsid w:val="00CB151C"/>
    <w:rsid w:val="00CB351A"/>
    <w:rsid w:val="00CE5A1A"/>
    <w:rsid w:val="00CF55F6"/>
    <w:rsid w:val="00D33D63"/>
    <w:rsid w:val="00D34308"/>
    <w:rsid w:val="00D5253A"/>
    <w:rsid w:val="00D62A45"/>
    <w:rsid w:val="00D90028"/>
    <w:rsid w:val="00D90138"/>
    <w:rsid w:val="00DD44B1"/>
    <w:rsid w:val="00DD78D1"/>
    <w:rsid w:val="00DE32CD"/>
    <w:rsid w:val="00DF71B9"/>
    <w:rsid w:val="00E73F76"/>
    <w:rsid w:val="00E90403"/>
    <w:rsid w:val="00EA2C9F"/>
    <w:rsid w:val="00EA420E"/>
    <w:rsid w:val="00ED0BDA"/>
    <w:rsid w:val="00EE142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A4E6CD"/>
  <w15:docId w15:val="{8432911E-26BD-40A9-A5EA-2ADB7DEB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qFormat/>
    <w:rsid w:val="00811570"/>
    <w:pPr>
      <w:keepNext/>
      <w:outlineLvl w:val="1"/>
    </w:pPr>
    <w:rPr>
      <w:rFonts w:cs="Arial"/>
      <w:bCs/>
      <w:iCs/>
      <w:szCs w:val="28"/>
    </w:rPr>
  </w:style>
  <w:style w:type="paragraph" w:styleId="3">
    <w:name w:val="heading 3"/>
    <w:basedOn w:val="a"/>
    <w:next w:val="a"/>
    <w:semiHidden/>
    <w:qFormat/>
    <w:rsid w:val="00811570"/>
    <w:pPr>
      <w:keepNext/>
      <w:spacing w:before="240" w:after="60"/>
      <w:outlineLvl w:val="2"/>
    </w:pPr>
    <w:rPr>
      <w:rFonts w:ascii="Arial" w:hAnsi="Arial" w:cs="Arial"/>
      <w:b/>
      <w:bCs/>
      <w:sz w:val="26"/>
      <w:szCs w:val="26"/>
    </w:rPr>
  </w:style>
  <w:style w:type="paragraph" w:styleId="4">
    <w:name w:val="heading 4"/>
    <w:basedOn w:val="a"/>
    <w:next w:val="a"/>
    <w:semiHidden/>
    <w:qFormat/>
    <w:rsid w:val="00811570"/>
    <w:pPr>
      <w:keepNext/>
      <w:spacing w:before="240" w:after="60"/>
      <w:outlineLvl w:val="3"/>
    </w:pPr>
    <w:rPr>
      <w:b/>
      <w:bCs/>
      <w:sz w:val="28"/>
      <w:szCs w:val="28"/>
    </w:rPr>
  </w:style>
  <w:style w:type="paragraph" w:styleId="5">
    <w:name w:val="heading 5"/>
    <w:basedOn w:val="a"/>
    <w:next w:val="a"/>
    <w:semiHidden/>
    <w:qFormat/>
    <w:rsid w:val="00811570"/>
    <w:pPr>
      <w:spacing w:before="240" w:after="60"/>
      <w:outlineLvl w:val="4"/>
    </w:pPr>
    <w:rPr>
      <w:b/>
      <w:bCs/>
      <w:i/>
      <w:iCs/>
      <w:sz w:val="26"/>
      <w:szCs w:val="26"/>
    </w:rPr>
  </w:style>
  <w:style w:type="paragraph" w:styleId="6">
    <w:name w:val="heading 6"/>
    <w:basedOn w:val="a"/>
    <w:next w:val="a"/>
    <w:link w:val="60"/>
    <w:uiPriority w:val="9"/>
    <w:qFormat/>
    <w:rsid w:val="00811570"/>
    <w:pPr>
      <w:spacing w:before="240" w:after="60"/>
      <w:outlineLvl w:val="5"/>
    </w:pPr>
    <w:rPr>
      <w:b/>
      <w:bCs/>
      <w:sz w:val="22"/>
    </w:rPr>
  </w:style>
  <w:style w:type="paragraph" w:styleId="7">
    <w:name w:val="heading 7"/>
    <w:basedOn w:val="a"/>
    <w:next w:val="a"/>
    <w:semiHidden/>
    <w:qFormat/>
    <w:rsid w:val="00811570"/>
    <w:pPr>
      <w:spacing w:before="240" w:after="60"/>
      <w:outlineLvl w:val="6"/>
    </w:pPr>
    <w:rPr>
      <w:sz w:val="24"/>
      <w:szCs w:val="24"/>
    </w:rPr>
  </w:style>
  <w:style w:type="paragraph" w:styleId="8">
    <w:name w:val="heading 8"/>
    <w:basedOn w:val="a"/>
    <w:next w:val="a"/>
    <w:semiHidden/>
    <w:qFormat/>
    <w:rsid w:val="00811570"/>
    <w:pPr>
      <w:spacing w:before="240" w:after="60"/>
      <w:outlineLvl w:val="7"/>
    </w:pPr>
    <w:rPr>
      <w:i/>
      <w:iCs/>
      <w:sz w:val="24"/>
      <w:szCs w:val="24"/>
    </w:rPr>
  </w:style>
  <w:style w:type="paragraph" w:styleId="9">
    <w:name w:val="heading 9"/>
    <w:basedOn w:val="a"/>
    <w:next w:val="a"/>
    <w:semiHidden/>
    <w:qFormat/>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1253D8"/>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1253D8"/>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881771"/>
    <w:pPr>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1"/>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uiPriority w:val="99"/>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uiPriority w:val="99"/>
    <w:rsid w:val="001253D8"/>
    <w:rPr>
      <w:b/>
      <w:sz w:val="18"/>
      <w:lang w:val="en-GB" w:eastAsia="ru-RU"/>
    </w:rPr>
  </w:style>
  <w:style w:type="character" w:styleId="a7">
    <w:name w:val="Hyperlink"/>
    <w:basedOn w:val="a0"/>
    <w:uiPriority w:val="99"/>
    <w:rsid w:val="001253D8"/>
    <w:rPr>
      <w:color w:val="0000FF" w:themeColor="hyperlink"/>
      <w:u w:val="none"/>
    </w:rPr>
  </w:style>
  <w:style w:type="character" w:styleId="a8">
    <w:name w:val="footnote reference"/>
    <w:aliases w:val="4_G,Footnote Reference/,ftref,Footnote Refernece,Texto de nota al pie,Appel note de bas de page,Footnotes refss,Footnote number,referencia nota al pie,BVI fnr,f,16 Point,Superscript 6 Point,Texto nota al pie,Footnote Reference Char3"/>
    <w:basedOn w:val="a0"/>
    <w:link w:val="4GCharChar"/>
    <w:uiPriority w:val="99"/>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uiPriority w:val="99"/>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uiPriority w:val="99"/>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uiPriority w:val="39"/>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Footnote Text Char Char,Footnote Text Char1 Char Char,Footnote Text Char Char Char Char,Footnote Text Char Char Char Char Char Char Char Char Char Char Char Char,Footnote Text Char Char1,Footnote Text Char1,Footnote,Text,Tex"/>
    <w:basedOn w:val="a"/>
    <w:link w:val="af0"/>
    <w:uiPriority w:val="99"/>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Footnote Text Char Char Знак,Footnote Text Char1 Char Char Знак,Footnote Text Char Char Char Char Знак,Footnote Text Char Char Char Char Char Char Char Char Char Char Char Char Знак,Footnote Text Char Char1 Знак,Footnote Знак"/>
    <w:basedOn w:val="a0"/>
    <w:link w:val="af"/>
    <w:uiPriority w:val="99"/>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paragraph" w:customStyle="1" w:styleId="ParNoG">
    <w:name w:val="_ParNo_G"/>
    <w:basedOn w:val="SingleTxtG"/>
    <w:qFormat/>
    <w:rsid w:val="00CB351A"/>
    <w:pPr>
      <w:numPr>
        <w:numId w:val="5"/>
      </w:numPr>
      <w:kinsoku w:val="0"/>
      <w:overflowPunct w:val="0"/>
      <w:autoSpaceDE w:val="0"/>
      <w:autoSpaceDN w:val="0"/>
      <w:adjustRightInd w:val="0"/>
      <w:snapToGrid w:val="0"/>
    </w:pPr>
    <w:rPr>
      <w:lang w:val="en-GB"/>
    </w:rPr>
  </w:style>
  <w:style w:type="paragraph" w:customStyle="1" w:styleId="4GCharChar">
    <w:name w:val="4_G Char Char"/>
    <w:aliases w:val="Footnote Reference1 Char Char,Footnotes refss Char Char,ftref Char Char,BVI fnr Char Char,BVI fnr Car Car Char Char,BVI fnr Car Char Char,BVI fnr Car Car Car Car Char Char1,BVI fnr Char Car Car Car Char Char"/>
    <w:basedOn w:val="a"/>
    <w:link w:val="a8"/>
    <w:uiPriority w:val="99"/>
    <w:rsid w:val="00CB351A"/>
    <w:pPr>
      <w:suppressAutoHyphens w:val="0"/>
      <w:spacing w:after="160" w:line="240" w:lineRule="exact"/>
      <w:jc w:val="both"/>
    </w:pPr>
    <w:rPr>
      <w:rFonts w:eastAsia="Times New Roman" w:cs="Times New Roman"/>
      <w:sz w:val="18"/>
      <w:szCs w:val="20"/>
      <w:vertAlign w:val="superscript"/>
      <w:lang w:val="es-ES" w:eastAsia="es-ES"/>
    </w:rPr>
  </w:style>
  <w:style w:type="paragraph" w:styleId="af3">
    <w:name w:val="List Paragraph"/>
    <w:aliases w:val="ADB List Paragraph,Bullet 1,Bullet List,Bullet Points,Colorful List - Accent 11,Dot pt,F5 List Paragraph,FooterText,Heading1,Indicator Text,List Paragraph Char Char Char,List Paragraph1,List Paragraph12,MAIN CONTENT,No Spacing1,lp1"/>
    <w:basedOn w:val="a"/>
    <w:link w:val="af4"/>
    <w:uiPriority w:val="34"/>
    <w:qFormat/>
    <w:rsid w:val="00CB351A"/>
    <w:pPr>
      <w:suppressAutoHyphens w:val="0"/>
      <w:spacing w:after="160" w:line="259" w:lineRule="auto"/>
      <w:ind w:left="720"/>
      <w:contextualSpacing/>
    </w:pPr>
    <w:rPr>
      <w:rFonts w:ascii="Calibri" w:eastAsia="Calibri" w:hAnsi="Calibri" w:cs="Times New Roman"/>
      <w:sz w:val="22"/>
    </w:rPr>
  </w:style>
  <w:style w:type="character" w:customStyle="1" w:styleId="af4">
    <w:name w:val="Абзац списка Знак"/>
    <w:aliases w:val="ADB List Paragraph Знак,Bullet 1 Знак,Bullet List Знак,Bullet Points Знак,Colorful List - Accent 11 Знак,Dot pt Знак,F5 List Paragraph Знак,FooterText Знак,Heading1 Знак,Indicator Text Знак,List Paragraph Char Char Char Знак,lp1 Знак"/>
    <w:link w:val="af3"/>
    <w:uiPriority w:val="34"/>
    <w:locked/>
    <w:rsid w:val="00CB351A"/>
    <w:rPr>
      <w:rFonts w:ascii="Calibri" w:eastAsia="Calibri" w:hAnsi="Calibri"/>
      <w:sz w:val="22"/>
      <w:szCs w:val="22"/>
      <w:lang w:val="ru-RU" w:eastAsia="en-US"/>
    </w:rPr>
  </w:style>
  <w:style w:type="paragraph" w:styleId="af5">
    <w:name w:val="Normal (Web)"/>
    <w:basedOn w:val="a"/>
    <w:uiPriority w:val="99"/>
    <w:unhideWhenUsed/>
    <w:rsid w:val="00CB351A"/>
    <w:pPr>
      <w:suppressAutoHyphens w:val="0"/>
      <w:spacing w:before="100" w:beforeAutospacing="1" w:after="100" w:afterAutospacing="1" w:line="240" w:lineRule="auto"/>
    </w:pPr>
    <w:rPr>
      <w:rFonts w:eastAsia="Times New Roman" w:cs="Times New Roman"/>
      <w:sz w:val="24"/>
      <w:szCs w:val="24"/>
      <w:lang w:eastAsia="ru-RU"/>
    </w:rPr>
  </w:style>
  <w:style w:type="character" w:customStyle="1" w:styleId="Bodytext2">
    <w:name w:val="Body text (2)_"/>
    <w:link w:val="Bodytext20"/>
    <w:locked/>
    <w:rsid w:val="00CB351A"/>
    <w:rPr>
      <w:sz w:val="26"/>
      <w:szCs w:val="26"/>
      <w:shd w:val="clear" w:color="auto" w:fill="FFFFFF"/>
    </w:rPr>
  </w:style>
  <w:style w:type="paragraph" w:customStyle="1" w:styleId="Bodytext20">
    <w:name w:val="Body text (2)"/>
    <w:basedOn w:val="a"/>
    <w:link w:val="Bodytext2"/>
    <w:rsid w:val="00CB351A"/>
    <w:pPr>
      <w:widowControl w:val="0"/>
      <w:shd w:val="clear" w:color="auto" w:fill="FFFFFF"/>
      <w:suppressAutoHyphens w:val="0"/>
      <w:spacing w:before="240" w:line="370" w:lineRule="exact"/>
      <w:jc w:val="both"/>
    </w:pPr>
    <w:rPr>
      <w:rFonts w:eastAsia="Times New Roman" w:cs="Times New Roman"/>
      <w:sz w:val="26"/>
      <w:szCs w:val="26"/>
      <w:lang w:val="es-ES" w:eastAsia="es-ES"/>
    </w:rPr>
  </w:style>
  <w:style w:type="character" w:customStyle="1" w:styleId="SingleTxtGChar">
    <w:name w:val="_ Single Txt_G Char"/>
    <w:link w:val="SingleTxtG"/>
    <w:rsid w:val="00CB351A"/>
    <w:rPr>
      <w:lang w:val="ru-RU" w:eastAsia="en-US"/>
    </w:rPr>
  </w:style>
  <w:style w:type="character" w:customStyle="1" w:styleId="20">
    <w:name w:val="Основной текст (2)"/>
    <w:rsid w:val="00CB351A"/>
    <w:rPr>
      <w:rFonts w:ascii="Times New Roman" w:eastAsia="Times New Roman" w:hAnsi="Times New Roman" w:cs="Times New Roman"/>
      <w:b w:val="0"/>
      <w:bCs w:val="0"/>
      <w:i w:val="0"/>
      <w:iCs w:val="0"/>
      <w:smallCaps w:val="0"/>
      <w:strike w:val="0"/>
      <w:color w:val="3C3A3B"/>
      <w:spacing w:val="0"/>
      <w:w w:val="100"/>
      <w:position w:val="0"/>
      <w:sz w:val="28"/>
      <w:szCs w:val="28"/>
      <w:u w:val="none"/>
      <w:lang w:val="ru-RU" w:eastAsia="ru-RU" w:bidi="ru-RU"/>
    </w:rPr>
  </w:style>
  <w:style w:type="character" w:styleId="af6">
    <w:name w:val="Strong"/>
    <w:uiPriority w:val="22"/>
    <w:qFormat/>
    <w:rsid w:val="00CB351A"/>
    <w:rPr>
      <w:b/>
      <w:bCs/>
    </w:rPr>
  </w:style>
  <w:style w:type="character" w:customStyle="1" w:styleId="clausesuff">
    <w:name w:val="clausesuff"/>
    <w:basedOn w:val="a0"/>
    <w:rsid w:val="00CB351A"/>
  </w:style>
  <w:style w:type="character" w:customStyle="1" w:styleId="11">
    <w:name w:val="Неразрешенное упоминание1"/>
    <w:basedOn w:val="a0"/>
    <w:uiPriority w:val="99"/>
    <w:semiHidden/>
    <w:unhideWhenUsed/>
    <w:rsid w:val="00CB351A"/>
    <w:rPr>
      <w:color w:val="605E5C"/>
      <w:shd w:val="clear" w:color="auto" w:fill="E1DFDD"/>
    </w:rPr>
  </w:style>
  <w:style w:type="character" w:customStyle="1" w:styleId="60">
    <w:name w:val="Заголовок 6 Знак"/>
    <w:basedOn w:val="a0"/>
    <w:link w:val="6"/>
    <w:uiPriority w:val="9"/>
    <w:rsid w:val="00CB351A"/>
    <w:rPr>
      <w:rFonts w:eastAsiaTheme="minorHAnsi" w:cstheme="minorBidi"/>
      <w:b/>
      <w:bCs/>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gulation.gov.uz/uz" TargetMode="External"/><Relationship Id="rId13" Type="http://schemas.openxmlformats.org/officeDocument/2006/relationships/hyperlink" Target="javascript:void(0);"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javascript:void(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ulation.gov.uz/uz"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ender.stat.uz/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go.uz/"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28</Pages>
  <Words>10893</Words>
  <Characters>76690</Characters>
  <Application>Microsoft Office Word</Application>
  <DocSecurity>0</DocSecurity>
  <Lines>1369</Lines>
  <Paragraphs>401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E/C.12/UZB/RQ/3</vt:lpstr>
      <vt:lpstr>A/</vt:lpstr>
      <vt:lpstr>A/</vt:lpstr>
    </vt:vector>
  </TitlesOfParts>
  <Company>DCM</Company>
  <LinksUpToDate>false</LinksUpToDate>
  <CharactersWithSpaces>87182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E/C.12/UZB/RQ/3</dc:title>
  <dc:subject/>
  <dc:creator>Elena IZOTOVA</dc:creator>
  <cp:keywords/>
  <cp:lastModifiedBy>Tatiana Chvets</cp:lastModifiedBy>
  <cp:revision>3</cp:revision>
  <cp:lastPrinted>2020-11-17T14:00:00Z</cp:lastPrinted>
  <dcterms:created xsi:type="dcterms:W3CDTF">2020-11-17T13:59:00Z</dcterms:created>
  <dcterms:modified xsi:type="dcterms:W3CDTF">2020-11-17T14:00:00Z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