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0D7CB1E" w14:textId="77777777" w:rsidTr="00166AE2">
        <w:trPr>
          <w:trHeight w:hRule="exact" w:val="851"/>
        </w:trPr>
        <w:tc>
          <w:tcPr>
            <w:tcW w:w="1280" w:type="dxa"/>
            <w:tcBorders>
              <w:bottom w:val="single" w:sz="4" w:space="0" w:color="auto"/>
            </w:tcBorders>
          </w:tcPr>
          <w:p w14:paraId="0F8FA13C" w14:textId="77777777" w:rsidR="002D5AAC" w:rsidRDefault="002D5AAC" w:rsidP="00D31FBB">
            <w:pPr>
              <w:kinsoku w:val="0"/>
              <w:overflowPunct w:val="0"/>
              <w:autoSpaceDE w:val="0"/>
              <w:autoSpaceDN w:val="0"/>
              <w:adjustRightInd w:val="0"/>
              <w:snapToGrid w:val="0"/>
            </w:pPr>
          </w:p>
        </w:tc>
        <w:tc>
          <w:tcPr>
            <w:tcW w:w="2273" w:type="dxa"/>
            <w:tcBorders>
              <w:bottom w:val="single" w:sz="4" w:space="0" w:color="auto"/>
            </w:tcBorders>
            <w:vAlign w:val="bottom"/>
          </w:tcPr>
          <w:p w14:paraId="14294355" w14:textId="77777777"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0E08C0C4" w14:textId="79E34C6C" w:rsidR="002D5AAC" w:rsidRPr="00A072B3" w:rsidRDefault="00A072B3" w:rsidP="00A072B3">
            <w:pPr>
              <w:jc w:val="right"/>
            </w:pPr>
            <w:r w:rsidRPr="00A072B3">
              <w:rPr>
                <w:sz w:val="40"/>
              </w:rPr>
              <w:t>E</w:t>
            </w:r>
            <w:r>
              <w:t>/C.12/72/D/86/2018</w:t>
            </w:r>
          </w:p>
        </w:tc>
      </w:tr>
      <w:tr w:rsidR="002D5AAC" w14:paraId="07510492" w14:textId="77777777" w:rsidTr="00166AE2">
        <w:trPr>
          <w:trHeight w:hRule="exact" w:val="2835"/>
        </w:trPr>
        <w:tc>
          <w:tcPr>
            <w:tcW w:w="1280" w:type="dxa"/>
            <w:tcBorders>
              <w:top w:val="single" w:sz="4" w:space="0" w:color="auto"/>
              <w:bottom w:val="single" w:sz="12" w:space="0" w:color="auto"/>
            </w:tcBorders>
          </w:tcPr>
          <w:p w14:paraId="7197DBF1" w14:textId="77777777" w:rsidR="002D5AAC" w:rsidRDefault="00DC6544" w:rsidP="006E27AD">
            <w:pPr>
              <w:spacing w:before="120"/>
              <w:jc w:val="center"/>
            </w:pPr>
            <w:r>
              <w:rPr>
                <w:noProof/>
                <w:lang w:val="en-GB" w:eastAsia="en-GB"/>
              </w:rPr>
              <w:drawing>
                <wp:inline distT="0" distB="0" distL="0" distR="0" wp14:anchorId="25326ADE" wp14:editId="1A3A7D46">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9DDA688"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14:paraId="3235D318" w14:textId="211A1DAB" w:rsidR="002D5AAC" w:rsidRDefault="00BC4A5E" w:rsidP="006E27AD">
            <w:pPr>
              <w:spacing w:before="240"/>
            </w:pPr>
            <w:r>
              <w:t xml:space="preserve">Distr. </w:t>
            </w:r>
            <w:r w:rsidR="004369F2">
              <w:t>general</w:t>
            </w:r>
          </w:p>
          <w:p w14:paraId="592298B3" w14:textId="08A1908B" w:rsidR="00D31FBB" w:rsidRDefault="007122C5" w:rsidP="00D31FBB">
            <w:pPr>
              <w:spacing w:line="240" w:lineRule="exact"/>
            </w:pPr>
            <w:r>
              <w:t>1</w:t>
            </w:r>
            <w:r w:rsidR="00524124">
              <w:t>5</w:t>
            </w:r>
            <w:r w:rsidR="0069073D">
              <w:t xml:space="preserve"> de </w:t>
            </w:r>
            <w:r>
              <w:t>diciembre</w:t>
            </w:r>
            <w:r w:rsidR="00A35B52">
              <w:t xml:space="preserve"> </w:t>
            </w:r>
            <w:r w:rsidR="00D31FBB">
              <w:t>de 2022</w:t>
            </w:r>
          </w:p>
          <w:p w14:paraId="1D2C0DE0" w14:textId="787B291A" w:rsidR="00D31FBB" w:rsidRDefault="00D31FBB" w:rsidP="00D31FBB">
            <w:pPr>
              <w:spacing w:line="240" w:lineRule="exact"/>
            </w:pPr>
          </w:p>
          <w:p w14:paraId="774AB00E" w14:textId="3D4EAB21" w:rsidR="0069073D" w:rsidRDefault="00D31FBB" w:rsidP="00D63EF3">
            <w:pPr>
              <w:spacing w:line="240" w:lineRule="exact"/>
            </w:pPr>
            <w:r>
              <w:t>Original: español</w:t>
            </w:r>
          </w:p>
        </w:tc>
      </w:tr>
    </w:tbl>
    <w:p w14:paraId="21F736EA" w14:textId="7DC742EE" w:rsidR="00166AE2" w:rsidRDefault="00166AE2" w:rsidP="00166AE2">
      <w:pPr>
        <w:spacing w:before="120"/>
        <w:rPr>
          <w:b/>
          <w:sz w:val="24"/>
        </w:rPr>
      </w:pPr>
      <w:r w:rsidRPr="00953C6B">
        <w:rPr>
          <w:b/>
          <w:sz w:val="24"/>
        </w:rPr>
        <w:t>Comité de Derechos Económicos, Sociales y Culturales</w:t>
      </w:r>
    </w:p>
    <w:p w14:paraId="2402810E" w14:textId="679A75F4" w:rsidR="00166AE2" w:rsidRDefault="00744F05" w:rsidP="00D1234B">
      <w:pPr>
        <w:pStyle w:val="HChG"/>
      </w:pPr>
      <w:r>
        <w:tab/>
      </w:r>
      <w:r w:rsidR="00BC4A5E">
        <w:tab/>
      </w:r>
      <w:r w:rsidR="0084586C">
        <w:t>Decisión</w:t>
      </w:r>
      <w:r w:rsidR="0084586C" w:rsidRPr="004369F2">
        <w:t xml:space="preserve"> </w:t>
      </w:r>
      <w:r w:rsidR="004369F2" w:rsidRPr="004369F2">
        <w:t>adoptad</w:t>
      </w:r>
      <w:r w:rsidR="0084586C">
        <w:t>a</w:t>
      </w:r>
      <w:r w:rsidR="004369F2" w:rsidRPr="004369F2">
        <w:t xml:space="preserve"> por el Comité en virtud del </w:t>
      </w:r>
      <w:r w:rsidR="00A35B52">
        <w:br/>
      </w:r>
      <w:r w:rsidR="004369F2" w:rsidRPr="004369F2">
        <w:t xml:space="preserve">Protocolo Facultativo del Pacto Internacional </w:t>
      </w:r>
      <w:r w:rsidR="00A35B52">
        <w:br/>
      </w:r>
      <w:r w:rsidR="004369F2" w:rsidRPr="004369F2">
        <w:t>de Derechos Económicos, Sociales y Culturales, respecto</w:t>
      </w:r>
      <w:r w:rsidR="00214314">
        <w:t> </w:t>
      </w:r>
      <w:r w:rsidR="004369F2" w:rsidRPr="004369F2">
        <w:t>de</w:t>
      </w:r>
      <w:r w:rsidR="00214314">
        <w:t> </w:t>
      </w:r>
      <w:r w:rsidR="004369F2" w:rsidRPr="004369F2">
        <w:t>la</w:t>
      </w:r>
      <w:r w:rsidR="00214314">
        <w:t> </w:t>
      </w:r>
      <w:r w:rsidR="004369F2">
        <w:t>c</w:t>
      </w:r>
      <w:r w:rsidR="00BC4A5E" w:rsidRPr="00C070DF">
        <w:t>omunicación</w:t>
      </w:r>
      <w:r w:rsidR="00BC4A5E">
        <w:t xml:space="preserve"> núm. 86</w:t>
      </w:r>
      <w:r w:rsidR="00BC4A5E" w:rsidRPr="00EC58FE">
        <w:t>/201</w:t>
      </w:r>
      <w:r w:rsidR="00BC4A5E">
        <w:t>8</w:t>
      </w:r>
      <w:r w:rsidR="004369F2" w:rsidRPr="00687CF2">
        <w:rPr>
          <w:rStyle w:val="Refdenotaalpie"/>
          <w:b w:val="0"/>
          <w:sz w:val="20"/>
          <w:vertAlign w:val="baseline"/>
          <w:lang w:val="es-ES_tradnl"/>
        </w:rPr>
        <w:footnoteReference w:customMarkFollows="1" w:id="2"/>
        <w:t>*</w:t>
      </w:r>
      <w:r w:rsidR="004369F2" w:rsidRPr="00030222">
        <w:rPr>
          <w:b w:val="0"/>
          <w:position w:val="6"/>
          <w:sz w:val="20"/>
          <w:lang w:val="es-ES_tradnl"/>
        </w:rPr>
        <w:t>,</w:t>
      </w:r>
      <w:r w:rsidR="004369F2" w:rsidRPr="007C6B67">
        <w:rPr>
          <w:rStyle w:val="Refdenotaalpie"/>
          <w:b w:val="0"/>
          <w:sz w:val="20"/>
          <w:vertAlign w:val="baseline"/>
          <w:lang w:val="es-ES_tradnl"/>
        </w:rPr>
        <w:footnoteReference w:customMarkFollows="1" w:id="3"/>
        <w:t>*</w:t>
      </w:r>
      <w:r w:rsidR="004369F2" w:rsidRPr="005C7042">
        <w:rPr>
          <w:rStyle w:val="Refdenotaalpie"/>
          <w:b w:val="0"/>
          <w:sz w:val="20"/>
          <w:vertAlign w:val="baseline"/>
          <w:lang w:val="es-ES_tradnl"/>
        </w:rPr>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166AE2" w:rsidRPr="00524124" w14:paraId="24FDDAC1" w14:textId="77777777" w:rsidTr="00C00681">
        <w:tc>
          <w:tcPr>
            <w:tcW w:w="2694" w:type="dxa"/>
          </w:tcPr>
          <w:p w14:paraId="0F1DCBF5" w14:textId="77777777" w:rsidR="00166AE2" w:rsidRPr="00783790" w:rsidRDefault="00166AE2" w:rsidP="00C00681">
            <w:pPr>
              <w:pStyle w:val="SingleTxtG"/>
              <w:ind w:left="0" w:right="0"/>
              <w:jc w:val="left"/>
              <w:rPr>
                <w:i/>
              </w:rPr>
            </w:pPr>
            <w:r w:rsidRPr="00783790">
              <w:rPr>
                <w:i/>
              </w:rPr>
              <w:t>Comunicación presentada por:</w:t>
            </w:r>
          </w:p>
        </w:tc>
        <w:tc>
          <w:tcPr>
            <w:tcW w:w="4111" w:type="dxa"/>
          </w:tcPr>
          <w:p w14:paraId="05262FA1" w14:textId="4BCD53EC" w:rsidR="00166AE2" w:rsidRPr="005759B6" w:rsidRDefault="004A35F5" w:rsidP="00C00681">
            <w:pPr>
              <w:pStyle w:val="SingleTxtG"/>
              <w:ind w:left="0" w:right="0"/>
              <w:jc w:val="left"/>
              <w:rPr>
                <w:lang w:val="en-US"/>
              </w:rPr>
            </w:pPr>
            <w:r w:rsidRPr="005759B6">
              <w:rPr>
                <w:lang w:val="en-US"/>
              </w:rPr>
              <w:t>Mohammed Stitou</w:t>
            </w:r>
            <w:r w:rsidR="00A35B52" w:rsidRPr="005759B6">
              <w:rPr>
                <w:lang w:val="en-US"/>
              </w:rPr>
              <w:t xml:space="preserve"> y</w:t>
            </w:r>
            <w:r w:rsidR="00B34676" w:rsidRPr="005759B6">
              <w:rPr>
                <w:lang w:val="en-US"/>
              </w:rPr>
              <w:t xml:space="preserve"> Mariem Ben Hmdou</w:t>
            </w:r>
          </w:p>
        </w:tc>
      </w:tr>
      <w:tr w:rsidR="00166AE2" w:rsidRPr="00F13494" w14:paraId="4391A560" w14:textId="77777777" w:rsidTr="00C00681">
        <w:tc>
          <w:tcPr>
            <w:tcW w:w="2694" w:type="dxa"/>
          </w:tcPr>
          <w:p w14:paraId="39BDD87C" w14:textId="0A25B38C" w:rsidR="00166AE2" w:rsidRPr="00783790" w:rsidRDefault="00166AE2" w:rsidP="00C00681">
            <w:pPr>
              <w:pStyle w:val="SingleTxtG"/>
              <w:ind w:left="0" w:right="0"/>
              <w:jc w:val="left"/>
              <w:rPr>
                <w:i/>
              </w:rPr>
            </w:pPr>
            <w:r w:rsidRPr="00783790">
              <w:rPr>
                <w:i/>
              </w:rPr>
              <w:t>Presunta</w:t>
            </w:r>
            <w:r w:rsidR="0084586C">
              <w:rPr>
                <w:i/>
              </w:rPr>
              <w:t>s</w:t>
            </w:r>
            <w:r w:rsidRPr="00783790">
              <w:rPr>
                <w:i/>
              </w:rPr>
              <w:t xml:space="preserve"> víctima</w:t>
            </w:r>
            <w:r w:rsidR="0084586C">
              <w:rPr>
                <w:i/>
              </w:rPr>
              <w:t>s</w:t>
            </w:r>
            <w:r w:rsidRPr="00783790">
              <w:rPr>
                <w:i/>
              </w:rPr>
              <w:t>:</w:t>
            </w:r>
          </w:p>
        </w:tc>
        <w:tc>
          <w:tcPr>
            <w:tcW w:w="4111" w:type="dxa"/>
          </w:tcPr>
          <w:p w14:paraId="4326D3A1" w14:textId="7BC60484" w:rsidR="00166AE2" w:rsidRPr="00783790" w:rsidRDefault="004A35F5" w:rsidP="00C00681">
            <w:pPr>
              <w:pStyle w:val="SingleTxtG"/>
              <w:ind w:left="0" w:right="0"/>
              <w:jc w:val="left"/>
            </w:pPr>
            <w:r w:rsidRPr="00783790">
              <w:t>Los</w:t>
            </w:r>
            <w:r w:rsidR="00166AE2" w:rsidRPr="00783790">
              <w:t xml:space="preserve"> autor</w:t>
            </w:r>
            <w:r w:rsidRPr="00783790">
              <w:t>es</w:t>
            </w:r>
            <w:r w:rsidR="008A025F">
              <w:t xml:space="preserve"> y sus hijos</w:t>
            </w:r>
          </w:p>
        </w:tc>
      </w:tr>
      <w:tr w:rsidR="00166AE2" w:rsidRPr="00F13494" w14:paraId="0863ED32" w14:textId="77777777" w:rsidTr="00C00681">
        <w:tc>
          <w:tcPr>
            <w:tcW w:w="2694" w:type="dxa"/>
          </w:tcPr>
          <w:p w14:paraId="45821E34" w14:textId="77777777" w:rsidR="00166AE2" w:rsidRPr="00783790" w:rsidRDefault="00166AE2" w:rsidP="00C00681">
            <w:pPr>
              <w:pStyle w:val="SingleTxtG"/>
              <w:ind w:left="0" w:right="0"/>
              <w:jc w:val="left"/>
              <w:rPr>
                <w:i/>
              </w:rPr>
            </w:pPr>
            <w:r w:rsidRPr="00783790">
              <w:rPr>
                <w:i/>
              </w:rPr>
              <w:t>Estado parte:</w:t>
            </w:r>
          </w:p>
        </w:tc>
        <w:tc>
          <w:tcPr>
            <w:tcW w:w="4111" w:type="dxa"/>
          </w:tcPr>
          <w:p w14:paraId="2BCD91ED" w14:textId="77777777" w:rsidR="00166AE2" w:rsidRPr="00783790" w:rsidRDefault="00166AE2" w:rsidP="00C00681">
            <w:pPr>
              <w:pStyle w:val="SingleTxtG"/>
              <w:ind w:left="0" w:right="0"/>
              <w:jc w:val="left"/>
            </w:pPr>
            <w:r w:rsidRPr="00783790">
              <w:t>España</w:t>
            </w:r>
          </w:p>
        </w:tc>
      </w:tr>
      <w:tr w:rsidR="00166AE2" w:rsidRPr="00F13494" w14:paraId="4F2491CA" w14:textId="77777777" w:rsidTr="00C00681">
        <w:tc>
          <w:tcPr>
            <w:tcW w:w="2694" w:type="dxa"/>
          </w:tcPr>
          <w:p w14:paraId="7C8F3E33" w14:textId="77777777" w:rsidR="00166AE2" w:rsidRPr="00783790" w:rsidRDefault="00166AE2" w:rsidP="00C00681">
            <w:pPr>
              <w:pStyle w:val="SingleTxtG"/>
              <w:ind w:left="0" w:right="0"/>
              <w:jc w:val="left"/>
              <w:rPr>
                <w:i/>
              </w:rPr>
            </w:pPr>
            <w:r w:rsidRPr="00783790">
              <w:rPr>
                <w:i/>
              </w:rPr>
              <w:t>Fecha de la comunicación:</w:t>
            </w:r>
          </w:p>
        </w:tc>
        <w:tc>
          <w:tcPr>
            <w:tcW w:w="4111" w:type="dxa"/>
          </w:tcPr>
          <w:p w14:paraId="1E521CB8" w14:textId="67F16526" w:rsidR="00166AE2" w:rsidRPr="00783790" w:rsidRDefault="004A35F5" w:rsidP="00C00681">
            <w:pPr>
              <w:pStyle w:val="SingleTxtG"/>
              <w:ind w:left="0" w:right="0"/>
              <w:jc w:val="left"/>
            </w:pPr>
            <w:r w:rsidRPr="00783790">
              <w:t>28 de noviembre de 2018</w:t>
            </w:r>
            <w:r w:rsidR="00166AE2" w:rsidRPr="00783790">
              <w:t xml:space="preserve"> (presentación inicial)</w:t>
            </w:r>
          </w:p>
        </w:tc>
      </w:tr>
      <w:tr w:rsidR="00166AE2" w:rsidRPr="00F13494" w14:paraId="55FD1C5D" w14:textId="77777777" w:rsidTr="00C00681">
        <w:tc>
          <w:tcPr>
            <w:tcW w:w="2694" w:type="dxa"/>
          </w:tcPr>
          <w:p w14:paraId="48F9CF25" w14:textId="200158DC" w:rsidR="00166AE2" w:rsidRPr="00783790" w:rsidRDefault="00166AE2" w:rsidP="00C00681">
            <w:pPr>
              <w:pStyle w:val="SingleTxtG"/>
              <w:ind w:left="0" w:right="0"/>
              <w:jc w:val="left"/>
              <w:rPr>
                <w:i/>
              </w:rPr>
            </w:pPr>
            <w:r w:rsidRPr="00783790">
              <w:rPr>
                <w:i/>
              </w:rPr>
              <w:t>Fecha de adopción</w:t>
            </w:r>
            <w:r w:rsidRPr="00783790">
              <w:rPr>
                <w:i/>
              </w:rPr>
              <w:br/>
              <w:t>de la decisión:</w:t>
            </w:r>
          </w:p>
        </w:tc>
        <w:tc>
          <w:tcPr>
            <w:tcW w:w="4111" w:type="dxa"/>
            <w:vAlign w:val="bottom"/>
          </w:tcPr>
          <w:p w14:paraId="328C9356" w14:textId="36FFE2CC" w:rsidR="00166AE2" w:rsidRPr="00783790" w:rsidRDefault="004369F2" w:rsidP="004369F2">
            <w:pPr>
              <w:pStyle w:val="SingleTxtG"/>
              <w:ind w:left="0" w:right="0"/>
              <w:jc w:val="left"/>
            </w:pPr>
            <w:r>
              <w:t>10 de octubre de 2022</w:t>
            </w:r>
          </w:p>
        </w:tc>
      </w:tr>
      <w:tr w:rsidR="00166AE2" w:rsidRPr="00F13494" w14:paraId="2DEA1320" w14:textId="77777777" w:rsidTr="00C00681">
        <w:tc>
          <w:tcPr>
            <w:tcW w:w="2694" w:type="dxa"/>
          </w:tcPr>
          <w:p w14:paraId="6A35F89E" w14:textId="77777777" w:rsidR="00166AE2" w:rsidRPr="00783790" w:rsidRDefault="00166AE2" w:rsidP="00C00681">
            <w:pPr>
              <w:pStyle w:val="SingleTxtG"/>
              <w:ind w:left="0" w:right="0"/>
              <w:jc w:val="left"/>
              <w:rPr>
                <w:i/>
              </w:rPr>
            </w:pPr>
            <w:r w:rsidRPr="00783790">
              <w:rPr>
                <w:i/>
              </w:rPr>
              <w:t>Asunto:</w:t>
            </w:r>
          </w:p>
        </w:tc>
        <w:tc>
          <w:tcPr>
            <w:tcW w:w="4111" w:type="dxa"/>
            <w:vAlign w:val="bottom"/>
          </w:tcPr>
          <w:p w14:paraId="338FC7A0" w14:textId="4F00F139" w:rsidR="00166AE2" w:rsidRPr="00783790" w:rsidRDefault="00166AE2" w:rsidP="00C00681">
            <w:pPr>
              <w:pStyle w:val="SingleTxtG"/>
              <w:ind w:left="0" w:right="0"/>
              <w:jc w:val="left"/>
            </w:pPr>
            <w:r w:rsidRPr="00783790">
              <w:t xml:space="preserve">Desalojo </w:t>
            </w:r>
            <w:r w:rsidR="008A025F">
              <w:t>de una familia tras</w:t>
            </w:r>
            <w:r w:rsidRPr="00783790">
              <w:t xml:space="preserve"> ejecución hipotecaria</w:t>
            </w:r>
            <w:r w:rsidR="008A025F">
              <w:t xml:space="preserve"> del propietario de la vivienda</w:t>
            </w:r>
          </w:p>
        </w:tc>
      </w:tr>
      <w:tr w:rsidR="00166AE2" w:rsidRPr="00F13494" w14:paraId="346C4E63" w14:textId="77777777" w:rsidTr="00C00681">
        <w:tc>
          <w:tcPr>
            <w:tcW w:w="2694" w:type="dxa"/>
          </w:tcPr>
          <w:p w14:paraId="07EC8FD7" w14:textId="77777777" w:rsidR="00166AE2" w:rsidRPr="00783790" w:rsidRDefault="00166AE2" w:rsidP="00C00681">
            <w:pPr>
              <w:pStyle w:val="SingleTxtG"/>
              <w:ind w:left="0" w:right="0"/>
              <w:jc w:val="left"/>
              <w:rPr>
                <w:i/>
              </w:rPr>
            </w:pPr>
            <w:r w:rsidRPr="00783790">
              <w:rPr>
                <w:i/>
              </w:rPr>
              <w:t>Cuestiones de procedimiento:</w:t>
            </w:r>
          </w:p>
        </w:tc>
        <w:tc>
          <w:tcPr>
            <w:tcW w:w="4111" w:type="dxa"/>
            <w:vAlign w:val="bottom"/>
          </w:tcPr>
          <w:p w14:paraId="1956DD16" w14:textId="77777777" w:rsidR="00166AE2" w:rsidRPr="00783790" w:rsidRDefault="00166AE2" w:rsidP="00C00681">
            <w:pPr>
              <w:pStyle w:val="SingleTxtG"/>
              <w:ind w:left="0" w:right="0"/>
              <w:jc w:val="left"/>
            </w:pPr>
            <w:r w:rsidRPr="00783790">
              <w:t>Falta de agotamiento de los recursos internos; insuficiente fundamentación de las alegaciones</w:t>
            </w:r>
          </w:p>
        </w:tc>
      </w:tr>
      <w:tr w:rsidR="00166AE2" w:rsidRPr="00F13494" w14:paraId="545D25F6" w14:textId="77777777" w:rsidTr="00C00681">
        <w:tc>
          <w:tcPr>
            <w:tcW w:w="2694" w:type="dxa"/>
          </w:tcPr>
          <w:p w14:paraId="3A080B0D" w14:textId="77777777" w:rsidR="00166AE2" w:rsidRPr="00783790" w:rsidRDefault="00166AE2" w:rsidP="00C00681">
            <w:pPr>
              <w:pStyle w:val="SingleTxtG"/>
              <w:keepNext/>
              <w:ind w:left="0" w:right="0"/>
              <w:jc w:val="left"/>
              <w:rPr>
                <w:i/>
              </w:rPr>
            </w:pPr>
            <w:r w:rsidRPr="00783790">
              <w:rPr>
                <w:i/>
              </w:rPr>
              <w:t>Cuestión de fondo:</w:t>
            </w:r>
          </w:p>
        </w:tc>
        <w:tc>
          <w:tcPr>
            <w:tcW w:w="4111" w:type="dxa"/>
            <w:vAlign w:val="bottom"/>
          </w:tcPr>
          <w:p w14:paraId="619CB874" w14:textId="77777777" w:rsidR="00166AE2" w:rsidRPr="00783790" w:rsidRDefault="00166AE2" w:rsidP="00C00681">
            <w:pPr>
              <w:pStyle w:val="SingleTxtG"/>
              <w:keepNext/>
              <w:ind w:left="0" w:right="0"/>
              <w:jc w:val="left"/>
            </w:pPr>
            <w:r w:rsidRPr="00783790">
              <w:t>Derecho a una vivienda adecuada</w:t>
            </w:r>
          </w:p>
        </w:tc>
      </w:tr>
      <w:tr w:rsidR="00166AE2" w:rsidRPr="00F13494" w14:paraId="0706E82C" w14:textId="77777777" w:rsidTr="00C00681">
        <w:tc>
          <w:tcPr>
            <w:tcW w:w="2694" w:type="dxa"/>
          </w:tcPr>
          <w:p w14:paraId="148636D2" w14:textId="77777777" w:rsidR="00166AE2" w:rsidRPr="00783790" w:rsidRDefault="00166AE2" w:rsidP="00C00681">
            <w:pPr>
              <w:pStyle w:val="SingleTxtG"/>
              <w:ind w:left="0" w:right="0"/>
              <w:jc w:val="left"/>
              <w:rPr>
                <w:i/>
              </w:rPr>
            </w:pPr>
            <w:r w:rsidRPr="00783790">
              <w:rPr>
                <w:i/>
              </w:rPr>
              <w:t>Artículo del Pacto:</w:t>
            </w:r>
          </w:p>
        </w:tc>
        <w:tc>
          <w:tcPr>
            <w:tcW w:w="4111" w:type="dxa"/>
            <w:vAlign w:val="bottom"/>
          </w:tcPr>
          <w:p w14:paraId="7BF1D1B4" w14:textId="77777777" w:rsidR="00166AE2" w:rsidRPr="00783790" w:rsidRDefault="00166AE2" w:rsidP="00C00681">
            <w:pPr>
              <w:pStyle w:val="SingleTxtG"/>
              <w:ind w:left="0" w:right="0"/>
              <w:jc w:val="left"/>
            </w:pPr>
            <w:r w:rsidRPr="00783790">
              <w:t>11, párr. 1</w:t>
            </w:r>
          </w:p>
        </w:tc>
      </w:tr>
      <w:tr w:rsidR="00166AE2" w:rsidRPr="00F13494" w14:paraId="520110D4" w14:textId="77777777" w:rsidTr="00C00681">
        <w:tc>
          <w:tcPr>
            <w:tcW w:w="2694" w:type="dxa"/>
          </w:tcPr>
          <w:p w14:paraId="2F05842D" w14:textId="77777777" w:rsidR="00166AE2" w:rsidRPr="00783790" w:rsidRDefault="00166AE2" w:rsidP="00C00681">
            <w:pPr>
              <w:pStyle w:val="SingleTxtG"/>
              <w:ind w:left="0" w:right="0"/>
              <w:jc w:val="left"/>
              <w:rPr>
                <w:i/>
              </w:rPr>
            </w:pPr>
            <w:r w:rsidRPr="00783790">
              <w:rPr>
                <w:i/>
              </w:rPr>
              <w:t>Artículo del Protocolo</w:t>
            </w:r>
            <w:r w:rsidRPr="00783790">
              <w:rPr>
                <w:i/>
              </w:rPr>
              <w:br/>
              <w:t>Facultativo:</w:t>
            </w:r>
          </w:p>
        </w:tc>
        <w:tc>
          <w:tcPr>
            <w:tcW w:w="4111" w:type="dxa"/>
            <w:vAlign w:val="bottom"/>
          </w:tcPr>
          <w:p w14:paraId="01AC81ED" w14:textId="77777777" w:rsidR="00166AE2" w:rsidRPr="00783790" w:rsidRDefault="00166AE2" w:rsidP="00C00681">
            <w:pPr>
              <w:pStyle w:val="SingleTxtG"/>
              <w:ind w:left="0" w:right="0"/>
              <w:jc w:val="left"/>
            </w:pPr>
            <w:r w:rsidRPr="00783790">
              <w:t>3, párr. 1 y 2 e)</w:t>
            </w:r>
          </w:p>
        </w:tc>
      </w:tr>
    </w:tbl>
    <w:p w14:paraId="0DEF638C" w14:textId="394CC9D5" w:rsidR="00166AE2" w:rsidRPr="0016125B" w:rsidRDefault="00166AE2" w:rsidP="00166AE2">
      <w:pPr>
        <w:pStyle w:val="SingleTxtG"/>
        <w:spacing w:before="120"/>
        <w:rPr>
          <w:lang w:val="es-ES_tradnl"/>
        </w:rPr>
      </w:pPr>
      <w:r w:rsidRPr="00BA0A4A">
        <w:t>1.1</w:t>
      </w:r>
      <w:r w:rsidRPr="00BA0A4A">
        <w:tab/>
      </w:r>
      <w:r w:rsidR="00A55B14">
        <w:t>Los autores de la comunicación</w:t>
      </w:r>
      <w:r>
        <w:t xml:space="preserve"> </w:t>
      </w:r>
      <w:r w:rsidR="00A55B14">
        <w:t>son Mohammed Stitou</w:t>
      </w:r>
      <w:r>
        <w:t xml:space="preserve">, nacional de </w:t>
      </w:r>
      <w:r w:rsidR="00A55B14">
        <w:t>Mar</w:t>
      </w:r>
      <w:r w:rsidR="00F427DD">
        <w:t>r</w:t>
      </w:r>
      <w:r w:rsidR="00A55B14">
        <w:t>uecos</w:t>
      </w:r>
      <w:r>
        <w:t xml:space="preserve">, nacido el </w:t>
      </w:r>
      <w:r w:rsidR="004A35F5">
        <w:t>23 de diciembre de 1973</w:t>
      </w:r>
      <w:r w:rsidR="00A55B14">
        <w:t xml:space="preserve"> en</w:t>
      </w:r>
      <w:r w:rsidR="004A35F5">
        <w:t xml:space="preserve"> </w:t>
      </w:r>
      <w:r w:rsidR="006813D3">
        <w:t xml:space="preserve">Uchda </w:t>
      </w:r>
      <w:r w:rsidR="004A35F5">
        <w:t>(Marruecos)</w:t>
      </w:r>
      <w:r w:rsidR="00A55B14">
        <w:t>, y Marie</w:t>
      </w:r>
      <w:r w:rsidR="007122C5">
        <w:t>m</w:t>
      </w:r>
      <w:r w:rsidR="004A35F5">
        <w:t xml:space="preserve"> Ben Hmdou, nacida el 1 de febrero de 1980 en T</w:t>
      </w:r>
      <w:r w:rsidR="006813D3">
        <w:t>á</w:t>
      </w:r>
      <w:r w:rsidR="004A35F5">
        <w:t>nger (Marruecos)</w:t>
      </w:r>
      <w:r>
        <w:t xml:space="preserve">. </w:t>
      </w:r>
      <w:r w:rsidR="00B34676">
        <w:t xml:space="preserve">Los autores actúan en nombre propio y en el de sus hijos </w:t>
      </w:r>
      <w:r w:rsidR="00623B81">
        <w:t>N</w:t>
      </w:r>
      <w:r w:rsidR="00AC56B2">
        <w:t>.</w:t>
      </w:r>
      <w:r w:rsidR="00623B81">
        <w:t xml:space="preserve"> S</w:t>
      </w:r>
      <w:r w:rsidR="00AC56B2">
        <w:t>.</w:t>
      </w:r>
      <w:r w:rsidR="00623B81">
        <w:t>, nacida el 8 de diciembre de 2000, Y</w:t>
      </w:r>
      <w:r w:rsidR="00AC56B2">
        <w:t>.</w:t>
      </w:r>
      <w:r w:rsidR="00623B81">
        <w:t xml:space="preserve"> S</w:t>
      </w:r>
      <w:r w:rsidR="00AC56B2">
        <w:t>.</w:t>
      </w:r>
      <w:r w:rsidR="00623B81">
        <w:t>, nacida el 29 de marzo de 2003</w:t>
      </w:r>
      <w:r w:rsidR="007122C5">
        <w:t>,</w:t>
      </w:r>
      <w:r w:rsidR="007122C5" w:rsidRPr="007122C5">
        <w:t xml:space="preserve"> </w:t>
      </w:r>
      <w:r w:rsidR="007122C5">
        <w:t>M. S., nacido el 2 de febrero de 2007 y</w:t>
      </w:r>
      <w:r w:rsidR="00623B81">
        <w:t xml:space="preserve"> </w:t>
      </w:r>
      <w:r w:rsidR="007122C5">
        <w:t xml:space="preserve">B. S., nacido el 19 de marzo de 2013, </w:t>
      </w:r>
      <w:r w:rsidR="00623B81">
        <w:t xml:space="preserve">todos nacionales de Marruecos. </w:t>
      </w:r>
      <w:r>
        <w:t>Afirma</w:t>
      </w:r>
      <w:r w:rsidR="00623B81">
        <w:t>n</w:t>
      </w:r>
      <w:r>
        <w:t xml:space="preserve"> que el Estado parte </w:t>
      </w:r>
      <w:r w:rsidR="006639BE">
        <w:t xml:space="preserve">ha </w:t>
      </w:r>
      <w:r w:rsidR="008A025F">
        <w:t>viola</w:t>
      </w:r>
      <w:r w:rsidR="006639BE">
        <w:t>do</w:t>
      </w:r>
      <w:r>
        <w:t xml:space="preserve"> los derechos que lo</w:t>
      </w:r>
      <w:r w:rsidR="006639BE">
        <w:t>s</w:t>
      </w:r>
      <w:r>
        <w:t xml:space="preserve"> asisten </w:t>
      </w:r>
      <w:r w:rsidRPr="0016125B">
        <w:t>en virtud del artículo 11</w:t>
      </w:r>
      <w:r>
        <w:t xml:space="preserve">, párrafo 1, </w:t>
      </w:r>
      <w:r w:rsidRPr="0016125B">
        <w:t>del Pacto. El Protocolo Facultativo entró en vigor para el Estado parte el 5 de mayo de</w:t>
      </w:r>
      <w:r>
        <w:t> </w:t>
      </w:r>
      <w:r w:rsidRPr="0016125B">
        <w:t>2013.</w:t>
      </w:r>
    </w:p>
    <w:p w14:paraId="33CAA3C3" w14:textId="4131FB73" w:rsidR="00166AE2" w:rsidRDefault="00166AE2" w:rsidP="00166AE2">
      <w:pPr>
        <w:pStyle w:val="SingleTxtG"/>
        <w:spacing w:before="120"/>
        <w:rPr>
          <w:lang w:val="es-ES_tradnl"/>
        </w:rPr>
      </w:pPr>
      <w:r w:rsidRPr="0016125B">
        <w:rPr>
          <w:lang w:val="es-ES_tradnl"/>
        </w:rPr>
        <w:lastRenderedPageBreak/>
        <w:t>1.2</w:t>
      </w:r>
      <w:r w:rsidRPr="0016125B">
        <w:rPr>
          <w:lang w:val="es-ES_tradnl"/>
        </w:rPr>
        <w:tab/>
      </w:r>
      <w:r w:rsidR="00332210" w:rsidRPr="00123DEF">
        <w:t xml:space="preserve">El </w:t>
      </w:r>
      <w:r w:rsidR="00050D63">
        <w:t>6 diciembre de 2018</w:t>
      </w:r>
      <w:r w:rsidR="00332210" w:rsidRPr="00123DEF">
        <w:t>, el Comité, actuando por medio de su grupo de trabajo sobre comunicaciones individuales, registró la comunicación y, tomando nota de la inminencia del lanzamiento y de las alegaciones de ausencia de alternativa habitacional y riesgo de daño irreparable, solicitó al Estado p</w:t>
      </w:r>
      <w:r w:rsidR="001849CD">
        <w:t xml:space="preserve">arte </w:t>
      </w:r>
      <w:r w:rsidR="00A969A2">
        <w:t xml:space="preserve">la adopción de medidas provisionales consistentes en </w:t>
      </w:r>
      <w:r w:rsidR="001849CD">
        <w:t>suspender el desalojo de los</w:t>
      </w:r>
      <w:r w:rsidR="00332210" w:rsidRPr="00123DEF">
        <w:t xml:space="preserve"> autor</w:t>
      </w:r>
      <w:r w:rsidR="001849CD">
        <w:t>es</w:t>
      </w:r>
      <w:r w:rsidR="00332210" w:rsidRPr="00123DEF">
        <w:t xml:space="preserve"> mientras la comunicación se encontrara pendiente de examen o, alternativamente, otorgarle</w:t>
      </w:r>
      <w:r w:rsidR="001849CD">
        <w:t>s</w:t>
      </w:r>
      <w:r w:rsidR="00332210" w:rsidRPr="00123DEF">
        <w:t xml:space="preserve"> una vivienda adecuada en consulta genuina</w:t>
      </w:r>
      <w:r w:rsidR="00022866">
        <w:t xml:space="preserve"> con ellos</w:t>
      </w:r>
      <w:r w:rsidR="00332210" w:rsidRPr="00123DEF">
        <w:t>, con el objeto de evitar</w:t>
      </w:r>
      <w:r w:rsidR="00A969A2">
        <w:t>les</w:t>
      </w:r>
      <w:r w:rsidR="00332210" w:rsidRPr="00123DEF">
        <w:t xml:space="preserve"> daños irreparables.</w:t>
      </w:r>
    </w:p>
    <w:p w14:paraId="7FF948A0" w14:textId="60372C39" w:rsidR="00166AE2" w:rsidRPr="00BB794F" w:rsidRDefault="00166AE2" w:rsidP="00166AE2">
      <w:pPr>
        <w:pStyle w:val="SingleTxtG"/>
        <w:rPr>
          <w:lang w:val="es-ES_tradnl"/>
        </w:rPr>
      </w:pPr>
      <w:r>
        <w:rPr>
          <w:lang w:val="es-ES_tradnl"/>
        </w:rPr>
        <w:t>1.3</w:t>
      </w:r>
      <w:r w:rsidRPr="00BB794F">
        <w:rPr>
          <w:lang w:val="es-ES_tradnl"/>
        </w:rPr>
        <w:tab/>
      </w:r>
      <w:r w:rsidRPr="0046464E">
        <w:rPr>
          <w:lang w:val="es-ES_tradnl"/>
        </w:rPr>
        <w:t xml:space="preserve">En </w:t>
      </w:r>
      <w:r>
        <w:rPr>
          <w:lang w:val="es-ES_tradnl"/>
        </w:rPr>
        <w:t>la presente decisión</w:t>
      </w:r>
      <w:r w:rsidRPr="0046464E">
        <w:rPr>
          <w:lang w:val="es-ES_tradnl"/>
        </w:rPr>
        <w:t>, el</w:t>
      </w:r>
      <w:r w:rsidRPr="00BB794F">
        <w:rPr>
          <w:lang w:val="es-ES_tradnl"/>
        </w:rPr>
        <w:t xml:space="preserve"> Comité resume</w:t>
      </w:r>
      <w:r w:rsidR="00A969A2">
        <w:rPr>
          <w:lang w:val="es-ES_tradnl"/>
        </w:rPr>
        <w:t>,</w:t>
      </w:r>
      <w:r w:rsidRPr="00BB794F">
        <w:rPr>
          <w:lang w:val="es-ES_tradnl"/>
        </w:rPr>
        <w:t xml:space="preserve"> </w:t>
      </w:r>
      <w:r>
        <w:rPr>
          <w:lang w:val="es-ES_tradnl"/>
        </w:rPr>
        <w:t>en primer lugar</w:t>
      </w:r>
      <w:r w:rsidR="00A969A2">
        <w:rPr>
          <w:lang w:val="es-ES_tradnl"/>
        </w:rPr>
        <w:t>,</w:t>
      </w:r>
      <w:r>
        <w:rPr>
          <w:lang w:val="es-ES_tradnl"/>
        </w:rPr>
        <w:t xml:space="preserve"> </w:t>
      </w:r>
      <w:r w:rsidRPr="00BB794F">
        <w:rPr>
          <w:lang w:val="es-ES_tradnl"/>
        </w:rPr>
        <w:t>la información y los alegatos presentados por las pa</w:t>
      </w:r>
      <w:r>
        <w:rPr>
          <w:lang w:val="es-ES_tradnl"/>
        </w:rPr>
        <w:t>rtes, seguidamente</w:t>
      </w:r>
      <w:r w:rsidRPr="00BB794F">
        <w:rPr>
          <w:lang w:val="es-ES_tradnl"/>
        </w:rPr>
        <w:t xml:space="preserve"> examina las cuestiones de admisibilidad </w:t>
      </w:r>
      <w:r>
        <w:rPr>
          <w:lang w:val="es-ES_tradnl"/>
        </w:rPr>
        <w:t xml:space="preserve">planteadas </w:t>
      </w:r>
      <w:r w:rsidRPr="00BB794F">
        <w:rPr>
          <w:lang w:val="es-ES_tradnl"/>
        </w:rPr>
        <w:t>y</w:t>
      </w:r>
      <w:r>
        <w:rPr>
          <w:lang w:val="es-ES_tradnl"/>
        </w:rPr>
        <w:t>,</w:t>
      </w:r>
      <w:r w:rsidRPr="00BB794F">
        <w:rPr>
          <w:lang w:val="es-ES_tradnl"/>
        </w:rPr>
        <w:t xml:space="preserve"> finalmente</w:t>
      </w:r>
      <w:r>
        <w:rPr>
          <w:lang w:val="es-ES_tradnl"/>
        </w:rPr>
        <w:t>,</w:t>
      </w:r>
      <w:r w:rsidRPr="00BB794F">
        <w:rPr>
          <w:lang w:val="es-ES_tradnl"/>
        </w:rPr>
        <w:t xml:space="preserve"> establece</w:t>
      </w:r>
      <w:r>
        <w:rPr>
          <w:lang w:val="es-ES_tradnl"/>
        </w:rPr>
        <w:t xml:space="preserve"> </w:t>
      </w:r>
      <w:r w:rsidRPr="00BB794F">
        <w:rPr>
          <w:lang w:val="es-ES_tradnl"/>
        </w:rPr>
        <w:t>sus conclusiones.</w:t>
      </w:r>
    </w:p>
    <w:p w14:paraId="19642BB2" w14:textId="77777777" w:rsidR="00166AE2" w:rsidRPr="00B234F7" w:rsidRDefault="00166AE2" w:rsidP="00166AE2">
      <w:pPr>
        <w:pStyle w:val="H1G"/>
      </w:pPr>
      <w:r w:rsidRPr="005B1B75">
        <w:rPr>
          <w:lang w:val="es-ES_tradnl"/>
        </w:rPr>
        <w:tab/>
        <w:t>A.</w:t>
      </w:r>
      <w:r w:rsidRPr="005B1B75">
        <w:rPr>
          <w:lang w:val="es-ES_tradnl"/>
        </w:rPr>
        <w:tab/>
        <w:t>Resumen de la información y alegatos de las partes</w:t>
      </w:r>
    </w:p>
    <w:p w14:paraId="32ED1206" w14:textId="77777777" w:rsidR="00166AE2" w:rsidRPr="004C7F57" w:rsidRDefault="00166AE2" w:rsidP="00166AE2">
      <w:pPr>
        <w:pStyle w:val="H23G"/>
        <w:rPr>
          <w:lang w:val="es-ES_tradnl"/>
        </w:rPr>
      </w:pPr>
      <w:r w:rsidRPr="005B1B75">
        <w:rPr>
          <w:lang w:val="es-ES_tradnl"/>
        </w:rPr>
        <w:tab/>
      </w:r>
      <w:r w:rsidRPr="005B1B75">
        <w:rPr>
          <w:lang w:val="es-ES_tradnl"/>
        </w:rPr>
        <w:tab/>
      </w:r>
      <w:r>
        <w:rPr>
          <w:lang w:val="es-ES_tradnl"/>
        </w:rPr>
        <w:t xml:space="preserve">Antecedentes </w:t>
      </w:r>
      <w:r w:rsidRPr="004C7F57">
        <w:rPr>
          <w:lang w:val="es-ES_tradnl"/>
        </w:rPr>
        <w:t>de hecho</w:t>
      </w:r>
      <w:r w:rsidRPr="00CB1602">
        <w:rPr>
          <w:rStyle w:val="Refdenotaalpie"/>
          <w:b w:val="0"/>
          <w:bCs/>
          <w:lang w:val="es-ES_tradnl"/>
        </w:rPr>
        <w:footnoteReference w:id="4"/>
      </w:r>
    </w:p>
    <w:p w14:paraId="5D5FC45D" w14:textId="358854CD" w:rsidR="00841BB2" w:rsidRDefault="00546F2C" w:rsidP="00F60525">
      <w:pPr>
        <w:pStyle w:val="SingleTxtG"/>
      </w:pPr>
      <w:r>
        <w:t>2.1</w:t>
      </w:r>
      <w:r>
        <w:tab/>
        <w:t>L</w:t>
      </w:r>
      <w:r w:rsidR="003710C0">
        <w:t>os autores</w:t>
      </w:r>
      <w:r w:rsidR="00FB4EA6">
        <w:t xml:space="preserve"> alegan</w:t>
      </w:r>
      <w:r w:rsidR="009032D5">
        <w:t xml:space="preserve"> que</w:t>
      </w:r>
      <w:r w:rsidR="003710C0">
        <w:t xml:space="preserve"> ocupaban</w:t>
      </w:r>
      <w:r w:rsidR="00F05B09">
        <w:t xml:space="preserve"> una vivienda en Badalona desde </w:t>
      </w:r>
      <w:r w:rsidR="0094638D">
        <w:t>febrero</w:t>
      </w:r>
      <w:r w:rsidR="00F05B09">
        <w:t xml:space="preserve"> </w:t>
      </w:r>
      <w:r w:rsidR="007871C0">
        <w:t xml:space="preserve">de </w:t>
      </w:r>
      <w:r w:rsidR="00F05B09">
        <w:t>2015 por medio de un contrato verbal de alquiler</w:t>
      </w:r>
      <w:r w:rsidR="0094638D">
        <w:t xml:space="preserve"> con una persona que </w:t>
      </w:r>
      <w:r w:rsidR="009032D5">
        <w:t xml:space="preserve">simulaba </w:t>
      </w:r>
      <w:r w:rsidR="0094638D">
        <w:t>ser la propietaria del inmueble</w:t>
      </w:r>
      <w:r w:rsidR="00A55B14">
        <w:t>,</w:t>
      </w:r>
      <w:r w:rsidR="00A969A2">
        <w:t xml:space="preserve"> a la que</w:t>
      </w:r>
      <w:r w:rsidR="00A55B14">
        <w:t xml:space="preserve"> </w:t>
      </w:r>
      <w:r w:rsidR="00025C98">
        <w:t>abon</w:t>
      </w:r>
      <w:r w:rsidR="00A969A2">
        <w:t>aban</w:t>
      </w:r>
      <w:r w:rsidR="00A55B14">
        <w:t xml:space="preserve"> mensualmente </w:t>
      </w:r>
      <w:r w:rsidR="001B42FB">
        <w:t>300 euros</w:t>
      </w:r>
      <w:r w:rsidR="00D01A1E">
        <w:t>.</w:t>
      </w:r>
      <w:r w:rsidR="00FD2368">
        <w:t xml:space="preserve"> </w:t>
      </w:r>
    </w:p>
    <w:p w14:paraId="7821D347" w14:textId="160FAE7D" w:rsidR="00F60525" w:rsidRDefault="00F60525" w:rsidP="00DA1850">
      <w:pPr>
        <w:pStyle w:val="SingleTxtG"/>
      </w:pPr>
      <w:r>
        <w:t>2.2</w:t>
      </w:r>
      <w:r w:rsidR="00841BB2">
        <w:tab/>
      </w:r>
      <w:r w:rsidR="001F509A">
        <w:t>Los autores sostienen que el Juzgado de Primera Instancia n</w:t>
      </w:r>
      <w:r w:rsidR="0029463F">
        <w:t>úm.</w:t>
      </w:r>
      <w:r w:rsidR="0069073D">
        <w:t> </w:t>
      </w:r>
      <w:r w:rsidR="001F509A">
        <w:t xml:space="preserve">5 de Badalona </w:t>
      </w:r>
      <w:r w:rsidR="007871C0">
        <w:t xml:space="preserve">les notificó </w:t>
      </w:r>
      <w:r w:rsidR="001F509A">
        <w:t xml:space="preserve">que la vivienda que ocupaban era objeto de un procedimiento de ejecución hipotecaria a favor de </w:t>
      </w:r>
      <w:r w:rsidR="00243F53">
        <w:t>un b</w:t>
      </w:r>
      <w:r w:rsidR="001F509A">
        <w:t>anco, a qui</w:t>
      </w:r>
      <w:r w:rsidR="00641DB6">
        <w:t>e</w:t>
      </w:r>
      <w:r w:rsidR="001F509A">
        <w:t xml:space="preserve">n </w:t>
      </w:r>
      <w:r w:rsidR="00641DB6">
        <w:t>se adjudicó</w:t>
      </w:r>
      <w:r w:rsidR="001F509A">
        <w:t xml:space="preserve"> la vivienda mediante un decreto del 3 de abril de 2014. </w:t>
      </w:r>
      <w:r w:rsidR="00841BB2">
        <w:t xml:space="preserve">El 27 de marzo de 2015, el </w:t>
      </w:r>
      <w:r w:rsidR="008A025F">
        <w:t>autor</w:t>
      </w:r>
      <w:r w:rsidR="00841BB2">
        <w:t xml:space="preserve"> compareció ante el </w:t>
      </w:r>
      <w:r w:rsidR="0074312F">
        <w:t xml:space="preserve">Juzgado </w:t>
      </w:r>
      <w:r w:rsidR="00841BB2">
        <w:t xml:space="preserve">como tercer ocupante de la vivienda </w:t>
      </w:r>
      <w:r w:rsidR="003B46E4">
        <w:t>objeto del procedimiento de ejecución hipotecaria</w:t>
      </w:r>
      <w:r w:rsidR="006348D3">
        <w:t xml:space="preserve">, aportando un contrato de arriendo </w:t>
      </w:r>
      <w:r w:rsidR="00D57646">
        <w:t xml:space="preserve">con fecha 1 de junio de 2014 suscrito con </w:t>
      </w:r>
      <w:r w:rsidR="001F509A">
        <w:t xml:space="preserve">el </w:t>
      </w:r>
      <w:r w:rsidR="00D57646">
        <w:t>anterior propietario y ejecutado</w:t>
      </w:r>
      <w:r w:rsidR="00FB4EA6">
        <w:rPr>
          <w:rStyle w:val="Refdenotaalpie"/>
        </w:rPr>
        <w:footnoteReference w:id="5"/>
      </w:r>
      <w:r w:rsidR="009F4559">
        <w:t xml:space="preserve">. </w:t>
      </w:r>
      <w:r>
        <w:t xml:space="preserve">Al percatarse </w:t>
      </w:r>
      <w:r w:rsidR="004C1820">
        <w:t xml:space="preserve">de </w:t>
      </w:r>
      <w:r>
        <w:t xml:space="preserve">que la persona a quien pagaban el alquiler no era la propietaria del inmueble, los autores decidieron </w:t>
      </w:r>
      <w:r w:rsidR="00641DB6">
        <w:t>suspender</w:t>
      </w:r>
      <w:r>
        <w:t xml:space="preserve"> </w:t>
      </w:r>
      <w:r w:rsidR="001F509A">
        <w:t xml:space="preserve">el abono del </w:t>
      </w:r>
      <w:r>
        <w:t xml:space="preserve">alquiler </w:t>
      </w:r>
      <w:r w:rsidR="001F509A">
        <w:t xml:space="preserve">mensual </w:t>
      </w:r>
      <w:r>
        <w:t xml:space="preserve">y seguir ocupando la vivienda </w:t>
      </w:r>
      <w:r w:rsidR="00C300A0">
        <w:t>sin título</w:t>
      </w:r>
      <w:r>
        <w:t xml:space="preserve"> por falta de alternativa habitacional.</w:t>
      </w:r>
    </w:p>
    <w:p w14:paraId="47252E05" w14:textId="7B0E31B4" w:rsidR="009F4559" w:rsidRDefault="00F60525" w:rsidP="00DA1850">
      <w:pPr>
        <w:pStyle w:val="SingleTxtG"/>
      </w:pPr>
      <w:r>
        <w:t>2.3</w:t>
      </w:r>
      <w:r>
        <w:tab/>
      </w:r>
      <w:r w:rsidR="004C1820">
        <w:t xml:space="preserve">Mediante un </w:t>
      </w:r>
      <w:r w:rsidR="00641DB6">
        <w:t>a</w:t>
      </w:r>
      <w:r w:rsidR="00D57646">
        <w:t>uto de</w:t>
      </w:r>
      <w:r w:rsidR="00B90DD3">
        <w:t xml:space="preserve"> fecha </w:t>
      </w:r>
      <w:r w:rsidR="00D57646">
        <w:t xml:space="preserve">29 de abril de 2015, el Juzgado </w:t>
      </w:r>
      <w:r w:rsidR="00504369">
        <w:t xml:space="preserve">consideró el contrato de arriendo presentado por el </w:t>
      </w:r>
      <w:r w:rsidR="00B21D52">
        <w:t xml:space="preserve">autor </w:t>
      </w:r>
      <w:r w:rsidR="00AB4833">
        <w:t xml:space="preserve">como </w:t>
      </w:r>
      <w:r w:rsidR="00504369">
        <w:t xml:space="preserve">nulo, </w:t>
      </w:r>
      <w:r w:rsidR="00C03F4A">
        <w:t>pues</w:t>
      </w:r>
      <w:r w:rsidR="00504369">
        <w:t xml:space="preserve"> el arrendador carecía de derecho para arrendar la vivienda </w:t>
      </w:r>
      <w:r w:rsidR="00AB4833">
        <w:t>que</w:t>
      </w:r>
      <w:r w:rsidR="00504369">
        <w:t xml:space="preserve"> había </w:t>
      </w:r>
      <w:r w:rsidR="00AB4833">
        <w:t>sido adjudicada</w:t>
      </w:r>
      <w:r w:rsidR="00504369">
        <w:t xml:space="preserve"> a</w:t>
      </w:r>
      <w:r w:rsidR="00AB4833">
        <w:t>l</w:t>
      </w:r>
      <w:r w:rsidR="00504369">
        <w:t xml:space="preserve"> ejecutante por decreto </w:t>
      </w:r>
      <w:r w:rsidR="00B90DD3">
        <w:t>el</w:t>
      </w:r>
      <w:r w:rsidR="00504369">
        <w:t xml:space="preserve"> 3 de abril de 2014. El Juzgado acordó el lanzamiento de los autores, </w:t>
      </w:r>
      <w:r w:rsidR="00B21D52">
        <w:t xml:space="preserve">que fue </w:t>
      </w:r>
      <w:r w:rsidR="00504369">
        <w:t xml:space="preserve">fijado para el 8 de julio de 2015, al determinar que </w:t>
      </w:r>
      <w:r w:rsidR="00641DB6">
        <w:t>estos</w:t>
      </w:r>
      <w:r w:rsidR="00B21D52">
        <w:t xml:space="preserve"> </w:t>
      </w:r>
      <w:r w:rsidR="00504369">
        <w:t>no presentaban un título v</w:t>
      </w:r>
      <w:r w:rsidR="004C1820">
        <w:t>á</w:t>
      </w:r>
      <w:r w:rsidR="00504369">
        <w:t>lido de ocupación de la vivienda.</w:t>
      </w:r>
    </w:p>
    <w:p w14:paraId="70A30500" w14:textId="6230D98F" w:rsidR="00841BB2" w:rsidRDefault="00AB4833" w:rsidP="00DA1850">
      <w:pPr>
        <w:pStyle w:val="SingleTxtG"/>
      </w:pPr>
      <w:r>
        <w:t>2.4</w:t>
      </w:r>
      <w:r>
        <w:tab/>
        <w:t xml:space="preserve">El 29 de mayo de </w:t>
      </w:r>
      <w:r w:rsidRPr="002C6B83">
        <w:t xml:space="preserve">2015, el </w:t>
      </w:r>
      <w:r w:rsidR="00B21D52" w:rsidRPr="002C6B83">
        <w:t xml:space="preserve">autor </w:t>
      </w:r>
      <w:r w:rsidR="003B46E4" w:rsidRPr="007122C5">
        <w:t>solicitó asistencia</w:t>
      </w:r>
      <w:r w:rsidR="003B46E4">
        <w:t xml:space="preserve"> jurídica gratuita</w:t>
      </w:r>
      <w:r w:rsidR="00A55B14">
        <w:t>,</w:t>
      </w:r>
      <w:r w:rsidR="003B46E4">
        <w:t xml:space="preserve"> </w:t>
      </w:r>
      <w:r w:rsidR="007E4703">
        <w:t>que le fue otorgada el 16 de junio de 2015.</w:t>
      </w:r>
    </w:p>
    <w:p w14:paraId="0F948C9E" w14:textId="21F3C6CA" w:rsidR="00136537" w:rsidRDefault="00136537" w:rsidP="00DA1850">
      <w:pPr>
        <w:pStyle w:val="SingleTxtG"/>
      </w:pPr>
      <w:r>
        <w:t>2.5</w:t>
      </w:r>
      <w:r>
        <w:tab/>
      </w:r>
      <w:r w:rsidR="004F68C6">
        <w:t>El</w:t>
      </w:r>
      <w:r>
        <w:t xml:space="preserve"> 3 de julio de 2015, los Servicios Sociales de Badalona</w:t>
      </w:r>
      <w:r w:rsidR="00F5342D">
        <w:t xml:space="preserve"> </w:t>
      </w:r>
      <w:r w:rsidR="00520CBE">
        <w:t>solicita</w:t>
      </w:r>
      <w:r w:rsidR="006E5D64">
        <w:t>ron</w:t>
      </w:r>
      <w:r w:rsidR="00F5342D">
        <w:t xml:space="preserve"> al Juzgado </w:t>
      </w:r>
      <w:r w:rsidR="00520CBE">
        <w:t xml:space="preserve">aplazar el lanzamiento previsto para el 8 de julio de 2015 a la luz </w:t>
      </w:r>
      <w:r w:rsidR="00F5342D">
        <w:t>de la presencia de cuatro menores de edad en la vivienda</w:t>
      </w:r>
      <w:r w:rsidR="00520CBE">
        <w:t xml:space="preserve"> y de los ingresos mensuales de 426</w:t>
      </w:r>
      <w:r w:rsidR="00243B82">
        <w:t> </w:t>
      </w:r>
      <w:r w:rsidR="00520CBE">
        <w:t xml:space="preserve">euros de la unidad familiar, </w:t>
      </w:r>
      <w:r w:rsidR="00466D16">
        <w:t xml:space="preserve">provenientes del subsidio de desempleo, considerados como </w:t>
      </w:r>
      <w:r w:rsidR="00520CBE">
        <w:t>insuficiente</w:t>
      </w:r>
      <w:r w:rsidR="00EB3023">
        <w:t>s</w:t>
      </w:r>
      <w:r w:rsidR="00520CBE">
        <w:t xml:space="preserve"> para </w:t>
      </w:r>
      <w:r w:rsidR="00466D16">
        <w:t>acceder a</w:t>
      </w:r>
      <w:r w:rsidR="00520CBE">
        <w:t xml:space="preserve"> </w:t>
      </w:r>
      <w:r w:rsidR="00641DB6">
        <w:t xml:space="preserve">una </w:t>
      </w:r>
      <w:r w:rsidR="00520CBE">
        <w:t>vivienda</w:t>
      </w:r>
      <w:r w:rsidR="00641DB6">
        <w:t xml:space="preserve"> alternativa</w:t>
      </w:r>
      <w:r w:rsidR="00520CBE">
        <w:t xml:space="preserve">. </w:t>
      </w:r>
      <w:r w:rsidR="00EB3023">
        <w:t xml:space="preserve">El Juzgado </w:t>
      </w:r>
      <w:r w:rsidR="004C3A0D">
        <w:t xml:space="preserve">acordó </w:t>
      </w:r>
      <w:r w:rsidR="00CA3D0E">
        <w:t xml:space="preserve">posponer </w:t>
      </w:r>
      <w:r w:rsidR="00EB3023">
        <w:t>el lanzamiento previsto, señalando el 7 de octubre de 2015 como nueva fecha de lanzamiento.</w:t>
      </w:r>
    </w:p>
    <w:p w14:paraId="0BA0245B" w14:textId="1D30BFF4" w:rsidR="00045602" w:rsidRDefault="00B2099C" w:rsidP="00DA1850">
      <w:pPr>
        <w:pStyle w:val="SingleTxtG"/>
      </w:pPr>
      <w:r>
        <w:t>2.6</w:t>
      </w:r>
      <w:r w:rsidR="00841BB2">
        <w:tab/>
      </w:r>
      <w:r w:rsidR="00B00072">
        <w:t>El 16 de septiembre de 2015, los autores enviaron un telegrama a</w:t>
      </w:r>
      <w:r w:rsidR="00FA7301">
        <w:t xml:space="preserve"> la entidad bancaria</w:t>
      </w:r>
      <w:r w:rsidR="00590B9D">
        <w:t xml:space="preserve"> </w:t>
      </w:r>
      <w:r w:rsidR="00211E5F">
        <w:t>propietari</w:t>
      </w:r>
      <w:r w:rsidR="00590B9D">
        <w:t>a</w:t>
      </w:r>
      <w:r w:rsidR="00211E5F">
        <w:t xml:space="preserve"> del </w:t>
      </w:r>
      <w:r w:rsidR="00136DC0">
        <w:t>inmueble</w:t>
      </w:r>
      <w:r w:rsidR="00B00072">
        <w:t xml:space="preserve"> donde reconocían que estaban cometiendo un delito de usurpación </w:t>
      </w:r>
      <w:r w:rsidR="00F638D2">
        <w:t>y solicita</w:t>
      </w:r>
      <w:r w:rsidR="00A55B14">
        <w:t>ban</w:t>
      </w:r>
      <w:r w:rsidR="00F638D2">
        <w:t xml:space="preserve"> al banco poder seguir ocupando la vivienda mediante el pago de un alquiler o</w:t>
      </w:r>
      <w:r w:rsidR="00243B82">
        <w:t>,</w:t>
      </w:r>
      <w:r w:rsidR="00F638D2">
        <w:t xml:space="preserve"> </w:t>
      </w:r>
      <w:r w:rsidR="00A55B14">
        <w:t xml:space="preserve">alternativamente, </w:t>
      </w:r>
      <w:r w:rsidR="00F638D2">
        <w:t xml:space="preserve">poder ocupar otra vivienda </w:t>
      </w:r>
      <w:r w:rsidR="00243B82">
        <w:t>en vista de</w:t>
      </w:r>
      <w:r w:rsidR="00865AC1">
        <w:t xml:space="preserve"> su situación de vulnerabilidad habitacional. Esta solicitud </w:t>
      </w:r>
      <w:r w:rsidR="00F427DD">
        <w:t xml:space="preserve">no </w:t>
      </w:r>
      <w:r w:rsidR="00641DB6">
        <w:t>ob</w:t>
      </w:r>
      <w:r w:rsidR="00F427DD">
        <w:t>tuvo respuesta alguna</w:t>
      </w:r>
      <w:r w:rsidR="00865AC1">
        <w:t>.</w:t>
      </w:r>
    </w:p>
    <w:p w14:paraId="2858ADFA" w14:textId="7240A624" w:rsidR="001F509A" w:rsidRDefault="00B2099C" w:rsidP="00DA1850">
      <w:pPr>
        <w:pStyle w:val="SingleTxtG"/>
      </w:pPr>
      <w:r>
        <w:t>2.7</w:t>
      </w:r>
      <w:r>
        <w:tab/>
        <w:t xml:space="preserve">El lanzamiento previsto </w:t>
      </w:r>
      <w:r w:rsidR="004C3A0D">
        <w:t>para el</w:t>
      </w:r>
      <w:r>
        <w:t xml:space="preserve"> 7 de octubre de 2015 fue suspendido por el Juzgado el 2 de octubre de 2015, tras </w:t>
      </w:r>
      <w:r w:rsidR="00990AAE">
        <w:t>petición</w:t>
      </w:r>
      <w:r>
        <w:t xml:space="preserve"> de la parte ejecutante,</w:t>
      </w:r>
      <w:r w:rsidR="00B90DD3">
        <w:t xml:space="preserve"> y se señaló</w:t>
      </w:r>
      <w:r>
        <w:t xml:space="preserve"> el 13 de enero de 2016 como nueva fecha de lanzamiento.</w:t>
      </w:r>
    </w:p>
    <w:p w14:paraId="56435FEE" w14:textId="71C788EC" w:rsidR="001F509A" w:rsidRDefault="001F509A" w:rsidP="00DA1850">
      <w:pPr>
        <w:pStyle w:val="SingleTxtG"/>
      </w:pPr>
      <w:r>
        <w:lastRenderedPageBreak/>
        <w:t>2.8</w:t>
      </w:r>
      <w:r>
        <w:tab/>
        <w:t xml:space="preserve">Los autores solicitaron </w:t>
      </w:r>
      <w:r w:rsidR="005E2367">
        <w:t xml:space="preserve">una </w:t>
      </w:r>
      <w:r>
        <w:t xml:space="preserve">vivienda asequible ante la Oficina Local de Vivienda de Badalona el 4 de diciembre de 2015 y solicitaron </w:t>
      </w:r>
      <w:r w:rsidR="005E2367">
        <w:t xml:space="preserve">la </w:t>
      </w:r>
      <w:r>
        <w:t xml:space="preserve">inscripción </w:t>
      </w:r>
      <w:r w:rsidR="005E2367">
        <w:t>en e</w:t>
      </w:r>
      <w:r>
        <w:t>l registro de solicitantes de vivienda de protección oficial de Cataluña el 1 diciembre de 2015.</w:t>
      </w:r>
    </w:p>
    <w:p w14:paraId="4C366DBB" w14:textId="30E9F71A" w:rsidR="00EC24AB" w:rsidRDefault="001F509A" w:rsidP="00DA1850">
      <w:pPr>
        <w:pStyle w:val="SingleTxtG"/>
      </w:pPr>
      <w:r>
        <w:t>2.9</w:t>
      </w:r>
      <w:r>
        <w:tab/>
      </w:r>
      <w:r w:rsidR="00B90DD3">
        <w:t xml:space="preserve">El 4 de enero de 2016, el Juzgado acordó suspender </w:t>
      </w:r>
      <w:r w:rsidR="002A7B43">
        <w:t>el lanzamiento previsto</w:t>
      </w:r>
      <w:r w:rsidR="00B90DD3">
        <w:t xml:space="preserve"> </w:t>
      </w:r>
      <w:r w:rsidR="008853AE">
        <w:t>dado</w:t>
      </w:r>
      <w:r w:rsidR="00B90DD3">
        <w:t xml:space="preserve"> que</w:t>
      </w:r>
      <w:r w:rsidR="005E2367" w:rsidRPr="005E2367">
        <w:t xml:space="preserve"> </w:t>
      </w:r>
      <w:r w:rsidR="005E2367">
        <w:t xml:space="preserve">no había sido notificado a </w:t>
      </w:r>
      <w:r w:rsidR="00B90DD3">
        <w:t>las partes ejecutadas en el procedimiento de ejecución hipotecaria de la vivienda. El Juzgado señaló el 24 de febrero de 2016 como nuev</w:t>
      </w:r>
      <w:r w:rsidR="00641DB6">
        <w:t>a</w:t>
      </w:r>
      <w:r w:rsidR="00B90DD3">
        <w:t xml:space="preserve"> </w:t>
      </w:r>
      <w:r w:rsidR="00641DB6">
        <w:t>fecha</w:t>
      </w:r>
      <w:r w:rsidR="00B90DD3">
        <w:t xml:space="preserve"> de lanzamiento,</w:t>
      </w:r>
      <w:r w:rsidR="00C14EC1">
        <w:t xml:space="preserve"> y se</w:t>
      </w:r>
      <w:r w:rsidR="00B90DD3">
        <w:t xml:space="preserve"> notific</w:t>
      </w:r>
      <w:r w:rsidR="00C14EC1">
        <w:t>ó esta resolución</w:t>
      </w:r>
      <w:r w:rsidR="005E2367" w:rsidRPr="005E2367">
        <w:t xml:space="preserve"> </w:t>
      </w:r>
      <w:r w:rsidR="005E2367">
        <w:t>personalmente a los autores</w:t>
      </w:r>
      <w:r w:rsidR="00C14EC1">
        <w:t xml:space="preserve">. </w:t>
      </w:r>
      <w:r w:rsidR="00A134ED">
        <w:t xml:space="preserve">Al observar la presencia de cuatro menores de edad en la vivienda durante la diligencia de comunicación, </w:t>
      </w:r>
      <w:r w:rsidR="00C401E6">
        <w:t xml:space="preserve">y la </w:t>
      </w:r>
      <w:r w:rsidR="00990AAE">
        <w:t>petición</w:t>
      </w:r>
      <w:r w:rsidR="00C401E6">
        <w:t xml:space="preserve"> de la parte ejecutante de suspender el lanzamiento señalado para el 24 de febrero de 2016, </w:t>
      </w:r>
      <w:r w:rsidR="00A134ED">
        <w:t>el Juzgado</w:t>
      </w:r>
      <w:r w:rsidR="00C401E6">
        <w:t xml:space="preserve"> acordó suspender dicho lanzamiento, e informó </w:t>
      </w:r>
      <w:r w:rsidR="004959B7">
        <w:t xml:space="preserve">el 10 de junio de 2016 a </w:t>
      </w:r>
      <w:r w:rsidR="00C401E6">
        <w:t>los autores de la nueva fecha señalada para el lanzamiento</w:t>
      </w:r>
      <w:r w:rsidR="004959B7">
        <w:t>, el 21 de septiembre de 2016</w:t>
      </w:r>
      <w:r w:rsidR="00C401E6">
        <w:t xml:space="preserve">. </w:t>
      </w:r>
      <w:r w:rsidR="00970DE6">
        <w:t xml:space="preserve">El 20 de septiembre de 2016, el Juzgado suspendió </w:t>
      </w:r>
      <w:r w:rsidR="00641DB6">
        <w:t xml:space="preserve">nuevamente </w:t>
      </w:r>
      <w:r w:rsidR="00970DE6">
        <w:t xml:space="preserve">el lanzamiento de conformidad con la petición de la parte ejecutante. </w:t>
      </w:r>
      <w:r w:rsidR="003B72AF">
        <w:t xml:space="preserve">El 4 septiembre de 2017, el Juzgado señaló el 1 de enero de 2018 como </w:t>
      </w:r>
      <w:r w:rsidR="00641DB6">
        <w:t xml:space="preserve">nueva </w:t>
      </w:r>
      <w:r w:rsidR="003B72AF">
        <w:t xml:space="preserve">fecha </w:t>
      </w:r>
      <w:r w:rsidR="00641DB6">
        <w:t xml:space="preserve">de </w:t>
      </w:r>
      <w:r w:rsidR="003B72AF">
        <w:t xml:space="preserve">lanzamiento. El 1 de enero de 2018, durante la diligencia de lanzamiento, la Comisión Judicial </w:t>
      </w:r>
      <w:r w:rsidR="00974C2A">
        <w:t xml:space="preserve">decidió suspender el lanzamiento al observar la presencia de cuatro menores de edad en la vivienda y señaló el 31 de enero de 2018 como nueva fecha de lanzamiento. </w:t>
      </w:r>
      <w:r w:rsidR="00CF1ED1">
        <w:t xml:space="preserve">Este quedó suspendido tras petición de la parte ejecutante y </w:t>
      </w:r>
      <w:r w:rsidR="004959B7">
        <w:t>se aplazó al</w:t>
      </w:r>
      <w:r w:rsidR="00CF1ED1">
        <w:t xml:space="preserve"> </w:t>
      </w:r>
      <w:r w:rsidR="005759B6">
        <w:t>27 </w:t>
      </w:r>
      <w:r w:rsidR="00505A81">
        <w:t>de junio de 2018.</w:t>
      </w:r>
    </w:p>
    <w:p w14:paraId="6DEBF34C" w14:textId="25B46132" w:rsidR="00B2099C" w:rsidRDefault="00EC24AB" w:rsidP="00DA1850">
      <w:pPr>
        <w:pStyle w:val="SingleTxtG"/>
      </w:pPr>
      <w:r w:rsidRPr="00E72F5B">
        <w:t>2.</w:t>
      </w:r>
      <w:r w:rsidR="001F509A" w:rsidRPr="00E72F5B">
        <w:t>10</w:t>
      </w:r>
      <w:r w:rsidRPr="00E72F5B">
        <w:tab/>
      </w:r>
      <w:r w:rsidR="00505A81" w:rsidRPr="00E72F5B">
        <w:t>El 25 de enero de 2018, los Servicios Sociales de Badalona enviaron un informe social al Juzgado</w:t>
      </w:r>
      <w:r w:rsidR="009E2AA7">
        <w:t xml:space="preserve"> en el que se</w:t>
      </w:r>
      <w:r w:rsidR="00505A81" w:rsidRPr="00E72F5B">
        <w:t xml:space="preserve"> inform</w:t>
      </w:r>
      <w:r w:rsidR="009E2AA7">
        <w:t>aba</w:t>
      </w:r>
      <w:r w:rsidR="00505A81" w:rsidRPr="00E72F5B">
        <w:t xml:space="preserve"> </w:t>
      </w:r>
      <w:r w:rsidR="005A67FC" w:rsidRPr="00E72F5B">
        <w:t xml:space="preserve">que </w:t>
      </w:r>
      <w:r w:rsidR="00505A81" w:rsidRPr="00E72F5B">
        <w:t xml:space="preserve">los ingresos mensuales de los autores </w:t>
      </w:r>
      <w:r w:rsidR="005A67FC" w:rsidRPr="00E72F5B">
        <w:t xml:space="preserve">provenientes de la </w:t>
      </w:r>
      <w:r w:rsidR="00FA31CD">
        <w:t>r</w:t>
      </w:r>
      <w:r w:rsidR="005A67FC" w:rsidRPr="00E72F5B">
        <w:t xml:space="preserve">enta </w:t>
      </w:r>
      <w:r w:rsidR="00FA31CD">
        <w:t>g</w:t>
      </w:r>
      <w:r w:rsidR="005A67FC" w:rsidRPr="00E72F5B">
        <w:t xml:space="preserve">arantizada de </w:t>
      </w:r>
      <w:r w:rsidR="00B9561C">
        <w:t>c</w:t>
      </w:r>
      <w:r w:rsidR="005A67FC" w:rsidRPr="00E72F5B">
        <w:t xml:space="preserve">iudadanía </w:t>
      </w:r>
      <w:r w:rsidR="00DC24EA" w:rsidRPr="00E72F5B">
        <w:t>eran de 1.062 euros</w:t>
      </w:r>
      <w:r w:rsidR="00522862" w:rsidRPr="00F83549">
        <w:t xml:space="preserve">, </w:t>
      </w:r>
      <w:r w:rsidR="002A7B43" w:rsidRPr="00F83549">
        <w:t xml:space="preserve">lo </w:t>
      </w:r>
      <w:r w:rsidR="00522862" w:rsidRPr="00F83549">
        <w:t>que no les permit</w:t>
      </w:r>
      <w:r w:rsidR="002A7B43" w:rsidRPr="00F83549">
        <w:t>ía</w:t>
      </w:r>
      <w:r w:rsidR="00FA3DD4" w:rsidRPr="00E72F5B">
        <w:t>n</w:t>
      </w:r>
      <w:r w:rsidR="00522862" w:rsidRPr="00E72F5B">
        <w:t xml:space="preserve"> acceder a otra vivienda</w:t>
      </w:r>
      <w:r w:rsidR="00FA3DD4" w:rsidRPr="00E72F5B">
        <w:t xml:space="preserve"> en el mercado privado</w:t>
      </w:r>
      <w:r w:rsidR="00522862" w:rsidRPr="00E72F5B">
        <w:t xml:space="preserve">, teniendo en cuenta la </w:t>
      </w:r>
      <w:r w:rsidR="00E72F5B" w:rsidRPr="00E72F5B">
        <w:t xml:space="preserve">extensa </w:t>
      </w:r>
      <w:r w:rsidR="00FA3DD4" w:rsidRPr="00E72F5B">
        <w:t xml:space="preserve">unidad familiar </w:t>
      </w:r>
      <w:r w:rsidR="00E72F5B" w:rsidRPr="00E72F5B">
        <w:t>que cuenta con c</w:t>
      </w:r>
      <w:r w:rsidR="00522862" w:rsidRPr="00E72F5B">
        <w:t xml:space="preserve">uatro menores de edad. </w:t>
      </w:r>
      <w:r w:rsidR="00FA3DD4" w:rsidRPr="00E72F5B">
        <w:t>El informe social</w:t>
      </w:r>
      <w:r w:rsidR="00522862" w:rsidRPr="00E72F5B">
        <w:t xml:space="preserve"> indicó que los autores querían negociar un alquiler social con los propietarios de la vivienda. </w:t>
      </w:r>
      <w:r w:rsidRPr="00E72F5B">
        <w:t>Los Servicios</w:t>
      </w:r>
      <w:r>
        <w:t xml:space="preserve"> Sociales solicitaron</w:t>
      </w:r>
      <w:r w:rsidR="00FA3DD4">
        <w:t xml:space="preserve"> al Juzgado</w:t>
      </w:r>
      <w:r>
        <w:t>, por lo tanto, la suspensión del lanzamiento previsto para el 31 de enero de 2018.</w:t>
      </w:r>
    </w:p>
    <w:p w14:paraId="280B4628" w14:textId="6FD5C0F7" w:rsidR="007D1229" w:rsidRDefault="001F509A" w:rsidP="0070315A">
      <w:pPr>
        <w:pStyle w:val="SingleTxtG"/>
      </w:pPr>
      <w:r>
        <w:t>2.11</w:t>
      </w:r>
      <w:r w:rsidR="00EC24AB">
        <w:tab/>
      </w:r>
      <w:r w:rsidR="001274A1">
        <w:t xml:space="preserve">Mediante </w:t>
      </w:r>
      <w:r w:rsidR="00EC24AB">
        <w:t xml:space="preserve">escrito presentado al Juzgado el 15 de junio de 2018, la parte ejecutante solicitó al Juzgado suspender por un plazo de tres meses el lanzamiento </w:t>
      </w:r>
      <w:r w:rsidR="00AF2F0D">
        <w:t xml:space="preserve">señalado para el </w:t>
      </w:r>
      <w:r w:rsidR="005759B6">
        <w:t>27 </w:t>
      </w:r>
      <w:r w:rsidR="00AF2F0D">
        <w:t xml:space="preserve">de junio de 2018 </w:t>
      </w:r>
      <w:r w:rsidR="002C6B83">
        <w:t xml:space="preserve">a fin de </w:t>
      </w:r>
      <w:r w:rsidR="00AF2F0D">
        <w:t xml:space="preserve">que los autores </w:t>
      </w:r>
      <w:r w:rsidR="002A7B43">
        <w:t>pu</w:t>
      </w:r>
      <w:r w:rsidR="009E2AA7">
        <w:t>diera</w:t>
      </w:r>
      <w:r w:rsidR="002A7B43">
        <w:t xml:space="preserve">n </w:t>
      </w:r>
      <w:r w:rsidR="00AF2F0D">
        <w:t>reali</w:t>
      </w:r>
      <w:r w:rsidR="002A7B43">
        <w:t>zar</w:t>
      </w:r>
      <w:r w:rsidR="00AF2F0D">
        <w:t xml:space="preserve"> las gestiones oportunas para buscar otra vivienda. El 21 de junio de 2018, el Juzgado acordó esta suspensión y señaló el 21 de noviembre de 2018 como nueva fecha de lanzamiento.</w:t>
      </w:r>
    </w:p>
    <w:p w14:paraId="3A7AFB23" w14:textId="2C77BE2E" w:rsidR="00865AC1" w:rsidRDefault="001F509A" w:rsidP="00DA1850">
      <w:pPr>
        <w:pStyle w:val="SingleTxtG"/>
      </w:pPr>
      <w:r>
        <w:t>2.12</w:t>
      </w:r>
      <w:r w:rsidR="00865AC1">
        <w:tab/>
      </w:r>
      <w:r w:rsidR="00A55B14">
        <w:t xml:space="preserve">El 21 de noviembre de 2018, </w:t>
      </w:r>
      <w:r w:rsidR="000A5B8D">
        <w:t>la</w:t>
      </w:r>
      <w:r w:rsidR="00A10A12">
        <w:t xml:space="preserve"> Comisión Judicial del Juzgado </w:t>
      </w:r>
      <w:r w:rsidR="007C0A3B">
        <w:t xml:space="preserve">se presentó </w:t>
      </w:r>
      <w:r w:rsidR="009E2AA7">
        <w:t>en</w:t>
      </w:r>
      <w:r w:rsidR="000A5B8D">
        <w:t xml:space="preserve"> la vivienda ocupada por los a</w:t>
      </w:r>
      <w:r w:rsidR="007C0A3B">
        <w:t xml:space="preserve">utores </w:t>
      </w:r>
      <w:r w:rsidR="001C663C">
        <w:t xml:space="preserve">para realizar la diligencia de lanzamiento. Los autores indicaron en ese momento que </w:t>
      </w:r>
      <w:r w:rsidR="002F6B5A">
        <w:t xml:space="preserve">no </w:t>
      </w:r>
      <w:r w:rsidR="00F83549">
        <w:t>estaban informados</w:t>
      </w:r>
      <w:r w:rsidR="002F6B5A">
        <w:t xml:space="preserve"> del lanzamiento previsto. </w:t>
      </w:r>
      <w:r w:rsidR="00196F18">
        <w:t xml:space="preserve">Dado </w:t>
      </w:r>
      <w:r w:rsidR="002F6B5A">
        <w:t>que los cuatro menores</w:t>
      </w:r>
      <w:r w:rsidR="002A7B43">
        <w:t xml:space="preserve"> de edad de la unidad familiar</w:t>
      </w:r>
      <w:r w:rsidR="002F6B5A">
        <w:t xml:space="preserve"> se encontraban en el colegio, la Comisión Judicial acordó </w:t>
      </w:r>
      <w:r w:rsidR="002A7B43">
        <w:t xml:space="preserve">no realizar el lanzamiento </w:t>
      </w:r>
      <w:r w:rsidR="002F6B5A">
        <w:t xml:space="preserve">y comunicó a los autores el lanzamiento en abierto, con la </w:t>
      </w:r>
      <w:r w:rsidR="00A017AD">
        <w:t>asistencia</w:t>
      </w:r>
      <w:r w:rsidR="002F6B5A">
        <w:t xml:space="preserve"> de </w:t>
      </w:r>
      <w:r w:rsidR="00A017AD">
        <w:t xml:space="preserve">las fuerzas </w:t>
      </w:r>
      <w:r w:rsidR="00641DB6">
        <w:t xml:space="preserve">policiales </w:t>
      </w:r>
      <w:r w:rsidR="00A017AD">
        <w:t>especiales de los Mossos d’Esquadra</w:t>
      </w:r>
      <w:r w:rsidR="0059718B">
        <w:t xml:space="preserve"> (Policía Auto</w:t>
      </w:r>
      <w:r w:rsidR="004612C7">
        <w:t>nómica de Cataluña)</w:t>
      </w:r>
      <w:r w:rsidR="00A017AD">
        <w:t xml:space="preserve">. </w:t>
      </w:r>
      <w:r w:rsidR="00C177C9">
        <w:t xml:space="preserve">En diligencia de ordenación, el Juzgado indicó que </w:t>
      </w:r>
      <w:r w:rsidR="00C177C9" w:rsidRPr="002C6B83">
        <w:t>el lanzamiento en abierto se efectuaría a partir del 2 de enero de 2019.</w:t>
      </w:r>
    </w:p>
    <w:p w14:paraId="6A44C64F" w14:textId="0675D0D8" w:rsidR="00A017AD" w:rsidRDefault="001F509A" w:rsidP="00DA1850">
      <w:pPr>
        <w:pStyle w:val="SingleTxtG"/>
      </w:pPr>
      <w:r>
        <w:t>2.13</w:t>
      </w:r>
      <w:r w:rsidR="00A017AD">
        <w:tab/>
      </w:r>
      <w:r w:rsidR="0023354D">
        <w:t xml:space="preserve">El 26 de noviembre de 2018, los autores formularon </w:t>
      </w:r>
      <w:r w:rsidR="00136DC0">
        <w:t xml:space="preserve">un </w:t>
      </w:r>
      <w:r w:rsidR="0023354D">
        <w:t xml:space="preserve">recurso de reposición contra la diligencia de ordenación del 21 de noviembre de 2018 del Juzgado, </w:t>
      </w:r>
      <w:r w:rsidR="00D83061">
        <w:t>en</w:t>
      </w:r>
      <w:r w:rsidR="005A0392">
        <w:t xml:space="preserve"> el que </w:t>
      </w:r>
      <w:r w:rsidR="0023354D">
        <w:t>alega</w:t>
      </w:r>
      <w:r w:rsidR="005A0392">
        <w:t>ban la</w:t>
      </w:r>
      <w:r w:rsidR="0023354D">
        <w:t xml:space="preserve"> violación del artículo 11</w:t>
      </w:r>
      <w:r w:rsidR="007257DE">
        <w:t>, párrafo</w:t>
      </w:r>
      <w:r w:rsidR="005759B6">
        <w:t xml:space="preserve"> </w:t>
      </w:r>
      <w:r w:rsidR="0023354D">
        <w:t>1</w:t>
      </w:r>
      <w:r w:rsidR="007257DE">
        <w:t>,</w:t>
      </w:r>
      <w:r w:rsidR="0023354D">
        <w:t xml:space="preserve"> del P</w:t>
      </w:r>
      <w:r w:rsidR="00D74BF8">
        <w:t xml:space="preserve">acto, </w:t>
      </w:r>
      <w:r w:rsidR="007257DE">
        <w:t xml:space="preserve">e </w:t>
      </w:r>
      <w:r w:rsidR="00D74BF8">
        <w:t>informa</w:t>
      </w:r>
      <w:r w:rsidR="005A0392">
        <w:t>ban</w:t>
      </w:r>
      <w:r w:rsidR="00D74BF8">
        <w:t xml:space="preserve"> </w:t>
      </w:r>
      <w:r w:rsidR="0023354D">
        <w:t>que habían presentado una comunicación individual ante el C</w:t>
      </w:r>
      <w:r w:rsidR="00D74BF8">
        <w:t>omité.</w:t>
      </w:r>
    </w:p>
    <w:p w14:paraId="641B1C83" w14:textId="70D99E32" w:rsidR="0070315A" w:rsidRPr="005F42B5" w:rsidRDefault="0069073D" w:rsidP="00D1234B">
      <w:pPr>
        <w:pStyle w:val="H4G"/>
      </w:pPr>
      <w:r>
        <w:tab/>
      </w:r>
      <w:r>
        <w:tab/>
      </w:r>
      <w:r w:rsidR="007257DE">
        <w:t>H</w:t>
      </w:r>
      <w:r w:rsidR="007F18B8">
        <w:t>echos posteriores al registro de la comunicación</w:t>
      </w:r>
    </w:p>
    <w:p w14:paraId="241F592F" w14:textId="0A4788BA" w:rsidR="00E050FC" w:rsidRDefault="001F509A" w:rsidP="00DA1850">
      <w:pPr>
        <w:pStyle w:val="SingleTxtG"/>
      </w:pPr>
      <w:r>
        <w:t>2.14</w:t>
      </w:r>
      <w:r w:rsidR="00E050FC">
        <w:tab/>
      </w:r>
      <w:r w:rsidR="003B6E02">
        <w:t xml:space="preserve">El </w:t>
      </w:r>
      <w:r w:rsidR="00C300A0">
        <w:t>6 de diciembre de 2018,</w:t>
      </w:r>
      <w:r w:rsidR="003B6E02">
        <w:t xml:space="preserve"> </w:t>
      </w:r>
      <w:r w:rsidR="00C300A0">
        <w:t>e</w:t>
      </w:r>
      <w:r w:rsidR="003B6E02">
        <w:t xml:space="preserve">l Comité, actuando por medio de su </w:t>
      </w:r>
      <w:r w:rsidR="007257DE">
        <w:t>g</w:t>
      </w:r>
      <w:r w:rsidR="003B6E02">
        <w:t xml:space="preserve">rupo de </w:t>
      </w:r>
      <w:r w:rsidR="007257DE">
        <w:t>t</w:t>
      </w:r>
      <w:r w:rsidR="003B6E02">
        <w:t>rabajo</w:t>
      </w:r>
      <w:r w:rsidR="007257DE">
        <w:t xml:space="preserve"> sobre las comunicaciones</w:t>
      </w:r>
      <w:r w:rsidR="003B6E02">
        <w:t xml:space="preserve">, registró la comunicación y </w:t>
      </w:r>
      <w:r w:rsidR="00C300A0" w:rsidRPr="00123DEF">
        <w:t>solicitó al Estado p</w:t>
      </w:r>
      <w:r w:rsidR="00C300A0">
        <w:t>arte suspender el desalojo de los</w:t>
      </w:r>
      <w:r w:rsidR="00C300A0" w:rsidRPr="00123DEF">
        <w:t xml:space="preserve"> autor</w:t>
      </w:r>
      <w:r w:rsidR="00C300A0">
        <w:t>es</w:t>
      </w:r>
      <w:r w:rsidR="00C300A0" w:rsidRPr="00123DEF">
        <w:t xml:space="preserve"> mientras la comunicación se encontrara pendiente de examen</w:t>
      </w:r>
      <w:r w:rsidR="00C300A0">
        <w:t>.</w:t>
      </w:r>
      <w:r w:rsidR="003B6E02">
        <w:t xml:space="preserve"> </w:t>
      </w:r>
      <w:r w:rsidR="0070315A">
        <w:t xml:space="preserve">Por </w:t>
      </w:r>
      <w:r w:rsidR="007257DE">
        <w:t>a</w:t>
      </w:r>
      <w:r w:rsidR="00143686">
        <w:t>uto del 8 de enero de 2019</w:t>
      </w:r>
      <w:r w:rsidR="0070315A">
        <w:t>,</w:t>
      </w:r>
      <w:r w:rsidR="00143686">
        <w:t xml:space="preserve"> el Juzgado de Primera Instancia n</w:t>
      </w:r>
      <w:r w:rsidR="007257DE">
        <w:t>úm.</w:t>
      </w:r>
      <w:r w:rsidR="00143686">
        <w:t xml:space="preserve"> </w:t>
      </w:r>
      <w:r w:rsidR="00FD2368">
        <w:t xml:space="preserve">5 </w:t>
      </w:r>
      <w:r w:rsidR="00143686">
        <w:t xml:space="preserve">de Badalona </w:t>
      </w:r>
      <w:r w:rsidR="0070315A">
        <w:t xml:space="preserve">denegó </w:t>
      </w:r>
      <w:r w:rsidR="00BA1C4A">
        <w:t xml:space="preserve">la solicitud </w:t>
      </w:r>
      <w:r w:rsidR="00F86F06">
        <w:t xml:space="preserve">de los autores </w:t>
      </w:r>
      <w:r w:rsidR="00BA1C4A">
        <w:t xml:space="preserve">de suspensión cautelar del lanzamiento en virtud de las medidas provisionales otorgadas por el Comité, por considerar que los </w:t>
      </w:r>
      <w:r w:rsidR="00641DB6">
        <w:t>d</w:t>
      </w:r>
      <w:r w:rsidR="00BA1C4A">
        <w:t>ictámenes emitid</w:t>
      </w:r>
      <w:r w:rsidR="00641DB6">
        <w:t>o</w:t>
      </w:r>
      <w:r w:rsidR="00BA1C4A">
        <w:t xml:space="preserve">s por el Comité no </w:t>
      </w:r>
      <w:r w:rsidR="00641DB6">
        <w:t>era</w:t>
      </w:r>
      <w:r w:rsidR="00BA1C4A">
        <w:t>n vinculantes.</w:t>
      </w:r>
    </w:p>
    <w:p w14:paraId="3D001673" w14:textId="7554F127" w:rsidR="00F56C68" w:rsidRDefault="001F509A" w:rsidP="00DA1850">
      <w:pPr>
        <w:pStyle w:val="SingleTxtG"/>
      </w:pPr>
      <w:r>
        <w:t>2.15</w:t>
      </w:r>
      <w:r w:rsidR="00F56C68">
        <w:tab/>
        <w:t xml:space="preserve">El </w:t>
      </w:r>
      <w:r w:rsidR="008E6F5C">
        <w:t xml:space="preserve">7 </w:t>
      </w:r>
      <w:r w:rsidR="007257DE">
        <w:t xml:space="preserve">de </w:t>
      </w:r>
      <w:r w:rsidR="008E6F5C">
        <w:t xml:space="preserve">febrero de 2019, los autores </w:t>
      </w:r>
      <w:r w:rsidR="00D045AC">
        <w:t>fueron desalojados</w:t>
      </w:r>
      <w:r w:rsidR="007D1229">
        <w:t xml:space="preserve"> y durmieron los días siguientes en un auto</w:t>
      </w:r>
      <w:r w:rsidR="007D1229" w:rsidRPr="002C6B83">
        <w:t>móvil prestado</w:t>
      </w:r>
      <w:r w:rsidR="00D045AC" w:rsidRPr="002C6B83">
        <w:t>.</w:t>
      </w:r>
      <w:r w:rsidR="00527A0F" w:rsidRPr="002C6B83">
        <w:t xml:space="preserve"> Posteriormente, los autores volvieron a ocupar la misma vivienda.</w:t>
      </w:r>
      <w:r w:rsidR="00527A0F" w:rsidRPr="00F262F0">
        <w:t xml:space="preserve"> </w:t>
      </w:r>
      <w:r w:rsidR="00527A0F" w:rsidRPr="008A6EBC">
        <w:t>El autor estuvo</w:t>
      </w:r>
      <w:r w:rsidR="00527A0F">
        <w:t xml:space="preserve"> contratado laboralmente del 31 de enero al 30 de junio de 2019.</w:t>
      </w:r>
    </w:p>
    <w:p w14:paraId="27C50251" w14:textId="456B4FDF" w:rsidR="007D1229" w:rsidRDefault="00403FB2" w:rsidP="00C300A0">
      <w:pPr>
        <w:pStyle w:val="SingleTxtG"/>
      </w:pPr>
      <w:r>
        <w:lastRenderedPageBreak/>
        <w:t>2.16</w:t>
      </w:r>
      <w:r>
        <w:tab/>
        <w:t xml:space="preserve">El 11 de marzo de 2019, los autores presentaron una </w:t>
      </w:r>
      <w:r w:rsidRPr="002C6B83">
        <w:t>solicitud a la Mesa de Emergencia Habitacional de Badalona. Esta fue valorada de forma desfavorable</w:t>
      </w:r>
      <w:r>
        <w:t xml:space="preserve"> el 2 de abril de 2019</w:t>
      </w:r>
      <w:r w:rsidR="00681C2D">
        <w:t xml:space="preserve"> puesto que</w:t>
      </w:r>
      <w:r w:rsidR="004B79C5">
        <w:t xml:space="preserve"> la situac</w:t>
      </w:r>
      <w:r w:rsidR="007B6A73">
        <w:t>ión de</w:t>
      </w:r>
      <w:r w:rsidR="00681C2D">
        <w:t xml:space="preserve"> los autores </w:t>
      </w:r>
      <w:r>
        <w:t>no cumpl</w:t>
      </w:r>
      <w:r w:rsidR="00681C2D">
        <w:t>ía</w:t>
      </w:r>
      <w:r>
        <w:t xml:space="preserve"> con </w:t>
      </w:r>
      <w:r w:rsidR="001E3D3D">
        <w:t xml:space="preserve">el requisito de </w:t>
      </w:r>
      <w:r w:rsidR="007B6A73">
        <w:t xml:space="preserve">entrañar </w:t>
      </w:r>
      <w:r w:rsidR="001E3D3D">
        <w:t>un riesgo de pérdida de vivienda o procedimiento de desahucio</w:t>
      </w:r>
      <w:r w:rsidR="001E3D3D">
        <w:rPr>
          <w:rStyle w:val="Refdenotaalpie"/>
        </w:rPr>
        <w:footnoteReference w:id="6"/>
      </w:r>
      <w:r w:rsidR="00FB2AD1">
        <w:t>.</w:t>
      </w:r>
    </w:p>
    <w:p w14:paraId="1A6659D6" w14:textId="77777777" w:rsidR="00166AE2" w:rsidRPr="005B1B75" w:rsidRDefault="00166AE2" w:rsidP="00166AE2">
      <w:pPr>
        <w:pStyle w:val="H23G"/>
        <w:rPr>
          <w:lang w:val="es-ES_tradnl"/>
        </w:rPr>
      </w:pPr>
      <w:r w:rsidRPr="00286ECC">
        <w:rPr>
          <w:lang w:val="es-ES_tradnl"/>
        </w:rPr>
        <w:tab/>
      </w:r>
      <w:r w:rsidRPr="00286ECC">
        <w:rPr>
          <w:lang w:val="es-ES_tradnl"/>
        </w:rPr>
        <w:tab/>
      </w:r>
      <w:r>
        <w:rPr>
          <w:lang w:val="es-ES_tradnl"/>
        </w:rPr>
        <w:t>D</w:t>
      </w:r>
      <w:r w:rsidRPr="00286ECC">
        <w:rPr>
          <w:lang w:val="es-ES_tradnl"/>
        </w:rPr>
        <w:t>enuncia</w:t>
      </w:r>
    </w:p>
    <w:p w14:paraId="63912FB8" w14:textId="32F76374" w:rsidR="00166AE2" w:rsidRPr="00095D04" w:rsidRDefault="00166AE2" w:rsidP="00166AE2">
      <w:pPr>
        <w:pStyle w:val="SingleTxtG"/>
      </w:pPr>
      <w:r>
        <w:rPr>
          <w:lang w:val="es-ES_tradnl"/>
        </w:rPr>
        <w:t>3.</w:t>
      </w:r>
      <w:r w:rsidRPr="005B1B75">
        <w:rPr>
          <w:lang w:val="es-ES_tradnl"/>
        </w:rPr>
        <w:tab/>
      </w:r>
      <w:r w:rsidR="000B482D">
        <w:rPr>
          <w:lang w:val="es-ES_tradnl"/>
        </w:rPr>
        <w:t xml:space="preserve">Los autores alegan que el lanzamiento </w:t>
      </w:r>
      <w:r w:rsidR="003C4B2F">
        <w:rPr>
          <w:lang w:val="es-ES_tradnl"/>
        </w:rPr>
        <w:t>de la vivienda que ocupan</w:t>
      </w:r>
      <w:r w:rsidR="003F5E25">
        <w:rPr>
          <w:lang w:val="es-ES_tradnl"/>
        </w:rPr>
        <w:t>,</w:t>
      </w:r>
      <w:r w:rsidR="000B482D">
        <w:rPr>
          <w:lang w:val="es-ES_tradnl"/>
        </w:rPr>
        <w:t xml:space="preserve"> sin </w:t>
      </w:r>
      <w:r w:rsidR="000B482D">
        <w:t>una alternativa habitacional adecuada</w:t>
      </w:r>
      <w:r w:rsidR="003F5E25">
        <w:t>,</w:t>
      </w:r>
      <w:r w:rsidR="000B482D">
        <w:t xml:space="preserve"> violaría su derecho a una vivienda adecuada en virtud del artículo</w:t>
      </w:r>
      <w:r w:rsidR="00FB2AD1">
        <w:t> </w:t>
      </w:r>
      <w:r w:rsidR="000B482D">
        <w:t>11</w:t>
      </w:r>
      <w:r w:rsidR="00385FEB">
        <w:t>, párrafo 1,</w:t>
      </w:r>
      <w:r w:rsidR="000B482D">
        <w:t xml:space="preserve"> del Pacto. Los autores alegan que</w:t>
      </w:r>
      <w:r w:rsidR="002D2DF6">
        <w:t xml:space="preserve"> en</w:t>
      </w:r>
      <w:r w:rsidR="000B482D">
        <w:t xml:space="preserve"> </w:t>
      </w:r>
      <w:r w:rsidR="007D4510">
        <w:t xml:space="preserve">la orden de desalojo </w:t>
      </w:r>
      <w:r w:rsidR="000B482D">
        <w:t xml:space="preserve">no </w:t>
      </w:r>
      <w:r w:rsidR="002D2DF6">
        <w:t xml:space="preserve">se </w:t>
      </w:r>
      <w:r w:rsidR="000B482D">
        <w:t xml:space="preserve">ha tomado en cuenta su </w:t>
      </w:r>
      <w:r w:rsidR="000B482D" w:rsidRPr="00557E2A">
        <w:t>situación de vulnerabilidad</w:t>
      </w:r>
      <w:r w:rsidR="000B482D">
        <w:t xml:space="preserve"> y la presencia de niños</w:t>
      </w:r>
      <w:r w:rsidR="008C1490">
        <w:t xml:space="preserve"> menores en la unidad familiar</w:t>
      </w:r>
      <w:r w:rsidR="000B482D">
        <w:t>.</w:t>
      </w:r>
    </w:p>
    <w:p w14:paraId="53E0A2E6" w14:textId="77777777" w:rsidR="00166AE2" w:rsidRDefault="00166AE2" w:rsidP="00166AE2">
      <w:pPr>
        <w:pStyle w:val="H23G"/>
      </w:pPr>
      <w:r>
        <w:rPr>
          <w:lang w:val="es-ES_tradnl"/>
        </w:rPr>
        <w:tab/>
      </w:r>
      <w:r>
        <w:rPr>
          <w:lang w:val="es-ES_tradnl"/>
        </w:rPr>
        <w:tab/>
      </w:r>
      <w:r>
        <w:tab/>
      </w:r>
      <w:r w:rsidRPr="00BC2756">
        <w:t xml:space="preserve">Observaciones del Estado parte sobre </w:t>
      </w:r>
      <w:r>
        <w:t xml:space="preserve">la </w:t>
      </w:r>
      <w:r w:rsidRPr="00BC2756">
        <w:t xml:space="preserve">admisibilidad </w:t>
      </w:r>
      <w:r>
        <w:t xml:space="preserve">y el </w:t>
      </w:r>
      <w:r w:rsidRPr="00BC2756">
        <w:t>fondo</w:t>
      </w:r>
    </w:p>
    <w:p w14:paraId="6BD63176" w14:textId="57AF35C0" w:rsidR="00166AE2" w:rsidRDefault="00166AE2" w:rsidP="00166AE2">
      <w:pPr>
        <w:pStyle w:val="SingleTxtG"/>
        <w:rPr>
          <w:lang w:val="es-ES_tradnl"/>
        </w:rPr>
      </w:pPr>
      <w:r>
        <w:t>4</w:t>
      </w:r>
      <w:r>
        <w:rPr>
          <w:lang w:val="es-ES_tradnl"/>
        </w:rPr>
        <w:t>.1</w:t>
      </w:r>
      <w:r>
        <w:rPr>
          <w:lang w:val="es-ES_tradnl"/>
        </w:rPr>
        <w:tab/>
        <w:t xml:space="preserve">El </w:t>
      </w:r>
      <w:r w:rsidR="00605A98">
        <w:rPr>
          <w:lang w:val="es-ES_tradnl"/>
        </w:rPr>
        <w:t>15 de octubre de 2019,</w:t>
      </w:r>
      <w:r>
        <w:rPr>
          <w:lang w:val="es-ES_tradnl"/>
        </w:rPr>
        <w:t xml:space="preserve"> el Estado parte presentó sus observaciones sobre la admisibilidad y el fondo de la comunicación.</w:t>
      </w:r>
    </w:p>
    <w:p w14:paraId="2545E078" w14:textId="2F55EA28" w:rsidR="003062F8" w:rsidRDefault="00166AE2" w:rsidP="00166AE2">
      <w:pPr>
        <w:pStyle w:val="SingleTxtG"/>
        <w:rPr>
          <w:lang w:val="es-ES_tradnl"/>
        </w:rPr>
      </w:pPr>
      <w:r>
        <w:rPr>
          <w:lang w:val="es-ES_tradnl"/>
        </w:rPr>
        <w:t>4.2</w:t>
      </w:r>
      <w:r>
        <w:rPr>
          <w:lang w:val="es-ES_tradnl"/>
        </w:rPr>
        <w:tab/>
      </w:r>
      <w:r w:rsidR="003062F8">
        <w:rPr>
          <w:lang w:val="es-ES_tradnl"/>
        </w:rPr>
        <w:t>En cuanto a los hechos presentados por los autores, e</w:t>
      </w:r>
      <w:r>
        <w:rPr>
          <w:lang w:val="es-ES_tradnl"/>
        </w:rPr>
        <w:t>l Estado parte</w:t>
      </w:r>
      <w:r w:rsidR="00605A98">
        <w:rPr>
          <w:lang w:val="es-ES_tradnl"/>
        </w:rPr>
        <w:t xml:space="preserve"> </w:t>
      </w:r>
      <w:r w:rsidR="003062F8">
        <w:rPr>
          <w:lang w:val="es-ES_tradnl"/>
        </w:rPr>
        <w:t xml:space="preserve">aclara que tras una primera suspensión de lanzamiento el 8 de julio de 2015, se fijaron otras </w:t>
      </w:r>
      <w:r w:rsidR="00B15B3D">
        <w:rPr>
          <w:lang w:val="es-ES_tradnl"/>
        </w:rPr>
        <w:t xml:space="preserve">diez </w:t>
      </w:r>
      <w:r w:rsidR="003062F8">
        <w:rPr>
          <w:lang w:val="es-ES_tradnl"/>
        </w:rPr>
        <w:t>fechas de lanzamiento. Tras diez suspensiones decretadas por el Juzgado, el lanzamiento fue ejecutado el 7 de febrero de 2019. El Estado parte sostiene que, por lo tanto,</w:t>
      </w:r>
      <w:r w:rsidR="002D2DF6">
        <w:rPr>
          <w:lang w:val="es-ES_tradnl"/>
        </w:rPr>
        <w:t xml:space="preserve"> actualmente no se justifica </w:t>
      </w:r>
      <w:r w:rsidR="00625F4A">
        <w:rPr>
          <w:lang w:val="es-ES_tradnl"/>
        </w:rPr>
        <w:t xml:space="preserve">la adopción de </w:t>
      </w:r>
      <w:r w:rsidR="002D2DF6">
        <w:rPr>
          <w:lang w:val="es-ES_tradnl"/>
        </w:rPr>
        <w:t xml:space="preserve">las </w:t>
      </w:r>
      <w:r w:rsidR="00625F4A">
        <w:rPr>
          <w:lang w:val="es-ES_tradnl"/>
        </w:rPr>
        <w:t>medidas provisionales solicitadas por los autores en su comunicación</w:t>
      </w:r>
      <w:r w:rsidR="002D2DF6">
        <w:rPr>
          <w:lang w:val="es-ES_tradnl"/>
        </w:rPr>
        <w:t>.</w:t>
      </w:r>
    </w:p>
    <w:p w14:paraId="7D35623A" w14:textId="33107DE4" w:rsidR="00DC6DF7" w:rsidRDefault="00DC6DF7" w:rsidP="00166AE2">
      <w:pPr>
        <w:pStyle w:val="SingleTxtG"/>
        <w:rPr>
          <w:lang w:val="es-ES_tradnl"/>
        </w:rPr>
      </w:pPr>
      <w:r>
        <w:rPr>
          <w:lang w:val="es-ES_tradnl"/>
        </w:rPr>
        <w:t>4.3</w:t>
      </w:r>
      <w:r>
        <w:rPr>
          <w:lang w:val="es-ES_tradnl"/>
        </w:rPr>
        <w:tab/>
        <w:t>Sobre la admisibilidad</w:t>
      </w:r>
      <w:r w:rsidR="006B5346">
        <w:rPr>
          <w:lang w:val="es-ES_tradnl"/>
        </w:rPr>
        <w:t>,</w:t>
      </w:r>
      <w:r>
        <w:rPr>
          <w:lang w:val="es-ES_tradnl"/>
        </w:rPr>
        <w:t xml:space="preserve"> </w:t>
      </w:r>
      <w:r w:rsidR="006B5346">
        <w:rPr>
          <w:lang w:val="es-ES_tradnl"/>
        </w:rPr>
        <w:t xml:space="preserve">el Estado parte </w:t>
      </w:r>
      <w:r w:rsidR="008648F5">
        <w:rPr>
          <w:lang w:val="es-ES_tradnl"/>
        </w:rPr>
        <w:t>destaca</w:t>
      </w:r>
      <w:r w:rsidR="006B5346">
        <w:rPr>
          <w:lang w:val="es-ES_tradnl"/>
        </w:rPr>
        <w:t xml:space="preserve"> que los autores </w:t>
      </w:r>
      <w:r w:rsidR="00D66093">
        <w:rPr>
          <w:lang w:val="es-ES_tradnl"/>
        </w:rPr>
        <w:t xml:space="preserve">solicitaron </w:t>
      </w:r>
      <w:r w:rsidR="00BA6F13">
        <w:rPr>
          <w:lang w:val="es-ES_tradnl"/>
        </w:rPr>
        <w:t xml:space="preserve">el </w:t>
      </w:r>
      <w:r w:rsidR="00D66093">
        <w:rPr>
          <w:lang w:val="es-ES_tradnl"/>
        </w:rPr>
        <w:t>registro como solicitantes de vivienda de protección oficial de Badalona meses después de su compare</w:t>
      </w:r>
      <w:r w:rsidR="008648F5">
        <w:rPr>
          <w:lang w:val="es-ES_tradnl"/>
        </w:rPr>
        <w:t>ce</w:t>
      </w:r>
      <w:r w:rsidR="00D66093">
        <w:rPr>
          <w:lang w:val="es-ES_tradnl"/>
        </w:rPr>
        <w:t xml:space="preserve">ncia ante el Juzgado y </w:t>
      </w:r>
      <w:r w:rsidR="008648F5">
        <w:rPr>
          <w:lang w:val="es-ES_tradnl"/>
        </w:rPr>
        <w:t xml:space="preserve">de su </w:t>
      </w:r>
      <w:r w:rsidR="00D66093">
        <w:rPr>
          <w:lang w:val="es-ES_tradnl"/>
        </w:rPr>
        <w:t xml:space="preserve">primera solicitud de suspensión de lanzamiento. </w:t>
      </w:r>
      <w:r w:rsidR="00D66093" w:rsidRPr="002C6B83">
        <w:rPr>
          <w:lang w:val="es-ES_tradnl"/>
        </w:rPr>
        <w:t xml:space="preserve">Además, el </w:t>
      </w:r>
      <w:r w:rsidR="0096714D" w:rsidRPr="002C6B83">
        <w:rPr>
          <w:lang w:val="es-ES_tradnl"/>
        </w:rPr>
        <w:t xml:space="preserve">autor </w:t>
      </w:r>
      <w:r w:rsidR="00353CED" w:rsidRPr="007122C5">
        <w:rPr>
          <w:lang w:val="es-ES_tradnl"/>
        </w:rPr>
        <w:t>presentó</w:t>
      </w:r>
      <w:r w:rsidR="00353CED">
        <w:rPr>
          <w:lang w:val="es-ES_tradnl"/>
        </w:rPr>
        <w:t xml:space="preserve"> la solicitud de vivienda social a la </w:t>
      </w:r>
      <w:r w:rsidR="00353CED" w:rsidRPr="002C6B83">
        <w:rPr>
          <w:lang w:val="es-ES_tradnl"/>
        </w:rPr>
        <w:t>Mesa de Valoración de Situaciones de Emergencias Económicas y Sociales el 11 de marzo de 2019, cinco meses después de la presentación de la comunicación individual ante el Comité</w:t>
      </w:r>
      <w:r w:rsidR="00353CED">
        <w:rPr>
          <w:lang w:val="es-ES_tradnl"/>
        </w:rPr>
        <w:t xml:space="preserve">. El Estado parte </w:t>
      </w:r>
      <w:r w:rsidR="005F3B3D">
        <w:rPr>
          <w:lang w:val="es-ES_tradnl"/>
        </w:rPr>
        <w:t>considera que, por este motivo, la comunicación debería ser declarada como inadmisible por falta de agotamiento de los recursos internos.</w:t>
      </w:r>
    </w:p>
    <w:p w14:paraId="26AB519E" w14:textId="214CD33E" w:rsidR="008648F5" w:rsidRDefault="005F3B3D" w:rsidP="008648F5">
      <w:pPr>
        <w:spacing w:after="120"/>
        <w:ind w:left="1134" w:right="1134"/>
        <w:jc w:val="both"/>
        <w:rPr>
          <w:lang w:val="es-ES_tradnl"/>
        </w:rPr>
      </w:pPr>
      <w:r>
        <w:rPr>
          <w:lang w:val="es-ES_tradnl"/>
        </w:rPr>
        <w:t>4.4</w:t>
      </w:r>
      <w:r>
        <w:rPr>
          <w:lang w:val="es-ES_tradnl"/>
        </w:rPr>
        <w:tab/>
      </w:r>
      <w:r w:rsidR="008648F5">
        <w:rPr>
          <w:lang w:val="es-ES_tradnl"/>
        </w:rPr>
        <w:t xml:space="preserve">En relación con el fondo </w:t>
      </w:r>
      <w:r w:rsidR="008648F5" w:rsidRPr="002706AC">
        <w:rPr>
          <w:lang w:val="es-ES_tradnl"/>
        </w:rPr>
        <w:t>de la comunicación, el Estado parte destaca que las necesidades de la familia se encuentran garantizadas con recursos públicos (s</w:t>
      </w:r>
      <w:r w:rsidR="002706AC" w:rsidRPr="002706AC">
        <w:rPr>
          <w:lang w:val="es-ES_tradnl"/>
        </w:rPr>
        <w:t xml:space="preserve">alud, educación, renta básica, </w:t>
      </w:r>
      <w:r w:rsidR="008648F5" w:rsidRPr="002706AC">
        <w:rPr>
          <w:lang w:val="es-ES_tradnl"/>
        </w:rPr>
        <w:t>justicia gratuita</w:t>
      </w:r>
      <w:r w:rsidR="0042693C">
        <w:rPr>
          <w:lang w:val="es-ES_tradnl"/>
        </w:rPr>
        <w:t xml:space="preserve"> y</w:t>
      </w:r>
      <w:r w:rsidR="002706AC" w:rsidRPr="002706AC">
        <w:rPr>
          <w:lang w:val="es-ES_tradnl"/>
        </w:rPr>
        <w:t xml:space="preserve"> acceso a los suministros gratuitos o subsidiados</w:t>
      </w:r>
      <w:r w:rsidR="008648F5" w:rsidRPr="002706AC">
        <w:rPr>
          <w:lang w:val="es-ES_tradnl"/>
        </w:rPr>
        <w:t>).</w:t>
      </w:r>
      <w:r w:rsidR="002706AC">
        <w:rPr>
          <w:lang w:val="es-ES_tradnl"/>
        </w:rPr>
        <w:t xml:space="preserve"> </w:t>
      </w:r>
      <w:r w:rsidR="002706AC" w:rsidRPr="002706AC">
        <w:rPr>
          <w:lang w:val="es-ES_tradnl"/>
        </w:rPr>
        <w:t xml:space="preserve">El Estado parte </w:t>
      </w:r>
      <w:r w:rsidR="002706AC">
        <w:rPr>
          <w:lang w:val="es-ES_tradnl"/>
        </w:rPr>
        <w:t xml:space="preserve">destaca particularmente que los Servicios Sociales de Badalona llevan atendiendo a la familia desde 2007 con diversas ayudas económicas por parte del Ayuntamiento de Badalona y de Cáritas destinadas a </w:t>
      </w:r>
      <w:r w:rsidR="0042693C">
        <w:rPr>
          <w:lang w:val="es-ES_tradnl"/>
        </w:rPr>
        <w:t xml:space="preserve">proporcionarles </w:t>
      </w:r>
      <w:r w:rsidR="002706AC">
        <w:rPr>
          <w:lang w:val="es-ES_tradnl"/>
        </w:rPr>
        <w:t xml:space="preserve">alimentación. Se realizaron también las gestiones oportunas </w:t>
      </w:r>
      <w:r w:rsidR="002706AC" w:rsidRPr="002C6B83">
        <w:rPr>
          <w:lang w:val="es-ES_tradnl"/>
        </w:rPr>
        <w:t xml:space="preserve">con el </w:t>
      </w:r>
      <w:r w:rsidR="0096714D" w:rsidRPr="002C6B83">
        <w:rPr>
          <w:lang w:val="es-ES_tradnl"/>
        </w:rPr>
        <w:t xml:space="preserve">autor </w:t>
      </w:r>
      <w:r w:rsidR="002706AC" w:rsidRPr="007122C5">
        <w:rPr>
          <w:lang w:val="es-ES_tradnl"/>
        </w:rPr>
        <w:t>para reactivar</w:t>
      </w:r>
      <w:r w:rsidR="002706AC">
        <w:rPr>
          <w:lang w:val="es-ES_tradnl"/>
        </w:rPr>
        <w:t xml:space="preserve"> la </w:t>
      </w:r>
      <w:r w:rsidR="00B9561C">
        <w:rPr>
          <w:lang w:val="es-ES_tradnl"/>
        </w:rPr>
        <w:t>r</w:t>
      </w:r>
      <w:r w:rsidR="002706AC">
        <w:rPr>
          <w:lang w:val="es-ES_tradnl"/>
        </w:rPr>
        <w:t xml:space="preserve">enta </w:t>
      </w:r>
      <w:r w:rsidR="00B9561C">
        <w:rPr>
          <w:lang w:val="es-ES_tradnl"/>
        </w:rPr>
        <w:t>g</w:t>
      </w:r>
      <w:r w:rsidR="002706AC">
        <w:rPr>
          <w:lang w:val="es-ES_tradnl"/>
        </w:rPr>
        <w:t xml:space="preserve">arantizada </w:t>
      </w:r>
      <w:r w:rsidR="00B9561C">
        <w:rPr>
          <w:lang w:val="es-ES_tradnl"/>
        </w:rPr>
        <w:t>de</w:t>
      </w:r>
      <w:r w:rsidR="002706AC">
        <w:rPr>
          <w:lang w:val="es-ES_tradnl"/>
        </w:rPr>
        <w:t xml:space="preserve"> </w:t>
      </w:r>
      <w:r w:rsidR="002079BC">
        <w:rPr>
          <w:lang w:val="es-ES_tradnl"/>
        </w:rPr>
        <w:t>c</w:t>
      </w:r>
      <w:r w:rsidR="002706AC">
        <w:rPr>
          <w:lang w:val="es-ES_tradnl"/>
        </w:rPr>
        <w:t>iudadanía.</w:t>
      </w:r>
    </w:p>
    <w:p w14:paraId="1566D1B3" w14:textId="1DB90380" w:rsidR="008648F5" w:rsidRDefault="008648F5" w:rsidP="008648F5">
      <w:pPr>
        <w:pStyle w:val="SingleTxtG"/>
        <w:rPr>
          <w:lang w:val="es-ES_tradnl"/>
        </w:rPr>
      </w:pPr>
      <w:r>
        <w:rPr>
          <w:lang w:val="es-ES_tradnl"/>
        </w:rPr>
        <w:t>4.5</w:t>
      </w:r>
      <w:r>
        <w:rPr>
          <w:lang w:val="es-ES_tradnl"/>
        </w:rPr>
        <w:tab/>
      </w:r>
      <w:r w:rsidRPr="00B60EF9">
        <w:rPr>
          <w:lang w:val="es-ES_tradnl"/>
        </w:rPr>
        <w:t>El Estado parte argumenta que el derecho a la vivienda no es un derecho absoluto a una vivienda concreta propiedad de otra persona, ni un derecho absoluto a que las autori</w:t>
      </w:r>
      <w:r>
        <w:rPr>
          <w:lang w:val="es-ES_tradnl"/>
        </w:rPr>
        <w:t>dades otorguen en todo caso una vivienda a cualquier persona si los recursos públicos son insuficientes para proporcionar dicho derecho. El Estado parte considera que el artículo 25, párrafo 1, de la Declaración Universal de Derechos Humanos y el artículo 11, párrafo 1, del Pacto no reconocen un derecho subjetivo exigible, sino que configuran un mandato para los Estados de adoptar medidas apropiadas para promover políticas públicas encaminadas a facilitar el acceso de todos los ciudadanos a una vivienda digna. Según la jurisprudencia del Tribunal de Justicia de la Unión Europea</w:t>
      </w:r>
      <w:r w:rsidRPr="002169D2">
        <w:rPr>
          <w:rStyle w:val="Refdenotaalpie"/>
          <w:bCs/>
          <w:szCs w:val="18"/>
          <w:lang w:val="es-ES_tradnl"/>
        </w:rPr>
        <w:footnoteReference w:id="7"/>
      </w:r>
      <w:r>
        <w:rPr>
          <w:lang w:val="es-ES_tradnl"/>
        </w:rPr>
        <w:t>, el artículo 34, párrafo 3</w:t>
      </w:r>
      <w:r w:rsidR="00521692">
        <w:rPr>
          <w:lang w:val="es-ES_tradnl"/>
        </w:rPr>
        <w:t>,</w:t>
      </w:r>
      <w:r>
        <w:rPr>
          <w:lang w:val="es-ES_tradnl"/>
        </w:rPr>
        <w:t xml:space="preserve"> de la Carta de los Derechos Fundamentales de la Unión Europea, que reconoce el derecho a una ayuda de vivienda, no garantiza el derecho a una vivienda sino el derecho a una ayuda de vivienda en el marco de las políticas sociales basadas en el artículo 153 del Tratado de Funcionamiento de la Unión Europea. Este mandato de los Estados ha sido asumido de forma expresa por el artículo 47 de la Constitución y diversos estatutos de autonomía. De conformidad con este artículo y de acuerdo con la jurisprudencia del Tribunal Constitucional</w:t>
      </w:r>
      <w:r w:rsidRPr="002169D2">
        <w:rPr>
          <w:rStyle w:val="Refdenotaalpie"/>
          <w:bCs/>
          <w:szCs w:val="18"/>
          <w:lang w:val="es-ES_tradnl"/>
        </w:rPr>
        <w:footnoteReference w:id="8"/>
      </w:r>
      <w:r>
        <w:rPr>
          <w:lang w:val="es-ES_tradnl"/>
        </w:rPr>
        <w:t xml:space="preserve">, el derecho a la </w:t>
      </w:r>
      <w:r>
        <w:rPr>
          <w:lang w:val="es-ES_tradnl"/>
        </w:rPr>
        <w:lastRenderedPageBreak/>
        <w:t>vivienda es “un mandato o directriz constitucional” que debe tener un contenido predominantemente social, pero no constituye en sí mismo un título competencial autónomo en favor del Estado. Los poderes públicos están así obligados a promover las condiciones necesarias y a establecer las normas pertinentes para hacer efectivo el derecho de los españoles a disfrutar de una vivienda digna y adecuada, en particular regulando la utilización del suelo de acuerdo con el interés general para impedir la especulación. Por tanto, como derecho de realización progresiva, el Estado parte cumple íntegramente con sus obligaciones internacionales en la materia.</w:t>
      </w:r>
    </w:p>
    <w:p w14:paraId="79E58C2F" w14:textId="04742D86" w:rsidR="002430A0" w:rsidRDefault="002430A0" w:rsidP="002430A0">
      <w:pPr>
        <w:pStyle w:val="SingleTxtG"/>
        <w:rPr>
          <w:lang w:val="es-ES_tradnl"/>
        </w:rPr>
      </w:pPr>
      <w:r>
        <w:rPr>
          <w:lang w:val="es-ES_tradnl"/>
        </w:rPr>
        <w:t>4.6</w:t>
      </w:r>
      <w:r>
        <w:rPr>
          <w:lang w:val="es-ES_tradnl"/>
        </w:rPr>
        <w:tab/>
        <w:t xml:space="preserve">Siguiendo el mismo razonamiento sobre la naturaleza de las obligaciones del Estado parte en virtud del artículo 11, párrafo 1, del Pacto, el Estado parte considera que se debe evaluar su cumplimiento mediante el examen de tres parámetros: a) el nivel mínimo de recursos de una persona para acceder a la vivienda en el mercado libre; b) el número de personas que se encuentran </w:t>
      </w:r>
      <w:r w:rsidR="001C3582">
        <w:rPr>
          <w:lang w:val="es-ES_tradnl"/>
        </w:rPr>
        <w:t>por de</w:t>
      </w:r>
      <w:r>
        <w:rPr>
          <w:lang w:val="es-ES_tradnl"/>
        </w:rPr>
        <w:t xml:space="preserve">bajo </w:t>
      </w:r>
      <w:r w:rsidR="001C3582">
        <w:rPr>
          <w:lang w:val="es-ES_tradnl"/>
        </w:rPr>
        <w:t xml:space="preserve">de </w:t>
      </w:r>
      <w:r>
        <w:rPr>
          <w:lang w:val="es-ES_tradnl"/>
        </w:rPr>
        <w:t>este nivel</w:t>
      </w:r>
      <w:r w:rsidR="00A70E46">
        <w:rPr>
          <w:lang w:val="es-ES_tradnl"/>
        </w:rPr>
        <w:t>,</w:t>
      </w:r>
      <w:r>
        <w:rPr>
          <w:lang w:val="es-ES_tradnl"/>
        </w:rPr>
        <w:t xml:space="preserve"> y c) las disponibilidades presupuestarias públicas para satisfacer dichas necesidades. En consecuencia, habría que evaluar si el Estado parte aporta a la financiación de esas necesidades todos los recursos de los que dispone y, en caso de que esos recursos no sean suficientes para cubrir todas las necesidades, si la asignación de los recursos limitados se ha realizado con criterios objetivos y sin discriminación, por orden de necesidad. Es precisamente este razonamiento el que el Comité utiliza en su observación general núm. 7 (</w:t>
      </w:r>
      <w:r w:rsidRPr="00C00B9F">
        <w:t>1997)</w:t>
      </w:r>
      <w:r>
        <w:rPr>
          <w:lang w:val="es-ES_tradnl"/>
        </w:rPr>
        <w:t xml:space="preserve"> en la que se considera que en el caso de que un desalojo lícito dé lugar a que una persona se quede sin vivienda, los Estados </w:t>
      </w:r>
      <w:r w:rsidR="007A3DFB">
        <w:rPr>
          <w:lang w:val="es-ES_tradnl"/>
        </w:rPr>
        <w:t xml:space="preserve">partes </w:t>
      </w:r>
      <w:r>
        <w:rPr>
          <w:lang w:val="es-ES_tradnl"/>
        </w:rPr>
        <w:t>tienen la obligación de “adoptar todas las medidas necesarias, en la mayor medida que permitan sus recursos, para que se proporcione otra vivienda”</w:t>
      </w:r>
      <w:r w:rsidR="009662AE">
        <w:rPr>
          <w:lang w:val="es-ES_tradnl"/>
        </w:rPr>
        <w:t xml:space="preserve"> (párr. 16)</w:t>
      </w:r>
      <w:r>
        <w:rPr>
          <w:lang w:val="es-ES_tradnl"/>
        </w:rPr>
        <w:t>.</w:t>
      </w:r>
    </w:p>
    <w:p w14:paraId="152E61B6" w14:textId="1E5A0E9F" w:rsidR="00BB0E80" w:rsidRDefault="00BB0E80" w:rsidP="002430A0">
      <w:pPr>
        <w:pStyle w:val="SingleTxtG"/>
        <w:rPr>
          <w:lang w:val="es-ES_tradnl"/>
        </w:rPr>
      </w:pPr>
      <w:r>
        <w:rPr>
          <w:lang w:val="es-ES_tradnl"/>
        </w:rPr>
        <w:t>4.7</w:t>
      </w:r>
      <w:r>
        <w:rPr>
          <w:lang w:val="es-ES_tradnl"/>
        </w:rPr>
        <w:tab/>
        <w:t xml:space="preserve">El Estado parte </w:t>
      </w:r>
      <w:r w:rsidRPr="00D618C5">
        <w:rPr>
          <w:lang w:val="es-ES_tradnl"/>
        </w:rPr>
        <w:t xml:space="preserve">considera </w:t>
      </w:r>
      <w:r w:rsidRPr="00944553">
        <w:rPr>
          <w:lang w:val="es-ES_tradnl"/>
        </w:rPr>
        <w:t>que, al aplicar este razonamiento sobre el alcance del derecho a una viv</w:t>
      </w:r>
      <w:r w:rsidRPr="00F31A42">
        <w:rPr>
          <w:lang w:val="es-ES_tradnl"/>
        </w:rPr>
        <w:t>ienda adecuada al caso presente,</w:t>
      </w:r>
      <w:r w:rsidRPr="00C73676">
        <w:rPr>
          <w:lang w:val="es-ES_tradnl"/>
        </w:rPr>
        <w:t xml:space="preserve"> para </w:t>
      </w:r>
      <w:r w:rsidR="007A3DFB">
        <w:rPr>
          <w:lang w:val="es-ES_tradnl"/>
        </w:rPr>
        <w:t>establecer</w:t>
      </w:r>
      <w:r w:rsidR="007A3DFB" w:rsidRPr="00D618C5">
        <w:rPr>
          <w:lang w:val="es-ES_tradnl"/>
        </w:rPr>
        <w:t xml:space="preserve"> </w:t>
      </w:r>
      <w:r w:rsidRPr="00944553">
        <w:rPr>
          <w:lang w:val="es-ES_tradnl"/>
        </w:rPr>
        <w:t>que existe una vulneración del Pacto será necesario que l</w:t>
      </w:r>
      <w:r w:rsidRPr="00D618C5">
        <w:rPr>
          <w:lang w:val="es-ES_tradnl"/>
        </w:rPr>
        <w:t>os autores acrediten: a) que se</w:t>
      </w:r>
      <w:r>
        <w:rPr>
          <w:lang w:val="es-ES_tradnl"/>
        </w:rPr>
        <w:t xml:space="preserve"> encuentra</w:t>
      </w:r>
      <w:r w:rsidR="00725000">
        <w:rPr>
          <w:lang w:val="es-ES_tradnl"/>
        </w:rPr>
        <w:t>n</w:t>
      </w:r>
      <w:r>
        <w:rPr>
          <w:lang w:val="es-ES_tradnl"/>
        </w:rPr>
        <w:t xml:space="preserve"> en situación de necesidad; b) que las autoridades no hayan dedicado recursos en la medida de sus posibilidades; c) que, en caso de haberse dedicado el máximo de recursos disponible sin cubrir todas las necesidades, estos no se hayan asignado con criterios racionales y objetivos</w:t>
      </w:r>
      <w:r w:rsidR="00644F7D">
        <w:rPr>
          <w:lang w:val="es-ES_tradnl"/>
        </w:rPr>
        <w:t>,</w:t>
      </w:r>
      <w:r>
        <w:rPr>
          <w:lang w:val="es-ES_tradnl"/>
        </w:rPr>
        <w:t xml:space="preserve"> y d) que no se hayan situado de forma voluntaria y consciente en la situación que </w:t>
      </w:r>
      <w:r w:rsidR="00760760">
        <w:rPr>
          <w:lang w:val="es-ES_tradnl"/>
        </w:rPr>
        <w:t>denuncian</w:t>
      </w:r>
      <w:r>
        <w:rPr>
          <w:lang w:val="es-ES_tradnl"/>
        </w:rPr>
        <w:t>, impidiendo ser receptores de ayudas públicamente ofrecidas.</w:t>
      </w:r>
    </w:p>
    <w:p w14:paraId="6097A993" w14:textId="48D174ED" w:rsidR="00BB0E80" w:rsidRDefault="00BB0E80" w:rsidP="002430A0">
      <w:pPr>
        <w:pStyle w:val="SingleTxtG"/>
        <w:rPr>
          <w:lang w:val="es-ES_tradnl"/>
        </w:rPr>
      </w:pPr>
      <w:r>
        <w:rPr>
          <w:lang w:val="es-ES_tradnl"/>
        </w:rPr>
        <w:t>4.8</w:t>
      </w:r>
      <w:r>
        <w:rPr>
          <w:lang w:val="es-ES_tradnl"/>
        </w:rPr>
        <w:tab/>
        <w:t>El Estado parte relata las decisiones adoptadas para proteger el derecho a la vivienda. El Estado parte ha llevado a cabo medidas para facilitar el acceso al mercado residencial privado en régimen de propiedad, mediante desgravaciones fiscales</w:t>
      </w:r>
      <w:r w:rsidR="00760760">
        <w:rPr>
          <w:lang w:val="es-ES_tradnl"/>
        </w:rPr>
        <w:t>,</w:t>
      </w:r>
      <w:r>
        <w:rPr>
          <w:lang w:val="es-ES_tradnl"/>
        </w:rPr>
        <w:t xml:space="preserve"> y en régimen de alquiler, mediante ayudas públicas para </w:t>
      </w:r>
      <w:r w:rsidR="008B4635">
        <w:rPr>
          <w:lang w:val="es-ES_tradnl"/>
        </w:rPr>
        <w:t xml:space="preserve">facilitar el </w:t>
      </w:r>
      <w:r>
        <w:rPr>
          <w:lang w:val="es-ES_tradnl"/>
        </w:rPr>
        <w:t xml:space="preserve">acceso al alquiler privado. También se han adoptado políticas para evitar la salida del mercado residencial privado en régimen de propiedad, mediante la moratoria de desalojos por impago de préstamos hipotecarios y la adopción del Código de Buenas Prácticas al que están adheridas más de 93 entidades financieras. Además, para atender las situaciones de necesidad de emergencia en los casos de desalojos legítimos y hasta que las personas sujetas a dichos desalojos accedan a una residencia estable, el Real Decreto-ley núm. 7/2019 estableció un mecanismo mediante el que </w:t>
      </w:r>
      <w:r w:rsidR="00302A4C">
        <w:rPr>
          <w:lang w:val="es-ES_tradnl"/>
        </w:rPr>
        <w:t xml:space="preserve">se puede suspender el desalojo de </w:t>
      </w:r>
      <w:r>
        <w:rPr>
          <w:lang w:val="es-ES_tradnl"/>
        </w:rPr>
        <w:t xml:space="preserve">las personas vulnerables </w:t>
      </w:r>
      <w:r w:rsidR="00F262F0">
        <w:rPr>
          <w:lang w:val="es-ES_tradnl"/>
        </w:rPr>
        <w:t>durante</w:t>
      </w:r>
      <w:r>
        <w:rPr>
          <w:lang w:val="es-ES_tradnl"/>
        </w:rPr>
        <w:t xml:space="preserve"> un mes </w:t>
      </w:r>
      <w:r w:rsidR="00725000">
        <w:rPr>
          <w:lang w:val="es-ES_tradnl"/>
        </w:rPr>
        <w:t>cuando</w:t>
      </w:r>
      <w:r>
        <w:rPr>
          <w:lang w:val="es-ES_tradnl"/>
        </w:rPr>
        <w:t xml:space="preserve"> el propietario es una persona física, o tres meses </w:t>
      </w:r>
      <w:r w:rsidR="00725000">
        <w:rPr>
          <w:lang w:val="es-ES_tradnl"/>
        </w:rPr>
        <w:t>cuando</w:t>
      </w:r>
      <w:r>
        <w:rPr>
          <w:lang w:val="es-ES_tradnl"/>
        </w:rPr>
        <w:t xml:space="preserve"> el propietario es una persona jurídica. A</w:t>
      </w:r>
      <w:r w:rsidR="00542BE6">
        <w:rPr>
          <w:lang w:val="es-ES_tradnl"/>
        </w:rPr>
        <w:t>demás</w:t>
      </w:r>
      <w:r w:rsidR="00484A96">
        <w:rPr>
          <w:lang w:val="es-ES_tradnl"/>
        </w:rPr>
        <w:t xml:space="preserve"> de</w:t>
      </w:r>
      <w:r>
        <w:rPr>
          <w:lang w:val="es-ES_tradnl"/>
        </w:rPr>
        <w:t xml:space="preserve"> estas ayudas</w:t>
      </w:r>
      <w:r w:rsidR="00484A96">
        <w:rPr>
          <w:lang w:val="es-ES_tradnl"/>
        </w:rPr>
        <w:t>,</w:t>
      </w:r>
      <w:r>
        <w:rPr>
          <w:lang w:val="es-ES_tradnl"/>
        </w:rPr>
        <w:t xml:space="preserve"> los Servicios Sociales de los ayuntamientos se encargan de la evaluación y el seguimiento de las necesidades de las familias atendiendo las situaciones transitorias de emergencia residencial y coordinándose con las correspondientes comunidades autónomas para facilitar el tránsito ordenado al </w:t>
      </w:r>
      <w:r w:rsidRPr="00314B94">
        <w:rPr>
          <w:lang w:val="es-ES_tradnl"/>
        </w:rPr>
        <w:t>sistema.</w:t>
      </w:r>
      <w:r w:rsidR="002706AC" w:rsidRPr="00314B94">
        <w:rPr>
          <w:lang w:val="es-ES_tradnl"/>
        </w:rPr>
        <w:t xml:space="preserve"> </w:t>
      </w:r>
      <w:r w:rsidR="007E5440" w:rsidRPr="00314B94">
        <w:rPr>
          <w:lang w:val="es-ES_tradnl"/>
        </w:rPr>
        <w:t xml:space="preserve">En este sentido, el Estado parte destaca </w:t>
      </w:r>
      <w:r w:rsidR="004F1529" w:rsidRPr="00314B94">
        <w:rPr>
          <w:lang w:val="es-ES_tradnl"/>
        </w:rPr>
        <w:t>la Ley 12/2007</w:t>
      </w:r>
      <w:r w:rsidR="00E57A10">
        <w:rPr>
          <w:lang w:val="es-ES_tradnl"/>
        </w:rPr>
        <w:t>, de 11 de octubre,</w:t>
      </w:r>
      <w:r w:rsidR="004F1529" w:rsidRPr="00314B94">
        <w:rPr>
          <w:lang w:val="es-ES_tradnl"/>
        </w:rPr>
        <w:t xml:space="preserve"> de Servicios S</w:t>
      </w:r>
      <w:r w:rsidR="001C408B" w:rsidRPr="00314B94">
        <w:rPr>
          <w:lang w:val="es-ES_tradnl"/>
        </w:rPr>
        <w:t xml:space="preserve">ociales, </w:t>
      </w:r>
      <w:r w:rsidR="004F1529" w:rsidRPr="00314B94">
        <w:rPr>
          <w:lang w:val="es-ES_tradnl"/>
        </w:rPr>
        <w:t>el art</w:t>
      </w:r>
      <w:r w:rsidR="002545AF">
        <w:rPr>
          <w:lang w:val="es-ES_tradnl"/>
        </w:rPr>
        <w:t>í</w:t>
      </w:r>
      <w:r w:rsidR="004F1529" w:rsidRPr="00314B94">
        <w:rPr>
          <w:lang w:val="es-ES_tradnl"/>
        </w:rPr>
        <w:t>culo 30 sobre prestaciones de urgencia social de la Ley 13/2006</w:t>
      </w:r>
      <w:r w:rsidR="0037104B">
        <w:rPr>
          <w:lang w:val="es-ES_tradnl"/>
        </w:rPr>
        <w:t>, de 27 de julio,</w:t>
      </w:r>
      <w:r w:rsidR="004F1529" w:rsidRPr="00314B94">
        <w:rPr>
          <w:lang w:val="es-ES_tradnl"/>
        </w:rPr>
        <w:t xml:space="preserve"> </w:t>
      </w:r>
      <w:r w:rsidR="00F46121">
        <w:rPr>
          <w:lang w:val="es-ES_tradnl"/>
        </w:rPr>
        <w:t xml:space="preserve">de </w:t>
      </w:r>
      <w:r w:rsidR="0037104B">
        <w:rPr>
          <w:lang w:val="es-ES_tradnl"/>
        </w:rPr>
        <w:t>P</w:t>
      </w:r>
      <w:r w:rsidR="004F1529" w:rsidRPr="00314B94">
        <w:rPr>
          <w:lang w:val="es-ES_tradnl"/>
        </w:rPr>
        <w:t xml:space="preserve">restaciones </w:t>
      </w:r>
      <w:r w:rsidR="0037104B">
        <w:rPr>
          <w:lang w:val="es-ES_tradnl"/>
        </w:rPr>
        <w:t>S</w:t>
      </w:r>
      <w:r w:rsidR="004F1529" w:rsidRPr="00314B94">
        <w:rPr>
          <w:lang w:val="es-ES_tradnl"/>
        </w:rPr>
        <w:t xml:space="preserve">ociales de </w:t>
      </w:r>
      <w:r w:rsidR="0037104B">
        <w:rPr>
          <w:lang w:val="es-ES_tradnl"/>
        </w:rPr>
        <w:t>C</w:t>
      </w:r>
      <w:r w:rsidR="004F1529" w:rsidRPr="00314B94">
        <w:rPr>
          <w:lang w:val="es-ES_tradnl"/>
        </w:rPr>
        <w:t xml:space="preserve">arácter </w:t>
      </w:r>
      <w:r w:rsidR="0037104B">
        <w:rPr>
          <w:lang w:val="es-ES_tradnl"/>
        </w:rPr>
        <w:t>E</w:t>
      </w:r>
      <w:r w:rsidR="004F1529" w:rsidRPr="00314B94">
        <w:rPr>
          <w:lang w:val="es-ES_tradnl"/>
        </w:rPr>
        <w:t>con</w:t>
      </w:r>
      <w:r w:rsidR="001C408B" w:rsidRPr="00314B94">
        <w:rPr>
          <w:lang w:val="es-ES_tradnl"/>
        </w:rPr>
        <w:t>ómico, así como el Decreto 142/2010</w:t>
      </w:r>
      <w:r w:rsidR="00075907">
        <w:rPr>
          <w:lang w:val="es-ES_tradnl"/>
        </w:rPr>
        <w:t>, de 11 de octubre,</w:t>
      </w:r>
      <w:r w:rsidR="001C408B" w:rsidRPr="00314B94">
        <w:rPr>
          <w:lang w:val="es-ES_tradnl"/>
        </w:rPr>
        <w:t xml:space="preserve"> por el que se aprueba la Cartera de Servicios Sociales 2010-2011</w:t>
      </w:r>
      <w:r w:rsidR="00314B94" w:rsidRPr="00314B94">
        <w:rPr>
          <w:lang w:val="es-ES_tradnl"/>
        </w:rPr>
        <w:t xml:space="preserve"> de la Generalidad de Catalu</w:t>
      </w:r>
      <w:r w:rsidR="00F262F0">
        <w:rPr>
          <w:lang w:val="es-ES_tradnl"/>
        </w:rPr>
        <w:t>ñ</w:t>
      </w:r>
      <w:r w:rsidR="00314B94" w:rsidRPr="00314B94">
        <w:rPr>
          <w:lang w:val="es-ES_tradnl"/>
        </w:rPr>
        <w:t>a.</w:t>
      </w:r>
      <w:r w:rsidR="001C408B" w:rsidRPr="00314B94">
        <w:rPr>
          <w:lang w:val="es-ES_tradnl"/>
        </w:rPr>
        <w:t xml:space="preserve"> </w:t>
      </w:r>
      <w:r w:rsidR="007332E3" w:rsidRPr="00314B94">
        <w:rPr>
          <w:lang w:val="es-ES_tradnl"/>
        </w:rPr>
        <w:t>El Estado parte también se asegura de la promoción de un parque suficiente de vivienda pública mediante la inclusión en la legislación</w:t>
      </w:r>
      <w:r w:rsidR="007332E3">
        <w:rPr>
          <w:lang w:val="es-ES_tradnl"/>
        </w:rPr>
        <w:t xml:space="preserve"> urbanística española de la necesidad de ceder gratuitamente para finalidades públicas parte de los suelos privados que se desea convertir en urbanos y mediante la financiación para la construcción de vivienda social en dicho suelo. </w:t>
      </w:r>
      <w:r w:rsidR="007332E3">
        <w:rPr>
          <w:lang w:val="es-ES_tradnl"/>
        </w:rPr>
        <w:lastRenderedPageBreak/>
        <w:t>Por último, el Estado parte establece criterios objetivos de evaluación de las necesidades de los solicitantes de vivienda social para otorgarla.</w:t>
      </w:r>
    </w:p>
    <w:p w14:paraId="31C1E15F" w14:textId="08FC47BC" w:rsidR="00166AE2" w:rsidRPr="002240A6" w:rsidRDefault="001B4C2A" w:rsidP="00B8674D">
      <w:pPr>
        <w:pStyle w:val="SingleTxtG"/>
        <w:rPr>
          <w:lang w:val="es-ES_tradnl"/>
        </w:rPr>
      </w:pPr>
      <w:r>
        <w:rPr>
          <w:lang w:val="es-ES_tradnl"/>
        </w:rPr>
        <w:t>4.9</w:t>
      </w:r>
      <w:r>
        <w:rPr>
          <w:lang w:val="es-ES_tradnl"/>
        </w:rPr>
        <w:tab/>
      </w:r>
      <w:r w:rsidRPr="00E23C24">
        <w:rPr>
          <w:lang w:val="es-ES_tradnl"/>
        </w:rPr>
        <w:t>El Estado parte destaca que en el presente caso</w:t>
      </w:r>
      <w:r w:rsidR="002706AC">
        <w:rPr>
          <w:lang w:val="es-ES_tradnl"/>
        </w:rPr>
        <w:t>: a)</w:t>
      </w:r>
      <w:r w:rsidR="00AD59BF">
        <w:rPr>
          <w:lang w:val="es-ES_tradnl"/>
        </w:rPr>
        <w:t xml:space="preserve"> la situación de los autores se debe </w:t>
      </w:r>
      <w:r w:rsidR="00725000">
        <w:rPr>
          <w:lang w:val="es-ES_tradnl"/>
        </w:rPr>
        <w:t>a</w:t>
      </w:r>
      <w:r w:rsidR="00AD59BF">
        <w:rPr>
          <w:lang w:val="es-ES_tradnl"/>
        </w:rPr>
        <w:t xml:space="preserve">l hecho de no haber solicitado vivienda social por los conductos legalmente establecidos </w:t>
      </w:r>
      <w:r w:rsidR="006374DF">
        <w:rPr>
          <w:lang w:val="es-ES_tradnl"/>
        </w:rPr>
        <w:t>hasta meses después de tener conocimiento del procedimiento judicial;</w:t>
      </w:r>
      <w:r w:rsidR="002706AC">
        <w:rPr>
          <w:lang w:val="es-ES_tradnl"/>
        </w:rPr>
        <w:t xml:space="preserve"> </w:t>
      </w:r>
      <w:r w:rsidR="00AD59BF">
        <w:rPr>
          <w:lang w:val="es-ES_tradnl"/>
        </w:rPr>
        <w:t>b)</w:t>
      </w:r>
      <w:r w:rsidR="00BF0A84">
        <w:rPr>
          <w:lang w:val="es-ES_tradnl"/>
        </w:rPr>
        <w:t> </w:t>
      </w:r>
      <w:r w:rsidR="000B2BFE">
        <w:rPr>
          <w:lang w:val="es-ES_tradnl"/>
        </w:rPr>
        <w:t>no existe una vulneración del artículo 11</w:t>
      </w:r>
      <w:r w:rsidR="00BF0A84">
        <w:rPr>
          <w:lang w:val="es-ES_tradnl"/>
        </w:rPr>
        <w:t>, párrafo </w:t>
      </w:r>
      <w:r w:rsidR="000B2BFE">
        <w:rPr>
          <w:lang w:val="es-ES_tradnl"/>
        </w:rPr>
        <w:t>1</w:t>
      </w:r>
      <w:r w:rsidR="00BF0A84">
        <w:rPr>
          <w:lang w:val="es-ES_tradnl"/>
        </w:rPr>
        <w:t>,</w:t>
      </w:r>
      <w:r w:rsidR="000B2BFE">
        <w:rPr>
          <w:lang w:val="es-ES_tradnl"/>
        </w:rPr>
        <w:t xml:space="preserve"> </w:t>
      </w:r>
      <w:r w:rsidR="00725000">
        <w:rPr>
          <w:lang w:val="es-ES_tradnl"/>
        </w:rPr>
        <w:t xml:space="preserve">del Pacto </w:t>
      </w:r>
      <w:r w:rsidR="000B2BFE">
        <w:rPr>
          <w:lang w:val="es-ES_tradnl"/>
        </w:rPr>
        <w:t xml:space="preserve">por parte de las autoridades </w:t>
      </w:r>
      <w:r w:rsidR="00725000">
        <w:rPr>
          <w:lang w:val="es-ES_tradnl"/>
        </w:rPr>
        <w:t>e</w:t>
      </w:r>
      <w:r w:rsidR="000B2BFE">
        <w:rPr>
          <w:lang w:val="es-ES_tradnl"/>
        </w:rPr>
        <w:t xml:space="preserve">stales, </w:t>
      </w:r>
      <w:r w:rsidR="00725000">
        <w:rPr>
          <w:lang w:val="es-ES_tradnl"/>
        </w:rPr>
        <w:t xml:space="preserve">autonómicas </w:t>
      </w:r>
      <w:r w:rsidR="000B2BFE" w:rsidRPr="002C6B83">
        <w:rPr>
          <w:lang w:val="es-ES_tradnl"/>
        </w:rPr>
        <w:t xml:space="preserve">y </w:t>
      </w:r>
      <w:r w:rsidR="00725000" w:rsidRPr="002C6B83">
        <w:rPr>
          <w:lang w:val="es-ES_tradnl"/>
        </w:rPr>
        <w:t>locales</w:t>
      </w:r>
      <w:r w:rsidR="000B2BFE" w:rsidRPr="002C6B83">
        <w:rPr>
          <w:lang w:val="es-ES_tradnl"/>
        </w:rPr>
        <w:t xml:space="preserve">, ya que los autores han percibido varias ayudas económicas y el </w:t>
      </w:r>
      <w:r w:rsidR="0096714D" w:rsidRPr="00F262F0">
        <w:rPr>
          <w:lang w:val="es-ES_tradnl"/>
        </w:rPr>
        <w:t xml:space="preserve">autor </w:t>
      </w:r>
      <w:r w:rsidR="000B2BFE" w:rsidRPr="002C6B83">
        <w:rPr>
          <w:lang w:val="es-ES_tradnl"/>
        </w:rPr>
        <w:t>fue receptor</w:t>
      </w:r>
      <w:r w:rsidR="000B2BFE" w:rsidRPr="00F05F64">
        <w:rPr>
          <w:lang w:val="es-ES_tradnl"/>
        </w:rPr>
        <w:t xml:space="preserve"> de una </w:t>
      </w:r>
      <w:r w:rsidR="002079BC">
        <w:rPr>
          <w:lang w:val="es-ES_tradnl"/>
        </w:rPr>
        <w:t>r</w:t>
      </w:r>
      <w:r w:rsidR="000B2BFE" w:rsidRPr="00F05F64">
        <w:rPr>
          <w:lang w:val="es-ES_tradnl"/>
        </w:rPr>
        <w:t xml:space="preserve">enta </w:t>
      </w:r>
      <w:r w:rsidR="002079BC">
        <w:rPr>
          <w:lang w:val="es-ES_tradnl"/>
        </w:rPr>
        <w:t>g</w:t>
      </w:r>
      <w:r w:rsidR="000B2BFE" w:rsidRPr="00F05F64">
        <w:rPr>
          <w:lang w:val="es-ES_tradnl"/>
        </w:rPr>
        <w:t xml:space="preserve">arantizada de </w:t>
      </w:r>
      <w:r w:rsidR="002079BC">
        <w:rPr>
          <w:lang w:val="es-ES_tradnl"/>
        </w:rPr>
        <w:t>c</w:t>
      </w:r>
      <w:r w:rsidR="000B2BFE" w:rsidRPr="00F05F64">
        <w:rPr>
          <w:lang w:val="es-ES_tradnl"/>
        </w:rPr>
        <w:t>iudadanía de 1.112</w:t>
      </w:r>
      <w:r w:rsidR="00BF0A84">
        <w:rPr>
          <w:lang w:val="es-ES_tradnl"/>
        </w:rPr>
        <w:t> </w:t>
      </w:r>
      <w:r w:rsidR="000B2BFE" w:rsidRPr="00F05F64">
        <w:rPr>
          <w:lang w:val="es-ES_tradnl"/>
        </w:rPr>
        <w:t xml:space="preserve">euros </w:t>
      </w:r>
      <w:r w:rsidR="000B2BFE" w:rsidRPr="00E05DF6">
        <w:rPr>
          <w:lang w:val="es-ES_tradnl"/>
        </w:rPr>
        <w:t>men</w:t>
      </w:r>
      <w:r w:rsidR="001709B6" w:rsidRPr="00E05DF6">
        <w:rPr>
          <w:lang w:val="es-ES_tradnl"/>
        </w:rPr>
        <w:t xml:space="preserve">suales y </w:t>
      </w:r>
      <w:r w:rsidR="00760760">
        <w:rPr>
          <w:lang w:val="es-ES_tradnl"/>
        </w:rPr>
        <w:t xml:space="preserve">estuvo </w:t>
      </w:r>
      <w:r w:rsidR="001709B6" w:rsidRPr="00E05DF6">
        <w:rPr>
          <w:lang w:val="es-ES_tradnl"/>
        </w:rPr>
        <w:t>contratado laboralmente</w:t>
      </w:r>
      <w:r w:rsidR="001709B6" w:rsidRPr="00A92FCC">
        <w:rPr>
          <w:lang w:val="es-ES_tradnl"/>
        </w:rPr>
        <w:t xml:space="preserve"> </w:t>
      </w:r>
      <w:r w:rsidR="001709B6" w:rsidRPr="00D01A4E">
        <w:rPr>
          <w:lang w:val="es-ES_tradnl"/>
        </w:rPr>
        <w:t>durante</w:t>
      </w:r>
      <w:r w:rsidR="001709B6" w:rsidRPr="005F42B5">
        <w:rPr>
          <w:lang w:val="es-ES_tradnl"/>
        </w:rPr>
        <w:t xml:space="preserve"> seis meses, con ingresos suficientes para encontrar una vivienda de alquiler dentro del mercado privado</w:t>
      </w:r>
      <w:r w:rsidR="00BF0A84">
        <w:rPr>
          <w:lang w:val="es-ES_tradnl"/>
        </w:rPr>
        <w:t>, y,</w:t>
      </w:r>
      <w:r w:rsidR="001709B6" w:rsidRPr="00F05F64">
        <w:rPr>
          <w:lang w:val="es-ES_tradnl"/>
        </w:rPr>
        <w:t xml:space="preserve"> </w:t>
      </w:r>
      <w:r w:rsidR="00BF0A84">
        <w:rPr>
          <w:lang w:val="es-ES_tradnl"/>
        </w:rPr>
        <w:t>a</w:t>
      </w:r>
      <w:r w:rsidR="001709B6" w:rsidRPr="00F05F64">
        <w:rPr>
          <w:lang w:val="es-ES_tradnl"/>
        </w:rPr>
        <w:t xml:space="preserve">demás, </w:t>
      </w:r>
      <w:r w:rsidR="00B8674D" w:rsidRPr="00F05F64">
        <w:rPr>
          <w:lang w:val="es-ES_tradnl"/>
        </w:rPr>
        <w:t>el lanzamiento</w:t>
      </w:r>
      <w:r w:rsidR="007C533A">
        <w:rPr>
          <w:lang w:val="es-ES_tradnl"/>
        </w:rPr>
        <w:t xml:space="preserve"> de los autores fue suspendido</w:t>
      </w:r>
      <w:r w:rsidR="00B8674D">
        <w:rPr>
          <w:lang w:val="es-ES_tradnl"/>
        </w:rPr>
        <w:t xml:space="preserve"> por las autoridades judiciales en nueve ocasiones</w:t>
      </w:r>
      <w:r w:rsidR="00BF0A84">
        <w:rPr>
          <w:lang w:val="es-ES_tradnl"/>
        </w:rPr>
        <w:t>, y</w:t>
      </w:r>
      <w:r w:rsidR="00B8674D">
        <w:rPr>
          <w:lang w:val="es-ES_tradnl"/>
        </w:rPr>
        <w:t xml:space="preserve"> </w:t>
      </w:r>
      <w:r w:rsidR="00AD59BF">
        <w:rPr>
          <w:lang w:val="es-ES_tradnl"/>
        </w:rPr>
        <w:t>c)</w:t>
      </w:r>
      <w:r w:rsidR="00BF0A84">
        <w:rPr>
          <w:lang w:val="es-ES_tradnl"/>
        </w:rPr>
        <w:t> </w:t>
      </w:r>
      <w:r w:rsidR="00E51900">
        <w:rPr>
          <w:lang w:val="es-ES_tradnl"/>
        </w:rPr>
        <w:t xml:space="preserve">según el informe de los Servicios Sociales de Badalona, los autores volvieron a ocupar la misma vivienda sin título legal legítimo, lo que constituye una conducta manifiestamente </w:t>
      </w:r>
      <w:r w:rsidR="00C80510">
        <w:rPr>
          <w:lang w:val="es-ES_tradnl"/>
        </w:rPr>
        <w:t xml:space="preserve">abusiva a la </w:t>
      </w:r>
      <w:r w:rsidR="00D5282C">
        <w:rPr>
          <w:lang w:val="es-ES_tradnl"/>
        </w:rPr>
        <w:t>luz de todas las actuaciones para atender su situación</w:t>
      </w:r>
      <w:r w:rsidR="00B8674D">
        <w:rPr>
          <w:lang w:val="es-ES_tradnl"/>
        </w:rPr>
        <w:t xml:space="preserve">. </w:t>
      </w:r>
      <w:r w:rsidR="001A0A9F">
        <w:rPr>
          <w:lang w:val="es-ES_tradnl"/>
        </w:rPr>
        <w:t>El Estado parte sostiene que el Comité no puede admitir situaciones de autorrealización del derecho, como en el presente caso</w:t>
      </w:r>
      <w:r w:rsidR="0067165B">
        <w:rPr>
          <w:lang w:val="es-ES_tradnl"/>
        </w:rPr>
        <w:t xml:space="preserve">, </w:t>
      </w:r>
      <w:r w:rsidR="00760760">
        <w:rPr>
          <w:lang w:val="es-ES_tradnl"/>
        </w:rPr>
        <w:t>así como tampoco puede admitir que</w:t>
      </w:r>
      <w:r w:rsidR="0067165B">
        <w:rPr>
          <w:lang w:val="es-ES_tradnl"/>
        </w:rPr>
        <w:t xml:space="preserve"> los autores no </w:t>
      </w:r>
      <w:r w:rsidR="00760760">
        <w:rPr>
          <w:lang w:val="es-ES_tradnl"/>
        </w:rPr>
        <w:t xml:space="preserve">le </w:t>
      </w:r>
      <w:r w:rsidR="0067165B">
        <w:rPr>
          <w:lang w:val="es-ES_tradnl"/>
        </w:rPr>
        <w:t>ha</w:t>
      </w:r>
      <w:r w:rsidR="00760760">
        <w:rPr>
          <w:lang w:val="es-ES_tradnl"/>
        </w:rPr>
        <w:t>ya</w:t>
      </w:r>
      <w:r w:rsidR="0067165B">
        <w:rPr>
          <w:lang w:val="es-ES_tradnl"/>
        </w:rPr>
        <w:t xml:space="preserve">n informado de este </w:t>
      </w:r>
      <w:r w:rsidR="00760760">
        <w:rPr>
          <w:lang w:val="es-ES_tradnl"/>
        </w:rPr>
        <w:t xml:space="preserve">último </w:t>
      </w:r>
      <w:r w:rsidR="0067165B">
        <w:rPr>
          <w:lang w:val="es-ES_tradnl"/>
        </w:rPr>
        <w:t xml:space="preserve">dato. </w:t>
      </w:r>
      <w:r w:rsidR="00B8674D">
        <w:rPr>
          <w:lang w:val="es-ES_tradnl"/>
        </w:rPr>
        <w:t>Por ello, el Estado parte solicita al Comité que declare inadmisible la comunicación o, subsidiariamente, la desestime en su fondo.</w:t>
      </w:r>
    </w:p>
    <w:p w14:paraId="75EFBCB8" w14:textId="37DA47E3" w:rsidR="00166AE2" w:rsidRPr="002240A6" w:rsidRDefault="00166AE2" w:rsidP="00D1234B">
      <w:pPr>
        <w:pStyle w:val="H23G"/>
        <w:rPr>
          <w:lang w:val="es-ES_tradnl"/>
        </w:rPr>
      </w:pPr>
      <w:r w:rsidRPr="002240A6">
        <w:rPr>
          <w:lang w:val="es-ES_tradnl"/>
        </w:rPr>
        <w:tab/>
      </w:r>
      <w:r w:rsidR="0069073D">
        <w:rPr>
          <w:lang w:val="es-ES_tradnl"/>
        </w:rPr>
        <w:tab/>
      </w:r>
      <w:r w:rsidR="0069073D">
        <w:rPr>
          <w:lang w:val="es-ES_tradnl"/>
        </w:rPr>
        <w:tab/>
      </w:r>
      <w:r w:rsidR="00B8674D">
        <w:rPr>
          <w:lang w:val="es-ES_tradnl"/>
        </w:rPr>
        <w:t>Comentarios de los autores acerca de</w:t>
      </w:r>
      <w:r w:rsidRPr="002240A6">
        <w:rPr>
          <w:lang w:val="es-ES_tradnl"/>
        </w:rPr>
        <w:t xml:space="preserve"> las observaciones del Estado parte</w:t>
      </w:r>
      <w:r w:rsidR="00B8674D">
        <w:rPr>
          <w:lang w:val="es-ES_tradnl"/>
        </w:rPr>
        <w:t xml:space="preserve"> </w:t>
      </w:r>
      <w:r w:rsidR="0069073D">
        <w:rPr>
          <w:lang w:val="es-ES_tradnl"/>
        </w:rPr>
        <w:br/>
      </w:r>
      <w:r w:rsidR="00B8674D">
        <w:rPr>
          <w:lang w:val="es-ES_tradnl"/>
        </w:rPr>
        <w:t>sobre la admisibilidad y el fondo</w:t>
      </w:r>
    </w:p>
    <w:p w14:paraId="4A064899" w14:textId="2DF4BE26" w:rsidR="007E5440" w:rsidRPr="000C377A" w:rsidRDefault="00166AE2" w:rsidP="005B4264">
      <w:pPr>
        <w:pStyle w:val="SingleTxtG"/>
      </w:pPr>
      <w:r w:rsidRPr="2EDC6E8C">
        <w:t>5</w:t>
      </w:r>
      <w:r w:rsidR="00F468C3">
        <w:t>.</w:t>
      </w:r>
      <w:r w:rsidRPr="002240A6">
        <w:rPr>
          <w:lang w:val="es-ES_tradnl"/>
        </w:rPr>
        <w:tab/>
      </w:r>
      <w:r w:rsidRPr="2EDC6E8C">
        <w:t>E</w:t>
      </w:r>
      <w:r w:rsidR="007E5440" w:rsidRPr="2EDC6E8C">
        <w:t>n sus comentarios de</w:t>
      </w:r>
      <w:r w:rsidRPr="2EDC6E8C">
        <w:t xml:space="preserve"> </w:t>
      </w:r>
      <w:r w:rsidR="007E5440" w:rsidRPr="2EDC6E8C">
        <w:t>20 de diciembre de 2021</w:t>
      </w:r>
      <w:r w:rsidRPr="2EDC6E8C">
        <w:t xml:space="preserve">, </w:t>
      </w:r>
      <w:r w:rsidR="007E5440" w:rsidRPr="2EDC6E8C">
        <w:t xml:space="preserve">los autores </w:t>
      </w:r>
      <w:r w:rsidR="0096714D" w:rsidRPr="2EDC6E8C">
        <w:t>informaron</w:t>
      </w:r>
      <w:r w:rsidR="00D5282C" w:rsidRPr="2EDC6E8C">
        <w:t xml:space="preserve"> </w:t>
      </w:r>
      <w:r w:rsidR="00BF0A84">
        <w:t>a</w:t>
      </w:r>
      <w:r w:rsidR="00012C8A" w:rsidRPr="2EDC6E8C">
        <w:t xml:space="preserve">l Comité </w:t>
      </w:r>
      <w:r w:rsidR="00BF0A84">
        <w:t xml:space="preserve">de </w:t>
      </w:r>
      <w:r w:rsidR="00D5282C" w:rsidRPr="2EDC6E8C">
        <w:t xml:space="preserve">que los ingresos mensuales de la unidad familiar </w:t>
      </w:r>
      <w:r w:rsidR="0096714D" w:rsidRPr="2EDC6E8C">
        <w:t>habían disminuido</w:t>
      </w:r>
      <w:r w:rsidR="00D5282C" w:rsidRPr="2EDC6E8C">
        <w:t xml:space="preserve"> ligeramente, siendo </w:t>
      </w:r>
      <w:r w:rsidR="00BF0A84">
        <w:t>en ese momento</w:t>
      </w:r>
      <w:r w:rsidR="00BF0A84" w:rsidRPr="2EDC6E8C">
        <w:t xml:space="preserve"> </w:t>
      </w:r>
      <w:r w:rsidR="00D5282C" w:rsidRPr="2EDC6E8C">
        <w:t>de 925 euros</w:t>
      </w:r>
      <w:r w:rsidR="009032D5" w:rsidRPr="2EDC6E8C">
        <w:rPr>
          <w:rStyle w:val="Refdenotaalpie"/>
        </w:rPr>
        <w:footnoteReference w:id="9"/>
      </w:r>
      <w:r w:rsidR="00D5282C" w:rsidRPr="2EDC6E8C">
        <w:t xml:space="preserve">. </w:t>
      </w:r>
      <w:r w:rsidR="00BF0A84">
        <w:t>L</w:t>
      </w:r>
      <w:r w:rsidR="00096BB1" w:rsidRPr="2EDC6E8C">
        <w:t>os autores</w:t>
      </w:r>
      <w:r w:rsidR="00FC7B7C" w:rsidRPr="2EDC6E8C">
        <w:t xml:space="preserve"> </w:t>
      </w:r>
      <w:r w:rsidR="0096714D" w:rsidRPr="2EDC6E8C">
        <w:t>se registraron</w:t>
      </w:r>
      <w:r w:rsidR="00FC7B7C" w:rsidRPr="2EDC6E8C">
        <w:t xml:space="preserve"> en la </w:t>
      </w:r>
      <w:r w:rsidR="00012C8A" w:rsidRPr="2EDC6E8C">
        <w:t>oficina de empleo</w:t>
      </w:r>
      <w:r w:rsidR="00BF0A84">
        <w:t xml:space="preserve"> y</w:t>
      </w:r>
      <w:r w:rsidR="00012C8A" w:rsidRPr="2EDC6E8C">
        <w:t xml:space="preserve"> </w:t>
      </w:r>
      <w:r w:rsidR="005B4264" w:rsidRPr="2EDC6E8C">
        <w:t>realiza</w:t>
      </w:r>
      <w:r w:rsidR="00BF0A84">
        <w:t>ron</w:t>
      </w:r>
      <w:r w:rsidR="005B4264" w:rsidRPr="2EDC6E8C">
        <w:t xml:space="preserve"> cursos de formación. El </w:t>
      </w:r>
      <w:r w:rsidR="0096714D" w:rsidRPr="2EDC6E8C">
        <w:t xml:space="preserve">autor </w:t>
      </w:r>
      <w:r w:rsidR="005B4264" w:rsidRPr="2EDC6E8C">
        <w:t xml:space="preserve">pudo trabajar en el marco del Instituto Municipal de Promoción de la Ocupación de Badalona. Los autores están gestionando su incorporación </w:t>
      </w:r>
      <w:r w:rsidR="005B4264" w:rsidRPr="00D13815">
        <w:t xml:space="preserve">en la </w:t>
      </w:r>
      <w:r w:rsidR="005B4264" w:rsidRPr="00582068">
        <w:t>Mesa de Emergencia</w:t>
      </w:r>
      <w:r w:rsidR="005B4264" w:rsidRPr="00557E2A">
        <w:t xml:space="preserve"> </w:t>
      </w:r>
      <w:r w:rsidR="008C36E8" w:rsidRPr="00557E2A">
        <w:t xml:space="preserve">Habitacional de Badalona </w:t>
      </w:r>
      <w:r w:rsidR="008C36E8" w:rsidRPr="00D13815">
        <w:t>una vez superados los</w:t>
      </w:r>
      <w:r w:rsidR="005B4264" w:rsidRPr="00D13815">
        <w:t xml:space="preserve"> obstáculos para </w:t>
      </w:r>
      <w:r w:rsidR="00633B37" w:rsidRPr="00D13815">
        <w:t xml:space="preserve">lograr </w:t>
      </w:r>
      <w:r w:rsidR="005B4264" w:rsidRPr="00D13815">
        <w:t>dicha incorporación</w:t>
      </w:r>
      <w:r w:rsidR="00C300A0" w:rsidRPr="00D13815">
        <w:rPr>
          <w:rStyle w:val="Refdenotaalpie"/>
        </w:rPr>
        <w:footnoteReference w:id="10"/>
      </w:r>
      <w:r w:rsidR="00633B37" w:rsidRPr="00D13815">
        <w:t>.</w:t>
      </w:r>
    </w:p>
    <w:p w14:paraId="1DAAFFBD" w14:textId="77777777" w:rsidR="00166AE2" w:rsidRPr="000C377A" w:rsidRDefault="00166AE2" w:rsidP="00166AE2">
      <w:pPr>
        <w:pStyle w:val="H1G"/>
      </w:pPr>
      <w:r w:rsidRPr="000C377A">
        <w:rPr>
          <w:lang w:val="es-ES_tradnl"/>
        </w:rPr>
        <w:tab/>
        <w:t>B.</w:t>
      </w:r>
      <w:r w:rsidRPr="000C377A">
        <w:rPr>
          <w:lang w:val="es-ES_tradnl"/>
        </w:rPr>
        <w:tab/>
      </w:r>
      <w:r w:rsidRPr="000C377A">
        <w:t>Examen de la admisibilidad por el Comité</w:t>
      </w:r>
    </w:p>
    <w:p w14:paraId="4421C994" w14:textId="212F8A4E" w:rsidR="00166AE2" w:rsidRDefault="00166AE2" w:rsidP="00166AE2">
      <w:pPr>
        <w:pStyle w:val="SingleTxtG"/>
        <w:rPr>
          <w:lang w:val="es-ES_tradnl"/>
        </w:rPr>
      </w:pPr>
      <w:r w:rsidRPr="000C377A">
        <w:rPr>
          <w:lang w:val="es-ES_tradnl"/>
        </w:rPr>
        <w:t>6.1</w:t>
      </w:r>
      <w:r w:rsidRPr="000C377A">
        <w:rPr>
          <w:lang w:val="es-ES_tradnl"/>
        </w:rPr>
        <w:tab/>
        <w:t>Antes de examinar cualquier reclamación formulada en una comunicación, el Comité debe decidir, de conformidad con el artículo 10, párrafo 2, de</w:t>
      </w:r>
      <w:r w:rsidRPr="00D2795D">
        <w:rPr>
          <w:lang w:val="es-ES_tradnl"/>
        </w:rPr>
        <w:t xml:space="preserve"> su </w:t>
      </w:r>
      <w:r w:rsidR="008C36E8">
        <w:rPr>
          <w:lang w:val="es-ES_tradnl"/>
        </w:rPr>
        <w:t>R</w:t>
      </w:r>
      <w:r w:rsidRPr="00D2795D">
        <w:rPr>
          <w:lang w:val="es-ES_tradnl"/>
        </w:rPr>
        <w:t>eglamento en virtud del Protocolo Facultativo, si el caso es admisible.</w:t>
      </w:r>
    </w:p>
    <w:p w14:paraId="16E58916" w14:textId="13AD1089" w:rsidR="00166AE2" w:rsidRPr="001A7051" w:rsidRDefault="00166AE2" w:rsidP="00854A1D">
      <w:pPr>
        <w:pStyle w:val="SingleTxtG"/>
      </w:pPr>
      <w:r>
        <w:rPr>
          <w:lang w:val="es-ES_tradnl"/>
        </w:rPr>
        <w:t>6.2</w:t>
      </w:r>
      <w:r>
        <w:rPr>
          <w:lang w:val="es-ES_tradnl"/>
        </w:rPr>
        <w:tab/>
      </w:r>
      <w:r w:rsidRPr="009250F2">
        <w:rPr>
          <w:lang w:val="es-ES_tradnl"/>
        </w:rPr>
        <w:t>El Comité toma nota de que el Estado parte señala que</w:t>
      </w:r>
      <w:r>
        <w:rPr>
          <w:lang w:val="es-ES_tradnl"/>
        </w:rPr>
        <w:t xml:space="preserve"> </w:t>
      </w:r>
      <w:r w:rsidRPr="00BB60D6">
        <w:rPr>
          <w:lang w:val="es-ES_tradnl"/>
        </w:rPr>
        <w:t>la comunicaci</w:t>
      </w:r>
      <w:r>
        <w:rPr>
          <w:lang w:val="es-ES_tradnl"/>
        </w:rPr>
        <w:t>ón debe</w:t>
      </w:r>
      <w:r w:rsidRPr="00BB60D6">
        <w:rPr>
          <w:lang w:val="es-ES_tradnl"/>
        </w:rPr>
        <w:t xml:space="preserve"> ser declarada inadmisible </w:t>
      </w:r>
      <w:r w:rsidRPr="002B104A">
        <w:rPr>
          <w:lang w:val="es-ES_tradnl"/>
        </w:rPr>
        <w:t>por falta de agotamiento de los recursos internos, tomando en cuenta que</w:t>
      </w:r>
      <w:r>
        <w:rPr>
          <w:lang w:val="es-ES_tradnl"/>
        </w:rPr>
        <w:t xml:space="preserve"> </w:t>
      </w:r>
      <w:r w:rsidR="00323C50">
        <w:rPr>
          <w:lang w:val="es-ES_tradnl"/>
        </w:rPr>
        <w:t>los autores solicitaron vivienda social</w:t>
      </w:r>
      <w:r w:rsidR="004B0831">
        <w:rPr>
          <w:lang w:val="es-ES_tradnl"/>
        </w:rPr>
        <w:t xml:space="preserve"> </w:t>
      </w:r>
      <w:r w:rsidR="00323C50" w:rsidRPr="00D13815">
        <w:rPr>
          <w:lang w:val="es-ES_tradnl"/>
        </w:rPr>
        <w:t xml:space="preserve">meses después de su comparecencia ante el Juzgado y </w:t>
      </w:r>
      <w:r w:rsidR="004B0831" w:rsidRPr="00582068">
        <w:rPr>
          <w:lang w:val="es-ES_tradnl"/>
        </w:rPr>
        <w:t xml:space="preserve">presentaron su solicitud de vivienda ante la </w:t>
      </w:r>
      <w:r w:rsidR="004B0831" w:rsidRPr="00557E2A">
        <w:rPr>
          <w:lang w:val="es-ES_tradnl"/>
        </w:rPr>
        <w:t xml:space="preserve">Mesa de </w:t>
      </w:r>
      <w:r w:rsidR="008C36E8" w:rsidRPr="005759B6">
        <w:rPr>
          <w:lang w:val="es-ES_tradnl"/>
        </w:rPr>
        <w:t>V</w:t>
      </w:r>
      <w:r w:rsidR="004B0831" w:rsidRPr="00D13815">
        <w:rPr>
          <w:lang w:val="es-ES_tradnl"/>
        </w:rPr>
        <w:t xml:space="preserve">aloración de </w:t>
      </w:r>
      <w:r w:rsidR="008C36E8" w:rsidRPr="005759B6">
        <w:rPr>
          <w:lang w:val="es-ES_tradnl"/>
        </w:rPr>
        <w:t>S</w:t>
      </w:r>
      <w:r w:rsidR="004B0831" w:rsidRPr="00D13815">
        <w:rPr>
          <w:lang w:val="es-ES_tradnl"/>
        </w:rPr>
        <w:t xml:space="preserve">ituaciones de </w:t>
      </w:r>
      <w:r w:rsidR="008C36E8" w:rsidRPr="005759B6">
        <w:rPr>
          <w:lang w:val="es-ES_tradnl"/>
        </w:rPr>
        <w:t>E</w:t>
      </w:r>
      <w:r w:rsidR="004B0831" w:rsidRPr="00D13815">
        <w:rPr>
          <w:lang w:val="es-ES_tradnl"/>
        </w:rPr>
        <w:t xml:space="preserve">mergencias </w:t>
      </w:r>
      <w:r w:rsidR="008C36E8" w:rsidRPr="005759B6">
        <w:rPr>
          <w:lang w:val="es-ES_tradnl"/>
        </w:rPr>
        <w:t>E</w:t>
      </w:r>
      <w:r w:rsidR="004B0831" w:rsidRPr="00D13815">
        <w:rPr>
          <w:lang w:val="es-ES_tradnl"/>
        </w:rPr>
        <w:t xml:space="preserve">conómicas y </w:t>
      </w:r>
      <w:r w:rsidR="008C36E8" w:rsidRPr="005759B6">
        <w:rPr>
          <w:lang w:val="es-ES_tradnl"/>
        </w:rPr>
        <w:t>S</w:t>
      </w:r>
      <w:r w:rsidR="004B0831" w:rsidRPr="00D13815">
        <w:rPr>
          <w:lang w:val="es-ES_tradnl"/>
        </w:rPr>
        <w:t>ociales cinco meses</w:t>
      </w:r>
      <w:r w:rsidR="004B0831">
        <w:rPr>
          <w:lang w:val="es-ES_tradnl"/>
        </w:rPr>
        <w:t xml:space="preserve"> luego </w:t>
      </w:r>
      <w:r w:rsidR="00323C50">
        <w:rPr>
          <w:lang w:val="es-ES_tradnl"/>
        </w:rPr>
        <w:t>de la presentación de la comunicación individual al Comité</w:t>
      </w:r>
      <w:r>
        <w:rPr>
          <w:lang w:val="es-ES_tradnl"/>
        </w:rPr>
        <w:t xml:space="preserve">. </w:t>
      </w:r>
      <w:r w:rsidR="00C53E6C">
        <w:t>E</w:t>
      </w:r>
      <w:r w:rsidR="000D3D0E" w:rsidRPr="559F28EC">
        <w:t xml:space="preserve">l Comité toma nota de que los autores han </w:t>
      </w:r>
      <w:r w:rsidR="0089016F">
        <w:t>estado en contacto con</w:t>
      </w:r>
      <w:r w:rsidR="000D3D0E" w:rsidRPr="559F28EC">
        <w:t xml:space="preserve"> los Servicios Sociales </w:t>
      </w:r>
      <w:r w:rsidR="001A7051" w:rsidRPr="559F28EC">
        <w:t>desde 2007</w:t>
      </w:r>
      <w:r w:rsidR="00BB6C16" w:rsidRPr="559F28EC">
        <w:t>,</w:t>
      </w:r>
      <w:r w:rsidR="00332C06" w:rsidRPr="559F28EC">
        <w:t xml:space="preserve"> y</w:t>
      </w:r>
      <w:r w:rsidR="00BB6C16" w:rsidRPr="559F28EC">
        <w:t xml:space="preserve"> que </w:t>
      </w:r>
      <w:r w:rsidR="00332C06" w:rsidRPr="559F28EC">
        <w:t xml:space="preserve">han tramitado varias solicitudes ante </w:t>
      </w:r>
      <w:r w:rsidR="00332C06" w:rsidRPr="008C36E8">
        <w:t>la Oficina Local de Vivienda de Badalona desde</w:t>
      </w:r>
      <w:r w:rsidR="00332C06" w:rsidRPr="559F28EC">
        <w:t xml:space="preserve"> 2011, entre ellas, una solicitud de</w:t>
      </w:r>
      <w:r w:rsidR="00BB6C16" w:rsidRPr="559F28EC">
        <w:t xml:space="preserve"> subvención para el pago del alquiler en 2011, que no les fue concedida. El Comité también toma nota de que</w:t>
      </w:r>
      <w:r w:rsidR="00B17245" w:rsidRPr="559F28EC">
        <w:t xml:space="preserve">, </w:t>
      </w:r>
      <w:r w:rsidR="00E70FCE" w:rsidRPr="559F28EC">
        <w:t>en diciembre de 2015</w:t>
      </w:r>
      <w:r w:rsidR="00B17245" w:rsidRPr="559F28EC">
        <w:t>,</w:t>
      </w:r>
      <w:r w:rsidR="00BB6C16" w:rsidRPr="559F28EC">
        <w:t xml:space="preserve"> </w:t>
      </w:r>
      <w:r w:rsidR="0016037F" w:rsidRPr="559F28EC">
        <w:t xml:space="preserve">en el contexto del procedimiento de desahucio, </w:t>
      </w:r>
      <w:r w:rsidR="00BB6C16" w:rsidRPr="559F28EC">
        <w:t xml:space="preserve">los </w:t>
      </w:r>
      <w:r w:rsidR="00B17245" w:rsidRPr="559F28EC">
        <w:t xml:space="preserve">autores </w:t>
      </w:r>
      <w:r w:rsidR="00E70FCE" w:rsidRPr="559F28EC">
        <w:t>presentaron</w:t>
      </w:r>
      <w:r w:rsidR="00B17245" w:rsidRPr="559F28EC">
        <w:t xml:space="preserve"> </w:t>
      </w:r>
      <w:r w:rsidR="00E70FCE" w:rsidRPr="559F28EC">
        <w:t xml:space="preserve">ante la Oficina Local de Vivienda de Badalona </w:t>
      </w:r>
      <w:r w:rsidR="00B17245" w:rsidRPr="559F28EC">
        <w:t xml:space="preserve">solicitudes de </w:t>
      </w:r>
      <w:r w:rsidR="00067B79" w:rsidRPr="559F28EC">
        <w:t xml:space="preserve">vivienda </w:t>
      </w:r>
      <w:r w:rsidR="00DB7555" w:rsidRPr="559F28EC">
        <w:t>con alquiler asequible</w:t>
      </w:r>
      <w:r w:rsidR="00E6401C" w:rsidRPr="559F28EC">
        <w:t xml:space="preserve"> y de</w:t>
      </w:r>
      <w:r w:rsidR="00DB7555" w:rsidRPr="559F28EC">
        <w:t xml:space="preserve"> vivienda de protección oficial</w:t>
      </w:r>
      <w:r w:rsidR="00E70FCE" w:rsidRPr="559F28EC">
        <w:t>,</w:t>
      </w:r>
      <w:r w:rsidR="00DB7555" w:rsidRPr="559F28EC">
        <w:t xml:space="preserve"> y</w:t>
      </w:r>
      <w:r w:rsidR="00E70FCE" w:rsidRPr="559F28EC">
        <w:t>, en 2019,</w:t>
      </w:r>
      <w:r w:rsidR="00DB7555" w:rsidRPr="559F28EC">
        <w:t xml:space="preserve"> vivienda por emergencia social</w:t>
      </w:r>
      <w:r w:rsidR="00E70FCE" w:rsidRPr="559F28EC">
        <w:t>.</w:t>
      </w:r>
      <w:r w:rsidR="00067B79" w:rsidRPr="559F28EC">
        <w:t xml:space="preserve"> </w:t>
      </w:r>
      <w:r w:rsidR="0091341C">
        <w:t>Por t</w:t>
      </w:r>
      <w:r w:rsidR="001A7051">
        <w:t>anto, el Comité considera que</w:t>
      </w:r>
      <w:r w:rsidR="005F1ABD">
        <w:t xml:space="preserve"> </w:t>
      </w:r>
      <w:r w:rsidR="001A7051">
        <w:t>los</w:t>
      </w:r>
      <w:r w:rsidR="0091341C">
        <w:t xml:space="preserve"> autor</w:t>
      </w:r>
      <w:r w:rsidR="001A7051">
        <w:t>es</w:t>
      </w:r>
      <w:r w:rsidR="0091341C">
        <w:t xml:space="preserve"> </w:t>
      </w:r>
      <w:r w:rsidR="001E5A08">
        <w:t xml:space="preserve">han </w:t>
      </w:r>
      <w:r w:rsidR="00D14D91">
        <w:t xml:space="preserve">ejercido la debida diligencia </w:t>
      </w:r>
      <w:r w:rsidR="00D14D91" w:rsidRPr="00FA2A30">
        <w:rPr>
          <w:lang w:val="es-ES_tradnl"/>
        </w:rPr>
        <w:t>en solicitar asistencia a las autoridades administrativas para asegurar el acceso a una vivienda alternativa</w:t>
      </w:r>
      <w:r w:rsidR="000672B1">
        <w:rPr>
          <w:lang w:val="es-ES_tradnl"/>
        </w:rPr>
        <w:t>,</w:t>
      </w:r>
      <w:r w:rsidR="00D14D91" w:rsidRPr="00FA2A30">
        <w:rPr>
          <w:lang w:val="es-ES_tradnl"/>
        </w:rPr>
        <w:t xml:space="preserve"> </w:t>
      </w:r>
      <w:r w:rsidR="000672B1">
        <w:rPr>
          <w:lang w:val="es-ES_tradnl"/>
        </w:rPr>
        <w:t xml:space="preserve">siendo este un requisito tanto para el agotamiento </w:t>
      </w:r>
      <w:r w:rsidR="000672B1">
        <w:t>de</w:t>
      </w:r>
      <w:r w:rsidR="0091341C">
        <w:t xml:space="preserve"> los recursos disponibles en la jurisdicción interna</w:t>
      </w:r>
      <w:r w:rsidR="0009265F">
        <w:t xml:space="preserve">, de conformidad con el </w:t>
      </w:r>
      <w:r w:rsidR="000672B1">
        <w:t>artículo 3</w:t>
      </w:r>
      <w:r w:rsidR="003D4BC5">
        <w:t>, párrafo </w:t>
      </w:r>
      <w:r w:rsidR="000672B1">
        <w:t>1</w:t>
      </w:r>
      <w:r w:rsidR="003D4BC5">
        <w:t>,</w:t>
      </w:r>
      <w:r w:rsidR="000672B1">
        <w:t xml:space="preserve"> del Protocolo </w:t>
      </w:r>
      <w:r w:rsidR="003D4BC5">
        <w:t>F</w:t>
      </w:r>
      <w:r w:rsidR="000672B1">
        <w:t>acultativo</w:t>
      </w:r>
      <w:r w:rsidR="0009265F">
        <w:t>,</w:t>
      </w:r>
      <w:r w:rsidR="000672B1">
        <w:t xml:space="preserve"> como para la fundamentación de la </w:t>
      </w:r>
      <w:r w:rsidR="003D4BC5">
        <w:t xml:space="preserve">denuncia </w:t>
      </w:r>
      <w:r w:rsidR="000672B1">
        <w:t>de los autores</w:t>
      </w:r>
      <w:r w:rsidR="0009265F">
        <w:t>,</w:t>
      </w:r>
      <w:r w:rsidR="000672B1">
        <w:t xml:space="preserve"> </w:t>
      </w:r>
      <w:r w:rsidR="0009265F">
        <w:t xml:space="preserve">con </w:t>
      </w:r>
      <w:r w:rsidR="0009265F">
        <w:lastRenderedPageBreak/>
        <w:t>arreglo a</w:t>
      </w:r>
      <w:r w:rsidR="000672B1">
        <w:t>l artículo 11</w:t>
      </w:r>
      <w:r w:rsidR="003D4BC5">
        <w:t>, párrafo </w:t>
      </w:r>
      <w:r w:rsidR="000672B1">
        <w:t>1</w:t>
      </w:r>
      <w:r w:rsidR="003D4BC5">
        <w:t>,</w:t>
      </w:r>
      <w:r w:rsidR="000672B1">
        <w:t xml:space="preserve"> del </w:t>
      </w:r>
      <w:r w:rsidR="000672B1" w:rsidRPr="00AC56B2">
        <w:t xml:space="preserve">Pacto </w:t>
      </w:r>
      <w:r w:rsidR="003C728C" w:rsidRPr="005759B6">
        <w:t xml:space="preserve">y el </w:t>
      </w:r>
      <w:r w:rsidR="000672B1" w:rsidRPr="003C728C">
        <w:t>artículo 3</w:t>
      </w:r>
      <w:r w:rsidR="003D4BC5" w:rsidRPr="003C728C">
        <w:t>, párrafo </w:t>
      </w:r>
      <w:r w:rsidR="000672B1" w:rsidRPr="003C728C">
        <w:t>2</w:t>
      </w:r>
      <w:r w:rsidR="003D4BC5" w:rsidRPr="003C728C">
        <w:t> </w:t>
      </w:r>
      <w:r w:rsidR="000672B1" w:rsidRPr="003C728C">
        <w:t>e)</w:t>
      </w:r>
      <w:r w:rsidR="003D4BC5" w:rsidRPr="003C728C">
        <w:t>,</w:t>
      </w:r>
      <w:r w:rsidR="000672B1" w:rsidRPr="003C728C">
        <w:t xml:space="preserve"> del Protocolo </w:t>
      </w:r>
      <w:r w:rsidR="003D4BC5" w:rsidRPr="003C728C">
        <w:t>F</w:t>
      </w:r>
      <w:r w:rsidR="000672B1" w:rsidRPr="003C728C">
        <w:t>acultativo</w:t>
      </w:r>
      <w:r w:rsidR="004E0B53" w:rsidRPr="00AC56B2">
        <w:rPr>
          <w:rStyle w:val="Refdenotaalpie"/>
        </w:rPr>
        <w:footnoteReference w:id="11"/>
      </w:r>
      <w:r w:rsidR="003D4BC5" w:rsidRPr="00AC56B2">
        <w:t>.</w:t>
      </w:r>
    </w:p>
    <w:p w14:paraId="1FFC7C4B" w14:textId="4896E40F" w:rsidR="00083CAC" w:rsidRDefault="0010323E" w:rsidP="00E6599D">
      <w:pPr>
        <w:pStyle w:val="SingleTxtG"/>
      </w:pPr>
      <w:r>
        <w:rPr>
          <w:lang w:val="es-ES_tradnl"/>
        </w:rPr>
        <w:t>6.3</w:t>
      </w:r>
      <w:r w:rsidR="00083CAC">
        <w:rPr>
          <w:lang w:val="es-ES_tradnl"/>
        </w:rPr>
        <w:tab/>
      </w:r>
      <w:r w:rsidR="00083CAC" w:rsidRPr="00123DEF">
        <w:t>De conformidad con el artículo 3, párrafo 2 e), del Protocolo Facultativo, el Comité declarará inadmisible toda comunicación que sea manifiestamente infundada, no esté suficientemente fundamentada o se base exclusivamente en informes difundidos por los medios de comunicación</w:t>
      </w:r>
      <w:r w:rsidR="002A6829">
        <w:t>.</w:t>
      </w:r>
      <w:r w:rsidR="002A6829" w:rsidRPr="00123DEF">
        <w:t xml:space="preserve"> El Comité toma nota de que el Estado parte alega que</w:t>
      </w:r>
      <w:r w:rsidR="00014873">
        <w:t xml:space="preserve"> </w:t>
      </w:r>
      <w:r w:rsidR="00D310EC">
        <w:t xml:space="preserve">los autores percibieron varias ayudas, entre ellas, una </w:t>
      </w:r>
      <w:r w:rsidR="001C043F">
        <w:t>r</w:t>
      </w:r>
      <w:r w:rsidR="00D310EC">
        <w:t xml:space="preserve">enta </w:t>
      </w:r>
      <w:r w:rsidR="001C043F">
        <w:t>g</w:t>
      </w:r>
      <w:r w:rsidR="00D310EC">
        <w:t xml:space="preserve">arantizada de </w:t>
      </w:r>
      <w:r w:rsidR="001C043F">
        <w:t>c</w:t>
      </w:r>
      <w:r w:rsidR="00D310EC">
        <w:t>iudadanía de 1.112</w:t>
      </w:r>
      <w:r w:rsidR="00170CEF">
        <w:t> </w:t>
      </w:r>
      <w:r w:rsidR="0094027F">
        <w:t>euros mensuales</w:t>
      </w:r>
      <w:r w:rsidR="00D310EC">
        <w:t xml:space="preserve">, además de </w:t>
      </w:r>
      <w:r w:rsidR="0094027F">
        <w:t xml:space="preserve">que </w:t>
      </w:r>
      <w:r w:rsidR="0094027F" w:rsidRPr="00557E2A">
        <w:t>el autor fue</w:t>
      </w:r>
      <w:r w:rsidR="0094027F">
        <w:t xml:space="preserve"> </w:t>
      </w:r>
      <w:r w:rsidR="00D310EC">
        <w:t xml:space="preserve">contratado laboralmente durante seis meses, con ingresos suficientes para acceder a una vivienda de alquiler dentro del mercado privado. </w:t>
      </w:r>
      <w:r w:rsidR="007C533A">
        <w:t xml:space="preserve">El Comité también </w:t>
      </w:r>
      <w:r w:rsidR="000672B1">
        <w:t xml:space="preserve">toma </w:t>
      </w:r>
      <w:r w:rsidR="007C533A">
        <w:t xml:space="preserve">nota </w:t>
      </w:r>
      <w:r w:rsidR="000672B1">
        <w:t>d</w:t>
      </w:r>
      <w:r w:rsidR="007C533A">
        <w:t>el argumento del Estado parte de que</w:t>
      </w:r>
      <w:r w:rsidR="008A109C">
        <w:t xml:space="preserve"> la conducta de los autores resulta manifiestamente abusiva al volver a ocupar la vivienda objeto del </w:t>
      </w:r>
      <w:r w:rsidR="005C4B6A">
        <w:t>desalojo</w:t>
      </w:r>
      <w:r w:rsidR="008A109C">
        <w:t xml:space="preserve"> sin título legítimo</w:t>
      </w:r>
      <w:r w:rsidR="0094027F">
        <w:t xml:space="preserve"> ni </w:t>
      </w:r>
      <w:r w:rsidR="005C4B6A">
        <w:t xml:space="preserve">informar al Comité de este nuevo </w:t>
      </w:r>
      <w:r w:rsidR="000672B1">
        <w:t>hecho</w:t>
      </w:r>
      <w:r w:rsidR="008A109C">
        <w:t>, y teniendo en cuenta que</w:t>
      </w:r>
      <w:r w:rsidR="007C533A">
        <w:t xml:space="preserve"> el lanzamiento de los autores fue suspendido en var</w:t>
      </w:r>
      <w:r w:rsidR="005C4B6A">
        <w:t xml:space="preserve">ias ocasiones. </w:t>
      </w:r>
      <w:r w:rsidR="002A6829" w:rsidRPr="00123DEF">
        <w:t>El C</w:t>
      </w:r>
      <w:r w:rsidR="00E6599D">
        <w:t>omité toma nota de que los autores</w:t>
      </w:r>
      <w:r w:rsidR="002A6829" w:rsidRPr="00123DEF">
        <w:t xml:space="preserve"> no ha</w:t>
      </w:r>
      <w:r w:rsidR="00E6599D">
        <w:t>n</w:t>
      </w:r>
      <w:r w:rsidR="002A6829" w:rsidRPr="00123DEF">
        <w:t xml:space="preserve"> dado respuesta a estas alegaciones y no ha</w:t>
      </w:r>
      <w:r w:rsidR="00220605">
        <w:t>n aportado prueba de sus ingresos</w:t>
      </w:r>
      <w:r w:rsidR="000672B1">
        <w:t xml:space="preserve"> ni</w:t>
      </w:r>
      <w:r w:rsidR="00220605">
        <w:t xml:space="preserve"> en el momento del desalojo </w:t>
      </w:r>
      <w:r w:rsidR="000672B1">
        <w:t>ni</w:t>
      </w:r>
      <w:r w:rsidR="00220605">
        <w:t xml:space="preserve"> en la actualidad</w:t>
      </w:r>
      <w:r w:rsidR="002A6829" w:rsidRPr="00123DEF">
        <w:t>. El Comité ta</w:t>
      </w:r>
      <w:r w:rsidR="00220605">
        <w:t>mbién toma nota de que los autores</w:t>
      </w:r>
      <w:r w:rsidR="002A6829" w:rsidRPr="00123DEF">
        <w:t xml:space="preserve"> no </w:t>
      </w:r>
      <w:r w:rsidR="006F13DB">
        <w:t>han proporcionado</w:t>
      </w:r>
      <w:r w:rsidR="006F13DB" w:rsidRPr="00123DEF">
        <w:t xml:space="preserve"> </w:t>
      </w:r>
      <w:r w:rsidR="002A6829" w:rsidRPr="00123DEF">
        <w:t xml:space="preserve">ningún detalle sobre su situación residencial con posterioridad al desalojo, </w:t>
      </w:r>
      <w:r w:rsidR="006F13DB">
        <w:t xml:space="preserve">y no han </w:t>
      </w:r>
      <w:r w:rsidR="00220605">
        <w:t>informa</w:t>
      </w:r>
      <w:r w:rsidR="006F13DB">
        <w:t>do</w:t>
      </w:r>
      <w:r w:rsidR="00220605">
        <w:t xml:space="preserve"> </w:t>
      </w:r>
      <w:r w:rsidR="000672B1">
        <w:t xml:space="preserve">de </w:t>
      </w:r>
      <w:r w:rsidR="00220605">
        <w:t>que habrían vuelto a ocupar la misma vivienda</w:t>
      </w:r>
      <w:r w:rsidR="00B91E62">
        <w:t xml:space="preserve"> de la cual fueron desalojados</w:t>
      </w:r>
      <w:r w:rsidR="000672B1">
        <w:t>,</w:t>
      </w:r>
      <w:r w:rsidR="00B91E62">
        <w:t xml:space="preserve"> </w:t>
      </w:r>
      <w:r w:rsidR="006F13DB">
        <w:t>ni</w:t>
      </w:r>
      <w:r w:rsidR="00B91E62">
        <w:t xml:space="preserve"> del posible cambio </w:t>
      </w:r>
      <w:r w:rsidR="000672B1">
        <w:t>en</w:t>
      </w:r>
      <w:r w:rsidR="00B91E62">
        <w:t xml:space="preserve"> sus ingresos </w:t>
      </w:r>
      <w:r w:rsidR="006F13DB">
        <w:t xml:space="preserve">después de </w:t>
      </w:r>
      <w:r w:rsidR="00B91E62" w:rsidRPr="002C6B83">
        <w:t xml:space="preserve">que el autor </w:t>
      </w:r>
      <w:r w:rsidR="006F13DB" w:rsidRPr="007122C5">
        <w:t>fuese</w:t>
      </w:r>
      <w:r w:rsidR="00B91E62" w:rsidRPr="00E05DF6">
        <w:t xml:space="preserve"> contratado laboralmente durante varios meses.</w:t>
      </w:r>
    </w:p>
    <w:p w14:paraId="1A0B9E2A" w14:textId="47B99AA7" w:rsidR="00220605" w:rsidRDefault="0010323E" w:rsidP="00220605">
      <w:pPr>
        <w:pStyle w:val="SingleTxtG"/>
      </w:pPr>
      <w:r>
        <w:t>6.4</w:t>
      </w:r>
      <w:r w:rsidR="00220605">
        <w:tab/>
      </w:r>
      <w:r w:rsidR="001F3716">
        <w:t>Los autores</w:t>
      </w:r>
      <w:r w:rsidR="00220605" w:rsidRPr="00123DEF">
        <w:t xml:space="preserve"> tampoco ha</w:t>
      </w:r>
      <w:r w:rsidR="001F3716">
        <w:t>n</w:t>
      </w:r>
      <w:r w:rsidR="00220605" w:rsidRPr="00123DEF">
        <w:t xml:space="preserve"> aportado documentación alguna que fundamente que se ha</w:t>
      </w:r>
      <w:r w:rsidR="00E66EC2">
        <w:t>n</w:t>
      </w:r>
      <w:r w:rsidR="00220605" w:rsidRPr="00123DEF">
        <w:t xml:space="preserve"> encontrado, como co</w:t>
      </w:r>
      <w:r w:rsidR="00373C45">
        <w:t>nsecuencia del desalojo, privados</w:t>
      </w:r>
      <w:r w:rsidR="00220605" w:rsidRPr="00123DEF">
        <w:t xml:space="preserve"> de su derecho a una vivienda adecuada, por encontrarse sin hogar o en una vivienda que no reuniera los elementos mínimos para constituir una vivienda adecuada a sus necesidades y las de sus </w:t>
      </w:r>
      <w:r w:rsidR="00D73381">
        <w:t>hijos</w:t>
      </w:r>
      <w:r w:rsidR="00220605" w:rsidRPr="00123DEF">
        <w:t>. El Comité recuerda</w:t>
      </w:r>
      <w:r w:rsidR="00220605" w:rsidRPr="00123DEF">
        <w:rPr>
          <w:rStyle w:val="Refdenotaalpie"/>
        </w:rPr>
        <w:footnoteReference w:id="12"/>
      </w:r>
      <w:r w:rsidR="00220605" w:rsidRPr="00123DEF">
        <w:t xml:space="preserve"> que es el deber de los autores en primer lugar fundamentar sus alegaciones y aportar la documentación correspondiente. El Comité entiende que las comunicaciones pueden ser presentadas por personas que no en todos los casos estén representadas por abogados o juristas formados en derecho internacional de los derechos humanos. Por consiguiente, el Comité, siguiendo el principio </w:t>
      </w:r>
      <w:r w:rsidR="00220605" w:rsidRPr="00123DEF">
        <w:rPr>
          <w:i/>
        </w:rPr>
        <w:t xml:space="preserve">pro </w:t>
      </w:r>
      <w:proofErr w:type="spellStart"/>
      <w:r w:rsidR="00220605" w:rsidRPr="00123DEF">
        <w:rPr>
          <w:i/>
        </w:rPr>
        <w:t>victima</w:t>
      </w:r>
      <w:proofErr w:type="spellEnd"/>
      <w:r w:rsidR="00220605" w:rsidRPr="00123DEF">
        <w:t>, no debe imponer formalidades innecesarias para no obstaculizar la presentación de comunicaciones al Comité. Sin embargo, para que el Comité examine el fondo de una comunicación, es necesario que los hechos y las reclamaciones presentadas demuestren que los autores pueden ser víctimas reales o potenciales de la violación de un derecho consagrado en el Pacto, o al menos aporten indicios razonables de ello</w:t>
      </w:r>
      <w:r w:rsidR="00220605" w:rsidRPr="00123DEF">
        <w:rPr>
          <w:rStyle w:val="Refdenotaalpie"/>
        </w:rPr>
        <w:footnoteReference w:id="13"/>
      </w:r>
      <w:r w:rsidR="00220605" w:rsidRPr="00123DEF">
        <w:t xml:space="preserve">. </w:t>
      </w:r>
      <w:r w:rsidR="00220605" w:rsidRPr="008C702B">
        <w:t xml:space="preserve">En el caso presente, el Comité toma nota de que existe una contradicción entre el relato </w:t>
      </w:r>
      <w:r w:rsidR="00345B15" w:rsidRPr="008C702B">
        <w:t>inicial d</w:t>
      </w:r>
      <w:r w:rsidR="00B639C5" w:rsidRPr="008C702B">
        <w:t xml:space="preserve">e los autores con respecto a </w:t>
      </w:r>
      <w:r w:rsidR="007A431E" w:rsidRPr="008C702B">
        <w:t>la</w:t>
      </w:r>
      <w:r w:rsidR="00B639C5" w:rsidRPr="008C702B">
        <w:t xml:space="preserve"> situación </w:t>
      </w:r>
      <w:r w:rsidR="007A431E" w:rsidRPr="008C702B">
        <w:t xml:space="preserve">de su contrato de alquiler, </w:t>
      </w:r>
      <w:r w:rsidR="00140EE5">
        <w:t xml:space="preserve">establecido </w:t>
      </w:r>
      <w:r w:rsidR="007A431E" w:rsidRPr="008C702B">
        <w:t>supuestamente de forma verbal desde febrero 2015,</w:t>
      </w:r>
      <w:r w:rsidR="00B639C5" w:rsidRPr="008C702B">
        <w:t xml:space="preserve"> y </w:t>
      </w:r>
      <w:r w:rsidR="00CA615B" w:rsidRPr="008C702B">
        <w:t>el contrato de a</w:t>
      </w:r>
      <w:r w:rsidR="00FA7BC1" w:rsidRPr="008C702B">
        <w:t>lquiler</w:t>
      </w:r>
      <w:r w:rsidR="00CA615B" w:rsidRPr="008C702B">
        <w:t xml:space="preserve"> </w:t>
      </w:r>
      <w:r w:rsidR="00FA7BC1" w:rsidRPr="008C702B">
        <w:t>escrito desde junio de 2014</w:t>
      </w:r>
      <w:r w:rsidR="008C36E8">
        <w:t>,</w:t>
      </w:r>
      <w:r w:rsidR="00FA7BC1" w:rsidRPr="008C702B">
        <w:t xml:space="preserve"> </w:t>
      </w:r>
      <w:r w:rsidR="00CA615B" w:rsidRPr="008C702B">
        <w:t>referido en</w:t>
      </w:r>
      <w:r w:rsidR="007A431E" w:rsidRPr="008C702B">
        <w:t xml:space="preserve"> el</w:t>
      </w:r>
      <w:r w:rsidR="00220605" w:rsidRPr="008C702B">
        <w:t xml:space="preserve"> </w:t>
      </w:r>
      <w:r w:rsidR="007A431E" w:rsidRPr="008C702B">
        <w:t>expediente judicial</w:t>
      </w:r>
      <w:r w:rsidR="00CA615B" w:rsidRPr="008C702B">
        <w:t xml:space="preserve"> aportado</w:t>
      </w:r>
      <w:r w:rsidR="00220605" w:rsidRPr="008C702B">
        <w:t xml:space="preserve"> por el Estado parte. El Comité toma nota de que</w:t>
      </w:r>
      <w:r w:rsidR="007A431E" w:rsidRPr="008C702B">
        <w:t xml:space="preserve"> los autores </w:t>
      </w:r>
      <w:r w:rsidR="00796BFA" w:rsidRPr="008C702B">
        <w:t xml:space="preserve">tampoco han </w:t>
      </w:r>
      <w:r w:rsidR="00373C45">
        <w:t>respondido</w:t>
      </w:r>
      <w:r w:rsidR="008C702B">
        <w:t xml:space="preserve"> a ninguna de las alegaciones del Estado parte en cuanto a su situación residencial y de ingresos</w:t>
      </w:r>
      <w:r w:rsidR="00F62DFD">
        <w:t xml:space="preserve"> actual</w:t>
      </w:r>
      <w:r w:rsidR="00220605" w:rsidRPr="00123DEF">
        <w:t xml:space="preserve">. Por tanto, el Comité considera que </w:t>
      </w:r>
      <w:r w:rsidR="007A431E">
        <w:t xml:space="preserve">los autores </w:t>
      </w:r>
      <w:r w:rsidR="00220605" w:rsidRPr="00123DEF">
        <w:t>no ha</w:t>
      </w:r>
      <w:r w:rsidR="007A431E">
        <w:t>n</w:t>
      </w:r>
      <w:r w:rsidR="00220605" w:rsidRPr="00123DEF">
        <w:t xml:space="preserve"> sustanciado suficientemente la existencia de una situación de necesidad por falta de ingresos que le</w:t>
      </w:r>
      <w:r w:rsidR="00140EE5">
        <w:t>s</w:t>
      </w:r>
      <w:r w:rsidR="00220605" w:rsidRPr="00123DEF">
        <w:t xml:space="preserve"> permitan el acceso al mercado privado de vivienda. L</w:t>
      </w:r>
      <w:r w:rsidR="00E66EC2">
        <w:t>os autores</w:t>
      </w:r>
      <w:r w:rsidR="00220605" w:rsidRPr="00123DEF">
        <w:t xml:space="preserve"> tampoco ha</w:t>
      </w:r>
      <w:r w:rsidR="00E66EC2">
        <w:t>n</w:t>
      </w:r>
      <w:r w:rsidR="00220605" w:rsidRPr="00123DEF">
        <w:t xml:space="preserve"> explicado dónde ha</w:t>
      </w:r>
      <w:r w:rsidR="00E66EC2">
        <w:t>n</w:t>
      </w:r>
      <w:r w:rsidR="00220605" w:rsidRPr="00123DEF">
        <w:t xml:space="preserve"> residido con posterioridad al desalojo y en qué forma su acceso a una vivienda adecuada se ha visto afectado por este hecho. En consecuencia, </w:t>
      </w:r>
      <w:r w:rsidR="00140EE5">
        <w:t>una vez</w:t>
      </w:r>
      <w:r w:rsidR="00B3582E">
        <w:t xml:space="preserve"> examina</w:t>
      </w:r>
      <w:r w:rsidR="00140EE5">
        <w:t>da</w:t>
      </w:r>
      <w:r w:rsidR="00B3582E">
        <w:t xml:space="preserve"> la información suministra</w:t>
      </w:r>
      <w:r w:rsidR="00140EE5">
        <w:t>da</w:t>
      </w:r>
      <w:r w:rsidR="00B3582E">
        <w:t xml:space="preserve"> por los autores, y </w:t>
      </w:r>
      <w:r w:rsidR="008C36E8">
        <w:t xml:space="preserve">al </w:t>
      </w:r>
      <w:r w:rsidR="007526F1">
        <w:t xml:space="preserve">no </w:t>
      </w:r>
      <w:r w:rsidR="00B70D7A">
        <w:t>ten</w:t>
      </w:r>
      <w:r w:rsidR="008C36E8">
        <w:t>er</w:t>
      </w:r>
      <w:r w:rsidR="00B70D7A">
        <w:t xml:space="preserve"> un claro relato de los hechos </w:t>
      </w:r>
      <w:r w:rsidR="000672B1">
        <w:t xml:space="preserve">relevantes del caso </w:t>
      </w:r>
      <w:r w:rsidR="00B70D7A">
        <w:t>en el expediente de la presente comunicación</w:t>
      </w:r>
      <w:r w:rsidR="007526F1">
        <w:t xml:space="preserve">, </w:t>
      </w:r>
      <w:r w:rsidR="00066D02">
        <w:t>el Comité considera</w:t>
      </w:r>
      <w:r w:rsidR="00066D02" w:rsidRPr="00123DEF">
        <w:t xml:space="preserve"> </w:t>
      </w:r>
      <w:r w:rsidR="00220605" w:rsidRPr="00123DEF">
        <w:t xml:space="preserve">que no tiene suficientes indicios ante sí para </w:t>
      </w:r>
      <w:r w:rsidR="00DB5A35">
        <w:t>determinar</w:t>
      </w:r>
      <w:r w:rsidR="00DB5A35" w:rsidRPr="00123DEF">
        <w:t xml:space="preserve"> </w:t>
      </w:r>
      <w:r w:rsidR="00F65576">
        <w:t>si</w:t>
      </w:r>
      <w:r w:rsidR="00220605" w:rsidRPr="00123DEF">
        <w:t xml:space="preserve">, en el caso presente, el derecho a una vivienda adecuada </w:t>
      </w:r>
      <w:r w:rsidR="00CD5A33">
        <w:t>de los autores y sus hijos</w:t>
      </w:r>
      <w:r w:rsidR="00220605" w:rsidRPr="00123DEF">
        <w:t xml:space="preserve"> se ha visto afectado</w:t>
      </w:r>
      <w:r w:rsidR="00081669">
        <w:t>. Por tanto,</w:t>
      </w:r>
      <w:r w:rsidR="00220605" w:rsidRPr="00123DEF">
        <w:t xml:space="preserve"> el Comité estima que la comunicación no está suficientemente fundamentada a efectos de la admisibilidad y que es inadmisible con arreglo al artículo 3, párrafo 2 e), del Protocolo Facultativo en relación con la alegación de la violación del artículo 11</w:t>
      </w:r>
      <w:r w:rsidR="000672B1">
        <w:t>, párrafo 1,</w:t>
      </w:r>
      <w:r w:rsidR="00220605" w:rsidRPr="00123DEF">
        <w:t xml:space="preserve"> del Pacto.</w:t>
      </w:r>
    </w:p>
    <w:p w14:paraId="5A8AA83C" w14:textId="297BABC2" w:rsidR="00220605" w:rsidRPr="00E6599D" w:rsidRDefault="005515F2" w:rsidP="00F468C3">
      <w:pPr>
        <w:pStyle w:val="SingleTxtG"/>
      </w:pPr>
      <w:r>
        <w:lastRenderedPageBreak/>
        <w:t>6.5</w:t>
      </w:r>
      <w:r>
        <w:tab/>
        <w:t xml:space="preserve">El Comité recuerda que </w:t>
      </w:r>
      <w:r w:rsidR="00B76DFD">
        <w:t>aunque</w:t>
      </w:r>
      <w:r w:rsidRPr="00123DEF">
        <w:t xml:space="preserve"> la comunicación inicial </w:t>
      </w:r>
      <w:r w:rsidR="00B76DFD">
        <w:t xml:space="preserve">hubiera parecido </w:t>
      </w:r>
      <w:r>
        <w:t xml:space="preserve">admisible </w:t>
      </w:r>
      <w:r w:rsidR="00B76DFD" w:rsidRPr="005515F2">
        <w:rPr>
          <w:i/>
        </w:rPr>
        <w:t>prima facie</w:t>
      </w:r>
      <w:r w:rsidR="00B76DFD">
        <w:t xml:space="preserve"> </w:t>
      </w:r>
      <w:r>
        <w:t>por estar</w:t>
      </w:r>
      <w:r w:rsidRPr="00123DEF">
        <w:t xml:space="preserve"> suficientemente fundamentada a efectos de ser registrada</w:t>
      </w:r>
      <w:r>
        <w:t>,</w:t>
      </w:r>
      <w:r w:rsidRPr="00123DEF">
        <w:t xml:space="preserve"> nada impide que </w:t>
      </w:r>
      <w:r w:rsidR="00B76DFD">
        <w:t xml:space="preserve">en </w:t>
      </w:r>
      <w:r w:rsidRPr="00123DEF">
        <w:t xml:space="preserve">un examen ulterior, </w:t>
      </w:r>
      <w:r>
        <w:t xml:space="preserve">con base </w:t>
      </w:r>
      <w:r w:rsidR="009C01ED">
        <w:t>en</w:t>
      </w:r>
      <w:r>
        <w:t xml:space="preserve"> la</w:t>
      </w:r>
      <w:r w:rsidRPr="00123DEF">
        <w:t xml:space="preserve"> información suministrada por </w:t>
      </w:r>
      <w:r>
        <w:t>ambas</w:t>
      </w:r>
      <w:r w:rsidRPr="00123DEF">
        <w:t xml:space="preserve"> partes respecto a la admisibilidad</w:t>
      </w:r>
      <w:r>
        <w:t xml:space="preserve">, </w:t>
      </w:r>
      <w:r w:rsidR="00EF7D72">
        <w:t>el</w:t>
      </w:r>
      <w:r w:rsidRPr="00123DEF">
        <w:t xml:space="preserve"> Comité conclu</w:t>
      </w:r>
      <w:r w:rsidR="00EF7D72">
        <w:t>ya</w:t>
      </w:r>
      <w:r w:rsidRPr="00123DEF">
        <w:t xml:space="preserve"> que la comunicación</w:t>
      </w:r>
      <w:r>
        <w:t xml:space="preserve"> </w:t>
      </w:r>
      <w:r w:rsidRPr="00123DEF">
        <w:t>es inadmisible por fal</w:t>
      </w:r>
      <w:r>
        <w:t>ta de suficiente fundamentación</w:t>
      </w:r>
      <w:r w:rsidRPr="00123DEF">
        <w:rPr>
          <w:rStyle w:val="Refdenotaalpie"/>
        </w:rPr>
        <w:footnoteReference w:id="14"/>
      </w:r>
      <w:r w:rsidRPr="00123DEF">
        <w:t>.</w:t>
      </w:r>
    </w:p>
    <w:p w14:paraId="767C68E5" w14:textId="77777777" w:rsidR="00166AE2" w:rsidRPr="00E07F38" w:rsidRDefault="00166AE2" w:rsidP="00166AE2">
      <w:pPr>
        <w:pStyle w:val="H1G"/>
        <w:rPr>
          <w:lang w:val="es-ES_tradnl"/>
        </w:rPr>
      </w:pPr>
      <w:r w:rsidRPr="00E07F38">
        <w:rPr>
          <w:lang w:val="es-ES_tradnl"/>
        </w:rPr>
        <w:tab/>
        <w:t>C.</w:t>
      </w:r>
      <w:r w:rsidRPr="00E07F38">
        <w:rPr>
          <w:lang w:val="es-ES_tradnl"/>
        </w:rPr>
        <w:tab/>
      </w:r>
      <w:r>
        <w:rPr>
          <w:lang w:val="es-ES_tradnl"/>
        </w:rPr>
        <w:t>Conclusión</w:t>
      </w:r>
    </w:p>
    <w:p w14:paraId="1DD0FF9F" w14:textId="77777777" w:rsidR="00166AE2" w:rsidRDefault="00166AE2" w:rsidP="00166AE2">
      <w:pPr>
        <w:pStyle w:val="SingleTxtG"/>
      </w:pPr>
      <w:r>
        <w:t>7</w:t>
      </w:r>
      <w:r w:rsidRPr="00D76D7E">
        <w:t>.</w:t>
      </w:r>
      <w:r w:rsidRPr="00D76D7E">
        <w:tab/>
      </w:r>
      <w:bookmarkStart w:id="0" w:name="_Hlk98749096"/>
      <w:r>
        <w:t>Por lo tanto</w:t>
      </w:r>
      <w:r w:rsidRPr="00D76D7E">
        <w:t>, el Comité</w:t>
      </w:r>
      <w:r>
        <w:t xml:space="preserve"> decide:</w:t>
      </w:r>
    </w:p>
    <w:p w14:paraId="75EB35EC" w14:textId="0878ED63" w:rsidR="00166AE2" w:rsidRDefault="00166AE2" w:rsidP="00166AE2">
      <w:pPr>
        <w:pStyle w:val="SingleTxtG"/>
      </w:pPr>
      <w:r>
        <w:tab/>
        <w:t>a)</w:t>
      </w:r>
      <w:r>
        <w:tab/>
        <w:t>Q</w:t>
      </w:r>
      <w:r w:rsidRPr="00D76D7E">
        <w:t>ue la comunicación es inadmisible</w:t>
      </w:r>
      <w:r w:rsidRPr="00CE38F9">
        <w:t xml:space="preserve"> </w:t>
      </w:r>
      <w:r w:rsidRPr="00D76D7E">
        <w:t xml:space="preserve">de conformidad con el artículo 3, </w:t>
      </w:r>
      <w:r w:rsidR="00716695">
        <w:t>párrafo </w:t>
      </w:r>
      <w:r>
        <w:t>2 e)</w:t>
      </w:r>
      <w:r w:rsidRPr="00D76D7E">
        <w:t>, del Protocolo Facultati</w:t>
      </w:r>
      <w:r>
        <w:t>vo;</w:t>
      </w:r>
    </w:p>
    <w:p w14:paraId="5B80A3A8" w14:textId="1186DBD1" w:rsidR="00166AE2" w:rsidRDefault="00166AE2" w:rsidP="00166AE2">
      <w:pPr>
        <w:pStyle w:val="SingleTxtG"/>
      </w:pPr>
      <w:r>
        <w:tab/>
        <w:t>b)</w:t>
      </w:r>
      <w:r>
        <w:tab/>
        <w:t>Que la</w:t>
      </w:r>
      <w:r w:rsidRPr="00D76D7E">
        <w:t xml:space="preserve"> presente </w:t>
      </w:r>
      <w:r>
        <w:t>decisión</w:t>
      </w:r>
      <w:r w:rsidRPr="00D76D7E">
        <w:t xml:space="preserve"> </w:t>
      </w:r>
      <w:r>
        <w:t>se ponga en conocimiento del Estado parte</w:t>
      </w:r>
      <w:r w:rsidRPr="00D76D7E">
        <w:t xml:space="preserve"> </w:t>
      </w:r>
      <w:r>
        <w:t>y de</w:t>
      </w:r>
      <w:r w:rsidR="000672B1">
        <w:t xml:space="preserve"> </w:t>
      </w:r>
      <w:r>
        <w:t>l</w:t>
      </w:r>
      <w:r w:rsidR="000672B1">
        <w:t>os</w:t>
      </w:r>
      <w:r>
        <w:t xml:space="preserve"> </w:t>
      </w:r>
      <w:r w:rsidRPr="00D76D7E">
        <w:t>autor</w:t>
      </w:r>
      <w:r w:rsidR="000672B1">
        <w:t>es</w:t>
      </w:r>
      <w:r w:rsidRPr="00D76D7E">
        <w:t>.</w:t>
      </w:r>
    </w:p>
    <w:p w14:paraId="70D0044B" w14:textId="1405904A" w:rsidR="00166AE2" w:rsidRPr="00166AE2" w:rsidRDefault="00166AE2" w:rsidP="00166AE2">
      <w:pPr>
        <w:pStyle w:val="SingleTxtG"/>
        <w:suppressAutoHyphens/>
        <w:spacing w:before="240" w:after="0"/>
        <w:jc w:val="center"/>
        <w:rPr>
          <w:u w:val="single"/>
        </w:rPr>
      </w:pPr>
      <w:r>
        <w:rPr>
          <w:u w:val="single"/>
        </w:rPr>
        <w:tab/>
      </w:r>
      <w:r>
        <w:rPr>
          <w:u w:val="single"/>
        </w:rPr>
        <w:tab/>
      </w:r>
      <w:r>
        <w:rPr>
          <w:u w:val="single"/>
        </w:rPr>
        <w:tab/>
      </w:r>
      <w:bookmarkEnd w:id="0"/>
    </w:p>
    <w:sectPr w:rsidR="00166AE2" w:rsidRPr="00166AE2" w:rsidSect="00D31FB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B2549" w14:textId="77777777" w:rsidR="000213EE" w:rsidRPr="00093664" w:rsidRDefault="000213EE" w:rsidP="00093664">
      <w:pPr>
        <w:pStyle w:val="Piedepgina"/>
      </w:pPr>
    </w:p>
  </w:endnote>
  <w:endnote w:type="continuationSeparator" w:id="0">
    <w:p w14:paraId="37919840" w14:textId="77777777" w:rsidR="000213EE" w:rsidRPr="00093664" w:rsidRDefault="000213EE" w:rsidP="00093664">
      <w:pPr>
        <w:pStyle w:val="Piedepgina"/>
      </w:pPr>
    </w:p>
  </w:endnote>
  <w:endnote w:type="continuationNotice" w:id="1">
    <w:p w14:paraId="4BD39C8E" w14:textId="77777777" w:rsidR="000213EE" w:rsidRDefault="000213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C604" w14:textId="7675F3E9" w:rsidR="00D31FBB" w:rsidRPr="00D31FBB" w:rsidRDefault="00D31FBB" w:rsidP="00D31FBB">
    <w:pPr>
      <w:pStyle w:val="Piedepgina"/>
      <w:tabs>
        <w:tab w:val="right" w:pos="9638"/>
      </w:tabs>
    </w:pPr>
    <w:r w:rsidRPr="00D31FBB">
      <w:rPr>
        <w:b/>
        <w:sz w:val="18"/>
      </w:rPr>
      <w:fldChar w:fldCharType="begin"/>
    </w:r>
    <w:r w:rsidRPr="00D31FBB">
      <w:rPr>
        <w:b/>
        <w:sz w:val="18"/>
      </w:rPr>
      <w:instrText xml:space="preserve"> PAGE  \* MERGEFORMAT </w:instrText>
    </w:r>
    <w:r w:rsidRPr="00D31FBB">
      <w:rPr>
        <w:b/>
        <w:sz w:val="18"/>
      </w:rPr>
      <w:fldChar w:fldCharType="separate"/>
    </w:r>
    <w:r w:rsidR="00524124">
      <w:rPr>
        <w:b/>
        <w:noProof/>
        <w:sz w:val="18"/>
      </w:rPr>
      <w:t>8</w:t>
    </w:r>
    <w:r w:rsidRPr="00D31FBB">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5845" w14:textId="06CAD733" w:rsidR="00D31FBB" w:rsidRPr="00D31FBB" w:rsidRDefault="00D31FBB" w:rsidP="00D31FBB">
    <w:pPr>
      <w:pStyle w:val="Piedepgina"/>
      <w:tabs>
        <w:tab w:val="right" w:pos="9638"/>
      </w:tabs>
      <w:rPr>
        <w:b/>
        <w:sz w:val="18"/>
      </w:rPr>
    </w:pPr>
    <w:r>
      <w:tab/>
    </w:r>
    <w:r w:rsidRPr="00D31FBB">
      <w:rPr>
        <w:b/>
        <w:sz w:val="18"/>
      </w:rPr>
      <w:fldChar w:fldCharType="begin"/>
    </w:r>
    <w:r w:rsidRPr="00D31FBB">
      <w:rPr>
        <w:b/>
        <w:sz w:val="18"/>
      </w:rPr>
      <w:instrText xml:space="preserve"> PAGE  \* MERGEFORMAT </w:instrText>
    </w:r>
    <w:r w:rsidRPr="00D31FBB">
      <w:rPr>
        <w:b/>
        <w:sz w:val="18"/>
      </w:rPr>
      <w:fldChar w:fldCharType="separate"/>
    </w:r>
    <w:r w:rsidR="00524124">
      <w:rPr>
        <w:b/>
        <w:noProof/>
        <w:sz w:val="18"/>
      </w:rPr>
      <w:t>7</w:t>
    </w:r>
    <w:r w:rsidRPr="00D31FB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3A87D" w14:textId="21441A77" w:rsidR="005016AF" w:rsidRPr="00A072B3" w:rsidRDefault="00A072B3" w:rsidP="00A072B3">
    <w:pPr>
      <w:pStyle w:val="Piedepgina"/>
      <w:tabs>
        <w:tab w:val="left" w:pos="6520"/>
        <w:tab w:val="right" w:pos="9638"/>
      </w:tabs>
      <w:spacing w:before="120" w:line="240" w:lineRule="auto"/>
      <w:rPr>
        <w:sz w:val="20"/>
      </w:rPr>
    </w:pPr>
    <w:r>
      <w:rPr>
        <w:sz w:val="20"/>
      </w:rPr>
      <w:t>GE.22-28655  (S)</w:t>
    </w:r>
    <w:r>
      <w:rPr>
        <w:sz w:val="20"/>
      </w:rPr>
      <w:tab/>
    </w:r>
    <w:r w:rsidRPr="00A072B3">
      <w:rPr>
        <w:noProof/>
        <w:sz w:val="20"/>
        <w:lang w:val="fr-CH" w:eastAsia="zh-CN"/>
      </w:rPr>
      <w:drawing>
        <wp:inline distT="0" distB="0" distL="0" distR="0" wp14:anchorId="54E7948F" wp14:editId="533B19A6">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292E3C0F" wp14:editId="63C2519E">
          <wp:extent cx="563245" cy="563245"/>
          <wp:effectExtent l="0" t="0" r="8255"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B5DB4" w14:textId="77777777" w:rsidR="000213EE" w:rsidRPr="001075E9" w:rsidRDefault="000213EE" w:rsidP="001075E9">
      <w:pPr>
        <w:tabs>
          <w:tab w:val="right" w:pos="2155"/>
        </w:tabs>
        <w:spacing w:after="80" w:line="240" w:lineRule="auto"/>
        <w:ind w:left="680"/>
        <w:rPr>
          <w:u w:val="single"/>
        </w:rPr>
      </w:pPr>
      <w:r>
        <w:rPr>
          <w:u w:val="single"/>
        </w:rPr>
        <w:tab/>
      </w:r>
    </w:p>
  </w:footnote>
  <w:footnote w:type="continuationSeparator" w:id="0">
    <w:p w14:paraId="0437BBC3" w14:textId="77777777" w:rsidR="000213EE" w:rsidRDefault="000213EE" w:rsidP="00093664">
      <w:pPr>
        <w:tabs>
          <w:tab w:val="right" w:pos="2155"/>
        </w:tabs>
        <w:spacing w:after="80" w:line="240" w:lineRule="auto"/>
        <w:ind w:left="680"/>
        <w:rPr>
          <w:u w:val="single"/>
        </w:rPr>
      </w:pPr>
      <w:r>
        <w:rPr>
          <w:u w:val="single"/>
        </w:rPr>
        <w:tab/>
      </w:r>
    </w:p>
  </w:footnote>
  <w:footnote w:type="continuationNotice" w:id="1">
    <w:p w14:paraId="2BCAC87F" w14:textId="77777777" w:rsidR="000213EE" w:rsidRDefault="000213EE">
      <w:pPr>
        <w:spacing w:line="240" w:lineRule="auto"/>
      </w:pPr>
    </w:p>
  </w:footnote>
  <w:footnote w:id="2">
    <w:p w14:paraId="2765A625" w14:textId="223797C4" w:rsidR="004369F2" w:rsidRPr="006813D3" w:rsidRDefault="004369F2" w:rsidP="004369F2">
      <w:pPr>
        <w:pStyle w:val="Textonotapie"/>
        <w:rPr>
          <w:szCs w:val="18"/>
        </w:rPr>
      </w:pPr>
      <w:r>
        <w:rPr>
          <w:rStyle w:val="Refdenotaalpie"/>
        </w:rPr>
        <w:tab/>
      </w:r>
      <w:r w:rsidRPr="00214314">
        <w:rPr>
          <w:rStyle w:val="Refdenotaalpie"/>
          <w:sz w:val="20"/>
          <w:vertAlign w:val="baseline"/>
        </w:rPr>
        <w:t>*</w:t>
      </w:r>
      <w:r w:rsidRPr="00030222">
        <w:rPr>
          <w:rStyle w:val="Refdenotaalpie"/>
          <w:szCs w:val="18"/>
          <w:vertAlign w:val="baseline"/>
        </w:rPr>
        <w:tab/>
      </w:r>
      <w:r w:rsidRPr="006813D3">
        <w:rPr>
          <w:szCs w:val="18"/>
        </w:rPr>
        <w:t>Adoptad</w:t>
      </w:r>
      <w:r w:rsidR="0084586C" w:rsidRPr="006813D3">
        <w:rPr>
          <w:szCs w:val="18"/>
        </w:rPr>
        <w:t>a</w:t>
      </w:r>
      <w:r w:rsidRPr="006813D3">
        <w:rPr>
          <w:szCs w:val="18"/>
        </w:rPr>
        <w:t xml:space="preserve"> por el Comité en su 72º período de sesiones (26 de septiembre a 14 de octubre de 2022).</w:t>
      </w:r>
    </w:p>
  </w:footnote>
  <w:footnote w:id="3">
    <w:p w14:paraId="01A3908E" w14:textId="2BD7AFF3" w:rsidR="004369F2" w:rsidRPr="00BB29A0" w:rsidRDefault="004369F2" w:rsidP="005759B6">
      <w:pPr>
        <w:pStyle w:val="Textonotapie"/>
        <w:rPr>
          <w:lang w:val="es-ES_tradnl"/>
        </w:rPr>
      </w:pPr>
      <w:r w:rsidRPr="006813D3">
        <w:rPr>
          <w:rStyle w:val="Refdenotaalpie"/>
        </w:rPr>
        <w:tab/>
      </w:r>
      <w:r w:rsidRPr="006813D3">
        <w:rPr>
          <w:rStyle w:val="Refdenotaalpie"/>
          <w:sz w:val="20"/>
          <w:vertAlign w:val="baseline"/>
        </w:rPr>
        <w:t>**</w:t>
      </w:r>
      <w:r w:rsidRPr="006813D3">
        <w:rPr>
          <w:rStyle w:val="Refdenotaalpie"/>
          <w:sz w:val="20"/>
          <w:vertAlign w:val="baseline"/>
        </w:rPr>
        <w:tab/>
      </w:r>
      <w:r w:rsidRPr="006813D3">
        <w:rPr>
          <w:lang w:val="es-ES_tradnl"/>
        </w:rPr>
        <w:t xml:space="preserve">Los siguientes miembros del Comité participaron en el examen de la comunicación: Aslan Abashidze, Mohamed Ezzeldin Abdel-Moneim, Nadir Adilov, Asraf Ally Caunhye, Laura-Maria </w:t>
      </w:r>
      <w:r w:rsidR="00A92007" w:rsidRPr="006813D3">
        <w:rPr>
          <w:lang w:val="es-ES_tradnl"/>
        </w:rPr>
        <w:t>Crăciunean</w:t>
      </w:r>
      <w:r w:rsidRPr="006813D3">
        <w:rPr>
          <w:lang w:val="es-ES_tradnl"/>
        </w:rPr>
        <w:t xml:space="preserve">-Tatu, Peters Sunday Omologbe Emuze, Ludovic Hennebel, Karla Vanessa Lemus de Vásquez, Seree Nonthasoot, Lydia Ravenberg, Preeti Saran, </w:t>
      </w:r>
      <w:r w:rsidR="00A92007" w:rsidRPr="005759B6">
        <w:rPr>
          <w:lang w:val="es-ES_tradnl"/>
        </w:rPr>
        <w:t xml:space="preserve">Shen </w:t>
      </w:r>
      <w:r w:rsidRPr="006813D3">
        <w:rPr>
          <w:lang w:val="es-ES_tradnl"/>
        </w:rPr>
        <w:t xml:space="preserve">Yongxiang, Heisoo Shin, Rodrigo Uprimny y Michael Windfuhr. </w:t>
      </w:r>
      <w:r w:rsidR="006639BE" w:rsidRPr="006813D3">
        <w:rPr>
          <w:szCs w:val="16"/>
        </w:rPr>
        <w:t xml:space="preserve">De conformidad con el artículo </w:t>
      </w:r>
      <w:r w:rsidR="006639BE" w:rsidRPr="006813D3">
        <w:rPr>
          <w:lang w:val="es-ES_tradnl"/>
        </w:rPr>
        <w:t>23</w:t>
      </w:r>
      <w:r w:rsidR="006639BE" w:rsidRPr="006813D3">
        <w:rPr>
          <w:szCs w:val="16"/>
        </w:rPr>
        <w:t xml:space="preserve"> del </w:t>
      </w:r>
      <w:r w:rsidR="008C36E8">
        <w:rPr>
          <w:szCs w:val="16"/>
        </w:rPr>
        <w:t>R</w:t>
      </w:r>
      <w:r w:rsidR="006639BE" w:rsidRPr="008C36E8">
        <w:rPr>
          <w:szCs w:val="16"/>
        </w:rPr>
        <w:t xml:space="preserve">eglamento en virtud del Protocolo Facultativo, </w:t>
      </w:r>
      <w:r w:rsidR="006639BE" w:rsidRPr="008C36E8">
        <w:rPr>
          <w:lang w:val="es-ES_tradnl"/>
        </w:rPr>
        <w:t>Mohammed Amarti y Mikel Mancisidor</w:t>
      </w:r>
      <w:r w:rsidR="002C7DE3" w:rsidRPr="005759B6">
        <w:rPr>
          <w:lang w:val="es-ES_tradnl"/>
        </w:rPr>
        <w:t xml:space="preserve"> de la Fuente</w:t>
      </w:r>
      <w:r w:rsidR="00AC56B2">
        <w:rPr>
          <w:szCs w:val="16"/>
        </w:rPr>
        <w:t xml:space="preserve"> </w:t>
      </w:r>
      <w:r w:rsidR="006639BE" w:rsidRPr="004F1518">
        <w:rPr>
          <w:szCs w:val="16"/>
        </w:rPr>
        <w:t>no particip</w:t>
      </w:r>
      <w:r w:rsidR="006639BE">
        <w:rPr>
          <w:szCs w:val="16"/>
        </w:rPr>
        <w:t>aron</w:t>
      </w:r>
      <w:r w:rsidR="006639BE" w:rsidRPr="004F1518">
        <w:rPr>
          <w:szCs w:val="16"/>
        </w:rPr>
        <w:t xml:space="preserve"> en el examen de la comunicación</w:t>
      </w:r>
      <w:r w:rsidR="006639BE">
        <w:rPr>
          <w:szCs w:val="16"/>
        </w:rPr>
        <w:t>.</w:t>
      </w:r>
    </w:p>
  </w:footnote>
  <w:footnote w:id="4">
    <w:p w14:paraId="080066FF" w14:textId="77777777" w:rsidR="00166AE2" w:rsidRPr="00725C41" w:rsidRDefault="00166AE2" w:rsidP="00166AE2">
      <w:pPr>
        <w:pStyle w:val="Textonotapie"/>
      </w:pPr>
      <w:r w:rsidRPr="00725C41">
        <w:tab/>
      </w:r>
      <w:r w:rsidRPr="004719A4">
        <w:rPr>
          <w:rStyle w:val="Refdenotaalpie"/>
        </w:rPr>
        <w:footnoteRef/>
      </w:r>
      <w:r w:rsidRPr="00725C41">
        <w:tab/>
        <w:t>Los hechos han sido reconstituidos con base en la comunicación individual y la información aportada posteriormente por las partes.</w:t>
      </w:r>
    </w:p>
  </w:footnote>
  <w:footnote w:id="5">
    <w:p w14:paraId="70893288" w14:textId="0C85B5A1" w:rsidR="00FB4EA6" w:rsidRPr="00FB4EA6" w:rsidRDefault="00B23570">
      <w:pPr>
        <w:pStyle w:val="Textonotapie"/>
      </w:pPr>
      <w:r>
        <w:tab/>
      </w:r>
      <w:r w:rsidR="00FB4EA6">
        <w:rPr>
          <w:rStyle w:val="Refdenotaalpie"/>
        </w:rPr>
        <w:footnoteRef/>
      </w:r>
      <w:r>
        <w:tab/>
        <w:t>Los</w:t>
      </w:r>
      <w:r w:rsidR="00FB4EA6" w:rsidRPr="00B21D52">
        <w:t xml:space="preserve"> autor</w:t>
      </w:r>
      <w:r w:rsidR="00405D2A">
        <w:t>es</w:t>
      </w:r>
      <w:r w:rsidR="00FB4EA6" w:rsidRPr="00B21D52">
        <w:t xml:space="preserve"> no </w:t>
      </w:r>
      <w:r w:rsidR="00405D2A">
        <w:t xml:space="preserve">aportan </w:t>
      </w:r>
      <w:r w:rsidR="00FB4EA6" w:rsidRPr="00B21D52">
        <w:t>explica</w:t>
      </w:r>
      <w:r w:rsidR="00405D2A">
        <w:t>ción sobre la</w:t>
      </w:r>
      <w:r w:rsidR="00FB4EA6" w:rsidRPr="00B21D52">
        <w:t xml:space="preserve"> </w:t>
      </w:r>
      <w:r w:rsidR="008A025F">
        <w:t>in</w:t>
      </w:r>
      <w:r w:rsidR="00FB4EA6" w:rsidRPr="00B21D52">
        <w:t xml:space="preserve">congruencia </w:t>
      </w:r>
      <w:r w:rsidR="00CE6069">
        <w:t>entre esta alegación y</w:t>
      </w:r>
      <w:r w:rsidR="008A025F">
        <w:t xml:space="preserve"> </w:t>
      </w:r>
      <w:r w:rsidR="00B21D52">
        <w:t xml:space="preserve">la fecha y el tipo de contrato de arriendo expuesto </w:t>
      </w:r>
      <w:r w:rsidR="008A025F">
        <w:t>ante el Comité (</w:t>
      </w:r>
      <w:r w:rsidR="007871C0">
        <w:t xml:space="preserve">véase el </w:t>
      </w:r>
      <w:r w:rsidR="008A025F">
        <w:t>párr</w:t>
      </w:r>
      <w:r w:rsidR="007871C0">
        <w:t>.</w:t>
      </w:r>
      <w:r w:rsidR="00B21D52">
        <w:t xml:space="preserve"> 2.1</w:t>
      </w:r>
      <w:r w:rsidR="008A025F">
        <w:t>)</w:t>
      </w:r>
      <w:r w:rsidR="00FB4EA6" w:rsidRPr="00B21D52">
        <w:t xml:space="preserve">. </w:t>
      </w:r>
    </w:p>
  </w:footnote>
  <w:footnote w:id="6">
    <w:p w14:paraId="59093D7C" w14:textId="0953E6DD" w:rsidR="001E3D3D" w:rsidRPr="001E3D3D" w:rsidRDefault="001E3D3D" w:rsidP="001E3D3D">
      <w:pPr>
        <w:pStyle w:val="Textonotapie"/>
      </w:pPr>
      <w:r>
        <w:tab/>
      </w:r>
      <w:r>
        <w:rPr>
          <w:rStyle w:val="Refdenotaalpie"/>
        </w:rPr>
        <w:footnoteRef/>
      </w:r>
      <w:r>
        <w:tab/>
      </w:r>
      <w:r>
        <w:tab/>
      </w:r>
      <w:r w:rsidRPr="001E3D3D">
        <w:t xml:space="preserve">Reglamento </w:t>
      </w:r>
      <w:r>
        <w:t xml:space="preserve">de la </w:t>
      </w:r>
      <w:r w:rsidRPr="006A7052">
        <w:t>Mesa de Valoració</w:t>
      </w:r>
      <w:r w:rsidR="006A7052" w:rsidRPr="005759B6">
        <w:t>n</w:t>
      </w:r>
      <w:r w:rsidRPr="006A7052">
        <w:t xml:space="preserve"> </w:t>
      </w:r>
      <w:r w:rsidR="006A7052" w:rsidRPr="005759B6">
        <w:rPr>
          <w:lang w:val="es-ES_tradnl"/>
        </w:rPr>
        <w:t>de Situaciones de Emergencias Económicas y Sociales</w:t>
      </w:r>
      <w:r w:rsidR="006A7052">
        <w:rPr>
          <w:lang w:val="es-ES_tradnl"/>
        </w:rPr>
        <w:t xml:space="preserve"> de Badalona</w:t>
      </w:r>
      <w:r w:rsidR="006A7052" w:rsidRPr="006A7052">
        <w:rPr>
          <w:lang w:val="es-ES_tradnl"/>
        </w:rPr>
        <w:t xml:space="preserve">, </w:t>
      </w:r>
      <w:r w:rsidR="00DA013E" w:rsidRPr="005759B6">
        <w:t>art</w:t>
      </w:r>
      <w:r w:rsidR="006A7052" w:rsidRPr="005759B6">
        <w:t xml:space="preserve">. 4 </w:t>
      </w:r>
      <w:r w:rsidR="00DA013E" w:rsidRPr="005759B6">
        <w:t>a)</w:t>
      </w:r>
      <w:r w:rsidR="006A7052" w:rsidRPr="005759B6">
        <w:t xml:space="preserve"> (en catalán solamente)</w:t>
      </w:r>
      <w:r w:rsidRPr="006A7052">
        <w:t>.</w:t>
      </w:r>
    </w:p>
  </w:footnote>
  <w:footnote w:id="7">
    <w:p w14:paraId="24877574" w14:textId="2776B703" w:rsidR="008648F5" w:rsidRPr="007C331F" w:rsidRDefault="008648F5" w:rsidP="008648F5">
      <w:pPr>
        <w:pStyle w:val="Textonotapie"/>
        <w:widowControl w:val="0"/>
        <w:tabs>
          <w:tab w:val="clear" w:pos="1021"/>
          <w:tab w:val="right" w:pos="1020"/>
        </w:tabs>
        <w:suppressAutoHyphens/>
      </w:pPr>
      <w:r>
        <w:tab/>
      </w:r>
      <w:r>
        <w:rPr>
          <w:rStyle w:val="Refdenotaalpie"/>
        </w:rPr>
        <w:footnoteRef/>
      </w:r>
      <w:r>
        <w:tab/>
      </w:r>
      <w:r w:rsidRPr="000F0DBD">
        <w:rPr>
          <w:i/>
          <w:iCs/>
        </w:rPr>
        <w:t>Sánchez Morcillo y Abril García c.</w:t>
      </w:r>
      <w:r>
        <w:rPr>
          <w:i/>
          <w:iCs/>
        </w:rPr>
        <w:t xml:space="preserve"> </w:t>
      </w:r>
      <w:r w:rsidRPr="000F0DBD">
        <w:rPr>
          <w:i/>
          <w:iCs/>
        </w:rPr>
        <w:t>Banco Bilbao Vizcaya Argentaria</w:t>
      </w:r>
      <w:r w:rsidRPr="000F0DBD">
        <w:t xml:space="preserve">, </w:t>
      </w:r>
      <w:r>
        <w:t xml:space="preserve">auto C-539/14 de 16 de julio de 2015, párr. 49. </w:t>
      </w:r>
    </w:p>
  </w:footnote>
  <w:footnote w:id="8">
    <w:p w14:paraId="7BB1AA2B" w14:textId="1A9E3DE4" w:rsidR="008648F5" w:rsidRPr="000C664C" w:rsidRDefault="008648F5" w:rsidP="008648F5">
      <w:pPr>
        <w:pStyle w:val="Textonotapie"/>
        <w:widowControl w:val="0"/>
        <w:tabs>
          <w:tab w:val="clear" w:pos="1021"/>
          <w:tab w:val="right" w:pos="1020"/>
        </w:tabs>
        <w:suppressAutoHyphens/>
      </w:pPr>
      <w:r>
        <w:tab/>
      </w:r>
      <w:r>
        <w:rPr>
          <w:rStyle w:val="Refdenotaalpie"/>
        </w:rPr>
        <w:footnoteRef/>
      </w:r>
      <w:r>
        <w:tab/>
      </w:r>
      <w:r w:rsidR="0007257E" w:rsidRPr="006807C2">
        <w:t>S</w:t>
      </w:r>
      <w:r w:rsidRPr="006807C2">
        <w:t>entencias núm. 152/1988</w:t>
      </w:r>
      <w:r w:rsidR="006807C2" w:rsidRPr="005759B6">
        <w:t xml:space="preserve">, de 20 de julio, </w:t>
      </w:r>
      <w:r w:rsidR="006807C2" w:rsidRPr="005759B6">
        <w:rPr>
          <w:i/>
          <w:iCs/>
        </w:rPr>
        <w:t>B</w:t>
      </w:r>
      <w:r w:rsidR="009662AE">
        <w:rPr>
          <w:i/>
          <w:iCs/>
        </w:rPr>
        <w:t xml:space="preserve">oletín </w:t>
      </w:r>
      <w:r w:rsidR="006807C2" w:rsidRPr="005759B6">
        <w:rPr>
          <w:i/>
          <w:iCs/>
        </w:rPr>
        <w:t>O</w:t>
      </w:r>
      <w:r w:rsidR="009662AE">
        <w:rPr>
          <w:i/>
          <w:iCs/>
        </w:rPr>
        <w:t xml:space="preserve">ficial del </w:t>
      </w:r>
      <w:r w:rsidR="006807C2" w:rsidRPr="005759B6">
        <w:rPr>
          <w:i/>
          <w:iCs/>
        </w:rPr>
        <w:t>E</w:t>
      </w:r>
      <w:r w:rsidR="009662AE">
        <w:rPr>
          <w:i/>
          <w:iCs/>
        </w:rPr>
        <w:t>stado</w:t>
      </w:r>
      <w:r w:rsidR="006807C2" w:rsidRPr="005759B6">
        <w:t>, núm. 203;</w:t>
      </w:r>
      <w:r w:rsidRPr="006807C2">
        <w:t xml:space="preserve"> </w:t>
      </w:r>
      <w:r w:rsidR="006807C2" w:rsidRPr="005759B6">
        <w:t>núm. </w:t>
      </w:r>
      <w:r w:rsidRPr="006A7052">
        <w:t>7/2010</w:t>
      </w:r>
      <w:r w:rsidR="006807C2" w:rsidRPr="005759B6">
        <w:t>, de 7</w:t>
      </w:r>
      <w:r w:rsidR="005759B6">
        <w:t> </w:t>
      </w:r>
      <w:r w:rsidR="006807C2" w:rsidRPr="005759B6">
        <w:t xml:space="preserve">de abril, </w:t>
      </w:r>
      <w:r w:rsidR="009662AE" w:rsidRPr="00095F18">
        <w:rPr>
          <w:i/>
          <w:iCs/>
        </w:rPr>
        <w:t>B</w:t>
      </w:r>
      <w:r w:rsidR="009662AE">
        <w:rPr>
          <w:i/>
          <w:iCs/>
        </w:rPr>
        <w:t xml:space="preserve">oletín </w:t>
      </w:r>
      <w:r w:rsidR="009662AE" w:rsidRPr="00095F18">
        <w:rPr>
          <w:i/>
          <w:iCs/>
        </w:rPr>
        <w:t>O</w:t>
      </w:r>
      <w:r w:rsidR="009662AE">
        <w:rPr>
          <w:i/>
          <w:iCs/>
        </w:rPr>
        <w:t xml:space="preserve">ficial del </w:t>
      </w:r>
      <w:r w:rsidR="009662AE" w:rsidRPr="00095F18">
        <w:rPr>
          <w:i/>
          <w:iCs/>
        </w:rPr>
        <w:t>E</w:t>
      </w:r>
      <w:r w:rsidR="009662AE">
        <w:rPr>
          <w:i/>
          <w:iCs/>
        </w:rPr>
        <w:t>stado</w:t>
      </w:r>
      <w:r w:rsidR="006807C2" w:rsidRPr="005759B6">
        <w:t>, núm. 129;</w:t>
      </w:r>
      <w:r w:rsidRPr="006A7052">
        <w:t xml:space="preserve"> y </w:t>
      </w:r>
      <w:r w:rsidR="006807C2" w:rsidRPr="005759B6">
        <w:t>núm. </w:t>
      </w:r>
      <w:r w:rsidRPr="006A7052">
        <w:t>32/2019</w:t>
      </w:r>
      <w:r w:rsidR="006807C2" w:rsidRPr="006A7052">
        <w:t xml:space="preserve">, de 28 de febrero, </w:t>
      </w:r>
      <w:r w:rsidR="009662AE" w:rsidRPr="00095F18">
        <w:rPr>
          <w:i/>
          <w:iCs/>
        </w:rPr>
        <w:t>B</w:t>
      </w:r>
      <w:r w:rsidR="009662AE">
        <w:rPr>
          <w:i/>
          <w:iCs/>
        </w:rPr>
        <w:t xml:space="preserve">oletín </w:t>
      </w:r>
      <w:r w:rsidR="009662AE" w:rsidRPr="00095F18">
        <w:rPr>
          <w:i/>
          <w:iCs/>
        </w:rPr>
        <w:t>O</w:t>
      </w:r>
      <w:r w:rsidR="009662AE">
        <w:rPr>
          <w:i/>
          <w:iCs/>
        </w:rPr>
        <w:t xml:space="preserve">ficial del </w:t>
      </w:r>
      <w:r w:rsidR="009662AE" w:rsidRPr="00095F18">
        <w:rPr>
          <w:i/>
          <w:iCs/>
        </w:rPr>
        <w:t>E</w:t>
      </w:r>
      <w:r w:rsidR="009662AE">
        <w:rPr>
          <w:i/>
          <w:iCs/>
        </w:rPr>
        <w:t>stado</w:t>
      </w:r>
      <w:r w:rsidR="006807C2" w:rsidRPr="006A7052">
        <w:t>, núm. 73</w:t>
      </w:r>
      <w:r>
        <w:t>.</w:t>
      </w:r>
    </w:p>
  </w:footnote>
  <w:footnote w:id="9">
    <w:p w14:paraId="4FE0F8DA" w14:textId="570E09C1" w:rsidR="009032D5" w:rsidRPr="00136DC0" w:rsidRDefault="004506F7">
      <w:pPr>
        <w:pStyle w:val="Textonotapie"/>
      </w:pPr>
      <w:r>
        <w:tab/>
      </w:r>
      <w:r w:rsidR="009032D5">
        <w:rPr>
          <w:rStyle w:val="Refdenotaalpie"/>
        </w:rPr>
        <w:footnoteRef/>
      </w:r>
      <w:r>
        <w:tab/>
      </w:r>
      <w:r>
        <w:tab/>
        <w:t>Los autores no aportan prueba</w:t>
      </w:r>
      <w:r w:rsidR="00BF0A84">
        <w:t>s</w:t>
      </w:r>
      <w:r>
        <w:t xml:space="preserve"> </w:t>
      </w:r>
      <w:r w:rsidR="00BF0A84">
        <w:t xml:space="preserve">que </w:t>
      </w:r>
      <w:r>
        <w:t>permit</w:t>
      </w:r>
      <w:r w:rsidR="00BF0A84">
        <w:t>an</w:t>
      </w:r>
      <w:r>
        <w:t xml:space="preserve"> corroborar </w:t>
      </w:r>
      <w:r w:rsidR="00BF0A84">
        <w:t xml:space="preserve">los </w:t>
      </w:r>
      <w:r>
        <w:t xml:space="preserve">ingresos mensuales alegados. </w:t>
      </w:r>
    </w:p>
  </w:footnote>
  <w:footnote w:id="10">
    <w:p w14:paraId="0F923071" w14:textId="67B84480" w:rsidR="00C300A0" w:rsidRPr="00C300A0" w:rsidRDefault="00C300A0">
      <w:pPr>
        <w:pStyle w:val="Textonotapie"/>
      </w:pPr>
      <w:r>
        <w:tab/>
      </w:r>
      <w:r>
        <w:rPr>
          <w:rStyle w:val="Refdenotaalpie"/>
        </w:rPr>
        <w:footnoteRef/>
      </w:r>
      <w:r>
        <w:tab/>
      </w:r>
      <w:r>
        <w:tab/>
      </w:r>
      <w:r w:rsidRPr="00C300A0">
        <w:t xml:space="preserve">Los autores no precisan </w:t>
      </w:r>
      <w:r>
        <w:t>cu</w:t>
      </w:r>
      <w:r w:rsidR="00BF0A84">
        <w:t>á</w:t>
      </w:r>
      <w:r>
        <w:t xml:space="preserve">les han sido los </w:t>
      </w:r>
      <w:r w:rsidRPr="00C300A0">
        <w:t xml:space="preserve">obstáculos que han enfrentado para </w:t>
      </w:r>
      <w:r w:rsidR="00633B37">
        <w:t>poder</w:t>
      </w:r>
      <w:r w:rsidR="00633B37" w:rsidRPr="00C300A0">
        <w:t xml:space="preserve"> </w:t>
      </w:r>
      <w:r w:rsidRPr="00C300A0">
        <w:t>registr</w:t>
      </w:r>
      <w:r w:rsidR="00633B37">
        <w:t>arse</w:t>
      </w:r>
      <w:r w:rsidRPr="00C300A0">
        <w:t xml:space="preserve"> en </w:t>
      </w:r>
      <w:r>
        <w:t xml:space="preserve">la </w:t>
      </w:r>
      <w:r w:rsidRPr="00582068">
        <w:t>Mesa de Emergencia</w:t>
      </w:r>
      <w:r w:rsidR="008C36E8" w:rsidRPr="005759B6">
        <w:t xml:space="preserve"> Habitacional de Badalona</w:t>
      </w:r>
      <w:r w:rsidRPr="00582068">
        <w:t>.</w:t>
      </w:r>
    </w:p>
  </w:footnote>
  <w:footnote w:id="11">
    <w:p w14:paraId="76B445F7" w14:textId="703755D0" w:rsidR="004E0B53" w:rsidRPr="004E0B53" w:rsidRDefault="00BF0970">
      <w:pPr>
        <w:pStyle w:val="Textonotapie"/>
      </w:pPr>
      <w:r>
        <w:tab/>
      </w:r>
      <w:r w:rsidR="004E0B53">
        <w:rPr>
          <w:rStyle w:val="Refdenotaalpie"/>
        </w:rPr>
        <w:footnoteRef/>
      </w:r>
      <w:r>
        <w:tab/>
      </w:r>
      <w:r w:rsidR="004E0B53" w:rsidRPr="004E0B53">
        <w:rPr>
          <w:i/>
        </w:rPr>
        <w:t xml:space="preserve">Sariego Rodríguez </w:t>
      </w:r>
      <w:r w:rsidR="00EF7D72">
        <w:rPr>
          <w:i/>
        </w:rPr>
        <w:t>y</w:t>
      </w:r>
      <w:r w:rsidR="004E0B53" w:rsidRPr="004E0B53">
        <w:rPr>
          <w:i/>
        </w:rPr>
        <w:t xml:space="preserve"> Dincă</w:t>
      </w:r>
      <w:r w:rsidR="004E0B53">
        <w:rPr>
          <w:i/>
        </w:rPr>
        <w:t xml:space="preserve"> c. España</w:t>
      </w:r>
      <w:r w:rsidR="004E0B53">
        <w:t xml:space="preserve"> (</w:t>
      </w:r>
      <w:hyperlink r:id="rId1" w:history="1">
        <w:r w:rsidR="004E0B53" w:rsidRPr="005759B6">
          <w:rPr>
            <w:rStyle w:val="Hipervnculo"/>
          </w:rPr>
          <w:t>E/C.12/70/D/92/2019</w:t>
        </w:r>
      </w:hyperlink>
      <w:r w:rsidR="004E0B53">
        <w:t>), párr. 7.4</w:t>
      </w:r>
      <w:r w:rsidR="004E0B53" w:rsidRPr="005759B6">
        <w:rPr>
          <w:iCs/>
        </w:rPr>
        <w:t>;</w:t>
      </w:r>
      <w:r w:rsidR="004E0B53" w:rsidRPr="00BF0970">
        <w:rPr>
          <w:i/>
        </w:rPr>
        <w:t xml:space="preserve"> Muñoz Garc</w:t>
      </w:r>
      <w:r w:rsidR="0009265F">
        <w:rPr>
          <w:i/>
        </w:rPr>
        <w:t>í</w:t>
      </w:r>
      <w:r w:rsidR="004E0B53" w:rsidRPr="00BF0970">
        <w:rPr>
          <w:i/>
        </w:rPr>
        <w:t>a c. España</w:t>
      </w:r>
      <w:r w:rsidR="004E0B53">
        <w:t xml:space="preserve"> (</w:t>
      </w:r>
      <w:hyperlink r:id="rId2" w:history="1">
        <w:r w:rsidR="004E0B53" w:rsidRPr="005759B6">
          <w:rPr>
            <w:rStyle w:val="Hipervnculo"/>
          </w:rPr>
          <w:t>E/C.12/71/D/39/2018</w:t>
        </w:r>
      </w:hyperlink>
      <w:r w:rsidR="004E0B53">
        <w:t xml:space="preserve">), párr. </w:t>
      </w:r>
      <w:r>
        <w:t>6.4;</w:t>
      </w:r>
      <w:r w:rsidR="003D4BC5">
        <w:t xml:space="preserve"> y</w:t>
      </w:r>
      <w:r>
        <w:t xml:space="preserve"> </w:t>
      </w:r>
      <w:r w:rsidRPr="00BF0970">
        <w:rPr>
          <w:i/>
        </w:rPr>
        <w:t>Loor Chila c. España</w:t>
      </w:r>
      <w:r>
        <w:t xml:space="preserve"> (</w:t>
      </w:r>
      <w:hyperlink r:id="rId3" w:history="1">
        <w:r w:rsidRPr="005759B6">
          <w:rPr>
            <w:rStyle w:val="Hipervnculo"/>
          </w:rPr>
          <w:t>E/C.12/70/D/102/2019</w:t>
        </w:r>
      </w:hyperlink>
      <w:r>
        <w:t>), párr. 6.4.</w:t>
      </w:r>
    </w:p>
  </w:footnote>
  <w:footnote w:id="12">
    <w:p w14:paraId="4ABF7EBC" w14:textId="0AFF9D95" w:rsidR="00220605" w:rsidRPr="00123DEF" w:rsidRDefault="00220605" w:rsidP="00220605">
      <w:pPr>
        <w:pStyle w:val="Textonotapie"/>
        <w:widowControl w:val="0"/>
        <w:suppressAutoHyphens/>
      </w:pPr>
      <w:r w:rsidRPr="00123DEF">
        <w:tab/>
      </w:r>
      <w:r w:rsidRPr="00123DEF">
        <w:rPr>
          <w:rStyle w:val="Refdenotaalpie"/>
        </w:rPr>
        <w:footnoteRef/>
      </w:r>
      <w:r w:rsidRPr="00123DEF">
        <w:tab/>
      </w:r>
      <w:r w:rsidRPr="00123DEF">
        <w:rPr>
          <w:i/>
        </w:rPr>
        <w:t>A. M. O. y J. M. U. c. España</w:t>
      </w:r>
      <w:r w:rsidRPr="00123DEF">
        <w:t xml:space="preserve"> (</w:t>
      </w:r>
      <w:hyperlink r:id="rId4" w:history="1">
        <w:r w:rsidRPr="005759B6">
          <w:rPr>
            <w:rStyle w:val="Hipervnculo"/>
          </w:rPr>
          <w:t>E/C.12/68/D/45/2018</w:t>
        </w:r>
      </w:hyperlink>
      <w:r w:rsidRPr="00123DEF">
        <w:t xml:space="preserve">), párr. 10.3; </w:t>
      </w:r>
      <w:r w:rsidRPr="00123DEF">
        <w:rPr>
          <w:i/>
        </w:rPr>
        <w:t>Arellano Medina c. el Ecuador</w:t>
      </w:r>
      <w:r w:rsidRPr="00123DEF">
        <w:t xml:space="preserve"> (</w:t>
      </w:r>
      <w:hyperlink r:id="rId5" w:history="1">
        <w:r w:rsidRPr="005759B6">
          <w:rPr>
            <w:rStyle w:val="Hipervnculo"/>
          </w:rPr>
          <w:t>E/C.12/63/D/7/2015</w:t>
        </w:r>
      </w:hyperlink>
      <w:r w:rsidRPr="00123DEF">
        <w:t xml:space="preserve">), párr. 8.10; </w:t>
      </w:r>
      <w:r w:rsidRPr="00123DEF">
        <w:rPr>
          <w:i/>
        </w:rPr>
        <w:t>Martínez Fernández c. España</w:t>
      </w:r>
      <w:r w:rsidRPr="00123DEF">
        <w:t xml:space="preserve"> (</w:t>
      </w:r>
      <w:hyperlink r:id="rId6" w:history="1">
        <w:r w:rsidRPr="005759B6">
          <w:rPr>
            <w:rStyle w:val="Hipervnculo"/>
          </w:rPr>
          <w:t>E/C.12/</w:t>
        </w:r>
        <w:r w:rsidR="00CE6069" w:rsidRPr="005759B6">
          <w:rPr>
            <w:rStyle w:val="Hipervnculo"/>
          </w:rPr>
          <w:t>64/D/19/2016</w:t>
        </w:r>
      </w:hyperlink>
      <w:r w:rsidR="00CE6069">
        <w:t xml:space="preserve">), párrs. 6.4 y 6.5; </w:t>
      </w:r>
      <w:r w:rsidR="00CE6069" w:rsidRPr="00123DEF">
        <w:rPr>
          <w:i/>
        </w:rPr>
        <w:t>S. S. R. c. España</w:t>
      </w:r>
      <w:r w:rsidR="00CE6069" w:rsidRPr="00123DEF">
        <w:t xml:space="preserve"> (</w:t>
      </w:r>
      <w:hyperlink r:id="rId7" w:history="1">
        <w:r w:rsidR="00CE6069" w:rsidRPr="005759B6">
          <w:rPr>
            <w:rStyle w:val="Hipervnculo"/>
          </w:rPr>
          <w:t>E/C.12/66/D/51/2018</w:t>
        </w:r>
      </w:hyperlink>
      <w:r w:rsidR="00CE6069">
        <w:t xml:space="preserve">), párr. 6.4; </w:t>
      </w:r>
      <w:r w:rsidR="00A92FCC">
        <w:t xml:space="preserve">y </w:t>
      </w:r>
      <w:r w:rsidR="00CE6069" w:rsidRPr="00CE6069">
        <w:rPr>
          <w:i/>
        </w:rPr>
        <w:t>Loor Chila c. España</w:t>
      </w:r>
      <w:r w:rsidR="00CE6069">
        <w:t>, párr. 6.6.</w:t>
      </w:r>
    </w:p>
  </w:footnote>
  <w:footnote w:id="13">
    <w:p w14:paraId="2F6DC518" w14:textId="0B4D0299" w:rsidR="00220605" w:rsidRPr="00123DEF" w:rsidRDefault="00220605" w:rsidP="00220605">
      <w:pPr>
        <w:pStyle w:val="Textonotapie"/>
        <w:widowControl w:val="0"/>
        <w:suppressAutoHyphens/>
      </w:pPr>
      <w:r w:rsidRPr="00123DEF">
        <w:tab/>
      </w:r>
      <w:r w:rsidRPr="00123DEF">
        <w:rPr>
          <w:rStyle w:val="Refdenotaalpie"/>
        </w:rPr>
        <w:footnoteRef/>
      </w:r>
      <w:r w:rsidRPr="00123DEF">
        <w:tab/>
      </w:r>
      <w:r w:rsidRPr="00123DEF">
        <w:rPr>
          <w:i/>
        </w:rPr>
        <w:t>S. C. y G. P. c. Italia</w:t>
      </w:r>
      <w:r w:rsidRPr="00123DEF">
        <w:t xml:space="preserve"> (</w:t>
      </w:r>
      <w:hyperlink r:id="rId8" w:history="1">
        <w:r w:rsidRPr="005759B6">
          <w:rPr>
            <w:rStyle w:val="Hipervnculo"/>
          </w:rPr>
          <w:t>E/C.12/65/D/22/2017</w:t>
        </w:r>
      </w:hyperlink>
      <w:r w:rsidRPr="00123DEF">
        <w:t xml:space="preserve">), párr. 6.15; y </w:t>
      </w:r>
      <w:r w:rsidRPr="00123DEF">
        <w:rPr>
          <w:i/>
        </w:rPr>
        <w:t>S. S. R. c. España</w:t>
      </w:r>
      <w:r w:rsidRPr="00123DEF">
        <w:t>, párr. 6.4.</w:t>
      </w:r>
    </w:p>
  </w:footnote>
  <w:footnote w:id="14">
    <w:p w14:paraId="0D8B0DEE" w14:textId="47FDBCF7" w:rsidR="005515F2" w:rsidRPr="00123DEF" w:rsidRDefault="005515F2" w:rsidP="005515F2">
      <w:pPr>
        <w:pStyle w:val="Textonotapie"/>
        <w:widowControl w:val="0"/>
        <w:suppressAutoHyphens/>
      </w:pPr>
      <w:r w:rsidRPr="00123DEF">
        <w:tab/>
      </w:r>
      <w:r w:rsidRPr="00123DEF">
        <w:rPr>
          <w:rStyle w:val="Refdenotaalpie"/>
        </w:rPr>
        <w:footnoteRef/>
      </w:r>
      <w:r w:rsidRPr="00123DEF">
        <w:tab/>
      </w:r>
      <w:r w:rsidR="00E82430" w:rsidRPr="00325B42">
        <w:rPr>
          <w:i/>
        </w:rPr>
        <w:t>Loor Chila</w:t>
      </w:r>
      <w:r w:rsidR="00E82430" w:rsidRPr="00B3582E">
        <w:rPr>
          <w:i/>
        </w:rPr>
        <w:t xml:space="preserve"> c. </w:t>
      </w:r>
      <w:r w:rsidR="00E82430" w:rsidRPr="00325B42">
        <w:rPr>
          <w:i/>
        </w:rPr>
        <w:t>España</w:t>
      </w:r>
      <w:r w:rsidR="00E82430" w:rsidRPr="00325B42">
        <w:t>, párr.</w:t>
      </w:r>
      <w:r w:rsidR="00E82430">
        <w:t xml:space="preserve"> 7.2; y</w:t>
      </w:r>
      <w:r w:rsidR="00E82430" w:rsidRPr="00325B42">
        <w:rPr>
          <w:i/>
        </w:rPr>
        <w:t xml:space="preserve"> </w:t>
      </w:r>
      <w:r w:rsidR="00E82430" w:rsidRPr="00123DEF">
        <w:rPr>
          <w:i/>
        </w:rPr>
        <w:t>S. S. R. c. España</w:t>
      </w:r>
      <w:r w:rsidR="00E82430" w:rsidRPr="00123DEF">
        <w:t>, párr. 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EDEB" w14:textId="16511A29" w:rsidR="00D31FBB" w:rsidRPr="00D31FBB" w:rsidRDefault="004369F2">
    <w:pPr>
      <w:pStyle w:val="Encabezado"/>
    </w:pPr>
    <w:r>
      <w:t>E/C.12/72/D</w:t>
    </w:r>
    <w:r w:rsidR="0069073D" w:rsidRPr="0069073D">
      <w:t>/86/201</w:t>
    </w:r>
    <w: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F8003" w14:textId="40654CEB" w:rsidR="00D31FBB" w:rsidRPr="00D31FBB" w:rsidRDefault="004369F2" w:rsidP="00D31FBB">
    <w:pPr>
      <w:pStyle w:val="Encabezado"/>
      <w:jc w:val="right"/>
    </w:pPr>
    <w:r>
      <w:t>E/C.12/72/D/86/2018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5CBC5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37B"/>
    <w:rsid w:val="000018F4"/>
    <w:rsid w:val="00003618"/>
    <w:rsid w:val="000043B2"/>
    <w:rsid w:val="00010F3B"/>
    <w:rsid w:val="00012C8A"/>
    <w:rsid w:val="00014873"/>
    <w:rsid w:val="000213EE"/>
    <w:rsid w:val="00021B8B"/>
    <w:rsid w:val="00022866"/>
    <w:rsid w:val="00025C98"/>
    <w:rsid w:val="00032D03"/>
    <w:rsid w:val="00040161"/>
    <w:rsid w:val="0004282D"/>
    <w:rsid w:val="00045602"/>
    <w:rsid w:val="00050D63"/>
    <w:rsid w:val="000524FE"/>
    <w:rsid w:val="000530D0"/>
    <w:rsid w:val="00060246"/>
    <w:rsid w:val="0006636E"/>
    <w:rsid w:val="00066D02"/>
    <w:rsid w:val="000672B1"/>
    <w:rsid w:val="00067B79"/>
    <w:rsid w:val="0007257E"/>
    <w:rsid w:val="00073076"/>
    <w:rsid w:val="00075907"/>
    <w:rsid w:val="00081669"/>
    <w:rsid w:val="0008366B"/>
    <w:rsid w:val="00083CAC"/>
    <w:rsid w:val="0008650D"/>
    <w:rsid w:val="00086A54"/>
    <w:rsid w:val="00090222"/>
    <w:rsid w:val="0009265F"/>
    <w:rsid w:val="00093664"/>
    <w:rsid w:val="00096BB1"/>
    <w:rsid w:val="000A08D2"/>
    <w:rsid w:val="000A5B8D"/>
    <w:rsid w:val="000B1FAA"/>
    <w:rsid w:val="000B2BFE"/>
    <w:rsid w:val="000B482D"/>
    <w:rsid w:val="000B57E7"/>
    <w:rsid w:val="000B618D"/>
    <w:rsid w:val="000C6CE7"/>
    <w:rsid w:val="000C7414"/>
    <w:rsid w:val="000D359E"/>
    <w:rsid w:val="000D3C87"/>
    <w:rsid w:val="000D3D0E"/>
    <w:rsid w:val="000E177D"/>
    <w:rsid w:val="000E5F8A"/>
    <w:rsid w:val="000F09DF"/>
    <w:rsid w:val="000F61B2"/>
    <w:rsid w:val="0010323E"/>
    <w:rsid w:val="001075E9"/>
    <w:rsid w:val="001274A1"/>
    <w:rsid w:val="00130734"/>
    <w:rsid w:val="0013291C"/>
    <w:rsid w:val="00136537"/>
    <w:rsid w:val="00136DC0"/>
    <w:rsid w:val="00140EE5"/>
    <w:rsid w:val="00143686"/>
    <w:rsid w:val="00143FE5"/>
    <w:rsid w:val="00145936"/>
    <w:rsid w:val="00157F4E"/>
    <w:rsid w:val="0016037F"/>
    <w:rsid w:val="00161AD9"/>
    <w:rsid w:val="00165582"/>
    <w:rsid w:val="00166AE2"/>
    <w:rsid w:val="00170877"/>
    <w:rsid w:val="001709B6"/>
    <w:rsid w:val="00170CEF"/>
    <w:rsid w:val="00176EC8"/>
    <w:rsid w:val="00180183"/>
    <w:rsid w:val="00182DA3"/>
    <w:rsid w:val="001849CD"/>
    <w:rsid w:val="00196389"/>
    <w:rsid w:val="00196AC5"/>
    <w:rsid w:val="00196F18"/>
    <w:rsid w:val="00197509"/>
    <w:rsid w:val="001A0484"/>
    <w:rsid w:val="001A0A9F"/>
    <w:rsid w:val="001A7051"/>
    <w:rsid w:val="001A7906"/>
    <w:rsid w:val="001B36C8"/>
    <w:rsid w:val="001B42FB"/>
    <w:rsid w:val="001B4C2A"/>
    <w:rsid w:val="001B547C"/>
    <w:rsid w:val="001C043F"/>
    <w:rsid w:val="001C3582"/>
    <w:rsid w:val="001C408B"/>
    <w:rsid w:val="001C663C"/>
    <w:rsid w:val="001C7A89"/>
    <w:rsid w:val="001D1C9E"/>
    <w:rsid w:val="001E3D3D"/>
    <w:rsid w:val="001E5A08"/>
    <w:rsid w:val="001F3716"/>
    <w:rsid w:val="001F3EC3"/>
    <w:rsid w:val="001F509A"/>
    <w:rsid w:val="00200B09"/>
    <w:rsid w:val="00202DFE"/>
    <w:rsid w:val="00203735"/>
    <w:rsid w:val="00205748"/>
    <w:rsid w:val="002079BC"/>
    <w:rsid w:val="00211E5F"/>
    <w:rsid w:val="00214314"/>
    <w:rsid w:val="00217F68"/>
    <w:rsid w:val="00220605"/>
    <w:rsid w:val="0023354D"/>
    <w:rsid w:val="0023621E"/>
    <w:rsid w:val="0024080D"/>
    <w:rsid w:val="002430A0"/>
    <w:rsid w:val="00243B82"/>
    <w:rsid w:val="00243F53"/>
    <w:rsid w:val="00244BFC"/>
    <w:rsid w:val="002545AF"/>
    <w:rsid w:val="00255854"/>
    <w:rsid w:val="00262519"/>
    <w:rsid w:val="00262888"/>
    <w:rsid w:val="002706AC"/>
    <w:rsid w:val="00271C42"/>
    <w:rsid w:val="00282B01"/>
    <w:rsid w:val="00291691"/>
    <w:rsid w:val="0029463F"/>
    <w:rsid w:val="002967E3"/>
    <w:rsid w:val="002A2EFC"/>
    <w:rsid w:val="002A6829"/>
    <w:rsid w:val="002A7B43"/>
    <w:rsid w:val="002C6B83"/>
    <w:rsid w:val="002C7DE3"/>
    <w:rsid w:val="002D0755"/>
    <w:rsid w:val="002D16F0"/>
    <w:rsid w:val="002D2014"/>
    <w:rsid w:val="002D2DF6"/>
    <w:rsid w:val="002D5AAC"/>
    <w:rsid w:val="002E283B"/>
    <w:rsid w:val="002F6B5A"/>
    <w:rsid w:val="00301299"/>
    <w:rsid w:val="00302A4C"/>
    <w:rsid w:val="00304E20"/>
    <w:rsid w:val="003062F8"/>
    <w:rsid w:val="00313431"/>
    <w:rsid w:val="00314B94"/>
    <w:rsid w:val="00317617"/>
    <w:rsid w:val="00322004"/>
    <w:rsid w:val="00323C50"/>
    <w:rsid w:val="003309BF"/>
    <w:rsid w:val="00332210"/>
    <w:rsid w:val="00332C06"/>
    <w:rsid w:val="00333645"/>
    <w:rsid w:val="003402C2"/>
    <w:rsid w:val="00345B15"/>
    <w:rsid w:val="00351281"/>
    <w:rsid w:val="003538EB"/>
    <w:rsid w:val="00353CED"/>
    <w:rsid w:val="00357261"/>
    <w:rsid w:val="00362683"/>
    <w:rsid w:val="0037104B"/>
    <w:rsid w:val="003710C0"/>
    <w:rsid w:val="00373C45"/>
    <w:rsid w:val="003770A4"/>
    <w:rsid w:val="00381C24"/>
    <w:rsid w:val="00385FEB"/>
    <w:rsid w:val="00390600"/>
    <w:rsid w:val="003958D0"/>
    <w:rsid w:val="003B13FA"/>
    <w:rsid w:val="003B19C7"/>
    <w:rsid w:val="003B46E4"/>
    <w:rsid w:val="003B6E02"/>
    <w:rsid w:val="003B72AF"/>
    <w:rsid w:val="003C06D3"/>
    <w:rsid w:val="003C4B2F"/>
    <w:rsid w:val="003C728C"/>
    <w:rsid w:val="003D064D"/>
    <w:rsid w:val="003D4BC5"/>
    <w:rsid w:val="003D5A42"/>
    <w:rsid w:val="003D5E3F"/>
    <w:rsid w:val="003E7E19"/>
    <w:rsid w:val="003F0C18"/>
    <w:rsid w:val="003F21E1"/>
    <w:rsid w:val="003F5E25"/>
    <w:rsid w:val="00403FB2"/>
    <w:rsid w:val="0040413F"/>
    <w:rsid w:val="00405D2A"/>
    <w:rsid w:val="0041031F"/>
    <w:rsid w:val="0042693C"/>
    <w:rsid w:val="00431226"/>
    <w:rsid w:val="004369F2"/>
    <w:rsid w:val="00443B78"/>
    <w:rsid w:val="00444E40"/>
    <w:rsid w:val="00447E51"/>
    <w:rsid w:val="004506F7"/>
    <w:rsid w:val="00454E07"/>
    <w:rsid w:val="004612C7"/>
    <w:rsid w:val="00466D16"/>
    <w:rsid w:val="00473FD3"/>
    <w:rsid w:val="004767A0"/>
    <w:rsid w:val="00476994"/>
    <w:rsid w:val="00484A96"/>
    <w:rsid w:val="00494735"/>
    <w:rsid w:val="004959B7"/>
    <w:rsid w:val="004967C1"/>
    <w:rsid w:val="004A1EBD"/>
    <w:rsid w:val="004A35F5"/>
    <w:rsid w:val="004B0831"/>
    <w:rsid w:val="004B19F2"/>
    <w:rsid w:val="004B57C7"/>
    <w:rsid w:val="004B7975"/>
    <w:rsid w:val="004B79C5"/>
    <w:rsid w:val="004C05CD"/>
    <w:rsid w:val="004C1820"/>
    <w:rsid w:val="004C3540"/>
    <w:rsid w:val="004C3A0D"/>
    <w:rsid w:val="004C6A1E"/>
    <w:rsid w:val="004D3838"/>
    <w:rsid w:val="004E0B53"/>
    <w:rsid w:val="004E0DE4"/>
    <w:rsid w:val="004F1529"/>
    <w:rsid w:val="004F68C6"/>
    <w:rsid w:val="0050108D"/>
    <w:rsid w:val="005016AF"/>
    <w:rsid w:val="00503003"/>
    <w:rsid w:val="00504369"/>
    <w:rsid w:val="00505A81"/>
    <w:rsid w:val="005076AF"/>
    <w:rsid w:val="00507B69"/>
    <w:rsid w:val="00513C1A"/>
    <w:rsid w:val="005154EF"/>
    <w:rsid w:val="00520CBE"/>
    <w:rsid w:val="00520DBA"/>
    <w:rsid w:val="0052159C"/>
    <w:rsid w:val="00521692"/>
    <w:rsid w:val="00522862"/>
    <w:rsid w:val="00523973"/>
    <w:rsid w:val="00523EDB"/>
    <w:rsid w:val="00524124"/>
    <w:rsid w:val="00524409"/>
    <w:rsid w:val="00527A0F"/>
    <w:rsid w:val="00532B11"/>
    <w:rsid w:val="00542BE6"/>
    <w:rsid w:val="0054561A"/>
    <w:rsid w:val="00546F2C"/>
    <w:rsid w:val="005515F2"/>
    <w:rsid w:val="00557E2A"/>
    <w:rsid w:val="005727FF"/>
    <w:rsid w:val="00572E19"/>
    <w:rsid w:val="00575439"/>
    <w:rsid w:val="005759B6"/>
    <w:rsid w:val="00581F67"/>
    <w:rsid w:val="00582068"/>
    <w:rsid w:val="005822A7"/>
    <w:rsid w:val="005858C6"/>
    <w:rsid w:val="00590B9D"/>
    <w:rsid w:val="00591926"/>
    <w:rsid w:val="0059718B"/>
    <w:rsid w:val="00597208"/>
    <w:rsid w:val="005A0392"/>
    <w:rsid w:val="005A3CD4"/>
    <w:rsid w:val="005A57C7"/>
    <w:rsid w:val="005A67FC"/>
    <w:rsid w:val="005B4264"/>
    <w:rsid w:val="005C36E5"/>
    <w:rsid w:val="005C4B6A"/>
    <w:rsid w:val="005E074D"/>
    <w:rsid w:val="005E1421"/>
    <w:rsid w:val="005E2367"/>
    <w:rsid w:val="005E500F"/>
    <w:rsid w:val="005F0B42"/>
    <w:rsid w:val="005F1ABD"/>
    <w:rsid w:val="005F3B3D"/>
    <w:rsid w:val="005F42B5"/>
    <w:rsid w:val="005F671E"/>
    <w:rsid w:val="00605A98"/>
    <w:rsid w:val="00623B81"/>
    <w:rsid w:val="00625F4A"/>
    <w:rsid w:val="006318C6"/>
    <w:rsid w:val="00631E5A"/>
    <w:rsid w:val="00632A31"/>
    <w:rsid w:val="00633B37"/>
    <w:rsid w:val="006348D3"/>
    <w:rsid w:val="006374DF"/>
    <w:rsid w:val="00637823"/>
    <w:rsid w:val="00641DB6"/>
    <w:rsid w:val="0064421C"/>
    <w:rsid w:val="00644F7D"/>
    <w:rsid w:val="006639BE"/>
    <w:rsid w:val="00666209"/>
    <w:rsid w:val="0067165B"/>
    <w:rsid w:val="006807C2"/>
    <w:rsid w:val="006813D3"/>
    <w:rsid w:val="00681C2D"/>
    <w:rsid w:val="00684432"/>
    <w:rsid w:val="0069073D"/>
    <w:rsid w:val="00696E37"/>
    <w:rsid w:val="006A390A"/>
    <w:rsid w:val="006A7052"/>
    <w:rsid w:val="006B5346"/>
    <w:rsid w:val="006D7AD9"/>
    <w:rsid w:val="006E27AD"/>
    <w:rsid w:val="006E2C84"/>
    <w:rsid w:val="006E5D64"/>
    <w:rsid w:val="006F02C8"/>
    <w:rsid w:val="006F13DB"/>
    <w:rsid w:val="006F35EE"/>
    <w:rsid w:val="006F3958"/>
    <w:rsid w:val="007007D1"/>
    <w:rsid w:val="0070315A"/>
    <w:rsid w:val="00710CF8"/>
    <w:rsid w:val="007122C5"/>
    <w:rsid w:val="00712303"/>
    <w:rsid w:val="007123FD"/>
    <w:rsid w:val="007146B0"/>
    <w:rsid w:val="00716695"/>
    <w:rsid w:val="00716C6F"/>
    <w:rsid w:val="00725000"/>
    <w:rsid w:val="00725427"/>
    <w:rsid w:val="007257DE"/>
    <w:rsid w:val="007278C0"/>
    <w:rsid w:val="007332E3"/>
    <w:rsid w:val="0074312F"/>
    <w:rsid w:val="00744F05"/>
    <w:rsid w:val="007464CC"/>
    <w:rsid w:val="00746D28"/>
    <w:rsid w:val="007503A2"/>
    <w:rsid w:val="007509F8"/>
    <w:rsid w:val="007526F1"/>
    <w:rsid w:val="007604A9"/>
    <w:rsid w:val="00760760"/>
    <w:rsid w:val="007617BE"/>
    <w:rsid w:val="0077233B"/>
    <w:rsid w:val="007759EB"/>
    <w:rsid w:val="007767A8"/>
    <w:rsid w:val="00781629"/>
    <w:rsid w:val="00783790"/>
    <w:rsid w:val="007866A3"/>
    <w:rsid w:val="007871C0"/>
    <w:rsid w:val="00796BFA"/>
    <w:rsid w:val="007A3DFB"/>
    <w:rsid w:val="007A431E"/>
    <w:rsid w:val="007A74DC"/>
    <w:rsid w:val="007B60A8"/>
    <w:rsid w:val="007B6A73"/>
    <w:rsid w:val="007C0A3B"/>
    <w:rsid w:val="007C2784"/>
    <w:rsid w:val="007C2A51"/>
    <w:rsid w:val="007C533A"/>
    <w:rsid w:val="007D1229"/>
    <w:rsid w:val="007D4510"/>
    <w:rsid w:val="007D6339"/>
    <w:rsid w:val="007D6C3B"/>
    <w:rsid w:val="007E4703"/>
    <w:rsid w:val="007E5440"/>
    <w:rsid w:val="007F18B8"/>
    <w:rsid w:val="00802199"/>
    <w:rsid w:val="00807D09"/>
    <w:rsid w:val="00815E80"/>
    <w:rsid w:val="0082763E"/>
    <w:rsid w:val="00830923"/>
    <w:rsid w:val="00834B71"/>
    <w:rsid w:val="00841BB2"/>
    <w:rsid w:val="0084586C"/>
    <w:rsid w:val="00850DAF"/>
    <w:rsid w:val="00854A1D"/>
    <w:rsid w:val="0086445C"/>
    <w:rsid w:val="008648F5"/>
    <w:rsid w:val="00865AC1"/>
    <w:rsid w:val="008716D2"/>
    <w:rsid w:val="00882E17"/>
    <w:rsid w:val="008853AE"/>
    <w:rsid w:val="0089016F"/>
    <w:rsid w:val="008A025F"/>
    <w:rsid w:val="008A08D7"/>
    <w:rsid w:val="008A109C"/>
    <w:rsid w:val="008A6EBC"/>
    <w:rsid w:val="008B16BB"/>
    <w:rsid w:val="008B4635"/>
    <w:rsid w:val="008C1490"/>
    <w:rsid w:val="008C36E8"/>
    <w:rsid w:val="008C698E"/>
    <w:rsid w:val="008C702B"/>
    <w:rsid w:val="008D52DA"/>
    <w:rsid w:val="008E28CF"/>
    <w:rsid w:val="008E6F5C"/>
    <w:rsid w:val="008F18DF"/>
    <w:rsid w:val="008F7B56"/>
    <w:rsid w:val="009032D5"/>
    <w:rsid w:val="0090485A"/>
    <w:rsid w:val="009054FE"/>
    <w:rsid w:val="00906890"/>
    <w:rsid w:val="0091341C"/>
    <w:rsid w:val="009179A3"/>
    <w:rsid w:val="00920EA7"/>
    <w:rsid w:val="009320ED"/>
    <w:rsid w:val="00934735"/>
    <w:rsid w:val="009347CB"/>
    <w:rsid w:val="0094027F"/>
    <w:rsid w:val="0094638D"/>
    <w:rsid w:val="00951972"/>
    <w:rsid w:val="00955536"/>
    <w:rsid w:val="00955BAC"/>
    <w:rsid w:val="0096037F"/>
    <w:rsid w:val="009662AE"/>
    <w:rsid w:val="0096714D"/>
    <w:rsid w:val="00970DE6"/>
    <w:rsid w:val="00974C2A"/>
    <w:rsid w:val="00975CE7"/>
    <w:rsid w:val="0098382B"/>
    <w:rsid w:val="009851E9"/>
    <w:rsid w:val="00987051"/>
    <w:rsid w:val="00990AAE"/>
    <w:rsid w:val="009A30C0"/>
    <w:rsid w:val="009C01ED"/>
    <w:rsid w:val="009C3D79"/>
    <w:rsid w:val="009C4B7D"/>
    <w:rsid w:val="009C6828"/>
    <w:rsid w:val="009D19DB"/>
    <w:rsid w:val="009E25C2"/>
    <w:rsid w:val="009E2AA7"/>
    <w:rsid w:val="009E7369"/>
    <w:rsid w:val="009E78C4"/>
    <w:rsid w:val="009F220A"/>
    <w:rsid w:val="009F4559"/>
    <w:rsid w:val="00A00012"/>
    <w:rsid w:val="00A00CB2"/>
    <w:rsid w:val="00A017AD"/>
    <w:rsid w:val="00A072B3"/>
    <w:rsid w:val="00A10A12"/>
    <w:rsid w:val="00A134ED"/>
    <w:rsid w:val="00A25243"/>
    <w:rsid w:val="00A35B52"/>
    <w:rsid w:val="00A4647F"/>
    <w:rsid w:val="00A500CE"/>
    <w:rsid w:val="00A511AB"/>
    <w:rsid w:val="00A538CA"/>
    <w:rsid w:val="00A55B14"/>
    <w:rsid w:val="00A645FF"/>
    <w:rsid w:val="00A65A72"/>
    <w:rsid w:val="00A6733E"/>
    <w:rsid w:val="00A673A4"/>
    <w:rsid w:val="00A70E46"/>
    <w:rsid w:val="00A917B3"/>
    <w:rsid w:val="00A92007"/>
    <w:rsid w:val="00A92FCC"/>
    <w:rsid w:val="00A948E9"/>
    <w:rsid w:val="00A95E94"/>
    <w:rsid w:val="00A969A2"/>
    <w:rsid w:val="00AA251E"/>
    <w:rsid w:val="00AA4155"/>
    <w:rsid w:val="00AB4833"/>
    <w:rsid w:val="00AB4B51"/>
    <w:rsid w:val="00AB4EB2"/>
    <w:rsid w:val="00AC07E2"/>
    <w:rsid w:val="00AC2D14"/>
    <w:rsid w:val="00AC56B2"/>
    <w:rsid w:val="00AC58DC"/>
    <w:rsid w:val="00AD4869"/>
    <w:rsid w:val="00AD59BF"/>
    <w:rsid w:val="00AE16C3"/>
    <w:rsid w:val="00AF0918"/>
    <w:rsid w:val="00AF0B99"/>
    <w:rsid w:val="00AF2781"/>
    <w:rsid w:val="00AF2F0D"/>
    <w:rsid w:val="00AF7E46"/>
    <w:rsid w:val="00B00072"/>
    <w:rsid w:val="00B04A97"/>
    <w:rsid w:val="00B05775"/>
    <w:rsid w:val="00B10CC7"/>
    <w:rsid w:val="00B15B3D"/>
    <w:rsid w:val="00B17245"/>
    <w:rsid w:val="00B2099C"/>
    <w:rsid w:val="00B21D52"/>
    <w:rsid w:val="00B22B26"/>
    <w:rsid w:val="00B23570"/>
    <w:rsid w:val="00B33B06"/>
    <w:rsid w:val="00B34676"/>
    <w:rsid w:val="00B3582E"/>
    <w:rsid w:val="00B416A4"/>
    <w:rsid w:val="00B4485E"/>
    <w:rsid w:val="00B607DB"/>
    <w:rsid w:val="00B62458"/>
    <w:rsid w:val="00B6350A"/>
    <w:rsid w:val="00B639C5"/>
    <w:rsid w:val="00B6722E"/>
    <w:rsid w:val="00B70D7A"/>
    <w:rsid w:val="00B730BD"/>
    <w:rsid w:val="00B76DFD"/>
    <w:rsid w:val="00B771DD"/>
    <w:rsid w:val="00B77D9E"/>
    <w:rsid w:val="00B80BE1"/>
    <w:rsid w:val="00B81161"/>
    <w:rsid w:val="00B82270"/>
    <w:rsid w:val="00B8674D"/>
    <w:rsid w:val="00B90DD3"/>
    <w:rsid w:val="00B91E62"/>
    <w:rsid w:val="00B92B6F"/>
    <w:rsid w:val="00B9561C"/>
    <w:rsid w:val="00BA1C4A"/>
    <w:rsid w:val="00BA6F13"/>
    <w:rsid w:val="00BB0E80"/>
    <w:rsid w:val="00BB45D0"/>
    <w:rsid w:val="00BB6C16"/>
    <w:rsid w:val="00BC161C"/>
    <w:rsid w:val="00BC4A5E"/>
    <w:rsid w:val="00BC53CA"/>
    <w:rsid w:val="00BD33EE"/>
    <w:rsid w:val="00BE27B9"/>
    <w:rsid w:val="00BE59E7"/>
    <w:rsid w:val="00BF041B"/>
    <w:rsid w:val="00BF0970"/>
    <w:rsid w:val="00BF0A84"/>
    <w:rsid w:val="00BF4C4F"/>
    <w:rsid w:val="00C00681"/>
    <w:rsid w:val="00C03EE9"/>
    <w:rsid w:val="00C03F4A"/>
    <w:rsid w:val="00C1490A"/>
    <w:rsid w:val="00C14EC1"/>
    <w:rsid w:val="00C177C9"/>
    <w:rsid w:val="00C300A0"/>
    <w:rsid w:val="00C332C0"/>
    <w:rsid w:val="00C36A62"/>
    <w:rsid w:val="00C377E3"/>
    <w:rsid w:val="00C401E6"/>
    <w:rsid w:val="00C4378F"/>
    <w:rsid w:val="00C528D5"/>
    <w:rsid w:val="00C52F0E"/>
    <w:rsid w:val="00C53E6C"/>
    <w:rsid w:val="00C54D75"/>
    <w:rsid w:val="00C56F94"/>
    <w:rsid w:val="00C60F0C"/>
    <w:rsid w:val="00C73C66"/>
    <w:rsid w:val="00C80510"/>
    <w:rsid w:val="00C805C9"/>
    <w:rsid w:val="00C81AC1"/>
    <w:rsid w:val="00C84049"/>
    <w:rsid w:val="00CA1566"/>
    <w:rsid w:val="00CA1679"/>
    <w:rsid w:val="00CA1AE4"/>
    <w:rsid w:val="00CA3D0E"/>
    <w:rsid w:val="00CA615B"/>
    <w:rsid w:val="00CB209C"/>
    <w:rsid w:val="00CC6DEA"/>
    <w:rsid w:val="00CD5A33"/>
    <w:rsid w:val="00CE34F5"/>
    <w:rsid w:val="00CE6069"/>
    <w:rsid w:val="00CF1ED1"/>
    <w:rsid w:val="00D01A1E"/>
    <w:rsid w:val="00D01A4E"/>
    <w:rsid w:val="00D045AC"/>
    <w:rsid w:val="00D06927"/>
    <w:rsid w:val="00D1234B"/>
    <w:rsid w:val="00D13815"/>
    <w:rsid w:val="00D14D91"/>
    <w:rsid w:val="00D23994"/>
    <w:rsid w:val="00D25EED"/>
    <w:rsid w:val="00D26D4B"/>
    <w:rsid w:val="00D310EC"/>
    <w:rsid w:val="00D31FBB"/>
    <w:rsid w:val="00D37AA3"/>
    <w:rsid w:val="00D5282C"/>
    <w:rsid w:val="00D57646"/>
    <w:rsid w:val="00D63EF3"/>
    <w:rsid w:val="00D66093"/>
    <w:rsid w:val="00D67B7F"/>
    <w:rsid w:val="00D73381"/>
    <w:rsid w:val="00D738F9"/>
    <w:rsid w:val="00D74BF8"/>
    <w:rsid w:val="00D759B3"/>
    <w:rsid w:val="00D77E33"/>
    <w:rsid w:val="00D83061"/>
    <w:rsid w:val="00D90138"/>
    <w:rsid w:val="00D9324B"/>
    <w:rsid w:val="00D97076"/>
    <w:rsid w:val="00D97905"/>
    <w:rsid w:val="00DA013E"/>
    <w:rsid w:val="00DA1850"/>
    <w:rsid w:val="00DA475B"/>
    <w:rsid w:val="00DB5A35"/>
    <w:rsid w:val="00DB7555"/>
    <w:rsid w:val="00DC24EA"/>
    <w:rsid w:val="00DC6544"/>
    <w:rsid w:val="00DC6DF7"/>
    <w:rsid w:val="00DD6610"/>
    <w:rsid w:val="00DE1269"/>
    <w:rsid w:val="00DE2A83"/>
    <w:rsid w:val="00DE7241"/>
    <w:rsid w:val="00DF5041"/>
    <w:rsid w:val="00E050FC"/>
    <w:rsid w:val="00E05DF6"/>
    <w:rsid w:val="00E060B8"/>
    <w:rsid w:val="00E07A7F"/>
    <w:rsid w:val="00E135FA"/>
    <w:rsid w:val="00E20032"/>
    <w:rsid w:val="00E3587C"/>
    <w:rsid w:val="00E47701"/>
    <w:rsid w:val="00E51900"/>
    <w:rsid w:val="00E57A10"/>
    <w:rsid w:val="00E620D9"/>
    <w:rsid w:val="00E6401C"/>
    <w:rsid w:val="00E6599D"/>
    <w:rsid w:val="00E66EC2"/>
    <w:rsid w:val="00E70FCE"/>
    <w:rsid w:val="00E72F5B"/>
    <w:rsid w:val="00E73F76"/>
    <w:rsid w:val="00E761BF"/>
    <w:rsid w:val="00E82430"/>
    <w:rsid w:val="00E86A6A"/>
    <w:rsid w:val="00E960D9"/>
    <w:rsid w:val="00EA1883"/>
    <w:rsid w:val="00EB3023"/>
    <w:rsid w:val="00EB33F5"/>
    <w:rsid w:val="00EB4F19"/>
    <w:rsid w:val="00EC24AB"/>
    <w:rsid w:val="00EC5818"/>
    <w:rsid w:val="00EC75B9"/>
    <w:rsid w:val="00ED0279"/>
    <w:rsid w:val="00EE3E42"/>
    <w:rsid w:val="00EE688E"/>
    <w:rsid w:val="00EF1360"/>
    <w:rsid w:val="00EF3220"/>
    <w:rsid w:val="00EF7D72"/>
    <w:rsid w:val="00F02213"/>
    <w:rsid w:val="00F024F0"/>
    <w:rsid w:val="00F05B09"/>
    <w:rsid w:val="00F05F64"/>
    <w:rsid w:val="00F1382B"/>
    <w:rsid w:val="00F262F0"/>
    <w:rsid w:val="00F33585"/>
    <w:rsid w:val="00F40740"/>
    <w:rsid w:val="00F427DD"/>
    <w:rsid w:val="00F42D50"/>
    <w:rsid w:val="00F46121"/>
    <w:rsid w:val="00F468C3"/>
    <w:rsid w:val="00F5342D"/>
    <w:rsid w:val="00F55704"/>
    <w:rsid w:val="00F56C68"/>
    <w:rsid w:val="00F57A18"/>
    <w:rsid w:val="00F60525"/>
    <w:rsid w:val="00F62DFD"/>
    <w:rsid w:val="00F638D2"/>
    <w:rsid w:val="00F65576"/>
    <w:rsid w:val="00F6637B"/>
    <w:rsid w:val="00F67D68"/>
    <w:rsid w:val="00F737ED"/>
    <w:rsid w:val="00F7651D"/>
    <w:rsid w:val="00F83549"/>
    <w:rsid w:val="00F86588"/>
    <w:rsid w:val="00F86F06"/>
    <w:rsid w:val="00F87C4D"/>
    <w:rsid w:val="00F93D53"/>
    <w:rsid w:val="00F94C70"/>
    <w:rsid w:val="00F96F88"/>
    <w:rsid w:val="00FA31CD"/>
    <w:rsid w:val="00FA3DD4"/>
    <w:rsid w:val="00FA7301"/>
    <w:rsid w:val="00FA7BC1"/>
    <w:rsid w:val="00FA7DC4"/>
    <w:rsid w:val="00FB00B0"/>
    <w:rsid w:val="00FB06A6"/>
    <w:rsid w:val="00FB1F95"/>
    <w:rsid w:val="00FB2AD1"/>
    <w:rsid w:val="00FB4A84"/>
    <w:rsid w:val="00FB4EA6"/>
    <w:rsid w:val="00FB6CD8"/>
    <w:rsid w:val="00FC7B7C"/>
    <w:rsid w:val="00FD2368"/>
    <w:rsid w:val="00FD2EF7"/>
    <w:rsid w:val="00FE30C6"/>
    <w:rsid w:val="00FE316B"/>
    <w:rsid w:val="00FF507C"/>
    <w:rsid w:val="0410B1A4"/>
    <w:rsid w:val="16158557"/>
    <w:rsid w:val="190A2196"/>
    <w:rsid w:val="24B6AAA0"/>
    <w:rsid w:val="292D8543"/>
    <w:rsid w:val="2EDC6E8C"/>
    <w:rsid w:val="353B2528"/>
    <w:rsid w:val="3F60BC01"/>
    <w:rsid w:val="447D4EDC"/>
    <w:rsid w:val="559F28EC"/>
    <w:rsid w:val="55ED9C71"/>
    <w:rsid w:val="5CE0E5AA"/>
    <w:rsid w:val="5E3736F6"/>
    <w:rsid w:val="63DBAB42"/>
    <w:rsid w:val="64B4182A"/>
    <w:rsid w:val="65801A9B"/>
    <w:rsid w:val="6AEB359C"/>
    <w:rsid w:val="77C978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F6631"/>
  <w15:docId w15:val="{ADA0EAAE-8C11-4A0C-93ED-ADE39E881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696E37"/>
    <w:pPr>
      <w:spacing w:line="240" w:lineRule="atLeast"/>
    </w:pPr>
    <w:rPr>
      <w:lang w:val="es-ES" w:eastAsia="es-ES"/>
    </w:rPr>
  </w:style>
  <w:style w:type="paragraph" w:styleId="Ttulo1">
    <w:name w:val="heading 1"/>
    <w:aliases w:val="Cuadro_G"/>
    <w:basedOn w:val="SingleTxtG"/>
    <w:next w:val="SingleTxtG"/>
    <w:link w:val="Ttulo1Car"/>
    <w:uiPriority w:val="9"/>
    <w:qFormat/>
    <w:rsid w:val="00696E3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96E37"/>
    <w:pPr>
      <w:keepNext/>
      <w:outlineLvl w:val="1"/>
    </w:pPr>
    <w:rPr>
      <w:rFonts w:cs="Arial"/>
      <w:bCs/>
      <w:iCs/>
      <w:szCs w:val="28"/>
    </w:rPr>
  </w:style>
  <w:style w:type="paragraph" w:styleId="Ttulo3">
    <w:name w:val="heading 3"/>
    <w:basedOn w:val="Normal"/>
    <w:next w:val="Normal"/>
    <w:semiHidden/>
    <w:rsid w:val="00696E37"/>
    <w:pPr>
      <w:keepNext/>
      <w:spacing w:before="240" w:after="60"/>
      <w:outlineLvl w:val="2"/>
    </w:pPr>
    <w:rPr>
      <w:rFonts w:ascii="Arial" w:hAnsi="Arial" w:cs="Arial"/>
      <w:b/>
      <w:bCs/>
      <w:sz w:val="26"/>
      <w:szCs w:val="26"/>
    </w:rPr>
  </w:style>
  <w:style w:type="paragraph" w:styleId="Ttulo4">
    <w:name w:val="heading 4"/>
    <w:basedOn w:val="Normal"/>
    <w:next w:val="Normal"/>
    <w:semiHidden/>
    <w:rsid w:val="00696E37"/>
    <w:pPr>
      <w:keepNext/>
      <w:spacing w:before="240" w:after="60"/>
      <w:outlineLvl w:val="3"/>
    </w:pPr>
    <w:rPr>
      <w:b/>
      <w:bCs/>
      <w:sz w:val="28"/>
      <w:szCs w:val="28"/>
    </w:rPr>
  </w:style>
  <w:style w:type="paragraph" w:styleId="Ttulo5">
    <w:name w:val="heading 5"/>
    <w:basedOn w:val="Normal"/>
    <w:next w:val="Normal"/>
    <w:semiHidden/>
    <w:rsid w:val="00696E37"/>
    <w:pPr>
      <w:spacing w:before="240" w:after="60"/>
      <w:outlineLvl w:val="4"/>
    </w:pPr>
    <w:rPr>
      <w:b/>
      <w:bCs/>
      <w:i/>
      <w:iCs/>
      <w:sz w:val="26"/>
      <w:szCs w:val="26"/>
    </w:rPr>
  </w:style>
  <w:style w:type="paragraph" w:styleId="Ttulo6">
    <w:name w:val="heading 6"/>
    <w:basedOn w:val="Normal"/>
    <w:next w:val="Normal"/>
    <w:semiHidden/>
    <w:rsid w:val="00696E37"/>
    <w:pPr>
      <w:spacing w:before="240" w:after="60"/>
      <w:outlineLvl w:val="5"/>
    </w:pPr>
    <w:rPr>
      <w:b/>
      <w:bCs/>
      <w:sz w:val="22"/>
      <w:szCs w:val="22"/>
    </w:rPr>
  </w:style>
  <w:style w:type="paragraph" w:styleId="Ttulo7">
    <w:name w:val="heading 7"/>
    <w:basedOn w:val="Normal"/>
    <w:next w:val="Normal"/>
    <w:semiHidden/>
    <w:rsid w:val="00696E37"/>
    <w:pPr>
      <w:spacing w:before="240" w:after="60"/>
      <w:outlineLvl w:val="6"/>
    </w:pPr>
    <w:rPr>
      <w:sz w:val="24"/>
      <w:szCs w:val="24"/>
    </w:rPr>
  </w:style>
  <w:style w:type="paragraph" w:styleId="Ttulo8">
    <w:name w:val="heading 8"/>
    <w:basedOn w:val="Normal"/>
    <w:next w:val="Normal"/>
    <w:semiHidden/>
    <w:rsid w:val="00696E37"/>
    <w:pPr>
      <w:spacing w:before="240" w:after="60"/>
      <w:outlineLvl w:val="7"/>
    </w:pPr>
    <w:rPr>
      <w:i/>
      <w:iCs/>
      <w:sz w:val="24"/>
      <w:szCs w:val="24"/>
    </w:rPr>
  </w:style>
  <w:style w:type="paragraph" w:styleId="Ttulo9">
    <w:name w:val="heading 9"/>
    <w:basedOn w:val="Normal"/>
    <w:next w:val="Normal"/>
    <w:semiHidden/>
    <w:rsid w:val="00696E3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referencia nota al pie,BVI fnr,Footnote text,4_Footnote text,callout,Fago Fußnotenzeichen,16 Point,Superscript 6 Point,Footnote,Footnote symbol,Texto de nota al pie,f"/>
    <w:uiPriority w:val="99"/>
    <w:qFormat/>
    <w:rsid w:val="00696E37"/>
    <w:rPr>
      <w:rFonts w:ascii="Times New Roman" w:hAnsi="Times New Roman"/>
      <w:sz w:val="18"/>
      <w:vertAlign w:val="superscript"/>
    </w:rPr>
  </w:style>
  <w:style w:type="paragraph" w:customStyle="1" w:styleId="HMG">
    <w:name w:val="_ H __M_G"/>
    <w:basedOn w:val="Normal"/>
    <w:next w:val="Normal"/>
    <w:qFormat/>
    <w:rsid w:val="00696E3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696E3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96E3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96E3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96E3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96E3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696E37"/>
    <w:pPr>
      <w:pBdr>
        <w:bottom w:val="single" w:sz="4" w:space="4" w:color="auto"/>
      </w:pBdr>
      <w:spacing w:line="240" w:lineRule="auto"/>
    </w:pPr>
    <w:rPr>
      <w:b/>
      <w:sz w:val="18"/>
    </w:rPr>
  </w:style>
  <w:style w:type="paragraph" w:customStyle="1" w:styleId="SingleTxtG">
    <w:name w:val="_ Single Txt_G"/>
    <w:basedOn w:val="Normal"/>
    <w:link w:val="SingleTxtGChar"/>
    <w:qFormat/>
    <w:rsid w:val="00696E3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696E3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696E37"/>
    <w:pPr>
      <w:keepNext/>
      <w:keepLines/>
      <w:spacing w:before="240" w:after="240" w:line="580" w:lineRule="exact"/>
      <w:ind w:left="1134" w:right="1134"/>
    </w:pPr>
    <w:rPr>
      <w:b/>
      <w:sz w:val="56"/>
    </w:rPr>
  </w:style>
  <w:style w:type="paragraph" w:customStyle="1" w:styleId="SSG">
    <w:name w:val="__S_S_G"/>
    <w:basedOn w:val="Normal"/>
    <w:next w:val="Normal"/>
    <w:uiPriority w:val="5"/>
    <w:rsid w:val="00696E37"/>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696E37"/>
    <w:rPr>
      <w:sz w:val="16"/>
    </w:rPr>
  </w:style>
  <w:style w:type="paragraph" w:customStyle="1" w:styleId="XLargeG">
    <w:name w:val="__XLarge_G"/>
    <w:basedOn w:val="Normal"/>
    <w:next w:val="Normal"/>
    <w:uiPriority w:val="5"/>
    <w:rsid w:val="00696E37"/>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Text Char1 Char1,Footnote Text Char1 Char Char Char Char, Char,Footnote Reference1,Char,Ca,ft"/>
    <w:basedOn w:val="Normal"/>
    <w:link w:val="TextonotapieCar"/>
    <w:uiPriority w:val="99"/>
    <w:qFormat/>
    <w:rsid w:val="00696E37"/>
    <w:pPr>
      <w:tabs>
        <w:tab w:val="right" w:pos="1021"/>
      </w:tabs>
      <w:spacing w:line="220" w:lineRule="exact"/>
      <w:ind w:left="1134" w:right="1134" w:hanging="1134"/>
    </w:pPr>
    <w:rPr>
      <w:sz w:val="18"/>
    </w:rPr>
  </w:style>
  <w:style w:type="table" w:styleId="Tablaconcuadrcula">
    <w:name w:val="Table Grid"/>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96E37"/>
    <w:pPr>
      <w:numPr>
        <w:numId w:val="3"/>
      </w:numPr>
    </w:pPr>
  </w:style>
  <w:style w:type="numbering" w:styleId="1ai">
    <w:name w:val="Outline List 1"/>
    <w:basedOn w:val="Sinlista"/>
    <w:rsid w:val="00696E37"/>
    <w:pPr>
      <w:numPr>
        <w:numId w:val="4"/>
      </w:numPr>
    </w:pPr>
  </w:style>
  <w:style w:type="character" w:styleId="AcrnimoHTML">
    <w:name w:val="HTML Acronym"/>
    <w:basedOn w:val="Fuentedeprrafopredeter"/>
    <w:semiHidden/>
    <w:rsid w:val="00696E37"/>
  </w:style>
  <w:style w:type="numbering" w:styleId="ArtculoSeccin">
    <w:name w:val="Outline List 3"/>
    <w:basedOn w:val="Sinlista"/>
    <w:rsid w:val="00696E37"/>
    <w:pPr>
      <w:numPr>
        <w:numId w:val="5"/>
      </w:numPr>
    </w:pPr>
  </w:style>
  <w:style w:type="paragraph" w:styleId="Cierre">
    <w:name w:val="Closing"/>
    <w:basedOn w:val="Normal"/>
    <w:link w:val="CierreCar"/>
    <w:semiHidden/>
    <w:rsid w:val="00696E37"/>
    <w:pPr>
      <w:ind w:left="4252"/>
    </w:pPr>
  </w:style>
  <w:style w:type="character" w:styleId="CitaHTML">
    <w:name w:val="HTML Cite"/>
    <w:semiHidden/>
    <w:rsid w:val="00696E37"/>
    <w:rPr>
      <w:i/>
      <w:iCs/>
    </w:rPr>
  </w:style>
  <w:style w:type="character" w:styleId="CdigoHTML">
    <w:name w:val="HTML Code"/>
    <w:semiHidden/>
    <w:rsid w:val="00696E37"/>
    <w:rPr>
      <w:rFonts w:ascii="Courier New" w:hAnsi="Courier New" w:cs="Courier New"/>
      <w:sz w:val="20"/>
      <w:szCs w:val="20"/>
    </w:rPr>
  </w:style>
  <w:style w:type="paragraph" w:styleId="Continuarlista">
    <w:name w:val="List Continue"/>
    <w:basedOn w:val="Normal"/>
    <w:semiHidden/>
    <w:rsid w:val="00696E37"/>
    <w:pPr>
      <w:spacing w:after="120"/>
      <w:ind w:left="283"/>
    </w:pPr>
  </w:style>
  <w:style w:type="paragraph" w:styleId="Continuarlista2">
    <w:name w:val="List Continue 2"/>
    <w:basedOn w:val="Normal"/>
    <w:semiHidden/>
    <w:rsid w:val="00696E37"/>
    <w:pPr>
      <w:spacing w:after="120"/>
      <w:ind w:left="566"/>
    </w:pPr>
  </w:style>
  <w:style w:type="paragraph" w:styleId="Continuarlista3">
    <w:name w:val="List Continue 3"/>
    <w:basedOn w:val="Normal"/>
    <w:semiHidden/>
    <w:rsid w:val="00696E37"/>
    <w:pPr>
      <w:spacing w:after="120"/>
      <w:ind w:left="849"/>
    </w:pPr>
  </w:style>
  <w:style w:type="paragraph" w:styleId="Continuarlista4">
    <w:name w:val="List Continue 4"/>
    <w:basedOn w:val="Normal"/>
    <w:semiHidden/>
    <w:rsid w:val="00696E37"/>
    <w:pPr>
      <w:spacing w:after="120"/>
      <w:ind w:left="1132"/>
    </w:pPr>
  </w:style>
  <w:style w:type="paragraph" w:styleId="Continuarlista5">
    <w:name w:val="List Continue 5"/>
    <w:basedOn w:val="Normal"/>
    <w:semiHidden/>
    <w:rsid w:val="00696E37"/>
    <w:pPr>
      <w:spacing w:after="120"/>
      <w:ind w:left="1415"/>
    </w:pPr>
  </w:style>
  <w:style w:type="character" w:styleId="DefinicinHTML">
    <w:name w:val="HTML Definition"/>
    <w:semiHidden/>
    <w:rsid w:val="00696E37"/>
    <w:rPr>
      <w:i/>
      <w:iCs/>
    </w:rPr>
  </w:style>
  <w:style w:type="paragraph" w:styleId="DireccinHTML">
    <w:name w:val="HTML Address"/>
    <w:basedOn w:val="Normal"/>
    <w:link w:val="DireccinHTMLCar"/>
    <w:semiHidden/>
    <w:rsid w:val="00696E37"/>
    <w:rPr>
      <w:i/>
      <w:iCs/>
    </w:rPr>
  </w:style>
  <w:style w:type="paragraph" w:styleId="Direccinsobre">
    <w:name w:val="envelope address"/>
    <w:basedOn w:val="Normal"/>
    <w:semiHidden/>
    <w:rsid w:val="00696E3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696E37"/>
    <w:rPr>
      <w:rFonts w:ascii="Courier New" w:hAnsi="Courier New" w:cs="Courier New"/>
    </w:rPr>
  </w:style>
  <w:style w:type="paragraph" w:styleId="Encabezadodemensaje">
    <w:name w:val="Message Header"/>
    <w:basedOn w:val="Normal"/>
    <w:link w:val="EncabezadodemensajeCar"/>
    <w:semiHidden/>
    <w:rsid w:val="00696E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96E37"/>
  </w:style>
  <w:style w:type="character" w:styleId="nfasis">
    <w:name w:val="Emphasis"/>
    <w:semiHidden/>
    <w:rsid w:val="00696E37"/>
    <w:rPr>
      <w:i/>
      <w:iCs/>
    </w:rPr>
  </w:style>
  <w:style w:type="paragraph" w:styleId="Fecha">
    <w:name w:val="Date"/>
    <w:basedOn w:val="Normal"/>
    <w:next w:val="Normal"/>
    <w:link w:val="FechaCar"/>
    <w:semiHidden/>
    <w:rsid w:val="00696E37"/>
  </w:style>
  <w:style w:type="paragraph" w:styleId="Firma">
    <w:name w:val="Signature"/>
    <w:basedOn w:val="Normal"/>
    <w:link w:val="FirmaCar"/>
    <w:semiHidden/>
    <w:rsid w:val="00696E37"/>
    <w:pPr>
      <w:ind w:left="4252"/>
    </w:pPr>
  </w:style>
  <w:style w:type="paragraph" w:styleId="Firmadecorreoelectrnico">
    <w:name w:val="E-mail Signature"/>
    <w:basedOn w:val="Normal"/>
    <w:link w:val="FirmadecorreoelectrnicoCar"/>
    <w:semiHidden/>
    <w:rsid w:val="00696E37"/>
  </w:style>
  <w:style w:type="character" w:styleId="Hipervnculo">
    <w:name w:val="Hyperlink"/>
    <w:uiPriority w:val="4"/>
    <w:rsid w:val="00696E37"/>
    <w:rPr>
      <w:color w:val="0000FF"/>
      <w:u w:val="none"/>
    </w:rPr>
  </w:style>
  <w:style w:type="character" w:styleId="Hipervnculovisitado">
    <w:name w:val="FollowedHyperlink"/>
    <w:uiPriority w:val="4"/>
    <w:rsid w:val="00696E37"/>
    <w:rPr>
      <w:color w:val="0000FF"/>
      <w:u w:val="none"/>
    </w:rPr>
  </w:style>
  <w:style w:type="paragraph" w:styleId="HTMLconformatoprevio">
    <w:name w:val="HTML Preformatted"/>
    <w:basedOn w:val="Normal"/>
    <w:link w:val="HTMLconformatoprevioCar"/>
    <w:semiHidden/>
    <w:rsid w:val="00696E37"/>
    <w:rPr>
      <w:rFonts w:ascii="Courier New" w:hAnsi="Courier New" w:cs="Courier New"/>
    </w:rPr>
  </w:style>
  <w:style w:type="paragraph" w:styleId="Lista">
    <w:name w:val="List"/>
    <w:basedOn w:val="Normal"/>
    <w:semiHidden/>
    <w:rsid w:val="00696E37"/>
    <w:pPr>
      <w:ind w:left="283" w:hanging="283"/>
    </w:pPr>
  </w:style>
  <w:style w:type="paragraph" w:styleId="Lista2">
    <w:name w:val="List 2"/>
    <w:basedOn w:val="Normal"/>
    <w:semiHidden/>
    <w:rsid w:val="00696E37"/>
    <w:pPr>
      <w:ind w:left="566" w:hanging="283"/>
    </w:pPr>
  </w:style>
  <w:style w:type="paragraph" w:styleId="Lista3">
    <w:name w:val="List 3"/>
    <w:basedOn w:val="Normal"/>
    <w:semiHidden/>
    <w:rsid w:val="00696E37"/>
    <w:pPr>
      <w:ind w:left="849" w:hanging="283"/>
    </w:pPr>
  </w:style>
  <w:style w:type="paragraph" w:styleId="Lista4">
    <w:name w:val="List 4"/>
    <w:basedOn w:val="Normal"/>
    <w:semiHidden/>
    <w:rsid w:val="00696E37"/>
    <w:pPr>
      <w:ind w:left="1132" w:hanging="283"/>
    </w:pPr>
  </w:style>
  <w:style w:type="paragraph" w:styleId="Lista5">
    <w:name w:val="List 5"/>
    <w:basedOn w:val="Normal"/>
    <w:semiHidden/>
    <w:rsid w:val="00696E37"/>
    <w:pPr>
      <w:ind w:left="1415" w:hanging="283"/>
    </w:pPr>
  </w:style>
  <w:style w:type="paragraph" w:styleId="Listaconnmeros">
    <w:name w:val="List Number"/>
    <w:basedOn w:val="Normal"/>
    <w:semiHidden/>
    <w:rsid w:val="00696E37"/>
    <w:pPr>
      <w:numPr>
        <w:numId w:val="30"/>
      </w:numPr>
    </w:pPr>
  </w:style>
  <w:style w:type="paragraph" w:styleId="Listaconnmeros2">
    <w:name w:val="List Number 2"/>
    <w:basedOn w:val="Normal"/>
    <w:semiHidden/>
    <w:rsid w:val="00696E37"/>
    <w:pPr>
      <w:numPr>
        <w:numId w:val="31"/>
      </w:numPr>
    </w:pPr>
  </w:style>
  <w:style w:type="paragraph" w:styleId="Listaconnmeros3">
    <w:name w:val="List Number 3"/>
    <w:basedOn w:val="Normal"/>
    <w:semiHidden/>
    <w:rsid w:val="00696E37"/>
    <w:pPr>
      <w:numPr>
        <w:numId w:val="32"/>
      </w:numPr>
    </w:pPr>
  </w:style>
  <w:style w:type="paragraph" w:styleId="Listaconnmeros4">
    <w:name w:val="List Number 4"/>
    <w:basedOn w:val="Normal"/>
    <w:semiHidden/>
    <w:rsid w:val="00696E37"/>
    <w:pPr>
      <w:numPr>
        <w:numId w:val="33"/>
      </w:numPr>
    </w:pPr>
  </w:style>
  <w:style w:type="paragraph" w:styleId="Listaconnmeros5">
    <w:name w:val="List Number 5"/>
    <w:basedOn w:val="Normal"/>
    <w:semiHidden/>
    <w:rsid w:val="00696E37"/>
    <w:pPr>
      <w:numPr>
        <w:numId w:val="34"/>
      </w:numPr>
    </w:pPr>
  </w:style>
  <w:style w:type="paragraph" w:styleId="Listaconvietas">
    <w:name w:val="List Bullet"/>
    <w:basedOn w:val="Normal"/>
    <w:semiHidden/>
    <w:rsid w:val="00696E37"/>
    <w:pPr>
      <w:numPr>
        <w:numId w:val="25"/>
      </w:numPr>
    </w:pPr>
  </w:style>
  <w:style w:type="paragraph" w:styleId="Listaconvietas2">
    <w:name w:val="List Bullet 2"/>
    <w:basedOn w:val="Normal"/>
    <w:semiHidden/>
    <w:rsid w:val="00696E37"/>
    <w:pPr>
      <w:numPr>
        <w:numId w:val="26"/>
      </w:numPr>
    </w:pPr>
  </w:style>
  <w:style w:type="paragraph" w:styleId="Listaconvietas3">
    <w:name w:val="List Bullet 3"/>
    <w:basedOn w:val="Normal"/>
    <w:semiHidden/>
    <w:rsid w:val="00696E37"/>
    <w:pPr>
      <w:numPr>
        <w:numId w:val="27"/>
      </w:numPr>
    </w:pPr>
  </w:style>
  <w:style w:type="paragraph" w:styleId="Listaconvietas4">
    <w:name w:val="List Bullet 4"/>
    <w:basedOn w:val="Normal"/>
    <w:semiHidden/>
    <w:rsid w:val="00696E37"/>
    <w:pPr>
      <w:numPr>
        <w:numId w:val="28"/>
      </w:numPr>
    </w:pPr>
  </w:style>
  <w:style w:type="paragraph" w:styleId="Listaconvietas5">
    <w:name w:val="List Bullet 5"/>
    <w:basedOn w:val="Normal"/>
    <w:semiHidden/>
    <w:rsid w:val="00696E37"/>
    <w:pPr>
      <w:numPr>
        <w:numId w:val="29"/>
      </w:numPr>
    </w:pPr>
  </w:style>
  <w:style w:type="character" w:styleId="MquinadeescribirHTML">
    <w:name w:val="HTML Typewriter"/>
    <w:semiHidden/>
    <w:rsid w:val="00696E37"/>
    <w:rPr>
      <w:rFonts w:ascii="Courier New" w:hAnsi="Courier New" w:cs="Courier New"/>
      <w:sz w:val="20"/>
      <w:szCs w:val="20"/>
    </w:rPr>
  </w:style>
  <w:style w:type="paragraph" w:styleId="NormalWeb">
    <w:name w:val="Normal (Web)"/>
    <w:basedOn w:val="Normal"/>
    <w:semiHidden/>
    <w:rsid w:val="00696E37"/>
    <w:rPr>
      <w:sz w:val="24"/>
      <w:szCs w:val="24"/>
    </w:rPr>
  </w:style>
  <w:style w:type="character" w:styleId="Nmerodelnea">
    <w:name w:val="line number"/>
    <w:basedOn w:val="Fuentedeprrafopredeter"/>
    <w:semiHidden/>
    <w:rsid w:val="00696E37"/>
  </w:style>
  <w:style w:type="character" w:styleId="Nmerodepgina">
    <w:name w:val="page number"/>
    <w:aliases w:val="7_G"/>
    <w:uiPriority w:val="3"/>
    <w:qFormat/>
    <w:rsid w:val="00696E37"/>
    <w:rPr>
      <w:b/>
      <w:sz w:val="18"/>
    </w:rPr>
  </w:style>
  <w:style w:type="character" w:styleId="Refdenotaalfinal">
    <w:name w:val="endnote reference"/>
    <w:aliases w:val="1_G"/>
    <w:uiPriority w:val="3"/>
    <w:qFormat/>
    <w:rsid w:val="00696E37"/>
    <w:rPr>
      <w:rFonts w:ascii="Times New Roman" w:hAnsi="Times New Roman"/>
      <w:sz w:val="18"/>
      <w:vertAlign w:val="superscript"/>
    </w:rPr>
  </w:style>
  <w:style w:type="paragraph" w:styleId="Remitedesobre">
    <w:name w:val="envelope return"/>
    <w:basedOn w:val="Normal"/>
    <w:semiHidden/>
    <w:rsid w:val="00696E37"/>
    <w:rPr>
      <w:rFonts w:ascii="Arial" w:hAnsi="Arial" w:cs="Arial"/>
    </w:rPr>
  </w:style>
  <w:style w:type="paragraph" w:styleId="Saludo">
    <w:name w:val="Salutation"/>
    <w:basedOn w:val="Normal"/>
    <w:next w:val="Normal"/>
    <w:link w:val="SaludoCar"/>
    <w:semiHidden/>
    <w:rsid w:val="00696E37"/>
  </w:style>
  <w:style w:type="paragraph" w:styleId="Sangra2detindependiente">
    <w:name w:val="Body Text Indent 2"/>
    <w:basedOn w:val="Normal"/>
    <w:link w:val="Sangra2detindependienteCar"/>
    <w:semiHidden/>
    <w:rsid w:val="00696E37"/>
    <w:pPr>
      <w:spacing w:after="120" w:line="480" w:lineRule="auto"/>
      <w:ind w:left="283"/>
    </w:pPr>
  </w:style>
  <w:style w:type="paragraph" w:styleId="Sangra3detindependiente">
    <w:name w:val="Body Text Indent 3"/>
    <w:basedOn w:val="Normal"/>
    <w:link w:val="Sangra3detindependienteCar"/>
    <w:semiHidden/>
    <w:rsid w:val="00696E37"/>
    <w:pPr>
      <w:spacing w:after="120"/>
      <w:ind w:left="283"/>
    </w:pPr>
    <w:rPr>
      <w:sz w:val="16"/>
      <w:szCs w:val="16"/>
    </w:rPr>
  </w:style>
  <w:style w:type="paragraph" w:styleId="Sangradetextonormal">
    <w:name w:val="Body Text Indent"/>
    <w:basedOn w:val="Normal"/>
    <w:link w:val="SangradetextonormalCar"/>
    <w:semiHidden/>
    <w:rsid w:val="00696E37"/>
    <w:pPr>
      <w:spacing w:after="120"/>
      <w:ind w:left="283"/>
    </w:pPr>
  </w:style>
  <w:style w:type="paragraph" w:styleId="Sangranormal">
    <w:name w:val="Normal Indent"/>
    <w:basedOn w:val="Normal"/>
    <w:semiHidden/>
    <w:rsid w:val="00696E37"/>
    <w:pPr>
      <w:ind w:left="567"/>
    </w:pPr>
  </w:style>
  <w:style w:type="paragraph" w:styleId="Subttulo">
    <w:name w:val="Subtitle"/>
    <w:basedOn w:val="Normal"/>
    <w:link w:val="SubttuloCar"/>
    <w:semiHidden/>
    <w:rsid w:val="00696E37"/>
    <w:pPr>
      <w:spacing w:after="60"/>
      <w:jc w:val="center"/>
      <w:outlineLvl w:val="1"/>
    </w:pPr>
    <w:rPr>
      <w:rFonts w:ascii="Arial" w:hAnsi="Arial" w:cs="Arial"/>
      <w:sz w:val="24"/>
      <w:szCs w:val="24"/>
    </w:rPr>
  </w:style>
  <w:style w:type="table" w:styleId="Tablabsica1">
    <w:name w:val="Table Simple 1"/>
    <w:basedOn w:val="Tablanormal"/>
    <w:rsid w:val="00696E3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96E3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96E3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96E3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96E3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96E3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96E3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96E3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96E3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696E3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696E3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696E3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96E3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96E3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96E3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96E3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96E3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96E3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96E3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96E3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96E3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96E3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96E3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96E3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96E3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96E3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96E3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96E3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96E3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96E3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96E3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696E37"/>
    <w:rPr>
      <w:rFonts w:ascii="Courier New" w:hAnsi="Courier New" w:cs="Courier New"/>
      <w:sz w:val="20"/>
      <w:szCs w:val="20"/>
    </w:rPr>
  </w:style>
  <w:style w:type="paragraph" w:styleId="Textodebloque">
    <w:name w:val="Block Text"/>
    <w:basedOn w:val="Normal"/>
    <w:semiHidden/>
    <w:rsid w:val="00696E37"/>
    <w:pPr>
      <w:spacing w:after="120"/>
      <w:ind w:left="1440" w:right="1440"/>
    </w:pPr>
  </w:style>
  <w:style w:type="character" w:styleId="Textoennegrita">
    <w:name w:val="Strong"/>
    <w:semiHidden/>
    <w:rsid w:val="00696E37"/>
    <w:rPr>
      <w:b/>
      <w:bCs/>
    </w:rPr>
  </w:style>
  <w:style w:type="paragraph" w:styleId="Textoindependiente">
    <w:name w:val="Body Text"/>
    <w:basedOn w:val="Normal"/>
    <w:link w:val="TextoindependienteCar"/>
    <w:semiHidden/>
    <w:rsid w:val="00696E37"/>
    <w:pPr>
      <w:spacing w:after="120"/>
    </w:pPr>
  </w:style>
  <w:style w:type="paragraph" w:styleId="Textoindependiente2">
    <w:name w:val="Body Text 2"/>
    <w:basedOn w:val="Normal"/>
    <w:link w:val="Textoindependiente2Car"/>
    <w:semiHidden/>
    <w:rsid w:val="00696E37"/>
    <w:pPr>
      <w:spacing w:after="120" w:line="480" w:lineRule="auto"/>
    </w:pPr>
  </w:style>
  <w:style w:type="paragraph" w:styleId="Textoindependiente3">
    <w:name w:val="Body Text 3"/>
    <w:basedOn w:val="Normal"/>
    <w:link w:val="Textoindependiente3Car"/>
    <w:semiHidden/>
    <w:rsid w:val="00696E37"/>
    <w:pPr>
      <w:spacing w:after="120"/>
    </w:pPr>
    <w:rPr>
      <w:sz w:val="16"/>
      <w:szCs w:val="16"/>
    </w:rPr>
  </w:style>
  <w:style w:type="paragraph" w:styleId="Textoindependienteprimerasangra">
    <w:name w:val="Body Text First Indent"/>
    <w:basedOn w:val="Textoindependiente"/>
    <w:link w:val="TextoindependienteprimerasangraCar"/>
    <w:semiHidden/>
    <w:rsid w:val="00696E37"/>
    <w:pPr>
      <w:ind w:firstLine="210"/>
    </w:pPr>
  </w:style>
  <w:style w:type="paragraph" w:styleId="Textoindependienteprimerasangra2">
    <w:name w:val="Body Text First Indent 2"/>
    <w:basedOn w:val="Sangradetextonormal"/>
    <w:link w:val="Textoindependienteprimerasangra2Car"/>
    <w:semiHidden/>
    <w:rsid w:val="00696E37"/>
    <w:pPr>
      <w:ind w:firstLine="210"/>
    </w:pPr>
  </w:style>
  <w:style w:type="paragraph" w:styleId="Textonotaalfinal">
    <w:name w:val="endnote text"/>
    <w:aliases w:val="2_G"/>
    <w:basedOn w:val="Textonotapie"/>
    <w:link w:val="TextonotaalfinalCar"/>
    <w:uiPriority w:val="3"/>
    <w:qFormat/>
    <w:rsid w:val="00696E37"/>
  </w:style>
  <w:style w:type="paragraph" w:styleId="Textosinformato">
    <w:name w:val="Plain Text"/>
    <w:basedOn w:val="Normal"/>
    <w:link w:val="TextosinformatoCar"/>
    <w:semiHidden/>
    <w:rsid w:val="00696E37"/>
    <w:rPr>
      <w:rFonts w:ascii="Courier New" w:hAnsi="Courier New" w:cs="Courier New"/>
    </w:rPr>
  </w:style>
  <w:style w:type="paragraph" w:styleId="Ttulo">
    <w:name w:val="Title"/>
    <w:basedOn w:val="Normal"/>
    <w:link w:val="TtuloCar"/>
    <w:semiHidden/>
    <w:rsid w:val="00696E37"/>
    <w:pPr>
      <w:spacing w:before="240" w:after="60"/>
      <w:jc w:val="center"/>
      <w:outlineLvl w:val="0"/>
    </w:pPr>
    <w:rPr>
      <w:rFonts w:ascii="Arial" w:hAnsi="Arial" w:cs="Arial"/>
      <w:b/>
      <w:bCs/>
      <w:kern w:val="28"/>
      <w:sz w:val="32"/>
      <w:szCs w:val="32"/>
    </w:rPr>
  </w:style>
  <w:style w:type="character" w:styleId="VariableHTML">
    <w:name w:val="HTML Variable"/>
    <w:semiHidden/>
    <w:rsid w:val="00696E37"/>
    <w:rPr>
      <w:i/>
      <w:iCs/>
    </w:rPr>
  </w:style>
  <w:style w:type="paragraph" w:customStyle="1" w:styleId="Bullet1G">
    <w:name w:val="_Bullet 1_G"/>
    <w:basedOn w:val="Normal"/>
    <w:uiPriority w:val="1"/>
    <w:qFormat/>
    <w:rsid w:val="00696E37"/>
    <w:pPr>
      <w:numPr>
        <w:numId w:val="17"/>
      </w:numPr>
      <w:spacing w:after="120"/>
      <w:ind w:right="1134"/>
      <w:jc w:val="both"/>
    </w:pPr>
    <w:rPr>
      <w:lang w:eastAsia="en-US"/>
    </w:rPr>
  </w:style>
  <w:style w:type="paragraph" w:customStyle="1" w:styleId="Bullet2G">
    <w:name w:val="_Bullet 2_G"/>
    <w:basedOn w:val="Normal"/>
    <w:uiPriority w:val="1"/>
    <w:qFormat/>
    <w:rsid w:val="00696E37"/>
    <w:pPr>
      <w:numPr>
        <w:numId w:val="18"/>
      </w:numPr>
      <w:spacing w:after="120"/>
      <w:ind w:right="1134"/>
      <w:jc w:val="both"/>
    </w:pPr>
  </w:style>
  <w:style w:type="paragraph" w:styleId="Textodeglobo">
    <w:name w:val="Balloon Text"/>
    <w:basedOn w:val="Normal"/>
    <w:link w:val="TextodegloboCar"/>
    <w:semiHidden/>
    <w:unhideWhenUsed/>
    <w:rsid w:val="00696E3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696E37"/>
    <w:rPr>
      <w:rFonts w:ascii="Segoe UI" w:hAnsi="Segoe UI" w:cs="Segoe UI"/>
      <w:sz w:val="18"/>
      <w:szCs w:val="18"/>
      <w:lang w:val="es-ES" w:eastAsia="es-ES"/>
    </w:rPr>
  </w:style>
  <w:style w:type="paragraph" w:customStyle="1" w:styleId="ParNoG">
    <w:name w:val="_ParNo_G"/>
    <w:basedOn w:val="Normal"/>
    <w:uiPriority w:val="1"/>
    <w:qFormat/>
    <w:rsid w:val="00696E37"/>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696E37"/>
    <w:rPr>
      <w:lang w:val="es-ES" w:eastAsia="es-ES"/>
    </w:rPr>
  </w:style>
  <w:style w:type="paragraph" w:customStyle="1" w:styleId="1ParNoG">
    <w:name w:val="1 _ParNo_G"/>
    <w:basedOn w:val="Normal"/>
    <w:uiPriority w:val="1"/>
    <w:qFormat/>
    <w:rsid w:val="00696E37"/>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696E37"/>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696E37"/>
    <w:rPr>
      <w:lang w:val="es-ES" w:eastAsia="es-ES"/>
    </w:rPr>
  </w:style>
  <w:style w:type="character" w:customStyle="1" w:styleId="Textoindependiente2Car">
    <w:name w:val="Texto independiente 2 Car"/>
    <w:basedOn w:val="Fuentedeprrafopredeter"/>
    <w:link w:val="Textoindependiente2"/>
    <w:semiHidden/>
    <w:rsid w:val="00696E37"/>
    <w:rPr>
      <w:lang w:val="es-ES" w:eastAsia="es-ES"/>
    </w:rPr>
  </w:style>
  <w:style w:type="character" w:customStyle="1" w:styleId="Textoindependiente3Car">
    <w:name w:val="Texto independiente 3 Car"/>
    <w:basedOn w:val="Fuentedeprrafopredeter"/>
    <w:link w:val="Textoindependiente3"/>
    <w:semiHidden/>
    <w:rsid w:val="00696E3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96E37"/>
    <w:rPr>
      <w:lang w:val="es-ES" w:eastAsia="es-ES"/>
    </w:rPr>
  </w:style>
  <w:style w:type="character" w:customStyle="1" w:styleId="SangradetextonormalCar">
    <w:name w:val="Sangría de texto normal Car"/>
    <w:basedOn w:val="Fuentedeprrafopredeter"/>
    <w:link w:val="Sangradetextonormal"/>
    <w:semiHidden/>
    <w:rsid w:val="00696E3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96E37"/>
    <w:rPr>
      <w:lang w:val="es-ES" w:eastAsia="es-ES"/>
    </w:rPr>
  </w:style>
  <w:style w:type="character" w:customStyle="1" w:styleId="Sangra2detindependienteCar">
    <w:name w:val="Sangría 2 de t. independiente Car"/>
    <w:basedOn w:val="Fuentedeprrafopredeter"/>
    <w:link w:val="Sangra2detindependiente"/>
    <w:semiHidden/>
    <w:rsid w:val="00696E37"/>
    <w:rPr>
      <w:lang w:val="es-ES" w:eastAsia="es-ES"/>
    </w:rPr>
  </w:style>
  <w:style w:type="character" w:customStyle="1" w:styleId="Sangra3detindependienteCar">
    <w:name w:val="Sangría 3 de t. independiente Car"/>
    <w:basedOn w:val="Fuentedeprrafopredeter"/>
    <w:link w:val="Sangra3detindependiente"/>
    <w:semiHidden/>
    <w:rsid w:val="00696E37"/>
    <w:rPr>
      <w:sz w:val="16"/>
      <w:szCs w:val="16"/>
      <w:lang w:val="es-ES" w:eastAsia="es-ES"/>
    </w:rPr>
  </w:style>
  <w:style w:type="character" w:customStyle="1" w:styleId="CierreCar">
    <w:name w:val="Cierre Car"/>
    <w:basedOn w:val="Fuentedeprrafopredeter"/>
    <w:link w:val="Cierre"/>
    <w:semiHidden/>
    <w:rsid w:val="00696E37"/>
    <w:rPr>
      <w:lang w:val="es-ES" w:eastAsia="es-ES"/>
    </w:rPr>
  </w:style>
  <w:style w:type="character" w:customStyle="1" w:styleId="FechaCar">
    <w:name w:val="Fecha Car"/>
    <w:basedOn w:val="Fuentedeprrafopredeter"/>
    <w:link w:val="Fecha"/>
    <w:semiHidden/>
    <w:rsid w:val="00696E37"/>
    <w:rPr>
      <w:lang w:val="es-ES" w:eastAsia="es-ES"/>
    </w:rPr>
  </w:style>
  <w:style w:type="character" w:customStyle="1" w:styleId="FirmadecorreoelectrnicoCar">
    <w:name w:val="Firma de correo electrónico Car"/>
    <w:basedOn w:val="Fuentedeprrafopredeter"/>
    <w:link w:val="Firmadecorreoelectrnico"/>
    <w:semiHidden/>
    <w:rsid w:val="00696E37"/>
    <w:rPr>
      <w:lang w:val="es-ES" w:eastAsia="es-ES"/>
    </w:rPr>
  </w:style>
  <w:style w:type="character" w:customStyle="1" w:styleId="TextonotapieCar">
    <w:name w:val="Texto nota pie Car"/>
    <w:aliases w:val="5_G Car,Footnote Text Char Char Char Char Char Car,Footnote Text Char Char Char Char Car,Footnote reference Car,FA Fu Car,Footnote Text Char Char Char Car,Footnote Text Char1 Char1 Car,Footnote Text Char1 Char Char Char Char Car"/>
    <w:basedOn w:val="Fuentedeprrafopredeter"/>
    <w:link w:val="Textonotapie"/>
    <w:uiPriority w:val="99"/>
    <w:rsid w:val="00696E37"/>
    <w:rPr>
      <w:sz w:val="18"/>
      <w:lang w:val="es-ES" w:eastAsia="es-ES"/>
    </w:rPr>
  </w:style>
  <w:style w:type="character" w:customStyle="1" w:styleId="TextonotaalfinalCar">
    <w:name w:val="Texto nota al final Car"/>
    <w:aliases w:val="2_G Car"/>
    <w:basedOn w:val="Fuentedeprrafopredeter"/>
    <w:link w:val="Textonotaalfinal"/>
    <w:uiPriority w:val="3"/>
    <w:rsid w:val="00696E37"/>
    <w:rPr>
      <w:sz w:val="18"/>
      <w:lang w:val="es-ES" w:eastAsia="es-ES"/>
    </w:rPr>
  </w:style>
  <w:style w:type="character" w:customStyle="1" w:styleId="PiedepginaCar">
    <w:name w:val="Pie de página Car"/>
    <w:aliases w:val="3_G Car"/>
    <w:basedOn w:val="Fuentedeprrafopredeter"/>
    <w:link w:val="Piedepgina"/>
    <w:uiPriority w:val="3"/>
    <w:rsid w:val="00696E37"/>
    <w:rPr>
      <w:sz w:val="16"/>
      <w:lang w:val="es-ES" w:eastAsia="es-ES"/>
    </w:rPr>
  </w:style>
  <w:style w:type="character" w:customStyle="1" w:styleId="EncabezadoCar">
    <w:name w:val="Encabezado Car"/>
    <w:aliases w:val="6_G Car"/>
    <w:basedOn w:val="Fuentedeprrafopredeter"/>
    <w:link w:val="Encabezado"/>
    <w:uiPriority w:val="3"/>
    <w:rsid w:val="00696E37"/>
    <w:rPr>
      <w:b/>
      <w:sz w:val="18"/>
      <w:lang w:val="es-ES" w:eastAsia="es-ES"/>
    </w:rPr>
  </w:style>
  <w:style w:type="character" w:customStyle="1" w:styleId="Ttulo1Car">
    <w:name w:val="Título 1 Car"/>
    <w:aliases w:val="Cuadro_G Car"/>
    <w:basedOn w:val="Fuentedeprrafopredeter"/>
    <w:link w:val="Ttulo1"/>
    <w:uiPriority w:val="9"/>
    <w:rsid w:val="00696E37"/>
    <w:rPr>
      <w:lang w:val="fr-CH" w:eastAsia="en-US"/>
    </w:rPr>
  </w:style>
  <w:style w:type="character" w:customStyle="1" w:styleId="DireccinHTMLCar">
    <w:name w:val="Dirección HTML Car"/>
    <w:basedOn w:val="Fuentedeprrafopredeter"/>
    <w:link w:val="DireccinHTML"/>
    <w:semiHidden/>
    <w:rsid w:val="00696E37"/>
    <w:rPr>
      <w:i/>
      <w:iCs/>
      <w:lang w:val="es-ES" w:eastAsia="es-ES"/>
    </w:rPr>
  </w:style>
  <w:style w:type="character" w:customStyle="1" w:styleId="HTMLconformatoprevioCar">
    <w:name w:val="HTML con formato previo Car"/>
    <w:basedOn w:val="Fuentedeprrafopredeter"/>
    <w:link w:val="HTMLconformatoprevio"/>
    <w:semiHidden/>
    <w:rsid w:val="00696E37"/>
    <w:rPr>
      <w:rFonts w:ascii="Courier New" w:hAnsi="Courier New" w:cs="Courier New"/>
      <w:lang w:val="es-ES" w:eastAsia="es-ES"/>
    </w:rPr>
  </w:style>
  <w:style w:type="character" w:styleId="nfasisintenso">
    <w:name w:val="Intense Emphasis"/>
    <w:uiPriority w:val="21"/>
    <w:semiHidden/>
    <w:rsid w:val="00696E37"/>
    <w:rPr>
      <w:b/>
      <w:bCs/>
      <w:i/>
      <w:iCs/>
      <w:color w:val="4F81BD"/>
    </w:rPr>
  </w:style>
  <w:style w:type="paragraph" w:styleId="Citadestacada">
    <w:name w:val="Intense Quote"/>
    <w:basedOn w:val="Normal"/>
    <w:next w:val="Normal"/>
    <w:link w:val="CitadestacadaCar"/>
    <w:uiPriority w:val="30"/>
    <w:semiHidden/>
    <w:rsid w:val="00696E3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696E37"/>
    <w:rPr>
      <w:b/>
      <w:bCs/>
      <w:i/>
      <w:iCs/>
      <w:color w:val="4F81BD"/>
      <w:lang w:val="es-ES" w:eastAsia="es-ES"/>
    </w:rPr>
  </w:style>
  <w:style w:type="character" w:customStyle="1" w:styleId="EncabezadodemensajeCar">
    <w:name w:val="Encabezado de mensaje Car"/>
    <w:basedOn w:val="Fuentedeprrafopredeter"/>
    <w:link w:val="Encabezadodemensaje"/>
    <w:semiHidden/>
    <w:rsid w:val="00696E3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96E37"/>
    <w:rPr>
      <w:lang w:val="es-ES" w:eastAsia="es-ES"/>
    </w:rPr>
  </w:style>
  <w:style w:type="character" w:customStyle="1" w:styleId="TextosinformatoCar">
    <w:name w:val="Texto sin formato Car"/>
    <w:basedOn w:val="Fuentedeprrafopredeter"/>
    <w:link w:val="Textosinformato"/>
    <w:semiHidden/>
    <w:rsid w:val="00696E37"/>
    <w:rPr>
      <w:rFonts w:ascii="Courier New" w:hAnsi="Courier New" w:cs="Courier New"/>
      <w:lang w:val="es-ES" w:eastAsia="es-ES"/>
    </w:rPr>
  </w:style>
  <w:style w:type="character" w:customStyle="1" w:styleId="SaludoCar">
    <w:name w:val="Saludo Car"/>
    <w:basedOn w:val="Fuentedeprrafopredeter"/>
    <w:link w:val="Saludo"/>
    <w:semiHidden/>
    <w:rsid w:val="00696E37"/>
    <w:rPr>
      <w:lang w:val="es-ES" w:eastAsia="es-ES"/>
    </w:rPr>
  </w:style>
  <w:style w:type="character" w:customStyle="1" w:styleId="FirmaCar">
    <w:name w:val="Firma Car"/>
    <w:basedOn w:val="Fuentedeprrafopredeter"/>
    <w:link w:val="Firma"/>
    <w:semiHidden/>
    <w:rsid w:val="00696E37"/>
    <w:rPr>
      <w:lang w:val="es-ES" w:eastAsia="es-ES"/>
    </w:rPr>
  </w:style>
  <w:style w:type="character" w:customStyle="1" w:styleId="SubttuloCar">
    <w:name w:val="Subtítulo Car"/>
    <w:basedOn w:val="Fuentedeprrafopredeter"/>
    <w:link w:val="Subttulo"/>
    <w:semiHidden/>
    <w:rsid w:val="00696E37"/>
    <w:rPr>
      <w:rFonts w:ascii="Arial" w:hAnsi="Arial" w:cs="Arial"/>
      <w:sz w:val="24"/>
      <w:szCs w:val="24"/>
      <w:lang w:val="es-ES" w:eastAsia="es-ES"/>
    </w:rPr>
  </w:style>
  <w:style w:type="paragraph" w:customStyle="1" w:styleId="Table1G">
    <w:name w:val="Table_1_G"/>
    <w:basedOn w:val="Normal"/>
    <w:next w:val="Normal"/>
    <w:uiPriority w:val="2"/>
    <w:qFormat/>
    <w:rsid w:val="00696E3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696E37"/>
    <w:pPr>
      <w:spacing w:after="120"/>
    </w:pPr>
    <w:rPr>
      <w:b/>
    </w:rPr>
  </w:style>
  <w:style w:type="paragraph" w:customStyle="1" w:styleId="Table1Line3G">
    <w:name w:val="Table_1_Line3_G"/>
    <w:basedOn w:val="Table1line2G"/>
    <w:next w:val="Normal"/>
    <w:uiPriority w:val="2"/>
    <w:qFormat/>
    <w:rsid w:val="00696E37"/>
    <w:rPr>
      <w:b w:val="0"/>
      <w:sz w:val="16"/>
    </w:rPr>
  </w:style>
  <w:style w:type="paragraph" w:customStyle="1" w:styleId="TableH23G">
    <w:name w:val="Table_H2/3_G"/>
    <w:basedOn w:val="H23G"/>
    <w:uiPriority w:val="2"/>
    <w:qFormat/>
    <w:rsid w:val="00696E3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696E37"/>
    <w:rPr>
      <w:rFonts w:ascii="Arial" w:hAnsi="Arial" w:cs="Arial"/>
      <w:b/>
      <w:bCs/>
      <w:kern w:val="28"/>
      <w:sz w:val="32"/>
      <w:szCs w:val="32"/>
      <w:lang w:val="es-ES" w:eastAsia="es-ES"/>
    </w:rPr>
  </w:style>
  <w:style w:type="paragraph" w:styleId="TDC1">
    <w:name w:val="toc 1"/>
    <w:basedOn w:val="Normal"/>
    <w:next w:val="Normal"/>
    <w:uiPriority w:val="5"/>
    <w:unhideWhenUsed/>
    <w:rsid w:val="00696E3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696E37"/>
    <w:pPr>
      <w:tabs>
        <w:tab w:val="clear" w:pos="851"/>
      </w:tabs>
      <w:ind w:left="1559" w:hanging="425"/>
    </w:pPr>
  </w:style>
  <w:style w:type="paragraph" w:styleId="TDC3">
    <w:name w:val="toc 3"/>
    <w:basedOn w:val="TDC2"/>
    <w:next w:val="Normal"/>
    <w:uiPriority w:val="5"/>
    <w:unhideWhenUsed/>
    <w:rsid w:val="00696E37"/>
    <w:pPr>
      <w:tabs>
        <w:tab w:val="left" w:pos="1985"/>
      </w:tabs>
      <w:ind w:left="1984"/>
    </w:pPr>
  </w:style>
  <w:style w:type="paragraph" w:styleId="TDC4">
    <w:name w:val="toc 4"/>
    <w:basedOn w:val="TDC1"/>
    <w:next w:val="Normal"/>
    <w:uiPriority w:val="5"/>
    <w:unhideWhenUsed/>
    <w:rsid w:val="00696E37"/>
    <w:pPr>
      <w:tabs>
        <w:tab w:val="clear" w:pos="9072"/>
        <w:tab w:val="left" w:leader="dot" w:pos="7938"/>
        <w:tab w:val="right" w:pos="8930"/>
      </w:tabs>
      <w:ind w:right="1701"/>
    </w:pPr>
  </w:style>
  <w:style w:type="paragraph" w:styleId="TDC5">
    <w:name w:val="toc 5"/>
    <w:basedOn w:val="TDC4"/>
    <w:next w:val="Normal"/>
    <w:uiPriority w:val="5"/>
    <w:unhideWhenUsed/>
    <w:rsid w:val="00696E37"/>
    <w:pPr>
      <w:tabs>
        <w:tab w:val="clear" w:pos="851"/>
      </w:tabs>
      <w:ind w:left="1559" w:hanging="425"/>
    </w:pPr>
  </w:style>
  <w:style w:type="paragraph" w:styleId="TDC6">
    <w:name w:val="toc 6"/>
    <w:basedOn w:val="TDC5"/>
    <w:next w:val="Normal"/>
    <w:uiPriority w:val="5"/>
    <w:unhideWhenUsed/>
    <w:rsid w:val="00696E37"/>
    <w:pPr>
      <w:tabs>
        <w:tab w:val="left" w:pos="1985"/>
      </w:tabs>
      <w:ind w:left="1984"/>
    </w:pPr>
  </w:style>
  <w:style w:type="character" w:customStyle="1" w:styleId="HChGChar">
    <w:name w:val="_ H _Ch_G Char"/>
    <w:link w:val="HChG"/>
    <w:rsid w:val="00166AE2"/>
    <w:rPr>
      <w:b/>
      <w:sz w:val="28"/>
      <w:lang w:val="es-ES" w:eastAsia="es-ES"/>
    </w:rPr>
  </w:style>
  <w:style w:type="character" w:styleId="Refdecomentario">
    <w:name w:val="annotation reference"/>
    <w:basedOn w:val="Fuentedeprrafopredeter"/>
    <w:semiHidden/>
    <w:unhideWhenUsed/>
    <w:rsid w:val="004E0DE4"/>
    <w:rPr>
      <w:sz w:val="16"/>
      <w:szCs w:val="16"/>
    </w:rPr>
  </w:style>
  <w:style w:type="paragraph" w:styleId="Textocomentario">
    <w:name w:val="annotation text"/>
    <w:basedOn w:val="Normal"/>
    <w:link w:val="TextocomentarioCar"/>
    <w:unhideWhenUsed/>
    <w:rsid w:val="004E0DE4"/>
    <w:pPr>
      <w:spacing w:line="240" w:lineRule="auto"/>
    </w:pPr>
  </w:style>
  <w:style w:type="character" w:customStyle="1" w:styleId="TextocomentarioCar">
    <w:name w:val="Texto comentario Car"/>
    <w:basedOn w:val="Fuentedeprrafopredeter"/>
    <w:link w:val="Textocomentario"/>
    <w:rsid w:val="004E0DE4"/>
    <w:rPr>
      <w:lang w:val="es-ES" w:eastAsia="es-ES"/>
    </w:rPr>
  </w:style>
  <w:style w:type="paragraph" w:styleId="Asuntodelcomentario">
    <w:name w:val="annotation subject"/>
    <w:basedOn w:val="Textocomentario"/>
    <w:next w:val="Textocomentario"/>
    <w:link w:val="AsuntodelcomentarioCar"/>
    <w:semiHidden/>
    <w:unhideWhenUsed/>
    <w:rsid w:val="004E0DE4"/>
    <w:rPr>
      <w:b/>
      <w:bCs/>
    </w:rPr>
  </w:style>
  <w:style w:type="character" w:customStyle="1" w:styleId="AsuntodelcomentarioCar">
    <w:name w:val="Asunto del comentario Car"/>
    <w:basedOn w:val="TextocomentarioCar"/>
    <w:link w:val="Asuntodelcomentario"/>
    <w:semiHidden/>
    <w:rsid w:val="004E0DE4"/>
    <w:rPr>
      <w:b/>
      <w:bCs/>
      <w:lang w:val="es-ES" w:eastAsia="es-ES"/>
    </w:rPr>
  </w:style>
  <w:style w:type="character" w:customStyle="1" w:styleId="Mencinsinresolver1">
    <w:name w:val="Mención sin resolver1"/>
    <w:basedOn w:val="Fuentedeprrafopredeter"/>
    <w:uiPriority w:val="99"/>
    <w:semiHidden/>
    <w:unhideWhenUsed/>
    <w:rsid w:val="00DA0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68535">
      <w:bodyDiv w:val="1"/>
      <w:marLeft w:val="0"/>
      <w:marRight w:val="0"/>
      <w:marTop w:val="0"/>
      <w:marBottom w:val="0"/>
      <w:divBdr>
        <w:top w:val="none" w:sz="0" w:space="0" w:color="auto"/>
        <w:left w:val="none" w:sz="0" w:space="0" w:color="auto"/>
        <w:bottom w:val="none" w:sz="0" w:space="0" w:color="auto"/>
        <w:right w:val="none" w:sz="0" w:space="0" w:color="auto"/>
      </w:divBdr>
    </w:div>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 w:id="1662469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E/C.12/65/D/22/2017" TargetMode="External"/><Relationship Id="rId3" Type="http://schemas.openxmlformats.org/officeDocument/2006/relationships/hyperlink" Target="https://undocs.org/es/E/C.12/70/D/102/2019" TargetMode="External"/><Relationship Id="rId7" Type="http://schemas.openxmlformats.org/officeDocument/2006/relationships/hyperlink" Target="https://undocs.org/es/E/C.12/66/D/51/2018" TargetMode="External"/><Relationship Id="rId2" Type="http://schemas.openxmlformats.org/officeDocument/2006/relationships/hyperlink" Target="https://undocs.org/es/E/C.12/71/D/39/2018" TargetMode="External"/><Relationship Id="rId1" Type="http://schemas.openxmlformats.org/officeDocument/2006/relationships/hyperlink" Target="https://undocs.org/es/E/C.12/70/D/92/2019" TargetMode="External"/><Relationship Id="rId6" Type="http://schemas.openxmlformats.org/officeDocument/2006/relationships/hyperlink" Target="https://undocs.org/es/E/C.12/64/D/19/2016" TargetMode="External"/><Relationship Id="rId5" Type="http://schemas.openxmlformats.org/officeDocument/2006/relationships/hyperlink" Target="https://undocs.org/es/E/C.12/63/D/7/2015" TargetMode="External"/><Relationship Id="rId4" Type="http://schemas.openxmlformats.org/officeDocument/2006/relationships/hyperlink" Target="https://undocs.org/es/E/C.12/68/D/45/20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E26CF-324A-43A3-A803-E65D87B2F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8</Pages>
  <Words>4436</Words>
  <Characters>22847</Characters>
  <Application>Microsoft Office Word</Application>
  <DocSecurity>0</DocSecurity>
  <Lines>356</Lines>
  <Paragraphs>88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E/C.12/71/D/39/2018</vt:lpstr>
      <vt:lpstr>E/</vt:lpstr>
    </vt:vector>
  </TitlesOfParts>
  <Company/>
  <LinksUpToDate>false</LinksUpToDate>
  <CharactersWithSpaces>27195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E/C.12/72/D/86/2018</dc:title>
  <dc:subject/>
  <dc:creator>Juan-Carlos KOROL</dc:creator>
  <cp:keywords/>
  <cp:lastModifiedBy>Javier Rodriguez Perez</cp:lastModifiedBy>
  <cp:revision>2</cp:revision>
  <cp:lastPrinted>2022-12-15T14:54:00Z</cp:lastPrinted>
  <dcterms:created xsi:type="dcterms:W3CDTF">2022-12-15T14:55:00Z</dcterms:created>
  <dcterms:modified xsi:type="dcterms:W3CDTF">2022-12-15T14:55:00Z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c39695dea8fdbaf9593af7f4eb06b1f009c9b874aa55f2bc43563098d9994055</vt:lpwstr>
  </property>
</Properties>
</file>