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4A5D0D60" w14:textId="77777777" w:rsidTr="00EE2AFF">
        <w:trPr>
          <w:trHeight w:hRule="exact" w:val="851"/>
        </w:trPr>
        <w:tc>
          <w:tcPr>
            <w:tcW w:w="1274" w:type="dxa"/>
            <w:tcBorders>
              <w:bottom w:val="single" w:sz="4" w:space="0" w:color="auto"/>
            </w:tcBorders>
          </w:tcPr>
          <w:p w14:paraId="2E7EB4D6" w14:textId="77777777" w:rsidR="006B3E27" w:rsidRPr="00F12208" w:rsidRDefault="006B3E27" w:rsidP="00B37BFC">
            <w:pPr>
              <w:pStyle w:val="H4GA"/>
              <w:kinsoku w:val="0"/>
              <w:overflowPunct w:val="0"/>
              <w:autoSpaceDE w:val="0"/>
              <w:autoSpaceDN w:val="0"/>
              <w:adjustRightInd w:val="0"/>
              <w:snapToGrid w:val="0"/>
              <w:rPr>
                <w:rFonts w:asciiTheme="minorHAnsi" w:hAnsiTheme="minorHAnsi" w:hint="cs"/>
                <w:lang w:val="en-US"/>
              </w:rPr>
            </w:pPr>
          </w:p>
        </w:tc>
        <w:tc>
          <w:tcPr>
            <w:tcW w:w="4963" w:type="dxa"/>
            <w:tcBorders>
              <w:bottom w:val="single" w:sz="4" w:space="0" w:color="auto"/>
            </w:tcBorders>
            <w:vAlign w:val="bottom"/>
          </w:tcPr>
          <w:p w14:paraId="4DEC4910"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7CBBC40C" w14:textId="79E2694D" w:rsidR="006B3E27" w:rsidRPr="004B5DE1" w:rsidRDefault="004B5DE1" w:rsidP="004B5DE1">
            <w:pPr>
              <w:bidi w:val="0"/>
              <w:jc w:val="left"/>
            </w:pPr>
            <w:r w:rsidRPr="00B726CD">
              <w:rPr>
                <w:sz w:val="40"/>
              </w:rPr>
              <w:t>E</w:t>
            </w:r>
            <w:r w:rsidRPr="00B726CD">
              <w:t>/C.</w:t>
            </w:r>
            <w:r w:rsidRPr="00F12208">
              <w:t>12</w:t>
            </w:r>
            <w:r w:rsidRPr="00B726CD">
              <w:t>/LTU/CO/</w:t>
            </w:r>
            <w:r w:rsidRPr="00F12208">
              <w:t>3</w:t>
            </w:r>
          </w:p>
        </w:tc>
      </w:tr>
      <w:tr w:rsidR="006B3E27" w:rsidRPr="00ED7442" w14:paraId="0F89F082" w14:textId="77777777" w:rsidTr="00EE2AFF">
        <w:trPr>
          <w:trHeight w:hRule="exact" w:val="2835"/>
        </w:trPr>
        <w:tc>
          <w:tcPr>
            <w:tcW w:w="1274" w:type="dxa"/>
            <w:tcBorders>
              <w:top w:val="single" w:sz="4" w:space="0" w:color="auto"/>
              <w:bottom w:val="single" w:sz="12" w:space="0" w:color="auto"/>
            </w:tcBorders>
          </w:tcPr>
          <w:p w14:paraId="6ED6F004" w14:textId="77777777" w:rsidR="006B3E27" w:rsidRPr="00ED7442" w:rsidRDefault="0059622A" w:rsidP="00EE2AFF">
            <w:pPr>
              <w:jc w:val="center"/>
              <w:rPr>
                <w:sz w:val="56"/>
                <w:szCs w:val="56"/>
                <w:rtl/>
              </w:rPr>
            </w:pPr>
            <w:r w:rsidRPr="00ED7442">
              <w:rPr>
                <w:noProof/>
                <w:sz w:val="56"/>
                <w:szCs w:val="56"/>
              </w:rPr>
              <w:drawing>
                <wp:inline distT="0" distB="0" distL="0" distR="0" wp14:anchorId="586E96F0" wp14:editId="25A15A1E">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46C2C8FB" w14:textId="77777777" w:rsidR="006B3E27" w:rsidRPr="00F12208" w:rsidRDefault="00606EDF" w:rsidP="009E0EDE">
            <w:pPr>
              <w:spacing w:before="120" w:after="40" w:line="640" w:lineRule="exact"/>
              <w:ind w:left="57"/>
              <w:jc w:val="left"/>
              <w:rPr>
                <w:rFonts w:ascii="Times New Roman Bold" w:hAnsi="Times New Roman Bold" w:hint="eastAsia"/>
                <w:b/>
                <w:bCs/>
                <w:spacing w:val="-4"/>
                <w:sz w:val="48"/>
                <w:szCs w:val="48"/>
              </w:rPr>
            </w:pPr>
            <w:r w:rsidRPr="00F12208">
              <w:rPr>
                <w:rFonts w:ascii="Times New Roman Bold" w:hAnsi="Times New Roman Bold" w:hint="cs"/>
                <w:b/>
                <w:bCs/>
                <w:spacing w:val="-4"/>
                <w:sz w:val="48"/>
                <w:szCs w:val="48"/>
                <w:rtl/>
              </w:rPr>
              <w:t>ا</w:t>
            </w:r>
            <w:r w:rsidR="008930DB" w:rsidRPr="00F12208">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111BAAF8" w14:textId="39DBCDEE" w:rsidR="006B3E27" w:rsidRDefault="004B5DE1" w:rsidP="00EE2AFF">
            <w:pPr>
              <w:bidi w:val="0"/>
              <w:spacing w:before="240"/>
              <w:jc w:val="left"/>
            </w:pPr>
            <w:r>
              <w:t>Dist</w:t>
            </w:r>
            <w:r w:rsidR="00B726CD" w:rsidRPr="00B726CD">
              <w:t>r.:</w:t>
            </w:r>
            <w:r>
              <w:t xml:space="preserve"> General</w:t>
            </w:r>
          </w:p>
          <w:p w14:paraId="1314E38D" w14:textId="445FE5E9" w:rsidR="004B5DE1" w:rsidRDefault="00315AE7" w:rsidP="004B5DE1">
            <w:pPr>
              <w:bidi w:val="0"/>
              <w:spacing w:line="240" w:lineRule="exact"/>
              <w:jc w:val="left"/>
            </w:pPr>
            <w:r w:rsidRPr="00F12208">
              <w:t>30</w:t>
            </w:r>
            <w:r w:rsidRPr="00EC1436">
              <w:t xml:space="preserve"> March </w:t>
            </w:r>
            <w:r w:rsidRPr="00F12208">
              <w:t>2023</w:t>
            </w:r>
          </w:p>
          <w:p w14:paraId="6BF0B84D" w14:textId="77777777" w:rsidR="004B5DE1" w:rsidRDefault="004B5DE1" w:rsidP="004B5DE1">
            <w:pPr>
              <w:bidi w:val="0"/>
              <w:spacing w:line="240" w:lineRule="exact"/>
              <w:jc w:val="left"/>
            </w:pPr>
            <w:r>
              <w:t>Arabic</w:t>
            </w:r>
          </w:p>
          <w:p w14:paraId="39A52505" w14:textId="3C2CA64F" w:rsidR="004B5DE1" w:rsidRPr="004B5DE1" w:rsidRDefault="004B5DE1" w:rsidP="004B5DE1">
            <w:pPr>
              <w:bidi w:val="0"/>
              <w:spacing w:line="240" w:lineRule="exact"/>
              <w:jc w:val="left"/>
            </w:pPr>
            <w:r>
              <w:t>Origina</w:t>
            </w:r>
            <w:r w:rsidR="00B726CD" w:rsidRPr="00B726CD">
              <w:t xml:space="preserve">l: </w:t>
            </w:r>
            <w:r>
              <w:t>English</w:t>
            </w:r>
          </w:p>
        </w:tc>
      </w:tr>
    </w:tbl>
    <w:p w14:paraId="10724711" w14:textId="7FA4DD6A" w:rsidR="00CB7496" w:rsidRPr="00F12208" w:rsidRDefault="00CB7496" w:rsidP="005C5E4D">
      <w:pPr>
        <w:spacing w:before="120" w:line="360" w:lineRule="exact"/>
        <w:textDirection w:val="tbRlV"/>
        <w:rPr>
          <w:b/>
          <w:sz w:val="26"/>
          <w:szCs w:val="26"/>
          <w:lang w:eastAsia="zh-TW"/>
        </w:rPr>
      </w:pPr>
      <w:r w:rsidRPr="00F12208">
        <w:rPr>
          <w:b/>
          <w:bCs/>
          <w:sz w:val="26"/>
          <w:szCs w:val="26"/>
          <w:rtl/>
        </w:rPr>
        <w:t>اللجنة المعنية بالحقوق الاقتصادية والاجتماعية والثقافية</w:t>
      </w:r>
    </w:p>
    <w:p w14:paraId="0B1D0B68" w14:textId="77777777" w:rsidR="00CB7496" w:rsidRPr="00F12208" w:rsidRDefault="00CB7496" w:rsidP="00945967">
      <w:pPr>
        <w:pStyle w:val="HChGA"/>
        <w:rPr>
          <w:szCs w:val="20"/>
          <w:lang w:val="ar-SA" w:eastAsia="zh-TW" w:bidi="en-GB"/>
        </w:rPr>
      </w:pPr>
      <w:r w:rsidRPr="00F12208">
        <w:rPr>
          <w:rtl/>
        </w:rPr>
        <w:tab/>
      </w:r>
      <w:r w:rsidRPr="00F12208">
        <w:rPr>
          <w:rtl/>
        </w:rPr>
        <w:tab/>
        <w:t>الملاحظات الختامية بشأن التقرير الدوري الثالث لليتوانيا</w:t>
      </w:r>
      <w:r w:rsidRPr="00F12208">
        <w:rPr>
          <w:rFonts w:ascii="Simplified Arabic"/>
          <w:sz w:val="20"/>
          <w:szCs w:val="20"/>
          <w:rtl/>
        </w:rPr>
        <w:footnoteReference w:customMarkFollows="1" w:id="1"/>
        <w:t>*</w:t>
      </w:r>
    </w:p>
    <w:p w14:paraId="744B390B" w14:textId="6B076E89" w:rsidR="00CB7496" w:rsidRPr="00F12208" w:rsidRDefault="00CB7496" w:rsidP="00945967">
      <w:pPr>
        <w:pStyle w:val="SingleTxtGA"/>
        <w:rPr>
          <w:bCs/>
          <w:szCs w:val="20"/>
          <w:rtl/>
          <w:lang w:val="en-US" w:eastAsia="zh-TW"/>
        </w:rPr>
      </w:pPr>
      <w:r w:rsidRPr="00F12208">
        <w:rPr>
          <w:rtl/>
        </w:rPr>
        <w:t>1</w:t>
      </w:r>
      <w:r w:rsidRPr="00295833">
        <w:rPr>
          <w:rFonts w:ascii="Simplified Arabic"/>
          <w:szCs w:val="20"/>
          <w:rtl/>
        </w:rPr>
        <w:t>-</w:t>
      </w:r>
      <w:r w:rsidRPr="00295833">
        <w:rPr>
          <w:rtl/>
        </w:rPr>
        <w:tab/>
        <w:t>نظرت اللجنة في التقرير الدوري الثالث لليتوانيا</w:t>
      </w:r>
      <w:r w:rsidR="00B726CD" w:rsidRPr="00295833">
        <w:rPr>
          <w:rStyle w:val="FootnoteReference"/>
          <w:rtl/>
        </w:rPr>
        <w:t>(</w:t>
      </w:r>
      <w:r w:rsidR="00B726CD" w:rsidRPr="00F12208">
        <w:rPr>
          <w:rStyle w:val="FootnoteReference"/>
          <w:lang w:val="en-US"/>
        </w:rPr>
        <w:footnoteReference w:id="2"/>
      </w:r>
      <w:r w:rsidR="008D28FC" w:rsidRPr="00295833">
        <w:rPr>
          <w:rStyle w:val="FootnoteReference"/>
          <w:rtl/>
        </w:rPr>
        <w:t>)</w:t>
      </w:r>
      <w:r w:rsidRPr="00295833">
        <w:rPr>
          <w:rtl/>
        </w:rPr>
        <w:t xml:space="preserve"> في جلستيها </w:t>
      </w:r>
      <w:r w:rsidRPr="00F12208">
        <w:rPr>
          <w:rtl/>
        </w:rPr>
        <w:t>16</w:t>
      </w:r>
      <w:r w:rsidRPr="00295833">
        <w:rPr>
          <w:rtl/>
        </w:rPr>
        <w:t xml:space="preserve"> و</w:t>
      </w:r>
      <w:r w:rsidRPr="00F12208">
        <w:rPr>
          <w:rtl/>
        </w:rPr>
        <w:t>18</w:t>
      </w:r>
      <w:r w:rsidR="00B726CD" w:rsidRPr="00295833">
        <w:rPr>
          <w:rStyle w:val="FootnoteReference"/>
          <w:rtl/>
        </w:rPr>
        <w:t>(</w:t>
      </w:r>
      <w:r w:rsidR="00B726CD" w:rsidRPr="00F12208">
        <w:rPr>
          <w:rStyle w:val="FootnoteReference"/>
          <w:lang w:val="en-US"/>
        </w:rPr>
        <w:footnoteReference w:id="3"/>
      </w:r>
      <w:r w:rsidR="008D28FC" w:rsidRPr="00295833">
        <w:rPr>
          <w:rStyle w:val="FootnoteReference"/>
          <w:rtl/>
        </w:rPr>
        <w:t>)</w:t>
      </w:r>
      <w:r w:rsidR="005C5E4D" w:rsidRPr="00295833">
        <w:rPr>
          <w:rFonts w:hint="cs"/>
          <w:rtl/>
        </w:rPr>
        <w:t xml:space="preserve"> </w:t>
      </w:r>
      <w:r w:rsidRPr="00295833">
        <w:rPr>
          <w:rtl/>
        </w:rPr>
        <w:t xml:space="preserve">المعقودتين في </w:t>
      </w:r>
      <w:r w:rsidRPr="00F12208">
        <w:rPr>
          <w:rtl/>
        </w:rPr>
        <w:t>22</w:t>
      </w:r>
      <w:r w:rsidRPr="00295833">
        <w:rPr>
          <w:rtl/>
        </w:rPr>
        <w:t xml:space="preserve"> و</w:t>
      </w:r>
      <w:r w:rsidRPr="00F12208">
        <w:rPr>
          <w:rtl/>
        </w:rPr>
        <w:t>23</w:t>
      </w:r>
      <w:r w:rsidRPr="00295833">
        <w:rPr>
          <w:rtl/>
        </w:rPr>
        <w:t xml:space="preserve"> شباط/فبراير </w:t>
      </w:r>
      <w:r w:rsidRPr="00F12208">
        <w:rPr>
          <w:rtl/>
        </w:rPr>
        <w:t>2023</w:t>
      </w:r>
      <w:r w:rsidRPr="00295833">
        <w:rPr>
          <w:rtl/>
        </w:rPr>
        <w:t xml:space="preserve">، واعتمدت، في جلستها </w:t>
      </w:r>
      <w:r w:rsidRPr="00F12208">
        <w:rPr>
          <w:rtl/>
        </w:rPr>
        <w:t>30</w:t>
      </w:r>
      <w:r w:rsidRPr="00295833">
        <w:rPr>
          <w:rtl/>
        </w:rPr>
        <w:t xml:space="preserve">، المعقودة في </w:t>
      </w:r>
      <w:r w:rsidRPr="00F12208">
        <w:rPr>
          <w:rtl/>
        </w:rPr>
        <w:t>3</w:t>
      </w:r>
      <w:r w:rsidRPr="00295833">
        <w:rPr>
          <w:rtl/>
        </w:rPr>
        <w:t xml:space="preserve"> آذار/مارس </w:t>
      </w:r>
      <w:r w:rsidRPr="00F12208">
        <w:rPr>
          <w:rtl/>
        </w:rPr>
        <w:t>2023</w:t>
      </w:r>
      <w:r w:rsidRPr="00295833">
        <w:rPr>
          <w:rtl/>
        </w:rPr>
        <w:t>، هذه الملاحظات الختامية.</w:t>
      </w:r>
    </w:p>
    <w:p w14:paraId="04D857E8" w14:textId="0B6A4220" w:rsidR="00CB7496" w:rsidRPr="00F12208" w:rsidRDefault="00945967" w:rsidP="00945967">
      <w:pPr>
        <w:pStyle w:val="H1GA"/>
        <w:rPr>
          <w:szCs w:val="20"/>
          <w:lang w:val="en-US" w:eastAsia="zh-TW" w:bidi="en-GB"/>
        </w:rPr>
      </w:pPr>
      <w:r w:rsidRPr="00F12208">
        <w:rPr>
          <w:rtl/>
        </w:rPr>
        <w:tab/>
      </w:r>
      <w:r w:rsidR="00CB7496" w:rsidRPr="00F12208">
        <w:rPr>
          <w:rtl/>
        </w:rPr>
        <w:t>ألف-</w:t>
      </w:r>
      <w:r w:rsidR="00CB7496" w:rsidRPr="00F12208">
        <w:rPr>
          <w:rtl/>
        </w:rPr>
        <w:tab/>
        <w:t>مقدمة</w:t>
      </w:r>
    </w:p>
    <w:p w14:paraId="7AB10AF6" w14:textId="172026A1" w:rsidR="00CB7496" w:rsidRPr="00F12208" w:rsidRDefault="00CB7496" w:rsidP="00945967">
      <w:pPr>
        <w:pStyle w:val="SingleTxtGA"/>
        <w:rPr>
          <w:bCs/>
          <w:szCs w:val="20"/>
          <w:lang w:val="ar-SA" w:eastAsia="zh-TW" w:bidi="en-GB"/>
        </w:rPr>
      </w:pPr>
      <w:r w:rsidRPr="00F12208">
        <w:rPr>
          <w:rtl/>
        </w:rPr>
        <w:t>2</w:t>
      </w:r>
      <w:r w:rsidRPr="00295833">
        <w:rPr>
          <w:rFonts w:ascii="Simplified Arabic"/>
          <w:szCs w:val="20"/>
          <w:rtl/>
        </w:rPr>
        <w:t>-</w:t>
      </w:r>
      <w:r w:rsidRPr="00295833">
        <w:rPr>
          <w:rtl/>
        </w:rPr>
        <w:tab/>
        <w:t>تُرحِّب اللجنة بتقديم الدولة الطرف تقريرها الدوري الثالث وبما أوردته من معلومات إضافية في ردودها على قائمة المسائل</w:t>
      </w:r>
      <w:r w:rsidR="00B726CD" w:rsidRPr="00295833">
        <w:rPr>
          <w:rStyle w:val="FootnoteReference"/>
          <w:rtl/>
        </w:rPr>
        <w:t>(</w:t>
      </w:r>
      <w:r w:rsidR="00B726CD" w:rsidRPr="00F12208">
        <w:rPr>
          <w:rStyle w:val="FootnoteReference"/>
          <w:lang w:val="en-US"/>
        </w:rPr>
        <w:footnoteReference w:id="4"/>
      </w:r>
      <w:r w:rsidR="008D28FC" w:rsidRPr="00295833">
        <w:rPr>
          <w:rStyle w:val="FootnoteReference"/>
          <w:rtl/>
        </w:rPr>
        <w:t>)</w:t>
      </w:r>
      <w:r w:rsidR="002D0DE9" w:rsidRPr="00295833">
        <w:rPr>
          <w:rFonts w:hint="cs"/>
          <w:rtl/>
        </w:rPr>
        <w:t>.</w:t>
      </w:r>
      <w:r w:rsidRPr="00295833">
        <w:rPr>
          <w:rtl/>
        </w:rPr>
        <w:t xml:space="preserve"> وتعرب اللجنة عن تقديرها للحوار البناء الذي أجرته مع وفد الدولة الطرف.</w:t>
      </w:r>
    </w:p>
    <w:p w14:paraId="74FE7B98" w14:textId="138FB6F3" w:rsidR="00CB7496" w:rsidRPr="00F12208" w:rsidRDefault="00945967" w:rsidP="00945967">
      <w:pPr>
        <w:pStyle w:val="H1GA"/>
        <w:rPr>
          <w:szCs w:val="20"/>
          <w:lang w:val="ar-SA" w:eastAsia="zh-TW" w:bidi="en-GB"/>
        </w:rPr>
      </w:pPr>
      <w:r w:rsidRPr="00F12208">
        <w:rPr>
          <w:rtl/>
        </w:rPr>
        <w:tab/>
      </w:r>
      <w:r w:rsidR="00CB7496" w:rsidRPr="00F12208">
        <w:rPr>
          <w:rtl/>
        </w:rPr>
        <w:t>باء-</w:t>
      </w:r>
      <w:r w:rsidR="00CB7496" w:rsidRPr="00F12208">
        <w:rPr>
          <w:rtl/>
        </w:rPr>
        <w:tab/>
        <w:t>الجوانب الإيجابية</w:t>
      </w:r>
    </w:p>
    <w:p w14:paraId="5E70D059" w14:textId="74CEB4D8" w:rsidR="00B726CD" w:rsidRPr="00F12208" w:rsidRDefault="00CB7496" w:rsidP="00945967">
      <w:pPr>
        <w:pStyle w:val="SingleTxtGA"/>
        <w:rPr>
          <w:bCs/>
          <w:szCs w:val="20"/>
          <w:lang w:val="ar-SA" w:eastAsia="zh-TW" w:bidi="en-GB"/>
        </w:rPr>
      </w:pPr>
      <w:r w:rsidRPr="00F12208">
        <w:rPr>
          <w:rtl/>
        </w:rPr>
        <w:t>3</w:t>
      </w:r>
      <w:r w:rsidRPr="00295833">
        <w:rPr>
          <w:rFonts w:ascii="Simplified Arabic"/>
          <w:szCs w:val="20"/>
          <w:rtl/>
        </w:rPr>
        <w:t>-</w:t>
      </w:r>
      <w:r w:rsidRPr="00295833">
        <w:rPr>
          <w:rtl/>
        </w:rPr>
        <w:tab/>
        <w:t xml:space="preserve">ترحب اللجنة بالتدابير التشريعية والمؤسسية والسياساتية المتخذة لزيادة حماية الحقوق الاقتصادية </w:t>
      </w:r>
      <w:r w:rsidRPr="00295833">
        <w:rPr>
          <w:spacing w:val="-2"/>
          <w:rtl/>
        </w:rPr>
        <w:t xml:space="preserve">والاجتماعية والثقافية في الدولة الطرف، مثل حكم المحكمة الدستورية المؤرخ </w:t>
      </w:r>
      <w:r w:rsidRPr="00F12208">
        <w:rPr>
          <w:spacing w:val="-2"/>
          <w:rtl/>
        </w:rPr>
        <w:t>11</w:t>
      </w:r>
      <w:r w:rsidRPr="00295833">
        <w:rPr>
          <w:spacing w:val="-2"/>
          <w:rtl/>
        </w:rPr>
        <w:t xml:space="preserve"> كانون الثاني/يناير </w:t>
      </w:r>
      <w:r w:rsidRPr="00F12208">
        <w:rPr>
          <w:spacing w:val="-2"/>
          <w:rtl/>
        </w:rPr>
        <w:t>2019</w:t>
      </w:r>
      <w:r w:rsidRPr="00295833">
        <w:rPr>
          <w:rtl/>
        </w:rPr>
        <w:t xml:space="preserve"> الذي يعترف بالهوية الجنسانية والميل الجنسي ضمن الأسباب المحظورة للتمييز، وخطة العمل الوطنية للسلامة والصحة في العمل للفترة </w:t>
      </w:r>
      <w:r w:rsidRPr="00F12208">
        <w:rPr>
          <w:rtl/>
        </w:rPr>
        <w:t>2017</w:t>
      </w:r>
      <w:r w:rsidRPr="00295833">
        <w:rPr>
          <w:rFonts w:ascii="Simplified Arabic"/>
          <w:szCs w:val="20"/>
          <w:rtl/>
        </w:rPr>
        <w:t>-</w:t>
      </w:r>
      <w:r w:rsidRPr="00F12208">
        <w:rPr>
          <w:rtl/>
        </w:rPr>
        <w:t>2021</w:t>
      </w:r>
      <w:r w:rsidRPr="00295833">
        <w:rPr>
          <w:rtl/>
        </w:rPr>
        <w:t xml:space="preserve">، والخطة الوطنية للطاقة والمناخ للفترة </w:t>
      </w:r>
      <w:r w:rsidRPr="00F12208">
        <w:rPr>
          <w:rtl/>
        </w:rPr>
        <w:t>2021</w:t>
      </w:r>
      <w:r w:rsidRPr="00295833">
        <w:rPr>
          <w:rFonts w:ascii="Simplified Arabic"/>
          <w:szCs w:val="20"/>
          <w:rtl/>
        </w:rPr>
        <w:t>-</w:t>
      </w:r>
      <w:r w:rsidRPr="00F12208">
        <w:rPr>
          <w:rtl/>
        </w:rPr>
        <w:t>203</w:t>
      </w:r>
      <w:r w:rsidR="00B726CD" w:rsidRPr="00F12208">
        <w:rPr>
          <w:rtl/>
        </w:rPr>
        <w:t>0</w:t>
      </w:r>
      <w:r w:rsidR="00B726CD" w:rsidRPr="00295833">
        <w:rPr>
          <w:rtl/>
        </w:rPr>
        <w:t>.</w:t>
      </w:r>
    </w:p>
    <w:p w14:paraId="4935541E" w14:textId="28F5BD07" w:rsidR="00CB7496" w:rsidRPr="00F12208" w:rsidRDefault="00945967" w:rsidP="00945967">
      <w:pPr>
        <w:pStyle w:val="H1GA"/>
        <w:rPr>
          <w:szCs w:val="20"/>
          <w:lang w:val="ar-SA" w:eastAsia="zh-TW" w:bidi="en-GB"/>
        </w:rPr>
      </w:pPr>
      <w:r w:rsidRPr="00F12208">
        <w:rPr>
          <w:rtl/>
        </w:rPr>
        <w:tab/>
      </w:r>
      <w:r w:rsidR="00CB7496" w:rsidRPr="00F12208">
        <w:rPr>
          <w:rtl/>
        </w:rPr>
        <w:t>جيم-</w:t>
      </w:r>
      <w:r w:rsidR="00CB7496" w:rsidRPr="00F12208">
        <w:rPr>
          <w:rtl/>
        </w:rPr>
        <w:tab/>
        <w:t>دواعي القلق الرئيسية والتوصيات</w:t>
      </w:r>
    </w:p>
    <w:p w14:paraId="1DE8E25C" w14:textId="77777777" w:rsidR="00CB7496" w:rsidRPr="00F12208" w:rsidRDefault="00CB7496" w:rsidP="00945967">
      <w:pPr>
        <w:pStyle w:val="H23GA"/>
        <w:rPr>
          <w:szCs w:val="20"/>
          <w:lang w:val="ar-SA" w:eastAsia="zh-TW" w:bidi="en-GB"/>
        </w:rPr>
      </w:pPr>
      <w:r w:rsidRPr="00F12208">
        <w:rPr>
          <w:rtl/>
        </w:rPr>
        <w:tab/>
      </w:r>
      <w:r w:rsidRPr="00F12208">
        <w:rPr>
          <w:rtl/>
        </w:rPr>
        <w:tab/>
        <w:t>التطبيق المحلي للعهد</w:t>
      </w:r>
    </w:p>
    <w:p w14:paraId="1F9F775F" w14:textId="7C883ECE" w:rsidR="00B726CD" w:rsidRPr="00F12208" w:rsidRDefault="00CB7496" w:rsidP="00945967">
      <w:pPr>
        <w:pStyle w:val="SingleTxtGA"/>
        <w:rPr>
          <w:bCs/>
          <w:szCs w:val="20"/>
          <w:lang w:val="en-US" w:eastAsia="zh-TW" w:bidi="en-GB"/>
        </w:rPr>
      </w:pPr>
      <w:r w:rsidRPr="00F12208">
        <w:rPr>
          <w:rtl/>
        </w:rPr>
        <w:t>4</w:t>
      </w:r>
      <w:r w:rsidRPr="00295833">
        <w:rPr>
          <w:rFonts w:ascii="Simplified Arabic"/>
          <w:szCs w:val="20"/>
          <w:rtl/>
        </w:rPr>
        <w:t>-</w:t>
      </w:r>
      <w:r w:rsidRPr="00295833">
        <w:rPr>
          <w:rtl/>
        </w:rPr>
        <w:tab/>
        <w:t xml:space="preserve">تلاحظ اللجنة مع التقدير الأمثلة التي قدمتها الدولة الطرف لحالات احتجت فيها المحاكم بأحكام معينة من العهد، أو احتُج بها أمامها، أو قبلتها ونفذتها مباشرة. غير أن اللجنة تأسف لعدم توفير تدريب متخصص على أحكام العهد للقضاة والمدعين العامين والمحامين والموظفين المكلفين بإنفاذ القوانين، </w:t>
      </w:r>
      <w:r w:rsidRPr="00295833">
        <w:rPr>
          <w:rtl/>
        </w:rPr>
        <w:lastRenderedPageBreak/>
        <w:t>ولعدم إمكانية التقاضي بشأن الحقوق الواردة فيه، وعدم وجود أنشطة توعية للجهات المعنية الفاعلة المسؤولة عن تنفيذ العهد. وتعرب اللجنة أيضا</w:t>
      </w:r>
      <w:r w:rsidR="00C713CA" w:rsidRPr="00295833">
        <w:rPr>
          <w:rFonts w:hint="cs"/>
          <w:rtl/>
        </w:rPr>
        <w:t>ً</w:t>
      </w:r>
      <w:r w:rsidRPr="00295833">
        <w:rPr>
          <w:rtl/>
        </w:rPr>
        <w:t xml:space="preserve"> عن قلقها إزاء التقارير التي تتحدث عن مواقف تمييزية تصدر عن بعض القضاة عند إصدار الأحكام (المادة </w:t>
      </w:r>
      <w:r w:rsidRPr="00F12208">
        <w:rPr>
          <w:rtl/>
        </w:rPr>
        <w:t>2</w:t>
      </w:r>
      <w:r w:rsidRPr="00295833">
        <w:rPr>
          <w:rFonts w:ascii="Simplified Arabic"/>
          <w:szCs w:val="20"/>
          <w:rtl/>
        </w:rPr>
        <w:t>(</w:t>
      </w:r>
      <w:r w:rsidRPr="00F12208">
        <w:rPr>
          <w:rtl/>
        </w:rPr>
        <w:t>1</w:t>
      </w:r>
      <w:r w:rsidRPr="00295833">
        <w:rPr>
          <w:rFonts w:ascii="Simplified Arabic"/>
          <w:szCs w:val="20"/>
          <w:rtl/>
        </w:rPr>
        <w:t>)</w:t>
      </w:r>
      <w:r w:rsidR="00B726CD" w:rsidRPr="00295833">
        <w:rPr>
          <w:rFonts w:ascii="Simplified Arabic"/>
          <w:szCs w:val="20"/>
          <w:rtl/>
        </w:rPr>
        <w:t>)</w:t>
      </w:r>
      <w:r w:rsidR="00B726CD" w:rsidRPr="00295833">
        <w:rPr>
          <w:rtl/>
        </w:rPr>
        <w:t>.</w:t>
      </w:r>
    </w:p>
    <w:p w14:paraId="6D456C11" w14:textId="11DE5A40" w:rsidR="00CB7496" w:rsidRPr="00F12208" w:rsidRDefault="00CB7496" w:rsidP="00945967">
      <w:pPr>
        <w:pStyle w:val="SingleTxtGA"/>
        <w:rPr>
          <w:b/>
          <w:bCs/>
          <w:szCs w:val="20"/>
          <w:lang w:val="en-US" w:eastAsia="zh-TW" w:bidi="en-GB"/>
        </w:rPr>
      </w:pPr>
      <w:r w:rsidRPr="00F12208">
        <w:rPr>
          <w:rtl/>
        </w:rPr>
        <w:t>5</w:t>
      </w:r>
      <w:r w:rsidRPr="00295833">
        <w:rPr>
          <w:rFonts w:ascii="Simplified Arabic"/>
          <w:szCs w:val="20"/>
          <w:rtl/>
        </w:rPr>
        <w:t>-</w:t>
      </w:r>
      <w:r w:rsidRPr="00295833">
        <w:rPr>
          <w:rtl/>
        </w:rPr>
        <w:tab/>
      </w:r>
      <w:r w:rsidRPr="00F12208">
        <w:rPr>
          <w:b/>
          <w:bCs/>
          <w:rtl/>
        </w:rPr>
        <w:t>توصي اللجنة الدولة الطرف بأن توفر للقضاة والمدعين العامين والمحامين والموظفين المكلفين بإنفاذ القوانين تدريبا</w:t>
      </w:r>
      <w:r w:rsidR="002D0DE9" w:rsidRPr="00F12208">
        <w:rPr>
          <w:rFonts w:hint="cs"/>
          <w:b/>
          <w:bCs/>
          <w:rtl/>
        </w:rPr>
        <w:t>ً</w:t>
      </w:r>
      <w:r w:rsidRPr="00F12208">
        <w:rPr>
          <w:b/>
          <w:bCs/>
          <w:rtl/>
        </w:rPr>
        <w:t xml:space="preserve"> متخصصا</w:t>
      </w:r>
      <w:r w:rsidR="002D0DE9" w:rsidRPr="00F12208">
        <w:rPr>
          <w:rFonts w:hint="cs"/>
          <w:b/>
          <w:bCs/>
          <w:rtl/>
        </w:rPr>
        <w:t>ً</w:t>
      </w:r>
      <w:r w:rsidRPr="00F12208">
        <w:rPr>
          <w:b/>
          <w:bCs/>
          <w:rtl/>
        </w:rPr>
        <w:t xml:space="preserve"> منتظما</w:t>
      </w:r>
      <w:r w:rsidR="002D0DE9" w:rsidRPr="00F12208">
        <w:rPr>
          <w:rFonts w:hint="cs"/>
          <w:b/>
          <w:bCs/>
          <w:rtl/>
        </w:rPr>
        <w:t>ً</w:t>
      </w:r>
      <w:r w:rsidRPr="00F12208">
        <w:rPr>
          <w:b/>
          <w:bCs/>
          <w:rtl/>
        </w:rPr>
        <w:t xml:space="preserve"> على أحكام العهد وعلى إمكانية التقاضي بشأن الحقوق الاقتصادية والاجتماعية والثقافية لضمان استقلالهم، وبأن يصدر القضاة أحكامهم دون تحيز. وتوصيها أيضا</w:t>
      </w:r>
      <w:r w:rsidR="00C713CA" w:rsidRPr="00F12208">
        <w:rPr>
          <w:rFonts w:hint="cs"/>
          <w:b/>
          <w:bCs/>
          <w:rtl/>
        </w:rPr>
        <w:t>ً</w:t>
      </w:r>
      <w:r w:rsidRPr="00F12208">
        <w:rPr>
          <w:b/>
          <w:bCs/>
          <w:rtl/>
        </w:rPr>
        <w:t xml:space="preserve"> بإذكاء وعي جميع الجهات الفاعلة الحكومية المعنية المسؤولة عن تنفيذ العهد ووعي أصحاب الحقوق. وتوجه اللجنة نظر الدولة الطرف إلى تعليقها العام رقم 9</w:t>
      </w:r>
      <w:r w:rsidRPr="00F12208">
        <w:rPr>
          <w:rFonts w:ascii="Simplified Arabic"/>
          <w:b/>
          <w:bCs/>
          <w:szCs w:val="20"/>
          <w:rtl/>
        </w:rPr>
        <w:t>(</w:t>
      </w:r>
      <w:r w:rsidRPr="00F12208">
        <w:rPr>
          <w:b/>
          <w:bCs/>
          <w:rtl/>
        </w:rPr>
        <w:t>199</w:t>
      </w:r>
      <w:r w:rsidR="00B726CD" w:rsidRPr="00F12208">
        <w:rPr>
          <w:b/>
          <w:bCs/>
          <w:rtl/>
        </w:rPr>
        <w:t>8</w:t>
      </w:r>
      <w:r w:rsidR="00B726CD" w:rsidRPr="00F12208">
        <w:rPr>
          <w:rFonts w:ascii="Simplified Arabic"/>
          <w:b/>
          <w:bCs/>
          <w:szCs w:val="20"/>
          <w:rtl/>
        </w:rPr>
        <w:t>)</w:t>
      </w:r>
      <w:r w:rsidR="00B726CD" w:rsidRPr="00F12208">
        <w:rPr>
          <w:b/>
          <w:bCs/>
          <w:rtl/>
        </w:rPr>
        <w:t xml:space="preserve"> </w:t>
      </w:r>
      <w:r w:rsidRPr="00F12208">
        <w:rPr>
          <w:b/>
          <w:bCs/>
          <w:rtl/>
        </w:rPr>
        <w:t>بشأن التطبيق المحلي للعهد.</w:t>
      </w:r>
    </w:p>
    <w:p w14:paraId="1B4FB280" w14:textId="77777777" w:rsidR="00CB7496" w:rsidRPr="00F12208" w:rsidRDefault="00CB7496" w:rsidP="00945967">
      <w:pPr>
        <w:pStyle w:val="H23GA"/>
        <w:rPr>
          <w:szCs w:val="20"/>
          <w:lang w:val="ar-SA" w:eastAsia="zh-TW" w:bidi="en-GB"/>
        </w:rPr>
      </w:pPr>
      <w:r w:rsidRPr="00F12208">
        <w:rPr>
          <w:rtl/>
        </w:rPr>
        <w:tab/>
      </w:r>
      <w:r w:rsidRPr="00F12208">
        <w:rPr>
          <w:rtl/>
        </w:rPr>
        <w:tab/>
        <w:t>المؤسّسة الوطنية لحقوق الإنسان</w:t>
      </w:r>
    </w:p>
    <w:p w14:paraId="49B8F461" w14:textId="1A391501" w:rsidR="00B726CD" w:rsidRPr="00295833" w:rsidRDefault="00CB7496" w:rsidP="00945967">
      <w:pPr>
        <w:pStyle w:val="SingleTxtGA"/>
        <w:rPr>
          <w:szCs w:val="20"/>
          <w:lang w:val="ar-SA" w:eastAsia="zh-TW" w:bidi="en-GB"/>
        </w:rPr>
      </w:pPr>
      <w:r w:rsidRPr="00F12208">
        <w:rPr>
          <w:rtl/>
        </w:rPr>
        <w:t>6</w:t>
      </w:r>
      <w:r w:rsidRPr="00295833">
        <w:rPr>
          <w:rFonts w:ascii="Simplified Arabic"/>
          <w:szCs w:val="20"/>
          <w:rtl/>
        </w:rPr>
        <w:t>-</w:t>
      </w:r>
      <w:r w:rsidRPr="00295833">
        <w:rPr>
          <w:rtl/>
        </w:rPr>
        <w:tab/>
      </w:r>
      <w:r w:rsidRPr="00295833">
        <w:rPr>
          <w:spacing w:val="-2"/>
          <w:rtl/>
        </w:rPr>
        <w:t>وترحب اللجنة باعتماد مكتب أمين المظالم البرلماني ضمن الفئة ألف، فضلا</w:t>
      </w:r>
      <w:r w:rsidR="00C713CA" w:rsidRPr="00295833">
        <w:rPr>
          <w:rFonts w:hint="cs"/>
          <w:spacing w:val="-2"/>
          <w:rtl/>
        </w:rPr>
        <w:t>ً</w:t>
      </w:r>
      <w:r w:rsidRPr="00295833">
        <w:rPr>
          <w:spacing w:val="-2"/>
          <w:rtl/>
        </w:rPr>
        <w:t xml:space="preserve"> عن الزيادة المطردة </w:t>
      </w:r>
      <w:r w:rsidRPr="00295833">
        <w:rPr>
          <w:rtl/>
        </w:rPr>
        <w:t xml:space="preserve">في مخصصات ميزانيته، لكنها تشعر بالقلق لأن المكتب ليس له ولاية صريحة بشأن الحقوق الاقتصادية والاجتماعية والثقافية. ولا تزال اللجنة تشعر بالقلق لأن المكتب ما زال يفتقر إلى الموارد البشرية والتقنية والمالية الكافية للاضطلاع بولايته بفعالية فيما يتعلق بالحقوق الاقتصادية والاجتماعية والثقافية. وتأسف اللجنة لعدم وجود معلومات عن الشكاوى التي تلقتها المفوضية بشأن انتهاكات الحقوق الاقتصادية والاجتماعية والثقافية، وعن التحقيقات التي أجريت بشأنها ونتائج تلك التحقيقات (المادة </w:t>
      </w:r>
      <w:r w:rsidRPr="00F12208">
        <w:rPr>
          <w:rtl/>
        </w:rPr>
        <w:t>2</w:t>
      </w:r>
      <w:r w:rsidRPr="00295833">
        <w:rPr>
          <w:rFonts w:ascii="Simplified Arabic"/>
          <w:szCs w:val="20"/>
          <w:rtl/>
        </w:rPr>
        <w:t>(</w:t>
      </w:r>
      <w:r w:rsidRPr="00F12208">
        <w:rPr>
          <w:rtl/>
        </w:rPr>
        <w:t>1</w:t>
      </w:r>
      <w:r w:rsidRPr="00295833">
        <w:rPr>
          <w:rFonts w:ascii="Simplified Arabic"/>
          <w:szCs w:val="20"/>
          <w:rtl/>
        </w:rPr>
        <w:t>)</w:t>
      </w:r>
      <w:r w:rsidR="00B726CD" w:rsidRPr="00295833">
        <w:rPr>
          <w:rFonts w:ascii="Simplified Arabic"/>
          <w:szCs w:val="20"/>
          <w:rtl/>
        </w:rPr>
        <w:t>)</w:t>
      </w:r>
      <w:r w:rsidR="00B726CD" w:rsidRPr="00295833">
        <w:rPr>
          <w:rtl/>
        </w:rPr>
        <w:t>.</w:t>
      </w:r>
    </w:p>
    <w:p w14:paraId="4B7995D5" w14:textId="0F03FA4B" w:rsidR="00CB7496" w:rsidRPr="00F12208" w:rsidRDefault="00CB7496" w:rsidP="00945967">
      <w:pPr>
        <w:pStyle w:val="SingleTxtGA"/>
        <w:rPr>
          <w:b/>
          <w:bCs/>
          <w:szCs w:val="20"/>
          <w:lang w:val="en-US" w:eastAsia="zh-TW" w:bidi="en-GB"/>
        </w:rPr>
      </w:pPr>
      <w:r w:rsidRPr="00F12208">
        <w:rPr>
          <w:rtl/>
        </w:rPr>
        <w:t>7</w:t>
      </w:r>
      <w:r w:rsidRPr="00295833">
        <w:rPr>
          <w:rFonts w:ascii="Simplified Arabic"/>
          <w:szCs w:val="20"/>
          <w:rtl/>
        </w:rPr>
        <w:t>-</w:t>
      </w:r>
      <w:r w:rsidRPr="00295833">
        <w:rPr>
          <w:rtl/>
        </w:rPr>
        <w:tab/>
      </w:r>
      <w:r w:rsidRPr="00F12208">
        <w:rPr>
          <w:b/>
          <w:bCs/>
          <w:rtl/>
        </w:rPr>
        <w:t>توصي اللجنة الدولة الطرف بمواصلة اتخاذ تدابير لمعالجة الملاحظات والتوصيات التي قدمها التحالف العالمي للمؤسسات الوطنية لحقوق الإنسان في آذار/مارس 201</w:t>
      </w:r>
      <w:r w:rsidR="00B726CD" w:rsidRPr="00F12208">
        <w:rPr>
          <w:b/>
          <w:bCs/>
          <w:rtl/>
        </w:rPr>
        <w:t>7</w:t>
      </w:r>
      <w:r w:rsidR="00B726CD" w:rsidRPr="00F12208">
        <w:rPr>
          <w:rFonts w:ascii="Simplified Arabic"/>
          <w:b/>
          <w:bCs/>
          <w:szCs w:val="20"/>
          <w:rtl/>
        </w:rPr>
        <w:t>.</w:t>
      </w:r>
      <w:r w:rsidR="00B726CD" w:rsidRPr="00F12208">
        <w:rPr>
          <w:b/>
          <w:bCs/>
          <w:rtl/>
        </w:rPr>
        <w:t xml:space="preserve"> </w:t>
      </w:r>
      <w:r w:rsidRPr="00F12208">
        <w:rPr>
          <w:b/>
          <w:bCs/>
          <w:rtl/>
        </w:rPr>
        <w:t>وتوصي اللجنة كذلك بتعزيز مكتب أمين المظالم البرلماني حتى يتمكن من الاضطلاع بولايته بفعالية واستقلالية مع الامتثال التام للمبادئ المتعلقة بمركز المؤسسات الوطنية لتعزيز وحماية حقوق الإنسان (مبادئ باريس) وبأن تشمل الولاية إيلاء الاهتمام المناسب للحقوق الاقتصادية والاجتماعية والثقافية.</w:t>
      </w:r>
    </w:p>
    <w:p w14:paraId="1275DC2E" w14:textId="77777777" w:rsidR="00CB7496" w:rsidRPr="00F12208" w:rsidRDefault="00CB7496" w:rsidP="00945967">
      <w:pPr>
        <w:pStyle w:val="H23GA"/>
        <w:rPr>
          <w:szCs w:val="20"/>
          <w:lang w:val="ar-SA" w:eastAsia="zh-TW" w:bidi="en-GB"/>
        </w:rPr>
      </w:pPr>
      <w:r w:rsidRPr="00F12208">
        <w:rPr>
          <w:rtl/>
        </w:rPr>
        <w:tab/>
      </w:r>
      <w:r w:rsidRPr="00F12208">
        <w:rPr>
          <w:rtl/>
        </w:rPr>
        <w:tab/>
        <w:t>الأقليات القومية</w:t>
      </w:r>
    </w:p>
    <w:p w14:paraId="123C9617" w14:textId="71F6FAFC" w:rsidR="00B726CD" w:rsidRPr="00295833" w:rsidRDefault="00CB7496" w:rsidP="00945967">
      <w:pPr>
        <w:pStyle w:val="SingleTxtGA"/>
        <w:rPr>
          <w:szCs w:val="20"/>
          <w:lang w:val="ar-SA" w:eastAsia="zh-TW" w:bidi="en-GB"/>
        </w:rPr>
      </w:pPr>
      <w:r w:rsidRPr="00F12208">
        <w:rPr>
          <w:rtl/>
        </w:rPr>
        <w:t>8</w:t>
      </w:r>
      <w:r w:rsidRPr="00295833">
        <w:rPr>
          <w:rFonts w:ascii="Simplified Arabic"/>
          <w:szCs w:val="20"/>
          <w:rtl/>
        </w:rPr>
        <w:t>-</w:t>
      </w:r>
      <w:r w:rsidRPr="00295833">
        <w:rPr>
          <w:rtl/>
        </w:rPr>
        <w:tab/>
        <w:t xml:space="preserve">يساور اللجنة القلق إزاء الانخفاض المطرد في عدد أفراد الأقليات القومية، ولا سيما الأقليات البولندية والروسية والبيلاروسية. ولا تزال اللجنة تشعر بالقلق إزاء التقارير التي تفيد بالتمييز ضد الأقليات القومية وعدم المساواة في معاملتها وعدم وجود إطار قانوني لحماية حقوق الأقليات القومية في الدولة الطرف عقب إلغاء قانون الأقليات القومية لعام </w:t>
      </w:r>
      <w:r w:rsidRPr="00F12208">
        <w:rPr>
          <w:rtl/>
        </w:rPr>
        <w:t>1989</w:t>
      </w:r>
      <w:r w:rsidRPr="00295833">
        <w:rPr>
          <w:rtl/>
        </w:rPr>
        <w:t xml:space="preserve"> في كانون الثاني/يناير </w:t>
      </w:r>
      <w:r w:rsidRPr="00F12208">
        <w:rPr>
          <w:rtl/>
        </w:rPr>
        <w:t>2010</w:t>
      </w:r>
      <w:r w:rsidRPr="00295833">
        <w:rPr>
          <w:rFonts w:ascii="Simplified Arabic"/>
          <w:szCs w:val="20"/>
          <w:rtl/>
        </w:rPr>
        <w:t xml:space="preserve"> (</w:t>
      </w:r>
      <w:r w:rsidRPr="00295833">
        <w:rPr>
          <w:rtl/>
        </w:rPr>
        <w:t xml:space="preserve">المادتان </w:t>
      </w:r>
      <w:r w:rsidRPr="00F12208">
        <w:rPr>
          <w:rtl/>
        </w:rPr>
        <w:t>2</w:t>
      </w:r>
      <w:r w:rsidRPr="00295833">
        <w:rPr>
          <w:rtl/>
        </w:rPr>
        <w:t xml:space="preserve"> و</w:t>
      </w:r>
      <w:r w:rsidRPr="00F12208">
        <w:rPr>
          <w:rtl/>
        </w:rPr>
        <w:t>1</w:t>
      </w:r>
      <w:r w:rsidR="00B726CD" w:rsidRPr="00F12208">
        <w:rPr>
          <w:rtl/>
        </w:rPr>
        <w:t>5</w:t>
      </w:r>
      <w:r w:rsidR="00B726CD" w:rsidRPr="00295833">
        <w:rPr>
          <w:rFonts w:ascii="Simplified Arabic"/>
          <w:szCs w:val="20"/>
          <w:rtl/>
        </w:rPr>
        <w:t>)</w:t>
      </w:r>
      <w:r w:rsidR="00B726CD" w:rsidRPr="00295833">
        <w:rPr>
          <w:rtl/>
        </w:rPr>
        <w:t>.</w:t>
      </w:r>
    </w:p>
    <w:p w14:paraId="024A397F" w14:textId="0998F1E6" w:rsidR="00CB7496" w:rsidRPr="00F12208" w:rsidRDefault="00CB7496" w:rsidP="00945967">
      <w:pPr>
        <w:pStyle w:val="SingleTxtGA"/>
        <w:rPr>
          <w:b/>
          <w:bCs/>
          <w:szCs w:val="20"/>
          <w:lang w:val="ar-SA" w:eastAsia="zh-TW" w:bidi="en-GB"/>
        </w:rPr>
      </w:pPr>
      <w:r w:rsidRPr="00F12208">
        <w:rPr>
          <w:rtl/>
        </w:rPr>
        <w:t>9</w:t>
      </w:r>
      <w:r w:rsidRPr="00295833">
        <w:rPr>
          <w:rFonts w:ascii="Simplified Arabic"/>
          <w:szCs w:val="20"/>
          <w:rtl/>
        </w:rPr>
        <w:t>-</w:t>
      </w:r>
      <w:r w:rsidRPr="00295833">
        <w:rPr>
          <w:rtl/>
        </w:rPr>
        <w:tab/>
      </w:r>
      <w:r w:rsidRPr="00F12208">
        <w:rPr>
          <w:b/>
          <w:bCs/>
          <w:rtl/>
        </w:rPr>
        <w:t>توصي اللجنة الدولة الطرف بأن تتخذ تدابير عاجلة، في إطار زمني محدد، لمعالجة هذه الشواغل، والتعجيل في عملية اعتماد قانون جديد بشأن الأقليات القومية، وأن تتخذ، في غضون ذلك، تدابير فعالة لتوفير الحماية الكاملة لحقوق جميع الأقليات القومية، بما في ذلك ما يتعلق بلغة ودين وثقافة وهوية كل أقلية. وتكرر اللجنة ما ورد في تعليقها العام رقم 3</w:t>
      </w:r>
      <w:r w:rsidRPr="00F12208">
        <w:rPr>
          <w:rFonts w:ascii="Simplified Arabic"/>
          <w:b/>
          <w:bCs/>
          <w:szCs w:val="20"/>
          <w:rtl/>
        </w:rPr>
        <w:t>(</w:t>
      </w:r>
      <w:r w:rsidRPr="00F12208">
        <w:rPr>
          <w:b/>
          <w:bCs/>
          <w:rtl/>
        </w:rPr>
        <w:t>199</w:t>
      </w:r>
      <w:r w:rsidR="00B726CD" w:rsidRPr="00F12208">
        <w:rPr>
          <w:b/>
          <w:bCs/>
          <w:rtl/>
        </w:rPr>
        <w:t>0</w:t>
      </w:r>
      <w:r w:rsidR="00B726CD" w:rsidRPr="00F12208">
        <w:rPr>
          <w:rFonts w:ascii="Simplified Arabic"/>
          <w:b/>
          <w:bCs/>
          <w:szCs w:val="20"/>
          <w:rtl/>
        </w:rPr>
        <w:t>)</w:t>
      </w:r>
      <w:r w:rsidR="00B726CD" w:rsidRPr="00F12208">
        <w:rPr>
          <w:b/>
          <w:bCs/>
          <w:rtl/>
        </w:rPr>
        <w:t xml:space="preserve"> </w:t>
      </w:r>
      <w:r w:rsidRPr="00F12208">
        <w:rPr>
          <w:b/>
          <w:bCs/>
          <w:rtl/>
        </w:rPr>
        <w:t>بشأن طبيعة التزامات الدول الأطراف.</w:t>
      </w:r>
    </w:p>
    <w:p w14:paraId="748C7F85" w14:textId="77777777" w:rsidR="00CB7496" w:rsidRPr="00F12208" w:rsidRDefault="00CB7496" w:rsidP="00945967">
      <w:pPr>
        <w:pStyle w:val="H23GA"/>
        <w:rPr>
          <w:szCs w:val="20"/>
          <w:lang w:val="ar-SA" w:eastAsia="zh-TW" w:bidi="en-GB"/>
        </w:rPr>
      </w:pPr>
      <w:r w:rsidRPr="00F12208">
        <w:rPr>
          <w:rtl/>
        </w:rPr>
        <w:tab/>
      </w:r>
      <w:r w:rsidRPr="00F12208">
        <w:rPr>
          <w:rtl/>
        </w:rPr>
        <w:tab/>
        <w:t>التمييز ضد الروما</w:t>
      </w:r>
    </w:p>
    <w:p w14:paraId="50024709" w14:textId="109EFCEF" w:rsidR="00B726CD" w:rsidRPr="00295833" w:rsidRDefault="00CB7496" w:rsidP="00945967">
      <w:pPr>
        <w:pStyle w:val="SingleTxtGA"/>
        <w:rPr>
          <w:szCs w:val="20"/>
          <w:lang w:val="en-US" w:eastAsia="zh-TW" w:bidi="en-GB"/>
        </w:rPr>
      </w:pPr>
      <w:r w:rsidRPr="00F12208">
        <w:rPr>
          <w:rtl/>
        </w:rPr>
        <w:t>10</w:t>
      </w:r>
      <w:r w:rsidRPr="00295833">
        <w:rPr>
          <w:rFonts w:ascii="Simplified Arabic"/>
          <w:szCs w:val="20"/>
          <w:rtl/>
        </w:rPr>
        <w:t>-</w:t>
      </w:r>
      <w:r w:rsidRPr="00295833">
        <w:rPr>
          <w:rtl/>
        </w:rPr>
        <w:tab/>
        <w:t>ترحب اللجنة بالتقدم الذي أحرزته الدولة الطرف من خلال تنفيذ مختلف خطط العمل والبرامج الرامية إلى تيسير تمتع الروما بالحقوق الاقتصادية والاجتماعية والثقافية. غير أن اللجنة تشعر بالقلق إزاء عدم إحراز تقدم ذي مغزى واستمرار وصم الروما واستبعادهم اجتماعيا</w:t>
      </w:r>
      <w:r w:rsidR="00C713CA" w:rsidRPr="00295833">
        <w:rPr>
          <w:rFonts w:hint="cs"/>
          <w:rtl/>
        </w:rPr>
        <w:t>ً</w:t>
      </w:r>
      <w:r w:rsidRPr="00295833">
        <w:rPr>
          <w:rtl/>
        </w:rPr>
        <w:t xml:space="preserve"> والتمييز ضدهم في التمتع بحقوقهم </w:t>
      </w:r>
      <w:r w:rsidRPr="00295833">
        <w:rPr>
          <w:rtl/>
        </w:rPr>
        <w:lastRenderedPageBreak/>
        <w:t xml:space="preserve">بموجب العهد، ولا سيما في مجالات السكن والصحة والعمالة. وتأسف اللجنة لأن خطة العمل لإدماج الروما في المجتمع الليتواني للفترة </w:t>
      </w:r>
      <w:r w:rsidRPr="00F12208">
        <w:rPr>
          <w:rtl/>
        </w:rPr>
        <w:t>2022</w:t>
      </w:r>
      <w:r w:rsidRPr="00295833">
        <w:rPr>
          <w:rFonts w:ascii="Simplified Arabic"/>
          <w:szCs w:val="20"/>
          <w:rtl/>
        </w:rPr>
        <w:t>-</w:t>
      </w:r>
      <w:r w:rsidRPr="00F12208">
        <w:rPr>
          <w:rtl/>
        </w:rPr>
        <w:t>2023</w:t>
      </w:r>
      <w:r w:rsidRPr="00295833">
        <w:rPr>
          <w:rtl/>
        </w:rPr>
        <w:t xml:space="preserve"> لا تعالج بعض المشاكل الأكثر حدة كما تأسف لعدم تخصيص موارد كافية لتنفيذها بفعالية</w:t>
      </w:r>
      <w:r w:rsidR="00B726CD" w:rsidRPr="00295833">
        <w:rPr>
          <w:rStyle w:val="FootnoteReference"/>
          <w:rtl/>
        </w:rPr>
        <w:t>(</w:t>
      </w:r>
      <w:r w:rsidR="00B726CD" w:rsidRPr="00F12208">
        <w:rPr>
          <w:rStyle w:val="FootnoteReference"/>
          <w:lang w:val="en-US"/>
        </w:rPr>
        <w:footnoteReference w:id="5"/>
      </w:r>
      <w:r w:rsidR="008D28FC" w:rsidRPr="00295833">
        <w:rPr>
          <w:rStyle w:val="FootnoteReference"/>
          <w:rtl/>
        </w:rPr>
        <w:t>)</w:t>
      </w:r>
      <w:r w:rsidR="00C713CA" w:rsidRPr="00295833">
        <w:rPr>
          <w:rFonts w:hint="cs"/>
          <w:rtl/>
        </w:rPr>
        <w:t>.</w:t>
      </w:r>
      <w:r w:rsidRPr="00295833">
        <w:rPr>
          <w:rtl/>
        </w:rPr>
        <w:t xml:space="preserve"> وتأسف اللجنة كذلك لعدم اعتماد قانون شامل يحمي حقوق الأقليات (المادة </w:t>
      </w:r>
      <w:r w:rsidRPr="00F12208">
        <w:rPr>
          <w:rtl/>
        </w:rPr>
        <w:t>2</w:t>
      </w:r>
      <w:r w:rsidRPr="00295833">
        <w:rPr>
          <w:rFonts w:ascii="Simplified Arabic"/>
          <w:szCs w:val="20"/>
          <w:rtl/>
        </w:rPr>
        <w:t>(</w:t>
      </w:r>
      <w:r w:rsidRPr="00F12208">
        <w:rPr>
          <w:rtl/>
        </w:rPr>
        <w:t>2</w:t>
      </w:r>
      <w:r w:rsidRPr="00295833">
        <w:rPr>
          <w:rFonts w:ascii="Simplified Arabic"/>
          <w:szCs w:val="20"/>
          <w:rtl/>
        </w:rPr>
        <w:t>)</w:t>
      </w:r>
      <w:r w:rsidR="00B726CD" w:rsidRPr="00295833">
        <w:rPr>
          <w:rFonts w:ascii="Simplified Arabic"/>
          <w:szCs w:val="20"/>
          <w:rtl/>
        </w:rPr>
        <w:t>)</w:t>
      </w:r>
      <w:r w:rsidR="00B726CD" w:rsidRPr="00295833">
        <w:rPr>
          <w:rtl/>
        </w:rPr>
        <w:t>.</w:t>
      </w:r>
    </w:p>
    <w:p w14:paraId="561C4863" w14:textId="026BF38C" w:rsidR="00CB7496" w:rsidRPr="00F12208" w:rsidRDefault="00CB7496" w:rsidP="00945967">
      <w:pPr>
        <w:pStyle w:val="SingleTxtGA"/>
        <w:rPr>
          <w:b/>
          <w:bCs/>
          <w:szCs w:val="20"/>
          <w:lang w:val="en-US" w:eastAsia="zh-TW" w:bidi="en-GB"/>
        </w:rPr>
      </w:pPr>
      <w:r w:rsidRPr="00F12208">
        <w:rPr>
          <w:rtl/>
        </w:rPr>
        <w:t>11</w:t>
      </w:r>
      <w:r w:rsidRPr="00295833">
        <w:rPr>
          <w:rFonts w:ascii="Simplified Arabic"/>
          <w:szCs w:val="20"/>
          <w:rtl/>
        </w:rPr>
        <w:t>-</w:t>
      </w:r>
      <w:r w:rsidRPr="00295833">
        <w:rPr>
          <w:rtl/>
        </w:rPr>
        <w:tab/>
      </w:r>
      <w:r w:rsidRPr="00F12208">
        <w:rPr>
          <w:b/>
          <w:bCs/>
          <w:rtl/>
        </w:rPr>
        <w:t xml:space="preserve">توصي اللجنة الدولة الطرف بمضاعفة جهودها لإدماج الروما اجتماعياً واقتصادياً، مع إيلاء </w:t>
      </w:r>
      <w:r w:rsidRPr="00F12208">
        <w:rPr>
          <w:rFonts w:ascii="Times New Roman Bold" w:hAnsi="Times New Roman Bold"/>
          <w:b/>
          <w:bCs/>
          <w:spacing w:val="-2"/>
          <w:rtl/>
        </w:rPr>
        <w:t>اهتمام خاص للنساء والأطفال منهم. وتوصيها، على وجه الخصوص، بتعزيز تدابيرها السياساتية، بطرق</w:t>
      </w:r>
      <w:r w:rsidRPr="00F12208">
        <w:rPr>
          <w:b/>
          <w:bCs/>
          <w:rtl/>
        </w:rPr>
        <w:t xml:space="preserve"> منها اعتماد وتنفيذ استراتيجية وطنية شاملة لإدماج الروما، بغية معالجة التفاوتات والتمييز اللذين </w:t>
      </w:r>
      <w:r w:rsidRPr="00F12208">
        <w:rPr>
          <w:rFonts w:ascii="Times New Roman Bold" w:hAnsi="Times New Roman Bold"/>
          <w:b/>
          <w:bCs/>
          <w:spacing w:val="-2"/>
          <w:rtl/>
        </w:rPr>
        <w:t>يواجههما الروما في الحصول على الخدمات العامة، والعمل، والسكن اللائق، والتعليم، والرعاية الصحية</w:t>
      </w:r>
      <w:r w:rsidRPr="00F12208">
        <w:rPr>
          <w:b/>
          <w:bCs/>
          <w:rtl/>
        </w:rPr>
        <w:t>.</w:t>
      </w:r>
    </w:p>
    <w:p w14:paraId="1611E751" w14:textId="77777777" w:rsidR="00CB7496" w:rsidRPr="00F12208" w:rsidRDefault="00CB7496" w:rsidP="00945967">
      <w:pPr>
        <w:pStyle w:val="H23GA"/>
        <w:rPr>
          <w:szCs w:val="20"/>
          <w:lang w:val="ar-SA" w:eastAsia="zh-TW" w:bidi="en-GB"/>
        </w:rPr>
      </w:pPr>
      <w:r w:rsidRPr="00F12208">
        <w:rPr>
          <w:rtl/>
        </w:rPr>
        <w:tab/>
      </w:r>
      <w:r w:rsidRPr="00F12208">
        <w:rPr>
          <w:rtl/>
        </w:rPr>
        <w:tab/>
        <w:t>التمييز على أساس الميل الجنسي والهوية الجنسانية</w:t>
      </w:r>
    </w:p>
    <w:p w14:paraId="2895F896" w14:textId="0059D9C1" w:rsidR="00B726CD" w:rsidRPr="00295833" w:rsidRDefault="00CB7496" w:rsidP="00945967">
      <w:pPr>
        <w:pStyle w:val="SingleTxtGA"/>
        <w:rPr>
          <w:szCs w:val="20"/>
          <w:lang w:val="ar-SA" w:eastAsia="zh-TW" w:bidi="en-GB"/>
        </w:rPr>
      </w:pPr>
      <w:r w:rsidRPr="00F12208">
        <w:rPr>
          <w:rtl/>
        </w:rPr>
        <w:t>12</w:t>
      </w:r>
      <w:r w:rsidRPr="00295833">
        <w:rPr>
          <w:rFonts w:ascii="Simplified Arabic"/>
          <w:szCs w:val="20"/>
          <w:rtl/>
        </w:rPr>
        <w:t>-</w:t>
      </w:r>
      <w:r w:rsidRPr="00295833">
        <w:rPr>
          <w:rtl/>
        </w:rPr>
        <w:tab/>
        <w:t>تحيط اللجنة علما</w:t>
      </w:r>
      <w:r w:rsidR="009F3D70" w:rsidRPr="00295833">
        <w:rPr>
          <w:rFonts w:hint="cs"/>
          <w:rtl/>
        </w:rPr>
        <w:t>ً</w:t>
      </w:r>
      <w:r w:rsidRPr="00295833">
        <w:rPr>
          <w:rtl/>
        </w:rPr>
        <w:t xml:space="preserve"> بالتدابير التي اتخذتها الدولة الطرف، بما في ذلك قرار المحكمة الدستورية المؤرخ </w:t>
      </w:r>
      <w:r w:rsidRPr="00F12208">
        <w:rPr>
          <w:rtl/>
        </w:rPr>
        <w:t>11</w:t>
      </w:r>
      <w:r w:rsidRPr="00295833">
        <w:rPr>
          <w:rtl/>
        </w:rPr>
        <w:t xml:space="preserve"> كانون الثاني/يناير </w:t>
      </w:r>
      <w:r w:rsidRPr="00F12208">
        <w:rPr>
          <w:rtl/>
        </w:rPr>
        <w:t>2019</w:t>
      </w:r>
      <w:r w:rsidRPr="00295833">
        <w:rPr>
          <w:rtl/>
        </w:rPr>
        <w:t xml:space="preserve"> الذي يعترف بالهوية الجنسانية والميل الجنسي ضمن الأسباب المحظورة للتمييز بموجب المادة </w:t>
      </w:r>
      <w:r w:rsidRPr="00F12208">
        <w:rPr>
          <w:rtl/>
        </w:rPr>
        <w:t>29</w:t>
      </w:r>
      <w:r w:rsidRPr="00295833">
        <w:rPr>
          <w:rtl/>
        </w:rPr>
        <w:t xml:space="preserve"> من الدستور، لكنها تأسف لعدم إحراز تقدم ملموس في مكافحة العنف والوصم والتمييز الذي تتعرض له المثليات والمثليون ومزدوجو الميل الجنسي ومغايرو الهوية الجنسانية وحاملو صفات الجنسين على أساس ميولهم الجنسية وهويتهم الجنسانية. ويساورها القلق كذلك لأن التشريعات الوطنية لم تعترف بعد بالهوية الجنسانية. وتأسف اللجنة أيضا لأنه في ظل عدم الاعتراف بزواج المثليين، لا يوجد أساس قانوني يمكن الاستناد إليه في العلاقات المثلية (المادة </w:t>
      </w:r>
      <w:r w:rsidRPr="00F12208">
        <w:rPr>
          <w:rtl/>
        </w:rPr>
        <w:t>2</w:t>
      </w:r>
      <w:r w:rsidRPr="00295833">
        <w:rPr>
          <w:rFonts w:ascii="Simplified Arabic"/>
          <w:szCs w:val="20"/>
          <w:rtl/>
        </w:rPr>
        <w:t>(</w:t>
      </w:r>
      <w:r w:rsidRPr="00F12208">
        <w:rPr>
          <w:rtl/>
        </w:rPr>
        <w:t>2</w:t>
      </w:r>
      <w:r w:rsidRPr="00295833">
        <w:rPr>
          <w:rFonts w:ascii="Simplified Arabic"/>
          <w:szCs w:val="20"/>
          <w:rtl/>
        </w:rPr>
        <w:t>)</w:t>
      </w:r>
      <w:r w:rsidR="00B726CD" w:rsidRPr="00295833">
        <w:rPr>
          <w:rFonts w:ascii="Simplified Arabic"/>
          <w:szCs w:val="20"/>
          <w:rtl/>
        </w:rPr>
        <w:t>)</w:t>
      </w:r>
      <w:r w:rsidR="00B726CD" w:rsidRPr="00295833">
        <w:rPr>
          <w:rtl/>
        </w:rPr>
        <w:t>.</w:t>
      </w:r>
    </w:p>
    <w:p w14:paraId="09CBB2FD" w14:textId="5E13A77C" w:rsidR="00CB7496" w:rsidRPr="00F12208" w:rsidRDefault="00CB7496" w:rsidP="009956DB">
      <w:pPr>
        <w:pStyle w:val="SingleTxtGA"/>
        <w:rPr>
          <w:b/>
          <w:bCs/>
          <w:szCs w:val="20"/>
          <w:lang w:val="ar-SA" w:eastAsia="zh-TW" w:bidi="en-GB"/>
        </w:rPr>
      </w:pPr>
      <w:r w:rsidRPr="00F12208">
        <w:rPr>
          <w:rtl/>
        </w:rPr>
        <w:t>13</w:t>
      </w:r>
      <w:r w:rsidRPr="00295833">
        <w:rPr>
          <w:rFonts w:ascii="Simplified Arabic"/>
          <w:szCs w:val="20"/>
          <w:rtl/>
        </w:rPr>
        <w:t>-</w:t>
      </w:r>
      <w:r w:rsidRPr="00295833">
        <w:rPr>
          <w:rtl/>
        </w:rPr>
        <w:tab/>
      </w:r>
      <w:r w:rsidRPr="00F12208">
        <w:rPr>
          <w:b/>
          <w:bCs/>
          <w:rtl/>
        </w:rPr>
        <w:t>تكرر اللجنة التوصيات الواردة في ملاحظاتها الختامية السابقة</w:t>
      </w:r>
      <w:r w:rsidR="00B726CD" w:rsidRPr="00F12208">
        <w:rPr>
          <w:rStyle w:val="FootnoteReference"/>
          <w:b/>
          <w:bCs/>
          <w:rtl/>
        </w:rPr>
        <w:t>(</w:t>
      </w:r>
      <w:r w:rsidR="00B726CD" w:rsidRPr="00F12208">
        <w:rPr>
          <w:rStyle w:val="FootnoteReference"/>
          <w:lang w:val="en-US"/>
        </w:rPr>
        <w:footnoteReference w:id="6"/>
      </w:r>
      <w:r w:rsidR="008D28FC" w:rsidRPr="00F12208">
        <w:rPr>
          <w:rStyle w:val="FootnoteReference"/>
          <w:b/>
          <w:bCs/>
          <w:rtl/>
        </w:rPr>
        <w:t>)</w:t>
      </w:r>
      <w:r w:rsidR="006144FB" w:rsidRPr="00F12208">
        <w:rPr>
          <w:rFonts w:hint="cs"/>
          <w:b/>
          <w:bCs/>
          <w:rtl/>
        </w:rPr>
        <w:t>،</w:t>
      </w:r>
      <w:r w:rsidRPr="00F12208">
        <w:rPr>
          <w:b/>
          <w:bCs/>
          <w:rtl/>
        </w:rPr>
        <w:t> وتوصي الدولة الطرف بما</w:t>
      </w:r>
      <w:r w:rsidR="006144FB" w:rsidRPr="00F12208">
        <w:rPr>
          <w:rFonts w:hint="cs"/>
          <w:b/>
          <w:bCs/>
          <w:rtl/>
        </w:rPr>
        <w:t> </w:t>
      </w:r>
      <w:r w:rsidRPr="00F12208">
        <w:rPr>
          <w:b/>
          <w:bCs/>
          <w:rtl/>
        </w:rPr>
        <w:t>يلي:</w:t>
      </w:r>
    </w:p>
    <w:p w14:paraId="669E3C98" w14:textId="12DE7818" w:rsidR="00CB7496" w:rsidRPr="00F12208" w:rsidRDefault="009956DB" w:rsidP="009956DB">
      <w:pPr>
        <w:pStyle w:val="SingleTxtGA"/>
        <w:rPr>
          <w:b/>
          <w:bCs/>
          <w:szCs w:val="20"/>
          <w:lang w:val="ar-SA" w:eastAsia="zh-TW" w:bidi="en-GB"/>
        </w:rPr>
      </w:pPr>
      <w:r w:rsidRPr="00295833">
        <w:rPr>
          <w:rtl/>
        </w:rPr>
        <w:tab/>
      </w:r>
      <w:r w:rsidR="00CB7496" w:rsidRPr="00295833">
        <w:rPr>
          <w:rtl/>
        </w:rPr>
        <w:t>(أ)</w:t>
      </w:r>
      <w:r w:rsidR="00CB7496" w:rsidRPr="00295833">
        <w:rPr>
          <w:rtl/>
        </w:rPr>
        <w:tab/>
      </w:r>
      <w:r w:rsidR="00CB7496" w:rsidRPr="00F12208">
        <w:rPr>
          <w:b/>
          <w:bCs/>
          <w:rtl/>
        </w:rPr>
        <w:t>توفير حماية فعالة من جميع أشكال التمييز والعنف القائمين على أساس الميل الجنسي والهوية الجنسانية، التي تعيق تمتع الضحايا بحقوقهم الاقتصادية والاجتماعية والثقافية؛</w:t>
      </w:r>
    </w:p>
    <w:p w14:paraId="5F878542" w14:textId="1778DDB7" w:rsidR="00CB7496" w:rsidRPr="00F12208" w:rsidRDefault="009956DB" w:rsidP="009956DB">
      <w:pPr>
        <w:pStyle w:val="SingleTxtGA"/>
        <w:rPr>
          <w:b/>
          <w:bCs/>
          <w:szCs w:val="20"/>
          <w:lang w:val="en-US" w:eastAsia="zh-TW" w:bidi="en-GB"/>
        </w:rPr>
      </w:pPr>
      <w:r w:rsidRPr="00295833">
        <w:rPr>
          <w:rtl/>
        </w:rPr>
        <w:tab/>
      </w:r>
      <w:r w:rsidR="00CB7496" w:rsidRPr="00295833">
        <w:rPr>
          <w:rtl/>
        </w:rPr>
        <w:t>(ب)</w:t>
      </w:r>
      <w:r w:rsidR="00CB7496" w:rsidRPr="00295833">
        <w:rPr>
          <w:rtl/>
        </w:rPr>
        <w:tab/>
      </w:r>
      <w:r w:rsidR="00CB7496" w:rsidRPr="00F12208">
        <w:rPr>
          <w:b/>
          <w:bCs/>
          <w:rtl/>
        </w:rPr>
        <w:t>مضاعفة جهودها لاتخاذ تدابير محددة ومدروسة وهادفة، بما في ذلك تنظيم حملات توعية إضافية لمكافحة الوصم والتمييز اللذين يؤثران على المثليات والمثليين ومزدوجي الميل الجنسي ومغايري الهوية الجنسانية وحاملي صفات الجنسين؛</w:t>
      </w:r>
    </w:p>
    <w:p w14:paraId="6D102059" w14:textId="3EA9E9BD" w:rsidR="00CB7496" w:rsidRPr="00F12208" w:rsidRDefault="009956DB" w:rsidP="009956DB">
      <w:pPr>
        <w:pStyle w:val="SingleTxtGA"/>
        <w:rPr>
          <w:b/>
          <w:bCs/>
          <w:szCs w:val="20"/>
          <w:lang w:val="ar-SA" w:eastAsia="zh-TW" w:bidi="en-GB"/>
        </w:rPr>
      </w:pPr>
      <w:r w:rsidRPr="00295833">
        <w:rPr>
          <w:rtl/>
        </w:rPr>
        <w:tab/>
      </w:r>
      <w:r w:rsidR="00CB7496" w:rsidRPr="00295833">
        <w:rPr>
          <w:rtl/>
        </w:rPr>
        <w:t>(ج)</w:t>
      </w:r>
      <w:r w:rsidR="00CB7496" w:rsidRPr="00295833">
        <w:rPr>
          <w:rtl/>
        </w:rPr>
        <w:tab/>
      </w:r>
      <w:r w:rsidR="00CB7496" w:rsidRPr="00F12208">
        <w:rPr>
          <w:b/>
          <w:bCs/>
          <w:rtl/>
        </w:rPr>
        <w:t>اتخاذ تدابير تشريعية لضمان الاعتراف القانوني بالهوية الجنسانية ضمن الأسباب التي يُحظر على أساسها التمييز؛</w:t>
      </w:r>
    </w:p>
    <w:p w14:paraId="1EB5DB56" w14:textId="13BFC309" w:rsidR="00CB7496" w:rsidRPr="00F12208" w:rsidRDefault="009956DB" w:rsidP="009956DB">
      <w:pPr>
        <w:pStyle w:val="SingleTxtGA"/>
        <w:rPr>
          <w:b/>
          <w:bCs/>
          <w:szCs w:val="20"/>
          <w:lang w:val="en-US" w:eastAsia="zh-TW" w:bidi="en-GB"/>
        </w:rPr>
      </w:pPr>
      <w:r w:rsidRPr="00295833">
        <w:rPr>
          <w:rtl/>
        </w:rPr>
        <w:tab/>
      </w:r>
      <w:r w:rsidR="00CB7496" w:rsidRPr="00295833">
        <w:rPr>
          <w:rtl/>
        </w:rPr>
        <w:t>(د)</w:t>
      </w:r>
      <w:r w:rsidR="00CB7496" w:rsidRPr="00295833">
        <w:rPr>
          <w:rtl/>
        </w:rPr>
        <w:tab/>
      </w:r>
      <w:r w:rsidR="00CB7496" w:rsidRPr="00F12208">
        <w:rPr>
          <w:b/>
          <w:bCs/>
          <w:rtl/>
        </w:rPr>
        <w:t>إنشاء مؤسسة قانونية، على شكل شراكة مسجلة أو اتحاد مدني، توفر حماية مكافئة للزواج للأشخاص الذين يعيشون علاقات مثلية.</w:t>
      </w:r>
    </w:p>
    <w:p w14:paraId="41AC4663" w14:textId="77777777" w:rsidR="00CB7496" w:rsidRPr="00F12208" w:rsidRDefault="00CB7496" w:rsidP="009956DB">
      <w:pPr>
        <w:pStyle w:val="H23GA"/>
        <w:rPr>
          <w:szCs w:val="20"/>
          <w:lang w:val="en-US" w:eastAsia="zh-TW" w:bidi="en-GB"/>
        </w:rPr>
      </w:pPr>
      <w:r w:rsidRPr="00F12208">
        <w:rPr>
          <w:rtl/>
        </w:rPr>
        <w:lastRenderedPageBreak/>
        <w:tab/>
      </w:r>
      <w:r w:rsidRPr="00F12208">
        <w:rPr>
          <w:rtl/>
        </w:rPr>
        <w:tab/>
        <w:t>ملتمسو اللجوء والمهاجرون</w:t>
      </w:r>
    </w:p>
    <w:p w14:paraId="09151D22" w14:textId="77777777" w:rsidR="00CB7496" w:rsidRPr="00F12208" w:rsidRDefault="00CB7496" w:rsidP="009956DB">
      <w:pPr>
        <w:pStyle w:val="SingleTxtGA"/>
        <w:rPr>
          <w:bCs/>
          <w:szCs w:val="20"/>
          <w:lang w:val="en-US" w:eastAsia="zh-TW" w:bidi="en-GB"/>
        </w:rPr>
      </w:pPr>
      <w:r w:rsidRPr="00F12208">
        <w:rPr>
          <w:rtl/>
        </w:rPr>
        <w:t>14</w:t>
      </w:r>
      <w:r w:rsidRPr="00295833">
        <w:rPr>
          <w:rFonts w:ascii="Simplified Arabic"/>
          <w:szCs w:val="20"/>
          <w:rtl/>
        </w:rPr>
        <w:t>-</w:t>
      </w:r>
      <w:r w:rsidRPr="00295833">
        <w:rPr>
          <w:rtl/>
        </w:rPr>
        <w:tab/>
        <w:t>بينما تلاحظ اللجنة التحديات التي تواجهها اللجنة بسبب تدفق ملتمسي اللجوء والمهاجرين، فإنها لا تزال تشعر بالقلق إزاء ما يلي:</w:t>
      </w:r>
    </w:p>
    <w:p w14:paraId="0A0B5AAD" w14:textId="1AB9B44E" w:rsidR="00CB7496" w:rsidRPr="00F12208" w:rsidRDefault="009956DB" w:rsidP="009956DB">
      <w:pPr>
        <w:pStyle w:val="SingleTxtGA"/>
        <w:rPr>
          <w:bCs/>
          <w:szCs w:val="20"/>
          <w:lang w:val="ar-SA" w:eastAsia="zh-TW" w:bidi="en-GB"/>
        </w:rPr>
      </w:pPr>
      <w:r w:rsidRPr="00295833">
        <w:rPr>
          <w:rtl/>
        </w:rPr>
        <w:tab/>
      </w:r>
      <w:r w:rsidR="00CB7496" w:rsidRPr="00295833">
        <w:rPr>
          <w:rtl/>
        </w:rPr>
        <w:t>(أ)</w:t>
      </w:r>
      <w:r w:rsidR="00CB7496" w:rsidRPr="00295833">
        <w:rPr>
          <w:rtl/>
        </w:rPr>
        <w:tab/>
        <w:t>الحوادث المبلغ عنها التي واصلت فيها الدولة الطرف طرد ملتمسي اللجوء والمهاجرين دون النظر في أوضاعهم الفردية، بما في ذلك ممارسة عمليات الصد، حيث تُرك ملتمسو لجوء ومهاجرون،</w:t>
      </w:r>
      <w:r w:rsidR="00E5633C" w:rsidRPr="00295833">
        <w:rPr>
          <w:rtl/>
        </w:rPr>
        <w:t xml:space="preserve"> </w:t>
      </w:r>
      <w:r w:rsidR="00CB7496" w:rsidRPr="00295833">
        <w:rPr>
          <w:rtl/>
        </w:rPr>
        <w:t>بينهم أطفال وأشخاص يعيشون أوضاعا</w:t>
      </w:r>
      <w:r w:rsidR="00300C6B" w:rsidRPr="00295833">
        <w:rPr>
          <w:rFonts w:hint="cs"/>
          <w:rtl/>
        </w:rPr>
        <w:t>ً</w:t>
      </w:r>
      <w:r w:rsidR="00CB7496" w:rsidRPr="00295833">
        <w:rPr>
          <w:rtl/>
        </w:rPr>
        <w:t xml:space="preserve"> هشة، قرب الحدود وفي ظروف قاسية، دون إمكانية الوصول إلى إجراءات اللجوء أو المساعدة الطارئة، مثل توفير الغذاء والماء والمأوى</w:t>
      </w:r>
      <w:r w:rsidR="00180D1E" w:rsidRPr="00295833">
        <w:rPr>
          <w:rFonts w:hint="cs"/>
          <w:rtl/>
        </w:rPr>
        <w:t>؛</w:t>
      </w:r>
    </w:p>
    <w:p w14:paraId="033086F8" w14:textId="324139E1" w:rsidR="00B726CD" w:rsidRPr="00F12208" w:rsidRDefault="009956DB" w:rsidP="009956DB">
      <w:pPr>
        <w:pStyle w:val="SingleTxtGA"/>
        <w:rPr>
          <w:bCs/>
          <w:szCs w:val="20"/>
          <w:lang w:val="ar-SA" w:eastAsia="zh-TW" w:bidi="en-GB"/>
        </w:rPr>
      </w:pPr>
      <w:r w:rsidRPr="00295833">
        <w:rPr>
          <w:rtl/>
        </w:rPr>
        <w:tab/>
      </w:r>
      <w:r w:rsidR="00CB7496" w:rsidRPr="00295833">
        <w:rPr>
          <w:rtl/>
        </w:rPr>
        <w:t>(ب)</w:t>
      </w:r>
      <w:r w:rsidR="00CB7496" w:rsidRPr="00295833">
        <w:rPr>
          <w:rtl/>
        </w:rPr>
        <w:tab/>
        <w:t>التقارير التي تفيد بمحدودية فرص الحصول على الغذاء الكافي والسلع والخدمات الأساسية وخدمات الرعاية الصحية والمعلومات، فضلا</w:t>
      </w:r>
      <w:r w:rsidR="00300C6B" w:rsidRPr="00295833">
        <w:rPr>
          <w:rFonts w:hint="cs"/>
          <w:rtl/>
        </w:rPr>
        <w:t>ً</w:t>
      </w:r>
      <w:r w:rsidR="00CB7496" w:rsidRPr="00295833">
        <w:rPr>
          <w:rtl/>
        </w:rPr>
        <w:t xml:space="preserve"> عن انعدام الخصوصية والقيود المفروضة على حرية تنقل ملتمسي اللجوء واللاجئين والمهاجرين غير النظاميين في مواقع إقامتهم، مما يؤثر سلبا</w:t>
      </w:r>
      <w:r w:rsidR="00300C6B" w:rsidRPr="00295833">
        <w:rPr>
          <w:rFonts w:hint="cs"/>
          <w:rtl/>
        </w:rPr>
        <w:t>ً</w:t>
      </w:r>
      <w:r w:rsidR="00CB7496" w:rsidRPr="00295833">
        <w:rPr>
          <w:rtl/>
        </w:rPr>
        <w:t xml:space="preserve"> على صحتهم النفسية (المواد </w:t>
      </w:r>
      <w:r w:rsidR="00CB7496" w:rsidRPr="00F12208">
        <w:rPr>
          <w:rtl/>
        </w:rPr>
        <w:t>2</w:t>
      </w:r>
      <w:r w:rsidR="00CB7496" w:rsidRPr="00295833">
        <w:rPr>
          <w:rtl/>
        </w:rPr>
        <w:t xml:space="preserve"> و</w:t>
      </w:r>
      <w:r w:rsidR="00CB7496" w:rsidRPr="00F12208">
        <w:rPr>
          <w:rtl/>
        </w:rPr>
        <w:t>10</w:t>
      </w:r>
      <w:r w:rsidR="00CB7496" w:rsidRPr="00295833">
        <w:rPr>
          <w:rtl/>
        </w:rPr>
        <w:t xml:space="preserve"> و</w:t>
      </w:r>
      <w:r w:rsidR="00CB7496" w:rsidRPr="00F12208">
        <w:rPr>
          <w:rtl/>
        </w:rPr>
        <w:t>1</w:t>
      </w:r>
      <w:r w:rsidR="00B726CD" w:rsidRPr="00F12208">
        <w:rPr>
          <w:rtl/>
        </w:rPr>
        <w:t>2</w:t>
      </w:r>
      <w:r w:rsidR="00B726CD" w:rsidRPr="00295833">
        <w:rPr>
          <w:rFonts w:ascii="Simplified Arabic"/>
          <w:szCs w:val="20"/>
          <w:rtl/>
        </w:rPr>
        <w:t>)</w:t>
      </w:r>
      <w:r w:rsidR="00B726CD" w:rsidRPr="00295833">
        <w:rPr>
          <w:rtl/>
        </w:rPr>
        <w:t>.</w:t>
      </w:r>
    </w:p>
    <w:p w14:paraId="1DFAEECD" w14:textId="77B685F2" w:rsidR="00CB7496" w:rsidRPr="00F12208" w:rsidRDefault="00CB7496" w:rsidP="009956DB">
      <w:pPr>
        <w:pStyle w:val="SingleTxtGA"/>
        <w:rPr>
          <w:b/>
          <w:bCs/>
          <w:szCs w:val="20"/>
          <w:lang w:val="ar-SA" w:eastAsia="zh-TW" w:bidi="en-GB"/>
        </w:rPr>
      </w:pPr>
      <w:r w:rsidRPr="00F12208">
        <w:rPr>
          <w:rtl/>
        </w:rPr>
        <w:t>15</w:t>
      </w:r>
      <w:r w:rsidRPr="00295833">
        <w:rPr>
          <w:rFonts w:ascii="Simplified Arabic"/>
          <w:szCs w:val="20"/>
          <w:rtl/>
        </w:rPr>
        <w:t>-</w:t>
      </w:r>
      <w:r w:rsidRPr="00295833">
        <w:rPr>
          <w:rtl/>
        </w:rPr>
        <w:tab/>
      </w:r>
      <w:r w:rsidRPr="00F12208">
        <w:rPr>
          <w:b/>
          <w:bCs/>
          <w:rtl/>
        </w:rPr>
        <w:t>توصي اللجنة الدولة الطرف بما يلي:</w:t>
      </w:r>
    </w:p>
    <w:p w14:paraId="3EA7F3A2" w14:textId="3E3F1819" w:rsidR="00CB7496" w:rsidRPr="00F12208" w:rsidRDefault="009956DB" w:rsidP="009956DB">
      <w:pPr>
        <w:pStyle w:val="SingleTxtGA"/>
        <w:rPr>
          <w:b/>
          <w:bCs/>
          <w:szCs w:val="20"/>
          <w:lang w:val="ar-SA" w:eastAsia="zh-TW" w:bidi="en-GB"/>
        </w:rPr>
      </w:pPr>
      <w:r w:rsidRPr="00295833">
        <w:rPr>
          <w:rtl/>
        </w:rPr>
        <w:tab/>
      </w:r>
      <w:r w:rsidR="00CB7496" w:rsidRPr="00295833">
        <w:rPr>
          <w:rtl/>
        </w:rPr>
        <w:t>(أ)</w:t>
      </w:r>
      <w:r w:rsidR="00CB7496" w:rsidRPr="00295833">
        <w:rPr>
          <w:rtl/>
        </w:rPr>
        <w:tab/>
      </w:r>
      <w:r w:rsidR="00CB7496" w:rsidRPr="00F12208">
        <w:rPr>
          <w:b/>
          <w:bCs/>
          <w:rtl/>
        </w:rPr>
        <w:t>كفالة أن تتاح لجميع ملتمسي اللجوء، بمن فيهم أولئك الذين يصلون بطريقة غير قانونية وفي أوقات الطوارئ، إمكانية الحصول على المعلومات المتعلقة بإجراءات اللجوء والمساعدة القانونية، وتمكينهم من طلب اللجوء وتقييم حالاتهم على أساس فردي، ودون تمييز، وذلك باتخاذ تدابير تشريعية وغير تشريعية بينها تعديل قانون الوضع القانوني للأجانب؛</w:t>
      </w:r>
    </w:p>
    <w:p w14:paraId="4C3A5A6E" w14:textId="1A6560CB" w:rsidR="00CB7496" w:rsidRPr="00F12208" w:rsidRDefault="009956DB" w:rsidP="009956DB">
      <w:pPr>
        <w:pStyle w:val="SingleTxtGA"/>
        <w:rPr>
          <w:b/>
          <w:bCs/>
          <w:szCs w:val="20"/>
          <w:lang w:val="ar-SA" w:eastAsia="zh-TW" w:bidi="en-GB"/>
        </w:rPr>
      </w:pPr>
      <w:r w:rsidRPr="00295833">
        <w:rPr>
          <w:rtl/>
        </w:rPr>
        <w:tab/>
      </w:r>
      <w:r w:rsidR="00CB7496" w:rsidRPr="00295833">
        <w:rPr>
          <w:rtl/>
        </w:rPr>
        <w:t>(ب)</w:t>
      </w:r>
      <w:r w:rsidR="00CB7496" w:rsidRPr="00295833">
        <w:rPr>
          <w:rtl/>
        </w:rPr>
        <w:tab/>
      </w:r>
      <w:r w:rsidR="00CB7496" w:rsidRPr="00F12208">
        <w:rPr>
          <w:b/>
          <w:bCs/>
          <w:rtl/>
        </w:rPr>
        <w:t>التذكير بأن الاحتجاز لا يطبق على ملتمسي اللجوء والمهاجرين غير الشرعيين إلا كحل أخير، بعد إجراء تقييم فردي لمعقوليته وضرورته وتناسبه، وبعد دراسة بدائله؛</w:t>
      </w:r>
    </w:p>
    <w:p w14:paraId="75ABF9DC" w14:textId="052C8C7B" w:rsidR="00CB7496" w:rsidRPr="00F12208" w:rsidRDefault="009956DB" w:rsidP="009956DB">
      <w:pPr>
        <w:pStyle w:val="SingleTxtGA"/>
        <w:rPr>
          <w:b/>
          <w:bCs/>
          <w:szCs w:val="20"/>
          <w:lang w:val="ar-SA" w:eastAsia="zh-TW" w:bidi="en-GB"/>
        </w:rPr>
      </w:pPr>
      <w:r w:rsidRPr="00295833">
        <w:rPr>
          <w:rtl/>
        </w:rPr>
        <w:tab/>
      </w:r>
      <w:r w:rsidR="00CB7496" w:rsidRPr="00295833">
        <w:rPr>
          <w:rtl/>
        </w:rPr>
        <w:t>(ج)</w:t>
      </w:r>
      <w:r w:rsidR="00CB7496" w:rsidRPr="00295833">
        <w:rPr>
          <w:rtl/>
        </w:rPr>
        <w:tab/>
      </w:r>
      <w:r w:rsidR="00CB7496" w:rsidRPr="00F12208">
        <w:rPr>
          <w:b/>
          <w:bCs/>
          <w:rtl/>
        </w:rPr>
        <w:t>اتخاذ تدابير لضمان حصول المهاجرين وطالبي اللجوء غير النظاميين في مواقع إقامتهم على ما يكفي من الطعام والملابس وغيرها من المواد الأساسية غير الغذائية، وعلى الرعاية الصحية، بما في ذلك الخدمات النفسية</w:t>
      </w:r>
      <w:r w:rsidR="00300C6B" w:rsidRPr="00F12208">
        <w:rPr>
          <w:rFonts w:hint="cs"/>
          <w:b/>
          <w:bCs/>
          <w:rtl/>
        </w:rPr>
        <w:t xml:space="preserve"> </w:t>
      </w:r>
      <w:r w:rsidR="00CB7496" w:rsidRPr="00F12208">
        <w:rPr>
          <w:b/>
          <w:bCs/>
          <w:rtl/>
        </w:rPr>
        <w:t>-</w:t>
      </w:r>
      <w:r w:rsidR="00300C6B" w:rsidRPr="00F12208">
        <w:rPr>
          <w:rFonts w:hint="cs"/>
          <w:b/>
          <w:bCs/>
          <w:rtl/>
        </w:rPr>
        <w:t xml:space="preserve"> </w:t>
      </w:r>
      <w:r w:rsidR="00CB7496" w:rsidRPr="00F12208">
        <w:rPr>
          <w:b/>
          <w:bCs/>
          <w:rtl/>
        </w:rPr>
        <w:t>الاجتماعية، والمعلومات المتعلقة بإجراءات اللجوء والمساعدة القانونية بلغة يفهمونها؛</w:t>
      </w:r>
    </w:p>
    <w:p w14:paraId="619D6D33" w14:textId="75A47696" w:rsidR="00CB7496" w:rsidRPr="00F12208" w:rsidRDefault="009956DB" w:rsidP="009956DB">
      <w:pPr>
        <w:pStyle w:val="SingleTxtGA"/>
        <w:rPr>
          <w:b/>
          <w:bCs/>
          <w:szCs w:val="20"/>
          <w:lang w:val="en-US" w:eastAsia="zh-TW" w:bidi="en-GB"/>
        </w:rPr>
      </w:pPr>
      <w:r w:rsidRPr="00295833">
        <w:rPr>
          <w:rtl/>
        </w:rPr>
        <w:tab/>
      </w:r>
      <w:r w:rsidR="00CB7496" w:rsidRPr="00295833">
        <w:rPr>
          <w:rtl/>
        </w:rPr>
        <w:t>(د)</w:t>
      </w:r>
      <w:r w:rsidR="00CB7496" w:rsidRPr="00295833">
        <w:rPr>
          <w:rtl/>
        </w:rPr>
        <w:tab/>
      </w:r>
      <w:r w:rsidR="00CB7496" w:rsidRPr="00F12208">
        <w:rPr>
          <w:b/>
          <w:bCs/>
          <w:rtl/>
        </w:rPr>
        <w:t>مراعاة التوصيات التي قدمتها لجنة مناهضة التعذيب</w:t>
      </w:r>
      <w:r w:rsidR="00B726CD" w:rsidRPr="00F12208">
        <w:rPr>
          <w:rStyle w:val="FootnoteReference"/>
          <w:b/>
          <w:bCs/>
          <w:rtl/>
        </w:rPr>
        <w:t>(</w:t>
      </w:r>
      <w:r w:rsidR="00B726CD" w:rsidRPr="00F12208">
        <w:rPr>
          <w:rStyle w:val="FootnoteReference"/>
          <w:lang w:val="en-US"/>
        </w:rPr>
        <w:footnoteReference w:id="7"/>
      </w:r>
      <w:r w:rsidR="008D28FC" w:rsidRPr="00F12208">
        <w:rPr>
          <w:rStyle w:val="FootnoteReference"/>
          <w:b/>
          <w:bCs/>
          <w:rtl/>
        </w:rPr>
        <w:t>)</w:t>
      </w:r>
      <w:r w:rsidR="00CB7496" w:rsidRPr="00F12208">
        <w:rPr>
          <w:b/>
          <w:bCs/>
          <w:rtl/>
        </w:rPr>
        <w:t> عام 2021 في هذا الصدد.</w:t>
      </w:r>
    </w:p>
    <w:p w14:paraId="6F73162A" w14:textId="77777777" w:rsidR="00CB7496" w:rsidRPr="00F12208" w:rsidRDefault="00CB7496" w:rsidP="009956DB">
      <w:pPr>
        <w:pStyle w:val="H23GA"/>
        <w:rPr>
          <w:szCs w:val="20"/>
          <w:lang w:val="ar-SA" w:eastAsia="zh-TW" w:bidi="en-GB"/>
        </w:rPr>
      </w:pPr>
      <w:r w:rsidRPr="00F12208">
        <w:rPr>
          <w:rtl/>
        </w:rPr>
        <w:tab/>
      </w:r>
      <w:r w:rsidRPr="00F12208">
        <w:rPr>
          <w:rtl/>
        </w:rPr>
        <w:tab/>
        <w:t>تغير المناخ</w:t>
      </w:r>
    </w:p>
    <w:p w14:paraId="6CB54433" w14:textId="0422B133" w:rsidR="00B726CD" w:rsidRPr="00295833" w:rsidRDefault="00CB7496" w:rsidP="009956DB">
      <w:pPr>
        <w:pStyle w:val="SingleTxtGA"/>
        <w:rPr>
          <w:szCs w:val="20"/>
          <w:lang w:val="ar-SA" w:eastAsia="zh-TW" w:bidi="en-GB"/>
        </w:rPr>
      </w:pPr>
      <w:r w:rsidRPr="00F12208">
        <w:rPr>
          <w:rtl/>
        </w:rPr>
        <w:t>16</w:t>
      </w:r>
      <w:r w:rsidRPr="00295833">
        <w:rPr>
          <w:rFonts w:ascii="Simplified Arabic"/>
          <w:szCs w:val="20"/>
          <w:rtl/>
        </w:rPr>
        <w:t>-</w:t>
      </w:r>
      <w:r w:rsidRPr="00295833">
        <w:rPr>
          <w:rtl/>
        </w:rPr>
        <w:tab/>
        <w:t>بينما تلاحظ اللجنة اعتماد سياسة حماية المناخ وإنشاء فريق عامل قطاعي لخفض انبعاثات الكربون، فضلا</w:t>
      </w:r>
      <w:r w:rsidR="000A755F" w:rsidRPr="00295833">
        <w:rPr>
          <w:rFonts w:hint="cs"/>
          <w:rtl/>
        </w:rPr>
        <w:t>ً</w:t>
      </w:r>
      <w:r w:rsidRPr="00295833">
        <w:rPr>
          <w:rtl/>
        </w:rPr>
        <w:t xml:space="preserve"> عن الانخفاض الكبير في انبعاثات غازات الدفيئة في معظم القطاعات الاقتصادية منذ عام </w:t>
      </w:r>
      <w:r w:rsidRPr="00F12208">
        <w:rPr>
          <w:rtl/>
        </w:rPr>
        <w:t>2015</w:t>
      </w:r>
      <w:r w:rsidRPr="00295833">
        <w:rPr>
          <w:rtl/>
        </w:rPr>
        <w:t>، فإنها تشعر بالقلق لأن الدولة الطرف قد لا تفي بمساهماتها المحددة وطنيا</w:t>
      </w:r>
      <w:r w:rsidR="00AC3B36" w:rsidRPr="00295833">
        <w:rPr>
          <w:rFonts w:hint="cs"/>
          <w:rtl/>
        </w:rPr>
        <w:t>ً</w:t>
      </w:r>
      <w:r w:rsidRPr="00295833">
        <w:rPr>
          <w:rtl/>
        </w:rPr>
        <w:t xml:space="preserve"> بموجب اتفاق باريس أو أهدافها لخفض انبعاثات غازات الدفيئة،</w:t>
      </w:r>
      <w:r w:rsidR="00E5633C" w:rsidRPr="00295833">
        <w:rPr>
          <w:rtl/>
        </w:rPr>
        <w:t xml:space="preserve"> </w:t>
      </w:r>
      <w:r w:rsidRPr="00295833">
        <w:rPr>
          <w:rtl/>
        </w:rPr>
        <w:t xml:space="preserve">ولا سيما بسبب انبعاثات الغازات المتوقعة الناجمة عن قطاعات النقل والزراعة وقطاعات "الانبعاثات الأخرى" بما في ذلك الخدمات والمباني (المادة </w:t>
      </w:r>
      <w:r w:rsidRPr="00F12208">
        <w:rPr>
          <w:rtl/>
        </w:rPr>
        <w:t>2</w:t>
      </w:r>
      <w:r w:rsidRPr="00295833">
        <w:rPr>
          <w:rFonts w:ascii="Simplified Arabic"/>
          <w:szCs w:val="20"/>
          <w:rtl/>
        </w:rPr>
        <w:t>(</w:t>
      </w:r>
      <w:r w:rsidRPr="00F12208">
        <w:rPr>
          <w:rtl/>
        </w:rPr>
        <w:t>1</w:t>
      </w:r>
      <w:r w:rsidRPr="00295833">
        <w:rPr>
          <w:rFonts w:ascii="Simplified Arabic"/>
          <w:szCs w:val="20"/>
          <w:rtl/>
        </w:rPr>
        <w:t>)</w:t>
      </w:r>
      <w:r w:rsidR="00B726CD" w:rsidRPr="00295833">
        <w:rPr>
          <w:rFonts w:ascii="Simplified Arabic"/>
          <w:szCs w:val="20"/>
          <w:rtl/>
        </w:rPr>
        <w:t>)</w:t>
      </w:r>
      <w:r w:rsidR="00B726CD" w:rsidRPr="00295833">
        <w:rPr>
          <w:rtl/>
        </w:rPr>
        <w:t>.</w:t>
      </w:r>
    </w:p>
    <w:p w14:paraId="409224B5" w14:textId="07325CB2" w:rsidR="00B726CD" w:rsidRPr="00F12208" w:rsidRDefault="00CB7496" w:rsidP="009956DB">
      <w:pPr>
        <w:pStyle w:val="SingleTxtGA"/>
        <w:rPr>
          <w:b/>
          <w:bCs/>
          <w:szCs w:val="20"/>
          <w:lang w:val="ar-SA" w:eastAsia="zh-TW" w:bidi="en-GB"/>
        </w:rPr>
      </w:pPr>
      <w:r w:rsidRPr="00F12208">
        <w:rPr>
          <w:rtl/>
        </w:rPr>
        <w:t>17</w:t>
      </w:r>
      <w:r w:rsidRPr="00295833">
        <w:rPr>
          <w:rFonts w:ascii="Simplified Arabic"/>
          <w:szCs w:val="20"/>
          <w:rtl/>
        </w:rPr>
        <w:t>-</w:t>
      </w:r>
      <w:r w:rsidRPr="00295833">
        <w:rPr>
          <w:rtl/>
        </w:rPr>
        <w:tab/>
      </w:r>
      <w:r w:rsidRPr="00F12208">
        <w:rPr>
          <w:b/>
          <w:bCs/>
          <w:rtl/>
        </w:rPr>
        <w:t>توصي اللجنة الدولة الطرف بتعزيز جهودها الرامية إلى التخفيف من آثار تغير المناخ الضارة</w:t>
      </w:r>
      <w:r w:rsidR="00F12208" w:rsidRPr="00F12208">
        <w:rPr>
          <w:rFonts w:hint="cs"/>
          <w:b/>
          <w:bCs/>
          <w:rtl/>
        </w:rPr>
        <w:t> </w:t>
      </w:r>
      <w:r w:rsidRPr="00F12208">
        <w:rPr>
          <w:b/>
          <w:bCs/>
          <w:rtl/>
        </w:rPr>
        <w:t xml:space="preserve">على الحقوق الاقتصادية والاجتماعية والثقافية، بطرق منها اتخاذ تدابير لتحقيق مساهماتها المحددة </w:t>
      </w:r>
      <w:r w:rsidRPr="00F12208">
        <w:rPr>
          <w:b/>
          <w:bCs/>
          <w:rtl/>
        </w:rPr>
        <w:lastRenderedPageBreak/>
        <w:t>وطنياً بموجب اتفاق باريس وتنفيذ خطة انتقالها إلى اقتصاد خال من انبعاثات غازات الدفيئة بحلول عام</w:t>
      </w:r>
      <w:r w:rsidR="00183698" w:rsidRPr="00F12208">
        <w:rPr>
          <w:rFonts w:hint="cs"/>
          <w:b/>
          <w:bCs/>
          <w:rtl/>
        </w:rPr>
        <w:t> </w:t>
      </w:r>
      <w:r w:rsidRPr="00F12208">
        <w:rPr>
          <w:b/>
          <w:bCs/>
          <w:rtl/>
        </w:rPr>
        <w:t>205</w:t>
      </w:r>
      <w:r w:rsidR="00B726CD" w:rsidRPr="00F12208">
        <w:rPr>
          <w:b/>
          <w:bCs/>
          <w:rtl/>
        </w:rPr>
        <w:t>0</w:t>
      </w:r>
      <w:r w:rsidR="00B726CD" w:rsidRPr="00F12208">
        <w:rPr>
          <w:rFonts w:ascii="Simplified Arabic"/>
          <w:b/>
          <w:bCs/>
          <w:szCs w:val="20"/>
          <w:rtl/>
        </w:rPr>
        <w:t>.</w:t>
      </w:r>
      <w:r w:rsidR="00B726CD" w:rsidRPr="00F12208">
        <w:rPr>
          <w:b/>
          <w:bCs/>
          <w:rtl/>
        </w:rPr>
        <w:t xml:space="preserve"> </w:t>
      </w:r>
      <w:r w:rsidRPr="00F12208">
        <w:rPr>
          <w:b/>
          <w:bCs/>
          <w:rtl/>
        </w:rPr>
        <w:t>وتحيل اللجنة الدولة الطرف إلى بيانها بشأن تغير المناخ والعهد، الذي اعتمدته عام 2018</w:t>
      </w:r>
      <w:r w:rsidR="00B726CD" w:rsidRPr="00F12208">
        <w:rPr>
          <w:rStyle w:val="FootnoteReference"/>
          <w:b/>
          <w:bCs/>
          <w:rtl/>
        </w:rPr>
        <w:t>(</w:t>
      </w:r>
      <w:r w:rsidR="00B726CD" w:rsidRPr="00F12208">
        <w:rPr>
          <w:rStyle w:val="FootnoteReference"/>
          <w:lang w:val="en-US"/>
        </w:rPr>
        <w:footnoteReference w:id="8"/>
      </w:r>
      <w:r w:rsidR="00B726CD" w:rsidRPr="00F12208">
        <w:rPr>
          <w:rStyle w:val="FootnoteReference"/>
          <w:b/>
          <w:bCs/>
          <w:rtl/>
        </w:rPr>
        <w:t>)</w:t>
      </w:r>
      <w:r w:rsidR="00B726CD" w:rsidRPr="00F12208">
        <w:rPr>
          <w:b/>
          <w:bCs/>
          <w:rtl/>
        </w:rPr>
        <w:t>.</w:t>
      </w:r>
    </w:p>
    <w:p w14:paraId="6368DCEE" w14:textId="4196FAF0" w:rsidR="00CB7496" w:rsidRPr="00F12208" w:rsidRDefault="00CB7496" w:rsidP="009956DB">
      <w:pPr>
        <w:pStyle w:val="H23GA"/>
        <w:rPr>
          <w:szCs w:val="20"/>
          <w:lang w:val="en-US" w:eastAsia="zh-TW" w:bidi="en-GB"/>
        </w:rPr>
      </w:pPr>
      <w:r w:rsidRPr="00F12208">
        <w:rPr>
          <w:rtl/>
        </w:rPr>
        <w:tab/>
      </w:r>
      <w:r w:rsidRPr="00F12208">
        <w:rPr>
          <w:rtl/>
        </w:rPr>
        <w:tab/>
        <w:t>الأعمال التجارية وحقوق الإنسان</w:t>
      </w:r>
    </w:p>
    <w:p w14:paraId="48F09251" w14:textId="77777777" w:rsidR="00CB7496" w:rsidRPr="00295833" w:rsidRDefault="00CB7496" w:rsidP="009956DB">
      <w:pPr>
        <w:pStyle w:val="SingleTxtGA"/>
        <w:rPr>
          <w:szCs w:val="20"/>
          <w:lang w:val="ar-SA" w:eastAsia="zh-TW" w:bidi="en-GB"/>
        </w:rPr>
      </w:pPr>
      <w:r w:rsidRPr="00F12208">
        <w:rPr>
          <w:rtl/>
        </w:rPr>
        <w:t>18</w:t>
      </w:r>
      <w:r w:rsidRPr="00295833">
        <w:rPr>
          <w:rFonts w:ascii="Simplified Arabic"/>
          <w:szCs w:val="20"/>
          <w:rtl/>
        </w:rPr>
        <w:t>-</w:t>
      </w:r>
      <w:r w:rsidRPr="00295833">
        <w:rPr>
          <w:rtl/>
        </w:rPr>
        <w:tab/>
        <w:t>تشعر اللجنة تشعر بالقلق إزاء نقص المعلومات عن الإطار التنظيمي المعمول به لضمان احترام كيانات الأعمال التجارية للحقوق المنصوص عليها في العهد وبذل العناية الواجبة بحقوق الإنسان خلال عملياتها. وتأسف اللجنة لعدم كفاية المعلومات المقدمة بشأن التدابير المحددة المتخذة لضمان معالجة كيانات الأعمال للأثر السلبي لعملياتها على البيئة.</w:t>
      </w:r>
    </w:p>
    <w:p w14:paraId="502A10EE" w14:textId="77777777" w:rsidR="00CB7496" w:rsidRPr="00F12208" w:rsidRDefault="00CB7496" w:rsidP="009956DB">
      <w:pPr>
        <w:pStyle w:val="SingleTxtGA"/>
        <w:rPr>
          <w:b/>
          <w:bCs/>
          <w:szCs w:val="20"/>
          <w:lang w:val="ar-SA" w:eastAsia="zh-TW" w:bidi="en-GB"/>
        </w:rPr>
      </w:pPr>
      <w:r w:rsidRPr="00F12208">
        <w:rPr>
          <w:rtl/>
        </w:rPr>
        <w:t>19</w:t>
      </w:r>
      <w:r w:rsidRPr="00295833">
        <w:rPr>
          <w:rFonts w:ascii="Simplified Arabic"/>
          <w:szCs w:val="20"/>
          <w:rtl/>
        </w:rPr>
        <w:t>-</w:t>
      </w:r>
      <w:r w:rsidRPr="00295833">
        <w:rPr>
          <w:rtl/>
        </w:rPr>
        <w:tab/>
      </w:r>
      <w:r w:rsidRPr="00F12208">
        <w:rPr>
          <w:b/>
          <w:bCs/>
          <w:rtl/>
        </w:rPr>
        <w:t>توصي اللجنة بأن تقوم الدولة الطرف بما يلي:</w:t>
      </w:r>
    </w:p>
    <w:p w14:paraId="78D85CB0" w14:textId="01775D2A" w:rsidR="00CB7496" w:rsidRPr="00F12208" w:rsidRDefault="009956DB" w:rsidP="009956DB">
      <w:pPr>
        <w:pStyle w:val="SingleTxtGA"/>
        <w:rPr>
          <w:b/>
          <w:bCs/>
          <w:szCs w:val="20"/>
          <w:lang w:val="ar-SA" w:eastAsia="zh-TW" w:bidi="en-GB"/>
        </w:rPr>
      </w:pPr>
      <w:r w:rsidRPr="00295833">
        <w:rPr>
          <w:rtl/>
        </w:rPr>
        <w:tab/>
      </w:r>
      <w:r w:rsidR="00CB7496" w:rsidRPr="00295833">
        <w:rPr>
          <w:rtl/>
        </w:rPr>
        <w:t>(أ)</w:t>
      </w:r>
      <w:r w:rsidR="00CB7496" w:rsidRPr="00295833">
        <w:rPr>
          <w:rtl/>
        </w:rPr>
        <w:tab/>
      </w:r>
      <w:r w:rsidR="00CB7496" w:rsidRPr="00F12208">
        <w:rPr>
          <w:b/>
          <w:bCs/>
          <w:rtl/>
        </w:rPr>
        <w:t>اعتماد تدابير لضمان مساءلة الكيانات التجارية التي تتخذ من إقليم الدولة الطرف مقرا</w:t>
      </w:r>
      <w:r w:rsidR="00AC3B36" w:rsidRPr="00F12208">
        <w:rPr>
          <w:rFonts w:hint="cs"/>
          <w:b/>
          <w:bCs/>
          <w:rtl/>
        </w:rPr>
        <w:t>ً</w:t>
      </w:r>
      <w:r w:rsidR="00CB7496" w:rsidRPr="00F12208">
        <w:rPr>
          <w:b/>
          <w:bCs/>
          <w:rtl/>
        </w:rPr>
        <w:t xml:space="preserve"> لها أو التي تدار انطلاقا</w:t>
      </w:r>
      <w:r w:rsidR="00AC3B36" w:rsidRPr="00F12208">
        <w:rPr>
          <w:rFonts w:hint="cs"/>
          <w:b/>
          <w:bCs/>
          <w:rtl/>
        </w:rPr>
        <w:t>ً</w:t>
      </w:r>
      <w:r w:rsidR="00CB7496" w:rsidRPr="00F12208">
        <w:rPr>
          <w:b/>
          <w:bCs/>
          <w:rtl/>
        </w:rPr>
        <w:t xml:space="preserve"> منها عن انتهاكات الحقوق الاقتصادية والاجتماعية والثقافية نتيجة لأنشطتها، وتوفير سبل انتصاف مناسبة للضحايا؛</w:t>
      </w:r>
    </w:p>
    <w:p w14:paraId="1F68D12A" w14:textId="1865096D" w:rsidR="00CB7496" w:rsidRPr="00F12208" w:rsidRDefault="009956DB" w:rsidP="009956DB">
      <w:pPr>
        <w:pStyle w:val="SingleTxtGA"/>
        <w:rPr>
          <w:b/>
          <w:bCs/>
          <w:szCs w:val="20"/>
          <w:lang w:val="ar-SA" w:eastAsia="zh-TW" w:bidi="en-GB"/>
        </w:rPr>
      </w:pPr>
      <w:r w:rsidRPr="00295833">
        <w:rPr>
          <w:rtl/>
        </w:rPr>
        <w:tab/>
      </w:r>
      <w:r w:rsidR="00CB7496" w:rsidRPr="00295833">
        <w:rPr>
          <w:rtl/>
        </w:rPr>
        <w:t>(ب)</w:t>
      </w:r>
      <w:r w:rsidR="00CB7496" w:rsidRPr="00295833">
        <w:rPr>
          <w:rtl/>
        </w:rPr>
        <w:tab/>
      </w:r>
      <w:r w:rsidR="00CB7496" w:rsidRPr="00F12208">
        <w:rPr>
          <w:b/>
          <w:bCs/>
          <w:rtl/>
        </w:rPr>
        <w:t>جمع معلومات عن المطالبات المقدمة من ضحايا انتهاكات الحقوق الاقتصادية أو الاجتماعية أو الثقافية التي ترتكبها كيانات الأعمال التجارية؛</w:t>
      </w:r>
    </w:p>
    <w:p w14:paraId="132CEA3D" w14:textId="5B3DCD21" w:rsidR="00CB7496" w:rsidRPr="00F12208" w:rsidRDefault="009956DB" w:rsidP="009956DB">
      <w:pPr>
        <w:pStyle w:val="SingleTxtGA"/>
        <w:rPr>
          <w:b/>
          <w:bCs/>
          <w:szCs w:val="20"/>
          <w:lang w:val="ar-SA" w:eastAsia="zh-TW" w:bidi="en-GB"/>
        </w:rPr>
      </w:pPr>
      <w:r w:rsidRPr="00295833">
        <w:rPr>
          <w:rtl/>
        </w:rPr>
        <w:tab/>
      </w:r>
      <w:r w:rsidR="00CB7496" w:rsidRPr="00295833">
        <w:rPr>
          <w:rtl/>
        </w:rPr>
        <w:t>(ج)</w:t>
      </w:r>
      <w:r w:rsidR="00CB7496" w:rsidRPr="00295833">
        <w:rPr>
          <w:rtl/>
        </w:rPr>
        <w:tab/>
      </w:r>
      <w:r w:rsidR="00CB7496" w:rsidRPr="00F12208">
        <w:rPr>
          <w:b/>
          <w:bCs/>
          <w:rtl/>
        </w:rPr>
        <w:t>الإحاطة علما</w:t>
      </w:r>
      <w:r w:rsidR="00AC3B36" w:rsidRPr="00F12208">
        <w:rPr>
          <w:rFonts w:hint="cs"/>
          <w:b/>
          <w:bCs/>
          <w:rtl/>
        </w:rPr>
        <w:t>ً</w:t>
      </w:r>
      <w:r w:rsidR="00CB7496" w:rsidRPr="00F12208">
        <w:rPr>
          <w:b/>
          <w:bCs/>
          <w:rtl/>
        </w:rPr>
        <w:t xml:space="preserve"> بالتعليق العام رقم 24</w:t>
      </w:r>
      <w:r w:rsidR="00CB7496" w:rsidRPr="00F12208">
        <w:rPr>
          <w:rFonts w:ascii="Simplified Arabic"/>
          <w:b/>
          <w:bCs/>
          <w:szCs w:val="20"/>
          <w:rtl/>
        </w:rPr>
        <w:t>(</w:t>
      </w:r>
      <w:r w:rsidR="00CB7496" w:rsidRPr="00F12208">
        <w:rPr>
          <w:b/>
          <w:bCs/>
          <w:rtl/>
        </w:rPr>
        <w:t>201</w:t>
      </w:r>
      <w:r w:rsidR="00B726CD" w:rsidRPr="00F12208">
        <w:rPr>
          <w:b/>
          <w:bCs/>
          <w:rtl/>
        </w:rPr>
        <w:t>7</w:t>
      </w:r>
      <w:r w:rsidR="00B726CD" w:rsidRPr="00F12208">
        <w:rPr>
          <w:rFonts w:ascii="Simplified Arabic"/>
          <w:b/>
          <w:bCs/>
          <w:szCs w:val="20"/>
          <w:rtl/>
        </w:rPr>
        <w:t>)</w:t>
      </w:r>
      <w:r w:rsidR="00B726CD" w:rsidRPr="00F12208">
        <w:rPr>
          <w:b/>
          <w:bCs/>
          <w:rtl/>
        </w:rPr>
        <w:t xml:space="preserve"> </w:t>
      </w:r>
      <w:r w:rsidR="00CB7496" w:rsidRPr="00F12208">
        <w:rPr>
          <w:b/>
          <w:bCs/>
          <w:rtl/>
        </w:rPr>
        <w:t>بشأن التزامات الدول بموجب العهد الدولي الخاص بالحقوق الاقتصادية والاجتماعية والثقافية في سياق الأنشطة التجارية.</w:t>
      </w:r>
    </w:p>
    <w:p w14:paraId="3D22DF8E" w14:textId="77777777" w:rsidR="00CB7496" w:rsidRPr="00F12208" w:rsidRDefault="00CB7496" w:rsidP="009956DB">
      <w:pPr>
        <w:pStyle w:val="H23GA"/>
        <w:rPr>
          <w:szCs w:val="20"/>
          <w:lang w:val="ar-SA" w:eastAsia="zh-TW" w:bidi="en-GB"/>
        </w:rPr>
      </w:pPr>
      <w:r w:rsidRPr="00F12208">
        <w:rPr>
          <w:rtl/>
        </w:rPr>
        <w:tab/>
      </w:r>
      <w:r w:rsidRPr="00F12208">
        <w:rPr>
          <w:rtl/>
        </w:rPr>
        <w:tab/>
        <w:t>الالتزامات خارج الحدود الإقليمية</w:t>
      </w:r>
    </w:p>
    <w:p w14:paraId="4767F5A1" w14:textId="4ADDFF13" w:rsidR="00B726CD" w:rsidRPr="00F12208" w:rsidRDefault="00CB7496" w:rsidP="009956DB">
      <w:pPr>
        <w:pStyle w:val="SingleTxtGA"/>
        <w:rPr>
          <w:bCs/>
          <w:szCs w:val="20"/>
          <w:lang w:val="ar-SA" w:eastAsia="zh-TW" w:bidi="en-GB"/>
        </w:rPr>
      </w:pPr>
      <w:r w:rsidRPr="00F12208">
        <w:rPr>
          <w:rtl/>
        </w:rPr>
        <w:t>20</w:t>
      </w:r>
      <w:r w:rsidRPr="00295833">
        <w:rPr>
          <w:rFonts w:ascii="Simplified Arabic"/>
          <w:szCs w:val="20"/>
          <w:rtl/>
        </w:rPr>
        <w:t>-</w:t>
      </w:r>
      <w:r w:rsidRPr="00295833">
        <w:rPr>
          <w:rtl/>
        </w:rPr>
        <w:tab/>
        <w:t>لا تزال اللجنة تشعر بالقلق إزاء التدابير التي اتخذتها الدولة الطرف مؤخرا</w:t>
      </w:r>
      <w:r w:rsidR="00AC3B36" w:rsidRPr="00295833">
        <w:rPr>
          <w:rFonts w:hint="cs"/>
          <w:rtl/>
        </w:rPr>
        <w:t>ً</w:t>
      </w:r>
      <w:r w:rsidRPr="00295833">
        <w:rPr>
          <w:rtl/>
        </w:rPr>
        <w:t xml:space="preserve"> والتي منعت نقل الأسمدة البوتاسية من بيلاروس إلى بلدان ثالثة في أفريقيا وأمريكا اللاتينية، مما أدى إلى نقص الأسمدة وأثر سلبا</w:t>
      </w:r>
      <w:r w:rsidR="00AC3B36" w:rsidRPr="00295833">
        <w:rPr>
          <w:rFonts w:hint="cs"/>
          <w:rtl/>
        </w:rPr>
        <w:t>ً</w:t>
      </w:r>
      <w:r w:rsidRPr="00295833">
        <w:rPr>
          <w:rtl/>
        </w:rPr>
        <w:t xml:space="preserve"> على الأمن الغذائي في تلك البلدان (المادة </w:t>
      </w:r>
      <w:r w:rsidRPr="00F12208">
        <w:rPr>
          <w:rtl/>
        </w:rPr>
        <w:t>2</w:t>
      </w:r>
      <w:r w:rsidRPr="00295833">
        <w:rPr>
          <w:rFonts w:ascii="Simplified Arabic"/>
          <w:szCs w:val="20"/>
          <w:rtl/>
        </w:rPr>
        <w:t>(</w:t>
      </w:r>
      <w:r w:rsidRPr="00F12208">
        <w:rPr>
          <w:rtl/>
        </w:rPr>
        <w:t>1</w:t>
      </w:r>
      <w:r w:rsidRPr="00295833">
        <w:rPr>
          <w:rFonts w:ascii="Simplified Arabic"/>
          <w:szCs w:val="20"/>
          <w:rtl/>
        </w:rPr>
        <w:t>)</w:t>
      </w:r>
      <w:r w:rsidR="00B726CD" w:rsidRPr="00295833">
        <w:rPr>
          <w:rFonts w:ascii="Simplified Arabic"/>
          <w:szCs w:val="20"/>
          <w:rtl/>
        </w:rPr>
        <w:t>)</w:t>
      </w:r>
      <w:r w:rsidR="00B726CD" w:rsidRPr="00295833">
        <w:rPr>
          <w:rtl/>
        </w:rPr>
        <w:t>.</w:t>
      </w:r>
    </w:p>
    <w:p w14:paraId="28367238" w14:textId="7A470105" w:rsidR="00CB7496" w:rsidRPr="00F12208" w:rsidRDefault="00CB7496" w:rsidP="009956DB">
      <w:pPr>
        <w:pStyle w:val="SingleTxtGA"/>
        <w:rPr>
          <w:b/>
          <w:bCs/>
          <w:szCs w:val="20"/>
          <w:lang w:val="en-US" w:eastAsia="zh-TW" w:bidi="en-GB"/>
        </w:rPr>
      </w:pPr>
      <w:r w:rsidRPr="00F12208">
        <w:rPr>
          <w:rtl/>
        </w:rPr>
        <w:t>21</w:t>
      </w:r>
      <w:r w:rsidRPr="00295833">
        <w:rPr>
          <w:rFonts w:ascii="Simplified Arabic"/>
          <w:szCs w:val="20"/>
          <w:rtl/>
        </w:rPr>
        <w:t>-</w:t>
      </w:r>
      <w:r w:rsidRPr="00295833">
        <w:rPr>
          <w:rtl/>
        </w:rPr>
        <w:tab/>
      </w:r>
      <w:r w:rsidRPr="00F12208">
        <w:rPr>
          <w:b/>
          <w:bCs/>
          <w:rtl/>
        </w:rPr>
        <w:t>توصي اللجنة الدولة الطرف بمراجعة التدابير الأخيرة التي كان لها أثر سلبي على أسعار الأسمدة وعلى الأمن الغذائي في بلدان ثالثة.</w:t>
      </w:r>
    </w:p>
    <w:p w14:paraId="4BC893CD" w14:textId="77777777" w:rsidR="00CB7496" w:rsidRPr="00F12208" w:rsidRDefault="00CB7496" w:rsidP="009956DB">
      <w:pPr>
        <w:pStyle w:val="H23GA"/>
        <w:rPr>
          <w:szCs w:val="20"/>
          <w:lang w:val="ar-SA" w:eastAsia="zh-TW" w:bidi="en-GB"/>
        </w:rPr>
      </w:pPr>
      <w:r w:rsidRPr="00F12208">
        <w:rPr>
          <w:rtl/>
        </w:rPr>
        <w:tab/>
      </w:r>
      <w:r w:rsidRPr="00F12208">
        <w:rPr>
          <w:rtl/>
        </w:rPr>
        <w:tab/>
        <w:t>الفقر وعدم المساواة</w:t>
      </w:r>
    </w:p>
    <w:p w14:paraId="63048DEC" w14:textId="418F5D3C" w:rsidR="00B726CD" w:rsidRPr="00F12208" w:rsidRDefault="00CB7496" w:rsidP="009956DB">
      <w:pPr>
        <w:pStyle w:val="SingleTxtGA"/>
        <w:rPr>
          <w:bCs/>
          <w:szCs w:val="20"/>
          <w:lang w:val="ar-SA" w:eastAsia="zh-TW" w:bidi="en-GB"/>
        </w:rPr>
      </w:pPr>
      <w:r w:rsidRPr="00F12208">
        <w:rPr>
          <w:rtl/>
        </w:rPr>
        <w:t>22</w:t>
      </w:r>
      <w:r w:rsidRPr="00295833">
        <w:rPr>
          <w:rFonts w:ascii="Simplified Arabic"/>
          <w:szCs w:val="20"/>
          <w:rtl/>
        </w:rPr>
        <w:t>-</w:t>
      </w:r>
      <w:r w:rsidRPr="00295833">
        <w:rPr>
          <w:rtl/>
        </w:rPr>
        <w:tab/>
        <w:t>تحيط اللجنة علما</w:t>
      </w:r>
      <w:r w:rsidR="00AC3B36" w:rsidRPr="00295833">
        <w:rPr>
          <w:rFonts w:hint="cs"/>
          <w:rtl/>
        </w:rPr>
        <w:t>ً</w:t>
      </w:r>
      <w:r w:rsidRPr="00295833">
        <w:rPr>
          <w:rtl/>
        </w:rPr>
        <w:t xml:space="preserve"> بالتدابير المتخذة لمعالجة أوجه عدم المساواة في الدخل التي يواجهها الأشخاص المهمشون، وبين سكان الريف والحضر، بما في ذلك زيادة الحد الأدنى للأجور وفي أساس المساعدة الاجتماعية للأشخاص ذوي الإعاقة وكبار السن. غير أنها لا تزال تشعر بالقلق إزاء نقص المعلومات المتعلقة بالأثر المستدام للتدابير الحالية القائمة (المادتان </w:t>
      </w:r>
      <w:r w:rsidRPr="00F12208">
        <w:rPr>
          <w:rtl/>
        </w:rPr>
        <w:t>2</w:t>
      </w:r>
      <w:r w:rsidRPr="00295833">
        <w:rPr>
          <w:rtl/>
        </w:rPr>
        <w:t xml:space="preserve"> و</w:t>
      </w:r>
      <w:r w:rsidRPr="00F12208">
        <w:rPr>
          <w:rtl/>
        </w:rPr>
        <w:t>1</w:t>
      </w:r>
      <w:r w:rsidR="00B726CD" w:rsidRPr="00F12208">
        <w:rPr>
          <w:rtl/>
        </w:rPr>
        <w:t>1</w:t>
      </w:r>
      <w:r w:rsidR="00B726CD" w:rsidRPr="00295833">
        <w:rPr>
          <w:rFonts w:ascii="Simplified Arabic"/>
          <w:szCs w:val="20"/>
          <w:rtl/>
        </w:rPr>
        <w:t>)</w:t>
      </w:r>
      <w:r w:rsidR="00B726CD" w:rsidRPr="00295833">
        <w:rPr>
          <w:rtl/>
        </w:rPr>
        <w:t>.</w:t>
      </w:r>
    </w:p>
    <w:p w14:paraId="35CBCA84" w14:textId="40C59344" w:rsidR="00CB7496" w:rsidRPr="00F12208" w:rsidRDefault="00CB7496" w:rsidP="009956DB">
      <w:pPr>
        <w:pStyle w:val="SingleTxtGA"/>
        <w:rPr>
          <w:b/>
          <w:bCs/>
          <w:szCs w:val="20"/>
          <w:lang w:val="ar-SA" w:eastAsia="zh-TW" w:bidi="en-GB"/>
        </w:rPr>
      </w:pPr>
      <w:r w:rsidRPr="00F12208">
        <w:rPr>
          <w:rtl/>
        </w:rPr>
        <w:t>23</w:t>
      </w:r>
      <w:r w:rsidRPr="00295833">
        <w:rPr>
          <w:rFonts w:ascii="Simplified Arabic"/>
          <w:szCs w:val="20"/>
          <w:rtl/>
        </w:rPr>
        <w:t>-</w:t>
      </w:r>
      <w:r w:rsidRPr="00295833">
        <w:rPr>
          <w:rtl/>
        </w:rPr>
        <w:tab/>
      </w:r>
      <w:r w:rsidRPr="00F12208">
        <w:rPr>
          <w:b/>
          <w:bCs/>
          <w:rtl/>
        </w:rPr>
        <w:t>توصي اللجنة بأن تقوم الدولة الطرف بما يلي:</w:t>
      </w:r>
    </w:p>
    <w:p w14:paraId="6625055D" w14:textId="01BD90B2" w:rsidR="00CB7496" w:rsidRPr="00F12208" w:rsidRDefault="009956DB" w:rsidP="009956DB">
      <w:pPr>
        <w:pStyle w:val="SingleTxtGA"/>
        <w:rPr>
          <w:b/>
          <w:bCs/>
          <w:szCs w:val="20"/>
          <w:lang w:val="en-US" w:eastAsia="zh-TW" w:bidi="en-GB"/>
        </w:rPr>
      </w:pPr>
      <w:r w:rsidRPr="00295833">
        <w:rPr>
          <w:rtl/>
        </w:rPr>
        <w:tab/>
      </w:r>
      <w:r w:rsidR="00CB7496" w:rsidRPr="00295833">
        <w:rPr>
          <w:rtl/>
        </w:rPr>
        <w:t>(أ)</w:t>
      </w:r>
      <w:r w:rsidR="00CB7496" w:rsidRPr="00295833">
        <w:rPr>
          <w:rtl/>
        </w:rPr>
        <w:tab/>
      </w:r>
      <w:r w:rsidR="00CB7496" w:rsidRPr="00F12208">
        <w:rPr>
          <w:b/>
          <w:bCs/>
          <w:rtl/>
        </w:rPr>
        <w:t>اتخاذ تدابير فورية لتخفيف الأثر الاجتماعي والاقتصادي السلبي لجائحة مرض فيروس كورونا (كوفيد-1</w:t>
      </w:r>
      <w:r w:rsidR="00B726CD" w:rsidRPr="00F12208">
        <w:rPr>
          <w:b/>
          <w:bCs/>
          <w:rtl/>
        </w:rPr>
        <w:t>9</w:t>
      </w:r>
      <w:r w:rsidR="00B726CD" w:rsidRPr="00F12208">
        <w:rPr>
          <w:rFonts w:ascii="Simplified Arabic"/>
          <w:b/>
          <w:bCs/>
          <w:szCs w:val="20"/>
          <w:rtl/>
        </w:rPr>
        <w:t>)</w:t>
      </w:r>
      <w:r w:rsidR="00B726CD" w:rsidRPr="00F12208">
        <w:rPr>
          <w:b/>
          <w:bCs/>
          <w:rtl/>
        </w:rPr>
        <w:t xml:space="preserve"> </w:t>
      </w:r>
      <w:r w:rsidR="00CB7496" w:rsidRPr="00F12208">
        <w:rPr>
          <w:b/>
          <w:bCs/>
          <w:rtl/>
        </w:rPr>
        <w:t>على سبل العيش ولحماية الناس من الفقر الناجم عن فقدان الدخل بسبب جائحة كوفيد-19؛</w:t>
      </w:r>
    </w:p>
    <w:p w14:paraId="354BB1B4" w14:textId="13C4742C" w:rsidR="00CB7496" w:rsidRPr="00F12208" w:rsidRDefault="009956DB" w:rsidP="009956DB">
      <w:pPr>
        <w:pStyle w:val="SingleTxtGA"/>
        <w:rPr>
          <w:rFonts w:ascii="Times New Roman Bold" w:hAnsi="Times New Roman Bold" w:hint="eastAsia"/>
          <w:b/>
          <w:bCs/>
          <w:szCs w:val="20"/>
          <w:lang w:val="ar-SA" w:eastAsia="zh-TW" w:bidi="en-GB"/>
        </w:rPr>
      </w:pPr>
      <w:r w:rsidRPr="00295833">
        <w:rPr>
          <w:rtl/>
        </w:rPr>
        <w:lastRenderedPageBreak/>
        <w:tab/>
      </w:r>
      <w:r w:rsidR="00CB7496" w:rsidRPr="00295833">
        <w:rPr>
          <w:rtl/>
        </w:rPr>
        <w:t>(ب)</w:t>
      </w:r>
      <w:r w:rsidR="00CB7496" w:rsidRPr="00295833">
        <w:rPr>
          <w:rtl/>
        </w:rPr>
        <w:tab/>
      </w:r>
      <w:r w:rsidR="00CB7496" w:rsidRPr="00F12208">
        <w:rPr>
          <w:b/>
          <w:bCs/>
          <w:rtl/>
        </w:rPr>
        <w:t xml:space="preserve">اتخاذ تدابير فعالة لضمان الدعم الموجه إلى الفئات المتأثرة على نحو غير متناسب </w:t>
      </w:r>
      <w:r w:rsidR="00CB7496" w:rsidRPr="00F12208">
        <w:rPr>
          <w:rFonts w:ascii="Times New Roman Bold" w:hAnsi="Times New Roman Bold"/>
          <w:b/>
          <w:bCs/>
          <w:rtl/>
        </w:rPr>
        <w:t>بالفقر، ولا سيما الأطفال والأسر الوحيدة الوالد وكبار السن والأشخاص ذوو الإعاقة والمهاجرون والروما؛</w:t>
      </w:r>
    </w:p>
    <w:p w14:paraId="33ED15F7" w14:textId="787DF8F3" w:rsidR="00CB7496" w:rsidRPr="00F12208" w:rsidRDefault="009956DB" w:rsidP="009956DB">
      <w:pPr>
        <w:pStyle w:val="SingleTxtGA"/>
        <w:rPr>
          <w:b/>
          <w:bCs/>
          <w:szCs w:val="20"/>
          <w:lang w:val="ar-SA" w:eastAsia="zh-TW" w:bidi="en-GB"/>
        </w:rPr>
      </w:pPr>
      <w:r w:rsidRPr="00295833">
        <w:rPr>
          <w:rtl/>
        </w:rPr>
        <w:tab/>
      </w:r>
      <w:r w:rsidR="00CB7496" w:rsidRPr="00295833">
        <w:rPr>
          <w:rtl/>
        </w:rPr>
        <w:t>(ج)</w:t>
      </w:r>
      <w:r w:rsidR="00CB7496" w:rsidRPr="00295833">
        <w:rPr>
          <w:rtl/>
        </w:rPr>
        <w:tab/>
      </w:r>
      <w:r w:rsidR="00CB7496" w:rsidRPr="00F12208">
        <w:rPr>
          <w:b/>
          <w:bCs/>
          <w:rtl/>
        </w:rPr>
        <w:t>اتخاذ تدابير فعالة للحد من عدم المساواة في الدخل بين السكان، بما في ذلك عن طريق إصلاح النظم الضريبية ونظم الضمان الاجتماعي؛</w:t>
      </w:r>
    </w:p>
    <w:p w14:paraId="257EBDDC" w14:textId="172EBE55" w:rsidR="00B726CD" w:rsidRPr="00F12208" w:rsidRDefault="009956DB" w:rsidP="009956DB">
      <w:pPr>
        <w:pStyle w:val="SingleTxtGA"/>
        <w:rPr>
          <w:b/>
          <w:bCs/>
          <w:szCs w:val="20"/>
          <w:lang w:val="en-US" w:eastAsia="zh-TW" w:bidi="en-GB"/>
        </w:rPr>
      </w:pPr>
      <w:r w:rsidRPr="00295833">
        <w:rPr>
          <w:rtl/>
        </w:rPr>
        <w:tab/>
      </w:r>
      <w:r w:rsidR="00CB7496" w:rsidRPr="00295833">
        <w:rPr>
          <w:rtl/>
        </w:rPr>
        <w:t>(د)</w:t>
      </w:r>
      <w:r w:rsidR="00CB7496" w:rsidRPr="00295833">
        <w:rPr>
          <w:rtl/>
        </w:rPr>
        <w:tab/>
      </w:r>
      <w:r w:rsidR="00CB7496" w:rsidRPr="00F12208">
        <w:rPr>
          <w:b/>
          <w:bCs/>
          <w:rtl/>
        </w:rPr>
        <w:t>مراعاة بيان اللجنة بشأن الفقر والعهد المعتمد عام 2001</w:t>
      </w:r>
      <w:r w:rsidR="00B726CD" w:rsidRPr="00F12208">
        <w:rPr>
          <w:rStyle w:val="FootnoteReference"/>
          <w:b/>
          <w:bCs/>
          <w:rtl/>
        </w:rPr>
        <w:t>(</w:t>
      </w:r>
      <w:r w:rsidR="00B726CD" w:rsidRPr="00F12208">
        <w:rPr>
          <w:rStyle w:val="FootnoteReference"/>
          <w:lang w:val="en-US"/>
        </w:rPr>
        <w:footnoteReference w:id="9"/>
      </w:r>
      <w:r w:rsidR="00B726CD" w:rsidRPr="00F12208">
        <w:rPr>
          <w:rStyle w:val="FootnoteReference"/>
          <w:b/>
          <w:bCs/>
          <w:rtl/>
        </w:rPr>
        <w:t>)</w:t>
      </w:r>
      <w:r w:rsidR="00B726CD" w:rsidRPr="00F12208">
        <w:rPr>
          <w:b/>
          <w:bCs/>
          <w:rtl/>
        </w:rPr>
        <w:t>.</w:t>
      </w:r>
    </w:p>
    <w:p w14:paraId="5B24BF2D" w14:textId="0A4659A5" w:rsidR="00CB7496" w:rsidRPr="00F12208" w:rsidRDefault="00CB7496" w:rsidP="009956DB">
      <w:pPr>
        <w:pStyle w:val="H23GA"/>
        <w:rPr>
          <w:szCs w:val="20"/>
          <w:lang w:val="ar-SA" w:eastAsia="zh-TW" w:bidi="en-GB"/>
        </w:rPr>
      </w:pPr>
      <w:r w:rsidRPr="00F12208">
        <w:rPr>
          <w:rtl/>
        </w:rPr>
        <w:tab/>
      </w:r>
      <w:r w:rsidRPr="00F12208">
        <w:rPr>
          <w:rtl/>
        </w:rPr>
        <w:tab/>
        <w:t>الحصول على اللقاحات والأدوية المضادة لكوفيد-19</w:t>
      </w:r>
    </w:p>
    <w:p w14:paraId="767B84F2" w14:textId="63EF821E" w:rsidR="00B726CD" w:rsidRPr="00295833" w:rsidRDefault="00CB7496" w:rsidP="009956DB">
      <w:pPr>
        <w:pStyle w:val="SingleTxtGA"/>
        <w:rPr>
          <w:szCs w:val="20"/>
          <w:lang w:val="ar-SA" w:eastAsia="zh-TW" w:bidi="en-GB"/>
        </w:rPr>
      </w:pPr>
      <w:r w:rsidRPr="00F12208">
        <w:rPr>
          <w:rtl/>
        </w:rPr>
        <w:t>24</w:t>
      </w:r>
      <w:r w:rsidRPr="00295833">
        <w:rPr>
          <w:rFonts w:ascii="Simplified Arabic"/>
          <w:szCs w:val="20"/>
          <w:rtl/>
        </w:rPr>
        <w:t>-</w:t>
      </w:r>
      <w:r w:rsidRPr="00295833">
        <w:rPr>
          <w:rtl/>
        </w:rPr>
        <w:tab/>
        <w:t xml:space="preserve">ترحب اللجنة بالجهود التي تبذلها الدولة الطرف لتوفير اللقاحات على أساس ثنائي ومن خلال آليات متعددة الأطراف منذ بداية عام </w:t>
      </w:r>
      <w:r w:rsidRPr="00F12208">
        <w:rPr>
          <w:rtl/>
        </w:rPr>
        <w:t>2020</w:t>
      </w:r>
      <w:r w:rsidRPr="00295833">
        <w:rPr>
          <w:rtl/>
        </w:rPr>
        <w:t>، ولكنها تلاحظ أن الدولة الطرف لم تلعب دورا</w:t>
      </w:r>
      <w:r w:rsidR="00AC3B36" w:rsidRPr="00295833">
        <w:rPr>
          <w:rFonts w:hint="cs"/>
          <w:rtl/>
        </w:rPr>
        <w:t>ً</w:t>
      </w:r>
      <w:r w:rsidRPr="00295833">
        <w:rPr>
          <w:rtl/>
        </w:rPr>
        <w:t xml:space="preserve"> نشطا</w:t>
      </w:r>
      <w:r w:rsidR="00AC3B36" w:rsidRPr="00295833">
        <w:rPr>
          <w:rFonts w:hint="cs"/>
          <w:rtl/>
        </w:rPr>
        <w:t>ً</w:t>
      </w:r>
      <w:r w:rsidRPr="00295833">
        <w:rPr>
          <w:rtl/>
        </w:rPr>
        <w:t xml:space="preserve"> في الدعوة إلى حصول الجميع على لقاحات وعقاقير كوفيد-</w:t>
      </w:r>
      <w:r w:rsidRPr="00F12208">
        <w:rPr>
          <w:rtl/>
        </w:rPr>
        <w:t>19</w:t>
      </w:r>
      <w:r w:rsidRPr="00295833">
        <w:rPr>
          <w:rtl/>
        </w:rPr>
        <w:t xml:space="preserve"> على نحو منصف وميسور التكلفة في المنظمات الإقليمية والدولية التي هي عضو فيها (المادتان </w:t>
      </w:r>
      <w:r w:rsidRPr="00F12208">
        <w:rPr>
          <w:rtl/>
        </w:rPr>
        <w:t>2</w:t>
      </w:r>
      <w:r w:rsidRPr="00295833">
        <w:rPr>
          <w:rtl/>
        </w:rPr>
        <w:t xml:space="preserve"> و</w:t>
      </w:r>
      <w:r w:rsidRPr="00F12208">
        <w:rPr>
          <w:rtl/>
        </w:rPr>
        <w:t>1</w:t>
      </w:r>
      <w:r w:rsidR="00B726CD" w:rsidRPr="00F12208">
        <w:rPr>
          <w:rtl/>
        </w:rPr>
        <w:t>2</w:t>
      </w:r>
      <w:r w:rsidR="00B726CD" w:rsidRPr="00295833">
        <w:rPr>
          <w:rFonts w:ascii="Simplified Arabic"/>
          <w:szCs w:val="20"/>
          <w:rtl/>
        </w:rPr>
        <w:t>)</w:t>
      </w:r>
      <w:r w:rsidR="00B726CD" w:rsidRPr="00295833">
        <w:rPr>
          <w:rtl/>
        </w:rPr>
        <w:t>.</w:t>
      </w:r>
    </w:p>
    <w:p w14:paraId="0DB01A51" w14:textId="7BA83C89" w:rsidR="00CB7496" w:rsidRPr="00F12208" w:rsidRDefault="00CB7496" w:rsidP="009956DB">
      <w:pPr>
        <w:pStyle w:val="SingleTxtGA"/>
        <w:rPr>
          <w:b/>
          <w:bCs/>
          <w:szCs w:val="20"/>
          <w:lang w:val="ar-SA" w:eastAsia="zh-TW" w:bidi="en-GB"/>
        </w:rPr>
      </w:pPr>
      <w:r w:rsidRPr="00F12208">
        <w:rPr>
          <w:rtl/>
        </w:rPr>
        <w:t>25</w:t>
      </w:r>
      <w:r w:rsidRPr="00295833">
        <w:rPr>
          <w:rFonts w:ascii="Simplified Arabic"/>
          <w:szCs w:val="20"/>
          <w:rtl/>
        </w:rPr>
        <w:t>-</w:t>
      </w:r>
      <w:r w:rsidRPr="00295833">
        <w:rPr>
          <w:rtl/>
        </w:rPr>
        <w:tab/>
      </w:r>
      <w:r w:rsidRPr="00F12208">
        <w:rPr>
          <w:b/>
          <w:bCs/>
          <w:rtl/>
        </w:rPr>
        <w:t>توصي اللجنة بأن تقوم الدولة الطرف بما يلي:</w:t>
      </w:r>
    </w:p>
    <w:p w14:paraId="37EE5172" w14:textId="29BEA0D4" w:rsidR="00CB7496" w:rsidRPr="00F12208" w:rsidRDefault="009956DB" w:rsidP="009956DB">
      <w:pPr>
        <w:pStyle w:val="SingleTxtGA"/>
        <w:rPr>
          <w:b/>
          <w:bCs/>
          <w:szCs w:val="20"/>
          <w:lang w:val="ar-SA" w:eastAsia="zh-TW" w:bidi="en-GB"/>
        </w:rPr>
      </w:pPr>
      <w:r w:rsidRPr="00295833">
        <w:rPr>
          <w:rtl/>
        </w:rPr>
        <w:tab/>
      </w:r>
      <w:r w:rsidR="00CB7496" w:rsidRPr="00295833">
        <w:rPr>
          <w:rtl/>
        </w:rPr>
        <w:t>(أ)</w:t>
      </w:r>
      <w:r w:rsidR="00CB7496" w:rsidRPr="00295833">
        <w:rPr>
          <w:rtl/>
        </w:rPr>
        <w:tab/>
      </w:r>
      <w:r w:rsidR="00CB7496" w:rsidRPr="00F12208">
        <w:rPr>
          <w:b/>
          <w:bCs/>
          <w:rtl/>
        </w:rPr>
        <w:t xml:space="preserve">تعزيز جهودها لتيسير وصول الجميع وعلى قدم المساواة إلى </w:t>
      </w:r>
      <w:r w:rsidR="00CB7496" w:rsidRPr="00F12208">
        <w:rPr>
          <w:rtl/>
        </w:rPr>
        <w:t>اختبارات كوفيد-19</w:t>
      </w:r>
      <w:r w:rsidR="00CB7496" w:rsidRPr="00F12208">
        <w:rPr>
          <w:b/>
          <w:bCs/>
          <w:rtl/>
        </w:rPr>
        <w:t xml:space="preserve"> وعلاجاته ولقاحاته؛</w:t>
      </w:r>
    </w:p>
    <w:p w14:paraId="4CB748D9" w14:textId="765FAC96" w:rsidR="00CB7496" w:rsidRPr="00F12208" w:rsidRDefault="009956DB" w:rsidP="009956DB">
      <w:pPr>
        <w:pStyle w:val="SingleTxtGA"/>
        <w:rPr>
          <w:b/>
          <w:bCs/>
          <w:szCs w:val="20"/>
          <w:lang w:val="ar-SA" w:eastAsia="zh-TW" w:bidi="en-GB"/>
        </w:rPr>
      </w:pPr>
      <w:r w:rsidRPr="00295833">
        <w:rPr>
          <w:rtl/>
        </w:rPr>
        <w:tab/>
      </w:r>
      <w:r w:rsidR="00CB7496" w:rsidRPr="00295833">
        <w:rPr>
          <w:rtl/>
        </w:rPr>
        <w:t>(ب)</w:t>
      </w:r>
      <w:r w:rsidR="00CB7496" w:rsidRPr="00295833">
        <w:rPr>
          <w:rtl/>
        </w:rPr>
        <w:tab/>
      </w:r>
      <w:r w:rsidR="00CB7496" w:rsidRPr="00F12208">
        <w:rPr>
          <w:b/>
          <w:bCs/>
          <w:rtl/>
        </w:rPr>
        <w:t>بذل كل جهد ممكن لممارسة تأثيرها في المنظمات الإقليمية والدولية التي هي عضو فيها في سبيل الدعوة إلى الحصول الشامل والمنصف وبكلفة يسيرة على لقاحات وأدوية كوفيد-19، بوسائل منها إمكانية دعم المقترحات المقدمة في منظمة التجارة العالمية بالتنازل مؤقتا</w:t>
      </w:r>
      <w:r w:rsidR="00AC3B36" w:rsidRPr="00F12208">
        <w:rPr>
          <w:rFonts w:hint="cs"/>
          <w:b/>
          <w:bCs/>
          <w:rtl/>
        </w:rPr>
        <w:t>ً</w:t>
      </w:r>
      <w:r w:rsidR="00CB7496" w:rsidRPr="00F12208">
        <w:rPr>
          <w:b/>
          <w:bCs/>
          <w:rtl/>
        </w:rPr>
        <w:t xml:space="preserve"> عن بعض حقوق الملكية الفكرية المتعلقة باللقاحات إلى أن تنتهي الجائحة، على الأقل؛</w:t>
      </w:r>
    </w:p>
    <w:p w14:paraId="2E727CC8" w14:textId="4A16273D" w:rsidR="00CB7496" w:rsidRPr="00F12208" w:rsidRDefault="009956DB" w:rsidP="009956DB">
      <w:pPr>
        <w:pStyle w:val="SingleTxtGA"/>
        <w:rPr>
          <w:b/>
          <w:bCs/>
          <w:szCs w:val="20"/>
          <w:lang w:val="en-US" w:eastAsia="zh-TW" w:bidi="en-GB"/>
        </w:rPr>
      </w:pPr>
      <w:r w:rsidRPr="00F12208">
        <w:rPr>
          <w:rtl/>
        </w:rPr>
        <w:tab/>
      </w:r>
      <w:r w:rsidR="00CB7496" w:rsidRPr="00F12208">
        <w:rPr>
          <w:rtl/>
        </w:rPr>
        <w:t>(ج)</w:t>
      </w:r>
      <w:r w:rsidR="00CB7496" w:rsidRPr="00F12208">
        <w:rPr>
          <w:rtl/>
        </w:rPr>
        <w:tab/>
      </w:r>
      <w:r w:rsidR="00CB7496" w:rsidRPr="00F12208">
        <w:rPr>
          <w:b/>
          <w:bCs/>
          <w:rtl/>
        </w:rPr>
        <w:t>الإحاطة علما</w:t>
      </w:r>
      <w:r w:rsidR="00296DFF" w:rsidRPr="00F12208">
        <w:rPr>
          <w:rFonts w:hint="cs"/>
          <w:b/>
          <w:bCs/>
          <w:rtl/>
        </w:rPr>
        <w:t>ً</w:t>
      </w:r>
      <w:r w:rsidR="00CB7496" w:rsidRPr="00F12208">
        <w:rPr>
          <w:b/>
          <w:bCs/>
          <w:rtl/>
        </w:rPr>
        <w:t>، على وجه الخصوص، بالفقرة 82 من تعليق اللجنة العام رقم</w:t>
      </w:r>
      <w:r w:rsidR="00E90BB3" w:rsidRPr="00F12208">
        <w:rPr>
          <w:rFonts w:hint="cs"/>
          <w:b/>
          <w:bCs/>
          <w:rtl/>
        </w:rPr>
        <w:t> </w:t>
      </w:r>
      <w:r w:rsidR="00CB7496" w:rsidRPr="00F12208">
        <w:rPr>
          <w:b/>
          <w:bCs/>
          <w:rtl/>
        </w:rPr>
        <w:t>25</w:t>
      </w:r>
      <w:r w:rsidR="00CB7496" w:rsidRPr="00F12208">
        <w:rPr>
          <w:rFonts w:ascii="Simplified Arabic"/>
          <w:b/>
          <w:bCs/>
          <w:szCs w:val="20"/>
          <w:rtl/>
        </w:rPr>
        <w:t>(</w:t>
      </w:r>
      <w:r w:rsidR="00CB7496" w:rsidRPr="00F12208">
        <w:rPr>
          <w:b/>
          <w:bCs/>
          <w:rtl/>
        </w:rPr>
        <w:t>202</w:t>
      </w:r>
      <w:r w:rsidR="00B726CD" w:rsidRPr="00F12208">
        <w:rPr>
          <w:b/>
          <w:bCs/>
          <w:rtl/>
        </w:rPr>
        <w:t>0</w:t>
      </w:r>
      <w:r w:rsidR="00B726CD" w:rsidRPr="00F12208">
        <w:rPr>
          <w:rFonts w:ascii="Simplified Arabic"/>
          <w:b/>
          <w:bCs/>
          <w:szCs w:val="20"/>
          <w:rtl/>
        </w:rPr>
        <w:t>)</w:t>
      </w:r>
      <w:r w:rsidR="00B726CD" w:rsidRPr="00F12208">
        <w:rPr>
          <w:b/>
          <w:bCs/>
          <w:rtl/>
        </w:rPr>
        <w:t xml:space="preserve"> </w:t>
      </w:r>
      <w:r w:rsidR="00CB7496" w:rsidRPr="00F12208">
        <w:rPr>
          <w:b/>
          <w:bCs/>
          <w:rtl/>
        </w:rPr>
        <w:t xml:space="preserve">بشأن العلم والحقوق الاقتصادية والاجتماعية والثقافية، وببيانات اللجنة المتعلقة </w:t>
      </w:r>
      <w:r w:rsidR="00CB7496" w:rsidRPr="00F12208">
        <w:rPr>
          <w:rFonts w:ascii="Times New Roman Bold" w:hAnsi="Times New Roman Bold"/>
          <w:b/>
          <w:bCs/>
          <w:spacing w:val="2"/>
          <w:rtl/>
        </w:rPr>
        <w:t>بجائحة كوفيد-19 والحقوق الاقتصادية والاجتماعية والثقافية، وبحصول الجميع على لقاحات كوفيد-</w:t>
      </w:r>
      <w:r w:rsidR="00CB7496" w:rsidRPr="00F12208">
        <w:rPr>
          <w:b/>
          <w:bCs/>
          <w:rtl/>
        </w:rPr>
        <w:t>19 على قدم المساواة.</w:t>
      </w:r>
    </w:p>
    <w:p w14:paraId="7929D739" w14:textId="77777777" w:rsidR="00CB7496" w:rsidRPr="00F12208" w:rsidRDefault="00CB7496" w:rsidP="009956DB">
      <w:pPr>
        <w:pStyle w:val="H23GA"/>
        <w:rPr>
          <w:szCs w:val="20"/>
          <w:lang w:val="ar-SA" w:eastAsia="zh-TW" w:bidi="en-GB"/>
        </w:rPr>
      </w:pPr>
      <w:r w:rsidRPr="00F12208">
        <w:rPr>
          <w:rtl/>
        </w:rPr>
        <w:tab/>
      </w:r>
      <w:r w:rsidRPr="00F12208">
        <w:rPr>
          <w:rtl/>
        </w:rPr>
        <w:tab/>
        <w:t>المساعدة الإنمائية الرسمية</w:t>
      </w:r>
    </w:p>
    <w:p w14:paraId="2676D45A" w14:textId="4F6CE1B7" w:rsidR="00B726CD" w:rsidRPr="00295833" w:rsidRDefault="00CB7496" w:rsidP="009956DB">
      <w:pPr>
        <w:pStyle w:val="SingleTxtGA"/>
        <w:rPr>
          <w:szCs w:val="20"/>
          <w:lang w:val="ar-SA" w:eastAsia="zh-TW" w:bidi="en-GB"/>
        </w:rPr>
      </w:pPr>
      <w:r w:rsidRPr="00F12208">
        <w:rPr>
          <w:rtl/>
        </w:rPr>
        <w:t>26</w:t>
      </w:r>
      <w:r w:rsidRPr="00295833">
        <w:rPr>
          <w:rFonts w:ascii="Simplified Arabic"/>
          <w:szCs w:val="20"/>
          <w:rtl/>
        </w:rPr>
        <w:t>-</w:t>
      </w:r>
      <w:r w:rsidRPr="00295833">
        <w:rPr>
          <w:rtl/>
        </w:rPr>
        <w:tab/>
        <w:t xml:space="preserve">وتأسف اللجنة لأن مستوى المساعدة الإنمائية الرسمية التي تقدمها الدولة الطرف </w:t>
      </w:r>
      <w:r w:rsidRPr="00295833">
        <w:rPr>
          <w:rFonts w:ascii="Simplified Arabic"/>
          <w:szCs w:val="20"/>
          <w:rtl/>
        </w:rPr>
        <w:t>(</w:t>
      </w:r>
      <w:r w:rsidRPr="00F12208">
        <w:rPr>
          <w:rtl/>
        </w:rPr>
        <w:t>0</w:t>
      </w:r>
      <w:r w:rsidRPr="00295833">
        <w:rPr>
          <w:rFonts w:ascii="Simplified Arabic"/>
          <w:szCs w:val="20"/>
          <w:rtl/>
        </w:rPr>
        <w:t>,</w:t>
      </w:r>
      <w:r w:rsidRPr="00F12208">
        <w:rPr>
          <w:rtl/>
        </w:rPr>
        <w:t>13</w:t>
      </w:r>
      <w:r w:rsidRPr="00295833">
        <w:rPr>
          <w:rtl/>
        </w:rPr>
        <w:t xml:space="preserve"> في المائة عام </w:t>
      </w:r>
      <w:r w:rsidRPr="00F12208">
        <w:rPr>
          <w:rtl/>
        </w:rPr>
        <w:t>202</w:t>
      </w:r>
      <w:r w:rsidR="00B726CD" w:rsidRPr="00F12208">
        <w:rPr>
          <w:rtl/>
        </w:rPr>
        <w:t>1</w:t>
      </w:r>
      <w:r w:rsidR="00B726CD" w:rsidRPr="00295833">
        <w:rPr>
          <w:rFonts w:ascii="Simplified Arabic"/>
          <w:szCs w:val="20"/>
          <w:rtl/>
        </w:rPr>
        <w:t>)</w:t>
      </w:r>
      <w:r w:rsidR="00B726CD" w:rsidRPr="00295833">
        <w:rPr>
          <w:rtl/>
        </w:rPr>
        <w:t xml:space="preserve"> </w:t>
      </w:r>
      <w:r w:rsidRPr="00295833">
        <w:rPr>
          <w:rtl/>
        </w:rPr>
        <w:t>يقل عن الالتزام المتفق عليه دوليا</w:t>
      </w:r>
      <w:r w:rsidR="00AC3B36" w:rsidRPr="00295833">
        <w:rPr>
          <w:rFonts w:hint="cs"/>
          <w:rtl/>
        </w:rPr>
        <w:t>ً</w:t>
      </w:r>
      <w:r w:rsidRPr="00295833">
        <w:rPr>
          <w:rtl/>
        </w:rPr>
        <w:t xml:space="preserve"> والبالغ </w:t>
      </w:r>
      <w:r w:rsidRPr="00F12208">
        <w:rPr>
          <w:rtl/>
        </w:rPr>
        <w:t>0</w:t>
      </w:r>
      <w:r w:rsidRPr="00295833">
        <w:rPr>
          <w:rFonts w:ascii="Simplified Arabic"/>
          <w:szCs w:val="20"/>
          <w:rtl/>
        </w:rPr>
        <w:t>,</w:t>
      </w:r>
      <w:r w:rsidRPr="00F12208">
        <w:rPr>
          <w:rtl/>
        </w:rPr>
        <w:t>7</w:t>
      </w:r>
      <w:r w:rsidRPr="00295833">
        <w:rPr>
          <w:rtl/>
        </w:rPr>
        <w:t xml:space="preserve"> في المائة من الدخل القومي الإجمالي ونسبة الـ </w:t>
      </w:r>
      <w:r w:rsidRPr="00F12208">
        <w:rPr>
          <w:rtl/>
        </w:rPr>
        <w:t>0</w:t>
      </w:r>
      <w:r w:rsidRPr="00295833">
        <w:rPr>
          <w:rFonts w:ascii="Simplified Arabic"/>
          <w:szCs w:val="20"/>
          <w:rtl/>
        </w:rPr>
        <w:t>,</w:t>
      </w:r>
      <w:r w:rsidRPr="00F12208">
        <w:rPr>
          <w:rtl/>
        </w:rPr>
        <w:t>33</w:t>
      </w:r>
      <w:r w:rsidRPr="00295833">
        <w:rPr>
          <w:rtl/>
        </w:rPr>
        <w:t xml:space="preserve"> في المائة الملتزم بها على مستوى الاتحاد الأوروبي (المادة </w:t>
      </w:r>
      <w:r w:rsidRPr="00F12208">
        <w:rPr>
          <w:rtl/>
        </w:rPr>
        <w:t>2</w:t>
      </w:r>
      <w:r w:rsidRPr="00295833">
        <w:rPr>
          <w:rFonts w:ascii="Simplified Arabic"/>
          <w:szCs w:val="20"/>
          <w:rtl/>
        </w:rPr>
        <w:t>(</w:t>
      </w:r>
      <w:r w:rsidRPr="00F12208">
        <w:rPr>
          <w:rtl/>
        </w:rPr>
        <w:t>1</w:t>
      </w:r>
      <w:r w:rsidRPr="00295833">
        <w:rPr>
          <w:rFonts w:ascii="Simplified Arabic"/>
          <w:szCs w:val="20"/>
          <w:rtl/>
        </w:rPr>
        <w:t>)</w:t>
      </w:r>
      <w:r w:rsidR="00B726CD" w:rsidRPr="00295833">
        <w:rPr>
          <w:rFonts w:ascii="Simplified Arabic"/>
          <w:szCs w:val="20"/>
          <w:rtl/>
        </w:rPr>
        <w:t>)</w:t>
      </w:r>
      <w:r w:rsidR="00B726CD" w:rsidRPr="00295833">
        <w:rPr>
          <w:rtl/>
        </w:rPr>
        <w:t>.</w:t>
      </w:r>
    </w:p>
    <w:p w14:paraId="140AE246" w14:textId="1F1C00A0" w:rsidR="00CB7496" w:rsidRPr="00F12208" w:rsidRDefault="00CB7496" w:rsidP="009956DB">
      <w:pPr>
        <w:pStyle w:val="SingleTxtGA"/>
        <w:rPr>
          <w:b/>
          <w:bCs/>
          <w:szCs w:val="20"/>
          <w:lang w:val="en-US" w:eastAsia="zh-TW" w:bidi="en-GB"/>
        </w:rPr>
      </w:pPr>
      <w:r w:rsidRPr="00F12208">
        <w:rPr>
          <w:rtl/>
        </w:rPr>
        <w:t>27</w:t>
      </w:r>
      <w:r w:rsidRPr="00295833">
        <w:rPr>
          <w:rFonts w:ascii="Simplified Arabic"/>
          <w:szCs w:val="20"/>
          <w:rtl/>
        </w:rPr>
        <w:t>-</w:t>
      </w:r>
      <w:r w:rsidRPr="00295833">
        <w:rPr>
          <w:rtl/>
        </w:rPr>
        <w:tab/>
      </w:r>
      <w:r w:rsidRPr="00F12208">
        <w:rPr>
          <w:b/>
          <w:bCs/>
          <w:rtl/>
        </w:rPr>
        <w:t>توصي اللجنة الدولة الطرف بزيادة جهودها في مجال التعاون الدولي، بما في ذلك عن طريق تحقيق الهدف المتفق عليه دوليا</w:t>
      </w:r>
      <w:r w:rsidR="00AC3B36" w:rsidRPr="00F12208">
        <w:rPr>
          <w:rFonts w:hint="cs"/>
          <w:b/>
          <w:bCs/>
          <w:rtl/>
        </w:rPr>
        <w:t>ً</w:t>
      </w:r>
      <w:r w:rsidRPr="00F12208">
        <w:rPr>
          <w:b/>
          <w:bCs/>
          <w:rtl/>
        </w:rPr>
        <w:t xml:space="preserve"> للمساعدة الإنمائية وهو 0</w:t>
      </w:r>
      <w:r w:rsidRPr="00F12208">
        <w:rPr>
          <w:rFonts w:ascii="Simplified Arabic"/>
          <w:b/>
          <w:bCs/>
          <w:szCs w:val="20"/>
          <w:rtl/>
        </w:rPr>
        <w:t>,</w:t>
      </w:r>
      <w:r w:rsidRPr="00F12208">
        <w:rPr>
          <w:b/>
          <w:bCs/>
          <w:rtl/>
        </w:rPr>
        <w:t>7 في المائة من الدخل القومي الإجمالي.</w:t>
      </w:r>
    </w:p>
    <w:p w14:paraId="0097484A" w14:textId="77777777" w:rsidR="00CB7496" w:rsidRPr="00F12208" w:rsidRDefault="00CB7496" w:rsidP="009956DB">
      <w:pPr>
        <w:pStyle w:val="H23GA"/>
        <w:rPr>
          <w:szCs w:val="20"/>
          <w:lang w:val="ar-SA" w:eastAsia="zh-TW" w:bidi="en-GB"/>
        </w:rPr>
      </w:pPr>
      <w:r w:rsidRPr="00F12208">
        <w:rPr>
          <w:rtl/>
        </w:rPr>
        <w:tab/>
      </w:r>
      <w:r w:rsidRPr="00F12208">
        <w:rPr>
          <w:rtl/>
        </w:rPr>
        <w:tab/>
        <w:t>الفساد</w:t>
      </w:r>
    </w:p>
    <w:p w14:paraId="72633978" w14:textId="038DCE32" w:rsidR="00B726CD" w:rsidRPr="00295833" w:rsidRDefault="00CB7496" w:rsidP="009956DB">
      <w:pPr>
        <w:pStyle w:val="SingleTxtGA"/>
        <w:rPr>
          <w:szCs w:val="20"/>
          <w:lang w:val="ar-SA" w:eastAsia="zh-TW" w:bidi="en-GB"/>
        </w:rPr>
      </w:pPr>
      <w:r w:rsidRPr="00F12208">
        <w:rPr>
          <w:rtl/>
        </w:rPr>
        <w:t>28</w:t>
      </w:r>
      <w:r w:rsidRPr="00295833">
        <w:rPr>
          <w:rFonts w:ascii="Simplified Arabic"/>
          <w:szCs w:val="20"/>
          <w:rtl/>
        </w:rPr>
        <w:t>-</w:t>
      </w:r>
      <w:r w:rsidRPr="00295833">
        <w:rPr>
          <w:rtl/>
        </w:rPr>
        <w:tab/>
        <w:t>تلاحظ اللجنة التدابير التي اتخذتها الدولة الطرف للتصدي للفساد. غير أنها تشعر بالقلق إزاء التقارير التي تفيد بأن الفساد لا يزال مستمرا</w:t>
      </w:r>
      <w:r w:rsidR="00AC3B36" w:rsidRPr="00295833">
        <w:rPr>
          <w:rFonts w:hint="cs"/>
          <w:rtl/>
        </w:rPr>
        <w:t>ً</w:t>
      </w:r>
      <w:r w:rsidRPr="00295833">
        <w:rPr>
          <w:rtl/>
        </w:rPr>
        <w:t xml:space="preserve"> في قطاعات المشتريات العامة، ولا سيما في قطاع الصحة، وإزاء ازدياد حجم اقتصاد الظل، مما قد يؤثر سلبا</w:t>
      </w:r>
      <w:r w:rsidR="00AC3B36" w:rsidRPr="00295833">
        <w:rPr>
          <w:rFonts w:hint="cs"/>
          <w:rtl/>
        </w:rPr>
        <w:t>ً</w:t>
      </w:r>
      <w:r w:rsidRPr="00295833">
        <w:rPr>
          <w:rtl/>
        </w:rPr>
        <w:t xml:space="preserve"> على إعمال الحقوق الاقتصادية والاجتماعية والثقافية. وتأسف اللجنة لعدم وجود معلومات عن الأحكام الصادرة بحق من يثبت تورطهم في الفساد (المادة </w:t>
      </w:r>
      <w:r w:rsidRPr="00F12208">
        <w:rPr>
          <w:rtl/>
        </w:rPr>
        <w:t>2</w:t>
      </w:r>
      <w:r w:rsidRPr="00295833">
        <w:rPr>
          <w:rFonts w:ascii="Simplified Arabic"/>
          <w:szCs w:val="20"/>
          <w:rtl/>
        </w:rPr>
        <w:t>(</w:t>
      </w:r>
      <w:r w:rsidRPr="00F12208">
        <w:rPr>
          <w:rtl/>
        </w:rPr>
        <w:t>1</w:t>
      </w:r>
      <w:r w:rsidRPr="00295833">
        <w:rPr>
          <w:rFonts w:ascii="Simplified Arabic"/>
          <w:szCs w:val="20"/>
          <w:rtl/>
        </w:rPr>
        <w:t>)</w:t>
      </w:r>
      <w:r w:rsidR="00B726CD" w:rsidRPr="00295833">
        <w:rPr>
          <w:rFonts w:ascii="Simplified Arabic"/>
          <w:szCs w:val="20"/>
          <w:rtl/>
        </w:rPr>
        <w:t>)</w:t>
      </w:r>
      <w:r w:rsidR="00B726CD" w:rsidRPr="00295833">
        <w:rPr>
          <w:rtl/>
        </w:rPr>
        <w:t>.</w:t>
      </w:r>
    </w:p>
    <w:p w14:paraId="56632ADB" w14:textId="63A093F2" w:rsidR="00CB7496" w:rsidRPr="00F12208" w:rsidRDefault="00CB7496" w:rsidP="009956DB">
      <w:pPr>
        <w:pStyle w:val="SingleTxtGA"/>
        <w:rPr>
          <w:b/>
          <w:bCs/>
          <w:szCs w:val="20"/>
          <w:lang w:val="en-US" w:eastAsia="zh-TW" w:bidi="en-GB"/>
        </w:rPr>
      </w:pPr>
      <w:r w:rsidRPr="00F12208">
        <w:rPr>
          <w:rtl/>
        </w:rPr>
        <w:lastRenderedPageBreak/>
        <w:t>29</w:t>
      </w:r>
      <w:r w:rsidRPr="00295833">
        <w:rPr>
          <w:rFonts w:ascii="Simplified Arabic"/>
          <w:szCs w:val="20"/>
          <w:rtl/>
        </w:rPr>
        <w:t>-</w:t>
      </w:r>
      <w:r w:rsidRPr="00295833">
        <w:rPr>
          <w:rtl/>
        </w:rPr>
        <w:tab/>
      </w:r>
      <w:r w:rsidRPr="00F12208">
        <w:rPr>
          <w:b/>
          <w:bCs/>
          <w:rtl/>
        </w:rPr>
        <w:t>توصي اللجنة الدولة الطرف بتكثيف جهودها لمكافحة الفساد وما يتصل به من إفلات من العقاب وضمان التنفيذ الفعال لقوانين مكافحة الفساد، بما في ذلك عن طريق التحقيق في الفساد ومقاضاة مرتكبيه على نحو فعال. وتوصي الدولة الطرف بمواصلة تعزيز قدرة دائرة التحقيق الخاصة والمدعين العامين على إجراء التحقيقات وأدائهم المستقل.</w:t>
      </w:r>
    </w:p>
    <w:p w14:paraId="35700680" w14:textId="77777777" w:rsidR="00CB7496" w:rsidRPr="00F12208" w:rsidRDefault="00CB7496" w:rsidP="009956DB">
      <w:pPr>
        <w:pStyle w:val="H23GA"/>
        <w:rPr>
          <w:szCs w:val="20"/>
          <w:lang w:val="ar-SA" w:eastAsia="zh-TW" w:bidi="en-GB"/>
        </w:rPr>
      </w:pPr>
      <w:r w:rsidRPr="00F12208">
        <w:rPr>
          <w:rtl/>
        </w:rPr>
        <w:tab/>
      </w:r>
      <w:r w:rsidRPr="00F12208">
        <w:rPr>
          <w:rtl/>
        </w:rPr>
        <w:tab/>
        <w:t>المساواة في الحقوق بين الرجل والمرأة</w:t>
      </w:r>
    </w:p>
    <w:p w14:paraId="56BDA1FA" w14:textId="202AB95D" w:rsidR="00B726CD" w:rsidRPr="00295833" w:rsidRDefault="00CB7496" w:rsidP="009956DB">
      <w:pPr>
        <w:pStyle w:val="SingleTxtGA"/>
        <w:rPr>
          <w:szCs w:val="20"/>
          <w:lang w:val="ar-SA" w:eastAsia="zh-TW" w:bidi="en-GB"/>
        </w:rPr>
      </w:pPr>
      <w:r w:rsidRPr="00F12208">
        <w:rPr>
          <w:rtl/>
        </w:rPr>
        <w:t>30</w:t>
      </w:r>
      <w:r w:rsidRPr="00295833">
        <w:rPr>
          <w:rFonts w:ascii="Simplified Arabic"/>
          <w:szCs w:val="20"/>
          <w:rtl/>
        </w:rPr>
        <w:t>-</w:t>
      </w:r>
      <w:r w:rsidRPr="00295833">
        <w:rPr>
          <w:rtl/>
        </w:rPr>
        <w:tab/>
        <w:t>بينما تعترف اللجنة بالجهود المتواصلة التي تبذلها الدولة الطرف فيما يتعلق بتحقيق المساواة بين الرجل والمرأة، فإنها تشعر بالقلق إزاء بطء التقدم العام نحو تحقيق المساواة الكاملة. ويساور اللجنة القلق بوجه خاص لأن التمثيل المحدود للمرأة في المناصب القيادية في مختلف المؤسسات الاجتماعية والاقتصادية، وازدياد الفقر بين النساء والفتيات، والتوزيع غير المتكافئ للمسؤوليات المنزلية ومسؤوليات الرعاية غير المدفوعة الأجر بين المرأة والرجل، تشكل حواجز كبيرة أمام المساواة. ويساورها القلق أيضا</w:t>
      </w:r>
      <w:r w:rsidR="00AC3B36" w:rsidRPr="00295833">
        <w:rPr>
          <w:rFonts w:hint="cs"/>
          <w:rtl/>
        </w:rPr>
        <w:t>ً</w:t>
      </w:r>
      <w:r w:rsidRPr="00295833">
        <w:rPr>
          <w:rtl/>
        </w:rPr>
        <w:t xml:space="preserve"> إزاء استمرار القوالب النمطية المتعلقة بالمرأة ودورها في المجتمع والأسرة. وتأسف اللجنة لعدم وجود معلومات عن التقدم المحرز في التغلب على الفصل المهني الجنساني وزيادة الفرص المتاحة للنساء اللواتي يعانين من الحرمان والتهميش، بما في ذلك مشاركتها في العمالة التي تتطلب مهارات وبدوام كامل وبأجر جيد، على النحو الذي أبرزته أيضا</w:t>
      </w:r>
      <w:r w:rsidR="00AC3B36" w:rsidRPr="00295833">
        <w:rPr>
          <w:rFonts w:hint="cs"/>
          <w:rtl/>
        </w:rPr>
        <w:t>ً</w:t>
      </w:r>
      <w:r w:rsidRPr="00295833">
        <w:rPr>
          <w:rtl/>
        </w:rPr>
        <w:t xml:space="preserve"> اللجنة المعنية بالقضاء على التمييز ضد المرأة (المادة </w:t>
      </w:r>
      <w:r w:rsidRPr="00F12208">
        <w:rPr>
          <w:rtl/>
        </w:rPr>
        <w:t>3</w:t>
      </w:r>
      <w:r w:rsidRPr="00295833">
        <w:rPr>
          <w:rFonts w:ascii="Simplified Arabic"/>
          <w:szCs w:val="20"/>
          <w:rtl/>
        </w:rPr>
        <w:t>)</w:t>
      </w:r>
      <w:r w:rsidR="00B726CD" w:rsidRPr="00295833">
        <w:rPr>
          <w:rStyle w:val="FootnoteReference"/>
          <w:rtl/>
        </w:rPr>
        <w:t>(</w:t>
      </w:r>
      <w:r w:rsidR="00B726CD" w:rsidRPr="00F12208">
        <w:rPr>
          <w:rStyle w:val="FootnoteReference"/>
          <w:lang w:val="en-US"/>
        </w:rPr>
        <w:footnoteReference w:id="10"/>
      </w:r>
      <w:r w:rsidR="00B726CD" w:rsidRPr="00295833">
        <w:rPr>
          <w:rStyle w:val="FootnoteReference"/>
          <w:rtl/>
        </w:rPr>
        <w:t>)</w:t>
      </w:r>
      <w:r w:rsidR="00B726CD" w:rsidRPr="00295833">
        <w:rPr>
          <w:rtl/>
        </w:rPr>
        <w:t>.</w:t>
      </w:r>
    </w:p>
    <w:p w14:paraId="5838D155" w14:textId="43FBDF44" w:rsidR="00CB7496" w:rsidRPr="00F12208" w:rsidRDefault="00CB7496" w:rsidP="009956DB">
      <w:pPr>
        <w:pStyle w:val="SingleTxtGA"/>
        <w:rPr>
          <w:b/>
          <w:bCs/>
          <w:szCs w:val="20"/>
          <w:lang w:val="ar-SA" w:eastAsia="zh-TW" w:bidi="en-GB"/>
        </w:rPr>
      </w:pPr>
      <w:r w:rsidRPr="00F12208">
        <w:rPr>
          <w:rtl/>
        </w:rPr>
        <w:t>31</w:t>
      </w:r>
      <w:r w:rsidRPr="00295833">
        <w:rPr>
          <w:rFonts w:ascii="Simplified Arabic"/>
          <w:szCs w:val="20"/>
          <w:rtl/>
        </w:rPr>
        <w:t>-</w:t>
      </w:r>
      <w:r w:rsidRPr="00295833">
        <w:rPr>
          <w:rtl/>
        </w:rPr>
        <w:tab/>
      </w:r>
      <w:r w:rsidRPr="00F12208">
        <w:rPr>
          <w:b/>
          <w:bCs/>
          <w:rtl/>
        </w:rPr>
        <w:t>توصي اللجنة بأن تقوم الدولة الطرف بما يلي:</w:t>
      </w:r>
    </w:p>
    <w:p w14:paraId="16C38286" w14:textId="0E841C74" w:rsidR="00CB7496" w:rsidRPr="00F12208" w:rsidRDefault="009956DB" w:rsidP="009956DB">
      <w:pPr>
        <w:pStyle w:val="SingleTxtGA"/>
        <w:rPr>
          <w:b/>
          <w:bCs/>
          <w:szCs w:val="20"/>
          <w:lang w:val="ar-SA" w:eastAsia="zh-TW" w:bidi="en-GB"/>
        </w:rPr>
      </w:pPr>
      <w:r w:rsidRPr="00295833">
        <w:rPr>
          <w:rtl/>
        </w:rPr>
        <w:tab/>
      </w:r>
      <w:r w:rsidR="00CB7496" w:rsidRPr="00295833">
        <w:rPr>
          <w:rtl/>
        </w:rPr>
        <w:t>(أ)</w:t>
      </w:r>
      <w:r w:rsidR="00CB7496" w:rsidRPr="00295833">
        <w:rPr>
          <w:rtl/>
        </w:rPr>
        <w:tab/>
      </w:r>
      <w:r w:rsidR="00CB7496" w:rsidRPr="00F12208">
        <w:rPr>
          <w:b/>
          <w:bCs/>
          <w:rtl/>
        </w:rPr>
        <w:t>استعراض وتعديل جميع القوانين والأنظمة والمعايير والممارسات القائمة التي تميز ضد المرأة ووضع سياسات وبرامج، بما في ذلك تدابير خاصة مؤقتة، لتحقيق المساواة الفعلية بين الجنسين في جميع مجالات الحقوق الاقتصادية والاجتماعية والثقافية؛</w:t>
      </w:r>
    </w:p>
    <w:p w14:paraId="6572FD95" w14:textId="107FB65F" w:rsidR="00CB7496" w:rsidRPr="00F12208" w:rsidRDefault="009956DB" w:rsidP="009956DB">
      <w:pPr>
        <w:pStyle w:val="SingleTxtGA"/>
        <w:rPr>
          <w:b/>
          <w:bCs/>
          <w:szCs w:val="20"/>
          <w:lang w:val="en-US" w:eastAsia="zh-TW" w:bidi="en-GB"/>
        </w:rPr>
      </w:pPr>
      <w:r w:rsidRPr="00295833">
        <w:rPr>
          <w:rtl/>
        </w:rPr>
        <w:tab/>
      </w:r>
      <w:r w:rsidR="00CB7496" w:rsidRPr="00295833">
        <w:rPr>
          <w:rtl/>
        </w:rPr>
        <w:t>(ب)</w:t>
      </w:r>
      <w:r w:rsidR="00CB7496" w:rsidRPr="00295833">
        <w:rPr>
          <w:rtl/>
        </w:rPr>
        <w:tab/>
      </w:r>
      <w:r w:rsidR="00CB7496" w:rsidRPr="00F12208">
        <w:rPr>
          <w:b/>
          <w:bCs/>
          <w:rtl/>
        </w:rPr>
        <w:t>اتخاذ تدابير شاملة للقضاء على القوالب النمطية القوية لدور الجنسين، بوسائل منها تنظيم حملات إعلامية والتشاور مع قادة الرأي، وإذكاء الوعي بين عامة الجمهور بالمساواة في تقاسم الحقوق والمسؤوليات بين الرجل والمرأة في الأسرة وفي المجتمع.</w:t>
      </w:r>
    </w:p>
    <w:p w14:paraId="07773219" w14:textId="77777777" w:rsidR="00CB7496" w:rsidRPr="00F12208" w:rsidRDefault="00CB7496" w:rsidP="009956DB">
      <w:pPr>
        <w:pStyle w:val="H23GA"/>
        <w:rPr>
          <w:szCs w:val="20"/>
          <w:rtl/>
          <w:lang w:val="fr-CH" w:eastAsia="zh-TW"/>
        </w:rPr>
      </w:pPr>
      <w:r w:rsidRPr="00F12208">
        <w:rPr>
          <w:rtl/>
        </w:rPr>
        <w:tab/>
      </w:r>
      <w:r w:rsidRPr="00F12208">
        <w:rPr>
          <w:rtl/>
        </w:rPr>
        <w:tab/>
        <w:t>الفجوة في الأجور بين الجنسين</w:t>
      </w:r>
    </w:p>
    <w:p w14:paraId="675CD20B" w14:textId="3AF3D590" w:rsidR="00B726CD" w:rsidRPr="00295833" w:rsidRDefault="00CB7496" w:rsidP="009956DB">
      <w:pPr>
        <w:pStyle w:val="SingleTxtGA"/>
        <w:rPr>
          <w:szCs w:val="20"/>
          <w:lang w:val="ar-SA" w:eastAsia="zh-TW" w:bidi="en-GB"/>
        </w:rPr>
      </w:pPr>
      <w:r w:rsidRPr="00F12208">
        <w:rPr>
          <w:rtl/>
        </w:rPr>
        <w:t>32</w:t>
      </w:r>
      <w:r w:rsidRPr="00295833">
        <w:rPr>
          <w:rFonts w:ascii="Simplified Arabic"/>
          <w:szCs w:val="20"/>
          <w:rtl/>
        </w:rPr>
        <w:t>-</w:t>
      </w:r>
      <w:r w:rsidRPr="00295833">
        <w:rPr>
          <w:rtl/>
        </w:rPr>
        <w:tab/>
        <w:t xml:space="preserve">بينما تلاحظ اللجنة الجهود التي تبذلها الدولة الطرف، والتي تشمل البرنامج الوطني لتكافؤ الفرص بين المرأة والرجل للفترة </w:t>
      </w:r>
      <w:r w:rsidRPr="00F12208">
        <w:rPr>
          <w:rtl/>
        </w:rPr>
        <w:t>2015</w:t>
      </w:r>
      <w:r w:rsidRPr="00295833">
        <w:rPr>
          <w:rFonts w:ascii="Simplified Arabic"/>
          <w:szCs w:val="20"/>
          <w:rtl/>
        </w:rPr>
        <w:t>-</w:t>
      </w:r>
      <w:r w:rsidRPr="00F12208">
        <w:rPr>
          <w:rtl/>
        </w:rPr>
        <w:t>2021</w:t>
      </w:r>
      <w:r w:rsidRPr="00295833">
        <w:rPr>
          <w:rtl/>
        </w:rPr>
        <w:t xml:space="preserve"> والإصلاحات الجارية في إدارة الإحصاءات العامة، فإنها تأسف لأن الفجوة في الأجور بين الجنسين لا تزال كبيرة، حيث بلغت </w:t>
      </w:r>
      <w:r w:rsidRPr="00F12208">
        <w:rPr>
          <w:rtl/>
        </w:rPr>
        <w:t>12</w:t>
      </w:r>
      <w:r w:rsidRPr="00295833">
        <w:rPr>
          <w:rtl/>
        </w:rPr>
        <w:t xml:space="preserve"> في المائة عام </w:t>
      </w:r>
      <w:r w:rsidRPr="00F12208">
        <w:rPr>
          <w:rtl/>
        </w:rPr>
        <w:t>2021</w:t>
      </w:r>
      <w:r w:rsidRPr="00295833">
        <w:rPr>
          <w:rtl/>
        </w:rPr>
        <w:t xml:space="preserve"> ويقال إنها في أعلى مستوياتها في بعض القطاعات، مثل التأمين، والتمويل، والرعاية الصحية، والعمل الاجتماعي. وتأسف اللجنة لأن الدولة الطرف لم تجر تقييما</w:t>
      </w:r>
      <w:r w:rsidR="00AC3B36" w:rsidRPr="00295833">
        <w:rPr>
          <w:rFonts w:hint="cs"/>
          <w:rtl/>
        </w:rPr>
        <w:t>ً</w:t>
      </w:r>
      <w:r w:rsidRPr="00295833">
        <w:rPr>
          <w:rtl/>
        </w:rPr>
        <w:t xml:space="preserve"> شاملا</w:t>
      </w:r>
      <w:r w:rsidR="00AC3B36" w:rsidRPr="00295833">
        <w:rPr>
          <w:rFonts w:hint="cs"/>
          <w:rtl/>
        </w:rPr>
        <w:t>ً</w:t>
      </w:r>
      <w:r w:rsidRPr="00295833">
        <w:rPr>
          <w:rtl/>
        </w:rPr>
        <w:t xml:space="preserve"> لأثر التدابير المتخذة لتقليص الفجوة في الأجور بين الجنسين (المادة </w:t>
      </w:r>
      <w:r w:rsidR="00B726CD" w:rsidRPr="00F12208">
        <w:rPr>
          <w:rtl/>
        </w:rPr>
        <w:t>3</w:t>
      </w:r>
      <w:r w:rsidR="00B726CD" w:rsidRPr="00295833">
        <w:rPr>
          <w:rFonts w:ascii="Simplified Arabic"/>
          <w:szCs w:val="20"/>
          <w:rtl/>
        </w:rPr>
        <w:t>)</w:t>
      </w:r>
      <w:r w:rsidR="00B726CD" w:rsidRPr="00295833">
        <w:rPr>
          <w:rtl/>
        </w:rPr>
        <w:t>.</w:t>
      </w:r>
    </w:p>
    <w:p w14:paraId="08E46A04" w14:textId="4DFDDBED" w:rsidR="00CB7496" w:rsidRPr="00F12208" w:rsidRDefault="00CB7496" w:rsidP="009956DB">
      <w:pPr>
        <w:pStyle w:val="SingleTxtGA"/>
        <w:rPr>
          <w:b/>
          <w:bCs/>
          <w:szCs w:val="20"/>
          <w:lang w:val="en-US" w:eastAsia="zh-TW" w:bidi="en-GB"/>
        </w:rPr>
      </w:pPr>
      <w:r w:rsidRPr="00F12208">
        <w:rPr>
          <w:rtl/>
        </w:rPr>
        <w:t>33</w:t>
      </w:r>
      <w:r w:rsidRPr="00295833">
        <w:rPr>
          <w:rFonts w:ascii="Simplified Arabic"/>
          <w:szCs w:val="20"/>
          <w:rtl/>
        </w:rPr>
        <w:t>-</w:t>
      </w:r>
      <w:r w:rsidRPr="00295833">
        <w:rPr>
          <w:rtl/>
        </w:rPr>
        <w:tab/>
      </w:r>
      <w:r w:rsidRPr="00F12208">
        <w:rPr>
          <w:b/>
          <w:bCs/>
          <w:rtl/>
        </w:rPr>
        <w:t>تكرر اللجنة التوصيات الواردة في ملاحظاتها الختامية السابقة</w:t>
      </w:r>
      <w:r w:rsidR="00B726CD" w:rsidRPr="00F12208">
        <w:rPr>
          <w:rStyle w:val="FootnoteReference"/>
          <w:b/>
          <w:bCs/>
          <w:rtl/>
        </w:rPr>
        <w:t>(</w:t>
      </w:r>
      <w:r w:rsidR="00B726CD" w:rsidRPr="00F12208">
        <w:rPr>
          <w:rStyle w:val="FootnoteReference"/>
          <w:lang w:val="en-US"/>
        </w:rPr>
        <w:footnoteReference w:id="11"/>
      </w:r>
      <w:r w:rsidR="008D28FC" w:rsidRPr="00F12208">
        <w:rPr>
          <w:rStyle w:val="FootnoteReference"/>
          <w:b/>
          <w:bCs/>
          <w:rtl/>
        </w:rPr>
        <w:t>)</w:t>
      </w:r>
      <w:r w:rsidR="00F45A26" w:rsidRPr="00F12208">
        <w:rPr>
          <w:rFonts w:hint="cs"/>
          <w:b/>
          <w:bCs/>
          <w:rtl/>
        </w:rPr>
        <w:t>،</w:t>
      </w:r>
      <w:r w:rsidRPr="00F12208">
        <w:rPr>
          <w:b/>
          <w:bCs/>
          <w:rtl/>
        </w:rPr>
        <w:t> وتوصي الدولة الطرف بما</w:t>
      </w:r>
      <w:r w:rsidR="00F45A26" w:rsidRPr="00F12208">
        <w:rPr>
          <w:rFonts w:hint="cs"/>
          <w:b/>
          <w:bCs/>
          <w:rtl/>
        </w:rPr>
        <w:t> </w:t>
      </w:r>
      <w:r w:rsidRPr="00F12208">
        <w:rPr>
          <w:b/>
          <w:bCs/>
          <w:rtl/>
        </w:rPr>
        <w:t>يلي؛</w:t>
      </w:r>
    </w:p>
    <w:p w14:paraId="3DC3D7D9" w14:textId="226ED21F" w:rsidR="00CB7496" w:rsidRPr="00F12208" w:rsidRDefault="009956DB" w:rsidP="009956DB">
      <w:pPr>
        <w:pStyle w:val="SingleTxtGA"/>
        <w:rPr>
          <w:b/>
          <w:bCs/>
          <w:szCs w:val="20"/>
          <w:lang w:val="ar-SA" w:eastAsia="zh-TW" w:bidi="en-GB"/>
        </w:rPr>
      </w:pPr>
      <w:r w:rsidRPr="00295833">
        <w:rPr>
          <w:rtl/>
        </w:rPr>
        <w:lastRenderedPageBreak/>
        <w:tab/>
      </w:r>
      <w:r w:rsidR="00CB7496" w:rsidRPr="00295833">
        <w:rPr>
          <w:rtl/>
        </w:rPr>
        <w:t>(أ)</w:t>
      </w:r>
      <w:r w:rsidR="00CB7496" w:rsidRPr="00295833">
        <w:rPr>
          <w:rtl/>
        </w:rPr>
        <w:tab/>
      </w:r>
      <w:r w:rsidR="00CB7496" w:rsidRPr="00F12208">
        <w:rPr>
          <w:b/>
          <w:bCs/>
          <w:rtl/>
        </w:rPr>
        <w:t>مضاعفة جهودها في سبيل سد الفجوة في الأجور بين الجنسين عن طريق معالجة الفصل الرأسي والأفقي القائم على نوع الجنس في سوق العمل، وإعادة النظر في سياساتها الاجتماعية والضريبية، والتصدي للعوامل التي تثني النساء عن مواصلة حياتهن المهنية أو عن العمل بدوام كامل؛</w:t>
      </w:r>
    </w:p>
    <w:p w14:paraId="1D3C79BD" w14:textId="3A119F7A" w:rsidR="00CB7496" w:rsidRPr="00F12208" w:rsidRDefault="009956DB" w:rsidP="009956DB">
      <w:pPr>
        <w:pStyle w:val="SingleTxtGA"/>
        <w:rPr>
          <w:b/>
          <w:bCs/>
          <w:szCs w:val="20"/>
          <w:lang w:val="ar-SA" w:eastAsia="zh-TW" w:bidi="en-GB"/>
        </w:rPr>
      </w:pPr>
      <w:r w:rsidRPr="00295833">
        <w:rPr>
          <w:rtl/>
        </w:rPr>
        <w:tab/>
      </w:r>
      <w:r w:rsidR="00CB7496" w:rsidRPr="00295833">
        <w:rPr>
          <w:rtl/>
        </w:rPr>
        <w:t>(ب)</w:t>
      </w:r>
      <w:r w:rsidR="00CB7496" w:rsidRPr="00295833">
        <w:rPr>
          <w:rtl/>
        </w:rPr>
        <w:tab/>
      </w:r>
      <w:r w:rsidR="00CB7496" w:rsidRPr="00F12208">
        <w:rPr>
          <w:b/>
          <w:bCs/>
          <w:rtl/>
        </w:rPr>
        <w:t>اتخاذ المزيد من التدابير لتعزيز وصول المرأة إلى المناصب الرفيعة المستوى في</w:t>
      </w:r>
      <w:r w:rsidR="00295833" w:rsidRPr="00F12208">
        <w:rPr>
          <w:rFonts w:hint="cs"/>
          <w:b/>
          <w:bCs/>
          <w:rtl/>
        </w:rPr>
        <w:t> </w:t>
      </w:r>
      <w:r w:rsidR="00CB7496" w:rsidRPr="00F12208">
        <w:rPr>
          <w:b/>
          <w:bCs/>
          <w:rtl/>
        </w:rPr>
        <w:t>القطاعين العام والخاص، بما في ذلك عن طريق اعتماد وتنفيذ تدابير خاصة مؤقتة، وتذليل العقبات</w:t>
      </w:r>
      <w:r w:rsidR="00295833" w:rsidRPr="00F12208">
        <w:rPr>
          <w:rFonts w:hint="cs"/>
          <w:b/>
          <w:bCs/>
          <w:rtl/>
        </w:rPr>
        <w:t> </w:t>
      </w:r>
      <w:r w:rsidR="00CB7496" w:rsidRPr="00F12208">
        <w:rPr>
          <w:b/>
          <w:bCs/>
          <w:rtl/>
        </w:rPr>
        <w:t>التي تعترض تقدمها الوظيفي، بما في ذلك عن طريق توفير فرص كافية للتوفيق بين التزامات العمل والأسرة؛</w:t>
      </w:r>
    </w:p>
    <w:p w14:paraId="34171104" w14:textId="61354FE6" w:rsidR="00CB7496" w:rsidRPr="00F12208" w:rsidRDefault="009956DB" w:rsidP="009956DB">
      <w:pPr>
        <w:pStyle w:val="SingleTxtGA"/>
        <w:rPr>
          <w:rFonts w:ascii="Times New Roman Bold" w:hAnsi="Times New Roman Bold" w:hint="eastAsia"/>
          <w:b/>
          <w:bCs/>
          <w:szCs w:val="20"/>
          <w:lang w:val="en-US" w:eastAsia="zh-TW" w:bidi="en-GB"/>
        </w:rPr>
      </w:pPr>
      <w:r w:rsidRPr="00295833">
        <w:rPr>
          <w:rFonts w:ascii="Times New Roman Bold" w:hAnsi="Times New Roman Bold"/>
          <w:rtl/>
        </w:rPr>
        <w:tab/>
      </w:r>
      <w:r w:rsidR="00CB7496" w:rsidRPr="00295833">
        <w:rPr>
          <w:rFonts w:ascii="Times New Roman Bold" w:hAnsi="Times New Roman Bold"/>
          <w:rtl/>
        </w:rPr>
        <w:t>(ج)</w:t>
      </w:r>
      <w:r w:rsidR="00CB7496" w:rsidRPr="00295833">
        <w:rPr>
          <w:rFonts w:ascii="Times New Roman Bold" w:hAnsi="Times New Roman Bold"/>
          <w:rtl/>
        </w:rPr>
        <w:tab/>
      </w:r>
      <w:r w:rsidR="00CB7496" w:rsidRPr="00F12208">
        <w:rPr>
          <w:rFonts w:ascii="Times New Roman Bold" w:hAnsi="Times New Roman Bold"/>
          <w:b/>
          <w:bCs/>
          <w:rtl/>
        </w:rPr>
        <w:t xml:space="preserve">إجراء استعراض دوري لمستوى الفجوة في الأجور بين الجنسين بين الرجل والمرأة داخل المنظمات في القطاعين العام والخاص، بما في ذلك في المناصب الإدارية والسياسية الرفيعة، </w:t>
      </w:r>
      <w:r w:rsidR="00CB7496" w:rsidRPr="00F12208">
        <w:rPr>
          <w:rFonts w:ascii="Times New Roman Bold" w:hAnsi="Times New Roman Bold"/>
          <w:b/>
          <w:bCs/>
          <w:spacing w:val="-2"/>
          <w:rtl/>
        </w:rPr>
        <w:t>وأثر القوانين والسياسات، بالتشاور مع العمال وأصحاب العمل، بغية تحديث المعايير في ضوء الممارسة.</w:t>
      </w:r>
    </w:p>
    <w:p w14:paraId="73F4999F" w14:textId="77777777" w:rsidR="00CB7496" w:rsidRPr="00F12208" w:rsidRDefault="00CB7496" w:rsidP="009956DB">
      <w:pPr>
        <w:pStyle w:val="H23GA"/>
        <w:rPr>
          <w:szCs w:val="20"/>
          <w:lang w:val="ar-SA" w:eastAsia="zh-TW" w:bidi="en-GB"/>
        </w:rPr>
      </w:pPr>
      <w:r w:rsidRPr="00F12208">
        <w:rPr>
          <w:rtl/>
        </w:rPr>
        <w:tab/>
      </w:r>
      <w:r w:rsidRPr="00F12208">
        <w:rPr>
          <w:rtl/>
        </w:rPr>
        <w:tab/>
        <w:t>الحق في العمل</w:t>
      </w:r>
    </w:p>
    <w:p w14:paraId="67356476" w14:textId="3754D9CB" w:rsidR="00B726CD" w:rsidRPr="00295833" w:rsidRDefault="00CB7496" w:rsidP="009956DB">
      <w:pPr>
        <w:pStyle w:val="SingleTxtGA"/>
        <w:rPr>
          <w:szCs w:val="20"/>
          <w:lang w:val="ar-SA" w:eastAsia="zh-TW" w:bidi="en-GB"/>
        </w:rPr>
      </w:pPr>
      <w:r w:rsidRPr="00F12208">
        <w:rPr>
          <w:rtl/>
        </w:rPr>
        <w:t>34</w:t>
      </w:r>
      <w:r w:rsidRPr="00295833">
        <w:rPr>
          <w:rFonts w:ascii="Simplified Arabic"/>
          <w:szCs w:val="20"/>
          <w:rtl/>
        </w:rPr>
        <w:t>-</w:t>
      </w:r>
      <w:r w:rsidRPr="00295833">
        <w:rPr>
          <w:rtl/>
        </w:rPr>
        <w:tab/>
        <w:t>وبينما ترحب اللجنة بالانخفاض المطرد في معدلات البطالة المسجلة في السنوات الأخيرة، فضلا</w:t>
      </w:r>
      <w:r w:rsidR="00AC3B36" w:rsidRPr="00295833">
        <w:rPr>
          <w:rFonts w:hint="cs"/>
          <w:rtl/>
        </w:rPr>
        <w:t>ً</w:t>
      </w:r>
      <w:r w:rsidRPr="00295833">
        <w:rPr>
          <w:rtl/>
        </w:rPr>
        <w:t xml:space="preserve"> عن اعتماد قانون عمل جديد، فإنها تشعر بالقلق إزاء التقارير التي تفيد بأن بعض الفئات، ولا سيما الروما، والأشخاص ذوو الإعاقة، والنساء اللاتي لديهن أطفال، والشباب، والأشخاص الذين تبلغ أعمارهم</w:t>
      </w:r>
      <w:r w:rsidR="00F45A26" w:rsidRPr="00295833">
        <w:rPr>
          <w:rFonts w:hint="cs"/>
          <w:rtl/>
        </w:rPr>
        <w:t> </w:t>
      </w:r>
      <w:r w:rsidRPr="00F12208">
        <w:rPr>
          <w:rtl/>
        </w:rPr>
        <w:t>50</w:t>
      </w:r>
      <w:r w:rsidRPr="00295833">
        <w:rPr>
          <w:rtl/>
        </w:rPr>
        <w:t xml:space="preserve"> عاما</w:t>
      </w:r>
      <w:r w:rsidR="00F45A26" w:rsidRPr="00295833">
        <w:rPr>
          <w:rFonts w:hint="cs"/>
          <w:rtl/>
        </w:rPr>
        <w:t>ً</w:t>
      </w:r>
      <w:r w:rsidRPr="00295833">
        <w:rPr>
          <w:rtl/>
        </w:rPr>
        <w:t xml:space="preserve"> فما فوق، والمهاجرون، لا تزال تواجه صعوبات في الحصول على عمل وقد تأثرت بشكل غير متناسب بجائحة كوفيد-</w:t>
      </w:r>
      <w:r w:rsidRPr="00F12208">
        <w:rPr>
          <w:rtl/>
        </w:rPr>
        <w:t>1</w:t>
      </w:r>
      <w:r w:rsidR="00B726CD" w:rsidRPr="00F12208">
        <w:rPr>
          <w:rtl/>
        </w:rPr>
        <w:t>9</w:t>
      </w:r>
      <w:r w:rsidR="00B726CD" w:rsidRPr="00295833">
        <w:rPr>
          <w:rFonts w:ascii="Simplified Arabic"/>
          <w:szCs w:val="20"/>
          <w:rtl/>
        </w:rPr>
        <w:t>.</w:t>
      </w:r>
      <w:r w:rsidR="00B726CD" w:rsidRPr="00295833">
        <w:rPr>
          <w:rtl/>
        </w:rPr>
        <w:t xml:space="preserve"> </w:t>
      </w:r>
      <w:r w:rsidRPr="00295833">
        <w:rPr>
          <w:rtl/>
        </w:rPr>
        <w:t xml:space="preserve">وتأسف اللجنة لعدم وجود إحصاءات عن أثر التدابير المتخذة للتغلب على التحديات الرئيسية (المادة </w:t>
      </w:r>
      <w:r w:rsidR="00B726CD" w:rsidRPr="00F12208">
        <w:rPr>
          <w:rtl/>
        </w:rPr>
        <w:t>6</w:t>
      </w:r>
      <w:r w:rsidR="00B726CD" w:rsidRPr="00295833">
        <w:rPr>
          <w:rFonts w:ascii="Simplified Arabic"/>
          <w:szCs w:val="20"/>
          <w:rtl/>
        </w:rPr>
        <w:t>)</w:t>
      </w:r>
      <w:r w:rsidR="00B726CD" w:rsidRPr="00295833">
        <w:rPr>
          <w:rtl/>
        </w:rPr>
        <w:t>.</w:t>
      </w:r>
    </w:p>
    <w:p w14:paraId="33B7F691" w14:textId="13278588" w:rsidR="00CB7496" w:rsidRPr="00F12208" w:rsidRDefault="00CB7496" w:rsidP="009956DB">
      <w:pPr>
        <w:pStyle w:val="SingleTxtGA"/>
        <w:rPr>
          <w:b/>
          <w:bCs/>
          <w:spacing w:val="-4"/>
          <w:szCs w:val="20"/>
          <w:lang w:val="en-US" w:eastAsia="zh-TW" w:bidi="en-GB"/>
        </w:rPr>
      </w:pPr>
      <w:r w:rsidRPr="00F12208">
        <w:rPr>
          <w:rtl/>
        </w:rPr>
        <w:t>35</w:t>
      </w:r>
      <w:r w:rsidRPr="00295833">
        <w:rPr>
          <w:rFonts w:ascii="Simplified Arabic"/>
          <w:szCs w:val="20"/>
          <w:rtl/>
        </w:rPr>
        <w:t>-</w:t>
      </w:r>
      <w:r w:rsidRPr="00295833">
        <w:rPr>
          <w:rtl/>
        </w:rPr>
        <w:tab/>
      </w:r>
      <w:r w:rsidRPr="00F12208">
        <w:rPr>
          <w:b/>
          <w:bCs/>
          <w:spacing w:val="-4"/>
          <w:rtl/>
        </w:rPr>
        <w:t>تكرر اللجنة التوصيات الواردة في ملاحظاتها الختامية السابقة</w:t>
      </w:r>
      <w:r w:rsidR="00B726CD" w:rsidRPr="00F12208">
        <w:rPr>
          <w:rStyle w:val="FootnoteReference"/>
          <w:b/>
          <w:bCs/>
          <w:spacing w:val="-4"/>
          <w:rtl/>
        </w:rPr>
        <w:t>(</w:t>
      </w:r>
      <w:r w:rsidR="00B726CD" w:rsidRPr="00F12208">
        <w:rPr>
          <w:rStyle w:val="FootnoteReference"/>
          <w:spacing w:val="-4"/>
          <w:lang w:val="en-US"/>
        </w:rPr>
        <w:footnoteReference w:id="12"/>
      </w:r>
      <w:r w:rsidR="008D28FC" w:rsidRPr="00F12208">
        <w:rPr>
          <w:rStyle w:val="FootnoteReference"/>
          <w:b/>
          <w:bCs/>
          <w:spacing w:val="-4"/>
          <w:rtl/>
        </w:rPr>
        <w:t>)</w:t>
      </w:r>
      <w:r w:rsidR="00F45A26" w:rsidRPr="00F12208">
        <w:rPr>
          <w:rFonts w:hint="cs"/>
          <w:b/>
          <w:bCs/>
          <w:spacing w:val="-4"/>
          <w:rtl/>
        </w:rPr>
        <w:t>،</w:t>
      </w:r>
      <w:r w:rsidRPr="00F12208">
        <w:rPr>
          <w:b/>
          <w:bCs/>
          <w:spacing w:val="-4"/>
          <w:rtl/>
        </w:rPr>
        <w:t> وتوصي الدولة الطرف بما</w:t>
      </w:r>
      <w:r w:rsidR="00F45A26" w:rsidRPr="00F12208">
        <w:rPr>
          <w:rFonts w:hint="cs"/>
          <w:b/>
          <w:bCs/>
          <w:spacing w:val="-4"/>
          <w:rtl/>
        </w:rPr>
        <w:t> </w:t>
      </w:r>
      <w:r w:rsidRPr="00F12208">
        <w:rPr>
          <w:b/>
          <w:bCs/>
          <w:spacing w:val="-4"/>
          <w:rtl/>
        </w:rPr>
        <w:t>يلي:</w:t>
      </w:r>
    </w:p>
    <w:p w14:paraId="337AF2E4" w14:textId="4FD31C42" w:rsidR="00CB7496" w:rsidRPr="00F12208" w:rsidRDefault="009956DB" w:rsidP="009956DB">
      <w:pPr>
        <w:pStyle w:val="SingleTxtGA"/>
        <w:rPr>
          <w:b/>
          <w:bCs/>
          <w:szCs w:val="20"/>
          <w:lang w:val="ar-SA" w:eastAsia="zh-TW" w:bidi="en-GB"/>
        </w:rPr>
      </w:pPr>
      <w:r w:rsidRPr="00295833">
        <w:rPr>
          <w:rtl/>
        </w:rPr>
        <w:tab/>
      </w:r>
      <w:r w:rsidR="00CB7496" w:rsidRPr="00295833">
        <w:rPr>
          <w:rtl/>
        </w:rPr>
        <w:t>(أ)</w:t>
      </w:r>
      <w:r w:rsidR="00CB7496" w:rsidRPr="00295833">
        <w:rPr>
          <w:rtl/>
        </w:rPr>
        <w:tab/>
      </w:r>
      <w:r w:rsidR="00CB7496" w:rsidRPr="00F12208">
        <w:rPr>
          <w:b/>
          <w:bCs/>
          <w:rtl/>
        </w:rPr>
        <w:t>زيادة فرص حصول الأشخاص ذوي الإعاقة على عمل، بوسائل منها سَنّ حوافز وتدابير خاصة وإدماج العمال ذوي الإعاقات في سوق العمل العادية</w:t>
      </w:r>
      <w:r w:rsidR="00BF3B52" w:rsidRPr="00F12208">
        <w:rPr>
          <w:rFonts w:hint="cs"/>
          <w:b/>
          <w:bCs/>
          <w:rtl/>
        </w:rPr>
        <w:t>؛</w:t>
      </w:r>
    </w:p>
    <w:p w14:paraId="0EC4E2FB" w14:textId="344B67DD" w:rsidR="00CB7496" w:rsidRPr="00F12208" w:rsidRDefault="009956DB" w:rsidP="009956DB">
      <w:pPr>
        <w:pStyle w:val="SingleTxtGA"/>
        <w:rPr>
          <w:b/>
          <w:bCs/>
          <w:szCs w:val="20"/>
          <w:lang w:val="ar-SA" w:eastAsia="zh-TW" w:bidi="en-GB"/>
        </w:rPr>
      </w:pPr>
      <w:r w:rsidRPr="00295833">
        <w:rPr>
          <w:rtl/>
        </w:rPr>
        <w:tab/>
      </w:r>
      <w:r w:rsidR="00CB7496" w:rsidRPr="00295833">
        <w:rPr>
          <w:rtl/>
        </w:rPr>
        <w:t>(ب)</w:t>
      </w:r>
      <w:r w:rsidR="00CB7496" w:rsidRPr="00295833">
        <w:rPr>
          <w:rtl/>
        </w:rPr>
        <w:tab/>
      </w:r>
      <w:r w:rsidR="00CB7496" w:rsidRPr="00F12208">
        <w:rPr>
          <w:b/>
          <w:bCs/>
          <w:rtl/>
        </w:rPr>
        <w:t>تكثيف جهودها لأجل دعم الروما والأشخاص ذوي الإعاقة والنساء ذوات أطفال والشباب، والأشخاص الذين تبلغ أعمارهم 50 عاماً أو تزيد عليها، والمهاجرين، في الحصول على عمل بوسائل منها تنفيذ تدابير إيجابية محددة الهدف، وتيسير حصولهم على فرص التدريب التقني والمهني، وجمع البيانات عن وضعهم؛</w:t>
      </w:r>
    </w:p>
    <w:p w14:paraId="32447BF8" w14:textId="132CAF3D" w:rsidR="00CB7496" w:rsidRPr="00F12208" w:rsidRDefault="009956DB" w:rsidP="009956DB">
      <w:pPr>
        <w:pStyle w:val="SingleTxtGA"/>
        <w:rPr>
          <w:b/>
          <w:bCs/>
          <w:szCs w:val="20"/>
          <w:lang w:val="ar-SA" w:eastAsia="zh-TW" w:bidi="en-GB"/>
        </w:rPr>
      </w:pPr>
      <w:r w:rsidRPr="00295833">
        <w:rPr>
          <w:rtl/>
        </w:rPr>
        <w:tab/>
      </w:r>
      <w:r w:rsidR="00CB7496" w:rsidRPr="00295833">
        <w:rPr>
          <w:rtl/>
        </w:rPr>
        <w:t>(ج)</w:t>
      </w:r>
      <w:r w:rsidR="00CB7496" w:rsidRPr="00295833">
        <w:rPr>
          <w:rtl/>
        </w:rPr>
        <w:tab/>
      </w:r>
      <w:r w:rsidR="00CB7496" w:rsidRPr="00F12208">
        <w:rPr>
          <w:b/>
          <w:bCs/>
          <w:rtl/>
        </w:rPr>
        <w:t>تعزيز نظامها الوطني الخاص بالتعليم والتدريب التقنيين والمهنيين لكفالة مواءمة المؤهلات والمهارات مع احتياجات سوق العمل؛</w:t>
      </w:r>
    </w:p>
    <w:p w14:paraId="0854A932" w14:textId="4D340A7A" w:rsidR="00CB7496" w:rsidRPr="00F12208" w:rsidRDefault="009956DB" w:rsidP="009956DB">
      <w:pPr>
        <w:pStyle w:val="SingleTxtGA"/>
        <w:rPr>
          <w:b/>
          <w:bCs/>
          <w:szCs w:val="20"/>
          <w:lang w:val="ar-SA" w:eastAsia="zh-TW" w:bidi="en-GB"/>
        </w:rPr>
      </w:pPr>
      <w:r w:rsidRPr="00295833">
        <w:rPr>
          <w:rtl/>
        </w:rPr>
        <w:tab/>
      </w:r>
      <w:r w:rsidR="00CB7496" w:rsidRPr="00295833">
        <w:rPr>
          <w:rtl/>
        </w:rPr>
        <w:t>(د)</w:t>
      </w:r>
      <w:r w:rsidR="00CB7496" w:rsidRPr="00295833">
        <w:rPr>
          <w:rtl/>
        </w:rPr>
        <w:tab/>
      </w:r>
      <w:r w:rsidR="00CB7496" w:rsidRPr="00F12208">
        <w:rPr>
          <w:b/>
          <w:bCs/>
          <w:rtl/>
        </w:rPr>
        <w:t>مواصلة اتخاذ تدابير إيجابية لمساعدة الفئات الأكثر تضررا</w:t>
      </w:r>
      <w:r w:rsidR="00AC3B36" w:rsidRPr="00F12208">
        <w:rPr>
          <w:rFonts w:hint="cs"/>
          <w:b/>
          <w:bCs/>
          <w:rtl/>
        </w:rPr>
        <w:t>ً</w:t>
      </w:r>
      <w:r w:rsidR="00CB7496" w:rsidRPr="00F12208">
        <w:rPr>
          <w:b/>
          <w:bCs/>
          <w:rtl/>
        </w:rPr>
        <w:t xml:space="preserve"> من البطالة، ولا سيما الشباب والنساء اللواتي لديهن أطفال والأشخاص ذوو الإعاقة؛</w:t>
      </w:r>
    </w:p>
    <w:p w14:paraId="32EB9D4F" w14:textId="4297BC71" w:rsidR="00CB7496" w:rsidRPr="00F12208" w:rsidRDefault="009956DB" w:rsidP="009956DB">
      <w:pPr>
        <w:pStyle w:val="SingleTxtGA"/>
        <w:rPr>
          <w:b/>
          <w:bCs/>
          <w:szCs w:val="20"/>
          <w:lang w:val="ar-SA" w:eastAsia="zh-TW" w:bidi="en-GB"/>
        </w:rPr>
      </w:pPr>
      <w:r w:rsidRPr="00F12208">
        <w:rPr>
          <w:b/>
          <w:bCs/>
          <w:rtl/>
        </w:rPr>
        <w:tab/>
      </w:r>
      <w:r w:rsidR="00CB7496" w:rsidRPr="00F12208">
        <w:rPr>
          <w:b/>
          <w:bCs/>
          <w:rtl/>
        </w:rPr>
        <w:t>(هـ)</w:t>
      </w:r>
      <w:r w:rsidR="00CB7496" w:rsidRPr="00F12208">
        <w:rPr>
          <w:b/>
          <w:bCs/>
          <w:rtl/>
        </w:rPr>
        <w:tab/>
        <w:t>مراعاة تعليقها العام رقم 18</w:t>
      </w:r>
      <w:r w:rsidR="00CB7496" w:rsidRPr="00F12208">
        <w:rPr>
          <w:rFonts w:ascii="Simplified Arabic"/>
          <w:b/>
          <w:bCs/>
          <w:szCs w:val="20"/>
          <w:rtl/>
        </w:rPr>
        <w:t>(</w:t>
      </w:r>
      <w:r w:rsidR="00CB7496" w:rsidRPr="00F12208">
        <w:rPr>
          <w:b/>
          <w:bCs/>
          <w:rtl/>
        </w:rPr>
        <w:t>200</w:t>
      </w:r>
      <w:r w:rsidR="00B726CD" w:rsidRPr="00F12208">
        <w:rPr>
          <w:b/>
          <w:bCs/>
          <w:rtl/>
        </w:rPr>
        <w:t>5</w:t>
      </w:r>
      <w:r w:rsidR="00B726CD" w:rsidRPr="00F12208">
        <w:rPr>
          <w:rFonts w:ascii="Simplified Arabic"/>
          <w:b/>
          <w:bCs/>
          <w:szCs w:val="20"/>
          <w:rtl/>
        </w:rPr>
        <w:t>)</w:t>
      </w:r>
      <w:r w:rsidR="00B726CD" w:rsidRPr="00F12208">
        <w:rPr>
          <w:b/>
          <w:bCs/>
          <w:rtl/>
        </w:rPr>
        <w:t xml:space="preserve"> </w:t>
      </w:r>
      <w:r w:rsidR="00CB7496" w:rsidRPr="00F12208">
        <w:rPr>
          <w:b/>
          <w:bCs/>
          <w:rtl/>
        </w:rPr>
        <w:t>بشأن الحق في العمل.</w:t>
      </w:r>
    </w:p>
    <w:p w14:paraId="13FEB7BE" w14:textId="48AF0644" w:rsidR="00CB7496" w:rsidRPr="00F12208" w:rsidRDefault="00CB7496" w:rsidP="009956DB">
      <w:pPr>
        <w:pStyle w:val="H23GA"/>
        <w:rPr>
          <w:szCs w:val="20"/>
          <w:lang w:val="ar-SA" w:eastAsia="zh-TW" w:bidi="en-GB"/>
        </w:rPr>
      </w:pPr>
      <w:r w:rsidRPr="00F12208">
        <w:rPr>
          <w:rtl/>
        </w:rPr>
        <w:lastRenderedPageBreak/>
        <w:tab/>
      </w:r>
      <w:r w:rsidRPr="00F12208">
        <w:rPr>
          <w:rtl/>
        </w:rPr>
        <w:tab/>
        <w:t>ظروف العمل</w:t>
      </w:r>
    </w:p>
    <w:p w14:paraId="352D8880" w14:textId="6082B9F8" w:rsidR="00B726CD" w:rsidRPr="00295833" w:rsidRDefault="00CB7496" w:rsidP="009956DB">
      <w:pPr>
        <w:pStyle w:val="SingleTxtGA"/>
        <w:rPr>
          <w:szCs w:val="20"/>
          <w:lang w:val="ar-SA" w:eastAsia="zh-TW" w:bidi="en-GB"/>
        </w:rPr>
      </w:pPr>
      <w:r w:rsidRPr="00F12208">
        <w:rPr>
          <w:rtl/>
        </w:rPr>
        <w:t>36</w:t>
      </w:r>
      <w:r w:rsidRPr="00295833">
        <w:rPr>
          <w:rFonts w:ascii="Simplified Arabic"/>
          <w:szCs w:val="20"/>
          <w:rtl/>
        </w:rPr>
        <w:t>-</w:t>
      </w:r>
      <w:r w:rsidRPr="00295833">
        <w:rPr>
          <w:rtl/>
        </w:rPr>
        <w:tab/>
        <w:t>تحيط اللجنة علما</w:t>
      </w:r>
      <w:r w:rsidR="00AC3B36" w:rsidRPr="00295833">
        <w:rPr>
          <w:rFonts w:hint="cs"/>
          <w:rtl/>
        </w:rPr>
        <w:t>ً</w:t>
      </w:r>
      <w:r w:rsidRPr="00295833">
        <w:rPr>
          <w:rtl/>
        </w:rPr>
        <w:t xml:space="preserve"> بالتدابير المتخذة، بما في ذلك خطة العمل الوطنية للسلامة والصحة في العمل للفترة </w:t>
      </w:r>
      <w:r w:rsidRPr="00F12208">
        <w:rPr>
          <w:rtl/>
        </w:rPr>
        <w:t>2017</w:t>
      </w:r>
      <w:r w:rsidRPr="00295833">
        <w:rPr>
          <w:rFonts w:ascii="Simplified Arabic"/>
          <w:szCs w:val="20"/>
          <w:rtl/>
        </w:rPr>
        <w:t>-</w:t>
      </w:r>
      <w:r w:rsidRPr="00F12208">
        <w:rPr>
          <w:rtl/>
        </w:rPr>
        <w:t>2021</w:t>
      </w:r>
      <w:r w:rsidRPr="00295833">
        <w:rPr>
          <w:rtl/>
        </w:rPr>
        <w:t xml:space="preserve">، لكنها تأسف لاستمرار الافتقار إلى بيانات شاملة تتعلق بحالة السلامة والصحة المهنيتين، بما في ذلك عدد عمليات تفتيش العمل التي أجريت، والشكاوى المقدمة من العمال، والعقوبات المفروضة على أصحاب العمل لعدم توفير الظروف اللازمة لضمان السلامة والصحة. وتأسف اللجنة لعدم وجود معلومات عن أثر التدابير التشريعية المتخذة للتصدي لانتشار العنف والتحرش، بما في ذلك التحرش الجنسي، في مكان العمل (المادة </w:t>
      </w:r>
      <w:r w:rsidR="00B726CD" w:rsidRPr="00F12208">
        <w:rPr>
          <w:rtl/>
        </w:rPr>
        <w:t>7</w:t>
      </w:r>
      <w:r w:rsidR="00B726CD" w:rsidRPr="00295833">
        <w:rPr>
          <w:rFonts w:ascii="Simplified Arabic"/>
          <w:szCs w:val="20"/>
          <w:rtl/>
        </w:rPr>
        <w:t>)</w:t>
      </w:r>
      <w:r w:rsidR="00B726CD" w:rsidRPr="00295833">
        <w:rPr>
          <w:rtl/>
        </w:rPr>
        <w:t>.</w:t>
      </w:r>
    </w:p>
    <w:p w14:paraId="612B2ED9" w14:textId="2EDA5A50" w:rsidR="00CB7496" w:rsidRPr="00F12208" w:rsidRDefault="00CB7496" w:rsidP="009956DB">
      <w:pPr>
        <w:pStyle w:val="SingleTxtGA"/>
        <w:rPr>
          <w:b/>
          <w:bCs/>
          <w:szCs w:val="20"/>
          <w:lang w:val="ar-SA" w:eastAsia="zh-TW" w:bidi="en-GB"/>
        </w:rPr>
      </w:pPr>
      <w:r w:rsidRPr="00F12208">
        <w:rPr>
          <w:rtl/>
        </w:rPr>
        <w:t>37</w:t>
      </w:r>
      <w:r w:rsidRPr="00295833">
        <w:rPr>
          <w:rFonts w:ascii="Simplified Arabic"/>
          <w:szCs w:val="20"/>
          <w:rtl/>
        </w:rPr>
        <w:t>-</w:t>
      </w:r>
      <w:r w:rsidRPr="00295833">
        <w:rPr>
          <w:rtl/>
        </w:rPr>
        <w:tab/>
      </w:r>
      <w:r w:rsidRPr="00F12208">
        <w:rPr>
          <w:b/>
          <w:bCs/>
          <w:rtl/>
        </w:rPr>
        <w:t>توصي اللجنة بأن تقوم الدولة الطرف بما يلي:</w:t>
      </w:r>
    </w:p>
    <w:p w14:paraId="50B1266E" w14:textId="3296CD11" w:rsidR="00CB7496" w:rsidRPr="00F12208" w:rsidRDefault="00CB7496" w:rsidP="00CB7496">
      <w:pPr>
        <w:pStyle w:val="SingleTxtGA"/>
        <w:rPr>
          <w:b/>
          <w:bCs/>
          <w:szCs w:val="20"/>
          <w:lang w:val="ar-SA" w:eastAsia="zh-TW" w:bidi="en-GB"/>
        </w:rPr>
      </w:pPr>
      <w:r w:rsidRPr="00295833">
        <w:rPr>
          <w:rtl/>
        </w:rPr>
        <w:tab/>
        <w:t>(أ)</w:t>
      </w:r>
      <w:r w:rsidRPr="00295833">
        <w:rPr>
          <w:rtl/>
        </w:rPr>
        <w:tab/>
      </w:r>
      <w:r w:rsidRPr="00F12208">
        <w:rPr>
          <w:b/>
          <w:bCs/>
          <w:rtl/>
        </w:rPr>
        <w:t>تحسين جمع البيانات المتعلقة بالسلامة والصحة المهنيتين؛</w:t>
      </w:r>
    </w:p>
    <w:p w14:paraId="371C1D82" w14:textId="1813163F" w:rsidR="00CB7496" w:rsidRPr="00F12208" w:rsidRDefault="00CB7496" w:rsidP="00CB7496">
      <w:pPr>
        <w:pStyle w:val="SingleTxtGA"/>
        <w:rPr>
          <w:b/>
          <w:bCs/>
          <w:szCs w:val="20"/>
          <w:lang w:val="ar-SA" w:eastAsia="zh-TW" w:bidi="en-GB"/>
        </w:rPr>
      </w:pPr>
      <w:r w:rsidRPr="00295833">
        <w:rPr>
          <w:rtl/>
        </w:rPr>
        <w:tab/>
        <w:t>(ب)</w:t>
      </w:r>
      <w:r w:rsidRPr="00295833">
        <w:rPr>
          <w:rtl/>
        </w:rPr>
        <w:tab/>
      </w:r>
      <w:r w:rsidRPr="00F12208">
        <w:rPr>
          <w:b/>
          <w:bCs/>
          <w:rtl/>
        </w:rPr>
        <w:t>منع وتخفيف مخاطر الحوادث والأمراض المهنية</w:t>
      </w:r>
      <w:r w:rsidR="00B726CD" w:rsidRPr="00F12208">
        <w:rPr>
          <w:b/>
          <w:bCs/>
          <w:rtl/>
        </w:rPr>
        <w:t>؛</w:t>
      </w:r>
    </w:p>
    <w:p w14:paraId="4CA4CC02" w14:textId="14139CBD" w:rsidR="00CB7496" w:rsidRPr="00F12208" w:rsidRDefault="00CB7496" w:rsidP="00CB7496">
      <w:pPr>
        <w:pStyle w:val="SingleTxtGA"/>
        <w:rPr>
          <w:b/>
          <w:bCs/>
          <w:szCs w:val="20"/>
          <w:lang w:val="ar-SA" w:eastAsia="zh-TW" w:bidi="en-GB"/>
        </w:rPr>
      </w:pPr>
      <w:r w:rsidRPr="00295833">
        <w:rPr>
          <w:rtl/>
        </w:rPr>
        <w:tab/>
        <w:t>(ج)</w:t>
      </w:r>
      <w:r w:rsidRPr="00295833">
        <w:rPr>
          <w:rtl/>
        </w:rPr>
        <w:tab/>
      </w:r>
      <w:r w:rsidRPr="00F12208">
        <w:rPr>
          <w:b/>
          <w:bCs/>
          <w:rtl/>
        </w:rPr>
        <w:t>تعزيز قدرة مفتشية العمل على مراقبة ظروف العمل، بما في ذلك عن طريق زيادة مواردها المالية والبشرية؛</w:t>
      </w:r>
    </w:p>
    <w:p w14:paraId="69334303" w14:textId="52B8BC10" w:rsidR="00CB7496" w:rsidRPr="00F12208" w:rsidRDefault="00CB7496" w:rsidP="00CB7496">
      <w:pPr>
        <w:pStyle w:val="SingleTxtGA"/>
        <w:rPr>
          <w:b/>
          <w:bCs/>
          <w:szCs w:val="20"/>
          <w:lang w:val="en-US" w:eastAsia="zh-TW" w:bidi="en-GB"/>
        </w:rPr>
      </w:pPr>
      <w:r w:rsidRPr="00295833">
        <w:rPr>
          <w:rtl/>
        </w:rPr>
        <w:tab/>
        <w:t>(د)</w:t>
      </w:r>
      <w:r w:rsidRPr="00295833">
        <w:rPr>
          <w:rtl/>
        </w:rPr>
        <w:tab/>
      </w:r>
      <w:r w:rsidRPr="00F12208">
        <w:rPr>
          <w:b/>
          <w:bCs/>
          <w:rtl/>
        </w:rPr>
        <w:t>إنشاء مخطط تأمين يتعلق الصحة والسلامة المهنيتين.</w:t>
      </w:r>
    </w:p>
    <w:p w14:paraId="6E9EC592" w14:textId="77777777" w:rsidR="00CB7496" w:rsidRPr="00F12208" w:rsidRDefault="00CB7496" w:rsidP="00CB7496">
      <w:pPr>
        <w:pStyle w:val="H23GA"/>
        <w:rPr>
          <w:szCs w:val="20"/>
          <w:lang w:val="ar-SA" w:eastAsia="zh-TW" w:bidi="en-GB"/>
        </w:rPr>
      </w:pPr>
      <w:r w:rsidRPr="00F12208">
        <w:rPr>
          <w:rtl/>
        </w:rPr>
        <w:tab/>
      </w:r>
      <w:r w:rsidRPr="00F12208">
        <w:rPr>
          <w:rtl/>
        </w:rPr>
        <w:tab/>
        <w:t>التحرش الجنسي في مكان العمل</w:t>
      </w:r>
    </w:p>
    <w:p w14:paraId="11CD0356" w14:textId="668AA678" w:rsidR="00B726CD" w:rsidRPr="00295833" w:rsidRDefault="00CB7496" w:rsidP="00CB7496">
      <w:pPr>
        <w:pStyle w:val="SingleTxtGA"/>
        <w:rPr>
          <w:szCs w:val="20"/>
          <w:lang w:val="ar-SA" w:eastAsia="zh-TW" w:bidi="en-GB"/>
        </w:rPr>
      </w:pPr>
      <w:r w:rsidRPr="00F12208">
        <w:rPr>
          <w:rtl/>
        </w:rPr>
        <w:t>38</w:t>
      </w:r>
      <w:r w:rsidRPr="00295833">
        <w:rPr>
          <w:rFonts w:ascii="Simplified Arabic"/>
          <w:szCs w:val="20"/>
          <w:rtl/>
        </w:rPr>
        <w:t>-</w:t>
      </w:r>
      <w:r w:rsidRPr="00295833">
        <w:rPr>
          <w:rtl/>
        </w:rPr>
        <w:tab/>
        <w:t xml:space="preserve">بينما ترحب اللجنة بإدراج أحكام بشأن التحرش الجنسي والأخلاقي في قانون العمل، فإنها لا تزال تشعر بالقلق إزاء فعالية الأحكام الجديدة في الممارسة العملية بسبب ما أفيد عن انتشار العنف والتحرش الجنسيين اللذين تواجههما المرأة بوجه خاص في العمل (المادة </w:t>
      </w:r>
      <w:r w:rsidR="00B726CD" w:rsidRPr="00F12208">
        <w:rPr>
          <w:rtl/>
        </w:rPr>
        <w:t>7</w:t>
      </w:r>
      <w:r w:rsidR="00B726CD" w:rsidRPr="00295833">
        <w:rPr>
          <w:rFonts w:ascii="Simplified Arabic"/>
          <w:szCs w:val="20"/>
          <w:rtl/>
        </w:rPr>
        <w:t>)</w:t>
      </w:r>
      <w:r w:rsidR="00B726CD" w:rsidRPr="00295833">
        <w:rPr>
          <w:rtl/>
        </w:rPr>
        <w:t>.</w:t>
      </w:r>
    </w:p>
    <w:p w14:paraId="2D7BB1BA" w14:textId="0105A63B" w:rsidR="00CB7496" w:rsidRPr="00F12208" w:rsidRDefault="00CB7496" w:rsidP="00CB7496">
      <w:pPr>
        <w:pStyle w:val="SingleTxtGA"/>
        <w:rPr>
          <w:b/>
          <w:bCs/>
          <w:szCs w:val="20"/>
          <w:lang w:val="ar-SA" w:eastAsia="zh-TW" w:bidi="en-GB"/>
        </w:rPr>
      </w:pPr>
      <w:r w:rsidRPr="00F12208">
        <w:rPr>
          <w:rtl/>
        </w:rPr>
        <w:t>39</w:t>
      </w:r>
      <w:r w:rsidRPr="00295833">
        <w:rPr>
          <w:rFonts w:ascii="Simplified Arabic"/>
          <w:szCs w:val="20"/>
          <w:rtl/>
        </w:rPr>
        <w:t>-</w:t>
      </w:r>
      <w:r w:rsidRPr="00295833">
        <w:rPr>
          <w:rtl/>
        </w:rPr>
        <w:tab/>
      </w:r>
      <w:r w:rsidRPr="00F12208">
        <w:rPr>
          <w:b/>
          <w:bCs/>
          <w:rtl/>
        </w:rPr>
        <w:t>توصي اللجنة بأن تقوم الدولة الطرف بما يلي:</w:t>
      </w:r>
    </w:p>
    <w:p w14:paraId="7D5DEA28" w14:textId="7CC5FE46" w:rsidR="00CB7496" w:rsidRPr="00F12208" w:rsidRDefault="00CB7496" w:rsidP="00CB7496">
      <w:pPr>
        <w:pStyle w:val="SingleTxtGA"/>
        <w:rPr>
          <w:b/>
          <w:bCs/>
          <w:szCs w:val="20"/>
          <w:lang w:val="ar-SA" w:eastAsia="zh-TW" w:bidi="en-GB"/>
        </w:rPr>
      </w:pPr>
      <w:r w:rsidRPr="00295833">
        <w:rPr>
          <w:rtl/>
        </w:rPr>
        <w:tab/>
        <w:t>(أ)</w:t>
      </w:r>
      <w:r w:rsidRPr="00295833">
        <w:rPr>
          <w:rtl/>
        </w:rPr>
        <w:tab/>
      </w:r>
      <w:r w:rsidRPr="00F12208">
        <w:rPr>
          <w:b/>
          <w:bCs/>
          <w:rtl/>
        </w:rPr>
        <w:t>ضمان الإنفاذ الفعال لقوانين مكافحة التحرش الجنسي، بما فيها قانون العمل، واعتماد تدابير وقائية وحمائية لمكافحة التحرش الجنسي في مكان العمل، من ضمنها تنظيم حملات توعية، وإنشاء نظام رصد، وإتاحة التدريب المستمر؛</w:t>
      </w:r>
    </w:p>
    <w:p w14:paraId="16ED0C93" w14:textId="4A6416A8" w:rsidR="00CB7496" w:rsidRPr="00F12208" w:rsidRDefault="00CB7496" w:rsidP="00CB7496">
      <w:pPr>
        <w:pStyle w:val="SingleTxtGA"/>
        <w:rPr>
          <w:b/>
          <w:bCs/>
          <w:szCs w:val="20"/>
          <w:lang w:val="en-US" w:eastAsia="zh-TW" w:bidi="en-GB"/>
        </w:rPr>
      </w:pPr>
      <w:r w:rsidRPr="00295833">
        <w:rPr>
          <w:rtl/>
        </w:rPr>
        <w:tab/>
        <w:t>(ب)</w:t>
      </w:r>
      <w:r w:rsidRPr="00295833">
        <w:rPr>
          <w:rtl/>
        </w:rPr>
        <w:tab/>
      </w:r>
      <w:r w:rsidRPr="00F12208">
        <w:rPr>
          <w:b/>
          <w:bCs/>
          <w:rtl/>
        </w:rPr>
        <w:t>ضمان التحقيق في البلاغات عن التحرش الجنسي ومقاضاة مرتكبيه على النحو الواجب، وإنزال العقوبة الملائمة بالجناة، وتمكين الضحايا من الحصول على سبل انتصاف مناسبة، بما فيها التعويض.</w:t>
      </w:r>
    </w:p>
    <w:p w14:paraId="1F08299D" w14:textId="77777777" w:rsidR="00CB7496" w:rsidRPr="00F12208" w:rsidRDefault="00CB7496" w:rsidP="00CB7496">
      <w:pPr>
        <w:pStyle w:val="H23GA"/>
        <w:rPr>
          <w:szCs w:val="20"/>
          <w:lang w:val="ar-SA" w:eastAsia="zh-TW" w:bidi="en-GB"/>
        </w:rPr>
      </w:pPr>
      <w:r w:rsidRPr="00F12208">
        <w:rPr>
          <w:rtl/>
        </w:rPr>
        <w:tab/>
      </w:r>
      <w:r w:rsidRPr="00F12208">
        <w:rPr>
          <w:rtl/>
        </w:rPr>
        <w:tab/>
        <w:t>العمال المهاجرون</w:t>
      </w:r>
    </w:p>
    <w:p w14:paraId="15E5C8AF" w14:textId="12253C28" w:rsidR="00B726CD" w:rsidRPr="00295833" w:rsidRDefault="00CB7496" w:rsidP="00CB7496">
      <w:pPr>
        <w:pStyle w:val="SingleTxtGA"/>
        <w:rPr>
          <w:szCs w:val="20"/>
          <w:lang w:val="ar-SA" w:eastAsia="zh-TW" w:bidi="en-GB"/>
        </w:rPr>
      </w:pPr>
      <w:r w:rsidRPr="00F12208">
        <w:rPr>
          <w:rtl/>
        </w:rPr>
        <w:t>40</w:t>
      </w:r>
      <w:r w:rsidRPr="00295833">
        <w:rPr>
          <w:rFonts w:ascii="Simplified Arabic"/>
          <w:szCs w:val="20"/>
          <w:rtl/>
        </w:rPr>
        <w:t>-</w:t>
      </w:r>
      <w:r w:rsidRPr="00295833">
        <w:rPr>
          <w:rtl/>
        </w:rPr>
        <w:tab/>
        <w:t>بينما تحيط اللجنة علما</w:t>
      </w:r>
      <w:r w:rsidR="00AC3B36" w:rsidRPr="00295833">
        <w:rPr>
          <w:rFonts w:hint="cs"/>
          <w:rtl/>
        </w:rPr>
        <w:t>ً</w:t>
      </w:r>
      <w:r w:rsidRPr="00295833">
        <w:rPr>
          <w:rtl/>
        </w:rPr>
        <w:t xml:space="preserve"> بالتحسينات التشريعية الأخيرة، فإنها تشعر بالقلق إزاء التقارير التي تفيد بقيام أرباب العمل باستغلال العمال المهاجرين وإساءة معاملتهم. وتأسف اللجنة لعدم وجود معلومات كافية بشأن تنفيذ وإنفاذ التدابير المتخذة لمعالجة هذه المسألة (المادة </w:t>
      </w:r>
      <w:r w:rsidR="00B726CD" w:rsidRPr="00F12208">
        <w:rPr>
          <w:rtl/>
        </w:rPr>
        <w:t>7</w:t>
      </w:r>
      <w:r w:rsidR="00B726CD" w:rsidRPr="00295833">
        <w:rPr>
          <w:rFonts w:ascii="Simplified Arabic"/>
          <w:szCs w:val="20"/>
          <w:rtl/>
        </w:rPr>
        <w:t>)</w:t>
      </w:r>
      <w:r w:rsidR="00B726CD" w:rsidRPr="00295833">
        <w:rPr>
          <w:rtl/>
        </w:rPr>
        <w:t>.</w:t>
      </w:r>
    </w:p>
    <w:p w14:paraId="53B50933" w14:textId="2B50B0DA" w:rsidR="00CB7496" w:rsidRPr="00F12208" w:rsidRDefault="00CB7496" w:rsidP="00CB7496">
      <w:pPr>
        <w:pStyle w:val="SingleTxtGA"/>
        <w:rPr>
          <w:b/>
          <w:bCs/>
          <w:szCs w:val="20"/>
          <w:lang w:val="ar-SA" w:eastAsia="zh-TW" w:bidi="en-GB"/>
        </w:rPr>
      </w:pPr>
      <w:r w:rsidRPr="00F12208">
        <w:rPr>
          <w:rtl/>
        </w:rPr>
        <w:t>41</w:t>
      </w:r>
      <w:r w:rsidRPr="00295833">
        <w:rPr>
          <w:rFonts w:ascii="Simplified Arabic"/>
          <w:szCs w:val="20"/>
          <w:rtl/>
        </w:rPr>
        <w:t>-</w:t>
      </w:r>
      <w:r w:rsidRPr="00295833">
        <w:rPr>
          <w:rtl/>
        </w:rPr>
        <w:tab/>
      </w:r>
      <w:r w:rsidRPr="00F12208">
        <w:rPr>
          <w:b/>
          <w:bCs/>
          <w:rtl/>
        </w:rPr>
        <w:t>توصي اللجنة بأن تقوم الدولة الطرف بما يلي:</w:t>
      </w:r>
    </w:p>
    <w:p w14:paraId="632EC8AF" w14:textId="70CB82C1" w:rsidR="00CB7496" w:rsidRPr="00F12208" w:rsidRDefault="00CB7496" w:rsidP="00CB7496">
      <w:pPr>
        <w:pStyle w:val="SingleTxtGA"/>
        <w:rPr>
          <w:b/>
          <w:bCs/>
          <w:szCs w:val="20"/>
          <w:lang w:val="ar-SA" w:eastAsia="zh-TW" w:bidi="en-GB"/>
        </w:rPr>
      </w:pPr>
      <w:r w:rsidRPr="00295833">
        <w:rPr>
          <w:rtl/>
        </w:rPr>
        <w:tab/>
        <w:t>(أ)</w:t>
      </w:r>
      <w:r w:rsidRPr="00295833">
        <w:rPr>
          <w:rtl/>
        </w:rPr>
        <w:tab/>
      </w:r>
      <w:r w:rsidRPr="00F12208">
        <w:rPr>
          <w:b/>
          <w:bCs/>
          <w:rtl/>
        </w:rPr>
        <w:t>اتخاذ تدابير لضمان الإنفاذ الفعال للتشريعات التي تحمي العمال المهاجرين، بما في ذلك من خلال فرض عقوبات رادعة على أصحاب العمل الذين ينتهكون التشريعات؛</w:t>
      </w:r>
    </w:p>
    <w:p w14:paraId="14D5D5A4" w14:textId="12736A8E" w:rsidR="00CB7496" w:rsidRPr="00F12208" w:rsidRDefault="00CB7496" w:rsidP="00CB7496">
      <w:pPr>
        <w:pStyle w:val="SingleTxtGA"/>
        <w:rPr>
          <w:b/>
          <w:bCs/>
          <w:szCs w:val="20"/>
          <w:lang w:val="ar-SA" w:eastAsia="zh-TW" w:bidi="en-GB"/>
        </w:rPr>
      </w:pPr>
      <w:r w:rsidRPr="00295833">
        <w:rPr>
          <w:rtl/>
        </w:rPr>
        <w:tab/>
        <w:t>(ب)</w:t>
      </w:r>
      <w:r w:rsidRPr="00295833">
        <w:rPr>
          <w:rtl/>
        </w:rPr>
        <w:tab/>
      </w:r>
      <w:r w:rsidRPr="00F12208">
        <w:rPr>
          <w:b/>
          <w:bCs/>
          <w:rtl/>
        </w:rPr>
        <w:t>ضمان معاقبة هذه الفئة من أصحاب العمل على نحو فعال؛</w:t>
      </w:r>
    </w:p>
    <w:p w14:paraId="6A71B5EA" w14:textId="6B5AB8E0" w:rsidR="00CB7496" w:rsidRPr="00F12208" w:rsidRDefault="00CB7496" w:rsidP="00CB7496">
      <w:pPr>
        <w:pStyle w:val="SingleTxtGA"/>
        <w:rPr>
          <w:b/>
          <w:bCs/>
          <w:szCs w:val="20"/>
          <w:lang w:val="ar-SA" w:eastAsia="zh-TW" w:bidi="en-GB"/>
        </w:rPr>
      </w:pPr>
      <w:r w:rsidRPr="00295833">
        <w:rPr>
          <w:rtl/>
        </w:rPr>
        <w:tab/>
        <w:t>(ج)</w:t>
      </w:r>
      <w:r w:rsidRPr="00295833">
        <w:rPr>
          <w:rtl/>
        </w:rPr>
        <w:tab/>
      </w:r>
      <w:r w:rsidRPr="00F12208">
        <w:rPr>
          <w:b/>
          <w:bCs/>
          <w:rtl/>
        </w:rPr>
        <w:t>تنفيذ آليات فعالة لرصد الامتثال لقوانين العمل التي تحمي العمال المهاجرين.</w:t>
      </w:r>
    </w:p>
    <w:p w14:paraId="275CBAD6" w14:textId="77777777" w:rsidR="00CB7496" w:rsidRPr="00F12208" w:rsidRDefault="00CB7496" w:rsidP="00CB7496">
      <w:pPr>
        <w:pStyle w:val="H23GA"/>
        <w:rPr>
          <w:szCs w:val="20"/>
          <w:lang w:val="ar-SA" w:eastAsia="zh-TW" w:bidi="en-GB"/>
        </w:rPr>
      </w:pPr>
      <w:r w:rsidRPr="00F12208">
        <w:rPr>
          <w:rtl/>
        </w:rPr>
        <w:lastRenderedPageBreak/>
        <w:tab/>
      </w:r>
      <w:r w:rsidRPr="00F12208">
        <w:rPr>
          <w:rtl/>
        </w:rPr>
        <w:tab/>
        <w:t>الحقوق النقابية</w:t>
      </w:r>
    </w:p>
    <w:p w14:paraId="0A9F9FD2" w14:textId="398194F0" w:rsidR="00B726CD" w:rsidRPr="00295833" w:rsidRDefault="00CB7496" w:rsidP="00CB7496">
      <w:pPr>
        <w:pStyle w:val="SingleTxtGA"/>
        <w:rPr>
          <w:szCs w:val="20"/>
          <w:lang w:val="ar-SA" w:eastAsia="zh-TW" w:bidi="en-GB"/>
        </w:rPr>
      </w:pPr>
      <w:r w:rsidRPr="00F12208">
        <w:rPr>
          <w:rtl/>
        </w:rPr>
        <w:t>42</w:t>
      </w:r>
      <w:r w:rsidRPr="00295833">
        <w:rPr>
          <w:rFonts w:ascii="Simplified Arabic"/>
          <w:szCs w:val="20"/>
          <w:rtl/>
        </w:rPr>
        <w:t>-</w:t>
      </w:r>
      <w:r w:rsidRPr="00295833">
        <w:rPr>
          <w:rtl/>
        </w:rPr>
        <w:tab/>
        <w:t>لا تزال اللجنة تشعر بالقلق لأنه نظرا</w:t>
      </w:r>
      <w:r w:rsidR="00AC3B36" w:rsidRPr="00295833">
        <w:rPr>
          <w:rFonts w:hint="cs"/>
          <w:rtl/>
        </w:rPr>
        <w:t>ً</w:t>
      </w:r>
      <w:r w:rsidRPr="00295833">
        <w:rPr>
          <w:rtl/>
        </w:rPr>
        <w:t xml:space="preserve"> للتعريف التقييدي للإضراب على النحو المنصوص عليه في المادة </w:t>
      </w:r>
      <w:r w:rsidRPr="00F12208">
        <w:rPr>
          <w:rtl/>
        </w:rPr>
        <w:t>244</w:t>
      </w:r>
      <w:r w:rsidRPr="00295833">
        <w:rPr>
          <w:rFonts w:ascii="Simplified Arabic"/>
          <w:szCs w:val="20"/>
          <w:rtl/>
        </w:rPr>
        <w:t>(</w:t>
      </w:r>
      <w:r w:rsidR="00B726CD" w:rsidRPr="00F12208">
        <w:rPr>
          <w:rtl/>
        </w:rPr>
        <w:t>1</w:t>
      </w:r>
      <w:r w:rsidR="00B726CD" w:rsidRPr="00295833">
        <w:rPr>
          <w:rFonts w:ascii="Simplified Arabic"/>
          <w:szCs w:val="20"/>
          <w:rtl/>
        </w:rPr>
        <w:t>)</w:t>
      </w:r>
      <w:r w:rsidR="00B726CD" w:rsidRPr="00295833">
        <w:rPr>
          <w:rtl/>
        </w:rPr>
        <w:t xml:space="preserve"> </w:t>
      </w:r>
      <w:r w:rsidRPr="00295833">
        <w:rPr>
          <w:rtl/>
        </w:rPr>
        <w:t xml:space="preserve">من قانون العمل، لا يجوز ممارسة الحق في الإضراب للبحث عن حلول للمشاكل التي تطرحها الاتجاهات الرئيسية للسياسات الاجتماعية والاقتصادية. وتأسف اللجنة لعدم وجود معلومات عن الكيفية التي يمكن بها للعمال المهاجرين ممارسة الحق في تكوين النقابات والانضمام إليها، والحق في المفاوضة الجماعية، والحق في الإضراب بحرية ودون التعرض لإجراءات انتقامية (المادة </w:t>
      </w:r>
      <w:r w:rsidR="00B726CD" w:rsidRPr="00F12208">
        <w:rPr>
          <w:rtl/>
        </w:rPr>
        <w:t>8</w:t>
      </w:r>
      <w:r w:rsidR="00B726CD" w:rsidRPr="00295833">
        <w:rPr>
          <w:rFonts w:ascii="Simplified Arabic"/>
          <w:szCs w:val="20"/>
          <w:rtl/>
        </w:rPr>
        <w:t>)</w:t>
      </w:r>
      <w:r w:rsidR="00B726CD" w:rsidRPr="00295833">
        <w:rPr>
          <w:rtl/>
        </w:rPr>
        <w:t>.</w:t>
      </w:r>
    </w:p>
    <w:p w14:paraId="43606963" w14:textId="3B3B7CD3" w:rsidR="00CB7496" w:rsidRPr="00F12208" w:rsidRDefault="00CB7496" w:rsidP="00CB7496">
      <w:pPr>
        <w:pStyle w:val="SingleTxtGA"/>
        <w:rPr>
          <w:b/>
          <w:bCs/>
          <w:szCs w:val="20"/>
          <w:lang w:val="en-US" w:eastAsia="zh-TW" w:bidi="en-GB"/>
        </w:rPr>
      </w:pPr>
      <w:r w:rsidRPr="00F12208">
        <w:rPr>
          <w:rtl/>
        </w:rPr>
        <w:t>43</w:t>
      </w:r>
      <w:r w:rsidRPr="00295833">
        <w:rPr>
          <w:rFonts w:ascii="Simplified Arabic"/>
          <w:szCs w:val="20"/>
          <w:rtl/>
        </w:rPr>
        <w:t>-</w:t>
      </w:r>
      <w:r w:rsidRPr="00295833">
        <w:rPr>
          <w:rtl/>
        </w:rPr>
        <w:tab/>
      </w:r>
      <w:r w:rsidRPr="00F12208">
        <w:rPr>
          <w:b/>
          <w:bCs/>
          <w:rtl/>
        </w:rPr>
        <w:t>توصي اللجنة الدولة الطرف بمراجعة قانون العمل بغية ضمان الحق في الإضراب وفقا</w:t>
      </w:r>
      <w:r w:rsidR="00AC3B36" w:rsidRPr="00F12208">
        <w:rPr>
          <w:rFonts w:hint="cs"/>
          <w:b/>
          <w:bCs/>
          <w:rtl/>
        </w:rPr>
        <w:t>ً</w:t>
      </w:r>
      <w:r w:rsidRPr="00F12208">
        <w:rPr>
          <w:b/>
          <w:bCs/>
          <w:rtl/>
        </w:rPr>
        <w:t xml:space="preserve"> للمعايير الدولية.</w:t>
      </w:r>
    </w:p>
    <w:p w14:paraId="64B7C764" w14:textId="77777777" w:rsidR="00CB7496" w:rsidRPr="00F12208" w:rsidRDefault="00CB7496" w:rsidP="00CB7496">
      <w:pPr>
        <w:pStyle w:val="H23GA"/>
        <w:rPr>
          <w:szCs w:val="20"/>
          <w:lang w:val="ar-SA" w:eastAsia="zh-TW" w:bidi="en-GB"/>
        </w:rPr>
      </w:pPr>
      <w:r w:rsidRPr="00F12208">
        <w:rPr>
          <w:rtl/>
        </w:rPr>
        <w:tab/>
      </w:r>
      <w:r w:rsidRPr="00F12208">
        <w:rPr>
          <w:rtl/>
        </w:rPr>
        <w:tab/>
        <w:t>الحق في الضمان الاجتماعي</w:t>
      </w:r>
    </w:p>
    <w:p w14:paraId="14ADC71C" w14:textId="743088FC" w:rsidR="00B726CD" w:rsidRPr="00295833" w:rsidRDefault="00CB7496" w:rsidP="00CB7496">
      <w:pPr>
        <w:pStyle w:val="SingleTxtGA"/>
        <w:rPr>
          <w:szCs w:val="20"/>
          <w:lang w:val="ar-SA" w:eastAsia="zh-TW" w:bidi="en-GB"/>
        </w:rPr>
      </w:pPr>
      <w:r w:rsidRPr="00F12208">
        <w:rPr>
          <w:rtl/>
        </w:rPr>
        <w:t>44</w:t>
      </w:r>
      <w:r w:rsidRPr="00295833">
        <w:rPr>
          <w:rFonts w:ascii="Simplified Arabic"/>
          <w:szCs w:val="20"/>
          <w:rtl/>
        </w:rPr>
        <w:t>-</w:t>
      </w:r>
      <w:r w:rsidRPr="00295833">
        <w:rPr>
          <w:rtl/>
        </w:rPr>
        <w:tab/>
        <w:t xml:space="preserve">بينما تلاحظ اللجنة التدابير التي اتخذتها البلديات والحكومة المركزية لتعزيز استحقاقات سن العمل، فإنها تشعر بالقلق إزاء التقارير التي تفيد بأن الدعم الاجتماعي المقدم ومعاش المساعدة الاجتماعية للشيخوخة لا يزالان منخفضين، إذ لا يتجاوز </w:t>
      </w:r>
      <w:r w:rsidRPr="00F12208">
        <w:rPr>
          <w:rtl/>
        </w:rPr>
        <w:t>30</w:t>
      </w:r>
      <w:r w:rsidRPr="00295833">
        <w:rPr>
          <w:rtl/>
        </w:rPr>
        <w:t xml:space="preserve"> في المائة من الحد الأدنى للأجور. وتأسف اللجنة أيضا</w:t>
      </w:r>
      <w:r w:rsidR="00AC3B36" w:rsidRPr="00295833">
        <w:rPr>
          <w:rFonts w:hint="cs"/>
          <w:rtl/>
        </w:rPr>
        <w:t>ً</w:t>
      </w:r>
      <w:r w:rsidRPr="00295833">
        <w:rPr>
          <w:rtl/>
        </w:rPr>
        <w:t xml:space="preserve"> لعدم وجود معلومات عن التدابير المتخذة لتوفير تغطية الضمان الاجتماعي للعاملين في الاقتصاد غير الرسمي (المادة </w:t>
      </w:r>
      <w:r w:rsidR="00B726CD" w:rsidRPr="00F12208">
        <w:rPr>
          <w:rtl/>
        </w:rPr>
        <w:t>9</w:t>
      </w:r>
      <w:r w:rsidR="00B726CD" w:rsidRPr="00295833">
        <w:rPr>
          <w:rFonts w:ascii="Simplified Arabic"/>
          <w:szCs w:val="20"/>
          <w:rtl/>
        </w:rPr>
        <w:t>)</w:t>
      </w:r>
      <w:r w:rsidR="00B726CD" w:rsidRPr="00295833">
        <w:rPr>
          <w:rtl/>
        </w:rPr>
        <w:t>.</w:t>
      </w:r>
    </w:p>
    <w:p w14:paraId="52BCAE30" w14:textId="69BC30B8" w:rsidR="00CB7496" w:rsidRPr="00F12208" w:rsidRDefault="00CB7496" w:rsidP="00CB7496">
      <w:pPr>
        <w:pStyle w:val="SingleTxtGA"/>
        <w:rPr>
          <w:b/>
          <w:bCs/>
          <w:szCs w:val="20"/>
          <w:lang w:val="ar-SA" w:eastAsia="zh-TW" w:bidi="en-GB"/>
        </w:rPr>
      </w:pPr>
      <w:r w:rsidRPr="00F12208">
        <w:rPr>
          <w:rtl/>
        </w:rPr>
        <w:t>45</w:t>
      </w:r>
      <w:r w:rsidRPr="00295833">
        <w:rPr>
          <w:rFonts w:ascii="Simplified Arabic"/>
          <w:szCs w:val="20"/>
          <w:rtl/>
        </w:rPr>
        <w:t>-</w:t>
      </w:r>
      <w:r w:rsidRPr="00295833">
        <w:rPr>
          <w:rtl/>
        </w:rPr>
        <w:tab/>
      </w:r>
      <w:r w:rsidRPr="00F12208">
        <w:rPr>
          <w:b/>
          <w:bCs/>
          <w:rtl/>
        </w:rPr>
        <w:t>توصي اللجنة بأن تقوم الدولة الطرف بما يلي:</w:t>
      </w:r>
    </w:p>
    <w:p w14:paraId="2B733F7B" w14:textId="1BD8E876" w:rsidR="00CB7496" w:rsidRPr="00F12208" w:rsidRDefault="00CB7496" w:rsidP="00CB7496">
      <w:pPr>
        <w:pStyle w:val="SingleTxtGA"/>
        <w:rPr>
          <w:b/>
          <w:bCs/>
          <w:szCs w:val="20"/>
          <w:lang w:val="ar-SA" w:eastAsia="zh-TW" w:bidi="en-GB"/>
        </w:rPr>
      </w:pPr>
      <w:r w:rsidRPr="00295833">
        <w:rPr>
          <w:rtl/>
        </w:rPr>
        <w:tab/>
        <w:t>(أ)</w:t>
      </w:r>
      <w:r w:rsidRPr="00295833">
        <w:rPr>
          <w:rtl/>
        </w:rPr>
        <w:tab/>
      </w:r>
      <w:r w:rsidRPr="00F12208">
        <w:rPr>
          <w:b/>
          <w:bCs/>
          <w:rtl/>
        </w:rPr>
        <w:t>إصلاح نظامها للحماية الاجتماعية، بغية تخفيف التباينات والقضاء على الآثار التمييزية للنظام على الأفراد والجماعات المحرومين والمهمشين، بما في ذلك عن طريق توحيد أو تنسيق مختلف استحقاقات الضمان الاجتماعي على المستوى المحلي وضمان تخصيص مستوى منصف وكاف من التمويل العام لنظام الحماية الاجتماعية؛</w:t>
      </w:r>
    </w:p>
    <w:p w14:paraId="7F571591" w14:textId="7A409D21" w:rsidR="00CB7496" w:rsidRPr="00F12208" w:rsidRDefault="00CB7496" w:rsidP="00CB7496">
      <w:pPr>
        <w:pStyle w:val="SingleTxtGA"/>
        <w:rPr>
          <w:b/>
          <w:bCs/>
          <w:szCs w:val="20"/>
          <w:lang w:val="ar-SA" w:eastAsia="zh-TW" w:bidi="en-GB"/>
        </w:rPr>
      </w:pPr>
      <w:r w:rsidRPr="00295833">
        <w:rPr>
          <w:rtl/>
        </w:rPr>
        <w:tab/>
        <w:t>(ب)</w:t>
      </w:r>
      <w:r w:rsidRPr="00295833">
        <w:rPr>
          <w:rtl/>
        </w:rPr>
        <w:tab/>
      </w:r>
      <w:r w:rsidRPr="00F12208">
        <w:rPr>
          <w:b/>
          <w:bCs/>
          <w:rtl/>
        </w:rPr>
        <w:t>توسيع نطاق تغطية استحقاقات الضمان الاجتماعي، لا سيما للعاملين لحسابهم الخاص والعاملين في القطاع الزراعي والقطاع غير الرسمي، وزيادة مستوى هذه الاستحقاقات من أجل توفير معيشة لائقة للعمال وأسرهم؛</w:t>
      </w:r>
    </w:p>
    <w:p w14:paraId="4AE34B3E" w14:textId="63F2F227" w:rsidR="00CB7496" w:rsidRPr="00F12208" w:rsidRDefault="00CB7496" w:rsidP="00CB7496">
      <w:pPr>
        <w:pStyle w:val="SingleTxtGA"/>
        <w:rPr>
          <w:rFonts w:ascii="Times New Roman Bold" w:hAnsi="Times New Roman Bold" w:hint="eastAsia"/>
          <w:b/>
          <w:bCs/>
          <w:szCs w:val="20"/>
          <w:lang w:val="ar-SA" w:eastAsia="zh-TW" w:bidi="en-GB"/>
        </w:rPr>
      </w:pPr>
      <w:r w:rsidRPr="00295833">
        <w:rPr>
          <w:rFonts w:ascii="Times New Roman Bold" w:hAnsi="Times New Roman Bold"/>
          <w:rtl/>
        </w:rPr>
        <w:tab/>
        <w:t>(ج)</w:t>
      </w:r>
      <w:r w:rsidRPr="00295833">
        <w:rPr>
          <w:rFonts w:ascii="Times New Roman Bold" w:hAnsi="Times New Roman Bold"/>
          <w:rtl/>
        </w:rPr>
        <w:tab/>
      </w:r>
      <w:r w:rsidRPr="00F12208">
        <w:rPr>
          <w:rFonts w:ascii="Times New Roman Bold" w:hAnsi="Times New Roman Bold"/>
          <w:b/>
          <w:bCs/>
          <w:spacing w:val="-2"/>
          <w:rtl/>
        </w:rPr>
        <w:t>ضمان تسجيل أرباب العمل لموظفيهم في نظام الحماية الاجتماعية ودفع اشتراكاتهم</w:t>
      </w:r>
      <w:r w:rsidRPr="00F12208">
        <w:rPr>
          <w:rFonts w:ascii="Times New Roman Bold" w:hAnsi="Times New Roman Bold"/>
          <w:b/>
          <w:bCs/>
          <w:rtl/>
        </w:rPr>
        <w:t>؛</w:t>
      </w:r>
    </w:p>
    <w:p w14:paraId="0CCA7533" w14:textId="7046FAF0" w:rsidR="00CB7496" w:rsidRPr="00F12208" w:rsidRDefault="00CB7496" w:rsidP="00CB7496">
      <w:pPr>
        <w:pStyle w:val="SingleTxtGA"/>
        <w:rPr>
          <w:b/>
          <w:bCs/>
          <w:szCs w:val="20"/>
          <w:lang w:val="ar-SA" w:eastAsia="zh-TW" w:bidi="en-GB"/>
        </w:rPr>
      </w:pPr>
      <w:r w:rsidRPr="00295833">
        <w:rPr>
          <w:rtl/>
        </w:rPr>
        <w:tab/>
        <w:t>(د)</w:t>
      </w:r>
      <w:r w:rsidRPr="00295833">
        <w:rPr>
          <w:rtl/>
        </w:rPr>
        <w:tab/>
      </w:r>
      <w:r w:rsidRPr="00F12208">
        <w:rPr>
          <w:b/>
          <w:bCs/>
          <w:rtl/>
        </w:rPr>
        <w:t>ضمان أن تغطي استحقاقات المعاشات التقاعدية للأشخاص ذوي الإعاقة بشكل كاف كلا</w:t>
      </w:r>
      <w:r w:rsidR="00C713CA" w:rsidRPr="00F12208">
        <w:rPr>
          <w:rFonts w:hint="cs"/>
          <w:b/>
          <w:bCs/>
          <w:rtl/>
        </w:rPr>
        <w:t>ً</w:t>
      </w:r>
      <w:r w:rsidRPr="00F12208">
        <w:rPr>
          <w:b/>
          <w:bCs/>
          <w:rtl/>
        </w:rPr>
        <w:t xml:space="preserve"> من تأمين الدخل الأساسي والتكاليف المتعلقة بالإعاقة؛</w:t>
      </w:r>
    </w:p>
    <w:p w14:paraId="4DFED9AD" w14:textId="313FA248" w:rsidR="00CB7496" w:rsidRPr="00F12208" w:rsidRDefault="00CB7496" w:rsidP="00CB7496">
      <w:pPr>
        <w:pStyle w:val="SingleTxtGA"/>
        <w:rPr>
          <w:b/>
          <w:bCs/>
          <w:szCs w:val="20"/>
          <w:lang w:val="ar-SA" w:eastAsia="zh-TW" w:bidi="en-GB"/>
        </w:rPr>
      </w:pPr>
      <w:r w:rsidRPr="00295833">
        <w:rPr>
          <w:rtl/>
        </w:rPr>
        <w:tab/>
        <w:t>(ه)</w:t>
      </w:r>
      <w:r w:rsidRPr="00295833">
        <w:rPr>
          <w:rtl/>
        </w:rPr>
        <w:tab/>
      </w:r>
      <w:r w:rsidRPr="00F12208">
        <w:rPr>
          <w:b/>
          <w:bCs/>
          <w:rtl/>
        </w:rPr>
        <w:t>مراعاة تعليق اللجنة العام رقم 19</w:t>
      </w:r>
      <w:r w:rsidRPr="00F12208">
        <w:rPr>
          <w:rFonts w:ascii="Simplified Arabic"/>
          <w:b/>
          <w:bCs/>
          <w:szCs w:val="20"/>
          <w:rtl/>
        </w:rPr>
        <w:t>(</w:t>
      </w:r>
      <w:r w:rsidRPr="00F12208">
        <w:rPr>
          <w:b/>
          <w:bCs/>
          <w:rtl/>
        </w:rPr>
        <w:t>200</w:t>
      </w:r>
      <w:r w:rsidR="00B726CD" w:rsidRPr="00F12208">
        <w:rPr>
          <w:b/>
          <w:bCs/>
          <w:rtl/>
        </w:rPr>
        <w:t>7</w:t>
      </w:r>
      <w:r w:rsidR="00B726CD" w:rsidRPr="00F12208">
        <w:rPr>
          <w:rFonts w:ascii="Simplified Arabic"/>
          <w:b/>
          <w:bCs/>
          <w:szCs w:val="20"/>
          <w:rtl/>
        </w:rPr>
        <w:t>)</w:t>
      </w:r>
      <w:r w:rsidR="00B726CD" w:rsidRPr="00F12208">
        <w:rPr>
          <w:b/>
          <w:bCs/>
          <w:rtl/>
        </w:rPr>
        <w:t xml:space="preserve"> </w:t>
      </w:r>
      <w:r w:rsidRPr="00F12208">
        <w:rPr>
          <w:b/>
          <w:bCs/>
          <w:rtl/>
        </w:rPr>
        <w:t>بشأن الحق في الضمان الاجتماعي.</w:t>
      </w:r>
    </w:p>
    <w:p w14:paraId="44F1ABDF" w14:textId="77777777" w:rsidR="00CB7496" w:rsidRPr="00F12208" w:rsidRDefault="00CB7496" w:rsidP="00CB7496">
      <w:pPr>
        <w:pStyle w:val="H23GA"/>
        <w:rPr>
          <w:szCs w:val="20"/>
          <w:lang w:val="ar-SA" w:eastAsia="zh-TW" w:bidi="en-GB"/>
        </w:rPr>
      </w:pPr>
      <w:r w:rsidRPr="00F12208">
        <w:rPr>
          <w:rtl/>
        </w:rPr>
        <w:tab/>
      </w:r>
      <w:r w:rsidRPr="00F12208">
        <w:rPr>
          <w:rtl/>
        </w:rPr>
        <w:tab/>
        <w:t xml:space="preserve">حماية الأسرة والأطفال </w:t>
      </w:r>
    </w:p>
    <w:p w14:paraId="76A60903" w14:textId="64D0CD4C" w:rsidR="00B726CD" w:rsidRPr="00295833" w:rsidRDefault="00CB7496" w:rsidP="00CB7496">
      <w:pPr>
        <w:pStyle w:val="SingleTxtGA"/>
        <w:rPr>
          <w:szCs w:val="20"/>
          <w:lang w:val="ar-SA" w:eastAsia="zh-TW" w:bidi="en-GB"/>
        </w:rPr>
      </w:pPr>
      <w:r w:rsidRPr="00F12208">
        <w:rPr>
          <w:rtl/>
        </w:rPr>
        <w:t>46</w:t>
      </w:r>
      <w:r w:rsidRPr="00295833">
        <w:rPr>
          <w:rFonts w:ascii="Simplified Arabic"/>
          <w:szCs w:val="20"/>
          <w:rtl/>
        </w:rPr>
        <w:t>-</w:t>
      </w:r>
      <w:r w:rsidRPr="00295833">
        <w:rPr>
          <w:rtl/>
        </w:rPr>
        <w:tab/>
        <w:t xml:space="preserve">ترحب اللجنة بما تحقق من تقدم في مجال رعاية الأطفال، بيد أن القلق يساورها لأن هذه التدابير لا تكفي لحل مسألة تقاسم مسؤوليات الوالدين وخيارات رعاية الأطفال. ويساور اللجنة القلق كذلك لأن النساء كثيراً ما يضطلعن بدور مقدم الرعاية في الأسرة المعيشية ويواجهن مسألة تحقيق التوازن بين حياتهن المهنية وحياتهن الشخصية، ومن جملة ذلك أنهن يجدن صعوبات في العودة إلى سوق العمل بعد إجازة الأمومة (المادة </w:t>
      </w:r>
      <w:r w:rsidRPr="00F12208">
        <w:rPr>
          <w:rtl/>
        </w:rPr>
        <w:t>1</w:t>
      </w:r>
      <w:r w:rsidR="00B726CD" w:rsidRPr="00F12208">
        <w:rPr>
          <w:rtl/>
        </w:rPr>
        <w:t>0</w:t>
      </w:r>
      <w:r w:rsidR="00B726CD" w:rsidRPr="00295833">
        <w:rPr>
          <w:rFonts w:ascii="Simplified Arabic"/>
          <w:szCs w:val="20"/>
          <w:rtl/>
        </w:rPr>
        <w:t>)</w:t>
      </w:r>
      <w:r w:rsidR="00B726CD" w:rsidRPr="00295833">
        <w:rPr>
          <w:rtl/>
        </w:rPr>
        <w:t>.</w:t>
      </w:r>
    </w:p>
    <w:p w14:paraId="7B321271" w14:textId="5AB4C0AF" w:rsidR="00CB7496" w:rsidRPr="00F12208" w:rsidRDefault="00CB7496" w:rsidP="00CB7496">
      <w:pPr>
        <w:pStyle w:val="SingleTxtGA"/>
        <w:rPr>
          <w:b/>
          <w:bCs/>
          <w:szCs w:val="20"/>
          <w:lang w:val="ar-SA" w:eastAsia="zh-TW" w:bidi="en-GB"/>
        </w:rPr>
      </w:pPr>
      <w:r w:rsidRPr="00F12208">
        <w:rPr>
          <w:rtl/>
        </w:rPr>
        <w:t>47</w:t>
      </w:r>
      <w:r w:rsidRPr="00295833">
        <w:rPr>
          <w:rFonts w:ascii="Simplified Arabic"/>
          <w:szCs w:val="20"/>
          <w:rtl/>
        </w:rPr>
        <w:t>-</w:t>
      </w:r>
      <w:r w:rsidRPr="00295833">
        <w:rPr>
          <w:rtl/>
        </w:rPr>
        <w:tab/>
      </w:r>
      <w:r w:rsidRPr="00F12208">
        <w:rPr>
          <w:b/>
          <w:bCs/>
          <w:rtl/>
        </w:rPr>
        <w:t>توصي اللجنة بأن تقوم الدولة الطرف بما يلي:</w:t>
      </w:r>
    </w:p>
    <w:p w14:paraId="4AFA71D6" w14:textId="48B83670" w:rsidR="00CB7496" w:rsidRPr="00F12208" w:rsidRDefault="00CB7496" w:rsidP="00CB7496">
      <w:pPr>
        <w:pStyle w:val="SingleTxtGA"/>
        <w:rPr>
          <w:b/>
          <w:bCs/>
          <w:szCs w:val="20"/>
          <w:lang w:val="ar-SA" w:eastAsia="zh-TW" w:bidi="en-GB"/>
        </w:rPr>
      </w:pPr>
      <w:r w:rsidRPr="00295833">
        <w:rPr>
          <w:rtl/>
        </w:rPr>
        <w:lastRenderedPageBreak/>
        <w:tab/>
        <w:t>(أ)</w:t>
      </w:r>
      <w:r w:rsidRPr="00295833">
        <w:rPr>
          <w:rtl/>
        </w:rPr>
        <w:tab/>
      </w:r>
      <w:r w:rsidRPr="00F12208">
        <w:rPr>
          <w:b/>
          <w:bCs/>
          <w:rtl/>
        </w:rPr>
        <w:t>توفير مزيد من مرافق وخدمات رعاية الأطفال الكافية والعالية الجودة، وزيادة ترتيبات العمل المرنة؛</w:t>
      </w:r>
    </w:p>
    <w:p w14:paraId="04EDF118" w14:textId="45D648EB" w:rsidR="00CB7496" w:rsidRPr="00F12208" w:rsidRDefault="00CB7496" w:rsidP="00CB7496">
      <w:pPr>
        <w:pStyle w:val="SingleTxtGA"/>
        <w:rPr>
          <w:b/>
          <w:bCs/>
          <w:szCs w:val="20"/>
          <w:lang w:val="en-US" w:eastAsia="zh-TW" w:bidi="en-GB"/>
        </w:rPr>
      </w:pPr>
      <w:r w:rsidRPr="00295833">
        <w:rPr>
          <w:rtl/>
        </w:rPr>
        <w:tab/>
        <w:t>(ب)</w:t>
      </w:r>
      <w:r w:rsidRPr="00295833">
        <w:rPr>
          <w:rtl/>
        </w:rPr>
        <w:tab/>
      </w:r>
      <w:r w:rsidRPr="00F12208">
        <w:rPr>
          <w:b/>
          <w:bCs/>
          <w:rtl/>
        </w:rPr>
        <w:t>اتخاذ تدابير شاملة للقضاء على القوالب النمطية لدور الجنسين، بوسائل منها تنظيم حملات إعلامية والتشاور مع قادة الرأي، وإذكاء الوعي بين عامة الجمهور بضرورة المساواة في تقاسم الحقوق والمسؤوليات بين الرجل والمرأة في الأسرة وفي المجتمع.</w:t>
      </w:r>
    </w:p>
    <w:p w14:paraId="3746CABC" w14:textId="77777777" w:rsidR="00CB7496" w:rsidRPr="00F12208" w:rsidRDefault="00CB7496" w:rsidP="00CB7496">
      <w:pPr>
        <w:pStyle w:val="H23GA"/>
        <w:rPr>
          <w:szCs w:val="20"/>
          <w:lang w:val="ar-SA" w:eastAsia="zh-TW" w:bidi="en-GB"/>
        </w:rPr>
      </w:pPr>
      <w:r w:rsidRPr="00F12208">
        <w:rPr>
          <w:rtl/>
        </w:rPr>
        <w:tab/>
      </w:r>
      <w:r w:rsidRPr="00F12208">
        <w:rPr>
          <w:rtl/>
        </w:rPr>
        <w:tab/>
        <w:t>العنف الأسري</w:t>
      </w:r>
    </w:p>
    <w:p w14:paraId="01A74BC8" w14:textId="7CF024ED" w:rsidR="00B726CD" w:rsidRPr="00295833" w:rsidRDefault="00CB7496" w:rsidP="00CB7496">
      <w:pPr>
        <w:pStyle w:val="SingleTxtGA"/>
        <w:rPr>
          <w:szCs w:val="20"/>
          <w:lang w:val="ar-SA" w:eastAsia="zh-TW" w:bidi="en-GB"/>
        </w:rPr>
      </w:pPr>
      <w:r w:rsidRPr="00F12208">
        <w:rPr>
          <w:rtl/>
        </w:rPr>
        <w:t>48</w:t>
      </w:r>
      <w:r w:rsidRPr="00295833">
        <w:rPr>
          <w:rFonts w:ascii="Simplified Arabic"/>
          <w:szCs w:val="20"/>
          <w:rtl/>
        </w:rPr>
        <w:t>-</w:t>
      </w:r>
      <w:r w:rsidRPr="00295833">
        <w:rPr>
          <w:rtl/>
        </w:rPr>
        <w:tab/>
        <w:t>يساور اللجنة القلق لأن العنف الأسري في الدولة الطرف، ومعظمه عنف موجه ضد النساء، لا يزال متفشي</w:t>
      </w:r>
      <w:r w:rsidR="006578CD" w:rsidRPr="00295833">
        <w:rPr>
          <w:rtl/>
        </w:rPr>
        <w:t>اً،</w:t>
      </w:r>
      <w:r w:rsidRPr="00295833">
        <w:rPr>
          <w:rtl/>
        </w:rPr>
        <w:t xml:space="preserve"> رغم تجريمه في قانون العقوبات والتشريعات ذات الصلة التي تسهم في تمكين السلطات عن طريق تزويدها بالوسائل اللازمة. ويساور اللجنة القلق أيضا</w:t>
      </w:r>
      <w:r w:rsidR="00C713CA" w:rsidRPr="00295833">
        <w:rPr>
          <w:rFonts w:hint="cs"/>
          <w:rtl/>
        </w:rPr>
        <w:t>ً</w:t>
      </w:r>
      <w:r w:rsidRPr="00295833">
        <w:rPr>
          <w:rtl/>
        </w:rPr>
        <w:t xml:space="preserve"> إزاء ندرة إبلاغ السلطات المختصة بحالات العنف الأسري (المادة </w:t>
      </w:r>
      <w:r w:rsidRPr="00F12208">
        <w:rPr>
          <w:rtl/>
        </w:rPr>
        <w:t>1</w:t>
      </w:r>
      <w:r w:rsidR="00B726CD" w:rsidRPr="00F12208">
        <w:rPr>
          <w:rtl/>
        </w:rPr>
        <w:t>0</w:t>
      </w:r>
      <w:r w:rsidR="00B726CD" w:rsidRPr="00295833">
        <w:rPr>
          <w:rFonts w:ascii="Simplified Arabic"/>
          <w:szCs w:val="20"/>
          <w:rtl/>
        </w:rPr>
        <w:t>)</w:t>
      </w:r>
      <w:r w:rsidR="00B726CD" w:rsidRPr="00295833">
        <w:rPr>
          <w:rtl/>
        </w:rPr>
        <w:t>.</w:t>
      </w:r>
    </w:p>
    <w:p w14:paraId="6E072A3B" w14:textId="0A12D81B" w:rsidR="00CB7496" w:rsidRPr="00F12208" w:rsidRDefault="00CB7496" w:rsidP="00CB7496">
      <w:pPr>
        <w:pStyle w:val="SingleTxtGA"/>
        <w:rPr>
          <w:b/>
          <w:bCs/>
          <w:szCs w:val="20"/>
          <w:lang w:val="ar-SA" w:eastAsia="zh-TW" w:bidi="en-GB"/>
        </w:rPr>
      </w:pPr>
      <w:r w:rsidRPr="00F12208">
        <w:rPr>
          <w:rtl/>
        </w:rPr>
        <w:t>49</w:t>
      </w:r>
      <w:r w:rsidRPr="00295833">
        <w:rPr>
          <w:rFonts w:ascii="Simplified Arabic"/>
          <w:szCs w:val="20"/>
          <w:rtl/>
        </w:rPr>
        <w:t>-</w:t>
      </w:r>
      <w:r w:rsidRPr="00295833">
        <w:rPr>
          <w:rtl/>
        </w:rPr>
        <w:tab/>
      </w:r>
      <w:r w:rsidRPr="00F12208">
        <w:rPr>
          <w:b/>
          <w:bCs/>
          <w:rtl/>
        </w:rPr>
        <w:t>توصي اللجنة الدولة الطرف بمراجعة تشريعاتها لمكافحة العنف الأسري على نحو فعال وتكثيف جهودها من أجل:</w:t>
      </w:r>
    </w:p>
    <w:p w14:paraId="23EC1272" w14:textId="580B555A" w:rsidR="00CB7496" w:rsidRPr="00F12208" w:rsidRDefault="00CB7496" w:rsidP="00CB7496">
      <w:pPr>
        <w:pStyle w:val="SingleTxtGA"/>
        <w:rPr>
          <w:b/>
          <w:bCs/>
          <w:szCs w:val="20"/>
          <w:lang w:val="ar-SA" w:eastAsia="zh-TW" w:bidi="en-GB"/>
        </w:rPr>
      </w:pPr>
      <w:r w:rsidRPr="00295833">
        <w:rPr>
          <w:rtl/>
        </w:rPr>
        <w:tab/>
        <w:t>(أ)</w:t>
      </w:r>
      <w:r w:rsidRPr="00295833">
        <w:rPr>
          <w:rtl/>
        </w:rPr>
        <w:tab/>
      </w:r>
      <w:r w:rsidRPr="00F12208">
        <w:rPr>
          <w:b/>
          <w:bCs/>
          <w:rtl/>
        </w:rPr>
        <w:t>التشجيع على الإبلاغ عن العنف الأسري؛</w:t>
      </w:r>
    </w:p>
    <w:p w14:paraId="328C6061" w14:textId="6E2D39B2" w:rsidR="00CB7496" w:rsidRPr="00F12208" w:rsidRDefault="00CB7496" w:rsidP="00CB7496">
      <w:pPr>
        <w:pStyle w:val="SingleTxtGA"/>
        <w:rPr>
          <w:b/>
          <w:bCs/>
          <w:szCs w:val="20"/>
          <w:lang w:val="ar-SA" w:eastAsia="zh-TW" w:bidi="en-GB"/>
        </w:rPr>
      </w:pPr>
      <w:r w:rsidRPr="00295833">
        <w:rPr>
          <w:rtl/>
        </w:rPr>
        <w:tab/>
        <w:t>(ب)</w:t>
      </w:r>
      <w:r w:rsidRPr="00295833">
        <w:rPr>
          <w:rtl/>
        </w:rPr>
        <w:tab/>
      </w:r>
      <w:r w:rsidRPr="00F12208">
        <w:rPr>
          <w:b/>
          <w:bCs/>
          <w:rtl/>
        </w:rPr>
        <w:t>ضمان إجراء تحقيق فوري وشامل في جميع حالات العنف الأسري المبلغ عنها ومعاقبة الجناة؛</w:t>
      </w:r>
    </w:p>
    <w:p w14:paraId="4E5A2F39" w14:textId="54071CA5" w:rsidR="00CB7496" w:rsidRPr="00F12208" w:rsidRDefault="00CB7496" w:rsidP="00CB7496">
      <w:pPr>
        <w:pStyle w:val="SingleTxtGA"/>
        <w:rPr>
          <w:b/>
          <w:bCs/>
          <w:szCs w:val="20"/>
          <w:lang w:val="ar-SA" w:eastAsia="zh-TW" w:bidi="en-GB"/>
        </w:rPr>
      </w:pPr>
      <w:r w:rsidRPr="00295833">
        <w:rPr>
          <w:rtl/>
        </w:rPr>
        <w:tab/>
        <w:t>(ج)</w:t>
      </w:r>
      <w:r w:rsidRPr="00295833">
        <w:rPr>
          <w:rtl/>
        </w:rPr>
        <w:tab/>
      </w:r>
      <w:r w:rsidRPr="00F12208">
        <w:rPr>
          <w:b/>
          <w:bCs/>
          <w:rtl/>
        </w:rPr>
        <w:t>إذكاء الوعي بين الموظفين المكلفين بإنفاذ القوانين والمهنيين المعنيين فيما يتعلق بالطبيعة الإجرامية للعنف الأسري، وكذلك بين الجمهور بشكل عام، بما في ذلك من خلال حملة عدم التسامح مطلقا</w:t>
      </w:r>
      <w:r w:rsidR="00C713CA" w:rsidRPr="00F12208">
        <w:rPr>
          <w:rFonts w:hint="cs"/>
          <w:b/>
          <w:bCs/>
          <w:rtl/>
        </w:rPr>
        <w:t>ً</w:t>
      </w:r>
      <w:r w:rsidRPr="00F12208">
        <w:rPr>
          <w:b/>
          <w:bCs/>
          <w:rtl/>
        </w:rPr>
        <w:t xml:space="preserve"> مع هذا العنف التي تجعله غير مقبول؛</w:t>
      </w:r>
    </w:p>
    <w:p w14:paraId="74D26A35" w14:textId="2EFF9230" w:rsidR="00CB7496" w:rsidRPr="00F12208" w:rsidRDefault="00CB7496" w:rsidP="00CB7496">
      <w:pPr>
        <w:pStyle w:val="SingleTxtGA"/>
        <w:rPr>
          <w:rFonts w:asciiTheme="minorHAnsi" w:hAnsiTheme="minorHAnsi"/>
          <w:b/>
          <w:bCs/>
          <w:szCs w:val="20"/>
          <w:lang w:val="en-US" w:eastAsia="zh-TW" w:bidi="en-GB"/>
        </w:rPr>
      </w:pPr>
      <w:r w:rsidRPr="00295833">
        <w:rPr>
          <w:rFonts w:ascii="Times New Roman Bold" w:hAnsi="Times New Roman Bold"/>
          <w:rtl/>
        </w:rPr>
        <w:tab/>
        <w:t>(د)</w:t>
      </w:r>
      <w:r w:rsidRPr="00295833">
        <w:rPr>
          <w:rFonts w:ascii="Times New Roman Bold" w:hAnsi="Times New Roman Bold"/>
          <w:rtl/>
        </w:rPr>
        <w:tab/>
      </w:r>
      <w:r w:rsidRPr="00F12208">
        <w:rPr>
          <w:rFonts w:ascii="Times New Roman Bold" w:hAnsi="Times New Roman Bold"/>
          <w:b/>
          <w:bCs/>
          <w:spacing w:val="-2"/>
          <w:rtl/>
        </w:rPr>
        <w:t>تزويد الناجيات من العنف الأسري بكل الدعم القانوني والطبي والمالي والنفسي اللازم</w:t>
      </w:r>
      <w:r w:rsidRPr="00F12208">
        <w:rPr>
          <w:rFonts w:ascii="Times New Roman Bold" w:hAnsi="Times New Roman Bold"/>
          <w:b/>
          <w:bCs/>
          <w:rtl/>
        </w:rPr>
        <w:t>؛</w:t>
      </w:r>
    </w:p>
    <w:p w14:paraId="47415E8D" w14:textId="433F06DC" w:rsidR="00CB7496" w:rsidRPr="00F12208" w:rsidRDefault="00CB7496" w:rsidP="00CB7496">
      <w:pPr>
        <w:pStyle w:val="SingleTxtGA"/>
        <w:rPr>
          <w:b/>
          <w:bCs/>
          <w:szCs w:val="20"/>
          <w:lang w:val="ar-SA" w:eastAsia="zh-TW" w:bidi="en-GB"/>
        </w:rPr>
      </w:pPr>
      <w:r w:rsidRPr="00295833">
        <w:rPr>
          <w:rtl/>
        </w:rPr>
        <w:tab/>
        <w:t>(ه)</w:t>
      </w:r>
      <w:r w:rsidRPr="00295833">
        <w:rPr>
          <w:rtl/>
        </w:rPr>
        <w:tab/>
      </w:r>
      <w:r w:rsidRPr="00F12208">
        <w:rPr>
          <w:b/>
          <w:bCs/>
          <w:rtl/>
        </w:rPr>
        <w:t>رفع مستوى الوعي العام بخطورة العنف الأسري وطبيعته الجنائية.</w:t>
      </w:r>
    </w:p>
    <w:p w14:paraId="31D52542" w14:textId="77777777" w:rsidR="00CB7496" w:rsidRPr="00F12208" w:rsidRDefault="00CB7496" w:rsidP="00CB7496">
      <w:pPr>
        <w:pStyle w:val="H23GA"/>
        <w:rPr>
          <w:szCs w:val="20"/>
          <w:lang w:val="ar-SA" w:eastAsia="zh-TW" w:bidi="en-GB"/>
        </w:rPr>
      </w:pPr>
      <w:r w:rsidRPr="00F12208">
        <w:rPr>
          <w:rtl/>
        </w:rPr>
        <w:tab/>
      </w:r>
      <w:r w:rsidRPr="00F12208">
        <w:rPr>
          <w:rtl/>
        </w:rPr>
        <w:tab/>
        <w:t>الحق في سكن لائق</w:t>
      </w:r>
    </w:p>
    <w:p w14:paraId="6B1EA545" w14:textId="2FE2C46D" w:rsidR="00B726CD" w:rsidRPr="00295833" w:rsidRDefault="00CB7496" w:rsidP="00CB7496">
      <w:pPr>
        <w:pStyle w:val="SingleTxtGA"/>
        <w:rPr>
          <w:szCs w:val="20"/>
          <w:lang w:val="en-US" w:eastAsia="zh-TW" w:bidi="en-GB"/>
        </w:rPr>
      </w:pPr>
      <w:r w:rsidRPr="00F12208">
        <w:rPr>
          <w:rtl/>
        </w:rPr>
        <w:t>50</w:t>
      </w:r>
      <w:r w:rsidRPr="00295833">
        <w:rPr>
          <w:rFonts w:ascii="Simplified Arabic"/>
          <w:szCs w:val="20"/>
          <w:rtl/>
        </w:rPr>
        <w:t>-</w:t>
      </w:r>
      <w:r w:rsidRPr="00295833">
        <w:rPr>
          <w:rtl/>
        </w:rPr>
        <w:tab/>
        <w:t>بينما تلاحظ اللجنة التدابير التي اتخذتها الدولة الطرف لخفض عدد طلبات الإسكان الاجتماعي التي تنتظر تلبيتها، فإنها تشعر بالقلق إزاء التحديات التي ما زال المحرومون، أفرادا</w:t>
      </w:r>
      <w:r w:rsidR="00C713CA" w:rsidRPr="00295833">
        <w:rPr>
          <w:rFonts w:hint="cs"/>
          <w:rtl/>
        </w:rPr>
        <w:t>ً</w:t>
      </w:r>
      <w:r w:rsidRPr="00295833">
        <w:rPr>
          <w:rtl/>
        </w:rPr>
        <w:t xml:space="preserve"> وجماعات، يواجهونها في سعيهم إلى الحصول على سكن. ويساور اللجنة القلق كذلك إزاء نقص المعلومات المتعلقة بأفراد طائفة الروما في مستوطنة كيرتيماي المدمرة الآن وظروف سكنهم ومعيشتهم الحالية. وتأسف اللجنة لعدم وجود معلومات عن الخطوات المتخذة لتحسين حالة سكن الأشخاص الذين مُنحوا حق اللجوء أو وضع الحماية الفرعية (المادة </w:t>
      </w:r>
      <w:r w:rsidRPr="00F12208">
        <w:rPr>
          <w:rtl/>
        </w:rPr>
        <w:t>1</w:t>
      </w:r>
      <w:r w:rsidR="00B726CD" w:rsidRPr="00F12208">
        <w:rPr>
          <w:rtl/>
        </w:rPr>
        <w:t>1</w:t>
      </w:r>
      <w:r w:rsidR="00B726CD" w:rsidRPr="00295833">
        <w:rPr>
          <w:rFonts w:ascii="Simplified Arabic"/>
          <w:szCs w:val="20"/>
          <w:rtl/>
        </w:rPr>
        <w:t>)</w:t>
      </w:r>
      <w:r w:rsidR="00B726CD" w:rsidRPr="00295833">
        <w:rPr>
          <w:rtl/>
        </w:rPr>
        <w:t>.</w:t>
      </w:r>
    </w:p>
    <w:p w14:paraId="69EB7C50" w14:textId="09B96E21" w:rsidR="00CB7496" w:rsidRPr="00F12208" w:rsidRDefault="00CB7496" w:rsidP="00CB7496">
      <w:pPr>
        <w:pStyle w:val="SingleTxtGA"/>
        <w:rPr>
          <w:b/>
          <w:bCs/>
          <w:szCs w:val="20"/>
          <w:lang w:val="en-US" w:eastAsia="zh-TW" w:bidi="en-GB"/>
        </w:rPr>
      </w:pPr>
      <w:r w:rsidRPr="00F12208">
        <w:rPr>
          <w:rtl/>
        </w:rPr>
        <w:t>51</w:t>
      </w:r>
      <w:r w:rsidRPr="00295833">
        <w:rPr>
          <w:rFonts w:ascii="Simplified Arabic"/>
          <w:szCs w:val="20"/>
          <w:rtl/>
        </w:rPr>
        <w:t>-</w:t>
      </w:r>
      <w:r w:rsidRPr="00295833">
        <w:rPr>
          <w:rtl/>
        </w:rPr>
        <w:tab/>
      </w:r>
      <w:r w:rsidRPr="00F12208">
        <w:rPr>
          <w:b/>
          <w:bCs/>
          <w:spacing w:val="-4"/>
          <w:rtl/>
        </w:rPr>
        <w:t>تكرر اللجنة التوصيات الواردة في ملاحظاتها الختامية السابقة</w:t>
      </w:r>
      <w:r w:rsidR="00B726CD" w:rsidRPr="00F12208">
        <w:rPr>
          <w:rStyle w:val="FootnoteReference"/>
          <w:b/>
          <w:bCs/>
          <w:spacing w:val="-4"/>
          <w:rtl/>
        </w:rPr>
        <w:t>(</w:t>
      </w:r>
      <w:r w:rsidR="00B726CD" w:rsidRPr="00F12208">
        <w:rPr>
          <w:rStyle w:val="FootnoteReference"/>
          <w:spacing w:val="-4"/>
          <w:lang w:val="en-US"/>
        </w:rPr>
        <w:footnoteReference w:id="13"/>
      </w:r>
      <w:r w:rsidR="008D28FC" w:rsidRPr="00F12208">
        <w:rPr>
          <w:rStyle w:val="FootnoteReference"/>
          <w:b/>
          <w:bCs/>
          <w:spacing w:val="-4"/>
          <w:rtl/>
        </w:rPr>
        <w:t>)</w:t>
      </w:r>
      <w:r w:rsidR="00C713CA" w:rsidRPr="00F12208">
        <w:rPr>
          <w:rFonts w:hint="cs"/>
          <w:b/>
          <w:bCs/>
          <w:spacing w:val="-4"/>
          <w:rtl/>
        </w:rPr>
        <w:t>،</w:t>
      </w:r>
      <w:r w:rsidRPr="00F12208">
        <w:rPr>
          <w:b/>
          <w:bCs/>
          <w:spacing w:val="-4"/>
          <w:rtl/>
        </w:rPr>
        <w:t> وتوصي الدولة الطرف بما</w:t>
      </w:r>
      <w:r w:rsidR="00D746C0" w:rsidRPr="00F12208">
        <w:rPr>
          <w:rFonts w:hint="cs"/>
          <w:b/>
          <w:bCs/>
          <w:spacing w:val="-4"/>
          <w:rtl/>
        </w:rPr>
        <w:t> </w:t>
      </w:r>
      <w:r w:rsidRPr="00F12208">
        <w:rPr>
          <w:b/>
          <w:bCs/>
          <w:spacing w:val="-4"/>
          <w:rtl/>
        </w:rPr>
        <w:t>يلي</w:t>
      </w:r>
      <w:r w:rsidRPr="00F12208">
        <w:rPr>
          <w:b/>
          <w:bCs/>
          <w:rtl/>
        </w:rPr>
        <w:t>:</w:t>
      </w:r>
    </w:p>
    <w:p w14:paraId="0A0CEC45" w14:textId="0632AE64" w:rsidR="00CB7496" w:rsidRPr="00F12208" w:rsidRDefault="00CB7496" w:rsidP="00CB7496">
      <w:pPr>
        <w:pStyle w:val="SingleTxtGA"/>
        <w:rPr>
          <w:b/>
          <w:bCs/>
          <w:szCs w:val="20"/>
          <w:lang w:val="ar-SA" w:eastAsia="zh-TW" w:bidi="en-GB"/>
        </w:rPr>
      </w:pPr>
      <w:r w:rsidRPr="00295833">
        <w:rPr>
          <w:rtl/>
        </w:rPr>
        <w:tab/>
        <w:t>(أ)</w:t>
      </w:r>
      <w:r w:rsidRPr="00295833">
        <w:rPr>
          <w:rtl/>
        </w:rPr>
        <w:tab/>
      </w:r>
      <w:r w:rsidRPr="00F12208">
        <w:rPr>
          <w:b/>
          <w:bCs/>
          <w:rtl/>
        </w:rPr>
        <w:t>مضاعفة جهودها لضمان أن تعطي سياستها الوطنية للإسكان الأولوية لاحتياجات الفئات المهمشة والضعيفة التي تفتقر إلى إمكانية الحصول على السكن اللائق والمرافق والتجهيزات المنزلية الأساسية، وتخصيص موارد كافية لتنفيذ السياسة تنفيذا</w:t>
      </w:r>
      <w:r w:rsidR="00D746C0" w:rsidRPr="00F12208">
        <w:rPr>
          <w:rFonts w:hint="cs"/>
          <w:b/>
          <w:bCs/>
          <w:rtl/>
        </w:rPr>
        <w:t>ً</w:t>
      </w:r>
      <w:r w:rsidRPr="00F12208">
        <w:rPr>
          <w:b/>
          <w:bCs/>
          <w:rtl/>
        </w:rPr>
        <w:t xml:space="preserve"> فعالا</w:t>
      </w:r>
      <w:r w:rsidR="00D746C0" w:rsidRPr="00F12208">
        <w:rPr>
          <w:rFonts w:hint="cs"/>
          <w:b/>
          <w:bCs/>
          <w:rtl/>
        </w:rPr>
        <w:t>ً</w:t>
      </w:r>
      <w:r w:rsidRPr="00F12208">
        <w:rPr>
          <w:b/>
          <w:bCs/>
          <w:rtl/>
        </w:rPr>
        <w:t>؛</w:t>
      </w:r>
    </w:p>
    <w:p w14:paraId="2CD0D96D" w14:textId="288957A0" w:rsidR="00CB7496" w:rsidRPr="00F12208" w:rsidRDefault="00CB7496" w:rsidP="00CB7496">
      <w:pPr>
        <w:pStyle w:val="SingleTxtGA"/>
        <w:rPr>
          <w:b/>
          <w:bCs/>
          <w:szCs w:val="20"/>
          <w:lang w:val="en-US" w:eastAsia="zh-TW" w:bidi="en-GB"/>
        </w:rPr>
      </w:pPr>
      <w:r w:rsidRPr="00295833">
        <w:rPr>
          <w:rtl/>
        </w:rPr>
        <w:lastRenderedPageBreak/>
        <w:tab/>
        <w:t>(ب)</w:t>
      </w:r>
      <w:r w:rsidRPr="00295833">
        <w:rPr>
          <w:rtl/>
        </w:rPr>
        <w:tab/>
      </w:r>
      <w:r w:rsidRPr="00F12208">
        <w:rPr>
          <w:b/>
          <w:bCs/>
          <w:rtl/>
        </w:rPr>
        <w:t>زيادة مستوى توافر السكن اللائق والمعقول التكلفة، ولا سيما بتوفير المساكن الاجتماعية وتقديم المزيد من إعانات السكن</w:t>
      </w:r>
      <w:r w:rsidR="00D746C0" w:rsidRPr="00F12208">
        <w:rPr>
          <w:rFonts w:hint="cs"/>
          <w:b/>
          <w:bCs/>
          <w:rtl/>
        </w:rPr>
        <w:t>؛</w:t>
      </w:r>
    </w:p>
    <w:p w14:paraId="33DC3120" w14:textId="50DCF2E4" w:rsidR="00B726CD" w:rsidRPr="00F12208" w:rsidRDefault="00CB7496" w:rsidP="00CB7496">
      <w:pPr>
        <w:pStyle w:val="SingleTxtGA"/>
        <w:rPr>
          <w:b/>
          <w:bCs/>
          <w:szCs w:val="20"/>
          <w:lang w:val="en-US" w:eastAsia="zh-TW" w:bidi="en-GB"/>
        </w:rPr>
      </w:pPr>
      <w:r w:rsidRPr="00295833">
        <w:rPr>
          <w:rtl/>
        </w:rPr>
        <w:tab/>
        <w:t>(ج)</w:t>
      </w:r>
      <w:r w:rsidRPr="00295833">
        <w:rPr>
          <w:rtl/>
        </w:rPr>
        <w:tab/>
      </w:r>
      <w:r w:rsidRPr="00F12208">
        <w:rPr>
          <w:b/>
          <w:bCs/>
          <w:rtl/>
        </w:rPr>
        <w:t>معالجة الأسباب الجذرية للتشرد والسعي إلى إيجاد حلول طويلة الأجل للأفراد الذين لا مأوى لهم، مع مراعاة تعليق اللجنة العام رقم 4</w:t>
      </w:r>
      <w:r w:rsidRPr="00F12208">
        <w:rPr>
          <w:rFonts w:ascii="Simplified Arabic"/>
          <w:b/>
          <w:bCs/>
          <w:szCs w:val="20"/>
          <w:rtl/>
        </w:rPr>
        <w:t>(</w:t>
      </w:r>
      <w:r w:rsidRPr="00F12208">
        <w:rPr>
          <w:b/>
          <w:bCs/>
          <w:rtl/>
        </w:rPr>
        <w:t>199</w:t>
      </w:r>
      <w:r w:rsidR="00B726CD" w:rsidRPr="00F12208">
        <w:rPr>
          <w:b/>
          <w:bCs/>
          <w:rtl/>
        </w:rPr>
        <w:t>1</w:t>
      </w:r>
      <w:r w:rsidR="00B726CD" w:rsidRPr="00F12208">
        <w:rPr>
          <w:rFonts w:ascii="Simplified Arabic"/>
          <w:b/>
          <w:bCs/>
          <w:szCs w:val="20"/>
          <w:rtl/>
        </w:rPr>
        <w:t>)</w:t>
      </w:r>
      <w:r w:rsidR="00B726CD" w:rsidRPr="00F12208">
        <w:rPr>
          <w:b/>
          <w:bCs/>
          <w:rtl/>
        </w:rPr>
        <w:t xml:space="preserve"> </w:t>
      </w:r>
      <w:r w:rsidRPr="00F12208">
        <w:rPr>
          <w:b/>
          <w:bCs/>
          <w:rtl/>
        </w:rPr>
        <w:t>بشأن الحق في السكن اللائق، وتعليقها العام رقم 15</w:t>
      </w:r>
      <w:r w:rsidRPr="00F12208">
        <w:rPr>
          <w:rFonts w:ascii="Simplified Arabic"/>
          <w:b/>
          <w:bCs/>
          <w:szCs w:val="20"/>
          <w:rtl/>
        </w:rPr>
        <w:t>(</w:t>
      </w:r>
      <w:r w:rsidRPr="00F12208">
        <w:rPr>
          <w:b/>
          <w:bCs/>
          <w:rtl/>
        </w:rPr>
        <w:t>200</w:t>
      </w:r>
      <w:r w:rsidR="00B726CD" w:rsidRPr="00F12208">
        <w:rPr>
          <w:b/>
          <w:bCs/>
          <w:rtl/>
        </w:rPr>
        <w:t>2</w:t>
      </w:r>
      <w:r w:rsidR="00B726CD" w:rsidRPr="00F12208">
        <w:rPr>
          <w:rFonts w:ascii="Simplified Arabic"/>
          <w:b/>
          <w:bCs/>
          <w:szCs w:val="20"/>
          <w:rtl/>
        </w:rPr>
        <w:t>)</w:t>
      </w:r>
      <w:r w:rsidR="00B726CD" w:rsidRPr="00F12208">
        <w:rPr>
          <w:b/>
          <w:bCs/>
          <w:rtl/>
        </w:rPr>
        <w:t xml:space="preserve"> </w:t>
      </w:r>
      <w:r w:rsidRPr="00F12208">
        <w:rPr>
          <w:b/>
          <w:bCs/>
          <w:rtl/>
        </w:rPr>
        <w:t>بشأن الحق في الماء، وبيانها بشأن الحق في الصرف الصحي</w:t>
      </w:r>
      <w:r w:rsidR="00B726CD" w:rsidRPr="00F12208">
        <w:rPr>
          <w:rStyle w:val="FootnoteReference"/>
          <w:b/>
          <w:bCs/>
          <w:rtl/>
        </w:rPr>
        <w:t>(</w:t>
      </w:r>
      <w:r w:rsidR="00B726CD" w:rsidRPr="00F12208">
        <w:rPr>
          <w:rStyle w:val="FootnoteReference"/>
          <w:lang w:val="en-US"/>
        </w:rPr>
        <w:footnoteReference w:id="14"/>
      </w:r>
      <w:r w:rsidR="00B726CD" w:rsidRPr="00F12208">
        <w:rPr>
          <w:rStyle w:val="FootnoteReference"/>
          <w:b/>
          <w:bCs/>
          <w:rtl/>
        </w:rPr>
        <w:t>)</w:t>
      </w:r>
      <w:r w:rsidR="00B726CD" w:rsidRPr="00F12208">
        <w:rPr>
          <w:b/>
          <w:bCs/>
          <w:rtl/>
        </w:rPr>
        <w:t>.</w:t>
      </w:r>
    </w:p>
    <w:p w14:paraId="0E5A4B76" w14:textId="21557277" w:rsidR="00CB7496" w:rsidRPr="00F12208" w:rsidRDefault="00CB7496" w:rsidP="00CB7496">
      <w:pPr>
        <w:pStyle w:val="H23GA"/>
        <w:rPr>
          <w:szCs w:val="20"/>
          <w:lang w:val="ar-SA" w:eastAsia="zh-TW" w:bidi="en-GB"/>
        </w:rPr>
      </w:pPr>
      <w:r w:rsidRPr="00F12208">
        <w:rPr>
          <w:rtl/>
        </w:rPr>
        <w:tab/>
      </w:r>
      <w:r w:rsidRPr="00F12208">
        <w:rPr>
          <w:rtl/>
        </w:rPr>
        <w:tab/>
        <w:t>الرعاية الصحية</w:t>
      </w:r>
    </w:p>
    <w:p w14:paraId="25FEE5DE" w14:textId="33E88295" w:rsidR="00B726CD" w:rsidRPr="00295833" w:rsidRDefault="00CB7496" w:rsidP="00CB7496">
      <w:pPr>
        <w:pStyle w:val="SingleTxtGA"/>
        <w:rPr>
          <w:szCs w:val="20"/>
          <w:lang w:val="ar-SA" w:eastAsia="zh-TW" w:bidi="en-GB"/>
        </w:rPr>
      </w:pPr>
      <w:r w:rsidRPr="00F12208">
        <w:rPr>
          <w:rtl/>
        </w:rPr>
        <w:t>52</w:t>
      </w:r>
      <w:r w:rsidRPr="00295833">
        <w:rPr>
          <w:rFonts w:ascii="Simplified Arabic"/>
          <w:szCs w:val="20"/>
          <w:rtl/>
        </w:rPr>
        <w:t>-</w:t>
      </w:r>
      <w:r w:rsidRPr="00295833">
        <w:rPr>
          <w:rtl/>
        </w:rPr>
        <w:tab/>
        <w:t>بينما تلاحظ اللجنة الزيادة في توافر الرعاية الصحية الأولية وإمكانية الحصول عليها، فإنها تشعر بالقلق إزاء التقارير التي تفيد بأن بعض الفئات الاجتماعية، مثل كبار السن والأقل تعليما</w:t>
      </w:r>
      <w:r w:rsidR="006578CD" w:rsidRPr="00295833">
        <w:rPr>
          <w:rFonts w:hint="cs"/>
          <w:rtl/>
        </w:rPr>
        <w:t>ً</w:t>
      </w:r>
      <w:r w:rsidRPr="00295833">
        <w:rPr>
          <w:rtl/>
        </w:rPr>
        <w:t>، تميل إلى الإبلاغ عن مستوى أعلى نسبيا</w:t>
      </w:r>
      <w:r w:rsidR="00C713CA" w:rsidRPr="00295833">
        <w:rPr>
          <w:rFonts w:hint="cs"/>
          <w:rtl/>
        </w:rPr>
        <w:t>ً</w:t>
      </w:r>
      <w:r w:rsidRPr="00295833">
        <w:rPr>
          <w:rtl/>
        </w:rPr>
        <w:t xml:space="preserve"> من الاحتياجات غير الملباة، وأن هناك تفاوتات بين سكان الحضر وسكان الريف من حيث إمكانية الحصول على خدمات الطوارئ. وتأسف اللجنة لعدم وجود معلومات عن أثر الإصلاح الهيكلي لنظام الرعاية الصحية للفترة </w:t>
      </w:r>
      <w:r w:rsidRPr="00F12208">
        <w:rPr>
          <w:rtl/>
        </w:rPr>
        <w:t>2017</w:t>
      </w:r>
      <w:r w:rsidRPr="00295833">
        <w:rPr>
          <w:rFonts w:ascii="Simplified Arabic"/>
          <w:szCs w:val="20"/>
          <w:rtl/>
        </w:rPr>
        <w:t>-</w:t>
      </w:r>
      <w:r w:rsidRPr="00F12208">
        <w:rPr>
          <w:rtl/>
        </w:rPr>
        <w:t>2020</w:t>
      </w:r>
      <w:r w:rsidRPr="00295833">
        <w:rPr>
          <w:rtl/>
        </w:rPr>
        <w:t xml:space="preserve"> والاستراتيجية الصحية للدولة الطرف للفترة</w:t>
      </w:r>
      <w:r w:rsidR="00D746C0" w:rsidRPr="00295833">
        <w:rPr>
          <w:rFonts w:hint="cs"/>
          <w:rtl/>
        </w:rPr>
        <w:t> </w:t>
      </w:r>
      <w:r w:rsidRPr="00F12208">
        <w:rPr>
          <w:rtl/>
        </w:rPr>
        <w:t>2014</w:t>
      </w:r>
      <w:r w:rsidRPr="00295833">
        <w:rPr>
          <w:rFonts w:ascii="Simplified Arabic"/>
          <w:szCs w:val="20"/>
          <w:rtl/>
        </w:rPr>
        <w:t>-</w:t>
      </w:r>
      <w:r w:rsidRPr="00F12208">
        <w:rPr>
          <w:rtl/>
        </w:rPr>
        <w:t>2025</w:t>
      </w:r>
      <w:r w:rsidRPr="00295833">
        <w:rPr>
          <w:rtl/>
        </w:rPr>
        <w:t xml:space="preserve"> على توفير الرعاية الصحية الميسورة بأسعار معقولة (المادة </w:t>
      </w:r>
      <w:r w:rsidRPr="00F12208">
        <w:rPr>
          <w:rtl/>
        </w:rPr>
        <w:t>1</w:t>
      </w:r>
      <w:r w:rsidR="00B726CD" w:rsidRPr="00F12208">
        <w:rPr>
          <w:rtl/>
        </w:rPr>
        <w:t>2</w:t>
      </w:r>
      <w:r w:rsidR="00B726CD" w:rsidRPr="00295833">
        <w:rPr>
          <w:rFonts w:ascii="Simplified Arabic"/>
          <w:szCs w:val="20"/>
          <w:rtl/>
        </w:rPr>
        <w:t>)</w:t>
      </w:r>
      <w:r w:rsidR="00B726CD" w:rsidRPr="00295833">
        <w:rPr>
          <w:rtl/>
        </w:rPr>
        <w:t>.</w:t>
      </w:r>
    </w:p>
    <w:p w14:paraId="5BDC542A" w14:textId="3EC54A3E" w:rsidR="00CB7496" w:rsidRPr="00F12208" w:rsidRDefault="00CB7496" w:rsidP="00CB7496">
      <w:pPr>
        <w:pStyle w:val="SingleTxtGA"/>
        <w:rPr>
          <w:b/>
          <w:bCs/>
          <w:szCs w:val="20"/>
          <w:lang w:val="ar-SA" w:eastAsia="zh-TW" w:bidi="en-GB"/>
        </w:rPr>
      </w:pPr>
      <w:r w:rsidRPr="00F12208">
        <w:rPr>
          <w:rtl/>
        </w:rPr>
        <w:t>53</w:t>
      </w:r>
      <w:r w:rsidRPr="00295833">
        <w:rPr>
          <w:rFonts w:ascii="Simplified Arabic"/>
          <w:szCs w:val="20"/>
          <w:rtl/>
        </w:rPr>
        <w:t>-</w:t>
      </w:r>
      <w:r w:rsidRPr="00295833">
        <w:rPr>
          <w:rtl/>
        </w:rPr>
        <w:tab/>
      </w:r>
      <w:r w:rsidRPr="00F12208">
        <w:rPr>
          <w:b/>
          <w:bCs/>
          <w:rtl/>
        </w:rPr>
        <w:t>توصي اللجنة بأن تقوم الدولة الطرف بما يلي:</w:t>
      </w:r>
    </w:p>
    <w:p w14:paraId="2E95B41D" w14:textId="5748E3F5" w:rsidR="00CB7496" w:rsidRPr="00F12208" w:rsidRDefault="00CB7496" w:rsidP="00CB7496">
      <w:pPr>
        <w:pStyle w:val="SingleTxtGA"/>
        <w:rPr>
          <w:b/>
          <w:bCs/>
          <w:szCs w:val="20"/>
          <w:lang w:val="ar-SA" w:eastAsia="zh-TW" w:bidi="en-GB"/>
        </w:rPr>
      </w:pPr>
      <w:r w:rsidRPr="00295833">
        <w:rPr>
          <w:rtl/>
        </w:rPr>
        <w:tab/>
        <w:t>(أ)</w:t>
      </w:r>
      <w:r w:rsidRPr="00295833">
        <w:rPr>
          <w:rtl/>
        </w:rPr>
        <w:tab/>
      </w:r>
      <w:r w:rsidRPr="00F12208">
        <w:rPr>
          <w:b/>
          <w:bCs/>
          <w:rtl/>
        </w:rPr>
        <w:t>زيادة الميزانية المخصصة لقطاع الرعاية الصحية والعمل على عدم تأثره بأي تدابير تقشّف تتخذها الدولة الطرف بسبب جائحة كوفيد-19؛</w:t>
      </w:r>
    </w:p>
    <w:p w14:paraId="402B82BE" w14:textId="4C473044" w:rsidR="00CB7496" w:rsidRPr="00F12208" w:rsidRDefault="00CB7496" w:rsidP="00CB7496">
      <w:pPr>
        <w:pStyle w:val="SingleTxtGA"/>
        <w:rPr>
          <w:b/>
          <w:bCs/>
          <w:szCs w:val="20"/>
          <w:lang w:val="ar-SA" w:eastAsia="zh-TW" w:bidi="en-GB"/>
        </w:rPr>
      </w:pPr>
      <w:r w:rsidRPr="00295833">
        <w:rPr>
          <w:rtl/>
        </w:rPr>
        <w:tab/>
        <w:t>(ب)</w:t>
      </w:r>
      <w:r w:rsidRPr="00295833">
        <w:rPr>
          <w:rtl/>
        </w:rPr>
        <w:tab/>
      </w:r>
      <w:r w:rsidRPr="00F12208">
        <w:rPr>
          <w:b/>
          <w:bCs/>
          <w:rtl/>
        </w:rPr>
        <w:t>توسيع نطاق خدمات الرعاية الصحية المقدمة في إطار التأمين الصحي الوطني وتغطيتها وتحسين نوعيتها قصد القضاء على الفوارق الاجتماعية</w:t>
      </w:r>
      <w:r w:rsidR="00B73875" w:rsidRPr="00F12208">
        <w:rPr>
          <w:rFonts w:hint="cs"/>
          <w:b/>
          <w:bCs/>
          <w:rtl/>
        </w:rPr>
        <w:t xml:space="preserve"> </w:t>
      </w:r>
      <w:r w:rsidRPr="00F12208">
        <w:rPr>
          <w:b/>
          <w:bCs/>
          <w:rtl/>
        </w:rPr>
        <w:t>-</w:t>
      </w:r>
      <w:r w:rsidR="00B73875" w:rsidRPr="00F12208">
        <w:rPr>
          <w:rFonts w:hint="cs"/>
          <w:b/>
          <w:bCs/>
          <w:rtl/>
        </w:rPr>
        <w:t xml:space="preserve"> </w:t>
      </w:r>
      <w:r w:rsidRPr="00F12208">
        <w:rPr>
          <w:b/>
          <w:bCs/>
          <w:rtl/>
        </w:rPr>
        <w:t>الاقتصادية في الحصول على خدمات الرعاية الصحية؛</w:t>
      </w:r>
    </w:p>
    <w:p w14:paraId="6043946E" w14:textId="60823102" w:rsidR="00CB7496" w:rsidRPr="00F12208" w:rsidRDefault="00CB7496" w:rsidP="00CB7496">
      <w:pPr>
        <w:pStyle w:val="SingleTxtGA"/>
        <w:rPr>
          <w:b/>
          <w:bCs/>
          <w:szCs w:val="20"/>
          <w:lang w:val="en-US" w:eastAsia="zh-TW" w:bidi="en-GB"/>
        </w:rPr>
      </w:pPr>
      <w:r w:rsidRPr="00295833">
        <w:rPr>
          <w:rtl/>
        </w:rPr>
        <w:tab/>
        <w:t>(ج)</w:t>
      </w:r>
      <w:r w:rsidRPr="00295833">
        <w:rPr>
          <w:rtl/>
        </w:rPr>
        <w:tab/>
      </w:r>
      <w:r w:rsidRPr="00F12208">
        <w:rPr>
          <w:b/>
          <w:bCs/>
          <w:rtl/>
        </w:rPr>
        <w:t>توفير الرعاية الصحية الأولية لجميع من يعيشون في البلاد.</w:t>
      </w:r>
    </w:p>
    <w:p w14:paraId="1BA21EE6" w14:textId="77777777" w:rsidR="00CB7496" w:rsidRPr="00F12208" w:rsidRDefault="00CB7496" w:rsidP="00CB7496">
      <w:pPr>
        <w:pStyle w:val="H23GA"/>
        <w:rPr>
          <w:szCs w:val="20"/>
          <w:lang w:val="ar-SA" w:eastAsia="zh-TW" w:bidi="en-GB"/>
        </w:rPr>
      </w:pPr>
      <w:r w:rsidRPr="00F12208">
        <w:rPr>
          <w:rtl/>
        </w:rPr>
        <w:tab/>
      </w:r>
      <w:r w:rsidRPr="00F12208">
        <w:rPr>
          <w:rtl/>
        </w:rPr>
        <w:tab/>
        <w:t>متعاطو المخدرات؛</w:t>
      </w:r>
    </w:p>
    <w:p w14:paraId="5DF1D0A4" w14:textId="2B9081DC" w:rsidR="00B726CD" w:rsidRPr="00295833" w:rsidRDefault="00CB7496" w:rsidP="00CB7496">
      <w:pPr>
        <w:pStyle w:val="SingleTxtGA"/>
        <w:rPr>
          <w:szCs w:val="20"/>
          <w:lang w:val="ar-SA" w:eastAsia="zh-TW" w:bidi="en-GB"/>
        </w:rPr>
      </w:pPr>
      <w:r w:rsidRPr="00F12208">
        <w:rPr>
          <w:rtl/>
        </w:rPr>
        <w:t>54</w:t>
      </w:r>
      <w:r w:rsidRPr="00295833">
        <w:rPr>
          <w:rFonts w:ascii="Simplified Arabic"/>
          <w:szCs w:val="20"/>
          <w:rtl/>
        </w:rPr>
        <w:t>-</w:t>
      </w:r>
      <w:r w:rsidRPr="00295833">
        <w:rPr>
          <w:rtl/>
        </w:rPr>
        <w:tab/>
        <w:t>تأسف اللجنة لعدم وجود معلومات عن فعالية التدابير المتخذة لتحسين توافر برامج الحد من الضرر وخدمات الرعاية الصحية المتخصصة وتحسين إمكانية الوصول إليها وجودتها، سواء في المجتمع المحلي أو في السجون. وتأسف اللجنة أيضا</w:t>
      </w:r>
      <w:r w:rsidR="00D746C0" w:rsidRPr="00295833">
        <w:rPr>
          <w:rFonts w:hint="cs"/>
          <w:rtl/>
        </w:rPr>
        <w:t>ً</w:t>
      </w:r>
      <w:r w:rsidRPr="00295833">
        <w:rPr>
          <w:rtl/>
        </w:rPr>
        <w:t xml:space="preserve"> لأن الدولة الطرف لم تلغ بعد تجريم حيازة المخدرات للاستهلاك الشخصي، مما يمنع الأشخاص الذين يتعاطون المخدرات من الوصول إلى العلاج اللازم أو إلى برامج الحد من الضرر، خوفا</w:t>
      </w:r>
      <w:r w:rsidR="00C713CA" w:rsidRPr="00295833">
        <w:rPr>
          <w:rFonts w:hint="cs"/>
          <w:rtl/>
        </w:rPr>
        <w:t>ً</w:t>
      </w:r>
      <w:r w:rsidRPr="00295833">
        <w:rPr>
          <w:rtl/>
        </w:rPr>
        <w:t xml:space="preserve"> من التجريم (المادة </w:t>
      </w:r>
      <w:r w:rsidRPr="00F12208">
        <w:rPr>
          <w:rtl/>
        </w:rPr>
        <w:t>1</w:t>
      </w:r>
      <w:r w:rsidR="00B726CD" w:rsidRPr="00F12208">
        <w:rPr>
          <w:rtl/>
        </w:rPr>
        <w:t>2</w:t>
      </w:r>
      <w:r w:rsidR="00B726CD" w:rsidRPr="00295833">
        <w:rPr>
          <w:rFonts w:ascii="Simplified Arabic"/>
          <w:szCs w:val="20"/>
          <w:rtl/>
        </w:rPr>
        <w:t>)</w:t>
      </w:r>
      <w:r w:rsidR="00B726CD" w:rsidRPr="00295833">
        <w:rPr>
          <w:rtl/>
        </w:rPr>
        <w:t>.</w:t>
      </w:r>
    </w:p>
    <w:p w14:paraId="40CE4865" w14:textId="20DDFD0B" w:rsidR="00CB7496" w:rsidRPr="00F12208" w:rsidRDefault="00CB7496" w:rsidP="00CB7496">
      <w:pPr>
        <w:pStyle w:val="SingleTxtGA"/>
        <w:rPr>
          <w:b/>
          <w:bCs/>
          <w:szCs w:val="20"/>
          <w:lang w:val="en-US" w:eastAsia="zh-TW" w:bidi="en-GB"/>
        </w:rPr>
      </w:pPr>
      <w:r w:rsidRPr="00F12208">
        <w:rPr>
          <w:rtl/>
        </w:rPr>
        <w:t>55</w:t>
      </w:r>
      <w:r w:rsidRPr="00295833">
        <w:rPr>
          <w:rFonts w:ascii="Simplified Arabic"/>
          <w:szCs w:val="20"/>
          <w:rtl/>
        </w:rPr>
        <w:t>-</w:t>
      </w:r>
      <w:r w:rsidRPr="00295833">
        <w:rPr>
          <w:rtl/>
        </w:rPr>
        <w:tab/>
      </w:r>
      <w:r w:rsidRPr="00F12208">
        <w:rPr>
          <w:b/>
          <w:bCs/>
          <w:rtl/>
        </w:rPr>
        <w:t>توصي اللجنة الدولة الطرف بشطب حيازة المخدرات للاستهلاك الشخصي من قائمة الجرائم ومراجعة سياساتها وتشريعاتها المتصلة بالمخدرات لمواءمتها مع المعايير الدولية لحقوق الإنسان وأفضل الممارسات. وتوصيها أيضاً بزيادة توافر برامج الحد من الأضرار وتيسير الحصول عليها وزيادة جودتها وإسداء خدمات صحية متخصصة لمتعاطي المخدرات.</w:t>
      </w:r>
    </w:p>
    <w:p w14:paraId="44BC3264" w14:textId="77777777" w:rsidR="00CB7496" w:rsidRPr="00F12208" w:rsidRDefault="00CB7496" w:rsidP="00CB7496">
      <w:pPr>
        <w:pStyle w:val="H23GA"/>
        <w:rPr>
          <w:szCs w:val="20"/>
          <w:lang w:val="en-US" w:eastAsia="zh-TW" w:bidi="en-GB"/>
        </w:rPr>
      </w:pPr>
      <w:r w:rsidRPr="00F12208">
        <w:rPr>
          <w:rtl/>
        </w:rPr>
        <w:tab/>
      </w:r>
      <w:r w:rsidRPr="00F12208">
        <w:rPr>
          <w:rtl/>
        </w:rPr>
        <w:tab/>
        <w:t>الصحة العقلية</w:t>
      </w:r>
    </w:p>
    <w:p w14:paraId="4496F6EC" w14:textId="61D2955C" w:rsidR="00B726CD" w:rsidRPr="00295833" w:rsidRDefault="00CB7496" w:rsidP="00CB7496">
      <w:pPr>
        <w:pStyle w:val="SingleTxtGA"/>
        <w:rPr>
          <w:szCs w:val="20"/>
          <w:lang w:val="ar-SA" w:eastAsia="zh-TW" w:bidi="en-GB"/>
        </w:rPr>
      </w:pPr>
      <w:r w:rsidRPr="00F12208">
        <w:rPr>
          <w:rtl/>
        </w:rPr>
        <w:t>56</w:t>
      </w:r>
      <w:r w:rsidRPr="00295833">
        <w:rPr>
          <w:rFonts w:ascii="Simplified Arabic"/>
          <w:szCs w:val="20"/>
          <w:rtl/>
        </w:rPr>
        <w:t>-</w:t>
      </w:r>
      <w:r w:rsidRPr="00295833">
        <w:rPr>
          <w:rtl/>
        </w:rPr>
        <w:tab/>
        <w:t xml:space="preserve">بينما ترحب اللجنة بالتدابير المتخذة لتحسين خدمات الصحة العقلية، فإنها تشعر بالقلق إزاء استمرار وصم اعتلال الصحة العقلية، الأمر الذي يمنع الأفراد من التماس المساعدة والعلاج. ويساور </w:t>
      </w:r>
      <w:r w:rsidRPr="00295833">
        <w:rPr>
          <w:rtl/>
        </w:rPr>
        <w:lastRenderedPageBreak/>
        <w:t>اللجنة القلق كذلك إزاء انخفاض الميزانية المخصصة للصحة العقلية مقارنة بمجموع الإنفاق الحكومي على الصحة. وتأسف اللجنة لعدم وجود معلومات عن التدابير المحددة المتخذة لحظر إدخال الأشخاص ذوي الإعاقات النفسية - الاجتماعية أو الذهنية قسرا</w:t>
      </w:r>
      <w:r w:rsidR="00C713CA" w:rsidRPr="00295833">
        <w:rPr>
          <w:rFonts w:hint="cs"/>
          <w:rtl/>
        </w:rPr>
        <w:t>ً</w:t>
      </w:r>
      <w:r w:rsidRPr="00295833">
        <w:rPr>
          <w:rtl/>
        </w:rPr>
        <w:t xml:space="preserve"> إلى المستشفى وحظر العلاج غير الرضائي والإجراءات الطبية أو الجراحية التطفلية (المادة </w:t>
      </w:r>
      <w:r w:rsidRPr="00F12208">
        <w:rPr>
          <w:rtl/>
        </w:rPr>
        <w:t>1</w:t>
      </w:r>
      <w:r w:rsidR="00B726CD" w:rsidRPr="00F12208">
        <w:rPr>
          <w:rtl/>
        </w:rPr>
        <w:t>2</w:t>
      </w:r>
      <w:r w:rsidR="00B726CD" w:rsidRPr="00295833">
        <w:rPr>
          <w:rFonts w:ascii="Simplified Arabic"/>
          <w:szCs w:val="20"/>
          <w:rtl/>
        </w:rPr>
        <w:t>)</w:t>
      </w:r>
      <w:r w:rsidR="00B726CD" w:rsidRPr="00295833">
        <w:rPr>
          <w:rtl/>
        </w:rPr>
        <w:t>.</w:t>
      </w:r>
    </w:p>
    <w:p w14:paraId="41651EE6" w14:textId="6DE3DEC7" w:rsidR="00B726CD" w:rsidRPr="00F12208" w:rsidRDefault="00CB7496" w:rsidP="00CB7496">
      <w:pPr>
        <w:pStyle w:val="SingleTxtGA"/>
        <w:rPr>
          <w:b/>
          <w:bCs/>
          <w:szCs w:val="20"/>
          <w:lang w:val="en-US" w:eastAsia="zh-TW" w:bidi="en-GB"/>
        </w:rPr>
      </w:pPr>
      <w:r w:rsidRPr="00F12208">
        <w:rPr>
          <w:rtl/>
        </w:rPr>
        <w:t>57</w:t>
      </w:r>
      <w:r w:rsidRPr="00295833">
        <w:rPr>
          <w:rFonts w:ascii="Simplified Arabic"/>
          <w:szCs w:val="20"/>
          <w:rtl/>
        </w:rPr>
        <w:t>-</w:t>
      </w:r>
      <w:r w:rsidRPr="00295833">
        <w:rPr>
          <w:rtl/>
        </w:rPr>
        <w:tab/>
      </w:r>
      <w:r w:rsidRPr="00F12208">
        <w:rPr>
          <w:b/>
          <w:bCs/>
          <w:spacing w:val="-4"/>
          <w:rtl/>
        </w:rPr>
        <w:t>تكرر اللجنة التوصيات الواردة في ملاحظاتها الختامية السابقة، وتوصي الدولة الطرف بما</w:t>
      </w:r>
      <w:r w:rsidR="00D746C0" w:rsidRPr="00F12208">
        <w:rPr>
          <w:rFonts w:hint="cs"/>
          <w:b/>
          <w:bCs/>
          <w:spacing w:val="-4"/>
          <w:rtl/>
        </w:rPr>
        <w:t> </w:t>
      </w:r>
      <w:r w:rsidRPr="00F12208">
        <w:rPr>
          <w:b/>
          <w:bCs/>
          <w:spacing w:val="-4"/>
          <w:rtl/>
        </w:rPr>
        <w:t>يلي</w:t>
      </w:r>
      <w:r w:rsidR="00B726CD" w:rsidRPr="00F12208">
        <w:rPr>
          <w:rStyle w:val="FootnoteReference"/>
          <w:b/>
          <w:bCs/>
          <w:spacing w:val="-4"/>
          <w:rtl/>
        </w:rPr>
        <w:t>(</w:t>
      </w:r>
      <w:r w:rsidR="00B726CD" w:rsidRPr="00F12208">
        <w:rPr>
          <w:rStyle w:val="FootnoteReference"/>
          <w:spacing w:val="-4"/>
          <w:lang w:val="en-US"/>
        </w:rPr>
        <w:footnoteReference w:id="15"/>
      </w:r>
      <w:r w:rsidR="00B726CD" w:rsidRPr="00F12208">
        <w:rPr>
          <w:rStyle w:val="FootnoteReference"/>
          <w:b/>
          <w:bCs/>
          <w:spacing w:val="-4"/>
          <w:rtl/>
        </w:rPr>
        <w:t>)</w:t>
      </w:r>
      <w:r w:rsidR="00B726CD" w:rsidRPr="00F12208">
        <w:rPr>
          <w:rFonts w:ascii="Simplified Arabic"/>
          <w:b/>
          <w:bCs/>
          <w:spacing w:val="-4"/>
          <w:szCs w:val="20"/>
          <w:rtl/>
        </w:rPr>
        <w:t>:</w:t>
      </w:r>
    </w:p>
    <w:p w14:paraId="08A227C6" w14:textId="5F5F367E" w:rsidR="00CB7496" w:rsidRPr="00F12208" w:rsidRDefault="00CB7496" w:rsidP="00CB7496">
      <w:pPr>
        <w:pStyle w:val="SingleTxtGA"/>
        <w:rPr>
          <w:b/>
          <w:bCs/>
          <w:szCs w:val="20"/>
          <w:lang w:val="ar-SA" w:eastAsia="zh-TW" w:bidi="en-GB"/>
        </w:rPr>
      </w:pPr>
      <w:r w:rsidRPr="00295833">
        <w:rPr>
          <w:rtl/>
        </w:rPr>
        <w:tab/>
        <w:t>(أ)</w:t>
      </w:r>
      <w:r w:rsidRPr="00295833">
        <w:rPr>
          <w:rtl/>
        </w:rPr>
        <w:tab/>
      </w:r>
      <w:r w:rsidRPr="00F12208">
        <w:rPr>
          <w:b/>
          <w:bCs/>
          <w:rtl/>
        </w:rPr>
        <w:t>زيادة جهودها لتحديد الأسباب الجذرية لانتشار حالات اعتلال الصحة العقلية وزيادة عددها ومعالجتها بفعالية؛</w:t>
      </w:r>
    </w:p>
    <w:p w14:paraId="4FDC93FF" w14:textId="5363549E" w:rsidR="00CB7496" w:rsidRPr="00F12208" w:rsidRDefault="00CB7496" w:rsidP="00CB7496">
      <w:pPr>
        <w:pStyle w:val="SingleTxtGA"/>
        <w:rPr>
          <w:b/>
          <w:bCs/>
          <w:szCs w:val="20"/>
          <w:lang w:val="ar-SA" w:eastAsia="zh-TW" w:bidi="en-GB"/>
        </w:rPr>
      </w:pPr>
      <w:r w:rsidRPr="00295833">
        <w:rPr>
          <w:rtl/>
        </w:rPr>
        <w:tab/>
        <w:t>(ب)</w:t>
      </w:r>
      <w:r w:rsidRPr="00295833">
        <w:rPr>
          <w:rtl/>
        </w:rPr>
        <w:tab/>
      </w:r>
      <w:r w:rsidRPr="00F12208">
        <w:rPr>
          <w:b/>
          <w:bCs/>
          <w:rtl/>
        </w:rPr>
        <w:t>ضمان الانتقال من إيداع الأشخاص الذين يحتاجون إلى خدمات رعاية الصحة العقلية في مؤسسات الطب النفسي إلى نظام شامل ومتكامل ومتعدد التخصصات لخدمات الصحة العقلية المجتمعية؛</w:t>
      </w:r>
    </w:p>
    <w:p w14:paraId="5C2678E6" w14:textId="78C05764" w:rsidR="00CB7496" w:rsidRPr="00F12208" w:rsidRDefault="00CB7496" w:rsidP="00CB7496">
      <w:pPr>
        <w:pStyle w:val="SingleTxtGA"/>
        <w:rPr>
          <w:b/>
          <w:bCs/>
          <w:szCs w:val="20"/>
          <w:lang w:val="ar-SA" w:eastAsia="zh-TW" w:bidi="en-GB"/>
        </w:rPr>
      </w:pPr>
      <w:r w:rsidRPr="00295833">
        <w:rPr>
          <w:rtl/>
        </w:rPr>
        <w:tab/>
        <w:t>(ج)</w:t>
      </w:r>
      <w:r w:rsidRPr="00295833">
        <w:rPr>
          <w:rtl/>
        </w:rPr>
        <w:tab/>
      </w:r>
      <w:r w:rsidRPr="00F12208">
        <w:rPr>
          <w:b/>
          <w:bCs/>
          <w:rtl/>
        </w:rPr>
        <w:t>اتخاذ تدابير لإزالة الأشكال المتبقية من التمييز والوصم؛</w:t>
      </w:r>
    </w:p>
    <w:p w14:paraId="4AF8F289" w14:textId="05E593CA" w:rsidR="00CB7496" w:rsidRPr="00F12208" w:rsidRDefault="00CB7496" w:rsidP="00CB7496">
      <w:pPr>
        <w:pStyle w:val="SingleTxtGA"/>
        <w:rPr>
          <w:b/>
          <w:bCs/>
          <w:szCs w:val="20"/>
          <w:lang w:val="en-US" w:eastAsia="zh-TW" w:bidi="en-GB"/>
        </w:rPr>
      </w:pPr>
      <w:r w:rsidRPr="00295833">
        <w:rPr>
          <w:rtl/>
        </w:rPr>
        <w:tab/>
        <w:t>(د)</w:t>
      </w:r>
      <w:r w:rsidRPr="00295833">
        <w:rPr>
          <w:rtl/>
        </w:rPr>
        <w:tab/>
      </w:r>
      <w:r w:rsidRPr="00F12208">
        <w:rPr>
          <w:b/>
          <w:bCs/>
          <w:rtl/>
        </w:rPr>
        <w:t>ضمان أن تكون المستويات الإجمالية للتمويل المخصص لخدمات رعاية الصحة النفسية كافية لتلبية احتياجات السكان.</w:t>
      </w:r>
    </w:p>
    <w:p w14:paraId="4B7D4996" w14:textId="77777777" w:rsidR="00CB7496" w:rsidRPr="00F12208" w:rsidRDefault="00CB7496" w:rsidP="00CB7496">
      <w:pPr>
        <w:pStyle w:val="H23GA"/>
        <w:rPr>
          <w:szCs w:val="20"/>
          <w:lang w:val="ar-SA" w:eastAsia="zh-TW" w:bidi="en-GB"/>
        </w:rPr>
      </w:pPr>
      <w:r w:rsidRPr="00F12208">
        <w:rPr>
          <w:rtl/>
        </w:rPr>
        <w:tab/>
      </w:r>
      <w:r w:rsidRPr="00F12208">
        <w:rPr>
          <w:rtl/>
        </w:rPr>
        <w:tab/>
        <w:t>الحق في التعليم</w:t>
      </w:r>
    </w:p>
    <w:p w14:paraId="57A17F41" w14:textId="6D9F5B54" w:rsidR="00B726CD" w:rsidRPr="00295833" w:rsidRDefault="00CB7496" w:rsidP="00CB7496">
      <w:pPr>
        <w:pStyle w:val="SingleTxtGA"/>
        <w:rPr>
          <w:szCs w:val="20"/>
          <w:lang w:val="ar-SA" w:eastAsia="zh-TW" w:bidi="en-GB"/>
        </w:rPr>
      </w:pPr>
      <w:r w:rsidRPr="00F12208">
        <w:rPr>
          <w:rtl/>
        </w:rPr>
        <w:t>58</w:t>
      </w:r>
      <w:r w:rsidRPr="00295833">
        <w:rPr>
          <w:rFonts w:ascii="Simplified Arabic"/>
          <w:szCs w:val="20"/>
          <w:rtl/>
        </w:rPr>
        <w:t>-</w:t>
      </w:r>
      <w:r w:rsidRPr="00295833">
        <w:rPr>
          <w:rtl/>
        </w:rPr>
        <w:tab/>
        <w:t xml:space="preserve">رغم الإصلاحات الأخيرة التي أجرتها الدولة الطرف، يساور اللجنة القلق إزاء استمرار وجود فجوة كبيرة في الإنجازات التعليمية بين الطلاب من المناطق الريفية والحضرية. ويساور اللجنة القلق إزاء التقارير التي تفيد باستمرار تدني التحصيل العلمي وارتفاع معدلات التسرب بين أطفال الروما وإيداعهم في مدارس خاصة بهم. وتأسف اللجنة لعدم وجود بيانات إحصائية عن معدلات الالتحاق بالمدارس والتسرب منها وعدم الثبات في معدلات المواظبة في التعليم الابتدائي والثانوي والعالي، وعن التحصيل والنتائج التعليمية، مصنفة حسب السن ونوع الجنس والأصل الإثني والأصل القومي والإعاقة والوضع الاجتماعي - الاقتصادي (المواد </w:t>
      </w:r>
      <w:r w:rsidRPr="00F12208">
        <w:rPr>
          <w:rtl/>
        </w:rPr>
        <w:t>2</w:t>
      </w:r>
      <w:r w:rsidRPr="00295833">
        <w:rPr>
          <w:rtl/>
        </w:rPr>
        <w:t xml:space="preserve"> و</w:t>
      </w:r>
      <w:r w:rsidRPr="00F12208">
        <w:rPr>
          <w:rtl/>
        </w:rPr>
        <w:t>13</w:t>
      </w:r>
      <w:r w:rsidRPr="00295833">
        <w:rPr>
          <w:rtl/>
        </w:rPr>
        <w:t xml:space="preserve"> و</w:t>
      </w:r>
      <w:r w:rsidRPr="00F12208">
        <w:rPr>
          <w:rtl/>
        </w:rPr>
        <w:t>1</w:t>
      </w:r>
      <w:r w:rsidR="00B726CD" w:rsidRPr="00F12208">
        <w:rPr>
          <w:rtl/>
        </w:rPr>
        <w:t>4</w:t>
      </w:r>
      <w:r w:rsidR="00B726CD" w:rsidRPr="00295833">
        <w:rPr>
          <w:rFonts w:ascii="Simplified Arabic"/>
          <w:szCs w:val="20"/>
          <w:rtl/>
        </w:rPr>
        <w:t>)</w:t>
      </w:r>
      <w:r w:rsidR="00B726CD" w:rsidRPr="00295833">
        <w:rPr>
          <w:rtl/>
        </w:rPr>
        <w:t>.</w:t>
      </w:r>
    </w:p>
    <w:p w14:paraId="6FFDEB4F" w14:textId="66B8CC5A" w:rsidR="00CB7496" w:rsidRPr="00295833" w:rsidRDefault="00CB7496" w:rsidP="00CB7496">
      <w:pPr>
        <w:pStyle w:val="SingleTxtGA"/>
        <w:rPr>
          <w:szCs w:val="20"/>
          <w:lang w:val="ar-SA" w:eastAsia="zh-TW" w:bidi="en-GB"/>
        </w:rPr>
      </w:pPr>
      <w:r w:rsidRPr="00F12208">
        <w:rPr>
          <w:rtl/>
        </w:rPr>
        <w:t>59</w:t>
      </w:r>
      <w:r w:rsidRPr="00295833">
        <w:rPr>
          <w:rFonts w:ascii="Simplified Arabic"/>
          <w:szCs w:val="20"/>
          <w:rtl/>
        </w:rPr>
        <w:t>-</w:t>
      </w:r>
      <w:r w:rsidRPr="00295833">
        <w:rPr>
          <w:rtl/>
        </w:rPr>
        <w:tab/>
        <w:t>ويساور اللجنة القلق أيضا</w:t>
      </w:r>
      <w:r w:rsidR="00C713CA" w:rsidRPr="00295833">
        <w:rPr>
          <w:rFonts w:hint="cs"/>
          <w:rtl/>
        </w:rPr>
        <w:t>ً</w:t>
      </w:r>
      <w:r w:rsidRPr="00295833">
        <w:rPr>
          <w:rtl/>
        </w:rPr>
        <w:t xml:space="preserve"> إزاء عدم وجود أي تدابير محددة لتعليم الأقليات القومية لغتها الأم كمادة مستقلة في التعليم قبل المدرسي والثانوي.</w:t>
      </w:r>
    </w:p>
    <w:p w14:paraId="7B39202B" w14:textId="77777777" w:rsidR="00CB7496" w:rsidRPr="00F12208" w:rsidRDefault="00CB7496" w:rsidP="00CB7496">
      <w:pPr>
        <w:pStyle w:val="SingleTxtGA"/>
        <w:rPr>
          <w:b/>
          <w:bCs/>
          <w:szCs w:val="20"/>
          <w:lang w:val="ar-SA" w:eastAsia="zh-TW" w:bidi="en-GB"/>
        </w:rPr>
      </w:pPr>
      <w:r w:rsidRPr="00F12208">
        <w:rPr>
          <w:rtl/>
        </w:rPr>
        <w:t>60</w:t>
      </w:r>
      <w:r w:rsidRPr="00295833">
        <w:rPr>
          <w:rFonts w:ascii="Simplified Arabic"/>
          <w:szCs w:val="20"/>
          <w:rtl/>
        </w:rPr>
        <w:t>-</w:t>
      </w:r>
      <w:r w:rsidRPr="00295833">
        <w:rPr>
          <w:rtl/>
        </w:rPr>
        <w:tab/>
      </w:r>
      <w:r w:rsidRPr="00F12208">
        <w:rPr>
          <w:b/>
          <w:bCs/>
          <w:rtl/>
        </w:rPr>
        <w:t>توصي اللجنة بأن تقوم الدولة الطرف بما يلي:</w:t>
      </w:r>
    </w:p>
    <w:p w14:paraId="5994162B" w14:textId="7B79550A" w:rsidR="00CB7496" w:rsidRPr="00F12208" w:rsidRDefault="00CB7496" w:rsidP="00CB7496">
      <w:pPr>
        <w:pStyle w:val="SingleTxtGA"/>
        <w:rPr>
          <w:b/>
          <w:bCs/>
          <w:szCs w:val="20"/>
          <w:lang w:val="ar-SA" w:eastAsia="zh-TW" w:bidi="en-GB"/>
        </w:rPr>
      </w:pPr>
      <w:r w:rsidRPr="00295833">
        <w:rPr>
          <w:rtl/>
        </w:rPr>
        <w:tab/>
        <w:t>(أ)</w:t>
      </w:r>
      <w:r w:rsidRPr="00295833">
        <w:rPr>
          <w:rtl/>
        </w:rPr>
        <w:tab/>
      </w:r>
      <w:r w:rsidRPr="00F12208">
        <w:rPr>
          <w:b/>
          <w:bCs/>
          <w:rtl/>
        </w:rPr>
        <w:t>اتخاذ تدابير محددة الأهداف لتحسين معدلات الالتحاق بالمدارس وإتمام الدراسة بين أطفال الروما والأطفال ذوي الإعاقات والطلاب الذين يعيشون في مناطق ريفية؛</w:t>
      </w:r>
    </w:p>
    <w:p w14:paraId="212355E7" w14:textId="3D18CCE5" w:rsidR="00CB7496" w:rsidRPr="00F12208" w:rsidRDefault="00CB7496" w:rsidP="00CB7496">
      <w:pPr>
        <w:pStyle w:val="SingleTxtGA"/>
        <w:rPr>
          <w:b/>
          <w:bCs/>
          <w:szCs w:val="20"/>
          <w:lang w:val="ar-SA" w:eastAsia="zh-TW" w:bidi="en-GB"/>
        </w:rPr>
      </w:pPr>
      <w:r w:rsidRPr="00295833">
        <w:rPr>
          <w:rtl/>
        </w:rPr>
        <w:tab/>
        <w:t>(ب)</w:t>
      </w:r>
      <w:r w:rsidRPr="00295833">
        <w:rPr>
          <w:rtl/>
        </w:rPr>
        <w:tab/>
      </w:r>
      <w:r w:rsidRPr="00F12208">
        <w:rPr>
          <w:b/>
          <w:bCs/>
          <w:rtl/>
        </w:rPr>
        <w:t>تنفيذ نظام التعليم الشامل للجميع تنفيذاً كاملاً، وإدراج التعليم الشامل للجميع في برامج التدريب الأكاديمي والمناهج الدراسية لهيئة التدريس، وتقديم أموال مخصصة لتنفيذ التعليم الشامل للجميع؛</w:t>
      </w:r>
    </w:p>
    <w:p w14:paraId="63A33012" w14:textId="32C7DA52" w:rsidR="00CB7496" w:rsidRPr="00F12208" w:rsidRDefault="00CB7496" w:rsidP="00CB7496">
      <w:pPr>
        <w:pStyle w:val="SingleTxtGA"/>
        <w:rPr>
          <w:b/>
          <w:bCs/>
          <w:szCs w:val="20"/>
          <w:lang w:val="ar-SA" w:eastAsia="zh-TW" w:bidi="en-GB"/>
        </w:rPr>
      </w:pPr>
      <w:r w:rsidRPr="00295833">
        <w:rPr>
          <w:rtl/>
        </w:rPr>
        <w:tab/>
        <w:t>(ج)</w:t>
      </w:r>
      <w:r w:rsidRPr="00295833">
        <w:rPr>
          <w:rtl/>
        </w:rPr>
        <w:tab/>
      </w:r>
      <w:r w:rsidRPr="00F12208">
        <w:rPr>
          <w:b/>
          <w:bCs/>
          <w:rtl/>
        </w:rPr>
        <w:t>ضمان وصول جميع الأطفال طالبي اللجوء إلى نظام التعليم الابتدائي والثانوي بغض النظر عن وضعهم؛</w:t>
      </w:r>
    </w:p>
    <w:p w14:paraId="06780260" w14:textId="53176900" w:rsidR="00CB7496" w:rsidRPr="00F12208" w:rsidRDefault="00CB7496" w:rsidP="00CB7496">
      <w:pPr>
        <w:pStyle w:val="SingleTxtGA"/>
        <w:rPr>
          <w:b/>
          <w:bCs/>
          <w:szCs w:val="20"/>
          <w:lang w:val="en-US" w:eastAsia="zh-TW" w:bidi="en-GB"/>
        </w:rPr>
      </w:pPr>
      <w:r w:rsidRPr="00295833">
        <w:rPr>
          <w:rtl/>
        </w:rPr>
        <w:lastRenderedPageBreak/>
        <w:tab/>
        <w:t>(د)</w:t>
      </w:r>
      <w:r w:rsidRPr="00295833">
        <w:rPr>
          <w:rtl/>
        </w:rPr>
        <w:tab/>
      </w:r>
      <w:r w:rsidRPr="00F12208">
        <w:rPr>
          <w:b/>
          <w:bCs/>
          <w:rtl/>
        </w:rPr>
        <w:t>تعويض ما ضاع من فرص التعلّم بسبب جائحة كوفيد-19، خاصة بالنسبة إلى الأطفال المحرومين والمهمشين، ومنع استمرار تعطل التعليم</w:t>
      </w:r>
      <w:r w:rsidR="00D4009C" w:rsidRPr="00F12208">
        <w:rPr>
          <w:rFonts w:hint="cs"/>
          <w:b/>
          <w:bCs/>
          <w:rtl/>
        </w:rPr>
        <w:t>؛</w:t>
      </w:r>
    </w:p>
    <w:p w14:paraId="44FFDC90" w14:textId="4423FFDA" w:rsidR="00CB7496" w:rsidRPr="00F12208" w:rsidRDefault="00CB7496" w:rsidP="00CB7496">
      <w:pPr>
        <w:pStyle w:val="SingleTxtGA"/>
        <w:rPr>
          <w:b/>
          <w:bCs/>
          <w:szCs w:val="20"/>
          <w:lang w:val="en-US" w:eastAsia="zh-TW" w:bidi="en-GB"/>
        </w:rPr>
      </w:pPr>
      <w:r w:rsidRPr="00295833">
        <w:rPr>
          <w:rFonts w:ascii="Simplified Arabic"/>
          <w:szCs w:val="20"/>
          <w:rtl/>
        </w:rPr>
        <w:tab/>
        <w:t>(</w:t>
      </w:r>
      <w:r w:rsidRPr="00295833">
        <w:rPr>
          <w:rtl/>
        </w:rPr>
        <w:t>ه)</w:t>
      </w:r>
      <w:r w:rsidRPr="00295833">
        <w:rPr>
          <w:rtl/>
        </w:rPr>
        <w:tab/>
      </w:r>
      <w:r w:rsidRPr="00F12208">
        <w:rPr>
          <w:b/>
          <w:bCs/>
          <w:rtl/>
        </w:rPr>
        <w:t>اتخاذ خطوات عاجلة لضمان تعليم الأقليات القومية لغتها الأم كمادة منفصلة في مرحلتي التعليم قبل المدرسي والثانوي.</w:t>
      </w:r>
    </w:p>
    <w:p w14:paraId="26BD694A" w14:textId="77777777" w:rsidR="00CB7496" w:rsidRPr="00F12208" w:rsidRDefault="00CB7496" w:rsidP="00CB7496">
      <w:pPr>
        <w:pStyle w:val="H23GA"/>
        <w:rPr>
          <w:szCs w:val="20"/>
          <w:lang w:val="ar-SA" w:eastAsia="zh-TW" w:bidi="en-GB"/>
        </w:rPr>
      </w:pPr>
      <w:r w:rsidRPr="00F12208">
        <w:rPr>
          <w:rtl/>
        </w:rPr>
        <w:tab/>
      </w:r>
      <w:r w:rsidRPr="00F12208">
        <w:rPr>
          <w:rtl/>
        </w:rPr>
        <w:tab/>
        <w:t>الحقوق الثقافية</w:t>
      </w:r>
    </w:p>
    <w:p w14:paraId="07BDEEB5" w14:textId="43A5FE05" w:rsidR="00B726CD" w:rsidRPr="00295833" w:rsidRDefault="00CB7496" w:rsidP="00CB7496">
      <w:pPr>
        <w:pStyle w:val="SingleTxtGA"/>
        <w:rPr>
          <w:szCs w:val="20"/>
          <w:lang w:val="ar-SA" w:eastAsia="zh-TW" w:bidi="en-GB"/>
        </w:rPr>
      </w:pPr>
      <w:r w:rsidRPr="00F12208">
        <w:rPr>
          <w:rtl/>
        </w:rPr>
        <w:t>61</w:t>
      </w:r>
      <w:r w:rsidRPr="00295833">
        <w:rPr>
          <w:rFonts w:ascii="Simplified Arabic"/>
          <w:szCs w:val="20"/>
          <w:rtl/>
        </w:rPr>
        <w:t>-</w:t>
      </w:r>
      <w:r w:rsidRPr="00295833">
        <w:rPr>
          <w:rtl/>
        </w:rPr>
        <w:tab/>
        <w:t>بينما تلاحظ اللجنة مختلف التدابير التي اتخذتها الدولة الطرف لحماية الحقوق الثقافية، بما في ذلك خطة العمل لتمثيل تاريخ الأقليات القومية في ليتوانيا، فإنها تشعر بالقلق إزاء التحديات التي تواجهها الفئات المحرومة والمهمشة، فضلا</w:t>
      </w:r>
      <w:r w:rsidR="00961AC7" w:rsidRPr="00295833">
        <w:rPr>
          <w:rFonts w:hint="cs"/>
          <w:rtl/>
        </w:rPr>
        <w:t>ً</w:t>
      </w:r>
      <w:r w:rsidRPr="00295833">
        <w:rPr>
          <w:rtl/>
        </w:rPr>
        <w:t xml:space="preserve"> عن الأقليات القومية، في الوصول إلى الإنتاج الثقافي وفوائد البحث العلمي (المادة </w:t>
      </w:r>
      <w:r w:rsidRPr="00F12208">
        <w:rPr>
          <w:rtl/>
        </w:rPr>
        <w:t>1</w:t>
      </w:r>
      <w:r w:rsidR="00B726CD" w:rsidRPr="00F12208">
        <w:rPr>
          <w:rtl/>
        </w:rPr>
        <w:t>5</w:t>
      </w:r>
      <w:r w:rsidR="00B726CD" w:rsidRPr="00295833">
        <w:rPr>
          <w:rFonts w:ascii="Simplified Arabic"/>
          <w:szCs w:val="20"/>
          <w:rtl/>
        </w:rPr>
        <w:t>)</w:t>
      </w:r>
      <w:r w:rsidR="00B726CD" w:rsidRPr="00295833">
        <w:rPr>
          <w:rtl/>
        </w:rPr>
        <w:t>.</w:t>
      </w:r>
    </w:p>
    <w:p w14:paraId="15B7AE69" w14:textId="2B44130A" w:rsidR="00CB7496" w:rsidRPr="00F12208" w:rsidRDefault="00CB7496" w:rsidP="00CB7496">
      <w:pPr>
        <w:pStyle w:val="SingleTxtGA"/>
        <w:rPr>
          <w:b/>
          <w:bCs/>
          <w:szCs w:val="20"/>
          <w:rtl/>
          <w:lang w:val="en-US" w:eastAsia="zh-TW"/>
        </w:rPr>
      </w:pPr>
      <w:r w:rsidRPr="00F12208">
        <w:rPr>
          <w:rtl/>
        </w:rPr>
        <w:t>62</w:t>
      </w:r>
      <w:r w:rsidRPr="00295833">
        <w:rPr>
          <w:rFonts w:ascii="Simplified Arabic"/>
          <w:szCs w:val="20"/>
          <w:rtl/>
        </w:rPr>
        <w:t>-</w:t>
      </w:r>
      <w:r w:rsidRPr="00295833">
        <w:rPr>
          <w:rtl/>
        </w:rPr>
        <w:tab/>
      </w:r>
      <w:r w:rsidRPr="00F12208">
        <w:rPr>
          <w:b/>
          <w:bCs/>
          <w:rtl/>
        </w:rPr>
        <w:t>توصي اللجنة الدولة الطرف ببذل مزيد من الجهود في سبيل تيسير الثقافة وإتاحتها للجميع، وضمان حصول الأقليات القومية والفئات المحرومة والمهمشة على الإنتاج الثقافي بأسعار معقولة وتمتعها بفوائد التقدم العلمي.</w:t>
      </w:r>
    </w:p>
    <w:p w14:paraId="42AABF52" w14:textId="6A20F136" w:rsidR="00CB7496" w:rsidRPr="00F12208" w:rsidRDefault="00CB7496" w:rsidP="00CB7496">
      <w:pPr>
        <w:pStyle w:val="H1GA"/>
        <w:rPr>
          <w:i/>
          <w:iCs/>
          <w:szCs w:val="20"/>
          <w:lang w:val="ar-SA" w:eastAsia="zh-TW" w:bidi="en-GB"/>
        </w:rPr>
      </w:pPr>
      <w:r w:rsidRPr="00F12208">
        <w:rPr>
          <w:rtl/>
        </w:rPr>
        <w:tab/>
        <w:t>دال-</w:t>
      </w:r>
      <w:r w:rsidRPr="00F12208">
        <w:rPr>
          <w:rtl/>
        </w:rPr>
        <w:tab/>
        <w:t>توصيات أخرى</w:t>
      </w:r>
    </w:p>
    <w:p w14:paraId="2B7A8A14" w14:textId="77777777" w:rsidR="00CB7496" w:rsidRPr="00F12208" w:rsidRDefault="00CB7496" w:rsidP="00CB7496">
      <w:pPr>
        <w:pStyle w:val="SingleTxtGA"/>
        <w:rPr>
          <w:b/>
          <w:bCs/>
          <w:szCs w:val="20"/>
          <w:lang w:val="ar-SA" w:eastAsia="zh-TW" w:bidi="en-GB"/>
        </w:rPr>
      </w:pPr>
      <w:r w:rsidRPr="00F12208">
        <w:rPr>
          <w:rtl/>
        </w:rPr>
        <w:t>63</w:t>
      </w:r>
      <w:r w:rsidRPr="00295833">
        <w:rPr>
          <w:rFonts w:ascii="Simplified Arabic"/>
          <w:szCs w:val="20"/>
          <w:rtl/>
        </w:rPr>
        <w:t>-</w:t>
      </w:r>
      <w:r w:rsidRPr="00295833">
        <w:rPr>
          <w:rtl/>
        </w:rPr>
        <w:tab/>
      </w:r>
      <w:r w:rsidRPr="00F12208">
        <w:rPr>
          <w:b/>
          <w:bCs/>
          <w:rtl/>
        </w:rPr>
        <w:t>تشجّع اللجنة الدولة الطرف على التصديق على البروتوكول الاختياري للعهد الدولي الخاص بالحقوق الاقتصادية والاجتماعية والثقافية.</w:t>
      </w:r>
    </w:p>
    <w:p w14:paraId="170FDA37" w14:textId="77777777" w:rsidR="00CB7496" w:rsidRPr="00F12208" w:rsidRDefault="00CB7496" w:rsidP="00CB7496">
      <w:pPr>
        <w:pStyle w:val="SingleTxtGA"/>
        <w:rPr>
          <w:b/>
          <w:bCs/>
          <w:szCs w:val="20"/>
          <w:lang w:val="ar-SA" w:eastAsia="zh-TW" w:bidi="en-GB"/>
        </w:rPr>
      </w:pPr>
      <w:r w:rsidRPr="00F12208">
        <w:rPr>
          <w:rtl/>
        </w:rPr>
        <w:t>64</w:t>
      </w:r>
      <w:r w:rsidRPr="00295833">
        <w:rPr>
          <w:rFonts w:ascii="Simplified Arabic"/>
          <w:szCs w:val="20"/>
          <w:rtl/>
        </w:rPr>
        <w:t>-</w:t>
      </w:r>
      <w:r w:rsidRPr="00295833">
        <w:rPr>
          <w:rtl/>
        </w:rPr>
        <w:tab/>
      </w:r>
      <w:r w:rsidRPr="00F12208">
        <w:rPr>
          <w:b/>
          <w:bCs/>
          <w:rtl/>
        </w:rPr>
        <w:t>وتوصي اللجنة الدولة الطرف بالانضمام إلى الصكوك الأساسية لحقوق الإنسان التي لم تنضم إليها بعد، بما في ذلك الاتفاقية الدولية لحماية حقوق جميع العمال المهاجرين وأفراد أسرهم.</w:t>
      </w:r>
    </w:p>
    <w:p w14:paraId="647AC549" w14:textId="5A84820B" w:rsidR="00B726CD" w:rsidRPr="00F12208" w:rsidRDefault="00CB7496" w:rsidP="00CB7496">
      <w:pPr>
        <w:pStyle w:val="SingleTxtGA"/>
        <w:rPr>
          <w:b/>
          <w:bCs/>
          <w:szCs w:val="20"/>
          <w:lang w:val="ar-SA" w:eastAsia="zh-TW" w:bidi="en-GB"/>
        </w:rPr>
      </w:pPr>
      <w:r w:rsidRPr="00F12208">
        <w:rPr>
          <w:rtl/>
        </w:rPr>
        <w:t>65</w:t>
      </w:r>
      <w:r w:rsidRPr="00295833">
        <w:rPr>
          <w:rFonts w:ascii="Simplified Arabic"/>
          <w:szCs w:val="20"/>
          <w:rtl/>
        </w:rPr>
        <w:t>-</w:t>
      </w:r>
      <w:r w:rsidRPr="00295833">
        <w:rPr>
          <w:rtl/>
        </w:rPr>
        <w:tab/>
      </w:r>
      <w:r w:rsidRPr="00F12208">
        <w:rPr>
          <w:b/>
          <w:bCs/>
          <w:rtl/>
        </w:rPr>
        <w:t>وتوصي اللجنة الدولة الطرف بمراعاة التزاماتها بموجب العهد مراعاة تامة وضمان التمتع الكامل بالحقوق التي ينص عليها لدى تنفيذ خطة التنمية المستدامة لعام 2030 على الصعيد الوطني، بما يشمل سياق التعافي من جائحة كوفيد-1</w:t>
      </w:r>
      <w:r w:rsidR="00B726CD" w:rsidRPr="00F12208">
        <w:rPr>
          <w:b/>
          <w:bCs/>
          <w:rtl/>
        </w:rPr>
        <w:t>9</w:t>
      </w:r>
      <w:r w:rsidR="00B726CD" w:rsidRPr="00F12208">
        <w:rPr>
          <w:rFonts w:ascii="Simplified Arabic"/>
          <w:b/>
          <w:bCs/>
          <w:szCs w:val="20"/>
          <w:rtl/>
        </w:rPr>
        <w:t>.</w:t>
      </w:r>
      <w:r w:rsidR="00B726CD" w:rsidRPr="00F12208">
        <w:rPr>
          <w:b/>
          <w:bCs/>
          <w:rtl/>
        </w:rPr>
        <w:t xml:space="preserve"> </w:t>
      </w:r>
      <w:r w:rsidRPr="00F12208">
        <w:rPr>
          <w:b/>
          <w:bCs/>
          <w:rtl/>
        </w:rPr>
        <w:t>وستيسّر الدولة الطرف تحقيق أهداف التنمية المستدامة إلى حدّ كبير إذا ما أنشأت آليات مستقلّة لرصد التقدّم المحرز وعاملت المستفيدين من البرامج الحكومية بوصفهم أصحاب حقوق يمكنهم المطالبة باستحقاقات. وإضافة إلى ذلك، توصي اللجنة بأن تدعم الدولة الطرف الالتزامات المتعهد بها على الصعيد العالمي في سياق عقد العمل من أجل تحقيق أهداف التنمية المستدامة. ومن شأن تنفيذ الأهداف على أساس مبادئ المشاركة والمساءلة وعدم التمييز أن يضمن عدم إهمال أحد. وفي هذا الصدد، توجه اللجنة نظر الدولة الطرف إلى تعهدها بعدم ترك أي أحد خلف الركب</w:t>
      </w:r>
      <w:r w:rsidR="00B726CD" w:rsidRPr="00F12208">
        <w:rPr>
          <w:rStyle w:val="FootnoteReference"/>
          <w:b/>
          <w:bCs/>
          <w:rtl/>
        </w:rPr>
        <w:t>(</w:t>
      </w:r>
      <w:r w:rsidR="00B726CD" w:rsidRPr="00F12208">
        <w:rPr>
          <w:rStyle w:val="FootnoteReference"/>
          <w:lang w:val="en-US"/>
        </w:rPr>
        <w:footnoteReference w:id="16"/>
      </w:r>
      <w:r w:rsidR="00B726CD" w:rsidRPr="00F12208">
        <w:rPr>
          <w:rStyle w:val="FootnoteReference"/>
          <w:b/>
          <w:bCs/>
          <w:rtl/>
        </w:rPr>
        <w:t>)</w:t>
      </w:r>
      <w:r w:rsidR="00B726CD" w:rsidRPr="00F12208">
        <w:rPr>
          <w:b/>
          <w:bCs/>
          <w:rtl/>
        </w:rPr>
        <w:t>.</w:t>
      </w:r>
    </w:p>
    <w:p w14:paraId="03290E13" w14:textId="287DC8AC" w:rsidR="00CB7496" w:rsidRPr="00F12208" w:rsidRDefault="00CB7496" w:rsidP="00CB7496">
      <w:pPr>
        <w:pStyle w:val="SingleTxtGA"/>
        <w:rPr>
          <w:b/>
          <w:bCs/>
          <w:szCs w:val="20"/>
          <w:lang w:val="ar-SA" w:eastAsia="zh-TW" w:bidi="en-GB"/>
        </w:rPr>
      </w:pPr>
      <w:r w:rsidRPr="00F12208">
        <w:rPr>
          <w:rtl/>
        </w:rPr>
        <w:t>66</w:t>
      </w:r>
      <w:r w:rsidRPr="00295833">
        <w:rPr>
          <w:rFonts w:ascii="Simplified Arabic"/>
          <w:szCs w:val="20"/>
          <w:rtl/>
        </w:rPr>
        <w:t>-</w:t>
      </w:r>
      <w:r w:rsidRPr="00295833">
        <w:rPr>
          <w:rtl/>
        </w:rPr>
        <w:tab/>
      </w:r>
      <w:r w:rsidRPr="00F12208">
        <w:rPr>
          <w:b/>
          <w:bCs/>
          <w:rtl/>
        </w:rPr>
        <w:t>وتطلب اللجنة إلى الدولة الطرف أن تنشر هذه الملاحظات الختامية على نطاق واسع على جميع مستويات المجتمع، لا سيما في أوساط البلديات المحلية والبرلمانيين والموظفين العموميين والسلطات القضائية، وأن تبلغ اللجنة في تقريرها الدوري المقبل بالتدابير المتخذة لتنفيذ هذه الملاحظات. وتشدد اللجنة على الدور الحاسم الذي يؤديه البرلمان في تنفيذ هذه الملاحظات الختامية، وتشجع الدولة الطرف على ضمان مشاركته في إجراءات الإبلاغ والمتابعة في المستقبل. وتشجع اللجنة الدولة الطرف أيضا</w:t>
      </w:r>
      <w:r w:rsidR="00C713CA" w:rsidRPr="00F12208">
        <w:rPr>
          <w:rFonts w:hint="cs"/>
          <w:b/>
          <w:bCs/>
          <w:rtl/>
        </w:rPr>
        <w:t>ً</w:t>
      </w:r>
      <w:r w:rsidRPr="00F12208">
        <w:rPr>
          <w:b/>
          <w:bCs/>
          <w:rtl/>
        </w:rPr>
        <w:t xml:space="preserve"> على مواصلة إشراك المنظمات غير الحكومية التابعة لمكتب أمناء المظالم </w:t>
      </w:r>
      <w:r w:rsidRPr="00F12208">
        <w:rPr>
          <w:b/>
          <w:bCs/>
          <w:rtl/>
        </w:rPr>
        <w:lastRenderedPageBreak/>
        <w:t xml:space="preserve">البرلمانيين وغيرها من أعضاء المجتمع المدني في عملية المناقشة على الصعيد الوطني قبل تقديم تقريرها الدوري المقبل. </w:t>
      </w:r>
    </w:p>
    <w:p w14:paraId="590DB21D" w14:textId="77777777" w:rsidR="00CB7496" w:rsidRPr="00F12208" w:rsidRDefault="00CB7496" w:rsidP="00CB7496">
      <w:pPr>
        <w:pStyle w:val="SingleTxtGA"/>
        <w:rPr>
          <w:b/>
          <w:bCs/>
          <w:szCs w:val="20"/>
          <w:lang w:val="ar-SA" w:eastAsia="zh-TW" w:bidi="en-GB"/>
        </w:rPr>
      </w:pPr>
      <w:r w:rsidRPr="00F12208">
        <w:rPr>
          <w:rtl/>
        </w:rPr>
        <w:t>67</w:t>
      </w:r>
      <w:r w:rsidRPr="00295833">
        <w:rPr>
          <w:rFonts w:ascii="Simplified Arabic"/>
          <w:szCs w:val="20"/>
          <w:rtl/>
        </w:rPr>
        <w:t>-</w:t>
      </w:r>
      <w:r w:rsidRPr="00295833">
        <w:rPr>
          <w:rtl/>
        </w:rPr>
        <w:tab/>
      </w:r>
      <w:r w:rsidRPr="00F12208">
        <w:rPr>
          <w:b/>
          <w:bCs/>
          <w:rtl/>
        </w:rPr>
        <w:t>ووفقاً لإجراء متابعة الملاحظات الختامية الذي اعتمدته اللجنة، يُطلب إلى الدولة الطرف أن تقدم، في غضون 24 شهراً من تاريخ اعتماد هذه الملاحظات الختامية، معلومات عن تنفيذ التوصيات الواردة في الفقرات 9</w:t>
      </w:r>
      <w:r w:rsidRPr="00F12208">
        <w:rPr>
          <w:rFonts w:ascii="Simplified Arabic"/>
          <w:b/>
          <w:bCs/>
          <w:szCs w:val="20"/>
          <w:rtl/>
        </w:rPr>
        <w:t xml:space="preserve"> (</w:t>
      </w:r>
      <w:r w:rsidRPr="00F12208">
        <w:rPr>
          <w:b/>
          <w:bCs/>
          <w:rtl/>
        </w:rPr>
        <w:t>الأقليات القومية</w:t>
      </w:r>
      <w:r w:rsidRPr="00F12208">
        <w:rPr>
          <w:rFonts w:ascii="Simplified Arabic"/>
          <w:b/>
          <w:bCs/>
          <w:szCs w:val="20"/>
          <w:rtl/>
        </w:rPr>
        <w:t>)</w:t>
      </w:r>
      <w:r w:rsidRPr="00F12208">
        <w:rPr>
          <w:b/>
          <w:bCs/>
          <w:rtl/>
        </w:rPr>
        <w:t xml:space="preserve"> و17</w:t>
      </w:r>
      <w:r w:rsidRPr="00F12208">
        <w:rPr>
          <w:rFonts w:ascii="Simplified Arabic"/>
          <w:b/>
          <w:bCs/>
          <w:szCs w:val="20"/>
          <w:rtl/>
        </w:rPr>
        <w:t xml:space="preserve"> (</w:t>
      </w:r>
      <w:r w:rsidRPr="00F12208">
        <w:rPr>
          <w:b/>
          <w:bCs/>
          <w:rtl/>
        </w:rPr>
        <w:t>تغير المناخ</w:t>
      </w:r>
      <w:r w:rsidRPr="00F12208">
        <w:rPr>
          <w:rFonts w:ascii="Simplified Arabic"/>
          <w:b/>
          <w:bCs/>
          <w:szCs w:val="20"/>
          <w:rtl/>
        </w:rPr>
        <w:t>)</w:t>
      </w:r>
      <w:r w:rsidRPr="00F12208">
        <w:rPr>
          <w:b/>
          <w:bCs/>
          <w:rtl/>
        </w:rPr>
        <w:t xml:space="preserve"> و51</w:t>
      </w:r>
      <w:r w:rsidRPr="00F12208">
        <w:rPr>
          <w:rFonts w:ascii="Simplified Arabic"/>
          <w:b/>
          <w:bCs/>
          <w:szCs w:val="20"/>
          <w:rtl/>
        </w:rPr>
        <w:t xml:space="preserve"> (</w:t>
      </w:r>
      <w:r w:rsidRPr="00F12208">
        <w:rPr>
          <w:b/>
          <w:bCs/>
          <w:rtl/>
        </w:rPr>
        <w:t>الحق في سكن لائق</w:t>
      </w:r>
      <w:r w:rsidRPr="00F12208">
        <w:rPr>
          <w:rFonts w:ascii="Simplified Arabic"/>
          <w:b/>
          <w:bCs/>
          <w:szCs w:val="20"/>
          <w:rtl/>
        </w:rPr>
        <w:t>)</w:t>
      </w:r>
      <w:r w:rsidRPr="00F12208">
        <w:rPr>
          <w:b/>
          <w:bCs/>
          <w:rtl/>
        </w:rPr>
        <w:t xml:space="preserve"> أعلاه.</w:t>
      </w:r>
    </w:p>
    <w:p w14:paraId="7D76D9C0" w14:textId="520BAC6D" w:rsidR="00CB7496" w:rsidRPr="00F12208" w:rsidRDefault="00CB7496" w:rsidP="00CB7496">
      <w:pPr>
        <w:pStyle w:val="SingleTxtGA"/>
        <w:rPr>
          <w:b/>
          <w:bCs/>
          <w:szCs w:val="20"/>
          <w:lang w:val="en-US" w:eastAsia="zh-TW" w:bidi="en-GB"/>
        </w:rPr>
      </w:pPr>
      <w:r w:rsidRPr="00F12208">
        <w:rPr>
          <w:rtl/>
        </w:rPr>
        <w:t>68</w:t>
      </w:r>
      <w:r w:rsidRPr="00295833">
        <w:rPr>
          <w:rFonts w:ascii="Simplified Arabic"/>
          <w:szCs w:val="20"/>
          <w:rtl/>
        </w:rPr>
        <w:t>-</w:t>
      </w:r>
      <w:r w:rsidRPr="00295833">
        <w:rPr>
          <w:rtl/>
        </w:rPr>
        <w:tab/>
      </w:r>
      <w:r w:rsidRPr="00F12208">
        <w:rPr>
          <w:b/>
          <w:bCs/>
          <w:rtl/>
        </w:rPr>
        <w:t>وتطلب اللجنة إلى الدولة الطرف أن تقدم تقريرها الدوري الرابع وفقاً للمادة 16 من العهد بحلول 31 آذار/مارس 2028، ما لم تُخطَر بخلاف ذلك نتيجة تغييرٍ في جولة الاستعراض. ووفقاً لقرار الجمعية العامة 68</w:t>
      </w:r>
      <w:r w:rsidRPr="00F12208">
        <w:rPr>
          <w:rFonts w:ascii="Simplified Arabic"/>
          <w:b/>
          <w:bCs/>
          <w:szCs w:val="20"/>
          <w:rtl/>
        </w:rPr>
        <w:t>/</w:t>
      </w:r>
      <w:r w:rsidRPr="00F12208">
        <w:rPr>
          <w:b/>
          <w:bCs/>
          <w:rtl/>
        </w:rPr>
        <w:t>268 فإن الحد الأقصى لعدد الكلمات في التقرير هو 200</w:t>
      </w:r>
      <w:r w:rsidRPr="00F12208">
        <w:rPr>
          <w:rFonts w:ascii="Simplified Arabic"/>
          <w:b/>
          <w:bCs/>
          <w:szCs w:val="20"/>
          <w:rtl/>
        </w:rPr>
        <w:t xml:space="preserve"> </w:t>
      </w:r>
      <w:r w:rsidRPr="00F12208">
        <w:rPr>
          <w:b/>
          <w:bCs/>
          <w:rtl/>
        </w:rPr>
        <w:t>21 كلمة.</w:t>
      </w:r>
    </w:p>
    <w:p w14:paraId="538C9C13" w14:textId="77777777" w:rsidR="00CB7496" w:rsidRPr="00295833" w:rsidRDefault="00CB7496" w:rsidP="00CB7496">
      <w:pPr>
        <w:spacing w:before="240"/>
        <w:jc w:val="center"/>
        <w:rPr>
          <w:u w:val="single"/>
          <w:rtl/>
        </w:rPr>
      </w:pPr>
      <w:r w:rsidRPr="00295833">
        <w:rPr>
          <w:u w:val="single"/>
        </w:rPr>
        <w:tab/>
      </w:r>
      <w:r w:rsidRPr="00295833">
        <w:rPr>
          <w:u w:val="single"/>
        </w:rPr>
        <w:tab/>
      </w:r>
      <w:r w:rsidRPr="00295833">
        <w:rPr>
          <w:u w:val="single"/>
        </w:rPr>
        <w:tab/>
      </w:r>
    </w:p>
    <w:sectPr w:rsidR="00CB7496" w:rsidRPr="00295833" w:rsidSect="004B5DE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F0B8" w14:textId="77777777" w:rsidR="00B112BE" w:rsidRPr="002901D9" w:rsidRDefault="00B112BE" w:rsidP="00485999">
      <w:pPr>
        <w:spacing w:after="60" w:line="240" w:lineRule="auto"/>
        <w:ind w:left="57"/>
        <w:rPr>
          <w:i/>
          <w:iCs/>
        </w:rPr>
      </w:pPr>
      <w:r>
        <w:rPr>
          <w:rFonts w:hint="cs"/>
          <w:i/>
          <w:iCs/>
          <w:rtl/>
        </w:rPr>
        <w:t>الحواشي</w:t>
      </w:r>
    </w:p>
  </w:endnote>
  <w:endnote w:type="continuationSeparator" w:id="0">
    <w:p w14:paraId="2D65347E" w14:textId="77777777" w:rsidR="00B112BE" w:rsidRDefault="00B112B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18CB" w14:textId="376BEE65" w:rsidR="00B37BFC" w:rsidRPr="00B37BFC" w:rsidRDefault="00B37BFC" w:rsidP="00B37BFC">
    <w:pPr>
      <w:pStyle w:val="Footer"/>
      <w:tabs>
        <w:tab w:val="right" w:pos="9638"/>
      </w:tabs>
      <w:rPr>
        <w:b/>
        <w:sz w:val="18"/>
        <w:lang w:val="en-US"/>
      </w:rPr>
    </w:pPr>
    <w:r>
      <w:rPr>
        <w:lang w:val="en-US"/>
      </w:rPr>
      <w:t>GE.23-04642</w:t>
    </w:r>
    <w:r>
      <w:rPr>
        <w:lang w:val="en-US"/>
      </w:rPr>
      <w:tab/>
    </w:r>
    <w:r w:rsidRPr="00B37BFC">
      <w:rPr>
        <w:b/>
        <w:sz w:val="18"/>
        <w:lang w:val="en-US"/>
      </w:rPr>
      <w:fldChar w:fldCharType="begin"/>
    </w:r>
    <w:r w:rsidRPr="00B37BFC">
      <w:rPr>
        <w:b/>
        <w:sz w:val="18"/>
        <w:lang w:val="en-US"/>
      </w:rPr>
      <w:instrText xml:space="preserve"> PAGE  \* MERGEFORMAT </w:instrText>
    </w:r>
    <w:r w:rsidRPr="00B37BFC">
      <w:rPr>
        <w:b/>
        <w:sz w:val="18"/>
        <w:lang w:val="en-US"/>
      </w:rPr>
      <w:fldChar w:fldCharType="separate"/>
    </w:r>
    <w:r w:rsidRPr="00B37BFC">
      <w:rPr>
        <w:b/>
        <w:noProof/>
        <w:sz w:val="18"/>
        <w:lang w:val="en-US"/>
      </w:rPr>
      <w:t>2</w:t>
    </w:r>
    <w:r w:rsidRPr="00B37BF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991F" w14:textId="7B84C950" w:rsidR="006959B0" w:rsidRPr="00B37BFC" w:rsidRDefault="00B37BFC" w:rsidP="00B37BFC">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GE.23-04642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45B9" w14:textId="459FD518" w:rsidR="00FD4BC9" w:rsidRPr="00B37BFC" w:rsidRDefault="00B37BFC" w:rsidP="00B37BFC">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40E531AB" wp14:editId="6EB479F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23-04642 (A)</w:t>
    </w:r>
    <w:r>
      <w:rPr>
        <w:noProof/>
        <w:sz w:val="20"/>
        <w:lang w:val="en-US"/>
      </w:rPr>
      <w:drawing>
        <wp:anchor distT="0" distB="0" distL="114300" distR="114300" simplePos="0" relativeHeight="251659264" behindDoc="0" locked="0" layoutInCell="1" allowOverlap="1" wp14:anchorId="7070D9DB" wp14:editId="46EE0F3A">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FE13" w14:textId="77777777" w:rsidR="00B112BE" w:rsidRPr="0054762C" w:rsidRDefault="00B112BE" w:rsidP="004C7897">
      <w:pPr>
        <w:pStyle w:val="Footer"/>
        <w:bidi/>
        <w:spacing w:after="80" w:line="200" w:lineRule="exact"/>
        <w:ind w:left="680"/>
      </w:pPr>
      <w:r>
        <w:rPr>
          <w:rtl/>
        </w:rPr>
        <w:t>__________</w:t>
      </w:r>
    </w:p>
  </w:footnote>
  <w:footnote w:type="continuationSeparator" w:id="0">
    <w:p w14:paraId="76F49CBE" w14:textId="77777777" w:rsidR="00B112BE" w:rsidRDefault="00B112BE" w:rsidP="00656392">
      <w:pPr>
        <w:spacing w:line="240" w:lineRule="auto"/>
      </w:pPr>
      <w:r>
        <w:continuationSeparator/>
      </w:r>
    </w:p>
  </w:footnote>
  <w:footnote w:id="1">
    <w:p w14:paraId="544C7286" w14:textId="4971C697" w:rsidR="00CB7496" w:rsidRPr="008D28FC" w:rsidRDefault="00CB7496" w:rsidP="00B726CD">
      <w:pPr>
        <w:pStyle w:val="FootnoteText"/>
        <w:tabs>
          <w:tab w:val="clear" w:pos="1021"/>
        </w:tabs>
        <w:bidi/>
        <w:spacing w:after="60" w:line="280" w:lineRule="exact"/>
        <w:ind w:left="1247" w:right="1247" w:hanging="567"/>
        <w:jc w:val="lowKashida"/>
        <w:textDirection w:val="tbRlV"/>
        <w:rPr>
          <w:szCs w:val="18"/>
          <w:lang w:val="ar-SA" w:eastAsia="zh-TW" w:bidi="en-GB"/>
        </w:rPr>
      </w:pPr>
      <w:r w:rsidRPr="008D28FC">
        <w:rPr>
          <w:rFonts w:ascii="Simplified Arabic"/>
          <w:szCs w:val="18"/>
        </w:rPr>
        <w:t>*</w:t>
      </w:r>
      <w:r w:rsidRPr="008D28FC">
        <w:rPr>
          <w:szCs w:val="18"/>
          <w:rtl/>
        </w:rPr>
        <w:tab/>
        <w:t xml:space="preserve">اعتمدتها اللجنة في دورتها الثالثة والسبعين </w:t>
      </w:r>
      <w:r w:rsidRPr="008D28FC">
        <w:rPr>
          <w:rFonts w:ascii="Simplified Arabic"/>
          <w:szCs w:val="18"/>
          <w:rtl/>
        </w:rPr>
        <w:t>(</w:t>
      </w:r>
      <w:r w:rsidRPr="00F12208">
        <w:rPr>
          <w:rFonts w:ascii="Simplified Arabic"/>
          <w:szCs w:val="18"/>
          <w:rtl/>
        </w:rPr>
        <w:t>13</w:t>
      </w:r>
      <w:r w:rsidRPr="008D28FC">
        <w:rPr>
          <w:szCs w:val="18"/>
          <w:rtl/>
        </w:rPr>
        <w:t xml:space="preserve"> شباط/فبراير - </w:t>
      </w:r>
      <w:r w:rsidRPr="00F12208">
        <w:rPr>
          <w:rFonts w:ascii="Simplified Arabic"/>
          <w:szCs w:val="18"/>
          <w:rtl/>
        </w:rPr>
        <w:t>3</w:t>
      </w:r>
      <w:r w:rsidRPr="008D28FC">
        <w:rPr>
          <w:szCs w:val="18"/>
          <w:rtl/>
        </w:rPr>
        <w:t xml:space="preserve"> آذار/مارس </w:t>
      </w:r>
      <w:r w:rsidRPr="00F12208">
        <w:rPr>
          <w:rFonts w:ascii="Simplified Arabic"/>
          <w:szCs w:val="18"/>
          <w:rtl/>
        </w:rPr>
        <w:t>2023</w:t>
      </w:r>
      <w:r w:rsidR="00B726CD" w:rsidRPr="00B726CD">
        <w:rPr>
          <w:rFonts w:ascii="Simplified Arabic"/>
          <w:szCs w:val="18"/>
          <w:rtl/>
        </w:rPr>
        <w:t>)</w:t>
      </w:r>
      <w:r w:rsidR="00B726CD" w:rsidRPr="00B726CD">
        <w:rPr>
          <w:szCs w:val="18"/>
          <w:rtl/>
        </w:rPr>
        <w:t xml:space="preserve">. </w:t>
      </w:r>
    </w:p>
  </w:footnote>
  <w:footnote w:id="2">
    <w:p w14:paraId="5F149700" w14:textId="77777777" w:rsidR="00B726CD" w:rsidRPr="00C52795" w:rsidRDefault="00B726CD" w:rsidP="00B726CD">
      <w:pPr>
        <w:pStyle w:val="FootnoteText"/>
        <w:tabs>
          <w:tab w:val="clear" w:pos="1021"/>
        </w:tabs>
        <w:bidi/>
        <w:spacing w:after="60" w:line="280" w:lineRule="exact"/>
        <w:ind w:left="1247" w:right="1247" w:hanging="567"/>
        <w:jc w:val="lowKashida"/>
        <w:textDirection w:val="tbRlV"/>
        <w:rPr>
          <w:szCs w:val="18"/>
          <w:lang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ab/>
      </w:r>
      <w:hyperlink r:id="rId1" w:history="1">
        <w:r w:rsidRPr="00B726CD">
          <w:rPr>
            <w:rStyle w:val="Hyperlink"/>
          </w:rPr>
          <w:t>E/C.</w:t>
        </w:r>
        <w:r w:rsidRPr="00F12208">
          <w:rPr>
            <w:rStyle w:val="Hyperlink"/>
          </w:rPr>
          <w:t>12</w:t>
        </w:r>
        <w:r w:rsidRPr="00B726CD">
          <w:rPr>
            <w:rStyle w:val="Hyperlink"/>
          </w:rPr>
          <w:t>/LTU/</w:t>
        </w:r>
        <w:r w:rsidRPr="00F12208">
          <w:rPr>
            <w:rStyle w:val="Hyperlink"/>
          </w:rPr>
          <w:t>3</w:t>
        </w:r>
      </w:hyperlink>
      <w:r w:rsidRPr="00B726CD">
        <w:rPr>
          <w:rFonts w:cs="Times New Roman"/>
          <w:szCs w:val="18"/>
          <w:rtl/>
        </w:rPr>
        <w:t xml:space="preserve">. </w:t>
      </w:r>
    </w:p>
  </w:footnote>
  <w:footnote w:id="3">
    <w:p w14:paraId="17286420" w14:textId="77777777" w:rsidR="00B726CD" w:rsidRPr="008D28FC" w:rsidRDefault="00B726CD" w:rsidP="00B726CD">
      <w:pPr>
        <w:pStyle w:val="FootnoteText"/>
        <w:tabs>
          <w:tab w:val="clear" w:pos="1021"/>
        </w:tabs>
        <w:bidi/>
        <w:spacing w:after="60" w:line="280" w:lineRule="exact"/>
        <w:ind w:left="1247" w:right="1247" w:hanging="567"/>
        <w:jc w:val="lowKashida"/>
        <w:textDirection w:val="tbRlV"/>
        <w:rPr>
          <w:szCs w:val="18"/>
          <w:lang w:val="ar-SA"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ab/>
      </w:r>
      <w:hyperlink r:id="rId2" w:history="1">
        <w:r w:rsidRPr="00B726CD">
          <w:rPr>
            <w:rStyle w:val="Hyperlink"/>
          </w:rPr>
          <w:t>E/C.</w:t>
        </w:r>
        <w:r w:rsidRPr="00F12208">
          <w:rPr>
            <w:rStyle w:val="Hyperlink"/>
          </w:rPr>
          <w:t>12</w:t>
        </w:r>
        <w:r w:rsidRPr="00B726CD">
          <w:rPr>
            <w:rStyle w:val="Hyperlink"/>
          </w:rPr>
          <w:t>/</w:t>
        </w:r>
        <w:r w:rsidRPr="00F12208">
          <w:rPr>
            <w:rStyle w:val="Hyperlink"/>
          </w:rPr>
          <w:t>2023</w:t>
        </w:r>
        <w:r w:rsidRPr="00B726CD">
          <w:rPr>
            <w:rStyle w:val="Hyperlink"/>
          </w:rPr>
          <w:t>/SR.</w:t>
        </w:r>
        <w:r w:rsidRPr="00F12208">
          <w:rPr>
            <w:rStyle w:val="Hyperlink"/>
          </w:rPr>
          <w:t>16</w:t>
        </w:r>
      </w:hyperlink>
      <w:r w:rsidRPr="008D28FC">
        <w:rPr>
          <w:szCs w:val="18"/>
          <w:rtl/>
        </w:rPr>
        <w:t xml:space="preserve"> و</w:t>
      </w:r>
      <w:hyperlink r:id="rId3" w:history="1">
        <w:r w:rsidRPr="00B726CD">
          <w:rPr>
            <w:rStyle w:val="Hyperlink"/>
          </w:rPr>
          <w:t>E/C.</w:t>
        </w:r>
        <w:r w:rsidRPr="00F12208">
          <w:rPr>
            <w:rStyle w:val="Hyperlink"/>
          </w:rPr>
          <w:t>12</w:t>
        </w:r>
        <w:r w:rsidRPr="00B726CD">
          <w:rPr>
            <w:rStyle w:val="Hyperlink"/>
          </w:rPr>
          <w:t>/</w:t>
        </w:r>
        <w:r w:rsidRPr="00F12208">
          <w:rPr>
            <w:rStyle w:val="Hyperlink"/>
          </w:rPr>
          <w:t>2023</w:t>
        </w:r>
        <w:r w:rsidRPr="00B726CD">
          <w:rPr>
            <w:rStyle w:val="Hyperlink"/>
          </w:rPr>
          <w:t>/SR.</w:t>
        </w:r>
        <w:r w:rsidRPr="00F12208">
          <w:rPr>
            <w:rStyle w:val="Hyperlink"/>
          </w:rPr>
          <w:t>18</w:t>
        </w:r>
      </w:hyperlink>
      <w:r w:rsidRPr="00B726CD">
        <w:rPr>
          <w:rFonts w:cs="Times New Roman"/>
          <w:szCs w:val="18"/>
          <w:rtl/>
        </w:rPr>
        <w:t xml:space="preserve">. </w:t>
      </w:r>
    </w:p>
  </w:footnote>
  <w:footnote w:id="4">
    <w:p w14:paraId="6AAEAF8A" w14:textId="77777777" w:rsidR="00B726CD" w:rsidRPr="008D28FC" w:rsidRDefault="00B726CD" w:rsidP="00B726CD">
      <w:pPr>
        <w:pStyle w:val="FootnoteText"/>
        <w:tabs>
          <w:tab w:val="clear" w:pos="1021"/>
        </w:tabs>
        <w:bidi/>
        <w:spacing w:after="60" w:line="280" w:lineRule="exact"/>
        <w:ind w:left="1247" w:right="1247" w:hanging="567"/>
        <w:jc w:val="lowKashida"/>
        <w:textDirection w:val="tbRlV"/>
        <w:rPr>
          <w:szCs w:val="18"/>
          <w:lang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ab/>
      </w:r>
      <w:hyperlink r:id="rId4" w:history="1">
        <w:r w:rsidRPr="00B726CD">
          <w:rPr>
            <w:rStyle w:val="Hyperlink"/>
          </w:rPr>
          <w:t>E/C.</w:t>
        </w:r>
        <w:r w:rsidRPr="00F12208">
          <w:rPr>
            <w:rStyle w:val="Hyperlink"/>
          </w:rPr>
          <w:t>12</w:t>
        </w:r>
        <w:r w:rsidRPr="00B726CD">
          <w:rPr>
            <w:rStyle w:val="Hyperlink"/>
          </w:rPr>
          <w:t>/LTU/RQ/</w:t>
        </w:r>
        <w:r w:rsidRPr="00F12208">
          <w:rPr>
            <w:rStyle w:val="Hyperlink"/>
          </w:rPr>
          <w:t>3</w:t>
        </w:r>
        <w:r w:rsidRPr="00B726CD">
          <w:rPr>
            <w:rStyle w:val="Hyperlink"/>
          </w:rPr>
          <w:t>.W</w:t>
        </w:r>
      </w:hyperlink>
      <w:r w:rsidRPr="00B726CD">
        <w:rPr>
          <w:rFonts w:cs="Times New Roman"/>
          <w:szCs w:val="18"/>
          <w:rtl/>
        </w:rPr>
        <w:t xml:space="preserve">. </w:t>
      </w:r>
    </w:p>
  </w:footnote>
  <w:footnote w:id="5">
    <w:p w14:paraId="0EFF9888" w14:textId="77777777" w:rsidR="00B726CD" w:rsidRPr="008D28FC" w:rsidRDefault="00B726CD" w:rsidP="00B726CD">
      <w:pPr>
        <w:pStyle w:val="FootnoteText"/>
        <w:tabs>
          <w:tab w:val="clear" w:pos="1021"/>
        </w:tabs>
        <w:bidi/>
        <w:spacing w:after="60" w:line="280" w:lineRule="exact"/>
        <w:ind w:left="1247" w:right="1247" w:hanging="567"/>
        <w:jc w:val="lowKashida"/>
        <w:textDirection w:val="tbRlV"/>
        <w:rPr>
          <w:szCs w:val="18"/>
          <w:lang w:val="ar-SA"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ab/>
        <w:t xml:space="preserve">انظر أيضا "تقرير رصد المجتمع المدني المتعلق بجودة الإطار الاستراتيجي الوطني لتحقيق المساواة للروما وإدماجهم وإشراكهم في ليتوانيا" (حزيران/يونيه </w:t>
      </w:r>
      <w:r w:rsidRPr="00F12208">
        <w:rPr>
          <w:rFonts w:ascii="Simplified Arabic"/>
          <w:szCs w:val="18"/>
          <w:rtl/>
        </w:rPr>
        <w:t>2022</w:t>
      </w:r>
      <w:r w:rsidRPr="00B726CD">
        <w:rPr>
          <w:rFonts w:ascii="Simplified Arabic"/>
          <w:szCs w:val="18"/>
          <w:rtl/>
        </w:rPr>
        <w:t>)</w:t>
      </w:r>
      <w:r w:rsidRPr="00B726CD">
        <w:rPr>
          <w:szCs w:val="18"/>
          <w:rtl/>
        </w:rPr>
        <w:t xml:space="preserve"> </w:t>
      </w:r>
      <w:r w:rsidRPr="008D28FC">
        <w:rPr>
          <w:szCs w:val="18"/>
          <w:rtl/>
        </w:rPr>
        <w:t>الذي أعدته المفوضية الأوروبية وهو متاح في</w:t>
      </w:r>
      <w:r w:rsidRPr="008D28FC">
        <w:rPr>
          <w:rFonts w:ascii="Simplified Arabic"/>
          <w:szCs w:val="18"/>
        </w:rPr>
        <w:t>:</w:t>
      </w:r>
      <w:r w:rsidRPr="008D28FC">
        <w:rPr>
          <w:szCs w:val="18"/>
          <w:rtl/>
        </w:rPr>
        <w:t xml:space="preserve"> </w:t>
      </w:r>
      <w:hyperlink r:id="rId5" w:history="1">
        <w:r w:rsidRPr="00B726CD">
          <w:rPr>
            <w:rStyle w:val="Hyperlink"/>
          </w:rPr>
          <w:t>https://romacivilmonitoring.eu/wp-content/uploads/</w:t>
        </w:r>
        <w:r w:rsidRPr="00F12208">
          <w:rPr>
            <w:rStyle w:val="Hyperlink"/>
          </w:rPr>
          <w:t>2022</w:t>
        </w:r>
        <w:r w:rsidRPr="00B726CD">
          <w:rPr>
            <w:rStyle w:val="Hyperlink"/>
          </w:rPr>
          <w:t>/</w:t>
        </w:r>
        <w:r w:rsidRPr="00F12208">
          <w:rPr>
            <w:rStyle w:val="Hyperlink"/>
          </w:rPr>
          <w:t>10</w:t>
        </w:r>
        <w:r w:rsidRPr="00B726CD">
          <w:rPr>
            <w:rStyle w:val="Hyperlink"/>
          </w:rPr>
          <w:t>/RCM</w:t>
        </w:r>
        <w:r w:rsidRPr="00F12208">
          <w:rPr>
            <w:rStyle w:val="Hyperlink"/>
          </w:rPr>
          <w:t>2</w:t>
        </w:r>
        <w:r w:rsidRPr="00B726CD">
          <w:rPr>
            <w:rStyle w:val="Hyperlink"/>
          </w:rPr>
          <w:t>-</w:t>
        </w:r>
        <w:r w:rsidRPr="00F12208">
          <w:rPr>
            <w:rStyle w:val="Hyperlink"/>
          </w:rPr>
          <w:t>2022</w:t>
        </w:r>
        <w:r w:rsidRPr="00B726CD">
          <w:rPr>
            <w:rStyle w:val="Hyperlink"/>
          </w:rPr>
          <w:t>-C</w:t>
        </w:r>
        <w:r w:rsidRPr="00F12208">
          <w:rPr>
            <w:rStyle w:val="Hyperlink"/>
          </w:rPr>
          <w:t>4</w:t>
        </w:r>
        <w:r w:rsidRPr="00B726CD">
          <w:rPr>
            <w:rStyle w:val="Hyperlink"/>
          </w:rPr>
          <w:t>-Lithuania-FINAL-PUBLISHED.pdf</w:t>
        </w:r>
      </w:hyperlink>
      <w:r w:rsidRPr="00B726CD">
        <w:rPr>
          <w:rFonts w:cs="Times New Roman"/>
          <w:szCs w:val="18"/>
          <w:rtl/>
        </w:rPr>
        <w:t xml:space="preserve">. </w:t>
      </w:r>
    </w:p>
  </w:footnote>
  <w:footnote w:id="6">
    <w:p w14:paraId="0F663353" w14:textId="77777777" w:rsidR="00B726CD" w:rsidRPr="008D28FC" w:rsidRDefault="00B726CD" w:rsidP="00B726CD">
      <w:pPr>
        <w:pStyle w:val="FootnoteText"/>
        <w:tabs>
          <w:tab w:val="clear" w:pos="1021"/>
        </w:tabs>
        <w:bidi/>
        <w:spacing w:after="60" w:line="280" w:lineRule="exact"/>
        <w:ind w:left="1247" w:right="1247" w:hanging="567"/>
        <w:jc w:val="lowKashida"/>
        <w:textDirection w:val="tbRlV"/>
        <w:rPr>
          <w:szCs w:val="18"/>
          <w:lang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ab/>
      </w:r>
      <w:hyperlink r:id="rId6" w:history="1">
        <w:r w:rsidRPr="00B726CD">
          <w:rPr>
            <w:rStyle w:val="Hyperlink"/>
          </w:rPr>
          <w:t>E/C.</w:t>
        </w:r>
        <w:r w:rsidRPr="00F12208">
          <w:rPr>
            <w:rStyle w:val="Hyperlink"/>
          </w:rPr>
          <w:t>12</w:t>
        </w:r>
        <w:r w:rsidRPr="00B726CD">
          <w:rPr>
            <w:rStyle w:val="Hyperlink"/>
          </w:rPr>
          <w:t>/LTU/CO/</w:t>
        </w:r>
        <w:r w:rsidRPr="00F12208">
          <w:rPr>
            <w:rStyle w:val="Hyperlink"/>
          </w:rPr>
          <w:t>2</w:t>
        </w:r>
      </w:hyperlink>
      <w:r w:rsidRPr="00B726CD">
        <w:rPr>
          <w:rFonts w:cs="Times New Roman"/>
          <w:szCs w:val="18"/>
          <w:rtl/>
        </w:rPr>
        <w:t xml:space="preserve">. </w:t>
      </w:r>
    </w:p>
  </w:footnote>
  <w:footnote w:id="7">
    <w:p w14:paraId="416642BE" w14:textId="77777777" w:rsidR="00B726CD" w:rsidRPr="008D28FC" w:rsidRDefault="00B726CD" w:rsidP="00B726CD">
      <w:pPr>
        <w:pStyle w:val="FootnoteText"/>
        <w:tabs>
          <w:tab w:val="clear" w:pos="1021"/>
        </w:tabs>
        <w:bidi/>
        <w:spacing w:after="60" w:line="280" w:lineRule="exact"/>
        <w:ind w:left="1247" w:right="1247" w:hanging="567"/>
        <w:jc w:val="lowKashida"/>
        <w:textDirection w:val="tbRlV"/>
        <w:rPr>
          <w:szCs w:val="18"/>
          <w:lang w:val="ar-SA"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ab/>
      </w:r>
      <w:hyperlink r:id="rId7" w:history="1">
        <w:r w:rsidRPr="00B726CD">
          <w:rPr>
            <w:rStyle w:val="Hyperlink"/>
          </w:rPr>
          <w:t>CAT/C/LTU/CO/</w:t>
        </w:r>
        <w:r w:rsidRPr="00F12208">
          <w:rPr>
            <w:rStyle w:val="Hyperlink"/>
          </w:rPr>
          <w:t>4</w:t>
        </w:r>
      </w:hyperlink>
      <w:r w:rsidRPr="008D28FC">
        <w:rPr>
          <w:szCs w:val="18"/>
          <w:rtl/>
        </w:rPr>
        <w:t xml:space="preserve">، الفقرة </w:t>
      </w:r>
      <w:proofErr w:type="gramStart"/>
      <w:r w:rsidRPr="00F12208">
        <w:rPr>
          <w:rFonts w:ascii="Simplified Arabic"/>
          <w:szCs w:val="18"/>
          <w:rtl/>
        </w:rPr>
        <w:t>12</w:t>
      </w:r>
      <w:proofErr w:type="gramEnd"/>
      <w:r w:rsidRPr="00B726CD">
        <w:rPr>
          <w:szCs w:val="18"/>
          <w:rtl/>
        </w:rPr>
        <w:t xml:space="preserve">. </w:t>
      </w:r>
    </w:p>
  </w:footnote>
  <w:footnote w:id="8">
    <w:p w14:paraId="34ECF7D9" w14:textId="77777777" w:rsidR="00B726CD" w:rsidRPr="00F12208" w:rsidRDefault="00B726CD" w:rsidP="00B726CD">
      <w:pPr>
        <w:pStyle w:val="FootnoteText"/>
        <w:tabs>
          <w:tab w:val="clear" w:pos="1021"/>
        </w:tabs>
        <w:bidi/>
        <w:spacing w:after="60" w:line="280" w:lineRule="exact"/>
        <w:ind w:left="1247" w:right="1247" w:hanging="567"/>
        <w:jc w:val="lowKashida"/>
        <w:textDirection w:val="tbRlV"/>
        <w:rPr>
          <w:bCs/>
          <w:szCs w:val="18"/>
          <w:lang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ab/>
      </w:r>
      <w:hyperlink r:id="rId8" w:history="1">
        <w:r w:rsidRPr="00B726CD">
          <w:rPr>
            <w:rStyle w:val="Hyperlink"/>
          </w:rPr>
          <w:t>E/C.</w:t>
        </w:r>
        <w:r w:rsidRPr="00F12208">
          <w:rPr>
            <w:rStyle w:val="Hyperlink"/>
          </w:rPr>
          <w:t>12</w:t>
        </w:r>
        <w:r w:rsidRPr="00B726CD">
          <w:rPr>
            <w:rStyle w:val="Hyperlink"/>
          </w:rPr>
          <w:t>/</w:t>
        </w:r>
        <w:r w:rsidRPr="00F12208">
          <w:rPr>
            <w:rStyle w:val="Hyperlink"/>
          </w:rPr>
          <w:t>2018</w:t>
        </w:r>
        <w:r w:rsidRPr="00B726CD">
          <w:rPr>
            <w:rStyle w:val="Hyperlink"/>
          </w:rPr>
          <w:t>/</w:t>
        </w:r>
        <w:r w:rsidRPr="00F12208">
          <w:rPr>
            <w:rStyle w:val="Hyperlink"/>
          </w:rPr>
          <w:t>1</w:t>
        </w:r>
      </w:hyperlink>
      <w:r w:rsidRPr="00B726CD">
        <w:rPr>
          <w:rFonts w:cs="Times New Roman"/>
          <w:szCs w:val="18"/>
          <w:rtl/>
        </w:rPr>
        <w:t xml:space="preserve">. </w:t>
      </w:r>
    </w:p>
  </w:footnote>
  <w:footnote w:id="9">
    <w:p w14:paraId="77487BAC" w14:textId="77777777" w:rsidR="00B726CD" w:rsidRPr="008D28FC" w:rsidRDefault="00B726CD" w:rsidP="00B726CD">
      <w:pPr>
        <w:pStyle w:val="FootnoteText"/>
        <w:tabs>
          <w:tab w:val="clear" w:pos="1021"/>
        </w:tabs>
        <w:bidi/>
        <w:spacing w:after="60" w:line="280" w:lineRule="exact"/>
        <w:ind w:left="1247" w:right="1247" w:hanging="567"/>
        <w:jc w:val="lowKashida"/>
        <w:textDirection w:val="tbRlV"/>
        <w:rPr>
          <w:szCs w:val="18"/>
          <w:lang w:val="ar-SA"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ab/>
      </w:r>
      <w:hyperlink r:id="rId9" w:history="1">
        <w:r w:rsidRPr="00B726CD">
          <w:rPr>
            <w:rStyle w:val="Hyperlink"/>
          </w:rPr>
          <w:t>E/C.</w:t>
        </w:r>
        <w:r w:rsidRPr="00F12208">
          <w:rPr>
            <w:rStyle w:val="Hyperlink"/>
          </w:rPr>
          <w:t>12</w:t>
        </w:r>
        <w:r w:rsidRPr="00B726CD">
          <w:rPr>
            <w:rStyle w:val="Hyperlink"/>
          </w:rPr>
          <w:t>/</w:t>
        </w:r>
        <w:r w:rsidRPr="00F12208">
          <w:rPr>
            <w:rStyle w:val="Hyperlink"/>
          </w:rPr>
          <w:t>2001</w:t>
        </w:r>
        <w:r w:rsidRPr="00B726CD">
          <w:rPr>
            <w:rStyle w:val="Hyperlink"/>
          </w:rPr>
          <w:t>/</w:t>
        </w:r>
        <w:r w:rsidRPr="00F12208">
          <w:rPr>
            <w:rStyle w:val="Hyperlink"/>
          </w:rPr>
          <w:t>10</w:t>
        </w:r>
      </w:hyperlink>
      <w:r w:rsidRPr="00B726CD">
        <w:rPr>
          <w:rFonts w:cs="Times New Roman"/>
          <w:szCs w:val="18"/>
          <w:rtl/>
        </w:rPr>
        <w:t xml:space="preserve">. </w:t>
      </w:r>
    </w:p>
  </w:footnote>
  <w:footnote w:id="10">
    <w:p w14:paraId="5D1C887C" w14:textId="77777777" w:rsidR="00B726CD" w:rsidRPr="00295833" w:rsidRDefault="00B726CD" w:rsidP="00B726CD">
      <w:pPr>
        <w:pStyle w:val="FootnoteText"/>
        <w:tabs>
          <w:tab w:val="clear" w:pos="1021"/>
        </w:tabs>
        <w:bidi/>
        <w:spacing w:after="60" w:line="280" w:lineRule="exact"/>
        <w:ind w:left="1247" w:right="1247" w:hanging="567"/>
        <w:jc w:val="lowKashida"/>
        <w:textDirection w:val="tbRlV"/>
        <w:rPr>
          <w:szCs w:val="18"/>
          <w:lang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 xml:space="preserve"> </w:t>
      </w:r>
      <w:r w:rsidRPr="008D28FC">
        <w:rPr>
          <w:szCs w:val="18"/>
          <w:rtl/>
        </w:rPr>
        <w:tab/>
      </w:r>
      <w:hyperlink r:id="rId10" w:history="1">
        <w:r w:rsidRPr="00B726CD">
          <w:rPr>
            <w:rStyle w:val="Hyperlink"/>
          </w:rPr>
          <w:t>CEDAW/C/LTU/CO/</w:t>
        </w:r>
        <w:r w:rsidRPr="00F12208">
          <w:rPr>
            <w:rStyle w:val="Hyperlink"/>
          </w:rPr>
          <w:t>6</w:t>
        </w:r>
      </w:hyperlink>
      <w:r w:rsidRPr="008D28FC">
        <w:rPr>
          <w:szCs w:val="18"/>
          <w:rtl/>
        </w:rPr>
        <w:t xml:space="preserve">، الفقرتان </w:t>
      </w:r>
      <w:proofErr w:type="gramStart"/>
      <w:r w:rsidRPr="00F12208">
        <w:rPr>
          <w:rFonts w:ascii="Simplified Arabic"/>
          <w:szCs w:val="18"/>
          <w:rtl/>
        </w:rPr>
        <w:t>36</w:t>
      </w:r>
      <w:proofErr w:type="gramEnd"/>
      <w:r w:rsidRPr="008D28FC">
        <w:rPr>
          <w:szCs w:val="18"/>
          <w:rtl/>
        </w:rPr>
        <w:t xml:space="preserve"> و</w:t>
      </w:r>
      <w:r w:rsidRPr="00F12208">
        <w:rPr>
          <w:rFonts w:ascii="Simplified Arabic"/>
          <w:szCs w:val="18"/>
          <w:rtl/>
        </w:rPr>
        <w:t>37</w:t>
      </w:r>
      <w:r w:rsidRPr="00B726CD">
        <w:rPr>
          <w:szCs w:val="18"/>
          <w:rtl/>
        </w:rPr>
        <w:t xml:space="preserve">. </w:t>
      </w:r>
    </w:p>
  </w:footnote>
  <w:footnote w:id="11">
    <w:p w14:paraId="08B082C7" w14:textId="77777777" w:rsidR="00B726CD" w:rsidRPr="008D28FC" w:rsidRDefault="00B726CD" w:rsidP="00B726CD">
      <w:pPr>
        <w:pStyle w:val="FootnoteText"/>
        <w:tabs>
          <w:tab w:val="clear" w:pos="1021"/>
        </w:tabs>
        <w:bidi/>
        <w:spacing w:after="60" w:line="280" w:lineRule="exact"/>
        <w:ind w:left="1247" w:right="1247" w:hanging="567"/>
        <w:jc w:val="lowKashida"/>
        <w:textDirection w:val="tbRlV"/>
        <w:rPr>
          <w:szCs w:val="18"/>
          <w:lang w:val="ar-SA"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 xml:space="preserve"> </w:t>
      </w:r>
      <w:r w:rsidRPr="008D28FC">
        <w:rPr>
          <w:szCs w:val="18"/>
          <w:rtl/>
        </w:rPr>
        <w:tab/>
      </w:r>
      <w:hyperlink r:id="rId11" w:history="1">
        <w:r w:rsidRPr="00B726CD">
          <w:rPr>
            <w:rStyle w:val="Hyperlink"/>
          </w:rPr>
          <w:t>E/C.</w:t>
        </w:r>
        <w:r w:rsidRPr="00F12208">
          <w:rPr>
            <w:rStyle w:val="Hyperlink"/>
          </w:rPr>
          <w:t>12</w:t>
        </w:r>
        <w:r w:rsidRPr="00B726CD">
          <w:rPr>
            <w:rStyle w:val="Hyperlink"/>
          </w:rPr>
          <w:t>/LTU/CO/</w:t>
        </w:r>
        <w:r w:rsidRPr="00F12208">
          <w:rPr>
            <w:rStyle w:val="Hyperlink"/>
          </w:rPr>
          <w:t>2</w:t>
        </w:r>
      </w:hyperlink>
      <w:r w:rsidRPr="008D28FC">
        <w:rPr>
          <w:szCs w:val="18"/>
          <w:rtl/>
        </w:rPr>
        <w:t xml:space="preserve">، الفقرة </w:t>
      </w:r>
      <w:proofErr w:type="gramStart"/>
      <w:r w:rsidRPr="00F12208">
        <w:rPr>
          <w:rFonts w:ascii="Simplified Arabic"/>
          <w:szCs w:val="18"/>
          <w:rtl/>
        </w:rPr>
        <w:t>9</w:t>
      </w:r>
      <w:proofErr w:type="gramEnd"/>
      <w:r w:rsidRPr="00B726CD">
        <w:rPr>
          <w:szCs w:val="18"/>
          <w:rtl/>
        </w:rPr>
        <w:t xml:space="preserve">. </w:t>
      </w:r>
    </w:p>
  </w:footnote>
  <w:footnote w:id="12">
    <w:p w14:paraId="26545C84" w14:textId="77777777" w:rsidR="00B726CD" w:rsidRPr="008D28FC" w:rsidRDefault="00B726CD" w:rsidP="00B726CD">
      <w:pPr>
        <w:pStyle w:val="FootnoteText"/>
        <w:tabs>
          <w:tab w:val="clear" w:pos="1021"/>
        </w:tabs>
        <w:bidi/>
        <w:spacing w:after="60" w:line="280" w:lineRule="exact"/>
        <w:ind w:left="1247" w:right="1247" w:hanging="567"/>
        <w:jc w:val="lowKashida"/>
        <w:textDirection w:val="tbRlV"/>
        <w:rPr>
          <w:szCs w:val="18"/>
          <w:lang w:val="ar-SA"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 xml:space="preserve"> </w:t>
      </w:r>
      <w:r w:rsidRPr="008D28FC">
        <w:rPr>
          <w:szCs w:val="18"/>
          <w:rtl/>
        </w:rPr>
        <w:tab/>
      </w:r>
      <w:hyperlink r:id="rId12" w:history="1">
        <w:r w:rsidRPr="00B726CD">
          <w:rPr>
            <w:rStyle w:val="Hyperlink"/>
          </w:rPr>
          <w:t>E/C.</w:t>
        </w:r>
        <w:r w:rsidRPr="00F12208">
          <w:rPr>
            <w:rStyle w:val="Hyperlink"/>
          </w:rPr>
          <w:t>12</w:t>
        </w:r>
        <w:r w:rsidRPr="00B726CD">
          <w:rPr>
            <w:rStyle w:val="Hyperlink"/>
          </w:rPr>
          <w:t>/LTU/CO/</w:t>
        </w:r>
        <w:r w:rsidRPr="00F12208">
          <w:rPr>
            <w:rStyle w:val="Hyperlink"/>
          </w:rPr>
          <w:t>2</w:t>
        </w:r>
      </w:hyperlink>
      <w:r w:rsidRPr="008D28FC">
        <w:rPr>
          <w:szCs w:val="18"/>
          <w:rtl/>
        </w:rPr>
        <w:t xml:space="preserve">، الفقرتان </w:t>
      </w:r>
      <w:proofErr w:type="gramStart"/>
      <w:r w:rsidRPr="00F12208">
        <w:rPr>
          <w:rFonts w:ascii="Simplified Arabic"/>
          <w:szCs w:val="18"/>
          <w:rtl/>
        </w:rPr>
        <w:t>11</w:t>
      </w:r>
      <w:proofErr w:type="gramEnd"/>
      <w:r w:rsidRPr="008D28FC">
        <w:rPr>
          <w:szCs w:val="18"/>
          <w:rtl/>
        </w:rPr>
        <w:t xml:space="preserve"> و</w:t>
      </w:r>
      <w:r w:rsidRPr="00F12208">
        <w:rPr>
          <w:rFonts w:ascii="Simplified Arabic"/>
          <w:szCs w:val="18"/>
          <w:rtl/>
        </w:rPr>
        <w:t>12</w:t>
      </w:r>
      <w:r w:rsidRPr="00B726CD">
        <w:rPr>
          <w:szCs w:val="18"/>
          <w:rtl/>
        </w:rPr>
        <w:t xml:space="preserve">. </w:t>
      </w:r>
    </w:p>
  </w:footnote>
  <w:footnote w:id="13">
    <w:p w14:paraId="061C437B" w14:textId="77777777" w:rsidR="00B726CD" w:rsidRPr="004247EB" w:rsidRDefault="00B726CD" w:rsidP="00B726CD">
      <w:pPr>
        <w:pStyle w:val="FootnoteText"/>
        <w:tabs>
          <w:tab w:val="clear" w:pos="1021"/>
        </w:tabs>
        <w:bidi/>
        <w:spacing w:after="60" w:line="280" w:lineRule="exact"/>
        <w:ind w:left="1247" w:right="1247" w:hanging="567"/>
        <w:jc w:val="lowKashida"/>
        <w:textDirection w:val="tbRlV"/>
        <w:rPr>
          <w:szCs w:val="18"/>
          <w:lang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 xml:space="preserve"> </w:t>
      </w:r>
      <w:r w:rsidRPr="008D28FC">
        <w:rPr>
          <w:szCs w:val="18"/>
          <w:rtl/>
        </w:rPr>
        <w:tab/>
      </w:r>
      <w:hyperlink r:id="rId13" w:history="1">
        <w:r w:rsidRPr="00B726CD">
          <w:rPr>
            <w:rStyle w:val="Hyperlink"/>
          </w:rPr>
          <w:t>E/C.</w:t>
        </w:r>
        <w:r w:rsidRPr="00F12208">
          <w:rPr>
            <w:rStyle w:val="Hyperlink"/>
          </w:rPr>
          <w:t>12</w:t>
        </w:r>
        <w:r w:rsidRPr="00B726CD">
          <w:rPr>
            <w:rStyle w:val="Hyperlink"/>
          </w:rPr>
          <w:t>/LTU/CO/</w:t>
        </w:r>
        <w:r w:rsidRPr="00F12208">
          <w:rPr>
            <w:rStyle w:val="Hyperlink"/>
          </w:rPr>
          <w:t>2</w:t>
        </w:r>
      </w:hyperlink>
      <w:r w:rsidRPr="008D28FC">
        <w:rPr>
          <w:szCs w:val="18"/>
          <w:rtl/>
        </w:rPr>
        <w:t xml:space="preserve">، الفقرة </w:t>
      </w:r>
      <w:proofErr w:type="gramStart"/>
      <w:r w:rsidRPr="00F12208">
        <w:rPr>
          <w:rFonts w:ascii="Simplified Arabic"/>
          <w:szCs w:val="18"/>
          <w:rtl/>
        </w:rPr>
        <w:t>17</w:t>
      </w:r>
      <w:proofErr w:type="gramEnd"/>
      <w:r w:rsidRPr="00B726CD">
        <w:rPr>
          <w:szCs w:val="18"/>
          <w:rtl/>
        </w:rPr>
        <w:t xml:space="preserve">. </w:t>
      </w:r>
    </w:p>
  </w:footnote>
  <w:footnote w:id="14">
    <w:p w14:paraId="475F012D" w14:textId="77777777" w:rsidR="00B726CD" w:rsidRPr="008D28FC" w:rsidRDefault="00B726CD" w:rsidP="00B726CD">
      <w:pPr>
        <w:pStyle w:val="FootnoteText"/>
        <w:tabs>
          <w:tab w:val="clear" w:pos="1021"/>
        </w:tabs>
        <w:bidi/>
        <w:spacing w:after="60" w:line="280" w:lineRule="exact"/>
        <w:ind w:left="1247" w:right="1247" w:hanging="567"/>
        <w:jc w:val="lowKashida"/>
        <w:textDirection w:val="tbRlV"/>
        <w:rPr>
          <w:szCs w:val="18"/>
          <w:lang w:val="ar-SA"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ab/>
      </w:r>
      <w:hyperlink r:id="rId14" w:history="1">
        <w:r w:rsidRPr="00B726CD">
          <w:rPr>
            <w:rStyle w:val="Hyperlink"/>
          </w:rPr>
          <w:t>E/C.</w:t>
        </w:r>
        <w:r w:rsidRPr="00F12208">
          <w:rPr>
            <w:rStyle w:val="Hyperlink"/>
          </w:rPr>
          <w:t>12</w:t>
        </w:r>
        <w:r w:rsidRPr="00B726CD">
          <w:rPr>
            <w:rStyle w:val="Hyperlink"/>
          </w:rPr>
          <w:t>/</w:t>
        </w:r>
        <w:r w:rsidRPr="00F12208">
          <w:rPr>
            <w:rStyle w:val="Hyperlink"/>
          </w:rPr>
          <w:t>2010</w:t>
        </w:r>
        <w:r w:rsidRPr="00B726CD">
          <w:rPr>
            <w:rStyle w:val="Hyperlink"/>
          </w:rPr>
          <w:t>/</w:t>
        </w:r>
        <w:r w:rsidRPr="00F12208">
          <w:rPr>
            <w:rStyle w:val="Hyperlink"/>
          </w:rPr>
          <w:t>1</w:t>
        </w:r>
      </w:hyperlink>
      <w:r w:rsidRPr="00B726CD">
        <w:rPr>
          <w:rFonts w:cs="Times New Roman"/>
          <w:szCs w:val="18"/>
          <w:rtl/>
        </w:rPr>
        <w:t xml:space="preserve">. </w:t>
      </w:r>
    </w:p>
  </w:footnote>
  <w:footnote w:id="15">
    <w:p w14:paraId="25005E71" w14:textId="77777777" w:rsidR="00B726CD" w:rsidRPr="008D28FC" w:rsidRDefault="00B726CD" w:rsidP="00B726CD">
      <w:pPr>
        <w:pStyle w:val="FootnoteText"/>
        <w:tabs>
          <w:tab w:val="clear" w:pos="1021"/>
        </w:tabs>
        <w:bidi/>
        <w:spacing w:after="60" w:line="280" w:lineRule="exact"/>
        <w:ind w:left="1247" w:right="1247" w:hanging="567"/>
        <w:jc w:val="lowKashida"/>
        <w:textDirection w:val="tbRlV"/>
        <w:rPr>
          <w:szCs w:val="18"/>
          <w:lang w:val="ar-SA"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 xml:space="preserve"> </w:t>
      </w:r>
      <w:r w:rsidRPr="008D28FC">
        <w:rPr>
          <w:szCs w:val="18"/>
          <w:rtl/>
        </w:rPr>
        <w:tab/>
      </w:r>
      <w:hyperlink r:id="rId15" w:history="1">
        <w:r w:rsidRPr="00B726CD">
          <w:rPr>
            <w:rStyle w:val="Hyperlink"/>
          </w:rPr>
          <w:t>E/C.</w:t>
        </w:r>
        <w:r w:rsidRPr="00F12208">
          <w:rPr>
            <w:rStyle w:val="Hyperlink"/>
          </w:rPr>
          <w:t>12</w:t>
        </w:r>
        <w:r w:rsidRPr="00B726CD">
          <w:rPr>
            <w:rStyle w:val="Hyperlink"/>
          </w:rPr>
          <w:t>/LTU/CO/</w:t>
        </w:r>
        <w:r w:rsidRPr="00F12208">
          <w:rPr>
            <w:rStyle w:val="Hyperlink"/>
          </w:rPr>
          <w:t>2</w:t>
        </w:r>
      </w:hyperlink>
      <w:r w:rsidRPr="008D28FC">
        <w:rPr>
          <w:szCs w:val="18"/>
          <w:rtl/>
        </w:rPr>
        <w:t xml:space="preserve">، الفقرة </w:t>
      </w:r>
      <w:proofErr w:type="gramStart"/>
      <w:r w:rsidRPr="00F12208">
        <w:rPr>
          <w:rFonts w:ascii="Simplified Arabic"/>
          <w:szCs w:val="18"/>
          <w:rtl/>
        </w:rPr>
        <w:t>20</w:t>
      </w:r>
      <w:proofErr w:type="gramEnd"/>
      <w:r w:rsidRPr="00B726CD">
        <w:rPr>
          <w:szCs w:val="18"/>
          <w:rtl/>
        </w:rPr>
        <w:t xml:space="preserve">. </w:t>
      </w:r>
    </w:p>
  </w:footnote>
  <w:footnote w:id="16">
    <w:p w14:paraId="0C35B9C3" w14:textId="77777777" w:rsidR="00B726CD" w:rsidRPr="008D28FC" w:rsidRDefault="00B726CD" w:rsidP="00B726CD">
      <w:pPr>
        <w:pStyle w:val="FootnoteText"/>
        <w:tabs>
          <w:tab w:val="clear" w:pos="1021"/>
        </w:tabs>
        <w:bidi/>
        <w:spacing w:after="60" w:line="280" w:lineRule="exact"/>
        <w:ind w:left="1247" w:right="1247" w:hanging="567"/>
        <w:jc w:val="lowKashida"/>
        <w:textDirection w:val="tbRlV"/>
        <w:rPr>
          <w:szCs w:val="18"/>
          <w:lang w:val="ar-SA" w:eastAsia="zh-TW" w:bidi="en-GB"/>
        </w:rPr>
      </w:pPr>
      <w:r w:rsidRPr="008D28FC">
        <w:rPr>
          <w:rStyle w:val="FootnoteReference"/>
          <w:vertAlign w:val="baseline"/>
          <w:rtl/>
        </w:rPr>
        <w:t>(</w:t>
      </w:r>
      <w:r w:rsidRPr="00F12208">
        <w:rPr>
          <w:rStyle w:val="FootnoteReference"/>
          <w:vertAlign w:val="baseline"/>
        </w:rPr>
        <w:footnoteRef/>
      </w:r>
      <w:r w:rsidRPr="008D28FC">
        <w:rPr>
          <w:rStyle w:val="FootnoteReference"/>
          <w:vertAlign w:val="baseline"/>
          <w:rtl/>
        </w:rPr>
        <w:t>)</w:t>
      </w:r>
      <w:r w:rsidRPr="008D28FC">
        <w:rPr>
          <w:szCs w:val="18"/>
          <w:rtl/>
        </w:rPr>
        <w:t xml:space="preserve"> </w:t>
      </w:r>
      <w:r w:rsidRPr="008D28FC">
        <w:rPr>
          <w:szCs w:val="18"/>
          <w:rtl/>
        </w:rPr>
        <w:tab/>
      </w:r>
      <w:hyperlink r:id="rId16" w:history="1">
        <w:r w:rsidRPr="00B726CD">
          <w:rPr>
            <w:rStyle w:val="Hyperlink"/>
          </w:rPr>
          <w:t>E/C.</w:t>
        </w:r>
        <w:r w:rsidRPr="00F12208">
          <w:rPr>
            <w:rStyle w:val="Hyperlink"/>
          </w:rPr>
          <w:t>12</w:t>
        </w:r>
        <w:r w:rsidRPr="00B726CD">
          <w:rPr>
            <w:rStyle w:val="Hyperlink"/>
          </w:rPr>
          <w:t>/</w:t>
        </w:r>
        <w:r w:rsidRPr="00F12208">
          <w:rPr>
            <w:rStyle w:val="Hyperlink"/>
          </w:rPr>
          <w:t>2019</w:t>
        </w:r>
        <w:r w:rsidRPr="00B726CD">
          <w:rPr>
            <w:rStyle w:val="Hyperlink"/>
          </w:rPr>
          <w:t>/</w:t>
        </w:r>
        <w:r w:rsidRPr="00F12208">
          <w:rPr>
            <w:rStyle w:val="Hyperlink"/>
          </w:rPr>
          <w:t>1</w:t>
        </w:r>
      </w:hyperlink>
      <w:r w:rsidRPr="00B726CD">
        <w:rPr>
          <w:rFonts w:cs="Times New Roman"/>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8CB9" w14:textId="5C052E12" w:rsidR="00B37BFC" w:rsidRPr="00B37BFC" w:rsidRDefault="00B37BFC" w:rsidP="00B37BFC">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86944">
      <w:t>E/C.12/LTU/CO/3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4BAF" w14:textId="260E7834" w:rsidR="00B37BFC" w:rsidRPr="00B37BFC" w:rsidRDefault="00B37BFC" w:rsidP="00B37BFC">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86944">
      <w:t>E/C.12/LTU/CO/3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365375550">
    <w:abstractNumId w:val="15"/>
  </w:num>
  <w:num w:numId="2" w16cid:durableId="44451536">
    <w:abstractNumId w:val="12"/>
  </w:num>
  <w:num w:numId="3" w16cid:durableId="1916474846">
    <w:abstractNumId w:val="2"/>
  </w:num>
  <w:num w:numId="4" w16cid:durableId="264966266">
    <w:abstractNumId w:val="11"/>
  </w:num>
  <w:num w:numId="5" w16cid:durableId="521171176">
    <w:abstractNumId w:val="8"/>
  </w:num>
  <w:num w:numId="6" w16cid:durableId="158279265">
    <w:abstractNumId w:val="5"/>
  </w:num>
  <w:num w:numId="7" w16cid:durableId="83035495">
    <w:abstractNumId w:val="17"/>
  </w:num>
  <w:num w:numId="8" w16cid:durableId="370347701">
    <w:abstractNumId w:val="2"/>
  </w:num>
  <w:num w:numId="9" w16cid:durableId="691877954">
    <w:abstractNumId w:val="11"/>
  </w:num>
  <w:num w:numId="10" w16cid:durableId="1055006233">
    <w:abstractNumId w:val="5"/>
  </w:num>
  <w:num w:numId="11" w16cid:durableId="1933590108">
    <w:abstractNumId w:val="17"/>
  </w:num>
  <w:num w:numId="12" w16cid:durableId="1025133562">
    <w:abstractNumId w:val="4"/>
  </w:num>
  <w:num w:numId="13" w16cid:durableId="598757169">
    <w:abstractNumId w:val="3"/>
  </w:num>
  <w:num w:numId="14" w16cid:durableId="558638038">
    <w:abstractNumId w:val="16"/>
  </w:num>
  <w:num w:numId="15" w16cid:durableId="102384466">
    <w:abstractNumId w:val="13"/>
  </w:num>
  <w:num w:numId="16" w16cid:durableId="695348056">
    <w:abstractNumId w:val="1"/>
  </w:num>
  <w:num w:numId="17" w16cid:durableId="686374709">
    <w:abstractNumId w:val="14"/>
  </w:num>
  <w:num w:numId="18" w16cid:durableId="64107798">
    <w:abstractNumId w:val="0"/>
  </w:num>
  <w:num w:numId="19" w16cid:durableId="1071345497">
    <w:abstractNumId w:val="9"/>
  </w:num>
  <w:num w:numId="20" w16cid:durableId="760875369">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16cid:durableId="2139032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9189601">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1704599896">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16cid:durableId="402221336">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16cid:durableId="866871555">
    <w:abstractNumId w:val="7"/>
  </w:num>
  <w:num w:numId="26" w16cid:durableId="1412005285">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16cid:durableId="1644264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BE"/>
    <w:rsid w:val="000076D5"/>
    <w:rsid w:val="000148E3"/>
    <w:rsid w:val="00043663"/>
    <w:rsid w:val="000505CF"/>
    <w:rsid w:val="000A755F"/>
    <w:rsid w:val="000D63FC"/>
    <w:rsid w:val="000D701C"/>
    <w:rsid w:val="000E2A71"/>
    <w:rsid w:val="000E524A"/>
    <w:rsid w:val="00147B99"/>
    <w:rsid w:val="00160263"/>
    <w:rsid w:val="0017461F"/>
    <w:rsid w:val="00180D1E"/>
    <w:rsid w:val="00181F96"/>
    <w:rsid w:val="00183698"/>
    <w:rsid w:val="001960F2"/>
    <w:rsid w:val="001A1371"/>
    <w:rsid w:val="001A58AC"/>
    <w:rsid w:val="001B346A"/>
    <w:rsid w:val="001D1FE9"/>
    <w:rsid w:val="001E1CAD"/>
    <w:rsid w:val="001E290D"/>
    <w:rsid w:val="002144FA"/>
    <w:rsid w:val="0023469A"/>
    <w:rsid w:val="00242AA9"/>
    <w:rsid w:val="00243C8A"/>
    <w:rsid w:val="00267A0E"/>
    <w:rsid w:val="002901D9"/>
    <w:rsid w:val="00295833"/>
    <w:rsid w:val="00296DFF"/>
    <w:rsid w:val="002976C2"/>
    <w:rsid w:val="002D0DE9"/>
    <w:rsid w:val="00300C6B"/>
    <w:rsid w:val="00310E12"/>
    <w:rsid w:val="003131D8"/>
    <w:rsid w:val="00315AE7"/>
    <w:rsid w:val="00325CC1"/>
    <w:rsid w:val="003260FF"/>
    <w:rsid w:val="00343D95"/>
    <w:rsid w:val="00360ABA"/>
    <w:rsid w:val="00374341"/>
    <w:rsid w:val="003D1062"/>
    <w:rsid w:val="003E159A"/>
    <w:rsid w:val="003F4B0C"/>
    <w:rsid w:val="004205C7"/>
    <w:rsid w:val="00420D7B"/>
    <w:rsid w:val="004247EB"/>
    <w:rsid w:val="00450B21"/>
    <w:rsid w:val="00453B63"/>
    <w:rsid w:val="00455780"/>
    <w:rsid w:val="00485999"/>
    <w:rsid w:val="004B0A1C"/>
    <w:rsid w:val="004B5DE1"/>
    <w:rsid w:val="004C7897"/>
    <w:rsid w:val="004D298E"/>
    <w:rsid w:val="004E32F4"/>
    <w:rsid w:val="004E336B"/>
    <w:rsid w:val="00501FD1"/>
    <w:rsid w:val="005174F0"/>
    <w:rsid w:val="00517BC9"/>
    <w:rsid w:val="00527E4C"/>
    <w:rsid w:val="0053172A"/>
    <w:rsid w:val="0054472E"/>
    <w:rsid w:val="0054762C"/>
    <w:rsid w:val="005662A9"/>
    <w:rsid w:val="00575420"/>
    <w:rsid w:val="005817D9"/>
    <w:rsid w:val="005827D4"/>
    <w:rsid w:val="0059622A"/>
    <w:rsid w:val="005A5A78"/>
    <w:rsid w:val="005A7535"/>
    <w:rsid w:val="005C5878"/>
    <w:rsid w:val="005C5E4D"/>
    <w:rsid w:val="005C7CEA"/>
    <w:rsid w:val="005D3C0B"/>
    <w:rsid w:val="005D57FB"/>
    <w:rsid w:val="005E5217"/>
    <w:rsid w:val="005F0FA4"/>
    <w:rsid w:val="005F30EE"/>
    <w:rsid w:val="0060230E"/>
    <w:rsid w:val="0060473A"/>
    <w:rsid w:val="00606EDF"/>
    <w:rsid w:val="006144FB"/>
    <w:rsid w:val="00634937"/>
    <w:rsid w:val="00656392"/>
    <w:rsid w:val="006578CD"/>
    <w:rsid w:val="00682790"/>
    <w:rsid w:val="00686944"/>
    <w:rsid w:val="0068781D"/>
    <w:rsid w:val="00692380"/>
    <w:rsid w:val="006959B0"/>
    <w:rsid w:val="006B3E27"/>
    <w:rsid w:val="006B6507"/>
    <w:rsid w:val="006C104C"/>
    <w:rsid w:val="006E1F50"/>
    <w:rsid w:val="006F5600"/>
    <w:rsid w:val="00705EAA"/>
    <w:rsid w:val="00733704"/>
    <w:rsid w:val="00740188"/>
    <w:rsid w:val="0078071A"/>
    <w:rsid w:val="007A70BB"/>
    <w:rsid w:val="007C1C49"/>
    <w:rsid w:val="00852A9A"/>
    <w:rsid w:val="00871544"/>
    <w:rsid w:val="008864E6"/>
    <w:rsid w:val="008930DB"/>
    <w:rsid w:val="00895D16"/>
    <w:rsid w:val="008D28FC"/>
    <w:rsid w:val="008D2BA0"/>
    <w:rsid w:val="008F49E1"/>
    <w:rsid w:val="0090370F"/>
    <w:rsid w:val="009103B5"/>
    <w:rsid w:val="00912C4E"/>
    <w:rsid w:val="009269D2"/>
    <w:rsid w:val="00942135"/>
    <w:rsid w:val="00945967"/>
    <w:rsid w:val="009521B0"/>
    <w:rsid w:val="00961AC7"/>
    <w:rsid w:val="009956DB"/>
    <w:rsid w:val="009A7E9F"/>
    <w:rsid w:val="009E0EDE"/>
    <w:rsid w:val="009E5018"/>
    <w:rsid w:val="009F3D70"/>
    <w:rsid w:val="00A072C6"/>
    <w:rsid w:val="00A12B37"/>
    <w:rsid w:val="00A15998"/>
    <w:rsid w:val="00A50EC0"/>
    <w:rsid w:val="00A6556D"/>
    <w:rsid w:val="00A74331"/>
    <w:rsid w:val="00A862CC"/>
    <w:rsid w:val="00AB6758"/>
    <w:rsid w:val="00AC3B36"/>
    <w:rsid w:val="00AD6920"/>
    <w:rsid w:val="00B112BE"/>
    <w:rsid w:val="00B13763"/>
    <w:rsid w:val="00B24420"/>
    <w:rsid w:val="00B37BFC"/>
    <w:rsid w:val="00B477A4"/>
    <w:rsid w:val="00B54045"/>
    <w:rsid w:val="00B726CD"/>
    <w:rsid w:val="00B73875"/>
    <w:rsid w:val="00B94EE7"/>
    <w:rsid w:val="00BA1F0F"/>
    <w:rsid w:val="00BA641F"/>
    <w:rsid w:val="00BB2EAA"/>
    <w:rsid w:val="00BF3B52"/>
    <w:rsid w:val="00C022F5"/>
    <w:rsid w:val="00C06B9A"/>
    <w:rsid w:val="00C438D7"/>
    <w:rsid w:val="00C52795"/>
    <w:rsid w:val="00C53FE8"/>
    <w:rsid w:val="00C713CA"/>
    <w:rsid w:val="00C81B50"/>
    <w:rsid w:val="00CA655B"/>
    <w:rsid w:val="00CB3C3C"/>
    <w:rsid w:val="00CB7496"/>
    <w:rsid w:val="00CD1801"/>
    <w:rsid w:val="00CE29BB"/>
    <w:rsid w:val="00D10EF1"/>
    <w:rsid w:val="00D4009C"/>
    <w:rsid w:val="00D42810"/>
    <w:rsid w:val="00D746C0"/>
    <w:rsid w:val="00D914A7"/>
    <w:rsid w:val="00DB19E1"/>
    <w:rsid w:val="00DD13C3"/>
    <w:rsid w:val="00DD596E"/>
    <w:rsid w:val="00DD621E"/>
    <w:rsid w:val="00DF0575"/>
    <w:rsid w:val="00E049EC"/>
    <w:rsid w:val="00E3601B"/>
    <w:rsid w:val="00E5633C"/>
    <w:rsid w:val="00E70E04"/>
    <w:rsid w:val="00E90BB3"/>
    <w:rsid w:val="00EC05A7"/>
    <w:rsid w:val="00EC4B6B"/>
    <w:rsid w:val="00EC7D11"/>
    <w:rsid w:val="00ED7442"/>
    <w:rsid w:val="00EE0B18"/>
    <w:rsid w:val="00EE2AFF"/>
    <w:rsid w:val="00EF1EE5"/>
    <w:rsid w:val="00F12208"/>
    <w:rsid w:val="00F45A26"/>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1DFBC"/>
  <w15:docId w15:val="{865DC708-A49A-4195-BB17-1659627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E6"/>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864E6"/>
    <w:pPr>
      <w:bidi w:val="0"/>
      <w:outlineLvl w:val="0"/>
    </w:pPr>
  </w:style>
  <w:style w:type="paragraph" w:styleId="Heading2">
    <w:name w:val="heading 2"/>
    <w:basedOn w:val="Normal"/>
    <w:next w:val="Normal"/>
    <w:link w:val="Heading2Char"/>
    <w:uiPriority w:val="9"/>
    <w:unhideWhenUsed/>
    <w:rsid w:val="008864E6"/>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864E6"/>
    <w:pPr>
      <w:keepNext/>
      <w:keepLines/>
      <w:spacing w:before="200"/>
      <w:outlineLvl w:val="2"/>
    </w:pPr>
    <w:rPr>
      <w:b/>
      <w:bCs/>
      <w:color w:val="4F81BD"/>
    </w:rPr>
  </w:style>
  <w:style w:type="paragraph" w:styleId="Heading4">
    <w:name w:val="heading 4"/>
    <w:basedOn w:val="Normal"/>
    <w:next w:val="Normal"/>
    <w:link w:val="Heading4Char"/>
    <w:uiPriority w:val="9"/>
    <w:unhideWhenUsed/>
    <w:rsid w:val="008864E6"/>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864E6"/>
    <w:pPr>
      <w:keepNext/>
      <w:keepLines/>
      <w:spacing w:before="200"/>
      <w:outlineLvl w:val="4"/>
    </w:pPr>
    <w:rPr>
      <w:color w:val="243F60"/>
    </w:rPr>
  </w:style>
  <w:style w:type="paragraph" w:styleId="Heading6">
    <w:name w:val="heading 6"/>
    <w:basedOn w:val="Normal"/>
    <w:next w:val="Normal"/>
    <w:link w:val="Heading6Char"/>
    <w:uiPriority w:val="9"/>
    <w:unhideWhenUsed/>
    <w:rsid w:val="008864E6"/>
    <w:pPr>
      <w:keepNext/>
      <w:keepLines/>
      <w:spacing w:before="200"/>
      <w:outlineLvl w:val="5"/>
    </w:pPr>
    <w:rPr>
      <w:i/>
      <w:iCs/>
      <w:color w:val="243F60"/>
    </w:rPr>
  </w:style>
  <w:style w:type="paragraph" w:styleId="Heading7">
    <w:name w:val="heading 7"/>
    <w:basedOn w:val="Normal"/>
    <w:next w:val="Normal"/>
    <w:link w:val="Heading7Char"/>
    <w:uiPriority w:val="9"/>
    <w:unhideWhenUsed/>
    <w:rsid w:val="008864E6"/>
    <w:pPr>
      <w:keepNext/>
      <w:keepLines/>
      <w:spacing w:before="200"/>
      <w:outlineLvl w:val="6"/>
    </w:pPr>
    <w:rPr>
      <w:i/>
      <w:iCs/>
      <w:color w:val="404040"/>
    </w:rPr>
  </w:style>
  <w:style w:type="paragraph" w:styleId="Heading8">
    <w:name w:val="heading 8"/>
    <w:basedOn w:val="Normal"/>
    <w:next w:val="Normal"/>
    <w:link w:val="Heading8Char"/>
    <w:uiPriority w:val="9"/>
    <w:unhideWhenUsed/>
    <w:rsid w:val="008864E6"/>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864E6"/>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8864E6"/>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8864E6"/>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qFormat/>
    <w:rsid w:val="008864E6"/>
    <w:rPr>
      <w:szCs w:val="18"/>
      <w:vertAlign w:val="superscript"/>
    </w:rPr>
  </w:style>
  <w:style w:type="paragraph" w:customStyle="1" w:styleId="HMGA">
    <w:name w:val="_ H __M_GA"/>
    <w:basedOn w:val="Normal"/>
    <w:next w:val="SingleTxtGA"/>
    <w:qFormat/>
    <w:rsid w:val="008864E6"/>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864E6"/>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864E6"/>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864E6"/>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864E6"/>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864E6"/>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864E6"/>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864E6"/>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864E6"/>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864E6"/>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864E6"/>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864E6"/>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864E6"/>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864E6"/>
    <w:pPr>
      <w:numPr>
        <w:numId w:val="5"/>
      </w:numPr>
      <w:bidi w:val="0"/>
    </w:pPr>
    <w:rPr>
      <w:lang w:val="en-US"/>
    </w:rPr>
  </w:style>
  <w:style w:type="paragraph" w:customStyle="1" w:styleId="Roman1GA">
    <w:name w:val="_Roman 1_GA"/>
    <w:basedOn w:val="Bullet1GA"/>
    <w:qFormat/>
    <w:rsid w:val="008864E6"/>
    <w:pPr>
      <w:numPr>
        <w:numId w:val="6"/>
      </w:numPr>
      <w:tabs>
        <w:tab w:val="clear" w:pos="2310"/>
        <w:tab w:val="left" w:pos="2486"/>
      </w:tabs>
      <w:ind w:left="2486" w:hanging="378"/>
    </w:pPr>
  </w:style>
  <w:style w:type="paragraph" w:customStyle="1" w:styleId="Roman2GA">
    <w:name w:val="_Roman 2_GA"/>
    <w:basedOn w:val="Bullet2GA"/>
    <w:qFormat/>
    <w:rsid w:val="008864E6"/>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864E6"/>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864E6"/>
    <w:rPr>
      <w:rFonts w:ascii="Times New Roman" w:eastAsia="PMingLiU" w:hAnsi="Times New Roman" w:cs="Simplified Arabic"/>
      <w:sz w:val="18"/>
      <w:szCs w:val="20"/>
      <w:lang w:val="en-GB"/>
    </w:rPr>
  </w:style>
  <w:style w:type="character" w:customStyle="1" w:styleId="EndtnoteReference">
    <w:name w:val="Endtnote Reference"/>
    <w:aliases w:val="1_GA"/>
    <w:qFormat/>
    <w:rsid w:val="008864E6"/>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864E6"/>
    <w:pPr>
      <w:suppressAutoHyphens/>
      <w:bidi w:val="0"/>
      <w:spacing w:line="240" w:lineRule="auto"/>
    </w:pPr>
    <w:rPr>
      <w:sz w:val="16"/>
      <w:lang w:val="en-GB"/>
    </w:rPr>
  </w:style>
  <w:style w:type="character" w:customStyle="1" w:styleId="FooterChar">
    <w:name w:val="Footer Char"/>
    <w:aliases w:val="3_GA Char,3_G Char"/>
    <w:link w:val="Footer"/>
    <w:rsid w:val="008864E6"/>
    <w:rPr>
      <w:rFonts w:ascii="Times New Roman" w:eastAsia="PMingLiU" w:hAnsi="Times New Roman" w:cs="Simplified Arabic"/>
      <w:sz w:val="16"/>
      <w:lang w:val="en-GB"/>
    </w:rPr>
  </w:style>
  <w:style w:type="paragraph" w:customStyle="1" w:styleId="FootnoteText1">
    <w:name w:val="Footnote Text1"/>
    <w:aliases w:val="5_GA"/>
    <w:basedOn w:val="Normal"/>
    <w:qFormat/>
    <w:rsid w:val="008864E6"/>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864E6"/>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8864E6"/>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864E6"/>
    <w:rPr>
      <w:rFonts w:ascii="Times New Roman" w:eastAsia="PMingLiU" w:hAnsi="Times New Roman" w:cs="Simplified Arabic"/>
      <w:lang w:val="en-GB"/>
    </w:rPr>
  </w:style>
  <w:style w:type="character" w:styleId="PageNumber">
    <w:name w:val="page number"/>
    <w:aliases w:val="7_GA,7_G"/>
    <w:qFormat/>
    <w:rsid w:val="008864E6"/>
    <w:rPr>
      <w:rFonts w:ascii="Times New Roman Bold" w:hAnsi="Times New Roman Bold"/>
      <w:b/>
      <w:i w:val="0"/>
      <w:sz w:val="18"/>
      <w:szCs w:val="18"/>
    </w:rPr>
  </w:style>
  <w:style w:type="paragraph" w:customStyle="1" w:styleId="XXLargeGA">
    <w:name w:val="XXLarge_GA"/>
    <w:basedOn w:val="Normal"/>
    <w:next w:val="SingleTxtGA"/>
    <w:qFormat/>
    <w:rsid w:val="008864E6"/>
    <w:pPr>
      <w:suppressAutoHyphens/>
      <w:spacing w:line="820" w:lineRule="exact"/>
    </w:pPr>
    <w:rPr>
      <w:spacing w:val="-8"/>
      <w:w w:val="96"/>
      <w:sz w:val="57"/>
      <w:szCs w:val="86"/>
      <w:lang w:val="en-GB"/>
    </w:rPr>
  </w:style>
  <w:style w:type="character" w:customStyle="1" w:styleId="Heading2Char">
    <w:name w:val="Heading 2 Char"/>
    <w:link w:val="Heading2"/>
    <w:uiPriority w:val="9"/>
    <w:rsid w:val="008864E6"/>
    <w:rPr>
      <w:rFonts w:ascii="Times New Roman" w:eastAsia="PMingLiU" w:hAnsi="Times New Roman" w:cs="Simplified Arabic"/>
      <w:b/>
      <w:bCs/>
      <w:color w:val="4F81BD"/>
      <w:sz w:val="26"/>
      <w:szCs w:val="26"/>
    </w:rPr>
  </w:style>
  <w:style w:type="character" w:styleId="BookTitle">
    <w:name w:val="Book Title"/>
    <w:uiPriority w:val="33"/>
    <w:rsid w:val="008864E6"/>
    <w:rPr>
      <w:b/>
      <w:bCs/>
      <w:smallCaps/>
      <w:spacing w:val="5"/>
    </w:rPr>
  </w:style>
  <w:style w:type="character" w:customStyle="1" w:styleId="Heading3Char">
    <w:name w:val="Heading 3 Char"/>
    <w:link w:val="Heading3"/>
    <w:uiPriority w:val="9"/>
    <w:rsid w:val="008864E6"/>
    <w:rPr>
      <w:rFonts w:ascii="Times New Roman" w:eastAsia="PMingLiU" w:hAnsi="Times New Roman" w:cs="Simplified Arabic"/>
      <w:b/>
      <w:bCs/>
      <w:color w:val="4F81BD"/>
      <w:sz w:val="20"/>
    </w:rPr>
  </w:style>
  <w:style w:type="character" w:customStyle="1" w:styleId="Heading4Char">
    <w:name w:val="Heading 4 Char"/>
    <w:link w:val="Heading4"/>
    <w:uiPriority w:val="9"/>
    <w:rsid w:val="008864E6"/>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864E6"/>
    <w:rPr>
      <w:rFonts w:ascii="Times New Roman" w:eastAsia="PMingLiU" w:hAnsi="Times New Roman" w:cs="Simplified Arabic"/>
      <w:color w:val="243F60"/>
      <w:sz w:val="20"/>
    </w:rPr>
  </w:style>
  <w:style w:type="character" w:customStyle="1" w:styleId="Heading6Char">
    <w:name w:val="Heading 6 Char"/>
    <w:link w:val="Heading6"/>
    <w:uiPriority w:val="9"/>
    <w:rsid w:val="008864E6"/>
    <w:rPr>
      <w:rFonts w:ascii="Times New Roman" w:eastAsia="PMingLiU" w:hAnsi="Times New Roman" w:cs="Simplified Arabic"/>
      <w:i/>
      <w:iCs/>
      <w:color w:val="243F60"/>
      <w:sz w:val="20"/>
    </w:rPr>
  </w:style>
  <w:style w:type="character" w:customStyle="1" w:styleId="Heading7Char">
    <w:name w:val="Heading 7 Char"/>
    <w:link w:val="Heading7"/>
    <w:uiPriority w:val="9"/>
    <w:rsid w:val="008864E6"/>
    <w:rPr>
      <w:rFonts w:ascii="Times New Roman" w:eastAsia="PMingLiU" w:hAnsi="Times New Roman" w:cs="Simplified Arabic"/>
      <w:i/>
      <w:iCs/>
      <w:color w:val="404040"/>
      <w:sz w:val="20"/>
    </w:rPr>
  </w:style>
  <w:style w:type="character" w:customStyle="1" w:styleId="Heading8Char">
    <w:name w:val="Heading 8 Char"/>
    <w:link w:val="Heading8"/>
    <w:uiPriority w:val="9"/>
    <w:rsid w:val="008864E6"/>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864E6"/>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864E6"/>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864E6"/>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864E6"/>
    <w:pPr>
      <w:numPr>
        <w:ilvl w:val="1"/>
      </w:numPr>
    </w:pPr>
    <w:rPr>
      <w:i/>
      <w:iCs/>
      <w:color w:val="4F81BD"/>
      <w:spacing w:val="15"/>
      <w:sz w:val="24"/>
      <w:szCs w:val="24"/>
    </w:rPr>
  </w:style>
  <w:style w:type="character" w:customStyle="1" w:styleId="SubtitleChar">
    <w:name w:val="Subtitle Char"/>
    <w:link w:val="Subtitle"/>
    <w:uiPriority w:val="11"/>
    <w:rsid w:val="008864E6"/>
    <w:rPr>
      <w:rFonts w:ascii="Times New Roman" w:eastAsia="PMingLiU" w:hAnsi="Times New Roman" w:cs="Simplified Arabic"/>
      <w:i/>
      <w:iCs/>
      <w:color w:val="4F81BD"/>
      <w:spacing w:val="15"/>
      <w:sz w:val="24"/>
      <w:szCs w:val="24"/>
    </w:rPr>
  </w:style>
  <w:style w:type="character" w:styleId="SubtleEmphasis">
    <w:name w:val="Subtle Emphasis"/>
    <w:uiPriority w:val="19"/>
    <w:rsid w:val="008864E6"/>
    <w:rPr>
      <w:i/>
      <w:iCs/>
      <w:color w:val="808080"/>
    </w:rPr>
  </w:style>
  <w:style w:type="table" w:styleId="ColorfulGrid-Accent6">
    <w:name w:val="Colorful Grid Accent 6"/>
    <w:basedOn w:val="TableNormal"/>
    <w:uiPriority w:val="73"/>
    <w:rsid w:val="008864E6"/>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864E6"/>
    <w:rPr>
      <w:i/>
      <w:iCs/>
    </w:rPr>
  </w:style>
  <w:style w:type="character" w:styleId="IntenseEmphasis">
    <w:name w:val="Intense Emphasis"/>
    <w:uiPriority w:val="21"/>
    <w:rsid w:val="008864E6"/>
    <w:rPr>
      <w:b/>
      <w:bCs/>
      <w:i/>
      <w:iCs/>
      <w:color w:val="4F81BD"/>
    </w:rPr>
  </w:style>
  <w:style w:type="character" w:styleId="Strong">
    <w:name w:val="Strong"/>
    <w:uiPriority w:val="22"/>
    <w:rsid w:val="008864E6"/>
    <w:rPr>
      <w:b/>
      <w:bCs/>
    </w:rPr>
  </w:style>
  <w:style w:type="paragraph" w:styleId="Quote">
    <w:name w:val="Quote"/>
    <w:basedOn w:val="Normal"/>
    <w:next w:val="Normal"/>
    <w:link w:val="QuoteChar"/>
    <w:uiPriority w:val="29"/>
    <w:rsid w:val="008864E6"/>
    <w:rPr>
      <w:i/>
      <w:iCs/>
      <w:color w:val="000000"/>
    </w:rPr>
  </w:style>
  <w:style w:type="character" w:customStyle="1" w:styleId="QuoteChar">
    <w:name w:val="Quote Char"/>
    <w:link w:val="Quote"/>
    <w:uiPriority w:val="29"/>
    <w:rsid w:val="008864E6"/>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864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64E6"/>
    <w:rPr>
      <w:rFonts w:ascii="Times New Roman" w:eastAsia="PMingLiU" w:hAnsi="Times New Roman" w:cs="Simplified Arabic"/>
      <w:b/>
      <w:bCs/>
      <w:i/>
      <w:iCs/>
      <w:color w:val="4F81BD"/>
      <w:sz w:val="20"/>
    </w:rPr>
  </w:style>
  <w:style w:type="character" w:styleId="SubtleReference">
    <w:name w:val="Subtle Reference"/>
    <w:uiPriority w:val="31"/>
    <w:rsid w:val="008864E6"/>
    <w:rPr>
      <w:smallCaps/>
      <w:color w:val="C0504D"/>
      <w:u w:val="single"/>
    </w:rPr>
  </w:style>
  <w:style w:type="character" w:styleId="IntenseReference">
    <w:name w:val="Intense Reference"/>
    <w:uiPriority w:val="32"/>
    <w:rsid w:val="008864E6"/>
    <w:rPr>
      <w:b/>
      <w:bCs/>
      <w:smallCaps/>
      <w:color w:val="C0504D"/>
      <w:spacing w:val="5"/>
      <w:u w:val="single"/>
    </w:rPr>
  </w:style>
  <w:style w:type="paragraph" w:styleId="ListParagraph">
    <w:name w:val="List Paragraph"/>
    <w:basedOn w:val="Normal"/>
    <w:uiPriority w:val="34"/>
    <w:rsid w:val="008864E6"/>
    <w:pPr>
      <w:ind w:left="720"/>
      <w:contextualSpacing/>
    </w:pPr>
  </w:style>
  <w:style w:type="table" w:styleId="MediumShading1-Accent4">
    <w:name w:val="Medium Shading 1 Accent 4"/>
    <w:basedOn w:val="TableNormal"/>
    <w:uiPriority w:val="63"/>
    <w:rsid w:val="008864E6"/>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864E6"/>
    <w:rPr>
      <w:rFonts w:eastAsia="MS Mincho"/>
      <w:sz w:val="18"/>
      <w:vertAlign w:val="superscript"/>
    </w:rPr>
  </w:style>
  <w:style w:type="table" w:styleId="TableGrid">
    <w:name w:val="Table Grid"/>
    <w:basedOn w:val="TableNormal"/>
    <w:rsid w:val="008864E6"/>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4E6"/>
    <w:pPr>
      <w:spacing w:line="240" w:lineRule="auto"/>
    </w:pPr>
    <w:rPr>
      <w:sz w:val="16"/>
      <w:szCs w:val="16"/>
    </w:rPr>
  </w:style>
  <w:style w:type="character" w:customStyle="1" w:styleId="BalloonTextChar">
    <w:name w:val="Balloon Text Char"/>
    <w:link w:val="BalloonText"/>
    <w:uiPriority w:val="99"/>
    <w:semiHidden/>
    <w:rsid w:val="008864E6"/>
    <w:rPr>
      <w:rFonts w:ascii="Times New Roman" w:eastAsia="PMingLiU" w:hAnsi="Times New Roman" w:cs="Simplified Arabic"/>
      <w:sz w:val="16"/>
      <w:szCs w:val="16"/>
    </w:rPr>
  </w:style>
  <w:style w:type="character" w:styleId="Hyperlink">
    <w:name w:val="Hyperlink"/>
    <w:uiPriority w:val="99"/>
    <w:unhideWhenUsed/>
    <w:rsid w:val="008864E6"/>
    <w:rPr>
      <w:color w:val="0000FF"/>
      <w:u w:val="none"/>
    </w:rPr>
  </w:style>
  <w:style w:type="paragraph" w:styleId="TOC1">
    <w:name w:val="toc 1"/>
    <w:basedOn w:val="Normal"/>
    <w:link w:val="TOC1Char"/>
    <w:autoRedefine/>
    <w:uiPriority w:val="39"/>
    <w:unhideWhenUsed/>
    <w:rsid w:val="008864E6"/>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864E6"/>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864E6"/>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864E6"/>
    <w:rPr>
      <w:rFonts w:eastAsia="DengXian"/>
      <w:color w:val="auto"/>
      <w:sz w:val="20"/>
      <w:szCs w:val="20"/>
      <w:u w:val="none"/>
      <w:lang w:eastAsia="zh-CN" w:bidi="ar-EG"/>
    </w:rPr>
  </w:style>
  <w:style w:type="paragraph" w:styleId="TOC4">
    <w:name w:val="toc 4"/>
    <w:basedOn w:val="Normal"/>
    <w:link w:val="TOC4Char"/>
    <w:autoRedefine/>
    <w:uiPriority w:val="39"/>
    <w:unhideWhenUsed/>
    <w:rsid w:val="008864E6"/>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864E6"/>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864E6"/>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864E6"/>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864E6"/>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864E6"/>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864E6"/>
    <w:rPr>
      <w:color w:val="605E5C"/>
      <w:shd w:val="clear" w:color="auto" w:fill="E1DFDD"/>
    </w:rPr>
  </w:style>
  <w:style w:type="character" w:customStyle="1" w:styleId="TOC1Char">
    <w:name w:val="TOC 1 Char"/>
    <w:basedOn w:val="DefaultParagraphFont"/>
    <w:link w:val="TOC1"/>
    <w:uiPriority w:val="39"/>
    <w:rsid w:val="008864E6"/>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864E6"/>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864E6"/>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864E6"/>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864E6"/>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864E6"/>
    <w:rPr>
      <w:rFonts w:ascii="Times New Roman" w:eastAsia="PMingLiU" w:hAnsi="Times New Roman" w:cs="Simplified Arabic"/>
      <w:sz w:val="20"/>
      <w:szCs w:val="20"/>
      <w:lang w:val="en-GB"/>
    </w:rPr>
  </w:style>
  <w:style w:type="paragraph" w:customStyle="1" w:styleId="SessionDate">
    <w:name w:val="Session_Date"/>
    <w:basedOn w:val="Normal"/>
    <w:qFormat/>
    <w:rsid w:val="008864E6"/>
    <w:pPr>
      <w:spacing w:before="240" w:after="240" w:line="460" w:lineRule="exact"/>
      <w:ind w:left="1247"/>
    </w:pPr>
    <w:rPr>
      <w:b/>
      <w:bCs/>
      <w:sz w:val="32"/>
      <w:szCs w:val="44"/>
    </w:rPr>
  </w:style>
  <w:style w:type="paragraph" w:customStyle="1" w:styleId="SessionNumber">
    <w:name w:val="Session_Number"/>
    <w:basedOn w:val="Normal"/>
    <w:qFormat/>
    <w:rsid w:val="008864E6"/>
    <w:pPr>
      <w:spacing w:line="480" w:lineRule="exact"/>
      <w:ind w:left="1247"/>
    </w:pPr>
    <w:rPr>
      <w:b/>
      <w:bCs/>
      <w:sz w:val="28"/>
      <w:szCs w:val="38"/>
    </w:rPr>
  </w:style>
  <w:style w:type="paragraph" w:customStyle="1" w:styleId="CityandYear">
    <w:name w:val="City and Year"/>
    <w:basedOn w:val="SingleTxtGA"/>
    <w:qFormat/>
    <w:rsid w:val="008864E6"/>
    <w:pPr>
      <w:spacing w:line="480" w:lineRule="exact"/>
    </w:pPr>
    <w:rPr>
      <w:b/>
      <w:bCs/>
      <w:sz w:val="30"/>
      <w:szCs w:val="38"/>
      <w:lang w:eastAsia="ar-SA"/>
    </w:rPr>
  </w:style>
  <w:style w:type="paragraph" w:customStyle="1" w:styleId="NormalA">
    <w:name w:val="Normal_A"/>
    <w:basedOn w:val="Normal"/>
    <w:qFormat/>
    <w:rsid w:val="008864E6"/>
  </w:style>
  <w:style w:type="paragraph" w:customStyle="1" w:styleId="SingleTxtG">
    <w:name w:val="_ Single Txt_G"/>
    <w:basedOn w:val="Normal"/>
    <w:link w:val="SingleTxtGChar"/>
    <w:qFormat/>
    <w:rsid w:val="008864E6"/>
    <w:pPr>
      <w:suppressAutoHyphens/>
      <w:bidi w:val="0"/>
      <w:spacing w:after="120"/>
      <w:ind w:left="1134" w:right="1134"/>
      <w:jc w:val="both"/>
    </w:pPr>
    <w:rPr>
      <w:szCs w:val="20"/>
      <w:lang w:val="en-GB"/>
    </w:rPr>
  </w:style>
  <w:style w:type="paragraph" w:customStyle="1" w:styleId="HChG">
    <w:name w:val="_ H _Ch_G"/>
    <w:basedOn w:val="Normal"/>
    <w:next w:val="Normal"/>
    <w:qFormat/>
    <w:rsid w:val="008864E6"/>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8864E6"/>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8864E6"/>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864E6"/>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864E6"/>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864E6"/>
    <w:rPr>
      <w:sz w:val="44"/>
      <w:szCs w:val="44"/>
      <w:lang w:val="en-US" w:bidi="ar-DZ"/>
    </w:rPr>
  </w:style>
  <w:style w:type="paragraph" w:customStyle="1" w:styleId="FootnoteGA0">
    <w:name w:val="Footnote_GA"/>
    <w:basedOn w:val="Normal"/>
    <w:qFormat/>
    <w:rsid w:val="008864E6"/>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864E6"/>
    <w:pPr>
      <w:keepNext/>
      <w:keepLines/>
      <w:spacing w:after="120" w:line="400" w:lineRule="exact"/>
      <w:outlineLvl w:val="0"/>
    </w:pPr>
    <w:rPr>
      <w:b/>
      <w:bCs/>
      <w:kern w:val="14"/>
      <w:sz w:val="24"/>
      <w:szCs w:val="32"/>
    </w:rPr>
  </w:style>
  <w:style w:type="paragraph" w:customStyle="1" w:styleId="HCh">
    <w:name w:val="_ H _Ch"/>
    <w:basedOn w:val="H1"/>
    <w:next w:val="SingleTxt"/>
    <w:qFormat/>
    <w:rsid w:val="008864E6"/>
    <w:pPr>
      <w:spacing w:line="440" w:lineRule="exact"/>
    </w:pPr>
    <w:rPr>
      <w:spacing w:val="-2"/>
      <w:sz w:val="28"/>
      <w:szCs w:val="36"/>
    </w:rPr>
  </w:style>
  <w:style w:type="character" w:styleId="CommentReference">
    <w:name w:val="annotation reference"/>
    <w:uiPriority w:val="99"/>
    <w:semiHidden/>
    <w:rsid w:val="008864E6"/>
    <w:rPr>
      <w:sz w:val="6"/>
      <w:szCs w:val="9"/>
    </w:rPr>
  </w:style>
  <w:style w:type="paragraph" w:customStyle="1" w:styleId="HM">
    <w:name w:val="_ H __M"/>
    <w:basedOn w:val="HCh"/>
    <w:next w:val="Normal"/>
    <w:qFormat/>
    <w:rsid w:val="008864E6"/>
    <w:pPr>
      <w:suppressAutoHyphens/>
      <w:spacing w:line="520" w:lineRule="exact"/>
    </w:pPr>
    <w:rPr>
      <w:spacing w:val="-3"/>
      <w:sz w:val="34"/>
      <w:szCs w:val="48"/>
    </w:rPr>
  </w:style>
  <w:style w:type="paragraph" w:customStyle="1" w:styleId="SingleTxt">
    <w:name w:val="__Single Txt"/>
    <w:basedOn w:val="Normal"/>
    <w:qFormat/>
    <w:rsid w:val="008864E6"/>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864E6"/>
    <w:pPr>
      <w:suppressAutoHyphens/>
      <w:spacing w:line="360" w:lineRule="exact"/>
      <w:outlineLvl w:val="1"/>
    </w:pPr>
    <w:rPr>
      <w:spacing w:val="2"/>
      <w:sz w:val="20"/>
      <w:szCs w:val="28"/>
    </w:rPr>
  </w:style>
  <w:style w:type="paragraph" w:customStyle="1" w:styleId="H4">
    <w:name w:val="_ H_4"/>
    <w:basedOn w:val="Normal"/>
    <w:next w:val="Normal"/>
    <w:qFormat/>
    <w:rsid w:val="008864E6"/>
    <w:pPr>
      <w:keepNext/>
      <w:keepLines/>
      <w:spacing w:after="120" w:line="360" w:lineRule="exact"/>
      <w:outlineLvl w:val="3"/>
    </w:pPr>
    <w:rPr>
      <w:i/>
      <w:iCs/>
      <w:kern w:val="14"/>
      <w:szCs w:val="28"/>
    </w:rPr>
  </w:style>
  <w:style w:type="paragraph" w:customStyle="1" w:styleId="H56">
    <w:name w:val="_ H_5/6"/>
    <w:basedOn w:val="Normal"/>
    <w:next w:val="Normal"/>
    <w:qFormat/>
    <w:rsid w:val="008864E6"/>
    <w:pPr>
      <w:keepNext/>
      <w:keepLines/>
      <w:spacing w:after="120" w:line="360" w:lineRule="exact"/>
      <w:outlineLvl w:val="4"/>
    </w:pPr>
    <w:rPr>
      <w:kern w:val="14"/>
      <w:szCs w:val="28"/>
    </w:rPr>
  </w:style>
  <w:style w:type="paragraph" w:customStyle="1" w:styleId="DualTxt">
    <w:name w:val="__Dual Txt"/>
    <w:basedOn w:val="Normal"/>
    <w:qFormat/>
    <w:rsid w:val="008864E6"/>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864E6"/>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864E6"/>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864E6"/>
    <w:pPr>
      <w:spacing w:after="120" w:line="440" w:lineRule="exact"/>
      <w:jc w:val="center"/>
    </w:pPr>
    <w:rPr>
      <w:b/>
      <w:bCs/>
      <w:sz w:val="25"/>
      <w:szCs w:val="38"/>
    </w:rPr>
  </w:style>
  <w:style w:type="paragraph" w:customStyle="1" w:styleId="JH1">
    <w:name w:val="J_H_1"/>
    <w:basedOn w:val="JCH"/>
    <w:qFormat/>
    <w:rsid w:val="008864E6"/>
    <w:pPr>
      <w:spacing w:line="420" w:lineRule="exact"/>
    </w:pPr>
    <w:rPr>
      <w:sz w:val="23"/>
      <w:szCs w:val="34"/>
    </w:rPr>
  </w:style>
  <w:style w:type="paragraph" w:customStyle="1" w:styleId="JH2">
    <w:name w:val="J_H_2"/>
    <w:basedOn w:val="JH1"/>
    <w:qFormat/>
    <w:rsid w:val="008864E6"/>
    <w:pPr>
      <w:spacing w:line="400" w:lineRule="exact"/>
    </w:pPr>
    <w:rPr>
      <w:sz w:val="20"/>
      <w:szCs w:val="30"/>
    </w:rPr>
  </w:style>
  <w:style w:type="paragraph" w:customStyle="1" w:styleId="JSmall">
    <w:name w:val="J_Small"/>
    <w:basedOn w:val="JSingleTxt"/>
    <w:next w:val="JSingleTxt"/>
    <w:qFormat/>
    <w:rsid w:val="008864E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864E6"/>
    <w:pPr>
      <w:tabs>
        <w:tab w:val="right" w:leader="dot" w:pos="360"/>
      </w:tabs>
      <w:spacing w:line="310" w:lineRule="exact"/>
      <w:jc w:val="right"/>
    </w:pPr>
    <w:rPr>
      <w:spacing w:val="5"/>
      <w:w w:val="104"/>
      <w:kern w:val="14"/>
      <w:sz w:val="17"/>
      <w:szCs w:val="25"/>
    </w:rPr>
  </w:style>
  <w:style w:type="character" w:styleId="LineNumber">
    <w:name w:val="line number"/>
    <w:qFormat/>
    <w:rsid w:val="008864E6"/>
    <w:rPr>
      <w:sz w:val="14"/>
      <w:szCs w:val="16"/>
    </w:rPr>
  </w:style>
  <w:style w:type="paragraph" w:customStyle="1" w:styleId="SmallX">
    <w:name w:val="SmallX"/>
    <w:basedOn w:val="Small"/>
    <w:next w:val="Normal"/>
    <w:qFormat/>
    <w:rsid w:val="008864E6"/>
    <w:pPr>
      <w:spacing w:line="240" w:lineRule="exact"/>
    </w:pPr>
    <w:rPr>
      <w:spacing w:val="6"/>
      <w:w w:val="106"/>
      <w:sz w:val="14"/>
      <w:szCs w:val="21"/>
    </w:rPr>
  </w:style>
  <w:style w:type="paragraph" w:customStyle="1" w:styleId="XLarge">
    <w:name w:val="XLarge"/>
    <w:basedOn w:val="HM"/>
    <w:qFormat/>
    <w:rsid w:val="008864E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864E6"/>
    <w:pPr>
      <w:spacing w:line="820" w:lineRule="exact"/>
    </w:pPr>
    <w:rPr>
      <w:spacing w:val="-8"/>
      <w:w w:val="96"/>
      <w:sz w:val="57"/>
      <w:szCs w:val="86"/>
    </w:rPr>
  </w:style>
  <w:style w:type="paragraph" w:customStyle="1" w:styleId="Distribution">
    <w:name w:val="Distribu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864E6"/>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864E6"/>
    <w:pPr>
      <w:tabs>
        <w:tab w:val="left" w:pos="662"/>
        <w:tab w:val="left" w:pos="1267"/>
        <w:tab w:val="left" w:pos="1987"/>
        <w:tab w:val="left" w:pos="2650"/>
      </w:tabs>
      <w:spacing w:after="0"/>
      <w:ind w:left="662" w:hanging="662"/>
    </w:pPr>
  </w:style>
  <w:style w:type="paragraph" w:customStyle="1" w:styleId="Committee">
    <w:name w:val="Committee"/>
    <w:basedOn w:val="H1"/>
    <w:qFormat/>
    <w:rsid w:val="008864E6"/>
    <w:pPr>
      <w:tabs>
        <w:tab w:val="left" w:pos="662"/>
        <w:tab w:val="left" w:pos="1267"/>
        <w:tab w:val="left" w:pos="1987"/>
        <w:tab w:val="left" w:pos="2650"/>
      </w:tabs>
      <w:ind w:right="1264"/>
    </w:pPr>
  </w:style>
  <w:style w:type="paragraph" w:customStyle="1" w:styleId="AgendaItemNormal">
    <w:name w:val="Agenda_Item_Normal"/>
    <w:next w:val="Normal"/>
    <w:qFormat/>
    <w:rsid w:val="008864E6"/>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864E6"/>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864E6"/>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864E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864E6"/>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864E6"/>
    <w:rPr>
      <w:i w:val="0"/>
      <w:color w:val="0000FF"/>
      <w:u w:val="none"/>
    </w:rPr>
  </w:style>
  <w:style w:type="paragraph" w:customStyle="1" w:styleId="Bullet1">
    <w:name w:val="Bullet 1"/>
    <w:basedOn w:val="Normal"/>
    <w:qFormat/>
    <w:rsid w:val="008864E6"/>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864E6"/>
    <w:pPr>
      <w:numPr>
        <w:numId w:val="14"/>
      </w:numPr>
      <w:spacing w:after="120" w:line="360" w:lineRule="exact"/>
      <w:ind w:right="1264"/>
    </w:pPr>
    <w:rPr>
      <w:kern w:val="14"/>
      <w:szCs w:val="28"/>
    </w:rPr>
  </w:style>
  <w:style w:type="paragraph" w:customStyle="1" w:styleId="Bullet3">
    <w:name w:val="Bullet 3"/>
    <w:basedOn w:val="SingleTxt"/>
    <w:qFormat/>
    <w:rsid w:val="008864E6"/>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864E6"/>
    <w:pPr>
      <w:ind w:right="5760"/>
      <w:outlineLvl w:val="1"/>
    </w:pPr>
    <w:rPr>
      <w:spacing w:val="2"/>
      <w:sz w:val="20"/>
      <w:szCs w:val="28"/>
    </w:rPr>
  </w:style>
  <w:style w:type="paragraph" w:customStyle="1" w:styleId="STitleM">
    <w:name w:val="S_Title_M"/>
    <w:basedOn w:val="Normal"/>
    <w:next w:val="Normal"/>
    <w:qFormat/>
    <w:rsid w:val="008864E6"/>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864E6"/>
    <w:pPr>
      <w:spacing w:line="600" w:lineRule="exact"/>
      <w:ind w:left="1267" w:right="1267"/>
    </w:pPr>
    <w:rPr>
      <w:w w:val="103"/>
      <w:sz w:val="60"/>
      <w:szCs w:val="60"/>
    </w:rPr>
  </w:style>
  <w:style w:type="paragraph" w:customStyle="1" w:styleId="STitleL">
    <w:name w:val="S_Title_L"/>
    <w:basedOn w:val="XLarge"/>
    <w:next w:val="Normal"/>
    <w:qFormat/>
    <w:rsid w:val="008864E6"/>
    <w:rPr>
      <w:spacing w:val="-8"/>
      <w:w w:val="96"/>
      <w:sz w:val="57"/>
    </w:rPr>
  </w:style>
  <w:style w:type="paragraph" w:styleId="CommentText">
    <w:name w:val="annotation text"/>
    <w:basedOn w:val="Normal"/>
    <w:link w:val="CommentTextChar"/>
    <w:uiPriority w:val="99"/>
    <w:semiHidden/>
    <w:unhideWhenUsed/>
    <w:rsid w:val="008864E6"/>
    <w:pPr>
      <w:spacing w:line="240" w:lineRule="auto"/>
    </w:pPr>
    <w:rPr>
      <w:kern w:val="14"/>
    </w:rPr>
  </w:style>
  <w:style w:type="character" w:customStyle="1" w:styleId="CommentTextChar">
    <w:name w:val="Comment Text Char"/>
    <w:basedOn w:val="DefaultParagraphFont"/>
    <w:link w:val="CommentText"/>
    <w:uiPriority w:val="99"/>
    <w:semiHidden/>
    <w:rsid w:val="008864E6"/>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864E6"/>
    <w:rPr>
      <w:b/>
      <w:bCs/>
    </w:rPr>
  </w:style>
  <w:style w:type="character" w:customStyle="1" w:styleId="CommentSubjectChar">
    <w:name w:val="Comment Subject Char"/>
    <w:basedOn w:val="CommentTextChar"/>
    <w:link w:val="CommentSubject"/>
    <w:uiPriority w:val="99"/>
    <w:semiHidden/>
    <w:rsid w:val="008864E6"/>
    <w:rPr>
      <w:rFonts w:ascii="Times New Roman" w:eastAsia="PMingLiU" w:hAnsi="Times New Roman" w:cs="Simplified Arabic"/>
      <w:b/>
      <w:bCs/>
      <w:kern w:val="14"/>
      <w:sz w:val="20"/>
    </w:rPr>
  </w:style>
  <w:style w:type="paragraph" w:customStyle="1" w:styleId="Bullet1G">
    <w:name w:val="_Bullet 1_G"/>
    <w:basedOn w:val="Normal"/>
    <w:qFormat/>
    <w:rsid w:val="008864E6"/>
    <w:pPr>
      <w:numPr>
        <w:numId w:val="16"/>
      </w:numPr>
      <w:bidi w:val="0"/>
      <w:spacing w:after="120"/>
      <w:ind w:right="1134"/>
      <w:jc w:val="both"/>
    </w:pPr>
    <w:rPr>
      <w:sz w:val="22"/>
    </w:rPr>
  </w:style>
  <w:style w:type="character" w:customStyle="1" w:styleId="SingleTxtGChar">
    <w:name w:val="_ Single Txt_G Char"/>
    <w:link w:val="SingleTxtG"/>
    <w:rsid w:val="008864E6"/>
    <w:rPr>
      <w:rFonts w:ascii="Times New Roman" w:eastAsia="PMingLiU" w:hAnsi="Times New Roman" w:cs="Simplified Arabic"/>
      <w:sz w:val="20"/>
      <w:szCs w:val="20"/>
      <w:lang w:val="en-GB"/>
    </w:rPr>
  </w:style>
  <w:style w:type="paragraph" w:customStyle="1" w:styleId="Preparedby">
    <w:name w:val="Prepared by:"/>
    <w:basedOn w:val="H23GA"/>
    <w:qFormat/>
    <w:rsid w:val="008864E6"/>
    <w:rPr>
      <w:sz w:val="32"/>
      <w:szCs w:val="32"/>
    </w:rPr>
  </w:style>
  <w:style w:type="paragraph" w:customStyle="1" w:styleId="ParaNoG">
    <w:name w:val="_ParaNo._G"/>
    <w:basedOn w:val="SingleTxtG"/>
    <w:rsid w:val="008864E6"/>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864E6"/>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864E6"/>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864E6"/>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864E6"/>
    <w:pPr>
      <w:spacing w:after="0" w:line="240" w:lineRule="auto"/>
    </w:pPr>
    <w:rPr>
      <w:rFonts w:eastAsiaTheme="minorEastAsia"/>
      <w:sz w:val="24"/>
      <w:szCs w:val="24"/>
      <w:lang w:val="fr-FR" w:eastAsia="fr-FR"/>
    </w:rPr>
  </w:style>
  <w:style w:type="paragraph" w:customStyle="1" w:styleId="Default">
    <w:name w:val="Default"/>
    <w:semiHidden/>
    <w:rsid w:val="008864E6"/>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864E6"/>
  </w:style>
  <w:style w:type="character" w:customStyle="1" w:styleId="preferred">
    <w:name w:val="preferred"/>
    <w:basedOn w:val="DefaultParagraphFont"/>
    <w:rsid w:val="008864E6"/>
  </w:style>
  <w:style w:type="character" w:customStyle="1" w:styleId="admitted">
    <w:name w:val="admitted"/>
    <w:basedOn w:val="DefaultParagraphFont"/>
    <w:rsid w:val="0088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 w:id="1189835321">
      <w:bodyDiv w:val="1"/>
      <w:marLeft w:val="0"/>
      <w:marRight w:val="0"/>
      <w:marTop w:val="0"/>
      <w:marBottom w:val="0"/>
      <w:divBdr>
        <w:top w:val="none" w:sz="0" w:space="0" w:color="auto"/>
        <w:left w:val="none" w:sz="0" w:space="0" w:color="auto"/>
        <w:bottom w:val="none" w:sz="0" w:space="0" w:color="auto"/>
        <w:right w:val="none" w:sz="0" w:space="0" w:color="auto"/>
      </w:divBdr>
      <w:divsChild>
        <w:div w:id="159751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C.12/2018/1" TargetMode="External"/><Relationship Id="rId13" Type="http://schemas.openxmlformats.org/officeDocument/2006/relationships/hyperlink" Target="https://undocs.org/ar/E/C.12/LTU/CO/2" TargetMode="External"/><Relationship Id="rId3" Type="http://schemas.openxmlformats.org/officeDocument/2006/relationships/hyperlink" Target="https://undocs.org/ar/E/C.12/2023/SR.18" TargetMode="External"/><Relationship Id="rId7" Type="http://schemas.openxmlformats.org/officeDocument/2006/relationships/hyperlink" Target="https://undocs.org/ar/CAT/C/LTU/CO/4" TargetMode="External"/><Relationship Id="rId12" Type="http://schemas.openxmlformats.org/officeDocument/2006/relationships/hyperlink" Target="https://undocs.org/ar/E/C.12/LTU/CO/2" TargetMode="External"/><Relationship Id="rId2" Type="http://schemas.openxmlformats.org/officeDocument/2006/relationships/hyperlink" Target="https://undocs.org/ar/E/C.12/2023/SR.16" TargetMode="External"/><Relationship Id="rId16" Type="http://schemas.openxmlformats.org/officeDocument/2006/relationships/hyperlink" Target="https://undocs.org/ar/E/C.12/2019/1" TargetMode="External"/><Relationship Id="rId1" Type="http://schemas.openxmlformats.org/officeDocument/2006/relationships/hyperlink" Target="https://undocs.org/ar/E/C.12/LTU/3" TargetMode="External"/><Relationship Id="rId6" Type="http://schemas.openxmlformats.org/officeDocument/2006/relationships/hyperlink" Target="https://undocs.org/ar/E/C.12/LTU/CO/2" TargetMode="External"/><Relationship Id="rId11" Type="http://schemas.openxmlformats.org/officeDocument/2006/relationships/hyperlink" Target="https://undocs.org/ar/E/C.12/LTU/CO/2" TargetMode="External"/><Relationship Id="rId5" Type="http://schemas.openxmlformats.org/officeDocument/2006/relationships/hyperlink" Target="https://romacivilmonitoring.eu/wp-content/uploads/2022/10/RCM2-2022-C4-Lithuania-FINAL-PUBLISHED.pdf" TargetMode="External"/><Relationship Id="rId15" Type="http://schemas.openxmlformats.org/officeDocument/2006/relationships/hyperlink" Target="https://undocs.org/ar/E/C.12/LTU/CO/2" TargetMode="External"/><Relationship Id="rId10" Type="http://schemas.openxmlformats.org/officeDocument/2006/relationships/hyperlink" Target="https://undocs.org/ar/CEDAW/C/LTU/CO/6" TargetMode="External"/><Relationship Id="rId4" Type="http://schemas.openxmlformats.org/officeDocument/2006/relationships/hyperlink" Target="https://undocs.org/ar/E/C.12/LTU/RQ/3.W" TargetMode="External"/><Relationship Id="rId9" Type="http://schemas.openxmlformats.org/officeDocument/2006/relationships/hyperlink" Target="https://undocs.org/ar/E/C.12/2001/10" TargetMode="External"/><Relationship Id="rId14" Type="http://schemas.openxmlformats.org/officeDocument/2006/relationships/hyperlink" Target="https://undocs.org/ar/E/C.12/2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E/C.12/LTU/CO/3</vt:lpstr>
    </vt:vector>
  </TitlesOfParts>
  <Company>DCM</Company>
  <LinksUpToDate>false</LinksUpToDate>
  <CharactersWithSpaces>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E/C.12/LTU/CO/3</dc:title>
  <dc:subject>GE.2304642(A)</dc:subject>
  <dc:creator>Ihab RIZ - </dc:creator>
  <cp:keywords>GE.(A)</cp:keywords>
  <dc:description>General_x000d_
_x000d_
Arabic_x000d_
English</dc:description>
  <cp:lastModifiedBy>Jamila Chedad</cp:lastModifiedBy>
  <cp:revision>3</cp:revision>
  <cp:lastPrinted>2023-05-24T15:29:00Z</cp:lastPrinted>
  <dcterms:created xsi:type="dcterms:W3CDTF">2023-05-24T15:29:00Z</dcterms:created>
  <dcterms:modified xsi:type="dcterms:W3CDTF">2023-05-24T15:29:00Z</dcterms:modified>
  <cp:category>Final</cp:category>
</cp:coreProperties>
</file>