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9C7F754" w14:textId="77777777" w:rsidTr="000D1B89">
        <w:trPr>
          <w:cantSplit/>
          <w:trHeight w:hRule="exact" w:val="851"/>
        </w:trPr>
        <w:tc>
          <w:tcPr>
            <w:tcW w:w="1276" w:type="dxa"/>
            <w:tcBorders>
              <w:bottom w:val="single" w:sz="4" w:space="0" w:color="auto"/>
            </w:tcBorders>
            <w:vAlign w:val="bottom"/>
          </w:tcPr>
          <w:p w14:paraId="3EA3DD84" w14:textId="77777777" w:rsidR="00717266" w:rsidRDefault="00717266" w:rsidP="000D1B89">
            <w:pPr>
              <w:spacing w:after="80"/>
            </w:pPr>
          </w:p>
        </w:tc>
        <w:tc>
          <w:tcPr>
            <w:tcW w:w="2268" w:type="dxa"/>
            <w:tcBorders>
              <w:bottom w:val="single" w:sz="4" w:space="0" w:color="auto"/>
            </w:tcBorders>
            <w:vAlign w:val="bottom"/>
          </w:tcPr>
          <w:p w14:paraId="2F75DFC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16B26D" w14:textId="77777777" w:rsidR="00717266" w:rsidRPr="00D47EEA" w:rsidRDefault="00EC1436" w:rsidP="00EC1436">
            <w:pPr>
              <w:suppressAutoHyphens w:val="0"/>
              <w:spacing w:after="20"/>
              <w:jc w:val="right"/>
            </w:pPr>
            <w:r w:rsidRPr="00EC1436">
              <w:rPr>
                <w:sz w:val="40"/>
              </w:rPr>
              <w:t>E</w:t>
            </w:r>
            <w:r>
              <w:t>/C.12/LTU/CO/3</w:t>
            </w:r>
          </w:p>
        </w:tc>
      </w:tr>
      <w:tr w:rsidR="00717266" w14:paraId="5F89C4DB" w14:textId="77777777" w:rsidTr="000D1B89">
        <w:trPr>
          <w:cantSplit/>
          <w:trHeight w:hRule="exact" w:val="2835"/>
        </w:trPr>
        <w:tc>
          <w:tcPr>
            <w:tcW w:w="1276" w:type="dxa"/>
            <w:tcBorders>
              <w:top w:val="single" w:sz="4" w:space="0" w:color="auto"/>
              <w:bottom w:val="single" w:sz="12" w:space="0" w:color="auto"/>
            </w:tcBorders>
          </w:tcPr>
          <w:p w14:paraId="07685BC3" w14:textId="77777777" w:rsidR="00717266" w:rsidRDefault="00717266" w:rsidP="000D1B89">
            <w:pPr>
              <w:spacing w:before="120"/>
            </w:pPr>
            <w:r>
              <w:rPr>
                <w:noProof/>
                <w:lang w:val="fr-CH" w:eastAsia="fr-CH"/>
              </w:rPr>
              <w:drawing>
                <wp:inline distT="0" distB="0" distL="0" distR="0" wp14:anchorId="0B7D6734" wp14:editId="64ECF61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95004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3CFB651" w14:textId="77777777" w:rsidR="00EC1436" w:rsidRPr="00237AD7" w:rsidRDefault="00EC1436" w:rsidP="00EC1436">
            <w:pPr>
              <w:suppressAutoHyphens w:val="0"/>
              <w:spacing w:before="240" w:line="240" w:lineRule="exact"/>
            </w:pPr>
            <w:r w:rsidRPr="00237AD7">
              <w:t xml:space="preserve">Distr.: </w:t>
            </w:r>
            <w:r>
              <w:t>General</w:t>
            </w:r>
          </w:p>
          <w:p w14:paraId="52920649" w14:textId="1F6D83CF" w:rsidR="00EC1436" w:rsidRPr="00237AD7" w:rsidRDefault="00EC1436" w:rsidP="00EC1436">
            <w:pPr>
              <w:suppressAutoHyphens w:val="0"/>
            </w:pPr>
            <w:r>
              <w:t>30</w:t>
            </w:r>
            <w:r w:rsidRPr="00EC1436">
              <w:t xml:space="preserve"> March 2023</w:t>
            </w:r>
          </w:p>
          <w:p w14:paraId="4707F596" w14:textId="77777777" w:rsidR="00EC1436" w:rsidRPr="00237AD7" w:rsidRDefault="00EC1436" w:rsidP="00EC1436">
            <w:pPr>
              <w:suppressAutoHyphens w:val="0"/>
            </w:pPr>
          </w:p>
          <w:p w14:paraId="042D790E" w14:textId="176557E2" w:rsidR="00EC1436" w:rsidRDefault="00EC1436" w:rsidP="00EC1436">
            <w:pPr>
              <w:suppressAutoHyphens w:val="0"/>
            </w:pPr>
            <w:r w:rsidRPr="00237AD7">
              <w:t>Original: English</w:t>
            </w:r>
          </w:p>
        </w:tc>
      </w:tr>
    </w:tbl>
    <w:p w14:paraId="4B9F835A" w14:textId="77777777" w:rsidR="00EC1436" w:rsidRPr="00237AD7" w:rsidRDefault="00EC1436" w:rsidP="00EC1436">
      <w:pPr>
        <w:spacing w:before="120"/>
        <w:rPr>
          <w:b/>
          <w:sz w:val="24"/>
        </w:rPr>
      </w:pPr>
      <w:r w:rsidRPr="00237AD7">
        <w:rPr>
          <w:b/>
          <w:sz w:val="24"/>
        </w:rPr>
        <w:t>Committee on Economic, Social and Cultural Rights</w:t>
      </w:r>
    </w:p>
    <w:p w14:paraId="417EF7BA" w14:textId="77777777" w:rsidR="00EC1436" w:rsidRPr="00237AD7" w:rsidRDefault="00EC1436" w:rsidP="00EC1436">
      <w:pPr>
        <w:pStyle w:val="HMG"/>
      </w:pPr>
      <w:r w:rsidRPr="00237AD7">
        <w:tab/>
      </w:r>
      <w:r w:rsidRPr="00237AD7">
        <w:tab/>
        <w:t>Concluding observations on the third periodic report of Lithuania</w:t>
      </w:r>
      <w:r w:rsidRPr="00460E0E">
        <w:rPr>
          <w:b w:val="0"/>
          <w:bCs/>
          <w:sz w:val="20"/>
        </w:rPr>
        <w:footnoteReference w:customMarkFollows="1" w:id="1"/>
        <w:t>*</w:t>
      </w:r>
    </w:p>
    <w:p w14:paraId="3EF260DA" w14:textId="77777777" w:rsidR="00EC1436" w:rsidRPr="00237AD7" w:rsidRDefault="00EC1436" w:rsidP="00EC1436">
      <w:pPr>
        <w:pStyle w:val="SingleTxtG"/>
        <w:tabs>
          <w:tab w:val="clear" w:pos="1701"/>
          <w:tab w:val="clear" w:pos="2268"/>
          <w:tab w:val="left" w:pos="720"/>
        </w:tabs>
        <w:rPr>
          <w:bCs/>
        </w:rPr>
      </w:pPr>
      <w:r w:rsidRPr="00237AD7">
        <w:rPr>
          <w:bCs/>
        </w:rPr>
        <w:t>1.</w:t>
      </w:r>
      <w:r w:rsidRPr="00237AD7">
        <w:rPr>
          <w:bCs/>
        </w:rPr>
        <w:tab/>
        <w:t>The Committee considered the third periodic report of Lithuania</w:t>
      </w:r>
      <w:r w:rsidRPr="001405B6">
        <w:rPr>
          <w:rStyle w:val="FootnoteReference"/>
        </w:rPr>
        <w:footnoteReference w:id="2"/>
      </w:r>
      <w:r w:rsidRPr="00237AD7">
        <w:rPr>
          <w:bCs/>
        </w:rPr>
        <w:t xml:space="preserve"> at its 16th and 18th meetings</w:t>
      </w:r>
      <w:r>
        <w:rPr>
          <w:bCs/>
        </w:rPr>
        <w:t>,</w:t>
      </w:r>
      <w:r w:rsidRPr="001405B6">
        <w:rPr>
          <w:rStyle w:val="FootnoteReference"/>
        </w:rPr>
        <w:footnoteReference w:id="3"/>
      </w:r>
      <w:r w:rsidRPr="00237AD7">
        <w:rPr>
          <w:bCs/>
        </w:rPr>
        <w:t xml:space="preserve"> held on 22 and 23 February 2023, and adopted the present concluding observations at its 30th meeting, held on 3 March 2023.</w:t>
      </w:r>
    </w:p>
    <w:p w14:paraId="737A7391" w14:textId="77777777" w:rsidR="00EC1436" w:rsidRPr="00237AD7" w:rsidRDefault="00EC1436" w:rsidP="00EC1436">
      <w:pPr>
        <w:pStyle w:val="H1G"/>
      </w:pPr>
      <w:r w:rsidRPr="00237AD7">
        <w:tab/>
        <w:t>A.</w:t>
      </w:r>
      <w:r w:rsidRPr="00237AD7">
        <w:tab/>
        <w:t>Introduction</w:t>
      </w:r>
    </w:p>
    <w:p w14:paraId="3BB082DA" w14:textId="77777777" w:rsidR="00EC1436" w:rsidRPr="00237AD7" w:rsidRDefault="00EC1436" w:rsidP="00EC1436">
      <w:pPr>
        <w:pStyle w:val="SingleTxtG"/>
        <w:tabs>
          <w:tab w:val="clear" w:pos="1701"/>
          <w:tab w:val="clear" w:pos="2268"/>
          <w:tab w:val="left" w:pos="720"/>
        </w:tabs>
        <w:rPr>
          <w:bCs/>
        </w:rPr>
      </w:pPr>
      <w:r w:rsidRPr="00237AD7">
        <w:rPr>
          <w:bCs/>
        </w:rPr>
        <w:t>2.</w:t>
      </w:r>
      <w:r w:rsidRPr="00237AD7">
        <w:rPr>
          <w:bCs/>
        </w:rPr>
        <w:tab/>
        <w:t>The Committee welcomes the submission by the State party of the third periodic report and the supplementary information provided in the replies to the list of issues</w:t>
      </w:r>
      <w:r>
        <w:rPr>
          <w:bCs/>
        </w:rPr>
        <w:t>.</w:t>
      </w:r>
      <w:r w:rsidRPr="001405B6">
        <w:rPr>
          <w:rStyle w:val="FootnoteReference"/>
        </w:rPr>
        <w:footnoteReference w:id="4"/>
      </w:r>
      <w:r>
        <w:rPr>
          <w:bCs/>
        </w:rPr>
        <w:t xml:space="preserve"> </w:t>
      </w:r>
      <w:r w:rsidRPr="00237AD7">
        <w:rPr>
          <w:bCs/>
        </w:rPr>
        <w:t>The Committee appreciates the constructive dialogue that it held with the State party’s delegation.</w:t>
      </w:r>
    </w:p>
    <w:p w14:paraId="7D98C4BA" w14:textId="77777777" w:rsidR="00EC1436" w:rsidRPr="00237AD7" w:rsidRDefault="00EC1436" w:rsidP="00EC1436">
      <w:pPr>
        <w:pStyle w:val="H1G"/>
      </w:pPr>
      <w:r w:rsidRPr="00237AD7">
        <w:tab/>
        <w:t>B.</w:t>
      </w:r>
      <w:r w:rsidRPr="00237AD7">
        <w:tab/>
        <w:t>Positive aspects</w:t>
      </w:r>
    </w:p>
    <w:p w14:paraId="68C0041C" w14:textId="77777777" w:rsidR="00EC1436" w:rsidRPr="00237AD7" w:rsidRDefault="00EC1436" w:rsidP="00EC1436">
      <w:pPr>
        <w:pStyle w:val="SingleTxtG"/>
        <w:tabs>
          <w:tab w:val="clear" w:pos="1701"/>
          <w:tab w:val="clear" w:pos="2268"/>
        </w:tabs>
        <w:rPr>
          <w:bCs/>
        </w:rPr>
      </w:pPr>
      <w:r w:rsidRPr="00237AD7">
        <w:rPr>
          <w:bCs/>
        </w:rPr>
        <w:t>3.</w:t>
      </w:r>
      <w:r w:rsidRPr="00237AD7">
        <w:rPr>
          <w:bCs/>
        </w:rPr>
        <w:tab/>
        <w:t xml:space="preserve">The Committee welcomes the legislative, institutional and policy measures taken to increase the protection of economic, social and cultural rights in the State party, such as the </w:t>
      </w:r>
      <w:r w:rsidRPr="00103982">
        <w:rPr>
          <w:bCs/>
        </w:rPr>
        <w:t xml:space="preserve">Constitutional Court’s ruling of </w:t>
      </w:r>
      <w:r>
        <w:rPr>
          <w:bCs/>
        </w:rPr>
        <w:t xml:space="preserve">11 January </w:t>
      </w:r>
      <w:r w:rsidRPr="00103982">
        <w:rPr>
          <w:bCs/>
        </w:rPr>
        <w:t>2019</w:t>
      </w:r>
      <w:r w:rsidRPr="00237AD7">
        <w:rPr>
          <w:bCs/>
        </w:rPr>
        <w:t xml:space="preserve"> recogni</w:t>
      </w:r>
      <w:r>
        <w:rPr>
          <w:bCs/>
        </w:rPr>
        <w:t>z</w:t>
      </w:r>
      <w:r w:rsidRPr="00237AD7">
        <w:rPr>
          <w:bCs/>
        </w:rPr>
        <w:t xml:space="preserve">ing gender identity </w:t>
      </w:r>
      <w:r>
        <w:rPr>
          <w:bCs/>
        </w:rPr>
        <w:t>and</w:t>
      </w:r>
      <w:r w:rsidRPr="00237AD7">
        <w:rPr>
          <w:bCs/>
        </w:rPr>
        <w:t xml:space="preserve"> sexual orientation among the prohibited grounds </w:t>
      </w:r>
      <w:r>
        <w:rPr>
          <w:bCs/>
        </w:rPr>
        <w:t>for</w:t>
      </w:r>
      <w:r w:rsidRPr="00237AD7">
        <w:rPr>
          <w:bCs/>
        </w:rPr>
        <w:t xml:space="preserve"> discrimination, the </w:t>
      </w:r>
      <w:r w:rsidRPr="00103982">
        <w:rPr>
          <w:bCs/>
        </w:rPr>
        <w:t>National Safety and Health at Work Action Plan for 2017–2021</w:t>
      </w:r>
      <w:r w:rsidRPr="00237AD7">
        <w:rPr>
          <w:bCs/>
        </w:rPr>
        <w:t xml:space="preserve"> and the National Energy and Climate Plan </w:t>
      </w:r>
      <w:r>
        <w:rPr>
          <w:bCs/>
        </w:rPr>
        <w:t xml:space="preserve">for </w:t>
      </w:r>
      <w:r w:rsidRPr="00237AD7">
        <w:rPr>
          <w:bCs/>
        </w:rPr>
        <w:t>2021–2030</w:t>
      </w:r>
      <w:r w:rsidRPr="00237AD7">
        <w:rPr>
          <w:bCs/>
          <w:iCs/>
        </w:rPr>
        <w:t>.</w:t>
      </w:r>
    </w:p>
    <w:p w14:paraId="296A9FC8" w14:textId="77777777" w:rsidR="00EC1436" w:rsidRPr="00237AD7" w:rsidRDefault="00EC1436" w:rsidP="00EC1436">
      <w:pPr>
        <w:pStyle w:val="H1G"/>
      </w:pPr>
      <w:r w:rsidRPr="00237AD7">
        <w:tab/>
        <w:t>C.</w:t>
      </w:r>
      <w:r w:rsidRPr="00237AD7">
        <w:tab/>
        <w:t>Principal subjects of concern and recommendations</w:t>
      </w:r>
    </w:p>
    <w:p w14:paraId="7A808DED" w14:textId="6A85D78C" w:rsidR="00EC1436" w:rsidRPr="00237AD7" w:rsidRDefault="00EE5C0A" w:rsidP="001405B6">
      <w:pPr>
        <w:pStyle w:val="H23G"/>
      </w:pPr>
      <w:r>
        <w:tab/>
      </w:r>
      <w:r>
        <w:tab/>
      </w:r>
      <w:r w:rsidR="00EC1436" w:rsidRPr="00237AD7">
        <w:t>Domestic application of the Covenant</w:t>
      </w:r>
    </w:p>
    <w:p w14:paraId="30D1A7DF" w14:textId="77777777" w:rsidR="00EC1436" w:rsidRPr="00237AD7" w:rsidRDefault="00EC1436" w:rsidP="00EC1436">
      <w:pPr>
        <w:pStyle w:val="SingleTxtG"/>
        <w:tabs>
          <w:tab w:val="clear" w:pos="1701"/>
          <w:tab w:val="clear" w:pos="2268"/>
        </w:tabs>
        <w:rPr>
          <w:bCs/>
        </w:rPr>
      </w:pPr>
      <w:r w:rsidRPr="00237AD7">
        <w:rPr>
          <w:bCs/>
        </w:rPr>
        <w:t>4.</w:t>
      </w:r>
      <w:r w:rsidRPr="00237AD7">
        <w:rPr>
          <w:bCs/>
        </w:rPr>
        <w:tab/>
        <w:t xml:space="preserve">The Committee notes </w:t>
      </w:r>
      <w:r w:rsidRPr="00237AD7">
        <w:t xml:space="preserve">with appreciation the examples provided by the State party </w:t>
      </w:r>
      <w:r>
        <w:t>of</w:t>
      </w:r>
      <w:r w:rsidRPr="00237AD7">
        <w:t xml:space="preserve"> cases in which</w:t>
      </w:r>
      <w:r w:rsidRPr="00237AD7">
        <w:rPr>
          <w:bCs/>
        </w:rPr>
        <w:t xml:space="preserve"> certain </w:t>
      </w:r>
      <w:r w:rsidRPr="00237AD7">
        <w:t xml:space="preserve">provisions of the </w:t>
      </w:r>
      <w:r w:rsidRPr="00237AD7">
        <w:rPr>
          <w:bCs/>
        </w:rPr>
        <w:t>Covenant</w:t>
      </w:r>
      <w:r w:rsidRPr="00237AD7">
        <w:t xml:space="preserve"> have </w:t>
      </w:r>
      <w:proofErr w:type="gramStart"/>
      <w:r w:rsidRPr="00237AD7">
        <w:t>been invoked</w:t>
      </w:r>
      <w:proofErr w:type="gramEnd"/>
      <w:r w:rsidRPr="00237AD7">
        <w:t xml:space="preserve"> by or before </w:t>
      </w:r>
      <w:r w:rsidRPr="00237AD7">
        <w:rPr>
          <w:rFonts w:eastAsia="Calibri"/>
        </w:rPr>
        <w:t>and directly enforced by the courts</w:t>
      </w:r>
      <w:r w:rsidRPr="00237AD7">
        <w:t xml:space="preserve">. </w:t>
      </w:r>
      <w:r>
        <w:t>T</w:t>
      </w:r>
      <w:r w:rsidRPr="00237AD7">
        <w:t>he Committee</w:t>
      </w:r>
      <w:r w:rsidRPr="00237AD7">
        <w:rPr>
          <w:bCs/>
        </w:rPr>
        <w:t xml:space="preserve"> regrets</w:t>
      </w:r>
      <w:r>
        <w:rPr>
          <w:bCs/>
        </w:rPr>
        <w:t>, however,</w:t>
      </w:r>
      <w:r w:rsidRPr="00237AD7">
        <w:rPr>
          <w:bCs/>
        </w:rPr>
        <w:t xml:space="preserve"> the lack of specialized training on the</w:t>
      </w:r>
      <w:r>
        <w:rPr>
          <w:bCs/>
        </w:rPr>
        <w:t xml:space="preserve"> Covenant </w:t>
      </w:r>
      <w:r w:rsidRPr="00237AD7">
        <w:rPr>
          <w:bCs/>
        </w:rPr>
        <w:t xml:space="preserve">and </w:t>
      </w:r>
      <w:r w:rsidRPr="00237AD7">
        <w:t>the justiciability</w:t>
      </w:r>
      <w:r>
        <w:t xml:space="preserve"> of the rights therein</w:t>
      </w:r>
      <w:r w:rsidRPr="00237AD7">
        <w:rPr>
          <w:bCs/>
        </w:rPr>
        <w:t xml:space="preserve"> for judges, prosecutors, lawyers and law enforcement personnel and </w:t>
      </w:r>
      <w:r>
        <w:rPr>
          <w:bCs/>
        </w:rPr>
        <w:t xml:space="preserve">of </w:t>
      </w:r>
      <w:r w:rsidRPr="00237AD7">
        <w:rPr>
          <w:bCs/>
        </w:rPr>
        <w:t>awareness-raising activities for the relevant actors responsible for the implementation of the Covenant</w:t>
      </w:r>
      <w:r>
        <w:rPr>
          <w:bCs/>
        </w:rPr>
        <w:t>.</w:t>
      </w:r>
      <w:r w:rsidRPr="00237AD7">
        <w:t xml:space="preserve"> The Committee also expresses concern</w:t>
      </w:r>
      <w:r>
        <w:t xml:space="preserve"> regarding</w:t>
      </w:r>
      <w:r w:rsidRPr="00237AD7">
        <w:t xml:space="preserve"> reports of </w:t>
      </w:r>
      <w:r>
        <w:t>discriminatory attitudes among</w:t>
      </w:r>
      <w:r w:rsidRPr="00237AD7">
        <w:t xml:space="preserve"> </w:t>
      </w:r>
      <w:proofErr w:type="gramStart"/>
      <w:r w:rsidRPr="00237AD7">
        <w:t>some</w:t>
      </w:r>
      <w:proofErr w:type="gramEnd"/>
      <w:r w:rsidRPr="00237AD7">
        <w:t xml:space="preserve"> judges wh</w:t>
      </w:r>
      <w:r>
        <w:t>en</w:t>
      </w:r>
      <w:r w:rsidRPr="00237AD7">
        <w:t xml:space="preserve"> delivering judgment</w:t>
      </w:r>
      <w:r>
        <w:t>s (</w:t>
      </w:r>
      <w:r w:rsidRPr="00237AD7">
        <w:t>art. 2 (1))</w:t>
      </w:r>
      <w:r>
        <w:t>.</w:t>
      </w:r>
    </w:p>
    <w:p w14:paraId="7621E9B4" w14:textId="77777777" w:rsidR="00EC1436" w:rsidRPr="00237AD7" w:rsidRDefault="00EC1436" w:rsidP="00EC1436">
      <w:pPr>
        <w:pStyle w:val="SingleTxtG"/>
        <w:tabs>
          <w:tab w:val="clear" w:pos="1701"/>
          <w:tab w:val="clear" w:pos="2268"/>
        </w:tabs>
        <w:rPr>
          <w:b/>
        </w:rPr>
      </w:pPr>
      <w:r w:rsidRPr="00237AD7">
        <w:rPr>
          <w:bCs/>
        </w:rPr>
        <w:t>5.</w:t>
      </w:r>
      <w:r w:rsidRPr="00237AD7">
        <w:rPr>
          <w:bCs/>
        </w:rPr>
        <w:tab/>
      </w:r>
      <w:r w:rsidRPr="00237AD7">
        <w:rPr>
          <w:b/>
        </w:rPr>
        <w:t xml:space="preserve">The Committee recommends that the State party provide judges, </w:t>
      </w:r>
      <w:r>
        <w:rPr>
          <w:b/>
        </w:rPr>
        <w:t xml:space="preserve">prosecutors, </w:t>
      </w:r>
      <w:r w:rsidRPr="00237AD7">
        <w:rPr>
          <w:b/>
        </w:rPr>
        <w:t>lawyers and law enforcement personnel with regular specialized training on the provisions of the Covenant and on the justiciability of economic, social and cultural rights to ensure their independence and that the</w:t>
      </w:r>
      <w:r>
        <w:rPr>
          <w:b/>
        </w:rPr>
        <w:t xml:space="preserve"> judges</w:t>
      </w:r>
      <w:r w:rsidRPr="00237AD7">
        <w:rPr>
          <w:b/>
        </w:rPr>
        <w:t xml:space="preserve"> </w:t>
      </w:r>
      <w:proofErr w:type="gramStart"/>
      <w:r w:rsidRPr="00237AD7">
        <w:rPr>
          <w:b/>
        </w:rPr>
        <w:t>adjudicate</w:t>
      </w:r>
      <w:proofErr w:type="gramEnd"/>
      <w:r w:rsidRPr="00237AD7">
        <w:rPr>
          <w:b/>
        </w:rPr>
        <w:t xml:space="preserve"> without prejudice. </w:t>
      </w:r>
      <w:r w:rsidRPr="00237AD7">
        <w:rPr>
          <w:b/>
        </w:rPr>
        <w:lastRenderedPageBreak/>
        <w:t xml:space="preserve">The Committee also recommends that the State </w:t>
      </w:r>
      <w:r>
        <w:rPr>
          <w:b/>
        </w:rPr>
        <w:t>p</w:t>
      </w:r>
      <w:r w:rsidRPr="00237AD7">
        <w:rPr>
          <w:b/>
        </w:rPr>
        <w:t xml:space="preserve">arty raise awareness </w:t>
      </w:r>
      <w:r>
        <w:rPr>
          <w:b/>
        </w:rPr>
        <w:t>among</w:t>
      </w:r>
      <w:r w:rsidRPr="00237AD7">
        <w:rPr>
          <w:b/>
        </w:rPr>
        <w:t xml:space="preserve"> all relevant State actors responsible for the implementation of the Covenant and </w:t>
      </w:r>
      <w:r>
        <w:rPr>
          <w:b/>
        </w:rPr>
        <w:t xml:space="preserve">among </w:t>
      </w:r>
      <w:r w:rsidRPr="00237AD7">
        <w:rPr>
          <w:b/>
        </w:rPr>
        <w:t>the rights holders. The Committee draws the State party’s attention to its general comment No. 9 (1998) on the domestic application of the Covenant.</w:t>
      </w:r>
    </w:p>
    <w:p w14:paraId="0E0F9A7A" w14:textId="2B78A7DD" w:rsidR="00EC1436" w:rsidRPr="00237AD7" w:rsidRDefault="00BA2D4D" w:rsidP="001405B6">
      <w:pPr>
        <w:pStyle w:val="H23G"/>
      </w:pPr>
      <w:r>
        <w:tab/>
      </w:r>
      <w:r>
        <w:tab/>
      </w:r>
      <w:r w:rsidR="00EC1436" w:rsidRPr="00237AD7">
        <w:t>National human rights institution</w:t>
      </w:r>
    </w:p>
    <w:p w14:paraId="07A5E602" w14:textId="5A32BE5C" w:rsidR="00EC1436" w:rsidRPr="00237AD7" w:rsidRDefault="00EC1436" w:rsidP="00EC1436">
      <w:pPr>
        <w:pStyle w:val="SingleTxtG"/>
        <w:tabs>
          <w:tab w:val="clear" w:pos="1701"/>
          <w:tab w:val="clear" w:pos="2268"/>
        </w:tabs>
      </w:pPr>
      <w:r w:rsidRPr="00237AD7">
        <w:rPr>
          <w:bCs/>
        </w:rPr>
        <w:t>6.</w:t>
      </w:r>
      <w:r w:rsidRPr="00237AD7">
        <w:rPr>
          <w:bCs/>
        </w:rPr>
        <w:tab/>
      </w:r>
      <w:r w:rsidRPr="00237AD7">
        <w:t>The Committee welcomes the accreditation to A status of the</w:t>
      </w:r>
      <w:r w:rsidR="008A0282">
        <w:t xml:space="preserve"> </w:t>
      </w:r>
      <w:r>
        <w:t>parliamentary o</w:t>
      </w:r>
      <w:r w:rsidRPr="00AD6E98">
        <w:t>mbudsm</w:t>
      </w:r>
      <w:r>
        <w:t>e</w:t>
      </w:r>
      <w:r w:rsidRPr="00AD6E98">
        <w:t xml:space="preserve">n’s </w:t>
      </w:r>
      <w:r>
        <w:t>o</w:t>
      </w:r>
      <w:r w:rsidRPr="00AD6E98">
        <w:t>ffice</w:t>
      </w:r>
      <w:r w:rsidRPr="00237AD7">
        <w:t xml:space="preserve">, as well as the steady increase </w:t>
      </w:r>
      <w:r>
        <w:t xml:space="preserve">in </w:t>
      </w:r>
      <w:r w:rsidRPr="00237AD7">
        <w:t>its budgetary allocation</w:t>
      </w:r>
      <w:r>
        <w:t>, but</w:t>
      </w:r>
      <w:r w:rsidRPr="00237AD7">
        <w:t xml:space="preserve"> is concerned that </w:t>
      </w:r>
      <w:r>
        <w:t>the office</w:t>
      </w:r>
      <w:r w:rsidRPr="00237AD7">
        <w:t xml:space="preserve"> does not have an explicit mandate on economic, social and cultural rights. The Committee remains concerned that the </w:t>
      </w:r>
      <w:r>
        <w:t>o</w:t>
      </w:r>
      <w:r w:rsidRPr="00237AD7">
        <w:t xml:space="preserve">ffice may still lack sufficient human, technical and financial resources to </w:t>
      </w:r>
      <w:proofErr w:type="gramStart"/>
      <w:r w:rsidRPr="00237AD7">
        <w:t>carry out</w:t>
      </w:r>
      <w:proofErr w:type="gramEnd"/>
      <w:r w:rsidRPr="00237AD7">
        <w:t xml:space="preserve"> its mandate effectively in relation to economic, social and cultural rights. The Committee regrets the lack of information about complaints of violations of economic, social and cultural rights received by the </w:t>
      </w:r>
      <w:r>
        <w:t>o</w:t>
      </w:r>
      <w:r w:rsidRPr="00237AD7">
        <w:t>ffice, the resulting investigations and their outcome</w:t>
      </w:r>
      <w:r>
        <w:t xml:space="preserve"> (</w:t>
      </w:r>
      <w:r w:rsidRPr="00237AD7">
        <w:t>art. 2 (1))</w:t>
      </w:r>
      <w:r>
        <w:t>.</w:t>
      </w:r>
    </w:p>
    <w:p w14:paraId="02758A3C" w14:textId="1A3959C8" w:rsidR="00EC1436" w:rsidRDefault="00EC1436" w:rsidP="00EC1436">
      <w:pPr>
        <w:pStyle w:val="SingleTxtG"/>
        <w:tabs>
          <w:tab w:val="clear" w:pos="1701"/>
          <w:tab w:val="clear" w:pos="2268"/>
        </w:tabs>
        <w:rPr>
          <w:b/>
        </w:rPr>
      </w:pPr>
      <w:r>
        <w:rPr>
          <w:bCs/>
        </w:rPr>
        <w:t>7.</w:t>
      </w:r>
      <w:r>
        <w:rPr>
          <w:bCs/>
        </w:rPr>
        <w:tab/>
      </w:r>
      <w:r w:rsidRPr="00237AD7">
        <w:rPr>
          <w:b/>
        </w:rPr>
        <w:t>The Committee recommends that the State party continue to take measures to address the observations and recommendations made in March 2017 by the Global Alliance of National Human Rights Institutions</w:t>
      </w:r>
      <w:r w:rsidRPr="00CA5650">
        <w:rPr>
          <w:b/>
        </w:rPr>
        <w:t xml:space="preserve">. The Committee further recommends that the </w:t>
      </w:r>
      <w:r>
        <w:rPr>
          <w:b/>
        </w:rPr>
        <w:t>parliamentary</w:t>
      </w:r>
      <w:r w:rsidRPr="00A33882">
        <w:rPr>
          <w:b/>
        </w:rPr>
        <w:t xml:space="preserve"> </w:t>
      </w:r>
      <w:r>
        <w:rPr>
          <w:b/>
        </w:rPr>
        <w:t>o</w:t>
      </w:r>
      <w:r w:rsidRPr="00A33882">
        <w:rPr>
          <w:b/>
        </w:rPr>
        <w:t>mbudsm</w:t>
      </w:r>
      <w:r w:rsidRPr="00D55F10">
        <w:rPr>
          <w:b/>
        </w:rPr>
        <w:t>e</w:t>
      </w:r>
      <w:r w:rsidRPr="00A33882">
        <w:rPr>
          <w:b/>
        </w:rPr>
        <w:t xml:space="preserve">n’s </w:t>
      </w:r>
      <w:r>
        <w:rPr>
          <w:b/>
        </w:rPr>
        <w:t>o</w:t>
      </w:r>
      <w:r w:rsidRPr="00A33882">
        <w:rPr>
          <w:b/>
        </w:rPr>
        <w:t>ffice</w:t>
      </w:r>
      <w:r w:rsidRPr="00CA5650">
        <w:rPr>
          <w:b/>
        </w:rPr>
        <w:t xml:space="preserve"> </w:t>
      </w:r>
      <w:proofErr w:type="gramStart"/>
      <w:r>
        <w:rPr>
          <w:b/>
        </w:rPr>
        <w:t>be</w:t>
      </w:r>
      <w:r w:rsidRPr="00CA5650">
        <w:rPr>
          <w:b/>
        </w:rPr>
        <w:t xml:space="preserve"> strengthened</w:t>
      </w:r>
      <w:proofErr w:type="gramEnd"/>
      <w:r w:rsidRPr="00CA5650">
        <w:rPr>
          <w:b/>
        </w:rPr>
        <w:t xml:space="preserve"> </w:t>
      </w:r>
      <w:r w:rsidRPr="00B134AF">
        <w:rPr>
          <w:b/>
        </w:rPr>
        <w:t>so it can</w:t>
      </w:r>
      <w:r w:rsidRPr="00CA5650">
        <w:rPr>
          <w:b/>
        </w:rPr>
        <w:t xml:space="preserve"> discharge its mandate effectively and independently in full</w:t>
      </w:r>
      <w:r w:rsidRPr="00237AD7">
        <w:rPr>
          <w:b/>
        </w:rPr>
        <w:t xml:space="preserve"> compliance with </w:t>
      </w:r>
      <w:r w:rsidRPr="00925502">
        <w:rPr>
          <w:b/>
        </w:rPr>
        <w:t xml:space="preserve">principles relating to the status of national institutions for the promotion and protection of human rights </w:t>
      </w:r>
      <w:r>
        <w:rPr>
          <w:b/>
        </w:rPr>
        <w:t>(</w:t>
      </w:r>
      <w:r w:rsidRPr="00237AD7">
        <w:rPr>
          <w:b/>
        </w:rPr>
        <w:t>the Paris Principles</w:t>
      </w:r>
      <w:r>
        <w:rPr>
          <w:b/>
        </w:rPr>
        <w:t>)</w:t>
      </w:r>
      <w:r w:rsidRPr="00237AD7">
        <w:rPr>
          <w:b/>
        </w:rPr>
        <w:t xml:space="preserve"> and that </w:t>
      </w:r>
      <w:r>
        <w:rPr>
          <w:b/>
        </w:rPr>
        <w:t>the</w:t>
      </w:r>
      <w:r w:rsidRPr="00237AD7">
        <w:rPr>
          <w:b/>
        </w:rPr>
        <w:t xml:space="preserve"> mandate include appropriate attention to economic, social and cultural rights.</w:t>
      </w:r>
    </w:p>
    <w:p w14:paraId="7244D96A" w14:textId="450361DA" w:rsidR="00EC1436" w:rsidRPr="00A935DA" w:rsidRDefault="00EC006B" w:rsidP="001405B6">
      <w:pPr>
        <w:pStyle w:val="H23G"/>
      </w:pPr>
      <w:r>
        <w:tab/>
      </w:r>
      <w:r>
        <w:tab/>
      </w:r>
      <w:r w:rsidR="00EC1436" w:rsidRPr="00A935DA">
        <w:t>National minorities</w:t>
      </w:r>
    </w:p>
    <w:p w14:paraId="5655AB80" w14:textId="77777777" w:rsidR="00EC1436" w:rsidRPr="00CA5650" w:rsidRDefault="00EC1436" w:rsidP="00EC1436">
      <w:pPr>
        <w:pStyle w:val="SingleTxtG"/>
        <w:tabs>
          <w:tab w:val="clear" w:pos="1701"/>
          <w:tab w:val="clear" w:pos="2268"/>
        </w:tabs>
        <w:rPr>
          <w:b/>
          <w:bCs/>
        </w:rPr>
      </w:pPr>
      <w:r w:rsidRPr="00CA5650">
        <w:rPr>
          <w:bCs/>
        </w:rPr>
        <w:t>8.</w:t>
      </w:r>
      <w:r w:rsidRPr="00CA5650">
        <w:rPr>
          <w:bCs/>
        </w:rPr>
        <w:tab/>
      </w:r>
      <w:r w:rsidRPr="00237AD7">
        <w:t>The Committee is concerned at the steady decline in the population of national minorities</w:t>
      </w:r>
      <w:r>
        <w:t>,</w:t>
      </w:r>
      <w:r w:rsidRPr="00237AD7">
        <w:t xml:space="preserve"> notably the Polish, Russian and Belarussian</w:t>
      </w:r>
      <w:r>
        <w:t xml:space="preserve"> minorities</w:t>
      </w:r>
      <w:r w:rsidRPr="00237AD7">
        <w:t>. The Committee</w:t>
      </w:r>
      <w:r>
        <w:t xml:space="preserve"> remains</w:t>
      </w:r>
      <w:r w:rsidRPr="00237AD7">
        <w:t xml:space="preserve"> concerned about reports of discrimination </w:t>
      </w:r>
      <w:r>
        <w:t xml:space="preserve">against </w:t>
      </w:r>
      <w:r w:rsidRPr="00237AD7">
        <w:t>and unequal treatment of national minorities and the</w:t>
      </w:r>
      <w:r>
        <w:t xml:space="preserve"> </w:t>
      </w:r>
      <w:r w:rsidRPr="00237AD7">
        <w:t>lack of a legal framework for the protection of the rights of national minorities in the State party following the abrogation of the Law on National Minorities of 1989 in January 2010</w:t>
      </w:r>
      <w:r>
        <w:t xml:space="preserve"> (</w:t>
      </w:r>
      <w:r w:rsidRPr="00237AD7">
        <w:t>arts. 2 and 15)</w:t>
      </w:r>
      <w:r>
        <w:t>.</w:t>
      </w:r>
    </w:p>
    <w:p w14:paraId="2FA11EF3" w14:textId="77777777" w:rsidR="00EC1436" w:rsidRPr="00237AD7" w:rsidRDefault="00EC1436" w:rsidP="00EC1436">
      <w:pPr>
        <w:pStyle w:val="SingleTxtG"/>
        <w:tabs>
          <w:tab w:val="clear" w:pos="1701"/>
          <w:tab w:val="clear" w:pos="2268"/>
        </w:tabs>
        <w:rPr>
          <w:b/>
        </w:rPr>
      </w:pPr>
      <w:r w:rsidRPr="00237AD7">
        <w:rPr>
          <w:bCs/>
        </w:rPr>
        <w:t>9.</w:t>
      </w:r>
      <w:r w:rsidRPr="00237AD7">
        <w:rPr>
          <w:bCs/>
        </w:rPr>
        <w:tab/>
      </w:r>
      <w:r w:rsidRPr="00237AD7">
        <w:rPr>
          <w:b/>
          <w:bCs/>
        </w:rPr>
        <w:t>The Committee recommends that the State party take</w:t>
      </w:r>
      <w:r>
        <w:rPr>
          <w:b/>
          <w:bCs/>
        </w:rPr>
        <w:t xml:space="preserve"> urgent </w:t>
      </w:r>
      <w:r w:rsidRPr="003437FA">
        <w:rPr>
          <w:b/>
          <w:bCs/>
        </w:rPr>
        <w:t xml:space="preserve">measures, </w:t>
      </w:r>
      <w:r>
        <w:rPr>
          <w:b/>
          <w:bCs/>
        </w:rPr>
        <w:t>in</w:t>
      </w:r>
      <w:r w:rsidRPr="00B72A65">
        <w:rPr>
          <w:b/>
          <w:bCs/>
        </w:rPr>
        <w:t xml:space="preserve"> a time</w:t>
      </w:r>
      <w:r>
        <w:rPr>
          <w:b/>
          <w:bCs/>
        </w:rPr>
        <w:t>-</w:t>
      </w:r>
      <w:r w:rsidRPr="00B72A65">
        <w:rPr>
          <w:b/>
          <w:bCs/>
        </w:rPr>
        <w:t>bound manner</w:t>
      </w:r>
      <w:r w:rsidRPr="003437FA">
        <w:rPr>
          <w:b/>
          <w:bCs/>
        </w:rPr>
        <w:t>,</w:t>
      </w:r>
      <w:r>
        <w:rPr>
          <w:b/>
          <w:bCs/>
        </w:rPr>
        <w:t xml:space="preserve"> </w:t>
      </w:r>
      <w:r w:rsidRPr="00B72A65">
        <w:rPr>
          <w:b/>
          <w:bCs/>
        </w:rPr>
        <w:t>to address these concerns, expedite</w:t>
      </w:r>
      <w:r w:rsidRPr="00237AD7">
        <w:rPr>
          <w:b/>
          <w:bCs/>
        </w:rPr>
        <w:t xml:space="preserve"> the process for adopting </w:t>
      </w:r>
      <w:r>
        <w:rPr>
          <w:b/>
          <w:bCs/>
        </w:rPr>
        <w:t>a</w:t>
      </w:r>
      <w:r w:rsidRPr="00237AD7">
        <w:rPr>
          <w:b/>
          <w:bCs/>
        </w:rPr>
        <w:t xml:space="preserve"> new Law on National Minorities and that</w:t>
      </w:r>
      <w:r>
        <w:rPr>
          <w:b/>
          <w:bCs/>
        </w:rPr>
        <w:t>,</w:t>
      </w:r>
      <w:r w:rsidRPr="00237AD7">
        <w:rPr>
          <w:b/>
          <w:bCs/>
        </w:rPr>
        <w:t xml:space="preserve"> in the interim, it </w:t>
      </w:r>
      <w:proofErr w:type="gramStart"/>
      <w:r w:rsidRPr="00237AD7">
        <w:rPr>
          <w:b/>
          <w:bCs/>
        </w:rPr>
        <w:t>take</w:t>
      </w:r>
      <w:proofErr w:type="gramEnd"/>
      <w:r w:rsidRPr="00237AD7">
        <w:rPr>
          <w:b/>
          <w:bCs/>
        </w:rPr>
        <w:t xml:space="preserve"> effective measures to fully protect the rights of all national minorities, including </w:t>
      </w:r>
      <w:r>
        <w:rPr>
          <w:b/>
          <w:bCs/>
        </w:rPr>
        <w:t xml:space="preserve">in relation to </w:t>
      </w:r>
      <w:r w:rsidRPr="00237AD7">
        <w:rPr>
          <w:b/>
          <w:bCs/>
        </w:rPr>
        <w:t>their language, religion, culture and identity</w:t>
      </w:r>
      <w:r>
        <w:rPr>
          <w:b/>
          <w:bCs/>
        </w:rPr>
        <w:t>.</w:t>
      </w:r>
      <w:r w:rsidRPr="00C442C1">
        <w:rPr>
          <w:b/>
          <w:bCs/>
        </w:rPr>
        <w:t xml:space="preserve"> </w:t>
      </w:r>
      <w:r w:rsidRPr="00E30CF9">
        <w:rPr>
          <w:b/>
        </w:rPr>
        <w:t xml:space="preserve">The Committee reiterates its </w:t>
      </w:r>
      <w:r>
        <w:rPr>
          <w:b/>
        </w:rPr>
        <w:t>g</w:t>
      </w:r>
      <w:r w:rsidRPr="00E30CF9">
        <w:rPr>
          <w:b/>
        </w:rPr>
        <w:t xml:space="preserve">eneral </w:t>
      </w:r>
      <w:r>
        <w:rPr>
          <w:b/>
        </w:rPr>
        <w:t>c</w:t>
      </w:r>
      <w:r w:rsidRPr="00E30CF9">
        <w:rPr>
          <w:b/>
        </w:rPr>
        <w:t>omment No</w:t>
      </w:r>
      <w:r>
        <w:rPr>
          <w:b/>
        </w:rPr>
        <w:t>.</w:t>
      </w:r>
      <w:r w:rsidRPr="00E30CF9">
        <w:rPr>
          <w:b/>
        </w:rPr>
        <w:t xml:space="preserve"> 3</w:t>
      </w:r>
      <w:r>
        <w:rPr>
          <w:b/>
        </w:rPr>
        <w:t xml:space="preserve"> (1990) on the nature of State parties’ obligations.</w:t>
      </w:r>
    </w:p>
    <w:p w14:paraId="532D14C3" w14:textId="55286261" w:rsidR="00EC1436" w:rsidRPr="00A935DA" w:rsidRDefault="009B189A" w:rsidP="001405B6">
      <w:pPr>
        <w:pStyle w:val="H23G"/>
      </w:pPr>
      <w:r>
        <w:tab/>
      </w:r>
      <w:r>
        <w:tab/>
      </w:r>
      <w:r w:rsidR="00EC1436" w:rsidRPr="00237AD7">
        <w:t>Discrimination against Roma</w:t>
      </w:r>
    </w:p>
    <w:p w14:paraId="0382576F" w14:textId="77777777" w:rsidR="00EC1436" w:rsidRPr="00237AD7" w:rsidRDefault="00EC1436" w:rsidP="00EC1436">
      <w:pPr>
        <w:pStyle w:val="SingleTxtG"/>
        <w:tabs>
          <w:tab w:val="clear" w:pos="1701"/>
          <w:tab w:val="clear" w:pos="2268"/>
        </w:tabs>
      </w:pPr>
      <w:r w:rsidRPr="00237AD7">
        <w:rPr>
          <w:bCs/>
        </w:rPr>
        <w:t>10.</w:t>
      </w:r>
      <w:r w:rsidRPr="00237AD7">
        <w:rPr>
          <w:bCs/>
        </w:rPr>
        <w:tab/>
      </w:r>
      <w:r w:rsidRPr="00237AD7">
        <w:t>The Committee welcomes the State party’s progress through the implementation of various action plans and program</w:t>
      </w:r>
      <w:r>
        <w:t>me</w:t>
      </w:r>
      <w:r w:rsidRPr="00237AD7">
        <w:t>s to facilitate the access of Roma to economic, social and cultural rights. The Committee is</w:t>
      </w:r>
      <w:r>
        <w:t>,</w:t>
      </w:r>
      <w:r w:rsidRPr="00237AD7">
        <w:t xml:space="preserve"> however</w:t>
      </w:r>
      <w:r>
        <w:t>,</w:t>
      </w:r>
      <w:r w:rsidRPr="00237AD7">
        <w:t xml:space="preserve"> concerned about the lack of meaningful progress and the persistent stigmatization and social exclusion</w:t>
      </w:r>
      <w:r>
        <w:t xml:space="preserve"> of,</w:t>
      </w:r>
      <w:r w:rsidRPr="00237AD7">
        <w:t xml:space="preserve"> and discrimination </w:t>
      </w:r>
      <w:r>
        <w:t>against,</w:t>
      </w:r>
      <w:r w:rsidRPr="00237AD7">
        <w:t xml:space="preserve"> Roma in the enjoyment of their rights under the Covenant, particularly in the areas of housing, health and employment. The Committee regrets that the </w:t>
      </w:r>
      <w:r w:rsidRPr="00294F45">
        <w:t xml:space="preserve">Action Plan for </w:t>
      </w:r>
      <w:r>
        <w:t xml:space="preserve">Integration of Roma into Lithuanian Society for </w:t>
      </w:r>
      <w:r w:rsidRPr="00294F45">
        <w:t>2022</w:t>
      </w:r>
      <w:r w:rsidRPr="00D55F10">
        <w:t>–</w:t>
      </w:r>
      <w:r w:rsidRPr="00294F45">
        <w:t>2023</w:t>
      </w:r>
      <w:r w:rsidRPr="001405B6">
        <w:rPr>
          <w:rStyle w:val="FootnoteReference"/>
        </w:rPr>
        <w:footnoteReference w:id="5"/>
      </w:r>
      <w:r w:rsidRPr="00237AD7">
        <w:t xml:space="preserve"> does not address </w:t>
      </w:r>
      <w:proofErr w:type="gramStart"/>
      <w:r w:rsidRPr="00237AD7">
        <w:t>some of</w:t>
      </w:r>
      <w:proofErr w:type="gramEnd"/>
      <w:r w:rsidRPr="00237AD7">
        <w:t xml:space="preserve"> the most acute problems and does not allocate adequate and dedicated resources for its effective implementation. The Committee further regrets that a comprehensive law protecting minority rights has not yet </w:t>
      </w:r>
      <w:proofErr w:type="gramStart"/>
      <w:r w:rsidRPr="00237AD7">
        <w:t>been adopted</w:t>
      </w:r>
      <w:proofErr w:type="gramEnd"/>
      <w:r>
        <w:t xml:space="preserve"> (</w:t>
      </w:r>
      <w:r w:rsidRPr="00237AD7">
        <w:t>art</w:t>
      </w:r>
      <w:r>
        <w:t>.</w:t>
      </w:r>
      <w:r w:rsidRPr="00237AD7">
        <w:t xml:space="preserve"> 2</w:t>
      </w:r>
      <w:r>
        <w:t xml:space="preserve"> </w:t>
      </w:r>
      <w:r w:rsidRPr="00237AD7">
        <w:t>(2))</w:t>
      </w:r>
      <w:r>
        <w:t>.</w:t>
      </w:r>
    </w:p>
    <w:p w14:paraId="3A60E197" w14:textId="77777777" w:rsidR="00EC1436" w:rsidRPr="00237AD7" w:rsidRDefault="00EC1436" w:rsidP="00EC1436">
      <w:pPr>
        <w:pStyle w:val="SingleTxtG"/>
        <w:tabs>
          <w:tab w:val="clear" w:pos="1701"/>
          <w:tab w:val="clear" w:pos="2268"/>
        </w:tabs>
      </w:pPr>
      <w:r w:rsidRPr="00237AD7">
        <w:rPr>
          <w:bCs/>
        </w:rPr>
        <w:t>11.</w:t>
      </w:r>
      <w:r w:rsidRPr="00237AD7">
        <w:rPr>
          <w:bCs/>
        </w:rPr>
        <w:tab/>
      </w:r>
      <w:r w:rsidRPr="00237AD7">
        <w:rPr>
          <w:b/>
        </w:rPr>
        <w:t xml:space="preserve">The Committee recommends that the State party redouble its efforts for the social and economic integration of Roma, paying particular attention to Roma women and children. It recommends, in particular, that the State party strengthen its policy </w:t>
      </w:r>
      <w:r w:rsidRPr="00237AD7">
        <w:rPr>
          <w:b/>
        </w:rPr>
        <w:lastRenderedPageBreak/>
        <w:t>measures, including by adopting and implementing a comprehensive</w:t>
      </w:r>
      <w:r>
        <w:rPr>
          <w:b/>
        </w:rPr>
        <w:t xml:space="preserve"> </w:t>
      </w:r>
      <w:r w:rsidRPr="00237AD7">
        <w:rPr>
          <w:b/>
        </w:rPr>
        <w:t>national Roma integration strategy, with a view to addressing the disparities and discrimination faced by Roma in accessing public services, employment, adequate housing, education and health care.</w:t>
      </w:r>
    </w:p>
    <w:p w14:paraId="31BB3466" w14:textId="0E50FC2F" w:rsidR="00EC1436" w:rsidRPr="00A935DA" w:rsidRDefault="00980466" w:rsidP="001405B6">
      <w:pPr>
        <w:pStyle w:val="H23G"/>
      </w:pPr>
      <w:r>
        <w:tab/>
      </w:r>
      <w:r>
        <w:tab/>
      </w:r>
      <w:r w:rsidR="00EC1436" w:rsidRPr="00A935DA">
        <w:t>Discrimination based on sexual orientation and gender identity</w:t>
      </w:r>
    </w:p>
    <w:p w14:paraId="75D5FF06" w14:textId="77777777" w:rsidR="00EC1436" w:rsidRPr="00237AD7" w:rsidRDefault="00EC1436" w:rsidP="00EC1436">
      <w:pPr>
        <w:pStyle w:val="SingleTxtG"/>
        <w:tabs>
          <w:tab w:val="clear" w:pos="1701"/>
          <w:tab w:val="clear" w:pos="2268"/>
        </w:tabs>
      </w:pPr>
      <w:r w:rsidRPr="00237AD7">
        <w:rPr>
          <w:bCs/>
        </w:rPr>
        <w:t>12.</w:t>
      </w:r>
      <w:r w:rsidRPr="00237AD7">
        <w:rPr>
          <w:bCs/>
        </w:rPr>
        <w:tab/>
      </w:r>
      <w:r w:rsidRPr="00237AD7">
        <w:t>While noting the measures taken by the State party</w:t>
      </w:r>
      <w:r>
        <w:t>,</w:t>
      </w:r>
      <w:r w:rsidRPr="00237AD7">
        <w:t xml:space="preserve"> including the Constitutional Court</w:t>
      </w:r>
      <w:r>
        <w:t>’s</w:t>
      </w:r>
      <w:r w:rsidRPr="00237AD7">
        <w:t xml:space="preserve"> ruling of 11 January 2019 recogni</w:t>
      </w:r>
      <w:r>
        <w:t>z</w:t>
      </w:r>
      <w:r w:rsidRPr="00237AD7">
        <w:t xml:space="preserve">ing gender identity </w:t>
      </w:r>
      <w:r>
        <w:t>and</w:t>
      </w:r>
      <w:r w:rsidRPr="00237AD7">
        <w:t xml:space="preserve"> sexual orientation among the prohibited grounds </w:t>
      </w:r>
      <w:r>
        <w:t>for</w:t>
      </w:r>
      <w:r w:rsidRPr="00237AD7">
        <w:t xml:space="preserve"> discrimination under article 29 of the Constitution, the Committee regrets the lack of tangible progress in combating the violence, stigma</w:t>
      </w:r>
      <w:r>
        <w:t>tization</w:t>
      </w:r>
      <w:r w:rsidRPr="00237AD7">
        <w:t xml:space="preserve"> and discrimination experienced by lesbian, gay, bisexual, transgender and intersex persons on the basis of their sexual orientation and gender identity. It is further concerned that gender identity is yet to </w:t>
      </w:r>
      <w:proofErr w:type="gramStart"/>
      <w:r w:rsidRPr="00237AD7">
        <w:t>be recogni</w:t>
      </w:r>
      <w:r>
        <w:t>z</w:t>
      </w:r>
      <w:r w:rsidRPr="00237AD7">
        <w:t>ed</w:t>
      </w:r>
      <w:proofErr w:type="gramEnd"/>
      <w:r w:rsidRPr="00237AD7">
        <w:t xml:space="preserve"> in </w:t>
      </w:r>
      <w:r>
        <w:t>national</w:t>
      </w:r>
      <w:r w:rsidRPr="00237AD7">
        <w:t xml:space="preserve"> legislation. The Committee also regrets that, in the absence of the recognition of same-sex marriage, there exists no legal institution for those in </w:t>
      </w:r>
      <w:r>
        <w:t xml:space="preserve">a </w:t>
      </w:r>
      <w:r w:rsidRPr="00237AD7">
        <w:t>same-sex relationship (art</w:t>
      </w:r>
      <w:r>
        <w:t>.</w:t>
      </w:r>
      <w:r w:rsidRPr="00237AD7">
        <w:t xml:space="preserve"> 2</w:t>
      </w:r>
      <w:r>
        <w:t xml:space="preserve"> </w:t>
      </w:r>
      <w:r w:rsidRPr="00237AD7">
        <w:t>(2))</w:t>
      </w:r>
      <w:r>
        <w:t>.</w:t>
      </w:r>
    </w:p>
    <w:p w14:paraId="2DA57E72" w14:textId="77777777" w:rsidR="00EC1436" w:rsidRPr="00237AD7" w:rsidRDefault="00EC1436" w:rsidP="00EC1436">
      <w:pPr>
        <w:pStyle w:val="SingleTxtG"/>
        <w:tabs>
          <w:tab w:val="clear" w:pos="1701"/>
          <w:tab w:val="clear" w:pos="2268"/>
        </w:tabs>
        <w:rPr>
          <w:b/>
          <w:bCs/>
        </w:rPr>
      </w:pPr>
      <w:r w:rsidRPr="00237AD7">
        <w:rPr>
          <w:bCs/>
        </w:rPr>
        <w:t>13.</w:t>
      </w:r>
      <w:r w:rsidRPr="00237AD7">
        <w:rPr>
          <w:bCs/>
        </w:rPr>
        <w:tab/>
      </w:r>
      <w:r w:rsidRPr="00237AD7">
        <w:rPr>
          <w:b/>
          <w:bCs/>
        </w:rPr>
        <w:t>Reiterating the recommendations made in its previous concluding observations</w:t>
      </w:r>
      <w:r w:rsidRPr="001405B6">
        <w:rPr>
          <w:rStyle w:val="FootnoteReference"/>
        </w:rPr>
        <w:footnoteReference w:id="6"/>
      </w:r>
      <w:r w:rsidRPr="00237AD7">
        <w:rPr>
          <w:b/>
          <w:bCs/>
        </w:rPr>
        <w:t xml:space="preserve"> the Committee recommends that the State party:</w:t>
      </w:r>
    </w:p>
    <w:p w14:paraId="40F0993B" w14:textId="7242BFEA" w:rsidR="00EC1436" w:rsidRPr="00237AD7" w:rsidRDefault="001405B6" w:rsidP="001405B6">
      <w:pPr>
        <w:pStyle w:val="SingleTxtG"/>
        <w:rPr>
          <w:b/>
          <w:bCs/>
        </w:rPr>
      </w:pPr>
      <w:r w:rsidRPr="001405B6">
        <w:tab/>
      </w:r>
      <w:r w:rsidR="00EC1436" w:rsidRPr="001405B6">
        <w:t>(a)</w:t>
      </w:r>
      <w:r w:rsidR="00EC1436" w:rsidRPr="001405B6">
        <w:tab/>
      </w:r>
      <w:r w:rsidR="00EC1436" w:rsidRPr="00237AD7">
        <w:rPr>
          <w:b/>
          <w:bCs/>
        </w:rPr>
        <w:t>Provide effective protection against all forms of discrimination and violence based on sexual orientation and gender identity, which hinders the enjoyment by victims of their economic, social and cultural rights;</w:t>
      </w:r>
    </w:p>
    <w:p w14:paraId="693340A7" w14:textId="3C76BDD5" w:rsidR="00EC1436" w:rsidRPr="00237AD7" w:rsidRDefault="001405B6" w:rsidP="001405B6">
      <w:pPr>
        <w:pStyle w:val="SingleTxtG"/>
        <w:rPr>
          <w:b/>
          <w:bCs/>
        </w:rPr>
      </w:pPr>
      <w:r w:rsidRPr="001405B6">
        <w:tab/>
      </w:r>
      <w:r w:rsidR="00EC1436" w:rsidRPr="001405B6">
        <w:t>(b)</w:t>
      </w:r>
      <w:r w:rsidR="00EC1436" w:rsidRPr="001405B6">
        <w:tab/>
      </w:r>
      <w:r w:rsidR="00EC1436" w:rsidRPr="00237AD7">
        <w:rPr>
          <w:b/>
          <w:bCs/>
        </w:rPr>
        <w:t xml:space="preserve">Redouble its efforts to take </w:t>
      </w:r>
      <w:r w:rsidR="00EC1436">
        <w:rPr>
          <w:b/>
          <w:bCs/>
        </w:rPr>
        <w:t>specific</w:t>
      </w:r>
      <w:r w:rsidR="00EC1436" w:rsidRPr="00237AD7">
        <w:rPr>
          <w:b/>
          <w:bCs/>
        </w:rPr>
        <w:t>, deliberate and targeted measures</w:t>
      </w:r>
      <w:r w:rsidR="00EC1436">
        <w:rPr>
          <w:b/>
          <w:bCs/>
        </w:rPr>
        <w:t>,</w:t>
      </w:r>
      <w:r w:rsidR="00EC1436" w:rsidRPr="00237AD7">
        <w:rPr>
          <w:b/>
          <w:bCs/>
        </w:rPr>
        <w:t xml:space="preserve"> including </w:t>
      </w:r>
      <w:r w:rsidR="00EC1436">
        <w:rPr>
          <w:b/>
          <w:bCs/>
        </w:rPr>
        <w:t>additional</w:t>
      </w:r>
      <w:r w:rsidR="00EC1436" w:rsidRPr="00237AD7">
        <w:rPr>
          <w:b/>
          <w:bCs/>
        </w:rPr>
        <w:t xml:space="preserve"> awareness-raising campaigns</w:t>
      </w:r>
      <w:r w:rsidR="00EC1436">
        <w:rPr>
          <w:b/>
          <w:bCs/>
        </w:rPr>
        <w:t>,</w:t>
      </w:r>
      <w:r w:rsidR="00EC1436" w:rsidRPr="00237AD7">
        <w:rPr>
          <w:b/>
          <w:bCs/>
        </w:rPr>
        <w:t xml:space="preserve"> to combat stigmatization and discrimination affecting lesbian, gay, bisexual, transgender and intersex persons;</w:t>
      </w:r>
    </w:p>
    <w:p w14:paraId="6E4426CC" w14:textId="325D62E8" w:rsidR="00EC1436" w:rsidRPr="00237AD7" w:rsidRDefault="001405B6" w:rsidP="001405B6">
      <w:pPr>
        <w:pStyle w:val="SingleTxtG"/>
        <w:rPr>
          <w:b/>
          <w:bCs/>
        </w:rPr>
      </w:pPr>
      <w:r w:rsidRPr="001405B6">
        <w:tab/>
      </w:r>
      <w:r w:rsidR="00EC1436" w:rsidRPr="001405B6">
        <w:t>(c)</w:t>
      </w:r>
      <w:r w:rsidR="00EC1436" w:rsidRPr="00237AD7">
        <w:rPr>
          <w:b/>
          <w:bCs/>
        </w:rPr>
        <w:tab/>
        <w:t>Take legislative measures to ensure the statutory recognition of gender identity as prohibited ground</w:t>
      </w:r>
      <w:r w:rsidR="00EC1436">
        <w:rPr>
          <w:b/>
          <w:bCs/>
        </w:rPr>
        <w:t>s</w:t>
      </w:r>
      <w:r w:rsidR="00EC1436" w:rsidRPr="00237AD7">
        <w:rPr>
          <w:b/>
          <w:bCs/>
        </w:rPr>
        <w:t xml:space="preserve"> </w:t>
      </w:r>
      <w:r w:rsidR="00EC1436">
        <w:rPr>
          <w:b/>
          <w:bCs/>
        </w:rPr>
        <w:t>for</w:t>
      </w:r>
      <w:r w:rsidR="00EC1436" w:rsidRPr="00237AD7">
        <w:rPr>
          <w:b/>
          <w:bCs/>
        </w:rPr>
        <w:t xml:space="preserve"> discrimination;</w:t>
      </w:r>
    </w:p>
    <w:p w14:paraId="47916209" w14:textId="23CEF95B" w:rsidR="00EC1436" w:rsidRPr="00237AD7" w:rsidRDefault="001405B6" w:rsidP="001405B6">
      <w:pPr>
        <w:pStyle w:val="SingleTxtG"/>
        <w:rPr>
          <w:b/>
          <w:bCs/>
        </w:rPr>
      </w:pPr>
      <w:r w:rsidRPr="001405B6">
        <w:tab/>
      </w:r>
      <w:r w:rsidR="00EC1436" w:rsidRPr="001405B6">
        <w:t>(d)</w:t>
      </w:r>
      <w:r w:rsidR="00EC1436" w:rsidRPr="001405B6">
        <w:tab/>
      </w:r>
      <w:r w:rsidR="00EC1436" w:rsidRPr="00237AD7">
        <w:rPr>
          <w:b/>
          <w:bCs/>
        </w:rPr>
        <w:t xml:space="preserve">Develop a legal institution, such as registered partnership or civil union, </w:t>
      </w:r>
      <w:proofErr w:type="gramStart"/>
      <w:r w:rsidR="00EC1436" w:rsidRPr="00237AD7">
        <w:rPr>
          <w:b/>
          <w:bCs/>
        </w:rPr>
        <w:t>that</w:t>
      </w:r>
      <w:proofErr w:type="gramEnd"/>
      <w:r w:rsidR="00EC1436" w:rsidRPr="00237AD7">
        <w:rPr>
          <w:b/>
          <w:bCs/>
        </w:rPr>
        <w:t xml:space="preserve"> provides protection equivalent to marriage to those in same-sex relationships.</w:t>
      </w:r>
    </w:p>
    <w:p w14:paraId="2F6ACBE9" w14:textId="15E43AE2" w:rsidR="00EC1436" w:rsidRPr="00A935DA" w:rsidRDefault="008A4A5A" w:rsidP="001405B6">
      <w:pPr>
        <w:pStyle w:val="H23G"/>
      </w:pPr>
      <w:r>
        <w:tab/>
      </w:r>
      <w:r>
        <w:tab/>
      </w:r>
      <w:r w:rsidR="00EC1436" w:rsidRPr="00237AD7">
        <w:t>Asylum</w:t>
      </w:r>
      <w:r w:rsidR="00EC1436">
        <w:t>-</w:t>
      </w:r>
      <w:r w:rsidR="00EC1436" w:rsidRPr="00237AD7">
        <w:t xml:space="preserve">seekers and </w:t>
      </w:r>
      <w:r w:rsidR="00EC1436">
        <w:t>migrants</w:t>
      </w:r>
    </w:p>
    <w:p w14:paraId="2F1D7EEA" w14:textId="77777777" w:rsidR="00EC1436" w:rsidRDefault="00EC1436" w:rsidP="00EC1436">
      <w:pPr>
        <w:pStyle w:val="SingleTxtG"/>
        <w:tabs>
          <w:tab w:val="clear" w:pos="1701"/>
          <w:tab w:val="clear" w:pos="2268"/>
        </w:tabs>
        <w:rPr>
          <w:bCs/>
        </w:rPr>
      </w:pPr>
      <w:r>
        <w:rPr>
          <w:bCs/>
        </w:rPr>
        <w:t>14.</w:t>
      </w:r>
      <w:r>
        <w:rPr>
          <w:bCs/>
        </w:rPr>
        <w:tab/>
        <w:t>While noting the challenges faced owing to the influx of asylum-seekers and migrants, t</w:t>
      </w:r>
      <w:r w:rsidRPr="00237AD7">
        <w:rPr>
          <w:bCs/>
        </w:rPr>
        <w:t>he Committee</w:t>
      </w:r>
      <w:r>
        <w:rPr>
          <w:bCs/>
        </w:rPr>
        <w:t xml:space="preserve"> remains concerned by:</w:t>
      </w:r>
    </w:p>
    <w:p w14:paraId="199AA59C" w14:textId="4D68E09F" w:rsidR="00EC1436" w:rsidRDefault="007B7498" w:rsidP="007B7498">
      <w:pPr>
        <w:pStyle w:val="SingleTxtG"/>
        <w:rPr>
          <w:bCs/>
        </w:rPr>
      </w:pPr>
      <w:r>
        <w:rPr>
          <w:bCs/>
        </w:rPr>
        <w:tab/>
      </w:r>
      <w:r w:rsidR="00EC1436">
        <w:rPr>
          <w:bCs/>
        </w:rPr>
        <w:t>(a)</w:t>
      </w:r>
      <w:r w:rsidR="00EC1436">
        <w:rPr>
          <w:bCs/>
        </w:rPr>
        <w:tab/>
        <w:t xml:space="preserve">Reported incidents of the continued expulsion of asylum-seekers and migrants by the State party without reviewing their individual situations, including the practice of pushback operations, whereby asylum-seekers and migrants, including children and persons in vulnerable situations, have </w:t>
      </w:r>
      <w:proofErr w:type="gramStart"/>
      <w:r w:rsidR="00EC1436">
        <w:rPr>
          <w:bCs/>
        </w:rPr>
        <w:t>been left</w:t>
      </w:r>
      <w:proofErr w:type="gramEnd"/>
      <w:r w:rsidR="00EC1436">
        <w:rPr>
          <w:bCs/>
        </w:rPr>
        <w:t xml:space="preserve"> near the border in dire conditions, without access to asylum procedures or emergency assistance, such as the provision of food, water and shelter;</w:t>
      </w:r>
    </w:p>
    <w:p w14:paraId="5CD019E7" w14:textId="4B7DFF84" w:rsidR="00EC1436" w:rsidRPr="00C25F9F" w:rsidRDefault="007B7498" w:rsidP="007B7498">
      <w:pPr>
        <w:pStyle w:val="SingleTxtG"/>
        <w:rPr>
          <w:bCs/>
        </w:rPr>
      </w:pPr>
      <w:r>
        <w:rPr>
          <w:bCs/>
        </w:rPr>
        <w:tab/>
      </w:r>
      <w:r w:rsidR="00EC1436" w:rsidRPr="00C25F9F">
        <w:rPr>
          <w:bCs/>
        </w:rPr>
        <w:t>(b)</w:t>
      </w:r>
      <w:r w:rsidR="00EC1436" w:rsidRPr="00C25F9F">
        <w:rPr>
          <w:bCs/>
        </w:rPr>
        <w:tab/>
        <w:t>The reports of limited access to adequate food, basic goods and services, health</w:t>
      </w:r>
      <w:r w:rsidR="00EC1436">
        <w:rPr>
          <w:bCs/>
        </w:rPr>
        <w:t>-</w:t>
      </w:r>
      <w:r w:rsidR="00EC1436" w:rsidRPr="00C25F9F">
        <w:rPr>
          <w:bCs/>
        </w:rPr>
        <w:t>care services and information, as well as a lack of privacy and restrictions on freedom of movement</w:t>
      </w:r>
      <w:r w:rsidR="00EC1436">
        <w:rPr>
          <w:bCs/>
        </w:rPr>
        <w:t xml:space="preserve"> </w:t>
      </w:r>
      <w:r w:rsidR="00EC1436" w:rsidRPr="00C25F9F">
        <w:rPr>
          <w:bCs/>
        </w:rPr>
        <w:t>for asylum</w:t>
      </w:r>
      <w:r w:rsidR="00EC1436">
        <w:rPr>
          <w:bCs/>
        </w:rPr>
        <w:t>-</w:t>
      </w:r>
      <w:r w:rsidR="00EC1436" w:rsidRPr="00C25F9F">
        <w:rPr>
          <w:bCs/>
        </w:rPr>
        <w:t>seekers, refugees and undocumented migrants in accommodation sites, which have negative impacts on their psychological health (art</w:t>
      </w:r>
      <w:r w:rsidR="00EC1436">
        <w:rPr>
          <w:bCs/>
        </w:rPr>
        <w:t>s</w:t>
      </w:r>
      <w:r w:rsidR="00EC1436" w:rsidRPr="00C25F9F">
        <w:rPr>
          <w:bCs/>
        </w:rPr>
        <w:t>. 2, 10</w:t>
      </w:r>
      <w:r w:rsidR="00EC1436">
        <w:rPr>
          <w:bCs/>
        </w:rPr>
        <w:t xml:space="preserve"> and</w:t>
      </w:r>
      <w:r w:rsidR="00EC1436" w:rsidRPr="00C25F9F">
        <w:rPr>
          <w:bCs/>
        </w:rPr>
        <w:t xml:space="preserve"> 12).</w:t>
      </w:r>
    </w:p>
    <w:p w14:paraId="367E90A7" w14:textId="77777777" w:rsidR="00EC1436" w:rsidRDefault="00EC1436" w:rsidP="00EC1436">
      <w:pPr>
        <w:pStyle w:val="SingleTxtG"/>
        <w:tabs>
          <w:tab w:val="clear" w:pos="1701"/>
          <w:tab w:val="clear" w:pos="2268"/>
        </w:tabs>
        <w:rPr>
          <w:b/>
        </w:rPr>
      </w:pPr>
      <w:r>
        <w:rPr>
          <w:bCs/>
        </w:rPr>
        <w:t>15.</w:t>
      </w:r>
      <w:r>
        <w:rPr>
          <w:bCs/>
        </w:rPr>
        <w:tab/>
      </w:r>
      <w:r w:rsidRPr="00237AD7">
        <w:rPr>
          <w:b/>
        </w:rPr>
        <w:t>The Committee recommends</w:t>
      </w:r>
      <w:r>
        <w:rPr>
          <w:b/>
        </w:rPr>
        <w:t xml:space="preserve"> the State party:</w:t>
      </w:r>
    </w:p>
    <w:p w14:paraId="3080396D" w14:textId="77777777" w:rsidR="00EC1436" w:rsidRPr="00CC4658" w:rsidRDefault="00EC1436" w:rsidP="00EC1436">
      <w:pPr>
        <w:pStyle w:val="SingleTxtG"/>
        <w:rPr>
          <w:b/>
        </w:rPr>
      </w:pPr>
      <w:r w:rsidRPr="00980466">
        <w:tab/>
        <w:t>(a)</w:t>
      </w:r>
      <w:r w:rsidRPr="00CC4658">
        <w:rPr>
          <w:b/>
        </w:rPr>
        <w:tab/>
        <w:t>Ensure that</w:t>
      </w:r>
      <w:r>
        <w:rPr>
          <w:b/>
        </w:rPr>
        <w:t>,</w:t>
      </w:r>
      <w:r w:rsidRPr="00CC4658">
        <w:rPr>
          <w:b/>
        </w:rPr>
        <w:t xml:space="preserve"> </w:t>
      </w:r>
      <w:r w:rsidRPr="00BA32B0">
        <w:rPr>
          <w:b/>
        </w:rPr>
        <w:t>by taking legislative and other measures</w:t>
      </w:r>
      <w:r>
        <w:rPr>
          <w:b/>
        </w:rPr>
        <w:t>,</w:t>
      </w:r>
      <w:r w:rsidRPr="00BA32B0">
        <w:rPr>
          <w:b/>
        </w:rPr>
        <w:t xml:space="preserve"> including </w:t>
      </w:r>
      <w:r>
        <w:rPr>
          <w:b/>
        </w:rPr>
        <w:t>the amendment to</w:t>
      </w:r>
      <w:r w:rsidRPr="00D55F10">
        <w:rPr>
          <w:b/>
        </w:rPr>
        <w:t xml:space="preserve"> the Law on the Legal Status of Aliens</w:t>
      </w:r>
      <w:r>
        <w:rPr>
          <w:b/>
        </w:rPr>
        <w:t>,</w:t>
      </w:r>
      <w:r w:rsidRPr="00BA32B0">
        <w:rPr>
          <w:b/>
        </w:rPr>
        <w:t xml:space="preserve"> </w:t>
      </w:r>
      <w:r>
        <w:rPr>
          <w:b/>
        </w:rPr>
        <w:t xml:space="preserve">that </w:t>
      </w:r>
      <w:r w:rsidRPr="00BA32B0">
        <w:rPr>
          <w:b/>
        </w:rPr>
        <w:t xml:space="preserve">all asylum-seekers, including those arriving in an irregular manner and in times of emergency, have access to information on asylum procedures and to legal aid, and have the right to apply for asylum and </w:t>
      </w:r>
      <w:proofErr w:type="gramStart"/>
      <w:r w:rsidRPr="00BA32B0">
        <w:rPr>
          <w:b/>
        </w:rPr>
        <w:t>be assessed</w:t>
      </w:r>
      <w:proofErr w:type="gramEnd"/>
      <w:r w:rsidRPr="00BA32B0">
        <w:rPr>
          <w:b/>
        </w:rPr>
        <w:t xml:space="preserve"> on an individual base, without discrimination;</w:t>
      </w:r>
    </w:p>
    <w:p w14:paraId="4227CD82" w14:textId="77777777" w:rsidR="00EC1436" w:rsidRPr="00CC4658" w:rsidRDefault="00EC1436" w:rsidP="00EC1436">
      <w:pPr>
        <w:pStyle w:val="SingleTxtG"/>
        <w:rPr>
          <w:b/>
        </w:rPr>
      </w:pPr>
      <w:r w:rsidRPr="00980466">
        <w:tab/>
        <w:t>(b)</w:t>
      </w:r>
      <w:r w:rsidRPr="00CC4658">
        <w:rPr>
          <w:b/>
        </w:rPr>
        <w:tab/>
      </w:r>
      <w:r>
        <w:rPr>
          <w:b/>
        </w:rPr>
        <w:t>Recall</w:t>
      </w:r>
      <w:r w:rsidRPr="00CC4658">
        <w:rPr>
          <w:b/>
        </w:rPr>
        <w:t xml:space="preserve"> that detention </w:t>
      </w:r>
      <w:proofErr w:type="gramStart"/>
      <w:r w:rsidRPr="00CC4658">
        <w:rPr>
          <w:b/>
        </w:rPr>
        <w:t>is only applied</w:t>
      </w:r>
      <w:proofErr w:type="gramEnd"/>
      <w:r w:rsidRPr="00CC4658">
        <w:rPr>
          <w:b/>
        </w:rPr>
        <w:t xml:space="preserve"> as a measure of last resort for asylum</w:t>
      </w:r>
      <w:r>
        <w:rPr>
          <w:b/>
        </w:rPr>
        <w:t>-</w:t>
      </w:r>
      <w:r w:rsidRPr="00CC4658">
        <w:rPr>
          <w:b/>
        </w:rPr>
        <w:t>seekers and undocumented migrants, following an individual assessment of its reasonableness, necessity and proportionality, and an examination of the alternatives;</w:t>
      </w:r>
    </w:p>
    <w:p w14:paraId="0C03D5F0" w14:textId="77777777" w:rsidR="00EC1436" w:rsidRPr="00CC4658" w:rsidRDefault="00EC1436" w:rsidP="00EC1436">
      <w:pPr>
        <w:pStyle w:val="SingleTxtG"/>
        <w:rPr>
          <w:b/>
        </w:rPr>
      </w:pPr>
      <w:r w:rsidRPr="00CE790B">
        <w:lastRenderedPageBreak/>
        <w:tab/>
        <w:t>(c)</w:t>
      </w:r>
      <w:r w:rsidRPr="00CE790B">
        <w:tab/>
      </w:r>
      <w:r w:rsidRPr="00CC4658">
        <w:rPr>
          <w:b/>
        </w:rPr>
        <w:t xml:space="preserve">Take measures to ensure </w:t>
      </w:r>
      <w:r>
        <w:rPr>
          <w:b/>
        </w:rPr>
        <w:t xml:space="preserve">that </w:t>
      </w:r>
      <w:r w:rsidRPr="00CC4658">
        <w:rPr>
          <w:b/>
        </w:rPr>
        <w:t xml:space="preserve">undocumented migrants and asylum-seekers in accommodation sites have access </w:t>
      </w:r>
      <w:r>
        <w:rPr>
          <w:b/>
        </w:rPr>
        <w:t xml:space="preserve">to </w:t>
      </w:r>
      <w:r w:rsidRPr="00CC4658">
        <w:rPr>
          <w:b/>
        </w:rPr>
        <w:t xml:space="preserve">adequate food, clothes, other </w:t>
      </w:r>
      <w:r>
        <w:rPr>
          <w:b/>
        </w:rPr>
        <w:t xml:space="preserve">essential </w:t>
      </w:r>
      <w:r w:rsidRPr="00CC4658">
        <w:rPr>
          <w:b/>
        </w:rPr>
        <w:t>non-food items, health</w:t>
      </w:r>
      <w:r>
        <w:rPr>
          <w:b/>
        </w:rPr>
        <w:t xml:space="preserve"> </w:t>
      </w:r>
      <w:r w:rsidRPr="00CC4658">
        <w:rPr>
          <w:b/>
        </w:rPr>
        <w:t>care</w:t>
      </w:r>
      <w:r>
        <w:rPr>
          <w:b/>
        </w:rPr>
        <w:t>,</w:t>
      </w:r>
      <w:r w:rsidRPr="00CC4658">
        <w:rPr>
          <w:b/>
        </w:rPr>
        <w:t xml:space="preserve"> including psychosocial services, </w:t>
      </w:r>
      <w:r>
        <w:rPr>
          <w:b/>
        </w:rPr>
        <w:t xml:space="preserve">and </w:t>
      </w:r>
      <w:r w:rsidRPr="00CC4658">
        <w:rPr>
          <w:b/>
        </w:rPr>
        <w:t xml:space="preserve">information on asylum procedures and legal aid in a language </w:t>
      </w:r>
      <w:r>
        <w:rPr>
          <w:b/>
        </w:rPr>
        <w:t xml:space="preserve">that </w:t>
      </w:r>
      <w:r w:rsidRPr="00CC4658">
        <w:rPr>
          <w:b/>
        </w:rPr>
        <w:t>they understand;</w:t>
      </w:r>
    </w:p>
    <w:p w14:paraId="0A330646" w14:textId="3BC036EE" w:rsidR="00EC1436" w:rsidRPr="00237AD7" w:rsidRDefault="007B7498" w:rsidP="007B7498">
      <w:pPr>
        <w:pStyle w:val="SingleTxtG"/>
        <w:rPr>
          <w:b/>
        </w:rPr>
      </w:pPr>
      <w:r w:rsidRPr="00CE790B">
        <w:tab/>
      </w:r>
      <w:r w:rsidR="00EC1436" w:rsidRPr="00CE790B">
        <w:t>(d)</w:t>
      </w:r>
      <w:r w:rsidR="00EC1436" w:rsidRPr="00CC4658">
        <w:rPr>
          <w:b/>
        </w:rPr>
        <w:tab/>
      </w:r>
      <w:r w:rsidR="00EC1436" w:rsidRPr="00357AFC">
        <w:rPr>
          <w:b/>
        </w:rPr>
        <w:t>Take into account recommendations</w:t>
      </w:r>
      <w:r w:rsidR="00EC1436" w:rsidRPr="00CC4658">
        <w:rPr>
          <w:b/>
        </w:rPr>
        <w:t xml:space="preserve"> made in 2021 by the Committee against Torture</w:t>
      </w:r>
      <w:r w:rsidR="00EC1436" w:rsidRPr="001405B6">
        <w:rPr>
          <w:rStyle w:val="FootnoteReference"/>
        </w:rPr>
        <w:footnoteReference w:id="7"/>
      </w:r>
      <w:r w:rsidR="00EC1436" w:rsidRPr="00CC4658">
        <w:rPr>
          <w:b/>
        </w:rPr>
        <w:t xml:space="preserve"> in this regard.</w:t>
      </w:r>
    </w:p>
    <w:p w14:paraId="628453BD" w14:textId="48F6D37F" w:rsidR="00EC1436" w:rsidRPr="00237AD7" w:rsidRDefault="00D8009E" w:rsidP="001405B6">
      <w:pPr>
        <w:pStyle w:val="H23G"/>
      </w:pPr>
      <w:r>
        <w:tab/>
      </w:r>
      <w:r>
        <w:tab/>
      </w:r>
      <w:r w:rsidR="00EC1436" w:rsidRPr="00237AD7">
        <w:t>Climate change</w:t>
      </w:r>
    </w:p>
    <w:p w14:paraId="098D6F3A" w14:textId="77777777" w:rsidR="00EC1436" w:rsidRPr="00237AD7" w:rsidRDefault="00EC1436" w:rsidP="00EC1436">
      <w:pPr>
        <w:pStyle w:val="SingleTxtG"/>
        <w:tabs>
          <w:tab w:val="clear" w:pos="1701"/>
          <w:tab w:val="clear" w:pos="2268"/>
        </w:tabs>
      </w:pPr>
      <w:r w:rsidRPr="00237AD7">
        <w:rPr>
          <w:bCs/>
        </w:rPr>
        <w:t>16.</w:t>
      </w:r>
      <w:r w:rsidRPr="00237AD7">
        <w:rPr>
          <w:bCs/>
        </w:rPr>
        <w:tab/>
      </w:r>
      <w:r w:rsidRPr="00237AD7">
        <w:t xml:space="preserve">While noting the adoption of the climate protection policy and the creation of a sectoral decarbonization working group, </w:t>
      </w:r>
      <w:r>
        <w:t xml:space="preserve">as </w:t>
      </w:r>
      <w:r w:rsidRPr="00237AD7">
        <w:t xml:space="preserve">well as the substantial reduction </w:t>
      </w:r>
      <w:r>
        <w:t>in</w:t>
      </w:r>
      <w:r w:rsidRPr="00237AD7">
        <w:t xml:space="preserve"> greenhouse gas emissions in most economic sectors since 2015, the Committee is concerned that the State party may not meet its nationally determined contributions under the Paris Agreement or its targets for reduction</w:t>
      </w:r>
      <w:r>
        <w:t>s</w:t>
      </w:r>
      <w:r w:rsidRPr="00237AD7">
        <w:t xml:space="preserve"> in greenhouse gas emissions, </w:t>
      </w:r>
      <w:r>
        <w:t xml:space="preserve">in </w:t>
      </w:r>
      <w:r w:rsidRPr="00237AD7">
        <w:t xml:space="preserve">particular </w:t>
      </w:r>
      <w:r>
        <w:t>because of</w:t>
      </w:r>
      <w:r w:rsidRPr="00237AD7">
        <w:t xml:space="preserve"> </w:t>
      </w:r>
      <w:r>
        <w:t xml:space="preserve">the </w:t>
      </w:r>
      <w:r w:rsidRPr="00237AD7">
        <w:t xml:space="preserve">projected gas emissions caused by transport, agriculture and </w:t>
      </w:r>
      <w:r>
        <w:t>“</w:t>
      </w:r>
      <w:r w:rsidRPr="00237AD7">
        <w:t>other emissions</w:t>
      </w:r>
      <w:r>
        <w:t>”</w:t>
      </w:r>
      <w:r w:rsidRPr="00237AD7">
        <w:t xml:space="preserve"> sectors including services and buildings</w:t>
      </w:r>
      <w:r>
        <w:t xml:space="preserve"> (</w:t>
      </w:r>
      <w:r w:rsidRPr="00237AD7">
        <w:t>art. 2 (1)).</w:t>
      </w:r>
    </w:p>
    <w:p w14:paraId="11F0B753" w14:textId="77777777" w:rsidR="00EC1436" w:rsidRPr="00237AD7" w:rsidRDefault="00EC1436" w:rsidP="00EC1436">
      <w:pPr>
        <w:pStyle w:val="SingleTxtG"/>
        <w:tabs>
          <w:tab w:val="clear" w:pos="1701"/>
          <w:tab w:val="clear" w:pos="2268"/>
        </w:tabs>
        <w:rPr>
          <w:b/>
        </w:rPr>
      </w:pPr>
      <w:r w:rsidRPr="00237AD7">
        <w:rPr>
          <w:bCs/>
        </w:rPr>
        <w:t>17.</w:t>
      </w:r>
      <w:r w:rsidRPr="00237AD7">
        <w:rPr>
          <w:bCs/>
        </w:rPr>
        <w:tab/>
      </w:r>
      <w:r w:rsidRPr="00237AD7">
        <w:rPr>
          <w:b/>
        </w:rPr>
        <w:t xml:space="preserve">The Committee recommends that the State party enhance its efforts to mitigate the adverse impacts of climate change on economic, social and cultural rights, including by taking measures to achieve its nationally determined contributions under the Paris Agreement and for the implementation of its transition to a net zero greenhouse gas emissions economy by 2050. The Committee refers the State party to its statement on climate change and the Covenant, adopted </w:t>
      </w:r>
      <w:r>
        <w:rPr>
          <w:b/>
        </w:rPr>
        <w:t>in</w:t>
      </w:r>
      <w:r w:rsidRPr="00237AD7">
        <w:rPr>
          <w:b/>
        </w:rPr>
        <w:t xml:space="preserve"> 2018.</w:t>
      </w:r>
      <w:r w:rsidRPr="001405B6">
        <w:rPr>
          <w:rStyle w:val="FootnoteReference"/>
        </w:rPr>
        <w:footnoteReference w:id="8"/>
      </w:r>
    </w:p>
    <w:p w14:paraId="5AB5A7EB" w14:textId="222A0BB6" w:rsidR="00EC1436" w:rsidRPr="00A935DA" w:rsidRDefault="00D8009E" w:rsidP="001405B6">
      <w:pPr>
        <w:pStyle w:val="H23G"/>
      </w:pPr>
      <w:r>
        <w:tab/>
      </w:r>
      <w:r>
        <w:tab/>
      </w:r>
      <w:r w:rsidR="00EC1436" w:rsidRPr="00237AD7">
        <w:t>Business and human rights</w:t>
      </w:r>
    </w:p>
    <w:p w14:paraId="05F7C821" w14:textId="77777777" w:rsidR="00EC1436" w:rsidRPr="00237AD7" w:rsidRDefault="00EC1436" w:rsidP="00EC1436">
      <w:pPr>
        <w:pStyle w:val="SingleTxtG"/>
        <w:tabs>
          <w:tab w:val="clear" w:pos="1701"/>
          <w:tab w:val="clear" w:pos="2268"/>
        </w:tabs>
      </w:pPr>
      <w:r w:rsidRPr="00237AD7">
        <w:rPr>
          <w:bCs/>
        </w:rPr>
        <w:t>18.</w:t>
      </w:r>
      <w:r w:rsidRPr="00237AD7">
        <w:rPr>
          <w:bCs/>
        </w:rPr>
        <w:tab/>
      </w:r>
      <w:r w:rsidRPr="00237AD7">
        <w:t xml:space="preserve">The Committee is concerned about the lack of information on the regulatory framework in place to ensure that business entities respect rights under the Covenant and apply human rights due diligence throughout their operations. The Committee regrets </w:t>
      </w:r>
      <w:r>
        <w:t xml:space="preserve">the </w:t>
      </w:r>
      <w:r w:rsidRPr="00237AD7">
        <w:t>insufficien</w:t>
      </w:r>
      <w:r>
        <w:t>cy of the</w:t>
      </w:r>
      <w:r w:rsidRPr="00237AD7">
        <w:t xml:space="preserve"> information </w:t>
      </w:r>
      <w:r>
        <w:t xml:space="preserve">provided </w:t>
      </w:r>
      <w:r w:rsidRPr="00237AD7">
        <w:t>as to the specific measures taken to ensure that business entities address the adverse impact of their operations on the environment.</w:t>
      </w:r>
    </w:p>
    <w:p w14:paraId="0DC540BB" w14:textId="77777777" w:rsidR="00EC1436" w:rsidRPr="00237AD7" w:rsidRDefault="00EC1436" w:rsidP="00EC1436">
      <w:pPr>
        <w:pStyle w:val="SingleTxtG"/>
        <w:tabs>
          <w:tab w:val="clear" w:pos="1701"/>
          <w:tab w:val="clear" w:pos="2268"/>
        </w:tabs>
        <w:rPr>
          <w:b/>
          <w:bCs/>
        </w:rPr>
      </w:pPr>
      <w:r w:rsidRPr="00237AD7">
        <w:rPr>
          <w:bCs/>
        </w:rPr>
        <w:t>19.</w:t>
      </w:r>
      <w:r w:rsidRPr="00237AD7">
        <w:rPr>
          <w:bCs/>
        </w:rPr>
        <w:tab/>
      </w:r>
      <w:r w:rsidRPr="00237AD7">
        <w:rPr>
          <w:b/>
          <w:bCs/>
        </w:rPr>
        <w:t>The Committee recommends that the State party:</w:t>
      </w:r>
    </w:p>
    <w:p w14:paraId="6350F5E3" w14:textId="420FF91E" w:rsidR="00EC1436" w:rsidRPr="00237AD7" w:rsidRDefault="00D8009E" w:rsidP="00D8009E">
      <w:pPr>
        <w:pStyle w:val="SingleTxtG"/>
        <w:rPr>
          <w:b/>
          <w:bCs/>
        </w:rPr>
      </w:pPr>
      <w:r w:rsidRPr="00D8009E">
        <w:tab/>
      </w:r>
      <w:r w:rsidR="00EC1436" w:rsidRPr="00D8009E">
        <w:t>(a)</w:t>
      </w:r>
      <w:r w:rsidR="00EC1436" w:rsidRPr="00237AD7">
        <w:rPr>
          <w:b/>
          <w:bCs/>
        </w:rPr>
        <w:tab/>
        <w:t>Adopt measures to ensure the accountability of business entities based in or managed from the State party’s territory for abuses of economic, social and cultural rights as a result of their activities, and to provide adequate remedies to victims;</w:t>
      </w:r>
    </w:p>
    <w:p w14:paraId="33F5E8E5" w14:textId="79D4CFFB" w:rsidR="00EC1436" w:rsidRPr="00237AD7" w:rsidRDefault="00D8009E" w:rsidP="00D8009E">
      <w:pPr>
        <w:pStyle w:val="SingleTxtG"/>
        <w:rPr>
          <w:b/>
          <w:bCs/>
        </w:rPr>
      </w:pPr>
      <w:r w:rsidRPr="00D8009E">
        <w:tab/>
      </w:r>
      <w:r w:rsidR="00EC1436" w:rsidRPr="00D8009E">
        <w:t>(b)</w:t>
      </w:r>
      <w:r w:rsidR="00EC1436" w:rsidRPr="00237AD7">
        <w:rPr>
          <w:b/>
          <w:bCs/>
        </w:rPr>
        <w:tab/>
        <w:t xml:space="preserve">Collect information on claims filed by victims of abuses of economic, social </w:t>
      </w:r>
      <w:r w:rsidR="00EC1436">
        <w:rPr>
          <w:b/>
          <w:bCs/>
        </w:rPr>
        <w:t>or</w:t>
      </w:r>
      <w:r w:rsidR="00EC1436" w:rsidRPr="00237AD7">
        <w:rPr>
          <w:b/>
          <w:bCs/>
        </w:rPr>
        <w:t xml:space="preserve"> cultural rights committed by business entities</w:t>
      </w:r>
      <w:r w:rsidR="00EC1436">
        <w:rPr>
          <w:b/>
          <w:bCs/>
        </w:rPr>
        <w:t>;</w:t>
      </w:r>
    </w:p>
    <w:p w14:paraId="7BF47473" w14:textId="743BD973" w:rsidR="00EC1436" w:rsidRPr="002E4059" w:rsidRDefault="00D8009E" w:rsidP="00D8009E">
      <w:pPr>
        <w:pStyle w:val="SingleTxtG"/>
      </w:pPr>
      <w:r w:rsidRPr="00D8009E">
        <w:tab/>
      </w:r>
      <w:r w:rsidR="00EC1436" w:rsidRPr="00D8009E">
        <w:t>(c)</w:t>
      </w:r>
      <w:r w:rsidR="00EC1436" w:rsidRPr="00D8009E">
        <w:tab/>
      </w:r>
      <w:r w:rsidR="00EC1436">
        <w:rPr>
          <w:b/>
          <w:bCs/>
        </w:rPr>
        <w:t>Take note of</w:t>
      </w:r>
      <w:r w:rsidR="00EC1436" w:rsidRPr="002E4059">
        <w:rPr>
          <w:b/>
          <w:bCs/>
        </w:rPr>
        <w:t xml:space="preserve"> general comment No. 24 (2017) on State obligations under the International Covenant on Economic, Social and Cultural Rights in the context of business activities.</w:t>
      </w:r>
    </w:p>
    <w:p w14:paraId="6C24691E" w14:textId="49C94E73" w:rsidR="00EC1436" w:rsidRPr="00A935DA" w:rsidRDefault="00D8009E" w:rsidP="001405B6">
      <w:pPr>
        <w:pStyle w:val="H23G"/>
      </w:pPr>
      <w:r>
        <w:tab/>
      </w:r>
      <w:r>
        <w:tab/>
      </w:r>
      <w:r w:rsidR="00EC1436" w:rsidRPr="00237AD7">
        <w:t>Extraterritorial obligation</w:t>
      </w:r>
      <w:r w:rsidR="00EC1436">
        <w:t>s</w:t>
      </w:r>
    </w:p>
    <w:p w14:paraId="4BE1A227" w14:textId="77777777" w:rsidR="00EC1436" w:rsidRPr="003437FA" w:rsidRDefault="00EC1436" w:rsidP="00EC1436">
      <w:pPr>
        <w:pStyle w:val="SingleTxtG"/>
        <w:tabs>
          <w:tab w:val="clear" w:pos="1701"/>
          <w:tab w:val="clear" w:pos="2268"/>
        </w:tabs>
        <w:rPr>
          <w:bCs/>
        </w:rPr>
      </w:pPr>
      <w:r w:rsidRPr="003437FA">
        <w:rPr>
          <w:bCs/>
        </w:rPr>
        <w:t>20.</w:t>
      </w:r>
      <w:r w:rsidRPr="003437FA">
        <w:rPr>
          <w:bCs/>
        </w:rPr>
        <w:tab/>
        <w:t>The Committee remains concerned by recent measures taken by the State party that ha</w:t>
      </w:r>
      <w:r>
        <w:rPr>
          <w:bCs/>
        </w:rPr>
        <w:t>ve</w:t>
      </w:r>
      <w:r w:rsidRPr="003437FA">
        <w:rPr>
          <w:bCs/>
        </w:rPr>
        <w:t xml:space="preserve"> prevented transportation of potash from Belarus destined for third countries in Africa and Latin America</w:t>
      </w:r>
      <w:r>
        <w:rPr>
          <w:bCs/>
        </w:rPr>
        <w:t>, leading to a</w:t>
      </w:r>
      <w:r w:rsidRPr="003437FA">
        <w:rPr>
          <w:bCs/>
        </w:rPr>
        <w:t xml:space="preserve"> shortage of fertilizer and </w:t>
      </w:r>
      <w:r>
        <w:rPr>
          <w:bCs/>
        </w:rPr>
        <w:t>adversely affecting</w:t>
      </w:r>
      <w:r w:rsidRPr="003437FA">
        <w:rPr>
          <w:bCs/>
        </w:rPr>
        <w:t xml:space="preserve"> food security in those countries</w:t>
      </w:r>
      <w:r>
        <w:rPr>
          <w:bCs/>
        </w:rPr>
        <w:t xml:space="preserve"> (</w:t>
      </w:r>
      <w:r w:rsidRPr="003437FA">
        <w:t>art</w:t>
      </w:r>
      <w:r>
        <w:t>.</w:t>
      </w:r>
      <w:r w:rsidRPr="003437FA">
        <w:t xml:space="preserve"> 2 (1))</w:t>
      </w:r>
      <w:r>
        <w:t>.</w:t>
      </w:r>
    </w:p>
    <w:p w14:paraId="2A168E8E" w14:textId="77777777" w:rsidR="00EC1436" w:rsidRPr="003437FA" w:rsidRDefault="00EC1436" w:rsidP="00EC1436">
      <w:pPr>
        <w:pStyle w:val="SingleTxtG"/>
        <w:tabs>
          <w:tab w:val="clear" w:pos="1701"/>
          <w:tab w:val="clear" w:pos="2268"/>
        </w:tabs>
        <w:rPr>
          <w:b/>
        </w:rPr>
      </w:pPr>
      <w:r w:rsidRPr="003437FA">
        <w:rPr>
          <w:bCs/>
        </w:rPr>
        <w:t>21.</w:t>
      </w:r>
      <w:r w:rsidRPr="003437FA">
        <w:rPr>
          <w:bCs/>
        </w:rPr>
        <w:tab/>
      </w:r>
      <w:r w:rsidRPr="003437FA">
        <w:rPr>
          <w:b/>
        </w:rPr>
        <w:t xml:space="preserve">The Committee recommends </w:t>
      </w:r>
      <w:r>
        <w:rPr>
          <w:b/>
        </w:rPr>
        <w:t xml:space="preserve">that </w:t>
      </w:r>
      <w:r w:rsidRPr="003437FA">
        <w:rPr>
          <w:b/>
        </w:rPr>
        <w:t xml:space="preserve">the State party review the recent measures that </w:t>
      </w:r>
      <w:r>
        <w:rPr>
          <w:b/>
        </w:rPr>
        <w:t>have had an adverse effect on</w:t>
      </w:r>
      <w:r w:rsidRPr="003437FA">
        <w:rPr>
          <w:b/>
        </w:rPr>
        <w:t xml:space="preserve"> the price of fertilizer and </w:t>
      </w:r>
      <w:r>
        <w:rPr>
          <w:b/>
        </w:rPr>
        <w:t xml:space="preserve">on </w:t>
      </w:r>
      <w:r w:rsidRPr="003437FA">
        <w:rPr>
          <w:b/>
        </w:rPr>
        <w:t>food security in third countries.</w:t>
      </w:r>
    </w:p>
    <w:p w14:paraId="3E67B600" w14:textId="2C2D7A10" w:rsidR="00EC1436" w:rsidRPr="00A935DA" w:rsidRDefault="00D8009E" w:rsidP="001405B6">
      <w:pPr>
        <w:pStyle w:val="H23G"/>
      </w:pPr>
      <w:r>
        <w:tab/>
      </w:r>
      <w:r>
        <w:tab/>
      </w:r>
      <w:r w:rsidR="00EC1436" w:rsidRPr="00237AD7">
        <w:t>Poverty and inequality</w:t>
      </w:r>
    </w:p>
    <w:p w14:paraId="2BBE04BA" w14:textId="77777777" w:rsidR="00EC1436" w:rsidRPr="00237AD7" w:rsidRDefault="00EC1436" w:rsidP="00EC1436">
      <w:pPr>
        <w:pStyle w:val="SingleTxtG"/>
        <w:tabs>
          <w:tab w:val="clear" w:pos="1701"/>
          <w:tab w:val="clear" w:pos="2268"/>
        </w:tabs>
        <w:rPr>
          <w:bCs/>
        </w:rPr>
      </w:pPr>
      <w:r w:rsidRPr="00237AD7">
        <w:rPr>
          <w:bCs/>
        </w:rPr>
        <w:t>22.</w:t>
      </w:r>
      <w:r w:rsidRPr="00237AD7">
        <w:rPr>
          <w:bCs/>
        </w:rPr>
        <w:tab/>
        <w:t xml:space="preserve">The Committee takes note of the measures taken to address income inequalities </w:t>
      </w:r>
      <w:r>
        <w:rPr>
          <w:bCs/>
        </w:rPr>
        <w:t>faced by</w:t>
      </w:r>
      <w:r w:rsidRPr="00237AD7">
        <w:rPr>
          <w:bCs/>
        </w:rPr>
        <w:t xml:space="preserve"> those in marginali</w:t>
      </w:r>
      <w:r>
        <w:rPr>
          <w:bCs/>
        </w:rPr>
        <w:t>z</w:t>
      </w:r>
      <w:r w:rsidRPr="00237AD7">
        <w:rPr>
          <w:bCs/>
        </w:rPr>
        <w:t xml:space="preserve">ed situations, and between rural and urban populations, including the </w:t>
      </w:r>
      <w:r w:rsidRPr="00237AD7">
        <w:rPr>
          <w:bCs/>
        </w:rPr>
        <w:lastRenderedPageBreak/>
        <w:t xml:space="preserve">increase </w:t>
      </w:r>
      <w:r>
        <w:rPr>
          <w:bCs/>
        </w:rPr>
        <w:t>in the</w:t>
      </w:r>
      <w:r w:rsidRPr="00237AD7">
        <w:rPr>
          <w:bCs/>
        </w:rPr>
        <w:t xml:space="preserve"> minimum wage </w:t>
      </w:r>
      <w:r>
        <w:rPr>
          <w:bCs/>
        </w:rPr>
        <w:t>and</w:t>
      </w:r>
      <w:r w:rsidRPr="00237AD7">
        <w:rPr>
          <w:bCs/>
        </w:rPr>
        <w:t xml:space="preserve"> </w:t>
      </w:r>
      <w:r>
        <w:rPr>
          <w:bCs/>
        </w:rPr>
        <w:t xml:space="preserve">in the </w:t>
      </w:r>
      <w:r w:rsidRPr="00237AD7">
        <w:rPr>
          <w:bCs/>
        </w:rPr>
        <w:t xml:space="preserve">social </w:t>
      </w:r>
      <w:r w:rsidRPr="00911018">
        <w:rPr>
          <w:bCs/>
        </w:rPr>
        <w:t>assistance base</w:t>
      </w:r>
      <w:r>
        <w:rPr>
          <w:bCs/>
        </w:rPr>
        <w:t xml:space="preserve"> payment</w:t>
      </w:r>
      <w:r w:rsidRPr="00237AD7">
        <w:rPr>
          <w:bCs/>
        </w:rPr>
        <w:t xml:space="preserve"> for persons with disabilities and older </w:t>
      </w:r>
      <w:r>
        <w:rPr>
          <w:bCs/>
        </w:rPr>
        <w:t>persons</w:t>
      </w:r>
      <w:r w:rsidRPr="00237AD7">
        <w:rPr>
          <w:bCs/>
        </w:rPr>
        <w:t>. It remains concerned</w:t>
      </w:r>
      <w:r>
        <w:rPr>
          <w:bCs/>
        </w:rPr>
        <w:t>, however,</w:t>
      </w:r>
      <w:r w:rsidRPr="00237AD7">
        <w:rPr>
          <w:bCs/>
        </w:rPr>
        <w:t xml:space="preserve"> </w:t>
      </w:r>
      <w:r>
        <w:rPr>
          <w:bCs/>
        </w:rPr>
        <w:t>by</w:t>
      </w:r>
      <w:r w:rsidRPr="00237AD7">
        <w:rPr>
          <w:bCs/>
        </w:rPr>
        <w:t xml:space="preserve"> the lack of information regarding the sustainable impact of the current measures in place</w:t>
      </w:r>
      <w:r>
        <w:rPr>
          <w:bCs/>
        </w:rPr>
        <w:t xml:space="preserve"> (</w:t>
      </w:r>
      <w:r w:rsidRPr="00237AD7">
        <w:rPr>
          <w:bCs/>
        </w:rPr>
        <w:t>art</w:t>
      </w:r>
      <w:r>
        <w:rPr>
          <w:bCs/>
        </w:rPr>
        <w:t>s</w:t>
      </w:r>
      <w:r w:rsidRPr="00A47ED4">
        <w:rPr>
          <w:bCs/>
        </w:rPr>
        <w:t>. 2 and 11).</w:t>
      </w:r>
    </w:p>
    <w:p w14:paraId="33C82E89" w14:textId="77777777" w:rsidR="00EC1436" w:rsidRPr="00237AD7" w:rsidRDefault="00EC1436" w:rsidP="00EC1436">
      <w:pPr>
        <w:pStyle w:val="SingleTxtG"/>
        <w:tabs>
          <w:tab w:val="clear" w:pos="1701"/>
          <w:tab w:val="clear" w:pos="2268"/>
        </w:tabs>
        <w:rPr>
          <w:bCs/>
        </w:rPr>
      </w:pPr>
      <w:r w:rsidRPr="00237AD7">
        <w:rPr>
          <w:bCs/>
        </w:rPr>
        <w:t>23.</w:t>
      </w:r>
      <w:r w:rsidRPr="00237AD7">
        <w:rPr>
          <w:bCs/>
        </w:rPr>
        <w:tab/>
      </w:r>
      <w:r w:rsidRPr="00237AD7">
        <w:rPr>
          <w:b/>
        </w:rPr>
        <w:t>The Committee recommends that the State party:</w:t>
      </w:r>
    </w:p>
    <w:p w14:paraId="21AE04E1" w14:textId="71B223FE" w:rsidR="00EC1436" w:rsidRPr="00237AD7" w:rsidRDefault="00CE790B" w:rsidP="00CE790B">
      <w:pPr>
        <w:pStyle w:val="SingleTxtG"/>
        <w:rPr>
          <w:b/>
          <w:bCs/>
        </w:rPr>
      </w:pPr>
      <w:r w:rsidRPr="00CE790B">
        <w:tab/>
      </w:r>
      <w:r w:rsidR="00EC1436" w:rsidRPr="00CE790B">
        <w:t>(a)</w:t>
      </w:r>
      <w:r w:rsidR="00EC1436" w:rsidRPr="00237AD7">
        <w:rPr>
          <w:b/>
          <w:bCs/>
        </w:rPr>
        <w:tab/>
        <w:t xml:space="preserve">Take immediate measures to alleviate the negative social and economic impact of the </w:t>
      </w:r>
      <w:r w:rsidR="00EC1436">
        <w:rPr>
          <w:b/>
          <w:bCs/>
        </w:rPr>
        <w:t>coronavirus disease (</w:t>
      </w:r>
      <w:r w:rsidR="00EC1436" w:rsidRPr="00237AD7">
        <w:rPr>
          <w:b/>
          <w:bCs/>
        </w:rPr>
        <w:t>COVID-19</w:t>
      </w:r>
      <w:r w:rsidR="00EC1436">
        <w:rPr>
          <w:b/>
          <w:bCs/>
        </w:rPr>
        <w:t>)</w:t>
      </w:r>
      <w:r w:rsidR="00EC1436" w:rsidRPr="00237AD7">
        <w:rPr>
          <w:b/>
          <w:bCs/>
        </w:rPr>
        <w:t xml:space="preserve"> pandemic on livelihoods and protect people from poverty as a result of loss of income </w:t>
      </w:r>
      <w:r w:rsidR="00EC1436">
        <w:rPr>
          <w:b/>
          <w:bCs/>
        </w:rPr>
        <w:t>caused by</w:t>
      </w:r>
      <w:r w:rsidR="00EC1436" w:rsidRPr="00237AD7">
        <w:rPr>
          <w:b/>
          <w:bCs/>
        </w:rPr>
        <w:t xml:space="preserve"> the COVID-19 pandemic;</w:t>
      </w:r>
    </w:p>
    <w:p w14:paraId="2BFDEDAD" w14:textId="5A1BCBF8" w:rsidR="00EC1436" w:rsidRPr="00237AD7" w:rsidRDefault="00CE790B" w:rsidP="00CE790B">
      <w:pPr>
        <w:pStyle w:val="SingleTxtG"/>
        <w:rPr>
          <w:b/>
          <w:bCs/>
        </w:rPr>
      </w:pPr>
      <w:r w:rsidRPr="00CE790B">
        <w:tab/>
      </w:r>
      <w:r w:rsidR="00EC1436" w:rsidRPr="00CE790B">
        <w:t>(b)</w:t>
      </w:r>
      <w:r w:rsidR="00EC1436" w:rsidRPr="00237AD7">
        <w:rPr>
          <w:b/>
          <w:bCs/>
        </w:rPr>
        <w:tab/>
        <w:t xml:space="preserve">Take effective measures to guarantee targeted support </w:t>
      </w:r>
      <w:r w:rsidR="00EC1436">
        <w:rPr>
          <w:b/>
          <w:bCs/>
        </w:rPr>
        <w:t>for</w:t>
      </w:r>
      <w:r w:rsidR="00EC1436" w:rsidRPr="00237AD7">
        <w:rPr>
          <w:b/>
          <w:bCs/>
        </w:rPr>
        <w:t xml:space="preserve"> groups who </w:t>
      </w:r>
      <w:proofErr w:type="gramStart"/>
      <w:r w:rsidR="00EC1436" w:rsidRPr="00237AD7">
        <w:rPr>
          <w:b/>
          <w:bCs/>
        </w:rPr>
        <w:t>are disproportionately affected</w:t>
      </w:r>
      <w:proofErr w:type="gramEnd"/>
      <w:r w:rsidR="00EC1436" w:rsidRPr="00237AD7">
        <w:rPr>
          <w:b/>
          <w:bCs/>
        </w:rPr>
        <w:t xml:space="preserve"> by poverty, in particular children, single-parent families, older persons, persons with disabilities, migrants and Roma;</w:t>
      </w:r>
    </w:p>
    <w:p w14:paraId="4793D9B1" w14:textId="776CDD4E" w:rsidR="00EC1436" w:rsidRPr="003437FA" w:rsidRDefault="00CE790B" w:rsidP="00CE790B">
      <w:pPr>
        <w:pStyle w:val="SingleTxtG"/>
        <w:rPr>
          <w:b/>
          <w:bCs/>
        </w:rPr>
      </w:pPr>
      <w:r w:rsidRPr="00CE790B">
        <w:tab/>
      </w:r>
      <w:r w:rsidR="00EC1436" w:rsidRPr="00CE790B">
        <w:t>(c)</w:t>
      </w:r>
      <w:r w:rsidR="00EC1436" w:rsidRPr="003437FA">
        <w:rPr>
          <w:b/>
          <w:bCs/>
        </w:rPr>
        <w:tab/>
        <w:t>Take effective measures to reduce income inequality among the population, including by reforming the tax and social security system</w:t>
      </w:r>
      <w:r w:rsidR="00EC1436">
        <w:rPr>
          <w:b/>
          <w:bCs/>
        </w:rPr>
        <w:t>s</w:t>
      </w:r>
      <w:r w:rsidR="00EC1436" w:rsidRPr="003437FA">
        <w:rPr>
          <w:b/>
          <w:bCs/>
        </w:rPr>
        <w:t>;</w:t>
      </w:r>
    </w:p>
    <w:p w14:paraId="0E133EF5" w14:textId="2672EEFA" w:rsidR="00EC1436" w:rsidRPr="00C6552A" w:rsidRDefault="00CE790B" w:rsidP="00CE790B">
      <w:pPr>
        <w:pStyle w:val="SingleTxtG"/>
        <w:rPr>
          <w:b/>
        </w:rPr>
      </w:pPr>
      <w:r w:rsidRPr="00CE790B">
        <w:tab/>
      </w:r>
      <w:r w:rsidR="00EC1436" w:rsidRPr="00CE790B">
        <w:t>(d)</w:t>
      </w:r>
      <w:r w:rsidR="00EC1436" w:rsidRPr="00C6552A">
        <w:rPr>
          <w:b/>
        </w:rPr>
        <w:tab/>
      </w:r>
      <w:r w:rsidR="00EC1436">
        <w:rPr>
          <w:b/>
          <w:bCs/>
        </w:rPr>
        <w:t>Take into consideration</w:t>
      </w:r>
      <w:r w:rsidR="00EC1436" w:rsidRPr="00C6552A">
        <w:rPr>
          <w:b/>
          <w:bCs/>
        </w:rPr>
        <w:t xml:space="preserve"> the Committee’s statement on poverty and the Covenant,</w:t>
      </w:r>
      <w:r w:rsidR="00EC1436" w:rsidRPr="001405B6">
        <w:rPr>
          <w:rStyle w:val="FootnoteReference"/>
        </w:rPr>
        <w:footnoteReference w:id="9"/>
      </w:r>
      <w:r w:rsidR="00EC1436" w:rsidRPr="00C6552A">
        <w:rPr>
          <w:b/>
          <w:bCs/>
        </w:rPr>
        <w:t xml:space="preserve"> adopted </w:t>
      </w:r>
      <w:r w:rsidR="00EC1436">
        <w:rPr>
          <w:b/>
          <w:bCs/>
        </w:rPr>
        <w:t>in</w:t>
      </w:r>
      <w:r w:rsidR="00EC1436" w:rsidRPr="00C6552A">
        <w:rPr>
          <w:b/>
          <w:bCs/>
        </w:rPr>
        <w:t xml:space="preserve"> 2001.</w:t>
      </w:r>
    </w:p>
    <w:p w14:paraId="136306D0" w14:textId="3ADE36C2" w:rsidR="00EC1436" w:rsidRPr="00237AD7" w:rsidRDefault="00A20CDA" w:rsidP="001405B6">
      <w:pPr>
        <w:pStyle w:val="H23G"/>
      </w:pPr>
      <w:r>
        <w:tab/>
      </w:r>
      <w:r>
        <w:tab/>
      </w:r>
      <w:r w:rsidR="00EC1436" w:rsidRPr="00237AD7">
        <w:t>Access to COVID-19 vaccines and drugs</w:t>
      </w:r>
    </w:p>
    <w:p w14:paraId="590909D1" w14:textId="77777777" w:rsidR="00EC1436" w:rsidRPr="00237AD7" w:rsidRDefault="00EC1436" w:rsidP="00EC1436">
      <w:pPr>
        <w:pStyle w:val="SingleTxtG"/>
        <w:tabs>
          <w:tab w:val="clear" w:pos="1701"/>
          <w:tab w:val="clear" w:pos="2268"/>
        </w:tabs>
      </w:pPr>
      <w:r w:rsidRPr="00237AD7">
        <w:rPr>
          <w:bCs/>
        </w:rPr>
        <w:t>24.</w:t>
      </w:r>
      <w:r w:rsidRPr="00237AD7">
        <w:rPr>
          <w:bCs/>
        </w:rPr>
        <w:tab/>
      </w:r>
      <w:r w:rsidRPr="00237AD7">
        <w:t>The</w:t>
      </w:r>
      <w:r>
        <w:t xml:space="preserve"> </w:t>
      </w:r>
      <w:r w:rsidRPr="00237AD7">
        <w:t xml:space="preserve">Committee welcomes the efforts of the State party to provide vaccines on </w:t>
      </w:r>
      <w:r>
        <w:t xml:space="preserve">a </w:t>
      </w:r>
      <w:r w:rsidRPr="00237AD7">
        <w:t xml:space="preserve">bilateral basis and through multilateral mechanisms since the beginning of 2020 </w:t>
      </w:r>
      <w:r>
        <w:t>but</w:t>
      </w:r>
      <w:r w:rsidRPr="00237AD7">
        <w:t xml:space="preserve"> the Committee notes that the State party has not played an active role in advocating for universal, equitable and affordable access to COVID-19 vaccines and drugs in regional and international organizations of which it is a member</w:t>
      </w:r>
      <w:r>
        <w:t xml:space="preserve"> (</w:t>
      </w:r>
      <w:r w:rsidRPr="00237AD7">
        <w:t>arts. 2 and 12).</w:t>
      </w:r>
    </w:p>
    <w:p w14:paraId="4ACA6FDE" w14:textId="77777777" w:rsidR="00EC1436" w:rsidRPr="00237AD7" w:rsidRDefault="00EC1436" w:rsidP="00EC1436">
      <w:pPr>
        <w:pStyle w:val="SingleTxtG"/>
        <w:tabs>
          <w:tab w:val="clear" w:pos="1701"/>
          <w:tab w:val="clear" w:pos="2268"/>
        </w:tabs>
        <w:rPr>
          <w:b/>
          <w:bCs/>
        </w:rPr>
      </w:pPr>
      <w:r w:rsidRPr="00237AD7">
        <w:rPr>
          <w:bCs/>
        </w:rPr>
        <w:t>25.</w:t>
      </w:r>
      <w:r w:rsidRPr="00237AD7">
        <w:rPr>
          <w:bCs/>
        </w:rPr>
        <w:tab/>
      </w:r>
      <w:r w:rsidRPr="00237AD7">
        <w:rPr>
          <w:b/>
          <w:bCs/>
        </w:rPr>
        <w:t>The Committee recommends that the State party:</w:t>
      </w:r>
    </w:p>
    <w:p w14:paraId="5332626D" w14:textId="79E77DE0" w:rsidR="00EC1436" w:rsidRPr="00237AD7" w:rsidRDefault="00A20CDA" w:rsidP="00A20CDA">
      <w:pPr>
        <w:pStyle w:val="SingleTxtG"/>
        <w:rPr>
          <w:b/>
          <w:bCs/>
        </w:rPr>
      </w:pPr>
      <w:r w:rsidRPr="00A20CDA">
        <w:tab/>
      </w:r>
      <w:r w:rsidR="00EC1436" w:rsidRPr="00A20CDA">
        <w:t>(a)</w:t>
      </w:r>
      <w:r w:rsidR="00EC1436" w:rsidRPr="00237AD7">
        <w:rPr>
          <w:b/>
          <w:bCs/>
        </w:rPr>
        <w:tab/>
        <w:t>Strengthen its efforts to facilitate universal and equitable access to COVID-19 testing, treatment and immunization;</w:t>
      </w:r>
    </w:p>
    <w:p w14:paraId="4EF6D413" w14:textId="40D4EC91" w:rsidR="00EC1436" w:rsidRPr="00237AD7" w:rsidRDefault="00A20CDA" w:rsidP="00A20CDA">
      <w:pPr>
        <w:pStyle w:val="SingleTxtG"/>
        <w:rPr>
          <w:b/>
          <w:bCs/>
        </w:rPr>
      </w:pPr>
      <w:r w:rsidRPr="00A20CDA">
        <w:tab/>
      </w:r>
      <w:r w:rsidR="00EC1436" w:rsidRPr="00A20CDA">
        <w:t>(b)</w:t>
      </w:r>
      <w:r w:rsidR="00EC1436" w:rsidRPr="00237AD7">
        <w:rPr>
          <w:b/>
          <w:bCs/>
        </w:rPr>
        <w:tab/>
        <w:t xml:space="preserve">Make every effort to exercise its leverage in regional and international organizations of which it is a member to advocate for universal, equitable and affordable access to COVID-19 vaccines and drugs, including through the possibility of supporting the proposals made at the World Trade Organization of establishing a temporary waiver for </w:t>
      </w:r>
      <w:proofErr w:type="gramStart"/>
      <w:r w:rsidR="00EC1436" w:rsidRPr="00237AD7">
        <w:rPr>
          <w:b/>
          <w:bCs/>
        </w:rPr>
        <w:t>some</w:t>
      </w:r>
      <w:proofErr w:type="gramEnd"/>
      <w:r w:rsidR="00EC1436" w:rsidRPr="00237AD7">
        <w:rPr>
          <w:b/>
          <w:bCs/>
        </w:rPr>
        <w:t xml:space="preserve"> intellectual property rights for vaccines at least for as long as the pandemic continues;</w:t>
      </w:r>
    </w:p>
    <w:p w14:paraId="6E32CCFE" w14:textId="4384499F" w:rsidR="00EC1436" w:rsidRPr="00237AD7" w:rsidRDefault="00A20CDA" w:rsidP="00A20CDA">
      <w:pPr>
        <w:pStyle w:val="SingleTxtG"/>
      </w:pPr>
      <w:r>
        <w:tab/>
      </w:r>
      <w:r w:rsidR="00EC1436" w:rsidRPr="00237AD7">
        <w:t>(c)</w:t>
      </w:r>
      <w:r w:rsidR="00EC1436" w:rsidRPr="00237AD7">
        <w:tab/>
      </w:r>
      <w:r w:rsidR="00EC1436" w:rsidRPr="00D55F10">
        <w:rPr>
          <w:b/>
          <w:bCs/>
        </w:rPr>
        <w:t>Take note in particular</w:t>
      </w:r>
      <w:r w:rsidR="00EC1436" w:rsidRPr="00320CF9">
        <w:rPr>
          <w:b/>
          <w:bCs/>
        </w:rPr>
        <w:t xml:space="preserve"> </w:t>
      </w:r>
      <w:r w:rsidR="00EC1436" w:rsidRPr="00D55F10">
        <w:rPr>
          <w:b/>
          <w:bCs/>
        </w:rPr>
        <w:t>of</w:t>
      </w:r>
      <w:r w:rsidR="00EC1436" w:rsidRPr="00320CF9">
        <w:rPr>
          <w:b/>
          <w:bCs/>
        </w:rPr>
        <w:t xml:space="preserve"> paragraph 82</w:t>
      </w:r>
      <w:r w:rsidR="00EC1436" w:rsidRPr="00237AD7">
        <w:rPr>
          <w:b/>
          <w:bCs/>
        </w:rPr>
        <w:t xml:space="preserve"> of the Committee’s general comment No. 25 (2020) on science and economic, social and cultural rights, and to the Committee’s statements on the COVID-19 pandemic and economic, social and cultural rights, and on universal and equitable access to vaccines for COVID-19.</w:t>
      </w:r>
    </w:p>
    <w:p w14:paraId="2DEF2249" w14:textId="0E4916EE" w:rsidR="00EC1436" w:rsidRPr="00237AD7" w:rsidRDefault="00084C71" w:rsidP="001405B6">
      <w:pPr>
        <w:pStyle w:val="H23G"/>
      </w:pPr>
      <w:r>
        <w:tab/>
      </w:r>
      <w:r>
        <w:tab/>
      </w:r>
      <w:r w:rsidR="00EC1436" w:rsidRPr="00237AD7">
        <w:t>Official development assistance</w:t>
      </w:r>
    </w:p>
    <w:p w14:paraId="4A0327A8" w14:textId="77777777" w:rsidR="00EC1436" w:rsidRPr="00E55383" w:rsidRDefault="00EC1436" w:rsidP="00EC1436">
      <w:pPr>
        <w:pStyle w:val="SingleTxtG"/>
        <w:tabs>
          <w:tab w:val="clear" w:pos="1701"/>
          <w:tab w:val="clear" w:pos="2268"/>
        </w:tabs>
      </w:pPr>
      <w:r w:rsidRPr="00E55383">
        <w:rPr>
          <w:bCs/>
        </w:rPr>
        <w:t>26.</w:t>
      </w:r>
      <w:r w:rsidRPr="00E55383">
        <w:rPr>
          <w:bCs/>
        </w:rPr>
        <w:tab/>
      </w:r>
      <w:r w:rsidRPr="00E55383">
        <w:t xml:space="preserve">The Committee regrets that the State party’s level of official development assistance (0.13 per cent in 2021) falls below the internationally agreed commitment of 0.7 per cent of gross national income and the 0.33 per cent committed to </w:t>
      </w:r>
      <w:r>
        <w:t xml:space="preserve">at </w:t>
      </w:r>
      <w:r w:rsidRPr="00E55383">
        <w:t xml:space="preserve">the European Union </w:t>
      </w:r>
      <w:r>
        <w:t xml:space="preserve">level </w:t>
      </w:r>
      <w:r w:rsidRPr="00E55383">
        <w:t>(art. 2 (1)).</w:t>
      </w:r>
    </w:p>
    <w:p w14:paraId="76152967" w14:textId="77777777" w:rsidR="00EC1436" w:rsidRPr="00237AD7" w:rsidRDefault="00EC1436" w:rsidP="00EC1436">
      <w:pPr>
        <w:pStyle w:val="SingleTxtG"/>
        <w:tabs>
          <w:tab w:val="clear" w:pos="1701"/>
          <w:tab w:val="clear" w:pos="2268"/>
        </w:tabs>
      </w:pPr>
      <w:r w:rsidRPr="00237AD7">
        <w:rPr>
          <w:bCs/>
        </w:rPr>
        <w:t>27.</w:t>
      </w:r>
      <w:r w:rsidRPr="00237AD7">
        <w:rPr>
          <w:bCs/>
        </w:rPr>
        <w:tab/>
      </w:r>
      <w:r w:rsidRPr="00237AD7">
        <w:rPr>
          <w:b/>
        </w:rPr>
        <w:t xml:space="preserve">The Committee recommends that the State party </w:t>
      </w:r>
      <w:r>
        <w:rPr>
          <w:b/>
        </w:rPr>
        <w:t>increase</w:t>
      </w:r>
      <w:r w:rsidRPr="00E42CFA">
        <w:rPr>
          <w:b/>
        </w:rPr>
        <w:t xml:space="preserve"> its efforts</w:t>
      </w:r>
      <w:r w:rsidRPr="00237AD7">
        <w:rPr>
          <w:b/>
        </w:rPr>
        <w:t xml:space="preserve"> </w:t>
      </w:r>
      <w:r>
        <w:rPr>
          <w:b/>
        </w:rPr>
        <w:t xml:space="preserve">in international cooperation, including by meeting the internationally agreed target for development assistance of </w:t>
      </w:r>
      <w:r w:rsidRPr="00237AD7">
        <w:rPr>
          <w:b/>
        </w:rPr>
        <w:t>0.7 per cent of gross national income.</w:t>
      </w:r>
    </w:p>
    <w:p w14:paraId="24E2384D" w14:textId="40B2320A" w:rsidR="00EC1436" w:rsidRPr="00237AD7" w:rsidRDefault="00084C71" w:rsidP="001405B6">
      <w:pPr>
        <w:pStyle w:val="H23G"/>
      </w:pPr>
      <w:r>
        <w:tab/>
      </w:r>
      <w:r>
        <w:tab/>
      </w:r>
      <w:r w:rsidR="00EC1436" w:rsidRPr="00237AD7">
        <w:t>Corruption</w:t>
      </w:r>
    </w:p>
    <w:p w14:paraId="15969A66" w14:textId="77777777" w:rsidR="00EC1436" w:rsidRPr="00237AD7" w:rsidRDefault="00EC1436" w:rsidP="00EC1436">
      <w:pPr>
        <w:pStyle w:val="SingleTxtG"/>
        <w:tabs>
          <w:tab w:val="clear" w:pos="1701"/>
          <w:tab w:val="clear" w:pos="2268"/>
        </w:tabs>
      </w:pPr>
      <w:r w:rsidRPr="00237AD7">
        <w:rPr>
          <w:bCs/>
        </w:rPr>
        <w:t>28.</w:t>
      </w:r>
      <w:r w:rsidRPr="00237AD7">
        <w:rPr>
          <w:bCs/>
        </w:rPr>
        <w:tab/>
      </w:r>
      <w:r w:rsidRPr="00237AD7">
        <w:t xml:space="preserve">The Committee notes the measures taken by the State party to address corruption. </w:t>
      </w:r>
      <w:r>
        <w:t>I</w:t>
      </w:r>
      <w:r w:rsidRPr="00237AD7">
        <w:t>t is concerned</w:t>
      </w:r>
      <w:r>
        <w:t>, however,</w:t>
      </w:r>
      <w:r w:rsidRPr="00237AD7">
        <w:t xml:space="preserve"> about reports that corruption is still persistent in the public procurement sectors, particularly in the health sector, and by the increase </w:t>
      </w:r>
      <w:r>
        <w:t>in</w:t>
      </w:r>
      <w:r w:rsidRPr="00237AD7">
        <w:t xml:space="preserve"> the </w:t>
      </w:r>
      <w:r>
        <w:t xml:space="preserve">size of the </w:t>
      </w:r>
      <w:r w:rsidRPr="00237AD7">
        <w:t xml:space="preserve">shadow economy, which may negatively affect the realization of economic, social and </w:t>
      </w:r>
      <w:r w:rsidRPr="00237AD7">
        <w:lastRenderedPageBreak/>
        <w:t xml:space="preserve">cultural rights. The Committee regrets </w:t>
      </w:r>
      <w:r>
        <w:t xml:space="preserve">the </w:t>
      </w:r>
      <w:r w:rsidRPr="00237AD7">
        <w:t>lack of information on the sentences passed on those found to be involved in corruption</w:t>
      </w:r>
      <w:r>
        <w:t xml:space="preserve"> (</w:t>
      </w:r>
      <w:r w:rsidRPr="00237AD7">
        <w:t>art. 2 (1)).</w:t>
      </w:r>
    </w:p>
    <w:p w14:paraId="4DADE5EA" w14:textId="77777777" w:rsidR="00EC1436" w:rsidRPr="00D21AE5" w:rsidRDefault="00EC1436" w:rsidP="00EC1436">
      <w:pPr>
        <w:pStyle w:val="SingleTxtG"/>
        <w:tabs>
          <w:tab w:val="clear" w:pos="1701"/>
          <w:tab w:val="clear" w:pos="2268"/>
        </w:tabs>
      </w:pPr>
      <w:r w:rsidRPr="00D21AE5">
        <w:rPr>
          <w:bCs/>
        </w:rPr>
        <w:t>29.</w:t>
      </w:r>
      <w:r w:rsidRPr="00D21AE5">
        <w:rPr>
          <w:bCs/>
        </w:rPr>
        <w:tab/>
      </w:r>
      <w:r w:rsidRPr="00237AD7">
        <w:rPr>
          <w:b/>
        </w:rPr>
        <w:t>The Committee recommends that the State party intensify its efforts to combat corruption and related impunity and ensure the effective implementation of anti-corruption laws, including by investigating and prosecuting corruption</w:t>
      </w:r>
      <w:r w:rsidRPr="006644CB">
        <w:rPr>
          <w:b/>
        </w:rPr>
        <w:t xml:space="preserve"> </w:t>
      </w:r>
      <w:r w:rsidRPr="00237AD7">
        <w:rPr>
          <w:b/>
        </w:rPr>
        <w:t xml:space="preserve">effectively. It further recommends that the State party continue to enhance the investigative capacity and independent functioning of </w:t>
      </w:r>
      <w:r w:rsidRPr="00D21AE5">
        <w:rPr>
          <w:b/>
        </w:rPr>
        <w:t>the Special Investigati</w:t>
      </w:r>
      <w:r w:rsidRPr="00D55F10">
        <w:rPr>
          <w:b/>
        </w:rPr>
        <w:t>on</w:t>
      </w:r>
      <w:r w:rsidRPr="00D21AE5">
        <w:rPr>
          <w:b/>
        </w:rPr>
        <w:t xml:space="preserve"> Service and the public prosecutors.</w:t>
      </w:r>
    </w:p>
    <w:p w14:paraId="235A17F4" w14:textId="3A41A06A" w:rsidR="00EC1436" w:rsidRPr="00A935DA" w:rsidRDefault="00084C71" w:rsidP="001405B6">
      <w:pPr>
        <w:pStyle w:val="H23G"/>
      </w:pPr>
      <w:r>
        <w:tab/>
      </w:r>
      <w:r>
        <w:tab/>
      </w:r>
      <w:r w:rsidR="00EC1436" w:rsidRPr="00A935DA">
        <w:t>Equal rights of men and women</w:t>
      </w:r>
    </w:p>
    <w:p w14:paraId="5255AC3A" w14:textId="77777777" w:rsidR="00EC1436" w:rsidRPr="00237AD7" w:rsidRDefault="00EC1436" w:rsidP="00EC1436">
      <w:pPr>
        <w:pStyle w:val="SingleTxtG"/>
        <w:tabs>
          <w:tab w:val="clear" w:pos="1701"/>
          <w:tab w:val="clear" w:pos="2268"/>
        </w:tabs>
      </w:pPr>
      <w:r w:rsidRPr="00237AD7">
        <w:rPr>
          <w:bCs/>
        </w:rPr>
        <w:t>30.</w:t>
      </w:r>
      <w:r w:rsidRPr="00237AD7">
        <w:rPr>
          <w:bCs/>
        </w:rPr>
        <w:tab/>
      </w:r>
      <w:r w:rsidRPr="00237AD7">
        <w:t xml:space="preserve">While recognizing the </w:t>
      </w:r>
      <w:r w:rsidRPr="0064458C">
        <w:t xml:space="preserve">State party’s </w:t>
      </w:r>
      <w:r>
        <w:t>continuing</w:t>
      </w:r>
      <w:r w:rsidRPr="0064458C">
        <w:t xml:space="preserve"> efforts with</w:t>
      </w:r>
      <w:r w:rsidRPr="00237AD7">
        <w:t xml:space="preserve"> regard to addressing inequality between men and women, the Committee is concerned by the slow overall progress towards the achievement of full equality. The Committee is particularly concerned that limited representation of women in leadership positions across different social and economic institutions, increased poverty </w:t>
      </w:r>
      <w:r>
        <w:t xml:space="preserve">among women and girls </w:t>
      </w:r>
      <w:r w:rsidRPr="00237AD7">
        <w:t xml:space="preserve">and the unequal distribution of unpaid domestic and care responsibilities between women and men are significant barriers to equality. It is also concerned about the persistence of stereotypes </w:t>
      </w:r>
      <w:r>
        <w:t>regarding</w:t>
      </w:r>
      <w:r w:rsidRPr="00237AD7">
        <w:t xml:space="preserve"> women and their role in society and the family. The Committee regrets </w:t>
      </w:r>
      <w:r>
        <w:t xml:space="preserve">the </w:t>
      </w:r>
      <w:r w:rsidRPr="00237AD7">
        <w:t>lack of information on the progress made in overcoming occupational gender segregation and increasing opportunities for women in disadvantaged and marginalized situations, including for their participation in skilled, full-time and well-paid employment, as also highlighted by the Committee on the Elimination of Discrimination against Women</w:t>
      </w:r>
      <w:r w:rsidRPr="001405B6">
        <w:rPr>
          <w:rStyle w:val="FootnoteReference"/>
        </w:rPr>
        <w:footnoteReference w:id="10"/>
      </w:r>
      <w:r w:rsidRPr="00237AD7">
        <w:t xml:space="preserve"> (art. 3)</w:t>
      </w:r>
      <w:r>
        <w:t>.</w:t>
      </w:r>
    </w:p>
    <w:p w14:paraId="3BBD1CF0" w14:textId="77777777" w:rsidR="00EC1436" w:rsidRPr="00237AD7" w:rsidRDefault="00EC1436" w:rsidP="00EC1436">
      <w:pPr>
        <w:pStyle w:val="SingleTxtG"/>
        <w:tabs>
          <w:tab w:val="clear" w:pos="1701"/>
          <w:tab w:val="clear" w:pos="2268"/>
        </w:tabs>
        <w:rPr>
          <w:b/>
          <w:bCs/>
        </w:rPr>
      </w:pPr>
      <w:r w:rsidRPr="00237AD7">
        <w:rPr>
          <w:bCs/>
        </w:rPr>
        <w:t>31.</w:t>
      </w:r>
      <w:r w:rsidRPr="00237AD7">
        <w:rPr>
          <w:bCs/>
        </w:rPr>
        <w:tab/>
      </w:r>
      <w:r w:rsidRPr="00237AD7">
        <w:rPr>
          <w:b/>
          <w:bCs/>
        </w:rPr>
        <w:t>The Committee recommends that the State party:</w:t>
      </w:r>
    </w:p>
    <w:p w14:paraId="610C044B" w14:textId="02B3C93F" w:rsidR="00EC1436" w:rsidRPr="00237AD7" w:rsidRDefault="00084C71" w:rsidP="00084C71">
      <w:pPr>
        <w:pStyle w:val="SingleTxtG"/>
        <w:rPr>
          <w:b/>
          <w:bCs/>
        </w:rPr>
      </w:pPr>
      <w:r w:rsidRPr="00084C71">
        <w:tab/>
      </w:r>
      <w:r w:rsidR="00EC1436" w:rsidRPr="00084C71">
        <w:t>(a)</w:t>
      </w:r>
      <w:r w:rsidR="00EC1436" w:rsidRPr="00237AD7">
        <w:rPr>
          <w:b/>
          <w:bCs/>
        </w:rPr>
        <w:tab/>
        <w:t xml:space="preserve">Review and amend all existing laws, regulations, norms and practices that are discriminatory against women and develop policies and programmes, including temporary </w:t>
      </w:r>
      <w:proofErr w:type="gramStart"/>
      <w:r w:rsidR="00EC1436" w:rsidRPr="00237AD7">
        <w:rPr>
          <w:b/>
          <w:bCs/>
        </w:rPr>
        <w:t>special measures</w:t>
      </w:r>
      <w:proofErr w:type="gramEnd"/>
      <w:r w:rsidR="00EC1436" w:rsidRPr="00237AD7">
        <w:rPr>
          <w:b/>
          <w:bCs/>
        </w:rPr>
        <w:t>, to achieve substantive gender equality in all areas of economic, social and cultural rights;</w:t>
      </w:r>
    </w:p>
    <w:p w14:paraId="250D9AAC" w14:textId="463C14FB" w:rsidR="00EC1436" w:rsidRPr="00237AD7" w:rsidRDefault="00084C71" w:rsidP="00084C71">
      <w:pPr>
        <w:pStyle w:val="SingleTxtG"/>
        <w:rPr>
          <w:b/>
          <w:bCs/>
        </w:rPr>
      </w:pPr>
      <w:r w:rsidRPr="00084C71">
        <w:tab/>
      </w:r>
      <w:r w:rsidR="00EC1436" w:rsidRPr="00084C71">
        <w:t>(b)</w:t>
      </w:r>
      <w:r w:rsidR="00EC1436" w:rsidRPr="00084C71">
        <w:tab/>
      </w:r>
      <w:r w:rsidR="00EC1436" w:rsidRPr="00237AD7">
        <w:rPr>
          <w:b/>
          <w:bCs/>
        </w:rPr>
        <w:t xml:space="preserve">Take comprehensive measures to eliminate strong gender-role stereotypes, including through media campaigns and consultation </w:t>
      </w:r>
      <w:r w:rsidR="00EC1436" w:rsidRPr="00BA5B94">
        <w:rPr>
          <w:b/>
          <w:bCs/>
        </w:rPr>
        <w:t>with opinion leaders,</w:t>
      </w:r>
      <w:r w:rsidR="00EC1436" w:rsidRPr="00237AD7">
        <w:rPr>
          <w:b/>
          <w:bCs/>
        </w:rPr>
        <w:t xml:space="preserve"> and through awareness-raising among the general public on the equal sharing of rights and responsibilities between men and women in </w:t>
      </w:r>
      <w:r w:rsidR="00EC1436">
        <w:rPr>
          <w:b/>
          <w:bCs/>
        </w:rPr>
        <w:t xml:space="preserve">the </w:t>
      </w:r>
      <w:r w:rsidR="00EC1436" w:rsidRPr="00237AD7">
        <w:rPr>
          <w:b/>
          <w:bCs/>
        </w:rPr>
        <w:t xml:space="preserve">family and </w:t>
      </w:r>
      <w:r w:rsidR="00EC1436">
        <w:rPr>
          <w:b/>
          <w:bCs/>
        </w:rPr>
        <w:t xml:space="preserve">in </w:t>
      </w:r>
      <w:r w:rsidR="00EC1436" w:rsidRPr="00237AD7">
        <w:rPr>
          <w:b/>
          <w:bCs/>
        </w:rPr>
        <w:t>society</w:t>
      </w:r>
      <w:r w:rsidR="00EC1436">
        <w:rPr>
          <w:b/>
          <w:bCs/>
        </w:rPr>
        <w:t>.</w:t>
      </w:r>
    </w:p>
    <w:p w14:paraId="15F381C4" w14:textId="682D44A2" w:rsidR="00EC1436" w:rsidRPr="00237AD7" w:rsidRDefault="00084C71" w:rsidP="001405B6">
      <w:pPr>
        <w:pStyle w:val="H23G"/>
      </w:pPr>
      <w:r>
        <w:tab/>
      </w:r>
      <w:r>
        <w:tab/>
      </w:r>
      <w:r w:rsidR="00EC1436" w:rsidRPr="00A935DA">
        <w:t xml:space="preserve">Gender </w:t>
      </w:r>
      <w:proofErr w:type="gramStart"/>
      <w:r w:rsidR="00EC1436" w:rsidRPr="00A935DA">
        <w:t>pay</w:t>
      </w:r>
      <w:proofErr w:type="gramEnd"/>
      <w:r w:rsidR="00EC1436" w:rsidRPr="00A935DA">
        <w:t xml:space="preserve"> gap</w:t>
      </w:r>
    </w:p>
    <w:p w14:paraId="39C60868" w14:textId="77777777" w:rsidR="00EC1436" w:rsidRPr="00237AD7" w:rsidRDefault="00EC1436" w:rsidP="00EC1436">
      <w:pPr>
        <w:pStyle w:val="SingleTxtG"/>
        <w:tabs>
          <w:tab w:val="clear" w:pos="1701"/>
          <w:tab w:val="clear" w:pos="2268"/>
        </w:tabs>
      </w:pPr>
      <w:r w:rsidRPr="00237AD7">
        <w:rPr>
          <w:bCs/>
        </w:rPr>
        <w:t>32.</w:t>
      </w:r>
      <w:r w:rsidRPr="00237AD7">
        <w:rPr>
          <w:bCs/>
        </w:rPr>
        <w:tab/>
      </w:r>
      <w:r w:rsidRPr="00237AD7">
        <w:t xml:space="preserve">While noting the State party’s efforts, which </w:t>
      </w:r>
      <w:r w:rsidRPr="002551CD">
        <w:t>include the National Programme of Equal Opportunities for Women and Men for 2015–2021 and</w:t>
      </w:r>
      <w:r w:rsidRPr="00237AD7">
        <w:t xml:space="preserve"> the ongoing reforms in the </w:t>
      </w:r>
      <w:r>
        <w:t>D</w:t>
      </w:r>
      <w:r w:rsidRPr="00D64EC9">
        <w:t xml:space="preserve">epartment of </w:t>
      </w:r>
      <w:r>
        <w:t>S</w:t>
      </w:r>
      <w:r w:rsidRPr="00D64EC9">
        <w:t>tatistics</w:t>
      </w:r>
      <w:r w:rsidRPr="00237AD7">
        <w:t>, the Committee regrets that the gender pay gap remains significant</w:t>
      </w:r>
      <w:r>
        <w:t>,</w:t>
      </w:r>
      <w:r w:rsidRPr="00237AD7">
        <w:t xml:space="preserve"> reaching 12 </w:t>
      </w:r>
      <w:r w:rsidRPr="00A70546">
        <w:t>per cent</w:t>
      </w:r>
      <w:r w:rsidRPr="00237AD7">
        <w:t xml:space="preserve"> in 2021</w:t>
      </w:r>
      <w:r>
        <w:t xml:space="preserve"> and</w:t>
      </w:r>
      <w:r w:rsidRPr="00061FDB">
        <w:t xml:space="preserve"> is </w:t>
      </w:r>
      <w:proofErr w:type="gramStart"/>
      <w:r w:rsidRPr="00061FDB">
        <w:t>reportedly highest</w:t>
      </w:r>
      <w:proofErr w:type="gramEnd"/>
      <w:r w:rsidRPr="00061FDB">
        <w:t xml:space="preserve"> in certain sectors</w:t>
      </w:r>
      <w:r>
        <w:t>,</w:t>
      </w:r>
      <w:r w:rsidRPr="00061FDB">
        <w:t xml:space="preserve"> such as insurance, finance, health</w:t>
      </w:r>
      <w:r>
        <w:t xml:space="preserve"> </w:t>
      </w:r>
      <w:r w:rsidRPr="00061FDB">
        <w:t>care and social work</w:t>
      </w:r>
      <w:r w:rsidRPr="00237AD7">
        <w:t xml:space="preserve">. The Committee regrets that the State party has not undertaken a comprehensive impact assessment of </w:t>
      </w:r>
      <w:r>
        <w:t>the</w:t>
      </w:r>
      <w:r w:rsidRPr="00237AD7">
        <w:t xml:space="preserve"> measures taken to decrease the gender pay gap</w:t>
      </w:r>
      <w:r>
        <w:t xml:space="preserve"> (</w:t>
      </w:r>
      <w:r w:rsidRPr="00237AD7">
        <w:t>art. 3).</w:t>
      </w:r>
    </w:p>
    <w:p w14:paraId="7D3D4D34" w14:textId="77777777" w:rsidR="00EC1436" w:rsidRPr="00237AD7" w:rsidRDefault="00EC1436" w:rsidP="00EC1436">
      <w:pPr>
        <w:pStyle w:val="SingleTxtG"/>
        <w:tabs>
          <w:tab w:val="clear" w:pos="1701"/>
          <w:tab w:val="clear" w:pos="2268"/>
        </w:tabs>
        <w:rPr>
          <w:b/>
          <w:bCs/>
        </w:rPr>
      </w:pPr>
      <w:r w:rsidRPr="00237AD7">
        <w:rPr>
          <w:bCs/>
        </w:rPr>
        <w:t>33.</w:t>
      </w:r>
      <w:r w:rsidRPr="00237AD7">
        <w:rPr>
          <w:bCs/>
        </w:rPr>
        <w:tab/>
      </w:r>
      <w:r w:rsidRPr="00237AD7">
        <w:rPr>
          <w:b/>
          <w:bCs/>
        </w:rPr>
        <w:t>Reiterating the recommendations made in its previous concluding observations</w:t>
      </w:r>
      <w:r>
        <w:rPr>
          <w:b/>
          <w:bCs/>
        </w:rPr>
        <w:t>,</w:t>
      </w:r>
      <w:r w:rsidRPr="001405B6">
        <w:rPr>
          <w:rStyle w:val="FootnoteReference"/>
        </w:rPr>
        <w:footnoteReference w:id="11"/>
      </w:r>
      <w:r w:rsidRPr="00237AD7">
        <w:rPr>
          <w:b/>
          <w:bCs/>
        </w:rPr>
        <w:t xml:space="preserve"> the Committee recommends that the State party;</w:t>
      </w:r>
    </w:p>
    <w:p w14:paraId="33C7B269" w14:textId="5320A619" w:rsidR="00EC1436" w:rsidRPr="00237AD7" w:rsidRDefault="00802F75" w:rsidP="00802F75">
      <w:pPr>
        <w:pStyle w:val="SingleTxtG"/>
      </w:pPr>
      <w:r w:rsidRPr="00802F75">
        <w:tab/>
      </w:r>
      <w:r w:rsidR="00EC1436" w:rsidRPr="00802F75">
        <w:t>(a)</w:t>
      </w:r>
      <w:r w:rsidR="00EC1436" w:rsidRPr="00237AD7">
        <w:rPr>
          <w:b/>
          <w:bCs/>
        </w:rPr>
        <w:tab/>
        <w:t>Redouble its efforts to close the gender pay gap, by addressing the vertical and horizontal gender-based segregation in the labour market, reviewing its social and tax policies and addressing the factors that discourage women from continuing their careers or taking up full-time employment;</w:t>
      </w:r>
    </w:p>
    <w:p w14:paraId="0F143CFD" w14:textId="2690F037" w:rsidR="00EC1436" w:rsidRPr="00237AD7" w:rsidRDefault="00802F75" w:rsidP="00802F75">
      <w:pPr>
        <w:pStyle w:val="SingleTxtG"/>
        <w:rPr>
          <w:b/>
          <w:bCs/>
        </w:rPr>
      </w:pPr>
      <w:r w:rsidRPr="00802F75">
        <w:tab/>
      </w:r>
      <w:r w:rsidR="00EC1436" w:rsidRPr="00802F75">
        <w:t>(b)</w:t>
      </w:r>
      <w:r w:rsidR="00EC1436" w:rsidRPr="00237AD7">
        <w:rPr>
          <w:b/>
          <w:bCs/>
        </w:rPr>
        <w:tab/>
        <w:t xml:space="preserve">Take further measures to promote women’s access to high-level positions in the public and private sectors, including by adopting and implementing temporary </w:t>
      </w:r>
      <w:proofErr w:type="gramStart"/>
      <w:r w:rsidR="00EC1436" w:rsidRPr="00237AD7">
        <w:rPr>
          <w:b/>
          <w:bCs/>
        </w:rPr>
        <w:t>special measures</w:t>
      </w:r>
      <w:proofErr w:type="gramEnd"/>
      <w:r w:rsidR="00EC1436" w:rsidRPr="00237AD7">
        <w:rPr>
          <w:b/>
          <w:bCs/>
        </w:rPr>
        <w:t>, and address obstacles to their career advancement, including by providing sufficient opportunities to reconcile work and family obligations;</w:t>
      </w:r>
    </w:p>
    <w:p w14:paraId="16747D65" w14:textId="6D0775E3" w:rsidR="00EC1436" w:rsidRPr="00237AD7" w:rsidRDefault="00E412F1" w:rsidP="00E412F1">
      <w:pPr>
        <w:pStyle w:val="SingleTxtG"/>
        <w:rPr>
          <w:b/>
          <w:bCs/>
        </w:rPr>
      </w:pPr>
      <w:r w:rsidRPr="00E412F1">
        <w:lastRenderedPageBreak/>
        <w:tab/>
      </w:r>
      <w:r w:rsidR="00EC1436" w:rsidRPr="00E412F1">
        <w:t>(c)</w:t>
      </w:r>
      <w:r w:rsidR="00EC1436" w:rsidRPr="00E412F1">
        <w:tab/>
      </w:r>
      <w:r w:rsidR="00EC1436" w:rsidRPr="00237AD7">
        <w:rPr>
          <w:b/>
          <w:bCs/>
        </w:rPr>
        <w:t>Periodically review the level of the gender pay gap between men and women within organizations in the public and private sectors, including in high-level administrative and political posts, and the impact of laws and policies, in consultation with workers and employers, with a view to updating standards in the light of practice.</w:t>
      </w:r>
    </w:p>
    <w:p w14:paraId="0DFB4A1C" w14:textId="58ADB54E" w:rsidR="00EC1436" w:rsidRPr="00237AD7" w:rsidRDefault="00E412F1" w:rsidP="001405B6">
      <w:pPr>
        <w:pStyle w:val="H23G"/>
      </w:pPr>
      <w:r>
        <w:tab/>
      </w:r>
      <w:r>
        <w:tab/>
      </w:r>
      <w:r w:rsidR="00EC1436" w:rsidRPr="00237AD7">
        <w:t>Right to work</w:t>
      </w:r>
    </w:p>
    <w:p w14:paraId="7C56D368" w14:textId="77777777" w:rsidR="00EC1436" w:rsidRPr="00237AD7" w:rsidRDefault="00EC1436" w:rsidP="00EC1436">
      <w:pPr>
        <w:pStyle w:val="SingleTxtG"/>
        <w:tabs>
          <w:tab w:val="clear" w:pos="1701"/>
          <w:tab w:val="clear" w:pos="2268"/>
        </w:tabs>
      </w:pPr>
      <w:r w:rsidRPr="00237AD7">
        <w:rPr>
          <w:bCs/>
        </w:rPr>
        <w:t>34.</w:t>
      </w:r>
      <w:r w:rsidRPr="00237AD7">
        <w:rPr>
          <w:bCs/>
        </w:rPr>
        <w:tab/>
      </w:r>
      <w:r w:rsidRPr="00237AD7">
        <w:t xml:space="preserve">While welcoming the steady decrease in unemployment rates recorded in recent years, as well as the adoption of a </w:t>
      </w:r>
      <w:r w:rsidRPr="00BF195C">
        <w:t xml:space="preserve">new </w:t>
      </w:r>
      <w:r w:rsidRPr="00D55F10">
        <w:t>L</w:t>
      </w:r>
      <w:r w:rsidRPr="00BF195C">
        <w:t xml:space="preserve">abour </w:t>
      </w:r>
      <w:r w:rsidRPr="00D55F10">
        <w:t>C</w:t>
      </w:r>
      <w:r w:rsidRPr="00BF195C">
        <w:t>ode</w:t>
      </w:r>
      <w:r w:rsidRPr="00237AD7">
        <w:t xml:space="preserve">, the Committee is concerned </w:t>
      </w:r>
      <w:r>
        <w:t>by</w:t>
      </w:r>
      <w:r w:rsidRPr="00237AD7">
        <w:t xml:space="preserve"> the reports that some groups</w:t>
      </w:r>
      <w:r>
        <w:t>,</w:t>
      </w:r>
      <w:r w:rsidRPr="00237AD7">
        <w:t xml:space="preserve"> </w:t>
      </w:r>
      <w:r>
        <w:t xml:space="preserve">in </w:t>
      </w:r>
      <w:r w:rsidRPr="00237AD7">
        <w:t xml:space="preserve">particular Roma, persons with disabilities, women with children, young people, </w:t>
      </w:r>
      <w:r w:rsidRPr="00BF195C">
        <w:t>persons 50 years old and</w:t>
      </w:r>
      <w:r w:rsidRPr="00237AD7">
        <w:t xml:space="preserve"> above and migrants</w:t>
      </w:r>
      <w:r>
        <w:t>,</w:t>
      </w:r>
      <w:r w:rsidRPr="00237AD7">
        <w:t xml:space="preserve"> continue to face difficulties in accessing work and have been disproportionally affected by the COVID-19 pandemic. The Committee regrets the lack of statistics on the impact of the measures taken to overcome the main challenges encountered (art. 6).</w:t>
      </w:r>
    </w:p>
    <w:p w14:paraId="29F948AD" w14:textId="77777777" w:rsidR="00EC1436" w:rsidRPr="00237AD7" w:rsidRDefault="00EC1436" w:rsidP="00EC1436">
      <w:pPr>
        <w:pStyle w:val="SingleTxtG"/>
        <w:tabs>
          <w:tab w:val="clear" w:pos="1701"/>
          <w:tab w:val="clear" w:pos="2268"/>
        </w:tabs>
        <w:rPr>
          <w:b/>
          <w:bCs/>
        </w:rPr>
      </w:pPr>
      <w:r w:rsidRPr="00237AD7">
        <w:rPr>
          <w:bCs/>
        </w:rPr>
        <w:t>35.</w:t>
      </w:r>
      <w:r w:rsidRPr="00237AD7">
        <w:rPr>
          <w:bCs/>
        </w:rPr>
        <w:tab/>
      </w:r>
      <w:r w:rsidRPr="00237AD7">
        <w:rPr>
          <w:b/>
          <w:bCs/>
        </w:rPr>
        <w:t>Reiterating the recommendations already made in its previous concluding observations</w:t>
      </w:r>
      <w:r>
        <w:rPr>
          <w:b/>
          <w:bCs/>
        </w:rPr>
        <w:t>,</w:t>
      </w:r>
      <w:r w:rsidRPr="001405B6">
        <w:rPr>
          <w:rStyle w:val="FootnoteReference"/>
        </w:rPr>
        <w:footnoteReference w:id="12"/>
      </w:r>
      <w:r w:rsidRPr="00237AD7">
        <w:rPr>
          <w:b/>
          <w:bCs/>
        </w:rPr>
        <w:t xml:space="preserve"> the Committee recommends that the State party:</w:t>
      </w:r>
    </w:p>
    <w:p w14:paraId="5B65CD1E" w14:textId="1B114DA6" w:rsidR="00EC1436" w:rsidRPr="00237AD7" w:rsidRDefault="00E412F1" w:rsidP="00E412F1">
      <w:pPr>
        <w:pStyle w:val="SingleTxtG"/>
        <w:rPr>
          <w:b/>
          <w:bCs/>
        </w:rPr>
      </w:pPr>
      <w:r w:rsidRPr="00E412F1">
        <w:tab/>
      </w:r>
      <w:r w:rsidR="00EC1436" w:rsidRPr="00E412F1">
        <w:t>(a)</w:t>
      </w:r>
      <w:r w:rsidR="00EC1436" w:rsidRPr="00237AD7">
        <w:rPr>
          <w:b/>
          <w:bCs/>
        </w:rPr>
        <w:tab/>
        <w:t xml:space="preserve">Improve the </w:t>
      </w:r>
      <w:r w:rsidR="00EC1436">
        <w:rPr>
          <w:b/>
          <w:bCs/>
        </w:rPr>
        <w:t xml:space="preserve">levels of </w:t>
      </w:r>
      <w:r w:rsidR="00EC1436" w:rsidRPr="00237AD7">
        <w:rPr>
          <w:b/>
          <w:bCs/>
        </w:rPr>
        <w:t xml:space="preserve">employment of persons with disabilities, including by establishing incentives and </w:t>
      </w:r>
      <w:proofErr w:type="gramStart"/>
      <w:r w:rsidR="00EC1436" w:rsidRPr="00237AD7">
        <w:rPr>
          <w:b/>
          <w:bCs/>
        </w:rPr>
        <w:t>special measures</w:t>
      </w:r>
      <w:proofErr w:type="gramEnd"/>
      <w:r w:rsidR="00EC1436" w:rsidRPr="00237AD7">
        <w:rPr>
          <w:b/>
          <w:bCs/>
        </w:rPr>
        <w:t>, and integrate workers with disabilities in</w:t>
      </w:r>
      <w:r w:rsidR="00EC1436">
        <w:rPr>
          <w:b/>
          <w:bCs/>
        </w:rPr>
        <w:t>to</w:t>
      </w:r>
      <w:r w:rsidR="00EC1436" w:rsidRPr="00237AD7">
        <w:rPr>
          <w:b/>
          <w:bCs/>
        </w:rPr>
        <w:t xml:space="preserve"> the mainstream labour market;</w:t>
      </w:r>
    </w:p>
    <w:p w14:paraId="6B7AE18C" w14:textId="01DCAAC2" w:rsidR="00EC1436" w:rsidRPr="00237AD7" w:rsidRDefault="00E412F1" w:rsidP="00E412F1">
      <w:pPr>
        <w:pStyle w:val="SingleTxtG"/>
        <w:rPr>
          <w:b/>
          <w:bCs/>
        </w:rPr>
      </w:pPr>
      <w:r w:rsidRPr="00E412F1">
        <w:tab/>
      </w:r>
      <w:r w:rsidR="00EC1436" w:rsidRPr="00E412F1">
        <w:t>(b)</w:t>
      </w:r>
      <w:r w:rsidR="00EC1436" w:rsidRPr="00237AD7">
        <w:rPr>
          <w:b/>
          <w:bCs/>
        </w:rPr>
        <w:tab/>
      </w:r>
      <w:r w:rsidR="00EC1436" w:rsidRPr="00237AD7">
        <w:rPr>
          <w:b/>
        </w:rPr>
        <w:t xml:space="preserve">Intensify its efforts to support Roma, persons with disabilities, women with children, young </w:t>
      </w:r>
      <w:r w:rsidR="00EC1436" w:rsidRPr="00AD3E7F">
        <w:rPr>
          <w:b/>
        </w:rPr>
        <w:t xml:space="preserve">people, persons 50 </w:t>
      </w:r>
      <w:r w:rsidR="00EC1436" w:rsidRPr="00D55F10">
        <w:rPr>
          <w:b/>
        </w:rPr>
        <w:t xml:space="preserve">years of age </w:t>
      </w:r>
      <w:r w:rsidR="00EC1436" w:rsidRPr="00AD3E7F">
        <w:rPr>
          <w:b/>
        </w:rPr>
        <w:t xml:space="preserve">and </w:t>
      </w:r>
      <w:r w:rsidR="00EC1436" w:rsidRPr="00D55F10">
        <w:rPr>
          <w:b/>
        </w:rPr>
        <w:t>older</w:t>
      </w:r>
      <w:r w:rsidR="00EC1436" w:rsidRPr="00237AD7">
        <w:rPr>
          <w:b/>
        </w:rPr>
        <w:t xml:space="preserve"> and migrants, in gaining access to employment, including by implementing targeted </w:t>
      </w:r>
      <w:r w:rsidR="00EC1436" w:rsidRPr="007D7D3D">
        <w:rPr>
          <w:b/>
        </w:rPr>
        <w:t>positive measures</w:t>
      </w:r>
      <w:r w:rsidR="00EC1436" w:rsidRPr="00237AD7">
        <w:rPr>
          <w:b/>
        </w:rPr>
        <w:t>, facilitating their access to technical and vocational training opportunities and collecting data on their situation;</w:t>
      </w:r>
    </w:p>
    <w:p w14:paraId="642B960B" w14:textId="098F729A" w:rsidR="00EC1436" w:rsidRPr="00237AD7" w:rsidRDefault="00E412F1" w:rsidP="00E412F1">
      <w:pPr>
        <w:pStyle w:val="SingleTxtG"/>
        <w:rPr>
          <w:b/>
          <w:bCs/>
        </w:rPr>
      </w:pPr>
      <w:r w:rsidRPr="00E412F1">
        <w:tab/>
      </w:r>
      <w:r w:rsidR="00EC1436" w:rsidRPr="00E412F1">
        <w:t>(c)</w:t>
      </w:r>
      <w:r w:rsidR="00EC1436" w:rsidRPr="00E412F1">
        <w:tab/>
      </w:r>
      <w:r w:rsidR="00EC1436" w:rsidRPr="00237AD7">
        <w:rPr>
          <w:b/>
          <w:bCs/>
        </w:rPr>
        <w:t xml:space="preserve">Strengthen its national system of technical and vocational education and training to ensure that qualifications and skills </w:t>
      </w:r>
      <w:proofErr w:type="gramStart"/>
      <w:r w:rsidR="00EC1436" w:rsidRPr="00237AD7">
        <w:rPr>
          <w:b/>
          <w:bCs/>
        </w:rPr>
        <w:t>are aligned</w:t>
      </w:r>
      <w:proofErr w:type="gramEnd"/>
      <w:r w:rsidR="00EC1436" w:rsidRPr="00237AD7">
        <w:rPr>
          <w:b/>
          <w:bCs/>
        </w:rPr>
        <w:t xml:space="preserve"> with the needs of the labour market;</w:t>
      </w:r>
    </w:p>
    <w:p w14:paraId="77280A45" w14:textId="5F2C322C" w:rsidR="00EC1436" w:rsidRPr="00237AD7" w:rsidRDefault="00E412F1" w:rsidP="00E412F1">
      <w:pPr>
        <w:pStyle w:val="SingleTxtG"/>
        <w:rPr>
          <w:b/>
          <w:bCs/>
        </w:rPr>
      </w:pPr>
      <w:r w:rsidRPr="00E412F1">
        <w:tab/>
      </w:r>
      <w:r w:rsidR="00EC1436" w:rsidRPr="00E412F1">
        <w:t>(d)</w:t>
      </w:r>
      <w:r w:rsidR="00EC1436" w:rsidRPr="00237AD7">
        <w:rPr>
          <w:b/>
          <w:bCs/>
        </w:rPr>
        <w:tab/>
        <w:t xml:space="preserve">Continue to take positive measures to assist the groups most affected by unemployment, </w:t>
      </w:r>
      <w:r w:rsidR="00EC1436">
        <w:rPr>
          <w:b/>
          <w:bCs/>
        </w:rPr>
        <w:t xml:space="preserve">in </w:t>
      </w:r>
      <w:r w:rsidR="00EC1436" w:rsidRPr="00237AD7">
        <w:rPr>
          <w:b/>
          <w:bCs/>
        </w:rPr>
        <w:t>particular young people, women with children, and persons with disabilities;</w:t>
      </w:r>
    </w:p>
    <w:p w14:paraId="561EF6F2" w14:textId="3D8DA39B" w:rsidR="00EC1436" w:rsidRPr="00237AD7" w:rsidRDefault="00E412F1" w:rsidP="00E412F1">
      <w:pPr>
        <w:pStyle w:val="SingleTxtG"/>
        <w:rPr>
          <w:b/>
          <w:bCs/>
        </w:rPr>
      </w:pPr>
      <w:r w:rsidRPr="00E412F1">
        <w:tab/>
      </w:r>
      <w:r w:rsidR="00EC1436" w:rsidRPr="00E412F1">
        <w:t>(e)</w:t>
      </w:r>
      <w:r w:rsidR="00EC1436" w:rsidRPr="00237AD7">
        <w:rPr>
          <w:b/>
          <w:bCs/>
        </w:rPr>
        <w:tab/>
      </w:r>
      <w:r w:rsidR="00EC1436" w:rsidRPr="00DE2B60">
        <w:rPr>
          <w:b/>
        </w:rPr>
        <w:t>Take into account the Committee’s general</w:t>
      </w:r>
      <w:r w:rsidR="00EC1436" w:rsidRPr="00237AD7">
        <w:rPr>
          <w:b/>
        </w:rPr>
        <w:t xml:space="preserve"> </w:t>
      </w:r>
      <w:r w:rsidR="00EC1436">
        <w:rPr>
          <w:b/>
        </w:rPr>
        <w:t>c</w:t>
      </w:r>
      <w:r w:rsidR="00EC1436" w:rsidRPr="00237AD7">
        <w:rPr>
          <w:b/>
        </w:rPr>
        <w:t>omment No. 18 (2005) on the right to work.</w:t>
      </w:r>
    </w:p>
    <w:p w14:paraId="7CF481BE" w14:textId="564CCFFB" w:rsidR="00EC1436" w:rsidRPr="00237AD7" w:rsidRDefault="00E412F1" w:rsidP="001405B6">
      <w:pPr>
        <w:pStyle w:val="H23G"/>
      </w:pPr>
      <w:r>
        <w:tab/>
      </w:r>
      <w:r>
        <w:tab/>
      </w:r>
      <w:r w:rsidR="00EC1436" w:rsidRPr="00237AD7">
        <w:t>Working conditions</w:t>
      </w:r>
    </w:p>
    <w:p w14:paraId="4B226270" w14:textId="2EA31090" w:rsidR="00EC1436" w:rsidRPr="00237AD7" w:rsidRDefault="00EC1436" w:rsidP="00EC1436">
      <w:pPr>
        <w:pStyle w:val="SingleTxtG"/>
        <w:tabs>
          <w:tab w:val="clear" w:pos="1701"/>
          <w:tab w:val="clear" w:pos="2268"/>
        </w:tabs>
      </w:pPr>
      <w:r w:rsidRPr="00237AD7">
        <w:rPr>
          <w:bCs/>
        </w:rPr>
        <w:t>36.</w:t>
      </w:r>
      <w:r w:rsidRPr="00237AD7">
        <w:rPr>
          <w:bCs/>
        </w:rPr>
        <w:tab/>
      </w:r>
      <w:r w:rsidRPr="00237AD7">
        <w:t xml:space="preserve">The Committee notes the measures taken, including the </w:t>
      </w:r>
      <w:r w:rsidRPr="00B92166">
        <w:t xml:space="preserve">National Safety and Health at Work Action </w:t>
      </w:r>
      <w:r>
        <w:t>P</w:t>
      </w:r>
      <w:r w:rsidRPr="00B92166">
        <w:t>lan for 2017</w:t>
      </w:r>
      <w:r w:rsidRPr="00E412F1">
        <w:t>–</w:t>
      </w:r>
      <w:r w:rsidRPr="00B92166">
        <w:t>2021</w:t>
      </w:r>
      <w:r w:rsidRPr="00237AD7">
        <w:t xml:space="preserve"> </w:t>
      </w:r>
      <w:r>
        <w:t>but</w:t>
      </w:r>
      <w:r w:rsidRPr="00237AD7">
        <w:t xml:space="preserve"> regrets </w:t>
      </w:r>
      <w:r>
        <w:t>the continuing</w:t>
      </w:r>
      <w:r w:rsidRPr="00237AD7">
        <w:t xml:space="preserve"> lack of comprehensive data relating to the occupational safety and health situation</w:t>
      </w:r>
      <w:r>
        <w:t>,</w:t>
      </w:r>
      <w:r w:rsidRPr="00237AD7">
        <w:t xml:space="preserve"> including the number of labour inspections</w:t>
      </w:r>
      <w:r>
        <w:t xml:space="preserve"> </w:t>
      </w:r>
      <w:proofErr w:type="gramStart"/>
      <w:r>
        <w:t>carried out</w:t>
      </w:r>
      <w:proofErr w:type="gramEnd"/>
      <w:r w:rsidRPr="00237AD7">
        <w:t xml:space="preserve">, complaints brought by workers and sanctions imposed on employers for </w:t>
      </w:r>
      <w:r w:rsidRPr="00E9745D">
        <w:t xml:space="preserve">failing to provide </w:t>
      </w:r>
      <w:r w:rsidRPr="00D55F10">
        <w:t xml:space="preserve">the conditions necessary to ensure </w:t>
      </w:r>
      <w:r w:rsidRPr="00E9745D">
        <w:t>safe</w:t>
      </w:r>
      <w:r w:rsidRPr="00D55F10">
        <w:t>ty</w:t>
      </w:r>
      <w:r w:rsidRPr="00E9745D">
        <w:t xml:space="preserve"> and health</w:t>
      </w:r>
      <w:r w:rsidRPr="00237AD7">
        <w:t xml:space="preserve">. The Committee regrets </w:t>
      </w:r>
      <w:r>
        <w:t xml:space="preserve">the </w:t>
      </w:r>
      <w:r w:rsidRPr="00237AD7">
        <w:t>lack of information about the impact of legislative measures taken to address the prevalence of violence and harassment, including sexual harassment, in the workplace</w:t>
      </w:r>
      <w:r>
        <w:t xml:space="preserve"> (</w:t>
      </w:r>
      <w:r w:rsidRPr="00237AD7">
        <w:t>art.</w:t>
      </w:r>
      <w:r w:rsidR="00F33BE6">
        <w:t> </w:t>
      </w:r>
      <w:r w:rsidRPr="00237AD7">
        <w:t>7).</w:t>
      </w:r>
    </w:p>
    <w:p w14:paraId="01274BD1" w14:textId="77777777" w:rsidR="00EC1436" w:rsidRPr="00237AD7" w:rsidRDefault="00EC1436" w:rsidP="00EC1436">
      <w:pPr>
        <w:pStyle w:val="SingleTxtG"/>
        <w:tabs>
          <w:tab w:val="clear" w:pos="1701"/>
          <w:tab w:val="clear" w:pos="2268"/>
        </w:tabs>
        <w:rPr>
          <w:b/>
          <w:bCs/>
        </w:rPr>
      </w:pPr>
      <w:r w:rsidRPr="00237AD7">
        <w:rPr>
          <w:bCs/>
        </w:rPr>
        <w:t>37.</w:t>
      </w:r>
      <w:r w:rsidRPr="00237AD7">
        <w:rPr>
          <w:bCs/>
        </w:rPr>
        <w:tab/>
      </w:r>
      <w:r w:rsidRPr="00237AD7">
        <w:rPr>
          <w:b/>
          <w:bCs/>
        </w:rPr>
        <w:t>The Committee recommends that the State party:</w:t>
      </w:r>
    </w:p>
    <w:p w14:paraId="5B943E55" w14:textId="6B996C69" w:rsidR="00EC1436" w:rsidRPr="00237AD7" w:rsidRDefault="00950F13" w:rsidP="00950F13">
      <w:pPr>
        <w:pStyle w:val="SingleTxtG"/>
        <w:rPr>
          <w:b/>
          <w:bCs/>
        </w:rPr>
      </w:pPr>
      <w:r w:rsidRPr="00950F13">
        <w:tab/>
      </w:r>
      <w:r w:rsidR="00EC1436" w:rsidRPr="00950F13">
        <w:t>(a)</w:t>
      </w:r>
      <w:r w:rsidR="00EC1436" w:rsidRPr="00950F13">
        <w:tab/>
      </w:r>
      <w:r w:rsidR="00EC1436" w:rsidRPr="00237AD7">
        <w:rPr>
          <w:b/>
          <w:bCs/>
        </w:rPr>
        <w:t>Improve its data collection relating to occupational safety and health;</w:t>
      </w:r>
    </w:p>
    <w:p w14:paraId="61281F91" w14:textId="77E0EC6E" w:rsidR="00EC1436" w:rsidRPr="00237AD7" w:rsidRDefault="00950F13" w:rsidP="00950F13">
      <w:pPr>
        <w:pStyle w:val="SingleTxtG"/>
        <w:rPr>
          <w:b/>
          <w:bCs/>
        </w:rPr>
      </w:pPr>
      <w:r w:rsidRPr="00950F13">
        <w:tab/>
      </w:r>
      <w:r w:rsidR="00EC1436" w:rsidRPr="00950F13">
        <w:t>(b)</w:t>
      </w:r>
      <w:r w:rsidR="00EC1436" w:rsidRPr="00237AD7">
        <w:rPr>
          <w:b/>
          <w:bCs/>
        </w:rPr>
        <w:tab/>
        <w:t>Prevent and mitigate the risk of occupational accidents and diseases;</w:t>
      </w:r>
    </w:p>
    <w:p w14:paraId="5B4FD710" w14:textId="0ADB3492" w:rsidR="00EC1436" w:rsidRPr="00237AD7" w:rsidRDefault="00950F13" w:rsidP="00950F13">
      <w:pPr>
        <w:pStyle w:val="SingleTxtG"/>
        <w:rPr>
          <w:b/>
          <w:bCs/>
        </w:rPr>
      </w:pPr>
      <w:r w:rsidRPr="00950F13">
        <w:tab/>
      </w:r>
      <w:r w:rsidR="00EC1436" w:rsidRPr="00950F13">
        <w:t>(c)</w:t>
      </w:r>
      <w:r w:rsidR="00EC1436" w:rsidRPr="00237AD7">
        <w:rPr>
          <w:b/>
          <w:bCs/>
        </w:rPr>
        <w:tab/>
        <w:t xml:space="preserve">Strengthen the capacity of the </w:t>
      </w:r>
      <w:r w:rsidR="00EC1436" w:rsidRPr="006238D2">
        <w:rPr>
          <w:b/>
          <w:bCs/>
        </w:rPr>
        <w:t>Labour Inspectorate</w:t>
      </w:r>
      <w:r w:rsidR="00EC1436" w:rsidRPr="00237AD7">
        <w:rPr>
          <w:b/>
          <w:bCs/>
        </w:rPr>
        <w:t xml:space="preserve"> to monitor working conditions, including by increasing its financial and human resources;</w:t>
      </w:r>
    </w:p>
    <w:p w14:paraId="20FA7567" w14:textId="167C7B37" w:rsidR="00EC1436" w:rsidRPr="00237AD7" w:rsidRDefault="00950F13" w:rsidP="00950F13">
      <w:pPr>
        <w:pStyle w:val="SingleTxtG"/>
        <w:rPr>
          <w:b/>
          <w:bCs/>
        </w:rPr>
      </w:pPr>
      <w:r w:rsidRPr="00950F13">
        <w:tab/>
      </w:r>
      <w:r w:rsidR="00EC1436" w:rsidRPr="00950F13">
        <w:t>(d)</w:t>
      </w:r>
      <w:r w:rsidR="00EC1436" w:rsidRPr="00237AD7">
        <w:rPr>
          <w:b/>
          <w:bCs/>
        </w:rPr>
        <w:tab/>
        <w:t xml:space="preserve">Establish an occupational health </w:t>
      </w:r>
      <w:r w:rsidR="00EC1436">
        <w:rPr>
          <w:b/>
          <w:bCs/>
        </w:rPr>
        <w:t xml:space="preserve">and </w:t>
      </w:r>
      <w:r w:rsidR="00EC1436" w:rsidRPr="00237AD7">
        <w:rPr>
          <w:b/>
          <w:bCs/>
        </w:rPr>
        <w:t>safety insurance scheme.</w:t>
      </w:r>
    </w:p>
    <w:p w14:paraId="4376BC2C" w14:textId="62EB8494" w:rsidR="00EC1436" w:rsidRPr="00A935DA" w:rsidRDefault="00950F13" w:rsidP="001405B6">
      <w:pPr>
        <w:pStyle w:val="H23G"/>
      </w:pPr>
      <w:r>
        <w:tab/>
      </w:r>
      <w:r>
        <w:tab/>
      </w:r>
      <w:r w:rsidR="00EC1436" w:rsidRPr="00A935DA">
        <w:t>Sexual harassment in the workplace</w:t>
      </w:r>
    </w:p>
    <w:p w14:paraId="3D1DAFF6" w14:textId="77777777" w:rsidR="00EC1436" w:rsidRPr="00237AD7" w:rsidRDefault="00EC1436" w:rsidP="00EC1436">
      <w:pPr>
        <w:pStyle w:val="SingleTxtG"/>
        <w:tabs>
          <w:tab w:val="clear" w:pos="1701"/>
          <w:tab w:val="clear" w:pos="2268"/>
        </w:tabs>
      </w:pPr>
      <w:r w:rsidRPr="00237AD7">
        <w:rPr>
          <w:bCs/>
        </w:rPr>
        <w:t>38.</w:t>
      </w:r>
      <w:r w:rsidRPr="00237AD7">
        <w:rPr>
          <w:bCs/>
        </w:rPr>
        <w:tab/>
      </w:r>
      <w:r w:rsidRPr="00237AD7">
        <w:t xml:space="preserve">While welcoming the inclusion of </w:t>
      </w:r>
      <w:r>
        <w:t xml:space="preserve">provisions on </w:t>
      </w:r>
      <w:r w:rsidRPr="00474D8D">
        <w:t xml:space="preserve">sexual and moral harassment in the Labour </w:t>
      </w:r>
      <w:r w:rsidRPr="00D55F10">
        <w:t>C</w:t>
      </w:r>
      <w:r w:rsidRPr="00474D8D">
        <w:t>ode, the</w:t>
      </w:r>
      <w:r w:rsidRPr="00237AD7">
        <w:t xml:space="preserve"> Committee remains concerned about the effectiveness of the new </w:t>
      </w:r>
      <w:r w:rsidRPr="00237AD7">
        <w:lastRenderedPageBreak/>
        <w:t xml:space="preserve">provisions in practice </w:t>
      </w:r>
      <w:r>
        <w:t>owing</w:t>
      </w:r>
      <w:r w:rsidRPr="00237AD7">
        <w:t xml:space="preserve"> to the reported prevalence of sexual violence and harassment that women </w:t>
      </w:r>
      <w:r>
        <w:t xml:space="preserve">in particular </w:t>
      </w:r>
      <w:r w:rsidRPr="00237AD7">
        <w:t>encounter at work</w:t>
      </w:r>
      <w:r>
        <w:t xml:space="preserve"> (art. 7)</w:t>
      </w:r>
      <w:r w:rsidRPr="00237AD7">
        <w:t>.</w:t>
      </w:r>
    </w:p>
    <w:p w14:paraId="36F45140" w14:textId="77777777" w:rsidR="00EC1436" w:rsidRPr="00237AD7" w:rsidRDefault="00EC1436" w:rsidP="00EC1436">
      <w:pPr>
        <w:pStyle w:val="SingleTxtG"/>
        <w:tabs>
          <w:tab w:val="clear" w:pos="1701"/>
          <w:tab w:val="clear" w:pos="2268"/>
        </w:tabs>
        <w:rPr>
          <w:b/>
        </w:rPr>
      </w:pPr>
      <w:r w:rsidRPr="00237AD7">
        <w:rPr>
          <w:bCs/>
        </w:rPr>
        <w:t>39.</w:t>
      </w:r>
      <w:r w:rsidRPr="00237AD7">
        <w:rPr>
          <w:bCs/>
        </w:rPr>
        <w:tab/>
      </w:r>
      <w:r w:rsidRPr="00237AD7">
        <w:rPr>
          <w:b/>
        </w:rPr>
        <w:t>The Committee recommends that the State party:</w:t>
      </w:r>
    </w:p>
    <w:p w14:paraId="55DDD8C5" w14:textId="0049FD7B" w:rsidR="00EC1436" w:rsidRPr="00237AD7" w:rsidRDefault="00950F13" w:rsidP="00950F13">
      <w:pPr>
        <w:pStyle w:val="SingleTxtG"/>
        <w:rPr>
          <w:b/>
          <w:bCs/>
        </w:rPr>
      </w:pPr>
      <w:r w:rsidRPr="00950F13">
        <w:tab/>
      </w:r>
      <w:r w:rsidR="00EC1436" w:rsidRPr="00950F13">
        <w:t>(a)</w:t>
      </w:r>
      <w:r w:rsidR="00EC1436" w:rsidRPr="00950F13">
        <w:tab/>
      </w:r>
      <w:r w:rsidR="00EC1436" w:rsidRPr="00237AD7">
        <w:rPr>
          <w:b/>
          <w:bCs/>
        </w:rPr>
        <w:t xml:space="preserve">Ensure that the laws against sexual harassment, including </w:t>
      </w:r>
      <w:r w:rsidR="00EC1436" w:rsidRPr="002E6F6E">
        <w:rPr>
          <w:b/>
          <w:bCs/>
        </w:rPr>
        <w:t>under the Labour Code</w:t>
      </w:r>
      <w:r w:rsidR="00EC1436" w:rsidRPr="00237AD7">
        <w:rPr>
          <w:b/>
          <w:bCs/>
        </w:rPr>
        <w:t xml:space="preserve">, </w:t>
      </w:r>
      <w:proofErr w:type="gramStart"/>
      <w:r w:rsidR="00EC1436" w:rsidRPr="00237AD7">
        <w:rPr>
          <w:b/>
          <w:bCs/>
        </w:rPr>
        <w:t>are enforced</w:t>
      </w:r>
      <w:proofErr w:type="gramEnd"/>
      <w:r w:rsidR="00EC1436" w:rsidRPr="00237AD7">
        <w:rPr>
          <w:b/>
          <w:bCs/>
        </w:rPr>
        <w:t xml:space="preserve"> effectively and adopt preventive and protective measures to</w:t>
      </w:r>
      <w:r w:rsidR="00EC1436" w:rsidRPr="00237AD7">
        <w:t xml:space="preserve"> </w:t>
      </w:r>
      <w:r w:rsidR="00EC1436" w:rsidRPr="00237AD7">
        <w:rPr>
          <w:b/>
          <w:bCs/>
        </w:rPr>
        <w:t>combat sexual harassment in the workplace, including awareness-raising campaigns, a monitoring system and ongoing training;</w:t>
      </w:r>
    </w:p>
    <w:p w14:paraId="3AD1D336" w14:textId="318E17C0" w:rsidR="00EC1436" w:rsidRPr="00237AD7" w:rsidRDefault="00950F13" w:rsidP="00950F13">
      <w:pPr>
        <w:pStyle w:val="SingleTxtG"/>
        <w:rPr>
          <w:b/>
          <w:bCs/>
        </w:rPr>
      </w:pPr>
      <w:r w:rsidRPr="00950F13">
        <w:tab/>
      </w:r>
      <w:r w:rsidR="00EC1436" w:rsidRPr="00950F13">
        <w:t>(b)</w:t>
      </w:r>
      <w:r w:rsidR="00EC1436" w:rsidRPr="00237AD7">
        <w:rPr>
          <w:b/>
          <w:bCs/>
        </w:rPr>
        <w:tab/>
        <w:t xml:space="preserve">Ensure that reports of sexual harassment </w:t>
      </w:r>
      <w:proofErr w:type="gramStart"/>
      <w:r w:rsidR="00EC1436" w:rsidRPr="00237AD7">
        <w:rPr>
          <w:b/>
          <w:bCs/>
        </w:rPr>
        <w:t>are duly investigated</w:t>
      </w:r>
      <w:proofErr w:type="gramEnd"/>
      <w:r w:rsidR="00EC1436" w:rsidRPr="00237AD7">
        <w:rPr>
          <w:b/>
          <w:bCs/>
        </w:rPr>
        <w:t xml:space="preserve"> and prosecuted, that perpetrators are </w:t>
      </w:r>
      <w:r w:rsidR="00EC1436">
        <w:rPr>
          <w:b/>
          <w:bCs/>
        </w:rPr>
        <w:t>appropriately</w:t>
      </w:r>
      <w:r w:rsidR="00EC1436" w:rsidRPr="00237AD7">
        <w:rPr>
          <w:b/>
          <w:bCs/>
        </w:rPr>
        <w:t xml:space="preserve"> punished and that victims have access to appropriate redress, including compensation.</w:t>
      </w:r>
    </w:p>
    <w:p w14:paraId="1EA089B3" w14:textId="1B652116" w:rsidR="00EC1436" w:rsidRPr="00A935DA" w:rsidRDefault="00950F13" w:rsidP="001405B6">
      <w:pPr>
        <w:pStyle w:val="H23G"/>
      </w:pPr>
      <w:r>
        <w:tab/>
      </w:r>
      <w:r>
        <w:tab/>
      </w:r>
      <w:r w:rsidR="00EC1436" w:rsidRPr="00A935DA">
        <w:t>Migrant workers</w:t>
      </w:r>
    </w:p>
    <w:p w14:paraId="0FCF4BA8" w14:textId="77777777" w:rsidR="00EC1436" w:rsidRPr="00237AD7" w:rsidRDefault="00EC1436" w:rsidP="00EC1436">
      <w:pPr>
        <w:pStyle w:val="SingleTxtG"/>
        <w:tabs>
          <w:tab w:val="clear" w:pos="1701"/>
          <w:tab w:val="clear" w:pos="2268"/>
        </w:tabs>
      </w:pPr>
      <w:r w:rsidRPr="00237AD7">
        <w:rPr>
          <w:bCs/>
        </w:rPr>
        <w:t>40.</w:t>
      </w:r>
      <w:r w:rsidRPr="00237AD7">
        <w:rPr>
          <w:bCs/>
        </w:rPr>
        <w:tab/>
      </w:r>
      <w:r w:rsidRPr="00237AD7">
        <w:t>While the Committee takes note of recent legislative improvements, it is concerned about reports of exploitation and abuse of migrant workers by employers. The Committee regrets the lack of sufficient information concerning the implementation and enforcement of the measures taken to address the issue</w:t>
      </w:r>
      <w:r>
        <w:t xml:space="preserve"> (</w:t>
      </w:r>
      <w:r w:rsidRPr="00237AD7">
        <w:t>art. 7)</w:t>
      </w:r>
      <w:r>
        <w:t>.</w:t>
      </w:r>
    </w:p>
    <w:p w14:paraId="1E962547" w14:textId="77777777" w:rsidR="00EC1436" w:rsidRPr="00237AD7" w:rsidRDefault="00EC1436" w:rsidP="00EC1436">
      <w:pPr>
        <w:pStyle w:val="SingleTxtG"/>
        <w:tabs>
          <w:tab w:val="clear" w:pos="1701"/>
          <w:tab w:val="clear" w:pos="2268"/>
        </w:tabs>
        <w:rPr>
          <w:b/>
          <w:bCs/>
        </w:rPr>
      </w:pPr>
      <w:r w:rsidRPr="00237AD7">
        <w:rPr>
          <w:bCs/>
        </w:rPr>
        <w:t>41.</w:t>
      </w:r>
      <w:r w:rsidRPr="00237AD7">
        <w:rPr>
          <w:bCs/>
        </w:rPr>
        <w:tab/>
      </w:r>
      <w:r w:rsidRPr="00237AD7">
        <w:rPr>
          <w:b/>
          <w:bCs/>
        </w:rPr>
        <w:t>The Committee recommends that the State party:</w:t>
      </w:r>
    </w:p>
    <w:p w14:paraId="0120E5F2" w14:textId="11B304A3" w:rsidR="00EC1436" w:rsidRPr="00237AD7" w:rsidRDefault="00950F13" w:rsidP="00950F13">
      <w:pPr>
        <w:pStyle w:val="SingleTxtG"/>
        <w:rPr>
          <w:b/>
          <w:bCs/>
        </w:rPr>
      </w:pPr>
      <w:r w:rsidRPr="00950F13">
        <w:tab/>
      </w:r>
      <w:r w:rsidR="00EC1436" w:rsidRPr="00950F13">
        <w:t>(a)</w:t>
      </w:r>
      <w:r w:rsidR="00EC1436" w:rsidRPr="00950F13">
        <w:tab/>
      </w:r>
      <w:r w:rsidR="00EC1436" w:rsidRPr="00237AD7">
        <w:rPr>
          <w:b/>
          <w:bCs/>
        </w:rPr>
        <w:t xml:space="preserve">Take measures to ensure </w:t>
      </w:r>
      <w:r w:rsidR="00EC1436">
        <w:rPr>
          <w:b/>
          <w:bCs/>
        </w:rPr>
        <w:t xml:space="preserve">the </w:t>
      </w:r>
      <w:r w:rsidR="00EC1436" w:rsidRPr="00237AD7">
        <w:rPr>
          <w:b/>
          <w:bCs/>
        </w:rPr>
        <w:t>effective enforcement of legislation that protects migrant workers, including through the imposition of deterrent penalties for employers who violate the legislation;</w:t>
      </w:r>
    </w:p>
    <w:p w14:paraId="66221D86" w14:textId="1BC5AB2C" w:rsidR="00EC1436" w:rsidRPr="00237AD7" w:rsidRDefault="00950F13" w:rsidP="00950F13">
      <w:pPr>
        <w:pStyle w:val="SingleTxtG"/>
        <w:rPr>
          <w:b/>
          <w:bCs/>
        </w:rPr>
      </w:pPr>
      <w:r w:rsidRPr="00950F13">
        <w:tab/>
      </w:r>
      <w:r w:rsidR="00EC1436" w:rsidRPr="00950F13">
        <w:t>(b)</w:t>
      </w:r>
      <w:r w:rsidR="00EC1436" w:rsidRPr="00237AD7">
        <w:rPr>
          <w:b/>
          <w:bCs/>
        </w:rPr>
        <w:tab/>
        <w:t xml:space="preserve">Ensure that such employers </w:t>
      </w:r>
      <w:proofErr w:type="gramStart"/>
      <w:r w:rsidR="00EC1436" w:rsidRPr="00237AD7">
        <w:rPr>
          <w:b/>
          <w:bCs/>
        </w:rPr>
        <w:t xml:space="preserve">are </w:t>
      </w:r>
      <w:r w:rsidR="00EC1436">
        <w:rPr>
          <w:b/>
          <w:bCs/>
        </w:rPr>
        <w:t>sanctioned</w:t>
      </w:r>
      <w:proofErr w:type="gramEnd"/>
      <w:r w:rsidR="00EC1436">
        <w:rPr>
          <w:b/>
          <w:bCs/>
        </w:rPr>
        <w:t xml:space="preserve"> </w:t>
      </w:r>
      <w:r w:rsidR="00EC1436" w:rsidRPr="00237AD7">
        <w:rPr>
          <w:b/>
          <w:bCs/>
        </w:rPr>
        <w:t>effectively;</w:t>
      </w:r>
    </w:p>
    <w:p w14:paraId="45D388C1" w14:textId="2250100C" w:rsidR="00EC1436" w:rsidRPr="00237AD7" w:rsidRDefault="00950F13" w:rsidP="00950F13">
      <w:pPr>
        <w:pStyle w:val="SingleTxtG"/>
        <w:rPr>
          <w:b/>
          <w:bCs/>
        </w:rPr>
      </w:pPr>
      <w:r w:rsidRPr="00950F13">
        <w:tab/>
      </w:r>
      <w:r w:rsidR="00EC1436" w:rsidRPr="00950F13">
        <w:t>(c)</w:t>
      </w:r>
      <w:r w:rsidR="00EC1436" w:rsidRPr="00237AD7">
        <w:rPr>
          <w:b/>
          <w:bCs/>
        </w:rPr>
        <w:tab/>
        <w:t>Implement effective mechanisms to monitor compliance with labour laws protecting migrant workers.</w:t>
      </w:r>
    </w:p>
    <w:p w14:paraId="5F3228B5" w14:textId="4B753B5E" w:rsidR="00EC1436" w:rsidRPr="00237AD7" w:rsidRDefault="009C7336" w:rsidP="001405B6">
      <w:pPr>
        <w:pStyle w:val="H23G"/>
      </w:pPr>
      <w:r>
        <w:tab/>
      </w:r>
      <w:r>
        <w:tab/>
      </w:r>
      <w:r w:rsidR="00EC1436" w:rsidRPr="00237AD7">
        <w:t>Trade union rights</w:t>
      </w:r>
    </w:p>
    <w:p w14:paraId="2250845E" w14:textId="77777777" w:rsidR="00EC1436" w:rsidRPr="00237AD7" w:rsidRDefault="00EC1436" w:rsidP="00EC1436">
      <w:pPr>
        <w:pStyle w:val="SingleTxtG"/>
        <w:tabs>
          <w:tab w:val="clear" w:pos="1701"/>
          <w:tab w:val="clear" w:pos="2268"/>
        </w:tabs>
      </w:pPr>
      <w:r w:rsidRPr="00237AD7">
        <w:rPr>
          <w:bCs/>
        </w:rPr>
        <w:t>42.</w:t>
      </w:r>
      <w:r w:rsidRPr="00237AD7">
        <w:rPr>
          <w:bCs/>
        </w:rPr>
        <w:tab/>
      </w:r>
      <w:r w:rsidRPr="00237AD7">
        <w:t>The Committee remains concerned that</w:t>
      </w:r>
      <w:r>
        <w:t>, owing</w:t>
      </w:r>
      <w:r w:rsidRPr="00237AD7">
        <w:t xml:space="preserve"> to the restrictive definition of </w:t>
      </w:r>
      <w:r>
        <w:t xml:space="preserve">a </w:t>
      </w:r>
      <w:r w:rsidRPr="00237AD7">
        <w:t>strike as stipulated under section 244</w:t>
      </w:r>
      <w:r>
        <w:t xml:space="preserve"> </w:t>
      </w:r>
      <w:r w:rsidRPr="00237AD7">
        <w:t xml:space="preserve">(1) of the Labour Code, the right to strike may not </w:t>
      </w:r>
      <w:proofErr w:type="gramStart"/>
      <w:r w:rsidRPr="00237AD7">
        <w:t>be exercised</w:t>
      </w:r>
      <w:proofErr w:type="gramEnd"/>
      <w:r w:rsidRPr="00237AD7">
        <w:t xml:space="preserve"> to</w:t>
      </w:r>
      <w:r w:rsidRPr="00237AD7">
        <w:rPr>
          <w:i/>
          <w:iCs/>
        </w:rPr>
        <w:t xml:space="preserve"> </w:t>
      </w:r>
      <w:r w:rsidRPr="00237AD7">
        <w:t xml:space="preserve">search for solutions to problems posed by major social and economic policy trends. The Committee regrets the lack of information as to how the right to form and join trade unions, the right to collective bargaining and the right to strike can </w:t>
      </w:r>
      <w:proofErr w:type="gramStart"/>
      <w:r w:rsidRPr="00237AD7">
        <w:t>be exercised</w:t>
      </w:r>
      <w:proofErr w:type="gramEnd"/>
      <w:r w:rsidRPr="00237AD7">
        <w:t xml:space="preserve"> in practice freely and without reprisals by migrant workers</w:t>
      </w:r>
      <w:r>
        <w:t xml:space="preserve"> (art. 8)</w:t>
      </w:r>
      <w:r w:rsidRPr="00237AD7">
        <w:t>.</w:t>
      </w:r>
    </w:p>
    <w:p w14:paraId="05F2D11C" w14:textId="77777777" w:rsidR="00EC1436" w:rsidRPr="00237AD7" w:rsidRDefault="00EC1436" w:rsidP="00EC1436">
      <w:pPr>
        <w:pStyle w:val="SingleTxtG"/>
        <w:tabs>
          <w:tab w:val="clear" w:pos="1701"/>
          <w:tab w:val="clear" w:pos="2268"/>
        </w:tabs>
      </w:pPr>
      <w:r w:rsidRPr="00237AD7">
        <w:rPr>
          <w:bCs/>
        </w:rPr>
        <w:t>43.</w:t>
      </w:r>
      <w:r w:rsidRPr="00237AD7">
        <w:rPr>
          <w:bCs/>
        </w:rPr>
        <w:tab/>
      </w:r>
      <w:r w:rsidRPr="00237AD7">
        <w:rPr>
          <w:b/>
          <w:bCs/>
        </w:rPr>
        <w:t>The Committee recommends that the State party review its Labour Code with a view to ensuring the right to strike in accordance with international standards.</w:t>
      </w:r>
    </w:p>
    <w:p w14:paraId="4F4CD32C" w14:textId="43C24513" w:rsidR="00EC1436" w:rsidRPr="00237AD7" w:rsidRDefault="009C7336" w:rsidP="001405B6">
      <w:pPr>
        <w:pStyle w:val="H23G"/>
      </w:pPr>
      <w:r>
        <w:tab/>
      </w:r>
      <w:r>
        <w:tab/>
      </w:r>
      <w:r w:rsidR="00EC1436" w:rsidRPr="00237AD7">
        <w:t>Right to social security</w:t>
      </w:r>
    </w:p>
    <w:p w14:paraId="514E1B12" w14:textId="77777777" w:rsidR="00EC1436" w:rsidRPr="00237AD7" w:rsidRDefault="00EC1436" w:rsidP="00EC1436">
      <w:pPr>
        <w:pStyle w:val="SingleTxtG"/>
        <w:tabs>
          <w:tab w:val="clear" w:pos="1701"/>
          <w:tab w:val="clear" w:pos="2268"/>
        </w:tabs>
      </w:pPr>
      <w:r w:rsidRPr="00237AD7">
        <w:rPr>
          <w:bCs/>
        </w:rPr>
        <w:t>44.</w:t>
      </w:r>
      <w:r w:rsidRPr="00237AD7">
        <w:rPr>
          <w:bCs/>
        </w:rPr>
        <w:tab/>
      </w:r>
      <w:r w:rsidRPr="00237AD7">
        <w:t xml:space="preserve">While noting the measures taken by municipalities and the central </w:t>
      </w:r>
      <w:r>
        <w:t>G</w:t>
      </w:r>
      <w:r w:rsidRPr="00237AD7">
        <w:t xml:space="preserve">overnment to strengthen working-age benefits, the Committee is concerned at the reports that the social support provided and the level of social </w:t>
      </w:r>
      <w:r w:rsidRPr="00D8482C">
        <w:t>assistance pension for old</w:t>
      </w:r>
      <w:r w:rsidRPr="00D55F10">
        <w:t xml:space="preserve"> </w:t>
      </w:r>
      <w:r w:rsidRPr="00D8482C">
        <w:t>age</w:t>
      </w:r>
      <w:r w:rsidRPr="00237AD7">
        <w:t xml:space="preserve"> remains low, </w:t>
      </w:r>
      <w:r>
        <w:t>at</w:t>
      </w:r>
      <w:r w:rsidRPr="00237AD7">
        <w:t xml:space="preserve"> less than 30</w:t>
      </w:r>
      <w:r>
        <w:t xml:space="preserve"> per cent</w:t>
      </w:r>
      <w:r w:rsidRPr="00237AD7">
        <w:t xml:space="preserve"> of the minimum wage. The Committee </w:t>
      </w:r>
      <w:r>
        <w:t xml:space="preserve">also </w:t>
      </w:r>
      <w:r w:rsidRPr="00237AD7">
        <w:t>regrets the lack of information on the measures taken to provide social security coverage to workers in the informal economy</w:t>
      </w:r>
      <w:r>
        <w:t xml:space="preserve"> (art. 9)</w:t>
      </w:r>
      <w:r w:rsidRPr="00237AD7">
        <w:t>.</w:t>
      </w:r>
    </w:p>
    <w:p w14:paraId="3C716472" w14:textId="77777777" w:rsidR="00EC1436" w:rsidRPr="00237AD7" w:rsidRDefault="00EC1436" w:rsidP="00EC1436">
      <w:pPr>
        <w:pStyle w:val="SingleTxtG"/>
        <w:tabs>
          <w:tab w:val="clear" w:pos="1701"/>
          <w:tab w:val="clear" w:pos="2268"/>
        </w:tabs>
      </w:pPr>
      <w:r w:rsidRPr="00237AD7">
        <w:rPr>
          <w:bCs/>
        </w:rPr>
        <w:t>45.</w:t>
      </w:r>
      <w:r w:rsidRPr="00237AD7">
        <w:rPr>
          <w:bCs/>
        </w:rPr>
        <w:tab/>
      </w:r>
      <w:r w:rsidRPr="00237AD7">
        <w:rPr>
          <w:b/>
          <w:bCs/>
        </w:rPr>
        <w:t>The Committee recommends that the State party:</w:t>
      </w:r>
    </w:p>
    <w:p w14:paraId="65273A42" w14:textId="68267226" w:rsidR="00EC1436" w:rsidRPr="00237AD7" w:rsidRDefault="00EC1436" w:rsidP="002C3E65">
      <w:pPr>
        <w:pStyle w:val="SingleTxtG"/>
        <w:rPr>
          <w:b/>
          <w:bCs/>
        </w:rPr>
      </w:pPr>
      <w:r w:rsidRPr="00592949">
        <w:tab/>
        <w:t>(a)</w:t>
      </w:r>
      <w:r w:rsidRPr="00592949">
        <w:tab/>
      </w:r>
      <w:r w:rsidRPr="00237AD7">
        <w:rPr>
          <w:b/>
          <w:bCs/>
        </w:rPr>
        <w:t>Reform its social protection system, with a view to alleviating inequalities and eliminating discriminatory effects of the system on disadvantaged and marginalized individuals and groups, including by unifying or harmonizing different social security benefits at the local level and ensuring that an equitable and sufficient level of public funding is allocated to the social protection system;</w:t>
      </w:r>
    </w:p>
    <w:p w14:paraId="2CF2F5CE" w14:textId="13ABFDD4" w:rsidR="00EC1436" w:rsidRPr="00237AD7" w:rsidRDefault="00592949" w:rsidP="002C3E65">
      <w:pPr>
        <w:pStyle w:val="SingleTxtG"/>
        <w:rPr>
          <w:b/>
          <w:bCs/>
        </w:rPr>
      </w:pPr>
      <w:r w:rsidRPr="0033415D">
        <w:tab/>
      </w:r>
      <w:r w:rsidR="00EC1436" w:rsidRPr="0033415D">
        <w:t>(b)</w:t>
      </w:r>
      <w:r w:rsidR="00EC1436" w:rsidRPr="00237AD7">
        <w:rPr>
          <w:b/>
          <w:bCs/>
        </w:rPr>
        <w:tab/>
        <w:t xml:space="preserve">Expand the coverage of social security benefits, </w:t>
      </w:r>
      <w:r w:rsidR="00EC1436">
        <w:rPr>
          <w:b/>
          <w:bCs/>
        </w:rPr>
        <w:t xml:space="preserve">in </w:t>
      </w:r>
      <w:r w:rsidR="00EC1436" w:rsidRPr="00237AD7">
        <w:rPr>
          <w:b/>
          <w:bCs/>
        </w:rPr>
        <w:t xml:space="preserve">particular to the self-employed and </w:t>
      </w:r>
      <w:r w:rsidR="00EC1436">
        <w:rPr>
          <w:b/>
          <w:bCs/>
        </w:rPr>
        <w:t xml:space="preserve">to </w:t>
      </w:r>
      <w:r w:rsidR="00EC1436" w:rsidRPr="00237AD7">
        <w:rPr>
          <w:b/>
          <w:bCs/>
        </w:rPr>
        <w:t>workers in the agricultural sector and the informal sector, and increase the level of those benefits in order to provide workers and their families with a decent living;</w:t>
      </w:r>
    </w:p>
    <w:p w14:paraId="7FCCB507" w14:textId="45E68E0B" w:rsidR="00EC1436" w:rsidRDefault="00592949" w:rsidP="00592949">
      <w:pPr>
        <w:pStyle w:val="SingleTxtG"/>
        <w:rPr>
          <w:b/>
          <w:bCs/>
        </w:rPr>
      </w:pPr>
      <w:r w:rsidRPr="0033415D">
        <w:lastRenderedPageBreak/>
        <w:tab/>
      </w:r>
      <w:r w:rsidR="00EC1436" w:rsidRPr="0033415D">
        <w:t>(c)</w:t>
      </w:r>
      <w:r w:rsidR="00EC1436" w:rsidRPr="00237AD7">
        <w:rPr>
          <w:b/>
          <w:bCs/>
        </w:rPr>
        <w:tab/>
        <w:t xml:space="preserve">Ensure that employers register their employees </w:t>
      </w:r>
      <w:r w:rsidR="00EC1436">
        <w:rPr>
          <w:b/>
          <w:bCs/>
        </w:rPr>
        <w:t>with</w:t>
      </w:r>
      <w:r w:rsidR="00EC1436" w:rsidRPr="00237AD7">
        <w:rPr>
          <w:b/>
          <w:bCs/>
        </w:rPr>
        <w:t xml:space="preserve"> the social protection system and pay their contributions;</w:t>
      </w:r>
    </w:p>
    <w:p w14:paraId="6B49BB89" w14:textId="1A8016EA" w:rsidR="00EC1436" w:rsidRPr="00237AD7" w:rsidRDefault="0033415D" w:rsidP="00592949">
      <w:pPr>
        <w:pStyle w:val="SingleTxtG"/>
        <w:rPr>
          <w:b/>
          <w:bCs/>
        </w:rPr>
      </w:pPr>
      <w:r w:rsidRPr="0033415D">
        <w:tab/>
      </w:r>
      <w:r w:rsidR="00EC1436" w:rsidRPr="0033415D">
        <w:t>(d)</w:t>
      </w:r>
      <w:r w:rsidR="00EC1436">
        <w:rPr>
          <w:b/>
          <w:bCs/>
        </w:rPr>
        <w:tab/>
        <w:t xml:space="preserve">Ensure that the pension benefits for persons with disabilities </w:t>
      </w:r>
      <w:proofErr w:type="gramStart"/>
      <w:r w:rsidR="00EC1436">
        <w:rPr>
          <w:b/>
          <w:bCs/>
        </w:rPr>
        <w:t>adequately covers</w:t>
      </w:r>
      <w:proofErr w:type="gramEnd"/>
      <w:r w:rsidR="00EC1436">
        <w:rPr>
          <w:b/>
          <w:bCs/>
        </w:rPr>
        <w:t xml:space="preserve"> both basic income security and disability-related costs;</w:t>
      </w:r>
    </w:p>
    <w:p w14:paraId="06AC697D" w14:textId="2387E900" w:rsidR="00EC1436" w:rsidRPr="00237AD7" w:rsidRDefault="00592949" w:rsidP="00592949">
      <w:pPr>
        <w:pStyle w:val="SingleTxtG"/>
        <w:rPr>
          <w:b/>
          <w:bCs/>
        </w:rPr>
      </w:pPr>
      <w:r w:rsidRPr="0033415D">
        <w:tab/>
      </w:r>
      <w:r w:rsidR="00EC1436" w:rsidRPr="0033415D">
        <w:t>(e)</w:t>
      </w:r>
      <w:r w:rsidR="00EC1436" w:rsidRPr="00237AD7">
        <w:rPr>
          <w:b/>
          <w:bCs/>
        </w:rPr>
        <w:tab/>
      </w:r>
      <w:r w:rsidR="00EC1436" w:rsidRPr="00BC3B5C">
        <w:rPr>
          <w:b/>
          <w:bCs/>
        </w:rPr>
        <w:t>Take into account the</w:t>
      </w:r>
      <w:r w:rsidR="00EC1436" w:rsidRPr="00237AD7">
        <w:rPr>
          <w:b/>
          <w:bCs/>
        </w:rPr>
        <w:t xml:space="preserve"> Committee’s general comment No. 19 (2007) on the right to social security.</w:t>
      </w:r>
    </w:p>
    <w:p w14:paraId="1F57977C" w14:textId="664543C4" w:rsidR="00EC1436" w:rsidRPr="00A935DA" w:rsidRDefault="00592949" w:rsidP="001405B6">
      <w:pPr>
        <w:pStyle w:val="H23G"/>
      </w:pPr>
      <w:r>
        <w:tab/>
      </w:r>
      <w:r>
        <w:tab/>
      </w:r>
      <w:r w:rsidR="00EC1436" w:rsidRPr="00237AD7">
        <w:t xml:space="preserve">Protection of the family and children </w:t>
      </w:r>
    </w:p>
    <w:p w14:paraId="7E5B36ED" w14:textId="77777777" w:rsidR="00EC1436" w:rsidRPr="00237AD7" w:rsidRDefault="00EC1436" w:rsidP="00EC1436">
      <w:pPr>
        <w:pStyle w:val="SingleTxtG"/>
        <w:tabs>
          <w:tab w:val="clear" w:pos="1701"/>
          <w:tab w:val="clear" w:pos="2268"/>
        </w:tabs>
      </w:pPr>
      <w:r w:rsidRPr="00237AD7">
        <w:rPr>
          <w:bCs/>
        </w:rPr>
        <w:t>46.</w:t>
      </w:r>
      <w:r w:rsidRPr="00237AD7">
        <w:rPr>
          <w:bCs/>
        </w:rPr>
        <w:tab/>
      </w:r>
      <w:r w:rsidRPr="00237AD7">
        <w:t xml:space="preserve">While welcoming the progress made in the area of childcare services, the Committee is concerned that these measures are insufficient for addressing the sharing of parental responsibilities and childcare options. The Committee is further concerned that women more often assume the role of household carer and face the issue of balancing their professional and personal lives, including having difficulties re-entering the labour market after </w:t>
      </w:r>
      <w:proofErr w:type="gramStart"/>
      <w:r w:rsidRPr="00237AD7">
        <w:t>maternity leave</w:t>
      </w:r>
      <w:proofErr w:type="gramEnd"/>
      <w:r>
        <w:t xml:space="preserve"> (</w:t>
      </w:r>
      <w:r w:rsidRPr="00237AD7">
        <w:t>art. 10)</w:t>
      </w:r>
      <w:r>
        <w:t>.</w:t>
      </w:r>
    </w:p>
    <w:p w14:paraId="0C571BDC" w14:textId="77777777" w:rsidR="00EC1436" w:rsidRPr="00237AD7" w:rsidRDefault="00EC1436" w:rsidP="00EC1436">
      <w:pPr>
        <w:pStyle w:val="SingleTxtG"/>
        <w:tabs>
          <w:tab w:val="clear" w:pos="1701"/>
          <w:tab w:val="clear" w:pos="2268"/>
        </w:tabs>
        <w:rPr>
          <w:b/>
        </w:rPr>
      </w:pPr>
      <w:r w:rsidRPr="00237AD7">
        <w:rPr>
          <w:bCs/>
        </w:rPr>
        <w:t>47.</w:t>
      </w:r>
      <w:r w:rsidRPr="00237AD7">
        <w:rPr>
          <w:bCs/>
        </w:rPr>
        <w:tab/>
      </w:r>
      <w:r w:rsidRPr="00237AD7">
        <w:rPr>
          <w:b/>
        </w:rPr>
        <w:t>The Committee recommends that the State party:</w:t>
      </w:r>
    </w:p>
    <w:p w14:paraId="04D480D8" w14:textId="563D5D26" w:rsidR="00EC1436" w:rsidRPr="00237AD7" w:rsidRDefault="0033415D" w:rsidP="0033415D">
      <w:pPr>
        <w:pStyle w:val="SingleTxtG"/>
        <w:rPr>
          <w:b/>
          <w:bCs/>
        </w:rPr>
      </w:pPr>
      <w:r w:rsidRPr="0033415D">
        <w:tab/>
      </w:r>
      <w:r w:rsidR="00EC1436" w:rsidRPr="0033415D">
        <w:t>(a)</w:t>
      </w:r>
      <w:r w:rsidR="00EC1436" w:rsidRPr="00237AD7">
        <w:rPr>
          <w:b/>
          <w:bCs/>
        </w:rPr>
        <w:tab/>
        <w:t xml:space="preserve">Expand the availability of adequate high-quality childcare facilities and services, </w:t>
      </w:r>
      <w:r w:rsidR="00EC1436">
        <w:rPr>
          <w:b/>
          <w:bCs/>
        </w:rPr>
        <w:t>and</w:t>
      </w:r>
      <w:r w:rsidR="00EC1436" w:rsidRPr="00237AD7">
        <w:rPr>
          <w:b/>
          <w:bCs/>
        </w:rPr>
        <w:t xml:space="preserve"> increase</w:t>
      </w:r>
      <w:r w:rsidR="00EC1436">
        <w:rPr>
          <w:b/>
          <w:bCs/>
        </w:rPr>
        <w:t xml:space="preserve"> the</w:t>
      </w:r>
      <w:r w:rsidR="00EC1436" w:rsidRPr="00237AD7">
        <w:rPr>
          <w:b/>
          <w:bCs/>
        </w:rPr>
        <w:t xml:space="preserve"> availability of flexible working arrangements;</w:t>
      </w:r>
    </w:p>
    <w:p w14:paraId="675FA19A" w14:textId="0B2B62F5" w:rsidR="00EC1436" w:rsidRPr="00237AD7" w:rsidRDefault="0033415D" w:rsidP="0033415D">
      <w:pPr>
        <w:pStyle w:val="SingleTxtG"/>
        <w:rPr>
          <w:b/>
          <w:bCs/>
        </w:rPr>
      </w:pPr>
      <w:r w:rsidRPr="0033415D">
        <w:tab/>
      </w:r>
      <w:r w:rsidR="00EC1436" w:rsidRPr="0033415D">
        <w:t>(b)</w:t>
      </w:r>
      <w:r w:rsidR="00EC1436" w:rsidRPr="00237AD7">
        <w:rPr>
          <w:b/>
          <w:bCs/>
        </w:rPr>
        <w:tab/>
      </w:r>
      <w:r w:rsidR="00EC1436" w:rsidRPr="00237AD7">
        <w:rPr>
          <w:b/>
        </w:rPr>
        <w:t>Take comprehensive measures to eliminate gender role stereotypes,</w:t>
      </w:r>
      <w:r w:rsidR="00EC1436" w:rsidRPr="00237AD7">
        <w:rPr>
          <w:b/>
          <w:bCs/>
        </w:rPr>
        <w:t xml:space="preserve"> </w:t>
      </w:r>
      <w:r w:rsidR="00EC1436" w:rsidRPr="00237AD7">
        <w:rPr>
          <w:b/>
        </w:rPr>
        <w:t xml:space="preserve">including through media campaigns </w:t>
      </w:r>
      <w:r w:rsidR="00EC1436" w:rsidRPr="0012260D">
        <w:rPr>
          <w:b/>
        </w:rPr>
        <w:t>and opinion leaders</w:t>
      </w:r>
      <w:r w:rsidR="00EC1436" w:rsidRPr="00237AD7">
        <w:rPr>
          <w:b/>
        </w:rPr>
        <w:t xml:space="preserve">, and through awareness-raising among the general public on the equal sharing of rights and responsibilities between men and women in the family and </w:t>
      </w:r>
      <w:r w:rsidR="00EC1436">
        <w:rPr>
          <w:b/>
        </w:rPr>
        <w:t xml:space="preserve">in </w:t>
      </w:r>
      <w:r w:rsidR="00EC1436" w:rsidRPr="00237AD7">
        <w:rPr>
          <w:b/>
        </w:rPr>
        <w:t>society</w:t>
      </w:r>
      <w:r w:rsidR="00EC1436">
        <w:rPr>
          <w:b/>
        </w:rPr>
        <w:t>.</w:t>
      </w:r>
    </w:p>
    <w:p w14:paraId="5AC7878E" w14:textId="63D1EE33" w:rsidR="00EC1436" w:rsidRPr="00237AD7" w:rsidRDefault="00E27813" w:rsidP="001405B6">
      <w:pPr>
        <w:pStyle w:val="H23G"/>
      </w:pPr>
      <w:r>
        <w:tab/>
      </w:r>
      <w:r>
        <w:tab/>
      </w:r>
      <w:r w:rsidR="00EC1436" w:rsidRPr="00237AD7">
        <w:t>Domestic violence</w:t>
      </w:r>
    </w:p>
    <w:p w14:paraId="33A84108" w14:textId="7A329A80" w:rsidR="00EC1436" w:rsidRPr="00237AD7" w:rsidRDefault="00EC1436" w:rsidP="00EC1436">
      <w:pPr>
        <w:pStyle w:val="SingleTxtG"/>
        <w:tabs>
          <w:tab w:val="clear" w:pos="1701"/>
          <w:tab w:val="clear" w:pos="2268"/>
        </w:tabs>
      </w:pPr>
      <w:r w:rsidRPr="00237AD7">
        <w:rPr>
          <w:bCs/>
        </w:rPr>
        <w:t>48.</w:t>
      </w:r>
      <w:r w:rsidRPr="00237AD7">
        <w:rPr>
          <w:bCs/>
        </w:rPr>
        <w:tab/>
      </w:r>
      <w:r w:rsidRPr="00237AD7">
        <w:t xml:space="preserve">The Committee is concerned that domestic violence in the State party, mostly against women, is still pervasive, despite its criminalization in the Penal </w:t>
      </w:r>
      <w:r w:rsidRPr="00E14E85">
        <w:t>Code and the relevant legislation empowering the authorities with necessary means</w:t>
      </w:r>
      <w:r w:rsidRPr="00237AD7">
        <w:t xml:space="preserve">. The Committee is also concerned </w:t>
      </w:r>
      <w:r>
        <w:t>by</w:t>
      </w:r>
      <w:r w:rsidRPr="00237AD7">
        <w:t xml:space="preserve"> the scarcity of reporting of domestic violence to the competent authorities</w:t>
      </w:r>
      <w:r>
        <w:t xml:space="preserve"> (</w:t>
      </w:r>
      <w:r w:rsidRPr="00237AD7">
        <w:t>art.</w:t>
      </w:r>
      <w:r w:rsidR="005271DD">
        <w:t> </w:t>
      </w:r>
      <w:r w:rsidRPr="00237AD7">
        <w:t>10)</w:t>
      </w:r>
      <w:r>
        <w:t>.</w:t>
      </w:r>
    </w:p>
    <w:p w14:paraId="58D39FB4" w14:textId="77777777" w:rsidR="00EC1436" w:rsidRPr="00237AD7" w:rsidRDefault="00EC1436" w:rsidP="00EC1436">
      <w:pPr>
        <w:pStyle w:val="SingleTxtG"/>
        <w:tabs>
          <w:tab w:val="clear" w:pos="1701"/>
          <w:tab w:val="clear" w:pos="2268"/>
        </w:tabs>
        <w:rPr>
          <w:b/>
          <w:bCs/>
        </w:rPr>
      </w:pPr>
      <w:r w:rsidRPr="00237AD7">
        <w:rPr>
          <w:bCs/>
        </w:rPr>
        <w:t>49.</w:t>
      </w:r>
      <w:r w:rsidRPr="00237AD7">
        <w:rPr>
          <w:bCs/>
        </w:rPr>
        <w:tab/>
      </w:r>
      <w:r w:rsidRPr="00237AD7">
        <w:rPr>
          <w:b/>
          <w:bCs/>
        </w:rPr>
        <w:t xml:space="preserve">The Committee recommends that the State party review its legislation to </w:t>
      </w:r>
      <w:r>
        <w:rPr>
          <w:b/>
          <w:bCs/>
        </w:rPr>
        <w:t>combat</w:t>
      </w:r>
      <w:r w:rsidRPr="00237AD7">
        <w:rPr>
          <w:b/>
          <w:bCs/>
        </w:rPr>
        <w:t xml:space="preserve"> domestic violence </w:t>
      </w:r>
      <w:r>
        <w:rPr>
          <w:b/>
          <w:bCs/>
        </w:rPr>
        <w:t xml:space="preserve">effectively </w:t>
      </w:r>
      <w:r w:rsidRPr="00237AD7">
        <w:rPr>
          <w:b/>
          <w:bCs/>
        </w:rPr>
        <w:t>and intensify its efforts with a view to:</w:t>
      </w:r>
    </w:p>
    <w:p w14:paraId="49A2A763" w14:textId="07ABF558" w:rsidR="00EC1436" w:rsidRPr="00103A6A" w:rsidRDefault="00E27813" w:rsidP="00E27813">
      <w:pPr>
        <w:pStyle w:val="SingleTxtG"/>
        <w:rPr>
          <w:b/>
        </w:rPr>
      </w:pPr>
      <w:r w:rsidRPr="00E27813">
        <w:tab/>
      </w:r>
      <w:r w:rsidR="00EC1436" w:rsidRPr="00E27813">
        <w:t>(a)</w:t>
      </w:r>
      <w:r w:rsidR="00EC1436" w:rsidRPr="00103A6A">
        <w:rPr>
          <w:b/>
        </w:rPr>
        <w:tab/>
        <w:t>Encouraging the reporting of domestic violence;</w:t>
      </w:r>
    </w:p>
    <w:p w14:paraId="7FFC697C" w14:textId="6AEFEA23" w:rsidR="00EC1436" w:rsidRPr="00103A6A" w:rsidRDefault="00E27813" w:rsidP="00E27813">
      <w:pPr>
        <w:pStyle w:val="SingleTxtG"/>
        <w:rPr>
          <w:b/>
          <w:bCs/>
        </w:rPr>
      </w:pPr>
      <w:r w:rsidRPr="00E27813">
        <w:tab/>
      </w:r>
      <w:r w:rsidR="00EC1436" w:rsidRPr="00E27813">
        <w:t>(b)</w:t>
      </w:r>
      <w:r w:rsidR="00EC1436" w:rsidRPr="00E27813">
        <w:tab/>
      </w:r>
      <w:r w:rsidR="00EC1436" w:rsidRPr="00103A6A">
        <w:rPr>
          <w:b/>
        </w:rPr>
        <w:t xml:space="preserve">Ensuring that all reported cases of domestic violence </w:t>
      </w:r>
      <w:proofErr w:type="gramStart"/>
      <w:r w:rsidR="00EC1436" w:rsidRPr="00103A6A">
        <w:rPr>
          <w:b/>
        </w:rPr>
        <w:t>are promptly</w:t>
      </w:r>
      <w:r w:rsidR="00EC1436" w:rsidRPr="00103A6A">
        <w:rPr>
          <w:b/>
          <w:bCs/>
        </w:rPr>
        <w:t xml:space="preserve"> and thoroughly investigated</w:t>
      </w:r>
      <w:proofErr w:type="gramEnd"/>
      <w:r w:rsidR="00EC1436" w:rsidRPr="00103A6A">
        <w:rPr>
          <w:b/>
          <w:bCs/>
        </w:rPr>
        <w:t xml:space="preserve"> and perpetrators are punished;</w:t>
      </w:r>
    </w:p>
    <w:p w14:paraId="1167C92A" w14:textId="10F63143" w:rsidR="00EC1436" w:rsidRPr="00103A6A" w:rsidRDefault="00E27813" w:rsidP="00E27813">
      <w:pPr>
        <w:pStyle w:val="SingleTxtG"/>
        <w:rPr>
          <w:b/>
        </w:rPr>
      </w:pPr>
      <w:r w:rsidRPr="00E27813">
        <w:tab/>
      </w:r>
      <w:r w:rsidR="00EC1436" w:rsidRPr="00E27813">
        <w:t>(c)</w:t>
      </w:r>
      <w:r w:rsidR="00EC1436" w:rsidRPr="00103A6A">
        <w:rPr>
          <w:b/>
        </w:rPr>
        <w:tab/>
      </w:r>
      <w:r w:rsidR="00EC1436">
        <w:rPr>
          <w:b/>
        </w:rPr>
        <w:t>R</w:t>
      </w:r>
      <w:r w:rsidR="00EC1436" w:rsidRPr="00103A6A">
        <w:rPr>
          <w:b/>
        </w:rPr>
        <w:t>ais</w:t>
      </w:r>
      <w:r w:rsidR="00EC1436">
        <w:rPr>
          <w:b/>
        </w:rPr>
        <w:t>ing</w:t>
      </w:r>
      <w:r w:rsidR="00EC1436" w:rsidRPr="00103A6A">
        <w:rPr>
          <w:b/>
        </w:rPr>
        <w:t xml:space="preserve"> awareness among law enforcement officials and relevant professionals </w:t>
      </w:r>
      <w:r w:rsidR="00EC1436">
        <w:rPr>
          <w:b/>
        </w:rPr>
        <w:t>regarding</w:t>
      </w:r>
      <w:r w:rsidR="00EC1436" w:rsidRPr="00103A6A">
        <w:rPr>
          <w:b/>
        </w:rPr>
        <w:t xml:space="preserve"> the criminal nature of domestic violence, as well as among the public at large, including through </w:t>
      </w:r>
      <w:r w:rsidR="00EC1436" w:rsidRPr="00D55F10">
        <w:rPr>
          <w:b/>
        </w:rPr>
        <w:t xml:space="preserve">a </w:t>
      </w:r>
      <w:r w:rsidR="00EC1436" w:rsidRPr="00103A6A">
        <w:rPr>
          <w:b/>
        </w:rPr>
        <w:t>campaign of zero tolerance that makes such violence unacceptable;</w:t>
      </w:r>
    </w:p>
    <w:p w14:paraId="559D0156" w14:textId="4FCC8439" w:rsidR="00EC1436" w:rsidRPr="00103A6A" w:rsidRDefault="00E27813" w:rsidP="00E27813">
      <w:pPr>
        <w:pStyle w:val="SingleTxtG"/>
        <w:rPr>
          <w:b/>
        </w:rPr>
      </w:pPr>
      <w:r w:rsidRPr="00E27813">
        <w:tab/>
      </w:r>
      <w:r w:rsidR="00EC1436" w:rsidRPr="00E27813">
        <w:t>(d)</w:t>
      </w:r>
      <w:r w:rsidR="00EC1436" w:rsidRPr="00103A6A">
        <w:rPr>
          <w:b/>
        </w:rPr>
        <w:tab/>
        <w:t>Providing survivors of domestic violence with all the necessary legal, medical, financial and psychological support;</w:t>
      </w:r>
    </w:p>
    <w:p w14:paraId="0349191C" w14:textId="73F950FA" w:rsidR="00EC1436" w:rsidRPr="00103A6A" w:rsidRDefault="00E27813" w:rsidP="00E27813">
      <w:pPr>
        <w:pStyle w:val="SingleTxtG"/>
        <w:rPr>
          <w:b/>
          <w:bCs/>
        </w:rPr>
      </w:pPr>
      <w:r w:rsidRPr="00E27813">
        <w:tab/>
      </w:r>
      <w:r w:rsidR="00EC1436" w:rsidRPr="00E27813">
        <w:t>(e)</w:t>
      </w:r>
      <w:r w:rsidR="00EC1436" w:rsidRPr="00E27813">
        <w:tab/>
      </w:r>
      <w:r w:rsidR="00EC1436">
        <w:rPr>
          <w:b/>
        </w:rPr>
        <w:t>R</w:t>
      </w:r>
      <w:r w:rsidR="00EC1436" w:rsidRPr="00103A6A">
        <w:rPr>
          <w:b/>
        </w:rPr>
        <w:t>ais</w:t>
      </w:r>
      <w:r w:rsidR="00EC1436">
        <w:rPr>
          <w:b/>
        </w:rPr>
        <w:t>ing</w:t>
      </w:r>
      <w:r w:rsidR="00EC1436" w:rsidRPr="00103A6A">
        <w:rPr>
          <w:b/>
        </w:rPr>
        <w:t xml:space="preserve"> public awareness of the seriousness and criminal nature of domestic</w:t>
      </w:r>
      <w:r w:rsidR="00EC1436" w:rsidRPr="00103A6A">
        <w:rPr>
          <w:b/>
          <w:bCs/>
        </w:rPr>
        <w:t xml:space="preserve"> violence.</w:t>
      </w:r>
    </w:p>
    <w:p w14:paraId="26550AFC" w14:textId="45A6A7EA" w:rsidR="00EC1436" w:rsidRPr="00237AD7" w:rsidRDefault="00E27813" w:rsidP="001405B6">
      <w:pPr>
        <w:pStyle w:val="H23G"/>
      </w:pPr>
      <w:r>
        <w:tab/>
      </w:r>
      <w:r>
        <w:tab/>
      </w:r>
      <w:r w:rsidR="00EC1436" w:rsidRPr="00237AD7">
        <w:t>Right to adequate housing</w:t>
      </w:r>
    </w:p>
    <w:p w14:paraId="279327CA" w14:textId="10DC1054" w:rsidR="00EC1436" w:rsidRPr="00237AD7" w:rsidRDefault="00EC1436" w:rsidP="00EC1436">
      <w:pPr>
        <w:pStyle w:val="SingleTxtG"/>
        <w:tabs>
          <w:tab w:val="clear" w:pos="1701"/>
          <w:tab w:val="clear" w:pos="2268"/>
        </w:tabs>
      </w:pPr>
      <w:r w:rsidRPr="00237AD7">
        <w:rPr>
          <w:bCs/>
        </w:rPr>
        <w:t>50.</w:t>
      </w:r>
      <w:r w:rsidRPr="00237AD7">
        <w:rPr>
          <w:bCs/>
        </w:rPr>
        <w:tab/>
      </w:r>
      <w:r w:rsidRPr="00237AD7">
        <w:t xml:space="preserve">While noting the measures taken by the State party to reduce </w:t>
      </w:r>
      <w:r>
        <w:t xml:space="preserve">the level of </w:t>
      </w:r>
      <w:r w:rsidRPr="00237AD7">
        <w:t xml:space="preserve">unmet needs for social housing, the Committee is concerned about the challenges continuously faced by disadvantaged individuals and groups in accessing housing. The Committee is further concerned about the lack of information regarding Roma people from the </w:t>
      </w:r>
      <w:r w:rsidRPr="00A71973">
        <w:t xml:space="preserve">now destroyed </w:t>
      </w:r>
      <w:bookmarkStart w:id="1" w:name="OLE_LINK1"/>
      <w:r w:rsidRPr="00A71973">
        <w:t>Kirtimai</w:t>
      </w:r>
      <w:bookmarkEnd w:id="1"/>
      <w:r w:rsidRPr="00A71973">
        <w:t xml:space="preserve"> Roma Settlement</w:t>
      </w:r>
      <w:r w:rsidRPr="00237AD7">
        <w:t xml:space="preserve"> and their </w:t>
      </w:r>
      <w:r>
        <w:t>current</w:t>
      </w:r>
      <w:r w:rsidRPr="00237AD7">
        <w:t xml:space="preserve"> housing and living conditions. The Committee regrets the lack of information as to the steps taken to improve the housing situation of persons granted asylum or subsidiary protection status</w:t>
      </w:r>
      <w:r>
        <w:t xml:space="preserve"> (art.</w:t>
      </w:r>
      <w:r w:rsidR="00921EED">
        <w:t xml:space="preserve"> </w:t>
      </w:r>
      <w:r>
        <w:t>11)</w:t>
      </w:r>
      <w:r w:rsidRPr="00237AD7">
        <w:t>.</w:t>
      </w:r>
    </w:p>
    <w:p w14:paraId="536A2A60" w14:textId="77777777" w:rsidR="00EC1436" w:rsidRPr="00237AD7" w:rsidRDefault="00EC1436" w:rsidP="00EC1436">
      <w:pPr>
        <w:pStyle w:val="SingleTxtG"/>
        <w:tabs>
          <w:tab w:val="clear" w:pos="1701"/>
          <w:tab w:val="clear" w:pos="2268"/>
        </w:tabs>
        <w:rPr>
          <w:b/>
        </w:rPr>
      </w:pPr>
      <w:r w:rsidRPr="00237AD7">
        <w:rPr>
          <w:bCs/>
        </w:rPr>
        <w:lastRenderedPageBreak/>
        <w:t>51.</w:t>
      </w:r>
      <w:r w:rsidRPr="00237AD7">
        <w:rPr>
          <w:bCs/>
        </w:rPr>
        <w:tab/>
      </w:r>
      <w:r w:rsidRPr="00237AD7">
        <w:rPr>
          <w:b/>
          <w:bCs/>
        </w:rPr>
        <w:t>Reiterating the recommendations made in its previous concluding observations</w:t>
      </w:r>
      <w:r>
        <w:rPr>
          <w:b/>
          <w:bCs/>
        </w:rPr>
        <w:t>,</w:t>
      </w:r>
      <w:r w:rsidRPr="001405B6">
        <w:rPr>
          <w:rStyle w:val="FootnoteReference"/>
        </w:rPr>
        <w:footnoteReference w:id="13"/>
      </w:r>
      <w:r w:rsidRPr="00237AD7">
        <w:rPr>
          <w:b/>
          <w:bCs/>
        </w:rPr>
        <w:t xml:space="preserve"> the Committee recommends that the State party:</w:t>
      </w:r>
    </w:p>
    <w:p w14:paraId="2AE89558" w14:textId="258491BA" w:rsidR="00EC1436" w:rsidRPr="00237AD7" w:rsidRDefault="00E27813" w:rsidP="00E27813">
      <w:pPr>
        <w:pStyle w:val="SingleTxtG"/>
        <w:rPr>
          <w:b/>
          <w:bCs/>
        </w:rPr>
      </w:pPr>
      <w:r w:rsidRPr="00E27813">
        <w:tab/>
      </w:r>
      <w:r w:rsidR="00EC1436" w:rsidRPr="00E27813">
        <w:t>(a)</w:t>
      </w:r>
      <w:r w:rsidR="00EC1436" w:rsidRPr="00237AD7">
        <w:rPr>
          <w:b/>
          <w:bCs/>
        </w:rPr>
        <w:tab/>
        <w:t xml:space="preserve">Redouble its efforts to ensure that its national housing policy prioritizes the needs of marginalized and vulnerable groups who lack access to adequate housing and basic facilities and amenities, and to allocate sufficient resources for </w:t>
      </w:r>
      <w:r w:rsidR="00EC1436">
        <w:rPr>
          <w:b/>
          <w:bCs/>
        </w:rPr>
        <w:t>the</w:t>
      </w:r>
      <w:r w:rsidR="00EC1436" w:rsidRPr="00237AD7">
        <w:rPr>
          <w:b/>
          <w:bCs/>
        </w:rPr>
        <w:t xml:space="preserve"> effective implementation</w:t>
      </w:r>
      <w:r w:rsidR="00EC1436">
        <w:rPr>
          <w:b/>
          <w:bCs/>
        </w:rPr>
        <w:t xml:space="preserve"> of the policy</w:t>
      </w:r>
      <w:r w:rsidR="00EC1436" w:rsidRPr="00237AD7">
        <w:rPr>
          <w:b/>
          <w:bCs/>
        </w:rPr>
        <w:t>;</w:t>
      </w:r>
    </w:p>
    <w:p w14:paraId="37B61D19" w14:textId="69D75E9D" w:rsidR="00EC1436" w:rsidRPr="00237AD7" w:rsidRDefault="00E27813" w:rsidP="00E27813">
      <w:pPr>
        <w:pStyle w:val="SingleTxtG"/>
        <w:rPr>
          <w:b/>
        </w:rPr>
      </w:pPr>
      <w:r w:rsidRPr="00E27813">
        <w:tab/>
      </w:r>
      <w:r w:rsidR="00EC1436" w:rsidRPr="00E27813">
        <w:t>(b)</w:t>
      </w:r>
      <w:r w:rsidR="00EC1436" w:rsidRPr="00237AD7">
        <w:rPr>
          <w:b/>
        </w:rPr>
        <w:tab/>
      </w:r>
      <w:r w:rsidR="00EC1436" w:rsidRPr="00237AD7">
        <w:rPr>
          <w:b/>
          <w:bCs/>
        </w:rPr>
        <w:t>I</w:t>
      </w:r>
      <w:r w:rsidR="00EC1436" w:rsidRPr="00237AD7">
        <w:rPr>
          <w:b/>
        </w:rPr>
        <w:t>ncrease the availability of adequate and affordable housing, in particular by expanding the supply of social housing and the provision of housing subsidies;</w:t>
      </w:r>
    </w:p>
    <w:p w14:paraId="60871089" w14:textId="656B180B" w:rsidR="00EC1436" w:rsidRPr="00237AD7" w:rsidRDefault="00E27813" w:rsidP="00E27813">
      <w:pPr>
        <w:pStyle w:val="SingleTxtG"/>
        <w:rPr>
          <w:b/>
        </w:rPr>
      </w:pPr>
      <w:r w:rsidRPr="00E27813">
        <w:tab/>
      </w:r>
      <w:r w:rsidR="00EC1436" w:rsidRPr="00E27813">
        <w:t>(c)</w:t>
      </w:r>
      <w:r w:rsidR="00EC1436" w:rsidRPr="00237AD7">
        <w:rPr>
          <w:b/>
        </w:rPr>
        <w:tab/>
        <w:t>Address the root causes of homelessness and pursue long-term solutions for homeless individuals</w:t>
      </w:r>
      <w:r w:rsidR="00EC1436">
        <w:rPr>
          <w:b/>
        </w:rPr>
        <w:t>,</w:t>
      </w:r>
      <w:r w:rsidR="00EC1436" w:rsidRPr="00237AD7">
        <w:rPr>
          <w:b/>
          <w:bCs/>
        </w:rPr>
        <w:t xml:space="preserve"> tak</w:t>
      </w:r>
      <w:r w:rsidR="00EC1436">
        <w:rPr>
          <w:b/>
          <w:bCs/>
        </w:rPr>
        <w:t>ing</w:t>
      </w:r>
      <w:r w:rsidR="00EC1436" w:rsidRPr="00237AD7">
        <w:rPr>
          <w:b/>
          <w:bCs/>
        </w:rPr>
        <w:t xml:space="preserve"> into account the Committee’s general comment No.</w:t>
      </w:r>
      <w:r w:rsidR="00EC1436">
        <w:rPr>
          <w:b/>
          <w:bCs/>
        </w:rPr>
        <w:t xml:space="preserve"> </w:t>
      </w:r>
      <w:r w:rsidR="00EC1436" w:rsidRPr="00237AD7">
        <w:rPr>
          <w:b/>
          <w:bCs/>
        </w:rPr>
        <w:t>4 (1991) on the right to adequate housing, general comment No.</w:t>
      </w:r>
      <w:r w:rsidR="00921EED">
        <w:rPr>
          <w:b/>
          <w:bCs/>
        </w:rPr>
        <w:t xml:space="preserve"> </w:t>
      </w:r>
      <w:r w:rsidR="00EC1436" w:rsidRPr="00237AD7">
        <w:rPr>
          <w:b/>
          <w:bCs/>
        </w:rPr>
        <w:t>15 (2002) on the right to water, and its statement on the right to sanitation .</w:t>
      </w:r>
      <w:r w:rsidR="00EC1436" w:rsidRPr="001405B6">
        <w:rPr>
          <w:rStyle w:val="FootnoteReference"/>
        </w:rPr>
        <w:footnoteReference w:id="14"/>
      </w:r>
    </w:p>
    <w:p w14:paraId="38924A69" w14:textId="28AE697D" w:rsidR="00EC1436" w:rsidRPr="00237AD7" w:rsidRDefault="00E27813" w:rsidP="001405B6">
      <w:pPr>
        <w:pStyle w:val="H23G"/>
      </w:pPr>
      <w:r>
        <w:tab/>
      </w:r>
      <w:r>
        <w:tab/>
      </w:r>
      <w:r w:rsidR="00EC1436" w:rsidRPr="00237AD7">
        <w:t>Health care</w:t>
      </w:r>
    </w:p>
    <w:p w14:paraId="5F3D7489" w14:textId="77777777" w:rsidR="00EC1436" w:rsidRPr="00237AD7" w:rsidRDefault="00EC1436" w:rsidP="00EC1436">
      <w:pPr>
        <w:pStyle w:val="SingleTxtG"/>
        <w:tabs>
          <w:tab w:val="clear" w:pos="1701"/>
          <w:tab w:val="clear" w:pos="2268"/>
        </w:tabs>
      </w:pPr>
      <w:r w:rsidRPr="00237AD7">
        <w:rPr>
          <w:bCs/>
        </w:rPr>
        <w:t>52.</w:t>
      </w:r>
      <w:r w:rsidRPr="00237AD7">
        <w:rPr>
          <w:bCs/>
        </w:rPr>
        <w:tab/>
      </w:r>
      <w:r w:rsidRPr="00237AD7">
        <w:t xml:space="preserve">While noting the increase </w:t>
      </w:r>
      <w:r>
        <w:t>in</w:t>
      </w:r>
      <w:r w:rsidRPr="00237AD7">
        <w:t xml:space="preserve"> availability and accessibility of primary health</w:t>
      </w:r>
      <w:r>
        <w:t xml:space="preserve"> care</w:t>
      </w:r>
      <w:r w:rsidRPr="00237AD7">
        <w:t xml:space="preserve">, the Committee is concerned about </w:t>
      </w:r>
      <w:r w:rsidRPr="00F701CA">
        <w:t>reports</w:t>
      </w:r>
      <w:r w:rsidRPr="00237AD7">
        <w:t xml:space="preserve"> that some social groups, such as</w:t>
      </w:r>
      <w:r>
        <w:t xml:space="preserve"> older persons</w:t>
      </w:r>
      <w:r w:rsidRPr="00237AD7">
        <w:t xml:space="preserve"> and the less </w:t>
      </w:r>
      <w:r w:rsidRPr="0016361C">
        <w:t xml:space="preserve">educated, tend to </w:t>
      </w:r>
      <w:r>
        <w:t>report</w:t>
      </w:r>
      <w:r w:rsidRPr="0016361C">
        <w:t xml:space="preserve"> </w:t>
      </w:r>
      <w:r w:rsidRPr="00D55F10">
        <w:t xml:space="preserve">a </w:t>
      </w:r>
      <w:proofErr w:type="gramStart"/>
      <w:r w:rsidRPr="0016361C">
        <w:t xml:space="preserve">relatively </w:t>
      </w:r>
      <w:r w:rsidRPr="00D55F10">
        <w:t>higher</w:t>
      </w:r>
      <w:proofErr w:type="gramEnd"/>
      <w:r w:rsidRPr="0016361C">
        <w:t xml:space="preserve"> </w:t>
      </w:r>
      <w:r w:rsidRPr="00D55F10">
        <w:t xml:space="preserve">level of </w:t>
      </w:r>
      <w:r w:rsidRPr="0016361C">
        <w:t>unmet needs</w:t>
      </w:r>
      <w:r>
        <w:t>,</w:t>
      </w:r>
      <w:r w:rsidRPr="0016361C">
        <w:t xml:space="preserve"> and </w:t>
      </w:r>
      <w:r>
        <w:t xml:space="preserve">that </w:t>
      </w:r>
      <w:r w:rsidRPr="0016361C">
        <w:t>disp</w:t>
      </w:r>
      <w:r w:rsidRPr="00237AD7">
        <w:t xml:space="preserve">arities </w:t>
      </w:r>
      <w:r>
        <w:t xml:space="preserve">exist </w:t>
      </w:r>
      <w:r w:rsidRPr="00237AD7">
        <w:t>between the urban and rural population in terms of accessibility to emergency services</w:t>
      </w:r>
      <w:bookmarkStart w:id="2" w:name="_Hlk128388751"/>
      <w:r w:rsidRPr="00237AD7">
        <w:t>.</w:t>
      </w:r>
      <w:bookmarkEnd w:id="2"/>
      <w:r w:rsidRPr="00237AD7">
        <w:t xml:space="preserve"> The Committee regrets the lack of information on the impact of </w:t>
      </w:r>
      <w:r w:rsidRPr="002A04CA">
        <w:t xml:space="preserve">the 2017–2020 structural reform </w:t>
      </w:r>
      <w:r>
        <w:t>of the</w:t>
      </w:r>
      <w:r w:rsidRPr="002A04CA">
        <w:t xml:space="preserve"> health</w:t>
      </w:r>
      <w:r>
        <w:t>-</w:t>
      </w:r>
      <w:r w:rsidRPr="002A04CA">
        <w:t>care</w:t>
      </w:r>
      <w:r>
        <w:t xml:space="preserve"> system</w:t>
      </w:r>
      <w:r w:rsidRPr="002A04CA">
        <w:t xml:space="preserve"> and</w:t>
      </w:r>
      <w:r w:rsidRPr="00237AD7">
        <w:t xml:space="preserve"> the </w:t>
      </w:r>
      <w:r w:rsidRPr="00DB0BBC">
        <w:t>State party’s Health Strategy for 2014–2025</w:t>
      </w:r>
      <w:r w:rsidRPr="00237AD7">
        <w:t xml:space="preserve"> on the provision of accessible and affordable health care</w:t>
      </w:r>
      <w:r>
        <w:t xml:space="preserve"> (</w:t>
      </w:r>
      <w:r w:rsidRPr="00237AD7">
        <w:t>art. 12)</w:t>
      </w:r>
      <w:r>
        <w:t>.</w:t>
      </w:r>
    </w:p>
    <w:p w14:paraId="53AC962B" w14:textId="77777777" w:rsidR="00EC1436" w:rsidRPr="00237AD7" w:rsidRDefault="00EC1436" w:rsidP="00EC1436">
      <w:pPr>
        <w:pStyle w:val="SingleTxtG"/>
        <w:tabs>
          <w:tab w:val="clear" w:pos="1701"/>
          <w:tab w:val="clear" w:pos="2268"/>
        </w:tabs>
      </w:pPr>
      <w:r w:rsidRPr="00237AD7">
        <w:rPr>
          <w:bCs/>
        </w:rPr>
        <w:t>53.</w:t>
      </w:r>
      <w:r w:rsidRPr="00237AD7">
        <w:rPr>
          <w:bCs/>
        </w:rPr>
        <w:tab/>
      </w:r>
      <w:r w:rsidRPr="00237AD7">
        <w:rPr>
          <w:b/>
        </w:rPr>
        <w:t>The Committee recommends that the State party:</w:t>
      </w:r>
    </w:p>
    <w:p w14:paraId="1F09C6C4" w14:textId="174F1F76" w:rsidR="00EC1436" w:rsidRPr="00237AD7" w:rsidRDefault="00CE736E" w:rsidP="00CE736E">
      <w:pPr>
        <w:pStyle w:val="SingleTxtG"/>
        <w:rPr>
          <w:b/>
          <w:bCs/>
        </w:rPr>
      </w:pPr>
      <w:r w:rsidRPr="00CE736E">
        <w:tab/>
      </w:r>
      <w:r w:rsidR="00EC1436" w:rsidRPr="00CE736E">
        <w:t>(a)</w:t>
      </w:r>
      <w:r w:rsidR="00EC1436" w:rsidRPr="00237AD7">
        <w:rPr>
          <w:b/>
          <w:bCs/>
        </w:rPr>
        <w:tab/>
        <w:t xml:space="preserve">Increase the level of budget allocated to the health-care sector and ensure that it </w:t>
      </w:r>
      <w:proofErr w:type="gramStart"/>
      <w:r w:rsidR="00EC1436" w:rsidRPr="00237AD7">
        <w:rPr>
          <w:b/>
          <w:bCs/>
        </w:rPr>
        <w:t>is not affected</w:t>
      </w:r>
      <w:proofErr w:type="gramEnd"/>
      <w:r w:rsidR="00EC1436" w:rsidRPr="00237AD7">
        <w:rPr>
          <w:b/>
          <w:bCs/>
        </w:rPr>
        <w:t xml:space="preserve"> by any austerity measures taken by the State party </w:t>
      </w:r>
      <w:r w:rsidR="00EC1436">
        <w:rPr>
          <w:b/>
          <w:bCs/>
        </w:rPr>
        <w:t>owing</w:t>
      </w:r>
      <w:r w:rsidR="00EC1436" w:rsidRPr="00237AD7">
        <w:rPr>
          <w:b/>
          <w:bCs/>
        </w:rPr>
        <w:t xml:space="preserve"> to the C</w:t>
      </w:r>
      <w:r w:rsidR="00EC1436">
        <w:rPr>
          <w:b/>
          <w:bCs/>
        </w:rPr>
        <w:t>OVID-</w:t>
      </w:r>
      <w:r w:rsidR="00EC1436" w:rsidRPr="00237AD7">
        <w:rPr>
          <w:b/>
          <w:bCs/>
        </w:rPr>
        <w:t>19 pandemic;</w:t>
      </w:r>
    </w:p>
    <w:p w14:paraId="551B0A32" w14:textId="5176A08C" w:rsidR="00EC1436" w:rsidRPr="00237AD7" w:rsidRDefault="00CE736E" w:rsidP="00CE736E">
      <w:pPr>
        <w:pStyle w:val="SingleTxtG"/>
        <w:rPr>
          <w:b/>
          <w:bCs/>
        </w:rPr>
      </w:pPr>
      <w:r w:rsidRPr="00CE736E">
        <w:tab/>
      </w:r>
      <w:r w:rsidR="00EC1436" w:rsidRPr="00CE736E">
        <w:t>(b)</w:t>
      </w:r>
      <w:r w:rsidR="00EC1436" w:rsidRPr="00237AD7">
        <w:rPr>
          <w:b/>
          <w:bCs/>
        </w:rPr>
        <w:tab/>
        <w:t>Expand the scope and coverage and improve the quality of health-care services provided under national health insurance, with a view to eliminating the socioeconomic disparities in access to health-care services;</w:t>
      </w:r>
    </w:p>
    <w:p w14:paraId="0962F476" w14:textId="4EF9FAEB" w:rsidR="00EC1436" w:rsidRPr="00237AD7" w:rsidRDefault="00CE736E" w:rsidP="00CE736E">
      <w:pPr>
        <w:pStyle w:val="SingleTxtG"/>
        <w:rPr>
          <w:b/>
          <w:bCs/>
        </w:rPr>
      </w:pPr>
      <w:r w:rsidRPr="00CE736E">
        <w:tab/>
      </w:r>
      <w:r w:rsidR="00EC1436" w:rsidRPr="00CE736E">
        <w:t>(c)</w:t>
      </w:r>
      <w:r w:rsidR="00EC1436" w:rsidRPr="00237AD7">
        <w:rPr>
          <w:b/>
          <w:bCs/>
        </w:rPr>
        <w:tab/>
        <w:t xml:space="preserve">Ensure that primary health care </w:t>
      </w:r>
      <w:proofErr w:type="gramStart"/>
      <w:r w:rsidR="00EC1436" w:rsidRPr="00237AD7">
        <w:rPr>
          <w:b/>
          <w:bCs/>
        </w:rPr>
        <w:t>is provided</w:t>
      </w:r>
      <w:proofErr w:type="gramEnd"/>
      <w:r w:rsidR="00EC1436" w:rsidRPr="00237AD7">
        <w:rPr>
          <w:b/>
          <w:bCs/>
        </w:rPr>
        <w:t xml:space="preserve"> to all persons living in the country.</w:t>
      </w:r>
    </w:p>
    <w:p w14:paraId="3449139B" w14:textId="25C6AA8C" w:rsidR="00EC1436" w:rsidRPr="00A935DA" w:rsidRDefault="00CE736E" w:rsidP="001405B6">
      <w:pPr>
        <w:pStyle w:val="H23G"/>
      </w:pPr>
      <w:r>
        <w:tab/>
      </w:r>
      <w:r>
        <w:tab/>
      </w:r>
      <w:r w:rsidR="00EC1436">
        <w:t>Persons who use drugs</w:t>
      </w:r>
    </w:p>
    <w:p w14:paraId="7281F8BF" w14:textId="77777777" w:rsidR="00EC1436" w:rsidRPr="00237AD7" w:rsidRDefault="00EC1436" w:rsidP="00EC1436">
      <w:pPr>
        <w:pStyle w:val="SingleTxtG"/>
        <w:tabs>
          <w:tab w:val="clear" w:pos="1701"/>
          <w:tab w:val="clear" w:pos="2268"/>
        </w:tabs>
      </w:pPr>
      <w:r w:rsidRPr="00237AD7">
        <w:rPr>
          <w:bCs/>
        </w:rPr>
        <w:t>54.</w:t>
      </w:r>
      <w:r w:rsidRPr="00237AD7">
        <w:rPr>
          <w:bCs/>
        </w:rPr>
        <w:tab/>
      </w:r>
      <w:r w:rsidRPr="00237AD7">
        <w:t xml:space="preserve">The Committee regrets the lack of information on the effectiveness of the </w:t>
      </w:r>
      <w:r w:rsidRPr="00DA7A05">
        <w:t>measures</w:t>
      </w:r>
      <w:r w:rsidRPr="00237AD7">
        <w:t xml:space="preserve"> taken to improve the availability, accessibility and quality of harm reduction programmes and specialized health-care services, both in the community and in prisons. The Committee further regrets that the State party has not yet decriminali</w:t>
      </w:r>
      <w:r>
        <w:t>z</w:t>
      </w:r>
      <w:r w:rsidRPr="00237AD7">
        <w:t xml:space="preserve">ed the possession of drugs for personal consumption, which prevents </w:t>
      </w:r>
      <w:r>
        <w:t>persons who use drugs</w:t>
      </w:r>
      <w:r w:rsidRPr="00237AD7">
        <w:t xml:space="preserve"> from gaining access to the necessary treatment or harm reduction programmes for fear of criminalization</w:t>
      </w:r>
      <w:r>
        <w:t xml:space="preserve"> (art. 12)</w:t>
      </w:r>
      <w:r w:rsidRPr="00237AD7">
        <w:t>.</w:t>
      </w:r>
    </w:p>
    <w:p w14:paraId="7F30B69D" w14:textId="77777777" w:rsidR="00EC1436" w:rsidRPr="00237AD7" w:rsidRDefault="00EC1436" w:rsidP="00EC1436">
      <w:pPr>
        <w:pStyle w:val="SingleTxtG"/>
        <w:tabs>
          <w:tab w:val="clear" w:pos="1701"/>
          <w:tab w:val="clear" w:pos="2268"/>
        </w:tabs>
        <w:rPr>
          <w:b/>
          <w:bCs/>
        </w:rPr>
      </w:pPr>
      <w:r w:rsidRPr="00237AD7">
        <w:rPr>
          <w:bCs/>
        </w:rPr>
        <w:t>55.</w:t>
      </w:r>
      <w:r w:rsidRPr="00237AD7">
        <w:rPr>
          <w:bCs/>
        </w:rPr>
        <w:tab/>
      </w:r>
      <w:r w:rsidRPr="00237AD7">
        <w:rPr>
          <w:b/>
          <w:bCs/>
        </w:rPr>
        <w:t xml:space="preserve">The Committee recommends that the State party decriminalize drug possession for personal consumption and review its drug policy and legislation to bring them into line with international human rights norms and best practices. It also recommends that the State party improve the availability, accessibility and quality of harm reduction programmes and </w:t>
      </w:r>
      <w:r>
        <w:rPr>
          <w:b/>
          <w:bCs/>
        </w:rPr>
        <w:t>make</w:t>
      </w:r>
      <w:r w:rsidRPr="00237AD7">
        <w:rPr>
          <w:b/>
          <w:bCs/>
        </w:rPr>
        <w:t xml:space="preserve"> specialized health-care services available </w:t>
      </w:r>
      <w:r w:rsidRPr="00C25F9F">
        <w:rPr>
          <w:b/>
          <w:bCs/>
        </w:rPr>
        <w:t xml:space="preserve">to persons </w:t>
      </w:r>
      <w:r w:rsidRPr="00B134AF">
        <w:rPr>
          <w:b/>
          <w:bCs/>
        </w:rPr>
        <w:t>who</w:t>
      </w:r>
      <w:r w:rsidRPr="00C25F9F">
        <w:rPr>
          <w:b/>
          <w:bCs/>
        </w:rPr>
        <w:t xml:space="preserve"> use drugs</w:t>
      </w:r>
      <w:r w:rsidRPr="00237AD7">
        <w:rPr>
          <w:b/>
          <w:bCs/>
        </w:rPr>
        <w:t>.</w:t>
      </w:r>
    </w:p>
    <w:p w14:paraId="0ADA8F5D" w14:textId="55229005" w:rsidR="00EC1436" w:rsidRPr="00A935DA" w:rsidRDefault="00A9795B" w:rsidP="001405B6">
      <w:pPr>
        <w:pStyle w:val="H23G"/>
      </w:pPr>
      <w:r>
        <w:tab/>
      </w:r>
      <w:r>
        <w:tab/>
      </w:r>
      <w:r w:rsidR="00EC1436" w:rsidRPr="00A935DA">
        <w:t>Mental health</w:t>
      </w:r>
    </w:p>
    <w:p w14:paraId="7DBA8CAB" w14:textId="02694949" w:rsidR="00EC1436" w:rsidRPr="00237AD7" w:rsidRDefault="00EC1436" w:rsidP="00EC1436">
      <w:pPr>
        <w:pStyle w:val="SingleTxtG"/>
        <w:tabs>
          <w:tab w:val="clear" w:pos="1701"/>
          <w:tab w:val="clear" w:pos="2268"/>
        </w:tabs>
      </w:pPr>
      <w:r w:rsidRPr="00237AD7">
        <w:rPr>
          <w:bCs/>
        </w:rPr>
        <w:t>56.</w:t>
      </w:r>
      <w:r w:rsidRPr="00237AD7">
        <w:rPr>
          <w:bCs/>
        </w:rPr>
        <w:tab/>
      </w:r>
      <w:r w:rsidRPr="00237AD7">
        <w:t>While welcoming the measures taken to improve mental health services, the Committee is concerned about the persistent stigmati</w:t>
      </w:r>
      <w:r>
        <w:t>z</w:t>
      </w:r>
      <w:r w:rsidRPr="00237AD7">
        <w:t xml:space="preserve">ation of </w:t>
      </w:r>
      <w:r>
        <w:t xml:space="preserve">poor </w:t>
      </w:r>
      <w:r w:rsidRPr="00237AD7">
        <w:t xml:space="preserve">mental health which prevents individuals from seeking assistance and treatment. The Committee is further concerned by the low budget allocated to mental health compared to total government health </w:t>
      </w:r>
      <w:r w:rsidRPr="00237AD7">
        <w:lastRenderedPageBreak/>
        <w:t>spending. The Committee regrets the lack of information on the specific measures taken to prohibit the involuntary hospitalization and non-consensual treatment of, and intrusive medical or surgical procedures for, persons with psychosocial or intellectual disabilities</w:t>
      </w:r>
      <w:r>
        <w:t xml:space="preserve"> (</w:t>
      </w:r>
      <w:r w:rsidRPr="00237AD7">
        <w:t>art.</w:t>
      </w:r>
      <w:r w:rsidR="00764E8C">
        <w:t> </w:t>
      </w:r>
      <w:r w:rsidRPr="00237AD7">
        <w:t>12)</w:t>
      </w:r>
      <w:r>
        <w:t>.</w:t>
      </w:r>
    </w:p>
    <w:p w14:paraId="78B36A90" w14:textId="77777777" w:rsidR="00EC1436" w:rsidRPr="00237AD7" w:rsidRDefault="00EC1436" w:rsidP="00EC1436">
      <w:pPr>
        <w:pStyle w:val="SingleTxtG"/>
        <w:tabs>
          <w:tab w:val="clear" w:pos="1701"/>
          <w:tab w:val="clear" w:pos="2268"/>
        </w:tabs>
        <w:rPr>
          <w:b/>
          <w:bCs/>
        </w:rPr>
      </w:pPr>
      <w:r w:rsidRPr="00237AD7">
        <w:rPr>
          <w:bCs/>
        </w:rPr>
        <w:t>57.</w:t>
      </w:r>
      <w:r w:rsidRPr="00237AD7">
        <w:rPr>
          <w:bCs/>
        </w:rPr>
        <w:tab/>
      </w:r>
      <w:r w:rsidRPr="00237AD7">
        <w:rPr>
          <w:b/>
          <w:bCs/>
        </w:rPr>
        <w:t>Reiterating the recommendations made in its previous concluding observations</w:t>
      </w:r>
      <w:r>
        <w:rPr>
          <w:b/>
          <w:bCs/>
        </w:rPr>
        <w:t>,</w:t>
      </w:r>
      <w:r w:rsidRPr="001405B6">
        <w:rPr>
          <w:rStyle w:val="FootnoteReference"/>
        </w:rPr>
        <w:footnoteReference w:id="15"/>
      </w:r>
      <w:r w:rsidRPr="00237AD7">
        <w:rPr>
          <w:b/>
          <w:bCs/>
        </w:rPr>
        <w:t xml:space="preserve"> the Committee recommends that the State party:</w:t>
      </w:r>
    </w:p>
    <w:p w14:paraId="160C0CA1" w14:textId="51F807F0" w:rsidR="00EC1436" w:rsidRPr="00237AD7" w:rsidRDefault="00C74DB1" w:rsidP="00C74DB1">
      <w:pPr>
        <w:pStyle w:val="SingleTxtG"/>
        <w:rPr>
          <w:b/>
          <w:bCs/>
        </w:rPr>
      </w:pPr>
      <w:r w:rsidRPr="00C74DB1">
        <w:tab/>
      </w:r>
      <w:r w:rsidR="00EC1436" w:rsidRPr="00C74DB1">
        <w:t>(a)</w:t>
      </w:r>
      <w:r w:rsidR="00EC1436" w:rsidRPr="00237AD7">
        <w:rPr>
          <w:b/>
          <w:bCs/>
        </w:rPr>
        <w:tab/>
      </w:r>
      <w:r w:rsidR="00EC1436" w:rsidRPr="00D55F10">
        <w:rPr>
          <w:b/>
          <w:bCs/>
        </w:rPr>
        <w:t>Increase</w:t>
      </w:r>
      <w:r w:rsidR="00EC1436" w:rsidRPr="001A74AD">
        <w:rPr>
          <w:b/>
          <w:bCs/>
        </w:rPr>
        <w:t xml:space="preserve"> its</w:t>
      </w:r>
      <w:r w:rsidR="00EC1436" w:rsidRPr="00237AD7">
        <w:rPr>
          <w:b/>
          <w:bCs/>
        </w:rPr>
        <w:t xml:space="preserve"> efforts to identify and </w:t>
      </w:r>
      <w:proofErr w:type="gramStart"/>
      <w:r w:rsidR="00EC1436" w:rsidRPr="00237AD7">
        <w:rPr>
          <w:b/>
          <w:bCs/>
        </w:rPr>
        <w:t>address effectively</w:t>
      </w:r>
      <w:proofErr w:type="gramEnd"/>
      <w:r w:rsidR="00EC1436" w:rsidRPr="00237AD7">
        <w:rPr>
          <w:b/>
          <w:bCs/>
        </w:rPr>
        <w:t xml:space="preserve"> the root causes of the prevalence of, as well as the increase </w:t>
      </w:r>
      <w:r w:rsidR="00EC1436">
        <w:rPr>
          <w:b/>
          <w:bCs/>
        </w:rPr>
        <w:t>in</w:t>
      </w:r>
      <w:r w:rsidR="00EC1436" w:rsidRPr="00237AD7">
        <w:rPr>
          <w:b/>
          <w:bCs/>
        </w:rPr>
        <w:t>, mental health issues;</w:t>
      </w:r>
    </w:p>
    <w:p w14:paraId="674D28C5" w14:textId="3355768D" w:rsidR="00EC1436" w:rsidRPr="00237AD7" w:rsidRDefault="00C74DB1" w:rsidP="00C74DB1">
      <w:pPr>
        <w:pStyle w:val="SingleTxtG"/>
        <w:rPr>
          <w:b/>
          <w:bCs/>
        </w:rPr>
      </w:pPr>
      <w:r w:rsidRPr="00C74DB1">
        <w:tab/>
      </w:r>
      <w:r w:rsidR="00EC1436" w:rsidRPr="00C74DB1">
        <w:t>(b)</w:t>
      </w:r>
      <w:r w:rsidR="00EC1436" w:rsidRPr="00C74DB1">
        <w:tab/>
      </w:r>
      <w:r w:rsidR="00EC1436">
        <w:rPr>
          <w:b/>
          <w:bCs/>
        </w:rPr>
        <w:t>Ensure the t</w:t>
      </w:r>
      <w:r w:rsidR="00EC1436" w:rsidRPr="00237AD7">
        <w:rPr>
          <w:b/>
          <w:bCs/>
        </w:rPr>
        <w:t>ransition from the placement of persons requiring mental health-care services in psychiatric institutions to a comprehensive, integrated, interdisciplinary system of community-based mental health services;</w:t>
      </w:r>
    </w:p>
    <w:p w14:paraId="1621F4D2" w14:textId="70B1DC6E" w:rsidR="00EC1436" w:rsidRPr="00237AD7" w:rsidRDefault="00C74DB1" w:rsidP="00C74DB1">
      <w:pPr>
        <w:pStyle w:val="SingleTxtG"/>
        <w:rPr>
          <w:b/>
          <w:bCs/>
        </w:rPr>
      </w:pPr>
      <w:r w:rsidRPr="00C74DB1">
        <w:tab/>
      </w:r>
      <w:r w:rsidR="00EC1436" w:rsidRPr="00C74DB1">
        <w:t>(c)</w:t>
      </w:r>
      <w:r w:rsidR="00EC1436" w:rsidRPr="00237AD7">
        <w:rPr>
          <w:b/>
          <w:bCs/>
        </w:rPr>
        <w:tab/>
        <w:t>Take measures to remove remaining forms of discrimination and stigma</w:t>
      </w:r>
      <w:r w:rsidR="00EC1436">
        <w:rPr>
          <w:b/>
          <w:bCs/>
        </w:rPr>
        <w:t>tization</w:t>
      </w:r>
      <w:r w:rsidR="00EC1436" w:rsidRPr="00237AD7">
        <w:rPr>
          <w:b/>
          <w:bCs/>
        </w:rPr>
        <w:t>;</w:t>
      </w:r>
    </w:p>
    <w:p w14:paraId="2FB9DB4E" w14:textId="726266A9" w:rsidR="00EC1436" w:rsidRPr="00237AD7" w:rsidRDefault="00C74DB1" w:rsidP="00C74DB1">
      <w:pPr>
        <w:pStyle w:val="SingleTxtG"/>
      </w:pPr>
      <w:r w:rsidRPr="00C74DB1">
        <w:tab/>
      </w:r>
      <w:r w:rsidR="00EC1436" w:rsidRPr="00C74DB1">
        <w:t>(d)</w:t>
      </w:r>
      <w:r w:rsidR="00EC1436" w:rsidRPr="00C74DB1">
        <w:tab/>
      </w:r>
      <w:r w:rsidR="00EC1436" w:rsidRPr="00237AD7">
        <w:rPr>
          <w:b/>
          <w:bCs/>
        </w:rPr>
        <w:t>Ensure that overall levels of funding dedicated</w:t>
      </w:r>
      <w:r w:rsidR="00EC1436" w:rsidRPr="00237AD7">
        <w:t xml:space="preserve"> </w:t>
      </w:r>
      <w:r w:rsidR="00EC1436" w:rsidRPr="00237AD7">
        <w:rPr>
          <w:b/>
          <w:bCs/>
        </w:rPr>
        <w:t>to mental health</w:t>
      </w:r>
      <w:r w:rsidR="00EC1436">
        <w:rPr>
          <w:b/>
          <w:bCs/>
        </w:rPr>
        <w:t>-</w:t>
      </w:r>
      <w:r w:rsidR="00EC1436" w:rsidRPr="00237AD7">
        <w:rPr>
          <w:b/>
          <w:bCs/>
        </w:rPr>
        <w:t xml:space="preserve">care services are sufficient to meet </w:t>
      </w:r>
      <w:r w:rsidR="00EC1436">
        <w:rPr>
          <w:b/>
          <w:bCs/>
        </w:rPr>
        <w:t xml:space="preserve">the needs of the </w:t>
      </w:r>
      <w:r w:rsidR="00EC1436" w:rsidRPr="00237AD7">
        <w:rPr>
          <w:b/>
          <w:bCs/>
        </w:rPr>
        <w:t>population.</w:t>
      </w:r>
    </w:p>
    <w:p w14:paraId="081F0FF6" w14:textId="134E4B68" w:rsidR="00EC1436" w:rsidRPr="00237AD7" w:rsidRDefault="006A11D6" w:rsidP="001405B6">
      <w:pPr>
        <w:pStyle w:val="H23G"/>
      </w:pPr>
      <w:r>
        <w:tab/>
      </w:r>
      <w:r>
        <w:tab/>
      </w:r>
      <w:r w:rsidR="00EC1436" w:rsidRPr="00237AD7">
        <w:t>Right to education</w:t>
      </w:r>
    </w:p>
    <w:p w14:paraId="2AB414EE" w14:textId="77777777" w:rsidR="00EC1436" w:rsidRDefault="00EC1436" w:rsidP="00EC1436">
      <w:pPr>
        <w:pStyle w:val="SingleTxtG"/>
        <w:tabs>
          <w:tab w:val="clear" w:pos="1701"/>
          <w:tab w:val="clear" w:pos="2268"/>
        </w:tabs>
      </w:pPr>
      <w:r>
        <w:rPr>
          <w:bCs/>
        </w:rPr>
        <w:t>58.</w:t>
      </w:r>
      <w:r>
        <w:rPr>
          <w:bCs/>
        </w:rPr>
        <w:tab/>
      </w:r>
      <w:r w:rsidRPr="00237AD7">
        <w:t xml:space="preserve">Despite the recent reforms </w:t>
      </w:r>
      <w:proofErr w:type="gramStart"/>
      <w:r w:rsidRPr="00237AD7">
        <w:t>carried out</w:t>
      </w:r>
      <w:proofErr w:type="gramEnd"/>
      <w:r w:rsidRPr="00237AD7">
        <w:t xml:space="preserve"> by the State party, the Committee is concerned that a significant gap </w:t>
      </w:r>
      <w:r>
        <w:t xml:space="preserve">continues to exist </w:t>
      </w:r>
      <w:r w:rsidRPr="00237AD7">
        <w:t xml:space="preserve">in the educational achievements between students from rural and urban areas. The Committee is concerned about the reports that the low educational attainment and high dropout rates of Roma children and their placement in special schools continue to persist. The Committee regrets the lack of statistical data on school enrolment, dropout and irregular attendance rates in primary, secondary and tertiary education and on educational achievement and results, disaggregated by age, sex, ethnic origin, national origin, disability and socioeconomic </w:t>
      </w:r>
      <w:r w:rsidRPr="0066302D">
        <w:t>status (arts. 2, 13 and 14).</w:t>
      </w:r>
    </w:p>
    <w:p w14:paraId="5993A9A7" w14:textId="77777777" w:rsidR="00EC1436" w:rsidRPr="003437FA" w:rsidRDefault="00EC1436" w:rsidP="00EC1436">
      <w:pPr>
        <w:pStyle w:val="SingleTxtG"/>
        <w:tabs>
          <w:tab w:val="clear" w:pos="1701"/>
          <w:tab w:val="clear" w:pos="2268"/>
        </w:tabs>
      </w:pPr>
      <w:r w:rsidRPr="003437FA">
        <w:rPr>
          <w:bCs/>
        </w:rPr>
        <w:t>59.</w:t>
      </w:r>
      <w:r w:rsidRPr="003437FA">
        <w:rPr>
          <w:bCs/>
        </w:rPr>
        <w:tab/>
      </w:r>
      <w:r w:rsidRPr="003437FA">
        <w:t xml:space="preserve">The Committee is also concerned by the absence of any </w:t>
      </w:r>
      <w:r>
        <w:t>specific</w:t>
      </w:r>
      <w:r w:rsidRPr="003437FA">
        <w:t xml:space="preserve"> measures in teaching national minorities </w:t>
      </w:r>
      <w:r w:rsidRPr="0066302D">
        <w:t xml:space="preserve">their </w:t>
      </w:r>
      <w:proofErr w:type="gramStart"/>
      <w:r w:rsidRPr="0066302D">
        <w:t>mother tongue</w:t>
      </w:r>
      <w:proofErr w:type="gramEnd"/>
      <w:r w:rsidRPr="003437FA">
        <w:t xml:space="preserve"> as a separate subject in preschool and secondary education.</w:t>
      </w:r>
    </w:p>
    <w:p w14:paraId="10E0588B" w14:textId="77777777" w:rsidR="00EC1436" w:rsidRPr="00237AD7" w:rsidRDefault="00EC1436" w:rsidP="00EC1436">
      <w:pPr>
        <w:pStyle w:val="SingleTxtG"/>
        <w:tabs>
          <w:tab w:val="clear" w:pos="1701"/>
          <w:tab w:val="clear" w:pos="2268"/>
        </w:tabs>
      </w:pPr>
      <w:r w:rsidRPr="00237AD7">
        <w:rPr>
          <w:bCs/>
        </w:rPr>
        <w:t>60.</w:t>
      </w:r>
      <w:r w:rsidRPr="00237AD7">
        <w:rPr>
          <w:bCs/>
        </w:rPr>
        <w:tab/>
      </w:r>
      <w:r w:rsidRPr="00237AD7">
        <w:rPr>
          <w:b/>
        </w:rPr>
        <w:t>The Committee recommends that the State party</w:t>
      </w:r>
      <w:r>
        <w:rPr>
          <w:b/>
        </w:rPr>
        <w:t>:</w:t>
      </w:r>
    </w:p>
    <w:p w14:paraId="09B17D0E" w14:textId="5CF4EAB6" w:rsidR="00EC1436" w:rsidRPr="00237AD7" w:rsidRDefault="0033036B" w:rsidP="0033036B">
      <w:pPr>
        <w:pStyle w:val="SingleTxtG"/>
        <w:rPr>
          <w:b/>
          <w:bCs/>
        </w:rPr>
      </w:pPr>
      <w:r w:rsidRPr="0033036B">
        <w:tab/>
      </w:r>
      <w:r w:rsidR="00EC1436" w:rsidRPr="0033036B">
        <w:t>(a)</w:t>
      </w:r>
      <w:r w:rsidR="00EC1436" w:rsidRPr="0033036B">
        <w:tab/>
      </w:r>
      <w:r w:rsidR="00EC1436" w:rsidRPr="00237AD7">
        <w:rPr>
          <w:b/>
          <w:bCs/>
        </w:rPr>
        <w:t xml:space="preserve">Take targeted measures to improve </w:t>
      </w:r>
      <w:r w:rsidR="00EC1436">
        <w:rPr>
          <w:b/>
          <w:bCs/>
        </w:rPr>
        <w:t xml:space="preserve">school </w:t>
      </w:r>
      <w:r w:rsidR="00EC1436" w:rsidRPr="00237AD7">
        <w:rPr>
          <w:b/>
          <w:bCs/>
        </w:rPr>
        <w:t xml:space="preserve">enrolment and </w:t>
      </w:r>
      <w:r w:rsidR="00EC1436" w:rsidRPr="00982832">
        <w:rPr>
          <w:b/>
          <w:bCs/>
        </w:rPr>
        <w:t>completion rates</w:t>
      </w:r>
      <w:r w:rsidR="00EC1436" w:rsidRPr="00237AD7">
        <w:rPr>
          <w:b/>
          <w:bCs/>
        </w:rPr>
        <w:t xml:space="preserve"> among Roma children, children with disabilities and students living in rural areas;</w:t>
      </w:r>
    </w:p>
    <w:p w14:paraId="79172A2B" w14:textId="3ADD28C6" w:rsidR="00EC1436" w:rsidRPr="00237AD7" w:rsidRDefault="0033036B" w:rsidP="0033036B">
      <w:pPr>
        <w:pStyle w:val="SingleTxtG"/>
        <w:rPr>
          <w:b/>
          <w:bCs/>
        </w:rPr>
      </w:pPr>
      <w:r w:rsidRPr="0033036B">
        <w:tab/>
      </w:r>
      <w:r w:rsidR="00EC1436" w:rsidRPr="0033036B">
        <w:t>(b)</w:t>
      </w:r>
      <w:r w:rsidR="00EC1436" w:rsidRPr="00237AD7">
        <w:rPr>
          <w:b/>
          <w:bCs/>
        </w:rPr>
        <w:tab/>
        <w:t>Fully implement the inclusive education system, incorporate inclusive education in academic training programmes and curricula for teaching staff, and allocate funds earmarked for the implementation of inclusive education;</w:t>
      </w:r>
    </w:p>
    <w:p w14:paraId="08B9BAA5" w14:textId="517219E8" w:rsidR="00EC1436" w:rsidRPr="0066302D" w:rsidRDefault="0033036B" w:rsidP="0033036B">
      <w:pPr>
        <w:pStyle w:val="SingleTxtG"/>
        <w:rPr>
          <w:b/>
          <w:bCs/>
        </w:rPr>
      </w:pPr>
      <w:r w:rsidRPr="0033036B">
        <w:tab/>
      </w:r>
      <w:r w:rsidR="00EC1436" w:rsidRPr="0033036B">
        <w:t>(c)</w:t>
      </w:r>
      <w:r w:rsidR="00EC1436" w:rsidRPr="0066302D">
        <w:rPr>
          <w:b/>
          <w:bCs/>
        </w:rPr>
        <w:tab/>
      </w:r>
      <w:r w:rsidR="00EC1436" w:rsidRPr="00237AD7">
        <w:rPr>
          <w:b/>
          <w:bCs/>
        </w:rPr>
        <w:t xml:space="preserve">Ensure that all asylum-seeking children have access to the school system for </w:t>
      </w:r>
      <w:r w:rsidR="00EC1436" w:rsidRPr="0066302D">
        <w:rPr>
          <w:b/>
          <w:bCs/>
        </w:rPr>
        <w:t>primary and secondary education regardless of their status;</w:t>
      </w:r>
    </w:p>
    <w:p w14:paraId="583A0BB4" w14:textId="29F6871C" w:rsidR="00EC1436" w:rsidRDefault="0033036B" w:rsidP="0033036B">
      <w:pPr>
        <w:pStyle w:val="SingleTxtG"/>
        <w:rPr>
          <w:b/>
          <w:bCs/>
        </w:rPr>
      </w:pPr>
      <w:r w:rsidRPr="0033036B">
        <w:tab/>
      </w:r>
      <w:r w:rsidR="00EC1436" w:rsidRPr="0033036B">
        <w:t>(d)</w:t>
      </w:r>
      <w:r w:rsidR="00EC1436" w:rsidRPr="0033036B">
        <w:tab/>
      </w:r>
      <w:r w:rsidR="00EC1436" w:rsidRPr="0066302D">
        <w:rPr>
          <w:b/>
          <w:bCs/>
        </w:rPr>
        <w:t>Make up for the learning</w:t>
      </w:r>
      <w:r w:rsidR="00EC1436" w:rsidRPr="00237AD7">
        <w:rPr>
          <w:b/>
          <w:bCs/>
        </w:rPr>
        <w:t xml:space="preserve"> opportunities lost </w:t>
      </w:r>
      <w:r w:rsidR="00EC1436">
        <w:rPr>
          <w:b/>
          <w:bCs/>
        </w:rPr>
        <w:t>owing</w:t>
      </w:r>
      <w:r w:rsidR="00EC1436" w:rsidRPr="00237AD7">
        <w:rPr>
          <w:b/>
          <w:bCs/>
        </w:rPr>
        <w:t xml:space="preserve"> to the </w:t>
      </w:r>
      <w:r w:rsidR="00EC1436">
        <w:rPr>
          <w:b/>
          <w:bCs/>
        </w:rPr>
        <w:t xml:space="preserve">COVID-19 </w:t>
      </w:r>
      <w:r w:rsidR="00EC1436" w:rsidRPr="00237AD7">
        <w:rPr>
          <w:b/>
          <w:bCs/>
        </w:rPr>
        <w:t xml:space="preserve">pandemic, </w:t>
      </w:r>
      <w:r w:rsidR="00EC1436">
        <w:rPr>
          <w:b/>
          <w:bCs/>
        </w:rPr>
        <w:t xml:space="preserve">in </w:t>
      </w:r>
      <w:r w:rsidR="00EC1436" w:rsidRPr="00237AD7">
        <w:rPr>
          <w:b/>
          <w:bCs/>
        </w:rPr>
        <w:t>particular by disadvantaged and marginalized children, and prevent further disruption of education</w:t>
      </w:r>
      <w:r w:rsidR="00EC1436">
        <w:rPr>
          <w:b/>
          <w:bCs/>
        </w:rPr>
        <w:t>;</w:t>
      </w:r>
    </w:p>
    <w:p w14:paraId="45DFE855" w14:textId="71AA1090" w:rsidR="00EC1436" w:rsidRPr="003437FA" w:rsidRDefault="0033036B" w:rsidP="0033036B">
      <w:pPr>
        <w:pStyle w:val="SingleTxtG"/>
        <w:rPr>
          <w:b/>
          <w:bCs/>
        </w:rPr>
      </w:pPr>
      <w:r>
        <w:rPr>
          <w:b/>
          <w:bCs/>
        </w:rPr>
        <w:tab/>
      </w:r>
      <w:r w:rsidR="00EC1436" w:rsidRPr="0033036B">
        <w:t>(e)</w:t>
      </w:r>
      <w:r w:rsidR="00EC1436" w:rsidRPr="003437FA">
        <w:rPr>
          <w:b/>
          <w:bCs/>
        </w:rPr>
        <w:tab/>
        <w:t xml:space="preserve">Take steps </w:t>
      </w:r>
      <w:r w:rsidR="00EC1436">
        <w:rPr>
          <w:b/>
          <w:bCs/>
        </w:rPr>
        <w:t xml:space="preserve">urgently </w:t>
      </w:r>
      <w:r w:rsidR="00EC1436" w:rsidRPr="003437FA">
        <w:rPr>
          <w:b/>
          <w:bCs/>
        </w:rPr>
        <w:t xml:space="preserve">to ensure </w:t>
      </w:r>
      <w:r w:rsidR="00EC1436">
        <w:rPr>
          <w:b/>
          <w:bCs/>
        </w:rPr>
        <w:t>that</w:t>
      </w:r>
      <w:r w:rsidR="00EC1436" w:rsidRPr="003437FA">
        <w:rPr>
          <w:b/>
          <w:bCs/>
        </w:rPr>
        <w:t xml:space="preserve"> national minorities </w:t>
      </w:r>
      <w:r w:rsidR="00EC1436">
        <w:rPr>
          <w:b/>
          <w:bCs/>
        </w:rPr>
        <w:t>are taught</w:t>
      </w:r>
      <w:r w:rsidR="00EC1436" w:rsidRPr="003437FA">
        <w:rPr>
          <w:b/>
          <w:bCs/>
        </w:rPr>
        <w:t xml:space="preserve"> their </w:t>
      </w:r>
      <w:proofErr w:type="gramStart"/>
      <w:r w:rsidR="00EC1436" w:rsidRPr="003437FA">
        <w:rPr>
          <w:b/>
          <w:bCs/>
        </w:rPr>
        <w:t>mother</w:t>
      </w:r>
      <w:r w:rsidR="00EC1436">
        <w:rPr>
          <w:b/>
          <w:bCs/>
        </w:rPr>
        <w:t xml:space="preserve"> </w:t>
      </w:r>
      <w:r w:rsidR="00EC1436" w:rsidRPr="003437FA">
        <w:rPr>
          <w:b/>
          <w:bCs/>
        </w:rPr>
        <w:t>tongue</w:t>
      </w:r>
      <w:proofErr w:type="gramEnd"/>
      <w:r w:rsidR="00EC1436" w:rsidRPr="003437FA">
        <w:rPr>
          <w:b/>
          <w:bCs/>
        </w:rPr>
        <w:t xml:space="preserve"> as a separate subject in preschool and secondary school.</w:t>
      </w:r>
    </w:p>
    <w:p w14:paraId="39E0ECF4" w14:textId="77BB0A1F" w:rsidR="00EC1436" w:rsidRPr="003437FA" w:rsidRDefault="004F4B4A" w:rsidP="001405B6">
      <w:pPr>
        <w:pStyle w:val="H23G"/>
      </w:pPr>
      <w:r>
        <w:tab/>
      </w:r>
      <w:r>
        <w:tab/>
      </w:r>
      <w:r w:rsidR="00EC1436" w:rsidRPr="003437FA">
        <w:t>Cultural rights</w:t>
      </w:r>
    </w:p>
    <w:p w14:paraId="04EF31F3" w14:textId="77777777" w:rsidR="00EC1436" w:rsidRPr="003437FA" w:rsidRDefault="00EC1436" w:rsidP="00EC1436">
      <w:pPr>
        <w:pStyle w:val="SingleTxtG"/>
        <w:tabs>
          <w:tab w:val="clear" w:pos="1701"/>
          <w:tab w:val="clear" w:pos="2268"/>
        </w:tabs>
      </w:pPr>
      <w:r w:rsidRPr="003437FA">
        <w:rPr>
          <w:bCs/>
        </w:rPr>
        <w:t>61.</w:t>
      </w:r>
      <w:r w:rsidRPr="003437FA">
        <w:rPr>
          <w:bCs/>
        </w:rPr>
        <w:tab/>
      </w:r>
      <w:r w:rsidRPr="003437FA">
        <w:t xml:space="preserve">While noting the various measures taken by the State party to protect cultural rights, including the </w:t>
      </w:r>
      <w:r w:rsidRPr="00634476">
        <w:t>Action Plan for the Representation of the History of National Minorities in Lithuania</w:t>
      </w:r>
      <w:r w:rsidRPr="003437FA">
        <w:t>, the Committee is concerned about the challenges faced by disadvantaged and marginalized groups</w:t>
      </w:r>
      <w:r>
        <w:t>,</w:t>
      </w:r>
      <w:r w:rsidRPr="003437FA">
        <w:t xml:space="preserve"> as well as </w:t>
      </w:r>
      <w:r>
        <w:t xml:space="preserve">by </w:t>
      </w:r>
      <w:r w:rsidRPr="003437FA">
        <w:t>national minorities</w:t>
      </w:r>
      <w:r>
        <w:t>, in</w:t>
      </w:r>
      <w:r w:rsidRPr="003437FA">
        <w:t xml:space="preserve"> access</w:t>
      </w:r>
      <w:r>
        <w:t>ing</w:t>
      </w:r>
      <w:r w:rsidRPr="003437FA">
        <w:t xml:space="preserve"> culture and the benefits of scientific research</w:t>
      </w:r>
      <w:r>
        <w:t xml:space="preserve"> (</w:t>
      </w:r>
      <w:r w:rsidRPr="003437FA">
        <w:t>art. 15)</w:t>
      </w:r>
      <w:r>
        <w:t>.</w:t>
      </w:r>
    </w:p>
    <w:p w14:paraId="675BDA91" w14:textId="77777777" w:rsidR="00EC1436" w:rsidRPr="003437FA" w:rsidRDefault="00EC1436" w:rsidP="00EC1436">
      <w:pPr>
        <w:pStyle w:val="SingleTxtG"/>
        <w:tabs>
          <w:tab w:val="clear" w:pos="1701"/>
          <w:tab w:val="clear" w:pos="2268"/>
        </w:tabs>
        <w:rPr>
          <w:b/>
          <w:bCs/>
        </w:rPr>
      </w:pPr>
      <w:r w:rsidRPr="003437FA">
        <w:rPr>
          <w:bCs/>
        </w:rPr>
        <w:lastRenderedPageBreak/>
        <w:t>62.</w:t>
      </w:r>
      <w:r w:rsidRPr="003437FA">
        <w:rPr>
          <w:bCs/>
        </w:rPr>
        <w:tab/>
      </w:r>
      <w:r w:rsidRPr="003437FA">
        <w:rPr>
          <w:b/>
          <w:bCs/>
        </w:rPr>
        <w:t>The Committee recommends that the State party increase efforts to make culture accessible and available for all, ensuring that national minorities</w:t>
      </w:r>
      <w:r>
        <w:rPr>
          <w:b/>
          <w:bCs/>
        </w:rPr>
        <w:t xml:space="preserve"> and</w:t>
      </w:r>
      <w:r w:rsidRPr="003437FA">
        <w:rPr>
          <w:b/>
          <w:bCs/>
        </w:rPr>
        <w:t xml:space="preserve"> disadvantaged and marginalized groups have affordable access to culture and enjoy the benefit of scientific progress.</w:t>
      </w:r>
    </w:p>
    <w:p w14:paraId="49DCDBB8" w14:textId="77777777" w:rsidR="00EC1436" w:rsidRPr="00237AD7" w:rsidRDefault="00EC1436" w:rsidP="00EC1436">
      <w:pPr>
        <w:pStyle w:val="H1G"/>
        <w:rPr>
          <w:b w:val="0"/>
          <w:bCs/>
          <w:i/>
          <w:iCs/>
        </w:rPr>
      </w:pPr>
      <w:r w:rsidRPr="00237AD7">
        <w:tab/>
        <w:t>D.</w:t>
      </w:r>
      <w:r w:rsidRPr="00237AD7">
        <w:tab/>
        <w:t>Other recommendations</w:t>
      </w:r>
    </w:p>
    <w:p w14:paraId="38E60307" w14:textId="77777777" w:rsidR="00EC1436" w:rsidRPr="00237AD7" w:rsidRDefault="00EC1436" w:rsidP="00EC1436">
      <w:pPr>
        <w:pStyle w:val="SingleTxtG"/>
        <w:tabs>
          <w:tab w:val="clear" w:pos="1701"/>
          <w:tab w:val="clear" w:pos="2268"/>
        </w:tabs>
        <w:rPr>
          <w:b/>
          <w:bCs/>
        </w:rPr>
      </w:pPr>
      <w:r w:rsidRPr="00237AD7">
        <w:rPr>
          <w:bCs/>
        </w:rPr>
        <w:t>63.</w:t>
      </w:r>
      <w:r w:rsidRPr="00237AD7">
        <w:rPr>
          <w:bCs/>
        </w:rPr>
        <w:tab/>
      </w:r>
      <w:r w:rsidRPr="00237AD7">
        <w:rPr>
          <w:b/>
          <w:bCs/>
        </w:rPr>
        <w:t>The Committee encourages the State party to ratify the Optional Protocol to the International Covenant on Economic, Social and Cultural Rights.</w:t>
      </w:r>
    </w:p>
    <w:p w14:paraId="6B0EED92" w14:textId="77777777" w:rsidR="00EC1436" w:rsidRPr="00237AD7" w:rsidRDefault="00EC1436" w:rsidP="00EC1436">
      <w:pPr>
        <w:pStyle w:val="SingleTxtG"/>
        <w:tabs>
          <w:tab w:val="clear" w:pos="1701"/>
          <w:tab w:val="clear" w:pos="2268"/>
        </w:tabs>
        <w:rPr>
          <w:b/>
          <w:bCs/>
        </w:rPr>
      </w:pPr>
      <w:r w:rsidRPr="00237AD7">
        <w:rPr>
          <w:bCs/>
        </w:rPr>
        <w:t>64.</w:t>
      </w:r>
      <w:r w:rsidRPr="00237AD7">
        <w:rPr>
          <w:bCs/>
        </w:rPr>
        <w:tab/>
      </w:r>
      <w:r w:rsidRPr="00237AD7">
        <w:rPr>
          <w:b/>
          <w:bCs/>
        </w:rPr>
        <w:t xml:space="preserve">The Committee recommends that the State party </w:t>
      </w:r>
      <w:r>
        <w:rPr>
          <w:b/>
          <w:bCs/>
        </w:rPr>
        <w:t>accede to</w:t>
      </w:r>
      <w:r w:rsidRPr="00237AD7">
        <w:rPr>
          <w:b/>
          <w:bCs/>
        </w:rPr>
        <w:t xml:space="preserve"> the core human rights instruments to which it is not yet a party, including the International Convention on the Protection of the Rights of All Migrant Workers and Members of Their Families</w:t>
      </w:r>
      <w:r>
        <w:rPr>
          <w:b/>
          <w:bCs/>
        </w:rPr>
        <w:t>.</w:t>
      </w:r>
    </w:p>
    <w:p w14:paraId="36BCE590" w14:textId="77777777" w:rsidR="00EC1436" w:rsidRPr="00237AD7" w:rsidRDefault="00EC1436" w:rsidP="00EC1436">
      <w:pPr>
        <w:pStyle w:val="SingleTxtG"/>
        <w:tabs>
          <w:tab w:val="clear" w:pos="1701"/>
          <w:tab w:val="clear" w:pos="2268"/>
        </w:tabs>
        <w:rPr>
          <w:b/>
          <w:bCs/>
        </w:rPr>
      </w:pPr>
      <w:r w:rsidRPr="00237AD7">
        <w:rPr>
          <w:bCs/>
        </w:rPr>
        <w:t>65.</w:t>
      </w:r>
      <w:r w:rsidRPr="00237AD7">
        <w:rPr>
          <w:bCs/>
        </w:rPr>
        <w:tab/>
      </w:r>
      <w:r w:rsidRPr="00237AD7">
        <w:rPr>
          <w:b/>
          <w:bCs/>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including in the recovery from the COVID-19 pandemic. Achievement of the Sustainable Development Goals would </w:t>
      </w:r>
      <w:proofErr w:type="gramStart"/>
      <w:r w:rsidRPr="00237AD7">
        <w:rPr>
          <w:b/>
          <w:bCs/>
        </w:rPr>
        <w:t>be significantly facilitated</w:t>
      </w:r>
      <w:proofErr w:type="gramEnd"/>
      <w:r w:rsidRPr="00237AD7">
        <w:rPr>
          <w:b/>
          <w:bCs/>
        </w:rPr>
        <w:t xml:space="preserve"> by the State party establishing independent mechanisms to monitor progress and treating beneficiaries of public programmes as rights holders who can claim entitlements</w:t>
      </w:r>
      <w:r w:rsidRPr="009454AC">
        <w:rPr>
          <w:b/>
          <w:bCs/>
        </w:rPr>
        <w:t xml:space="preserve">. Moreover, the Committee recommends that the State party support the global commitment of the decade of action </w:t>
      </w:r>
      <w:r>
        <w:rPr>
          <w:b/>
          <w:bCs/>
        </w:rPr>
        <w:t>for</w:t>
      </w:r>
      <w:r w:rsidRPr="009454AC">
        <w:rPr>
          <w:b/>
          <w:bCs/>
        </w:rPr>
        <w:t xml:space="preserve"> the Sustainable Development Goals. Implementing</w:t>
      </w:r>
      <w:r w:rsidRPr="00237AD7">
        <w:rPr>
          <w:b/>
          <w:bCs/>
        </w:rPr>
        <w:t xml:space="preserve"> the Goals on the basis of the principles of participation, accountability and non-discrimination would ensure that no one </w:t>
      </w:r>
      <w:proofErr w:type="gramStart"/>
      <w:r w:rsidRPr="00237AD7">
        <w:rPr>
          <w:b/>
          <w:bCs/>
        </w:rPr>
        <w:t>is left</w:t>
      </w:r>
      <w:proofErr w:type="gramEnd"/>
      <w:r w:rsidRPr="00237AD7">
        <w:rPr>
          <w:b/>
          <w:bCs/>
        </w:rPr>
        <w:t xml:space="preserve"> behind. In this regard, the Committee draws the State party’s attention to its statement on the pledge to leave no one behind.</w:t>
      </w:r>
      <w:r w:rsidRPr="001405B6">
        <w:rPr>
          <w:rStyle w:val="FootnoteReference"/>
        </w:rPr>
        <w:footnoteReference w:id="16"/>
      </w:r>
    </w:p>
    <w:p w14:paraId="07BF91F8" w14:textId="77777777" w:rsidR="00EC1436" w:rsidRPr="00D87584" w:rsidRDefault="00EC1436" w:rsidP="00EC1436">
      <w:pPr>
        <w:pStyle w:val="SingleTxtG"/>
        <w:tabs>
          <w:tab w:val="clear" w:pos="1701"/>
          <w:tab w:val="clear" w:pos="2268"/>
        </w:tabs>
        <w:rPr>
          <w:b/>
          <w:bCs/>
        </w:rPr>
      </w:pPr>
      <w:r w:rsidRPr="00D87584">
        <w:rPr>
          <w:bCs/>
        </w:rPr>
        <w:t>66.</w:t>
      </w:r>
      <w:r w:rsidRPr="00D87584">
        <w:rPr>
          <w:bCs/>
        </w:rPr>
        <w:tab/>
      </w:r>
      <w:r w:rsidRPr="00237AD7">
        <w:rPr>
          <w:b/>
          <w:bCs/>
        </w:rPr>
        <w:t xml:space="preserve">The Committee requests that the State party disseminate the present concluding observations widely at all levels of society, </w:t>
      </w:r>
      <w:r>
        <w:rPr>
          <w:b/>
          <w:bCs/>
        </w:rPr>
        <w:t>in particular among</w:t>
      </w:r>
      <w:r w:rsidRPr="00237AD7">
        <w:rPr>
          <w:b/>
          <w:bCs/>
        </w:rPr>
        <w:t xml:space="preserve"> local municipalities, parliamentarians, public officials and judicial authorities, and that it </w:t>
      </w:r>
      <w:proofErr w:type="gramStart"/>
      <w:r w:rsidRPr="00237AD7">
        <w:rPr>
          <w:b/>
          <w:bCs/>
        </w:rPr>
        <w:t>inform</w:t>
      </w:r>
      <w:proofErr w:type="gramEnd"/>
      <w:r w:rsidRPr="00237AD7">
        <w:rPr>
          <w:b/>
          <w:bCs/>
        </w:rPr>
        <w:t xml:space="preserve"> the Committee in its next periodic report about the steps taken to implement them. The Committee emphasizes the crucial role that </w:t>
      </w:r>
      <w:r>
        <w:rPr>
          <w:b/>
          <w:bCs/>
        </w:rPr>
        <w:t>p</w:t>
      </w:r>
      <w:r w:rsidRPr="00237AD7">
        <w:rPr>
          <w:b/>
          <w:bCs/>
        </w:rPr>
        <w:t xml:space="preserve">arliament plays in implementing the present concluding observations and encourages the State party to ensure its involvement in future reporting and follow-up procedures. The Committee also encourages the State party to continue engaging </w:t>
      </w:r>
      <w:r w:rsidRPr="004C3789">
        <w:rPr>
          <w:b/>
          <w:bCs/>
        </w:rPr>
        <w:t xml:space="preserve">the parliamentary </w:t>
      </w:r>
      <w:r>
        <w:rPr>
          <w:b/>
          <w:bCs/>
        </w:rPr>
        <w:t>o</w:t>
      </w:r>
      <w:r w:rsidRPr="004C3789">
        <w:rPr>
          <w:b/>
          <w:bCs/>
        </w:rPr>
        <w:t>mbudsmen</w:t>
      </w:r>
      <w:r>
        <w:rPr>
          <w:b/>
          <w:bCs/>
        </w:rPr>
        <w:t>’s office</w:t>
      </w:r>
      <w:r w:rsidRPr="00237AD7">
        <w:rPr>
          <w:b/>
          <w:bCs/>
        </w:rPr>
        <w:t xml:space="preserve"> non-governmental organizations and other members of civil </w:t>
      </w:r>
      <w:r w:rsidRPr="00D87584">
        <w:rPr>
          <w:b/>
          <w:bCs/>
        </w:rPr>
        <w:t xml:space="preserve">society in the process of discussion at the national level prior to the submission of its next periodic report. </w:t>
      </w:r>
    </w:p>
    <w:p w14:paraId="5B4F839A" w14:textId="77777777" w:rsidR="00EC1436" w:rsidRPr="00F3770A" w:rsidRDefault="00EC1436" w:rsidP="00EC1436">
      <w:pPr>
        <w:pStyle w:val="SingleTxtG"/>
        <w:tabs>
          <w:tab w:val="clear" w:pos="1701"/>
          <w:tab w:val="clear" w:pos="2268"/>
        </w:tabs>
        <w:rPr>
          <w:b/>
          <w:bCs/>
        </w:rPr>
      </w:pPr>
      <w:r w:rsidRPr="00F3770A">
        <w:rPr>
          <w:bCs/>
        </w:rPr>
        <w:t>67.</w:t>
      </w:r>
      <w:r w:rsidRPr="00F3770A">
        <w:rPr>
          <w:bCs/>
        </w:rPr>
        <w:tab/>
      </w:r>
      <w:r w:rsidRPr="00237AD7">
        <w:rPr>
          <w:b/>
          <w:bCs/>
        </w:rPr>
        <w:t xml:space="preserve">In accordance with the procedure on follow-up to concluding observations adopted by the Committee, the State party </w:t>
      </w:r>
      <w:proofErr w:type="gramStart"/>
      <w:r w:rsidRPr="00237AD7">
        <w:rPr>
          <w:b/>
          <w:bCs/>
        </w:rPr>
        <w:t>is requested</w:t>
      </w:r>
      <w:proofErr w:type="gramEnd"/>
      <w:r w:rsidRPr="00237AD7">
        <w:rPr>
          <w:b/>
          <w:bCs/>
        </w:rPr>
        <w:t xml:space="preserve"> to provide, within 24 months of the adoption of the present concluding observations, information on the implementation of the recommendations </w:t>
      </w:r>
      <w:r w:rsidRPr="00F3770A">
        <w:rPr>
          <w:b/>
          <w:bCs/>
        </w:rPr>
        <w:t>contained in paragraphs 9 (national minorities), 17 (climate change) and 51 (right to adequate housing) above.</w:t>
      </w:r>
    </w:p>
    <w:p w14:paraId="147880BE" w14:textId="77777777" w:rsidR="00EC1436" w:rsidRPr="00237AD7" w:rsidRDefault="00EC1436" w:rsidP="00EC1436">
      <w:pPr>
        <w:pStyle w:val="SingleTxtG"/>
        <w:tabs>
          <w:tab w:val="clear" w:pos="1701"/>
          <w:tab w:val="clear" w:pos="2268"/>
        </w:tabs>
        <w:rPr>
          <w:b/>
        </w:rPr>
      </w:pPr>
      <w:r w:rsidRPr="00237AD7">
        <w:rPr>
          <w:bCs/>
        </w:rPr>
        <w:t>68.</w:t>
      </w:r>
      <w:r w:rsidRPr="00237AD7">
        <w:rPr>
          <w:bCs/>
        </w:rPr>
        <w:tab/>
      </w:r>
      <w:r w:rsidRPr="00237AD7">
        <w:rPr>
          <w:b/>
          <w:bCs/>
        </w:rPr>
        <w:t>The Committee requests the State party to submit its fourth periodic report in accordance with article 16 of the Covenant by 31 March 2028, unless otherwise notified as a result of a change in the review cycle. In accordance with General Assembly resolution 68/268, the word limit for the report is 21,200 words.</w:t>
      </w:r>
    </w:p>
    <w:p w14:paraId="2FF5B3E5" w14:textId="77777777" w:rsidR="00EC1436" w:rsidRPr="00AF5E97" w:rsidRDefault="00EC1436" w:rsidP="005F000A">
      <w:pPr>
        <w:spacing w:before="240"/>
        <w:jc w:val="center"/>
        <w:rPr>
          <w:u w:val="single"/>
          <w:lang w:val="en-US"/>
        </w:rPr>
      </w:pPr>
      <w:r w:rsidRPr="00AF5E97">
        <w:rPr>
          <w:u w:val="single"/>
          <w:lang w:val="en-US"/>
        </w:rPr>
        <w:tab/>
      </w:r>
      <w:r w:rsidRPr="00AF5E97">
        <w:rPr>
          <w:u w:val="single"/>
          <w:lang w:val="en-US"/>
        </w:rPr>
        <w:tab/>
      </w:r>
      <w:r w:rsidRPr="00AF5E97">
        <w:rPr>
          <w:u w:val="single"/>
          <w:lang w:val="en-US"/>
        </w:rPr>
        <w:tab/>
      </w:r>
    </w:p>
    <w:sectPr w:rsidR="00EC1436" w:rsidRPr="00AF5E9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F68E" w14:textId="77777777" w:rsidR="00325531" w:rsidRPr="00FB1744" w:rsidRDefault="00325531" w:rsidP="00FB1744">
      <w:pPr>
        <w:pStyle w:val="Footer"/>
      </w:pPr>
    </w:p>
  </w:endnote>
  <w:endnote w:type="continuationSeparator" w:id="0">
    <w:p w14:paraId="348BD311" w14:textId="77777777" w:rsidR="00325531" w:rsidRPr="00FB1744" w:rsidRDefault="0032553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5594" w14:textId="77777777" w:rsidR="00EC1436" w:rsidRDefault="00EC1436" w:rsidP="00EC1436">
    <w:pPr>
      <w:pStyle w:val="Footer"/>
      <w:tabs>
        <w:tab w:val="right" w:pos="9638"/>
      </w:tabs>
    </w:pPr>
    <w:r w:rsidRPr="00EC1436">
      <w:rPr>
        <w:b/>
        <w:bCs/>
        <w:sz w:val="18"/>
      </w:rPr>
      <w:fldChar w:fldCharType="begin"/>
    </w:r>
    <w:r w:rsidRPr="00EC1436">
      <w:rPr>
        <w:b/>
        <w:bCs/>
        <w:sz w:val="18"/>
      </w:rPr>
      <w:instrText xml:space="preserve"> PAGE  \* MERGEFORMAT </w:instrText>
    </w:r>
    <w:r w:rsidRPr="00EC1436">
      <w:rPr>
        <w:b/>
        <w:bCs/>
        <w:sz w:val="18"/>
      </w:rPr>
      <w:fldChar w:fldCharType="separate"/>
    </w:r>
    <w:r w:rsidRPr="00EC1436">
      <w:rPr>
        <w:b/>
        <w:bCs/>
        <w:noProof/>
        <w:sz w:val="18"/>
      </w:rPr>
      <w:t>2</w:t>
    </w:r>
    <w:r w:rsidRPr="00EC1436">
      <w:rPr>
        <w:b/>
        <w:bCs/>
        <w:sz w:val="18"/>
      </w:rPr>
      <w:fldChar w:fldCharType="end"/>
    </w:r>
    <w:r>
      <w:tab/>
      <w:t>GE.23-04642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F492" w14:textId="77777777" w:rsidR="00EC1436" w:rsidRDefault="00EC1436" w:rsidP="00EC1436">
    <w:pPr>
      <w:pStyle w:val="Footer"/>
      <w:tabs>
        <w:tab w:val="right" w:pos="9638"/>
      </w:tabs>
    </w:pPr>
    <w:r>
      <w:t>GE.23-04642</w:t>
    </w:r>
    <w:r>
      <w:tab/>
    </w:r>
    <w:r w:rsidRPr="00EC1436">
      <w:rPr>
        <w:b/>
        <w:bCs/>
        <w:sz w:val="18"/>
      </w:rPr>
      <w:fldChar w:fldCharType="begin"/>
    </w:r>
    <w:r w:rsidRPr="00EC1436">
      <w:rPr>
        <w:b/>
        <w:bCs/>
        <w:sz w:val="18"/>
      </w:rPr>
      <w:instrText xml:space="preserve"> PAGE  \* MERGEFORMAT </w:instrText>
    </w:r>
    <w:r w:rsidRPr="00EC1436">
      <w:rPr>
        <w:b/>
        <w:bCs/>
        <w:sz w:val="18"/>
      </w:rPr>
      <w:fldChar w:fldCharType="separate"/>
    </w:r>
    <w:r w:rsidRPr="00EC1436">
      <w:rPr>
        <w:b/>
        <w:bCs/>
        <w:noProof/>
        <w:sz w:val="18"/>
      </w:rPr>
      <w:t>3</w:t>
    </w:r>
    <w:r w:rsidRPr="00EC143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AB46" w14:textId="77777777" w:rsidR="00C448F7" w:rsidRDefault="00EC1436">
    <w:pPr>
      <w:pStyle w:val="Footer"/>
      <w:rPr>
        <w:sz w:val="20"/>
      </w:rPr>
    </w:pPr>
    <w:r w:rsidRPr="0027112F">
      <w:rPr>
        <w:noProof/>
        <w:lang w:val="en-US"/>
      </w:rPr>
      <w:drawing>
        <wp:anchor distT="0" distB="0" distL="114300" distR="114300" simplePos="0" relativeHeight="251659264" behindDoc="0" locked="1" layoutInCell="1" allowOverlap="1" wp14:anchorId="6A6A04B7" wp14:editId="0043CFE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C9652F" w14:textId="046966A9" w:rsidR="00EC1436" w:rsidRPr="00EC1436" w:rsidRDefault="00EC1436" w:rsidP="00EC1436">
    <w:pPr>
      <w:pStyle w:val="Footer"/>
      <w:tabs>
        <w:tab w:val="right" w:pos="7370"/>
      </w:tabs>
      <w:rPr>
        <w:sz w:val="20"/>
      </w:rPr>
    </w:pPr>
    <w:r>
      <w:rPr>
        <w:sz w:val="20"/>
      </w:rPr>
      <w:t>GE.23-04642  (E)</w:t>
    </w:r>
    <w:r>
      <w:rPr>
        <w:noProof/>
        <w:sz w:val="20"/>
      </w:rPr>
      <w:drawing>
        <wp:anchor distT="0" distB="0" distL="114300" distR="114300" simplePos="0" relativeHeight="251660288" behindDoc="0" locked="0" layoutInCell="1" allowOverlap="1" wp14:anchorId="448B8837" wp14:editId="37F581C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15A">
      <w:rPr>
        <w:sz w:val="20"/>
      </w:rPr>
      <w:t xml:space="preserve">    290323    300323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EA8B" w14:textId="77777777" w:rsidR="00325531" w:rsidRPr="00FB1744" w:rsidRDefault="00325531" w:rsidP="00FB1744">
      <w:pPr>
        <w:tabs>
          <w:tab w:val="right" w:pos="2155"/>
        </w:tabs>
        <w:spacing w:after="80" w:line="240" w:lineRule="auto"/>
        <w:ind w:left="680"/>
      </w:pPr>
      <w:r>
        <w:rPr>
          <w:u w:val="single"/>
        </w:rPr>
        <w:tab/>
      </w:r>
    </w:p>
  </w:footnote>
  <w:footnote w:type="continuationSeparator" w:id="0">
    <w:p w14:paraId="770AFF17" w14:textId="77777777" w:rsidR="00325531" w:rsidRPr="00FB1744" w:rsidRDefault="00325531" w:rsidP="00FB1744">
      <w:pPr>
        <w:tabs>
          <w:tab w:val="right" w:pos="2155"/>
        </w:tabs>
        <w:spacing w:after="80" w:line="240" w:lineRule="auto"/>
        <w:ind w:left="680"/>
      </w:pPr>
      <w:r>
        <w:rPr>
          <w:u w:val="single"/>
        </w:rPr>
        <w:tab/>
      </w:r>
    </w:p>
  </w:footnote>
  <w:footnote w:id="1">
    <w:p w14:paraId="1E99DD99" w14:textId="77777777" w:rsidR="00EC1436" w:rsidRPr="00E06F94" w:rsidRDefault="00EC1436" w:rsidP="00EC1436">
      <w:pPr>
        <w:pStyle w:val="FootnoteText"/>
      </w:pPr>
      <w:r>
        <w:tab/>
      </w:r>
      <w:r w:rsidRPr="00E06F94">
        <w:rPr>
          <w:sz w:val="20"/>
        </w:rPr>
        <w:t>*</w:t>
      </w:r>
      <w:r>
        <w:rPr>
          <w:sz w:val="20"/>
        </w:rPr>
        <w:tab/>
      </w:r>
      <w:r>
        <w:t>Adopted by the Committee at its seventy-third session (13 February–3 March 2023).</w:t>
      </w:r>
    </w:p>
  </w:footnote>
  <w:footnote w:id="2">
    <w:p w14:paraId="0FD6F0A8" w14:textId="388DBDDF" w:rsidR="00EC1436" w:rsidRPr="00CB75AD" w:rsidRDefault="00EC1436" w:rsidP="00EC1436">
      <w:pPr>
        <w:pStyle w:val="FootnoteText"/>
        <w:rPr>
          <w:lang w:val="es-ES_tradnl"/>
        </w:rPr>
      </w:pPr>
      <w:r w:rsidRPr="007E5FDE">
        <w:tab/>
      </w:r>
      <w:r w:rsidRPr="001405B6">
        <w:rPr>
          <w:rStyle w:val="FootnoteReference"/>
        </w:rPr>
        <w:footnoteRef/>
      </w:r>
      <w:r w:rsidRPr="00CB75AD">
        <w:rPr>
          <w:lang w:val="es-ES_tradnl"/>
        </w:rPr>
        <w:tab/>
      </w:r>
      <w:bookmarkStart w:id="0" w:name="_Hlk122025192"/>
      <w:r w:rsidRPr="007E5FDE">
        <w:fldChar w:fldCharType="begin"/>
      </w:r>
      <w:r w:rsidRPr="00CB75AD">
        <w:rPr>
          <w:lang w:val="es-ES_tradnl"/>
        </w:rPr>
        <w:instrText>HYPERLINK "http://undocs.org/en/E/C.12/LTU/3"</w:instrText>
      </w:r>
      <w:r w:rsidRPr="007E5FDE">
        <w:fldChar w:fldCharType="separate"/>
      </w:r>
      <w:r w:rsidRPr="00CB75AD">
        <w:rPr>
          <w:rStyle w:val="Hyperlink"/>
          <w:sz w:val="16"/>
          <w:szCs w:val="16"/>
          <w:lang w:val="es-ES_tradnl"/>
        </w:rPr>
        <w:t>E/C.12/LTU/3</w:t>
      </w:r>
      <w:r w:rsidRPr="007E5FDE">
        <w:fldChar w:fldCharType="end"/>
      </w:r>
      <w:bookmarkEnd w:id="0"/>
      <w:r w:rsidRPr="00AF5E97">
        <w:rPr>
          <w:lang w:val="es-ES"/>
        </w:rPr>
        <w:t>.</w:t>
      </w:r>
    </w:p>
  </w:footnote>
  <w:footnote w:id="3">
    <w:p w14:paraId="43DB07BE" w14:textId="30B9E768" w:rsidR="00EC1436" w:rsidRPr="00CB75AD" w:rsidRDefault="00EC1436" w:rsidP="00EC1436">
      <w:pPr>
        <w:pStyle w:val="FootnoteText"/>
        <w:rPr>
          <w:sz w:val="16"/>
          <w:szCs w:val="16"/>
          <w:lang w:val="es-ES_tradnl"/>
        </w:rPr>
      </w:pPr>
      <w:r w:rsidRPr="00CB75AD">
        <w:rPr>
          <w:sz w:val="16"/>
          <w:szCs w:val="16"/>
          <w:lang w:val="es-ES_tradnl"/>
        </w:rPr>
        <w:tab/>
      </w:r>
      <w:r w:rsidRPr="001405B6">
        <w:rPr>
          <w:rStyle w:val="FootnoteReference"/>
        </w:rPr>
        <w:footnoteRef/>
      </w:r>
      <w:r w:rsidRPr="00CB75AD">
        <w:rPr>
          <w:sz w:val="16"/>
          <w:szCs w:val="16"/>
          <w:lang w:val="es-ES_tradnl"/>
        </w:rPr>
        <w:tab/>
      </w:r>
      <w:hyperlink r:id="rId1" w:history="1">
        <w:r w:rsidRPr="007E5FDE">
          <w:rPr>
            <w:rStyle w:val="Hyperlink"/>
            <w:sz w:val="16"/>
            <w:szCs w:val="16"/>
            <w:lang w:val="es-ES"/>
          </w:rPr>
          <w:t>E/C</w:t>
        </w:r>
        <w:r w:rsidRPr="007E5FDE">
          <w:rPr>
            <w:rStyle w:val="Hyperlink"/>
            <w:sz w:val="16"/>
            <w:szCs w:val="16"/>
            <w:lang w:val="es-ES" w:eastAsia="en-GB"/>
          </w:rPr>
          <w:t>.</w:t>
        </w:r>
        <w:r w:rsidRPr="007E5FDE">
          <w:rPr>
            <w:rStyle w:val="Hyperlink"/>
            <w:sz w:val="16"/>
            <w:szCs w:val="16"/>
            <w:lang w:val="es-ES"/>
          </w:rPr>
          <w:t>12/2023/SR</w:t>
        </w:r>
        <w:r w:rsidRPr="007E5FDE">
          <w:rPr>
            <w:rStyle w:val="Hyperlink"/>
            <w:sz w:val="16"/>
            <w:szCs w:val="16"/>
            <w:lang w:val="es-ES" w:eastAsia="en-GB"/>
          </w:rPr>
          <w:t>.16</w:t>
        </w:r>
      </w:hyperlink>
      <w:r w:rsidRPr="007E5FDE">
        <w:rPr>
          <w:color w:val="000000"/>
          <w:sz w:val="16"/>
          <w:szCs w:val="16"/>
          <w:lang w:val="es-ES"/>
        </w:rPr>
        <w:t xml:space="preserve"> </w:t>
      </w:r>
      <w:r w:rsidRPr="007E5FDE">
        <w:rPr>
          <w:sz w:val="16"/>
          <w:szCs w:val="16"/>
          <w:lang w:val="es-ES"/>
        </w:rPr>
        <w:t xml:space="preserve">and </w:t>
      </w:r>
      <w:hyperlink r:id="rId2" w:history="1">
        <w:r w:rsidRPr="007E5FDE">
          <w:rPr>
            <w:rStyle w:val="Hyperlink"/>
            <w:sz w:val="16"/>
            <w:szCs w:val="16"/>
            <w:lang w:val="es-ES"/>
          </w:rPr>
          <w:t>E/C.12/2023/SR</w:t>
        </w:r>
        <w:r w:rsidRPr="007E5FDE">
          <w:rPr>
            <w:rStyle w:val="Hyperlink"/>
            <w:sz w:val="16"/>
            <w:szCs w:val="16"/>
            <w:lang w:val="es-ES" w:eastAsia="en-GB"/>
          </w:rPr>
          <w:t>.1</w:t>
        </w:r>
      </w:hyperlink>
      <w:r w:rsidRPr="007E5FDE">
        <w:rPr>
          <w:rStyle w:val="Hyperlink"/>
          <w:sz w:val="16"/>
          <w:szCs w:val="16"/>
          <w:lang w:val="es-ES" w:eastAsia="en-GB"/>
        </w:rPr>
        <w:t>8</w:t>
      </w:r>
      <w:r w:rsidRPr="00AF5E97">
        <w:rPr>
          <w:lang w:val="es-ES"/>
        </w:rPr>
        <w:t>.</w:t>
      </w:r>
    </w:p>
  </w:footnote>
  <w:footnote w:id="4">
    <w:p w14:paraId="44C4CC08" w14:textId="66EF60FD" w:rsidR="00EC1436" w:rsidRPr="00E53C7E" w:rsidRDefault="00EC1436" w:rsidP="001405B6">
      <w:pPr>
        <w:pStyle w:val="FootnoteText"/>
        <w:rPr>
          <w:sz w:val="16"/>
          <w:szCs w:val="16"/>
        </w:rPr>
      </w:pPr>
      <w:r w:rsidRPr="00CB75AD">
        <w:rPr>
          <w:sz w:val="16"/>
          <w:szCs w:val="16"/>
          <w:lang w:val="es-ES_tradnl"/>
        </w:rPr>
        <w:tab/>
      </w:r>
      <w:r w:rsidRPr="001405B6">
        <w:rPr>
          <w:rStyle w:val="FootnoteReference"/>
        </w:rPr>
        <w:footnoteRef/>
      </w:r>
      <w:r w:rsidRPr="00E53C7E">
        <w:rPr>
          <w:sz w:val="16"/>
          <w:szCs w:val="16"/>
        </w:rPr>
        <w:tab/>
      </w:r>
      <w:hyperlink r:id="rId3" w:history="1">
        <w:r w:rsidRPr="00E53C7E">
          <w:rPr>
            <w:rStyle w:val="Hyperlink"/>
            <w:sz w:val="16"/>
            <w:szCs w:val="16"/>
          </w:rPr>
          <w:t>E/C.12/LTU/RQ/3</w:t>
        </w:r>
      </w:hyperlink>
      <w:r w:rsidRPr="00E53C7E">
        <w:rPr>
          <w:rStyle w:val="Hyperlink"/>
          <w:sz w:val="16"/>
          <w:szCs w:val="16"/>
        </w:rPr>
        <w:t>.</w:t>
      </w:r>
      <w:r w:rsidR="001405B6">
        <w:rPr>
          <w:rStyle w:val="Hyperlink"/>
          <w:sz w:val="16"/>
          <w:szCs w:val="16"/>
        </w:rPr>
        <w:t>W</w:t>
      </w:r>
      <w:r w:rsidR="00F21B92" w:rsidRPr="00F21B92">
        <w:t>.</w:t>
      </w:r>
    </w:p>
  </w:footnote>
  <w:footnote w:id="5">
    <w:p w14:paraId="4CD417BC" w14:textId="5EB24642" w:rsidR="00EC1436" w:rsidRPr="007E5FDE" w:rsidRDefault="00EC1436" w:rsidP="00EC1436">
      <w:pPr>
        <w:pStyle w:val="FootnoteText"/>
        <w:rPr>
          <w:szCs w:val="16"/>
        </w:rPr>
      </w:pPr>
      <w:r w:rsidRPr="00E53C7E">
        <w:rPr>
          <w:szCs w:val="16"/>
        </w:rPr>
        <w:tab/>
      </w:r>
      <w:r w:rsidRPr="001405B6">
        <w:rPr>
          <w:rStyle w:val="FootnoteReference"/>
        </w:rPr>
        <w:footnoteRef/>
      </w:r>
      <w:r w:rsidRPr="00E53C7E">
        <w:rPr>
          <w:szCs w:val="16"/>
        </w:rPr>
        <w:tab/>
      </w:r>
      <w:r w:rsidRPr="007E5FDE">
        <w:rPr>
          <w:szCs w:val="16"/>
        </w:rPr>
        <w:t xml:space="preserve">See </w:t>
      </w:r>
      <w:r>
        <w:rPr>
          <w:szCs w:val="16"/>
        </w:rPr>
        <w:t xml:space="preserve">also “Civil society monitoring report on the quality of the national strategic framework for Roma equality, inclusion, and participation in Lithuania” (June 2022) </w:t>
      </w:r>
      <w:r w:rsidRPr="007E5FDE">
        <w:rPr>
          <w:szCs w:val="16"/>
        </w:rPr>
        <w:t>prepared for the E</w:t>
      </w:r>
      <w:r>
        <w:rPr>
          <w:szCs w:val="16"/>
        </w:rPr>
        <w:t>uropean</w:t>
      </w:r>
      <w:r w:rsidRPr="007E5FDE">
        <w:rPr>
          <w:szCs w:val="16"/>
        </w:rPr>
        <w:t xml:space="preserve"> Commission</w:t>
      </w:r>
      <w:r>
        <w:rPr>
          <w:szCs w:val="16"/>
        </w:rPr>
        <w:t xml:space="preserve"> and available at </w:t>
      </w:r>
      <w:r w:rsidRPr="001F4B87">
        <w:rPr>
          <w:szCs w:val="16"/>
        </w:rPr>
        <w:t>https://romacivilmonitoring.eu/wp-content/uploads/2022/10/RCM2-2022-C4-Lithuania-FINAL-PUBLISHED.pdf</w:t>
      </w:r>
      <w:r w:rsidRPr="007E5FDE">
        <w:rPr>
          <w:szCs w:val="16"/>
        </w:rPr>
        <w:t>.</w:t>
      </w:r>
    </w:p>
  </w:footnote>
  <w:footnote w:id="6">
    <w:p w14:paraId="7F9F7669" w14:textId="43985464" w:rsidR="00EC1436" w:rsidRPr="00795A97" w:rsidRDefault="00EC1436" w:rsidP="00EC1436">
      <w:pPr>
        <w:pStyle w:val="FootnoteText"/>
        <w:rPr>
          <w:lang w:val="es-ES_tradnl"/>
        </w:rPr>
      </w:pPr>
      <w:r w:rsidRPr="00D55F10">
        <w:rPr>
          <w:lang w:val="en-US"/>
        </w:rPr>
        <w:tab/>
      </w:r>
      <w:r w:rsidRPr="001405B6">
        <w:rPr>
          <w:rStyle w:val="FootnoteReference"/>
        </w:rPr>
        <w:footnoteRef/>
      </w:r>
      <w:r>
        <w:rPr>
          <w:lang w:val="es-ES_tradnl"/>
        </w:rPr>
        <w:tab/>
      </w:r>
      <w:hyperlink r:id="rId4" w:history="1">
        <w:r w:rsidRPr="00441925">
          <w:rPr>
            <w:rStyle w:val="Hyperlink"/>
            <w:lang w:val="es-ES_tradnl"/>
          </w:rPr>
          <w:t>E/C.12/LTU/CO/2</w:t>
        </w:r>
      </w:hyperlink>
      <w:r w:rsidRPr="00AF5E97">
        <w:rPr>
          <w:lang w:val="es-ES"/>
        </w:rPr>
        <w:t>.</w:t>
      </w:r>
    </w:p>
  </w:footnote>
  <w:footnote w:id="7">
    <w:p w14:paraId="238EA8A9" w14:textId="325D855E" w:rsidR="00EC1436" w:rsidRPr="00D55F10" w:rsidRDefault="00D8009E" w:rsidP="00EC1436">
      <w:pPr>
        <w:pStyle w:val="FootnoteText"/>
        <w:rPr>
          <w:lang w:val="pl-PL"/>
        </w:rPr>
      </w:pPr>
      <w:r>
        <w:rPr>
          <w:lang w:val="pl-PL"/>
        </w:rPr>
        <w:tab/>
      </w:r>
      <w:r w:rsidR="00EC1436" w:rsidRPr="001405B6">
        <w:rPr>
          <w:rStyle w:val="FootnoteReference"/>
        </w:rPr>
        <w:footnoteRef/>
      </w:r>
      <w:r>
        <w:rPr>
          <w:lang w:val="pl-PL"/>
        </w:rPr>
        <w:tab/>
      </w:r>
      <w:hyperlink r:id="rId5" w:history="1">
        <w:r w:rsidR="00EC1436" w:rsidRPr="00C077B9">
          <w:rPr>
            <w:rStyle w:val="Hyperlink"/>
            <w:lang w:val="pl-PL"/>
          </w:rPr>
          <w:t>CAT/C/LTU/CO/4</w:t>
        </w:r>
      </w:hyperlink>
      <w:r w:rsidR="00EC1436">
        <w:rPr>
          <w:lang w:val="pl-PL"/>
        </w:rPr>
        <w:t>, para. 12.</w:t>
      </w:r>
    </w:p>
  </w:footnote>
  <w:footnote w:id="8">
    <w:p w14:paraId="32E92174" w14:textId="727E95C5" w:rsidR="00EC1436" w:rsidRPr="00D55F10" w:rsidRDefault="00D8009E" w:rsidP="00EC1436">
      <w:pPr>
        <w:pStyle w:val="FootnoteText"/>
        <w:rPr>
          <w:bCs/>
          <w:lang w:val="es-ES"/>
        </w:rPr>
      </w:pPr>
      <w:r>
        <w:rPr>
          <w:lang w:val="es-ES"/>
        </w:rPr>
        <w:tab/>
      </w:r>
      <w:r w:rsidR="00EC1436" w:rsidRPr="001405B6">
        <w:rPr>
          <w:rStyle w:val="FootnoteReference"/>
        </w:rPr>
        <w:footnoteRef/>
      </w:r>
      <w:r>
        <w:rPr>
          <w:lang w:val="es-ES"/>
        </w:rPr>
        <w:tab/>
      </w:r>
      <w:hyperlink r:id="rId6" w:history="1">
        <w:r w:rsidR="00EC1436" w:rsidRPr="00C077B9">
          <w:rPr>
            <w:rStyle w:val="Hyperlink"/>
            <w:bCs/>
            <w:lang w:val="es-ES"/>
          </w:rPr>
          <w:t>E/C.12/2018/1</w:t>
        </w:r>
      </w:hyperlink>
      <w:r w:rsidR="003457B3">
        <w:rPr>
          <w:bCs/>
          <w:lang w:val="es-ES"/>
        </w:rPr>
        <w:t>.</w:t>
      </w:r>
    </w:p>
  </w:footnote>
  <w:footnote w:id="9">
    <w:p w14:paraId="34B5329D" w14:textId="253D6A0F" w:rsidR="00EC1436" w:rsidRPr="00795A97" w:rsidRDefault="00EC1436" w:rsidP="00EC1436">
      <w:pPr>
        <w:pStyle w:val="FootnoteText"/>
        <w:rPr>
          <w:lang w:val="es-ES_tradnl"/>
        </w:rPr>
      </w:pPr>
      <w:r>
        <w:rPr>
          <w:lang w:val="es-ES_tradnl"/>
        </w:rPr>
        <w:tab/>
      </w:r>
      <w:r w:rsidRPr="001405B6">
        <w:rPr>
          <w:rStyle w:val="FootnoteReference"/>
        </w:rPr>
        <w:footnoteRef/>
      </w:r>
      <w:r>
        <w:rPr>
          <w:lang w:val="es-ES_tradnl"/>
        </w:rPr>
        <w:tab/>
      </w:r>
      <w:hyperlink r:id="rId7" w:history="1">
        <w:r w:rsidRPr="00441925">
          <w:rPr>
            <w:rStyle w:val="Hyperlink"/>
            <w:lang w:val="es-ES_tradnl"/>
          </w:rPr>
          <w:t>E/C.12/2001/10</w:t>
        </w:r>
      </w:hyperlink>
      <w:r w:rsidRPr="00AF5E97">
        <w:rPr>
          <w:lang w:val="es-ES"/>
        </w:rPr>
        <w:t>.</w:t>
      </w:r>
    </w:p>
  </w:footnote>
  <w:footnote w:id="10">
    <w:p w14:paraId="266371DA" w14:textId="77777777" w:rsidR="00EC1436" w:rsidRPr="00B134AF" w:rsidRDefault="00EC1436" w:rsidP="00EC1436">
      <w:pPr>
        <w:pStyle w:val="FootnoteText"/>
        <w:rPr>
          <w:lang w:val="es-ES_tradnl"/>
        </w:rPr>
      </w:pPr>
      <w:r>
        <w:rPr>
          <w:lang w:val="es-ES_tradnl"/>
        </w:rPr>
        <w:tab/>
      </w:r>
      <w:r w:rsidRPr="001405B6">
        <w:rPr>
          <w:rStyle w:val="FootnoteReference"/>
        </w:rPr>
        <w:footnoteRef/>
      </w:r>
      <w:r w:rsidRPr="00B134AF">
        <w:rPr>
          <w:lang w:val="es-ES_tradnl"/>
        </w:rPr>
        <w:t xml:space="preserve"> </w:t>
      </w:r>
      <w:r>
        <w:rPr>
          <w:lang w:val="es-ES_tradnl"/>
        </w:rPr>
        <w:tab/>
      </w:r>
      <w:hyperlink r:id="rId8" w:history="1">
        <w:r w:rsidRPr="00441925">
          <w:rPr>
            <w:rStyle w:val="Hyperlink"/>
            <w:lang w:val="es-ES_tradnl"/>
          </w:rPr>
          <w:t>CEDAW/C/LTU/CO/6</w:t>
        </w:r>
      </w:hyperlink>
      <w:r w:rsidRPr="00B134AF">
        <w:rPr>
          <w:lang w:val="es-ES_tradnl"/>
        </w:rPr>
        <w:t>, paras. 36–37</w:t>
      </w:r>
      <w:r>
        <w:rPr>
          <w:lang w:val="es-ES_tradnl"/>
        </w:rPr>
        <w:t>.</w:t>
      </w:r>
    </w:p>
  </w:footnote>
  <w:footnote w:id="11">
    <w:p w14:paraId="5013703E" w14:textId="77777777" w:rsidR="00EC1436" w:rsidRPr="0089116F" w:rsidRDefault="00EC1436" w:rsidP="00EC1436">
      <w:pPr>
        <w:pStyle w:val="FootnoteText"/>
        <w:rPr>
          <w:lang w:val="es-ES_tradnl"/>
        </w:rPr>
      </w:pPr>
      <w:r>
        <w:rPr>
          <w:lang w:val="es-ES_tradnl"/>
        </w:rPr>
        <w:tab/>
      </w:r>
      <w:r w:rsidRPr="001405B6">
        <w:rPr>
          <w:rStyle w:val="FootnoteReference"/>
        </w:rPr>
        <w:footnoteRef/>
      </w:r>
      <w:r w:rsidRPr="00646F84">
        <w:rPr>
          <w:lang w:val="es-ES_tradnl"/>
        </w:rPr>
        <w:t xml:space="preserve"> </w:t>
      </w:r>
      <w:r>
        <w:rPr>
          <w:lang w:val="es-ES_tradnl"/>
        </w:rPr>
        <w:tab/>
      </w:r>
      <w:hyperlink r:id="rId9" w:history="1">
        <w:r w:rsidRPr="00441925">
          <w:rPr>
            <w:rStyle w:val="Hyperlink"/>
            <w:lang w:val="es-ES_tradnl"/>
          </w:rPr>
          <w:t>E/C.12/LTU/CO/2</w:t>
        </w:r>
      </w:hyperlink>
      <w:r w:rsidRPr="0089116F">
        <w:rPr>
          <w:lang w:val="es-ES_tradnl"/>
        </w:rPr>
        <w:t>, para. 9.</w:t>
      </w:r>
    </w:p>
  </w:footnote>
  <w:footnote w:id="12">
    <w:p w14:paraId="14C5CF45" w14:textId="77777777" w:rsidR="00EC1436" w:rsidRPr="00646F84" w:rsidRDefault="00EC1436" w:rsidP="00EC1436">
      <w:pPr>
        <w:pStyle w:val="FootnoteText"/>
        <w:rPr>
          <w:lang w:val="es-ES_tradnl"/>
        </w:rPr>
      </w:pPr>
      <w:r w:rsidRPr="0089116F">
        <w:rPr>
          <w:lang w:val="es-ES_tradnl"/>
        </w:rPr>
        <w:tab/>
      </w:r>
      <w:r w:rsidRPr="001405B6">
        <w:rPr>
          <w:rStyle w:val="FootnoteReference"/>
        </w:rPr>
        <w:footnoteRef/>
      </w:r>
      <w:r w:rsidRPr="0089116F">
        <w:rPr>
          <w:lang w:val="es-ES_tradnl"/>
        </w:rPr>
        <w:t xml:space="preserve"> </w:t>
      </w:r>
      <w:r w:rsidRPr="0089116F">
        <w:rPr>
          <w:lang w:val="es-ES_tradnl"/>
        </w:rPr>
        <w:tab/>
      </w:r>
      <w:hyperlink r:id="rId10" w:history="1">
        <w:r w:rsidRPr="0089116F">
          <w:rPr>
            <w:rStyle w:val="Hyperlink"/>
            <w:lang w:val="es-ES_tradnl"/>
          </w:rPr>
          <w:t>E/C.12/LTU/CO/2</w:t>
        </w:r>
      </w:hyperlink>
      <w:r w:rsidRPr="0089116F">
        <w:rPr>
          <w:lang w:val="es-ES_tradnl"/>
        </w:rPr>
        <w:t>, paras. 11–12.</w:t>
      </w:r>
    </w:p>
  </w:footnote>
  <w:footnote w:id="13">
    <w:p w14:paraId="03AD4E41" w14:textId="314B1A3F" w:rsidR="00EC1436" w:rsidRPr="00646F84" w:rsidRDefault="00EC1436" w:rsidP="00EC1436">
      <w:pPr>
        <w:pStyle w:val="FootnoteText"/>
        <w:rPr>
          <w:lang w:val="es-ES_tradnl"/>
        </w:rPr>
      </w:pPr>
      <w:r>
        <w:rPr>
          <w:lang w:val="es-ES_tradnl"/>
        </w:rPr>
        <w:tab/>
      </w:r>
      <w:r w:rsidRPr="001405B6">
        <w:rPr>
          <w:rStyle w:val="FootnoteReference"/>
        </w:rPr>
        <w:footnoteRef/>
      </w:r>
      <w:r w:rsidRPr="00646F84">
        <w:rPr>
          <w:lang w:val="es-ES_tradnl"/>
        </w:rPr>
        <w:t xml:space="preserve"> </w:t>
      </w:r>
      <w:r>
        <w:rPr>
          <w:lang w:val="es-ES_tradnl"/>
        </w:rPr>
        <w:tab/>
      </w:r>
      <w:hyperlink r:id="rId11" w:history="1">
        <w:r w:rsidRPr="00441925">
          <w:rPr>
            <w:rStyle w:val="Hyperlink"/>
            <w:lang w:val="es-ES_tradnl"/>
          </w:rPr>
          <w:t>E/C.12/LTU/CO/2</w:t>
        </w:r>
      </w:hyperlink>
      <w:r w:rsidRPr="0019013E">
        <w:rPr>
          <w:lang w:val="es-ES_tradnl"/>
        </w:rPr>
        <w:t>, para</w:t>
      </w:r>
      <w:r w:rsidR="001E2ED4">
        <w:rPr>
          <w:lang w:val="es-ES_tradnl"/>
        </w:rPr>
        <w:t>.</w:t>
      </w:r>
      <w:r w:rsidRPr="0019013E">
        <w:rPr>
          <w:lang w:val="es-ES_tradnl"/>
        </w:rPr>
        <w:t xml:space="preserve"> 17</w:t>
      </w:r>
      <w:r>
        <w:rPr>
          <w:lang w:val="es-ES_tradnl"/>
        </w:rPr>
        <w:t>.</w:t>
      </w:r>
    </w:p>
  </w:footnote>
  <w:footnote w:id="14">
    <w:p w14:paraId="2A9FD254" w14:textId="2BD22B8C" w:rsidR="00EC1436" w:rsidRPr="00D55F10" w:rsidRDefault="00B44250" w:rsidP="00EC1436">
      <w:pPr>
        <w:pStyle w:val="FootnoteText"/>
        <w:rPr>
          <w:lang w:val="es-ES"/>
        </w:rPr>
      </w:pPr>
      <w:r>
        <w:rPr>
          <w:lang w:val="es-ES"/>
        </w:rPr>
        <w:tab/>
      </w:r>
      <w:r w:rsidR="00EC1436" w:rsidRPr="001405B6">
        <w:rPr>
          <w:rStyle w:val="FootnoteReference"/>
        </w:rPr>
        <w:footnoteRef/>
      </w:r>
      <w:r>
        <w:rPr>
          <w:lang w:val="es-ES"/>
        </w:rPr>
        <w:tab/>
      </w:r>
      <w:hyperlink r:id="rId12" w:history="1">
        <w:r w:rsidR="00EC1436" w:rsidRPr="00C077B9">
          <w:rPr>
            <w:rStyle w:val="Hyperlink"/>
            <w:lang w:val="es-ES"/>
          </w:rPr>
          <w:t>E/C.12/2010/1</w:t>
        </w:r>
      </w:hyperlink>
      <w:r w:rsidR="00EC1436" w:rsidRPr="00B44250">
        <w:rPr>
          <w:lang w:val="es-ES"/>
        </w:rPr>
        <w:t>.</w:t>
      </w:r>
    </w:p>
  </w:footnote>
  <w:footnote w:id="15">
    <w:p w14:paraId="5054BBA1" w14:textId="77777777" w:rsidR="00EC1436" w:rsidRPr="00646F84" w:rsidRDefault="00EC1436" w:rsidP="00EC1436">
      <w:pPr>
        <w:pStyle w:val="FootnoteText"/>
        <w:rPr>
          <w:lang w:val="es-ES_tradnl"/>
        </w:rPr>
      </w:pPr>
      <w:r>
        <w:rPr>
          <w:lang w:val="es-ES_tradnl"/>
        </w:rPr>
        <w:tab/>
      </w:r>
      <w:r w:rsidRPr="001405B6">
        <w:rPr>
          <w:rStyle w:val="FootnoteReference"/>
        </w:rPr>
        <w:footnoteRef/>
      </w:r>
      <w:r w:rsidRPr="00646F84">
        <w:rPr>
          <w:lang w:val="es-ES_tradnl"/>
        </w:rPr>
        <w:t xml:space="preserve"> </w:t>
      </w:r>
      <w:r>
        <w:rPr>
          <w:lang w:val="es-ES_tradnl"/>
        </w:rPr>
        <w:tab/>
      </w:r>
      <w:hyperlink r:id="rId13" w:history="1">
        <w:r w:rsidRPr="00441925">
          <w:rPr>
            <w:rStyle w:val="Hyperlink"/>
            <w:lang w:val="es-ES_tradnl"/>
          </w:rPr>
          <w:t>E/C.12/LTU/CO/2</w:t>
        </w:r>
      </w:hyperlink>
      <w:r w:rsidRPr="00A01A64">
        <w:rPr>
          <w:lang w:val="es-ES_tradnl"/>
        </w:rPr>
        <w:t xml:space="preserve">, </w:t>
      </w:r>
      <w:r w:rsidRPr="0094330D">
        <w:rPr>
          <w:lang w:val="es-ES_tradnl"/>
        </w:rPr>
        <w:t>para.</w:t>
      </w:r>
      <w:r w:rsidRPr="00A01A64">
        <w:rPr>
          <w:lang w:val="es-ES_tradnl"/>
        </w:rPr>
        <w:t xml:space="preserve"> 20</w:t>
      </w:r>
      <w:r>
        <w:rPr>
          <w:lang w:val="es-ES_tradnl"/>
        </w:rPr>
        <w:t>.</w:t>
      </w:r>
    </w:p>
  </w:footnote>
  <w:footnote w:id="16">
    <w:p w14:paraId="5DAEE488" w14:textId="77777777" w:rsidR="00EC1436" w:rsidRPr="00D55F10" w:rsidRDefault="00EC1436" w:rsidP="00EC1436">
      <w:pPr>
        <w:pStyle w:val="FootnoteText"/>
        <w:rPr>
          <w:lang w:val="es-ES_tradnl"/>
        </w:rPr>
      </w:pPr>
      <w:r w:rsidRPr="00EF46E4">
        <w:rPr>
          <w:lang w:val="es-ES_tradnl"/>
        </w:rPr>
        <w:tab/>
      </w:r>
      <w:r w:rsidRPr="001405B6">
        <w:rPr>
          <w:rStyle w:val="FootnoteReference"/>
        </w:rPr>
        <w:footnoteRef/>
      </w:r>
      <w:r w:rsidRPr="00D55F10">
        <w:rPr>
          <w:lang w:val="es-ES_tradnl"/>
        </w:rPr>
        <w:t xml:space="preserve"> </w:t>
      </w:r>
      <w:r w:rsidRPr="00D55F10">
        <w:rPr>
          <w:lang w:val="es-ES_tradnl"/>
        </w:rPr>
        <w:tab/>
      </w:r>
      <w:hyperlink r:id="rId14" w:history="1">
        <w:r w:rsidRPr="00646F84">
          <w:rPr>
            <w:rStyle w:val="Hyperlink"/>
            <w:sz w:val="16"/>
            <w:szCs w:val="16"/>
            <w:lang w:val="es-ES_tradnl"/>
          </w:rPr>
          <w:t>E/C</w:t>
        </w:r>
        <w:r w:rsidRPr="007E5FDE">
          <w:rPr>
            <w:rStyle w:val="Hyperlink"/>
            <w:sz w:val="16"/>
            <w:szCs w:val="16"/>
            <w:lang w:val="es-ES" w:eastAsia="en-GB"/>
          </w:rPr>
          <w:t>.</w:t>
        </w:r>
        <w:r w:rsidRPr="00646F84">
          <w:rPr>
            <w:rStyle w:val="Hyperlink"/>
            <w:sz w:val="16"/>
            <w:szCs w:val="16"/>
            <w:lang w:val="es-ES_tradnl"/>
          </w:rPr>
          <w:t>12/2019/1</w:t>
        </w:r>
      </w:hyperlink>
      <w:r>
        <w:rPr>
          <w:rStyle w:val="Hyperlink"/>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92F1" w14:textId="77777777" w:rsidR="00EC1436" w:rsidRDefault="00EC1436" w:rsidP="00EC1436">
    <w:pPr>
      <w:pStyle w:val="Header"/>
    </w:pPr>
    <w:r>
      <w:t>E/C.12/LTU/CO/3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3348" w14:textId="77777777" w:rsidR="00EC1436" w:rsidRDefault="00EC1436" w:rsidP="00EC1436">
    <w:pPr>
      <w:pStyle w:val="Header"/>
      <w:jc w:val="right"/>
    </w:pPr>
    <w:r>
      <w:t>E/C.12/LTU/CO/3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85743975">
    <w:abstractNumId w:val="2"/>
  </w:num>
  <w:num w:numId="2" w16cid:durableId="1404064065">
    <w:abstractNumId w:val="1"/>
  </w:num>
  <w:num w:numId="3" w16cid:durableId="1885292039">
    <w:abstractNumId w:val="0"/>
  </w:num>
  <w:num w:numId="4" w16cid:durableId="1142847405">
    <w:abstractNumId w:val="3"/>
  </w:num>
  <w:num w:numId="5" w16cid:durableId="4246210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325531"/>
    <w:rsid w:val="00034972"/>
    <w:rsid w:val="00046E92"/>
    <w:rsid w:val="00084C71"/>
    <w:rsid w:val="000A6432"/>
    <w:rsid w:val="000C68BE"/>
    <w:rsid w:val="000D1B89"/>
    <w:rsid w:val="000F6E29"/>
    <w:rsid w:val="00106325"/>
    <w:rsid w:val="001170DC"/>
    <w:rsid w:val="00134AA0"/>
    <w:rsid w:val="001405B6"/>
    <w:rsid w:val="001E2ED4"/>
    <w:rsid w:val="00247E2C"/>
    <w:rsid w:val="002C3E65"/>
    <w:rsid w:val="002D6C53"/>
    <w:rsid w:val="002F5595"/>
    <w:rsid w:val="00325531"/>
    <w:rsid w:val="0033036B"/>
    <w:rsid w:val="0033415D"/>
    <w:rsid w:val="00334F6A"/>
    <w:rsid w:val="00342AC8"/>
    <w:rsid w:val="003457B3"/>
    <w:rsid w:val="003B4550"/>
    <w:rsid w:val="0043448D"/>
    <w:rsid w:val="00461253"/>
    <w:rsid w:val="004F4B4A"/>
    <w:rsid w:val="005042C2"/>
    <w:rsid w:val="00506C12"/>
    <w:rsid w:val="005271DD"/>
    <w:rsid w:val="0056599A"/>
    <w:rsid w:val="00585AE1"/>
    <w:rsid w:val="00587690"/>
    <w:rsid w:val="00592949"/>
    <w:rsid w:val="005C4072"/>
    <w:rsid w:val="005E6C1A"/>
    <w:rsid w:val="005F000A"/>
    <w:rsid w:val="00671529"/>
    <w:rsid w:val="00695917"/>
    <w:rsid w:val="006A11D6"/>
    <w:rsid w:val="006A5598"/>
    <w:rsid w:val="006E6937"/>
    <w:rsid w:val="00717266"/>
    <w:rsid w:val="007268F9"/>
    <w:rsid w:val="00764E8C"/>
    <w:rsid w:val="007B7498"/>
    <w:rsid w:val="007C52B0"/>
    <w:rsid w:val="00802F75"/>
    <w:rsid w:val="0089627B"/>
    <w:rsid w:val="008A0282"/>
    <w:rsid w:val="008A4A5A"/>
    <w:rsid w:val="00921EED"/>
    <w:rsid w:val="009411B4"/>
    <w:rsid w:val="00950F13"/>
    <w:rsid w:val="00980466"/>
    <w:rsid w:val="009B189A"/>
    <w:rsid w:val="009C7336"/>
    <w:rsid w:val="009D0139"/>
    <w:rsid w:val="009F5CDC"/>
    <w:rsid w:val="00A20CDA"/>
    <w:rsid w:val="00A429CD"/>
    <w:rsid w:val="00A775CF"/>
    <w:rsid w:val="00A9795B"/>
    <w:rsid w:val="00AB3C7E"/>
    <w:rsid w:val="00AF5E97"/>
    <w:rsid w:val="00B06045"/>
    <w:rsid w:val="00B44250"/>
    <w:rsid w:val="00B6415A"/>
    <w:rsid w:val="00BA2D4D"/>
    <w:rsid w:val="00C077B9"/>
    <w:rsid w:val="00C35A27"/>
    <w:rsid w:val="00C448F7"/>
    <w:rsid w:val="00C74DB1"/>
    <w:rsid w:val="00CE736E"/>
    <w:rsid w:val="00CE790B"/>
    <w:rsid w:val="00D8009E"/>
    <w:rsid w:val="00E02C2B"/>
    <w:rsid w:val="00E27813"/>
    <w:rsid w:val="00E412F1"/>
    <w:rsid w:val="00E665C4"/>
    <w:rsid w:val="00E929D6"/>
    <w:rsid w:val="00EC006B"/>
    <w:rsid w:val="00EC1436"/>
    <w:rsid w:val="00ED6C48"/>
    <w:rsid w:val="00EE5C0A"/>
    <w:rsid w:val="00EF76C5"/>
    <w:rsid w:val="00F21B92"/>
    <w:rsid w:val="00F33BE6"/>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09B16"/>
  <w15:docId w15:val="{F110C832-73FD-42FC-A422-2DBF6E22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405B6"/>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semiHidden/>
    <w:rsid w:val="00EC1436"/>
    <w:rPr>
      <w:color w:val="0000FF"/>
      <w:u w:val="none"/>
    </w:rPr>
  </w:style>
  <w:style w:type="character" w:styleId="FollowedHyperlink">
    <w:name w:val="FollowedHyperlink"/>
    <w:basedOn w:val="DefaultParagraphFont"/>
    <w:semiHidden/>
    <w:rsid w:val="00EC1436"/>
    <w:rPr>
      <w:color w:val="0000FF"/>
      <w:u w:val="none"/>
    </w:rPr>
  </w:style>
  <w:style w:type="paragraph" w:customStyle="1" w:styleId="SingleTxt">
    <w:name w:val="__Single Txt"/>
    <w:basedOn w:val="Normal"/>
    <w:rsid w:val="00EC143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Revision">
    <w:name w:val="Revision"/>
    <w:hidden/>
    <w:uiPriority w:val="99"/>
    <w:semiHidden/>
    <w:rsid w:val="00EC1436"/>
    <w:pPr>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EC1436"/>
    <w:pPr>
      <w:ind w:left="720"/>
      <w:contextualSpacing/>
    </w:pPr>
  </w:style>
  <w:style w:type="character" w:styleId="UnresolvedMention">
    <w:name w:val="Unresolved Mention"/>
    <w:basedOn w:val="DefaultParagraphFont"/>
    <w:uiPriority w:val="99"/>
    <w:semiHidden/>
    <w:unhideWhenUsed/>
    <w:rsid w:val="00C077B9"/>
    <w:rPr>
      <w:color w:val="605E5C"/>
      <w:shd w:val="clear" w:color="auto" w:fill="E1DFDD"/>
    </w:rPr>
  </w:style>
  <w:style w:type="character" w:styleId="CommentReference">
    <w:name w:val="annotation reference"/>
    <w:basedOn w:val="DefaultParagraphFont"/>
    <w:uiPriority w:val="99"/>
    <w:semiHidden/>
    <w:unhideWhenUsed/>
    <w:rsid w:val="006E6937"/>
    <w:rPr>
      <w:sz w:val="16"/>
      <w:szCs w:val="16"/>
    </w:rPr>
  </w:style>
  <w:style w:type="paragraph" w:styleId="CommentText">
    <w:name w:val="annotation text"/>
    <w:basedOn w:val="Normal"/>
    <w:link w:val="CommentTextChar"/>
    <w:uiPriority w:val="99"/>
    <w:semiHidden/>
    <w:unhideWhenUsed/>
    <w:rsid w:val="006E6937"/>
    <w:pPr>
      <w:spacing w:line="240" w:lineRule="auto"/>
    </w:pPr>
  </w:style>
  <w:style w:type="character" w:customStyle="1" w:styleId="CommentTextChar">
    <w:name w:val="Comment Text Char"/>
    <w:basedOn w:val="DefaultParagraphFont"/>
    <w:link w:val="CommentText"/>
    <w:uiPriority w:val="99"/>
    <w:semiHidden/>
    <w:rsid w:val="006E693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E6937"/>
    <w:rPr>
      <w:b/>
      <w:bCs/>
    </w:rPr>
  </w:style>
  <w:style w:type="character" w:customStyle="1" w:styleId="CommentSubjectChar">
    <w:name w:val="Comment Subject Char"/>
    <w:basedOn w:val="CommentTextChar"/>
    <w:link w:val="CommentSubject"/>
    <w:uiPriority w:val="99"/>
    <w:semiHidden/>
    <w:rsid w:val="006E693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DAW/C/LTU/CO/6" TargetMode="External"/><Relationship Id="rId13" Type="http://schemas.openxmlformats.org/officeDocument/2006/relationships/hyperlink" Target="http://undocs.org/en/E/C.12/LTU/CO/2" TargetMode="External"/><Relationship Id="rId3" Type="http://schemas.openxmlformats.org/officeDocument/2006/relationships/hyperlink" Target="http://undocs.org/en/E/C.12/LTU/RQ/3" TargetMode="External"/><Relationship Id="rId7" Type="http://schemas.openxmlformats.org/officeDocument/2006/relationships/hyperlink" Target="http://undocs.org/en/E/C.12/2001/10" TargetMode="External"/><Relationship Id="rId12" Type="http://schemas.openxmlformats.org/officeDocument/2006/relationships/hyperlink" Target="http://undocs.org/en/E/C.12/2010/1" TargetMode="External"/><Relationship Id="rId2" Type="http://schemas.openxmlformats.org/officeDocument/2006/relationships/hyperlink" Target="http://undocs.org/en/E/C.12/2023/SR.18" TargetMode="External"/><Relationship Id="rId1" Type="http://schemas.openxmlformats.org/officeDocument/2006/relationships/hyperlink" Target="http://undocs.org/en/E/C.12/2023/SR.16" TargetMode="External"/><Relationship Id="rId6" Type="http://schemas.openxmlformats.org/officeDocument/2006/relationships/hyperlink" Target="http://undocs.org/en/E/C.12/2018/1" TargetMode="External"/><Relationship Id="rId11" Type="http://schemas.openxmlformats.org/officeDocument/2006/relationships/hyperlink" Target="http://undocs.org/en/E/C.12/LTU/CO/2" TargetMode="External"/><Relationship Id="rId5" Type="http://schemas.openxmlformats.org/officeDocument/2006/relationships/hyperlink" Target="http://undocs.org/en/CAT/C/LTU/CO/4" TargetMode="External"/><Relationship Id="rId10" Type="http://schemas.openxmlformats.org/officeDocument/2006/relationships/hyperlink" Target="https://uhri.ohchr.org/Document/File/29ae7daa-555f-4645-9cc0-cbe1123159d3/0BB61135-6B41-4745-B7E7-D5894F9CAD40" TargetMode="External"/><Relationship Id="rId4" Type="http://schemas.openxmlformats.org/officeDocument/2006/relationships/hyperlink" Target="http://undocs.org/en/E/C.12/LTU/CO/2" TargetMode="External"/><Relationship Id="rId9" Type="http://schemas.openxmlformats.org/officeDocument/2006/relationships/hyperlink" Target="http://undocs.org/en/E/C.12/LTU/CO/2" TargetMode="External"/><Relationship Id="rId14" Type="http://schemas.openxmlformats.org/officeDocument/2006/relationships/hyperlink" Target="http://undocs.org/en/E/C.12/201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12</Pages>
  <Words>5854</Words>
  <Characters>33501</Characters>
  <Application>Microsoft Office Word</Application>
  <DocSecurity>0</DocSecurity>
  <Lines>553</Lines>
  <Paragraphs>175</Paragraphs>
  <ScaleCrop>false</ScaleCrop>
  <HeadingPairs>
    <vt:vector size="2" baseType="variant">
      <vt:variant>
        <vt:lpstr>Title</vt:lpstr>
      </vt:variant>
      <vt:variant>
        <vt:i4>1</vt:i4>
      </vt:variant>
    </vt:vector>
  </HeadingPairs>
  <TitlesOfParts>
    <vt:vector size="1" baseType="lpstr">
      <vt:lpstr>E/C.12/LTU/CO/3</vt:lpstr>
    </vt:vector>
  </TitlesOfParts>
  <Company>DCM</Company>
  <LinksUpToDate>false</LinksUpToDate>
  <CharactersWithSpaces>39308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E/C.12/LTU/CO/3</dc:title>
  <dc:subject>2304642</dc:subject>
  <dc:creator>cg</dc:creator>
  <cp:keywords/>
  <dc:description/>
  <cp:lastModifiedBy>Ma. Cristina Brigoli</cp:lastModifiedBy>
  <cp:revision>2</cp:revision>
  <dcterms:created xsi:type="dcterms:W3CDTF">2023-03-29T15:25:00Z</dcterms:created>
  <dcterms:modified xsi:type="dcterms:W3CDTF">2023-03-29T15:25:00Z</dcterms:modified>
</cp:coreProperties>
</file>