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D74B359" w14:textId="77777777" w:rsidTr="0002432E">
        <w:trPr>
          <w:trHeight w:hRule="exact" w:val="851"/>
        </w:trPr>
        <w:tc>
          <w:tcPr>
            <w:tcW w:w="1276" w:type="dxa"/>
            <w:tcBorders>
              <w:bottom w:val="single" w:sz="4" w:space="0" w:color="auto"/>
            </w:tcBorders>
          </w:tcPr>
          <w:p w14:paraId="2F536501" w14:textId="77777777" w:rsidR="0080236C" w:rsidRPr="00DB58B5" w:rsidRDefault="0080236C" w:rsidP="00C30324"/>
        </w:tc>
        <w:tc>
          <w:tcPr>
            <w:tcW w:w="2268" w:type="dxa"/>
            <w:tcBorders>
              <w:bottom w:val="single" w:sz="4" w:space="0" w:color="auto"/>
            </w:tcBorders>
            <w:vAlign w:val="bottom"/>
          </w:tcPr>
          <w:p w14:paraId="2D569D93"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EE7CB71" w14:textId="5E8D6E9D" w:rsidR="0080236C" w:rsidRPr="00DB58B5" w:rsidRDefault="00C30324" w:rsidP="00C30324">
            <w:pPr>
              <w:jc w:val="right"/>
            </w:pPr>
            <w:r w:rsidRPr="00C30324">
              <w:rPr>
                <w:sz w:val="40"/>
              </w:rPr>
              <w:t>E</w:t>
            </w:r>
            <w:r>
              <w:t>/C.12/LTU/CO/3</w:t>
            </w:r>
          </w:p>
        </w:tc>
      </w:tr>
      <w:tr w:rsidR="0080236C" w:rsidRPr="00DB58B5" w14:paraId="15583E10" w14:textId="77777777" w:rsidTr="0002432E">
        <w:trPr>
          <w:trHeight w:hRule="exact" w:val="2835"/>
        </w:trPr>
        <w:tc>
          <w:tcPr>
            <w:tcW w:w="1276" w:type="dxa"/>
            <w:tcBorders>
              <w:top w:val="single" w:sz="4" w:space="0" w:color="auto"/>
              <w:bottom w:val="single" w:sz="12" w:space="0" w:color="auto"/>
            </w:tcBorders>
          </w:tcPr>
          <w:p w14:paraId="11113C92" w14:textId="77777777" w:rsidR="0080236C" w:rsidRPr="00DB58B5" w:rsidRDefault="0080236C" w:rsidP="0002432E">
            <w:pPr>
              <w:spacing w:before="120"/>
              <w:jc w:val="center"/>
            </w:pPr>
            <w:r>
              <w:rPr>
                <w:noProof/>
                <w:lang w:eastAsia="fr-CH"/>
              </w:rPr>
              <w:drawing>
                <wp:inline distT="0" distB="0" distL="0" distR="0" wp14:anchorId="577B2A00" wp14:editId="2B0736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4D5B58"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0F7B9B3" w14:textId="77777777" w:rsidR="0080236C" w:rsidRDefault="00C30324" w:rsidP="0002432E">
            <w:pPr>
              <w:spacing w:before="240"/>
            </w:pPr>
            <w:proofErr w:type="spellStart"/>
            <w:r>
              <w:t>Distr</w:t>
            </w:r>
            <w:proofErr w:type="spellEnd"/>
            <w:r>
              <w:t>. générale</w:t>
            </w:r>
          </w:p>
          <w:p w14:paraId="6E5B6175" w14:textId="77777777" w:rsidR="00C30324" w:rsidRDefault="00C30324" w:rsidP="00C30324">
            <w:pPr>
              <w:spacing w:line="240" w:lineRule="exact"/>
            </w:pPr>
            <w:r>
              <w:t>30 mars 2023</w:t>
            </w:r>
          </w:p>
          <w:p w14:paraId="50790013" w14:textId="77777777" w:rsidR="00C30324" w:rsidRDefault="00C30324" w:rsidP="00C30324">
            <w:pPr>
              <w:spacing w:line="240" w:lineRule="exact"/>
            </w:pPr>
            <w:r>
              <w:t>Français</w:t>
            </w:r>
          </w:p>
          <w:p w14:paraId="7BB6228C" w14:textId="4B355312" w:rsidR="00C30324" w:rsidRPr="00DB58B5" w:rsidRDefault="00C30324" w:rsidP="00C30324">
            <w:pPr>
              <w:spacing w:line="240" w:lineRule="exact"/>
            </w:pPr>
            <w:r>
              <w:t>Original : anglais</w:t>
            </w:r>
          </w:p>
        </w:tc>
      </w:tr>
    </w:tbl>
    <w:p w14:paraId="0D5825CB" w14:textId="77777777" w:rsidR="00C30324" w:rsidRPr="00E043FE" w:rsidRDefault="00C30324" w:rsidP="00967489">
      <w:pPr>
        <w:spacing w:before="120"/>
        <w:rPr>
          <w:b/>
          <w:sz w:val="24"/>
          <w:szCs w:val="24"/>
        </w:rPr>
      </w:pPr>
      <w:r w:rsidRPr="00E043FE">
        <w:rPr>
          <w:b/>
          <w:sz w:val="24"/>
          <w:szCs w:val="24"/>
        </w:rPr>
        <w:t>Comité des droits économiques, sociaux et culturels</w:t>
      </w:r>
    </w:p>
    <w:p w14:paraId="54B63BA1" w14:textId="77777777" w:rsidR="00096DDD" w:rsidRPr="008970D0" w:rsidRDefault="00096DDD" w:rsidP="006B258D">
      <w:pPr>
        <w:pStyle w:val="HChG"/>
        <w:rPr>
          <w:lang w:val="fr-FR"/>
        </w:rPr>
      </w:pPr>
      <w:r w:rsidRPr="008970D0">
        <w:rPr>
          <w:lang w:val="fr-FR"/>
        </w:rPr>
        <w:tab/>
      </w:r>
      <w:r w:rsidRPr="008970D0">
        <w:rPr>
          <w:lang w:val="fr-FR"/>
        </w:rPr>
        <w:tab/>
        <w:t>Observations finales concernant le troisième rapport périodique de la Lituanie</w:t>
      </w:r>
      <w:r w:rsidRPr="006B258D">
        <w:rPr>
          <w:b w:val="0"/>
          <w:bCs/>
          <w:sz w:val="20"/>
          <w:lang w:val="fr-FR"/>
        </w:rPr>
        <w:footnoteReference w:customMarkFollows="1" w:id="2"/>
        <w:t>*</w:t>
      </w:r>
    </w:p>
    <w:p w14:paraId="6E1A8559" w14:textId="076A2D6F" w:rsidR="00096DDD" w:rsidRPr="008970D0" w:rsidRDefault="00096DDD" w:rsidP="006B258D">
      <w:pPr>
        <w:pStyle w:val="SingleTxtG"/>
        <w:rPr>
          <w:bCs/>
          <w:lang w:val="fr-FR"/>
        </w:rPr>
      </w:pPr>
      <w:r w:rsidRPr="008970D0">
        <w:rPr>
          <w:lang w:val="fr-FR"/>
        </w:rPr>
        <w:t>1.</w:t>
      </w:r>
      <w:r w:rsidRPr="008970D0">
        <w:rPr>
          <w:lang w:val="fr-FR"/>
        </w:rPr>
        <w:tab/>
        <w:t>Le Comité a examiné le troisième rapport périodique de la Lituanie</w:t>
      </w:r>
      <w:r w:rsidRPr="001043D5">
        <w:rPr>
          <w:rStyle w:val="Appelnotedebasdep"/>
        </w:rPr>
        <w:footnoteReference w:id="3"/>
      </w:r>
      <w:r w:rsidRPr="008970D0">
        <w:rPr>
          <w:lang w:val="fr-FR"/>
        </w:rPr>
        <w:t xml:space="preserve"> à ses 16</w:t>
      </w:r>
      <w:r w:rsidRPr="008970D0">
        <w:rPr>
          <w:vertAlign w:val="superscript"/>
          <w:lang w:val="fr-FR"/>
        </w:rPr>
        <w:t>e</w:t>
      </w:r>
      <w:r w:rsidRPr="008970D0">
        <w:rPr>
          <w:lang w:val="fr-FR"/>
        </w:rPr>
        <w:t xml:space="preserve"> et 18</w:t>
      </w:r>
      <w:r w:rsidRPr="008970D0">
        <w:rPr>
          <w:vertAlign w:val="superscript"/>
          <w:lang w:val="fr-FR"/>
        </w:rPr>
        <w:t>e</w:t>
      </w:r>
      <w:r w:rsidR="006B258D">
        <w:rPr>
          <w:lang w:val="fr-FR"/>
        </w:rPr>
        <w:t> </w:t>
      </w:r>
      <w:r w:rsidRPr="008970D0">
        <w:rPr>
          <w:lang w:val="fr-FR"/>
        </w:rPr>
        <w:t>séances</w:t>
      </w:r>
      <w:r w:rsidRPr="001043D5">
        <w:rPr>
          <w:rStyle w:val="Appelnotedebasdep"/>
        </w:rPr>
        <w:footnoteReference w:id="4"/>
      </w:r>
      <w:r w:rsidRPr="008970D0">
        <w:rPr>
          <w:lang w:val="fr-FR"/>
        </w:rPr>
        <w:t>, les 22 et 23 février 2023, et a adopté les présentes observations finales à sa 30</w:t>
      </w:r>
      <w:r w:rsidRPr="008970D0">
        <w:rPr>
          <w:vertAlign w:val="superscript"/>
          <w:lang w:val="fr-FR"/>
        </w:rPr>
        <w:t>e</w:t>
      </w:r>
      <w:r w:rsidR="006B258D">
        <w:rPr>
          <w:lang w:val="fr-FR"/>
        </w:rPr>
        <w:t> </w:t>
      </w:r>
      <w:r w:rsidRPr="008970D0">
        <w:rPr>
          <w:lang w:val="fr-FR"/>
        </w:rPr>
        <w:t>séance, le 3 mars 2023.</w:t>
      </w:r>
    </w:p>
    <w:p w14:paraId="0A7A9CD3" w14:textId="77777777" w:rsidR="00096DDD" w:rsidRPr="008970D0" w:rsidRDefault="00096DDD" w:rsidP="00096DDD">
      <w:pPr>
        <w:pStyle w:val="H1G"/>
        <w:rPr>
          <w:lang w:val="fr-FR"/>
        </w:rPr>
      </w:pPr>
      <w:r w:rsidRPr="008970D0">
        <w:rPr>
          <w:bCs/>
          <w:lang w:val="fr-FR"/>
        </w:rPr>
        <w:tab/>
        <w:t>A.</w:t>
      </w:r>
      <w:r w:rsidRPr="008970D0">
        <w:rPr>
          <w:lang w:val="fr-FR"/>
        </w:rPr>
        <w:tab/>
      </w:r>
      <w:r w:rsidRPr="008970D0">
        <w:rPr>
          <w:bCs/>
          <w:lang w:val="fr-FR"/>
        </w:rPr>
        <w:t>Introduction</w:t>
      </w:r>
    </w:p>
    <w:p w14:paraId="1CDEF6F0" w14:textId="77777777" w:rsidR="00096DDD" w:rsidRPr="008970D0" w:rsidRDefault="00096DDD" w:rsidP="006B258D">
      <w:pPr>
        <w:pStyle w:val="SingleTxtG"/>
        <w:rPr>
          <w:bCs/>
          <w:lang w:val="fr-FR"/>
        </w:rPr>
      </w:pPr>
      <w:r w:rsidRPr="008970D0">
        <w:rPr>
          <w:lang w:val="fr-FR"/>
        </w:rPr>
        <w:t>2.</w:t>
      </w:r>
      <w:r w:rsidRPr="008970D0">
        <w:rPr>
          <w:lang w:val="fr-FR"/>
        </w:rPr>
        <w:tab/>
        <w:t>Le Comité accueille avec satisfaction le troisième rapport périodique de l</w:t>
      </w:r>
      <w:r>
        <w:rPr>
          <w:lang w:val="fr-FR"/>
        </w:rPr>
        <w:t>’</w:t>
      </w:r>
      <w:r w:rsidRPr="008970D0">
        <w:rPr>
          <w:lang w:val="fr-FR"/>
        </w:rPr>
        <w:t>État partie et les renseignements complémentaires fournis dans les réponses écrites à la liste de points</w:t>
      </w:r>
      <w:r w:rsidRPr="001043D5">
        <w:rPr>
          <w:rStyle w:val="Appelnotedebasdep"/>
        </w:rPr>
        <w:footnoteReference w:id="5"/>
      </w:r>
      <w:r w:rsidRPr="008970D0">
        <w:rPr>
          <w:lang w:val="fr-FR"/>
        </w:rPr>
        <w:t>. Il se félicite du dialogue constructif qu</w:t>
      </w:r>
      <w:r>
        <w:rPr>
          <w:lang w:val="fr-FR"/>
        </w:rPr>
        <w:t>’</w:t>
      </w:r>
      <w:r w:rsidRPr="008970D0">
        <w:rPr>
          <w:lang w:val="fr-FR"/>
        </w:rPr>
        <w:t>il a eu avec la délégation de l</w:t>
      </w:r>
      <w:r>
        <w:rPr>
          <w:lang w:val="fr-FR"/>
        </w:rPr>
        <w:t>’</w:t>
      </w:r>
      <w:r w:rsidRPr="008970D0">
        <w:rPr>
          <w:lang w:val="fr-FR"/>
        </w:rPr>
        <w:t>État partie.</w:t>
      </w:r>
    </w:p>
    <w:p w14:paraId="30B41614" w14:textId="77777777" w:rsidR="00096DDD" w:rsidRPr="008970D0" w:rsidRDefault="00096DDD" w:rsidP="006B258D">
      <w:pPr>
        <w:pStyle w:val="H1G"/>
        <w:rPr>
          <w:lang w:val="fr-FR"/>
        </w:rPr>
      </w:pPr>
      <w:r w:rsidRPr="008970D0">
        <w:rPr>
          <w:lang w:val="fr-FR"/>
        </w:rPr>
        <w:tab/>
        <w:t>B.</w:t>
      </w:r>
      <w:r w:rsidRPr="008970D0">
        <w:rPr>
          <w:lang w:val="fr-FR"/>
        </w:rPr>
        <w:tab/>
        <w:t>Aspects positifs</w:t>
      </w:r>
    </w:p>
    <w:p w14:paraId="07BFBC49" w14:textId="77777777" w:rsidR="00096DDD" w:rsidRPr="008970D0" w:rsidRDefault="00096DDD" w:rsidP="006B258D">
      <w:pPr>
        <w:pStyle w:val="SingleTxtG"/>
        <w:rPr>
          <w:bCs/>
          <w:lang w:val="fr-FR"/>
        </w:rPr>
      </w:pPr>
      <w:r w:rsidRPr="008970D0">
        <w:rPr>
          <w:lang w:val="fr-FR"/>
        </w:rPr>
        <w:t>3.</w:t>
      </w:r>
      <w:r w:rsidRPr="008970D0">
        <w:rPr>
          <w:lang w:val="fr-FR"/>
        </w:rPr>
        <w:tab/>
        <w:t>Le Comité se félicite des mesures législatives, institutionnelles et stratégiques que l</w:t>
      </w:r>
      <w:r>
        <w:rPr>
          <w:lang w:val="fr-FR"/>
        </w:rPr>
        <w:t>’</w:t>
      </w:r>
      <w:r w:rsidRPr="008970D0">
        <w:rPr>
          <w:lang w:val="fr-FR"/>
        </w:rPr>
        <w:t>État partie a prises pour améliorer la protection des droits économiques, sociaux et culturels, notamment l</w:t>
      </w:r>
      <w:r>
        <w:rPr>
          <w:lang w:val="fr-FR"/>
        </w:rPr>
        <w:t>’</w:t>
      </w:r>
      <w:r w:rsidRPr="008970D0">
        <w:rPr>
          <w:lang w:val="fr-FR"/>
        </w:rPr>
        <w:t>arrêt de la Cour constitutionnelle du 11 janvier 2019 qui reconnaît l</w:t>
      </w:r>
      <w:r>
        <w:rPr>
          <w:lang w:val="fr-FR"/>
        </w:rPr>
        <w:t>’</w:t>
      </w:r>
      <w:r w:rsidRPr="008970D0">
        <w:rPr>
          <w:lang w:val="fr-FR"/>
        </w:rPr>
        <w:t>identité de genre et l</w:t>
      </w:r>
      <w:r>
        <w:rPr>
          <w:lang w:val="fr-FR"/>
        </w:rPr>
        <w:t>’</w:t>
      </w:r>
      <w:r w:rsidRPr="008970D0">
        <w:rPr>
          <w:lang w:val="fr-FR"/>
        </w:rPr>
        <w:t>orientation sexuelle comme des motifs de discrimination interdits, le Plan d</w:t>
      </w:r>
      <w:r>
        <w:rPr>
          <w:lang w:val="fr-FR"/>
        </w:rPr>
        <w:t>’</w:t>
      </w:r>
      <w:r w:rsidRPr="008970D0">
        <w:rPr>
          <w:lang w:val="fr-FR"/>
        </w:rPr>
        <w:t>action national pour la sécurité et la santé au travail (2017-2021) et le Plan national relatif à l</w:t>
      </w:r>
      <w:r>
        <w:rPr>
          <w:lang w:val="fr-FR"/>
        </w:rPr>
        <w:t>’</w:t>
      </w:r>
      <w:r w:rsidRPr="008970D0">
        <w:rPr>
          <w:lang w:val="fr-FR"/>
        </w:rPr>
        <w:t>énergie et au climat (2021-2030).</w:t>
      </w:r>
    </w:p>
    <w:p w14:paraId="61A6E6C7" w14:textId="77777777" w:rsidR="00096DDD" w:rsidRPr="008970D0" w:rsidRDefault="00096DDD" w:rsidP="006B258D">
      <w:pPr>
        <w:pStyle w:val="H1G"/>
        <w:rPr>
          <w:lang w:val="fr-FR"/>
        </w:rPr>
      </w:pPr>
      <w:r w:rsidRPr="008970D0">
        <w:rPr>
          <w:lang w:val="fr-FR"/>
        </w:rPr>
        <w:tab/>
        <w:t>C.</w:t>
      </w:r>
      <w:r w:rsidRPr="008970D0">
        <w:rPr>
          <w:lang w:val="fr-FR"/>
        </w:rPr>
        <w:tab/>
        <w:t>Principaux sujets de préoccupation et recommandations</w:t>
      </w:r>
    </w:p>
    <w:p w14:paraId="5AF04B37" w14:textId="77777777" w:rsidR="00096DDD" w:rsidRPr="008970D0" w:rsidRDefault="00096DDD" w:rsidP="006B258D">
      <w:pPr>
        <w:pStyle w:val="H23G"/>
        <w:rPr>
          <w:lang w:val="fr-FR"/>
        </w:rPr>
      </w:pPr>
      <w:r w:rsidRPr="008970D0">
        <w:rPr>
          <w:lang w:val="fr-FR"/>
        </w:rPr>
        <w:tab/>
      </w:r>
      <w:r w:rsidRPr="008970D0">
        <w:rPr>
          <w:lang w:val="fr-FR"/>
        </w:rPr>
        <w:tab/>
        <w:t>Application du Pacte au niveau national</w:t>
      </w:r>
    </w:p>
    <w:p w14:paraId="4F825E89" w14:textId="2E576DA4" w:rsidR="00096DDD" w:rsidRPr="008970D0" w:rsidRDefault="00096DDD" w:rsidP="006B258D">
      <w:pPr>
        <w:pStyle w:val="SingleTxtG"/>
        <w:rPr>
          <w:bCs/>
          <w:lang w:val="fr-FR"/>
        </w:rPr>
      </w:pPr>
      <w:r w:rsidRPr="008970D0">
        <w:rPr>
          <w:lang w:val="fr-FR"/>
        </w:rPr>
        <w:t>4.</w:t>
      </w:r>
      <w:r w:rsidRPr="008970D0">
        <w:rPr>
          <w:lang w:val="fr-FR"/>
        </w:rPr>
        <w:tab/>
        <w:t>Le Comité prend note avec satisfaction des exemples fournis par l</w:t>
      </w:r>
      <w:r>
        <w:rPr>
          <w:lang w:val="fr-FR"/>
        </w:rPr>
        <w:t>’</w:t>
      </w:r>
      <w:r w:rsidRPr="008970D0">
        <w:rPr>
          <w:lang w:val="fr-FR"/>
        </w:rPr>
        <w:t>État partie concernant des affaires dans lesquelles certaines dispositions du Pacte ont été invoquées par ou devant les tribunaux et ont été directement appliquées par eux. Il regrette toutefois que les juges, les procureurs, les avocats et les membres des forces de l</w:t>
      </w:r>
      <w:r>
        <w:rPr>
          <w:lang w:val="fr-FR"/>
        </w:rPr>
        <w:t>’</w:t>
      </w:r>
      <w:r w:rsidRPr="008970D0">
        <w:rPr>
          <w:lang w:val="fr-FR"/>
        </w:rPr>
        <w:t>ordre ne reçoivent pas de formation spécialisée sur le Pacte et sur la justiciabilité des droits qui y sont  consacrés, et qu</w:t>
      </w:r>
      <w:r>
        <w:rPr>
          <w:lang w:val="fr-FR"/>
        </w:rPr>
        <w:t>’</w:t>
      </w:r>
      <w:r w:rsidRPr="008970D0">
        <w:rPr>
          <w:lang w:val="fr-FR"/>
        </w:rPr>
        <w:t>aucune activité de sensibilisation destinée aux acteurs responsables de l</w:t>
      </w:r>
      <w:r>
        <w:rPr>
          <w:lang w:val="fr-FR"/>
        </w:rPr>
        <w:t>’</w:t>
      </w:r>
      <w:r w:rsidRPr="008970D0">
        <w:rPr>
          <w:lang w:val="fr-FR"/>
        </w:rPr>
        <w:t>application du Pacte ne soit menée. En outre, il se dit préoccupé par les informations selon lesquelles les décisions de certains juges témoignent d</w:t>
      </w:r>
      <w:r>
        <w:rPr>
          <w:lang w:val="fr-FR"/>
        </w:rPr>
        <w:t>’</w:t>
      </w:r>
      <w:r w:rsidRPr="008970D0">
        <w:rPr>
          <w:lang w:val="fr-FR"/>
        </w:rPr>
        <w:t xml:space="preserve">une attitude discriminatoire </w:t>
      </w:r>
      <w:r w:rsidR="00F40B59">
        <w:rPr>
          <w:lang w:val="fr-FR"/>
        </w:rPr>
        <w:t>(art. </w:t>
      </w:r>
      <w:r w:rsidRPr="008970D0">
        <w:rPr>
          <w:lang w:val="fr-FR"/>
        </w:rPr>
        <w:t xml:space="preserve">2, </w:t>
      </w:r>
      <w:r w:rsidR="00334DE2">
        <w:rPr>
          <w:lang w:val="fr-FR"/>
        </w:rPr>
        <w:t>par. </w:t>
      </w:r>
      <w:r w:rsidRPr="008970D0">
        <w:rPr>
          <w:lang w:val="fr-FR"/>
        </w:rPr>
        <w:t>1)).</w:t>
      </w:r>
    </w:p>
    <w:p w14:paraId="57719AA4" w14:textId="5B381405" w:rsidR="00096DDD" w:rsidRPr="008970D0" w:rsidRDefault="00096DDD" w:rsidP="00D2082B">
      <w:pPr>
        <w:pStyle w:val="SingleTxtG"/>
        <w:tabs>
          <w:tab w:val="clear" w:pos="1701"/>
          <w:tab w:val="clear" w:pos="2268"/>
          <w:tab w:val="clear" w:pos="2835"/>
        </w:tabs>
        <w:rPr>
          <w:b/>
          <w:lang w:val="fr-FR"/>
        </w:rPr>
      </w:pPr>
      <w:r w:rsidRPr="008970D0">
        <w:rPr>
          <w:lang w:val="fr-FR"/>
        </w:rPr>
        <w:t>5.</w:t>
      </w:r>
      <w:r w:rsidRPr="008970D0">
        <w:rPr>
          <w:lang w:val="fr-FR"/>
        </w:rPr>
        <w:tab/>
      </w:r>
      <w:r w:rsidRPr="008970D0">
        <w:rPr>
          <w:b/>
          <w:bCs/>
          <w:lang w:val="fr-FR"/>
        </w:rPr>
        <w:t>Le Comité recommande à l</w:t>
      </w:r>
      <w:r>
        <w:rPr>
          <w:b/>
          <w:bCs/>
          <w:lang w:val="fr-FR"/>
        </w:rPr>
        <w:t>’</w:t>
      </w:r>
      <w:r w:rsidRPr="008970D0">
        <w:rPr>
          <w:b/>
          <w:bCs/>
          <w:lang w:val="fr-FR"/>
        </w:rPr>
        <w:t>État partie de faire en sorte que les juges, les procureurs, les avocats et les membres des forces de l</w:t>
      </w:r>
      <w:r>
        <w:rPr>
          <w:b/>
          <w:bCs/>
          <w:lang w:val="fr-FR"/>
        </w:rPr>
        <w:t>’</w:t>
      </w:r>
      <w:r w:rsidRPr="008970D0">
        <w:rPr>
          <w:b/>
          <w:bCs/>
          <w:lang w:val="fr-FR"/>
        </w:rPr>
        <w:t xml:space="preserve">ordre reçoivent régulièrement une formation spécialisée sur les dispositions du Pacte et la justiciabilité des droits économiques, sociaux et culturels, afin de garantir que ces professionnels agissent en </w:t>
      </w:r>
      <w:r w:rsidRPr="008970D0">
        <w:rPr>
          <w:b/>
          <w:bCs/>
          <w:lang w:val="fr-FR"/>
        </w:rPr>
        <w:lastRenderedPageBreak/>
        <w:t>toute indépendance et que les juges prononcent des décisions exemptes de tout préjugé.</w:t>
      </w:r>
      <w:r w:rsidRPr="008970D0">
        <w:rPr>
          <w:lang w:val="fr-FR"/>
        </w:rPr>
        <w:t xml:space="preserve"> </w:t>
      </w:r>
      <w:r w:rsidRPr="008970D0">
        <w:rPr>
          <w:b/>
          <w:bCs/>
          <w:lang w:val="fr-FR"/>
        </w:rPr>
        <w:t>Il lui recommande également de mener des campagnes de sensibilisation auprès de tous les acteurs étatiques responsables de l</w:t>
      </w:r>
      <w:r>
        <w:rPr>
          <w:b/>
          <w:bCs/>
          <w:lang w:val="fr-FR"/>
        </w:rPr>
        <w:t>’</w:t>
      </w:r>
      <w:r w:rsidRPr="008970D0">
        <w:rPr>
          <w:b/>
          <w:bCs/>
          <w:lang w:val="fr-FR"/>
        </w:rPr>
        <w:t>application du Pacte ainsi qu</w:t>
      </w:r>
      <w:r>
        <w:rPr>
          <w:b/>
          <w:bCs/>
          <w:lang w:val="fr-FR"/>
        </w:rPr>
        <w:t>’</w:t>
      </w:r>
      <w:r w:rsidRPr="008970D0">
        <w:rPr>
          <w:b/>
          <w:bCs/>
          <w:lang w:val="fr-FR"/>
        </w:rPr>
        <w:t>auprès des titulaires des droits.</w:t>
      </w:r>
      <w:r w:rsidRPr="008970D0">
        <w:rPr>
          <w:lang w:val="fr-FR"/>
        </w:rPr>
        <w:t xml:space="preserve"> </w:t>
      </w:r>
      <w:r w:rsidRPr="008970D0">
        <w:rPr>
          <w:b/>
          <w:bCs/>
          <w:lang w:val="fr-FR"/>
        </w:rPr>
        <w:t>Il appelle aussi l</w:t>
      </w:r>
      <w:r>
        <w:rPr>
          <w:b/>
          <w:bCs/>
          <w:lang w:val="fr-FR"/>
        </w:rPr>
        <w:t>’</w:t>
      </w:r>
      <w:r w:rsidRPr="008970D0">
        <w:rPr>
          <w:b/>
          <w:bCs/>
          <w:lang w:val="fr-FR"/>
        </w:rPr>
        <w:t>attention de l</w:t>
      </w:r>
      <w:r>
        <w:rPr>
          <w:b/>
          <w:bCs/>
          <w:lang w:val="fr-FR"/>
        </w:rPr>
        <w:t>’</w:t>
      </w:r>
      <w:r w:rsidRPr="008970D0">
        <w:rPr>
          <w:b/>
          <w:bCs/>
          <w:lang w:val="fr-FR"/>
        </w:rPr>
        <w:t>État partie sur son observation générale n</w:t>
      </w:r>
      <w:r w:rsidRPr="008970D0">
        <w:rPr>
          <w:b/>
          <w:bCs/>
          <w:vertAlign w:val="superscript"/>
          <w:lang w:val="fr-FR"/>
        </w:rPr>
        <w:t>o</w:t>
      </w:r>
      <w:r w:rsidR="006B258D">
        <w:rPr>
          <w:b/>
          <w:bCs/>
          <w:lang w:val="fr-FR"/>
        </w:rPr>
        <w:t> </w:t>
      </w:r>
      <w:r w:rsidRPr="008970D0">
        <w:rPr>
          <w:b/>
          <w:bCs/>
          <w:lang w:val="fr-FR"/>
        </w:rPr>
        <w:t>9 (1998) sur l</w:t>
      </w:r>
      <w:r>
        <w:rPr>
          <w:b/>
          <w:bCs/>
          <w:lang w:val="fr-FR"/>
        </w:rPr>
        <w:t>’</w:t>
      </w:r>
      <w:r w:rsidRPr="008970D0">
        <w:rPr>
          <w:b/>
          <w:bCs/>
          <w:lang w:val="fr-FR"/>
        </w:rPr>
        <w:t>application du Pacte au niveau national.</w:t>
      </w:r>
    </w:p>
    <w:p w14:paraId="3C465C7F" w14:textId="77777777" w:rsidR="00096DDD" w:rsidRPr="008970D0" w:rsidRDefault="00096DDD" w:rsidP="00872087">
      <w:pPr>
        <w:pStyle w:val="H23G"/>
        <w:spacing w:before="200"/>
        <w:rPr>
          <w:lang w:val="fr-FR"/>
        </w:rPr>
      </w:pPr>
      <w:r w:rsidRPr="008970D0">
        <w:rPr>
          <w:lang w:val="fr-FR"/>
        </w:rPr>
        <w:tab/>
      </w:r>
      <w:r w:rsidRPr="008970D0">
        <w:rPr>
          <w:lang w:val="fr-FR"/>
        </w:rPr>
        <w:tab/>
        <w:t>Institution nationale pour la promotion et la protection des droits de l</w:t>
      </w:r>
      <w:r>
        <w:rPr>
          <w:lang w:val="fr-FR"/>
        </w:rPr>
        <w:t>’</w:t>
      </w:r>
      <w:r w:rsidRPr="008970D0">
        <w:rPr>
          <w:lang w:val="fr-FR"/>
        </w:rPr>
        <w:t>homme</w:t>
      </w:r>
    </w:p>
    <w:p w14:paraId="72574295" w14:textId="0EB557A1" w:rsidR="00096DDD" w:rsidRPr="008970D0" w:rsidRDefault="00096DDD" w:rsidP="00D2082B">
      <w:pPr>
        <w:pStyle w:val="SingleTxtG"/>
        <w:tabs>
          <w:tab w:val="clear" w:pos="1701"/>
          <w:tab w:val="clear" w:pos="2268"/>
          <w:tab w:val="clear" w:pos="2835"/>
        </w:tabs>
        <w:rPr>
          <w:lang w:val="fr-FR"/>
        </w:rPr>
      </w:pPr>
      <w:r w:rsidRPr="008970D0">
        <w:rPr>
          <w:lang w:val="fr-FR"/>
        </w:rPr>
        <w:t>6.</w:t>
      </w:r>
      <w:r w:rsidRPr="008970D0">
        <w:rPr>
          <w:lang w:val="fr-FR"/>
        </w:rPr>
        <w:tab/>
        <w:t>Le Comité se félicite que le Bureau des médiateurs parlementaires ait reçu le statut d</w:t>
      </w:r>
      <w:r>
        <w:rPr>
          <w:lang w:val="fr-FR"/>
        </w:rPr>
        <w:t>’</w:t>
      </w:r>
      <w:r w:rsidRPr="008970D0">
        <w:rPr>
          <w:lang w:val="fr-FR"/>
        </w:rPr>
        <w:t>accréditation «</w:t>
      </w:r>
      <w:r w:rsidR="00401C6D">
        <w:rPr>
          <w:lang w:val="fr-FR"/>
        </w:rPr>
        <w:t> </w:t>
      </w:r>
      <w:r w:rsidRPr="008970D0">
        <w:rPr>
          <w:lang w:val="fr-FR"/>
        </w:rPr>
        <w:t>A</w:t>
      </w:r>
      <w:r w:rsidR="00401C6D">
        <w:rPr>
          <w:lang w:val="fr-FR"/>
        </w:rPr>
        <w:t> </w:t>
      </w:r>
      <w:r w:rsidRPr="008970D0">
        <w:rPr>
          <w:lang w:val="fr-FR"/>
        </w:rPr>
        <w:t xml:space="preserve">» et salue la hausse constante du budget qui lui est alloué. Toutefois, il note avec préoccupation que le mandat du </w:t>
      </w:r>
      <w:r>
        <w:rPr>
          <w:lang w:val="fr-FR"/>
        </w:rPr>
        <w:t>B</w:t>
      </w:r>
      <w:r w:rsidRPr="008970D0">
        <w:rPr>
          <w:lang w:val="fr-FR"/>
        </w:rPr>
        <w:t>ureau ne couvre pas explicitement les droits économiques, sociaux et culturels. Il craint que le Bureau ne dispose toujours pas des ressources humaines, techniques et financières lui permettant de s</w:t>
      </w:r>
      <w:r>
        <w:rPr>
          <w:lang w:val="fr-FR"/>
        </w:rPr>
        <w:t>’</w:t>
      </w:r>
      <w:r w:rsidRPr="008970D0">
        <w:rPr>
          <w:lang w:val="fr-FR"/>
        </w:rPr>
        <w:t>acquitter efficacement de son mandat en ce qui concerne les droits économiques, sociaux et culturels. Il regrette de ne pas avoir d</w:t>
      </w:r>
      <w:r>
        <w:rPr>
          <w:lang w:val="fr-FR"/>
        </w:rPr>
        <w:t>’</w:t>
      </w:r>
      <w:r w:rsidRPr="008970D0">
        <w:rPr>
          <w:lang w:val="fr-FR"/>
        </w:rPr>
        <w:t>informations sur les plaintes pour violation des droits économiques, sociaux et culturels que le Bureau a reçues, sur les enquêtes auxquelles ces plaintes ont donné lieu et sur l</w:t>
      </w:r>
      <w:r>
        <w:rPr>
          <w:lang w:val="fr-FR"/>
        </w:rPr>
        <w:t>’</w:t>
      </w:r>
      <w:r w:rsidRPr="008970D0">
        <w:rPr>
          <w:lang w:val="fr-FR"/>
        </w:rPr>
        <w:t xml:space="preserve">issue de ces enquêtes </w:t>
      </w:r>
      <w:r w:rsidR="00F40B59">
        <w:rPr>
          <w:lang w:val="fr-FR"/>
        </w:rPr>
        <w:t>(art. </w:t>
      </w:r>
      <w:r w:rsidRPr="008970D0">
        <w:rPr>
          <w:lang w:val="fr-FR"/>
        </w:rPr>
        <w:t xml:space="preserve">2, </w:t>
      </w:r>
      <w:r w:rsidR="00334DE2">
        <w:rPr>
          <w:lang w:val="fr-FR"/>
        </w:rPr>
        <w:t>par. </w:t>
      </w:r>
      <w:r w:rsidRPr="008970D0">
        <w:rPr>
          <w:lang w:val="fr-FR"/>
        </w:rPr>
        <w:t>1).</w:t>
      </w:r>
    </w:p>
    <w:p w14:paraId="18A25527" w14:textId="77777777" w:rsidR="00096DDD" w:rsidRPr="008970D0" w:rsidRDefault="00096DDD" w:rsidP="00D2082B">
      <w:pPr>
        <w:pStyle w:val="SingleTxtG"/>
        <w:tabs>
          <w:tab w:val="clear" w:pos="1701"/>
          <w:tab w:val="clear" w:pos="2268"/>
          <w:tab w:val="clear" w:pos="2835"/>
        </w:tabs>
        <w:rPr>
          <w:b/>
          <w:lang w:val="fr-FR"/>
        </w:rPr>
      </w:pPr>
      <w:r w:rsidRPr="008970D0">
        <w:rPr>
          <w:lang w:val="fr-FR"/>
        </w:rPr>
        <w:t>7.</w:t>
      </w:r>
      <w:r w:rsidRPr="008970D0">
        <w:rPr>
          <w:lang w:val="fr-FR"/>
        </w:rPr>
        <w:tab/>
      </w:r>
      <w:r w:rsidRPr="008970D0">
        <w:rPr>
          <w:b/>
          <w:bCs/>
          <w:lang w:val="fr-FR"/>
        </w:rPr>
        <w:t>Le Comité recommande à l</w:t>
      </w:r>
      <w:r>
        <w:rPr>
          <w:b/>
          <w:bCs/>
          <w:lang w:val="fr-FR"/>
        </w:rPr>
        <w:t>’</w:t>
      </w:r>
      <w:r w:rsidRPr="008970D0">
        <w:rPr>
          <w:b/>
          <w:bCs/>
          <w:lang w:val="fr-FR"/>
        </w:rPr>
        <w:t>État partie de continuer de prendre des mesures visant à donner suite aux observations et recommandations formulées en mars 2017 par l</w:t>
      </w:r>
      <w:r>
        <w:rPr>
          <w:b/>
          <w:bCs/>
          <w:lang w:val="fr-FR"/>
        </w:rPr>
        <w:t>’</w:t>
      </w:r>
      <w:r w:rsidRPr="008970D0">
        <w:rPr>
          <w:b/>
          <w:bCs/>
          <w:lang w:val="fr-FR"/>
        </w:rPr>
        <w:t>Alliance mondiale des institutions nationales des droits de l</w:t>
      </w:r>
      <w:r>
        <w:rPr>
          <w:b/>
          <w:bCs/>
          <w:lang w:val="fr-FR"/>
        </w:rPr>
        <w:t>’</w:t>
      </w:r>
      <w:r w:rsidRPr="008970D0">
        <w:rPr>
          <w:b/>
          <w:bCs/>
          <w:lang w:val="fr-FR"/>
        </w:rPr>
        <w:t>homme.</w:t>
      </w:r>
      <w:r w:rsidRPr="008970D0">
        <w:rPr>
          <w:lang w:val="fr-FR"/>
        </w:rPr>
        <w:t xml:space="preserve"> </w:t>
      </w:r>
      <w:r w:rsidRPr="008970D0">
        <w:rPr>
          <w:b/>
          <w:bCs/>
          <w:lang w:val="fr-FR"/>
        </w:rPr>
        <w:t xml:space="preserve">Il lui recommande également de renforcer les capacités du </w:t>
      </w:r>
      <w:r>
        <w:rPr>
          <w:b/>
          <w:bCs/>
          <w:lang w:val="fr-FR"/>
        </w:rPr>
        <w:t>B</w:t>
      </w:r>
      <w:r w:rsidRPr="008970D0">
        <w:rPr>
          <w:b/>
          <w:bCs/>
          <w:lang w:val="fr-FR"/>
        </w:rPr>
        <w:t>ureau des médiateurs parlementaires afin que ce dernier puisse s</w:t>
      </w:r>
      <w:r>
        <w:rPr>
          <w:b/>
          <w:bCs/>
          <w:lang w:val="fr-FR"/>
        </w:rPr>
        <w:t>’</w:t>
      </w:r>
      <w:r w:rsidRPr="008970D0">
        <w:rPr>
          <w:b/>
          <w:bCs/>
          <w:lang w:val="fr-FR"/>
        </w:rPr>
        <w:t>acquitter de son mandat de manière efficace et indépendante, dans le plein respect des Principes concernant le statut des institutions nationales pour la promotion et la protection des droits de l</w:t>
      </w:r>
      <w:r>
        <w:rPr>
          <w:b/>
          <w:bCs/>
          <w:lang w:val="fr-FR"/>
        </w:rPr>
        <w:t>’</w:t>
      </w:r>
      <w:r w:rsidRPr="008970D0">
        <w:rPr>
          <w:b/>
          <w:bCs/>
          <w:lang w:val="fr-FR"/>
        </w:rPr>
        <w:t xml:space="preserve">homme (Principes de Paris), et de faire en sorte que </w:t>
      </w:r>
      <w:r>
        <w:rPr>
          <w:b/>
          <w:bCs/>
          <w:lang w:val="fr-FR"/>
        </w:rPr>
        <w:t>ce mandat couvre de manière adéquate les</w:t>
      </w:r>
      <w:r w:rsidRPr="008970D0">
        <w:rPr>
          <w:b/>
          <w:bCs/>
          <w:lang w:val="fr-FR"/>
        </w:rPr>
        <w:t xml:space="preserve"> droits économiques, sociaux et culturels.</w:t>
      </w:r>
    </w:p>
    <w:p w14:paraId="26A978EF" w14:textId="77777777" w:rsidR="00096DDD" w:rsidRPr="008970D0" w:rsidRDefault="00096DDD" w:rsidP="00872087">
      <w:pPr>
        <w:pStyle w:val="H23G"/>
        <w:spacing w:before="200"/>
        <w:rPr>
          <w:lang w:val="fr-FR"/>
        </w:rPr>
      </w:pPr>
      <w:r w:rsidRPr="008970D0">
        <w:rPr>
          <w:lang w:val="fr-FR"/>
        </w:rPr>
        <w:tab/>
      </w:r>
      <w:r w:rsidRPr="008970D0">
        <w:rPr>
          <w:lang w:val="fr-FR"/>
        </w:rPr>
        <w:tab/>
        <w:t>Minorités nationales</w:t>
      </w:r>
    </w:p>
    <w:p w14:paraId="4E913267" w14:textId="66500FDF" w:rsidR="00096DDD" w:rsidRPr="008970D0" w:rsidRDefault="00096DDD" w:rsidP="00D2082B">
      <w:pPr>
        <w:pStyle w:val="SingleTxtG"/>
        <w:tabs>
          <w:tab w:val="clear" w:pos="1701"/>
          <w:tab w:val="clear" w:pos="2268"/>
          <w:tab w:val="clear" w:pos="2835"/>
        </w:tabs>
        <w:rPr>
          <w:b/>
          <w:bCs/>
          <w:lang w:val="fr-FR"/>
        </w:rPr>
      </w:pPr>
      <w:r w:rsidRPr="008970D0">
        <w:rPr>
          <w:lang w:val="fr-FR"/>
        </w:rPr>
        <w:t>8.</w:t>
      </w:r>
      <w:r w:rsidRPr="008970D0">
        <w:rPr>
          <w:lang w:val="fr-FR"/>
        </w:rPr>
        <w:tab/>
        <w:t>Le Comité est préoccupé par la baisse constante du nombre de personnes appartenant à des minorités nationales, notamment aux minorités polonaises, russes et bélarussiennes. Il</w:t>
      </w:r>
      <w:r w:rsidR="00872087">
        <w:rPr>
          <w:lang w:val="fr-FR"/>
        </w:rPr>
        <w:t> </w:t>
      </w:r>
      <w:r w:rsidRPr="008970D0">
        <w:rPr>
          <w:lang w:val="fr-FR"/>
        </w:rPr>
        <w:t xml:space="preserve">demeure préoccupé par </w:t>
      </w:r>
      <w:r>
        <w:rPr>
          <w:lang w:val="fr-FR"/>
        </w:rPr>
        <w:t>l</w:t>
      </w:r>
      <w:r w:rsidRPr="008970D0">
        <w:rPr>
          <w:lang w:val="fr-FR"/>
        </w:rPr>
        <w:t>es informations selon lesquelles les minorités nationales seraient victimes de discrimination et d</w:t>
      </w:r>
      <w:r>
        <w:rPr>
          <w:lang w:val="fr-FR"/>
        </w:rPr>
        <w:t>’</w:t>
      </w:r>
      <w:r w:rsidRPr="008970D0">
        <w:rPr>
          <w:lang w:val="fr-FR"/>
        </w:rPr>
        <w:t>inégalités de traitement et par l</w:t>
      </w:r>
      <w:r>
        <w:rPr>
          <w:lang w:val="fr-FR"/>
        </w:rPr>
        <w:t>’</w:t>
      </w:r>
      <w:r w:rsidRPr="008970D0">
        <w:rPr>
          <w:lang w:val="fr-FR"/>
        </w:rPr>
        <w:t>absence de cadre juridique visant à protéger les droits des minorités nationales dans l</w:t>
      </w:r>
      <w:r>
        <w:rPr>
          <w:lang w:val="fr-FR"/>
        </w:rPr>
        <w:t>’</w:t>
      </w:r>
      <w:r w:rsidRPr="008970D0">
        <w:rPr>
          <w:lang w:val="fr-FR"/>
        </w:rPr>
        <w:t>État partie suite à l</w:t>
      </w:r>
      <w:r>
        <w:rPr>
          <w:lang w:val="fr-FR"/>
        </w:rPr>
        <w:t>’</w:t>
      </w:r>
      <w:r w:rsidRPr="008970D0">
        <w:rPr>
          <w:lang w:val="fr-FR"/>
        </w:rPr>
        <w:t xml:space="preserve">abrogation, en janvier 2010, de la loi de 1989 relative aux minorités nationales </w:t>
      </w:r>
      <w:r w:rsidR="00F40B59">
        <w:rPr>
          <w:lang w:val="fr-FR"/>
        </w:rPr>
        <w:t>(art. </w:t>
      </w:r>
      <w:r w:rsidRPr="008970D0">
        <w:rPr>
          <w:lang w:val="fr-FR"/>
        </w:rPr>
        <w:t>2 et 15).</w:t>
      </w:r>
    </w:p>
    <w:p w14:paraId="3347817F" w14:textId="55DAF40B" w:rsidR="00096DDD" w:rsidRPr="008970D0" w:rsidRDefault="00096DDD" w:rsidP="00D2082B">
      <w:pPr>
        <w:pStyle w:val="SingleTxtG"/>
        <w:tabs>
          <w:tab w:val="clear" w:pos="1701"/>
          <w:tab w:val="clear" w:pos="2268"/>
          <w:tab w:val="clear" w:pos="2835"/>
        </w:tabs>
        <w:rPr>
          <w:b/>
          <w:lang w:val="fr-FR"/>
        </w:rPr>
      </w:pPr>
      <w:r w:rsidRPr="008970D0">
        <w:rPr>
          <w:lang w:val="fr-FR"/>
        </w:rPr>
        <w:t>9.</w:t>
      </w:r>
      <w:r w:rsidRPr="008970D0">
        <w:rPr>
          <w:lang w:val="fr-FR"/>
        </w:rPr>
        <w:tab/>
      </w:r>
      <w:r w:rsidRPr="008970D0">
        <w:rPr>
          <w:b/>
          <w:bCs/>
          <w:lang w:val="fr-FR"/>
        </w:rPr>
        <w:t>Le Comité recommande à l</w:t>
      </w:r>
      <w:r>
        <w:rPr>
          <w:b/>
          <w:bCs/>
          <w:lang w:val="fr-FR"/>
        </w:rPr>
        <w:t>’</w:t>
      </w:r>
      <w:r w:rsidRPr="008970D0">
        <w:rPr>
          <w:b/>
          <w:bCs/>
          <w:lang w:val="fr-FR"/>
        </w:rPr>
        <w:t>État partie de prendre d</w:t>
      </w:r>
      <w:r>
        <w:rPr>
          <w:b/>
          <w:bCs/>
          <w:lang w:val="fr-FR"/>
        </w:rPr>
        <w:t>’</w:t>
      </w:r>
      <w:r w:rsidRPr="008970D0">
        <w:rPr>
          <w:b/>
          <w:bCs/>
          <w:lang w:val="fr-FR"/>
        </w:rPr>
        <w:t>urgence et selon un calendrier défini des mesures visant à remédier à ces préoccupations, d</w:t>
      </w:r>
      <w:r>
        <w:rPr>
          <w:b/>
          <w:bCs/>
          <w:lang w:val="fr-FR"/>
        </w:rPr>
        <w:t>’</w:t>
      </w:r>
      <w:r w:rsidRPr="008970D0">
        <w:rPr>
          <w:b/>
          <w:bCs/>
          <w:lang w:val="fr-FR"/>
        </w:rPr>
        <w:t>accélérer la procédure d</w:t>
      </w:r>
      <w:r>
        <w:rPr>
          <w:b/>
          <w:bCs/>
          <w:lang w:val="fr-FR"/>
        </w:rPr>
        <w:t>’</w:t>
      </w:r>
      <w:r w:rsidRPr="008970D0">
        <w:rPr>
          <w:b/>
          <w:bCs/>
          <w:lang w:val="fr-FR"/>
        </w:rPr>
        <w:t>adoption d</w:t>
      </w:r>
      <w:r>
        <w:rPr>
          <w:b/>
          <w:bCs/>
          <w:lang w:val="fr-FR"/>
        </w:rPr>
        <w:t>’</w:t>
      </w:r>
      <w:r w:rsidRPr="008970D0">
        <w:rPr>
          <w:b/>
          <w:bCs/>
          <w:lang w:val="fr-FR"/>
        </w:rPr>
        <w:t>une nouvelle loi relative aux minorités nationales et, d</w:t>
      </w:r>
      <w:r>
        <w:rPr>
          <w:b/>
          <w:bCs/>
          <w:lang w:val="fr-FR"/>
        </w:rPr>
        <w:t>’</w:t>
      </w:r>
      <w:r w:rsidRPr="008970D0">
        <w:rPr>
          <w:b/>
          <w:bCs/>
          <w:lang w:val="fr-FR"/>
        </w:rPr>
        <w:t>ici là, de prendre des mesures efficaces permettant de protéger pleinement les droits de toutes les minorités nationales, notamment en ce qui concerne leur langue, leur religion, leur culture et leur identité.</w:t>
      </w:r>
      <w:r w:rsidRPr="008970D0">
        <w:rPr>
          <w:lang w:val="fr-FR"/>
        </w:rPr>
        <w:t xml:space="preserve"> </w:t>
      </w:r>
      <w:r>
        <w:rPr>
          <w:b/>
          <w:bCs/>
          <w:lang w:val="fr-FR"/>
        </w:rPr>
        <w:t>Il</w:t>
      </w:r>
      <w:r w:rsidRPr="008970D0">
        <w:rPr>
          <w:b/>
          <w:bCs/>
          <w:lang w:val="fr-FR"/>
        </w:rPr>
        <w:t xml:space="preserve"> rappelle son observation générale n</w:t>
      </w:r>
      <w:r w:rsidRPr="008970D0">
        <w:rPr>
          <w:b/>
          <w:bCs/>
          <w:vertAlign w:val="superscript"/>
          <w:lang w:val="fr-FR"/>
        </w:rPr>
        <w:t>o</w:t>
      </w:r>
      <w:r w:rsidR="00D2082B">
        <w:rPr>
          <w:b/>
          <w:bCs/>
          <w:lang w:val="fr-FR"/>
        </w:rPr>
        <w:t> </w:t>
      </w:r>
      <w:r w:rsidRPr="008970D0">
        <w:rPr>
          <w:b/>
          <w:bCs/>
          <w:lang w:val="fr-FR"/>
        </w:rPr>
        <w:t>3 (1990) sur la nature des obligations des États parties.</w:t>
      </w:r>
    </w:p>
    <w:p w14:paraId="593FA413" w14:textId="77777777" w:rsidR="00096DDD" w:rsidRPr="008970D0" w:rsidRDefault="00096DDD" w:rsidP="00872087">
      <w:pPr>
        <w:pStyle w:val="H23G"/>
        <w:spacing w:before="200"/>
        <w:rPr>
          <w:lang w:val="fr-FR"/>
        </w:rPr>
      </w:pPr>
      <w:r w:rsidRPr="008970D0">
        <w:rPr>
          <w:lang w:val="fr-FR"/>
        </w:rPr>
        <w:tab/>
      </w:r>
      <w:r w:rsidRPr="008970D0">
        <w:rPr>
          <w:lang w:val="fr-FR"/>
        </w:rPr>
        <w:tab/>
      </w:r>
      <w:r w:rsidRPr="008970D0">
        <w:rPr>
          <w:bCs/>
          <w:lang w:val="fr-FR"/>
        </w:rPr>
        <w:t>Discrimination à l</w:t>
      </w:r>
      <w:r>
        <w:rPr>
          <w:bCs/>
          <w:lang w:val="fr-FR"/>
        </w:rPr>
        <w:t>’</w:t>
      </w:r>
      <w:r w:rsidRPr="008970D0">
        <w:rPr>
          <w:bCs/>
          <w:lang w:val="fr-FR"/>
        </w:rPr>
        <w:t>égard des Roms</w:t>
      </w:r>
    </w:p>
    <w:p w14:paraId="79865CEB" w14:textId="634C7D0C" w:rsidR="00096DDD" w:rsidRPr="008970D0" w:rsidRDefault="00096DDD" w:rsidP="00CF38EB">
      <w:pPr>
        <w:pStyle w:val="SingleTxtG"/>
        <w:tabs>
          <w:tab w:val="clear" w:pos="1701"/>
          <w:tab w:val="clear" w:pos="2268"/>
          <w:tab w:val="clear" w:pos="2835"/>
        </w:tabs>
        <w:rPr>
          <w:lang w:val="fr-FR"/>
        </w:rPr>
      </w:pPr>
      <w:r w:rsidRPr="008970D0">
        <w:rPr>
          <w:lang w:val="fr-FR"/>
        </w:rPr>
        <w:t>10.</w:t>
      </w:r>
      <w:r w:rsidRPr="008970D0">
        <w:rPr>
          <w:lang w:val="fr-FR"/>
        </w:rPr>
        <w:tab/>
      </w:r>
      <w:r w:rsidRPr="00872087">
        <w:rPr>
          <w:spacing w:val="-2"/>
          <w:lang w:val="fr-FR"/>
        </w:rPr>
        <w:t>Le Comité salue les progrès que l’État partie a accomplis en appliquant les divers programmes et plans d’action qui visent à faciliter l’accès des Roms aux droits économiques, sociaux et culturels. Toutefois, il se dit préoccupé par l’absence de réels progrès en ce qui concerne l’exercice, par les Roms, des droits qu’ils tiennent du Pacte, en particulier en matière de logement, de santé et d’emploi, et par la persistance de la stigmatisation, de l’exclusion sociale et de la discrimination dont ils sont victimes à cet égard. Le Comité regrette que le Plan d’action quinquennal pour l’intégration des Roms dans la société lituanienne pour la période 2022</w:t>
      </w:r>
      <w:r w:rsidR="00C75439">
        <w:rPr>
          <w:spacing w:val="-2"/>
          <w:lang w:val="fr-FR"/>
        </w:rPr>
        <w:noBreakHyphen/>
      </w:r>
      <w:r w:rsidRPr="00872087">
        <w:rPr>
          <w:spacing w:val="-2"/>
          <w:lang w:val="fr-FR"/>
        </w:rPr>
        <w:t>2023</w:t>
      </w:r>
      <w:r w:rsidRPr="00872087">
        <w:rPr>
          <w:rStyle w:val="Appelnotedebasdep"/>
          <w:spacing w:val="-2"/>
        </w:rPr>
        <w:footnoteReference w:id="6"/>
      </w:r>
      <w:r w:rsidRPr="00872087">
        <w:rPr>
          <w:spacing w:val="-2"/>
          <w:lang w:val="fr-FR"/>
        </w:rPr>
        <w:t xml:space="preserve"> ne traite pas de certains des problèmes les plus graves et ne prévoi</w:t>
      </w:r>
      <w:r w:rsidR="00872087" w:rsidRPr="00872087">
        <w:rPr>
          <w:spacing w:val="-2"/>
          <w:lang w:val="fr-FR"/>
        </w:rPr>
        <w:t>e</w:t>
      </w:r>
      <w:r w:rsidRPr="00872087">
        <w:rPr>
          <w:spacing w:val="-2"/>
          <w:lang w:val="fr-FR"/>
        </w:rPr>
        <w:t xml:space="preserve"> pas les ressources nécessaires à son application effective. Il regrette également qu’aucune loi globale visant à protéger les droits des minorités n’ait été adoptée </w:t>
      </w:r>
      <w:r w:rsidR="00F40B59" w:rsidRPr="00872087">
        <w:rPr>
          <w:spacing w:val="-2"/>
          <w:lang w:val="fr-FR"/>
        </w:rPr>
        <w:t>(art. </w:t>
      </w:r>
      <w:r w:rsidRPr="00872087">
        <w:rPr>
          <w:spacing w:val="-2"/>
          <w:lang w:val="fr-FR"/>
        </w:rPr>
        <w:t xml:space="preserve">2, </w:t>
      </w:r>
      <w:r w:rsidR="00334DE2" w:rsidRPr="00872087">
        <w:rPr>
          <w:spacing w:val="-2"/>
          <w:lang w:val="fr-FR"/>
        </w:rPr>
        <w:t>par. </w:t>
      </w:r>
      <w:r w:rsidRPr="00872087">
        <w:rPr>
          <w:spacing w:val="-2"/>
          <w:lang w:val="fr-FR"/>
        </w:rPr>
        <w:t>2)).</w:t>
      </w:r>
    </w:p>
    <w:p w14:paraId="32A7926A" w14:textId="77777777" w:rsidR="00096DDD" w:rsidRPr="008970D0" w:rsidRDefault="00096DDD" w:rsidP="00CF38EB">
      <w:pPr>
        <w:pStyle w:val="SingleTxtG"/>
        <w:tabs>
          <w:tab w:val="clear" w:pos="1701"/>
          <w:tab w:val="clear" w:pos="2268"/>
          <w:tab w:val="clear" w:pos="2835"/>
        </w:tabs>
        <w:rPr>
          <w:lang w:val="fr-FR"/>
        </w:rPr>
      </w:pPr>
      <w:r w:rsidRPr="008970D0">
        <w:rPr>
          <w:lang w:val="fr-FR"/>
        </w:rPr>
        <w:lastRenderedPageBreak/>
        <w:t>11.</w:t>
      </w:r>
      <w:r w:rsidRPr="008970D0">
        <w:rPr>
          <w:lang w:val="fr-FR"/>
        </w:rPr>
        <w:tab/>
      </w:r>
      <w:r w:rsidRPr="008970D0">
        <w:rPr>
          <w:b/>
          <w:bCs/>
          <w:lang w:val="fr-FR"/>
        </w:rPr>
        <w:t>Le Comité recommande à l</w:t>
      </w:r>
      <w:r>
        <w:rPr>
          <w:b/>
          <w:bCs/>
          <w:lang w:val="fr-FR"/>
        </w:rPr>
        <w:t>’</w:t>
      </w:r>
      <w:r w:rsidRPr="008970D0">
        <w:rPr>
          <w:b/>
          <w:bCs/>
          <w:lang w:val="fr-FR"/>
        </w:rPr>
        <w:t>État partie de redoubler d</w:t>
      </w:r>
      <w:r>
        <w:rPr>
          <w:b/>
          <w:bCs/>
          <w:lang w:val="fr-FR"/>
        </w:rPr>
        <w:t>’</w:t>
      </w:r>
      <w:r w:rsidRPr="008970D0">
        <w:rPr>
          <w:b/>
          <w:bCs/>
          <w:lang w:val="fr-FR"/>
        </w:rPr>
        <w:t>efforts pour favoriser l</w:t>
      </w:r>
      <w:r>
        <w:rPr>
          <w:b/>
          <w:bCs/>
          <w:lang w:val="fr-FR"/>
        </w:rPr>
        <w:t>’</w:t>
      </w:r>
      <w:r w:rsidRPr="008970D0">
        <w:rPr>
          <w:b/>
          <w:bCs/>
          <w:lang w:val="fr-FR"/>
        </w:rPr>
        <w:t>intégration sociale et économique des Roms, en accordant une attention particulière aux femmes et aux enfants.</w:t>
      </w:r>
      <w:r w:rsidRPr="008970D0">
        <w:rPr>
          <w:lang w:val="fr-FR"/>
        </w:rPr>
        <w:t xml:space="preserve"> </w:t>
      </w:r>
      <w:r w:rsidRPr="008970D0">
        <w:rPr>
          <w:b/>
          <w:bCs/>
          <w:lang w:val="fr-FR"/>
        </w:rPr>
        <w:t xml:space="preserve">Il </w:t>
      </w:r>
      <w:r>
        <w:rPr>
          <w:b/>
          <w:bCs/>
          <w:lang w:val="fr-FR"/>
        </w:rPr>
        <w:t xml:space="preserve">lui </w:t>
      </w:r>
      <w:r w:rsidRPr="008970D0">
        <w:rPr>
          <w:b/>
          <w:bCs/>
          <w:lang w:val="fr-FR"/>
        </w:rPr>
        <w:t xml:space="preserve">recommande en particulier de renforcer </w:t>
      </w:r>
      <w:r>
        <w:rPr>
          <w:b/>
          <w:bCs/>
          <w:lang w:val="fr-FR"/>
        </w:rPr>
        <w:t>son action</w:t>
      </w:r>
      <w:r w:rsidRPr="008970D0">
        <w:rPr>
          <w:b/>
          <w:bCs/>
          <w:lang w:val="fr-FR"/>
        </w:rPr>
        <w:t xml:space="preserve"> dans ce domaine, notamment en adoptant et en appliquant une stratégie globale d</w:t>
      </w:r>
      <w:r>
        <w:rPr>
          <w:b/>
          <w:bCs/>
          <w:lang w:val="fr-FR"/>
        </w:rPr>
        <w:t>’</w:t>
      </w:r>
      <w:r w:rsidRPr="008970D0">
        <w:rPr>
          <w:b/>
          <w:bCs/>
          <w:lang w:val="fr-FR"/>
        </w:rPr>
        <w:t xml:space="preserve">intégration des Roms au niveau national, en vue de remédier aux </w:t>
      </w:r>
      <w:r>
        <w:rPr>
          <w:b/>
          <w:bCs/>
          <w:lang w:val="fr-FR"/>
        </w:rPr>
        <w:t xml:space="preserve">inégalités </w:t>
      </w:r>
      <w:r w:rsidRPr="008970D0">
        <w:rPr>
          <w:b/>
          <w:bCs/>
          <w:lang w:val="fr-FR"/>
        </w:rPr>
        <w:t>et à la discrimination dont ceux-ci sont victimes dans l</w:t>
      </w:r>
      <w:r>
        <w:rPr>
          <w:b/>
          <w:bCs/>
          <w:lang w:val="fr-FR"/>
        </w:rPr>
        <w:t>’</w:t>
      </w:r>
      <w:r w:rsidRPr="008970D0">
        <w:rPr>
          <w:b/>
          <w:bCs/>
          <w:lang w:val="fr-FR"/>
        </w:rPr>
        <w:t>accès aux services publics, à l</w:t>
      </w:r>
      <w:r>
        <w:rPr>
          <w:b/>
          <w:bCs/>
          <w:lang w:val="fr-FR"/>
        </w:rPr>
        <w:t>’</w:t>
      </w:r>
      <w:r w:rsidRPr="008970D0">
        <w:rPr>
          <w:b/>
          <w:bCs/>
          <w:lang w:val="fr-FR"/>
        </w:rPr>
        <w:t>emploi, à un logement convenable, à l</w:t>
      </w:r>
      <w:r>
        <w:rPr>
          <w:b/>
          <w:bCs/>
          <w:lang w:val="fr-FR"/>
        </w:rPr>
        <w:t>’</w:t>
      </w:r>
      <w:r w:rsidRPr="008970D0">
        <w:rPr>
          <w:b/>
          <w:bCs/>
          <w:lang w:val="fr-FR"/>
        </w:rPr>
        <w:t>éducation et aux soins de santé.</w:t>
      </w:r>
    </w:p>
    <w:p w14:paraId="61A8CDD7" w14:textId="77777777" w:rsidR="00096DDD" w:rsidRPr="008970D0" w:rsidRDefault="00096DDD" w:rsidP="00782866">
      <w:pPr>
        <w:pStyle w:val="H23G"/>
        <w:spacing w:before="200"/>
        <w:rPr>
          <w:lang w:val="fr-FR"/>
        </w:rPr>
      </w:pPr>
      <w:r w:rsidRPr="008970D0">
        <w:rPr>
          <w:lang w:val="fr-FR"/>
        </w:rPr>
        <w:tab/>
      </w:r>
      <w:r w:rsidRPr="008970D0">
        <w:rPr>
          <w:lang w:val="fr-FR"/>
        </w:rPr>
        <w:tab/>
        <w:t>Discrimination fondée sur l</w:t>
      </w:r>
      <w:r>
        <w:rPr>
          <w:lang w:val="fr-FR"/>
        </w:rPr>
        <w:t>’</w:t>
      </w:r>
      <w:r w:rsidRPr="008970D0">
        <w:rPr>
          <w:lang w:val="fr-FR"/>
        </w:rPr>
        <w:t>orientation sexuelle et l</w:t>
      </w:r>
      <w:r>
        <w:rPr>
          <w:lang w:val="fr-FR"/>
        </w:rPr>
        <w:t>’</w:t>
      </w:r>
      <w:r w:rsidRPr="008970D0">
        <w:rPr>
          <w:lang w:val="fr-FR"/>
        </w:rPr>
        <w:t>identité de genre</w:t>
      </w:r>
    </w:p>
    <w:p w14:paraId="23ED8913" w14:textId="3374FC8D" w:rsidR="00096DDD" w:rsidRPr="008970D0" w:rsidRDefault="00096DDD" w:rsidP="00CF38EB">
      <w:pPr>
        <w:pStyle w:val="SingleTxtG"/>
        <w:tabs>
          <w:tab w:val="clear" w:pos="1701"/>
          <w:tab w:val="clear" w:pos="2268"/>
          <w:tab w:val="clear" w:pos="2835"/>
        </w:tabs>
        <w:rPr>
          <w:lang w:val="fr-FR"/>
        </w:rPr>
      </w:pPr>
      <w:r w:rsidRPr="008970D0">
        <w:rPr>
          <w:lang w:val="fr-FR"/>
        </w:rPr>
        <w:t>12.</w:t>
      </w:r>
      <w:r w:rsidRPr="008970D0">
        <w:rPr>
          <w:lang w:val="fr-FR"/>
        </w:rPr>
        <w:tab/>
        <w:t>Bien que prenant note des mesures adoptées par l</w:t>
      </w:r>
      <w:r>
        <w:rPr>
          <w:lang w:val="fr-FR"/>
        </w:rPr>
        <w:t>’</w:t>
      </w:r>
      <w:r w:rsidRPr="008970D0">
        <w:rPr>
          <w:lang w:val="fr-FR"/>
        </w:rPr>
        <w:t>État partie, notamment de l</w:t>
      </w:r>
      <w:r>
        <w:rPr>
          <w:lang w:val="fr-FR"/>
        </w:rPr>
        <w:t>’</w:t>
      </w:r>
      <w:r w:rsidRPr="008970D0">
        <w:rPr>
          <w:lang w:val="fr-FR"/>
        </w:rPr>
        <w:t>arrêt de la Cour constitutionnelle du 11 janvier 2019 qui reconnaît l</w:t>
      </w:r>
      <w:r>
        <w:rPr>
          <w:lang w:val="fr-FR"/>
        </w:rPr>
        <w:t>’</w:t>
      </w:r>
      <w:r w:rsidRPr="008970D0">
        <w:rPr>
          <w:lang w:val="fr-FR"/>
        </w:rPr>
        <w:t>identité de genre et l</w:t>
      </w:r>
      <w:r>
        <w:rPr>
          <w:lang w:val="fr-FR"/>
        </w:rPr>
        <w:t>’</w:t>
      </w:r>
      <w:r w:rsidRPr="008970D0">
        <w:rPr>
          <w:lang w:val="fr-FR"/>
        </w:rPr>
        <w:t>orientation sexuelle comme des motifs de discrimination interdits au titre de l</w:t>
      </w:r>
      <w:r>
        <w:rPr>
          <w:lang w:val="fr-FR"/>
        </w:rPr>
        <w:t>’</w:t>
      </w:r>
      <w:r w:rsidRPr="008970D0">
        <w:rPr>
          <w:lang w:val="fr-FR"/>
        </w:rPr>
        <w:t>article 29</w:t>
      </w:r>
      <w:r>
        <w:rPr>
          <w:lang w:val="fr-FR"/>
        </w:rPr>
        <w:t xml:space="preserve"> de la Constitution</w:t>
      </w:r>
      <w:r w:rsidRPr="008970D0">
        <w:rPr>
          <w:lang w:val="fr-FR"/>
        </w:rPr>
        <w:t>, le Comité regrette l</w:t>
      </w:r>
      <w:r>
        <w:rPr>
          <w:lang w:val="fr-FR"/>
        </w:rPr>
        <w:t>’</w:t>
      </w:r>
      <w:r w:rsidRPr="008970D0">
        <w:rPr>
          <w:lang w:val="fr-FR"/>
        </w:rPr>
        <w:t>absence de progrès tangibles en matière de lutte contre les actes de violence, de stigmatisation et de discrimination fondés sur l</w:t>
      </w:r>
      <w:r>
        <w:rPr>
          <w:lang w:val="fr-FR"/>
        </w:rPr>
        <w:t>’</w:t>
      </w:r>
      <w:r w:rsidRPr="008970D0">
        <w:rPr>
          <w:lang w:val="fr-FR"/>
        </w:rPr>
        <w:t>orientation sexuelle et l</w:t>
      </w:r>
      <w:r>
        <w:rPr>
          <w:lang w:val="fr-FR"/>
        </w:rPr>
        <w:t>’</w:t>
      </w:r>
      <w:r w:rsidRPr="008970D0">
        <w:rPr>
          <w:lang w:val="fr-FR"/>
        </w:rPr>
        <w:t xml:space="preserve">identité de genre dont sont victimes les personnes lesbiennes, gays, bisexuelles, transgenres et </w:t>
      </w:r>
      <w:proofErr w:type="spellStart"/>
      <w:r w:rsidRPr="008970D0">
        <w:rPr>
          <w:lang w:val="fr-FR"/>
        </w:rPr>
        <w:t>intersexes</w:t>
      </w:r>
      <w:proofErr w:type="spellEnd"/>
      <w:r w:rsidRPr="008970D0">
        <w:rPr>
          <w:lang w:val="fr-FR"/>
        </w:rPr>
        <w:t>. Il s</w:t>
      </w:r>
      <w:r>
        <w:rPr>
          <w:lang w:val="fr-FR"/>
        </w:rPr>
        <w:t>’</w:t>
      </w:r>
      <w:r w:rsidRPr="008970D0">
        <w:rPr>
          <w:lang w:val="fr-FR"/>
        </w:rPr>
        <w:t>inquiète également du fait que l</w:t>
      </w:r>
      <w:r>
        <w:rPr>
          <w:lang w:val="fr-FR"/>
        </w:rPr>
        <w:t>’</w:t>
      </w:r>
      <w:r w:rsidRPr="008970D0">
        <w:rPr>
          <w:lang w:val="fr-FR"/>
        </w:rPr>
        <w:t xml:space="preserve">identité de genre </w:t>
      </w:r>
      <w:r>
        <w:rPr>
          <w:lang w:val="fr-FR"/>
        </w:rPr>
        <w:t>n’est</w:t>
      </w:r>
      <w:r w:rsidRPr="008970D0">
        <w:rPr>
          <w:lang w:val="fr-FR"/>
        </w:rPr>
        <w:t xml:space="preserve"> pas encore reconnue dans la législation nationale. </w:t>
      </w:r>
      <w:r>
        <w:rPr>
          <w:lang w:val="fr-FR"/>
        </w:rPr>
        <w:t>Il</w:t>
      </w:r>
      <w:r w:rsidRPr="008970D0">
        <w:rPr>
          <w:lang w:val="fr-FR"/>
        </w:rPr>
        <w:t xml:space="preserve"> regrette qu</w:t>
      </w:r>
      <w:r>
        <w:rPr>
          <w:lang w:val="fr-FR"/>
        </w:rPr>
        <w:t>’</w:t>
      </w:r>
      <w:r w:rsidRPr="008970D0">
        <w:rPr>
          <w:lang w:val="fr-FR"/>
        </w:rPr>
        <w:t>en l</w:t>
      </w:r>
      <w:r>
        <w:rPr>
          <w:lang w:val="fr-FR"/>
        </w:rPr>
        <w:t>’</w:t>
      </w:r>
      <w:r w:rsidRPr="008970D0">
        <w:rPr>
          <w:lang w:val="fr-FR"/>
        </w:rPr>
        <w:t>absence de reconnaissance du mariage homosexuel, il n</w:t>
      </w:r>
      <w:r>
        <w:rPr>
          <w:lang w:val="fr-FR"/>
        </w:rPr>
        <w:t>’</w:t>
      </w:r>
      <w:r w:rsidRPr="008970D0">
        <w:rPr>
          <w:lang w:val="fr-FR"/>
        </w:rPr>
        <w:t xml:space="preserve">existe pas de statut juridique pour les couples de personnes de même sexe </w:t>
      </w:r>
      <w:r w:rsidR="00F40B59">
        <w:rPr>
          <w:lang w:val="fr-FR"/>
        </w:rPr>
        <w:t>(art. </w:t>
      </w:r>
      <w:r w:rsidRPr="008970D0">
        <w:rPr>
          <w:lang w:val="fr-FR"/>
        </w:rPr>
        <w:t xml:space="preserve">2, </w:t>
      </w:r>
      <w:r w:rsidR="00334DE2">
        <w:rPr>
          <w:lang w:val="fr-FR"/>
        </w:rPr>
        <w:t>par. </w:t>
      </w:r>
      <w:r w:rsidRPr="008970D0">
        <w:rPr>
          <w:lang w:val="fr-FR"/>
        </w:rPr>
        <w:t>2)).</w:t>
      </w:r>
    </w:p>
    <w:p w14:paraId="6AB05AD1" w14:textId="77777777" w:rsidR="00096DDD" w:rsidRPr="008970D0" w:rsidRDefault="00096DDD" w:rsidP="00DF129E">
      <w:pPr>
        <w:pStyle w:val="SingleTxtG"/>
        <w:keepNext/>
        <w:tabs>
          <w:tab w:val="clear" w:pos="1701"/>
          <w:tab w:val="clear" w:pos="2268"/>
          <w:tab w:val="clear" w:pos="2835"/>
        </w:tabs>
        <w:rPr>
          <w:b/>
          <w:bCs/>
          <w:lang w:val="fr-FR"/>
        </w:rPr>
      </w:pPr>
      <w:r w:rsidRPr="008970D0">
        <w:rPr>
          <w:lang w:val="fr-FR"/>
        </w:rPr>
        <w:t>13.</w:t>
      </w:r>
      <w:r w:rsidRPr="008970D0">
        <w:rPr>
          <w:lang w:val="fr-FR"/>
        </w:rPr>
        <w:tab/>
      </w:r>
      <w:r w:rsidRPr="008970D0">
        <w:rPr>
          <w:b/>
          <w:bCs/>
          <w:lang w:val="fr-FR"/>
        </w:rPr>
        <w:t>Réitérant les recommandations formulées dans ses précédentes observations finales</w:t>
      </w:r>
      <w:r w:rsidRPr="001043D5">
        <w:rPr>
          <w:rStyle w:val="Appelnotedebasdep"/>
        </w:rPr>
        <w:footnoteReference w:id="7"/>
      </w:r>
      <w:r w:rsidRPr="008970D0">
        <w:rPr>
          <w:b/>
          <w:bCs/>
          <w:lang w:val="fr-FR"/>
        </w:rPr>
        <w:t>, le Comité recommande à l</w:t>
      </w:r>
      <w:r>
        <w:rPr>
          <w:b/>
          <w:bCs/>
          <w:lang w:val="fr-FR"/>
        </w:rPr>
        <w:t>’</w:t>
      </w:r>
      <w:r w:rsidRPr="008970D0">
        <w:rPr>
          <w:b/>
          <w:bCs/>
          <w:lang w:val="fr-FR"/>
        </w:rPr>
        <w:t>État partie :</w:t>
      </w:r>
    </w:p>
    <w:p w14:paraId="0A98F79E" w14:textId="3258049E" w:rsidR="00096DDD" w:rsidRPr="008970D0" w:rsidRDefault="00096DDD" w:rsidP="00CF38EB">
      <w:pPr>
        <w:pStyle w:val="SingleTxtG"/>
        <w:ind w:firstLine="567"/>
        <w:rPr>
          <w:b/>
          <w:bCs/>
          <w:lang w:val="fr-FR"/>
        </w:rPr>
      </w:pPr>
      <w:r w:rsidRPr="00CF38EB">
        <w:rPr>
          <w:b/>
          <w:bCs/>
          <w:lang w:val="fr-FR"/>
        </w:rPr>
        <w:t>a)</w:t>
      </w:r>
      <w:r w:rsidRPr="00CF38EB">
        <w:rPr>
          <w:b/>
          <w:bCs/>
          <w:lang w:val="fr-FR"/>
        </w:rPr>
        <w:tab/>
      </w:r>
      <w:r w:rsidRPr="008970D0">
        <w:rPr>
          <w:b/>
          <w:bCs/>
          <w:lang w:val="fr-FR"/>
        </w:rPr>
        <w:t>De protéger efficacement les personnes contre toutes les formes de discrimination et de violence fondées sur l</w:t>
      </w:r>
      <w:r>
        <w:rPr>
          <w:b/>
          <w:bCs/>
          <w:lang w:val="fr-FR"/>
        </w:rPr>
        <w:t>’</w:t>
      </w:r>
      <w:r w:rsidRPr="008970D0">
        <w:rPr>
          <w:b/>
          <w:bCs/>
          <w:lang w:val="fr-FR"/>
        </w:rPr>
        <w:t>orientation sexuelle et l</w:t>
      </w:r>
      <w:r>
        <w:rPr>
          <w:b/>
          <w:bCs/>
          <w:lang w:val="fr-FR"/>
        </w:rPr>
        <w:t>’</w:t>
      </w:r>
      <w:r w:rsidRPr="008970D0">
        <w:rPr>
          <w:b/>
          <w:bCs/>
          <w:lang w:val="fr-FR"/>
        </w:rPr>
        <w:t>identité de genre, qui empêchent les victimes de jouir de leurs droits économiques, sociaux et culturels</w:t>
      </w:r>
      <w:r w:rsidR="002542B8">
        <w:rPr>
          <w:b/>
          <w:bCs/>
          <w:lang w:val="fr-FR"/>
        </w:rPr>
        <w:t> ;</w:t>
      </w:r>
    </w:p>
    <w:p w14:paraId="29602D42" w14:textId="623A7BE8" w:rsidR="00096DDD" w:rsidRPr="008970D0" w:rsidRDefault="00096DDD" w:rsidP="00CF38EB">
      <w:pPr>
        <w:pStyle w:val="SingleTxtG"/>
        <w:ind w:firstLine="567"/>
        <w:rPr>
          <w:b/>
          <w:bCs/>
          <w:lang w:val="fr-FR"/>
        </w:rPr>
      </w:pPr>
      <w:r w:rsidRPr="00CF38EB">
        <w:rPr>
          <w:b/>
          <w:bCs/>
          <w:lang w:val="fr-FR"/>
        </w:rPr>
        <w:t>b)</w:t>
      </w:r>
      <w:r w:rsidRPr="00CF38EB">
        <w:rPr>
          <w:b/>
          <w:bCs/>
          <w:lang w:val="fr-FR"/>
        </w:rPr>
        <w:tab/>
      </w:r>
      <w:r w:rsidRPr="008970D0">
        <w:rPr>
          <w:b/>
          <w:bCs/>
          <w:lang w:val="fr-FR"/>
        </w:rPr>
        <w:t>De redoubler d</w:t>
      </w:r>
      <w:r>
        <w:rPr>
          <w:b/>
          <w:bCs/>
          <w:lang w:val="fr-FR"/>
        </w:rPr>
        <w:t>’</w:t>
      </w:r>
      <w:r w:rsidRPr="008970D0">
        <w:rPr>
          <w:b/>
          <w:bCs/>
          <w:lang w:val="fr-FR"/>
        </w:rPr>
        <w:t xml:space="preserve">efforts pour adopter des mesures concrètes et ciblées visant à lutter contre la stigmatisation et la discrimination dont sont victimes les personnes lesbiennes, gays, bisexuelles, transgenres et </w:t>
      </w:r>
      <w:proofErr w:type="spellStart"/>
      <w:r w:rsidRPr="008970D0">
        <w:rPr>
          <w:b/>
          <w:bCs/>
          <w:lang w:val="fr-FR"/>
        </w:rPr>
        <w:t>intersexes</w:t>
      </w:r>
      <w:proofErr w:type="spellEnd"/>
      <w:r>
        <w:rPr>
          <w:b/>
          <w:bCs/>
          <w:lang w:val="fr-FR"/>
        </w:rPr>
        <w:t xml:space="preserve">, </w:t>
      </w:r>
      <w:r w:rsidRPr="008970D0">
        <w:rPr>
          <w:b/>
          <w:bCs/>
          <w:lang w:val="fr-FR"/>
        </w:rPr>
        <w:t xml:space="preserve">notamment </w:t>
      </w:r>
      <w:r>
        <w:rPr>
          <w:b/>
          <w:bCs/>
          <w:lang w:val="fr-FR"/>
        </w:rPr>
        <w:t xml:space="preserve">pour mener d’autres </w:t>
      </w:r>
      <w:r w:rsidRPr="008970D0">
        <w:rPr>
          <w:b/>
          <w:bCs/>
          <w:lang w:val="fr-FR"/>
        </w:rPr>
        <w:t>campagnes de sensibilisation</w:t>
      </w:r>
      <w:r w:rsidR="002542B8">
        <w:rPr>
          <w:b/>
          <w:bCs/>
          <w:lang w:val="fr-FR"/>
        </w:rPr>
        <w:t> ;</w:t>
      </w:r>
    </w:p>
    <w:p w14:paraId="69B5140B" w14:textId="21DE49A8" w:rsidR="00096DDD" w:rsidRPr="008970D0" w:rsidRDefault="00096DDD" w:rsidP="00CF38EB">
      <w:pPr>
        <w:pStyle w:val="SingleTxtG"/>
        <w:ind w:firstLine="567"/>
        <w:rPr>
          <w:b/>
          <w:bCs/>
          <w:lang w:val="fr-FR"/>
        </w:rPr>
      </w:pPr>
      <w:r w:rsidRPr="00CF38EB">
        <w:rPr>
          <w:b/>
          <w:bCs/>
          <w:lang w:val="fr-FR"/>
        </w:rPr>
        <w:t>c)</w:t>
      </w:r>
      <w:r w:rsidRPr="00CF38EB">
        <w:rPr>
          <w:b/>
          <w:bCs/>
          <w:lang w:val="fr-FR"/>
        </w:rPr>
        <w:tab/>
      </w:r>
      <w:r w:rsidRPr="008970D0">
        <w:rPr>
          <w:b/>
          <w:bCs/>
          <w:lang w:val="fr-FR"/>
        </w:rPr>
        <w:t>De prendre des mesures législatives visant à faire figurer l</w:t>
      </w:r>
      <w:r>
        <w:rPr>
          <w:b/>
          <w:bCs/>
          <w:lang w:val="fr-FR"/>
        </w:rPr>
        <w:t>’</w:t>
      </w:r>
      <w:r w:rsidRPr="008970D0">
        <w:rPr>
          <w:b/>
          <w:bCs/>
          <w:lang w:val="fr-FR"/>
        </w:rPr>
        <w:t>identité de genre au rang des motifs de discrimination interdits par la loi</w:t>
      </w:r>
      <w:r w:rsidR="002542B8">
        <w:rPr>
          <w:b/>
          <w:bCs/>
          <w:lang w:val="fr-FR"/>
        </w:rPr>
        <w:t> ;</w:t>
      </w:r>
    </w:p>
    <w:p w14:paraId="62CEC662" w14:textId="77777777" w:rsidR="00096DDD" w:rsidRPr="008970D0" w:rsidRDefault="00096DDD" w:rsidP="00CF38EB">
      <w:pPr>
        <w:pStyle w:val="SingleTxtG"/>
        <w:ind w:firstLine="567"/>
        <w:rPr>
          <w:b/>
          <w:bCs/>
          <w:lang w:val="fr-FR"/>
        </w:rPr>
      </w:pPr>
      <w:r w:rsidRPr="00CF38EB">
        <w:rPr>
          <w:b/>
          <w:bCs/>
          <w:lang w:val="fr-FR"/>
        </w:rPr>
        <w:t>d)</w:t>
      </w:r>
      <w:r w:rsidRPr="00CF38EB">
        <w:rPr>
          <w:b/>
          <w:bCs/>
          <w:lang w:val="fr-FR"/>
        </w:rPr>
        <w:tab/>
      </w:r>
      <w:r w:rsidRPr="008970D0">
        <w:rPr>
          <w:b/>
          <w:bCs/>
          <w:lang w:val="fr-FR"/>
        </w:rPr>
        <w:t>De créer un statut juridique, tel qu</w:t>
      </w:r>
      <w:r>
        <w:rPr>
          <w:b/>
          <w:bCs/>
          <w:lang w:val="fr-FR"/>
        </w:rPr>
        <w:t>’</w:t>
      </w:r>
      <w:r w:rsidRPr="008970D0">
        <w:rPr>
          <w:b/>
          <w:bCs/>
          <w:lang w:val="fr-FR"/>
        </w:rPr>
        <w:t>un partenariat enregistré ou une union civile, qui offre aux couples de personnes de même sexe une protection équivalente à celle qui est conférée par le mariage.</w:t>
      </w:r>
    </w:p>
    <w:p w14:paraId="319D7605" w14:textId="77777777" w:rsidR="00096DDD" w:rsidRPr="008970D0" w:rsidRDefault="00096DDD" w:rsidP="00782866">
      <w:pPr>
        <w:pStyle w:val="H23G"/>
        <w:spacing w:before="200"/>
        <w:rPr>
          <w:lang w:val="fr-FR"/>
        </w:rPr>
      </w:pPr>
      <w:r w:rsidRPr="008970D0">
        <w:rPr>
          <w:lang w:val="fr-FR"/>
        </w:rPr>
        <w:tab/>
      </w:r>
      <w:r w:rsidRPr="008970D0">
        <w:rPr>
          <w:lang w:val="fr-FR"/>
        </w:rPr>
        <w:tab/>
        <w:t>Demandeurs d</w:t>
      </w:r>
      <w:r>
        <w:rPr>
          <w:lang w:val="fr-FR"/>
        </w:rPr>
        <w:t>’</w:t>
      </w:r>
      <w:r w:rsidRPr="008970D0">
        <w:rPr>
          <w:lang w:val="fr-FR"/>
        </w:rPr>
        <w:t>asile et migrants</w:t>
      </w:r>
    </w:p>
    <w:p w14:paraId="00C55E2F" w14:textId="27B7836F" w:rsidR="00096DDD" w:rsidRPr="008970D0" w:rsidRDefault="00096DDD" w:rsidP="00782866">
      <w:pPr>
        <w:pStyle w:val="SingleTxtG"/>
        <w:keepNext/>
        <w:rPr>
          <w:bCs/>
          <w:lang w:val="fr-FR"/>
        </w:rPr>
      </w:pPr>
      <w:r w:rsidRPr="008970D0">
        <w:rPr>
          <w:lang w:val="fr-FR"/>
        </w:rPr>
        <w:t>14.</w:t>
      </w:r>
      <w:r w:rsidRPr="008970D0">
        <w:rPr>
          <w:lang w:val="fr-FR"/>
        </w:rPr>
        <w:tab/>
        <w:t xml:space="preserve">Tout en prenant note des difficultés </w:t>
      </w:r>
      <w:r>
        <w:rPr>
          <w:lang w:val="fr-FR"/>
        </w:rPr>
        <w:t>dues à</w:t>
      </w:r>
      <w:r w:rsidRPr="008970D0">
        <w:rPr>
          <w:lang w:val="fr-FR"/>
        </w:rPr>
        <w:t xml:space="preserve"> l</w:t>
      </w:r>
      <w:r>
        <w:rPr>
          <w:lang w:val="fr-FR"/>
        </w:rPr>
        <w:t>’</w:t>
      </w:r>
      <w:r w:rsidRPr="008970D0">
        <w:rPr>
          <w:lang w:val="fr-FR"/>
        </w:rPr>
        <w:t>afflux de demandeurs d</w:t>
      </w:r>
      <w:r>
        <w:rPr>
          <w:lang w:val="fr-FR"/>
        </w:rPr>
        <w:t>’</w:t>
      </w:r>
      <w:r w:rsidRPr="008970D0">
        <w:rPr>
          <w:lang w:val="fr-FR"/>
        </w:rPr>
        <w:t>asile et de migrants, le Comité demeure préoccupé par</w:t>
      </w:r>
      <w:r w:rsidR="00782866">
        <w:rPr>
          <w:lang w:val="fr-FR"/>
        </w:rPr>
        <w:t> :</w:t>
      </w:r>
    </w:p>
    <w:p w14:paraId="2EBAE5AD" w14:textId="42AE70F7" w:rsidR="00096DDD" w:rsidRPr="008970D0" w:rsidRDefault="00096DDD" w:rsidP="00CF38EB">
      <w:pPr>
        <w:pStyle w:val="SingleTxtG"/>
        <w:ind w:firstLine="567"/>
        <w:rPr>
          <w:bCs/>
          <w:lang w:val="fr-FR"/>
        </w:rPr>
      </w:pPr>
      <w:r w:rsidRPr="008970D0">
        <w:rPr>
          <w:lang w:val="fr-FR"/>
        </w:rPr>
        <w:t>a)</w:t>
      </w:r>
      <w:r w:rsidRPr="008970D0">
        <w:rPr>
          <w:lang w:val="fr-FR"/>
        </w:rPr>
        <w:tab/>
      </w:r>
      <w:r>
        <w:rPr>
          <w:lang w:val="fr-FR"/>
        </w:rPr>
        <w:t>L</w:t>
      </w:r>
      <w:r w:rsidRPr="008970D0">
        <w:rPr>
          <w:lang w:val="fr-FR"/>
        </w:rPr>
        <w:t>es informations selon lesquelles l</w:t>
      </w:r>
      <w:r>
        <w:rPr>
          <w:lang w:val="fr-FR"/>
        </w:rPr>
        <w:t>’</w:t>
      </w:r>
      <w:r w:rsidRPr="008970D0">
        <w:rPr>
          <w:lang w:val="fr-FR"/>
        </w:rPr>
        <w:t>État partie continue d</w:t>
      </w:r>
      <w:r>
        <w:rPr>
          <w:lang w:val="fr-FR"/>
        </w:rPr>
        <w:t>’</w:t>
      </w:r>
      <w:r w:rsidRPr="008970D0">
        <w:rPr>
          <w:lang w:val="fr-FR"/>
        </w:rPr>
        <w:t>expulser des demandeurs d</w:t>
      </w:r>
      <w:r>
        <w:rPr>
          <w:lang w:val="fr-FR"/>
        </w:rPr>
        <w:t>’</w:t>
      </w:r>
      <w:r w:rsidRPr="008970D0">
        <w:rPr>
          <w:lang w:val="fr-FR"/>
        </w:rPr>
        <w:t>asile et des migrants sans étudier leur situation personnelle et proc</w:t>
      </w:r>
      <w:r>
        <w:rPr>
          <w:lang w:val="fr-FR"/>
        </w:rPr>
        <w:t>è</w:t>
      </w:r>
      <w:r w:rsidRPr="008970D0">
        <w:rPr>
          <w:lang w:val="fr-FR"/>
        </w:rPr>
        <w:t>de notamment à des refoulement</w:t>
      </w:r>
      <w:r>
        <w:rPr>
          <w:lang w:val="fr-FR"/>
        </w:rPr>
        <w:t>s</w:t>
      </w:r>
      <w:r w:rsidRPr="008970D0">
        <w:rPr>
          <w:lang w:val="fr-FR"/>
        </w:rPr>
        <w:t>, dans le cadre desquels des demandeurs d</w:t>
      </w:r>
      <w:r>
        <w:rPr>
          <w:lang w:val="fr-FR"/>
        </w:rPr>
        <w:t>’</w:t>
      </w:r>
      <w:r w:rsidRPr="008970D0">
        <w:rPr>
          <w:lang w:val="fr-FR"/>
        </w:rPr>
        <w:t xml:space="preserve">asile et des migrants, y compris des enfants et des personnes </w:t>
      </w:r>
      <w:r>
        <w:rPr>
          <w:lang w:val="fr-FR"/>
        </w:rPr>
        <w:t>vulnérables</w:t>
      </w:r>
      <w:r w:rsidRPr="008970D0">
        <w:rPr>
          <w:lang w:val="fr-FR"/>
        </w:rPr>
        <w:t>, sont abandonnés près de la frontière dans des conditions déplorables, sans accès à des procédures d</w:t>
      </w:r>
      <w:r>
        <w:rPr>
          <w:lang w:val="fr-FR"/>
        </w:rPr>
        <w:t>’</w:t>
      </w:r>
      <w:r w:rsidRPr="008970D0">
        <w:rPr>
          <w:lang w:val="fr-FR"/>
        </w:rPr>
        <w:t>asile ni à des secours d</w:t>
      </w:r>
      <w:r>
        <w:rPr>
          <w:lang w:val="fr-FR"/>
        </w:rPr>
        <w:t>’</w:t>
      </w:r>
      <w:r w:rsidRPr="008970D0">
        <w:rPr>
          <w:lang w:val="fr-FR"/>
        </w:rPr>
        <w:t>urgence, notamment sous la forme de nourriture, d</w:t>
      </w:r>
      <w:r>
        <w:rPr>
          <w:lang w:val="fr-FR"/>
        </w:rPr>
        <w:t>’</w:t>
      </w:r>
      <w:r w:rsidRPr="008970D0">
        <w:rPr>
          <w:lang w:val="fr-FR"/>
        </w:rPr>
        <w:t>eau et d</w:t>
      </w:r>
      <w:r>
        <w:rPr>
          <w:lang w:val="fr-FR"/>
        </w:rPr>
        <w:t>’</w:t>
      </w:r>
      <w:r w:rsidRPr="008970D0">
        <w:rPr>
          <w:lang w:val="fr-FR"/>
        </w:rPr>
        <w:t>un abri</w:t>
      </w:r>
      <w:r w:rsidR="002542B8">
        <w:rPr>
          <w:lang w:val="fr-FR"/>
        </w:rPr>
        <w:t> ;</w:t>
      </w:r>
    </w:p>
    <w:p w14:paraId="5309E4F4" w14:textId="1DF3479A" w:rsidR="00096DDD" w:rsidRPr="008970D0" w:rsidRDefault="00096DDD" w:rsidP="00CF38EB">
      <w:pPr>
        <w:pStyle w:val="SingleTxtG"/>
        <w:ind w:firstLine="567"/>
        <w:rPr>
          <w:bCs/>
          <w:lang w:val="fr-FR"/>
        </w:rPr>
      </w:pPr>
      <w:r w:rsidRPr="008970D0">
        <w:rPr>
          <w:lang w:val="fr-FR"/>
        </w:rPr>
        <w:t>b)</w:t>
      </w:r>
      <w:r w:rsidRPr="008970D0">
        <w:rPr>
          <w:lang w:val="fr-FR"/>
        </w:rPr>
        <w:tab/>
      </w:r>
      <w:r>
        <w:rPr>
          <w:lang w:val="fr-FR"/>
        </w:rPr>
        <w:t>L</w:t>
      </w:r>
      <w:r w:rsidRPr="008970D0">
        <w:rPr>
          <w:lang w:val="fr-FR"/>
        </w:rPr>
        <w:t>es informations selon lesquelles, dans les lieux d</w:t>
      </w:r>
      <w:r>
        <w:rPr>
          <w:lang w:val="fr-FR"/>
        </w:rPr>
        <w:t>’</w:t>
      </w:r>
      <w:r w:rsidRPr="008970D0">
        <w:rPr>
          <w:lang w:val="fr-FR"/>
        </w:rPr>
        <w:t>hébergement, les demandeurs d</w:t>
      </w:r>
      <w:r>
        <w:rPr>
          <w:lang w:val="fr-FR"/>
        </w:rPr>
        <w:t>’</w:t>
      </w:r>
      <w:r w:rsidRPr="008970D0">
        <w:rPr>
          <w:lang w:val="fr-FR"/>
        </w:rPr>
        <w:t>asile, les réfugiés et les migrants sans papiers ne disposent que d</w:t>
      </w:r>
      <w:r>
        <w:rPr>
          <w:lang w:val="fr-FR"/>
        </w:rPr>
        <w:t>’</w:t>
      </w:r>
      <w:r w:rsidRPr="008970D0">
        <w:rPr>
          <w:lang w:val="fr-FR"/>
        </w:rPr>
        <w:t xml:space="preserve">un accès limité à une alimentation adéquate, </w:t>
      </w:r>
      <w:r>
        <w:rPr>
          <w:lang w:val="fr-FR"/>
        </w:rPr>
        <w:t>aux</w:t>
      </w:r>
      <w:r w:rsidRPr="008970D0">
        <w:rPr>
          <w:lang w:val="fr-FR"/>
        </w:rPr>
        <w:t xml:space="preserve"> biens et services de base, et à des services et des informations en matière de santé, manquent d</w:t>
      </w:r>
      <w:r>
        <w:rPr>
          <w:lang w:val="fr-FR"/>
        </w:rPr>
        <w:t>’</w:t>
      </w:r>
      <w:r w:rsidRPr="008970D0">
        <w:rPr>
          <w:lang w:val="fr-FR"/>
        </w:rPr>
        <w:t xml:space="preserve">intimité et </w:t>
      </w:r>
      <w:r>
        <w:rPr>
          <w:lang w:val="fr-FR"/>
        </w:rPr>
        <w:t>ne peuvent circuler librement</w:t>
      </w:r>
      <w:r w:rsidRPr="008970D0">
        <w:rPr>
          <w:lang w:val="fr-FR"/>
        </w:rPr>
        <w:t xml:space="preserve">, ce qui a des effets négatifs sur leur santé psychologique </w:t>
      </w:r>
      <w:r w:rsidR="00F40B59">
        <w:rPr>
          <w:lang w:val="fr-FR"/>
        </w:rPr>
        <w:t>(art. </w:t>
      </w:r>
      <w:r w:rsidRPr="008970D0">
        <w:rPr>
          <w:lang w:val="fr-FR"/>
        </w:rPr>
        <w:t>2, 10 et 12).</w:t>
      </w:r>
    </w:p>
    <w:p w14:paraId="3DA15871" w14:textId="7AB04618" w:rsidR="00096DDD" w:rsidRPr="008970D0" w:rsidRDefault="00096DDD" w:rsidP="00AD2FDE">
      <w:pPr>
        <w:pStyle w:val="SingleTxtG"/>
        <w:keepNext/>
        <w:tabs>
          <w:tab w:val="clear" w:pos="1701"/>
          <w:tab w:val="clear" w:pos="2268"/>
          <w:tab w:val="clear" w:pos="2835"/>
        </w:tabs>
        <w:rPr>
          <w:b/>
          <w:lang w:val="fr-FR"/>
        </w:rPr>
      </w:pPr>
      <w:r w:rsidRPr="008970D0">
        <w:rPr>
          <w:lang w:val="fr-FR"/>
        </w:rPr>
        <w:t>15.</w:t>
      </w:r>
      <w:r w:rsidRPr="008970D0">
        <w:rPr>
          <w:lang w:val="fr-FR"/>
        </w:rPr>
        <w:tab/>
      </w:r>
      <w:r w:rsidRPr="008970D0">
        <w:rPr>
          <w:b/>
          <w:bCs/>
          <w:lang w:val="fr-FR"/>
        </w:rPr>
        <w:t>Le Comité recommande à l</w:t>
      </w:r>
      <w:r>
        <w:rPr>
          <w:b/>
          <w:bCs/>
          <w:lang w:val="fr-FR"/>
        </w:rPr>
        <w:t>’</w:t>
      </w:r>
      <w:r w:rsidRPr="008970D0">
        <w:rPr>
          <w:b/>
          <w:bCs/>
          <w:lang w:val="fr-FR"/>
        </w:rPr>
        <w:t>État partie</w:t>
      </w:r>
      <w:r w:rsidR="00AD2FDE">
        <w:rPr>
          <w:b/>
          <w:bCs/>
          <w:lang w:val="fr-FR"/>
        </w:rPr>
        <w:t> :</w:t>
      </w:r>
    </w:p>
    <w:p w14:paraId="71CAC981" w14:textId="181E1B6B" w:rsidR="00096DDD" w:rsidRPr="00AD2FDE" w:rsidRDefault="00096DDD" w:rsidP="00AD2FDE">
      <w:pPr>
        <w:pStyle w:val="SingleTxtG"/>
        <w:ind w:firstLine="567"/>
        <w:rPr>
          <w:b/>
          <w:bCs/>
          <w:lang w:val="fr-FR"/>
        </w:rPr>
      </w:pPr>
      <w:r w:rsidRPr="00AD2FDE">
        <w:rPr>
          <w:b/>
          <w:bCs/>
          <w:lang w:val="fr-FR"/>
        </w:rPr>
        <w:t>a)</w:t>
      </w:r>
      <w:r w:rsidRPr="00AD2FDE">
        <w:rPr>
          <w:b/>
          <w:bCs/>
          <w:lang w:val="fr-FR"/>
        </w:rPr>
        <w:tab/>
      </w:r>
      <w:r w:rsidRPr="008970D0">
        <w:rPr>
          <w:b/>
          <w:bCs/>
          <w:lang w:val="fr-FR"/>
        </w:rPr>
        <w:t xml:space="preserve">De faire en sorte, en adoptant des mesures législatives ou autres, notamment </w:t>
      </w:r>
      <w:r>
        <w:rPr>
          <w:b/>
          <w:bCs/>
          <w:lang w:val="fr-FR"/>
        </w:rPr>
        <w:t>en modifiant</w:t>
      </w:r>
      <w:r w:rsidRPr="008970D0">
        <w:rPr>
          <w:b/>
          <w:bCs/>
          <w:lang w:val="fr-FR"/>
        </w:rPr>
        <w:t xml:space="preserve"> la</w:t>
      </w:r>
      <w:r w:rsidRPr="00AD2FDE">
        <w:rPr>
          <w:b/>
          <w:bCs/>
          <w:lang w:val="fr-FR"/>
        </w:rPr>
        <w:t xml:space="preserve"> </w:t>
      </w:r>
      <w:r w:rsidRPr="008970D0">
        <w:rPr>
          <w:b/>
          <w:bCs/>
          <w:lang w:val="fr-FR"/>
        </w:rPr>
        <w:t>loi relative au statut juridique des étrangers, que tous les demandeurs d</w:t>
      </w:r>
      <w:r>
        <w:rPr>
          <w:b/>
          <w:bCs/>
          <w:lang w:val="fr-FR"/>
        </w:rPr>
        <w:t>’</w:t>
      </w:r>
      <w:r w:rsidRPr="008970D0">
        <w:rPr>
          <w:b/>
          <w:bCs/>
          <w:lang w:val="fr-FR"/>
        </w:rPr>
        <w:t xml:space="preserve">asile, y compris ceux qui arrivent de manière irrégulière et en situation </w:t>
      </w:r>
      <w:r w:rsidRPr="008970D0">
        <w:rPr>
          <w:b/>
          <w:bCs/>
          <w:lang w:val="fr-FR"/>
        </w:rPr>
        <w:lastRenderedPageBreak/>
        <w:t>d</w:t>
      </w:r>
      <w:r>
        <w:rPr>
          <w:b/>
          <w:bCs/>
          <w:lang w:val="fr-FR"/>
        </w:rPr>
        <w:t>’</w:t>
      </w:r>
      <w:r w:rsidRPr="008970D0">
        <w:rPr>
          <w:b/>
          <w:bCs/>
          <w:lang w:val="fr-FR"/>
        </w:rPr>
        <w:t>urgence, aient accès aux informations relatives aux procédures d</w:t>
      </w:r>
      <w:r>
        <w:rPr>
          <w:b/>
          <w:bCs/>
          <w:lang w:val="fr-FR"/>
        </w:rPr>
        <w:t>’</w:t>
      </w:r>
      <w:r w:rsidRPr="008970D0">
        <w:rPr>
          <w:b/>
          <w:bCs/>
          <w:lang w:val="fr-FR"/>
        </w:rPr>
        <w:t>asile et à l</w:t>
      </w:r>
      <w:r>
        <w:rPr>
          <w:b/>
          <w:bCs/>
          <w:lang w:val="fr-FR"/>
        </w:rPr>
        <w:t>’</w:t>
      </w:r>
      <w:r w:rsidRPr="008970D0">
        <w:rPr>
          <w:b/>
          <w:bCs/>
          <w:lang w:val="fr-FR"/>
        </w:rPr>
        <w:t>aide juridictionnelle, qu</w:t>
      </w:r>
      <w:r>
        <w:rPr>
          <w:b/>
          <w:bCs/>
          <w:lang w:val="fr-FR"/>
        </w:rPr>
        <w:t>’</w:t>
      </w:r>
      <w:r w:rsidRPr="008970D0">
        <w:rPr>
          <w:b/>
          <w:bCs/>
          <w:lang w:val="fr-FR"/>
        </w:rPr>
        <w:t xml:space="preserve">ils aient le droit de </w:t>
      </w:r>
      <w:r>
        <w:rPr>
          <w:b/>
          <w:bCs/>
          <w:lang w:val="fr-FR"/>
        </w:rPr>
        <w:t>demander</w:t>
      </w:r>
      <w:r w:rsidRPr="008970D0">
        <w:rPr>
          <w:b/>
          <w:bCs/>
          <w:lang w:val="fr-FR"/>
        </w:rPr>
        <w:t xml:space="preserve"> l</w:t>
      </w:r>
      <w:r>
        <w:rPr>
          <w:b/>
          <w:bCs/>
          <w:lang w:val="fr-FR"/>
        </w:rPr>
        <w:t>’</w:t>
      </w:r>
      <w:r w:rsidRPr="008970D0">
        <w:rPr>
          <w:b/>
          <w:bCs/>
          <w:lang w:val="fr-FR"/>
        </w:rPr>
        <w:t>asile et que leur dossier puisse être évalué au cas par cas, sans discrimination</w:t>
      </w:r>
      <w:r w:rsidR="002542B8">
        <w:rPr>
          <w:b/>
          <w:bCs/>
          <w:lang w:val="fr-FR"/>
        </w:rPr>
        <w:t> ;</w:t>
      </w:r>
    </w:p>
    <w:p w14:paraId="0BA14DA2" w14:textId="099F8901" w:rsidR="00096DDD" w:rsidRPr="00AD2FDE" w:rsidRDefault="00096DDD" w:rsidP="00AD2FDE">
      <w:pPr>
        <w:pStyle w:val="SingleTxtG"/>
        <w:ind w:firstLine="567"/>
        <w:rPr>
          <w:b/>
          <w:bCs/>
          <w:lang w:val="fr-FR"/>
        </w:rPr>
      </w:pPr>
      <w:r w:rsidRPr="00AD2FDE">
        <w:rPr>
          <w:b/>
          <w:bCs/>
          <w:lang w:val="fr-FR"/>
        </w:rPr>
        <w:t>b)</w:t>
      </w:r>
      <w:r w:rsidRPr="00AD2FDE">
        <w:rPr>
          <w:b/>
          <w:bCs/>
          <w:lang w:val="fr-FR"/>
        </w:rPr>
        <w:tab/>
      </w:r>
      <w:r w:rsidRPr="008970D0">
        <w:rPr>
          <w:b/>
          <w:bCs/>
          <w:lang w:val="fr-FR"/>
        </w:rPr>
        <w:t>De garder à l</w:t>
      </w:r>
      <w:r>
        <w:rPr>
          <w:b/>
          <w:bCs/>
          <w:lang w:val="fr-FR"/>
        </w:rPr>
        <w:t>’</w:t>
      </w:r>
      <w:r w:rsidRPr="008970D0">
        <w:rPr>
          <w:b/>
          <w:bCs/>
          <w:lang w:val="fr-FR"/>
        </w:rPr>
        <w:t>esprit que les mesures de détention ne s</w:t>
      </w:r>
      <w:r>
        <w:rPr>
          <w:b/>
          <w:bCs/>
          <w:lang w:val="fr-FR"/>
        </w:rPr>
        <w:t>’</w:t>
      </w:r>
      <w:r w:rsidRPr="008970D0">
        <w:rPr>
          <w:b/>
          <w:bCs/>
          <w:lang w:val="fr-FR"/>
        </w:rPr>
        <w:t>appliquent qu</w:t>
      </w:r>
      <w:r>
        <w:rPr>
          <w:b/>
          <w:bCs/>
          <w:lang w:val="fr-FR"/>
        </w:rPr>
        <w:t>’</w:t>
      </w:r>
      <w:r w:rsidRPr="008970D0">
        <w:rPr>
          <w:b/>
          <w:bCs/>
          <w:lang w:val="fr-FR"/>
        </w:rPr>
        <w:t>en dernier ressort pour les demandeurs d</w:t>
      </w:r>
      <w:r>
        <w:rPr>
          <w:b/>
          <w:bCs/>
          <w:lang w:val="fr-FR"/>
        </w:rPr>
        <w:t>’</w:t>
      </w:r>
      <w:r w:rsidRPr="008970D0">
        <w:rPr>
          <w:b/>
          <w:bCs/>
          <w:lang w:val="fr-FR"/>
        </w:rPr>
        <w:t>asile et les migrants sans papiers, après qu</w:t>
      </w:r>
      <w:r>
        <w:rPr>
          <w:b/>
          <w:bCs/>
          <w:lang w:val="fr-FR"/>
        </w:rPr>
        <w:t>’</w:t>
      </w:r>
      <w:r w:rsidRPr="008970D0">
        <w:rPr>
          <w:b/>
          <w:bCs/>
          <w:lang w:val="fr-FR"/>
        </w:rPr>
        <w:t>il a été établi qu</w:t>
      </w:r>
      <w:r>
        <w:rPr>
          <w:b/>
          <w:bCs/>
          <w:lang w:val="fr-FR"/>
        </w:rPr>
        <w:t>’</w:t>
      </w:r>
      <w:r w:rsidRPr="008970D0">
        <w:rPr>
          <w:b/>
          <w:bCs/>
          <w:lang w:val="fr-FR"/>
        </w:rPr>
        <w:t>en l</w:t>
      </w:r>
      <w:r>
        <w:rPr>
          <w:b/>
          <w:bCs/>
          <w:lang w:val="fr-FR"/>
        </w:rPr>
        <w:t>’</w:t>
      </w:r>
      <w:r w:rsidRPr="008970D0">
        <w:rPr>
          <w:b/>
          <w:bCs/>
          <w:lang w:val="fr-FR"/>
        </w:rPr>
        <w:t>espèce une telle mesure était raisonnable, nécessaire et proportionnée et après examen des solutions de substitution</w:t>
      </w:r>
      <w:r w:rsidR="002542B8">
        <w:rPr>
          <w:b/>
          <w:bCs/>
          <w:lang w:val="fr-FR"/>
        </w:rPr>
        <w:t> ;</w:t>
      </w:r>
    </w:p>
    <w:p w14:paraId="462BE564" w14:textId="64D72B61" w:rsidR="00096DDD" w:rsidRPr="00AD2FDE" w:rsidRDefault="00096DDD" w:rsidP="00AD2FDE">
      <w:pPr>
        <w:pStyle w:val="SingleTxtG"/>
        <w:ind w:firstLine="567"/>
        <w:rPr>
          <w:b/>
          <w:bCs/>
          <w:lang w:val="fr-FR"/>
        </w:rPr>
      </w:pPr>
      <w:r w:rsidRPr="00AD2FDE">
        <w:rPr>
          <w:b/>
          <w:bCs/>
          <w:lang w:val="fr-FR"/>
        </w:rPr>
        <w:t>c)</w:t>
      </w:r>
      <w:r w:rsidRPr="00AD2FDE">
        <w:rPr>
          <w:b/>
          <w:bCs/>
          <w:lang w:val="fr-FR"/>
        </w:rPr>
        <w:tab/>
      </w:r>
      <w:r w:rsidRPr="008970D0">
        <w:rPr>
          <w:b/>
          <w:bCs/>
          <w:lang w:val="fr-FR"/>
        </w:rPr>
        <w:t>De prendre des mesures visant à garantir que les migrants sans papiers et les demandeurs d</w:t>
      </w:r>
      <w:r>
        <w:rPr>
          <w:b/>
          <w:bCs/>
          <w:lang w:val="fr-FR"/>
        </w:rPr>
        <w:t>’</w:t>
      </w:r>
      <w:r w:rsidRPr="008970D0">
        <w:rPr>
          <w:b/>
          <w:bCs/>
          <w:lang w:val="fr-FR"/>
        </w:rPr>
        <w:t>asile qui se trouvent dans des lieux d</w:t>
      </w:r>
      <w:r>
        <w:rPr>
          <w:b/>
          <w:bCs/>
          <w:lang w:val="fr-FR"/>
        </w:rPr>
        <w:t>’</w:t>
      </w:r>
      <w:r w:rsidRPr="008970D0">
        <w:rPr>
          <w:b/>
          <w:bCs/>
          <w:lang w:val="fr-FR"/>
        </w:rPr>
        <w:t>hébergement aient accès à une alimentation adéquate, à des vêtements, à d</w:t>
      </w:r>
      <w:r>
        <w:rPr>
          <w:b/>
          <w:bCs/>
          <w:lang w:val="fr-FR"/>
        </w:rPr>
        <w:t>’</w:t>
      </w:r>
      <w:r w:rsidRPr="008970D0">
        <w:rPr>
          <w:b/>
          <w:bCs/>
          <w:lang w:val="fr-FR"/>
        </w:rPr>
        <w:t>autres articles non alimentaires essentiels, à des soins de santé, notamment des services psychologiques, et à des informations sur les procédures d</w:t>
      </w:r>
      <w:r>
        <w:rPr>
          <w:b/>
          <w:bCs/>
          <w:lang w:val="fr-FR"/>
        </w:rPr>
        <w:t>’</w:t>
      </w:r>
      <w:r w:rsidRPr="008970D0">
        <w:rPr>
          <w:b/>
          <w:bCs/>
          <w:lang w:val="fr-FR"/>
        </w:rPr>
        <w:t>asile et l</w:t>
      </w:r>
      <w:r>
        <w:rPr>
          <w:b/>
          <w:bCs/>
          <w:lang w:val="fr-FR"/>
        </w:rPr>
        <w:t>’</w:t>
      </w:r>
      <w:r w:rsidRPr="008970D0">
        <w:rPr>
          <w:b/>
          <w:bCs/>
          <w:lang w:val="fr-FR"/>
        </w:rPr>
        <w:t>aide juridictionnelle dans une langue qu</w:t>
      </w:r>
      <w:r>
        <w:rPr>
          <w:b/>
          <w:bCs/>
          <w:lang w:val="fr-FR"/>
        </w:rPr>
        <w:t>’</w:t>
      </w:r>
      <w:r w:rsidRPr="008970D0">
        <w:rPr>
          <w:b/>
          <w:bCs/>
          <w:lang w:val="fr-FR"/>
        </w:rPr>
        <w:t>ils comprennent</w:t>
      </w:r>
      <w:r w:rsidR="002542B8">
        <w:rPr>
          <w:b/>
          <w:bCs/>
          <w:lang w:val="fr-FR"/>
        </w:rPr>
        <w:t> ;</w:t>
      </w:r>
    </w:p>
    <w:p w14:paraId="1D0C073F" w14:textId="77777777" w:rsidR="00096DDD" w:rsidRPr="00AD2FDE" w:rsidRDefault="00096DDD" w:rsidP="00AD2FDE">
      <w:pPr>
        <w:pStyle w:val="SingleTxtG"/>
        <w:ind w:firstLine="567"/>
        <w:rPr>
          <w:b/>
          <w:bCs/>
          <w:lang w:val="fr-FR"/>
        </w:rPr>
      </w:pPr>
      <w:r w:rsidRPr="00AD2FDE">
        <w:rPr>
          <w:b/>
          <w:bCs/>
          <w:lang w:val="fr-FR"/>
        </w:rPr>
        <w:t>d)</w:t>
      </w:r>
      <w:r w:rsidRPr="00AD2FDE">
        <w:rPr>
          <w:b/>
          <w:bCs/>
          <w:lang w:val="fr-FR"/>
        </w:rPr>
        <w:tab/>
      </w:r>
      <w:r w:rsidRPr="008970D0">
        <w:rPr>
          <w:b/>
          <w:bCs/>
          <w:lang w:val="fr-FR"/>
        </w:rPr>
        <w:t>De prendre en compte les recommandations que le Comité contre la torture a formulées en 2021</w:t>
      </w:r>
      <w:r w:rsidRPr="00AD2FDE">
        <w:rPr>
          <w:rStyle w:val="Appelnotedebasdep"/>
          <w:lang w:val="fr-FR"/>
        </w:rPr>
        <w:footnoteReference w:id="8"/>
      </w:r>
      <w:r w:rsidRPr="008970D0">
        <w:rPr>
          <w:b/>
          <w:bCs/>
          <w:lang w:val="fr-FR"/>
        </w:rPr>
        <w:t xml:space="preserve"> à ce sujet.</w:t>
      </w:r>
    </w:p>
    <w:p w14:paraId="717EAE29" w14:textId="77777777" w:rsidR="00096DDD" w:rsidRPr="008970D0" w:rsidRDefault="00096DDD" w:rsidP="00AD2FDE">
      <w:pPr>
        <w:pStyle w:val="H23G"/>
        <w:rPr>
          <w:lang w:val="fr-FR"/>
        </w:rPr>
      </w:pPr>
      <w:r w:rsidRPr="008970D0">
        <w:rPr>
          <w:lang w:val="fr-FR"/>
        </w:rPr>
        <w:tab/>
      </w:r>
      <w:r w:rsidRPr="008970D0">
        <w:rPr>
          <w:lang w:val="fr-FR"/>
        </w:rPr>
        <w:tab/>
        <w:t>Changements climatiques</w:t>
      </w:r>
    </w:p>
    <w:p w14:paraId="23EC5687" w14:textId="49758F28" w:rsidR="00096DDD" w:rsidRPr="008970D0" w:rsidRDefault="00096DDD" w:rsidP="00AD2FDE">
      <w:pPr>
        <w:pStyle w:val="SingleTxtG"/>
        <w:tabs>
          <w:tab w:val="clear" w:pos="1701"/>
          <w:tab w:val="clear" w:pos="2268"/>
          <w:tab w:val="clear" w:pos="2835"/>
        </w:tabs>
        <w:rPr>
          <w:lang w:val="fr-FR"/>
        </w:rPr>
      </w:pPr>
      <w:r w:rsidRPr="008970D0">
        <w:rPr>
          <w:lang w:val="fr-FR"/>
        </w:rPr>
        <w:t>16.</w:t>
      </w:r>
      <w:r w:rsidRPr="008970D0">
        <w:rPr>
          <w:lang w:val="fr-FR"/>
        </w:rPr>
        <w:tab/>
        <w:t>Tout en prenant note de l</w:t>
      </w:r>
      <w:r>
        <w:rPr>
          <w:lang w:val="fr-FR"/>
        </w:rPr>
        <w:t>’</w:t>
      </w:r>
      <w:r w:rsidRPr="008970D0">
        <w:rPr>
          <w:lang w:val="fr-FR"/>
        </w:rPr>
        <w:t>adoption d</w:t>
      </w:r>
      <w:r>
        <w:rPr>
          <w:lang w:val="fr-FR"/>
        </w:rPr>
        <w:t>’</w:t>
      </w:r>
      <w:r w:rsidRPr="008970D0">
        <w:rPr>
          <w:lang w:val="fr-FR"/>
        </w:rPr>
        <w:t xml:space="preserve">une politique relative à la protection du climat et </w:t>
      </w:r>
      <w:r>
        <w:rPr>
          <w:lang w:val="fr-FR"/>
        </w:rPr>
        <w:t xml:space="preserve">de </w:t>
      </w:r>
      <w:r w:rsidRPr="008970D0">
        <w:rPr>
          <w:lang w:val="fr-FR"/>
        </w:rPr>
        <w:t>la création d</w:t>
      </w:r>
      <w:r>
        <w:rPr>
          <w:lang w:val="fr-FR"/>
        </w:rPr>
        <w:t>’</w:t>
      </w:r>
      <w:r w:rsidRPr="008970D0">
        <w:rPr>
          <w:lang w:val="fr-FR"/>
        </w:rPr>
        <w:t xml:space="preserve">un groupe de travail sectoriel sur la décarbonisation, ainsi que de la réduction substantielle des émissions de gaz à effet de serre dans la plupart des secteurs économiques depuis 2015, le Comité </w:t>
      </w:r>
      <w:r>
        <w:rPr>
          <w:lang w:val="fr-FR"/>
        </w:rPr>
        <w:t>craint</w:t>
      </w:r>
      <w:r w:rsidRPr="008970D0">
        <w:rPr>
          <w:lang w:val="fr-FR"/>
        </w:rPr>
        <w:t xml:space="preserve"> que l</w:t>
      </w:r>
      <w:r>
        <w:rPr>
          <w:lang w:val="fr-FR"/>
        </w:rPr>
        <w:t>’</w:t>
      </w:r>
      <w:r w:rsidRPr="008970D0">
        <w:rPr>
          <w:lang w:val="fr-FR"/>
        </w:rPr>
        <w:t>État partie ne parvienne pas à honorer ses contributions déterminées au niveau national au titre de l</w:t>
      </w:r>
      <w:r>
        <w:rPr>
          <w:lang w:val="fr-FR"/>
        </w:rPr>
        <w:t>’</w:t>
      </w:r>
      <w:r w:rsidRPr="008970D0">
        <w:rPr>
          <w:lang w:val="fr-FR"/>
        </w:rPr>
        <w:t>Accord de Paris ou à atteindre ses objectifs de réduction des émissions de gaz à effet de serre, en particulier en raison des prévisions d</w:t>
      </w:r>
      <w:r>
        <w:rPr>
          <w:lang w:val="fr-FR"/>
        </w:rPr>
        <w:t>’</w:t>
      </w:r>
      <w:r w:rsidRPr="008970D0">
        <w:rPr>
          <w:lang w:val="fr-FR"/>
        </w:rPr>
        <w:t xml:space="preserve">émissions </w:t>
      </w:r>
      <w:r>
        <w:rPr>
          <w:lang w:val="fr-FR"/>
        </w:rPr>
        <w:t>imputables aux</w:t>
      </w:r>
      <w:r w:rsidRPr="008970D0">
        <w:rPr>
          <w:lang w:val="fr-FR"/>
        </w:rPr>
        <w:t xml:space="preserve"> secteurs du transport, de l</w:t>
      </w:r>
      <w:r>
        <w:rPr>
          <w:lang w:val="fr-FR"/>
        </w:rPr>
        <w:t>’</w:t>
      </w:r>
      <w:r w:rsidRPr="008970D0">
        <w:rPr>
          <w:lang w:val="fr-FR"/>
        </w:rPr>
        <w:t>agriculture et d</w:t>
      </w:r>
      <w:r>
        <w:rPr>
          <w:lang w:val="fr-FR"/>
        </w:rPr>
        <w:t>’</w:t>
      </w:r>
      <w:r w:rsidRPr="008970D0">
        <w:rPr>
          <w:lang w:val="fr-FR"/>
        </w:rPr>
        <w:t xml:space="preserve">autres secteurs "émetteurs", tels les services et le bâtiment </w:t>
      </w:r>
      <w:r w:rsidR="00F40B59">
        <w:rPr>
          <w:lang w:val="fr-FR"/>
        </w:rPr>
        <w:t>(art. </w:t>
      </w:r>
      <w:r w:rsidRPr="008970D0">
        <w:rPr>
          <w:lang w:val="fr-FR"/>
        </w:rPr>
        <w:t xml:space="preserve">2, </w:t>
      </w:r>
      <w:r w:rsidR="00334DE2">
        <w:rPr>
          <w:lang w:val="fr-FR"/>
        </w:rPr>
        <w:t>par. </w:t>
      </w:r>
      <w:r w:rsidRPr="008970D0">
        <w:rPr>
          <w:lang w:val="fr-FR"/>
        </w:rPr>
        <w:t>1)).</w:t>
      </w:r>
    </w:p>
    <w:p w14:paraId="3CC047CB" w14:textId="77777777" w:rsidR="00096DDD" w:rsidRPr="008970D0" w:rsidRDefault="00096DDD" w:rsidP="00AD2FDE">
      <w:pPr>
        <w:pStyle w:val="SingleTxtG"/>
        <w:tabs>
          <w:tab w:val="clear" w:pos="1701"/>
          <w:tab w:val="clear" w:pos="2268"/>
          <w:tab w:val="clear" w:pos="2835"/>
        </w:tabs>
        <w:rPr>
          <w:b/>
          <w:lang w:val="fr-FR"/>
        </w:rPr>
      </w:pPr>
      <w:r w:rsidRPr="008970D0">
        <w:rPr>
          <w:lang w:val="fr-FR"/>
        </w:rPr>
        <w:t>17.</w:t>
      </w:r>
      <w:r w:rsidRPr="008970D0">
        <w:rPr>
          <w:lang w:val="fr-FR"/>
        </w:rPr>
        <w:tab/>
      </w:r>
      <w:r w:rsidRPr="008970D0">
        <w:rPr>
          <w:b/>
          <w:bCs/>
          <w:lang w:val="fr-FR"/>
        </w:rPr>
        <w:t>Le Comité recommande à l</w:t>
      </w:r>
      <w:r>
        <w:rPr>
          <w:b/>
          <w:bCs/>
          <w:lang w:val="fr-FR"/>
        </w:rPr>
        <w:t>’</w:t>
      </w:r>
      <w:r w:rsidRPr="008970D0">
        <w:rPr>
          <w:b/>
          <w:bCs/>
          <w:lang w:val="fr-FR"/>
        </w:rPr>
        <w:t>État partie de redoubler d</w:t>
      </w:r>
      <w:r>
        <w:rPr>
          <w:b/>
          <w:bCs/>
          <w:lang w:val="fr-FR"/>
        </w:rPr>
        <w:t>’</w:t>
      </w:r>
      <w:r w:rsidRPr="008970D0">
        <w:rPr>
          <w:b/>
          <w:bCs/>
          <w:lang w:val="fr-FR"/>
        </w:rPr>
        <w:t xml:space="preserve">efforts pour atténuer les effets néfastes des changements climatiques sur les droits économiques, sociaux et culturels, notamment en prenant des mesures qui lui permettent </w:t>
      </w:r>
      <w:r>
        <w:rPr>
          <w:b/>
          <w:bCs/>
          <w:lang w:val="fr-FR"/>
        </w:rPr>
        <w:t>de s’acquitter de</w:t>
      </w:r>
      <w:r w:rsidRPr="008970D0">
        <w:rPr>
          <w:b/>
          <w:bCs/>
          <w:lang w:val="fr-FR"/>
        </w:rPr>
        <w:t xml:space="preserve"> </w:t>
      </w:r>
      <w:r>
        <w:rPr>
          <w:b/>
          <w:bCs/>
          <w:lang w:val="fr-FR"/>
        </w:rPr>
        <w:t>s</w:t>
      </w:r>
      <w:r w:rsidRPr="008970D0">
        <w:rPr>
          <w:b/>
          <w:bCs/>
          <w:lang w:val="fr-FR"/>
        </w:rPr>
        <w:t>es contributions déterminées au niveau national au titre de l</w:t>
      </w:r>
      <w:r>
        <w:rPr>
          <w:b/>
          <w:bCs/>
          <w:lang w:val="fr-FR"/>
        </w:rPr>
        <w:t>’</w:t>
      </w:r>
      <w:r w:rsidRPr="008970D0">
        <w:rPr>
          <w:b/>
          <w:bCs/>
          <w:lang w:val="fr-FR"/>
        </w:rPr>
        <w:t>Accord de Paris et d</w:t>
      </w:r>
      <w:r>
        <w:rPr>
          <w:b/>
          <w:bCs/>
          <w:lang w:val="fr-FR"/>
        </w:rPr>
        <w:t>’</w:t>
      </w:r>
      <w:r w:rsidRPr="008970D0">
        <w:rPr>
          <w:b/>
          <w:bCs/>
          <w:lang w:val="fr-FR"/>
        </w:rPr>
        <w:t>opérer sa transition vers une économie à zéro émission nette de gaz à effet de serre d</w:t>
      </w:r>
      <w:r>
        <w:rPr>
          <w:b/>
          <w:bCs/>
          <w:lang w:val="fr-FR"/>
        </w:rPr>
        <w:t>’</w:t>
      </w:r>
      <w:r w:rsidRPr="008970D0">
        <w:rPr>
          <w:b/>
          <w:bCs/>
          <w:lang w:val="fr-FR"/>
        </w:rPr>
        <w:t xml:space="preserve">ici </w:t>
      </w:r>
      <w:r>
        <w:rPr>
          <w:b/>
          <w:bCs/>
          <w:lang w:val="fr-FR"/>
        </w:rPr>
        <w:t xml:space="preserve">à </w:t>
      </w:r>
      <w:r w:rsidRPr="008970D0">
        <w:rPr>
          <w:b/>
          <w:bCs/>
          <w:lang w:val="fr-FR"/>
        </w:rPr>
        <w:t>2050.</w:t>
      </w:r>
      <w:r w:rsidRPr="008970D0">
        <w:rPr>
          <w:lang w:val="fr-FR"/>
        </w:rPr>
        <w:t xml:space="preserve"> </w:t>
      </w:r>
      <w:r w:rsidRPr="008970D0">
        <w:rPr>
          <w:b/>
          <w:bCs/>
          <w:lang w:val="fr-FR"/>
        </w:rPr>
        <w:t>Il renvoie l</w:t>
      </w:r>
      <w:r>
        <w:rPr>
          <w:b/>
          <w:bCs/>
          <w:lang w:val="fr-FR"/>
        </w:rPr>
        <w:t>’</w:t>
      </w:r>
      <w:r w:rsidRPr="008970D0">
        <w:rPr>
          <w:b/>
          <w:bCs/>
          <w:lang w:val="fr-FR"/>
        </w:rPr>
        <w:t>État partie à sa déclaration sur les changements climatiques et le Pacte, adoptée en 2018</w:t>
      </w:r>
      <w:r w:rsidRPr="001043D5">
        <w:rPr>
          <w:rStyle w:val="Appelnotedebasdep"/>
        </w:rPr>
        <w:footnoteReference w:id="9"/>
      </w:r>
      <w:r w:rsidRPr="008970D0">
        <w:rPr>
          <w:b/>
          <w:bCs/>
          <w:lang w:val="fr-FR"/>
        </w:rPr>
        <w:t>.</w:t>
      </w:r>
    </w:p>
    <w:p w14:paraId="378F0CEA" w14:textId="77777777" w:rsidR="00096DDD" w:rsidRPr="008970D0" w:rsidRDefault="00096DDD" w:rsidP="00DF129E">
      <w:pPr>
        <w:pStyle w:val="H23G"/>
        <w:rPr>
          <w:lang w:val="fr-FR"/>
        </w:rPr>
      </w:pPr>
      <w:r w:rsidRPr="008970D0">
        <w:rPr>
          <w:lang w:val="fr-FR"/>
        </w:rPr>
        <w:tab/>
      </w:r>
      <w:r w:rsidRPr="008970D0">
        <w:rPr>
          <w:lang w:val="fr-FR"/>
        </w:rPr>
        <w:tab/>
        <w:t>Entreprises et droits de l</w:t>
      </w:r>
      <w:r>
        <w:rPr>
          <w:lang w:val="fr-FR"/>
        </w:rPr>
        <w:t>’</w:t>
      </w:r>
      <w:r w:rsidRPr="008970D0">
        <w:rPr>
          <w:lang w:val="fr-FR"/>
        </w:rPr>
        <w:t>homme</w:t>
      </w:r>
    </w:p>
    <w:p w14:paraId="05EF4281" w14:textId="77777777" w:rsidR="00096DDD" w:rsidRPr="008970D0" w:rsidRDefault="00096DDD" w:rsidP="00AD2FDE">
      <w:pPr>
        <w:pStyle w:val="SingleTxtG"/>
        <w:tabs>
          <w:tab w:val="clear" w:pos="1701"/>
          <w:tab w:val="clear" w:pos="2268"/>
          <w:tab w:val="clear" w:pos="2835"/>
        </w:tabs>
        <w:rPr>
          <w:lang w:val="fr-FR"/>
        </w:rPr>
      </w:pPr>
      <w:r w:rsidRPr="008970D0">
        <w:rPr>
          <w:lang w:val="fr-FR"/>
        </w:rPr>
        <w:t>18.</w:t>
      </w:r>
      <w:r w:rsidRPr="008970D0">
        <w:rPr>
          <w:lang w:val="fr-FR"/>
        </w:rPr>
        <w:tab/>
        <w:t>Le Comité est préoccupé par le manque d</w:t>
      </w:r>
      <w:r>
        <w:rPr>
          <w:lang w:val="fr-FR"/>
        </w:rPr>
        <w:t>’</w:t>
      </w:r>
      <w:r w:rsidRPr="008970D0">
        <w:rPr>
          <w:lang w:val="fr-FR"/>
        </w:rPr>
        <w:t>informations sur le cadre réglementaire instauré pour garantir que les entreprises respectent les droits consacrés par le Pacte et fassent preuve, dans le cadre de leurs activités, de la diligence voulue en matière de droits de l</w:t>
      </w:r>
      <w:r>
        <w:rPr>
          <w:lang w:val="fr-FR"/>
        </w:rPr>
        <w:t>’</w:t>
      </w:r>
      <w:r w:rsidRPr="008970D0">
        <w:rPr>
          <w:lang w:val="fr-FR"/>
        </w:rPr>
        <w:t xml:space="preserve">homme. Il regrette </w:t>
      </w:r>
      <w:r>
        <w:rPr>
          <w:lang w:val="fr-FR"/>
        </w:rPr>
        <w:t xml:space="preserve">que les </w:t>
      </w:r>
      <w:r w:rsidRPr="008970D0">
        <w:rPr>
          <w:lang w:val="fr-FR"/>
        </w:rPr>
        <w:t>informations</w:t>
      </w:r>
      <w:r>
        <w:rPr>
          <w:lang w:val="fr-FR"/>
        </w:rPr>
        <w:t xml:space="preserve"> fournies ne</w:t>
      </w:r>
      <w:r w:rsidRPr="008970D0">
        <w:rPr>
          <w:lang w:val="fr-FR"/>
        </w:rPr>
        <w:t xml:space="preserve"> concern</w:t>
      </w:r>
      <w:r>
        <w:rPr>
          <w:lang w:val="fr-FR"/>
        </w:rPr>
        <w:t>e</w:t>
      </w:r>
      <w:r w:rsidRPr="008970D0">
        <w:rPr>
          <w:lang w:val="fr-FR"/>
        </w:rPr>
        <w:t xml:space="preserve">nt </w:t>
      </w:r>
      <w:r>
        <w:rPr>
          <w:lang w:val="fr-FR"/>
        </w:rPr>
        <w:t xml:space="preserve">pas </w:t>
      </w:r>
      <w:r w:rsidRPr="008970D0">
        <w:rPr>
          <w:lang w:val="fr-FR"/>
        </w:rPr>
        <w:t>les mesures que l</w:t>
      </w:r>
      <w:r>
        <w:rPr>
          <w:lang w:val="fr-FR"/>
        </w:rPr>
        <w:t>’</w:t>
      </w:r>
      <w:r w:rsidRPr="008970D0">
        <w:rPr>
          <w:lang w:val="fr-FR"/>
        </w:rPr>
        <w:t>État partie a prises pour que les entreprises remédient aux effets négatifs de leurs activités sur l</w:t>
      </w:r>
      <w:r>
        <w:rPr>
          <w:lang w:val="fr-FR"/>
        </w:rPr>
        <w:t>’</w:t>
      </w:r>
      <w:r w:rsidRPr="008970D0">
        <w:rPr>
          <w:lang w:val="fr-FR"/>
        </w:rPr>
        <w:t>environnement.</w:t>
      </w:r>
    </w:p>
    <w:p w14:paraId="46D70C01" w14:textId="4A205007" w:rsidR="00096DDD" w:rsidRPr="008970D0" w:rsidRDefault="00096DDD" w:rsidP="00D20AF4">
      <w:pPr>
        <w:pStyle w:val="SingleTxtG"/>
        <w:keepNext/>
        <w:tabs>
          <w:tab w:val="clear" w:pos="1701"/>
          <w:tab w:val="clear" w:pos="2268"/>
          <w:tab w:val="clear" w:pos="2835"/>
        </w:tabs>
        <w:rPr>
          <w:b/>
          <w:bCs/>
          <w:lang w:val="fr-FR"/>
        </w:rPr>
      </w:pPr>
      <w:r w:rsidRPr="008970D0">
        <w:rPr>
          <w:lang w:val="fr-FR"/>
        </w:rPr>
        <w:t>19.</w:t>
      </w:r>
      <w:r w:rsidRPr="008970D0">
        <w:rPr>
          <w:lang w:val="fr-FR"/>
        </w:rPr>
        <w:tab/>
      </w:r>
      <w:r w:rsidRPr="008970D0">
        <w:rPr>
          <w:b/>
          <w:bCs/>
          <w:lang w:val="fr-FR"/>
        </w:rPr>
        <w:t>Le Comité recommande à l</w:t>
      </w:r>
      <w:r>
        <w:rPr>
          <w:b/>
          <w:bCs/>
          <w:lang w:val="fr-FR"/>
        </w:rPr>
        <w:t>’</w:t>
      </w:r>
      <w:r w:rsidRPr="008970D0">
        <w:rPr>
          <w:b/>
          <w:bCs/>
          <w:lang w:val="fr-FR"/>
        </w:rPr>
        <w:t>État partie</w:t>
      </w:r>
      <w:r w:rsidR="00D20AF4">
        <w:rPr>
          <w:b/>
          <w:bCs/>
          <w:lang w:val="fr-FR"/>
        </w:rPr>
        <w:t> :</w:t>
      </w:r>
    </w:p>
    <w:p w14:paraId="42F46498" w14:textId="2352F4B2" w:rsidR="00096DDD" w:rsidRPr="008970D0" w:rsidRDefault="00096DDD" w:rsidP="00AD2FDE">
      <w:pPr>
        <w:pStyle w:val="SingleTxtG"/>
        <w:ind w:firstLine="567"/>
        <w:rPr>
          <w:b/>
          <w:bCs/>
          <w:lang w:val="fr-FR"/>
        </w:rPr>
      </w:pPr>
      <w:r w:rsidRPr="00AD2FDE">
        <w:rPr>
          <w:b/>
          <w:bCs/>
          <w:lang w:val="fr-FR"/>
        </w:rPr>
        <w:t>a)</w:t>
      </w:r>
      <w:r w:rsidRPr="00AD2FDE">
        <w:rPr>
          <w:b/>
          <w:bCs/>
          <w:lang w:val="fr-FR"/>
        </w:rPr>
        <w:tab/>
      </w:r>
      <w:r w:rsidRPr="008970D0">
        <w:rPr>
          <w:b/>
          <w:bCs/>
          <w:lang w:val="fr-FR"/>
        </w:rPr>
        <w:t>D</w:t>
      </w:r>
      <w:r>
        <w:rPr>
          <w:b/>
          <w:bCs/>
          <w:lang w:val="fr-FR"/>
        </w:rPr>
        <w:t>’</w:t>
      </w:r>
      <w:r w:rsidRPr="008970D0">
        <w:rPr>
          <w:b/>
          <w:bCs/>
          <w:lang w:val="fr-FR"/>
        </w:rPr>
        <w:t xml:space="preserve">adopter des mesures afin </w:t>
      </w:r>
      <w:r>
        <w:rPr>
          <w:b/>
          <w:bCs/>
          <w:lang w:val="fr-FR"/>
        </w:rPr>
        <w:t>de garantir que les</w:t>
      </w:r>
      <w:r w:rsidRPr="008970D0">
        <w:rPr>
          <w:b/>
          <w:bCs/>
          <w:lang w:val="fr-FR"/>
        </w:rPr>
        <w:t xml:space="preserve"> entreprises qui ont leur siège sur son territoire ou qui sont gérées depuis celui-ci</w:t>
      </w:r>
      <w:r>
        <w:rPr>
          <w:b/>
          <w:bCs/>
          <w:lang w:val="fr-FR"/>
        </w:rPr>
        <w:t xml:space="preserve"> aient à répondre de leurs actes si leurs activités portent atteinte aux </w:t>
      </w:r>
      <w:r w:rsidRPr="008970D0">
        <w:rPr>
          <w:b/>
          <w:bCs/>
          <w:lang w:val="fr-FR"/>
        </w:rPr>
        <w:t xml:space="preserve"> droits économiques, sociaux et culturels, et d</w:t>
      </w:r>
      <w:r>
        <w:rPr>
          <w:b/>
          <w:bCs/>
          <w:lang w:val="fr-FR"/>
        </w:rPr>
        <w:t>’</w:t>
      </w:r>
      <w:r w:rsidRPr="008970D0">
        <w:rPr>
          <w:b/>
          <w:bCs/>
          <w:lang w:val="fr-FR"/>
        </w:rPr>
        <w:t>offrir des recours utiles aux victimes</w:t>
      </w:r>
      <w:r w:rsidR="002542B8">
        <w:rPr>
          <w:b/>
          <w:bCs/>
          <w:lang w:val="fr-FR"/>
        </w:rPr>
        <w:t> ;</w:t>
      </w:r>
    </w:p>
    <w:p w14:paraId="34C3FA14" w14:textId="59D6C8DE" w:rsidR="00096DDD" w:rsidRPr="008970D0" w:rsidRDefault="00096DDD" w:rsidP="00AD2FDE">
      <w:pPr>
        <w:pStyle w:val="SingleTxtG"/>
        <w:ind w:firstLine="567"/>
        <w:rPr>
          <w:b/>
          <w:bCs/>
          <w:lang w:val="fr-FR"/>
        </w:rPr>
      </w:pPr>
      <w:r w:rsidRPr="00AD2FDE">
        <w:rPr>
          <w:b/>
          <w:bCs/>
          <w:lang w:val="fr-FR"/>
        </w:rPr>
        <w:t>b)</w:t>
      </w:r>
      <w:r w:rsidRPr="00AD2FDE">
        <w:rPr>
          <w:b/>
          <w:bCs/>
          <w:lang w:val="fr-FR"/>
        </w:rPr>
        <w:tab/>
      </w:r>
      <w:r w:rsidRPr="008970D0">
        <w:rPr>
          <w:b/>
          <w:bCs/>
          <w:lang w:val="fr-FR"/>
        </w:rPr>
        <w:t>De recueillir des informations sur les plaintes déposées par les victimes de violations des droits économiques, sociaux et culturels commises par des entreprises</w:t>
      </w:r>
      <w:r w:rsidR="002542B8">
        <w:rPr>
          <w:b/>
          <w:bCs/>
          <w:lang w:val="fr-FR"/>
        </w:rPr>
        <w:t> ;</w:t>
      </w:r>
    </w:p>
    <w:p w14:paraId="5D5DA974" w14:textId="0D10B39F" w:rsidR="00096DDD" w:rsidRPr="008970D0" w:rsidRDefault="00096DDD" w:rsidP="00AD2FDE">
      <w:pPr>
        <w:pStyle w:val="SingleTxtG"/>
        <w:ind w:firstLine="567"/>
        <w:rPr>
          <w:lang w:val="fr-FR"/>
        </w:rPr>
      </w:pPr>
      <w:r w:rsidRPr="00AD2FDE">
        <w:rPr>
          <w:b/>
          <w:bCs/>
          <w:lang w:val="fr-FR"/>
        </w:rPr>
        <w:t>c)</w:t>
      </w:r>
      <w:r w:rsidRPr="00AD2FDE">
        <w:rPr>
          <w:b/>
          <w:bCs/>
          <w:lang w:val="fr-FR"/>
        </w:rPr>
        <w:tab/>
      </w:r>
      <w:r w:rsidRPr="008970D0">
        <w:rPr>
          <w:b/>
          <w:bCs/>
          <w:lang w:val="fr-FR"/>
        </w:rPr>
        <w:t>De prendre note de l</w:t>
      </w:r>
      <w:r>
        <w:rPr>
          <w:b/>
          <w:bCs/>
          <w:lang w:val="fr-FR"/>
        </w:rPr>
        <w:t>’</w:t>
      </w:r>
      <w:r w:rsidRPr="008970D0">
        <w:rPr>
          <w:b/>
          <w:bCs/>
          <w:lang w:val="fr-FR"/>
        </w:rPr>
        <w:t xml:space="preserve">observation générale </w:t>
      </w:r>
      <w:r w:rsidR="00D20AF4" w:rsidRPr="00D20AF4">
        <w:rPr>
          <w:rFonts w:eastAsia="MS Mincho"/>
          <w:b/>
          <w:bCs/>
          <w:lang w:val="fr-FR"/>
        </w:rPr>
        <w:t>n</w:t>
      </w:r>
      <w:r w:rsidR="00D20AF4" w:rsidRPr="00D20AF4">
        <w:rPr>
          <w:rFonts w:eastAsia="MS Mincho"/>
          <w:b/>
          <w:bCs/>
          <w:vertAlign w:val="superscript"/>
          <w:lang w:val="fr-FR"/>
        </w:rPr>
        <w:t>o</w:t>
      </w:r>
      <w:r w:rsidR="00D20AF4">
        <w:rPr>
          <w:b/>
          <w:bCs/>
          <w:lang w:val="fr-FR"/>
        </w:rPr>
        <w:t> </w:t>
      </w:r>
      <w:r w:rsidRPr="008970D0">
        <w:rPr>
          <w:b/>
          <w:bCs/>
          <w:lang w:val="fr-FR"/>
        </w:rPr>
        <w:t>24 (2017) sur les obligations des États en vertu du Pacte international relatif aux droits économiques, sociaux et culturels dans le contexte des activités des entreprises.</w:t>
      </w:r>
    </w:p>
    <w:p w14:paraId="6D3ABF53" w14:textId="77777777" w:rsidR="00096DDD" w:rsidRPr="008970D0" w:rsidRDefault="00096DDD" w:rsidP="00096DDD">
      <w:pPr>
        <w:pStyle w:val="H23G"/>
        <w:rPr>
          <w:lang w:val="fr-FR"/>
        </w:rPr>
      </w:pPr>
      <w:r w:rsidRPr="008970D0">
        <w:rPr>
          <w:lang w:val="fr-FR"/>
        </w:rPr>
        <w:lastRenderedPageBreak/>
        <w:tab/>
      </w:r>
      <w:r w:rsidRPr="008970D0">
        <w:rPr>
          <w:lang w:val="fr-FR"/>
        </w:rPr>
        <w:tab/>
      </w:r>
      <w:r w:rsidRPr="008970D0">
        <w:rPr>
          <w:bCs/>
          <w:lang w:val="fr-FR"/>
        </w:rPr>
        <w:t>Obligations extraterritoriales</w:t>
      </w:r>
    </w:p>
    <w:p w14:paraId="01CABA7C" w14:textId="68DAAB0A" w:rsidR="00096DDD" w:rsidRPr="008970D0" w:rsidRDefault="00096DDD" w:rsidP="00EF5CD4">
      <w:pPr>
        <w:pStyle w:val="SingleTxtG"/>
        <w:tabs>
          <w:tab w:val="clear" w:pos="1701"/>
          <w:tab w:val="clear" w:pos="2268"/>
          <w:tab w:val="clear" w:pos="2835"/>
        </w:tabs>
        <w:rPr>
          <w:bCs/>
          <w:lang w:val="fr-FR"/>
        </w:rPr>
      </w:pPr>
      <w:r w:rsidRPr="008970D0">
        <w:rPr>
          <w:lang w:val="fr-FR"/>
        </w:rPr>
        <w:t>20.</w:t>
      </w:r>
      <w:r w:rsidRPr="008970D0">
        <w:rPr>
          <w:lang w:val="fr-FR"/>
        </w:rPr>
        <w:tab/>
        <w:t>Le Comité demeure préoccupé par les mesures que l</w:t>
      </w:r>
      <w:r>
        <w:rPr>
          <w:lang w:val="fr-FR"/>
        </w:rPr>
        <w:t>’</w:t>
      </w:r>
      <w:r w:rsidRPr="008970D0">
        <w:rPr>
          <w:lang w:val="fr-FR"/>
        </w:rPr>
        <w:t>État partie a récemment adoptées et qui ont empêché le transport de potasse en provenance du Bélarus et à destination de pays tiers d</w:t>
      </w:r>
      <w:r>
        <w:rPr>
          <w:lang w:val="fr-FR"/>
        </w:rPr>
        <w:t>’</w:t>
      </w:r>
      <w:r w:rsidRPr="008970D0">
        <w:rPr>
          <w:lang w:val="fr-FR"/>
        </w:rPr>
        <w:t>Afrique et d</w:t>
      </w:r>
      <w:r>
        <w:rPr>
          <w:lang w:val="fr-FR"/>
        </w:rPr>
        <w:t>’</w:t>
      </w:r>
      <w:r w:rsidRPr="008970D0">
        <w:rPr>
          <w:lang w:val="fr-FR"/>
        </w:rPr>
        <w:t>Amérique latine, ce qui a entraîné une pénurie d</w:t>
      </w:r>
      <w:r>
        <w:rPr>
          <w:lang w:val="fr-FR"/>
        </w:rPr>
        <w:t>’</w:t>
      </w:r>
      <w:r w:rsidRPr="008970D0">
        <w:rPr>
          <w:lang w:val="fr-FR"/>
        </w:rPr>
        <w:t xml:space="preserve">engrais et a eu des effets négatifs sur la sécurité alimentaire dans ces pays </w:t>
      </w:r>
      <w:r w:rsidR="00F40B59">
        <w:rPr>
          <w:lang w:val="fr-FR"/>
        </w:rPr>
        <w:t>(art. </w:t>
      </w:r>
      <w:r w:rsidRPr="008970D0">
        <w:rPr>
          <w:lang w:val="fr-FR"/>
        </w:rPr>
        <w:t xml:space="preserve">2, </w:t>
      </w:r>
      <w:r w:rsidR="00334DE2">
        <w:rPr>
          <w:lang w:val="fr-FR"/>
        </w:rPr>
        <w:t>par. </w:t>
      </w:r>
      <w:r w:rsidRPr="008970D0">
        <w:rPr>
          <w:lang w:val="fr-FR"/>
        </w:rPr>
        <w:t>1)).</w:t>
      </w:r>
    </w:p>
    <w:p w14:paraId="5960C6BE" w14:textId="77777777" w:rsidR="00096DDD" w:rsidRPr="008970D0" w:rsidRDefault="00096DDD" w:rsidP="00EF5CD4">
      <w:pPr>
        <w:pStyle w:val="SingleTxtG"/>
        <w:tabs>
          <w:tab w:val="clear" w:pos="1701"/>
          <w:tab w:val="clear" w:pos="2268"/>
          <w:tab w:val="clear" w:pos="2835"/>
        </w:tabs>
        <w:rPr>
          <w:b/>
          <w:lang w:val="fr-FR"/>
        </w:rPr>
      </w:pPr>
      <w:r w:rsidRPr="008970D0">
        <w:rPr>
          <w:lang w:val="fr-FR"/>
        </w:rPr>
        <w:t>21.</w:t>
      </w:r>
      <w:r w:rsidRPr="008970D0">
        <w:rPr>
          <w:lang w:val="fr-FR"/>
        </w:rPr>
        <w:tab/>
      </w:r>
      <w:r w:rsidRPr="008970D0">
        <w:rPr>
          <w:b/>
          <w:bCs/>
          <w:lang w:val="fr-FR"/>
        </w:rPr>
        <w:t>Le Comité recommande à l</w:t>
      </w:r>
      <w:r>
        <w:rPr>
          <w:b/>
          <w:bCs/>
          <w:lang w:val="fr-FR"/>
        </w:rPr>
        <w:t>’</w:t>
      </w:r>
      <w:r w:rsidRPr="008970D0">
        <w:rPr>
          <w:b/>
          <w:bCs/>
          <w:lang w:val="fr-FR"/>
        </w:rPr>
        <w:t>État partie de revoir les récentes mesures qui ont eu des effets négatifs sur le prix de l</w:t>
      </w:r>
      <w:r>
        <w:rPr>
          <w:b/>
          <w:bCs/>
          <w:lang w:val="fr-FR"/>
        </w:rPr>
        <w:t>’</w:t>
      </w:r>
      <w:r w:rsidRPr="008970D0">
        <w:rPr>
          <w:b/>
          <w:bCs/>
          <w:lang w:val="fr-FR"/>
        </w:rPr>
        <w:t>engrais et sur la sécurité alimentaire dans des pays tiers.</w:t>
      </w:r>
    </w:p>
    <w:p w14:paraId="70B53A7E" w14:textId="77777777" w:rsidR="00096DDD" w:rsidRPr="008970D0" w:rsidRDefault="00096DDD" w:rsidP="00096DDD">
      <w:pPr>
        <w:pStyle w:val="H23G"/>
        <w:rPr>
          <w:lang w:val="fr-FR"/>
        </w:rPr>
      </w:pPr>
      <w:r w:rsidRPr="008970D0">
        <w:rPr>
          <w:lang w:val="fr-FR"/>
        </w:rPr>
        <w:tab/>
      </w:r>
      <w:r w:rsidRPr="008970D0">
        <w:rPr>
          <w:lang w:val="fr-FR"/>
        </w:rPr>
        <w:tab/>
      </w:r>
      <w:r w:rsidRPr="008970D0">
        <w:rPr>
          <w:bCs/>
          <w:lang w:val="fr-FR"/>
        </w:rPr>
        <w:t>Pauvreté et inégalités</w:t>
      </w:r>
    </w:p>
    <w:p w14:paraId="7391F1F3" w14:textId="65A8BF08" w:rsidR="00096DDD" w:rsidRPr="008970D0" w:rsidRDefault="00096DDD" w:rsidP="00EF5CD4">
      <w:pPr>
        <w:pStyle w:val="SingleTxtG"/>
        <w:tabs>
          <w:tab w:val="clear" w:pos="1701"/>
          <w:tab w:val="clear" w:pos="2268"/>
          <w:tab w:val="clear" w:pos="2835"/>
        </w:tabs>
        <w:rPr>
          <w:bCs/>
          <w:lang w:val="fr-FR"/>
        </w:rPr>
      </w:pPr>
      <w:r w:rsidRPr="008970D0">
        <w:rPr>
          <w:lang w:val="fr-FR"/>
        </w:rPr>
        <w:t>22.</w:t>
      </w:r>
      <w:r w:rsidRPr="008970D0">
        <w:rPr>
          <w:lang w:val="fr-FR"/>
        </w:rPr>
        <w:tab/>
        <w:t xml:space="preserve">Le Comité prend note des mesures visant à lutter contre les inégalités de revenus </w:t>
      </w:r>
      <w:r>
        <w:rPr>
          <w:lang w:val="fr-FR"/>
        </w:rPr>
        <w:t>auxquelles</w:t>
      </w:r>
      <w:r w:rsidRPr="008970D0">
        <w:rPr>
          <w:lang w:val="fr-FR"/>
        </w:rPr>
        <w:t xml:space="preserve"> les personnes marginalisées</w:t>
      </w:r>
      <w:r>
        <w:rPr>
          <w:lang w:val="fr-FR"/>
        </w:rPr>
        <w:t xml:space="preserve"> font face</w:t>
      </w:r>
      <w:r w:rsidRPr="008970D0">
        <w:rPr>
          <w:lang w:val="fr-FR"/>
        </w:rPr>
        <w:t xml:space="preserve"> et contre </w:t>
      </w:r>
      <w:r>
        <w:rPr>
          <w:lang w:val="fr-FR"/>
        </w:rPr>
        <w:t>les inégalités</w:t>
      </w:r>
      <w:r w:rsidRPr="008970D0">
        <w:rPr>
          <w:lang w:val="fr-FR"/>
        </w:rPr>
        <w:t xml:space="preserve"> qui existent entre les populations rurales et urbaines, notamment l</w:t>
      </w:r>
      <w:r>
        <w:rPr>
          <w:lang w:val="fr-FR"/>
        </w:rPr>
        <w:t>’</w:t>
      </w:r>
      <w:r w:rsidRPr="008970D0">
        <w:rPr>
          <w:lang w:val="fr-FR"/>
        </w:rPr>
        <w:t xml:space="preserve">augmentation du salaire minimum et la hausse de </w:t>
      </w:r>
      <w:r>
        <w:rPr>
          <w:lang w:val="fr-FR"/>
        </w:rPr>
        <w:t>l’allocation sociale</w:t>
      </w:r>
      <w:r w:rsidRPr="008970D0">
        <w:rPr>
          <w:lang w:val="fr-FR"/>
        </w:rPr>
        <w:t xml:space="preserve"> de base pour les personnes handicapées et les personnes âgées. Il</w:t>
      </w:r>
      <w:r w:rsidR="00EF5CD4">
        <w:rPr>
          <w:lang w:val="fr-FR"/>
        </w:rPr>
        <w:t> </w:t>
      </w:r>
      <w:r w:rsidRPr="008970D0">
        <w:rPr>
          <w:lang w:val="fr-FR"/>
        </w:rPr>
        <w:t>demeure toutefois préoccupé par l</w:t>
      </w:r>
      <w:r>
        <w:rPr>
          <w:lang w:val="fr-FR"/>
        </w:rPr>
        <w:t>’</w:t>
      </w:r>
      <w:r w:rsidRPr="008970D0">
        <w:rPr>
          <w:lang w:val="fr-FR"/>
        </w:rPr>
        <w:t>absence d</w:t>
      </w:r>
      <w:r>
        <w:rPr>
          <w:lang w:val="fr-FR"/>
        </w:rPr>
        <w:t>’</w:t>
      </w:r>
      <w:r w:rsidRPr="008970D0">
        <w:rPr>
          <w:lang w:val="fr-FR"/>
        </w:rPr>
        <w:t xml:space="preserve">informations concernant les effets à long terme des mesures adoptées </w:t>
      </w:r>
      <w:r w:rsidR="00F40B59">
        <w:rPr>
          <w:lang w:val="fr-FR"/>
        </w:rPr>
        <w:t>(art. </w:t>
      </w:r>
      <w:r w:rsidRPr="008970D0">
        <w:rPr>
          <w:lang w:val="fr-FR"/>
        </w:rPr>
        <w:t>2 et 11).</w:t>
      </w:r>
    </w:p>
    <w:p w14:paraId="40FBF2FC" w14:textId="75BBBE7E" w:rsidR="00096DDD" w:rsidRPr="008970D0" w:rsidRDefault="00096DDD" w:rsidP="00621D8D">
      <w:pPr>
        <w:pStyle w:val="SingleTxtG"/>
        <w:keepNext/>
        <w:tabs>
          <w:tab w:val="clear" w:pos="1701"/>
          <w:tab w:val="clear" w:pos="2268"/>
          <w:tab w:val="clear" w:pos="2835"/>
        </w:tabs>
        <w:rPr>
          <w:bCs/>
          <w:lang w:val="fr-FR"/>
        </w:rPr>
      </w:pPr>
      <w:r w:rsidRPr="008970D0">
        <w:rPr>
          <w:lang w:val="fr-FR"/>
        </w:rPr>
        <w:t>23.</w:t>
      </w:r>
      <w:r w:rsidRPr="008970D0">
        <w:rPr>
          <w:lang w:val="fr-FR"/>
        </w:rPr>
        <w:tab/>
      </w:r>
      <w:r w:rsidRPr="008970D0">
        <w:rPr>
          <w:b/>
          <w:bCs/>
          <w:lang w:val="fr-FR"/>
        </w:rPr>
        <w:t>Le Comité recommande à l</w:t>
      </w:r>
      <w:r>
        <w:rPr>
          <w:b/>
          <w:bCs/>
          <w:lang w:val="fr-FR"/>
        </w:rPr>
        <w:t>’</w:t>
      </w:r>
      <w:r w:rsidRPr="008970D0">
        <w:rPr>
          <w:b/>
          <w:bCs/>
          <w:lang w:val="fr-FR"/>
        </w:rPr>
        <w:t>État partie</w:t>
      </w:r>
      <w:r w:rsidR="00621D8D">
        <w:rPr>
          <w:b/>
          <w:bCs/>
          <w:lang w:val="fr-FR"/>
        </w:rPr>
        <w:t> :</w:t>
      </w:r>
    </w:p>
    <w:p w14:paraId="1CA58331" w14:textId="763490A7" w:rsidR="00096DDD" w:rsidRPr="008970D0" w:rsidRDefault="00096DDD" w:rsidP="00EF5CD4">
      <w:pPr>
        <w:pStyle w:val="SingleTxtG"/>
        <w:ind w:firstLine="567"/>
        <w:rPr>
          <w:b/>
          <w:bCs/>
          <w:lang w:val="fr-FR"/>
        </w:rPr>
      </w:pPr>
      <w:r w:rsidRPr="00EF5CD4">
        <w:rPr>
          <w:b/>
          <w:bCs/>
          <w:lang w:val="fr-FR"/>
        </w:rPr>
        <w:t>a)</w:t>
      </w:r>
      <w:r w:rsidRPr="00EF5CD4">
        <w:rPr>
          <w:b/>
          <w:bCs/>
          <w:lang w:val="fr-FR"/>
        </w:rPr>
        <w:tab/>
      </w:r>
      <w:r w:rsidRPr="008970D0">
        <w:rPr>
          <w:b/>
          <w:bCs/>
          <w:lang w:val="fr-FR"/>
        </w:rPr>
        <w:t>De prendre immédiatement des mesures pour atténuer les incidences sociales et économiques néfastes de la pandémie de maladie à coronavirus (</w:t>
      </w:r>
      <w:r w:rsidR="00AE1C23">
        <w:rPr>
          <w:b/>
          <w:bCs/>
          <w:lang w:val="fr-FR"/>
        </w:rPr>
        <w:t>COVID</w:t>
      </w:r>
      <w:r w:rsidR="00AE1C23">
        <w:rPr>
          <w:b/>
          <w:bCs/>
          <w:lang w:val="fr-FR"/>
        </w:rPr>
        <w:noBreakHyphen/>
        <w:t>19</w:t>
      </w:r>
      <w:r w:rsidRPr="008970D0">
        <w:rPr>
          <w:b/>
          <w:bCs/>
          <w:lang w:val="fr-FR"/>
        </w:rPr>
        <w:t xml:space="preserve">) sur les moyens de subsistance des populations et </w:t>
      </w:r>
      <w:r>
        <w:rPr>
          <w:b/>
          <w:bCs/>
          <w:lang w:val="fr-FR"/>
        </w:rPr>
        <w:t>empêcher que</w:t>
      </w:r>
      <w:r w:rsidRPr="008970D0">
        <w:rPr>
          <w:b/>
          <w:bCs/>
          <w:lang w:val="fr-FR"/>
        </w:rPr>
        <w:t xml:space="preserve"> la perte de revenus liée à la pandémie </w:t>
      </w:r>
      <w:r>
        <w:rPr>
          <w:b/>
          <w:bCs/>
          <w:lang w:val="fr-FR"/>
        </w:rPr>
        <w:t>engendre de la pauvreté</w:t>
      </w:r>
      <w:r w:rsidR="002542B8">
        <w:rPr>
          <w:b/>
          <w:bCs/>
          <w:lang w:val="fr-FR"/>
        </w:rPr>
        <w:t> ;</w:t>
      </w:r>
    </w:p>
    <w:p w14:paraId="14A6B9E2" w14:textId="1DE4B3D3" w:rsidR="00096DDD" w:rsidRPr="008970D0" w:rsidRDefault="00096DDD" w:rsidP="00EF5CD4">
      <w:pPr>
        <w:pStyle w:val="SingleTxtG"/>
        <w:ind w:firstLine="567"/>
        <w:rPr>
          <w:b/>
          <w:bCs/>
          <w:lang w:val="fr-FR"/>
        </w:rPr>
      </w:pPr>
      <w:r w:rsidRPr="00EF5CD4">
        <w:rPr>
          <w:b/>
          <w:bCs/>
          <w:lang w:val="fr-FR"/>
        </w:rPr>
        <w:t>b)</w:t>
      </w:r>
      <w:r w:rsidRPr="00EF5CD4">
        <w:rPr>
          <w:b/>
          <w:bCs/>
          <w:lang w:val="fr-FR"/>
        </w:rPr>
        <w:tab/>
      </w:r>
      <w:r w:rsidRPr="008970D0">
        <w:rPr>
          <w:b/>
          <w:bCs/>
          <w:lang w:val="fr-FR"/>
        </w:rPr>
        <w:t>De prendre des mesures efficaces pour apporter un soutien ciblé aux groupes qui sont touchés de manière disproportionnée par la pauvreté, en particulier les enfants, les familles monoparentales, les personnes âgées, les personnes handicapées, les migrants et les Roms</w:t>
      </w:r>
      <w:r w:rsidR="002542B8">
        <w:rPr>
          <w:b/>
          <w:bCs/>
          <w:lang w:val="fr-FR"/>
        </w:rPr>
        <w:t> ;</w:t>
      </w:r>
    </w:p>
    <w:p w14:paraId="5B35C6BA" w14:textId="6BEC9A36" w:rsidR="00096DDD" w:rsidRPr="008970D0" w:rsidRDefault="00096DDD" w:rsidP="00EF5CD4">
      <w:pPr>
        <w:pStyle w:val="SingleTxtG"/>
        <w:ind w:firstLine="567"/>
        <w:rPr>
          <w:b/>
          <w:bCs/>
          <w:lang w:val="fr-FR"/>
        </w:rPr>
      </w:pPr>
      <w:r w:rsidRPr="00EF5CD4">
        <w:rPr>
          <w:b/>
          <w:bCs/>
          <w:lang w:val="fr-FR"/>
        </w:rPr>
        <w:t>c)</w:t>
      </w:r>
      <w:r w:rsidRPr="00EF5CD4">
        <w:rPr>
          <w:b/>
          <w:bCs/>
          <w:lang w:val="fr-FR"/>
        </w:rPr>
        <w:tab/>
      </w:r>
      <w:r w:rsidRPr="008970D0">
        <w:rPr>
          <w:b/>
          <w:bCs/>
          <w:lang w:val="fr-FR"/>
        </w:rPr>
        <w:t xml:space="preserve">De prendre des mesures </w:t>
      </w:r>
      <w:r>
        <w:rPr>
          <w:b/>
          <w:bCs/>
          <w:lang w:val="fr-FR"/>
        </w:rPr>
        <w:t xml:space="preserve">efficaces </w:t>
      </w:r>
      <w:r w:rsidRPr="008970D0">
        <w:rPr>
          <w:b/>
          <w:bCs/>
          <w:lang w:val="fr-FR"/>
        </w:rPr>
        <w:t>visant à réduire les inégalités de revenus dans la population, notamment de réformer les systèmes de fiscalité et de sécurité sociale</w:t>
      </w:r>
      <w:r w:rsidR="002542B8">
        <w:rPr>
          <w:b/>
          <w:bCs/>
          <w:lang w:val="fr-FR"/>
        </w:rPr>
        <w:t> ;</w:t>
      </w:r>
    </w:p>
    <w:p w14:paraId="3915AD2E" w14:textId="77777777" w:rsidR="00096DDD" w:rsidRPr="00EF5CD4" w:rsidRDefault="00096DDD" w:rsidP="00EF5CD4">
      <w:pPr>
        <w:pStyle w:val="SingleTxtG"/>
        <w:ind w:firstLine="567"/>
        <w:rPr>
          <w:b/>
          <w:bCs/>
          <w:lang w:val="fr-FR"/>
        </w:rPr>
      </w:pPr>
      <w:r w:rsidRPr="00EF5CD4">
        <w:rPr>
          <w:b/>
          <w:bCs/>
          <w:lang w:val="fr-FR"/>
        </w:rPr>
        <w:t>d)</w:t>
      </w:r>
      <w:r w:rsidRPr="00EF5CD4">
        <w:rPr>
          <w:b/>
          <w:bCs/>
          <w:lang w:val="fr-FR"/>
        </w:rPr>
        <w:tab/>
      </w:r>
      <w:r w:rsidRPr="008970D0">
        <w:rPr>
          <w:b/>
          <w:bCs/>
          <w:lang w:val="fr-FR"/>
        </w:rPr>
        <w:t>De tenir compte de sa déclaration sur la pauvreté et le Pacte</w:t>
      </w:r>
      <w:r w:rsidRPr="005A2DF0">
        <w:rPr>
          <w:rStyle w:val="Appelnotedebasdep"/>
          <w:lang w:val="fr-FR"/>
        </w:rPr>
        <w:footnoteReference w:id="10"/>
      </w:r>
      <w:r w:rsidRPr="008970D0">
        <w:rPr>
          <w:b/>
          <w:bCs/>
          <w:lang w:val="fr-FR"/>
        </w:rPr>
        <w:t>, adoptée en 2001.</w:t>
      </w:r>
    </w:p>
    <w:p w14:paraId="0FA18EDD" w14:textId="26E843D5" w:rsidR="00096DDD" w:rsidRPr="008970D0" w:rsidRDefault="00096DDD" w:rsidP="00EF5CD4">
      <w:pPr>
        <w:pStyle w:val="H23G"/>
        <w:rPr>
          <w:lang w:val="fr-FR"/>
        </w:rPr>
      </w:pPr>
      <w:r w:rsidRPr="008970D0">
        <w:rPr>
          <w:lang w:val="fr-FR"/>
        </w:rPr>
        <w:tab/>
      </w:r>
      <w:r w:rsidRPr="008970D0">
        <w:rPr>
          <w:lang w:val="fr-FR"/>
        </w:rPr>
        <w:tab/>
        <w:t xml:space="preserve">Accès aux vaccins et aux médicaments contre la </w:t>
      </w:r>
      <w:r w:rsidR="00AE1C23">
        <w:rPr>
          <w:lang w:val="fr-FR"/>
        </w:rPr>
        <w:t>COVID</w:t>
      </w:r>
      <w:r w:rsidR="00AE1C23">
        <w:rPr>
          <w:lang w:val="fr-FR"/>
        </w:rPr>
        <w:noBreakHyphen/>
        <w:t>19</w:t>
      </w:r>
    </w:p>
    <w:p w14:paraId="43F25CE5" w14:textId="5E1747CC" w:rsidR="00096DDD" w:rsidRPr="008970D0" w:rsidRDefault="00096DDD" w:rsidP="00EF5CD4">
      <w:pPr>
        <w:pStyle w:val="SingleTxtG"/>
        <w:tabs>
          <w:tab w:val="clear" w:pos="1701"/>
          <w:tab w:val="clear" w:pos="2268"/>
          <w:tab w:val="clear" w:pos="2835"/>
        </w:tabs>
        <w:rPr>
          <w:lang w:val="fr-FR"/>
        </w:rPr>
      </w:pPr>
      <w:r w:rsidRPr="008970D0">
        <w:rPr>
          <w:lang w:val="fr-FR"/>
        </w:rPr>
        <w:t>24.</w:t>
      </w:r>
      <w:r w:rsidRPr="008970D0">
        <w:rPr>
          <w:lang w:val="fr-FR"/>
        </w:rPr>
        <w:tab/>
        <w:t>Le Comité salue les actions que l</w:t>
      </w:r>
      <w:r>
        <w:rPr>
          <w:lang w:val="fr-FR"/>
        </w:rPr>
        <w:t>’</w:t>
      </w:r>
      <w:r w:rsidRPr="008970D0">
        <w:rPr>
          <w:lang w:val="fr-FR"/>
        </w:rPr>
        <w:t xml:space="preserve">État partie a menées pour </w:t>
      </w:r>
      <w:r>
        <w:rPr>
          <w:lang w:val="fr-FR"/>
        </w:rPr>
        <w:t>fournir</w:t>
      </w:r>
      <w:r w:rsidRPr="008970D0">
        <w:rPr>
          <w:lang w:val="fr-FR"/>
        </w:rPr>
        <w:t xml:space="preserve"> des vaccins par voie bilatérale et par l</w:t>
      </w:r>
      <w:r>
        <w:rPr>
          <w:lang w:val="fr-FR"/>
        </w:rPr>
        <w:t>’</w:t>
      </w:r>
      <w:r w:rsidRPr="008970D0">
        <w:rPr>
          <w:lang w:val="fr-FR"/>
        </w:rPr>
        <w:t>intermédiaire de mécanismes multilatéraux depuis le début de l</w:t>
      </w:r>
      <w:r>
        <w:rPr>
          <w:lang w:val="fr-FR"/>
        </w:rPr>
        <w:t>’</w:t>
      </w:r>
      <w:r w:rsidRPr="008970D0">
        <w:rPr>
          <w:lang w:val="fr-FR"/>
        </w:rPr>
        <w:t>année 2020, mais il note toutefois que l</w:t>
      </w:r>
      <w:r>
        <w:rPr>
          <w:lang w:val="fr-FR"/>
        </w:rPr>
        <w:t>’</w:t>
      </w:r>
      <w:r w:rsidRPr="008970D0">
        <w:rPr>
          <w:lang w:val="fr-FR"/>
        </w:rPr>
        <w:t>État partie n</w:t>
      </w:r>
      <w:r>
        <w:rPr>
          <w:lang w:val="fr-FR"/>
        </w:rPr>
        <w:t>’</w:t>
      </w:r>
      <w:r w:rsidRPr="008970D0">
        <w:rPr>
          <w:lang w:val="fr-FR"/>
        </w:rPr>
        <w:t>a pas activement plaidé en faveur d</w:t>
      </w:r>
      <w:r>
        <w:rPr>
          <w:lang w:val="fr-FR"/>
        </w:rPr>
        <w:t>’</w:t>
      </w:r>
      <w:r w:rsidRPr="008970D0">
        <w:rPr>
          <w:lang w:val="fr-FR"/>
        </w:rPr>
        <w:t xml:space="preserve">un accès universel, équitable et abordable aux vaccins et médicaments contre la </w:t>
      </w:r>
      <w:r w:rsidR="00AE1C23">
        <w:rPr>
          <w:lang w:val="fr-FR"/>
        </w:rPr>
        <w:t>COVID</w:t>
      </w:r>
      <w:r w:rsidR="00AE1C23">
        <w:rPr>
          <w:lang w:val="fr-FR"/>
        </w:rPr>
        <w:noBreakHyphen/>
        <w:t>19</w:t>
      </w:r>
      <w:r w:rsidRPr="008970D0">
        <w:rPr>
          <w:lang w:val="fr-FR"/>
        </w:rPr>
        <w:t xml:space="preserve"> </w:t>
      </w:r>
      <w:r>
        <w:rPr>
          <w:lang w:val="fr-FR"/>
        </w:rPr>
        <w:t>au sein d</w:t>
      </w:r>
      <w:r w:rsidRPr="008970D0">
        <w:rPr>
          <w:lang w:val="fr-FR"/>
        </w:rPr>
        <w:t xml:space="preserve">es organisations régionales et internationales dont il est membre </w:t>
      </w:r>
      <w:r w:rsidR="00F40B59">
        <w:rPr>
          <w:lang w:val="fr-FR"/>
        </w:rPr>
        <w:t>(art. </w:t>
      </w:r>
      <w:r w:rsidRPr="008970D0">
        <w:rPr>
          <w:lang w:val="fr-FR"/>
        </w:rPr>
        <w:t>2 et 12).</w:t>
      </w:r>
    </w:p>
    <w:p w14:paraId="43E2A844" w14:textId="3B635955" w:rsidR="00096DDD" w:rsidRPr="008970D0" w:rsidRDefault="00096DDD" w:rsidP="00EF5CD4">
      <w:pPr>
        <w:pStyle w:val="SingleTxtG"/>
        <w:keepNext/>
        <w:tabs>
          <w:tab w:val="clear" w:pos="1701"/>
          <w:tab w:val="clear" w:pos="2268"/>
          <w:tab w:val="clear" w:pos="2835"/>
        </w:tabs>
        <w:rPr>
          <w:b/>
          <w:bCs/>
          <w:lang w:val="fr-FR"/>
        </w:rPr>
      </w:pPr>
      <w:r w:rsidRPr="008970D0">
        <w:rPr>
          <w:lang w:val="fr-FR"/>
        </w:rPr>
        <w:t>25.</w:t>
      </w:r>
      <w:r w:rsidRPr="008970D0">
        <w:rPr>
          <w:lang w:val="fr-FR"/>
        </w:rPr>
        <w:tab/>
      </w:r>
      <w:r w:rsidRPr="008970D0">
        <w:rPr>
          <w:b/>
          <w:bCs/>
          <w:lang w:val="fr-FR"/>
        </w:rPr>
        <w:t>Le Comité recommande à l</w:t>
      </w:r>
      <w:r>
        <w:rPr>
          <w:b/>
          <w:bCs/>
          <w:lang w:val="fr-FR"/>
        </w:rPr>
        <w:t>’</w:t>
      </w:r>
      <w:r w:rsidRPr="008970D0">
        <w:rPr>
          <w:b/>
          <w:bCs/>
          <w:lang w:val="fr-FR"/>
        </w:rPr>
        <w:t>État parti</w:t>
      </w:r>
      <w:r w:rsidR="00EF5CD4">
        <w:rPr>
          <w:b/>
          <w:bCs/>
          <w:lang w:val="fr-FR"/>
        </w:rPr>
        <w:t>e :</w:t>
      </w:r>
    </w:p>
    <w:p w14:paraId="695E01D5" w14:textId="7761F9D4" w:rsidR="00096DDD" w:rsidRPr="008970D0" w:rsidRDefault="00096DDD" w:rsidP="007931D5">
      <w:pPr>
        <w:pStyle w:val="SingleTxtG"/>
        <w:ind w:firstLine="567"/>
        <w:rPr>
          <w:b/>
          <w:bCs/>
          <w:lang w:val="fr-FR"/>
        </w:rPr>
      </w:pPr>
      <w:r w:rsidRPr="007931D5">
        <w:rPr>
          <w:b/>
          <w:bCs/>
          <w:lang w:val="fr-FR"/>
        </w:rPr>
        <w:t>a)</w:t>
      </w:r>
      <w:r w:rsidRPr="007931D5">
        <w:rPr>
          <w:b/>
          <w:bCs/>
          <w:lang w:val="fr-FR"/>
        </w:rPr>
        <w:tab/>
      </w:r>
      <w:r w:rsidRPr="008970D0">
        <w:rPr>
          <w:b/>
          <w:bCs/>
          <w:lang w:val="fr-FR"/>
        </w:rPr>
        <w:t>De redoubler d</w:t>
      </w:r>
      <w:r>
        <w:rPr>
          <w:b/>
          <w:bCs/>
          <w:lang w:val="fr-FR"/>
        </w:rPr>
        <w:t>’</w:t>
      </w:r>
      <w:r w:rsidRPr="008970D0">
        <w:rPr>
          <w:b/>
          <w:bCs/>
          <w:lang w:val="fr-FR"/>
        </w:rPr>
        <w:t xml:space="preserve">efforts pour promouvoir un accès universel et équitable aux tests de dépistage de la </w:t>
      </w:r>
      <w:r w:rsidR="00AE1C23">
        <w:rPr>
          <w:b/>
          <w:bCs/>
          <w:lang w:val="fr-FR"/>
        </w:rPr>
        <w:t>COVID</w:t>
      </w:r>
      <w:r w:rsidR="00AE1C23">
        <w:rPr>
          <w:b/>
          <w:bCs/>
          <w:lang w:val="fr-FR"/>
        </w:rPr>
        <w:noBreakHyphen/>
        <w:t>19</w:t>
      </w:r>
      <w:r w:rsidRPr="008970D0">
        <w:rPr>
          <w:b/>
          <w:bCs/>
          <w:lang w:val="fr-FR"/>
        </w:rPr>
        <w:t xml:space="preserve"> ainsi qu</w:t>
      </w:r>
      <w:r>
        <w:rPr>
          <w:b/>
          <w:bCs/>
          <w:lang w:val="fr-FR"/>
        </w:rPr>
        <w:t>’</w:t>
      </w:r>
      <w:r w:rsidRPr="008970D0">
        <w:rPr>
          <w:b/>
          <w:bCs/>
          <w:lang w:val="fr-FR"/>
        </w:rPr>
        <w:t xml:space="preserve">aux traitements et aux vaccins contre la </w:t>
      </w:r>
      <w:r w:rsidR="00AE1C23">
        <w:rPr>
          <w:b/>
          <w:bCs/>
          <w:lang w:val="fr-FR"/>
        </w:rPr>
        <w:t>COVID</w:t>
      </w:r>
      <w:r w:rsidR="00AE1C23">
        <w:rPr>
          <w:b/>
          <w:bCs/>
          <w:lang w:val="fr-FR"/>
        </w:rPr>
        <w:noBreakHyphen/>
        <w:t>19</w:t>
      </w:r>
      <w:r w:rsidR="002542B8">
        <w:rPr>
          <w:b/>
          <w:bCs/>
          <w:lang w:val="fr-FR"/>
        </w:rPr>
        <w:t> ;</w:t>
      </w:r>
    </w:p>
    <w:p w14:paraId="56792D02" w14:textId="74DFE48A" w:rsidR="00096DDD" w:rsidRPr="008970D0" w:rsidRDefault="00096DDD" w:rsidP="007931D5">
      <w:pPr>
        <w:pStyle w:val="SingleTxtG"/>
        <w:ind w:firstLine="567"/>
        <w:rPr>
          <w:b/>
          <w:bCs/>
          <w:lang w:val="fr-FR"/>
        </w:rPr>
      </w:pPr>
      <w:r w:rsidRPr="007931D5">
        <w:rPr>
          <w:b/>
          <w:bCs/>
          <w:lang w:val="fr-FR"/>
        </w:rPr>
        <w:t>b)</w:t>
      </w:r>
      <w:r w:rsidRPr="007931D5">
        <w:rPr>
          <w:b/>
          <w:bCs/>
          <w:lang w:val="fr-FR"/>
        </w:rPr>
        <w:tab/>
      </w:r>
      <w:r w:rsidRPr="008970D0">
        <w:rPr>
          <w:b/>
          <w:bCs/>
          <w:lang w:val="fr-FR"/>
        </w:rPr>
        <w:t xml:space="preserve">De faire tout son possible pour tirer parti de son influence au sein des organisations régionales et internationales dont il est membre pour promouvoir un accès universel, équitable et abordable aux vaccins et aux médicaments contre la </w:t>
      </w:r>
      <w:r w:rsidR="00AE1C23">
        <w:rPr>
          <w:b/>
          <w:bCs/>
          <w:lang w:val="fr-FR"/>
        </w:rPr>
        <w:t>COVID</w:t>
      </w:r>
      <w:r w:rsidR="00AE1C23">
        <w:rPr>
          <w:b/>
          <w:bCs/>
          <w:lang w:val="fr-FR"/>
        </w:rPr>
        <w:noBreakHyphen/>
        <w:t>19</w:t>
      </w:r>
      <w:r w:rsidRPr="008970D0">
        <w:rPr>
          <w:b/>
          <w:bCs/>
          <w:lang w:val="fr-FR"/>
        </w:rPr>
        <w:t>, y compris d</w:t>
      </w:r>
      <w:r>
        <w:rPr>
          <w:b/>
          <w:bCs/>
          <w:lang w:val="fr-FR"/>
        </w:rPr>
        <w:t>’</w:t>
      </w:r>
      <w:r w:rsidRPr="008970D0">
        <w:rPr>
          <w:b/>
          <w:bCs/>
          <w:lang w:val="fr-FR"/>
        </w:rPr>
        <w:t>envisager d</w:t>
      </w:r>
      <w:r>
        <w:rPr>
          <w:b/>
          <w:bCs/>
          <w:lang w:val="fr-FR"/>
        </w:rPr>
        <w:t>’</w:t>
      </w:r>
      <w:r w:rsidRPr="008970D0">
        <w:rPr>
          <w:b/>
          <w:bCs/>
          <w:lang w:val="fr-FR"/>
        </w:rPr>
        <w:t>appuyer les propositions formulées à l</w:t>
      </w:r>
      <w:r>
        <w:rPr>
          <w:b/>
          <w:bCs/>
          <w:lang w:val="fr-FR"/>
        </w:rPr>
        <w:t>’</w:t>
      </w:r>
      <w:r w:rsidRPr="008970D0">
        <w:rPr>
          <w:b/>
          <w:bCs/>
          <w:lang w:val="fr-FR"/>
        </w:rPr>
        <w:t>Organisation mondiale du commerce</w:t>
      </w:r>
      <w:r>
        <w:rPr>
          <w:b/>
          <w:bCs/>
          <w:lang w:val="fr-FR"/>
        </w:rPr>
        <w:t xml:space="preserve"> et tendant</w:t>
      </w:r>
      <w:r w:rsidRPr="008970D0">
        <w:rPr>
          <w:b/>
          <w:bCs/>
          <w:lang w:val="fr-FR"/>
        </w:rPr>
        <w:t xml:space="preserve"> à ce que certains droits de propriété intellectuelle sur les brevets des vaccins soient temporairement levés, au moins pour la durée de la pandémie</w:t>
      </w:r>
      <w:r w:rsidR="002542B8">
        <w:rPr>
          <w:b/>
          <w:bCs/>
          <w:lang w:val="fr-FR"/>
        </w:rPr>
        <w:t> ;</w:t>
      </w:r>
    </w:p>
    <w:p w14:paraId="01C07D66" w14:textId="4108E4D8" w:rsidR="00096DDD" w:rsidRPr="008970D0" w:rsidRDefault="00096DDD" w:rsidP="00F66FA6">
      <w:pPr>
        <w:pStyle w:val="SingleTxtG"/>
        <w:keepLines/>
        <w:ind w:firstLine="567"/>
        <w:rPr>
          <w:lang w:val="fr-FR"/>
        </w:rPr>
      </w:pPr>
      <w:r w:rsidRPr="007931D5">
        <w:rPr>
          <w:b/>
          <w:bCs/>
          <w:lang w:val="fr-FR"/>
        </w:rPr>
        <w:lastRenderedPageBreak/>
        <w:t>c)</w:t>
      </w:r>
      <w:r w:rsidRPr="007931D5">
        <w:rPr>
          <w:b/>
          <w:bCs/>
          <w:lang w:val="fr-FR"/>
        </w:rPr>
        <w:tab/>
      </w:r>
      <w:r w:rsidRPr="008970D0">
        <w:rPr>
          <w:b/>
          <w:bCs/>
          <w:lang w:val="fr-FR"/>
        </w:rPr>
        <w:t xml:space="preserve">De bien prendre note du paragraphe 82 de son observation générale </w:t>
      </w:r>
      <w:r w:rsidR="005A2DF0" w:rsidRPr="005A2DF0">
        <w:rPr>
          <w:rFonts w:eastAsia="MS Mincho"/>
          <w:b/>
          <w:bCs/>
          <w:lang w:val="fr-FR"/>
        </w:rPr>
        <w:t>n</w:t>
      </w:r>
      <w:r w:rsidR="005A2DF0" w:rsidRPr="005A2DF0">
        <w:rPr>
          <w:rFonts w:eastAsia="MS Mincho"/>
          <w:b/>
          <w:bCs/>
          <w:vertAlign w:val="superscript"/>
          <w:lang w:val="fr-FR"/>
        </w:rPr>
        <w:t>o</w:t>
      </w:r>
      <w:r w:rsidR="005A2DF0">
        <w:rPr>
          <w:b/>
          <w:bCs/>
          <w:lang w:val="fr-FR"/>
        </w:rPr>
        <w:t> </w:t>
      </w:r>
      <w:r w:rsidRPr="008970D0">
        <w:rPr>
          <w:b/>
          <w:bCs/>
          <w:lang w:val="fr-FR"/>
        </w:rPr>
        <w:t xml:space="preserve">25 (2020) sur la science et les droits économiques, sociaux et culturels, ainsi que de ses déclarations portant respectivement sur la pandémie de </w:t>
      </w:r>
      <w:r w:rsidR="00AE1C23">
        <w:rPr>
          <w:b/>
          <w:bCs/>
          <w:lang w:val="fr-FR"/>
        </w:rPr>
        <w:t>COVID</w:t>
      </w:r>
      <w:r w:rsidR="00AE1C23">
        <w:rPr>
          <w:b/>
          <w:bCs/>
          <w:lang w:val="fr-FR"/>
        </w:rPr>
        <w:noBreakHyphen/>
        <w:t>19</w:t>
      </w:r>
      <w:r w:rsidRPr="008970D0">
        <w:rPr>
          <w:b/>
          <w:bCs/>
          <w:lang w:val="fr-FR"/>
        </w:rPr>
        <w:t xml:space="preserve"> et les droits économiques, sociaux et culturels et sur l</w:t>
      </w:r>
      <w:r>
        <w:rPr>
          <w:b/>
          <w:bCs/>
          <w:lang w:val="fr-FR"/>
        </w:rPr>
        <w:t>’</w:t>
      </w:r>
      <w:r w:rsidRPr="008970D0">
        <w:rPr>
          <w:b/>
          <w:bCs/>
          <w:lang w:val="fr-FR"/>
        </w:rPr>
        <w:t xml:space="preserve">accès universel et équitable aux vaccins contre la </w:t>
      </w:r>
      <w:r w:rsidR="00AE1C23">
        <w:rPr>
          <w:b/>
          <w:bCs/>
          <w:lang w:val="fr-FR"/>
        </w:rPr>
        <w:t>COVID</w:t>
      </w:r>
      <w:r w:rsidR="00AE1C23">
        <w:rPr>
          <w:b/>
          <w:bCs/>
          <w:lang w:val="fr-FR"/>
        </w:rPr>
        <w:noBreakHyphen/>
        <w:t>19</w:t>
      </w:r>
      <w:r w:rsidRPr="008970D0">
        <w:rPr>
          <w:b/>
          <w:bCs/>
          <w:lang w:val="fr-FR"/>
        </w:rPr>
        <w:t>.</w:t>
      </w:r>
    </w:p>
    <w:p w14:paraId="50975319" w14:textId="77777777" w:rsidR="00096DDD" w:rsidRPr="008970D0" w:rsidRDefault="00096DDD" w:rsidP="007931D5">
      <w:pPr>
        <w:pStyle w:val="H23G"/>
        <w:rPr>
          <w:lang w:val="fr-FR"/>
        </w:rPr>
      </w:pPr>
      <w:r w:rsidRPr="008970D0">
        <w:rPr>
          <w:lang w:val="fr-FR"/>
        </w:rPr>
        <w:tab/>
      </w:r>
      <w:r w:rsidRPr="008970D0">
        <w:rPr>
          <w:lang w:val="fr-FR"/>
        </w:rPr>
        <w:tab/>
        <w:t>Aide publique au développement</w:t>
      </w:r>
    </w:p>
    <w:p w14:paraId="585BC3E5" w14:textId="2AAB37D9" w:rsidR="00096DDD" w:rsidRPr="008970D0" w:rsidRDefault="00096DDD" w:rsidP="007931D5">
      <w:pPr>
        <w:pStyle w:val="SingleTxtG"/>
        <w:tabs>
          <w:tab w:val="clear" w:pos="1701"/>
          <w:tab w:val="clear" w:pos="2268"/>
          <w:tab w:val="clear" w:pos="2835"/>
        </w:tabs>
        <w:rPr>
          <w:lang w:val="fr-FR"/>
        </w:rPr>
      </w:pPr>
      <w:r w:rsidRPr="008970D0">
        <w:rPr>
          <w:lang w:val="fr-FR"/>
        </w:rPr>
        <w:t>26.</w:t>
      </w:r>
      <w:r w:rsidRPr="008970D0">
        <w:rPr>
          <w:lang w:val="fr-FR"/>
        </w:rPr>
        <w:tab/>
        <w:t>Le Comité regrette que la part du revenu national brut consacrée à l</w:t>
      </w:r>
      <w:r>
        <w:rPr>
          <w:lang w:val="fr-FR"/>
        </w:rPr>
        <w:t>’</w:t>
      </w:r>
      <w:r w:rsidRPr="008970D0">
        <w:rPr>
          <w:lang w:val="fr-FR"/>
        </w:rPr>
        <w:t>aide publique au développement (0,13</w:t>
      </w:r>
      <w:r w:rsidR="00A26BEE">
        <w:rPr>
          <w:lang w:val="fr-FR"/>
        </w:rPr>
        <w:t> %</w:t>
      </w:r>
      <w:r w:rsidRPr="008970D0">
        <w:rPr>
          <w:lang w:val="fr-FR"/>
        </w:rPr>
        <w:t xml:space="preserve"> en 2021) soit inférieure à l</w:t>
      </w:r>
      <w:r>
        <w:rPr>
          <w:lang w:val="fr-FR"/>
        </w:rPr>
        <w:t>’</w:t>
      </w:r>
      <w:r w:rsidRPr="008970D0">
        <w:rPr>
          <w:lang w:val="fr-FR"/>
        </w:rPr>
        <w:t>engagement que l</w:t>
      </w:r>
      <w:r>
        <w:rPr>
          <w:lang w:val="fr-FR"/>
        </w:rPr>
        <w:t>’</w:t>
      </w:r>
      <w:r w:rsidRPr="008970D0">
        <w:rPr>
          <w:lang w:val="fr-FR"/>
        </w:rPr>
        <w:t>État partie a pris au niveau international d</w:t>
      </w:r>
      <w:r>
        <w:rPr>
          <w:lang w:val="fr-FR"/>
        </w:rPr>
        <w:t>’</w:t>
      </w:r>
      <w:r w:rsidRPr="008970D0">
        <w:rPr>
          <w:lang w:val="fr-FR"/>
        </w:rPr>
        <w:t>y consacrer 0,7</w:t>
      </w:r>
      <w:r w:rsidR="00A26BEE">
        <w:rPr>
          <w:lang w:val="fr-FR"/>
        </w:rPr>
        <w:t> %</w:t>
      </w:r>
      <w:r w:rsidRPr="008970D0">
        <w:rPr>
          <w:lang w:val="fr-FR"/>
        </w:rPr>
        <w:t xml:space="preserve"> et à l</w:t>
      </w:r>
      <w:r>
        <w:rPr>
          <w:lang w:val="fr-FR"/>
        </w:rPr>
        <w:t>’</w:t>
      </w:r>
      <w:r w:rsidRPr="008970D0">
        <w:rPr>
          <w:lang w:val="fr-FR"/>
        </w:rPr>
        <w:t>engagement pris devant l</w:t>
      </w:r>
      <w:r>
        <w:rPr>
          <w:lang w:val="fr-FR"/>
        </w:rPr>
        <w:t>’</w:t>
      </w:r>
      <w:r w:rsidRPr="008970D0">
        <w:rPr>
          <w:lang w:val="fr-FR"/>
        </w:rPr>
        <w:t>Union européenne d</w:t>
      </w:r>
      <w:r>
        <w:rPr>
          <w:lang w:val="fr-FR"/>
        </w:rPr>
        <w:t>’</w:t>
      </w:r>
      <w:r w:rsidRPr="008970D0">
        <w:rPr>
          <w:lang w:val="fr-FR"/>
        </w:rPr>
        <w:t>y consacrer 0,33</w:t>
      </w:r>
      <w:r w:rsidR="00A26BEE">
        <w:rPr>
          <w:lang w:val="fr-FR"/>
        </w:rPr>
        <w:t> %</w:t>
      </w:r>
      <w:r w:rsidRPr="008970D0">
        <w:rPr>
          <w:lang w:val="fr-FR"/>
        </w:rPr>
        <w:t xml:space="preserve"> </w:t>
      </w:r>
      <w:r w:rsidR="00F40B59">
        <w:rPr>
          <w:lang w:val="fr-FR"/>
        </w:rPr>
        <w:t>(art. </w:t>
      </w:r>
      <w:r w:rsidRPr="008970D0">
        <w:rPr>
          <w:lang w:val="fr-FR"/>
        </w:rPr>
        <w:t xml:space="preserve">2, </w:t>
      </w:r>
      <w:r w:rsidR="00334DE2">
        <w:rPr>
          <w:lang w:val="fr-FR"/>
        </w:rPr>
        <w:t>par. </w:t>
      </w:r>
      <w:r w:rsidRPr="008970D0">
        <w:rPr>
          <w:lang w:val="fr-FR"/>
        </w:rPr>
        <w:t>1)).</w:t>
      </w:r>
    </w:p>
    <w:p w14:paraId="5377028E" w14:textId="35AC80FD" w:rsidR="00096DDD" w:rsidRPr="008970D0" w:rsidRDefault="00096DDD" w:rsidP="007931D5">
      <w:pPr>
        <w:pStyle w:val="SingleTxtG"/>
        <w:tabs>
          <w:tab w:val="clear" w:pos="1701"/>
          <w:tab w:val="clear" w:pos="2268"/>
          <w:tab w:val="clear" w:pos="2835"/>
        </w:tabs>
        <w:rPr>
          <w:lang w:val="fr-FR"/>
        </w:rPr>
      </w:pPr>
      <w:r w:rsidRPr="008970D0">
        <w:rPr>
          <w:lang w:val="fr-FR"/>
        </w:rPr>
        <w:t>27.</w:t>
      </w:r>
      <w:r w:rsidRPr="008970D0">
        <w:rPr>
          <w:lang w:val="fr-FR"/>
        </w:rPr>
        <w:tab/>
      </w:r>
      <w:r w:rsidRPr="008970D0">
        <w:rPr>
          <w:b/>
          <w:bCs/>
          <w:lang w:val="fr-FR"/>
        </w:rPr>
        <w:t>Le Comité recommande à l</w:t>
      </w:r>
      <w:r>
        <w:rPr>
          <w:b/>
          <w:bCs/>
          <w:lang w:val="fr-FR"/>
        </w:rPr>
        <w:t>’</w:t>
      </w:r>
      <w:r w:rsidRPr="008970D0">
        <w:rPr>
          <w:b/>
          <w:bCs/>
          <w:lang w:val="fr-FR"/>
        </w:rPr>
        <w:t>État partie d</w:t>
      </w:r>
      <w:r>
        <w:rPr>
          <w:b/>
          <w:bCs/>
          <w:lang w:val="fr-FR"/>
        </w:rPr>
        <w:t>’</w:t>
      </w:r>
      <w:r w:rsidRPr="008970D0">
        <w:rPr>
          <w:b/>
          <w:bCs/>
          <w:lang w:val="fr-FR"/>
        </w:rPr>
        <w:t>intensifier ses efforts en matière de coopération internationale, et notamment d</w:t>
      </w:r>
      <w:r>
        <w:rPr>
          <w:b/>
          <w:bCs/>
          <w:lang w:val="fr-FR"/>
        </w:rPr>
        <w:t>’</w:t>
      </w:r>
      <w:r w:rsidRPr="008970D0">
        <w:rPr>
          <w:b/>
          <w:bCs/>
          <w:lang w:val="fr-FR"/>
        </w:rPr>
        <w:t>atteindre l</w:t>
      </w:r>
      <w:r>
        <w:rPr>
          <w:b/>
          <w:bCs/>
          <w:lang w:val="fr-FR"/>
        </w:rPr>
        <w:t>’</w:t>
      </w:r>
      <w:r w:rsidRPr="008970D0">
        <w:rPr>
          <w:b/>
          <w:bCs/>
          <w:lang w:val="fr-FR"/>
        </w:rPr>
        <w:t>objectif convenu au niveau international visant à ce que l</w:t>
      </w:r>
      <w:r>
        <w:rPr>
          <w:b/>
          <w:bCs/>
          <w:lang w:val="fr-FR"/>
        </w:rPr>
        <w:t>’</w:t>
      </w:r>
      <w:r w:rsidRPr="008970D0">
        <w:rPr>
          <w:b/>
          <w:bCs/>
          <w:lang w:val="fr-FR"/>
        </w:rPr>
        <w:t>aide publique au développement représente 0,7</w:t>
      </w:r>
      <w:r w:rsidR="00A26BEE">
        <w:rPr>
          <w:b/>
          <w:bCs/>
          <w:lang w:val="fr-FR"/>
        </w:rPr>
        <w:t> %</w:t>
      </w:r>
      <w:r w:rsidRPr="008970D0">
        <w:rPr>
          <w:b/>
          <w:bCs/>
          <w:lang w:val="fr-FR"/>
        </w:rPr>
        <w:t xml:space="preserve"> du revenu national brut.</w:t>
      </w:r>
    </w:p>
    <w:p w14:paraId="17A9DDAD" w14:textId="77777777" w:rsidR="00096DDD" w:rsidRPr="008970D0" w:rsidRDefault="00096DDD" w:rsidP="007931D5">
      <w:pPr>
        <w:pStyle w:val="H23G"/>
        <w:rPr>
          <w:lang w:val="fr-FR"/>
        </w:rPr>
      </w:pPr>
      <w:r w:rsidRPr="008970D0">
        <w:rPr>
          <w:lang w:val="fr-FR"/>
        </w:rPr>
        <w:tab/>
      </w:r>
      <w:r w:rsidRPr="008970D0">
        <w:rPr>
          <w:lang w:val="fr-FR"/>
        </w:rPr>
        <w:tab/>
        <w:t>Corruption</w:t>
      </w:r>
    </w:p>
    <w:p w14:paraId="6AA9F263" w14:textId="7C5DACBB" w:rsidR="00096DDD" w:rsidRPr="008970D0" w:rsidRDefault="00096DDD" w:rsidP="00D20AF4">
      <w:pPr>
        <w:pStyle w:val="SingleTxtG"/>
        <w:tabs>
          <w:tab w:val="clear" w:pos="1701"/>
          <w:tab w:val="clear" w:pos="2268"/>
          <w:tab w:val="clear" w:pos="2835"/>
        </w:tabs>
        <w:rPr>
          <w:lang w:val="fr-FR"/>
        </w:rPr>
      </w:pPr>
      <w:r w:rsidRPr="008970D0">
        <w:rPr>
          <w:lang w:val="fr-FR"/>
        </w:rPr>
        <w:t>28.</w:t>
      </w:r>
      <w:r w:rsidRPr="008970D0">
        <w:rPr>
          <w:lang w:val="fr-FR"/>
        </w:rPr>
        <w:tab/>
        <w:t>Le Comité prend note des mesures que l</w:t>
      </w:r>
      <w:r>
        <w:rPr>
          <w:lang w:val="fr-FR"/>
        </w:rPr>
        <w:t>’</w:t>
      </w:r>
      <w:r w:rsidRPr="008970D0">
        <w:rPr>
          <w:lang w:val="fr-FR"/>
        </w:rPr>
        <w:t xml:space="preserve">État partie a prises pour lutter contre la corruption. Toutefois, il se dit préoccupé par </w:t>
      </w:r>
      <w:r>
        <w:rPr>
          <w:lang w:val="fr-FR"/>
        </w:rPr>
        <w:t>l</w:t>
      </w:r>
      <w:r w:rsidRPr="008970D0">
        <w:rPr>
          <w:lang w:val="fr-FR"/>
        </w:rPr>
        <w:t xml:space="preserve">es informations selon lesquelles la corruption persiste dans le domaine des marchés publics, en particulier dans le secteur de la santé, et par </w:t>
      </w:r>
      <w:r>
        <w:rPr>
          <w:lang w:val="fr-FR"/>
        </w:rPr>
        <w:t>l’extension</w:t>
      </w:r>
      <w:r w:rsidRPr="008970D0">
        <w:rPr>
          <w:lang w:val="fr-FR"/>
        </w:rPr>
        <w:t xml:space="preserve"> de l</w:t>
      </w:r>
      <w:r>
        <w:rPr>
          <w:lang w:val="fr-FR"/>
        </w:rPr>
        <w:t>’</w:t>
      </w:r>
      <w:r w:rsidRPr="008970D0">
        <w:rPr>
          <w:lang w:val="fr-FR"/>
        </w:rPr>
        <w:t>économie souterraine, qui est susceptible d</w:t>
      </w:r>
      <w:r>
        <w:rPr>
          <w:lang w:val="fr-FR"/>
        </w:rPr>
        <w:t>’</w:t>
      </w:r>
      <w:r w:rsidRPr="008970D0">
        <w:rPr>
          <w:lang w:val="fr-FR"/>
        </w:rPr>
        <w:t xml:space="preserve">avoir une incidence négative sur la réalisation des droits économiques, sociaux et culturels. </w:t>
      </w:r>
      <w:r>
        <w:rPr>
          <w:lang w:val="fr-FR"/>
        </w:rPr>
        <w:t>Il</w:t>
      </w:r>
      <w:r w:rsidRPr="008970D0">
        <w:rPr>
          <w:lang w:val="fr-FR"/>
        </w:rPr>
        <w:t xml:space="preserve"> regrette l</w:t>
      </w:r>
      <w:r>
        <w:rPr>
          <w:lang w:val="fr-FR"/>
        </w:rPr>
        <w:t>’</w:t>
      </w:r>
      <w:r w:rsidRPr="008970D0">
        <w:rPr>
          <w:lang w:val="fr-FR"/>
        </w:rPr>
        <w:t>absence d</w:t>
      </w:r>
      <w:r>
        <w:rPr>
          <w:lang w:val="fr-FR"/>
        </w:rPr>
        <w:t>’</w:t>
      </w:r>
      <w:r w:rsidRPr="008970D0">
        <w:rPr>
          <w:lang w:val="fr-FR"/>
        </w:rPr>
        <w:t xml:space="preserve">informations sur les sanctions prononcées contre les personnes impliquées dans des activités de corruption </w:t>
      </w:r>
      <w:r w:rsidR="00F40B59">
        <w:rPr>
          <w:lang w:val="fr-FR"/>
        </w:rPr>
        <w:t>(art. </w:t>
      </w:r>
      <w:r w:rsidRPr="008970D0">
        <w:rPr>
          <w:lang w:val="fr-FR"/>
        </w:rPr>
        <w:t xml:space="preserve">2, </w:t>
      </w:r>
      <w:r w:rsidR="00334DE2">
        <w:rPr>
          <w:lang w:val="fr-FR"/>
        </w:rPr>
        <w:t>par. </w:t>
      </w:r>
      <w:r w:rsidRPr="008970D0">
        <w:rPr>
          <w:lang w:val="fr-FR"/>
        </w:rPr>
        <w:t>1)).</w:t>
      </w:r>
    </w:p>
    <w:p w14:paraId="14C4B72E" w14:textId="77777777" w:rsidR="00096DDD" w:rsidRPr="008970D0" w:rsidRDefault="00096DDD" w:rsidP="00D20AF4">
      <w:pPr>
        <w:pStyle w:val="SingleTxtG"/>
        <w:tabs>
          <w:tab w:val="clear" w:pos="1701"/>
          <w:tab w:val="clear" w:pos="2268"/>
          <w:tab w:val="clear" w:pos="2835"/>
        </w:tabs>
        <w:rPr>
          <w:lang w:val="fr-FR"/>
        </w:rPr>
      </w:pPr>
      <w:r w:rsidRPr="008970D0">
        <w:rPr>
          <w:lang w:val="fr-FR"/>
        </w:rPr>
        <w:t>29.</w:t>
      </w:r>
      <w:r w:rsidRPr="008970D0">
        <w:rPr>
          <w:lang w:val="fr-FR"/>
        </w:rPr>
        <w:tab/>
      </w:r>
      <w:r w:rsidRPr="008970D0">
        <w:rPr>
          <w:b/>
          <w:bCs/>
          <w:lang w:val="fr-FR"/>
        </w:rPr>
        <w:t>Le Comité recommande à l</w:t>
      </w:r>
      <w:r>
        <w:rPr>
          <w:b/>
          <w:bCs/>
          <w:lang w:val="fr-FR"/>
        </w:rPr>
        <w:t>’</w:t>
      </w:r>
      <w:r w:rsidRPr="008970D0">
        <w:rPr>
          <w:b/>
          <w:bCs/>
          <w:lang w:val="fr-FR"/>
        </w:rPr>
        <w:t>État partie d</w:t>
      </w:r>
      <w:r>
        <w:rPr>
          <w:b/>
          <w:bCs/>
          <w:lang w:val="fr-FR"/>
        </w:rPr>
        <w:t>’</w:t>
      </w:r>
      <w:r w:rsidRPr="008970D0">
        <w:rPr>
          <w:b/>
          <w:bCs/>
          <w:lang w:val="fr-FR"/>
        </w:rPr>
        <w:t>intensifier ses actions de lutte contre la corruption et l</w:t>
      </w:r>
      <w:r>
        <w:rPr>
          <w:b/>
          <w:bCs/>
          <w:lang w:val="fr-FR"/>
        </w:rPr>
        <w:t>’</w:t>
      </w:r>
      <w:r w:rsidRPr="008970D0">
        <w:rPr>
          <w:b/>
          <w:bCs/>
          <w:lang w:val="fr-FR"/>
        </w:rPr>
        <w:t>impunité qui y est associée et de veiller à l</w:t>
      </w:r>
      <w:r>
        <w:rPr>
          <w:b/>
          <w:bCs/>
          <w:lang w:val="fr-FR"/>
        </w:rPr>
        <w:t>’</w:t>
      </w:r>
      <w:r w:rsidRPr="008970D0">
        <w:rPr>
          <w:b/>
          <w:bCs/>
          <w:lang w:val="fr-FR"/>
        </w:rPr>
        <w:t xml:space="preserve">application effective des lois anticorruption, notamment </w:t>
      </w:r>
      <w:r>
        <w:rPr>
          <w:b/>
          <w:bCs/>
          <w:lang w:val="fr-FR"/>
        </w:rPr>
        <w:t>en faisant en sorte que les cas de corruption fassent l’objet d’</w:t>
      </w:r>
      <w:r w:rsidRPr="008970D0">
        <w:rPr>
          <w:b/>
          <w:bCs/>
          <w:lang w:val="fr-FR"/>
        </w:rPr>
        <w:t>enquêtes et de poursuites effectives.</w:t>
      </w:r>
      <w:r w:rsidRPr="008970D0">
        <w:rPr>
          <w:lang w:val="fr-FR"/>
        </w:rPr>
        <w:t xml:space="preserve"> </w:t>
      </w:r>
      <w:r w:rsidRPr="008970D0">
        <w:rPr>
          <w:b/>
          <w:bCs/>
          <w:lang w:val="fr-FR"/>
        </w:rPr>
        <w:t>Il recommande également à l</w:t>
      </w:r>
      <w:r>
        <w:rPr>
          <w:b/>
          <w:bCs/>
          <w:lang w:val="fr-FR"/>
        </w:rPr>
        <w:t>’</w:t>
      </w:r>
      <w:r w:rsidRPr="008970D0">
        <w:rPr>
          <w:b/>
          <w:bCs/>
          <w:lang w:val="fr-FR"/>
        </w:rPr>
        <w:t>État partie de continuer de renforcer les capacités d</w:t>
      </w:r>
      <w:r>
        <w:rPr>
          <w:b/>
          <w:bCs/>
          <w:lang w:val="fr-FR"/>
        </w:rPr>
        <w:t>’</w:t>
      </w:r>
      <w:r w:rsidRPr="008970D0">
        <w:rPr>
          <w:b/>
          <w:bCs/>
          <w:lang w:val="fr-FR"/>
        </w:rPr>
        <w:t>enquête et l</w:t>
      </w:r>
      <w:r>
        <w:rPr>
          <w:b/>
          <w:bCs/>
          <w:lang w:val="fr-FR"/>
        </w:rPr>
        <w:t>’</w:t>
      </w:r>
      <w:r w:rsidRPr="008970D0">
        <w:rPr>
          <w:b/>
          <w:bCs/>
          <w:lang w:val="fr-FR"/>
        </w:rPr>
        <w:t>indépendance du Service spécial d</w:t>
      </w:r>
      <w:r>
        <w:rPr>
          <w:b/>
          <w:bCs/>
          <w:lang w:val="fr-FR"/>
        </w:rPr>
        <w:t>’</w:t>
      </w:r>
      <w:r w:rsidRPr="008970D0">
        <w:rPr>
          <w:b/>
          <w:bCs/>
          <w:lang w:val="fr-FR"/>
        </w:rPr>
        <w:t>enquête et des procureurs.</w:t>
      </w:r>
    </w:p>
    <w:p w14:paraId="59B412D0" w14:textId="77777777" w:rsidR="00096DDD" w:rsidRPr="008970D0" w:rsidRDefault="00096DDD" w:rsidP="007931D5">
      <w:pPr>
        <w:pStyle w:val="H23G"/>
        <w:rPr>
          <w:lang w:val="fr-FR"/>
        </w:rPr>
      </w:pPr>
      <w:r w:rsidRPr="008970D0">
        <w:rPr>
          <w:lang w:val="fr-FR"/>
        </w:rPr>
        <w:tab/>
      </w:r>
      <w:r w:rsidRPr="008970D0">
        <w:rPr>
          <w:lang w:val="fr-FR"/>
        </w:rPr>
        <w:tab/>
        <w:t>Égalité de droits entre les hommes et les femmes</w:t>
      </w:r>
    </w:p>
    <w:p w14:paraId="6C428AC1" w14:textId="5D2E2520" w:rsidR="00096DDD" w:rsidRPr="008970D0" w:rsidRDefault="00096DDD" w:rsidP="007931D5">
      <w:pPr>
        <w:pStyle w:val="SingleTxtG"/>
        <w:tabs>
          <w:tab w:val="clear" w:pos="1701"/>
          <w:tab w:val="clear" w:pos="2268"/>
          <w:tab w:val="clear" w:pos="2835"/>
        </w:tabs>
        <w:rPr>
          <w:lang w:val="fr-FR"/>
        </w:rPr>
      </w:pPr>
      <w:r w:rsidRPr="008970D0">
        <w:rPr>
          <w:lang w:val="fr-FR"/>
        </w:rPr>
        <w:t>30.</w:t>
      </w:r>
      <w:r w:rsidRPr="008970D0">
        <w:rPr>
          <w:lang w:val="fr-FR"/>
        </w:rPr>
        <w:tab/>
        <w:t>Bien qu</w:t>
      </w:r>
      <w:r>
        <w:rPr>
          <w:lang w:val="fr-FR"/>
        </w:rPr>
        <w:t>’</w:t>
      </w:r>
      <w:r w:rsidRPr="008970D0">
        <w:rPr>
          <w:lang w:val="fr-FR"/>
        </w:rPr>
        <w:t>il soit conscient de</w:t>
      </w:r>
      <w:r>
        <w:rPr>
          <w:lang w:val="fr-FR"/>
        </w:rPr>
        <w:t xml:space="preserve">s efforts que </w:t>
      </w:r>
      <w:r w:rsidRPr="008970D0">
        <w:rPr>
          <w:lang w:val="fr-FR"/>
        </w:rPr>
        <w:t>l</w:t>
      </w:r>
      <w:r>
        <w:rPr>
          <w:lang w:val="fr-FR"/>
        </w:rPr>
        <w:t>’</w:t>
      </w:r>
      <w:r w:rsidRPr="008970D0">
        <w:rPr>
          <w:lang w:val="fr-FR"/>
        </w:rPr>
        <w:t xml:space="preserve">État partie </w:t>
      </w:r>
      <w:r>
        <w:rPr>
          <w:lang w:val="fr-FR"/>
        </w:rPr>
        <w:t xml:space="preserve">continue de déployer </w:t>
      </w:r>
      <w:r w:rsidRPr="008970D0">
        <w:rPr>
          <w:lang w:val="fr-FR"/>
        </w:rPr>
        <w:t>en matière de lutte contre les inégalités entre hommes et femmes, le Comité se dit préoccupé par la lenteur des progrès d</w:t>
      </w:r>
      <w:r>
        <w:rPr>
          <w:lang w:val="fr-FR"/>
        </w:rPr>
        <w:t>’</w:t>
      </w:r>
      <w:r w:rsidRPr="008970D0">
        <w:rPr>
          <w:lang w:val="fr-FR"/>
        </w:rPr>
        <w:t>ensemble accomplis en vue d</w:t>
      </w:r>
      <w:r>
        <w:rPr>
          <w:lang w:val="fr-FR"/>
        </w:rPr>
        <w:t>’</w:t>
      </w:r>
      <w:r w:rsidRPr="008970D0">
        <w:rPr>
          <w:lang w:val="fr-FR"/>
        </w:rPr>
        <w:t xml:space="preserve">atteindre la pleine égalité. </w:t>
      </w:r>
      <w:r>
        <w:rPr>
          <w:lang w:val="fr-FR"/>
        </w:rPr>
        <w:t>Il</w:t>
      </w:r>
      <w:r w:rsidRPr="008970D0">
        <w:rPr>
          <w:lang w:val="fr-FR"/>
        </w:rPr>
        <w:t xml:space="preserve"> </w:t>
      </w:r>
      <w:r>
        <w:rPr>
          <w:lang w:val="fr-FR"/>
        </w:rPr>
        <w:t>craint tout particulièrement que</w:t>
      </w:r>
      <w:r w:rsidRPr="008970D0">
        <w:rPr>
          <w:lang w:val="fr-FR"/>
        </w:rPr>
        <w:t xml:space="preserve"> la représentation limitée des femmes aux postes </w:t>
      </w:r>
      <w:r>
        <w:rPr>
          <w:lang w:val="fr-FR"/>
        </w:rPr>
        <w:t>à</w:t>
      </w:r>
      <w:r w:rsidRPr="008970D0">
        <w:rPr>
          <w:lang w:val="fr-FR"/>
        </w:rPr>
        <w:t xml:space="preserve"> responsabilité dans les différentes institutions sociales et économiques, la pauvreté accrue parmi les femmes et les filles et la répartition inégale des tâches domestiques et familiales non rémunérées entre les hommes et les femmes constituent des obstacles importants à l</w:t>
      </w:r>
      <w:r>
        <w:rPr>
          <w:lang w:val="fr-FR"/>
        </w:rPr>
        <w:t>’</w:t>
      </w:r>
      <w:r w:rsidRPr="008970D0">
        <w:rPr>
          <w:lang w:val="fr-FR"/>
        </w:rPr>
        <w:t xml:space="preserve">égalité. Il est également préoccupé par la persistance des stéréotypes concernant les femmes et leur rôle dans la société et dans la cellule familiale. </w:t>
      </w:r>
      <w:r>
        <w:rPr>
          <w:lang w:val="fr-FR"/>
        </w:rPr>
        <w:t>Il</w:t>
      </w:r>
      <w:r w:rsidRPr="008970D0">
        <w:rPr>
          <w:lang w:val="fr-FR"/>
        </w:rPr>
        <w:t xml:space="preserve"> regrette </w:t>
      </w:r>
      <w:r>
        <w:rPr>
          <w:lang w:val="fr-FR"/>
        </w:rPr>
        <w:t>de ne pas disposer</w:t>
      </w:r>
      <w:r w:rsidRPr="008970D0">
        <w:rPr>
          <w:lang w:val="fr-FR"/>
        </w:rPr>
        <w:t xml:space="preserve"> d</w:t>
      </w:r>
      <w:r>
        <w:rPr>
          <w:lang w:val="fr-FR"/>
        </w:rPr>
        <w:t>’</w:t>
      </w:r>
      <w:r w:rsidRPr="008970D0">
        <w:rPr>
          <w:lang w:val="fr-FR"/>
        </w:rPr>
        <w:t>informations sur les progrès accomplis pour ce qui est de venir à bout de la ségrégation professionnelle entre hommes et femmes et d</w:t>
      </w:r>
      <w:r>
        <w:rPr>
          <w:lang w:val="fr-FR"/>
        </w:rPr>
        <w:t>’</w:t>
      </w:r>
      <w:r w:rsidRPr="008970D0">
        <w:rPr>
          <w:lang w:val="fr-FR"/>
        </w:rPr>
        <w:t>offrir davantage de possibilités aux femmes défavorisées et marginalisées, notamment en ce qui concerne l</w:t>
      </w:r>
      <w:r>
        <w:rPr>
          <w:lang w:val="fr-FR"/>
        </w:rPr>
        <w:t>’</w:t>
      </w:r>
      <w:r w:rsidRPr="008970D0">
        <w:rPr>
          <w:lang w:val="fr-FR"/>
        </w:rPr>
        <w:t>accès aux emplois qualifiés, à plein temps et bien rémunérés, comme l</w:t>
      </w:r>
      <w:r>
        <w:rPr>
          <w:lang w:val="fr-FR"/>
        </w:rPr>
        <w:t>’</w:t>
      </w:r>
      <w:r w:rsidRPr="008970D0">
        <w:rPr>
          <w:lang w:val="fr-FR"/>
        </w:rPr>
        <w:t>a également souligné le Comité pour l</w:t>
      </w:r>
      <w:r>
        <w:rPr>
          <w:lang w:val="fr-FR"/>
        </w:rPr>
        <w:t>’</w:t>
      </w:r>
      <w:r w:rsidRPr="008970D0">
        <w:rPr>
          <w:lang w:val="fr-FR"/>
        </w:rPr>
        <w:t>élimination de la discrimination à l</w:t>
      </w:r>
      <w:r>
        <w:rPr>
          <w:lang w:val="fr-FR"/>
        </w:rPr>
        <w:t>’</w:t>
      </w:r>
      <w:r w:rsidRPr="008970D0">
        <w:rPr>
          <w:lang w:val="fr-FR"/>
        </w:rPr>
        <w:t xml:space="preserve">égard des femmes </w:t>
      </w:r>
      <w:r w:rsidR="00F40B59">
        <w:rPr>
          <w:lang w:val="fr-FR"/>
        </w:rPr>
        <w:t>(art. </w:t>
      </w:r>
      <w:r w:rsidRPr="008970D0">
        <w:rPr>
          <w:lang w:val="fr-FR"/>
        </w:rPr>
        <w:t>3)</w:t>
      </w:r>
      <w:r w:rsidRPr="001043D5">
        <w:rPr>
          <w:rStyle w:val="Appelnotedebasdep"/>
        </w:rPr>
        <w:footnoteReference w:id="11"/>
      </w:r>
      <w:r w:rsidRPr="008970D0">
        <w:rPr>
          <w:lang w:val="fr-FR"/>
        </w:rPr>
        <w:t>.</w:t>
      </w:r>
    </w:p>
    <w:p w14:paraId="4FD1FC1B" w14:textId="1632B909" w:rsidR="00096DDD" w:rsidRPr="008970D0" w:rsidRDefault="00096DDD" w:rsidP="007931D5">
      <w:pPr>
        <w:pStyle w:val="SingleTxtG"/>
        <w:keepNext/>
        <w:tabs>
          <w:tab w:val="clear" w:pos="1701"/>
          <w:tab w:val="clear" w:pos="2268"/>
          <w:tab w:val="clear" w:pos="2835"/>
        </w:tabs>
        <w:rPr>
          <w:b/>
          <w:bCs/>
          <w:lang w:val="fr-FR"/>
        </w:rPr>
      </w:pPr>
      <w:r w:rsidRPr="008970D0">
        <w:rPr>
          <w:lang w:val="fr-FR"/>
        </w:rPr>
        <w:t>31.</w:t>
      </w:r>
      <w:r w:rsidRPr="008970D0">
        <w:rPr>
          <w:lang w:val="fr-FR"/>
        </w:rPr>
        <w:tab/>
      </w:r>
      <w:r w:rsidRPr="008970D0">
        <w:rPr>
          <w:b/>
          <w:bCs/>
          <w:lang w:val="fr-FR"/>
        </w:rPr>
        <w:t>Le Comité recommande à l</w:t>
      </w:r>
      <w:r>
        <w:rPr>
          <w:b/>
          <w:bCs/>
          <w:lang w:val="fr-FR"/>
        </w:rPr>
        <w:t>’</w:t>
      </w:r>
      <w:r w:rsidRPr="008970D0">
        <w:rPr>
          <w:b/>
          <w:bCs/>
          <w:lang w:val="fr-FR"/>
        </w:rPr>
        <w:t>État partie</w:t>
      </w:r>
      <w:r w:rsidR="007931D5">
        <w:rPr>
          <w:b/>
          <w:bCs/>
          <w:lang w:val="fr-FR"/>
        </w:rPr>
        <w:t> :</w:t>
      </w:r>
    </w:p>
    <w:p w14:paraId="45C18A86" w14:textId="1F78B89C" w:rsidR="00096DDD" w:rsidRPr="008970D0" w:rsidRDefault="00096DDD" w:rsidP="001B66AB">
      <w:pPr>
        <w:pStyle w:val="SingleTxtG"/>
        <w:ind w:firstLine="567"/>
        <w:rPr>
          <w:b/>
          <w:bCs/>
          <w:lang w:val="fr-FR"/>
        </w:rPr>
      </w:pPr>
      <w:r w:rsidRPr="001B66AB">
        <w:rPr>
          <w:b/>
          <w:bCs/>
          <w:lang w:val="fr-FR"/>
        </w:rPr>
        <w:t>a)</w:t>
      </w:r>
      <w:r w:rsidRPr="001B66AB">
        <w:rPr>
          <w:b/>
          <w:bCs/>
          <w:lang w:val="fr-FR"/>
        </w:rPr>
        <w:tab/>
      </w:r>
      <w:r w:rsidRPr="008970D0">
        <w:rPr>
          <w:b/>
          <w:bCs/>
          <w:lang w:val="fr-FR"/>
        </w:rPr>
        <w:t xml:space="preserve">De réexaminer et de modifier </w:t>
      </w:r>
      <w:r>
        <w:rPr>
          <w:b/>
          <w:bCs/>
          <w:lang w:val="fr-FR"/>
        </w:rPr>
        <w:t xml:space="preserve">toutes </w:t>
      </w:r>
      <w:r w:rsidRPr="008970D0">
        <w:rPr>
          <w:b/>
          <w:bCs/>
          <w:lang w:val="fr-FR"/>
        </w:rPr>
        <w:t>les lois, réglementations, normes et pratiques actuelles qui sont discriminatoires à l</w:t>
      </w:r>
      <w:r>
        <w:rPr>
          <w:b/>
          <w:bCs/>
          <w:lang w:val="fr-FR"/>
        </w:rPr>
        <w:t>’</w:t>
      </w:r>
      <w:r w:rsidRPr="008970D0">
        <w:rPr>
          <w:b/>
          <w:bCs/>
          <w:lang w:val="fr-FR"/>
        </w:rPr>
        <w:t>égard des femmes et d</w:t>
      </w:r>
      <w:r>
        <w:rPr>
          <w:b/>
          <w:bCs/>
          <w:lang w:val="fr-FR"/>
        </w:rPr>
        <w:t>’</w:t>
      </w:r>
      <w:r w:rsidRPr="008970D0">
        <w:rPr>
          <w:b/>
          <w:bCs/>
          <w:lang w:val="fr-FR"/>
        </w:rPr>
        <w:t>élaborer des politiques et des programmes, notamment des</w:t>
      </w:r>
      <w:r w:rsidRPr="008970D0">
        <w:rPr>
          <w:lang w:val="fr-FR"/>
        </w:rPr>
        <w:t xml:space="preserve"> </w:t>
      </w:r>
      <w:r w:rsidRPr="008970D0">
        <w:rPr>
          <w:b/>
          <w:bCs/>
          <w:lang w:val="fr-FR"/>
        </w:rPr>
        <w:t xml:space="preserve">mesures temporaires spéciales, visant à atteindre une égalité </w:t>
      </w:r>
      <w:r>
        <w:rPr>
          <w:b/>
          <w:bCs/>
          <w:lang w:val="fr-FR"/>
        </w:rPr>
        <w:t xml:space="preserve">réelle entre </w:t>
      </w:r>
      <w:r w:rsidRPr="008970D0">
        <w:rPr>
          <w:b/>
          <w:bCs/>
          <w:lang w:val="fr-FR"/>
        </w:rPr>
        <w:t>hommes</w:t>
      </w:r>
      <w:r>
        <w:rPr>
          <w:b/>
          <w:bCs/>
          <w:lang w:val="fr-FR"/>
        </w:rPr>
        <w:t xml:space="preserve"> et </w:t>
      </w:r>
      <w:r w:rsidRPr="008970D0">
        <w:rPr>
          <w:b/>
          <w:bCs/>
          <w:lang w:val="fr-FR"/>
        </w:rPr>
        <w:t>femmes dans tous les domaines intéressant les droits économiques, sociaux et culturels</w:t>
      </w:r>
      <w:r w:rsidR="002542B8">
        <w:rPr>
          <w:b/>
          <w:bCs/>
          <w:lang w:val="fr-FR"/>
        </w:rPr>
        <w:t> ;</w:t>
      </w:r>
    </w:p>
    <w:p w14:paraId="2CEC140B" w14:textId="77777777" w:rsidR="00096DDD" w:rsidRPr="008970D0" w:rsidRDefault="00096DDD" w:rsidP="001B66AB">
      <w:pPr>
        <w:pStyle w:val="SingleTxtG"/>
        <w:ind w:firstLine="567"/>
        <w:rPr>
          <w:b/>
          <w:bCs/>
          <w:lang w:val="fr-FR"/>
        </w:rPr>
      </w:pPr>
      <w:r w:rsidRPr="001B66AB">
        <w:rPr>
          <w:b/>
          <w:bCs/>
          <w:lang w:val="fr-FR"/>
        </w:rPr>
        <w:lastRenderedPageBreak/>
        <w:t>b)</w:t>
      </w:r>
      <w:r w:rsidRPr="001B66AB">
        <w:rPr>
          <w:b/>
          <w:bCs/>
          <w:lang w:val="fr-FR"/>
        </w:rPr>
        <w:tab/>
      </w:r>
      <w:r w:rsidRPr="008970D0">
        <w:rPr>
          <w:b/>
          <w:bCs/>
          <w:lang w:val="fr-FR"/>
        </w:rPr>
        <w:t>De prendre des mesures globales pour éliminer les stéréotypes tenaces sur le rôle des femmes et des hommes, et notamment de mener des campagnes dans les médias, de consulter les leaders d</w:t>
      </w:r>
      <w:r>
        <w:rPr>
          <w:b/>
          <w:bCs/>
          <w:lang w:val="fr-FR"/>
        </w:rPr>
        <w:t>’</w:t>
      </w:r>
      <w:r w:rsidRPr="008970D0">
        <w:rPr>
          <w:b/>
          <w:bCs/>
          <w:lang w:val="fr-FR"/>
        </w:rPr>
        <w:t>opinion et de sensibiliser le grand public au partage égal des droits et des responsabilités entre hommes et femmes dans la famille et dans la société.</w:t>
      </w:r>
    </w:p>
    <w:p w14:paraId="77C9A9E8" w14:textId="77777777" w:rsidR="00096DDD" w:rsidRPr="008970D0" w:rsidRDefault="00096DDD" w:rsidP="001B66AB">
      <w:pPr>
        <w:pStyle w:val="H23G"/>
        <w:rPr>
          <w:lang w:val="fr-FR"/>
        </w:rPr>
      </w:pPr>
      <w:r w:rsidRPr="008970D0">
        <w:rPr>
          <w:lang w:val="fr-FR"/>
        </w:rPr>
        <w:tab/>
      </w:r>
      <w:r w:rsidRPr="008970D0">
        <w:rPr>
          <w:lang w:val="fr-FR"/>
        </w:rPr>
        <w:tab/>
        <w:t>Écart de rémunération entre les femmes et les hommes</w:t>
      </w:r>
    </w:p>
    <w:p w14:paraId="0E88272A" w14:textId="174B8E95" w:rsidR="00096DDD" w:rsidRPr="008970D0" w:rsidRDefault="00096DDD" w:rsidP="001B66AB">
      <w:pPr>
        <w:pStyle w:val="SingleTxtG"/>
        <w:tabs>
          <w:tab w:val="clear" w:pos="1701"/>
          <w:tab w:val="clear" w:pos="2268"/>
          <w:tab w:val="clear" w:pos="2835"/>
        </w:tabs>
        <w:rPr>
          <w:lang w:val="fr-FR"/>
        </w:rPr>
      </w:pPr>
      <w:r w:rsidRPr="008970D0">
        <w:rPr>
          <w:lang w:val="fr-FR"/>
        </w:rPr>
        <w:t>32.</w:t>
      </w:r>
      <w:r w:rsidRPr="008970D0">
        <w:rPr>
          <w:lang w:val="fr-FR"/>
        </w:rPr>
        <w:tab/>
        <w:t>Tout en prenant note de l</w:t>
      </w:r>
      <w:r>
        <w:rPr>
          <w:lang w:val="fr-FR"/>
        </w:rPr>
        <w:t>’</w:t>
      </w:r>
      <w:r w:rsidRPr="008970D0">
        <w:rPr>
          <w:lang w:val="fr-FR"/>
        </w:rPr>
        <w:t>action menée par l</w:t>
      </w:r>
      <w:r>
        <w:rPr>
          <w:lang w:val="fr-FR"/>
        </w:rPr>
        <w:t>’</w:t>
      </w:r>
      <w:r w:rsidRPr="008970D0">
        <w:rPr>
          <w:lang w:val="fr-FR"/>
        </w:rPr>
        <w:t>État partie, notamment du Programme national en faveur de l</w:t>
      </w:r>
      <w:r>
        <w:rPr>
          <w:lang w:val="fr-FR"/>
        </w:rPr>
        <w:t>’</w:t>
      </w:r>
      <w:r w:rsidRPr="008970D0">
        <w:rPr>
          <w:lang w:val="fr-FR"/>
        </w:rPr>
        <w:t>égalité des chances entre les femmes et les hommes pour la période 2015</w:t>
      </w:r>
      <w:r w:rsidR="004342ED">
        <w:rPr>
          <w:lang w:val="fr-FR"/>
        </w:rPr>
        <w:noBreakHyphen/>
      </w:r>
      <w:r w:rsidRPr="008970D0">
        <w:rPr>
          <w:lang w:val="fr-FR"/>
        </w:rPr>
        <w:t>2021 et des réformes en cours au Département de la statistique, le Comité regrette que l</w:t>
      </w:r>
      <w:r>
        <w:rPr>
          <w:lang w:val="fr-FR"/>
        </w:rPr>
        <w:t>’</w:t>
      </w:r>
      <w:r w:rsidRPr="008970D0">
        <w:rPr>
          <w:lang w:val="fr-FR"/>
        </w:rPr>
        <w:t>écart de rémunération entre les femmes et les hommes demeure important, puisqu</w:t>
      </w:r>
      <w:r>
        <w:rPr>
          <w:lang w:val="fr-FR"/>
        </w:rPr>
        <w:t>’</w:t>
      </w:r>
      <w:r w:rsidRPr="008970D0">
        <w:rPr>
          <w:lang w:val="fr-FR"/>
        </w:rPr>
        <w:t>il atteignait 12</w:t>
      </w:r>
      <w:r w:rsidR="00A26BEE">
        <w:rPr>
          <w:lang w:val="fr-FR"/>
        </w:rPr>
        <w:t> %</w:t>
      </w:r>
      <w:r w:rsidRPr="008970D0">
        <w:rPr>
          <w:lang w:val="fr-FR"/>
        </w:rPr>
        <w:t xml:space="preserve"> en 2021 et serait encore plus élevé dans certains secteurs, tels que l</w:t>
      </w:r>
      <w:r>
        <w:rPr>
          <w:lang w:val="fr-FR"/>
        </w:rPr>
        <w:t xml:space="preserve">es </w:t>
      </w:r>
      <w:r w:rsidRPr="008970D0">
        <w:rPr>
          <w:lang w:val="fr-FR"/>
        </w:rPr>
        <w:t>assurance</w:t>
      </w:r>
      <w:r>
        <w:rPr>
          <w:lang w:val="fr-FR"/>
        </w:rPr>
        <w:t>s</w:t>
      </w:r>
      <w:r w:rsidRPr="008970D0">
        <w:rPr>
          <w:lang w:val="fr-FR"/>
        </w:rPr>
        <w:t>, les finances, la santé et le travail social. Le Comité déplore que l</w:t>
      </w:r>
      <w:r>
        <w:rPr>
          <w:lang w:val="fr-FR"/>
        </w:rPr>
        <w:t>’</w:t>
      </w:r>
      <w:r w:rsidRPr="008970D0">
        <w:rPr>
          <w:lang w:val="fr-FR"/>
        </w:rPr>
        <w:t>État partie n</w:t>
      </w:r>
      <w:r>
        <w:rPr>
          <w:lang w:val="fr-FR"/>
        </w:rPr>
        <w:t>’</w:t>
      </w:r>
      <w:r w:rsidRPr="008970D0">
        <w:rPr>
          <w:lang w:val="fr-FR"/>
        </w:rPr>
        <w:t>ait pas entrepris d</w:t>
      </w:r>
      <w:r>
        <w:rPr>
          <w:lang w:val="fr-FR"/>
        </w:rPr>
        <w:t>’</w:t>
      </w:r>
      <w:r w:rsidRPr="008970D0">
        <w:rPr>
          <w:lang w:val="fr-FR"/>
        </w:rPr>
        <w:t>évaluation complète de l</w:t>
      </w:r>
      <w:r>
        <w:rPr>
          <w:lang w:val="fr-FR"/>
        </w:rPr>
        <w:t>’</w:t>
      </w:r>
      <w:r w:rsidRPr="008970D0">
        <w:rPr>
          <w:lang w:val="fr-FR"/>
        </w:rPr>
        <w:t>incidence des mesures qu</w:t>
      </w:r>
      <w:r>
        <w:rPr>
          <w:lang w:val="fr-FR"/>
        </w:rPr>
        <w:t>’</w:t>
      </w:r>
      <w:r w:rsidRPr="008970D0">
        <w:rPr>
          <w:lang w:val="fr-FR"/>
        </w:rPr>
        <w:t>il a adoptées pour réduire l</w:t>
      </w:r>
      <w:r>
        <w:rPr>
          <w:lang w:val="fr-FR"/>
        </w:rPr>
        <w:t>’</w:t>
      </w:r>
      <w:r w:rsidRPr="008970D0">
        <w:rPr>
          <w:lang w:val="fr-FR"/>
        </w:rPr>
        <w:t xml:space="preserve">écart de rémunération entre les femmes et les hommes </w:t>
      </w:r>
      <w:r w:rsidR="00F40B59">
        <w:rPr>
          <w:lang w:val="fr-FR"/>
        </w:rPr>
        <w:t>(art. </w:t>
      </w:r>
      <w:r w:rsidRPr="008970D0">
        <w:rPr>
          <w:lang w:val="fr-FR"/>
        </w:rPr>
        <w:t>3).</w:t>
      </w:r>
    </w:p>
    <w:p w14:paraId="18532FBB" w14:textId="77777777" w:rsidR="00096DDD" w:rsidRPr="008970D0" w:rsidRDefault="00096DDD" w:rsidP="002A6F7F">
      <w:pPr>
        <w:pStyle w:val="SingleTxtG"/>
        <w:keepNext/>
        <w:tabs>
          <w:tab w:val="clear" w:pos="1701"/>
          <w:tab w:val="clear" w:pos="2268"/>
          <w:tab w:val="clear" w:pos="2835"/>
        </w:tabs>
        <w:rPr>
          <w:b/>
          <w:bCs/>
          <w:lang w:val="fr-FR"/>
        </w:rPr>
      </w:pPr>
      <w:r w:rsidRPr="008970D0">
        <w:rPr>
          <w:lang w:val="fr-FR"/>
        </w:rPr>
        <w:t>33.</w:t>
      </w:r>
      <w:r w:rsidRPr="008970D0">
        <w:rPr>
          <w:lang w:val="fr-FR"/>
        </w:rPr>
        <w:tab/>
      </w:r>
      <w:r w:rsidRPr="008970D0">
        <w:rPr>
          <w:b/>
          <w:bCs/>
          <w:lang w:val="fr-FR"/>
        </w:rPr>
        <w:t>Réitérant les recommandations formulées dans ses précédentes observations finales</w:t>
      </w:r>
      <w:r w:rsidRPr="001043D5">
        <w:rPr>
          <w:rStyle w:val="Appelnotedebasdep"/>
        </w:rPr>
        <w:footnoteReference w:id="12"/>
      </w:r>
      <w:r w:rsidRPr="008970D0">
        <w:rPr>
          <w:b/>
          <w:bCs/>
          <w:lang w:val="fr-FR"/>
        </w:rPr>
        <w:t>, le Comité recommande à l</w:t>
      </w:r>
      <w:r>
        <w:rPr>
          <w:b/>
          <w:bCs/>
          <w:lang w:val="fr-FR"/>
        </w:rPr>
        <w:t>’</w:t>
      </w:r>
      <w:r w:rsidRPr="008970D0">
        <w:rPr>
          <w:b/>
          <w:bCs/>
          <w:lang w:val="fr-FR"/>
        </w:rPr>
        <w:t>État partie :</w:t>
      </w:r>
    </w:p>
    <w:p w14:paraId="4A5AD89F" w14:textId="7294EAA5" w:rsidR="00096DDD" w:rsidRPr="001B66AB" w:rsidRDefault="00096DDD" w:rsidP="001B66AB">
      <w:pPr>
        <w:pStyle w:val="SingleTxtG"/>
        <w:ind w:firstLine="567"/>
        <w:rPr>
          <w:b/>
          <w:bCs/>
          <w:lang w:val="fr-FR"/>
        </w:rPr>
      </w:pPr>
      <w:r w:rsidRPr="001B66AB">
        <w:rPr>
          <w:b/>
          <w:bCs/>
          <w:lang w:val="fr-FR"/>
        </w:rPr>
        <w:t>a)</w:t>
      </w:r>
      <w:r w:rsidRPr="001B66AB">
        <w:rPr>
          <w:b/>
          <w:bCs/>
          <w:lang w:val="fr-FR"/>
        </w:rPr>
        <w:tab/>
      </w:r>
      <w:r w:rsidRPr="008970D0">
        <w:rPr>
          <w:b/>
          <w:bCs/>
          <w:lang w:val="fr-FR"/>
        </w:rPr>
        <w:t>De redoubler d</w:t>
      </w:r>
      <w:r>
        <w:rPr>
          <w:b/>
          <w:bCs/>
          <w:lang w:val="fr-FR"/>
        </w:rPr>
        <w:t>’</w:t>
      </w:r>
      <w:r w:rsidRPr="008970D0">
        <w:rPr>
          <w:b/>
          <w:bCs/>
          <w:lang w:val="fr-FR"/>
        </w:rPr>
        <w:t>efforts pour combler l</w:t>
      </w:r>
      <w:r>
        <w:rPr>
          <w:b/>
          <w:bCs/>
          <w:lang w:val="fr-FR"/>
        </w:rPr>
        <w:t>’</w:t>
      </w:r>
      <w:r w:rsidRPr="008970D0">
        <w:rPr>
          <w:b/>
          <w:bCs/>
          <w:lang w:val="fr-FR"/>
        </w:rPr>
        <w:t>écart de rémunération entre les femmes et les hommes, en s</w:t>
      </w:r>
      <w:r>
        <w:rPr>
          <w:b/>
          <w:bCs/>
          <w:lang w:val="fr-FR"/>
        </w:rPr>
        <w:t>’</w:t>
      </w:r>
      <w:r w:rsidRPr="008970D0">
        <w:rPr>
          <w:b/>
          <w:bCs/>
          <w:lang w:val="fr-FR"/>
        </w:rPr>
        <w:t>attaquant à la ségrégation verticale et horizontale entre hommes et femmes sur le marché du travail, en revoyant ses politiques sociales et fiscales et en s</w:t>
      </w:r>
      <w:r>
        <w:rPr>
          <w:b/>
          <w:bCs/>
          <w:lang w:val="fr-FR"/>
        </w:rPr>
        <w:t>’</w:t>
      </w:r>
      <w:r w:rsidRPr="008970D0">
        <w:rPr>
          <w:b/>
          <w:bCs/>
          <w:lang w:val="fr-FR"/>
        </w:rPr>
        <w:t>attaquant aux facteurs qui d</w:t>
      </w:r>
      <w:r>
        <w:rPr>
          <w:b/>
          <w:bCs/>
          <w:lang w:val="fr-FR"/>
        </w:rPr>
        <w:t>issuad</w:t>
      </w:r>
      <w:r w:rsidRPr="008970D0">
        <w:rPr>
          <w:b/>
          <w:bCs/>
          <w:lang w:val="fr-FR"/>
        </w:rPr>
        <w:t>ent les femmes de poursuivre leur carrière ou d</w:t>
      </w:r>
      <w:r>
        <w:rPr>
          <w:b/>
          <w:bCs/>
          <w:lang w:val="fr-FR"/>
        </w:rPr>
        <w:t>’</w:t>
      </w:r>
      <w:r w:rsidRPr="008970D0">
        <w:rPr>
          <w:b/>
          <w:bCs/>
          <w:lang w:val="fr-FR"/>
        </w:rPr>
        <w:t>occuper un emploi à temps plein</w:t>
      </w:r>
      <w:r w:rsidR="002542B8">
        <w:rPr>
          <w:b/>
          <w:bCs/>
          <w:lang w:val="fr-FR"/>
        </w:rPr>
        <w:t> ;</w:t>
      </w:r>
    </w:p>
    <w:p w14:paraId="1A3534BD" w14:textId="0C47C944" w:rsidR="00096DDD" w:rsidRPr="008970D0" w:rsidRDefault="00096DDD" w:rsidP="001B66AB">
      <w:pPr>
        <w:pStyle w:val="SingleTxtG"/>
        <w:ind w:firstLine="567"/>
        <w:rPr>
          <w:b/>
          <w:bCs/>
          <w:lang w:val="fr-FR"/>
        </w:rPr>
      </w:pPr>
      <w:r w:rsidRPr="001B66AB">
        <w:rPr>
          <w:b/>
          <w:bCs/>
          <w:lang w:val="fr-FR"/>
        </w:rPr>
        <w:t>b)</w:t>
      </w:r>
      <w:r w:rsidRPr="001B66AB">
        <w:rPr>
          <w:b/>
          <w:bCs/>
          <w:lang w:val="fr-FR"/>
        </w:rPr>
        <w:tab/>
      </w:r>
      <w:r w:rsidRPr="008970D0">
        <w:rPr>
          <w:b/>
          <w:bCs/>
          <w:lang w:val="fr-FR"/>
        </w:rPr>
        <w:t>De prendre de nouvelles mesures visant à promouvoir l</w:t>
      </w:r>
      <w:r>
        <w:rPr>
          <w:b/>
          <w:bCs/>
          <w:lang w:val="fr-FR"/>
        </w:rPr>
        <w:t>’</w:t>
      </w:r>
      <w:r w:rsidRPr="008970D0">
        <w:rPr>
          <w:b/>
          <w:bCs/>
          <w:lang w:val="fr-FR"/>
        </w:rPr>
        <w:t>accès des femmes aux postes de haut niveau dans les secteurs public et privé, notamment en adoptant et en appliquant des mesures temporaires spéciales et en levant les obstacles qui entravent l</w:t>
      </w:r>
      <w:r>
        <w:rPr>
          <w:b/>
          <w:bCs/>
          <w:lang w:val="fr-FR"/>
        </w:rPr>
        <w:t>’</w:t>
      </w:r>
      <w:r w:rsidRPr="008970D0">
        <w:rPr>
          <w:b/>
          <w:bCs/>
          <w:lang w:val="fr-FR"/>
        </w:rPr>
        <w:t>avancement professionnel des femmes, y compris en donnant aux femmes suffisamment de possibilités de concilier leurs obligations familiales et professionnelles</w:t>
      </w:r>
      <w:r w:rsidR="002542B8">
        <w:rPr>
          <w:b/>
          <w:bCs/>
          <w:lang w:val="fr-FR"/>
        </w:rPr>
        <w:t> ;</w:t>
      </w:r>
    </w:p>
    <w:p w14:paraId="0634FC7F" w14:textId="77777777" w:rsidR="00096DDD" w:rsidRPr="008970D0" w:rsidRDefault="00096DDD" w:rsidP="001B66AB">
      <w:pPr>
        <w:pStyle w:val="SingleTxtG"/>
        <w:ind w:firstLine="567"/>
        <w:rPr>
          <w:b/>
          <w:bCs/>
          <w:lang w:val="fr-FR"/>
        </w:rPr>
      </w:pPr>
      <w:r w:rsidRPr="001B66AB">
        <w:rPr>
          <w:b/>
          <w:bCs/>
          <w:lang w:val="fr-FR"/>
        </w:rPr>
        <w:t>c)</w:t>
      </w:r>
      <w:r w:rsidRPr="001B66AB">
        <w:rPr>
          <w:b/>
          <w:bCs/>
          <w:lang w:val="fr-FR"/>
        </w:rPr>
        <w:tab/>
      </w:r>
      <w:r w:rsidRPr="008970D0">
        <w:rPr>
          <w:b/>
          <w:bCs/>
          <w:lang w:val="fr-FR"/>
        </w:rPr>
        <w:t>D</w:t>
      </w:r>
      <w:r>
        <w:rPr>
          <w:b/>
          <w:bCs/>
          <w:lang w:val="fr-FR"/>
        </w:rPr>
        <w:t>’</w:t>
      </w:r>
      <w:r w:rsidRPr="008970D0">
        <w:rPr>
          <w:b/>
          <w:bCs/>
          <w:lang w:val="fr-FR"/>
        </w:rPr>
        <w:t>examiner régulièrement</w:t>
      </w:r>
      <w:r>
        <w:rPr>
          <w:b/>
          <w:bCs/>
          <w:lang w:val="fr-FR"/>
        </w:rPr>
        <w:t xml:space="preserve">, </w:t>
      </w:r>
      <w:r w:rsidRPr="008970D0">
        <w:rPr>
          <w:b/>
          <w:bCs/>
          <w:lang w:val="fr-FR"/>
        </w:rPr>
        <w:t>en concertation avec les travailleurs et les employeurs, l</w:t>
      </w:r>
      <w:r>
        <w:rPr>
          <w:b/>
          <w:bCs/>
          <w:lang w:val="fr-FR"/>
        </w:rPr>
        <w:t>’</w:t>
      </w:r>
      <w:r w:rsidRPr="008970D0">
        <w:rPr>
          <w:b/>
          <w:bCs/>
          <w:lang w:val="fr-FR"/>
        </w:rPr>
        <w:t>écart de rémunération entre les femmes et les hommes dans les organismes du secteur public et les entreprises du secteur privé, notamment aux hautes fonctions administratives et politiques, et les effets des lois et des politiques</w:t>
      </w:r>
      <w:r>
        <w:rPr>
          <w:b/>
          <w:bCs/>
          <w:lang w:val="fr-FR"/>
        </w:rPr>
        <w:t xml:space="preserve"> </w:t>
      </w:r>
      <w:r w:rsidRPr="008970D0">
        <w:rPr>
          <w:b/>
          <w:bCs/>
          <w:lang w:val="fr-FR"/>
        </w:rPr>
        <w:t>afin d</w:t>
      </w:r>
      <w:r>
        <w:rPr>
          <w:b/>
          <w:bCs/>
          <w:lang w:val="fr-FR"/>
        </w:rPr>
        <w:t>’</w:t>
      </w:r>
      <w:r w:rsidRPr="008970D0">
        <w:rPr>
          <w:b/>
          <w:bCs/>
          <w:lang w:val="fr-FR"/>
        </w:rPr>
        <w:t>actualiser les normes à la lumière de la pratique.</w:t>
      </w:r>
    </w:p>
    <w:p w14:paraId="39C752B4" w14:textId="77777777" w:rsidR="00096DDD" w:rsidRPr="008970D0" w:rsidRDefault="00096DDD" w:rsidP="001B66AB">
      <w:pPr>
        <w:pStyle w:val="H23G"/>
        <w:rPr>
          <w:lang w:val="fr-FR"/>
        </w:rPr>
      </w:pPr>
      <w:r w:rsidRPr="008970D0">
        <w:rPr>
          <w:lang w:val="fr-FR"/>
        </w:rPr>
        <w:tab/>
      </w:r>
      <w:r w:rsidRPr="008970D0">
        <w:rPr>
          <w:lang w:val="fr-FR"/>
        </w:rPr>
        <w:tab/>
        <w:t>Droit au travail</w:t>
      </w:r>
    </w:p>
    <w:p w14:paraId="2EBC9091" w14:textId="500C0FCF" w:rsidR="00096DDD" w:rsidRPr="008970D0" w:rsidRDefault="00096DDD" w:rsidP="001B66AB">
      <w:pPr>
        <w:pStyle w:val="SingleTxtG"/>
        <w:tabs>
          <w:tab w:val="clear" w:pos="1701"/>
          <w:tab w:val="clear" w:pos="2268"/>
          <w:tab w:val="clear" w:pos="2835"/>
        </w:tabs>
        <w:rPr>
          <w:lang w:val="fr-FR"/>
        </w:rPr>
      </w:pPr>
      <w:r w:rsidRPr="008970D0">
        <w:rPr>
          <w:lang w:val="fr-FR"/>
        </w:rPr>
        <w:t>34.</w:t>
      </w:r>
      <w:r w:rsidRPr="008970D0">
        <w:rPr>
          <w:lang w:val="fr-FR"/>
        </w:rPr>
        <w:tab/>
      </w:r>
      <w:r>
        <w:rPr>
          <w:lang w:val="fr-FR"/>
        </w:rPr>
        <w:t>Le Comité salue</w:t>
      </w:r>
      <w:r w:rsidRPr="008970D0">
        <w:rPr>
          <w:lang w:val="fr-FR"/>
        </w:rPr>
        <w:t xml:space="preserve"> la baisse constante du taux de chômage au cours des dernières années, ainsi que l</w:t>
      </w:r>
      <w:r>
        <w:rPr>
          <w:lang w:val="fr-FR"/>
        </w:rPr>
        <w:t>’</w:t>
      </w:r>
      <w:r w:rsidRPr="008970D0">
        <w:rPr>
          <w:lang w:val="fr-FR"/>
        </w:rPr>
        <w:t>adoption d</w:t>
      </w:r>
      <w:r>
        <w:rPr>
          <w:lang w:val="fr-FR"/>
        </w:rPr>
        <w:t>’</w:t>
      </w:r>
      <w:r w:rsidRPr="008970D0">
        <w:rPr>
          <w:lang w:val="fr-FR"/>
        </w:rPr>
        <w:t xml:space="preserve">un nouveau Code du travail, </w:t>
      </w:r>
      <w:r>
        <w:rPr>
          <w:lang w:val="fr-FR"/>
        </w:rPr>
        <w:t>mais il</w:t>
      </w:r>
      <w:r w:rsidRPr="008970D0">
        <w:rPr>
          <w:lang w:val="fr-FR"/>
        </w:rPr>
        <w:t xml:space="preserve"> est préoccupé par </w:t>
      </w:r>
      <w:r>
        <w:rPr>
          <w:lang w:val="fr-FR"/>
        </w:rPr>
        <w:t>l</w:t>
      </w:r>
      <w:r w:rsidRPr="008970D0">
        <w:rPr>
          <w:lang w:val="fr-FR"/>
        </w:rPr>
        <w:t>es informations selon lesquelles certains groupes, en particulier les Roms, les personnes handicapées, les femmes avec enfants, les jeunes, les personnes de 50 ans et plus et les migrants, continuent de rencontrer des difficultés d</w:t>
      </w:r>
      <w:r>
        <w:rPr>
          <w:lang w:val="fr-FR"/>
        </w:rPr>
        <w:t>’</w:t>
      </w:r>
      <w:r w:rsidRPr="008970D0">
        <w:rPr>
          <w:lang w:val="fr-FR"/>
        </w:rPr>
        <w:t>accès à l</w:t>
      </w:r>
      <w:r>
        <w:rPr>
          <w:lang w:val="fr-FR"/>
        </w:rPr>
        <w:t>’</w:t>
      </w:r>
      <w:r w:rsidRPr="008970D0">
        <w:rPr>
          <w:lang w:val="fr-FR"/>
        </w:rPr>
        <w:t xml:space="preserve">emploi et sont touchés de manière disproportionnée par la pandémie de </w:t>
      </w:r>
      <w:r w:rsidR="00AE1C23">
        <w:rPr>
          <w:lang w:val="fr-FR"/>
        </w:rPr>
        <w:t>COVID</w:t>
      </w:r>
      <w:r w:rsidR="00AE1C23">
        <w:rPr>
          <w:lang w:val="fr-FR"/>
        </w:rPr>
        <w:noBreakHyphen/>
        <w:t>19</w:t>
      </w:r>
      <w:r w:rsidRPr="008970D0">
        <w:rPr>
          <w:lang w:val="fr-FR"/>
        </w:rPr>
        <w:t xml:space="preserve">. </w:t>
      </w:r>
      <w:r>
        <w:rPr>
          <w:lang w:val="fr-FR"/>
        </w:rPr>
        <w:t>Il</w:t>
      </w:r>
      <w:r w:rsidRPr="008970D0">
        <w:rPr>
          <w:lang w:val="fr-FR"/>
        </w:rPr>
        <w:t xml:space="preserve"> regrette l</w:t>
      </w:r>
      <w:r>
        <w:rPr>
          <w:lang w:val="fr-FR"/>
        </w:rPr>
        <w:t>’</w:t>
      </w:r>
      <w:r w:rsidRPr="008970D0">
        <w:rPr>
          <w:lang w:val="fr-FR"/>
        </w:rPr>
        <w:t>absence de statistiques sur les effets des mesures que l</w:t>
      </w:r>
      <w:r>
        <w:rPr>
          <w:lang w:val="fr-FR"/>
        </w:rPr>
        <w:t>’</w:t>
      </w:r>
      <w:r w:rsidRPr="008970D0">
        <w:rPr>
          <w:lang w:val="fr-FR"/>
        </w:rPr>
        <w:t xml:space="preserve">État partie a prises pour éliminer les principales difficultés rencontrées </w:t>
      </w:r>
      <w:r w:rsidR="00F40B59">
        <w:rPr>
          <w:lang w:val="fr-FR"/>
        </w:rPr>
        <w:t>(art. </w:t>
      </w:r>
      <w:r w:rsidRPr="008970D0">
        <w:rPr>
          <w:lang w:val="fr-FR"/>
        </w:rPr>
        <w:t>6).</w:t>
      </w:r>
    </w:p>
    <w:p w14:paraId="1302E7F7" w14:textId="5720732F" w:rsidR="00096DDD" w:rsidRPr="008970D0" w:rsidRDefault="00096DDD" w:rsidP="009D3B51">
      <w:pPr>
        <w:pStyle w:val="SingleTxtG"/>
        <w:keepNext/>
        <w:tabs>
          <w:tab w:val="clear" w:pos="1701"/>
          <w:tab w:val="clear" w:pos="2268"/>
          <w:tab w:val="clear" w:pos="2835"/>
        </w:tabs>
        <w:rPr>
          <w:b/>
          <w:bCs/>
          <w:lang w:val="fr-FR"/>
        </w:rPr>
      </w:pPr>
      <w:r w:rsidRPr="008970D0">
        <w:rPr>
          <w:lang w:val="fr-FR"/>
        </w:rPr>
        <w:t>35.</w:t>
      </w:r>
      <w:r w:rsidRPr="008970D0">
        <w:rPr>
          <w:lang w:val="fr-FR"/>
        </w:rPr>
        <w:tab/>
      </w:r>
      <w:r w:rsidRPr="008970D0">
        <w:rPr>
          <w:b/>
          <w:bCs/>
          <w:lang w:val="fr-FR"/>
        </w:rPr>
        <w:t>Réitérant les recommandations déjà formulées dans ses précédentes observations finales, le Comité recommande à l</w:t>
      </w:r>
      <w:r>
        <w:rPr>
          <w:b/>
          <w:bCs/>
          <w:lang w:val="fr-FR"/>
        </w:rPr>
        <w:t>’</w:t>
      </w:r>
      <w:r w:rsidRPr="008970D0">
        <w:rPr>
          <w:b/>
          <w:bCs/>
          <w:lang w:val="fr-FR"/>
        </w:rPr>
        <w:t>État partie</w:t>
      </w:r>
      <w:r w:rsidRPr="001043D5">
        <w:rPr>
          <w:rStyle w:val="Appelnotedebasdep"/>
        </w:rPr>
        <w:footnoteReference w:id="13"/>
      </w:r>
      <w:r w:rsidR="009D3B51">
        <w:rPr>
          <w:lang w:val="fr-FR"/>
        </w:rPr>
        <w:t> </w:t>
      </w:r>
      <w:r w:rsidRPr="008970D0">
        <w:rPr>
          <w:b/>
          <w:bCs/>
          <w:lang w:val="fr-FR"/>
        </w:rPr>
        <w:t>:</w:t>
      </w:r>
    </w:p>
    <w:p w14:paraId="7189A7AC" w14:textId="71E787ED" w:rsidR="00096DDD" w:rsidRPr="008970D0" w:rsidRDefault="00096DDD" w:rsidP="001B66AB">
      <w:pPr>
        <w:pStyle w:val="SingleTxtG"/>
        <w:ind w:firstLine="567"/>
        <w:rPr>
          <w:b/>
          <w:bCs/>
          <w:lang w:val="fr-FR"/>
        </w:rPr>
      </w:pPr>
      <w:r w:rsidRPr="001B66AB">
        <w:rPr>
          <w:b/>
          <w:bCs/>
          <w:lang w:val="fr-FR"/>
        </w:rPr>
        <w:t>a)</w:t>
      </w:r>
      <w:r w:rsidRPr="001B66AB">
        <w:rPr>
          <w:b/>
          <w:bCs/>
          <w:lang w:val="fr-FR"/>
        </w:rPr>
        <w:tab/>
      </w:r>
      <w:r w:rsidRPr="008970D0">
        <w:rPr>
          <w:b/>
          <w:bCs/>
          <w:lang w:val="fr-FR"/>
        </w:rPr>
        <w:t>D</w:t>
      </w:r>
      <w:r>
        <w:rPr>
          <w:b/>
          <w:bCs/>
          <w:lang w:val="fr-FR"/>
        </w:rPr>
        <w:t>’</w:t>
      </w:r>
      <w:r w:rsidRPr="008970D0">
        <w:rPr>
          <w:b/>
          <w:bCs/>
          <w:lang w:val="fr-FR"/>
        </w:rPr>
        <w:t>améliorer le taux d</w:t>
      </w:r>
      <w:r>
        <w:rPr>
          <w:b/>
          <w:bCs/>
          <w:lang w:val="fr-FR"/>
        </w:rPr>
        <w:t>’</w:t>
      </w:r>
      <w:r w:rsidRPr="008970D0">
        <w:rPr>
          <w:b/>
          <w:bCs/>
          <w:lang w:val="fr-FR"/>
        </w:rPr>
        <w:t>emploi des personnes handicapées, notamment en mettant en place des mesures incitatives et spéciales, et d</w:t>
      </w:r>
      <w:r>
        <w:rPr>
          <w:b/>
          <w:bCs/>
          <w:lang w:val="fr-FR"/>
        </w:rPr>
        <w:t>’</w:t>
      </w:r>
      <w:r w:rsidRPr="008970D0">
        <w:rPr>
          <w:b/>
          <w:bCs/>
          <w:lang w:val="fr-FR"/>
        </w:rPr>
        <w:t>intégrer les travailleurs handicapés au marché du travail ordinaire</w:t>
      </w:r>
      <w:r w:rsidR="002542B8">
        <w:rPr>
          <w:b/>
          <w:bCs/>
          <w:lang w:val="fr-FR"/>
        </w:rPr>
        <w:t> ;</w:t>
      </w:r>
    </w:p>
    <w:p w14:paraId="48F2737C" w14:textId="425D55D5" w:rsidR="00096DDD" w:rsidRPr="008970D0" w:rsidRDefault="00096DDD" w:rsidP="001B66AB">
      <w:pPr>
        <w:pStyle w:val="SingleTxtG"/>
        <w:ind w:firstLine="567"/>
        <w:rPr>
          <w:b/>
          <w:bCs/>
          <w:lang w:val="fr-FR"/>
        </w:rPr>
      </w:pPr>
      <w:r w:rsidRPr="001B66AB">
        <w:rPr>
          <w:b/>
          <w:bCs/>
          <w:lang w:val="fr-FR"/>
        </w:rPr>
        <w:t>b)</w:t>
      </w:r>
      <w:r w:rsidRPr="001B66AB">
        <w:rPr>
          <w:b/>
          <w:bCs/>
          <w:lang w:val="fr-FR"/>
        </w:rPr>
        <w:tab/>
      </w:r>
      <w:r w:rsidRPr="008970D0">
        <w:rPr>
          <w:b/>
          <w:bCs/>
          <w:lang w:val="fr-FR"/>
        </w:rPr>
        <w:t>De redoubler d</w:t>
      </w:r>
      <w:r>
        <w:rPr>
          <w:b/>
          <w:bCs/>
          <w:lang w:val="fr-FR"/>
        </w:rPr>
        <w:t>’</w:t>
      </w:r>
      <w:r w:rsidRPr="008970D0">
        <w:rPr>
          <w:b/>
          <w:bCs/>
          <w:lang w:val="fr-FR"/>
        </w:rPr>
        <w:t>efforts pour aider les Roms, les personnes handicapées, les femmes avec enfants, les jeunes, les personnes de 50 ans et plus et les migrants à accéder à l</w:t>
      </w:r>
      <w:r>
        <w:rPr>
          <w:b/>
          <w:bCs/>
          <w:lang w:val="fr-FR"/>
        </w:rPr>
        <w:t>’</w:t>
      </w:r>
      <w:r w:rsidRPr="008970D0">
        <w:rPr>
          <w:b/>
          <w:bCs/>
          <w:lang w:val="fr-FR"/>
        </w:rPr>
        <w:t>emploi, notamment d</w:t>
      </w:r>
      <w:r>
        <w:rPr>
          <w:b/>
          <w:bCs/>
          <w:lang w:val="fr-FR"/>
        </w:rPr>
        <w:t>’</w:t>
      </w:r>
      <w:r w:rsidRPr="008970D0">
        <w:rPr>
          <w:b/>
          <w:bCs/>
          <w:lang w:val="fr-FR"/>
        </w:rPr>
        <w:t>appliquer des mesures positives ciblées, de faciliter l</w:t>
      </w:r>
      <w:r>
        <w:rPr>
          <w:b/>
          <w:bCs/>
          <w:lang w:val="fr-FR"/>
        </w:rPr>
        <w:t>’</w:t>
      </w:r>
      <w:r w:rsidRPr="008970D0">
        <w:rPr>
          <w:b/>
          <w:bCs/>
          <w:lang w:val="fr-FR"/>
        </w:rPr>
        <w:t>accès de ces personnes aux possibilités de formation technique et professionnelle et de recueillir des données sur leur situation</w:t>
      </w:r>
      <w:r w:rsidR="002542B8">
        <w:rPr>
          <w:b/>
          <w:bCs/>
          <w:lang w:val="fr-FR"/>
        </w:rPr>
        <w:t> ;</w:t>
      </w:r>
    </w:p>
    <w:p w14:paraId="18453B95" w14:textId="0AF642AB" w:rsidR="00096DDD" w:rsidRPr="008970D0" w:rsidRDefault="00096DDD" w:rsidP="001B66AB">
      <w:pPr>
        <w:pStyle w:val="SingleTxtG"/>
        <w:ind w:firstLine="567"/>
        <w:rPr>
          <w:b/>
          <w:bCs/>
          <w:lang w:val="fr-FR"/>
        </w:rPr>
      </w:pPr>
      <w:r w:rsidRPr="001B66AB">
        <w:rPr>
          <w:b/>
          <w:bCs/>
          <w:lang w:val="fr-FR"/>
        </w:rPr>
        <w:lastRenderedPageBreak/>
        <w:t>c)</w:t>
      </w:r>
      <w:r w:rsidRPr="001B66AB">
        <w:rPr>
          <w:b/>
          <w:bCs/>
          <w:lang w:val="fr-FR"/>
        </w:rPr>
        <w:tab/>
      </w:r>
      <w:r w:rsidRPr="008970D0">
        <w:rPr>
          <w:b/>
          <w:bCs/>
          <w:lang w:val="fr-FR"/>
        </w:rPr>
        <w:t>De renforcer son système national d</w:t>
      </w:r>
      <w:r>
        <w:rPr>
          <w:b/>
          <w:bCs/>
          <w:lang w:val="fr-FR"/>
        </w:rPr>
        <w:t>’</w:t>
      </w:r>
      <w:r w:rsidRPr="008970D0">
        <w:rPr>
          <w:b/>
          <w:bCs/>
          <w:lang w:val="fr-FR"/>
        </w:rPr>
        <w:t>enseignement et de formation techniques et professionnels afin de faire correspondre les qualifications et les compétences aux besoins du marché du travail</w:t>
      </w:r>
      <w:r w:rsidR="002542B8">
        <w:rPr>
          <w:b/>
          <w:bCs/>
          <w:lang w:val="fr-FR"/>
        </w:rPr>
        <w:t> ;</w:t>
      </w:r>
    </w:p>
    <w:p w14:paraId="330B8D4F" w14:textId="5307FAA3" w:rsidR="00096DDD" w:rsidRPr="008970D0" w:rsidRDefault="00096DDD" w:rsidP="001B66AB">
      <w:pPr>
        <w:pStyle w:val="SingleTxtG"/>
        <w:ind w:firstLine="567"/>
        <w:rPr>
          <w:b/>
          <w:bCs/>
          <w:lang w:val="fr-FR"/>
        </w:rPr>
      </w:pPr>
      <w:r w:rsidRPr="001B66AB">
        <w:rPr>
          <w:b/>
          <w:bCs/>
          <w:lang w:val="fr-FR"/>
        </w:rPr>
        <w:t>d)</w:t>
      </w:r>
      <w:r w:rsidRPr="001B66AB">
        <w:rPr>
          <w:b/>
          <w:bCs/>
          <w:lang w:val="fr-FR"/>
        </w:rPr>
        <w:tab/>
      </w:r>
      <w:r w:rsidRPr="008970D0">
        <w:rPr>
          <w:b/>
          <w:bCs/>
          <w:lang w:val="fr-FR"/>
        </w:rPr>
        <w:t>De continuer à prendre des mesures concrètes pour aider les groupes les plus touchés par le chômage, en particulier les jeunes, les femmes avec enfants et les personnes handicapées</w:t>
      </w:r>
      <w:r w:rsidR="002542B8">
        <w:rPr>
          <w:b/>
          <w:bCs/>
          <w:lang w:val="fr-FR"/>
        </w:rPr>
        <w:t> ;</w:t>
      </w:r>
    </w:p>
    <w:p w14:paraId="5D38E2CB" w14:textId="6B4E5211" w:rsidR="00096DDD" w:rsidRPr="008970D0" w:rsidRDefault="00096DDD" w:rsidP="001B66AB">
      <w:pPr>
        <w:pStyle w:val="SingleTxtG"/>
        <w:ind w:firstLine="567"/>
        <w:rPr>
          <w:b/>
          <w:bCs/>
          <w:lang w:val="fr-FR"/>
        </w:rPr>
      </w:pPr>
      <w:r w:rsidRPr="001B66AB">
        <w:rPr>
          <w:b/>
          <w:bCs/>
          <w:lang w:val="fr-FR"/>
        </w:rPr>
        <w:t>e)</w:t>
      </w:r>
      <w:r w:rsidRPr="001B66AB">
        <w:rPr>
          <w:b/>
          <w:bCs/>
          <w:lang w:val="fr-FR"/>
        </w:rPr>
        <w:tab/>
      </w:r>
      <w:r w:rsidRPr="008970D0">
        <w:rPr>
          <w:b/>
          <w:bCs/>
          <w:lang w:val="fr-FR"/>
        </w:rPr>
        <w:t xml:space="preserve">De prendre en compte son observation générale </w:t>
      </w:r>
      <w:r w:rsidR="00CE3FB8" w:rsidRPr="00CE3FB8">
        <w:rPr>
          <w:rFonts w:eastAsia="MS Mincho"/>
          <w:b/>
          <w:bCs/>
          <w:lang w:val="fr-FR"/>
        </w:rPr>
        <w:t>n</w:t>
      </w:r>
      <w:r w:rsidR="00CE3FB8" w:rsidRPr="00CE3FB8">
        <w:rPr>
          <w:rFonts w:eastAsia="MS Mincho"/>
          <w:b/>
          <w:bCs/>
          <w:vertAlign w:val="superscript"/>
          <w:lang w:val="fr-FR"/>
        </w:rPr>
        <w:t>o</w:t>
      </w:r>
      <w:r w:rsidR="00CE3FB8">
        <w:rPr>
          <w:b/>
          <w:bCs/>
          <w:lang w:val="fr-FR"/>
        </w:rPr>
        <w:t> </w:t>
      </w:r>
      <w:r w:rsidRPr="008970D0">
        <w:rPr>
          <w:b/>
          <w:bCs/>
          <w:lang w:val="fr-FR"/>
        </w:rPr>
        <w:t>18 (2005) sur le droit au travail.</w:t>
      </w:r>
    </w:p>
    <w:p w14:paraId="6A617071" w14:textId="77777777" w:rsidR="00096DDD" w:rsidRPr="008970D0" w:rsidRDefault="00096DDD" w:rsidP="001B66AB">
      <w:pPr>
        <w:pStyle w:val="H23G"/>
        <w:rPr>
          <w:lang w:val="fr-FR"/>
        </w:rPr>
      </w:pPr>
      <w:r w:rsidRPr="008970D0">
        <w:rPr>
          <w:lang w:val="fr-FR"/>
        </w:rPr>
        <w:tab/>
      </w:r>
      <w:r w:rsidRPr="008970D0">
        <w:rPr>
          <w:lang w:val="fr-FR"/>
        </w:rPr>
        <w:tab/>
        <w:t>Conditions de travail</w:t>
      </w:r>
    </w:p>
    <w:p w14:paraId="37239211" w14:textId="6DC9BFD2" w:rsidR="00096DDD" w:rsidRPr="008970D0" w:rsidRDefault="00096DDD" w:rsidP="001B66AB">
      <w:pPr>
        <w:pStyle w:val="SingleTxtG"/>
        <w:tabs>
          <w:tab w:val="clear" w:pos="1701"/>
          <w:tab w:val="clear" w:pos="2268"/>
          <w:tab w:val="clear" w:pos="2835"/>
        </w:tabs>
        <w:rPr>
          <w:lang w:val="fr-FR"/>
        </w:rPr>
      </w:pPr>
      <w:r w:rsidRPr="008970D0">
        <w:rPr>
          <w:lang w:val="fr-FR"/>
        </w:rPr>
        <w:t>36.</w:t>
      </w:r>
      <w:r w:rsidRPr="008970D0">
        <w:rPr>
          <w:lang w:val="fr-FR"/>
        </w:rPr>
        <w:tab/>
        <w:t>Le Comité prend note des mesures adoptées, notamment du Plan d</w:t>
      </w:r>
      <w:r>
        <w:rPr>
          <w:lang w:val="fr-FR"/>
        </w:rPr>
        <w:t>’</w:t>
      </w:r>
      <w:r w:rsidRPr="008970D0">
        <w:rPr>
          <w:lang w:val="fr-FR"/>
        </w:rPr>
        <w:t>action national pour la sécurité et la santé au travail (2017-2021), mais regrette l</w:t>
      </w:r>
      <w:r>
        <w:rPr>
          <w:lang w:val="fr-FR"/>
        </w:rPr>
        <w:t>’</w:t>
      </w:r>
      <w:r w:rsidRPr="008970D0">
        <w:rPr>
          <w:lang w:val="fr-FR"/>
        </w:rPr>
        <w:t xml:space="preserve">absence chronique de données complètes sur la sécurité et </w:t>
      </w:r>
      <w:r>
        <w:rPr>
          <w:lang w:val="fr-FR"/>
        </w:rPr>
        <w:t>la</w:t>
      </w:r>
      <w:r w:rsidRPr="008970D0">
        <w:rPr>
          <w:lang w:val="fr-FR"/>
        </w:rPr>
        <w:t xml:space="preserve"> santé au travail, notamment le nombre d</w:t>
      </w:r>
      <w:r>
        <w:rPr>
          <w:lang w:val="fr-FR"/>
        </w:rPr>
        <w:t>’</w:t>
      </w:r>
      <w:r w:rsidRPr="008970D0">
        <w:rPr>
          <w:lang w:val="fr-FR"/>
        </w:rPr>
        <w:t xml:space="preserve">inspections du travail qui ont été menées, de plaintes qui ont été déposées par </w:t>
      </w:r>
      <w:r>
        <w:rPr>
          <w:lang w:val="fr-FR"/>
        </w:rPr>
        <w:t>d</w:t>
      </w:r>
      <w:r w:rsidRPr="008970D0">
        <w:rPr>
          <w:lang w:val="fr-FR"/>
        </w:rPr>
        <w:t>es travailleurs et de sanctions qui ont été infligées aux employeurs n</w:t>
      </w:r>
      <w:r>
        <w:rPr>
          <w:lang w:val="fr-FR"/>
        </w:rPr>
        <w:t>’</w:t>
      </w:r>
      <w:r w:rsidRPr="008970D0">
        <w:rPr>
          <w:lang w:val="fr-FR"/>
        </w:rPr>
        <w:t xml:space="preserve">ayant pas </w:t>
      </w:r>
      <w:r>
        <w:rPr>
          <w:lang w:val="fr-FR"/>
        </w:rPr>
        <w:t>pris les dispositions</w:t>
      </w:r>
      <w:r w:rsidRPr="008970D0">
        <w:rPr>
          <w:lang w:val="fr-FR"/>
        </w:rPr>
        <w:t xml:space="preserve"> nécessaires pour garantir la sécurité et la santé des travailleurs. Le Comité regrette </w:t>
      </w:r>
      <w:r>
        <w:rPr>
          <w:lang w:val="fr-FR"/>
        </w:rPr>
        <w:t>de ne pas disposer</w:t>
      </w:r>
      <w:r w:rsidRPr="008970D0">
        <w:rPr>
          <w:lang w:val="fr-FR"/>
        </w:rPr>
        <w:t xml:space="preserve"> d</w:t>
      </w:r>
      <w:r>
        <w:rPr>
          <w:lang w:val="fr-FR"/>
        </w:rPr>
        <w:t>’</w:t>
      </w:r>
      <w:r w:rsidRPr="008970D0">
        <w:rPr>
          <w:lang w:val="fr-FR"/>
        </w:rPr>
        <w:t xml:space="preserve">informations concernant les effets des mesures législatives prises pour lutter contre la prévalence de la violence et du harcèlement, y compris le harcèlement sexuel, sur le lieu de travail </w:t>
      </w:r>
      <w:r w:rsidR="00F40B59">
        <w:rPr>
          <w:lang w:val="fr-FR"/>
        </w:rPr>
        <w:t>(art. </w:t>
      </w:r>
      <w:r w:rsidRPr="008970D0">
        <w:rPr>
          <w:lang w:val="fr-FR"/>
        </w:rPr>
        <w:t>7).</w:t>
      </w:r>
    </w:p>
    <w:p w14:paraId="6AA7690B" w14:textId="37D28BBD" w:rsidR="00096DDD" w:rsidRPr="008970D0" w:rsidRDefault="00096DDD" w:rsidP="001B66AB">
      <w:pPr>
        <w:pStyle w:val="SingleTxtG"/>
        <w:keepNext/>
        <w:tabs>
          <w:tab w:val="clear" w:pos="1701"/>
          <w:tab w:val="clear" w:pos="2268"/>
          <w:tab w:val="clear" w:pos="2835"/>
        </w:tabs>
        <w:rPr>
          <w:b/>
          <w:bCs/>
          <w:lang w:val="fr-FR"/>
        </w:rPr>
      </w:pPr>
      <w:r w:rsidRPr="008970D0">
        <w:rPr>
          <w:lang w:val="fr-FR"/>
        </w:rPr>
        <w:t>37.</w:t>
      </w:r>
      <w:r w:rsidRPr="008970D0">
        <w:rPr>
          <w:lang w:val="fr-FR"/>
        </w:rPr>
        <w:tab/>
      </w:r>
      <w:r w:rsidRPr="008970D0">
        <w:rPr>
          <w:b/>
          <w:bCs/>
          <w:lang w:val="fr-FR"/>
        </w:rPr>
        <w:t>Le Comité recommande à l</w:t>
      </w:r>
      <w:r>
        <w:rPr>
          <w:b/>
          <w:bCs/>
          <w:lang w:val="fr-FR"/>
        </w:rPr>
        <w:t>’</w:t>
      </w:r>
      <w:r w:rsidRPr="008970D0">
        <w:rPr>
          <w:b/>
          <w:bCs/>
          <w:lang w:val="fr-FR"/>
        </w:rPr>
        <w:t>État partie</w:t>
      </w:r>
      <w:r w:rsidR="0071169B">
        <w:rPr>
          <w:b/>
          <w:bCs/>
          <w:lang w:val="fr-FR"/>
        </w:rPr>
        <w:t> </w:t>
      </w:r>
      <w:r w:rsidRPr="008970D0">
        <w:rPr>
          <w:b/>
          <w:bCs/>
          <w:lang w:val="fr-FR"/>
        </w:rPr>
        <w:t>:</w:t>
      </w:r>
    </w:p>
    <w:p w14:paraId="3375C727" w14:textId="1D350606" w:rsidR="00096DDD" w:rsidRPr="008970D0" w:rsidRDefault="00096DDD" w:rsidP="001B66AB">
      <w:pPr>
        <w:pStyle w:val="SingleTxtG"/>
        <w:ind w:firstLine="567"/>
        <w:rPr>
          <w:b/>
          <w:bCs/>
          <w:lang w:val="fr-FR"/>
        </w:rPr>
      </w:pPr>
      <w:r w:rsidRPr="001B66AB">
        <w:rPr>
          <w:b/>
          <w:bCs/>
          <w:lang w:val="fr-FR"/>
        </w:rPr>
        <w:t>a)</w:t>
      </w:r>
      <w:r w:rsidRPr="001B66AB">
        <w:rPr>
          <w:b/>
          <w:bCs/>
          <w:lang w:val="fr-FR"/>
        </w:rPr>
        <w:tab/>
      </w:r>
      <w:r w:rsidRPr="008970D0">
        <w:rPr>
          <w:b/>
          <w:bCs/>
          <w:lang w:val="fr-FR"/>
        </w:rPr>
        <w:t>D</w:t>
      </w:r>
      <w:r>
        <w:rPr>
          <w:b/>
          <w:bCs/>
          <w:lang w:val="fr-FR"/>
        </w:rPr>
        <w:t>’</w:t>
      </w:r>
      <w:r w:rsidRPr="008970D0">
        <w:rPr>
          <w:b/>
          <w:bCs/>
          <w:lang w:val="fr-FR"/>
        </w:rPr>
        <w:t>améliorer la collecte des données relatives à la sécurité et à la santé au travail</w:t>
      </w:r>
      <w:r w:rsidR="002542B8">
        <w:rPr>
          <w:b/>
          <w:bCs/>
          <w:lang w:val="fr-FR"/>
        </w:rPr>
        <w:t> ;</w:t>
      </w:r>
    </w:p>
    <w:p w14:paraId="4865FC2F" w14:textId="0562E119" w:rsidR="00096DDD" w:rsidRPr="008970D0" w:rsidRDefault="00096DDD" w:rsidP="001B66AB">
      <w:pPr>
        <w:pStyle w:val="SingleTxtG"/>
        <w:ind w:firstLine="567"/>
        <w:rPr>
          <w:b/>
          <w:bCs/>
          <w:lang w:val="fr-FR"/>
        </w:rPr>
      </w:pPr>
      <w:r w:rsidRPr="001B66AB">
        <w:rPr>
          <w:b/>
          <w:bCs/>
          <w:lang w:val="fr-FR"/>
        </w:rPr>
        <w:t>b)</w:t>
      </w:r>
      <w:r w:rsidRPr="001B66AB">
        <w:rPr>
          <w:b/>
          <w:bCs/>
          <w:lang w:val="fr-FR"/>
        </w:rPr>
        <w:tab/>
      </w:r>
      <w:r w:rsidRPr="008970D0">
        <w:rPr>
          <w:b/>
          <w:bCs/>
          <w:lang w:val="fr-FR"/>
        </w:rPr>
        <w:t>De prévenir et de réduire les risques d</w:t>
      </w:r>
      <w:r>
        <w:rPr>
          <w:b/>
          <w:bCs/>
          <w:lang w:val="fr-FR"/>
        </w:rPr>
        <w:t>’</w:t>
      </w:r>
      <w:r w:rsidRPr="008970D0">
        <w:rPr>
          <w:b/>
          <w:bCs/>
          <w:lang w:val="fr-FR"/>
        </w:rPr>
        <w:t>accident du travail et de maladie professionnelle</w:t>
      </w:r>
      <w:r w:rsidR="002542B8">
        <w:rPr>
          <w:b/>
          <w:bCs/>
          <w:lang w:val="fr-FR"/>
        </w:rPr>
        <w:t> ;</w:t>
      </w:r>
    </w:p>
    <w:p w14:paraId="0B8868D3" w14:textId="7C42C18C" w:rsidR="00096DDD" w:rsidRPr="008970D0" w:rsidRDefault="00096DDD" w:rsidP="001B66AB">
      <w:pPr>
        <w:pStyle w:val="SingleTxtG"/>
        <w:ind w:firstLine="567"/>
        <w:rPr>
          <w:b/>
          <w:bCs/>
          <w:lang w:val="fr-FR"/>
        </w:rPr>
      </w:pPr>
      <w:r w:rsidRPr="001B66AB">
        <w:rPr>
          <w:b/>
          <w:bCs/>
          <w:lang w:val="fr-FR"/>
        </w:rPr>
        <w:t>c)</w:t>
      </w:r>
      <w:r w:rsidRPr="001B66AB">
        <w:rPr>
          <w:b/>
          <w:bCs/>
          <w:lang w:val="fr-FR"/>
        </w:rPr>
        <w:tab/>
      </w:r>
      <w:r w:rsidRPr="008970D0">
        <w:rPr>
          <w:b/>
          <w:bCs/>
          <w:lang w:val="fr-FR"/>
        </w:rPr>
        <w:t>De renforcer les capacités de l</w:t>
      </w:r>
      <w:r>
        <w:rPr>
          <w:b/>
          <w:bCs/>
          <w:lang w:val="fr-FR"/>
        </w:rPr>
        <w:t>’</w:t>
      </w:r>
      <w:r w:rsidRPr="008970D0">
        <w:rPr>
          <w:b/>
          <w:bCs/>
          <w:lang w:val="fr-FR"/>
        </w:rPr>
        <w:t>Inspection du travail en matière de contrôle des conditions de travail, notamment en augmentant ses ressources financières et humaines</w:t>
      </w:r>
      <w:r w:rsidR="002542B8">
        <w:rPr>
          <w:b/>
          <w:bCs/>
          <w:lang w:val="fr-FR"/>
        </w:rPr>
        <w:t> ;</w:t>
      </w:r>
    </w:p>
    <w:p w14:paraId="0B2A20A7" w14:textId="77777777" w:rsidR="00096DDD" w:rsidRPr="008970D0" w:rsidRDefault="00096DDD" w:rsidP="001B66AB">
      <w:pPr>
        <w:pStyle w:val="SingleTxtG"/>
        <w:ind w:firstLine="567"/>
        <w:rPr>
          <w:b/>
          <w:bCs/>
          <w:lang w:val="fr-FR"/>
        </w:rPr>
      </w:pPr>
      <w:r w:rsidRPr="001B66AB">
        <w:rPr>
          <w:b/>
          <w:bCs/>
          <w:lang w:val="fr-FR"/>
        </w:rPr>
        <w:t>d)</w:t>
      </w:r>
      <w:r w:rsidRPr="001B66AB">
        <w:rPr>
          <w:b/>
          <w:bCs/>
          <w:lang w:val="fr-FR"/>
        </w:rPr>
        <w:tab/>
      </w:r>
      <w:r w:rsidRPr="008970D0">
        <w:rPr>
          <w:b/>
          <w:bCs/>
          <w:lang w:val="fr-FR"/>
        </w:rPr>
        <w:t>D</w:t>
      </w:r>
      <w:r>
        <w:rPr>
          <w:b/>
          <w:bCs/>
          <w:lang w:val="fr-FR"/>
        </w:rPr>
        <w:t>’</w:t>
      </w:r>
      <w:r w:rsidRPr="008970D0">
        <w:rPr>
          <w:b/>
          <w:bCs/>
          <w:lang w:val="fr-FR"/>
        </w:rPr>
        <w:t>instaurer un régime d</w:t>
      </w:r>
      <w:r>
        <w:rPr>
          <w:b/>
          <w:bCs/>
          <w:lang w:val="fr-FR"/>
        </w:rPr>
        <w:t>’</w:t>
      </w:r>
      <w:r w:rsidRPr="008970D0">
        <w:rPr>
          <w:b/>
          <w:bCs/>
          <w:lang w:val="fr-FR"/>
        </w:rPr>
        <w:t>assurance contre les risques professionnels.</w:t>
      </w:r>
    </w:p>
    <w:p w14:paraId="6A334A68" w14:textId="77777777" w:rsidR="00096DDD" w:rsidRPr="008970D0" w:rsidRDefault="00096DDD" w:rsidP="001B66AB">
      <w:pPr>
        <w:pStyle w:val="H23G"/>
        <w:rPr>
          <w:lang w:val="fr-FR"/>
        </w:rPr>
      </w:pPr>
      <w:r w:rsidRPr="008970D0">
        <w:rPr>
          <w:lang w:val="fr-FR"/>
        </w:rPr>
        <w:tab/>
      </w:r>
      <w:r w:rsidRPr="008970D0">
        <w:rPr>
          <w:lang w:val="fr-FR"/>
        </w:rPr>
        <w:tab/>
        <w:t>Harcèlement sexuel sur le lieu de travail</w:t>
      </w:r>
    </w:p>
    <w:p w14:paraId="4CBA6A45" w14:textId="3ABABFEF" w:rsidR="00096DDD" w:rsidRPr="008970D0" w:rsidRDefault="00096DDD" w:rsidP="001B66AB">
      <w:pPr>
        <w:pStyle w:val="SingleTxtG"/>
        <w:tabs>
          <w:tab w:val="clear" w:pos="1701"/>
          <w:tab w:val="clear" w:pos="2268"/>
          <w:tab w:val="clear" w:pos="2835"/>
        </w:tabs>
        <w:rPr>
          <w:lang w:val="fr-FR"/>
        </w:rPr>
      </w:pPr>
      <w:r w:rsidRPr="008970D0">
        <w:rPr>
          <w:lang w:val="fr-FR"/>
        </w:rPr>
        <w:t>38.</w:t>
      </w:r>
      <w:r w:rsidRPr="008970D0">
        <w:rPr>
          <w:lang w:val="fr-FR"/>
        </w:rPr>
        <w:tab/>
        <w:t>Bien que saluant l</w:t>
      </w:r>
      <w:r>
        <w:rPr>
          <w:lang w:val="fr-FR"/>
        </w:rPr>
        <w:t>’</w:t>
      </w:r>
      <w:r w:rsidRPr="008970D0">
        <w:rPr>
          <w:lang w:val="fr-FR"/>
        </w:rPr>
        <w:t>intégration de dispositions relatives au harcèlement sexuel et moral dans le Code du travail, le Comité continue de s</w:t>
      </w:r>
      <w:r>
        <w:rPr>
          <w:lang w:val="fr-FR"/>
        </w:rPr>
        <w:t>’</w:t>
      </w:r>
      <w:r w:rsidRPr="008970D0">
        <w:rPr>
          <w:lang w:val="fr-FR"/>
        </w:rPr>
        <w:t>inquiéter de l</w:t>
      </w:r>
      <w:r>
        <w:rPr>
          <w:lang w:val="fr-FR"/>
        </w:rPr>
        <w:t>’</w:t>
      </w:r>
      <w:r w:rsidRPr="008970D0">
        <w:rPr>
          <w:lang w:val="fr-FR"/>
        </w:rPr>
        <w:t>efficacité des nouvelles dispositions dans la pratique, en raison d</w:t>
      </w:r>
      <w:r>
        <w:rPr>
          <w:lang w:val="fr-FR"/>
        </w:rPr>
        <w:t xml:space="preserve">es </w:t>
      </w:r>
      <w:r w:rsidRPr="008970D0">
        <w:rPr>
          <w:lang w:val="fr-FR"/>
        </w:rPr>
        <w:t xml:space="preserve">informations </w:t>
      </w:r>
      <w:r>
        <w:rPr>
          <w:lang w:val="fr-FR"/>
        </w:rPr>
        <w:t>selon lesquelles les femmes, en particulier, seraient souvent victimes d’</w:t>
      </w:r>
      <w:r w:rsidRPr="008970D0">
        <w:rPr>
          <w:lang w:val="fr-FR"/>
        </w:rPr>
        <w:t xml:space="preserve">actes de violence sexuelle et de harcèlement sur le lieu de travail </w:t>
      </w:r>
      <w:r w:rsidR="00F40B59">
        <w:rPr>
          <w:lang w:val="fr-FR"/>
        </w:rPr>
        <w:t>(art. </w:t>
      </w:r>
      <w:r w:rsidRPr="008970D0">
        <w:rPr>
          <w:lang w:val="fr-FR"/>
        </w:rPr>
        <w:t>7).</w:t>
      </w:r>
    </w:p>
    <w:p w14:paraId="268BC7E3" w14:textId="1801A3D5" w:rsidR="00096DDD" w:rsidRPr="008970D0" w:rsidRDefault="00096DDD" w:rsidP="00EA377B">
      <w:pPr>
        <w:pStyle w:val="SingleTxtG"/>
        <w:keepNext/>
        <w:tabs>
          <w:tab w:val="clear" w:pos="1701"/>
          <w:tab w:val="clear" w:pos="2268"/>
          <w:tab w:val="clear" w:pos="2835"/>
        </w:tabs>
        <w:rPr>
          <w:b/>
          <w:lang w:val="fr-FR"/>
        </w:rPr>
      </w:pPr>
      <w:r w:rsidRPr="008970D0">
        <w:rPr>
          <w:lang w:val="fr-FR"/>
        </w:rPr>
        <w:t>39.</w:t>
      </w:r>
      <w:r w:rsidRPr="008970D0">
        <w:rPr>
          <w:lang w:val="fr-FR"/>
        </w:rPr>
        <w:tab/>
      </w:r>
      <w:r w:rsidRPr="008970D0">
        <w:rPr>
          <w:b/>
          <w:bCs/>
          <w:lang w:val="fr-FR"/>
        </w:rPr>
        <w:t>Le Comité recommande à l</w:t>
      </w:r>
      <w:r>
        <w:rPr>
          <w:b/>
          <w:bCs/>
          <w:lang w:val="fr-FR"/>
        </w:rPr>
        <w:t>’</w:t>
      </w:r>
      <w:r w:rsidRPr="008970D0">
        <w:rPr>
          <w:b/>
          <w:bCs/>
          <w:lang w:val="fr-FR"/>
        </w:rPr>
        <w:t>État partie</w:t>
      </w:r>
      <w:r w:rsidR="00EA377B">
        <w:rPr>
          <w:b/>
          <w:bCs/>
          <w:lang w:val="fr-FR"/>
        </w:rPr>
        <w:t> :</w:t>
      </w:r>
    </w:p>
    <w:p w14:paraId="5B801BBE" w14:textId="46237C79" w:rsidR="00096DDD" w:rsidRPr="008970D0" w:rsidRDefault="00096DDD" w:rsidP="008671F6">
      <w:pPr>
        <w:pStyle w:val="SingleTxtG"/>
        <w:ind w:firstLine="567"/>
        <w:rPr>
          <w:b/>
          <w:bCs/>
          <w:lang w:val="fr-FR"/>
        </w:rPr>
      </w:pPr>
      <w:r w:rsidRPr="008671F6">
        <w:rPr>
          <w:b/>
          <w:bCs/>
          <w:lang w:val="fr-FR"/>
        </w:rPr>
        <w:t>a)</w:t>
      </w:r>
      <w:r w:rsidRPr="008671F6">
        <w:rPr>
          <w:b/>
          <w:bCs/>
          <w:lang w:val="fr-FR"/>
        </w:rPr>
        <w:tab/>
      </w:r>
      <w:r w:rsidRPr="008970D0">
        <w:rPr>
          <w:b/>
          <w:bCs/>
          <w:lang w:val="fr-FR"/>
        </w:rPr>
        <w:t>De veiller à ce que les lois visant à lutter contre le harcèlement sexuel, y</w:t>
      </w:r>
      <w:r w:rsidR="00EA377B">
        <w:rPr>
          <w:b/>
          <w:bCs/>
          <w:lang w:val="fr-FR"/>
        </w:rPr>
        <w:t> </w:t>
      </w:r>
      <w:r w:rsidRPr="008970D0">
        <w:rPr>
          <w:b/>
          <w:bCs/>
          <w:lang w:val="fr-FR"/>
        </w:rPr>
        <w:t xml:space="preserve">compris les dispositions du Code du travail, soient effectivement appliquées, et de prendre des mesures de prévention et de protection pour </w:t>
      </w:r>
      <w:r>
        <w:rPr>
          <w:b/>
          <w:bCs/>
          <w:lang w:val="fr-FR"/>
        </w:rPr>
        <w:t>combattre</w:t>
      </w:r>
      <w:r w:rsidRPr="008970D0">
        <w:rPr>
          <w:b/>
          <w:bCs/>
          <w:lang w:val="fr-FR"/>
        </w:rPr>
        <w:t xml:space="preserve"> le harcèlement sexuel sur le lieu de travail, notamment de mener des campagnes de sensibilisation, d</w:t>
      </w:r>
      <w:r>
        <w:rPr>
          <w:b/>
          <w:bCs/>
          <w:lang w:val="fr-FR"/>
        </w:rPr>
        <w:t>’</w:t>
      </w:r>
      <w:r w:rsidRPr="008970D0">
        <w:rPr>
          <w:b/>
          <w:bCs/>
          <w:lang w:val="fr-FR"/>
        </w:rPr>
        <w:t>instaurer un système de suivi et de proposer des formations continues</w:t>
      </w:r>
      <w:r w:rsidR="002542B8">
        <w:rPr>
          <w:b/>
          <w:bCs/>
          <w:lang w:val="fr-FR"/>
        </w:rPr>
        <w:t> ;</w:t>
      </w:r>
    </w:p>
    <w:p w14:paraId="5CB51E6A" w14:textId="77777777" w:rsidR="00096DDD" w:rsidRPr="008970D0" w:rsidRDefault="00096DDD" w:rsidP="008671F6">
      <w:pPr>
        <w:pStyle w:val="SingleTxtG"/>
        <w:ind w:firstLine="567"/>
        <w:rPr>
          <w:b/>
          <w:bCs/>
          <w:lang w:val="fr-FR"/>
        </w:rPr>
      </w:pPr>
      <w:r w:rsidRPr="008671F6">
        <w:rPr>
          <w:b/>
          <w:bCs/>
          <w:lang w:val="fr-FR"/>
        </w:rPr>
        <w:t>b)</w:t>
      </w:r>
      <w:r w:rsidRPr="008671F6">
        <w:rPr>
          <w:b/>
          <w:bCs/>
          <w:lang w:val="fr-FR"/>
        </w:rPr>
        <w:tab/>
      </w:r>
      <w:r w:rsidRPr="008970D0">
        <w:rPr>
          <w:b/>
          <w:bCs/>
          <w:lang w:val="fr-FR"/>
        </w:rPr>
        <w:t>De faire en sorte que les allégations de harcèlement sexuel donnent lieu à des enquêtes et à des poursuites judiciaires en bonne et due forme, que les auteurs des faits soient dûment punis et que les victimes bénéficient d</w:t>
      </w:r>
      <w:r>
        <w:rPr>
          <w:b/>
          <w:bCs/>
          <w:lang w:val="fr-FR"/>
        </w:rPr>
        <w:t>’</w:t>
      </w:r>
      <w:r w:rsidRPr="008970D0">
        <w:rPr>
          <w:b/>
          <w:bCs/>
          <w:lang w:val="fr-FR"/>
        </w:rPr>
        <w:t>une réparation appropriée, notamment sous la forme d</w:t>
      </w:r>
      <w:r>
        <w:rPr>
          <w:b/>
          <w:bCs/>
          <w:lang w:val="fr-FR"/>
        </w:rPr>
        <w:t>’</w:t>
      </w:r>
      <w:r w:rsidRPr="008970D0">
        <w:rPr>
          <w:b/>
          <w:bCs/>
          <w:lang w:val="fr-FR"/>
        </w:rPr>
        <w:t>une indemnisation.</w:t>
      </w:r>
    </w:p>
    <w:p w14:paraId="2B5CB2E8" w14:textId="77777777" w:rsidR="00096DDD" w:rsidRPr="008970D0" w:rsidRDefault="00096DDD" w:rsidP="008671F6">
      <w:pPr>
        <w:pStyle w:val="H23G"/>
        <w:rPr>
          <w:lang w:val="fr-FR"/>
        </w:rPr>
      </w:pPr>
      <w:r w:rsidRPr="008970D0">
        <w:rPr>
          <w:lang w:val="fr-FR"/>
        </w:rPr>
        <w:tab/>
      </w:r>
      <w:r w:rsidRPr="008970D0">
        <w:rPr>
          <w:lang w:val="fr-FR"/>
        </w:rPr>
        <w:tab/>
        <w:t>Travailleurs migrants</w:t>
      </w:r>
    </w:p>
    <w:p w14:paraId="1E48456D" w14:textId="31D582E1" w:rsidR="00096DDD" w:rsidRPr="008970D0" w:rsidRDefault="00096DDD" w:rsidP="008671F6">
      <w:pPr>
        <w:pStyle w:val="SingleTxtG"/>
        <w:tabs>
          <w:tab w:val="clear" w:pos="1701"/>
          <w:tab w:val="clear" w:pos="2268"/>
          <w:tab w:val="clear" w:pos="2835"/>
        </w:tabs>
        <w:rPr>
          <w:lang w:val="fr-FR"/>
        </w:rPr>
      </w:pPr>
      <w:r w:rsidRPr="008970D0">
        <w:rPr>
          <w:lang w:val="fr-FR"/>
        </w:rPr>
        <w:t>40.</w:t>
      </w:r>
      <w:r w:rsidRPr="008970D0">
        <w:rPr>
          <w:lang w:val="fr-FR"/>
        </w:rPr>
        <w:tab/>
        <w:t xml:space="preserve">Tout en prenant note des récentes améliorations de la législation, le Comité est préoccupé par </w:t>
      </w:r>
      <w:r>
        <w:rPr>
          <w:lang w:val="fr-FR"/>
        </w:rPr>
        <w:t>l</w:t>
      </w:r>
      <w:r w:rsidRPr="008970D0">
        <w:rPr>
          <w:lang w:val="fr-FR"/>
        </w:rPr>
        <w:t>es informations selon lesquelles des travailleurs migrants sont victimes d</w:t>
      </w:r>
      <w:r>
        <w:rPr>
          <w:lang w:val="fr-FR"/>
        </w:rPr>
        <w:t>’</w:t>
      </w:r>
      <w:r w:rsidRPr="008970D0">
        <w:rPr>
          <w:lang w:val="fr-FR"/>
        </w:rPr>
        <w:t>exploitation et d</w:t>
      </w:r>
      <w:r>
        <w:rPr>
          <w:lang w:val="fr-FR"/>
        </w:rPr>
        <w:t>’</w:t>
      </w:r>
      <w:r w:rsidRPr="008970D0">
        <w:rPr>
          <w:lang w:val="fr-FR"/>
        </w:rPr>
        <w:t>abus de la part de leur employeur. Il regrette de ne pas avoir reçu suffisamment d</w:t>
      </w:r>
      <w:r>
        <w:rPr>
          <w:lang w:val="fr-FR"/>
        </w:rPr>
        <w:t>’</w:t>
      </w:r>
      <w:r w:rsidRPr="008970D0">
        <w:rPr>
          <w:lang w:val="fr-FR"/>
        </w:rPr>
        <w:t>informations concernant l</w:t>
      </w:r>
      <w:r>
        <w:rPr>
          <w:lang w:val="fr-FR"/>
        </w:rPr>
        <w:t>’</w:t>
      </w:r>
      <w:r w:rsidRPr="008970D0">
        <w:rPr>
          <w:lang w:val="fr-FR"/>
        </w:rPr>
        <w:t xml:space="preserve">application et le respect des mesures prises à cet égard </w:t>
      </w:r>
      <w:r w:rsidR="00F40B59">
        <w:rPr>
          <w:lang w:val="fr-FR"/>
        </w:rPr>
        <w:t>(art. </w:t>
      </w:r>
      <w:r w:rsidRPr="008970D0">
        <w:rPr>
          <w:lang w:val="fr-FR"/>
        </w:rPr>
        <w:t>7).</w:t>
      </w:r>
    </w:p>
    <w:p w14:paraId="559C2397" w14:textId="54764D0B" w:rsidR="00096DDD" w:rsidRPr="008970D0" w:rsidRDefault="00096DDD" w:rsidP="008671F6">
      <w:pPr>
        <w:pStyle w:val="SingleTxtG"/>
        <w:keepNext/>
        <w:tabs>
          <w:tab w:val="clear" w:pos="1701"/>
          <w:tab w:val="clear" w:pos="2268"/>
          <w:tab w:val="clear" w:pos="2835"/>
        </w:tabs>
        <w:rPr>
          <w:b/>
          <w:bCs/>
          <w:lang w:val="fr-FR"/>
        </w:rPr>
      </w:pPr>
      <w:r w:rsidRPr="008970D0">
        <w:rPr>
          <w:lang w:val="fr-FR"/>
        </w:rPr>
        <w:lastRenderedPageBreak/>
        <w:t>41.</w:t>
      </w:r>
      <w:r w:rsidRPr="008970D0">
        <w:rPr>
          <w:lang w:val="fr-FR"/>
        </w:rPr>
        <w:tab/>
      </w:r>
      <w:r w:rsidRPr="008970D0">
        <w:rPr>
          <w:b/>
          <w:bCs/>
          <w:lang w:val="fr-FR"/>
        </w:rPr>
        <w:t>Le Comité recommande à l</w:t>
      </w:r>
      <w:r>
        <w:rPr>
          <w:b/>
          <w:bCs/>
          <w:lang w:val="fr-FR"/>
        </w:rPr>
        <w:t>’</w:t>
      </w:r>
      <w:r w:rsidRPr="008970D0">
        <w:rPr>
          <w:b/>
          <w:bCs/>
          <w:lang w:val="fr-FR"/>
        </w:rPr>
        <w:t>État partie</w:t>
      </w:r>
      <w:r w:rsidR="00EA377B">
        <w:rPr>
          <w:b/>
          <w:bCs/>
          <w:lang w:val="fr-FR"/>
        </w:rPr>
        <w:t> </w:t>
      </w:r>
      <w:r w:rsidRPr="008970D0">
        <w:rPr>
          <w:b/>
          <w:bCs/>
          <w:lang w:val="fr-FR"/>
        </w:rPr>
        <w:t>:</w:t>
      </w:r>
    </w:p>
    <w:p w14:paraId="620E2C26" w14:textId="3161E9EF" w:rsidR="00096DDD" w:rsidRPr="008970D0" w:rsidRDefault="00096DDD" w:rsidP="002542B8">
      <w:pPr>
        <w:pStyle w:val="SingleTxtG"/>
        <w:ind w:firstLine="567"/>
        <w:rPr>
          <w:b/>
          <w:bCs/>
          <w:lang w:val="fr-FR"/>
        </w:rPr>
      </w:pPr>
      <w:r w:rsidRPr="002542B8">
        <w:rPr>
          <w:b/>
          <w:bCs/>
          <w:lang w:val="fr-FR"/>
        </w:rPr>
        <w:t>a)</w:t>
      </w:r>
      <w:r w:rsidRPr="002542B8">
        <w:rPr>
          <w:b/>
          <w:bCs/>
          <w:lang w:val="fr-FR"/>
        </w:rPr>
        <w:tab/>
      </w:r>
      <w:r w:rsidRPr="008970D0">
        <w:rPr>
          <w:b/>
          <w:bCs/>
          <w:lang w:val="fr-FR"/>
        </w:rPr>
        <w:t>De prendre des mesures visant à garantir le respect effectif de la législation en matière de protection des travailleurs migrants, notamment en imposant des sanctions dissuasives aux employeurs qui enfreignent les lois</w:t>
      </w:r>
      <w:r w:rsidR="002542B8">
        <w:rPr>
          <w:b/>
          <w:bCs/>
          <w:lang w:val="fr-FR"/>
        </w:rPr>
        <w:t> ;</w:t>
      </w:r>
    </w:p>
    <w:p w14:paraId="54C094E8" w14:textId="18E1365C" w:rsidR="00096DDD" w:rsidRPr="008970D0" w:rsidRDefault="00096DDD" w:rsidP="002542B8">
      <w:pPr>
        <w:pStyle w:val="SingleTxtG"/>
        <w:ind w:firstLine="567"/>
        <w:rPr>
          <w:b/>
          <w:bCs/>
          <w:lang w:val="fr-FR"/>
        </w:rPr>
      </w:pPr>
      <w:r w:rsidRPr="002542B8">
        <w:rPr>
          <w:b/>
          <w:bCs/>
          <w:lang w:val="fr-FR"/>
        </w:rPr>
        <w:t>b)</w:t>
      </w:r>
      <w:r w:rsidRPr="002542B8">
        <w:rPr>
          <w:b/>
          <w:bCs/>
          <w:lang w:val="fr-FR"/>
        </w:rPr>
        <w:tab/>
      </w:r>
      <w:r w:rsidRPr="008970D0">
        <w:rPr>
          <w:b/>
          <w:bCs/>
          <w:lang w:val="fr-FR"/>
        </w:rPr>
        <w:t>De faire en sorte que ces employeurs soient effectivement sanctionnés</w:t>
      </w:r>
      <w:r w:rsidR="002542B8">
        <w:rPr>
          <w:b/>
          <w:bCs/>
          <w:lang w:val="fr-FR"/>
        </w:rPr>
        <w:t> ;</w:t>
      </w:r>
    </w:p>
    <w:p w14:paraId="7B1D5FB8" w14:textId="77777777" w:rsidR="00096DDD" w:rsidRPr="008970D0" w:rsidRDefault="00096DDD" w:rsidP="002542B8">
      <w:pPr>
        <w:pStyle w:val="SingleTxtG"/>
        <w:ind w:firstLine="567"/>
        <w:rPr>
          <w:b/>
          <w:bCs/>
          <w:lang w:val="fr-FR"/>
        </w:rPr>
      </w:pPr>
      <w:r w:rsidRPr="002542B8">
        <w:rPr>
          <w:b/>
          <w:bCs/>
          <w:lang w:val="fr-FR"/>
        </w:rPr>
        <w:t>c)</w:t>
      </w:r>
      <w:r w:rsidRPr="002542B8">
        <w:rPr>
          <w:b/>
          <w:bCs/>
          <w:lang w:val="fr-FR"/>
        </w:rPr>
        <w:tab/>
      </w:r>
      <w:r w:rsidRPr="008970D0">
        <w:rPr>
          <w:b/>
          <w:bCs/>
          <w:lang w:val="fr-FR"/>
        </w:rPr>
        <w:t xml:space="preserve">De mettre en œuvre des mécanismes efficaces </w:t>
      </w:r>
      <w:r>
        <w:rPr>
          <w:b/>
          <w:bCs/>
          <w:lang w:val="fr-FR"/>
        </w:rPr>
        <w:t>chargés de surveiller l’application</w:t>
      </w:r>
      <w:r w:rsidRPr="008970D0">
        <w:rPr>
          <w:b/>
          <w:bCs/>
          <w:lang w:val="fr-FR"/>
        </w:rPr>
        <w:t xml:space="preserve"> de la législation qui protège les travailleurs migrants.</w:t>
      </w:r>
    </w:p>
    <w:p w14:paraId="30EE1513" w14:textId="77777777" w:rsidR="00096DDD" w:rsidRPr="008970D0" w:rsidRDefault="00096DDD" w:rsidP="00F40B59">
      <w:pPr>
        <w:pStyle w:val="H23G"/>
        <w:rPr>
          <w:lang w:val="fr-FR"/>
        </w:rPr>
      </w:pPr>
      <w:r w:rsidRPr="008970D0">
        <w:rPr>
          <w:lang w:val="fr-FR"/>
        </w:rPr>
        <w:tab/>
      </w:r>
      <w:r w:rsidRPr="008970D0">
        <w:rPr>
          <w:lang w:val="fr-FR"/>
        </w:rPr>
        <w:tab/>
        <w:t>Droits syndicaux</w:t>
      </w:r>
    </w:p>
    <w:p w14:paraId="38AB3DDD" w14:textId="1027B947" w:rsidR="00096DDD" w:rsidRPr="008970D0" w:rsidRDefault="00096DDD" w:rsidP="00F40B59">
      <w:pPr>
        <w:pStyle w:val="SingleTxtG"/>
        <w:tabs>
          <w:tab w:val="clear" w:pos="1701"/>
          <w:tab w:val="clear" w:pos="2268"/>
          <w:tab w:val="clear" w:pos="2835"/>
        </w:tabs>
        <w:rPr>
          <w:lang w:val="fr-FR"/>
        </w:rPr>
      </w:pPr>
      <w:r w:rsidRPr="008970D0">
        <w:rPr>
          <w:lang w:val="fr-FR"/>
        </w:rPr>
        <w:t>42.</w:t>
      </w:r>
      <w:r w:rsidRPr="008970D0">
        <w:rPr>
          <w:lang w:val="fr-FR"/>
        </w:rPr>
        <w:tab/>
        <w:t xml:space="preserve">Le Comité </w:t>
      </w:r>
      <w:r>
        <w:rPr>
          <w:lang w:val="fr-FR"/>
        </w:rPr>
        <w:t>reste préoccupé par le fait qu’</w:t>
      </w:r>
      <w:r w:rsidRPr="008970D0">
        <w:rPr>
          <w:lang w:val="fr-FR"/>
        </w:rPr>
        <w:t xml:space="preserve">en raison de la définition restrictive de la notion de </w:t>
      </w:r>
      <w:r w:rsidR="0052175A">
        <w:rPr>
          <w:lang w:val="fr-FR"/>
        </w:rPr>
        <w:t>« </w:t>
      </w:r>
      <w:r w:rsidRPr="008970D0">
        <w:rPr>
          <w:lang w:val="fr-FR"/>
        </w:rPr>
        <w:t>grève</w:t>
      </w:r>
      <w:r w:rsidR="0052175A">
        <w:rPr>
          <w:lang w:val="fr-FR"/>
        </w:rPr>
        <w:t> »</w:t>
      </w:r>
      <w:r w:rsidRPr="008970D0">
        <w:rPr>
          <w:lang w:val="fr-FR"/>
        </w:rPr>
        <w:t xml:space="preserve"> donnée à l</w:t>
      </w:r>
      <w:r>
        <w:rPr>
          <w:lang w:val="fr-FR"/>
        </w:rPr>
        <w:t>’</w:t>
      </w:r>
      <w:r w:rsidRPr="008970D0">
        <w:rPr>
          <w:lang w:val="fr-FR"/>
        </w:rPr>
        <w:t>article 244, paragraphe 1</w:t>
      </w:r>
      <w:r w:rsidR="0052175A">
        <w:rPr>
          <w:lang w:val="fr-FR"/>
        </w:rPr>
        <w:t>,</w:t>
      </w:r>
      <w:r w:rsidRPr="008970D0">
        <w:rPr>
          <w:lang w:val="fr-FR"/>
        </w:rPr>
        <w:t xml:space="preserve"> du Code du travail, il </w:t>
      </w:r>
      <w:r>
        <w:rPr>
          <w:lang w:val="fr-FR"/>
        </w:rPr>
        <w:t>n’est</w:t>
      </w:r>
      <w:r w:rsidRPr="008970D0">
        <w:rPr>
          <w:lang w:val="fr-FR"/>
        </w:rPr>
        <w:t xml:space="preserve"> pas possible d</w:t>
      </w:r>
      <w:r>
        <w:rPr>
          <w:lang w:val="fr-FR"/>
        </w:rPr>
        <w:t>’</w:t>
      </w:r>
      <w:r w:rsidRPr="008970D0">
        <w:rPr>
          <w:lang w:val="fr-FR"/>
        </w:rPr>
        <w:t xml:space="preserve">exercer le droit de grève pour trouver des solutions aux problèmes résultant des principales tendances économiques et sociales. </w:t>
      </w:r>
      <w:r>
        <w:rPr>
          <w:lang w:val="fr-FR"/>
        </w:rPr>
        <w:t>Il</w:t>
      </w:r>
      <w:r w:rsidRPr="008970D0">
        <w:rPr>
          <w:lang w:val="fr-FR"/>
        </w:rPr>
        <w:t xml:space="preserve"> regrette l</w:t>
      </w:r>
      <w:r>
        <w:rPr>
          <w:lang w:val="fr-FR"/>
        </w:rPr>
        <w:t>’</w:t>
      </w:r>
      <w:r w:rsidRPr="008970D0">
        <w:rPr>
          <w:lang w:val="fr-FR"/>
        </w:rPr>
        <w:t>absence d</w:t>
      </w:r>
      <w:r>
        <w:rPr>
          <w:lang w:val="fr-FR"/>
        </w:rPr>
        <w:t>’</w:t>
      </w:r>
      <w:r w:rsidRPr="008970D0">
        <w:rPr>
          <w:lang w:val="fr-FR"/>
        </w:rPr>
        <w:t>informations sur la façon dont les travailleurs migrants peuvent, dans la pratique, exercer librement et sans crainte de représailles leur droit de former des syndicats et d</w:t>
      </w:r>
      <w:r>
        <w:rPr>
          <w:lang w:val="fr-FR"/>
        </w:rPr>
        <w:t>’</w:t>
      </w:r>
      <w:r w:rsidRPr="008970D0">
        <w:rPr>
          <w:lang w:val="fr-FR"/>
        </w:rPr>
        <w:t>adhérer à ces derniers, leur droit de négociation collective et leur droit de grève.</w:t>
      </w:r>
    </w:p>
    <w:p w14:paraId="1C711776" w14:textId="77777777" w:rsidR="00096DDD" w:rsidRPr="008970D0" w:rsidRDefault="00096DDD" w:rsidP="00F40B59">
      <w:pPr>
        <w:pStyle w:val="SingleTxtG"/>
        <w:tabs>
          <w:tab w:val="clear" w:pos="1701"/>
          <w:tab w:val="clear" w:pos="2268"/>
          <w:tab w:val="clear" w:pos="2835"/>
        </w:tabs>
        <w:rPr>
          <w:lang w:val="fr-FR"/>
        </w:rPr>
      </w:pPr>
      <w:r w:rsidRPr="008970D0">
        <w:rPr>
          <w:lang w:val="fr-FR"/>
        </w:rPr>
        <w:t>43.</w:t>
      </w:r>
      <w:r w:rsidRPr="008970D0">
        <w:rPr>
          <w:lang w:val="fr-FR"/>
        </w:rPr>
        <w:tab/>
      </w:r>
      <w:r w:rsidRPr="008970D0">
        <w:rPr>
          <w:b/>
          <w:bCs/>
          <w:lang w:val="fr-FR"/>
        </w:rPr>
        <w:t>Le Comité recommande à l</w:t>
      </w:r>
      <w:r>
        <w:rPr>
          <w:b/>
          <w:bCs/>
          <w:lang w:val="fr-FR"/>
        </w:rPr>
        <w:t>’</w:t>
      </w:r>
      <w:r w:rsidRPr="008970D0">
        <w:rPr>
          <w:b/>
          <w:bCs/>
          <w:lang w:val="fr-FR"/>
        </w:rPr>
        <w:t>État partie de réviser son Code du travail afin de garantir le droit de grève, conformément aux normes internationales.</w:t>
      </w:r>
    </w:p>
    <w:p w14:paraId="399DCAFB" w14:textId="77777777" w:rsidR="00096DDD" w:rsidRPr="008970D0" w:rsidRDefault="00096DDD" w:rsidP="00096DDD">
      <w:pPr>
        <w:pStyle w:val="H23G"/>
        <w:rPr>
          <w:lang w:val="fr-FR"/>
        </w:rPr>
      </w:pPr>
      <w:r w:rsidRPr="008970D0">
        <w:rPr>
          <w:lang w:val="fr-FR"/>
        </w:rPr>
        <w:tab/>
      </w:r>
      <w:r w:rsidRPr="008970D0">
        <w:rPr>
          <w:lang w:val="fr-FR"/>
        </w:rPr>
        <w:tab/>
      </w:r>
      <w:r w:rsidRPr="008970D0">
        <w:rPr>
          <w:bCs/>
          <w:lang w:val="fr-FR"/>
        </w:rPr>
        <w:t>Droit à la sécurité sociale</w:t>
      </w:r>
    </w:p>
    <w:p w14:paraId="7580D31A" w14:textId="78BE4CB5" w:rsidR="00096DDD" w:rsidRPr="008970D0" w:rsidRDefault="00096DDD" w:rsidP="00F40B59">
      <w:pPr>
        <w:pStyle w:val="SingleTxtG"/>
        <w:tabs>
          <w:tab w:val="clear" w:pos="1701"/>
          <w:tab w:val="clear" w:pos="2268"/>
          <w:tab w:val="clear" w:pos="2835"/>
        </w:tabs>
        <w:rPr>
          <w:lang w:val="fr-FR"/>
        </w:rPr>
      </w:pPr>
      <w:r w:rsidRPr="008970D0">
        <w:rPr>
          <w:lang w:val="fr-FR"/>
        </w:rPr>
        <w:t>44.</w:t>
      </w:r>
      <w:r w:rsidRPr="008970D0">
        <w:rPr>
          <w:lang w:val="fr-FR"/>
        </w:rPr>
        <w:tab/>
        <w:t>Tout en prenant note des mesures que les municipalités et le Gouvernement central ont adoptées pour améliorer les prestations accordées aux personnes en âge de travailler, le Comité est préoccupé par le fait que l</w:t>
      </w:r>
      <w:r>
        <w:rPr>
          <w:lang w:val="fr-FR"/>
        </w:rPr>
        <w:t>’</w:t>
      </w:r>
      <w:r w:rsidRPr="008970D0">
        <w:rPr>
          <w:lang w:val="fr-FR"/>
        </w:rPr>
        <w:t>assistance sociale fournie aux personnes âgées et la pension d</w:t>
      </w:r>
      <w:r>
        <w:rPr>
          <w:lang w:val="fr-FR"/>
        </w:rPr>
        <w:t>’</w:t>
      </w:r>
      <w:r w:rsidRPr="008970D0">
        <w:rPr>
          <w:lang w:val="fr-FR"/>
        </w:rPr>
        <w:t>aide sociale qui leur est versée, d</w:t>
      </w:r>
      <w:r>
        <w:rPr>
          <w:lang w:val="fr-FR"/>
        </w:rPr>
        <w:t>’</w:t>
      </w:r>
      <w:r w:rsidRPr="008970D0">
        <w:rPr>
          <w:lang w:val="fr-FR"/>
        </w:rPr>
        <w:t>un montant inférieur à 30</w:t>
      </w:r>
      <w:r w:rsidR="00A26BEE">
        <w:rPr>
          <w:lang w:val="fr-FR"/>
        </w:rPr>
        <w:t> %</w:t>
      </w:r>
      <w:r w:rsidRPr="008970D0">
        <w:rPr>
          <w:lang w:val="fr-FR"/>
        </w:rPr>
        <w:t xml:space="preserve"> du salaire minimum, demeurent faibles. </w:t>
      </w:r>
      <w:r>
        <w:rPr>
          <w:lang w:val="fr-FR"/>
        </w:rPr>
        <w:t>Il</w:t>
      </w:r>
      <w:r w:rsidRPr="008970D0">
        <w:rPr>
          <w:lang w:val="fr-FR"/>
        </w:rPr>
        <w:t xml:space="preserve"> regrette l</w:t>
      </w:r>
      <w:r>
        <w:rPr>
          <w:lang w:val="fr-FR"/>
        </w:rPr>
        <w:t>’</w:t>
      </w:r>
      <w:r w:rsidRPr="008970D0">
        <w:rPr>
          <w:lang w:val="fr-FR"/>
        </w:rPr>
        <w:t>absence d</w:t>
      </w:r>
      <w:r>
        <w:rPr>
          <w:lang w:val="fr-FR"/>
        </w:rPr>
        <w:t>’</w:t>
      </w:r>
      <w:r w:rsidRPr="008970D0">
        <w:rPr>
          <w:lang w:val="fr-FR"/>
        </w:rPr>
        <w:t xml:space="preserve">informations sur les mesures prises </w:t>
      </w:r>
      <w:r>
        <w:rPr>
          <w:lang w:val="fr-FR"/>
        </w:rPr>
        <w:t>pour que l</w:t>
      </w:r>
      <w:r w:rsidRPr="008970D0">
        <w:rPr>
          <w:lang w:val="fr-FR"/>
        </w:rPr>
        <w:t>es travailleurs du secteur non structuré de l</w:t>
      </w:r>
      <w:r>
        <w:rPr>
          <w:lang w:val="fr-FR"/>
        </w:rPr>
        <w:t>’</w:t>
      </w:r>
      <w:r w:rsidRPr="008970D0">
        <w:rPr>
          <w:lang w:val="fr-FR"/>
        </w:rPr>
        <w:t xml:space="preserve">économie </w:t>
      </w:r>
      <w:r>
        <w:rPr>
          <w:lang w:val="fr-FR"/>
        </w:rPr>
        <w:t xml:space="preserve">soient couverts par la sécurité sociale </w:t>
      </w:r>
      <w:r w:rsidR="00F40B59">
        <w:rPr>
          <w:lang w:val="fr-FR"/>
        </w:rPr>
        <w:t>(art. </w:t>
      </w:r>
      <w:r w:rsidRPr="008970D0">
        <w:rPr>
          <w:lang w:val="fr-FR"/>
        </w:rPr>
        <w:t>9).</w:t>
      </w:r>
    </w:p>
    <w:p w14:paraId="6A2F7711" w14:textId="4B7D9527" w:rsidR="00096DDD" w:rsidRPr="008970D0" w:rsidRDefault="00096DDD" w:rsidP="00F40B59">
      <w:pPr>
        <w:pStyle w:val="SingleTxtG"/>
        <w:keepNext/>
        <w:tabs>
          <w:tab w:val="clear" w:pos="1701"/>
          <w:tab w:val="clear" w:pos="2268"/>
          <w:tab w:val="clear" w:pos="2835"/>
        </w:tabs>
        <w:rPr>
          <w:lang w:val="fr-FR"/>
        </w:rPr>
      </w:pPr>
      <w:r w:rsidRPr="008970D0">
        <w:rPr>
          <w:lang w:val="fr-FR"/>
        </w:rPr>
        <w:t>45.</w:t>
      </w:r>
      <w:r w:rsidRPr="008970D0">
        <w:rPr>
          <w:lang w:val="fr-FR"/>
        </w:rPr>
        <w:tab/>
      </w:r>
      <w:r w:rsidRPr="008970D0">
        <w:rPr>
          <w:b/>
          <w:bCs/>
          <w:lang w:val="fr-FR"/>
        </w:rPr>
        <w:t>Le Comité recommande à l</w:t>
      </w:r>
      <w:r>
        <w:rPr>
          <w:b/>
          <w:bCs/>
          <w:lang w:val="fr-FR"/>
        </w:rPr>
        <w:t>’</w:t>
      </w:r>
      <w:r w:rsidRPr="008970D0">
        <w:rPr>
          <w:b/>
          <w:bCs/>
          <w:lang w:val="fr-FR"/>
        </w:rPr>
        <w:t>État partie</w:t>
      </w:r>
      <w:r w:rsidR="00F40B59">
        <w:rPr>
          <w:b/>
          <w:bCs/>
          <w:lang w:val="fr-FR"/>
        </w:rPr>
        <w:t> :</w:t>
      </w:r>
    </w:p>
    <w:p w14:paraId="39F7B34C" w14:textId="791BA468" w:rsidR="00096DDD" w:rsidRPr="008970D0" w:rsidRDefault="00096DDD" w:rsidP="00984360">
      <w:pPr>
        <w:pStyle w:val="SingleTxtG"/>
        <w:ind w:firstLine="567"/>
        <w:rPr>
          <w:b/>
          <w:bCs/>
          <w:lang w:val="fr-FR"/>
        </w:rPr>
      </w:pPr>
      <w:r w:rsidRPr="00984360">
        <w:rPr>
          <w:b/>
          <w:bCs/>
          <w:lang w:val="fr-FR"/>
        </w:rPr>
        <w:t>a)</w:t>
      </w:r>
      <w:r w:rsidRPr="00984360">
        <w:rPr>
          <w:b/>
          <w:bCs/>
          <w:lang w:val="fr-FR"/>
        </w:rPr>
        <w:tab/>
      </w:r>
      <w:r w:rsidRPr="008970D0">
        <w:rPr>
          <w:b/>
          <w:bCs/>
          <w:lang w:val="fr-FR"/>
        </w:rPr>
        <w:t>De réformer son système de protection sociale en vue de réduire les inégalités et d</w:t>
      </w:r>
      <w:r>
        <w:rPr>
          <w:b/>
          <w:bCs/>
          <w:lang w:val="fr-FR"/>
        </w:rPr>
        <w:t>’</w:t>
      </w:r>
      <w:r w:rsidRPr="008970D0">
        <w:rPr>
          <w:b/>
          <w:bCs/>
          <w:lang w:val="fr-FR"/>
        </w:rPr>
        <w:t>éliminer les effets discriminatoires de ce système sur les personnes et les groupes défavorisés et marginalisés, notamment d</w:t>
      </w:r>
      <w:r>
        <w:rPr>
          <w:b/>
          <w:bCs/>
          <w:lang w:val="fr-FR"/>
        </w:rPr>
        <w:t>’</w:t>
      </w:r>
      <w:r w:rsidRPr="008970D0">
        <w:rPr>
          <w:b/>
          <w:bCs/>
          <w:lang w:val="fr-FR"/>
        </w:rPr>
        <w:t>unifier ou d</w:t>
      </w:r>
      <w:r>
        <w:rPr>
          <w:b/>
          <w:bCs/>
          <w:lang w:val="fr-FR"/>
        </w:rPr>
        <w:t>’</w:t>
      </w:r>
      <w:r w:rsidRPr="008970D0">
        <w:rPr>
          <w:b/>
          <w:bCs/>
          <w:lang w:val="fr-FR"/>
        </w:rPr>
        <w:t xml:space="preserve">harmoniser les différentes prestations de sécurité sociale au niveau local et de faire en sorte </w:t>
      </w:r>
      <w:r>
        <w:rPr>
          <w:b/>
          <w:bCs/>
          <w:lang w:val="fr-FR"/>
        </w:rPr>
        <w:t xml:space="preserve">qu’une part </w:t>
      </w:r>
      <w:r w:rsidRPr="008970D0">
        <w:rPr>
          <w:b/>
          <w:bCs/>
          <w:lang w:val="fr-FR"/>
        </w:rPr>
        <w:t>équitable et suffisant</w:t>
      </w:r>
      <w:r>
        <w:rPr>
          <w:b/>
          <w:bCs/>
          <w:lang w:val="fr-FR"/>
        </w:rPr>
        <w:t>e</w:t>
      </w:r>
      <w:r w:rsidRPr="008970D0">
        <w:rPr>
          <w:b/>
          <w:bCs/>
          <w:lang w:val="fr-FR"/>
        </w:rPr>
        <w:t xml:space="preserve"> </w:t>
      </w:r>
      <w:r>
        <w:rPr>
          <w:b/>
          <w:bCs/>
          <w:lang w:val="fr-FR"/>
        </w:rPr>
        <w:t xml:space="preserve">du budget public </w:t>
      </w:r>
      <w:r w:rsidRPr="008970D0">
        <w:rPr>
          <w:b/>
          <w:bCs/>
          <w:lang w:val="fr-FR"/>
        </w:rPr>
        <w:t>soit alloué</w:t>
      </w:r>
      <w:r>
        <w:rPr>
          <w:b/>
          <w:bCs/>
          <w:lang w:val="fr-FR"/>
        </w:rPr>
        <w:t>e</w:t>
      </w:r>
      <w:r w:rsidRPr="008970D0">
        <w:rPr>
          <w:b/>
          <w:bCs/>
          <w:lang w:val="fr-FR"/>
        </w:rPr>
        <w:t xml:space="preserve"> au système de protection sociale</w:t>
      </w:r>
      <w:r w:rsidR="002542B8">
        <w:rPr>
          <w:b/>
          <w:bCs/>
          <w:lang w:val="fr-FR"/>
        </w:rPr>
        <w:t> ;</w:t>
      </w:r>
    </w:p>
    <w:p w14:paraId="6EA64891" w14:textId="0B4433D9" w:rsidR="00096DDD" w:rsidRPr="008970D0" w:rsidRDefault="00096DDD" w:rsidP="00984360">
      <w:pPr>
        <w:pStyle w:val="SingleTxtG"/>
        <w:ind w:firstLine="567"/>
        <w:rPr>
          <w:b/>
          <w:bCs/>
          <w:lang w:val="fr-FR"/>
        </w:rPr>
      </w:pPr>
      <w:r w:rsidRPr="00984360">
        <w:rPr>
          <w:b/>
          <w:bCs/>
          <w:lang w:val="fr-FR"/>
        </w:rPr>
        <w:t>b)</w:t>
      </w:r>
      <w:r w:rsidRPr="00984360">
        <w:rPr>
          <w:b/>
          <w:bCs/>
          <w:lang w:val="fr-FR"/>
        </w:rPr>
        <w:tab/>
      </w:r>
      <w:r w:rsidRPr="008970D0">
        <w:rPr>
          <w:b/>
          <w:bCs/>
          <w:lang w:val="fr-FR"/>
        </w:rPr>
        <w:t>D</w:t>
      </w:r>
      <w:r>
        <w:rPr>
          <w:b/>
          <w:bCs/>
          <w:lang w:val="fr-FR"/>
        </w:rPr>
        <w:t>’</w:t>
      </w:r>
      <w:r w:rsidRPr="008970D0">
        <w:rPr>
          <w:b/>
          <w:bCs/>
          <w:lang w:val="fr-FR"/>
        </w:rPr>
        <w:t>étendre la couverture des prestations de sécurité sociale, en particulier aux travailleurs indépendants et aux travailleurs du secteur agricole et du secteur non structuré de l</w:t>
      </w:r>
      <w:r>
        <w:rPr>
          <w:b/>
          <w:bCs/>
          <w:lang w:val="fr-FR"/>
        </w:rPr>
        <w:t>’</w:t>
      </w:r>
      <w:r w:rsidRPr="008970D0">
        <w:rPr>
          <w:b/>
          <w:bCs/>
          <w:lang w:val="fr-FR"/>
        </w:rPr>
        <w:t>économie, et d</w:t>
      </w:r>
      <w:r>
        <w:rPr>
          <w:b/>
          <w:bCs/>
          <w:lang w:val="fr-FR"/>
        </w:rPr>
        <w:t>’</w:t>
      </w:r>
      <w:r w:rsidRPr="008970D0">
        <w:rPr>
          <w:b/>
          <w:bCs/>
          <w:lang w:val="fr-FR"/>
        </w:rPr>
        <w:t>augmenter le niveau de ces prestations pour assurer aux travailleurs et à leur famille une existence décente</w:t>
      </w:r>
      <w:r w:rsidR="002542B8">
        <w:rPr>
          <w:b/>
          <w:bCs/>
          <w:lang w:val="fr-FR"/>
        </w:rPr>
        <w:t> ;</w:t>
      </w:r>
    </w:p>
    <w:p w14:paraId="7C3ADA55" w14:textId="72FD095B" w:rsidR="00096DDD" w:rsidRPr="008970D0" w:rsidRDefault="00096DDD" w:rsidP="00984360">
      <w:pPr>
        <w:pStyle w:val="SingleTxtG"/>
        <w:ind w:firstLine="567"/>
        <w:rPr>
          <w:b/>
          <w:bCs/>
          <w:lang w:val="fr-FR"/>
        </w:rPr>
      </w:pPr>
      <w:r w:rsidRPr="00984360">
        <w:rPr>
          <w:b/>
          <w:bCs/>
          <w:lang w:val="fr-FR"/>
        </w:rPr>
        <w:t>c)</w:t>
      </w:r>
      <w:r w:rsidRPr="00984360">
        <w:rPr>
          <w:b/>
          <w:bCs/>
          <w:lang w:val="fr-FR"/>
        </w:rPr>
        <w:tab/>
      </w:r>
      <w:r w:rsidRPr="008970D0">
        <w:rPr>
          <w:b/>
          <w:bCs/>
          <w:lang w:val="fr-FR"/>
        </w:rPr>
        <w:t>De veiller à ce que les employeurs affilient leurs employés au système de protection sociale et paient leurs cotisations</w:t>
      </w:r>
      <w:r w:rsidR="002542B8">
        <w:rPr>
          <w:b/>
          <w:bCs/>
          <w:lang w:val="fr-FR"/>
        </w:rPr>
        <w:t> ;</w:t>
      </w:r>
    </w:p>
    <w:p w14:paraId="78D6F23A" w14:textId="35C31579" w:rsidR="00096DDD" w:rsidRPr="008970D0" w:rsidRDefault="00096DDD" w:rsidP="00984360">
      <w:pPr>
        <w:pStyle w:val="SingleTxtG"/>
        <w:ind w:firstLine="567"/>
        <w:rPr>
          <w:b/>
          <w:bCs/>
          <w:lang w:val="fr-FR"/>
        </w:rPr>
      </w:pPr>
      <w:r w:rsidRPr="00984360">
        <w:rPr>
          <w:b/>
          <w:bCs/>
          <w:lang w:val="fr-FR"/>
        </w:rPr>
        <w:t>d)</w:t>
      </w:r>
      <w:r w:rsidRPr="00984360">
        <w:rPr>
          <w:b/>
          <w:bCs/>
          <w:lang w:val="fr-FR"/>
        </w:rPr>
        <w:tab/>
      </w:r>
      <w:r w:rsidRPr="008970D0">
        <w:rPr>
          <w:b/>
          <w:bCs/>
          <w:lang w:val="fr-FR"/>
        </w:rPr>
        <w:t>De faire en sorte que les pensions accordées aux personnes handicapées soient adaptées, qu</w:t>
      </w:r>
      <w:r>
        <w:rPr>
          <w:b/>
          <w:bCs/>
          <w:lang w:val="fr-FR"/>
        </w:rPr>
        <w:t>’</w:t>
      </w:r>
      <w:r w:rsidRPr="008970D0">
        <w:rPr>
          <w:b/>
          <w:bCs/>
          <w:lang w:val="fr-FR"/>
        </w:rPr>
        <w:t>elles garantissent la sécurité des revenus de base et qu</w:t>
      </w:r>
      <w:r>
        <w:rPr>
          <w:b/>
          <w:bCs/>
          <w:lang w:val="fr-FR"/>
        </w:rPr>
        <w:t>’</w:t>
      </w:r>
      <w:r w:rsidRPr="008970D0">
        <w:rPr>
          <w:b/>
          <w:bCs/>
          <w:lang w:val="fr-FR"/>
        </w:rPr>
        <w:t>elles couvrent les coûts liés au handicap</w:t>
      </w:r>
      <w:r w:rsidR="002542B8">
        <w:rPr>
          <w:b/>
          <w:bCs/>
          <w:lang w:val="fr-FR"/>
        </w:rPr>
        <w:t> ;</w:t>
      </w:r>
    </w:p>
    <w:p w14:paraId="691784F1" w14:textId="77777777" w:rsidR="00096DDD" w:rsidRPr="008970D0" w:rsidRDefault="00096DDD" w:rsidP="00984360">
      <w:pPr>
        <w:pStyle w:val="SingleTxtG"/>
        <w:ind w:firstLine="567"/>
        <w:rPr>
          <w:b/>
          <w:bCs/>
          <w:lang w:val="fr-FR"/>
        </w:rPr>
      </w:pPr>
      <w:r w:rsidRPr="00984360">
        <w:rPr>
          <w:b/>
          <w:bCs/>
          <w:lang w:val="fr-FR"/>
        </w:rPr>
        <w:t>e)</w:t>
      </w:r>
      <w:r w:rsidRPr="00984360">
        <w:rPr>
          <w:b/>
          <w:bCs/>
          <w:lang w:val="fr-FR"/>
        </w:rPr>
        <w:tab/>
      </w:r>
      <w:r w:rsidRPr="008970D0">
        <w:rPr>
          <w:b/>
          <w:bCs/>
          <w:lang w:val="fr-FR"/>
        </w:rPr>
        <w:t>De prendre en compte son observation générale n</w:t>
      </w:r>
      <w:r w:rsidRPr="00984360">
        <w:rPr>
          <w:b/>
          <w:bCs/>
          <w:lang w:val="fr-FR"/>
        </w:rPr>
        <w:t>o</w:t>
      </w:r>
      <w:r w:rsidRPr="008970D0">
        <w:rPr>
          <w:b/>
          <w:bCs/>
          <w:lang w:val="fr-FR"/>
        </w:rPr>
        <w:t xml:space="preserve"> 19 (2007) sur le droit à la sécurité sociale.</w:t>
      </w:r>
    </w:p>
    <w:p w14:paraId="465404B7" w14:textId="77777777" w:rsidR="00096DDD" w:rsidRPr="008970D0" w:rsidRDefault="00096DDD" w:rsidP="00096DDD">
      <w:pPr>
        <w:pStyle w:val="H23G"/>
        <w:rPr>
          <w:lang w:val="fr-FR"/>
        </w:rPr>
      </w:pPr>
      <w:r w:rsidRPr="008970D0">
        <w:rPr>
          <w:lang w:val="fr-FR"/>
        </w:rPr>
        <w:tab/>
      </w:r>
      <w:r w:rsidRPr="008970D0">
        <w:rPr>
          <w:lang w:val="fr-FR"/>
        </w:rPr>
        <w:tab/>
      </w:r>
      <w:r w:rsidRPr="008970D0">
        <w:rPr>
          <w:bCs/>
          <w:lang w:val="fr-FR"/>
        </w:rPr>
        <w:t>Protection de la famille et de l</w:t>
      </w:r>
      <w:r>
        <w:rPr>
          <w:bCs/>
          <w:lang w:val="fr-FR"/>
        </w:rPr>
        <w:t>’</w:t>
      </w:r>
      <w:r w:rsidRPr="008970D0">
        <w:rPr>
          <w:bCs/>
          <w:lang w:val="fr-FR"/>
        </w:rPr>
        <w:t>enfant</w:t>
      </w:r>
      <w:r w:rsidRPr="008970D0">
        <w:rPr>
          <w:lang w:val="fr-FR"/>
        </w:rPr>
        <w:t xml:space="preserve"> </w:t>
      </w:r>
    </w:p>
    <w:p w14:paraId="2045C14A" w14:textId="07829645" w:rsidR="00096DDD" w:rsidRPr="008970D0" w:rsidRDefault="00096DDD" w:rsidP="00984360">
      <w:pPr>
        <w:pStyle w:val="SingleTxtG"/>
        <w:tabs>
          <w:tab w:val="clear" w:pos="1701"/>
          <w:tab w:val="clear" w:pos="2268"/>
          <w:tab w:val="clear" w:pos="2835"/>
        </w:tabs>
        <w:rPr>
          <w:lang w:val="fr-FR"/>
        </w:rPr>
      </w:pPr>
      <w:r w:rsidRPr="008970D0">
        <w:rPr>
          <w:lang w:val="fr-FR"/>
        </w:rPr>
        <w:t>46.</w:t>
      </w:r>
      <w:r w:rsidRPr="008970D0">
        <w:rPr>
          <w:lang w:val="fr-FR"/>
        </w:rPr>
        <w:tab/>
        <w:t>Bien qu</w:t>
      </w:r>
      <w:r>
        <w:rPr>
          <w:lang w:val="fr-FR"/>
        </w:rPr>
        <w:t>’</w:t>
      </w:r>
      <w:r w:rsidRPr="008970D0">
        <w:rPr>
          <w:lang w:val="fr-FR"/>
        </w:rPr>
        <w:t>il salue les progrès accomplis dans le domaine des services de garde d</w:t>
      </w:r>
      <w:r>
        <w:rPr>
          <w:lang w:val="fr-FR"/>
        </w:rPr>
        <w:t>’</w:t>
      </w:r>
      <w:r w:rsidRPr="008970D0">
        <w:rPr>
          <w:lang w:val="fr-FR"/>
        </w:rPr>
        <w:t>enfants, le Comité est préoccupé par le fait que les mesures prises ne suffisent pas à régler la question du partage des responsabilités parentales et des possibilités de garde d</w:t>
      </w:r>
      <w:r>
        <w:rPr>
          <w:lang w:val="fr-FR"/>
        </w:rPr>
        <w:t>’</w:t>
      </w:r>
      <w:r w:rsidRPr="008970D0">
        <w:rPr>
          <w:lang w:val="fr-FR"/>
        </w:rPr>
        <w:t xml:space="preserve">enfants. En outre, il note avec préoccupation que ce sont </w:t>
      </w:r>
      <w:r>
        <w:rPr>
          <w:lang w:val="fr-FR"/>
        </w:rPr>
        <w:t xml:space="preserve">plus </w:t>
      </w:r>
      <w:r w:rsidRPr="008970D0">
        <w:rPr>
          <w:lang w:val="fr-FR"/>
        </w:rPr>
        <w:t>souvent les femmes qui s</w:t>
      </w:r>
      <w:r>
        <w:rPr>
          <w:lang w:val="fr-FR"/>
        </w:rPr>
        <w:t>’</w:t>
      </w:r>
      <w:r w:rsidRPr="008970D0">
        <w:rPr>
          <w:lang w:val="fr-FR"/>
        </w:rPr>
        <w:t>occupent de la famille et qui sont confrontées au problème de l</w:t>
      </w:r>
      <w:r>
        <w:rPr>
          <w:lang w:val="fr-FR"/>
        </w:rPr>
        <w:t>’</w:t>
      </w:r>
      <w:r w:rsidRPr="008970D0">
        <w:rPr>
          <w:lang w:val="fr-FR"/>
        </w:rPr>
        <w:t>équilibre entre vie professionnelle et vie personnelle, et qu</w:t>
      </w:r>
      <w:r>
        <w:rPr>
          <w:lang w:val="fr-FR"/>
        </w:rPr>
        <w:t>’</w:t>
      </w:r>
      <w:r w:rsidRPr="008970D0">
        <w:rPr>
          <w:lang w:val="fr-FR"/>
        </w:rPr>
        <w:t xml:space="preserve">elles ont notamment des difficultés à réintégrer le marché du travail après leur congé de maternité </w:t>
      </w:r>
      <w:r w:rsidR="00F40B59">
        <w:rPr>
          <w:lang w:val="fr-FR"/>
        </w:rPr>
        <w:t>(art. </w:t>
      </w:r>
      <w:r w:rsidRPr="008970D0">
        <w:rPr>
          <w:lang w:val="fr-FR"/>
        </w:rPr>
        <w:t>10).</w:t>
      </w:r>
    </w:p>
    <w:p w14:paraId="2F15016F" w14:textId="089C8D90" w:rsidR="00096DDD" w:rsidRPr="008970D0" w:rsidRDefault="00096DDD" w:rsidP="00984360">
      <w:pPr>
        <w:pStyle w:val="SingleTxtG"/>
        <w:keepNext/>
        <w:tabs>
          <w:tab w:val="clear" w:pos="1701"/>
          <w:tab w:val="clear" w:pos="2268"/>
          <w:tab w:val="clear" w:pos="2835"/>
        </w:tabs>
        <w:rPr>
          <w:b/>
          <w:lang w:val="fr-FR"/>
        </w:rPr>
      </w:pPr>
      <w:r w:rsidRPr="008970D0">
        <w:rPr>
          <w:lang w:val="fr-FR"/>
        </w:rPr>
        <w:lastRenderedPageBreak/>
        <w:t>47.</w:t>
      </w:r>
      <w:r w:rsidRPr="008970D0">
        <w:rPr>
          <w:lang w:val="fr-FR"/>
        </w:rPr>
        <w:tab/>
      </w:r>
      <w:r w:rsidRPr="008970D0">
        <w:rPr>
          <w:b/>
          <w:bCs/>
          <w:lang w:val="fr-FR"/>
        </w:rPr>
        <w:t>Le Comité recommande à l</w:t>
      </w:r>
      <w:r>
        <w:rPr>
          <w:b/>
          <w:bCs/>
          <w:lang w:val="fr-FR"/>
        </w:rPr>
        <w:t>’</w:t>
      </w:r>
      <w:r w:rsidRPr="008970D0">
        <w:rPr>
          <w:b/>
          <w:bCs/>
          <w:lang w:val="fr-FR"/>
        </w:rPr>
        <w:t>État partie</w:t>
      </w:r>
      <w:r w:rsidR="00984360">
        <w:rPr>
          <w:b/>
          <w:bCs/>
          <w:lang w:val="fr-FR"/>
        </w:rPr>
        <w:t> :</w:t>
      </w:r>
    </w:p>
    <w:p w14:paraId="53E4D916" w14:textId="736FB167" w:rsidR="00096DDD" w:rsidRPr="008970D0" w:rsidRDefault="00096DDD" w:rsidP="00984360">
      <w:pPr>
        <w:pStyle w:val="SingleTxtG"/>
        <w:ind w:firstLine="567"/>
        <w:rPr>
          <w:b/>
          <w:bCs/>
          <w:lang w:val="fr-FR"/>
        </w:rPr>
      </w:pPr>
      <w:r w:rsidRPr="00984360">
        <w:rPr>
          <w:b/>
          <w:bCs/>
          <w:lang w:val="fr-FR"/>
        </w:rPr>
        <w:t>a)</w:t>
      </w:r>
      <w:r w:rsidRPr="00984360">
        <w:rPr>
          <w:b/>
          <w:bCs/>
          <w:lang w:val="fr-FR"/>
        </w:rPr>
        <w:tab/>
      </w:r>
      <w:r w:rsidRPr="008970D0">
        <w:rPr>
          <w:b/>
          <w:bCs/>
          <w:lang w:val="fr-FR"/>
        </w:rPr>
        <w:t>De renforcer l</w:t>
      </w:r>
      <w:r>
        <w:rPr>
          <w:b/>
          <w:bCs/>
          <w:lang w:val="fr-FR"/>
        </w:rPr>
        <w:t>’</w:t>
      </w:r>
      <w:r w:rsidRPr="008970D0">
        <w:rPr>
          <w:b/>
          <w:bCs/>
          <w:lang w:val="fr-FR"/>
        </w:rPr>
        <w:t>offre de structures et de services de garde d</w:t>
      </w:r>
      <w:r>
        <w:rPr>
          <w:b/>
          <w:bCs/>
          <w:lang w:val="fr-FR"/>
        </w:rPr>
        <w:t>’</w:t>
      </w:r>
      <w:r w:rsidRPr="008970D0">
        <w:rPr>
          <w:b/>
          <w:bCs/>
          <w:lang w:val="fr-FR"/>
        </w:rPr>
        <w:t>enfants adaptés et de qualité, ainsi que de faciliter l</w:t>
      </w:r>
      <w:r>
        <w:rPr>
          <w:b/>
          <w:bCs/>
          <w:lang w:val="fr-FR"/>
        </w:rPr>
        <w:t>’</w:t>
      </w:r>
      <w:r w:rsidRPr="008970D0">
        <w:rPr>
          <w:b/>
          <w:bCs/>
          <w:lang w:val="fr-FR"/>
        </w:rPr>
        <w:t>accès à des modalités de travail flexibles</w:t>
      </w:r>
      <w:r w:rsidR="002542B8">
        <w:rPr>
          <w:b/>
          <w:bCs/>
          <w:lang w:val="fr-FR"/>
        </w:rPr>
        <w:t> ;</w:t>
      </w:r>
    </w:p>
    <w:p w14:paraId="0D691210" w14:textId="77777777" w:rsidR="00096DDD" w:rsidRPr="008970D0" w:rsidRDefault="00096DDD" w:rsidP="00984360">
      <w:pPr>
        <w:pStyle w:val="SingleTxtG"/>
        <w:ind w:firstLine="567"/>
        <w:rPr>
          <w:b/>
          <w:bCs/>
          <w:lang w:val="fr-FR"/>
        </w:rPr>
      </w:pPr>
      <w:r w:rsidRPr="00984360">
        <w:rPr>
          <w:b/>
          <w:bCs/>
          <w:lang w:val="fr-FR"/>
        </w:rPr>
        <w:t>b)</w:t>
      </w:r>
      <w:r w:rsidRPr="00984360">
        <w:rPr>
          <w:b/>
          <w:bCs/>
          <w:lang w:val="fr-FR"/>
        </w:rPr>
        <w:tab/>
      </w:r>
      <w:r w:rsidRPr="008970D0">
        <w:rPr>
          <w:b/>
          <w:bCs/>
          <w:lang w:val="fr-FR"/>
        </w:rPr>
        <w:t>De prendre des mesures globales pour éliminer les stéréotypes concernant le rôle des femmes et des hommes,  notamment de mener des campagnes dans les médias, de mobiliser des leaders d</w:t>
      </w:r>
      <w:r>
        <w:rPr>
          <w:b/>
          <w:bCs/>
          <w:lang w:val="fr-FR"/>
        </w:rPr>
        <w:t>’</w:t>
      </w:r>
      <w:r w:rsidRPr="008970D0">
        <w:rPr>
          <w:b/>
          <w:bCs/>
          <w:lang w:val="fr-FR"/>
        </w:rPr>
        <w:t>opinion et de sensibiliser le grand public au partage égal des droits et des responsabilités entre hommes et femmes dans la famille et dans la société.</w:t>
      </w:r>
    </w:p>
    <w:p w14:paraId="12E6A6F6" w14:textId="77777777" w:rsidR="00096DDD" w:rsidRPr="008970D0" w:rsidRDefault="00096DDD" w:rsidP="00984360">
      <w:pPr>
        <w:pStyle w:val="H23G"/>
        <w:rPr>
          <w:lang w:val="fr-FR"/>
        </w:rPr>
      </w:pPr>
      <w:r w:rsidRPr="008970D0">
        <w:rPr>
          <w:lang w:val="fr-FR"/>
        </w:rPr>
        <w:tab/>
      </w:r>
      <w:r w:rsidRPr="008970D0">
        <w:rPr>
          <w:lang w:val="fr-FR"/>
        </w:rPr>
        <w:tab/>
        <w:t>Violence domestique</w:t>
      </w:r>
    </w:p>
    <w:p w14:paraId="359FF938" w14:textId="14EEDD6E" w:rsidR="00096DDD" w:rsidRPr="008970D0" w:rsidRDefault="00096DDD" w:rsidP="00984360">
      <w:pPr>
        <w:pStyle w:val="SingleTxtG"/>
        <w:tabs>
          <w:tab w:val="clear" w:pos="1701"/>
          <w:tab w:val="clear" w:pos="2268"/>
          <w:tab w:val="clear" w:pos="2835"/>
        </w:tabs>
        <w:rPr>
          <w:lang w:val="fr-FR"/>
        </w:rPr>
      </w:pPr>
      <w:r w:rsidRPr="008970D0">
        <w:rPr>
          <w:lang w:val="fr-FR"/>
        </w:rPr>
        <w:t>48.</w:t>
      </w:r>
      <w:r w:rsidRPr="008970D0">
        <w:rPr>
          <w:lang w:val="fr-FR"/>
        </w:rPr>
        <w:tab/>
        <w:t>Le Comité relève avec préoccupation que la violence domestique, qui vise principalement les femmes, est toujours omniprésente dans l</w:t>
      </w:r>
      <w:r>
        <w:rPr>
          <w:lang w:val="fr-FR"/>
        </w:rPr>
        <w:t>’</w:t>
      </w:r>
      <w:r w:rsidRPr="008970D0">
        <w:rPr>
          <w:lang w:val="fr-FR"/>
        </w:rPr>
        <w:t>État partie, alors qu</w:t>
      </w:r>
      <w:r>
        <w:rPr>
          <w:lang w:val="fr-FR"/>
        </w:rPr>
        <w:t>’</w:t>
      </w:r>
      <w:r w:rsidRPr="008970D0">
        <w:rPr>
          <w:lang w:val="fr-FR"/>
        </w:rPr>
        <w:t xml:space="preserve">elle est réprimée par le Code pénal et que les autorités disposent légalement des moyens nécessaires pour y répondre. </w:t>
      </w:r>
      <w:r>
        <w:rPr>
          <w:lang w:val="fr-FR"/>
        </w:rPr>
        <w:t>Il</w:t>
      </w:r>
      <w:r w:rsidRPr="008970D0">
        <w:rPr>
          <w:lang w:val="fr-FR"/>
        </w:rPr>
        <w:t xml:space="preserve"> relève également avec préoccupation que les violences domestiques sont rarement signalées aux autorités compétentes </w:t>
      </w:r>
      <w:r w:rsidR="00F40B59">
        <w:rPr>
          <w:lang w:val="fr-FR"/>
        </w:rPr>
        <w:t>(art. </w:t>
      </w:r>
      <w:r w:rsidRPr="008970D0">
        <w:rPr>
          <w:lang w:val="fr-FR"/>
        </w:rPr>
        <w:t>10).</w:t>
      </w:r>
    </w:p>
    <w:p w14:paraId="5528A89E" w14:textId="3B246415" w:rsidR="00096DDD" w:rsidRPr="008970D0" w:rsidRDefault="00096DDD" w:rsidP="00C95FC7">
      <w:pPr>
        <w:pStyle w:val="SingleTxtG"/>
        <w:keepNext/>
        <w:tabs>
          <w:tab w:val="clear" w:pos="1701"/>
          <w:tab w:val="clear" w:pos="2268"/>
          <w:tab w:val="clear" w:pos="2835"/>
        </w:tabs>
        <w:rPr>
          <w:b/>
          <w:bCs/>
          <w:lang w:val="fr-FR"/>
        </w:rPr>
      </w:pPr>
      <w:r w:rsidRPr="008970D0">
        <w:rPr>
          <w:lang w:val="fr-FR"/>
        </w:rPr>
        <w:t>49.</w:t>
      </w:r>
      <w:r w:rsidRPr="008970D0">
        <w:rPr>
          <w:lang w:val="fr-FR"/>
        </w:rPr>
        <w:tab/>
      </w:r>
      <w:r w:rsidRPr="008970D0">
        <w:rPr>
          <w:b/>
          <w:bCs/>
          <w:lang w:val="fr-FR"/>
        </w:rPr>
        <w:t>Le Comité recommande à l</w:t>
      </w:r>
      <w:r>
        <w:rPr>
          <w:b/>
          <w:bCs/>
          <w:lang w:val="fr-FR"/>
        </w:rPr>
        <w:t>’</w:t>
      </w:r>
      <w:r w:rsidRPr="008970D0">
        <w:rPr>
          <w:b/>
          <w:bCs/>
          <w:lang w:val="fr-FR"/>
        </w:rPr>
        <w:t>État partie de revoir sa législation en matière de lutte contre la violence domestique et de redoubler d</w:t>
      </w:r>
      <w:r>
        <w:rPr>
          <w:b/>
          <w:bCs/>
          <w:lang w:val="fr-FR"/>
        </w:rPr>
        <w:t>’</w:t>
      </w:r>
      <w:r w:rsidRPr="008970D0">
        <w:rPr>
          <w:b/>
          <w:bCs/>
          <w:lang w:val="fr-FR"/>
        </w:rPr>
        <w:t>efforts en vue</w:t>
      </w:r>
      <w:r w:rsidR="002542B8">
        <w:rPr>
          <w:b/>
          <w:bCs/>
          <w:lang w:val="fr-FR"/>
        </w:rPr>
        <w:t> :</w:t>
      </w:r>
    </w:p>
    <w:p w14:paraId="13D995FC" w14:textId="710A2AEA" w:rsidR="00096DDD" w:rsidRPr="00984360" w:rsidRDefault="00096DDD" w:rsidP="00984360">
      <w:pPr>
        <w:pStyle w:val="SingleTxtG"/>
        <w:ind w:firstLine="567"/>
        <w:rPr>
          <w:b/>
          <w:bCs/>
          <w:lang w:val="fr-FR"/>
        </w:rPr>
      </w:pPr>
      <w:r w:rsidRPr="00984360">
        <w:rPr>
          <w:b/>
          <w:bCs/>
          <w:lang w:val="fr-FR"/>
        </w:rPr>
        <w:t>a)</w:t>
      </w:r>
      <w:r w:rsidRPr="00984360">
        <w:rPr>
          <w:b/>
          <w:bCs/>
          <w:lang w:val="fr-FR"/>
        </w:rPr>
        <w:tab/>
        <w:t>D’encourager le signalement des actes de violence domestique</w:t>
      </w:r>
      <w:r w:rsidR="002542B8">
        <w:rPr>
          <w:b/>
          <w:bCs/>
          <w:lang w:val="fr-FR"/>
        </w:rPr>
        <w:t> ;</w:t>
      </w:r>
    </w:p>
    <w:p w14:paraId="1D5B9D32" w14:textId="332E3179" w:rsidR="00096DDD" w:rsidRPr="00984360" w:rsidRDefault="00096DDD" w:rsidP="00984360">
      <w:pPr>
        <w:pStyle w:val="SingleTxtG"/>
        <w:ind w:firstLine="567"/>
        <w:rPr>
          <w:b/>
          <w:bCs/>
          <w:lang w:val="fr-FR"/>
        </w:rPr>
      </w:pPr>
      <w:r w:rsidRPr="00984360">
        <w:rPr>
          <w:b/>
          <w:bCs/>
          <w:lang w:val="fr-FR"/>
        </w:rPr>
        <w:t>b)</w:t>
      </w:r>
      <w:r w:rsidRPr="00984360">
        <w:rPr>
          <w:b/>
          <w:bCs/>
          <w:lang w:val="fr-FR"/>
        </w:rPr>
        <w:tab/>
        <w:t>De faire en sorte que tous les cas de violence domestique soient signalés rapidement, qu’ils donnent lieu à des enquêtes approfondies et que leurs auteurs soient punis</w:t>
      </w:r>
      <w:r w:rsidR="002542B8">
        <w:rPr>
          <w:b/>
          <w:bCs/>
          <w:lang w:val="fr-FR"/>
        </w:rPr>
        <w:t> ;</w:t>
      </w:r>
    </w:p>
    <w:p w14:paraId="5EAA46ED" w14:textId="653A41A3" w:rsidR="00096DDD" w:rsidRPr="00984360" w:rsidRDefault="00096DDD" w:rsidP="00984360">
      <w:pPr>
        <w:pStyle w:val="SingleTxtG"/>
        <w:ind w:firstLine="567"/>
        <w:rPr>
          <w:b/>
          <w:bCs/>
          <w:lang w:val="fr-FR"/>
        </w:rPr>
      </w:pPr>
      <w:r w:rsidRPr="00984360">
        <w:rPr>
          <w:b/>
          <w:bCs/>
          <w:lang w:val="fr-FR"/>
        </w:rPr>
        <w:t>c)</w:t>
      </w:r>
      <w:r w:rsidRPr="00984360">
        <w:rPr>
          <w:b/>
          <w:bCs/>
          <w:lang w:val="fr-FR"/>
        </w:rPr>
        <w:tab/>
        <w:t>De redoubler d’efforts pour sensibiliser les responsables de l’application des lois et les professionnels concernés, ainsi que l’ensemble de la population, au caractère criminel de la violence domestique, notamment par une campagne de tolérance zéro affirmant qu’une telle violence est inacceptable</w:t>
      </w:r>
      <w:r w:rsidR="002542B8">
        <w:rPr>
          <w:b/>
          <w:bCs/>
          <w:lang w:val="fr-FR"/>
        </w:rPr>
        <w:t> ;</w:t>
      </w:r>
    </w:p>
    <w:p w14:paraId="456FE20A" w14:textId="7CAF9550" w:rsidR="00096DDD" w:rsidRPr="00984360" w:rsidRDefault="00096DDD" w:rsidP="00984360">
      <w:pPr>
        <w:pStyle w:val="SingleTxtG"/>
        <w:ind w:firstLine="567"/>
        <w:rPr>
          <w:b/>
          <w:bCs/>
          <w:lang w:val="fr-FR"/>
        </w:rPr>
      </w:pPr>
      <w:r w:rsidRPr="00984360">
        <w:rPr>
          <w:b/>
          <w:bCs/>
          <w:lang w:val="fr-FR"/>
        </w:rPr>
        <w:t>d)</w:t>
      </w:r>
      <w:r w:rsidRPr="00984360">
        <w:rPr>
          <w:b/>
          <w:bCs/>
          <w:lang w:val="fr-FR"/>
        </w:rPr>
        <w:tab/>
        <w:t>De fournir aux personnes ayant subi des violences domestiques tout le soutien juridique, médical, financier et psychologique nécessaire</w:t>
      </w:r>
      <w:r w:rsidR="002542B8">
        <w:rPr>
          <w:b/>
          <w:bCs/>
          <w:lang w:val="fr-FR"/>
        </w:rPr>
        <w:t> ;</w:t>
      </w:r>
    </w:p>
    <w:p w14:paraId="703F81B5" w14:textId="77777777" w:rsidR="00096DDD" w:rsidRPr="00984360" w:rsidRDefault="00096DDD" w:rsidP="00984360">
      <w:pPr>
        <w:pStyle w:val="SingleTxtG"/>
        <w:ind w:firstLine="567"/>
        <w:rPr>
          <w:b/>
          <w:bCs/>
          <w:lang w:val="fr-FR"/>
        </w:rPr>
      </w:pPr>
      <w:r w:rsidRPr="00984360">
        <w:rPr>
          <w:b/>
          <w:bCs/>
          <w:lang w:val="fr-FR"/>
        </w:rPr>
        <w:t>e)</w:t>
      </w:r>
      <w:r w:rsidRPr="00984360">
        <w:rPr>
          <w:b/>
          <w:bCs/>
          <w:lang w:val="fr-FR"/>
        </w:rPr>
        <w:tab/>
        <w:t>De sensibiliser l’opinion publique à la gravité et au caractère pénal de la violence domestique.</w:t>
      </w:r>
    </w:p>
    <w:p w14:paraId="4F5FE20E" w14:textId="77777777" w:rsidR="00096DDD" w:rsidRPr="008970D0" w:rsidRDefault="00096DDD" w:rsidP="00984360">
      <w:pPr>
        <w:pStyle w:val="H23G"/>
        <w:rPr>
          <w:lang w:val="fr-FR"/>
        </w:rPr>
      </w:pPr>
      <w:r w:rsidRPr="008970D0">
        <w:rPr>
          <w:lang w:val="fr-FR"/>
        </w:rPr>
        <w:tab/>
      </w:r>
      <w:r w:rsidRPr="008970D0">
        <w:rPr>
          <w:lang w:val="fr-FR"/>
        </w:rPr>
        <w:tab/>
        <w:t>Droit à un logement convenable</w:t>
      </w:r>
    </w:p>
    <w:p w14:paraId="2C70231B" w14:textId="525BE8F4" w:rsidR="00096DDD" w:rsidRPr="008970D0" w:rsidRDefault="00096DDD" w:rsidP="00984360">
      <w:pPr>
        <w:pStyle w:val="SingleTxtG"/>
        <w:tabs>
          <w:tab w:val="clear" w:pos="1701"/>
          <w:tab w:val="clear" w:pos="2268"/>
          <w:tab w:val="clear" w:pos="2835"/>
        </w:tabs>
        <w:rPr>
          <w:lang w:val="fr-FR"/>
        </w:rPr>
      </w:pPr>
      <w:r w:rsidRPr="008970D0">
        <w:rPr>
          <w:lang w:val="fr-FR"/>
        </w:rPr>
        <w:t>50.</w:t>
      </w:r>
      <w:r w:rsidRPr="008970D0">
        <w:rPr>
          <w:lang w:val="fr-FR"/>
        </w:rPr>
        <w:tab/>
        <w:t>Tout en prenant note des mesures que l</w:t>
      </w:r>
      <w:r>
        <w:rPr>
          <w:lang w:val="fr-FR"/>
        </w:rPr>
        <w:t>’</w:t>
      </w:r>
      <w:r w:rsidRPr="008970D0">
        <w:rPr>
          <w:lang w:val="fr-FR"/>
        </w:rPr>
        <w:t>État partie a prises pour réduire le taux de besoins non satisfaits en matière de logement social, le Comité est préoccupé par les obstacles à l</w:t>
      </w:r>
      <w:r>
        <w:rPr>
          <w:lang w:val="fr-FR"/>
        </w:rPr>
        <w:t>’</w:t>
      </w:r>
      <w:r w:rsidRPr="008970D0">
        <w:rPr>
          <w:lang w:val="fr-FR"/>
        </w:rPr>
        <w:t xml:space="preserve">accès au logement auxquels se heurtent en permanence les personnes et groupes désavantagés. </w:t>
      </w:r>
      <w:r>
        <w:rPr>
          <w:lang w:val="fr-FR"/>
        </w:rPr>
        <w:t xml:space="preserve">Il </w:t>
      </w:r>
      <w:r w:rsidRPr="008970D0">
        <w:rPr>
          <w:lang w:val="fr-FR"/>
        </w:rPr>
        <w:t xml:space="preserve">est </w:t>
      </w:r>
      <w:r>
        <w:rPr>
          <w:lang w:val="fr-FR"/>
        </w:rPr>
        <w:t xml:space="preserve">également </w:t>
      </w:r>
      <w:r w:rsidRPr="008970D0">
        <w:rPr>
          <w:lang w:val="fr-FR"/>
        </w:rPr>
        <w:t>préoccupé par l</w:t>
      </w:r>
      <w:r>
        <w:rPr>
          <w:lang w:val="fr-FR"/>
        </w:rPr>
        <w:t>’</w:t>
      </w:r>
      <w:r w:rsidRPr="008970D0">
        <w:rPr>
          <w:lang w:val="fr-FR"/>
        </w:rPr>
        <w:t>absence d</w:t>
      </w:r>
      <w:r>
        <w:rPr>
          <w:lang w:val="fr-FR"/>
        </w:rPr>
        <w:t>’</w:t>
      </w:r>
      <w:r w:rsidRPr="008970D0">
        <w:rPr>
          <w:lang w:val="fr-FR"/>
        </w:rPr>
        <w:t xml:space="preserve">informations concernant les Roms qui vivaient dans le campement de </w:t>
      </w:r>
      <w:proofErr w:type="spellStart"/>
      <w:r w:rsidRPr="008970D0">
        <w:rPr>
          <w:lang w:val="fr-FR"/>
        </w:rPr>
        <w:t>Kirtimai</w:t>
      </w:r>
      <w:proofErr w:type="spellEnd"/>
      <w:r w:rsidRPr="008970D0">
        <w:rPr>
          <w:lang w:val="fr-FR"/>
        </w:rPr>
        <w:t>, aujourd</w:t>
      </w:r>
      <w:r>
        <w:rPr>
          <w:lang w:val="fr-FR"/>
        </w:rPr>
        <w:t>’</w:t>
      </w:r>
      <w:r w:rsidRPr="008970D0">
        <w:rPr>
          <w:lang w:val="fr-FR"/>
        </w:rPr>
        <w:t xml:space="preserve">hui détruit, et leurs conditions de logement et de vie actuelles. </w:t>
      </w:r>
      <w:r>
        <w:rPr>
          <w:lang w:val="fr-FR"/>
        </w:rPr>
        <w:t>Il</w:t>
      </w:r>
      <w:r w:rsidRPr="008970D0">
        <w:rPr>
          <w:lang w:val="fr-FR"/>
        </w:rPr>
        <w:t xml:space="preserve"> regrette </w:t>
      </w:r>
      <w:r>
        <w:rPr>
          <w:lang w:val="fr-FR"/>
        </w:rPr>
        <w:t>de ne pas disposer d’informations sur les</w:t>
      </w:r>
      <w:r w:rsidRPr="008970D0">
        <w:rPr>
          <w:lang w:val="fr-FR"/>
        </w:rPr>
        <w:t xml:space="preserve"> mesures adoptées en vue d</w:t>
      </w:r>
      <w:r>
        <w:rPr>
          <w:lang w:val="fr-FR"/>
        </w:rPr>
        <w:t>’</w:t>
      </w:r>
      <w:r w:rsidRPr="008970D0">
        <w:rPr>
          <w:lang w:val="fr-FR"/>
        </w:rPr>
        <w:t>améliorer les conditions de logement des personnes ayant obtenu l</w:t>
      </w:r>
      <w:r>
        <w:rPr>
          <w:lang w:val="fr-FR"/>
        </w:rPr>
        <w:t>’</w:t>
      </w:r>
      <w:r w:rsidRPr="008970D0">
        <w:rPr>
          <w:lang w:val="fr-FR"/>
        </w:rPr>
        <w:t>asile ou bénéficiant d</w:t>
      </w:r>
      <w:r>
        <w:rPr>
          <w:lang w:val="fr-FR"/>
        </w:rPr>
        <w:t>’</w:t>
      </w:r>
      <w:r w:rsidRPr="008970D0">
        <w:rPr>
          <w:lang w:val="fr-FR"/>
        </w:rPr>
        <w:t xml:space="preserve">une protection subsidiaire </w:t>
      </w:r>
      <w:r w:rsidR="00F40B59">
        <w:rPr>
          <w:lang w:val="fr-FR"/>
        </w:rPr>
        <w:t>(art. </w:t>
      </w:r>
      <w:r w:rsidRPr="008970D0">
        <w:rPr>
          <w:lang w:val="fr-FR"/>
        </w:rPr>
        <w:t>11).</w:t>
      </w:r>
    </w:p>
    <w:p w14:paraId="64FF8B7D" w14:textId="77777777" w:rsidR="00096DDD" w:rsidRPr="008970D0" w:rsidRDefault="00096DDD" w:rsidP="00012C2B">
      <w:pPr>
        <w:pStyle w:val="SingleTxtG"/>
        <w:keepNext/>
        <w:tabs>
          <w:tab w:val="clear" w:pos="1701"/>
          <w:tab w:val="clear" w:pos="2268"/>
          <w:tab w:val="clear" w:pos="2835"/>
        </w:tabs>
        <w:rPr>
          <w:b/>
          <w:lang w:val="fr-FR"/>
        </w:rPr>
      </w:pPr>
      <w:r w:rsidRPr="008970D0">
        <w:rPr>
          <w:lang w:val="fr-FR"/>
        </w:rPr>
        <w:t>51.</w:t>
      </w:r>
      <w:r w:rsidRPr="008970D0">
        <w:rPr>
          <w:lang w:val="fr-FR"/>
        </w:rPr>
        <w:tab/>
      </w:r>
      <w:r w:rsidRPr="008970D0">
        <w:rPr>
          <w:b/>
          <w:bCs/>
          <w:lang w:val="fr-FR"/>
        </w:rPr>
        <w:t>Réitérant les recommandations formulées dans ses précédentes observations finales</w:t>
      </w:r>
      <w:r w:rsidRPr="001043D5">
        <w:rPr>
          <w:rStyle w:val="Appelnotedebasdep"/>
        </w:rPr>
        <w:footnoteReference w:id="14"/>
      </w:r>
      <w:r w:rsidRPr="008970D0">
        <w:rPr>
          <w:b/>
          <w:bCs/>
          <w:lang w:val="fr-FR"/>
        </w:rPr>
        <w:t>, le Comité recommande à l</w:t>
      </w:r>
      <w:r>
        <w:rPr>
          <w:b/>
          <w:bCs/>
          <w:lang w:val="fr-FR"/>
        </w:rPr>
        <w:t>’</w:t>
      </w:r>
      <w:r w:rsidRPr="008970D0">
        <w:rPr>
          <w:b/>
          <w:bCs/>
          <w:lang w:val="fr-FR"/>
        </w:rPr>
        <w:t>État partie :</w:t>
      </w:r>
    </w:p>
    <w:p w14:paraId="3A971B98" w14:textId="5B6D7ED3" w:rsidR="00096DDD" w:rsidRPr="008970D0" w:rsidRDefault="00096DDD" w:rsidP="00984360">
      <w:pPr>
        <w:pStyle w:val="SingleTxtG"/>
        <w:ind w:firstLine="567"/>
        <w:rPr>
          <w:b/>
          <w:bCs/>
          <w:lang w:val="fr-FR"/>
        </w:rPr>
      </w:pPr>
      <w:r w:rsidRPr="00984360">
        <w:rPr>
          <w:b/>
          <w:bCs/>
          <w:lang w:val="fr-FR"/>
        </w:rPr>
        <w:t>a)</w:t>
      </w:r>
      <w:r w:rsidRPr="00984360">
        <w:rPr>
          <w:b/>
          <w:bCs/>
          <w:lang w:val="fr-FR"/>
        </w:rPr>
        <w:tab/>
      </w:r>
      <w:r w:rsidRPr="008970D0">
        <w:rPr>
          <w:b/>
          <w:bCs/>
          <w:lang w:val="fr-FR"/>
        </w:rPr>
        <w:t>De redoubler d</w:t>
      </w:r>
      <w:r>
        <w:rPr>
          <w:b/>
          <w:bCs/>
          <w:lang w:val="fr-FR"/>
        </w:rPr>
        <w:t>’</w:t>
      </w:r>
      <w:r w:rsidRPr="008970D0">
        <w:rPr>
          <w:b/>
          <w:bCs/>
          <w:lang w:val="fr-FR"/>
        </w:rPr>
        <w:t>efforts pour faire en sorte que la politique nationale en matière de logement donne la priorité aux besoins des groupes marginalisés et vulnérables qui n</w:t>
      </w:r>
      <w:r>
        <w:rPr>
          <w:b/>
          <w:bCs/>
          <w:lang w:val="fr-FR"/>
        </w:rPr>
        <w:t>’</w:t>
      </w:r>
      <w:r w:rsidRPr="008970D0">
        <w:rPr>
          <w:b/>
          <w:bCs/>
          <w:lang w:val="fr-FR"/>
        </w:rPr>
        <w:t>ont pas accès à un logement convenable ni aux services et équipements de base, et d</w:t>
      </w:r>
      <w:r>
        <w:rPr>
          <w:b/>
          <w:bCs/>
          <w:lang w:val="fr-FR"/>
        </w:rPr>
        <w:t>’</w:t>
      </w:r>
      <w:r w:rsidRPr="008970D0">
        <w:rPr>
          <w:b/>
          <w:bCs/>
          <w:lang w:val="fr-FR"/>
        </w:rPr>
        <w:t>allouer des ressources suffisantes pour assurer l</w:t>
      </w:r>
      <w:r>
        <w:rPr>
          <w:b/>
          <w:bCs/>
          <w:lang w:val="fr-FR"/>
        </w:rPr>
        <w:t>’</w:t>
      </w:r>
      <w:r w:rsidRPr="008970D0">
        <w:rPr>
          <w:b/>
          <w:bCs/>
          <w:lang w:val="fr-FR"/>
        </w:rPr>
        <w:t>application efficace de cette politique</w:t>
      </w:r>
      <w:r w:rsidR="002542B8">
        <w:rPr>
          <w:b/>
          <w:bCs/>
          <w:lang w:val="fr-FR"/>
        </w:rPr>
        <w:t> ;</w:t>
      </w:r>
    </w:p>
    <w:p w14:paraId="520A603F" w14:textId="36CA25CA" w:rsidR="00096DDD" w:rsidRPr="00984360" w:rsidRDefault="00096DDD" w:rsidP="00984360">
      <w:pPr>
        <w:pStyle w:val="SingleTxtG"/>
        <w:ind w:firstLine="567"/>
        <w:rPr>
          <w:b/>
          <w:bCs/>
          <w:lang w:val="fr-FR"/>
        </w:rPr>
      </w:pPr>
      <w:r w:rsidRPr="00984360">
        <w:rPr>
          <w:b/>
          <w:bCs/>
          <w:lang w:val="fr-FR"/>
        </w:rPr>
        <w:t>b)</w:t>
      </w:r>
      <w:r w:rsidRPr="00984360">
        <w:rPr>
          <w:b/>
          <w:bCs/>
          <w:lang w:val="fr-FR"/>
        </w:rPr>
        <w:tab/>
      </w:r>
      <w:r w:rsidRPr="008970D0">
        <w:rPr>
          <w:b/>
          <w:bCs/>
          <w:lang w:val="fr-FR"/>
        </w:rPr>
        <w:t>D</w:t>
      </w:r>
      <w:r>
        <w:rPr>
          <w:b/>
          <w:bCs/>
          <w:lang w:val="fr-FR"/>
        </w:rPr>
        <w:t>’</w:t>
      </w:r>
      <w:r w:rsidRPr="008970D0">
        <w:rPr>
          <w:b/>
          <w:bCs/>
          <w:lang w:val="fr-FR"/>
        </w:rPr>
        <w:t xml:space="preserve">accroître la disponibilité de logements </w:t>
      </w:r>
      <w:r>
        <w:rPr>
          <w:b/>
          <w:bCs/>
          <w:lang w:val="fr-FR"/>
        </w:rPr>
        <w:t>convenable</w:t>
      </w:r>
      <w:r w:rsidRPr="008970D0">
        <w:rPr>
          <w:b/>
          <w:bCs/>
          <w:lang w:val="fr-FR"/>
        </w:rPr>
        <w:t>s et abordables, notamment en augmentant l</w:t>
      </w:r>
      <w:r>
        <w:rPr>
          <w:b/>
          <w:bCs/>
          <w:lang w:val="fr-FR"/>
        </w:rPr>
        <w:t>’</w:t>
      </w:r>
      <w:r w:rsidRPr="008970D0">
        <w:rPr>
          <w:b/>
          <w:bCs/>
          <w:lang w:val="fr-FR"/>
        </w:rPr>
        <w:t>offre de logements sociaux et en élargissant l</w:t>
      </w:r>
      <w:r>
        <w:rPr>
          <w:b/>
          <w:bCs/>
          <w:lang w:val="fr-FR"/>
        </w:rPr>
        <w:t>’</w:t>
      </w:r>
      <w:r w:rsidRPr="008970D0">
        <w:rPr>
          <w:b/>
          <w:bCs/>
          <w:lang w:val="fr-FR"/>
        </w:rPr>
        <w:t>octroi d</w:t>
      </w:r>
      <w:r>
        <w:rPr>
          <w:b/>
          <w:bCs/>
          <w:lang w:val="fr-FR"/>
        </w:rPr>
        <w:t>’</w:t>
      </w:r>
      <w:r w:rsidRPr="008970D0">
        <w:rPr>
          <w:b/>
          <w:bCs/>
          <w:lang w:val="fr-FR"/>
        </w:rPr>
        <w:t>aides au logement</w:t>
      </w:r>
      <w:r w:rsidR="002542B8">
        <w:rPr>
          <w:b/>
          <w:bCs/>
          <w:lang w:val="fr-FR"/>
        </w:rPr>
        <w:t> ;</w:t>
      </w:r>
    </w:p>
    <w:p w14:paraId="731B3C68" w14:textId="3972FCF2" w:rsidR="00096DDD" w:rsidRPr="008970D0" w:rsidRDefault="00096DDD" w:rsidP="0037225C">
      <w:pPr>
        <w:pStyle w:val="SingleTxtG"/>
        <w:ind w:firstLine="567"/>
        <w:rPr>
          <w:b/>
          <w:lang w:val="fr-FR"/>
        </w:rPr>
      </w:pPr>
      <w:r w:rsidRPr="0037225C">
        <w:rPr>
          <w:b/>
          <w:bCs/>
          <w:lang w:val="fr-FR"/>
        </w:rPr>
        <w:lastRenderedPageBreak/>
        <w:t>c)</w:t>
      </w:r>
      <w:r w:rsidRPr="0037225C">
        <w:rPr>
          <w:b/>
          <w:bCs/>
          <w:lang w:val="fr-FR"/>
        </w:rPr>
        <w:tab/>
      </w:r>
      <w:r w:rsidRPr="008970D0">
        <w:rPr>
          <w:b/>
          <w:bCs/>
          <w:lang w:val="fr-FR"/>
        </w:rPr>
        <w:t xml:space="preserve">De remédier aux causes profondes du sans-abrisme et de chercher des solutions à long terme pour les personnes sans abri, </w:t>
      </w:r>
      <w:r>
        <w:rPr>
          <w:b/>
          <w:bCs/>
          <w:lang w:val="fr-FR"/>
        </w:rPr>
        <w:t>et de tenir compte</w:t>
      </w:r>
      <w:r w:rsidRPr="008970D0">
        <w:rPr>
          <w:b/>
          <w:bCs/>
          <w:lang w:val="fr-FR"/>
        </w:rPr>
        <w:t xml:space="preserve"> de l</w:t>
      </w:r>
      <w:r>
        <w:rPr>
          <w:b/>
          <w:bCs/>
          <w:lang w:val="fr-FR"/>
        </w:rPr>
        <w:t>’</w:t>
      </w:r>
      <w:r w:rsidRPr="008970D0">
        <w:rPr>
          <w:b/>
          <w:bCs/>
          <w:lang w:val="fr-FR"/>
        </w:rPr>
        <w:t>observation générale n</w:t>
      </w:r>
      <w:r w:rsidRPr="008970D0">
        <w:rPr>
          <w:b/>
          <w:bCs/>
          <w:vertAlign w:val="superscript"/>
          <w:lang w:val="fr-FR"/>
        </w:rPr>
        <w:t>o</w:t>
      </w:r>
      <w:r w:rsidR="007D5F07">
        <w:rPr>
          <w:b/>
          <w:bCs/>
          <w:lang w:val="fr-FR"/>
        </w:rPr>
        <w:t> </w:t>
      </w:r>
      <w:r w:rsidRPr="008970D0">
        <w:rPr>
          <w:b/>
          <w:bCs/>
          <w:lang w:val="fr-FR"/>
        </w:rPr>
        <w:t>4 (1991) sur le droit à un logement suffisant et de sa déclaration sur le droit à l</w:t>
      </w:r>
      <w:r>
        <w:rPr>
          <w:b/>
          <w:bCs/>
          <w:lang w:val="fr-FR"/>
        </w:rPr>
        <w:t>’</w:t>
      </w:r>
      <w:r w:rsidRPr="008970D0">
        <w:rPr>
          <w:b/>
          <w:bCs/>
          <w:lang w:val="fr-FR"/>
        </w:rPr>
        <w:t>assainissement</w:t>
      </w:r>
      <w:r w:rsidRPr="001043D5">
        <w:rPr>
          <w:rStyle w:val="Appelnotedebasdep"/>
        </w:rPr>
        <w:footnoteReference w:id="15"/>
      </w:r>
      <w:r w:rsidRPr="008970D0">
        <w:rPr>
          <w:b/>
          <w:bCs/>
          <w:lang w:val="fr-FR"/>
        </w:rPr>
        <w:t>.</w:t>
      </w:r>
    </w:p>
    <w:p w14:paraId="76E954B8" w14:textId="77777777" w:rsidR="00096DDD" w:rsidRPr="008970D0" w:rsidRDefault="00096DDD" w:rsidP="0037225C">
      <w:pPr>
        <w:pStyle w:val="H23G"/>
        <w:rPr>
          <w:lang w:val="fr-FR"/>
        </w:rPr>
      </w:pPr>
      <w:r w:rsidRPr="008970D0">
        <w:rPr>
          <w:lang w:val="fr-FR"/>
        </w:rPr>
        <w:tab/>
      </w:r>
      <w:r w:rsidRPr="008970D0">
        <w:rPr>
          <w:lang w:val="fr-FR"/>
        </w:rPr>
        <w:tab/>
        <w:t>Soins de santé</w:t>
      </w:r>
    </w:p>
    <w:p w14:paraId="70640942" w14:textId="37669ACE" w:rsidR="00096DDD" w:rsidRPr="008970D0" w:rsidRDefault="00096DDD" w:rsidP="0037225C">
      <w:pPr>
        <w:pStyle w:val="SingleTxtG"/>
        <w:tabs>
          <w:tab w:val="clear" w:pos="1701"/>
          <w:tab w:val="clear" w:pos="2268"/>
          <w:tab w:val="clear" w:pos="2835"/>
        </w:tabs>
        <w:rPr>
          <w:lang w:val="fr-FR"/>
        </w:rPr>
      </w:pPr>
      <w:r w:rsidRPr="008970D0">
        <w:rPr>
          <w:lang w:val="fr-FR"/>
        </w:rPr>
        <w:t>52.</w:t>
      </w:r>
      <w:r w:rsidRPr="008970D0">
        <w:rPr>
          <w:lang w:val="fr-FR"/>
        </w:rPr>
        <w:tab/>
        <w:t>Tout en prenant note des améliorations en matière de disponibilité et d</w:t>
      </w:r>
      <w:r>
        <w:rPr>
          <w:lang w:val="fr-FR"/>
        </w:rPr>
        <w:t>’</w:t>
      </w:r>
      <w:r w:rsidRPr="008970D0">
        <w:rPr>
          <w:lang w:val="fr-FR"/>
        </w:rPr>
        <w:t>accessibilité des soins de santé primaires, le Comité s</w:t>
      </w:r>
      <w:r>
        <w:rPr>
          <w:lang w:val="fr-FR"/>
        </w:rPr>
        <w:t>’</w:t>
      </w:r>
      <w:r w:rsidRPr="008970D0">
        <w:rPr>
          <w:lang w:val="fr-FR"/>
        </w:rPr>
        <w:t>inquiète du fait que certains groupes sociaux, tels que les personnes âgées et les personnes les moins instruites, ont tendance à signaler davantage de besoins non satisfaits, et qu</w:t>
      </w:r>
      <w:r>
        <w:rPr>
          <w:lang w:val="fr-FR"/>
        </w:rPr>
        <w:t>’</w:t>
      </w:r>
      <w:r w:rsidRPr="008970D0">
        <w:rPr>
          <w:lang w:val="fr-FR"/>
        </w:rPr>
        <w:t xml:space="preserve">il existe des disparités entre les populations urbaines et rurales </w:t>
      </w:r>
      <w:r>
        <w:rPr>
          <w:lang w:val="fr-FR"/>
        </w:rPr>
        <w:t>s’agissant de l’</w:t>
      </w:r>
      <w:r w:rsidRPr="008970D0">
        <w:rPr>
          <w:lang w:val="fr-FR"/>
        </w:rPr>
        <w:t>accessibilité des services d</w:t>
      </w:r>
      <w:r>
        <w:rPr>
          <w:lang w:val="fr-FR"/>
        </w:rPr>
        <w:t>’</w:t>
      </w:r>
      <w:r w:rsidRPr="008970D0">
        <w:rPr>
          <w:lang w:val="fr-FR"/>
        </w:rPr>
        <w:t xml:space="preserve">urgence. </w:t>
      </w:r>
      <w:r>
        <w:rPr>
          <w:lang w:val="fr-FR"/>
        </w:rPr>
        <w:t>Il</w:t>
      </w:r>
      <w:r w:rsidRPr="008970D0">
        <w:rPr>
          <w:lang w:val="fr-FR"/>
        </w:rPr>
        <w:t xml:space="preserve"> regrette l</w:t>
      </w:r>
      <w:r>
        <w:rPr>
          <w:lang w:val="fr-FR"/>
        </w:rPr>
        <w:t>’</w:t>
      </w:r>
      <w:r w:rsidRPr="008970D0">
        <w:rPr>
          <w:lang w:val="fr-FR"/>
        </w:rPr>
        <w:t>absence d</w:t>
      </w:r>
      <w:r>
        <w:rPr>
          <w:lang w:val="fr-FR"/>
        </w:rPr>
        <w:t>’</w:t>
      </w:r>
      <w:r w:rsidRPr="008970D0">
        <w:rPr>
          <w:lang w:val="fr-FR"/>
        </w:rPr>
        <w:t>informations concernant les effets de la réforme structurelle du système de santé pour la période 2017-2020 et de la Stratégie de santé de l</w:t>
      </w:r>
      <w:r>
        <w:rPr>
          <w:lang w:val="fr-FR"/>
        </w:rPr>
        <w:t>’</w:t>
      </w:r>
      <w:r w:rsidRPr="008970D0">
        <w:rPr>
          <w:lang w:val="fr-FR"/>
        </w:rPr>
        <w:t xml:space="preserve">État partie pour la période 2014-2025 sur la fourniture de soins de santé accessibles et abordables </w:t>
      </w:r>
      <w:r w:rsidR="00F40B59">
        <w:rPr>
          <w:lang w:val="fr-FR"/>
        </w:rPr>
        <w:t>(art. </w:t>
      </w:r>
      <w:r w:rsidRPr="008970D0">
        <w:rPr>
          <w:lang w:val="fr-FR"/>
        </w:rPr>
        <w:t>12).</w:t>
      </w:r>
      <w:bookmarkStart w:id="1" w:name="_Hlk128388751"/>
      <w:bookmarkEnd w:id="1"/>
    </w:p>
    <w:p w14:paraId="48C410E7" w14:textId="45E02E1C" w:rsidR="00096DDD" w:rsidRPr="008970D0" w:rsidRDefault="00096DDD" w:rsidP="0037225C">
      <w:pPr>
        <w:pStyle w:val="SingleTxtG"/>
        <w:keepNext/>
        <w:tabs>
          <w:tab w:val="clear" w:pos="1701"/>
          <w:tab w:val="clear" w:pos="2268"/>
          <w:tab w:val="clear" w:pos="2835"/>
        </w:tabs>
        <w:rPr>
          <w:lang w:val="fr-FR"/>
        </w:rPr>
      </w:pPr>
      <w:r w:rsidRPr="008970D0">
        <w:rPr>
          <w:lang w:val="fr-FR"/>
        </w:rPr>
        <w:t>53.</w:t>
      </w:r>
      <w:r w:rsidRPr="008970D0">
        <w:rPr>
          <w:lang w:val="fr-FR"/>
        </w:rPr>
        <w:tab/>
      </w:r>
      <w:r w:rsidRPr="008970D0">
        <w:rPr>
          <w:b/>
          <w:bCs/>
          <w:lang w:val="fr-FR"/>
        </w:rPr>
        <w:t>Le Comité recommande à l</w:t>
      </w:r>
      <w:r>
        <w:rPr>
          <w:b/>
          <w:bCs/>
          <w:lang w:val="fr-FR"/>
        </w:rPr>
        <w:t>’</w:t>
      </w:r>
      <w:r w:rsidRPr="008970D0">
        <w:rPr>
          <w:b/>
          <w:bCs/>
          <w:lang w:val="fr-FR"/>
        </w:rPr>
        <w:t>État partie</w:t>
      </w:r>
      <w:r w:rsidR="007D5F07">
        <w:rPr>
          <w:b/>
          <w:bCs/>
          <w:lang w:val="fr-FR"/>
        </w:rPr>
        <w:t> </w:t>
      </w:r>
      <w:r w:rsidRPr="008970D0">
        <w:rPr>
          <w:b/>
          <w:bCs/>
          <w:lang w:val="fr-FR"/>
        </w:rPr>
        <w:t>:</w:t>
      </w:r>
    </w:p>
    <w:p w14:paraId="24C9455C" w14:textId="6FA8AF89" w:rsidR="00096DDD" w:rsidRPr="0037225C" w:rsidRDefault="00096DDD" w:rsidP="0037225C">
      <w:pPr>
        <w:pStyle w:val="SingleTxtG"/>
        <w:ind w:firstLine="567"/>
        <w:rPr>
          <w:b/>
          <w:bCs/>
          <w:lang w:val="fr-FR"/>
        </w:rPr>
      </w:pPr>
      <w:r w:rsidRPr="0037225C">
        <w:rPr>
          <w:b/>
          <w:bCs/>
          <w:lang w:val="fr-FR"/>
        </w:rPr>
        <w:t>a)</w:t>
      </w:r>
      <w:r w:rsidRPr="0037225C">
        <w:rPr>
          <w:b/>
          <w:bCs/>
          <w:lang w:val="fr-FR"/>
        </w:rPr>
        <w:tab/>
        <w:t xml:space="preserve">D’augmenter la part du budget consacrée au secteur des soins de santé et de faire en sorte qu’elle ne soit pas concernée par les mesures d’austérité prises par l’État partie en raison de la pandémie de </w:t>
      </w:r>
      <w:r w:rsidR="00AE1C23">
        <w:rPr>
          <w:b/>
          <w:bCs/>
          <w:lang w:val="fr-FR"/>
        </w:rPr>
        <w:t>COVID</w:t>
      </w:r>
      <w:r w:rsidR="00AE1C23">
        <w:rPr>
          <w:b/>
          <w:bCs/>
          <w:lang w:val="fr-FR"/>
        </w:rPr>
        <w:noBreakHyphen/>
        <w:t>19</w:t>
      </w:r>
      <w:r w:rsidR="002542B8">
        <w:rPr>
          <w:b/>
          <w:bCs/>
          <w:lang w:val="fr-FR"/>
        </w:rPr>
        <w:t> ;</w:t>
      </w:r>
    </w:p>
    <w:p w14:paraId="5876B349" w14:textId="6871116E" w:rsidR="00096DDD" w:rsidRPr="0037225C" w:rsidRDefault="00096DDD" w:rsidP="0037225C">
      <w:pPr>
        <w:pStyle w:val="SingleTxtG"/>
        <w:ind w:firstLine="567"/>
        <w:rPr>
          <w:b/>
          <w:bCs/>
          <w:lang w:val="fr-FR"/>
        </w:rPr>
      </w:pPr>
      <w:r w:rsidRPr="0037225C">
        <w:rPr>
          <w:b/>
          <w:bCs/>
          <w:lang w:val="fr-FR"/>
        </w:rPr>
        <w:t>b)</w:t>
      </w:r>
      <w:r w:rsidRPr="0037225C">
        <w:rPr>
          <w:b/>
          <w:bCs/>
          <w:lang w:val="fr-FR"/>
        </w:rPr>
        <w:tab/>
        <w:t>D’étendre la portée et la couverture des services de soins de santé fournis au titre du régime national d’assurance maladie et d’améliorer la qualité de ces services en vue d’éliminer les disparités socioéconomiques en matière d’accès aux services de soins de santé</w:t>
      </w:r>
      <w:r w:rsidR="002542B8">
        <w:rPr>
          <w:b/>
          <w:bCs/>
          <w:lang w:val="fr-FR"/>
        </w:rPr>
        <w:t> ;</w:t>
      </w:r>
    </w:p>
    <w:p w14:paraId="5CC8E1B1" w14:textId="77777777" w:rsidR="00096DDD" w:rsidRPr="0037225C" w:rsidRDefault="00096DDD" w:rsidP="0037225C">
      <w:pPr>
        <w:pStyle w:val="SingleTxtG"/>
        <w:ind w:firstLine="567"/>
        <w:rPr>
          <w:b/>
          <w:bCs/>
          <w:lang w:val="fr-FR"/>
        </w:rPr>
      </w:pPr>
      <w:r w:rsidRPr="0037225C">
        <w:rPr>
          <w:b/>
          <w:bCs/>
          <w:lang w:val="fr-FR"/>
        </w:rPr>
        <w:t>c)</w:t>
      </w:r>
      <w:r w:rsidRPr="0037225C">
        <w:rPr>
          <w:b/>
          <w:bCs/>
          <w:lang w:val="fr-FR"/>
        </w:rPr>
        <w:tab/>
        <w:t>De veiller à ce que des soins de santé primaires soient fournis à tous ceux qui vivent sur son territoire.</w:t>
      </w:r>
    </w:p>
    <w:p w14:paraId="21872BE7" w14:textId="77777777" w:rsidR="00096DDD" w:rsidRPr="008970D0" w:rsidRDefault="00096DDD" w:rsidP="0037225C">
      <w:pPr>
        <w:pStyle w:val="H23G"/>
        <w:rPr>
          <w:lang w:val="fr-FR"/>
        </w:rPr>
      </w:pPr>
      <w:r w:rsidRPr="008970D0">
        <w:rPr>
          <w:lang w:val="fr-FR"/>
        </w:rPr>
        <w:tab/>
      </w:r>
      <w:r w:rsidRPr="008970D0">
        <w:rPr>
          <w:lang w:val="fr-FR"/>
        </w:rPr>
        <w:tab/>
      </w:r>
      <w:r w:rsidRPr="00015718">
        <w:rPr>
          <w:lang w:val="fr-FR"/>
        </w:rPr>
        <w:t>Consommateurs de drogues</w:t>
      </w:r>
    </w:p>
    <w:p w14:paraId="59AC0646" w14:textId="1A51FAC6" w:rsidR="00096DDD" w:rsidRPr="008970D0" w:rsidRDefault="00096DDD" w:rsidP="0037225C">
      <w:pPr>
        <w:pStyle w:val="SingleTxtG"/>
        <w:tabs>
          <w:tab w:val="clear" w:pos="1701"/>
          <w:tab w:val="clear" w:pos="2268"/>
          <w:tab w:val="clear" w:pos="2835"/>
        </w:tabs>
        <w:rPr>
          <w:lang w:val="fr-FR"/>
        </w:rPr>
      </w:pPr>
      <w:r w:rsidRPr="008970D0">
        <w:rPr>
          <w:lang w:val="fr-FR"/>
        </w:rPr>
        <w:t>54.</w:t>
      </w:r>
      <w:r w:rsidRPr="008970D0">
        <w:rPr>
          <w:lang w:val="fr-FR"/>
        </w:rPr>
        <w:tab/>
        <w:t xml:space="preserve">Le Comité regrette </w:t>
      </w:r>
      <w:r>
        <w:rPr>
          <w:lang w:val="fr-FR"/>
        </w:rPr>
        <w:t>de ne pas disposer</w:t>
      </w:r>
      <w:r w:rsidRPr="008970D0">
        <w:rPr>
          <w:lang w:val="fr-FR"/>
        </w:rPr>
        <w:t xml:space="preserve"> d</w:t>
      </w:r>
      <w:r>
        <w:rPr>
          <w:lang w:val="fr-FR"/>
        </w:rPr>
        <w:t>’</w:t>
      </w:r>
      <w:r w:rsidRPr="008970D0">
        <w:rPr>
          <w:lang w:val="fr-FR"/>
        </w:rPr>
        <w:t>informations concernant l</w:t>
      </w:r>
      <w:r>
        <w:rPr>
          <w:lang w:val="fr-FR"/>
        </w:rPr>
        <w:t>’</w:t>
      </w:r>
      <w:r w:rsidRPr="008970D0">
        <w:rPr>
          <w:lang w:val="fr-FR"/>
        </w:rPr>
        <w:t xml:space="preserve">efficacité des mesures </w:t>
      </w:r>
      <w:r>
        <w:rPr>
          <w:lang w:val="fr-FR"/>
        </w:rPr>
        <w:t>qui ont été prises pour</w:t>
      </w:r>
      <w:r w:rsidRPr="008970D0">
        <w:rPr>
          <w:lang w:val="fr-FR"/>
        </w:rPr>
        <w:t xml:space="preserve"> améliorer la disponibilité, l</w:t>
      </w:r>
      <w:r>
        <w:rPr>
          <w:lang w:val="fr-FR"/>
        </w:rPr>
        <w:t>’</w:t>
      </w:r>
      <w:r w:rsidRPr="008970D0">
        <w:rPr>
          <w:lang w:val="fr-FR"/>
        </w:rPr>
        <w:t>accessibilité et la qualité des programmes de réduction des risques et des services de santé spécialisés, tant dans les prisons qu</w:t>
      </w:r>
      <w:r>
        <w:rPr>
          <w:lang w:val="fr-FR"/>
        </w:rPr>
        <w:t>’</w:t>
      </w:r>
      <w:r w:rsidRPr="008970D0">
        <w:rPr>
          <w:lang w:val="fr-FR"/>
        </w:rPr>
        <w:t xml:space="preserve">en dehors. </w:t>
      </w:r>
      <w:r>
        <w:rPr>
          <w:lang w:val="fr-FR"/>
        </w:rPr>
        <w:t>Il</w:t>
      </w:r>
      <w:r w:rsidRPr="008970D0">
        <w:rPr>
          <w:lang w:val="fr-FR"/>
        </w:rPr>
        <w:t xml:space="preserve"> regrette également que l</w:t>
      </w:r>
      <w:r>
        <w:rPr>
          <w:lang w:val="fr-FR"/>
        </w:rPr>
        <w:t>’</w:t>
      </w:r>
      <w:r w:rsidRPr="008970D0">
        <w:rPr>
          <w:lang w:val="fr-FR"/>
        </w:rPr>
        <w:t>État partie n</w:t>
      </w:r>
      <w:r>
        <w:rPr>
          <w:lang w:val="fr-FR"/>
        </w:rPr>
        <w:t>’</w:t>
      </w:r>
      <w:r w:rsidRPr="008970D0">
        <w:rPr>
          <w:lang w:val="fr-FR"/>
        </w:rPr>
        <w:t>ait toujours pas dépénalisé la possession de drogues à des fins de consommation personnelle, sachant qu</w:t>
      </w:r>
      <w:r>
        <w:rPr>
          <w:lang w:val="fr-FR"/>
        </w:rPr>
        <w:t>’</w:t>
      </w:r>
      <w:r w:rsidRPr="008970D0">
        <w:rPr>
          <w:lang w:val="fr-FR"/>
        </w:rPr>
        <w:t>une telle dépénalisation permettrait aux consommateurs d</w:t>
      </w:r>
      <w:r>
        <w:rPr>
          <w:lang w:val="fr-FR"/>
        </w:rPr>
        <w:t>’</w:t>
      </w:r>
      <w:r w:rsidRPr="008970D0">
        <w:rPr>
          <w:lang w:val="fr-FR"/>
        </w:rPr>
        <w:t>accéder au traitement nécessaire ou à des programmes de réduction des risques, auxquels ils renoncent pour le moment de peur d</w:t>
      </w:r>
      <w:r>
        <w:rPr>
          <w:lang w:val="fr-FR"/>
        </w:rPr>
        <w:t>’</w:t>
      </w:r>
      <w:r w:rsidRPr="008970D0">
        <w:rPr>
          <w:lang w:val="fr-FR"/>
        </w:rPr>
        <w:t xml:space="preserve">être considérés comme des criminels </w:t>
      </w:r>
      <w:r w:rsidR="00F40B59">
        <w:rPr>
          <w:lang w:val="fr-FR"/>
        </w:rPr>
        <w:t>(art. </w:t>
      </w:r>
      <w:r w:rsidRPr="008970D0">
        <w:rPr>
          <w:lang w:val="fr-FR"/>
        </w:rPr>
        <w:t>12).</w:t>
      </w:r>
    </w:p>
    <w:p w14:paraId="37797E9A" w14:textId="77777777" w:rsidR="00096DDD" w:rsidRPr="008970D0" w:rsidRDefault="00096DDD" w:rsidP="0037225C">
      <w:pPr>
        <w:pStyle w:val="SingleTxtG"/>
        <w:tabs>
          <w:tab w:val="clear" w:pos="1701"/>
          <w:tab w:val="clear" w:pos="2268"/>
          <w:tab w:val="clear" w:pos="2835"/>
        </w:tabs>
        <w:rPr>
          <w:b/>
          <w:bCs/>
          <w:lang w:val="fr-FR"/>
        </w:rPr>
      </w:pPr>
      <w:r w:rsidRPr="008970D0">
        <w:rPr>
          <w:lang w:val="fr-FR"/>
        </w:rPr>
        <w:t>55.</w:t>
      </w:r>
      <w:r w:rsidRPr="008970D0">
        <w:rPr>
          <w:lang w:val="fr-FR"/>
        </w:rPr>
        <w:tab/>
      </w:r>
      <w:r w:rsidRPr="008970D0">
        <w:rPr>
          <w:b/>
          <w:bCs/>
          <w:lang w:val="fr-FR"/>
        </w:rPr>
        <w:t>Le Comité recommande à l</w:t>
      </w:r>
      <w:r>
        <w:rPr>
          <w:b/>
          <w:bCs/>
          <w:lang w:val="fr-FR"/>
        </w:rPr>
        <w:t>’</w:t>
      </w:r>
      <w:r w:rsidRPr="008970D0">
        <w:rPr>
          <w:b/>
          <w:bCs/>
          <w:lang w:val="fr-FR"/>
        </w:rPr>
        <w:t>État partie de dépénaliser la possession de drogues à des fins de consommation personnelle et de procéder à un examen de ses politiques et de sa législation sur les stupéfiants afin de les rendre conformes aux normes et meilleures pratiques internationales relatives aux droits de l</w:t>
      </w:r>
      <w:r>
        <w:rPr>
          <w:b/>
          <w:bCs/>
          <w:lang w:val="fr-FR"/>
        </w:rPr>
        <w:t>’</w:t>
      </w:r>
      <w:r w:rsidRPr="008970D0">
        <w:rPr>
          <w:b/>
          <w:bCs/>
          <w:lang w:val="fr-FR"/>
        </w:rPr>
        <w:t>homme.</w:t>
      </w:r>
      <w:r w:rsidRPr="008970D0">
        <w:rPr>
          <w:lang w:val="fr-FR"/>
        </w:rPr>
        <w:t xml:space="preserve"> </w:t>
      </w:r>
      <w:r w:rsidRPr="008970D0">
        <w:rPr>
          <w:b/>
          <w:bCs/>
          <w:lang w:val="fr-FR"/>
        </w:rPr>
        <w:t>Il lui recommande également d</w:t>
      </w:r>
      <w:r>
        <w:rPr>
          <w:b/>
          <w:bCs/>
          <w:lang w:val="fr-FR"/>
        </w:rPr>
        <w:t>’</w:t>
      </w:r>
      <w:r w:rsidRPr="008970D0">
        <w:rPr>
          <w:b/>
          <w:bCs/>
          <w:lang w:val="fr-FR"/>
        </w:rPr>
        <w:t>améliorer la disponibilité, l</w:t>
      </w:r>
      <w:r>
        <w:rPr>
          <w:b/>
          <w:bCs/>
          <w:lang w:val="fr-FR"/>
        </w:rPr>
        <w:t>’</w:t>
      </w:r>
      <w:r w:rsidRPr="008970D0">
        <w:rPr>
          <w:b/>
          <w:bCs/>
          <w:lang w:val="fr-FR"/>
        </w:rPr>
        <w:t>accessibilité et la qualité des programmes de réduction des risques et de fournir des services de soins de santé spécialisés aux consommateurs de drogues.</w:t>
      </w:r>
    </w:p>
    <w:p w14:paraId="4AFAA53F" w14:textId="77777777" w:rsidR="00096DDD" w:rsidRPr="008970D0" w:rsidRDefault="00096DDD" w:rsidP="00761CC7">
      <w:pPr>
        <w:pStyle w:val="H23G"/>
        <w:rPr>
          <w:lang w:val="fr-FR"/>
        </w:rPr>
      </w:pPr>
      <w:r w:rsidRPr="008970D0">
        <w:rPr>
          <w:lang w:val="fr-FR"/>
        </w:rPr>
        <w:tab/>
      </w:r>
      <w:r w:rsidRPr="008970D0">
        <w:rPr>
          <w:lang w:val="fr-FR"/>
        </w:rPr>
        <w:tab/>
        <w:t>Santé mentale</w:t>
      </w:r>
    </w:p>
    <w:p w14:paraId="0CA250C9" w14:textId="24E13943" w:rsidR="00096DDD" w:rsidRPr="008970D0" w:rsidRDefault="00096DDD" w:rsidP="00761CC7">
      <w:pPr>
        <w:pStyle w:val="SingleTxtG"/>
        <w:rPr>
          <w:lang w:val="fr-FR"/>
        </w:rPr>
      </w:pPr>
      <w:r w:rsidRPr="008970D0">
        <w:rPr>
          <w:lang w:val="fr-FR"/>
        </w:rPr>
        <w:t>56.</w:t>
      </w:r>
      <w:r w:rsidRPr="008970D0">
        <w:rPr>
          <w:lang w:val="fr-FR"/>
        </w:rPr>
        <w:tab/>
        <w:t>Bien que saluant les mesures adoptées en matière d</w:t>
      </w:r>
      <w:r>
        <w:rPr>
          <w:lang w:val="fr-FR"/>
        </w:rPr>
        <w:t>’</w:t>
      </w:r>
      <w:r w:rsidRPr="008970D0">
        <w:rPr>
          <w:lang w:val="fr-FR"/>
        </w:rPr>
        <w:t xml:space="preserve">amélioration des services de santé mentale, le Comité est préoccupé par le fait que les personnes souffrant de problèmes de santé mentale sont toujours stigmatisées, ce qui les </w:t>
      </w:r>
      <w:r>
        <w:rPr>
          <w:lang w:val="fr-FR"/>
        </w:rPr>
        <w:t>empêche d’avoir accès à</w:t>
      </w:r>
      <w:r w:rsidRPr="008970D0">
        <w:rPr>
          <w:lang w:val="fr-FR"/>
        </w:rPr>
        <w:t xml:space="preserve"> l</w:t>
      </w:r>
      <w:r>
        <w:rPr>
          <w:lang w:val="fr-FR"/>
        </w:rPr>
        <w:t>’</w:t>
      </w:r>
      <w:r w:rsidRPr="008970D0">
        <w:rPr>
          <w:lang w:val="fr-FR"/>
        </w:rPr>
        <w:t xml:space="preserve">aide et </w:t>
      </w:r>
      <w:r>
        <w:rPr>
          <w:lang w:val="fr-FR"/>
        </w:rPr>
        <w:t>aux</w:t>
      </w:r>
      <w:r w:rsidRPr="008970D0">
        <w:rPr>
          <w:lang w:val="fr-FR"/>
        </w:rPr>
        <w:t xml:space="preserve"> traitements. Il est également préoccupé par la faiblesse du budget alloué à la santé mentale comparativement au total des dépenses publiques de santé. Il regrette de ne pas disposer d</w:t>
      </w:r>
      <w:r>
        <w:rPr>
          <w:lang w:val="fr-FR"/>
        </w:rPr>
        <w:t>’</w:t>
      </w:r>
      <w:r w:rsidRPr="008970D0">
        <w:rPr>
          <w:lang w:val="fr-FR"/>
        </w:rPr>
        <w:t>informations sur les mesures que l</w:t>
      </w:r>
      <w:r>
        <w:rPr>
          <w:lang w:val="fr-FR"/>
        </w:rPr>
        <w:t>’</w:t>
      </w:r>
      <w:r w:rsidRPr="008970D0">
        <w:rPr>
          <w:lang w:val="fr-FR"/>
        </w:rPr>
        <w:t>État partie a prises pour interdire l</w:t>
      </w:r>
      <w:r>
        <w:rPr>
          <w:lang w:val="fr-FR"/>
        </w:rPr>
        <w:t>’</w:t>
      </w:r>
      <w:r w:rsidRPr="008970D0">
        <w:rPr>
          <w:lang w:val="fr-FR"/>
        </w:rPr>
        <w:t xml:space="preserve">hospitalisation et le traitement sans consentement de personnes ayant un handicap psychosocial ou intellectuel, ainsi que les interventions médicales ou chirurgicales intrusives à leur égard </w:t>
      </w:r>
      <w:r w:rsidR="00F40B59">
        <w:rPr>
          <w:lang w:val="fr-FR"/>
        </w:rPr>
        <w:t>(art. </w:t>
      </w:r>
      <w:r w:rsidRPr="008970D0">
        <w:rPr>
          <w:lang w:val="fr-FR"/>
        </w:rPr>
        <w:t>12).</w:t>
      </w:r>
    </w:p>
    <w:p w14:paraId="4A01DBE7" w14:textId="2270F45D" w:rsidR="00096DDD" w:rsidRPr="00761CC7" w:rsidRDefault="00096DDD" w:rsidP="00761CC7">
      <w:pPr>
        <w:pStyle w:val="SingleTxtG"/>
        <w:keepNext/>
        <w:rPr>
          <w:b/>
          <w:bCs/>
          <w:lang w:val="fr-FR"/>
        </w:rPr>
      </w:pPr>
      <w:r w:rsidRPr="008970D0">
        <w:rPr>
          <w:lang w:val="fr-FR"/>
        </w:rPr>
        <w:lastRenderedPageBreak/>
        <w:t>57.</w:t>
      </w:r>
      <w:r w:rsidRPr="008970D0">
        <w:rPr>
          <w:lang w:val="fr-FR"/>
        </w:rPr>
        <w:tab/>
      </w:r>
      <w:r w:rsidRPr="00761CC7">
        <w:rPr>
          <w:b/>
          <w:bCs/>
          <w:lang w:val="fr-FR"/>
        </w:rPr>
        <w:t>Réitérant les recommandations formulées dans ses précédentes observations finales</w:t>
      </w:r>
      <w:r w:rsidRPr="001043D5">
        <w:rPr>
          <w:rStyle w:val="Appelnotedebasdep"/>
        </w:rPr>
        <w:footnoteReference w:id="16"/>
      </w:r>
      <w:r w:rsidRPr="00761CC7">
        <w:rPr>
          <w:b/>
          <w:bCs/>
          <w:lang w:val="fr-FR"/>
        </w:rPr>
        <w:t>, le Comité recommande à l’État partie</w:t>
      </w:r>
      <w:r w:rsidR="00761CC7">
        <w:rPr>
          <w:b/>
          <w:bCs/>
          <w:lang w:val="fr-FR"/>
        </w:rPr>
        <w:t> </w:t>
      </w:r>
      <w:r w:rsidRPr="00761CC7">
        <w:rPr>
          <w:b/>
          <w:bCs/>
          <w:lang w:val="fr-FR"/>
        </w:rPr>
        <w:t>:</w:t>
      </w:r>
    </w:p>
    <w:p w14:paraId="445DFF30" w14:textId="7C459BCB" w:rsidR="00096DDD" w:rsidRPr="008970D0" w:rsidRDefault="00096DDD" w:rsidP="00511898">
      <w:pPr>
        <w:pStyle w:val="SingleTxtG"/>
        <w:ind w:firstLine="567"/>
        <w:rPr>
          <w:b/>
          <w:bCs/>
          <w:lang w:val="fr-FR"/>
        </w:rPr>
      </w:pPr>
      <w:r w:rsidRPr="00511898">
        <w:rPr>
          <w:b/>
          <w:bCs/>
          <w:lang w:val="fr-FR"/>
        </w:rPr>
        <w:t>a)</w:t>
      </w:r>
      <w:r w:rsidRPr="00511898">
        <w:rPr>
          <w:b/>
          <w:bCs/>
          <w:lang w:val="fr-FR"/>
        </w:rPr>
        <w:tab/>
      </w:r>
      <w:r w:rsidRPr="008970D0">
        <w:rPr>
          <w:b/>
          <w:bCs/>
          <w:lang w:val="fr-FR"/>
        </w:rPr>
        <w:t>D</w:t>
      </w:r>
      <w:r>
        <w:rPr>
          <w:b/>
          <w:bCs/>
          <w:lang w:val="fr-FR"/>
        </w:rPr>
        <w:t>’</w:t>
      </w:r>
      <w:r w:rsidRPr="008970D0">
        <w:rPr>
          <w:b/>
          <w:bCs/>
          <w:lang w:val="fr-FR"/>
        </w:rPr>
        <w:t xml:space="preserve">intensifier les efforts en vue de </w:t>
      </w:r>
      <w:r>
        <w:rPr>
          <w:b/>
          <w:bCs/>
          <w:lang w:val="fr-FR"/>
        </w:rPr>
        <w:t>détermine</w:t>
      </w:r>
      <w:r w:rsidRPr="008970D0">
        <w:rPr>
          <w:b/>
          <w:bCs/>
          <w:lang w:val="fr-FR"/>
        </w:rPr>
        <w:t>r et de combattre de manière efficace les causes profondes des problèmes de santé mentale et de leur augmentation</w:t>
      </w:r>
      <w:r w:rsidR="002542B8">
        <w:rPr>
          <w:b/>
          <w:bCs/>
          <w:lang w:val="fr-FR"/>
        </w:rPr>
        <w:t> ;</w:t>
      </w:r>
    </w:p>
    <w:p w14:paraId="6513BF35" w14:textId="03E6B0F2" w:rsidR="00096DDD" w:rsidRPr="008970D0" w:rsidRDefault="00096DDD" w:rsidP="00511898">
      <w:pPr>
        <w:pStyle w:val="SingleTxtG"/>
        <w:ind w:firstLine="567"/>
        <w:rPr>
          <w:b/>
          <w:bCs/>
          <w:lang w:val="fr-FR"/>
        </w:rPr>
      </w:pPr>
      <w:r w:rsidRPr="00511898">
        <w:rPr>
          <w:b/>
          <w:bCs/>
          <w:lang w:val="fr-FR"/>
        </w:rPr>
        <w:t>b)</w:t>
      </w:r>
      <w:r w:rsidRPr="00511898">
        <w:rPr>
          <w:b/>
          <w:bCs/>
          <w:lang w:val="fr-FR"/>
        </w:rPr>
        <w:tab/>
      </w:r>
      <w:r w:rsidRPr="008970D0">
        <w:rPr>
          <w:b/>
          <w:bCs/>
          <w:lang w:val="fr-FR"/>
        </w:rPr>
        <w:t>De faire en sorte de passer progressivement du placement en institution psychiatrique des personnes nécessitant des soins de santé mentale à un système de services de santé mentale qui serait global, intégré, interdisciplinaire et géré au niveau local</w:t>
      </w:r>
      <w:r w:rsidR="002542B8">
        <w:rPr>
          <w:b/>
          <w:bCs/>
          <w:lang w:val="fr-FR"/>
        </w:rPr>
        <w:t> ;</w:t>
      </w:r>
    </w:p>
    <w:p w14:paraId="419B4E3D" w14:textId="719F8D7D" w:rsidR="00096DDD" w:rsidRPr="008970D0" w:rsidRDefault="00096DDD" w:rsidP="00511898">
      <w:pPr>
        <w:pStyle w:val="SingleTxtG"/>
        <w:ind w:firstLine="567"/>
        <w:rPr>
          <w:b/>
          <w:bCs/>
          <w:lang w:val="fr-FR"/>
        </w:rPr>
      </w:pPr>
      <w:r w:rsidRPr="00511898">
        <w:rPr>
          <w:b/>
          <w:bCs/>
          <w:lang w:val="fr-FR"/>
        </w:rPr>
        <w:t>c)</w:t>
      </w:r>
      <w:r w:rsidRPr="00511898">
        <w:rPr>
          <w:b/>
          <w:bCs/>
          <w:lang w:val="fr-FR"/>
        </w:rPr>
        <w:tab/>
      </w:r>
      <w:r w:rsidRPr="008970D0">
        <w:rPr>
          <w:b/>
          <w:bCs/>
          <w:lang w:val="fr-FR"/>
        </w:rPr>
        <w:t>De prendre des mesures pour éliminer les formes persistantes de discrimination et de stigmatisation</w:t>
      </w:r>
      <w:r w:rsidR="002542B8">
        <w:rPr>
          <w:b/>
          <w:bCs/>
          <w:lang w:val="fr-FR"/>
        </w:rPr>
        <w:t> ;</w:t>
      </w:r>
    </w:p>
    <w:p w14:paraId="7E1548E8" w14:textId="77777777" w:rsidR="00096DDD" w:rsidRPr="00511898" w:rsidRDefault="00096DDD" w:rsidP="00511898">
      <w:pPr>
        <w:pStyle w:val="SingleTxtG"/>
        <w:ind w:firstLine="567"/>
        <w:rPr>
          <w:b/>
          <w:bCs/>
          <w:lang w:val="fr-FR"/>
        </w:rPr>
      </w:pPr>
      <w:r w:rsidRPr="00511898">
        <w:rPr>
          <w:b/>
          <w:bCs/>
          <w:lang w:val="fr-FR"/>
        </w:rPr>
        <w:t>d)</w:t>
      </w:r>
      <w:r w:rsidRPr="00511898">
        <w:rPr>
          <w:b/>
          <w:bCs/>
          <w:lang w:val="fr-FR"/>
        </w:rPr>
        <w:tab/>
      </w:r>
      <w:r w:rsidRPr="008970D0">
        <w:rPr>
          <w:b/>
          <w:bCs/>
          <w:lang w:val="fr-FR"/>
        </w:rPr>
        <w:t xml:space="preserve">De faire en sorte que le </w:t>
      </w:r>
      <w:r>
        <w:rPr>
          <w:b/>
          <w:bCs/>
          <w:lang w:val="fr-FR"/>
        </w:rPr>
        <w:t>montant</w:t>
      </w:r>
      <w:r w:rsidRPr="008970D0">
        <w:rPr>
          <w:b/>
          <w:bCs/>
          <w:lang w:val="fr-FR"/>
        </w:rPr>
        <w:t xml:space="preserve"> global des f</w:t>
      </w:r>
      <w:r>
        <w:rPr>
          <w:b/>
          <w:bCs/>
          <w:lang w:val="fr-FR"/>
        </w:rPr>
        <w:t>ond</w:t>
      </w:r>
      <w:r w:rsidRPr="008970D0">
        <w:rPr>
          <w:b/>
          <w:bCs/>
          <w:lang w:val="fr-FR"/>
        </w:rPr>
        <w:t>s consacrés aux services de santé mentale soit suffisant pour répondre aux besoins de la population.</w:t>
      </w:r>
    </w:p>
    <w:p w14:paraId="119AE8D1" w14:textId="77777777" w:rsidR="00096DDD" w:rsidRPr="008970D0" w:rsidRDefault="00096DDD" w:rsidP="00511898">
      <w:pPr>
        <w:pStyle w:val="H23G"/>
        <w:rPr>
          <w:lang w:val="fr-FR"/>
        </w:rPr>
      </w:pPr>
      <w:r w:rsidRPr="008970D0">
        <w:rPr>
          <w:lang w:val="fr-FR"/>
        </w:rPr>
        <w:tab/>
      </w:r>
      <w:r w:rsidRPr="008970D0">
        <w:rPr>
          <w:lang w:val="fr-FR"/>
        </w:rPr>
        <w:tab/>
        <w:t>Droit à l</w:t>
      </w:r>
      <w:r>
        <w:rPr>
          <w:lang w:val="fr-FR"/>
        </w:rPr>
        <w:t>’</w:t>
      </w:r>
      <w:r w:rsidRPr="008970D0">
        <w:rPr>
          <w:lang w:val="fr-FR"/>
        </w:rPr>
        <w:t>éducation</w:t>
      </w:r>
    </w:p>
    <w:p w14:paraId="7EE24934" w14:textId="19F0D95A" w:rsidR="00096DDD" w:rsidRPr="008970D0" w:rsidRDefault="00096DDD" w:rsidP="00511898">
      <w:pPr>
        <w:pStyle w:val="SingleTxtG"/>
        <w:rPr>
          <w:lang w:val="fr-FR"/>
        </w:rPr>
      </w:pPr>
      <w:r w:rsidRPr="008970D0">
        <w:rPr>
          <w:lang w:val="fr-FR"/>
        </w:rPr>
        <w:t>58.</w:t>
      </w:r>
      <w:r w:rsidRPr="008970D0">
        <w:rPr>
          <w:lang w:val="fr-FR"/>
        </w:rPr>
        <w:tab/>
        <w:t>Malgré les réformes récemment engagées par l</w:t>
      </w:r>
      <w:r>
        <w:rPr>
          <w:lang w:val="fr-FR"/>
        </w:rPr>
        <w:t>’</w:t>
      </w:r>
      <w:r w:rsidRPr="008970D0">
        <w:rPr>
          <w:lang w:val="fr-FR"/>
        </w:rPr>
        <w:t>État partie, le Comité note avec préoccupation qu</w:t>
      </w:r>
      <w:r>
        <w:rPr>
          <w:lang w:val="fr-FR"/>
        </w:rPr>
        <w:t>’</w:t>
      </w:r>
      <w:r w:rsidRPr="008970D0">
        <w:rPr>
          <w:lang w:val="fr-FR"/>
        </w:rPr>
        <w:t>il existe toujours un écart important dans les acquis scolaires des élèves, selon qu</w:t>
      </w:r>
      <w:r>
        <w:rPr>
          <w:lang w:val="fr-FR"/>
        </w:rPr>
        <w:t>’</w:t>
      </w:r>
      <w:r w:rsidRPr="008970D0">
        <w:rPr>
          <w:lang w:val="fr-FR"/>
        </w:rPr>
        <w:t xml:space="preserve">ils vivent dans des zones rurales ou urbaines. </w:t>
      </w:r>
      <w:r>
        <w:rPr>
          <w:lang w:val="fr-FR"/>
        </w:rPr>
        <w:t>Il</w:t>
      </w:r>
      <w:r w:rsidRPr="008970D0">
        <w:rPr>
          <w:lang w:val="fr-FR"/>
        </w:rPr>
        <w:t xml:space="preserve"> note </w:t>
      </w:r>
      <w:r>
        <w:rPr>
          <w:lang w:val="fr-FR"/>
        </w:rPr>
        <w:t xml:space="preserve">également </w:t>
      </w:r>
      <w:r w:rsidRPr="008970D0">
        <w:rPr>
          <w:lang w:val="fr-FR"/>
        </w:rPr>
        <w:t>avec préoccupation que, chez les enfants roms, le niveau d</w:t>
      </w:r>
      <w:r>
        <w:rPr>
          <w:lang w:val="fr-FR"/>
        </w:rPr>
        <w:t>’</w:t>
      </w:r>
      <w:r w:rsidRPr="008970D0">
        <w:rPr>
          <w:lang w:val="fr-FR"/>
        </w:rPr>
        <w:t>instruction demeure faible et le taux d</w:t>
      </w:r>
      <w:r>
        <w:rPr>
          <w:lang w:val="fr-FR"/>
        </w:rPr>
        <w:t>’</w:t>
      </w:r>
      <w:r w:rsidRPr="008970D0">
        <w:rPr>
          <w:lang w:val="fr-FR"/>
        </w:rPr>
        <w:t>abandon scolaire reste élevé, et que ces enfants continuent d</w:t>
      </w:r>
      <w:r>
        <w:rPr>
          <w:lang w:val="fr-FR"/>
        </w:rPr>
        <w:t>’</w:t>
      </w:r>
      <w:r w:rsidRPr="008970D0">
        <w:rPr>
          <w:lang w:val="fr-FR"/>
        </w:rPr>
        <w:t xml:space="preserve">être placés dans des écoles spécialisées. </w:t>
      </w:r>
      <w:r>
        <w:rPr>
          <w:lang w:val="fr-FR"/>
        </w:rPr>
        <w:t>Il</w:t>
      </w:r>
      <w:r w:rsidRPr="008970D0">
        <w:rPr>
          <w:lang w:val="fr-FR"/>
        </w:rPr>
        <w:t xml:space="preserve"> regrette l</w:t>
      </w:r>
      <w:r>
        <w:rPr>
          <w:lang w:val="fr-FR"/>
        </w:rPr>
        <w:t>’</w:t>
      </w:r>
      <w:r w:rsidRPr="008970D0">
        <w:rPr>
          <w:lang w:val="fr-FR"/>
        </w:rPr>
        <w:t>absence de données statistiques, ventilées par âge, sexe, origine ethnique, origine nationale, handicap et situation socioéconomique, sur les taux de scolarisation, d</w:t>
      </w:r>
      <w:r>
        <w:rPr>
          <w:lang w:val="fr-FR"/>
        </w:rPr>
        <w:t>’</w:t>
      </w:r>
      <w:r w:rsidRPr="008970D0">
        <w:rPr>
          <w:lang w:val="fr-FR"/>
        </w:rPr>
        <w:t>abandon scolaire et de fréquentation irrégulière dans l</w:t>
      </w:r>
      <w:r>
        <w:rPr>
          <w:lang w:val="fr-FR"/>
        </w:rPr>
        <w:t>’</w:t>
      </w:r>
      <w:r w:rsidRPr="008970D0">
        <w:rPr>
          <w:lang w:val="fr-FR"/>
        </w:rPr>
        <w:t xml:space="preserve">enseignement primaire, secondaire et supérieur, ainsi que sur les résultats et acquis scolaires </w:t>
      </w:r>
      <w:r w:rsidR="00F40B59">
        <w:rPr>
          <w:lang w:val="fr-FR"/>
        </w:rPr>
        <w:t>(art. </w:t>
      </w:r>
      <w:r w:rsidRPr="008970D0">
        <w:rPr>
          <w:lang w:val="fr-FR"/>
        </w:rPr>
        <w:t>2, 13 et 14).</w:t>
      </w:r>
    </w:p>
    <w:p w14:paraId="4A1F4155" w14:textId="77777777" w:rsidR="00096DDD" w:rsidRPr="008970D0" w:rsidRDefault="00096DDD" w:rsidP="00511898">
      <w:pPr>
        <w:pStyle w:val="SingleTxtG"/>
        <w:rPr>
          <w:lang w:val="fr-FR"/>
        </w:rPr>
      </w:pPr>
      <w:r w:rsidRPr="008970D0">
        <w:rPr>
          <w:lang w:val="fr-FR"/>
        </w:rPr>
        <w:t>59.</w:t>
      </w:r>
      <w:r w:rsidRPr="008970D0">
        <w:rPr>
          <w:lang w:val="fr-FR"/>
        </w:rPr>
        <w:tab/>
        <w:t>Le Comité est préoccupé par l</w:t>
      </w:r>
      <w:r>
        <w:rPr>
          <w:lang w:val="fr-FR"/>
        </w:rPr>
        <w:t>’</w:t>
      </w:r>
      <w:r w:rsidRPr="008970D0">
        <w:rPr>
          <w:lang w:val="fr-FR"/>
        </w:rPr>
        <w:t>absence totale de mesures visant à offrir aux minorités nationales un enseignement dans leur langue maternelle en tant que discipline à part entière des programmes d</w:t>
      </w:r>
      <w:r>
        <w:rPr>
          <w:lang w:val="fr-FR"/>
        </w:rPr>
        <w:t>’</w:t>
      </w:r>
      <w:r w:rsidRPr="008970D0">
        <w:rPr>
          <w:lang w:val="fr-FR"/>
        </w:rPr>
        <w:t>éducation préscolaire et secondaire.</w:t>
      </w:r>
    </w:p>
    <w:p w14:paraId="2C1A3405" w14:textId="7BD723E9" w:rsidR="00096DDD" w:rsidRPr="00511898" w:rsidRDefault="00096DDD" w:rsidP="00511898">
      <w:pPr>
        <w:pStyle w:val="SingleTxtG"/>
        <w:keepNext/>
        <w:rPr>
          <w:b/>
          <w:bCs/>
          <w:lang w:val="fr-FR"/>
        </w:rPr>
      </w:pPr>
      <w:r w:rsidRPr="008970D0">
        <w:rPr>
          <w:lang w:val="fr-FR"/>
        </w:rPr>
        <w:t>60.</w:t>
      </w:r>
      <w:r w:rsidRPr="008970D0">
        <w:rPr>
          <w:lang w:val="fr-FR"/>
        </w:rPr>
        <w:tab/>
      </w:r>
      <w:r w:rsidRPr="00511898">
        <w:rPr>
          <w:b/>
          <w:bCs/>
          <w:lang w:val="fr-FR"/>
        </w:rPr>
        <w:t>Le Comité recommande à l’État partie</w:t>
      </w:r>
      <w:r w:rsidR="00EF7F80">
        <w:rPr>
          <w:b/>
          <w:bCs/>
          <w:lang w:val="fr-FR"/>
        </w:rPr>
        <w:t> :</w:t>
      </w:r>
    </w:p>
    <w:p w14:paraId="044A6B01" w14:textId="5C81C2BF" w:rsidR="00096DDD" w:rsidRPr="00511898" w:rsidRDefault="00096DDD" w:rsidP="00511898">
      <w:pPr>
        <w:pStyle w:val="SingleTxtG"/>
        <w:ind w:firstLine="567"/>
        <w:rPr>
          <w:b/>
          <w:bCs/>
          <w:lang w:val="fr-FR"/>
        </w:rPr>
      </w:pPr>
      <w:r w:rsidRPr="00511898">
        <w:rPr>
          <w:b/>
          <w:bCs/>
          <w:lang w:val="fr-FR"/>
        </w:rPr>
        <w:t>a)</w:t>
      </w:r>
      <w:r w:rsidRPr="00511898">
        <w:rPr>
          <w:b/>
          <w:bCs/>
          <w:lang w:val="fr-FR"/>
        </w:rPr>
        <w:tab/>
        <w:t>De prendre des mesures ciblées pour améliorer les taux de scolarisation et d’achèvement des études chez les enfants roms, les enfants handicapés et les élèves des zones rurales</w:t>
      </w:r>
      <w:r w:rsidR="002542B8">
        <w:rPr>
          <w:b/>
          <w:bCs/>
          <w:lang w:val="fr-FR"/>
        </w:rPr>
        <w:t> ;</w:t>
      </w:r>
    </w:p>
    <w:p w14:paraId="35F7A7E8" w14:textId="51F7B309" w:rsidR="00096DDD" w:rsidRPr="00511898" w:rsidRDefault="00096DDD" w:rsidP="00511898">
      <w:pPr>
        <w:pStyle w:val="SingleTxtG"/>
        <w:ind w:firstLine="567"/>
        <w:rPr>
          <w:b/>
          <w:bCs/>
          <w:lang w:val="fr-FR"/>
        </w:rPr>
      </w:pPr>
      <w:r w:rsidRPr="00511898">
        <w:rPr>
          <w:b/>
          <w:bCs/>
          <w:lang w:val="fr-FR"/>
        </w:rPr>
        <w:t>b)</w:t>
      </w:r>
      <w:r w:rsidRPr="00511898">
        <w:rPr>
          <w:b/>
          <w:bCs/>
          <w:lang w:val="fr-FR"/>
        </w:rPr>
        <w:tab/>
        <w:t>De mettre en place un système d’éducation pleinement inclusif, d’intégrer l’éducation inclusive dans les programmes et cursus de formation des enseignants et d’affecter spécialement des fonds à l’éducation inclusive</w:t>
      </w:r>
      <w:r w:rsidR="002542B8">
        <w:rPr>
          <w:b/>
          <w:bCs/>
          <w:lang w:val="fr-FR"/>
        </w:rPr>
        <w:t> ;</w:t>
      </w:r>
    </w:p>
    <w:p w14:paraId="78F13F00" w14:textId="5598B15F" w:rsidR="00096DDD" w:rsidRPr="00511898" w:rsidRDefault="00096DDD" w:rsidP="00511898">
      <w:pPr>
        <w:pStyle w:val="SingleTxtG"/>
        <w:ind w:firstLine="567"/>
        <w:rPr>
          <w:b/>
          <w:bCs/>
          <w:lang w:val="fr-FR"/>
        </w:rPr>
      </w:pPr>
      <w:r w:rsidRPr="00511898">
        <w:rPr>
          <w:b/>
          <w:bCs/>
          <w:lang w:val="fr-FR"/>
        </w:rPr>
        <w:t>c)</w:t>
      </w:r>
      <w:r w:rsidRPr="00511898">
        <w:rPr>
          <w:b/>
          <w:bCs/>
          <w:lang w:val="fr-FR"/>
        </w:rPr>
        <w:tab/>
        <w:t>De faire en sorte que tous les enfants demandeurs d’asile aient accès à l’enseignement primaire et secondaire, quel que soit leur statut</w:t>
      </w:r>
      <w:r w:rsidR="002542B8">
        <w:rPr>
          <w:b/>
          <w:bCs/>
          <w:lang w:val="fr-FR"/>
        </w:rPr>
        <w:t> ;</w:t>
      </w:r>
    </w:p>
    <w:p w14:paraId="5A0AED64" w14:textId="318B0832" w:rsidR="00096DDD" w:rsidRPr="00511898" w:rsidRDefault="00096DDD" w:rsidP="00511898">
      <w:pPr>
        <w:pStyle w:val="SingleTxtG"/>
        <w:ind w:firstLine="567"/>
        <w:rPr>
          <w:b/>
          <w:bCs/>
          <w:lang w:val="fr-FR"/>
        </w:rPr>
      </w:pPr>
      <w:r w:rsidRPr="00511898">
        <w:rPr>
          <w:b/>
          <w:bCs/>
          <w:lang w:val="fr-FR"/>
        </w:rPr>
        <w:t>d)</w:t>
      </w:r>
      <w:r w:rsidRPr="00511898">
        <w:rPr>
          <w:b/>
          <w:bCs/>
          <w:lang w:val="fr-FR"/>
        </w:rPr>
        <w:tab/>
        <w:t xml:space="preserve">De compenser les cours manqués en raison de la pandémie de </w:t>
      </w:r>
      <w:r w:rsidR="00AE1C23">
        <w:rPr>
          <w:b/>
          <w:bCs/>
          <w:lang w:val="fr-FR"/>
        </w:rPr>
        <w:t>COVID</w:t>
      </w:r>
      <w:r w:rsidR="00AE1C23">
        <w:rPr>
          <w:b/>
          <w:bCs/>
          <w:lang w:val="fr-FR"/>
        </w:rPr>
        <w:noBreakHyphen/>
        <w:t>19</w:t>
      </w:r>
      <w:r w:rsidRPr="00511898">
        <w:rPr>
          <w:b/>
          <w:bCs/>
          <w:lang w:val="fr-FR"/>
        </w:rPr>
        <w:t>, en particulier pour les enfants défavorisés et marginalisés, et de prévenir toute nouvelle perturbation de la scolarité</w:t>
      </w:r>
      <w:r w:rsidR="002542B8">
        <w:rPr>
          <w:b/>
          <w:bCs/>
          <w:lang w:val="fr-FR"/>
        </w:rPr>
        <w:t> ;</w:t>
      </w:r>
    </w:p>
    <w:p w14:paraId="7042020C" w14:textId="77777777" w:rsidR="00096DDD" w:rsidRPr="00511898" w:rsidRDefault="00096DDD" w:rsidP="00511898">
      <w:pPr>
        <w:pStyle w:val="SingleTxtG"/>
        <w:ind w:firstLine="567"/>
        <w:rPr>
          <w:b/>
          <w:bCs/>
          <w:lang w:val="fr-FR"/>
        </w:rPr>
      </w:pPr>
      <w:r w:rsidRPr="00511898">
        <w:rPr>
          <w:b/>
          <w:bCs/>
          <w:lang w:val="fr-FR"/>
        </w:rPr>
        <w:t>e)</w:t>
      </w:r>
      <w:r w:rsidRPr="00511898">
        <w:rPr>
          <w:b/>
          <w:bCs/>
          <w:lang w:val="fr-FR"/>
        </w:rPr>
        <w:tab/>
        <w:t>De prendre d’urgence des mesures pour faire en sorte que les minorités nationales bénéficient d’un enseignement dans leur langue maternelle en tant que discipline à part entière dans les établissements d’éducation préscolaire et secondaire.</w:t>
      </w:r>
    </w:p>
    <w:p w14:paraId="2F5575B4" w14:textId="77777777" w:rsidR="00096DDD" w:rsidRPr="008970D0" w:rsidRDefault="00096DDD" w:rsidP="00511898">
      <w:pPr>
        <w:pStyle w:val="H23G"/>
        <w:rPr>
          <w:lang w:val="fr-FR"/>
        </w:rPr>
      </w:pPr>
      <w:r w:rsidRPr="008970D0">
        <w:rPr>
          <w:lang w:val="fr-FR"/>
        </w:rPr>
        <w:tab/>
      </w:r>
      <w:r w:rsidRPr="008970D0">
        <w:rPr>
          <w:lang w:val="fr-FR"/>
        </w:rPr>
        <w:tab/>
        <w:t>Droits culturels</w:t>
      </w:r>
    </w:p>
    <w:p w14:paraId="7C91513B" w14:textId="6F701357" w:rsidR="00096DDD" w:rsidRPr="008970D0" w:rsidRDefault="00096DDD" w:rsidP="00284EA4">
      <w:pPr>
        <w:pStyle w:val="SingleTxtG"/>
        <w:rPr>
          <w:lang w:val="fr-FR"/>
        </w:rPr>
      </w:pPr>
      <w:r w:rsidRPr="008970D0">
        <w:rPr>
          <w:lang w:val="fr-FR"/>
        </w:rPr>
        <w:t>61.</w:t>
      </w:r>
      <w:r w:rsidRPr="008970D0">
        <w:rPr>
          <w:lang w:val="fr-FR"/>
        </w:rPr>
        <w:tab/>
        <w:t>Tout en prenant note des diverses mesures que l</w:t>
      </w:r>
      <w:r>
        <w:rPr>
          <w:lang w:val="fr-FR"/>
        </w:rPr>
        <w:t>’</w:t>
      </w:r>
      <w:r w:rsidRPr="008970D0">
        <w:rPr>
          <w:lang w:val="fr-FR"/>
        </w:rPr>
        <w:t>État partie a prises pour protéger les droits culturels, notamment du Plan d</w:t>
      </w:r>
      <w:r>
        <w:rPr>
          <w:lang w:val="fr-FR"/>
        </w:rPr>
        <w:t>’</w:t>
      </w:r>
      <w:r w:rsidRPr="008970D0">
        <w:rPr>
          <w:lang w:val="fr-FR"/>
        </w:rPr>
        <w:t>action en faveur de la représentation de l</w:t>
      </w:r>
      <w:r>
        <w:rPr>
          <w:lang w:val="fr-FR"/>
        </w:rPr>
        <w:t>’</w:t>
      </w:r>
      <w:r w:rsidRPr="008970D0">
        <w:rPr>
          <w:lang w:val="fr-FR"/>
        </w:rPr>
        <w:t xml:space="preserve">histoire des minorités nationales en Lituanie, le Comité est préoccupé par le fait que les groupes désavantagés et marginalisés, ainsi que </w:t>
      </w:r>
      <w:r>
        <w:rPr>
          <w:lang w:val="fr-FR"/>
        </w:rPr>
        <w:t>l</w:t>
      </w:r>
      <w:r w:rsidRPr="008970D0">
        <w:rPr>
          <w:lang w:val="fr-FR"/>
        </w:rPr>
        <w:t xml:space="preserve">es minorités nationales, ont des difficultés à accéder à la culture et aux progrès de la recherche scientifique </w:t>
      </w:r>
      <w:r w:rsidR="00F40B59">
        <w:rPr>
          <w:lang w:val="fr-FR"/>
        </w:rPr>
        <w:t>(art. </w:t>
      </w:r>
      <w:r w:rsidRPr="008970D0">
        <w:rPr>
          <w:lang w:val="fr-FR"/>
        </w:rPr>
        <w:t>15).</w:t>
      </w:r>
    </w:p>
    <w:p w14:paraId="6DE63247" w14:textId="77777777" w:rsidR="00096DDD" w:rsidRPr="008970D0" w:rsidRDefault="00096DDD" w:rsidP="00EF7F80">
      <w:pPr>
        <w:pStyle w:val="SingleTxtG"/>
        <w:keepLines/>
        <w:rPr>
          <w:b/>
          <w:bCs/>
          <w:lang w:val="fr-FR"/>
        </w:rPr>
      </w:pPr>
      <w:r w:rsidRPr="008970D0">
        <w:rPr>
          <w:lang w:val="fr-FR"/>
        </w:rPr>
        <w:lastRenderedPageBreak/>
        <w:t>62.</w:t>
      </w:r>
      <w:r w:rsidRPr="008970D0">
        <w:rPr>
          <w:lang w:val="fr-FR"/>
        </w:rPr>
        <w:tab/>
      </w:r>
      <w:r w:rsidRPr="008970D0">
        <w:rPr>
          <w:b/>
          <w:bCs/>
          <w:lang w:val="fr-FR"/>
        </w:rPr>
        <w:t>Le Comité recommande à l</w:t>
      </w:r>
      <w:r>
        <w:rPr>
          <w:b/>
          <w:bCs/>
          <w:lang w:val="fr-FR"/>
        </w:rPr>
        <w:t>’</w:t>
      </w:r>
      <w:r w:rsidRPr="008970D0">
        <w:rPr>
          <w:b/>
          <w:bCs/>
          <w:lang w:val="fr-FR"/>
        </w:rPr>
        <w:t>État partie de redoubler d</w:t>
      </w:r>
      <w:r>
        <w:rPr>
          <w:b/>
          <w:bCs/>
          <w:lang w:val="fr-FR"/>
        </w:rPr>
        <w:t>’</w:t>
      </w:r>
      <w:r w:rsidRPr="008970D0">
        <w:rPr>
          <w:b/>
          <w:bCs/>
          <w:lang w:val="fr-FR"/>
        </w:rPr>
        <w:t>efforts pour rendre la culture accessible et disponible pour tous, en veillant à ce que les minorités nationales et les groupes défavorisés et marginalisés aient accès à la culture à un coût abordable et bénéficient du progrès scientifique</w:t>
      </w:r>
      <w:r>
        <w:rPr>
          <w:b/>
          <w:bCs/>
          <w:lang w:val="fr-FR"/>
        </w:rPr>
        <w:t>.</w:t>
      </w:r>
    </w:p>
    <w:p w14:paraId="3323B2B9" w14:textId="4DB1B3D2" w:rsidR="00096DDD" w:rsidRPr="008970D0" w:rsidRDefault="00096DDD" w:rsidP="007567F4">
      <w:pPr>
        <w:pStyle w:val="H1G"/>
        <w:rPr>
          <w:i/>
          <w:iCs/>
          <w:lang w:val="fr-FR"/>
        </w:rPr>
      </w:pPr>
      <w:r>
        <w:rPr>
          <w:lang w:val="fr-FR"/>
        </w:rPr>
        <w:tab/>
      </w:r>
      <w:r w:rsidRPr="008970D0">
        <w:rPr>
          <w:lang w:val="fr-FR"/>
        </w:rPr>
        <w:t>D.</w:t>
      </w:r>
      <w:r w:rsidR="007567F4">
        <w:rPr>
          <w:lang w:val="fr-FR"/>
        </w:rPr>
        <w:tab/>
      </w:r>
      <w:r w:rsidRPr="008970D0">
        <w:rPr>
          <w:lang w:val="fr-FR"/>
        </w:rPr>
        <w:t>Autres recommandations</w:t>
      </w:r>
    </w:p>
    <w:p w14:paraId="7B8C3074" w14:textId="77777777" w:rsidR="00096DDD" w:rsidRPr="008970D0" w:rsidRDefault="00096DDD" w:rsidP="007567F4">
      <w:pPr>
        <w:pStyle w:val="SingleTxtG"/>
        <w:rPr>
          <w:b/>
          <w:bCs/>
          <w:lang w:val="fr-FR"/>
        </w:rPr>
      </w:pPr>
      <w:r w:rsidRPr="008970D0">
        <w:rPr>
          <w:lang w:val="fr-FR"/>
        </w:rPr>
        <w:t>63.</w:t>
      </w:r>
      <w:r w:rsidRPr="008970D0">
        <w:rPr>
          <w:lang w:val="fr-FR"/>
        </w:rPr>
        <w:tab/>
      </w:r>
      <w:r w:rsidRPr="008970D0">
        <w:rPr>
          <w:b/>
          <w:bCs/>
          <w:lang w:val="fr-FR"/>
        </w:rPr>
        <w:t>Le Comité encourage l</w:t>
      </w:r>
      <w:r>
        <w:rPr>
          <w:b/>
          <w:bCs/>
          <w:lang w:val="fr-FR"/>
        </w:rPr>
        <w:t>’</w:t>
      </w:r>
      <w:r w:rsidRPr="008970D0">
        <w:rPr>
          <w:b/>
          <w:bCs/>
          <w:lang w:val="fr-FR"/>
        </w:rPr>
        <w:t>État partie à ratifier le Protocole facultatif se rapportant au Pacte international relatif aux droits économiques, sociaux et culturels.</w:t>
      </w:r>
    </w:p>
    <w:p w14:paraId="4C2BDCC2" w14:textId="77777777" w:rsidR="00096DDD" w:rsidRPr="008970D0" w:rsidRDefault="00096DDD" w:rsidP="007567F4">
      <w:pPr>
        <w:pStyle w:val="SingleTxtG"/>
        <w:rPr>
          <w:b/>
          <w:bCs/>
          <w:lang w:val="fr-FR"/>
        </w:rPr>
      </w:pPr>
      <w:r w:rsidRPr="008970D0">
        <w:rPr>
          <w:lang w:val="fr-FR"/>
        </w:rPr>
        <w:t>64.</w:t>
      </w:r>
      <w:r w:rsidRPr="008970D0">
        <w:rPr>
          <w:lang w:val="fr-FR"/>
        </w:rPr>
        <w:tab/>
      </w:r>
      <w:r w:rsidRPr="008970D0">
        <w:rPr>
          <w:b/>
          <w:bCs/>
          <w:lang w:val="fr-FR"/>
        </w:rPr>
        <w:t>Le Comité recommande à l</w:t>
      </w:r>
      <w:r>
        <w:rPr>
          <w:b/>
          <w:bCs/>
          <w:lang w:val="fr-FR"/>
        </w:rPr>
        <w:t>’</w:t>
      </w:r>
      <w:r w:rsidRPr="008970D0">
        <w:rPr>
          <w:b/>
          <w:bCs/>
          <w:lang w:val="fr-FR"/>
        </w:rPr>
        <w:t>État partie d</w:t>
      </w:r>
      <w:r>
        <w:rPr>
          <w:b/>
          <w:bCs/>
          <w:lang w:val="fr-FR"/>
        </w:rPr>
        <w:t>’</w:t>
      </w:r>
      <w:r w:rsidRPr="008970D0">
        <w:rPr>
          <w:b/>
          <w:bCs/>
          <w:lang w:val="fr-FR"/>
        </w:rPr>
        <w:t>adhérer aux instruments relatifs aux droits de l</w:t>
      </w:r>
      <w:r>
        <w:rPr>
          <w:b/>
          <w:bCs/>
          <w:lang w:val="fr-FR"/>
        </w:rPr>
        <w:t>’</w:t>
      </w:r>
      <w:r w:rsidRPr="008970D0">
        <w:rPr>
          <w:b/>
          <w:bCs/>
          <w:lang w:val="fr-FR"/>
        </w:rPr>
        <w:t>homme auxquels il n</w:t>
      </w:r>
      <w:r>
        <w:rPr>
          <w:b/>
          <w:bCs/>
          <w:lang w:val="fr-FR"/>
        </w:rPr>
        <w:t>’</w:t>
      </w:r>
      <w:r w:rsidRPr="008970D0">
        <w:rPr>
          <w:b/>
          <w:bCs/>
          <w:lang w:val="fr-FR"/>
        </w:rPr>
        <w:t>est pas encore partie, notamment à la Convention internationale sur la protection des droits de tous les travailleurs migrants et des membres de leur famille.</w:t>
      </w:r>
    </w:p>
    <w:p w14:paraId="49C0D9D0" w14:textId="75DAC2D7" w:rsidR="00096DDD" w:rsidRPr="008970D0" w:rsidRDefault="00096DDD" w:rsidP="007567F4">
      <w:pPr>
        <w:pStyle w:val="SingleTxtG"/>
        <w:rPr>
          <w:b/>
          <w:bCs/>
          <w:lang w:val="fr-FR"/>
        </w:rPr>
      </w:pPr>
      <w:r w:rsidRPr="008970D0">
        <w:rPr>
          <w:lang w:val="fr-FR"/>
        </w:rPr>
        <w:t>65.</w:t>
      </w:r>
      <w:r w:rsidRPr="008970D0">
        <w:rPr>
          <w:lang w:val="fr-FR"/>
        </w:rPr>
        <w:tab/>
      </w:r>
      <w:r w:rsidRPr="008970D0">
        <w:rPr>
          <w:b/>
          <w:bCs/>
          <w:lang w:val="fr-FR"/>
        </w:rPr>
        <w:t>Le Comité recommande à l</w:t>
      </w:r>
      <w:r>
        <w:rPr>
          <w:b/>
          <w:bCs/>
          <w:lang w:val="fr-FR"/>
        </w:rPr>
        <w:t>’</w:t>
      </w:r>
      <w:r w:rsidRPr="008970D0">
        <w:rPr>
          <w:b/>
          <w:bCs/>
          <w:lang w:val="fr-FR"/>
        </w:rPr>
        <w:t>État partie de tenir pleinement compte des obligations que lui impose le Pacte et de garantir le plein exercice des droits qui y sont consacrés tant dans l</w:t>
      </w:r>
      <w:r>
        <w:rPr>
          <w:b/>
          <w:bCs/>
          <w:lang w:val="fr-FR"/>
        </w:rPr>
        <w:t>’</w:t>
      </w:r>
      <w:r w:rsidRPr="008970D0">
        <w:rPr>
          <w:b/>
          <w:bCs/>
          <w:lang w:val="fr-FR"/>
        </w:rPr>
        <w:t>application du Programme de développement durable à l</w:t>
      </w:r>
      <w:r>
        <w:rPr>
          <w:b/>
          <w:bCs/>
          <w:lang w:val="fr-FR"/>
        </w:rPr>
        <w:t>’</w:t>
      </w:r>
      <w:r w:rsidRPr="008970D0">
        <w:rPr>
          <w:b/>
          <w:bCs/>
          <w:lang w:val="fr-FR"/>
        </w:rPr>
        <w:t>horizon 2030 au niveau national que dans les mesures qu</w:t>
      </w:r>
      <w:r>
        <w:rPr>
          <w:b/>
          <w:bCs/>
          <w:lang w:val="fr-FR"/>
        </w:rPr>
        <w:t>’</w:t>
      </w:r>
      <w:r w:rsidRPr="008970D0">
        <w:rPr>
          <w:b/>
          <w:bCs/>
          <w:lang w:val="fr-FR"/>
        </w:rPr>
        <w:t xml:space="preserve">il prend pour assurer son relèvement après la pandémie de </w:t>
      </w:r>
      <w:r w:rsidR="00AE1C23">
        <w:rPr>
          <w:b/>
          <w:bCs/>
          <w:lang w:val="fr-FR"/>
        </w:rPr>
        <w:t>COVID</w:t>
      </w:r>
      <w:r w:rsidR="00AE1C23">
        <w:rPr>
          <w:b/>
          <w:bCs/>
          <w:lang w:val="fr-FR"/>
        </w:rPr>
        <w:noBreakHyphen/>
        <w:t>19</w:t>
      </w:r>
      <w:r w:rsidRPr="008970D0">
        <w:rPr>
          <w:b/>
          <w:bCs/>
          <w:lang w:val="fr-FR"/>
        </w:rPr>
        <w:t>.</w:t>
      </w:r>
      <w:r w:rsidRPr="008970D0">
        <w:rPr>
          <w:lang w:val="fr-FR"/>
        </w:rPr>
        <w:t xml:space="preserve"> </w:t>
      </w:r>
      <w:r w:rsidRPr="008970D0">
        <w:rPr>
          <w:b/>
          <w:bCs/>
          <w:lang w:val="fr-FR"/>
        </w:rPr>
        <w:t>La réalisation des objectifs de développement durable serait sensiblement facilitée si l</w:t>
      </w:r>
      <w:r>
        <w:rPr>
          <w:b/>
          <w:bCs/>
          <w:lang w:val="fr-FR"/>
        </w:rPr>
        <w:t>’</w:t>
      </w:r>
      <w:r w:rsidRPr="008970D0">
        <w:rPr>
          <w:b/>
          <w:bCs/>
          <w:lang w:val="fr-FR"/>
        </w:rPr>
        <w:t>État partie établissait des mécanismes indépendants pour le suivi des progrès et considérait les bénéficiaires des programmes publics comme les titulaires de droits qu</w:t>
      </w:r>
      <w:r>
        <w:rPr>
          <w:b/>
          <w:bCs/>
          <w:lang w:val="fr-FR"/>
        </w:rPr>
        <w:t>’</w:t>
      </w:r>
      <w:r w:rsidRPr="008970D0">
        <w:rPr>
          <w:b/>
          <w:bCs/>
          <w:lang w:val="fr-FR"/>
        </w:rPr>
        <w:t>ils peuvent faire valoir.</w:t>
      </w:r>
      <w:r w:rsidRPr="008970D0">
        <w:rPr>
          <w:lang w:val="fr-FR"/>
        </w:rPr>
        <w:t xml:space="preserve"> </w:t>
      </w:r>
      <w:r w:rsidRPr="008970D0">
        <w:rPr>
          <w:b/>
          <w:bCs/>
          <w:lang w:val="fr-FR"/>
        </w:rPr>
        <w:t>Il lui recommande en outre de soutenir les engagements pris au niveau mondial dans le contexte de la décennie d</w:t>
      </w:r>
      <w:r>
        <w:rPr>
          <w:b/>
          <w:bCs/>
          <w:lang w:val="fr-FR"/>
        </w:rPr>
        <w:t>’</w:t>
      </w:r>
      <w:r w:rsidRPr="008970D0">
        <w:rPr>
          <w:b/>
          <w:bCs/>
          <w:lang w:val="fr-FR"/>
        </w:rPr>
        <w:t>action en faveur des objectifs de développement durable.</w:t>
      </w:r>
      <w:r w:rsidRPr="008970D0">
        <w:rPr>
          <w:lang w:val="fr-FR"/>
        </w:rPr>
        <w:t xml:space="preserve"> </w:t>
      </w:r>
      <w:r w:rsidRPr="008970D0">
        <w:rPr>
          <w:b/>
          <w:bCs/>
          <w:lang w:val="fr-FR"/>
        </w:rPr>
        <w:t>Appliquer les objectifs d</w:t>
      </w:r>
      <w:r>
        <w:rPr>
          <w:b/>
          <w:bCs/>
          <w:lang w:val="fr-FR"/>
        </w:rPr>
        <w:t>’</w:t>
      </w:r>
      <w:r w:rsidRPr="008970D0">
        <w:rPr>
          <w:b/>
          <w:bCs/>
          <w:lang w:val="fr-FR"/>
        </w:rPr>
        <w:t>après les principes de participation, de responsabilité et de non-discrimination permettrait de faire en sorte que nul ne soit laissé de côté.</w:t>
      </w:r>
      <w:r w:rsidRPr="008970D0">
        <w:rPr>
          <w:lang w:val="fr-FR"/>
        </w:rPr>
        <w:t xml:space="preserve"> </w:t>
      </w:r>
      <w:r w:rsidRPr="008970D0">
        <w:rPr>
          <w:b/>
          <w:bCs/>
          <w:lang w:val="fr-FR"/>
        </w:rPr>
        <w:t>À cet égard, le Comité appelle l</w:t>
      </w:r>
      <w:r>
        <w:rPr>
          <w:b/>
          <w:bCs/>
          <w:lang w:val="fr-FR"/>
        </w:rPr>
        <w:t>’</w:t>
      </w:r>
      <w:r w:rsidRPr="008970D0">
        <w:rPr>
          <w:b/>
          <w:bCs/>
          <w:lang w:val="fr-FR"/>
        </w:rPr>
        <w:t>attention de l</w:t>
      </w:r>
      <w:r>
        <w:rPr>
          <w:b/>
          <w:bCs/>
          <w:lang w:val="fr-FR"/>
        </w:rPr>
        <w:t>’</w:t>
      </w:r>
      <w:r w:rsidRPr="008970D0">
        <w:rPr>
          <w:b/>
          <w:bCs/>
          <w:lang w:val="fr-FR"/>
        </w:rPr>
        <w:t>État partie sur sa déclaration relative à l</w:t>
      </w:r>
      <w:r>
        <w:rPr>
          <w:b/>
          <w:bCs/>
          <w:lang w:val="fr-FR"/>
        </w:rPr>
        <w:t>’</w:t>
      </w:r>
      <w:r w:rsidRPr="008970D0">
        <w:rPr>
          <w:b/>
          <w:bCs/>
          <w:lang w:val="fr-FR"/>
        </w:rPr>
        <w:t>engagement de ne laisser personne de côté</w:t>
      </w:r>
      <w:r w:rsidRPr="001043D5">
        <w:rPr>
          <w:rStyle w:val="Appelnotedebasdep"/>
        </w:rPr>
        <w:footnoteReference w:id="17"/>
      </w:r>
      <w:r w:rsidRPr="008970D0">
        <w:rPr>
          <w:b/>
          <w:bCs/>
          <w:lang w:val="fr-FR"/>
        </w:rPr>
        <w:t>.</w:t>
      </w:r>
    </w:p>
    <w:p w14:paraId="0670EA84" w14:textId="77777777" w:rsidR="00096DDD" w:rsidRPr="008970D0" w:rsidRDefault="00096DDD" w:rsidP="007567F4">
      <w:pPr>
        <w:pStyle w:val="SingleTxtG"/>
        <w:rPr>
          <w:b/>
          <w:bCs/>
          <w:lang w:val="fr-FR"/>
        </w:rPr>
      </w:pPr>
      <w:r w:rsidRPr="008970D0">
        <w:rPr>
          <w:lang w:val="fr-FR"/>
        </w:rPr>
        <w:t>66.</w:t>
      </w:r>
      <w:r w:rsidRPr="008970D0">
        <w:rPr>
          <w:lang w:val="fr-FR"/>
        </w:rPr>
        <w:tab/>
      </w:r>
      <w:r w:rsidRPr="008970D0">
        <w:rPr>
          <w:b/>
          <w:bCs/>
          <w:lang w:val="fr-FR"/>
        </w:rPr>
        <w:t>Le Comité prie l</w:t>
      </w:r>
      <w:r>
        <w:rPr>
          <w:b/>
          <w:bCs/>
          <w:lang w:val="fr-FR"/>
        </w:rPr>
        <w:t>’</w:t>
      </w:r>
      <w:r w:rsidRPr="008970D0">
        <w:rPr>
          <w:b/>
          <w:bCs/>
          <w:lang w:val="fr-FR"/>
        </w:rPr>
        <w:t>État partie de diffuser largement les présentes observations finales à tous les niveaux de la société, en particulier auprès des municipalités locales, des parlementaires, des fonctionnaires et des autorités judiciaires, et de l</w:t>
      </w:r>
      <w:r>
        <w:rPr>
          <w:b/>
          <w:bCs/>
          <w:lang w:val="fr-FR"/>
        </w:rPr>
        <w:t>’</w:t>
      </w:r>
      <w:r w:rsidRPr="008970D0">
        <w:rPr>
          <w:b/>
          <w:bCs/>
          <w:lang w:val="fr-FR"/>
        </w:rPr>
        <w:t>informer dans son prochain rapport périodique des dispositions qu</w:t>
      </w:r>
      <w:r>
        <w:rPr>
          <w:b/>
          <w:bCs/>
          <w:lang w:val="fr-FR"/>
        </w:rPr>
        <w:t>’</w:t>
      </w:r>
      <w:r w:rsidRPr="008970D0">
        <w:rPr>
          <w:b/>
          <w:bCs/>
          <w:lang w:val="fr-FR"/>
        </w:rPr>
        <w:t>il aura prises pour y donner suite.</w:t>
      </w:r>
      <w:r w:rsidRPr="008970D0">
        <w:rPr>
          <w:lang w:val="fr-FR"/>
        </w:rPr>
        <w:t xml:space="preserve"> </w:t>
      </w:r>
      <w:r w:rsidRPr="008970D0">
        <w:rPr>
          <w:b/>
          <w:bCs/>
          <w:lang w:val="fr-FR"/>
        </w:rPr>
        <w:t>Il souligne le rôle crucial que joue le parlement dans l</w:t>
      </w:r>
      <w:r>
        <w:rPr>
          <w:b/>
          <w:bCs/>
          <w:lang w:val="fr-FR"/>
        </w:rPr>
        <w:t>’</w:t>
      </w:r>
      <w:r w:rsidRPr="008970D0">
        <w:rPr>
          <w:b/>
          <w:bCs/>
          <w:lang w:val="fr-FR"/>
        </w:rPr>
        <w:t>application des présentes observations finales et encourage l</w:t>
      </w:r>
      <w:r>
        <w:rPr>
          <w:b/>
          <w:bCs/>
          <w:lang w:val="fr-FR"/>
        </w:rPr>
        <w:t>’</w:t>
      </w:r>
      <w:r w:rsidRPr="008970D0">
        <w:rPr>
          <w:b/>
          <w:bCs/>
          <w:lang w:val="fr-FR"/>
        </w:rPr>
        <w:t>État partie à l</w:t>
      </w:r>
      <w:r>
        <w:rPr>
          <w:b/>
          <w:bCs/>
          <w:lang w:val="fr-FR"/>
        </w:rPr>
        <w:t>’</w:t>
      </w:r>
      <w:r w:rsidRPr="008970D0">
        <w:rPr>
          <w:b/>
          <w:bCs/>
          <w:lang w:val="fr-FR"/>
        </w:rPr>
        <w:t>associer aux prochaines activités d</w:t>
      </w:r>
      <w:r>
        <w:rPr>
          <w:b/>
          <w:bCs/>
          <w:lang w:val="fr-FR"/>
        </w:rPr>
        <w:t>’</w:t>
      </w:r>
      <w:r w:rsidRPr="008970D0">
        <w:rPr>
          <w:b/>
          <w:bCs/>
          <w:lang w:val="fr-FR"/>
        </w:rPr>
        <w:t>établissement de rapports et de suivi.</w:t>
      </w:r>
      <w:r w:rsidRPr="008970D0">
        <w:rPr>
          <w:lang w:val="fr-FR"/>
        </w:rPr>
        <w:t xml:space="preserve"> </w:t>
      </w:r>
      <w:r w:rsidRPr="008970D0">
        <w:rPr>
          <w:b/>
          <w:bCs/>
          <w:lang w:val="fr-FR"/>
        </w:rPr>
        <w:t>Il invite aussi l</w:t>
      </w:r>
      <w:r>
        <w:rPr>
          <w:b/>
          <w:bCs/>
          <w:lang w:val="fr-FR"/>
        </w:rPr>
        <w:t>’</w:t>
      </w:r>
      <w:r w:rsidRPr="008970D0">
        <w:rPr>
          <w:b/>
          <w:bCs/>
          <w:lang w:val="fr-FR"/>
        </w:rPr>
        <w:t>État partie à continuer d</w:t>
      </w:r>
      <w:r>
        <w:rPr>
          <w:b/>
          <w:bCs/>
          <w:lang w:val="fr-FR"/>
        </w:rPr>
        <w:t>’</w:t>
      </w:r>
      <w:r w:rsidRPr="008970D0">
        <w:rPr>
          <w:b/>
          <w:bCs/>
          <w:lang w:val="fr-FR"/>
        </w:rPr>
        <w:t xml:space="preserve">associer le </w:t>
      </w:r>
      <w:r>
        <w:rPr>
          <w:b/>
          <w:bCs/>
          <w:lang w:val="fr-FR"/>
        </w:rPr>
        <w:t>B</w:t>
      </w:r>
      <w:r w:rsidRPr="008970D0">
        <w:rPr>
          <w:b/>
          <w:bCs/>
          <w:lang w:val="fr-FR"/>
        </w:rPr>
        <w:t>ureau des médiateurs parlementaires, les organisations non gouvernementales et les autres membres de la société civile au processus de discussion au niveau national avant la soumission de son prochain rapport périodique.</w:t>
      </w:r>
      <w:r w:rsidRPr="008970D0">
        <w:rPr>
          <w:lang w:val="fr-FR"/>
        </w:rPr>
        <w:t xml:space="preserve"> </w:t>
      </w:r>
    </w:p>
    <w:p w14:paraId="34E17749" w14:textId="13A2B243" w:rsidR="00096DDD" w:rsidRPr="008970D0" w:rsidRDefault="00096DDD" w:rsidP="007567F4">
      <w:pPr>
        <w:pStyle w:val="SingleTxtG"/>
        <w:rPr>
          <w:b/>
          <w:bCs/>
          <w:lang w:val="fr-FR"/>
        </w:rPr>
      </w:pPr>
      <w:r w:rsidRPr="008970D0">
        <w:rPr>
          <w:lang w:val="fr-FR"/>
        </w:rPr>
        <w:t>67.</w:t>
      </w:r>
      <w:r w:rsidRPr="008970D0">
        <w:rPr>
          <w:lang w:val="fr-FR"/>
        </w:rPr>
        <w:tab/>
      </w:r>
      <w:r w:rsidRPr="008970D0">
        <w:rPr>
          <w:b/>
          <w:bCs/>
          <w:lang w:val="fr-FR"/>
        </w:rPr>
        <w:t>Conformément à la procédure de suivi des observations finales adoptées par le Comité, l</w:t>
      </w:r>
      <w:r>
        <w:rPr>
          <w:b/>
          <w:bCs/>
          <w:lang w:val="fr-FR"/>
        </w:rPr>
        <w:t>’</w:t>
      </w:r>
      <w:r w:rsidRPr="008970D0">
        <w:rPr>
          <w:b/>
          <w:bCs/>
          <w:lang w:val="fr-FR"/>
        </w:rPr>
        <w:t>État partie est prié de fournir, dans un délai de vingt-quatre mois à compter de l</w:t>
      </w:r>
      <w:r>
        <w:rPr>
          <w:b/>
          <w:bCs/>
          <w:lang w:val="fr-FR"/>
        </w:rPr>
        <w:t>’</w:t>
      </w:r>
      <w:r w:rsidRPr="008970D0">
        <w:rPr>
          <w:b/>
          <w:bCs/>
          <w:lang w:val="fr-FR"/>
        </w:rPr>
        <w:t>adoption des présentes observations finales, des renseignements sur la suite donnée aux recommandations formulées par le Comité aux paragraphes</w:t>
      </w:r>
      <w:r w:rsidR="008B711F">
        <w:rPr>
          <w:b/>
          <w:bCs/>
          <w:lang w:val="fr-FR"/>
        </w:rPr>
        <w:t> </w:t>
      </w:r>
      <w:r w:rsidRPr="008970D0">
        <w:rPr>
          <w:b/>
          <w:bCs/>
          <w:lang w:val="fr-FR"/>
        </w:rPr>
        <w:t>9 (minorités nationales), 17 (changements climatiques) et 51 (droit à un logement convenable).</w:t>
      </w:r>
    </w:p>
    <w:p w14:paraId="15F4C3CD" w14:textId="7248B570" w:rsidR="00446FE5" w:rsidRDefault="00096DDD" w:rsidP="007567F4">
      <w:pPr>
        <w:pStyle w:val="SingleTxtG"/>
        <w:rPr>
          <w:b/>
          <w:bCs/>
          <w:lang w:val="fr-FR"/>
        </w:rPr>
      </w:pPr>
      <w:r w:rsidRPr="008970D0">
        <w:rPr>
          <w:lang w:val="fr-FR"/>
        </w:rPr>
        <w:t>68.</w:t>
      </w:r>
      <w:r w:rsidRPr="008970D0">
        <w:rPr>
          <w:lang w:val="fr-FR"/>
        </w:rPr>
        <w:tab/>
      </w:r>
      <w:r w:rsidRPr="00096DDD">
        <w:rPr>
          <w:b/>
          <w:bCs/>
          <w:lang w:val="fr-FR"/>
        </w:rPr>
        <w:t xml:space="preserve">Le Comité prie l’État partie de lui soumettre son quatrième rapport périodique, en application de l’article 16 du Pacte, le 31 mars 2028 au plus tard, à moins qu’il ne soit informé d’une modification du cycle d’examen. Conformément à la résolution </w:t>
      </w:r>
      <w:hyperlink r:id="rId8" w:history="1">
        <w:r w:rsidR="00046832">
          <w:rPr>
            <w:rStyle w:val="Lienhypertexte"/>
            <w:b/>
            <w:bCs/>
            <w:lang w:val="fr-FR"/>
          </w:rPr>
          <w:t>68/268</w:t>
        </w:r>
      </w:hyperlink>
      <w:r w:rsidRPr="00096DDD">
        <w:rPr>
          <w:b/>
          <w:bCs/>
          <w:lang w:val="fr-FR"/>
        </w:rPr>
        <w:t xml:space="preserve"> de l’Assemblée générale, le rapport ne devra pas dépasser 21 200 mots.</w:t>
      </w:r>
    </w:p>
    <w:p w14:paraId="3C0AFCC6" w14:textId="0C8FFD77" w:rsidR="00096DDD" w:rsidRPr="00096DDD" w:rsidRDefault="00096DDD" w:rsidP="007567F4">
      <w:pPr>
        <w:pStyle w:val="SingleTxtG"/>
        <w:spacing w:before="240" w:after="0"/>
        <w:jc w:val="center"/>
        <w:rPr>
          <w:u w:val="single"/>
        </w:rPr>
      </w:pPr>
      <w:r>
        <w:rPr>
          <w:u w:val="single"/>
        </w:rPr>
        <w:tab/>
      </w:r>
      <w:r>
        <w:rPr>
          <w:u w:val="single"/>
        </w:rPr>
        <w:tab/>
      </w:r>
      <w:r>
        <w:rPr>
          <w:u w:val="single"/>
        </w:rPr>
        <w:tab/>
      </w:r>
    </w:p>
    <w:sectPr w:rsidR="00096DDD" w:rsidRPr="00096DDD" w:rsidSect="00C3032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BB19" w14:textId="77777777" w:rsidR="005C5B98" w:rsidRDefault="005C5B98" w:rsidP="00F95C08">
      <w:pPr>
        <w:spacing w:line="240" w:lineRule="auto"/>
      </w:pPr>
    </w:p>
  </w:endnote>
  <w:endnote w:type="continuationSeparator" w:id="0">
    <w:p w14:paraId="4F4BC049" w14:textId="77777777" w:rsidR="005C5B98" w:rsidRPr="00AC3823" w:rsidRDefault="005C5B98" w:rsidP="00AC3823">
      <w:pPr>
        <w:pStyle w:val="Pieddepage"/>
      </w:pPr>
    </w:p>
  </w:endnote>
  <w:endnote w:type="continuationNotice" w:id="1">
    <w:p w14:paraId="68FAA858" w14:textId="77777777" w:rsidR="005C5B98" w:rsidRDefault="005C5B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FE76" w14:textId="16453454" w:rsidR="00C30324" w:rsidRPr="00C30324" w:rsidRDefault="00C30324" w:rsidP="00C30324">
    <w:pPr>
      <w:pStyle w:val="Pieddepage"/>
      <w:tabs>
        <w:tab w:val="right" w:pos="9638"/>
      </w:tabs>
    </w:pPr>
    <w:r w:rsidRPr="00C30324">
      <w:rPr>
        <w:b/>
        <w:sz w:val="18"/>
      </w:rPr>
      <w:fldChar w:fldCharType="begin"/>
    </w:r>
    <w:r w:rsidRPr="00C30324">
      <w:rPr>
        <w:b/>
        <w:sz w:val="18"/>
      </w:rPr>
      <w:instrText xml:space="preserve"> PAGE  \* MERGEFORMAT </w:instrText>
    </w:r>
    <w:r w:rsidRPr="00C30324">
      <w:rPr>
        <w:b/>
        <w:sz w:val="18"/>
      </w:rPr>
      <w:fldChar w:fldCharType="separate"/>
    </w:r>
    <w:r w:rsidRPr="00C30324">
      <w:rPr>
        <w:b/>
        <w:noProof/>
        <w:sz w:val="18"/>
      </w:rPr>
      <w:t>2</w:t>
    </w:r>
    <w:r w:rsidRPr="00C30324">
      <w:rPr>
        <w:b/>
        <w:sz w:val="18"/>
      </w:rPr>
      <w:fldChar w:fldCharType="end"/>
    </w:r>
    <w:r>
      <w:rPr>
        <w:b/>
        <w:sz w:val="18"/>
      </w:rPr>
      <w:tab/>
    </w:r>
    <w:r>
      <w:t>GE.23-04642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F07C" w14:textId="035779F6" w:rsidR="00C30324" w:rsidRPr="00C30324" w:rsidRDefault="00C30324" w:rsidP="00C30324">
    <w:pPr>
      <w:pStyle w:val="Pieddepage"/>
      <w:tabs>
        <w:tab w:val="right" w:pos="9638"/>
      </w:tabs>
      <w:rPr>
        <w:b/>
        <w:sz w:val="18"/>
      </w:rPr>
    </w:pPr>
    <w:r>
      <w:t>GE.23-04642</w:t>
    </w:r>
    <w:r>
      <w:tab/>
    </w:r>
    <w:r w:rsidRPr="00C30324">
      <w:rPr>
        <w:b/>
        <w:sz w:val="18"/>
      </w:rPr>
      <w:fldChar w:fldCharType="begin"/>
    </w:r>
    <w:r w:rsidRPr="00C30324">
      <w:rPr>
        <w:b/>
        <w:sz w:val="18"/>
      </w:rPr>
      <w:instrText xml:space="preserve"> PAGE  \* MERGEFORMAT </w:instrText>
    </w:r>
    <w:r w:rsidRPr="00C30324">
      <w:rPr>
        <w:b/>
        <w:sz w:val="18"/>
      </w:rPr>
      <w:fldChar w:fldCharType="separate"/>
    </w:r>
    <w:r w:rsidRPr="00C30324">
      <w:rPr>
        <w:b/>
        <w:noProof/>
        <w:sz w:val="18"/>
      </w:rPr>
      <w:t>3</w:t>
    </w:r>
    <w:r w:rsidRPr="00C303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8DC2" w14:textId="5EA4F303" w:rsidR="0080236C" w:rsidRPr="00C30324" w:rsidRDefault="00C30324" w:rsidP="00C30324">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130C67B0" wp14:editId="43C772D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23-04642  (F)</w:t>
    </w:r>
    <w:r>
      <w:rPr>
        <w:noProof/>
        <w:sz w:val="20"/>
      </w:rPr>
      <w:drawing>
        <wp:anchor distT="0" distB="0" distL="114300" distR="114300" simplePos="0" relativeHeight="251660288" behindDoc="0" locked="0" layoutInCell="1" allowOverlap="1" wp14:anchorId="56AD50FE" wp14:editId="59C5014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250523    250523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AA38" w14:textId="77777777" w:rsidR="005C5B98" w:rsidRPr="00AC3823" w:rsidRDefault="005C5B98" w:rsidP="00AC3823">
      <w:pPr>
        <w:pStyle w:val="Pieddepage"/>
        <w:tabs>
          <w:tab w:val="right" w:pos="2155"/>
        </w:tabs>
        <w:spacing w:after="80" w:line="240" w:lineRule="atLeast"/>
        <w:ind w:left="680"/>
        <w:rPr>
          <w:u w:val="single"/>
        </w:rPr>
      </w:pPr>
      <w:r>
        <w:rPr>
          <w:u w:val="single"/>
        </w:rPr>
        <w:tab/>
      </w:r>
    </w:p>
  </w:footnote>
  <w:footnote w:type="continuationSeparator" w:id="0">
    <w:p w14:paraId="649687CB" w14:textId="77777777" w:rsidR="005C5B98" w:rsidRPr="00AC3823" w:rsidRDefault="005C5B98" w:rsidP="00AC3823">
      <w:pPr>
        <w:pStyle w:val="Pieddepage"/>
        <w:tabs>
          <w:tab w:val="right" w:pos="2155"/>
        </w:tabs>
        <w:spacing w:after="80" w:line="240" w:lineRule="atLeast"/>
        <w:ind w:left="680"/>
        <w:rPr>
          <w:u w:val="single"/>
        </w:rPr>
      </w:pPr>
      <w:r>
        <w:rPr>
          <w:u w:val="single"/>
        </w:rPr>
        <w:tab/>
      </w:r>
    </w:p>
  </w:footnote>
  <w:footnote w:type="continuationNotice" w:id="1">
    <w:p w14:paraId="3E52B55E" w14:textId="77777777" w:rsidR="005C5B98" w:rsidRPr="00AC3823" w:rsidRDefault="005C5B98">
      <w:pPr>
        <w:spacing w:line="240" w:lineRule="auto"/>
        <w:rPr>
          <w:sz w:val="2"/>
          <w:szCs w:val="2"/>
        </w:rPr>
      </w:pPr>
    </w:p>
  </w:footnote>
  <w:footnote w:id="2">
    <w:p w14:paraId="3CFE5335" w14:textId="77777777" w:rsidR="00096DDD" w:rsidRPr="000D0402" w:rsidRDefault="00096DDD" w:rsidP="00096DDD">
      <w:pPr>
        <w:pStyle w:val="Notedebasdepage"/>
        <w:rPr>
          <w:lang w:val="fr-FR"/>
        </w:rPr>
      </w:pPr>
      <w:r>
        <w:rPr>
          <w:lang w:val="fr-FR"/>
        </w:rPr>
        <w:tab/>
        <w:t>*</w:t>
      </w:r>
      <w:r>
        <w:rPr>
          <w:lang w:val="fr-FR"/>
        </w:rPr>
        <w:tab/>
        <w:t>Adoptées par le Comité à sa soixante-treizième session (13 février-3 mars 2023).</w:t>
      </w:r>
    </w:p>
  </w:footnote>
  <w:footnote w:id="3">
    <w:p w14:paraId="03CAEE20" w14:textId="4324AB05" w:rsidR="00096DDD" w:rsidRPr="001043D5" w:rsidRDefault="00096DDD" w:rsidP="00096DDD">
      <w:pPr>
        <w:pStyle w:val="Notedebasdepage"/>
        <w:rPr>
          <w:lang w:val="de-DE"/>
        </w:rPr>
      </w:pPr>
      <w:r w:rsidRPr="007E5FDE">
        <w:rPr>
          <w:lang w:val="fr-FR"/>
        </w:rPr>
        <w:tab/>
      </w:r>
      <w:r w:rsidRPr="001043D5">
        <w:rPr>
          <w:rStyle w:val="Appelnotedebasdep"/>
        </w:rPr>
        <w:footnoteRef/>
      </w:r>
      <w:r w:rsidRPr="001043D5">
        <w:rPr>
          <w:lang w:val="de-DE"/>
        </w:rPr>
        <w:tab/>
      </w:r>
      <w:hyperlink r:id="rId1" w:history="1">
        <w:r w:rsidR="00046832">
          <w:rPr>
            <w:rStyle w:val="Lienhypertexte"/>
            <w:lang w:val="de-DE"/>
          </w:rPr>
          <w:t>E/C.12/LTU/3</w:t>
        </w:r>
      </w:hyperlink>
      <w:r w:rsidRPr="001043D5">
        <w:rPr>
          <w:lang w:val="de-DE"/>
        </w:rPr>
        <w:t>.</w:t>
      </w:r>
      <w:bookmarkStart w:id="0" w:name="_Hlk122025192"/>
      <w:bookmarkEnd w:id="0"/>
    </w:p>
  </w:footnote>
  <w:footnote w:id="4">
    <w:p w14:paraId="1B1DFB3F" w14:textId="6F372E5D" w:rsidR="00096DDD" w:rsidRPr="001043D5" w:rsidRDefault="00096DDD" w:rsidP="00096DDD">
      <w:pPr>
        <w:pStyle w:val="Notedebasdepage"/>
        <w:rPr>
          <w:sz w:val="16"/>
          <w:szCs w:val="16"/>
          <w:lang w:val="de-DE"/>
        </w:rPr>
      </w:pPr>
      <w:r w:rsidRPr="001043D5">
        <w:rPr>
          <w:sz w:val="16"/>
          <w:szCs w:val="16"/>
          <w:lang w:val="de-DE"/>
        </w:rPr>
        <w:tab/>
      </w:r>
      <w:r w:rsidRPr="001043D5">
        <w:rPr>
          <w:rStyle w:val="Appelnotedebasdep"/>
        </w:rPr>
        <w:footnoteRef/>
      </w:r>
      <w:r w:rsidRPr="001043D5">
        <w:rPr>
          <w:lang w:val="de-DE"/>
        </w:rPr>
        <w:tab/>
      </w:r>
      <w:hyperlink r:id="rId2" w:history="1">
        <w:r w:rsidR="00046832" w:rsidRPr="005433DA">
          <w:rPr>
            <w:rStyle w:val="Lienhypertexte"/>
            <w:lang w:val="de-DE"/>
          </w:rPr>
          <w:t>E/C.12/2023/SR.16</w:t>
        </w:r>
      </w:hyperlink>
      <w:r w:rsidRPr="001043D5">
        <w:rPr>
          <w:lang w:val="de-DE"/>
        </w:rPr>
        <w:t xml:space="preserve"> et </w:t>
      </w:r>
      <w:hyperlink r:id="rId3" w:history="1">
        <w:r w:rsidR="00046832" w:rsidRPr="005433DA">
          <w:rPr>
            <w:rStyle w:val="Lienhypertexte"/>
            <w:lang w:val="de-DE"/>
          </w:rPr>
          <w:t>E/C.12/2023/SR.18</w:t>
        </w:r>
      </w:hyperlink>
      <w:r w:rsidRPr="001043D5">
        <w:rPr>
          <w:lang w:val="de-DE"/>
        </w:rPr>
        <w:t>.</w:t>
      </w:r>
    </w:p>
  </w:footnote>
  <w:footnote w:id="5">
    <w:p w14:paraId="683C6D83" w14:textId="4B406EEE" w:rsidR="00096DDD" w:rsidRPr="001043D5" w:rsidRDefault="00096DDD" w:rsidP="00096DDD">
      <w:pPr>
        <w:pStyle w:val="Notedebasdepage"/>
        <w:rPr>
          <w:sz w:val="16"/>
          <w:szCs w:val="16"/>
          <w:lang w:val="de-DE"/>
        </w:rPr>
      </w:pPr>
      <w:r w:rsidRPr="001043D5">
        <w:rPr>
          <w:sz w:val="16"/>
          <w:szCs w:val="16"/>
          <w:lang w:val="de-DE"/>
        </w:rPr>
        <w:tab/>
      </w:r>
      <w:r w:rsidRPr="001043D5">
        <w:rPr>
          <w:rStyle w:val="Appelnotedebasdep"/>
        </w:rPr>
        <w:footnoteRef/>
      </w:r>
      <w:r w:rsidRPr="001043D5">
        <w:rPr>
          <w:lang w:val="de-DE"/>
        </w:rPr>
        <w:tab/>
      </w:r>
      <w:hyperlink r:id="rId4" w:history="1">
        <w:r w:rsidR="00046832" w:rsidRPr="005250A3">
          <w:rPr>
            <w:rStyle w:val="Lienhypertexte"/>
            <w:lang w:val="de-DE"/>
          </w:rPr>
          <w:t>E/C.12/LTU/</w:t>
        </w:r>
        <w:r w:rsidR="00046832" w:rsidRPr="005250A3">
          <w:rPr>
            <w:rStyle w:val="Lienhypertexte"/>
            <w:lang w:val="de-DE"/>
          </w:rPr>
          <w:t>R</w:t>
        </w:r>
        <w:r w:rsidR="00046832" w:rsidRPr="005250A3">
          <w:rPr>
            <w:rStyle w:val="Lienhypertexte"/>
            <w:lang w:val="de-DE"/>
          </w:rPr>
          <w:t>Q/3</w:t>
        </w:r>
      </w:hyperlink>
      <w:r w:rsidRPr="001043D5">
        <w:rPr>
          <w:lang w:val="de-DE"/>
        </w:rPr>
        <w:t>.</w:t>
      </w:r>
    </w:p>
  </w:footnote>
  <w:footnote w:id="6">
    <w:p w14:paraId="71421B52" w14:textId="0A32605F" w:rsidR="00096DDD" w:rsidRPr="00DF129E" w:rsidRDefault="00096DDD" w:rsidP="00096DDD">
      <w:pPr>
        <w:pStyle w:val="Notedebasdepage"/>
        <w:rPr>
          <w:szCs w:val="16"/>
          <w:lang w:val="de-DE"/>
        </w:rPr>
      </w:pPr>
      <w:r w:rsidRPr="001043D5">
        <w:rPr>
          <w:szCs w:val="16"/>
          <w:lang w:val="de-DE"/>
        </w:rPr>
        <w:tab/>
      </w:r>
      <w:r w:rsidRPr="001043D5">
        <w:rPr>
          <w:rStyle w:val="Appelnotedebasdep"/>
        </w:rPr>
        <w:footnoteRef/>
      </w:r>
      <w:r w:rsidRPr="001043D5">
        <w:rPr>
          <w:lang w:val="de-DE"/>
        </w:rPr>
        <w:tab/>
      </w:r>
      <w:proofErr w:type="spellStart"/>
      <w:r w:rsidRPr="00455065">
        <w:rPr>
          <w:lang w:val="de-DE"/>
        </w:rPr>
        <w:t>Voir</w:t>
      </w:r>
      <w:proofErr w:type="spellEnd"/>
      <w:r w:rsidRPr="00455065">
        <w:rPr>
          <w:lang w:val="de-DE"/>
        </w:rPr>
        <w:t xml:space="preserve"> </w:t>
      </w:r>
      <w:proofErr w:type="spellStart"/>
      <w:r w:rsidRPr="00455065">
        <w:rPr>
          <w:lang w:val="de-DE"/>
        </w:rPr>
        <w:t>également</w:t>
      </w:r>
      <w:proofErr w:type="spellEnd"/>
      <w:r w:rsidRPr="00455065">
        <w:rPr>
          <w:lang w:val="de-DE"/>
        </w:rPr>
        <w:t xml:space="preserve"> </w:t>
      </w:r>
      <w:r w:rsidR="00DF129E" w:rsidRPr="00455065">
        <w:rPr>
          <w:lang w:val="de-DE"/>
        </w:rPr>
        <w:t>« </w:t>
      </w:r>
      <w:proofErr w:type="spellStart"/>
      <w:r w:rsidRPr="00455065">
        <w:rPr>
          <w:lang w:val="de-DE"/>
        </w:rPr>
        <w:t>Civil</w:t>
      </w:r>
      <w:proofErr w:type="spellEnd"/>
      <w:r w:rsidRPr="00455065">
        <w:rPr>
          <w:lang w:val="de-DE"/>
        </w:rPr>
        <w:t xml:space="preserve"> </w:t>
      </w:r>
      <w:proofErr w:type="spellStart"/>
      <w:r w:rsidRPr="00455065">
        <w:rPr>
          <w:lang w:val="de-DE"/>
        </w:rPr>
        <w:t>society</w:t>
      </w:r>
      <w:proofErr w:type="spellEnd"/>
      <w:r w:rsidRPr="00455065">
        <w:rPr>
          <w:lang w:val="de-DE"/>
        </w:rPr>
        <w:t xml:space="preserve"> </w:t>
      </w:r>
      <w:proofErr w:type="spellStart"/>
      <w:r w:rsidRPr="00455065">
        <w:rPr>
          <w:lang w:val="de-DE"/>
        </w:rPr>
        <w:t>monitoring</w:t>
      </w:r>
      <w:proofErr w:type="spellEnd"/>
      <w:r w:rsidRPr="00455065">
        <w:rPr>
          <w:lang w:val="de-DE"/>
        </w:rPr>
        <w:t xml:space="preserve"> </w:t>
      </w:r>
      <w:proofErr w:type="spellStart"/>
      <w:r w:rsidRPr="00455065">
        <w:rPr>
          <w:lang w:val="de-DE"/>
        </w:rPr>
        <w:t>report</w:t>
      </w:r>
      <w:proofErr w:type="spellEnd"/>
      <w:r w:rsidRPr="00455065">
        <w:rPr>
          <w:lang w:val="de-DE"/>
        </w:rPr>
        <w:t xml:space="preserve"> on the </w:t>
      </w:r>
      <w:proofErr w:type="spellStart"/>
      <w:r w:rsidRPr="00455065">
        <w:rPr>
          <w:lang w:val="de-DE"/>
        </w:rPr>
        <w:t>quality</w:t>
      </w:r>
      <w:proofErr w:type="spellEnd"/>
      <w:r w:rsidRPr="00455065">
        <w:rPr>
          <w:lang w:val="de-DE"/>
        </w:rPr>
        <w:t xml:space="preserve"> of the national </w:t>
      </w:r>
      <w:proofErr w:type="spellStart"/>
      <w:r w:rsidRPr="00455065">
        <w:rPr>
          <w:lang w:val="de-DE"/>
        </w:rPr>
        <w:t>strategic</w:t>
      </w:r>
      <w:proofErr w:type="spellEnd"/>
      <w:r w:rsidRPr="00455065">
        <w:rPr>
          <w:lang w:val="de-DE"/>
        </w:rPr>
        <w:t xml:space="preserve"> </w:t>
      </w:r>
      <w:proofErr w:type="spellStart"/>
      <w:r w:rsidRPr="00455065">
        <w:rPr>
          <w:lang w:val="de-DE"/>
        </w:rPr>
        <w:t>framework</w:t>
      </w:r>
      <w:proofErr w:type="spellEnd"/>
      <w:r w:rsidRPr="00455065">
        <w:rPr>
          <w:lang w:val="de-DE"/>
        </w:rPr>
        <w:t xml:space="preserve"> for Roma </w:t>
      </w:r>
      <w:proofErr w:type="spellStart"/>
      <w:r w:rsidRPr="00455065">
        <w:rPr>
          <w:lang w:val="de-DE"/>
        </w:rPr>
        <w:t>equality</w:t>
      </w:r>
      <w:proofErr w:type="spellEnd"/>
      <w:r w:rsidRPr="00455065">
        <w:rPr>
          <w:lang w:val="de-DE"/>
        </w:rPr>
        <w:t xml:space="preserve">, </w:t>
      </w:r>
      <w:proofErr w:type="spellStart"/>
      <w:r w:rsidRPr="00455065">
        <w:rPr>
          <w:lang w:val="de-DE"/>
        </w:rPr>
        <w:t>inclusion</w:t>
      </w:r>
      <w:proofErr w:type="spellEnd"/>
      <w:r w:rsidRPr="00455065">
        <w:rPr>
          <w:lang w:val="de-DE"/>
        </w:rPr>
        <w:t xml:space="preserve">, and </w:t>
      </w:r>
      <w:proofErr w:type="spellStart"/>
      <w:r w:rsidRPr="00455065">
        <w:rPr>
          <w:lang w:val="de-DE"/>
        </w:rPr>
        <w:t>participation</w:t>
      </w:r>
      <w:proofErr w:type="spellEnd"/>
      <w:r w:rsidRPr="00455065">
        <w:rPr>
          <w:lang w:val="de-DE"/>
        </w:rPr>
        <w:t xml:space="preserve"> in </w:t>
      </w:r>
      <w:proofErr w:type="spellStart"/>
      <w:r w:rsidRPr="00455065">
        <w:rPr>
          <w:lang w:val="de-DE"/>
        </w:rPr>
        <w:t>Lithuania</w:t>
      </w:r>
      <w:proofErr w:type="spellEnd"/>
      <w:r w:rsidR="00C75439" w:rsidRPr="00455065">
        <w:rPr>
          <w:lang w:val="de-DE"/>
        </w:rPr>
        <w:t> »</w:t>
      </w:r>
      <w:r w:rsidRPr="00455065">
        <w:rPr>
          <w:lang w:val="de-DE"/>
        </w:rPr>
        <w:t xml:space="preserve"> (</w:t>
      </w:r>
      <w:proofErr w:type="spellStart"/>
      <w:r w:rsidRPr="00455065">
        <w:rPr>
          <w:lang w:val="de-DE"/>
        </w:rPr>
        <w:t>juin</w:t>
      </w:r>
      <w:proofErr w:type="spellEnd"/>
      <w:r w:rsidRPr="00455065">
        <w:rPr>
          <w:lang w:val="de-DE"/>
        </w:rPr>
        <w:t xml:space="preserve"> 2022), </w:t>
      </w:r>
      <w:proofErr w:type="spellStart"/>
      <w:r w:rsidRPr="00455065">
        <w:rPr>
          <w:lang w:val="de-DE"/>
        </w:rPr>
        <w:t>élaboré</w:t>
      </w:r>
      <w:proofErr w:type="spellEnd"/>
      <w:r w:rsidRPr="00455065">
        <w:rPr>
          <w:lang w:val="de-DE"/>
        </w:rPr>
        <w:t xml:space="preserve"> </w:t>
      </w:r>
      <w:proofErr w:type="spellStart"/>
      <w:r w:rsidRPr="00455065">
        <w:rPr>
          <w:lang w:val="de-DE"/>
        </w:rPr>
        <w:t>pour</w:t>
      </w:r>
      <w:proofErr w:type="spellEnd"/>
      <w:r w:rsidRPr="00455065">
        <w:rPr>
          <w:lang w:val="de-DE"/>
        </w:rPr>
        <w:t xml:space="preserve"> la </w:t>
      </w:r>
      <w:proofErr w:type="spellStart"/>
      <w:r w:rsidRPr="00455065">
        <w:rPr>
          <w:lang w:val="de-DE"/>
        </w:rPr>
        <w:t>Commission</w:t>
      </w:r>
      <w:proofErr w:type="spellEnd"/>
      <w:r w:rsidRPr="00455065">
        <w:rPr>
          <w:lang w:val="de-DE"/>
        </w:rPr>
        <w:t xml:space="preserve"> </w:t>
      </w:r>
      <w:proofErr w:type="spellStart"/>
      <w:r w:rsidRPr="00455065">
        <w:rPr>
          <w:lang w:val="de-DE"/>
        </w:rPr>
        <w:t>européenne</w:t>
      </w:r>
      <w:proofErr w:type="spellEnd"/>
      <w:r w:rsidRPr="00455065">
        <w:rPr>
          <w:lang w:val="de-DE"/>
        </w:rPr>
        <w:t xml:space="preserve"> et disponible à </w:t>
      </w:r>
      <w:proofErr w:type="spellStart"/>
      <w:r w:rsidRPr="00455065">
        <w:rPr>
          <w:lang w:val="de-DE"/>
        </w:rPr>
        <w:t>l'adresse</w:t>
      </w:r>
      <w:proofErr w:type="spellEnd"/>
      <w:r w:rsidRPr="00455065">
        <w:rPr>
          <w:lang w:val="de-DE"/>
        </w:rPr>
        <w:t xml:space="preserve"> </w:t>
      </w:r>
      <w:hyperlink r:id="rId5" w:history="1">
        <w:r w:rsidR="00D2082B" w:rsidRPr="00455065">
          <w:rPr>
            <w:rStyle w:val="Lienhypertexte"/>
            <w:lang w:val="de-DE"/>
          </w:rPr>
          <w:t>https://romacivilmonitoring.eu/wp-content/uploads/2022/10/</w:t>
        </w:r>
        <w:r w:rsidR="00D2082B" w:rsidRPr="00455065">
          <w:rPr>
            <w:rStyle w:val="Lienhypertexte"/>
            <w:lang w:val="de-DE"/>
          </w:rPr>
          <w:t xml:space="preserve"> </w:t>
        </w:r>
        <w:r w:rsidR="00D2082B" w:rsidRPr="00455065">
          <w:rPr>
            <w:rStyle w:val="Lienhypertexte"/>
            <w:lang w:val="de-DE"/>
          </w:rPr>
          <w:t>RCM2-2022-C4-Lithuania-FINAL-P</w:t>
        </w:r>
        <w:r w:rsidR="00D2082B" w:rsidRPr="00455065">
          <w:rPr>
            <w:rStyle w:val="Lienhypertexte"/>
            <w:lang w:val="de-DE"/>
          </w:rPr>
          <w:t>U</w:t>
        </w:r>
        <w:r w:rsidR="00D2082B" w:rsidRPr="00455065">
          <w:rPr>
            <w:rStyle w:val="Lienhypertexte"/>
            <w:lang w:val="de-DE"/>
          </w:rPr>
          <w:t>BLISHED.pdf</w:t>
        </w:r>
      </w:hyperlink>
      <w:r w:rsidRPr="00DF129E">
        <w:rPr>
          <w:lang w:val="de-DE"/>
        </w:rPr>
        <w:t>.</w:t>
      </w:r>
    </w:p>
  </w:footnote>
  <w:footnote w:id="7">
    <w:p w14:paraId="101F05BD" w14:textId="22E4C2CD" w:rsidR="00096DDD" w:rsidRPr="000D0402" w:rsidRDefault="00096DDD" w:rsidP="00096DDD">
      <w:pPr>
        <w:pStyle w:val="Notedebasdepage"/>
        <w:rPr>
          <w:lang w:val="es-ES"/>
        </w:rPr>
      </w:pPr>
      <w:r w:rsidRPr="001043D5">
        <w:rPr>
          <w:lang w:val="de-DE"/>
        </w:rPr>
        <w:tab/>
      </w:r>
      <w:r w:rsidRPr="001043D5">
        <w:rPr>
          <w:rStyle w:val="Appelnotedebasdep"/>
        </w:rPr>
        <w:footnoteRef/>
      </w:r>
      <w:r w:rsidRPr="000D0402">
        <w:rPr>
          <w:lang w:val="es-ES"/>
        </w:rPr>
        <w:tab/>
      </w:r>
      <w:hyperlink r:id="rId6" w:history="1">
        <w:r w:rsidR="00046832">
          <w:rPr>
            <w:rStyle w:val="Lienhypertexte"/>
            <w:lang w:val="es-ES"/>
          </w:rPr>
          <w:t>E/C.12/LTU/CO/2</w:t>
        </w:r>
      </w:hyperlink>
      <w:r w:rsidRPr="000D0402">
        <w:rPr>
          <w:lang w:val="es-ES"/>
        </w:rPr>
        <w:t>.</w:t>
      </w:r>
    </w:p>
  </w:footnote>
  <w:footnote w:id="8">
    <w:p w14:paraId="112BDB56" w14:textId="12528110" w:rsidR="00096DDD" w:rsidRPr="00046832" w:rsidRDefault="00096DDD" w:rsidP="00096DDD">
      <w:pPr>
        <w:pStyle w:val="Notedebasdepage"/>
        <w:rPr>
          <w:lang w:val="es-ES"/>
        </w:rPr>
      </w:pPr>
      <w:r w:rsidRPr="000D0402">
        <w:rPr>
          <w:lang w:val="es-ES"/>
        </w:rPr>
        <w:tab/>
      </w:r>
      <w:r w:rsidRPr="001043D5">
        <w:rPr>
          <w:rStyle w:val="Appelnotedebasdep"/>
        </w:rPr>
        <w:footnoteRef/>
      </w:r>
      <w:r w:rsidRPr="00046832">
        <w:rPr>
          <w:lang w:val="es-ES"/>
        </w:rPr>
        <w:tab/>
      </w:r>
      <w:hyperlink r:id="rId7" w:history="1">
        <w:r w:rsidR="00046832">
          <w:rPr>
            <w:rStyle w:val="Lienhypertexte"/>
            <w:lang w:val="es-ES"/>
          </w:rPr>
          <w:t>CAT/C/LTU/CO/4</w:t>
        </w:r>
      </w:hyperlink>
      <w:r w:rsidRPr="00046832">
        <w:rPr>
          <w:lang w:val="es-ES"/>
        </w:rPr>
        <w:t xml:space="preserve">, </w:t>
      </w:r>
      <w:r w:rsidR="00334DE2" w:rsidRPr="00046832">
        <w:rPr>
          <w:lang w:val="es-ES"/>
        </w:rPr>
        <w:t>par. </w:t>
      </w:r>
      <w:r w:rsidRPr="00046832">
        <w:rPr>
          <w:lang w:val="es-ES"/>
        </w:rPr>
        <w:t>12.</w:t>
      </w:r>
    </w:p>
  </w:footnote>
  <w:footnote w:id="9">
    <w:p w14:paraId="5A8A2425" w14:textId="1FBEF3A7" w:rsidR="00096DDD" w:rsidRPr="000D0402" w:rsidRDefault="00096DDD" w:rsidP="00096DDD">
      <w:pPr>
        <w:pStyle w:val="Notedebasdepage"/>
        <w:rPr>
          <w:bCs/>
          <w:lang w:val="es-ES"/>
        </w:rPr>
      </w:pPr>
      <w:r w:rsidRPr="00046832">
        <w:rPr>
          <w:lang w:val="es-ES"/>
        </w:rPr>
        <w:tab/>
      </w:r>
      <w:r w:rsidRPr="001043D5">
        <w:rPr>
          <w:rStyle w:val="Appelnotedebasdep"/>
        </w:rPr>
        <w:footnoteRef/>
      </w:r>
      <w:r w:rsidRPr="000D0402">
        <w:rPr>
          <w:lang w:val="es-ES"/>
        </w:rPr>
        <w:tab/>
      </w:r>
      <w:hyperlink r:id="rId8" w:history="1">
        <w:r w:rsidR="00046832">
          <w:rPr>
            <w:rStyle w:val="Lienhypertexte"/>
            <w:lang w:val="es-ES"/>
          </w:rPr>
          <w:t>E/C.12/2018/1</w:t>
        </w:r>
      </w:hyperlink>
      <w:r w:rsidRPr="000D0402">
        <w:rPr>
          <w:lang w:val="es-ES"/>
        </w:rPr>
        <w:t>.</w:t>
      </w:r>
    </w:p>
  </w:footnote>
  <w:footnote w:id="10">
    <w:p w14:paraId="0099783C" w14:textId="65B2FFAF" w:rsidR="00096DDD" w:rsidRPr="000D0402" w:rsidRDefault="00096DDD" w:rsidP="00096DDD">
      <w:pPr>
        <w:pStyle w:val="Notedebasdepage"/>
        <w:rPr>
          <w:lang w:val="es-ES"/>
        </w:rPr>
      </w:pPr>
      <w:r w:rsidRPr="000D0402">
        <w:rPr>
          <w:lang w:val="es-ES"/>
        </w:rPr>
        <w:tab/>
      </w:r>
      <w:r w:rsidRPr="001043D5">
        <w:rPr>
          <w:rStyle w:val="Appelnotedebasdep"/>
        </w:rPr>
        <w:footnoteRef/>
      </w:r>
      <w:r w:rsidRPr="000D0402">
        <w:rPr>
          <w:lang w:val="es-ES"/>
        </w:rPr>
        <w:tab/>
      </w:r>
      <w:hyperlink r:id="rId9" w:history="1">
        <w:r w:rsidR="00046832">
          <w:rPr>
            <w:rStyle w:val="Lienhypertexte"/>
            <w:lang w:val="es-ES"/>
          </w:rPr>
          <w:t>E/C.12/2001/10</w:t>
        </w:r>
      </w:hyperlink>
      <w:r w:rsidRPr="000D0402">
        <w:rPr>
          <w:lang w:val="es-ES"/>
        </w:rPr>
        <w:t>.</w:t>
      </w:r>
    </w:p>
  </w:footnote>
  <w:footnote w:id="11">
    <w:p w14:paraId="1AA652A4" w14:textId="30FB61F0" w:rsidR="00096DDD" w:rsidRPr="00046832" w:rsidRDefault="00096DDD" w:rsidP="00096DDD">
      <w:pPr>
        <w:pStyle w:val="Notedebasdepage"/>
        <w:rPr>
          <w:lang w:val="es-ES"/>
        </w:rPr>
      </w:pPr>
      <w:r w:rsidRPr="000D0402">
        <w:rPr>
          <w:lang w:val="es-ES"/>
        </w:rPr>
        <w:tab/>
      </w:r>
      <w:r w:rsidRPr="001043D5">
        <w:rPr>
          <w:rStyle w:val="Appelnotedebasdep"/>
        </w:rPr>
        <w:footnoteRef/>
      </w:r>
      <w:r w:rsidRPr="00046832">
        <w:rPr>
          <w:lang w:val="es-ES"/>
        </w:rPr>
        <w:t xml:space="preserve"> </w:t>
      </w:r>
      <w:r w:rsidRPr="00046832">
        <w:rPr>
          <w:lang w:val="es-ES"/>
        </w:rPr>
        <w:tab/>
      </w:r>
      <w:hyperlink r:id="rId10" w:history="1">
        <w:r w:rsidR="00046832">
          <w:rPr>
            <w:rStyle w:val="Lienhypertexte"/>
            <w:lang w:val="es-ES"/>
          </w:rPr>
          <w:t>CEDAW/C/LTU/CO/6</w:t>
        </w:r>
      </w:hyperlink>
      <w:r w:rsidRPr="00046832">
        <w:rPr>
          <w:lang w:val="es-ES"/>
        </w:rPr>
        <w:t xml:space="preserve">, </w:t>
      </w:r>
      <w:r w:rsidR="00334DE2" w:rsidRPr="00046832">
        <w:rPr>
          <w:lang w:val="es-ES"/>
        </w:rPr>
        <w:t>par. </w:t>
      </w:r>
      <w:r w:rsidRPr="00046832">
        <w:rPr>
          <w:lang w:val="es-ES"/>
        </w:rPr>
        <w:t>36 et 37.</w:t>
      </w:r>
    </w:p>
  </w:footnote>
  <w:footnote w:id="12">
    <w:p w14:paraId="79BD23EF" w14:textId="0E0ADD4A" w:rsidR="00096DDD" w:rsidRPr="000D0402" w:rsidRDefault="00096DDD" w:rsidP="00096DDD">
      <w:pPr>
        <w:pStyle w:val="Notedebasdepage"/>
        <w:rPr>
          <w:lang w:val="es-ES"/>
        </w:rPr>
      </w:pPr>
      <w:r w:rsidRPr="00046832">
        <w:rPr>
          <w:lang w:val="es-ES"/>
        </w:rPr>
        <w:tab/>
      </w:r>
      <w:r w:rsidRPr="001043D5">
        <w:rPr>
          <w:rStyle w:val="Appelnotedebasdep"/>
        </w:rPr>
        <w:footnoteRef/>
      </w:r>
      <w:r w:rsidRPr="000D0402">
        <w:rPr>
          <w:lang w:val="es-ES"/>
        </w:rPr>
        <w:t xml:space="preserve"> </w:t>
      </w:r>
      <w:r w:rsidRPr="000D0402">
        <w:rPr>
          <w:lang w:val="es-ES"/>
        </w:rPr>
        <w:tab/>
      </w:r>
      <w:hyperlink r:id="rId11" w:history="1">
        <w:r w:rsidR="00046832">
          <w:rPr>
            <w:rStyle w:val="Lienhypertexte"/>
            <w:lang w:val="es-ES"/>
          </w:rPr>
          <w:t>E/C.12/LTU/CO/2</w:t>
        </w:r>
      </w:hyperlink>
      <w:r w:rsidRPr="000D0402">
        <w:rPr>
          <w:lang w:val="es-ES"/>
        </w:rPr>
        <w:t xml:space="preserve">, </w:t>
      </w:r>
      <w:r w:rsidR="00334DE2">
        <w:rPr>
          <w:lang w:val="es-ES"/>
        </w:rPr>
        <w:t>par. </w:t>
      </w:r>
      <w:r w:rsidRPr="000D0402">
        <w:rPr>
          <w:lang w:val="es-ES"/>
        </w:rPr>
        <w:t>9.</w:t>
      </w:r>
    </w:p>
  </w:footnote>
  <w:footnote w:id="13">
    <w:p w14:paraId="681882AB" w14:textId="764C0E92" w:rsidR="00096DDD" w:rsidRPr="00046832" w:rsidRDefault="00096DDD" w:rsidP="00096DDD">
      <w:pPr>
        <w:pStyle w:val="Notedebasdepage"/>
        <w:rPr>
          <w:lang w:val="es-ES"/>
        </w:rPr>
      </w:pPr>
      <w:r w:rsidRPr="000D0402">
        <w:rPr>
          <w:lang w:val="es-ES"/>
        </w:rPr>
        <w:tab/>
      </w:r>
      <w:r w:rsidRPr="001043D5">
        <w:rPr>
          <w:rStyle w:val="Appelnotedebasdep"/>
        </w:rPr>
        <w:footnoteRef/>
      </w:r>
      <w:r w:rsidRPr="00046832">
        <w:rPr>
          <w:lang w:val="es-ES"/>
        </w:rPr>
        <w:t xml:space="preserve"> </w:t>
      </w:r>
      <w:r w:rsidRPr="00046832">
        <w:rPr>
          <w:lang w:val="es-ES"/>
        </w:rPr>
        <w:tab/>
      </w:r>
      <w:hyperlink r:id="rId12" w:history="1">
        <w:r w:rsidR="00046832">
          <w:rPr>
            <w:rStyle w:val="Lienhypertexte"/>
            <w:lang w:val="es-ES"/>
          </w:rPr>
          <w:t>E/C.12/LTU/CO/2</w:t>
        </w:r>
      </w:hyperlink>
      <w:r w:rsidRPr="00046832">
        <w:rPr>
          <w:lang w:val="es-ES"/>
        </w:rPr>
        <w:t xml:space="preserve">, </w:t>
      </w:r>
      <w:r w:rsidR="00334DE2" w:rsidRPr="00046832">
        <w:rPr>
          <w:lang w:val="es-ES"/>
        </w:rPr>
        <w:t>par. </w:t>
      </w:r>
      <w:r w:rsidRPr="00046832">
        <w:rPr>
          <w:lang w:val="es-ES"/>
        </w:rPr>
        <w:t>11 et 12.</w:t>
      </w:r>
    </w:p>
  </w:footnote>
  <w:footnote w:id="14">
    <w:p w14:paraId="0F59BF81" w14:textId="0CE09054" w:rsidR="00096DDD" w:rsidRPr="000D0402" w:rsidRDefault="00096DDD" w:rsidP="00096DDD">
      <w:pPr>
        <w:pStyle w:val="Notedebasdepage"/>
        <w:rPr>
          <w:lang w:val="es-ES"/>
        </w:rPr>
      </w:pPr>
      <w:r w:rsidRPr="00046832">
        <w:rPr>
          <w:lang w:val="es-ES"/>
        </w:rPr>
        <w:tab/>
      </w:r>
      <w:r w:rsidRPr="001043D5">
        <w:rPr>
          <w:rStyle w:val="Appelnotedebasdep"/>
        </w:rPr>
        <w:footnoteRef/>
      </w:r>
      <w:r w:rsidRPr="000D0402">
        <w:rPr>
          <w:lang w:val="es-ES"/>
        </w:rPr>
        <w:t xml:space="preserve"> </w:t>
      </w:r>
      <w:r w:rsidRPr="000D0402">
        <w:rPr>
          <w:lang w:val="es-ES"/>
        </w:rPr>
        <w:tab/>
      </w:r>
      <w:hyperlink r:id="rId13" w:history="1">
        <w:r w:rsidR="00046832">
          <w:rPr>
            <w:rStyle w:val="Lienhypertexte"/>
            <w:lang w:val="es-ES"/>
          </w:rPr>
          <w:t>E/C.12/LTU/CO/2</w:t>
        </w:r>
      </w:hyperlink>
      <w:r w:rsidRPr="000D0402">
        <w:rPr>
          <w:lang w:val="es-ES"/>
        </w:rPr>
        <w:t xml:space="preserve">, </w:t>
      </w:r>
      <w:r w:rsidR="00334DE2">
        <w:rPr>
          <w:lang w:val="es-ES"/>
        </w:rPr>
        <w:t>par. </w:t>
      </w:r>
      <w:r w:rsidRPr="000D0402">
        <w:rPr>
          <w:lang w:val="es-ES"/>
        </w:rPr>
        <w:t>17.</w:t>
      </w:r>
    </w:p>
  </w:footnote>
  <w:footnote w:id="15">
    <w:p w14:paraId="01146221" w14:textId="72DA762F" w:rsidR="00096DDD" w:rsidRPr="000D0402" w:rsidRDefault="00096DDD" w:rsidP="00096DDD">
      <w:pPr>
        <w:pStyle w:val="Notedebasdepage"/>
        <w:rPr>
          <w:lang w:val="es-ES"/>
        </w:rPr>
      </w:pPr>
      <w:r w:rsidRPr="000D0402">
        <w:rPr>
          <w:lang w:val="es-ES"/>
        </w:rPr>
        <w:tab/>
      </w:r>
      <w:r w:rsidRPr="001043D5">
        <w:rPr>
          <w:rStyle w:val="Appelnotedebasdep"/>
        </w:rPr>
        <w:footnoteRef/>
      </w:r>
      <w:r w:rsidRPr="000D0402">
        <w:rPr>
          <w:lang w:val="es-ES"/>
        </w:rPr>
        <w:tab/>
      </w:r>
      <w:hyperlink r:id="rId14" w:history="1">
        <w:r w:rsidR="00046832">
          <w:rPr>
            <w:rStyle w:val="Lienhypertexte"/>
            <w:lang w:val="es-ES"/>
          </w:rPr>
          <w:t>E/C.12/2010/1</w:t>
        </w:r>
      </w:hyperlink>
      <w:r w:rsidRPr="000D0402">
        <w:rPr>
          <w:lang w:val="es-ES"/>
        </w:rPr>
        <w:t>.</w:t>
      </w:r>
    </w:p>
  </w:footnote>
  <w:footnote w:id="16">
    <w:p w14:paraId="06052A30" w14:textId="22079327" w:rsidR="00096DDD" w:rsidRPr="000D0402" w:rsidRDefault="00096DDD" w:rsidP="00096DDD">
      <w:pPr>
        <w:pStyle w:val="Notedebasdepage"/>
        <w:rPr>
          <w:lang w:val="es-ES"/>
        </w:rPr>
      </w:pPr>
      <w:r w:rsidRPr="000D0402">
        <w:rPr>
          <w:lang w:val="es-ES"/>
        </w:rPr>
        <w:tab/>
      </w:r>
      <w:r w:rsidRPr="001043D5">
        <w:rPr>
          <w:rStyle w:val="Appelnotedebasdep"/>
        </w:rPr>
        <w:footnoteRef/>
      </w:r>
      <w:r w:rsidRPr="000D0402">
        <w:rPr>
          <w:lang w:val="es-ES"/>
        </w:rPr>
        <w:t xml:space="preserve"> </w:t>
      </w:r>
      <w:r w:rsidRPr="000D0402">
        <w:rPr>
          <w:lang w:val="es-ES"/>
        </w:rPr>
        <w:tab/>
      </w:r>
      <w:hyperlink r:id="rId15" w:history="1">
        <w:r w:rsidR="00046832">
          <w:rPr>
            <w:rStyle w:val="Lienhypertexte"/>
            <w:lang w:val="es-ES"/>
          </w:rPr>
          <w:t>E/C.12/LTU/CO/2</w:t>
        </w:r>
      </w:hyperlink>
      <w:r w:rsidRPr="000D0402">
        <w:rPr>
          <w:lang w:val="es-ES"/>
        </w:rPr>
        <w:t xml:space="preserve">, </w:t>
      </w:r>
      <w:r w:rsidR="00334DE2">
        <w:rPr>
          <w:lang w:val="es-ES"/>
        </w:rPr>
        <w:t>par. </w:t>
      </w:r>
      <w:r w:rsidRPr="000D0402">
        <w:rPr>
          <w:lang w:val="es-ES"/>
        </w:rPr>
        <w:t>20.</w:t>
      </w:r>
    </w:p>
  </w:footnote>
  <w:footnote w:id="17">
    <w:p w14:paraId="0F302EA3" w14:textId="536923F1" w:rsidR="00096DDD" w:rsidRPr="00D55F10" w:rsidRDefault="00096DDD" w:rsidP="00096DDD">
      <w:pPr>
        <w:pStyle w:val="Notedebasdepage"/>
      </w:pPr>
      <w:r w:rsidRPr="000D0402">
        <w:rPr>
          <w:lang w:val="es-ES"/>
        </w:rPr>
        <w:tab/>
      </w:r>
      <w:r w:rsidRPr="001043D5">
        <w:rPr>
          <w:rStyle w:val="Appelnotedebasdep"/>
        </w:rPr>
        <w:footnoteRef/>
      </w:r>
      <w:r>
        <w:rPr>
          <w:lang w:val="fr-FR"/>
        </w:rPr>
        <w:t xml:space="preserve"> </w:t>
      </w:r>
      <w:r>
        <w:rPr>
          <w:lang w:val="fr-FR"/>
        </w:rPr>
        <w:tab/>
      </w:r>
      <w:hyperlink r:id="rId16" w:history="1">
        <w:r w:rsidR="00046832">
          <w:rPr>
            <w:rStyle w:val="Lienhypertexte"/>
            <w:lang w:val="fr-FR"/>
          </w:rPr>
          <w:t>E/C.12/2019/1</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7F53" w14:textId="63F78735" w:rsidR="00C30324" w:rsidRPr="00C30324" w:rsidRDefault="00C30324">
    <w:pPr>
      <w:pStyle w:val="En-tte"/>
    </w:pPr>
    <w:fldSimple w:instr=" TITLE  \* MERGEFORMAT ">
      <w:r>
        <w:t>E/C.12/LTU/CO/3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85BA" w14:textId="4462DA4C" w:rsidR="00C30324" w:rsidRPr="00C30324" w:rsidRDefault="00C30324" w:rsidP="00C30324">
    <w:pPr>
      <w:pStyle w:val="En-tte"/>
      <w:jc w:val="right"/>
    </w:pPr>
    <w:fldSimple w:instr=" TITLE  \* MERGEFORMAT ">
      <w:r>
        <w:t>E/C.12/LTU/CO/3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124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A3B7D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79192886">
    <w:abstractNumId w:val="17"/>
  </w:num>
  <w:num w:numId="2" w16cid:durableId="1230916670">
    <w:abstractNumId w:val="15"/>
  </w:num>
  <w:num w:numId="3" w16cid:durableId="718210959">
    <w:abstractNumId w:val="11"/>
  </w:num>
  <w:num w:numId="4" w16cid:durableId="1276250520">
    <w:abstractNumId w:val="8"/>
  </w:num>
  <w:num w:numId="5" w16cid:durableId="601113492">
    <w:abstractNumId w:val="3"/>
  </w:num>
  <w:num w:numId="6" w16cid:durableId="274794727">
    <w:abstractNumId w:val="2"/>
  </w:num>
  <w:num w:numId="7" w16cid:durableId="340006905">
    <w:abstractNumId w:val="1"/>
  </w:num>
  <w:num w:numId="8" w16cid:durableId="987980624">
    <w:abstractNumId w:val="0"/>
  </w:num>
  <w:num w:numId="9" w16cid:durableId="592133467">
    <w:abstractNumId w:val="9"/>
  </w:num>
  <w:num w:numId="10" w16cid:durableId="1574240609">
    <w:abstractNumId w:val="7"/>
  </w:num>
  <w:num w:numId="11" w16cid:durableId="1664384239">
    <w:abstractNumId w:val="6"/>
  </w:num>
  <w:num w:numId="12" w16cid:durableId="1864899623">
    <w:abstractNumId w:val="5"/>
  </w:num>
  <w:num w:numId="13" w16cid:durableId="1033846623">
    <w:abstractNumId w:val="4"/>
  </w:num>
  <w:num w:numId="14" w16cid:durableId="1545946579">
    <w:abstractNumId w:val="17"/>
  </w:num>
  <w:num w:numId="15" w16cid:durableId="1086269856">
    <w:abstractNumId w:val="15"/>
  </w:num>
  <w:num w:numId="16" w16cid:durableId="1504666248">
    <w:abstractNumId w:val="11"/>
  </w:num>
  <w:num w:numId="17" w16cid:durableId="1501504817">
    <w:abstractNumId w:val="13"/>
  </w:num>
  <w:num w:numId="18" w16cid:durableId="239607097">
    <w:abstractNumId w:val="12"/>
  </w:num>
  <w:num w:numId="19" w16cid:durableId="1312950513">
    <w:abstractNumId w:val="10"/>
  </w:num>
  <w:num w:numId="20" w16cid:durableId="611938577">
    <w:abstractNumId w:val="16"/>
  </w:num>
  <w:num w:numId="21" w16cid:durableId="19760570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98"/>
    <w:rsid w:val="00012C2B"/>
    <w:rsid w:val="00015718"/>
    <w:rsid w:val="00017F94"/>
    <w:rsid w:val="00023842"/>
    <w:rsid w:val="0002432E"/>
    <w:rsid w:val="000334F9"/>
    <w:rsid w:val="00046832"/>
    <w:rsid w:val="00073B9D"/>
    <w:rsid w:val="0007796D"/>
    <w:rsid w:val="00096DDD"/>
    <w:rsid w:val="000B7790"/>
    <w:rsid w:val="00111F2F"/>
    <w:rsid w:val="0014365E"/>
    <w:rsid w:val="00176178"/>
    <w:rsid w:val="001B0F13"/>
    <w:rsid w:val="001B66AB"/>
    <w:rsid w:val="001C3868"/>
    <w:rsid w:val="001D4F1F"/>
    <w:rsid w:val="001F525A"/>
    <w:rsid w:val="00223272"/>
    <w:rsid w:val="0024779E"/>
    <w:rsid w:val="002515E3"/>
    <w:rsid w:val="002542B8"/>
    <w:rsid w:val="00266ACE"/>
    <w:rsid w:val="002832AC"/>
    <w:rsid w:val="00284EA4"/>
    <w:rsid w:val="002A6F7F"/>
    <w:rsid w:val="002D7C93"/>
    <w:rsid w:val="00334DE2"/>
    <w:rsid w:val="0037225C"/>
    <w:rsid w:val="00401C6D"/>
    <w:rsid w:val="004342ED"/>
    <w:rsid w:val="00441C3B"/>
    <w:rsid w:val="00446FE5"/>
    <w:rsid w:val="00452396"/>
    <w:rsid w:val="00455065"/>
    <w:rsid w:val="004E468C"/>
    <w:rsid w:val="00511898"/>
    <w:rsid w:val="0052175A"/>
    <w:rsid w:val="005250A3"/>
    <w:rsid w:val="005433DA"/>
    <w:rsid w:val="005505B7"/>
    <w:rsid w:val="00573BE5"/>
    <w:rsid w:val="00586ED3"/>
    <w:rsid w:val="00596AA9"/>
    <w:rsid w:val="005A2DF0"/>
    <w:rsid w:val="005C5B98"/>
    <w:rsid w:val="00621D8D"/>
    <w:rsid w:val="0064732A"/>
    <w:rsid w:val="006B258D"/>
    <w:rsid w:val="0071169B"/>
    <w:rsid w:val="0071601D"/>
    <w:rsid w:val="007567F4"/>
    <w:rsid w:val="00761CC7"/>
    <w:rsid w:val="00782866"/>
    <w:rsid w:val="007931D5"/>
    <w:rsid w:val="007A62E6"/>
    <w:rsid w:val="007C1326"/>
    <w:rsid w:val="007D5F07"/>
    <w:rsid w:val="0080236C"/>
    <w:rsid w:val="0080684C"/>
    <w:rsid w:val="008671F6"/>
    <w:rsid w:val="00871C75"/>
    <w:rsid w:val="00872087"/>
    <w:rsid w:val="008776DC"/>
    <w:rsid w:val="008B711F"/>
    <w:rsid w:val="008E7A0B"/>
    <w:rsid w:val="00967489"/>
    <w:rsid w:val="009705C8"/>
    <w:rsid w:val="00984360"/>
    <w:rsid w:val="009C1CF4"/>
    <w:rsid w:val="009D3B51"/>
    <w:rsid w:val="00A26BEE"/>
    <w:rsid w:val="00A30353"/>
    <w:rsid w:val="00AA42FA"/>
    <w:rsid w:val="00AC3823"/>
    <w:rsid w:val="00AD2FDE"/>
    <w:rsid w:val="00AE1C23"/>
    <w:rsid w:val="00AE323C"/>
    <w:rsid w:val="00AF290F"/>
    <w:rsid w:val="00B00181"/>
    <w:rsid w:val="00B00B0D"/>
    <w:rsid w:val="00B21FBA"/>
    <w:rsid w:val="00B765F7"/>
    <w:rsid w:val="00BA0CA9"/>
    <w:rsid w:val="00C02897"/>
    <w:rsid w:val="00C15EF1"/>
    <w:rsid w:val="00C30324"/>
    <w:rsid w:val="00C75439"/>
    <w:rsid w:val="00C95FC7"/>
    <w:rsid w:val="00CE3FB8"/>
    <w:rsid w:val="00CF38EB"/>
    <w:rsid w:val="00D2082B"/>
    <w:rsid w:val="00D20AF4"/>
    <w:rsid w:val="00D3439C"/>
    <w:rsid w:val="00D75300"/>
    <w:rsid w:val="00DB1831"/>
    <w:rsid w:val="00DD3BFD"/>
    <w:rsid w:val="00DF129E"/>
    <w:rsid w:val="00DF6678"/>
    <w:rsid w:val="00E30AE3"/>
    <w:rsid w:val="00E72DC6"/>
    <w:rsid w:val="00EA377B"/>
    <w:rsid w:val="00ED2D5D"/>
    <w:rsid w:val="00EF2E22"/>
    <w:rsid w:val="00EF5CD4"/>
    <w:rsid w:val="00EF7F80"/>
    <w:rsid w:val="00F40B59"/>
    <w:rsid w:val="00F660DF"/>
    <w:rsid w:val="00F66FA6"/>
    <w:rsid w:val="00F77A79"/>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C4926"/>
  <w15:docId w15:val="{89625810-BA12-49DF-85E5-9720FE0A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096DDD"/>
    <w:rPr>
      <w:rFonts w:ascii="Times New Roman" w:eastAsiaTheme="minorHAnsi" w:hAnsi="Times New Roman" w:cs="Times New Roman"/>
      <w:sz w:val="20"/>
      <w:szCs w:val="20"/>
      <w:lang w:eastAsia="en-US"/>
    </w:rPr>
  </w:style>
  <w:style w:type="paragraph" w:styleId="Rvision">
    <w:name w:val="Revision"/>
    <w:hidden/>
    <w:uiPriority w:val="99"/>
    <w:semiHidden/>
    <w:rsid w:val="00096DDD"/>
    <w:pPr>
      <w:spacing w:after="0" w:line="240" w:lineRule="auto"/>
    </w:pPr>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096DDD"/>
    <w:rPr>
      <w:sz w:val="16"/>
      <w:szCs w:val="16"/>
    </w:rPr>
  </w:style>
  <w:style w:type="character" w:styleId="Mentionnonrsolue">
    <w:name w:val="Unresolved Mention"/>
    <w:basedOn w:val="Policepardfaut"/>
    <w:uiPriority w:val="99"/>
    <w:semiHidden/>
    <w:unhideWhenUsed/>
    <w:rsid w:val="00C15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A/RES/68/26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E/C.12/2018/1" TargetMode="External"/><Relationship Id="rId13" Type="http://schemas.openxmlformats.org/officeDocument/2006/relationships/hyperlink" Target="http://undocs.org/fr/E/C.12/LTU/CO/2" TargetMode="External"/><Relationship Id="rId3" Type="http://schemas.openxmlformats.org/officeDocument/2006/relationships/hyperlink" Target="http://undocs.org/fr/E/C.12/2023/SR.18" TargetMode="External"/><Relationship Id="rId7" Type="http://schemas.openxmlformats.org/officeDocument/2006/relationships/hyperlink" Target="http://undocs.org/fr/CAT/C/LTU/CO/4" TargetMode="External"/><Relationship Id="rId12" Type="http://schemas.openxmlformats.org/officeDocument/2006/relationships/hyperlink" Target="http://undocs.org/fr/E/C.12/LTU/CO/2" TargetMode="External"/><Relationship Id="rId2" Type="http://schemas.openxmlformats.org/officeDocument/2006/relationships/hyperlink" Target="http://undocs.org/fr/E/C.12/2023/SR.16" TargetMode="External"/><Relationship Id="rId16" Type="http://schemas.openxmlformats.org/officeDocument/2006/relationships/hyperlink" Target="http://undocs.org/fr/E/C.12/2019/1" TargetMode="External"/><Relationship Id="rId1" Type="http://schemas.openxmlformats.org/officeDocument/2006/relationships/hyperlink" Target="http://undocs.org/fr/E/C.12/LTU/3" TargetMode="External"/><Relationship Id="rId6" Type="http://schemas.openxmlformats.org/officeDocument/2006/relationships/hyperlink" Target="http://undocs.org/fr/E/C.12/LTU/CO/2" TargetMode="External"/><Relationship Id="rId11" Type="http://schemas.openxmlformats.org/officeDocument/2006/relationships/hyperlink" Target="http://undocs.org/fr/E/C.12/LTU/CO/2" TargetMode="External"/><Relationship Id="rId5" Type="http://schemas.openxmlformats.org/officeDocument/2006/relationships/hyperlink" Target="https://romacivilmonitoring.eu/wp-content/uploads/2022/10/%20RCM2-2022-C4-Lithuania-FINAL-PUBLISHED.pdf" TargetMode="External"/><Relationship Id="rId15" Type="http://schemas.openxmlformats.org/officeDocument/2006/relationships/hyperlink" Target="http://undocs.org/fr/E/C.12/LTU/CO/2" TargetMode="External"/><Relationship Id="rId10" Type="http://schemas.openxmlformats.org/officeDocument/2006/relationships/hyperlink" Target="http://undocs.org/fr/CEDAW/C/LTU/CO/6" TargetMode="External"/><Relationship Id="rId4" Type="http://schemas.openxmlformats.org/officeDocument/2006/relationships/hyperlink" Target="http://undocs.org/fr/E/C.12/LTU/RQ/3" TargetMode="External"/><Relationship Id="rId9" Type="http://schemas.openxmlformats.org/officeDocument/2006/relationships/hyperlink" Target="http://undocs.org/fr/E/C.12/2001/10" TargetMode="External"/><Relationship Id="rId14" Type="http://schemas.openxmlformats.org/officeDocument/2006/relationships/hyperlink" Target="http://undocs.org/fr/E/C.12/201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13</Pages>
  <Words>7023</Words>
  <Characters>38208</Characters>
  <Application>Microsoft Office Word</Application>
  <DocSecurity>0</DocSecurity>
  <Lines>626</Lines>
  <Paragraphs>208</Paragraphs>
  <ScaleCrop>false</ScaleCrop>
  <HeadingPairs>
    <vt:vector size="2" baseType="variant">
      <vt:variant>
        <vt:lpstr>Titre</vt:lpstr>
      </vt:variant>
      <vt:variant>
        <vt:i4>1</vt:i4>
      </vt:variant>
    </vt:vector>
  </HeadingPairs>
  <TitlesOfParts>
    <vt:vector size="1" baseType="lpstr">
      <vt:lpstr>E/C.12/LTU/CO/3</vt:lpstr>
    </vt:vector>
  </TitlesOfParts>
  <Company>DCM</Company>
  <LinksUpToDate>false</LinksUpToDate>
  <CharactersWithSpaces>45023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E/C.12/LTU/CO/3</dc:title>
  <dc:subject/>
  <dc:creator>Nathalie VITTOZ</dc:creator>
  <cp:keywords/>
  <cp:lastModifiedBy>Nathalie Vittoz</cp:lastModifiedBy>
  <cp:revision>2</cp:revision>
  <cp:lastPrinted>2014-05-14T10:59:00Z</cp:lastPrinted>
  <dcterms:created xsi:type="dcterms:W3CDTF">2023-05-25T12:09:00Z</dcterms:created>
  <dcterms:modified xsi:type="dcterms:W3CDTF">2023-05-25T12:09:00Z</dcterms:modified>
</cp:coreProperties>
</file>