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3F88B55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7B9F917" w14:textId="77777777" w:rsidR="002D5AAC" w:rsidRDefault="002D5AAC" w:rsidP="001740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4959AAF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A5BEF4E" w14:textId="77777777" w:rsidR="002D5AAC" w:rsidRDefault="001740A1" w:rsidP="001740A1">
            <w:pPr>
              <w:jc w:val="right"/>
            </w:pPr>
            <w:r w:rsidRPr="001740A1">
              <w:rPr>
                <w:sz w:val="40"/>
              </w:rPr>
              <w:t>E</w:t>
            </w:r>
            <w:r>
              <w:t>/C.12/SEN/CO/3</w:t>
            </w:r>
          </w:p>
        </w:tc>
      </w:tr>
      <w:tr w:rsidR="002D5AAC" w:rsidRPr="001740A1" w14:paraId="265D8DE3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06096E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31F9A7C" wp14:editId="6E76399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A49ABA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8D09C47" w14:textId="77777777" w:rsidR="002D5AAC" w:rsidRDefault="001740A1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60806F0" w14:textId="77777777" w:rsidR="001740A1" w:rsidRDefault="001740A1" w:rsidP="001740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November 2019</w:t>
            </w:r>
          </w:p>
          <w:p w14:paraId="5CFF1966" w14:textId="77777777" w:rsidR="001740A1" w:rsidRDefault="001740A1" w:rsidP="001740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17E53B1" w14:textId="77777777" w:rsidR="001740A1" w:rsidRPr="00D62A45" w:rsidRDefault="001740A1" w:rsidP="001740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6E18F61C" w14:textId="77777777" w:rsidR="001740A1" w:rsidRPr="001740A1" w:rsidRDefault="001740A1" w:rsidP="001740A1">
      <w:pPr>
        <w:spacing w:before="120"/>
        <w:rPr>
          <w:b/>
          <w:sz w:val="24"/>
          <w:szCs w:val="24"/>
        </w:rPr>
      </w:pPr>
      <w:r w:rsidRPr="001740A1">
        <w:rPr>
          <w:b/>
          <w:sz w:val="24"/>
          <w:szCs w:val="24"/>
        </w:rPr>
        <w:t xml:space="preserve">Комитет по экономическим, социальным </w:t>
      </w:r>
      <w:r>
        <w:rPr>
          <w:b/>
          <w:sz w:val="24"/>
          <w:szCs w:val="24"/>
        </w:rPr>
        <w:br/>
      </w:r>
      <w:r w:rsidRPr="001740A1">
        <w:rPr>
          <w:b/>
          <w:sz w:val="24"/>
          <w:szCs w:val="24"/>
        </w:rPr>
        <w:t>и культурным правам</w:t>
      </w:r>
    </w:p>
    <w:p w14:paraId="4EA6764C" w14:textId="77777777" w:rsidR="001740A1" w:rsidRPr="001740A1" w:rsidRDefault="001740A1" w:rsidP="001740A1">
      <w:pPr>
        <w:pStyle w:val="HChG"/>
      </w:pPr>
      <w:r w:rsidRPr="001740A1">
        <w:tab/>
      </w:r>
      <w:r w:rsidRPr="001740A1">
        <w:tab/>
        <w:t>Заключительные замечания по третьему периодическому докладу Сенегала</w:t>
      </w:r>
      <w:r w:rsidRPr="001740A1">
        <w:rPr>
          <w:b w:val="0"/>
          <w:sz w:val="20"/>
        </w:rPr>
        <w:footnoteReference w:customMarkFollows="1" w:id="1"/>
        <w:t>*</w:t>
      </w:r>
    </w:p>
    <w:p w14:paraId="631531A0" w14:textId="77777777" w:rsidR="001740A1" w:rsidRPr="001740A1" w:rsidRDefault="001740A1" w:rsidP="001740A1">
      <w:pPr>
        <w:pStyle w:val="SingleTxtG"/>
      </w:pPr>
      <w:r w:rsidRPr="001740A1">
        <w:t>1.</w:t>
      </w:r>
      <w:r w:rsidRPr="001740A1">
        <w:tab/>
        <w:t>Комитет рассмотрел третий периодический доклад Сенегала (E/C.12/SEN/3) на своих 42-м и 43-м заседаниях (см. E/C.12/2019/SR.42 и 43) 7 и 8 октября 2019 года и на своем 60-м заседании 18 октября 2019 года принял следующие заключительные замечания.</w:t>
      </w:r>
    </w:p>
    <w:p w14:paraId="3F1DB62B" w14:textId="77777777" w:rsidR="001740A1" w:rsidRPr="001740A1" w:rsidRDefault="001740A1" w:rsidP="001740A1">
      <w:pPr>
        <w:pStyle w:val="H1G"/>
      </w:pPr>
      <w:r>
        <w:tab/>
      </w:r>
      <w:r w:rsidRPr="001740A1">
        <w:t>A.</w:t>
      </w:r>
      <w:r w:rsidRPr="001740A1">
        <w:tab/>
      </w:r>
      <w:r w:rsidRPr="001740A1">
        <w:tab/>
        <w:t>Введение</w:t>
      </w:r>
    </w:p>
    <w:p w14:paraId="71E270CD" w14:textId="77777777" w:rsidR="001740A1" w:rsidRPr="001740A1" w:rsidRDefault="001740A1" w:rsidP="001740A1">
      <w:pPr>
        <w:pStyle w:val="SingleTxtG"/>
      </w:pPr>
      <w:r w:rsidRPr="001740A1">
        <w:t>2.</w:t>
      </w:r>
      <w:r w:rsidRPr="001740A1">
        <w:tab/>
        <w:t xml:space="preserve">Комитет приветствует представление Сенегалом третьего периодического доклада, хотя он и был представлен со значительной задержкой. Кроме того, он выражает признательность государству-участнику за представление письменных ответов на его перечень вопросов (E/C.12/SEN/Q/3/Add.1), а также за состоявшийся конструктивный диалог с его делегацией. </w:t>
      </w:r>
    </w:p>
    <w:p w14:paraId="170E58DE" w14:textId="77777777" w:rsidR="001740A1" w:rsidRPr="001740A1" w:rsidRDefault="001740A1" w:rsidP="001740A1">
      <w:pPr>
        <w:pStyle w:val="H1G"/>
      </w:pPr>
      <w:r>
        <w:tab/>
      </w:r>
      <w:r w:rsidRPr="001740A1">
        <w:t>B.</w:t>
      </w:r>
      <w:r w:rsidRPr="001740A1">
        <w:tab/>
      </w:r>
      <w:r w:rsidRPr="001740A1">
        <w:tab/>
        <w:t xml:space="preserve">Позитивные аспекты </w:t>
      </w:r>
    </w:p>
    <w:p w14:paraId="1C7401CF" w14:textId="77777777" w:rsidR="001740A1" w:rsidRPr="001740A1" w:rsidRDefault="001740A1" w:rsidP="001740A1">
      <w:pPr>
        <w:pStyle w:val="SingleTxtG"/>
      </w:pPr>
      <w:r w:rsidRPr="001740A1">
        <w:t>3.</w:t>
      </w:r>
      <w:r w:rsidRPr="001740A1">
        <w:tab/>
        <w:t>Комитет приветствует принятые государством-участником меры, способствующие осуществлению прав, закрепленных в Международном пакте об экономических, социальных и культурных правах, а именно:</w:t>
      </w:r>
    </w:p>
    <w:p w14:paraId="29762EC7" w14:textId="77777777" w:rsidR="001740A1" w:rsidRPr="001740A1" w:rsidRDefault="001740A1" w:rsidP="001740A1">
      <w:pPr>
        <w:pStyle w:val="SingleTxtG"/>
      </w:pPr>
      <w:r>
        <w:tab/>
      </w:r>
      <w:r>
        <w:tab/>
      </w:r>
      <w:r w:rsidRPr="001740A1">
        <w:t>a)</w:t>
      </w:r>
      <w:r w:rsidRPr="001740A1">
        <w:tab/>
        <w:t>Закон № 2014</w:t>
      </w:r>
      <w:r w:rsidRPr="001740A1">
        <w:noBreakHyphen/>
        <w:t>37 от 15 декабря 2004 года о внесении изменений и дополнений в Закон № 91</w:t>
      </w:r>
      <w:r w:rsidRPr="001740A1">
        <w:noBreakHyphen/>
        <w:t>22 от 16 февраля 1991 года о национальной политике в области образования, вводящий обязательное школьного образование в возрасте до 16</w:t>
      </w:r>
      <w:r w:rsidR="00874FED">
        <w:rPr>
          <w:lang w:val="en-US"/>
        </w:rPr>
        <w:t> </w:t>
      </w:r>
      <w:r w:rsidRPr="001740A1">
        <w:t>лет и объявляющий бесплатным начальное образование;</w:t>
      </w:r>
    </w:p>
    <w:p w14:paraId="35ED5432" w14:textId="77777777" w:rsidR="001740A1" w:rsidRPr="001740A1" w:rsidRDefault="001740A1" w:rsidP="001740A1">
      <w:pPr>
        <w:pStyle w:val="SingleTxtG"/>
      </w:pPr>
      <w:r>
        <w:tab/>
      </w:r>
      <w:r>
        <w:tab/>
      </w:r>
      <w:r w:rsidRPr="001740A1">
        <w:t>b)</w:t>
      </w:r>
      <w:r w:rsidRPr="001740A1">
        <w:tab/>
        <w:t>Закон № 2010-11 от 28 мая 2010 года об установлении абсолютного гендерного паритета во всех полностью или частично избираемых учреждениях, осуществление которого контролируется Национальным наблюдательным советом по вопросам гендерного паритета;</w:t>
      </w:r>
    </w:p>
    <w:p w14:paraId="6CC3DC13" w14:textId="77777777" w:rsidR="001740A1" w:rsidRPr="001740A1" w:rsidRDefault="001740A1" w:rsidP="001740A1">
      <w:pPr>
        <w:pStyle w:val="SingleTxtG"/>
      </w:pPr>
      <w:r>
        <w:tab/>
      </w:r>
      <w:r>
        <w:tab/>
      </w:r>
      <w:r w:rsidRPr="001740A1">
        <w:t>c)</w:t>
      </w:r>
      <w:r w:rsidRPr="001740A1">
        <w:tab/>
        <w:t>Закон № 2012-30 от 28 декабря 2012 года о создании Национального управления по борьбе с мошенничеством и коррупцией;</w:t>
      </w:r>
    </w:p>
    <w:p w14:paraId="30DEC3E8" w14:textId="77777777" w:rsidR="001740A1" w:rsidRPr="001740A1" w:rsidRDefault="001740A1" w:rsidP="001740A1">
      <w:pPr>
        <w:pStyle w:val="SingleTxtG"/>
      </w:pPr>
      <w:r>
        <w:tab/>
      </w:r>
      <w:r>
        <w:tab/>
      </w:r>
      <w:r w:rsidRPr="001740A1">
        <w:t>d)</w:t>
      </w:r>
      <w:r w:rsidRPr="001740A1">
        <w:tab/>
        <w:t xml:space="preserve">Закон № 2013-05 от 8 июля 2013 года о внесении поправок в </w:t>
      </w:r>
      <w:r w:rsidR="00874FED">
        <w:br/>
      </w:r>
      <w:r w:rsidRPr="001740A1">
        <w:t>Закон № 61-10 от 7 марта 1961 года об определении гражданства, позволяющих супругу-иностранцу сенегальской женщины и их детям приобретать гражданство;</w:t>
      </w:r>
    </w:p>
    <w:p w14:paraId="6D0E709F" w14:textId="77777777" w:rsidR="001740A1" w:rsidRPr="001740A1" w:rsidRDefault="001740A1" w:rsidP="001740A1">
      <w:pPr>
        <w:pStyle w:val="SingleTxtG"/>
      </w:pPr>
      <w:r>
        <w:tab/>
      </w:r>
      <w:r>
        <w:tab/>
      </w:r>
      <w:r w:rsidRPr="001740A1">
        <w:t>е)</w:t>
      </w:r>
      <w:r w:rsidRPr="001740A1">
        <w:tab/>
        <w:t>Указ № 2014-26 от 9 января 2014 года о создании, организации и функционировании Национального агентства по содействию занятости молодежи;</w:t>
      </w:r>
    </w:p>
    <w:p w14:paraId="5E037FB1" w14:textId="77777777" w:rsidR="001740A1" w:rsidRPr="001740A1" w:rsidRDefault="001740A1" w:rsidP="001740A1">
      <w:pPr>
        <w:pStyle w:val="SingleTxtG"/>
      </w:pPr>
      <w:r>
        <w:lastRenderedPageBreak/>
        <w:tab/>
      </w:r>
      <w:r>
        <w:tab/>
      </w:r>
      <w:r w:rsidRPr="001740A1">
        <w:t>f)</w:t>
      </w:r>
      <w:r w:rsidRPr="001740A1">
        <w:tab/>
        <w:t>Национальную стратегию социальной защиты на 2015</w:t>
      </w:r>
      <w:r w:rsidR="00874FED" w:rsidRPr="00874FED">
        <w:t>–</w:t>
      </w:r>
      <w:r w:rsidRPr="001740A1">
        <w:t>2035 годы, принятую в июне 2016 года, которая направлена на обеспечение всеобщего социального обеспечения к 2035 году;</w:t>
      </w:r>
    </w:p>
    <w:p w14:paraId="474693EC" w14:textId="77777777" w:rsidR="001740A1" w:rsidRPr="001740A1" w:rsidRDefault="001740A1" w:rsidP="001740A1">
      <w:pPr>
        <w:pStyle w:val="SingleTxtG"/>
      </w:pPr>
      <w:r>
        <w:tab/>
      </w:r>
      <w:r>
        <w:tab/>
      </w:r>
      <w:r w:rsidRPr="001740A1">
        <w:t>g)</w:t>
      </w:r>
      <w:r w:rsidRPr="001740A1">
        <w:tab/>
        <w:t>статьи 25-1 и 25-2 Конституционного закона № 2016-10 от 5 апреля 2016</w:t>
      </w:r>
      <w:r w:rsidR="00874FED">
        <w:rPr>
          <w:lang w:val="en-US"/>
        </w:rPr>
        <w:t> </w:t>
      </w:r>
      <w:r w:rsidRPr="001740A1">
        <w:t>года, касающиеся пересмотра Конституции 2001 года с целью закрепления в ней права на здоровую окружающую среду, природные ресурсы и землю.</w:t>
      </w:r>
    </w:p>
    <w:p w14:paraId="79A5B0C7" w14:textId="77777777" w:rsidR="001740A1" w:rsidRPr="001740A1" w:rsidRDefault="001740A1" w:rsidP="001740A1">
      <w:pPr>
        <w:pStyle w:val="H1G"/>
      </w:pPr>
      <w:r>
        <w:tab/>
      </w:r>
      <w:r w:rsidRPr="001740A1">
        <w:t>C.</w:t>
      </w:r>
      <w:r w:rsidRPr="001740A1">
        <w:tab/>
      </w:r>
      <w:r w:rsidRPr="001740A1">
        <w:tab/>
        <w:t>Основные вопросы, вызывающие обеспокоенность, и</w:t>
      </w:r>
      <w:r>
        <w:rPr>
          <w:lang w:val="en-US"/>
        </w:rPr>
        <w:t> </w:t>
      </w:r>
      <w:r w:rsidRPr="001740A1">
        <w:t>рекомендации</w:t>
      </w:r>
    </w:p>
    <w:p w14:paraId="647BBFA5" w14:textId="77777777" w:rsidR="001740A1" w:rsidRPr="001740A1" w:rsidRDefault="001740A1" w:rsidP="001740A1">
      <w:pPr>
        <w:pStyle w:val="H23G"/>
      </w:pPr>
      <w:r w:rsidRPr="001740A1">
        <w:tab/>
      </w:r>
      <w:r w:rsidRPr="001740A1">
        <w:tab/>
        <w:t>Сбор данных</w:t>
      </w:r>
    </w:p>
    <w:p w14:paraId="7A7418CB" w14:textId="77777777" w:rsidR="001740A1" w:rsidRPr="001740A1" w:rsidRDefault="001740A1" w:rsidP="001740A1">
      <w:pPr>
        <w:pStyle w:val="SingleTxtG"/>
      </w:pPr>
      <w:r w:rsidRPr="001740A1">
        <w:t>4.</w:t>
      </w:r>
      <w:r w:rsidRPr="001740A1">
        <w:tab/>
        <w:t xml:space="preserve">Комитет обеспокоен недостаточностью данных об осуществлении экономических, социальных и культурных прав в третьем периодическом докладе государства-участника, в его ответах на перечень вопросов и в устных ответах в ходе интерактивного диалога. Эта нехватка данных не позволяет Комитету оценить воздействие всех мер, принятых государством-участником с целью обеспечить полное осуществление положений Пакта (статья 2). </w:t>
      </w:r>
    </w:p>
    <w:p w14:paraId="52E82D9D" w14:textId="77777777" w:rsidR="001740A1" w:rsidRPr="001740A1" w:rsidRDefault="001740A1" w:rsidP="001740A1">
      <w:pPr>
        <w:pStyle w:val="SingleTxtG"/>
        <w:rPr>
          <w:b/>
        </w:rPr>
      </w:pPr>
      <w:r w:rsidRPr="001740A1">
        <w:t>5.</w:t>
      </w:r>
      <w:r w:rsidRPr="001740A1">
        <w:tab/>
      </w:r>
      <w:r w:rsidRPr="001740A1">
        <w:rPr>
          <w:b/>
          <w:bCs/>
        </w:rPr>
        <w:t>Комитет рекомендует государству-участнику принять все необходимые меры по совершенствованию своей системы сбора данных, в том числе национальной переписи населения, с целью сбора всеобъемлющих и сопоставимых данных, что позволило бы оценить степень осуществления закрепленных в Пакте прав, особенно находящимися в неблагоприятном положении и маргинализованными лицами и группами.</w:t>
      </w:r>
      <w:r w:rsidRPr="001740A1">
        <w:t xml:space="preserve"> </w:t>
      </w:r>
      <w:r w:rsidRPr="001740A1">
        <w:rPr>
          <w:b/>
          <w:bCs/>
        </w:rPr>
        <w:t>Он также рекомендует государству-участнику представить в своем следующем периодическом докладе сравнительные годовые статистические данные, необходимые для оценки поэтапного осуществления прав, закрепленных в Пакте, и обеспечить, чтобы такие данные были представлены в разбивке по полу, возрасту, географическому району, инвалидности, вероисповеданию и другим признакам.</w:t>
      </w:r>
    </w:p>
    <w:p w14:paraId="302AC244" w14:textId="77777777" w:rsidR="001740A1" w:rsidRPr="001740A1" w:rsidRDefault="001740A1" w:rsidP="001740A1">
      <w:pPr>
        <w:pStyle w:val="H23G"/>
      </w:pPr>
      <w:r w:rsidRPr="001740A1">
        <w:tab/>
      </w:r>
      <w:r w:rsidRPr="001740A1">
        <w:tab/>
        <w:t xml:space="preserve">Национальное правозащитное учреждение </w:t>
      </w:r>
    </w:p>
    <w:p w14:paraId="736B898F" w14:textId="77777777" w:rsidR="001740A1" w:rsidRPr="001740A1" w:rsidRDefault="001740A1" w:rsidP="001740A1">
      <w:pPr>
        <w:pStyle w:val="SingleTxtG"/>
      </w:pPr>
      <w:r w:rsidRPr="001740A1">
        <w:t>6.</w:t>
      </w:r>
      <w:r w:rsidRPr="001740A1">
        <w:tab/>
        <w:t xml:space="preserve">Комитет отмечает, что Сенегальский комитет по правам человека не в полной мере соблюдает принципы, касающиеся статуса национальных учреждений, занимающихся поощрением и защитой прав человека (Парижские принципы), в частности из-за отсутствия транспарентного и плюралистического процесса назначения его председателя и членов и отсутствия независимости, включая финансовую независимость, что будет затруднять его функционирование. Вместе с тем он принимает к сведению обязательство государства-участника исправить сложившуюся ситуацию в своем соответствующем законопроекте (статья 2). </w:t>
      </w:r>
    </w:p>
    <w:p w14:paraId="7F893180" w14:textId="77777777" w:rsidR="001740A1" w:rsidRPr="001740A1" w:rsidRDefault="001740A1" w:rsidP="001740A1">
      <w:pPr>
        <w:pStyle w:val="SingleTxtG"/>
        <w:rPr>
          <w:b/>
        </w:rPr>
      </w:pPr>
      <w:r w:rsidRPr="001740A1">
        <w:t>7.</w:t>
      </w:r>
      <w:r w:rsidRPr="001740A1">
        <w:tab/>
      </w:r>
      <w:r w:rsidRPr="001740A1">
        <w:rPr>
          <w:b/>
          <w:bCs/>
        </w:rPr>
        <w:t>Комитет настоятельно призывает государство-участник принять все надлежащие меры, с тем чтобы Сенегальский комитет по правам человека мог выполнять свой мандат при сохранении своей независимости от исполнительной и законодательной ветвей власти, и защитить его от вмешательства со стороны любого государственного органа.</w:t>
      </w:r>
      <w:r w:rsidRPr="001740A1">
        <w:t xml:space="preserve"> </w:t>
      </w:r>
      <w:r w:rsidRPr="001740A1">
        <w:rPr>
          <w:b/>
          <w:bCs/>
        </w:rPr>
        <w:t>Он призывает государство-участник обеспечить, чтобы законопроект о пересмотре положений, касающихся национального правозащитного учреждения, соответствовал Парижским принципам.</w:t>
      </w:r>
    </w:p>
    <w:p w14:paraId="4D3CF3C2" w14:textId="77777777" w:rsidR="001740A1" w:rsidRPr="001740A1" w:rsidRDefault="001740A1" w:rsidP="001740A1">
      <w:pPr>
        <w:pStyle w:val="H23G"/>
      </w:pPr>
      <w:r w:rsidRPr="001740A1">
        <w:tab/>
      </w:r>
      <w:r w:rsidRPr="001740A1">
        <w:tab/>
        <w:t>Возможность защиты прав в судебном порядке</w:t>
      </w:r>
    </w:p>
    <w:p w14:paraId="366047D9" w14:textId="77777777" w:rsidR="001740A1" w:rsidRPr="001740A1" w:rsidRDefault="001740A1" w:rsidP="001740A1">
      <w:pPr>
        <w:pStyle w:val="SingleTxtG"/>
      </w:pPr>
      <w:r w:rsidRPr="001740A1">
        <w:t>8.</w:t>
      </w:r>
      <w:r w:rsidRPr="001740A1">
        <w:tab/>
        <w:t xml:space="preserve">Комитет приветствует закрепление экономических, социальных и культурных прав в Конституции государства-участника. Он отмечает, что в Конституции признается верховенство ратифицированных Сенегалом международных договоров над национальными законами и что поэтому на экономические, социальные и культурные права можно непосредственно ссылаться в судах. Тем не менее Комитет выражает сожаление в связи с отсутствием информации о случаях, когда </w:t>
      </w:r>
      <w:r w:rsidRPr="001740A1">
        <w:lastRenderedPageBreak/>
        <w:t>национальные суды ссылались бы на признанные Пактом права или применяли их непосредственно (статья 2).</w:t>
      </w:r>
    </w:p>
    <w:p w14:paraId="26B118AA" w14:textId="77777777" w:rsidR="001740A1" w:rsidRPr="001740A1" w:rsidRDefault="001740A1" w:rsidP="001740A1">
      <w:pPr>
        <w:pStyle w:val="SingleTxtG"/>
        <w:rPr>
          <w:b/>
        </w:rPr>
      </w:pPr>
      <w:r w:rsidRPr="001740A1">
        <w:t>9.</w:t>
      </w:r>
      <w:r w:rsidRPr="001740A1">
        <w:tab/>
      </w:r>
      <w:r w:rsidRPr="001740A1">
        <w:rPr>
          <w:b/>
          <w:bCs/>
        </w:rPr>
        <w:t>Комитет призывает государство-участник обеспечить ознакомление с Пактом и возможностью отстаивания в судебном порядке закрепленных в нем прав, а также с замечаниями общего порядка Комитета судей, адвокатов, государственных должностных лиц, сотрудников правоприменительных органов и общественности и гарантировать доступ к эффективным средствам правовой защиты в случае нарушений прав, закрепленных в Пакте.</w:t>
      </w:r>
      <w:r w:rsidRPr="001740A1">
        <w:t xml:space="preserve"> </w:t>
      </w:r>
      <w:r w:rsidRPr="001740A1">
        <w:rPr>
          <w:b/>
          <w:bCs/>
        </w:rPr>
        <w:t xml:space="preserve">Комитет также предлагает государству-участнику информировать парламентариев об их роли в осуществлении Пакта и ссылается в этой связи на свое замечание общего </w:t>
      </w:r>
      <w:r>
        <w:rPr>
          <w:b/>
          <w:bCs/>
        </w:rPr>
        <w:br/>
      </w:r>
      <w:r w:rsidRPr="001740A1">
        <w:rPr>
          <w:b/>
          <w:bCs/>
        </w:rPr>
        <w:t>порядка № 9 (1998) о применении Пакта во внутреннем праве.</w:t>
      </w:r>
    </w:p>
    <w:p w14:paraId="730BFA83" w14:textId="77777777" w:rsidR="001740A1" w:rsidRPr="001740A1" w:rsidRDefault="001740A1" w:rsidP="001740A1">
      <w:pPr>
        <w:pStyle w:val="H23G"/>
      </w:pPr>
      <w:r w:rsidRPr="001740A1">
        <w:tab/>
      </w:r>
      <w:r w:rsidRPr="001740A1">
        <w:tab/>
        <w:t xml:space="preserve">Максимальные доступные ресурсы </w:t>
      </w:r>
    </w:p>
    <w:p w14:paraId="2D965BBE" w14:textId="77777777" w:rsidR="001740A1" w:rsidRPr="001740A1" w:rsidRDefault="001740A1" w:rsidP="001740A1">
      <w:pPr>
        <w:pStyle w:val="SingleTxtG"/>
      </w:pPr>
      <w:r w:rsidRPr="001740A1">
        <w:t>10.</w:t>
      </w:r>
      <w:r w:rsidRPr="001740A1">
        <w:tab/>
        <w:t xml:space="preserve">Комитет с обеспокоенностью отмечает, что доля государственных средств, выделяемых на социальные услуги, за исключением основных программ, проявляет тенденцию к снижению. Он также обеспокоен тем, что государственные доходы от сбора налогов составляют относительно небольшую долю государственного бюджета и что значительная доля таких доходов приходится на косвенное налогообложение, что ограничивает возможности государства-участника по сокращению высоких показателей неравенства. Комитет отмечает, что государство-участник в значительной степени зависит от международной помощи и сотрудничества, и сожалеет о том, что для осуществления закрепленных в Пакте прав не мобилизована более значительная доля внутренних ресурсов (пункт 1 статьи 2). </w:t>
      </w:r>
    </w:p>
    <w:p w14:paraId="7C4A4E14" w14:textId="77777777" w:rsidR="001740A1" w:rsidRPr="001740A1" w:rsidRDefault="001740A1" w:rsidP="001740A1">
      <w:pPr>
        <w:pStyle w:val="SingleTxtG"/>
      </w:pPr>
      <w:r w:rsidRPr="001740A1">
        <w:t>11.</w:t>
      </w:r>
      <w:r w:rsidRPr="001740A1">
        <w:tab/>
      </w:r>
      <w:r w:rsidRPr="001740A1">
        <w:rPr>
          <w:b/>
          <w:bCs/>
        </w:rPr>
        <w:t>Комитет рекомендует государству-участнику обеспечить эффективную мобилизацию внутренних ресурсов, в том числе путем разработки более эффективной, прогрессивной и социально справедливой налоговой политики и повышения платы, взимаемой с иностранных инвесторов за добычу полезных ископаемых и эксплуатацию рыбных ресурсов, в целях борьбы с экономическим неравенством и постепенного обеспечения полного осуществления экономических, социальных и культурных прав.</w:t>
      </w:r>
      <w:r w:rsidRPr="001740A1">
        <w:t xml:space="preserve"> </w:t>
      </w:r>
      <w:r w:rsidRPr="001740A1">
        <w:rPr>
          <w:b/>
          <w:bCs/>
        </w:rPr>
        <w:t>Он также рекомендует государству-участнику обеспечить, чтобы процессы принятия налоговой политики и бюджетов носили транспарентный и коллективный характер.</w:t>
      </w:r>
    </w:p>
    <w:p w14:paraId="49A24F19" w14:textId="77777777" w:rsidR="001740A1" w:rsidRPr="001740A1" w:rsidRDefault="001740A1" w:rsidP="001740A1">
      <w:pPr>
        <w:pStyle w:val="H23G"/>
      </w:pPr>
      <w:r w:rsidRPr="001740A1">
        <w:tab/>
      </w:r>
      <w:r w:rsidRPr="001740A1">
        <w:tab/>
        <w:t xml:space="preserve">Недискриминация </w:t>
      </w:r>
    </w:p>
    <w:p w14:paraId="72C15968" w14:textId="1AE3CF6B" w:rsidR="001740A1" w:rsidRPr="001740A1" w:rsidRDefault="001740A1" w:rsidP="001740A1">
      <w:pPr>
        <w:pStyle w:val="SingleTxtG"/>
      </w:pPr>
      <w:r w:rsidRPr="001740A1">
        <w:t>12.</w:t>
      </w:r>
      <w:r w:rsidRPr="001740A1">
        <w:tab/>
        <w:t>Комитет с обеспокоенностью отмечает наличие дискриминационных законодательных положений в сенегальском законодательстве. Он также отмечает отсутствие общего законодательства, запрещающего все формы прямой и косвенной дискриминации. Комитет выражает озабоченность по поводу сохранения дискриминационных актов в отношении отдельных лиц по причине их пола, цвета кожи (альбинизм), происхождения или сексуальной ориентации (статья 2)</w:t>
      </w:r>
      <w:r w:rsidR="007B647D">
        <w:t>.</w:t>
      </w:r>
    </w:p>
    <w:p w14:paraId="7E8FD720" w14:textId="30990D2B" w:rsidR="001740A1" w:rsidRPr="001740A1" w:rsidRDefault="001740A1" w:rsidP="001740A1">
      <w:pPr>
        <w:pStyle w:val="SingleTxtG"/>
        <w:rPr>
          <w:b/>
        </w:rPr>
      </w:pPr>
      <w:r w:rsidRPr="001740A1">
        <w:t>13.</w:t>
      </w:r>
      <w:r w:rsidRPr="001740A1">
        <w:tab/>
      </w:r>
      <w:r w:rsidRPr="001740A1">
        <w:rPr>
          <w:b/>
          <w:bCs/>
        </w:rPr>
        <w:t xml:space="preserve">Комитет рекомендует государству-участнику принять всеобъемлющее законодательство о </w:t>
      </w:r>
      <w:proofErr w:type="spellStart"/>
      <w:r w:rsidRPr="001740A1">
        <w:rPr>
          <w:b/>
          <w:bCs/>
        </w:rPr>
        <w:t>недискриминации</w:t>
      </w:r>
      <w:proofErr w:type="spellEnd"/>
      <w:r w:rsidRPr="001740A1">
        <w:rPr>
          <w:b/>
          <w:bCs/>
        </w:rPr>
        <w:t>, которое</w:t>
      </w:r>
      <w:r w:rsidR="007B647D">
        <w:rPr>
          <w:b/>
          <w:bCs/>
        </w:rPr>
        <w:t>:</w:t>
      </w:r>
      <w:r w:rsidRPr="001740A1">
        <w:rPr>
          <w:b/>
          <w:bCs/>
        </w:rPr>
        <w:t xml:space="preserve"> а) включало бы четкое определение и криминализацию дискриминации, как прямой, так и косвенной;</w:t>
      </w:r>
      <w:r w:rsidRPr="001740A1">
        <w:t xml:space="preserve"> </w:t>
      </w:r>
      <w:r w:rsidRPr="001740A1">
        <w:rPr>
          <w:b/>
          <w:bCs/>
        </w:rPr>
        <w:t>b) охватывало бы полный перечень оснований для дискриминации, включая происхождение и цвет кожи, сексуальную ориентацию, гендерную идентичность, инвалидность, статус проживания и любой иной статус;</w:t>
      </w:r>
      <w:r w:rsidRPr="001740A1">
        <w:t xml:space="preserve"> </w:t>
      </w:r>
      <w:r w:rsidRPr="001740A1">
        <w:rPr>
          <w:b/>
          <w:bCs/>
        </w:rPr>
        <w:t>и с) предоставляло бы жертвам эффективные средства правовой защиты.</w:t>
      </w:r>
      <w:r w:rsidRPr="001740A1">
        <w:t xml:space="preserve"> </w:t>
      </w:r>
      <w:r w:rsidRPr="001740A1">
        <w:rPr>
          <w:b/>
          <w:bCs/>
        </w:rPr>
        <w:t>Комитет настоятельно призывает государство-участник декриминализировать гомосексуальные отношения по обоюдному согласию и отменить пункт 3 статьи 319 Уголовного кодекса, а также любые дискриминационные правовые положения, касающиеся сексуальной ориентации и гендерной идентичности.</w:t>
      </w:r>
      <w:r w:rsidRPr="001740A1">
        <w:t xml:space="preserve"> </w:t>
      </w:r>
      <w:r w:rsidRPr="001740A1">
        <w:rPr>
          <w:b/>
          <w:bCs/>
        </w:rPr>
        <w:t>Комитет обращает внимание государства-участника на свое замечание общего порядка № 20 (2009) о недискриминации экономических, социальных и культурных прав.</w:t>
      </w:r>
      <w:r w:rsidRPr="001740A1">
        <w:t xml:space="preserve"> </w:t>
      </w:r>
    </w:p>
    <w:p w14:paraId="6F3CD9A3" w14:textId="77777777" w:rsidR="001740A1" w:rsidRPr="001740A1" w:rsidRDefault="001740A1" w:rsidP="001740A1">
      <w:pPr>
        <w:pStyle w:val="H23G"/>
      </w:pPr>
      <w:r w:rsidRPr="001740A1">
        <w:lastRenderedPageBreak/>
        <w:tab/>
      </w:r>
      <w:r w:rsidRPr="001740A1">
        <w:tab/>
        <w:t>Р</w:t>
      </w:r>
      <w:r w:rsidRPr="001740A1">
        <w:rPr>
          <w:bCs/>
        </w:rPr>
        <w:t>авенство между</w:t>
      </w:r>
      <w:r w:rsidRPr="001740A1">
        <w:t xml:space="preserve"> мужчинами и женщинами</w:t>
      </w:r>
    </w:p>
    <w:p w14:paraId="0C763B87" w14:textId="77777777" w:rsidR="001740A1" w:rsidRPr="001740A1" w:rsidRDefault="001740A1" w:rsidP="001740A1">
      <w:pPr>
        <w:pStyle w:val="SingleTxtG"/>
      </w:pPr>
      <w:r w:rsidRPr="001740A1">
        <w:t>14.</w:t>
      </w:r>
      <w:r w:rsidRPr="001740A1">
        <w:tab/>
        <w:t xml:space="preserve">Комитет отмечает меры, принятые государством-участником, включая принятие Закона № 2010-11 о гендерном паритете и создание Национального наблюдательного совета по вопросам гендернего паритета. Вместе с тем он </w:t>
      </w:r>
      <w:r w:rsidR="00874FED">
        <w:br/>
      </w:r>
      <w:r w:rsidRPr="001740A1">
        <w:t xml:space="preserve">по-прежнему обеспокоен недостаточной эффективностью этого закона на всей территории страны. Он также обеспокоен тем, что этот закон не гарантирует назначения женщин на все руководящие должности, в том числе в правительстве и на уровне местных общин. Комитет также обеспокоен тем, что дискриминационные положения в отношении женщин по-прежнему содержатся в Семейном кодексе, а также в Кодексе социального обеспечения (статья 3). </w:t>
      </w:r>
    </w:p>
    <w:p w14:paraId="2ED66084" w14:textId="77777777" w:rsidR="001740A1" w:rsidRPr="001740A1" w:rsidRDefault="001740A1" w:rsidP="001740A1">
      <w:pPr>
        <w:pStyle w:val="SingleTxtG"/>
        <w:rPr>
          <w:b/>
        </w:rPr>
      </w:pPr>
      <w:r w:rsidRPr="001740A1">
        <w:t>15.</w:t>
      </w:r>
      <w:r w:rsidRPr="001740A1">
        <w:tab/>
      </w:r>
      <w:r w:rsidRPr="001740A1">
        <w:rPr>
          <w:b/>
          <w:bCs/>
        </w:rPr>
        <w:t>Комитет настоятельно призывает государство-участник привести свое законодательство в соответствие с требованием равенства между мужчинами и женщинами.</w:t>
      </w:r>
      <w:r w:rsidRPr="001740A1">
        <w:t xml:space="preserve"> </w:t>
      </w:r>
      <w:r w:rsidRPr="001740A1">
        <w:rPr>
          <w:b/>
          <w:bCs/>
        </w:rPr>
        <w:t>В частности, Комитет рекомендует государству-участнику отменить: а) соответствующие положения Семейного кодекса, включая статью</w:t>
      </w:r>
      <w:r w:rsidR="00894662">
        <w:rPr>
          <w:b/>
          <w:bCs/>
          <w:lang w:val="en-US"/>
        </w:rPr>
        <w:t> </w:t>
      </w:r>
      <w:r w:rsidRPr="001740A1">
        <w:rPr>
          <w:b/>
          <w:bCs/>
        </w:rPr>
        <w:t>152 о родительских правах, а также положения, касающиеся выбора места жительства супругов, возраста вступления в брак, запрещения розыска отцов в судебном порядке и прав наследования;</w:t>
      </w:r>
      <w:r w:rsidRPr="001740A1">
        <w:t xml:space="preserve"> </w:t>
      </w:r>
      <w:r w:rsidRPr="001740A1">
        <w:rPr>
          <w:b/>
          <w:bCs/>
        </w:rPr>
        <w:t>и b) статью 21 Кодекса социального обеспечения, которая предусматривает только семейные пособия для отца.</w:t>
      </w:r>
      <w:r w:rsidRPr="001740A1">
        <w:t xml:space="preserve"> </w:t>
      </w:r>
      <w:r w:rsidRPr="001740A1">
        <w:rPr>
          <w:b/>
          <w:bCs/>
        </w:rPr>
        <w:t>Комитет рекомендует государству-участнику обеспечить соблюдение Закона № 2010-11 о гендерном паритете на всей его территории и распространить его действие на все должности, включая должности в назначаемых органах.</w:t>
      </w:r>
      <w:r w:rsidRPr="001740A1">
        <w:t xml:space="preserve"> </w:t>
      </w:r>
      <w:r w:rsidRPr="001740A1">
        <w:rPr>
          <w:b/>
          <w:bCs/>
        </w:rPr>
        <w:t>Комитет обращает внимание государства-участника на свое замечание общего порядка № 16 (2005) о равном для мужчин и женщин праве пользования всеми экономическими, социальными и культурными правами.</w:t>
      </w:r>
      <w:r w:rsidRPr="001740A1">
        <w:t xml:space="preserve"> </w:t>
      </w:r>
    </w:p>
    <w:p w14:paraId="714183D0" w14:textId="77777777" w:rsidR="001740A1" w:rsidRPr="001740A1" w:rsidRDefault="001740A1" w:rsidP="001740A1">
      <w:pPr>
        <w:pStyle w:val="H23G"/>
      </w:pPr>
      <w:r w:rsidRPr="001740A1">
        <w:tab/>
      </w:r>
      <w:r w:rsidRPr="001740A1">
        <w:tab/>
        <w:t xml:space="preserve">Право на труд </w:t>
      </w:r>
    </w:p>
    <w:p w14:paraId="796AB6EC" w14:textId="77777777" w:rsidR="001740A1" w:rsidRPr="001740A1" w:rsidRDefault="001740A1" w:rsidP="001740A1">
      <w:pPr>
        <w:pStyle w:val="SingleTxtG"/>
      </w:pPr>
      <w:r w:rsidRPr="001740A1">
        <w:t>16.</w:t>
      </w:r>
      <w:r w:rsidRPr="001740A1">
        <w:tab/>
        <w:t xml:space="preserve">Отмечая инициативы, предпринятые государством-участником для сокращения безработицы, в том числе среди молодежи, женщин и инвалидов, Комитет </w:t>
      </w:r>
      <w:r w:rsidR="00894662">
        <w:br/>
      </w:r>
      <w:r w:rsidRPr="001740A1">
        <w:t xml:space="preserve">по-прежнему обеспокоен ограниченным воздействием этих инициатив, о чем свидетельствует высокий уровень безработицы среди молодежи и женщин. Комитет также обеспокоен низким уровнем занятости инвалидов (статья 6). </w:t>
      </w:r>
    </w:p>
    <w:p w14:paraId="0DF87F63" w14:textId="77777777" w:rsidR="001740A1" w:rsidRPr="001740A1" w:rsidRDefault="001740A1" w:rsidP="001740A1">
      <w:pPr>
        <w:pStyle w:val="SingleTxtG"/>
        <w:rPr>
          <w:b/>
        </w:rPr>
      </w:pPr>
      <w:r w:rsidRPr="001740A1">
        <w:t>17.</w:t>
      </w:r>
      <w:r w:rsidRPr="001740A1">
        <w:tab/>
      </w:r>
      <w:r w:rsidRPr="001740A1">
        <w:rPr>
          <w:b/>
          <w:bCs/>
        </w:rPr>
        <w:t>Комитет рекомендует государству-участнику:</w:t>
      </w:r>
    </w:p>
    <w:p w14:paraId="113BB1FD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a)</w:t>
      </w:r>
      <w:r w:rsidRPr="001740A1">
        <w:tab/>
      </w:r>
      <w:r w:rsidRPr="001740A1">
        <w:rPr>
          <w:b/>
          <w:bCs/>
        </w:rPr>
        <w:t>активизировать реализацию национальной политики в области занятости путем постановки конкретных целей, сосредоточения усилий, в частности, на молодежи и женщинах и повышения качества технического и профессионального образования и подготовки;</w:t>
      </w:r>
    </w:p>
    <w:p w14:paraId="3A27F327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b)</w:t>
      </w:r>
      <w:r w:rsidRPr="001740A1">
        <w:tab/>
      </w:r>
      <w:r w:rsidRPr="001740A1">
        <w:rPr>
          <w:b/>
          <w:bCs/>
        </w:rPr>
        <w:t>удовлетворить ожидания общества в отношении роли женщин и расширения их прав и возможностей, улучшить их доступ к кредитам и расширить возможности для получения образования и профессиональной подготовки (включая занятие руководящих должностей) в целях обеспечения их участия в успешной и устойчивой экономической деятельности;</w:t>
      </w:r>
    </w:p>
    <w:p w14:paraId="29A7FA82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c)</w:t>
      </w:r>
      <w:r w:rsidRPr="001740A1">
        <w:tab/>
      </w:r>
      <w:r w:rsidRPr="001740A1">
        <w:rPr>
          <w:b/>
          <w:bCs/>
        </w:rPr>
        <w:t>децентрализовать инициативы по обеспечению занятости молодежи в сельских районах, улучшить профессиональную ориентацию и усилить надзор за разработкой и осуществлением профессионально-технических проектов;</w:t>
      </w:r>
    </w:p>
    <w:p w14:paraId="2C4210D0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d)</w:t>
      </w:r>
      <w:r w:rsidRPr="001740A1">
        <w:tab/>
      </w:r>
      <w:r w:rsidRPr="001740A1">
        <w:rPr>
          <w:b/>
          <w:bCs/>
        </w:rPr>
        <w:t>интегрировать неформальные рынки в формальный сектор, в частности, для усиления защиты трудящихся и увеличения налоговых поступлений и взносов в систему социального обеспечения.</w:t>
      </w:r>
      <w:r w:rsidRPr="001740A1">
        <w:t xml:space="preserve"> </w:t>
      </w:r>
    </w:p>
    <w:p w14:paraId="7D8BCF41" w14:textId="77777777" w:rsidR="001740A1" w:rsidRPr="001740A1" w:rsidRDefault="001740A1" w:rsidP="001740A1">
      <w:pPr>
        <w:pStyle w:val="SingleTxtG"/>
        <w:rPr>
          <w:b/>
        </w:rPr>
      </w:pPr>
      <w:r w:rsidRPr="001740A1">
        <w:t>18.</w:t>
      </w:r>
      <w:r w:rsidRPr="001740A1">
        <w:tab/>
      </w:r>
      <w:r w:rsidRPr="001740A1">
        <w:rPr>
          <w:b/>
          <w:bCs/>
        </w:rPr>
        <w:t>В этой связи Комитет ссылается на свое замечание общего порядка № 18 (2005) о праве на труд.</w:t>
      </w:r>
      <w:r w:rsidRPr="001740A1">
        <w:t xml:space="preserve"> </w:t>
      </w:r>
    </w:p>
    <w:p w14:paraId="779AECB1" w14:textId="77777777" w:rsidR="001740A1" w:rsidRPr="001740A1" w:rsidRDefault="001740A1" w:rsidP="001740A1">
      <w:pPr>
        <w:pStyle w:val="H23G"/>
      </w:pPr>
      <w:r w:rsidRPr="001740A1">
        <w:tab/>
      </w:r>
      <w:r w:rsidRPr="001740A1">
        <w:tab/>
        <w:t xml:space="preserve">Право на справедливые и благоприятные условия труда </w:t>
      </w:r>
    </w:p>
    <w:p w14:paraId="0D773AB7" w14:textId="77777777" w:rsidR="001740A1" w:rsidRPr="001740A1" w:rsidRDefault="001740A1" w:rsidP="001740A1">
      <w:pPr>
        <w:pStyle w:val="SingleTxtG"/>
      </w:pPr>
      <w:r w:rsidRPr="001740A1">
        <w:t>19.</w:t>
      </w:r>
      <w:r w:rsidRPr="001740A1">
        <w:tab/>
        <w:t xml:space="preserve">Комитет выражает сожаление в связи с недостатками в защите права на справедливые и благоприятные условия труда для работников неформального сектора, в котором перепредставлены женщины, а также в связи с тем, что за труд равной </w:t>
      </w:r>
      <w:r w:rsidRPr="001740A1">
        <w:lastRenderedPageBreak/>
        <w:t xml:space="preserve">ценности женщины получают значительно более низкую заработную плату, чем мужчины. Комитет обеспокоен недостаточностью людских и бюджетных ресурсов, имеющихся в распоряжении Инспекции труда, которая не позволяет ей эффективно следить за положением всех эксплуатируемых лиц, в частности незаявленных домашних работников и детей (статья 7). </w:t>
      </w:r>
    </w:p>
    <w:p w14:paraId="32142E10" w14:textId="77777777" w:rsidR="001740A1" w:rsidRPr="001740A1" w:rsidRDefault="001740A1" w:rsidP="001740A1">
      <w:pPr>
        <w:pStyle w:val="SingleTxtG"/>
        <w:rPr>
          <w:b/>
        </w:rPr>
      </w:pPr>
      <w:r w:rsidRPr="001740A1">
        <w:t>20.</w:t>
      </w:r>
      <w:r w:rsidRPr="001740A1">
        <w:tab/>
      </w:r>
      <w:r w:rsidRPr="001740A1">
        <w:rPr>
          <w:b/>
          <w:bCs/>
        </w:rPr>
        <w:t>Комитет рекомендует государству-участнику:</w:t>
      </w:r>
    </w:p>
    <w:p w14:paraId="4B37DC66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a)</w:t>
      </w:r>
      <w:r w:rsidRPr="001740A1">
        <w:tab/>
      </w:r>
      <w:r w:rsidRPr="001740A1">
        <w:rPr>
          <w:b/>
          <w:bCs/>
        </w:rPr>
        <w:t>гарантировать право на справедливые и благоприятные условия труда, в том числе в неформальном секторе, в соответствии с Рекомендацией Международной организации труда о переходе от неформальной к формальной экономике (№ 204) 2015 года;</w:t>
      </w:r>
    </w:p>
    <w:p w14:paraId="390F24EC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b)</w:t>
      </w:r>
      <w:r w:rsidRPr="001740A1">
        <w:tab/>
      </w:r>
      <w:r w:rsidRPr="001740A1">
        <w:rPr>
          <w:b/>
          <w:bCs/>
        </w:rPr>
        <w:t>обеспечить строгое соблюдение статьи L.105 Трудового кодекса, с тем чтобы гарантировать получение мужчинами и женщинами равной оплаты за труд равной ценности, в том числе в неформальном секторе;</w:t>
      </w:r>
      <w:r w:rsidRPr="001740A1">
        <w:t xml:space="preserve"> </w:t>
      </w:r>
    </w:p>
    <w:p w14:paraId="150852D8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c)</w:t>
      </w:r>
      <w:r w:rsidRPr="001740A1">
        <w:tab/>
      </w:r>
      <w:r w:rsidRPr="001740A1">
        <w:rPr>
          <w:b/>
          <w:bCs/>
        </w:rPr>
        <w:t>принять срочные меры по обеспечению достойной работы для всех женщин, в частности домашней прислуги и сельских женщин, и предоставлению доступ к механизмам защиты, а также эффективным средствам правовой защиты и мерам компенсации для женщин, ставших жертвами дискриминации, домогательств, злоупотреблений или насилия, и включить соответствующее положение в Трудовой кодекс, предусматривающее наказание за сексуальные домогательства на рабочем месте;</w:t>
      </w:r>
    </w:p>
    <w:p w14:paraId="7B5EEB87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d)</w:t>
      </w:r>
      <w:r w:rsidRPr="001740A1">
        <w:tab/>
      </w:r>
      <w:r w:rsidRPr="001740A1">
        <w:rPr>
          <w:b/>
          <w:bCs/>
        </w:rPr>
        <w:t>защитить детей от тех видов работ, которые могут нанести вред их развитию и физическому или психическому здоровью.</w:t>
      </w:r>
      <w:r w:rsidRPr="001740A1">
        <w:t xml:space="preserve"> </w:t>
      </w:r>
    </w:p>
    <w:p w14:paraId="037E89B1" w14:textId="77777777" w:rsidR="001740A1" w:rsidRPr="001740A1" w:rsidRDefault="001740A1" w:rsidP="001740A1">
      <w:pPr>
        <w:pStyle w:val="SingleTxtG"/>
      </w:pPr>
      <w:r w:rsidRPr="001740A1">
        <w:t>21.</w:t>
      </w:r>
      <w:r w:rsidRPr="001740A1">
        <w:tab/>
      </w:r>
      <w:r w:rsidRPr="001740A1">
        <w:rPr>
          <w:b/>
          <w:bCs/>
        </w:rPr>
        <w:t>Комитет рекомендует государству-участнику увеличить людские и бюджетные ресурсы, выделяемые Инспекции труда, и ратифицировать принятую Международной организацией труда в 2011 году Конвенцию о достойном труде домашних работников (№ 189).</w:t>
      </w:r>
      <w:r w:rsidRPr="001740A1">
        <w:t xml:space="preserve"> </w:t>
      </w:r>
      <w:r w:rsidRPr="001740A1">
        <w:rPr>
          <w:b/>
          <w:bCs/>
        </w:rPr>
        <w:t>В этой связи Комитет напоминает государству-участнику о своем замечании общего порядка № 23 (2016) о праве на справедливые и благоприятные условия труда.</w:t>
      </w:r>
    </w:p>
    <w:p w14:paraId="2874F14B" w14:textId="77777777" w:rsidR="001740A1" w:rsidRPr="001740A1" w:rsidRDefault="001740A1" w:rsidP="001740A1">
      <w:pPr>
        <w:pStyle w:val="H23G"/>
      </w:pPr>
      <w:r w:rsidRPr="001740A1">
        <w:tab/>
      </w:r>
      <w:r w:rsidRPr="001740A1">
        <w:tab/>
        <w:t xml:space="preserve">Профсоюзные права </w:t>
      </w:r>
    </w:p>
    <w:p w14:paraId="2959813F" w14:textId="77777777" w:rsidR="001740A1" w:rsidRPr="001740A1" w:rsidRDefault="001740A1" w:rsidP="001740A1">
      <w:pPr>
        <w:pStyle w:val="SingleTxtG"/>
      </w:pPr>
      <w:r w:rsidRPr="001740A1">
        <w:t>22.</w:t>
      </w:r>
      <w:r w:rsidRPr="001740A1">
        <w:tab/>
        <w:t xml:space="preserve">Комитет отмечает, что на территории государства-участника сохраняются препятствия для свободы ассоциации, в том числе в отношении права на свободное создание профсоюзов без предварительного разрешения и осуществления этого права без запугивания. В частности, Комитет обеспокоен тем, что Министерство внутренних дел имеет дискреционные полномочия выдавать свидетельство о признании существования профсоюза после того, как оно удостоверится, чтобы учредители любой такой организации ведут себя примерным образом и не имеют проблем с законом. Он также обеспокоен тем, что это положение исключает возможность создания своих профсоюзов трудящимися-мигрантами (статья 8). </w:t>
      </w:r>
    </w:p>
    <w:p w14:paraId="69C00DCC" w14:textId="77777777" w:rsidR="001740A1" w:rsidRPr="001740A1" w:rsidRDefault="001740A1" w:rsidP="001740A1">
      <w:pPr>
        <w:pStyle w:val="SingleTxtG"/>
        <w:rPr>
          <w:b/>
        </w:rPr>
      </w:pPr>
      <w:r w:rsidRPr="001740A1">
        <w:t>23.</w:t>
      </w:r>
      <w:r w:rsidRPr="001740A1">
        <w:tab/>
      </w:r>
      <w:r w:rsidRPr="001740A1">
        <w:rPr>
          <w:b/>
          <w:bCs/>
        </w:rPr>
        <w:t>Комитет рекомендует государству-участнику привести свою законодательную базу в отношении прав профсоюзов в соответствие со статьей 8 Пакта с учетом Конвенции Международной организации труда 1948 года о свободе объединений и защите права объединяться в профсоюзы (№ 87).</w:t>
      </w:r>
      <w:r w:rsidRPr="001740A1">
        <w:t xml:space="preserve"> </w:t>
      </w:r>
      <w:r w:rsidRPr="001740A1">
        <w:rPr>
          <w:b/>
          <w:bCs/>
        </w:rPr>
        <w:t>Он</w:t>
      </w:r>
      <w:r w:rsidR="00894662">
        <w:rPr>
          <w:b/>
          <w:bCs/>
          <w:lang w:val="en-US"/>
        </w:rPr>
        <w:t> </w:t>
      </w:r>
      <w:r w:rsidRPr="001740A1">
        <w:rPr>
          <w:b/>
          <w:bCs/>
        </w:rPr>
        <w:t>также рекомендует отменить Закон № 76-28 от 6 апреля 1976 года и внести поправки в статью L.8 Трудового кодекса, с тем чтобы гарантировать трудящимся и объединениям трудящихся право создавать организации по своему выбору путем отмены предварительного разрешения Министерства внутренних дел на их создание.</w:t>
      </w:r>
      <w:r w:rsidRPr="001740A1">
        <w:t xml:space="preserve"> </w:t>
      </w:r>
    </w:p>
    <w:p w14:paraId="07DE48FE" w14:textId="77777777" w:rsidR="001740A1" w:rsidRPr="001740A1" w:rsidRDefault="001740A1" w:rsidP="001740A1">
      <w:pPr>
        <w:pStyle w:val="H23G"/>
      </w:pPr>
      <w:r w:rsidRPr="001740A1">
        <w:tab/>
      </w:r>
      <w:r w:rsidRPr="001740A1">
        <w:tab/>
        <w:t xml:space="preserve">Социальное обеспечение </w:t>
      </w:r>
    </w:p>
    <w:p w14:paraId="75A2F1BE" w14:textId="7A9B0787" w:rsidR="001740A1" w:rsidRPr="001740A1" w:rsidRDefault="001740A1" w:rsidP="001740A1">
      <w:pPr>
        <w:pStyle w:val="SingleTxtG"/>
      </w:pPr>
      <w:r w:rsidRPr="001740A1">
        <w:t>24.</w:t>
      </w:r>
      <w:r w:rsidRPr="001740A1">
        <w:tab/>
        <w:t xml:space="preserve">Отмечая приложенные государством-участником усилия по повышению минимального уровня социальной защиты в Сенегале, Комитет в то же время обеспокоен низким уровнем социальной защиты в формальном секторе, согласно данным Национального управления статистики и демографии за 2016 год. Комитет далее отмечает, что 83% женщин работают в неформальном секторе и это сказывается </w:t>
      </w:r>
      <w:r w:rsidRPr="001740A1">
        <w:lastRenderedPageBreak/>
        <w:t xml:space="preserve">на их доступе к системе социальной защиты и что этот ограниченный доступ затрагивает, в частности, женщин, работающих в качестве домашней прислуги. Комитет также обеспокоен низким уровнем социального обеспечения мигрантов, которые редко имеют доступ к информации об их правах (статья 9). </w:t>
      </w:r>
    </w:p>
    <w:p w14:paraId="0720EC14" w14:textId="359571BF" w:rsidR="001740A1" w:rsidRPr="001740A1" w:rsidRDefault="001740A1" w:rsidP="001740A1">
      <w:pPr>
        <w:pStyle w:val="SingleTxtG"/>
        <w:rPr>
          <w:b/>
        </w:rPr>
      </w:pPr>
      <w:r w:rsidRPr="001740A1">
        <w:t>25.</w:t>
      </w:r>
      <w:r w:rsidRPr="001740A1">
        <w:tab/>
      </w:r>
      <w:r w:rsidRPr="001740A1">
        <w:rPr>
          <w:b/>
          <w:bCs/>
        </w:rPr>
        <w:t>Комитет рекомендует государству-участнику принять все необходимые меры для совершенствования своих программ социального обеспечения, в частности в отношении женщин в неформальном секторе, инвалидов и пожилых людей, с целью постепенного охвата всех трудящихся в стране и обеспечения такого размера пособий, который позволит каждому человеку иметь достаточный уровень жизни.</w:t>
      </w:r>
      <w:r w:rsidRPr="001740A1">
        <w:t xml:space="preserve"> </w:t>
      </w:r>
      <w:r w:rsidRPr="001740A1">
        <w:rPr>
          <w:b/>
          <w:bCs/>
        </w:rPr>
        <w:t xml:space="preserve">Комитет просит государство-участник представить в своем следующем периодическом докладе подробные данные о </w:t>
      </w:r>
      <w:r w:rsidR="00A65B19">
        <w:rPr>
          <w:b/>
          <w:bCs/>
        </w:rPr>
        <w:br/>
      </w:r>
      <w:r w:rsidRPr="001740A1">
        <w:rPr>
          <w:b/>
          <w:bCs/>
        </w:rPr>
        <w:t>своих программах социального обеспечения и показателях их охвата.</w:t>
      </w:r>
      <w:r w:rsidRPr="001740A1">
        <w:t xml:space="preserve"> </w:t>
      </w:r>
      <w:r w:rsidRPr="001740A1">
        <w:rPr>
          <w:b/>
          <w:bCs/>
        </w:rPr>
        <w:t>Комитет обращает внимание государства-участника на свое замечание общего порядка</w:t>
      </w:r>
      <w:r w:rsidR="00A65B19">
        <w:rPr>
          <w:b/>
          <w:bCs/>
        </w:rPr>
        <w:t> </w:t>
      </w:r>
      <w:bookmarkStart w:id="0" w:name="_GoBack"/>
      <w:bookmarkEnd w:id="0"/>
      <w:r w:rsidRPr="001740A1">
        <w:rPr>
          <w:b/>
          <w:bCs/>
        </w:rPr>
        <w:t>№</w:t>
      </w:r>
      <w:r w:rsidR="004C7E05">
        <w:rPr>
          <w:b/>
          <w:bCs/>
          <w:lang w:val="en-US"/>
        </w:rPr>
        <w:t> </w:t>
      </w:r>
      <w:r w:rsidRPr="001740A1">
        <w:rPr>
          <w:b/>
          <w:bCs/>
        </w:rPr>
        <w:t>19 (2007) о праве на социальное обеспечение и на свое заявление о минимальных уровнях социальной защиты (E/C.12/2015/1).</w:t>
      </w:r>
    </w:p>
    <w:p w14:paraId="150D7E08" w14:textId="77777777" w:rsidR="001740A1" w:rsidRPr="001740A1" w:rsidRDefault="001740A1" w:rsidP="001740A1">
      <w:pPr>
        <w:pStyle w:val="H23G"/>
      </w:pPr>
      <w:r w:rsidRPr="001740A1">
        <w:tab/>
      </w:r>
      <w:r w:rsidRPr="001740A1">
        <w:tab/>
        <w:t xml:space="preserve">Принуждение к попрошайничеству и эксплуатация детей </w:t>
      </w:r>
    </w:p>
    <w:p w14:paraId="41A8A650" w14:textId="77777777" w:rsidR="001740A1" w:rsidRPr="001740A1" w:rsidRDefault="001740A1" w:rsidP="001740A1">
      <w:pPr>
        <w:pStyle w:val="SingleTxtG"/>
      </w:pPr>
      <w:r w:rsidRPr="001740A1">
        <w:t>26.</w:t>
      </w:r>
      <w:r w:rsidRPr="001740A1">
        <w:tab/>
        <w:t>Комитет по-прежнему глубоко обеспокоен:</w:t>
      </w:r>
    </w:p>
    <w:p w14:paraId="7E0127BF" w14:textId="77777777" w:rsidR="001740A1" w:rsidRPr="001740A1" w:rsidRDefault="001740A1" w:rsidP="001740A1">
      <w:pPr>
        <w:pStyle w:val="SingleTxtG"/>
      </w:pPr>
      <w:r>
        <w:tab/>
      </w:r>
      <w:r>
        <w:tab/>
      </w:r>
      <w:r w:rsidRPr="001740A1">
        <w:t>a)</w:t>
      </w:r>
      <w:r w:rsidRPr="001740A1">
        <w:tab/>
        <w:t>сохраняющейся в некоторых коранических школах практикой использования детей наставниками в экономических целях, что также препятствует осуществлению ими своих прав на здоровье, образование и достойные условия жизни;</w:t>
      </w:r>
    </w:p>
    <w:p w14:paraId="0D5EBEAE" w14:textId="77777777" w:rsidR="001740A1" w:rsidRPr="001740A1" w:rsidRDefault="001740A1" w:rsidP="001740A1">
      <w:pPr>
        <w:pStyle w:val="SingleTxtG"/>
      </w:pPr>
      <w:r>
        <w:tab/>
      </w:r>
      <w:r>
        <w:tab/>
      </w:r>
      <w:r w:rsidRPr="001740A1">
        <w:t>b)</w:t>
      </w:r>
      <w:r w:rsidRPr="001740A1">
        <w:tab/>
        <w:t>тем фактом, что принятие в 2016 году плана по удалению с улиц безнадзорных детей создало трудности с точки зрения координации, возможностей для временного ухода, реабилитации и устойчивой реинтеграции и не привело к осуждению тех, кто предположительно был в этом виновен;</w:t>
      </w:r>
    </w:p>
    <w:p w14:paraId="06C5C918" w14:textId="77777777" w:rsidR="001740A1" w:rsidRPr="001740A1" w:rsidRDefault="001740A1" w:rsidP="001740A1">
      <w:pPr>
        <w:pStyle w:val="SingleTxtG"/>
      </w:pPr>
      <w:r>
        <w:tab/>
      </w:r>
      <w:r>
        <w:tab/>
      </w:r>
      <w:r w:rsidRPr="001740A1">
        <w:t>c)</w:t>
      </w:r>
      <w:r w:rsidRPr="001740A1">
        <w:tab/>
        <w:t xml:space="preserve">многочисленными утверждениями и информацией из различных источников о том, что полиция не всегда расследует случаи принуждения к попрошайничеству и эксплуатации, социальные работники не сообщают о многих таких случаях, обвинения в адрес учителей коранических школ по-прежнему не расследуются, а назначаемые судом меры наказания смягчаются. Комитет отмечает, что большинство объявленных мер по борьбе с этим явлением не увенчались успехом (статья 10). </w:t>
      </w:r>
    </w:p>
    <w:p w14:paraId="6CC053D1" w14:textId="77777777" w:rsidR="001740A1" w:rsidRPr="001740A1" w:rsidRDefault="001740A1" w:rsidP="001740A1">
      <w:pPr>
        <w:pStyle w:val="SingleTxtG"/>
        <w:rPr>
          <w:b/>
        </w:rPr>
      </w:pPr>
      <w:r w:rsidRPr="001740A1">
        <w:t>27.</w:t>
      </w:r>
      <w:r w:rsidRPr="001740A1">
        <w:tab/>
      </w:r>
      <w:r w:rsidRPr="001740A1">
        <w:rPr>
          <w:b/>
          <w:bCs/>
        </w:rPr>
        <w:t>Вновь подтверждая рекомендации, уже вынесенные Комитетом по правам ребенка (CRC/C/SEN/CO/3-5, пункты 68 и 70), Комитетом против пыток (CAT/C/SEN/CO/4, пункт 32) и Комитетом по защите прав всех трудящихся-мигрантов и членов их семей (CMW/C/SEN/CO/2-3, пункт 57), Комитет призывает государство-участник:</w:t>
      </w:r>
    </w:p>
    <w:p w14:paraId="295C5850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a)</w:t>
      </w:r>
      <w:r w:rsidRPr="001740A1">
        <w:tab/>
      </w:r>
      <w:r w:rsidRPr="001740A1">
        <w:rPr>
          <w:b/>
          <w:bCs/>
        </w:rPr>
        <w:t>направить мощный сигнал к мобилизации политической воли с целью положить конец практике принуждения детей к попрошайничеству;</w:t>
      </w:r>
    </w:p>
    <w:p w14:paraId="56B4B161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b)</w:t>
      </w:r>
      <w:r w:rsidRPr="001740A1">
        <w:tab/>
      </w:r>
      <w:r w:rsidRPr="001740A1">
        <w:rPr>
          <w:b/>
          <w:bCs/>
        </w:rPr>
        <w:t>разрешить объединениям требовать возмещения ущерба в рамках уголовного судопроизводства, чтобы содействовать борьбе с безнаказанностью за эти формы эксплуатации.</w:t>
      </w:r>
      <w:r w:rsidRPr="001740A1">
        <w:t xml:space="preserve"> </w:t>
      </w:r>
    </w:p>
    <w:p w14:paraId="6D05B88B" w14:textId="77777777" w:rsidR="001740A1" w:rsidRPr="001740A1" w:rsidRDefault="001740A1" w:rsidP="001740A1">
      <w:pPr>
        <w:pStyle w:val="H23G"/>
      </w:pPr>
      <w:r w:rsidRPr="001740A1">
        <w:tab/>
      </w:r>
      <w:r w:rsidRPr="001740A1">
        <w:tab/>
        <w:t>Право на достаточный жизненный уровень</w:t>
      </w:r>
    </w:p>
    <w:p w14:paraId="0F859254" w14:textId="77777777" w:rsidR="001740A1" w:rsidRPr="001740A1" w:rsidRDefault="001740A1" w:rsidP="001740A1">
      <w:pPr>
        <w:pStyle w:val="SingleTxtG"/>
      </w:pPr>
      <w:r w:rsidRPr="001740A1">
        <w:t>28.</w:t>
      </w:r>
      <w:r w:rsidRPr="001740A1">
        <w:tab/>
        <w:t>Приветствуя создание Национальной комиссии по земельной реформе и утверждение нового Генерального плана развития города в Дакаре для обеспечения доступа к сельскохозяйственным землям, находящимся под угрозой захвата застройщиками, Комитет обеспокоен сообщениями о том, что некоторые местные власти продолжают выделять значительные участки земли, отведенные под земледелие и выпас скота, иностранным компаниям или религиозным властям, лишая общины, которые зависят от этой земли, и прежде всего сельских женщин, их средств к существованию. Комитет также обеспокоен тем, что мелкие рыболовецкие хозяйства лишаются средств к существованию в результате перелова рыбы преимущественно иностранными компаниями (статья 11).</w:t>
      </w:r>
    </w:p>
    <w:p w14:paraId="124B4E4D" w14:textId="77777777" w:rsidR="001740A1" w:rsidRPr="001740A1" w:rsidRDefault="001740A1" w:rsidP="001740A1">
      <w:pPr>
        <w:pStyle w:val="SingleTxtG"/>
        <w:rPr>
          <w:b/>
        </w:rPr>
      </w:pPr>
      <w:r w:rsidRPr="001740A1">
        <w:lastRenderedPageBreak/>
        <w:t>29.</w:t>
      </w:r>
      <w:r w:rsidRPr="001740A1">
        <w:tab/>
      </w:r>
      <w:r w:rsidRPr="001740A1">
        <w:rPr>
          <w:b/>
          <w:bCs/>
        </w:rPr>
        <w:t>Комитет рекомендует государству-участнику:</w:t>
      </w:r>
    </w:p>
    <w:p w14:paraId="6E0792C6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a)</w:t>
      </w:r>
      <w:r w:rsidRPr="001740A1">
        <w:tab/>
      </w:r>
      <w:r w:rsidRPr="001740A1">
        <w:rPr>
          <w:b/>
          <w:bCs/>
        </w:rPr>
        <w:t>создать транспарентный механизм для обеспечения справедливого доступа к земле и гарантирования земельных прав, особенно для женщин, и принять во внимание предложения Национальной комиссии по земельной реформе, которой поручено подготовить проект закона о земельной политике, в частности, для устранения недостатков Закона № 64-46 от 17 июня 1964 года о национальном достоянии;</w:t>
      </w:r>
    </w:p>
    <w:p w14:paraId="3396959D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b)</w:t>
      </w:r>
      <w:r w:rsidRPr="001740A1">
        <w:tab/>
      </w:r>
      <w:r w:rsidRPr="001740A1">
        <w:rPr>
          <w:b/>
          <w:bCs/>
        </w:rPr>
        <w:t>обеспечить значимое и эффективное участие соответствующих рыболовецких хозяйств в переговорах по соглашениям о рыболовстве и расширить средства контроля за переловом при содействии и сотрудничестве со стороны международного сообщества, когда это необходимо.</w:t>
      </w:r>
    </w:p>
    <w:p w14:paraId="32F6803A" w14:textId="77777777" w:rsidR="001740A1" w:rsidRPr="001740A1" w:rsidRDefault="001740A1" w:rsidP="001740A1">
      <w:pPr>
        <w:pStyle w:val="H23G"/>
      </w:pPr>
      <w:r w:rsidRPr="001740A1">
        <w:tab/>
      </w:r>
      <w:r w:rsidRPr="001740A1">
        <w:tab/>
        <w:t xml:space="preserve">Право на жилище </w:t>
      </w:r>
    </w:p>
    <w:p w14:paraId="35A202E5" w14:textId="77777777" w:rsidR="001740A1" w:rsidRPr="001740A1" w:rsidRDefault="001740A1" w:rsidP="001740A1">
      <w:pPr>
        <w:pStyle w:val="SingleTxtG"/>
      </w:pPr>
      <w:r w:rsidRPr="001740A1">
        <w:t>30.</w:t>
      </w:r>
      <w:r w:rsidRPr="001740A1">
        <w:tab/>
        <w:t xml:space="preserve">Отмечая принятие Закона № 2014-03 от 22 января 2014 года о снижении арендной платы, рассчитанной без учета скорректированной площади, Комитет сожалеет, что он применялся только к арендаторам, которые занимали свои помещения на момент принятия этого закона, а не к последующим арендаторам. Комитет обеспокоен высокой арендной платой, особенно в городских районах, что затрудняет доступ к жилью для значительной части населения (статья 11). </w:t>
      </w:r>
    </w:p>
    <w:p w14:paraId="2355CC28" w14:textId="77777777" w:rsidR="001740A1" w:rsidRPr="001740A1" w:rsidRDefault="001740A1" w:rsidP="001740A1">
      <w:pPr>
        <w:pStyle w:val="SingleTxtG"/>
        <w:rPr>
          <w:b/>
        </w:rPr>
      </w:pPr>
      <w:r w:rsidRPr="001740A1">
        <w:t>31.</w:t>
      </w:r>
      <w:r w:rsidRPr="001740A1">
        <w:tab/>
      </w:r>
      <w:r w:rsidRPr="001740A1">
        <w:rPr>
          <w:b/>
          <w:bCs/>
        </w:rPr>
        <w:t>Комитет рекомендует государству-участнику создать механизм мониторинга как на национальном, так и на местном уровнях для контроля за осуществлением Закона № 2014-03, с тем чтобы можно было сообщать о правонарушителях, и рассмотреть возможность проведения реформы законодательства в целях расширения доступа к недорогостоящему жилью для лиц, не являющихся собственниками.</w:t>
      </w:r>
      <w:r w:rsidRPr="001740A1">
        <w:t xml:space="preserve"> </w:t>
      </w:r>
      <w:r w:rsidRPr="001740A1">
        <w:rPr>
          <w:b/>
          <w:bCs/>
        </w:rPr>
        <w:t>В этой связи Комитет ссылается на свое замечание общего порядка № 4 (1991) о праве на достаточное жилище.</w:t>
      </w:r>
    </w:p>
    <w:p w14:paraId="2D85E084" w14:textId="77777777" w:rsidR="001740A1" w:rsidRPr="001740A1" w:rsidRDefault="001740A1" w:rsidP="001740A1">
      <w:pPr>
        <w:pStyle w:val="H23G"/>
      </w:pPr>
      <w:r w:rsidRPr="001740A1">
        <w:tab/>
      </w:r>
      <w:r w:rsidRPr="001740A1">
        <w:tab/>
        <w:t>Доступ к качественному медицинскому обслуживанию</w:t>
      </w:r>
    </w:p>
    <w:p w14:paraId="0402F475" w14:textId="77777777" w:rsidR="001740A1" w:rsidRPr="001740A1" w:rsidRDefault="001740A1" w:rsidP="001740A1">
      <w:pPr>
        <w:pStyle w:val="SingleTxtG"/>
      </w:pPr>
      <w:r w:rsidRPr="001740A1">
        <w:t>32.</w:t>
      </w:r>
      <w:r w:rsidRPr="001740A1">
        <w:tab/>
        <w:t xml:space="preserve">Отмечая меры, принятые государством-участником для обеспечения всеобщего охвата медицинским обслуживанием, Комитет по-прежнему обеспокоен недостаточностью ресурсов, выделяемых сектору здравоохранения, о чем свидетельствует крайне низкий показатель (8%) доли средств из государственного бюджета, выделяемых Министерству здравоохранения. Комитет особенно обеспокоен недостаточными мерами, принятыми для удержания квалифицированных врачей в государственных медицинских учреждениях, и отсутствием бесплатного доступа к медицинской помощи для наиболее нуждающихся (статья 12). </w:t>
      </w:r>
    </w:p>
    <w:p w14:paraId="0068F171" w14:textId="77777777" w:rsidR="001740A1" w:rsidRPr="001740A1" w:rsidRDefault="001740A1" w:rsidP="001740A1">
      <w:pPr>
        <w:pStyle w:val="SingleTxtG"/>
        <w:rPr>
          <w:b/>
        </w:rPr>
      </w:pPr>
      <w:r w:rsidRPr="001740A1">
        <w:t>33.</w:t>
      </w:r>
      <w:r w:rsidRPr="001740A1">
        <w:tab/>
      </w:r>
      <w:r w:rsidRPr="001740A1">
        <w:rPr>
          <w:b/>
          <w:bCs/>
        </w:rPr>
        <w:t>Комитет призывает государство-участник активизировать свои усилия по обеспечению доступа к качественному медицинскому обслуживанию на всей своей территории, и в частности:</w:t>
      </w:r>
      <w:r w:rsidRPr="001740A1">
        <w:t xml:space="preserve"> </w:t>
      </w:r>
    </w:p>
    <w:p w14:paraId="550333B9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a)</w:t>
      </w:r>
      <w:r w:rsidRPr="001740A1">
        <w:tab/>
      </w:r>
      <w:r w:rsidRPr="001740A1">
        <w:rPr>
          <w:b/>
          <w:bCs/>
        </w:rPr>
        <w:t xml:space="preserve">обеспечить действительно бесплатное медицинское обслуживание детей в возрасте до </w:t>
      </w:r>
      <w:r w:rsidR="003064BB">
        <w:rPr>
          <w:b/>
          <w:bCs/>
        </w:rPr>
        <w:t>пяти</w:t>
      </w:r>
      <w:r w:rsidRPr="001740A1">
        <w:rPr>
          <w:b/>
          <w:bCs/>
        </w:rPr>
        <w:t xml:space="preserve"> лет, особенно проживающих в сельской местности;</w:t>
      </w:r>
      <w:r w:rsidRPr="001740A1">
        <w:t xml:space="preserve"> </w:t>
      </w:r>
    </w:p>
    <w:p w14:paraId="76E41879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b)</w:t>
      </w:r>
      <w:r w:rsidRPr="001740A1">
        <w:tab/>
      </w:r>
      <w:r w:rsidRPr="001740A1">
        <w:rPr>
          <w:b/>
          <w:bCs/>
        </w:rPr>
        <w:t>расширить охват медико-санитарным обслуживанием, с тем чтобы дети, проживающие в отдаленных районах, могли получить доступ к медицинским услугам;</w:t>
      </w:r>
      <w:r w:rsidRPr="001740A1">
        <w:t xml:space="preserve"> </w:t>
      </w:r>
    </w:p>
    <w:p w14:paraId="278BC123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c)</w:t>
      </w:r>
      <w:r w:rsidRPr="001740A1">
        <w:tab/>
      </w:r>
      <w:r w:rsidRPr="001740A1">
        <w:rPr>
          <w:b/>
          <w:bCs/>
        </w:rPr>
        <w:t>увеличить государственные бюджетные ассигнования на здравоохранение, с тем чтобы мобилизовать больше средств для найма специализированного персонала и приобретения вводимых ресурсов, необходимых для получения доступа к качественным медицинским услугам.</w:t>
      </w:r>
      <w:r w:rsidRPr="001740A1">
        <w:t xml:space="preserve"> </w:t>
      </w:r>
    </w:p>
    <w:p w14:paraId="377D13D6" w14:textId="77777777" w:rsidR="001740A1" w:rsidRPr="001740A1" w:rsidRDefault="001740A1" w:rsidP="001740A1">
      <w:pPr>
        <w:pStyle w:val="H23G"/>
      </w:pPr>
      <w:r w:rsidRPr="001740A1">
        <w:tab/>
      </w:r>
      <w:r w:rsidRPr="001740A1">
        <w:tab/>
        <w:t xml:space="preserve">Право на здоровье </w:t>
      </w:r>
      <w:r w:rsidRPr="001740A1">
        <w:rPr>
          <w:bCs/>
        </w:rPr>
        <w:t>и окружающая среда</w:t>
      </w:r>
      <w:r w:rsidRPr="001740A1">
        <w:t xml:space="preserve"> </w:t>
      </w:r>
    </w:p>
    <w:p w14:paraId="546ED474" w14:textId="77777777" w:rsidR="001740A1" w:rsidRPr="001740A1" w:rsidRDefault="001740A1" w:rsidP="001740A1">
      <w:pPr>
        <w:pStyle w:val="SingleTxtG"/>
      </w:pPr>
      <w:r w:rsidRPr="001740A1">
        <w:t>34.</w:t>
      </w:r>
      <w:r w:rsidRPr="001740A1">
        <w:tab/>
        <w:t xml:space="preserve">Комитет обеспокоен отсутствием мер по борьбе с загрязнением воздуха, особенно в Дакаре, последствиями сброса бытовых отходов и сточных вод в городских и пригородных районах и загрязнением, вызванным использованием и сбросом пластиковых пакетов, несмотря на принятие Закона № 2015-09 от 4 мая 2015 года о </w:t>
      </w:r>
      <w:r w:rsidRPr="001740A1">
        <w:lastRenderedPageBreak/>
        <w:t xml:space="preserve">запрещении производства, импорта, владения, распространения, использования маломикронных пластиковых пакетов и рациональном удалении пластиковых отходов (статья 12). </w:t>
      </w:r>
    </w:p>
    <w:p w14:paraId="3AD94C91" w14:textId="77777777" w:rsidR="001740A1" w:rsidRPr="001740A1" w:rsidRDefault="001740A1" w:rsidP="001740A1">
      <w:pPr>
        <w:pStyle w:val="SingleTxtG"/>
        <w:rPr>
          <w:b/>
        </w:rPr>
      </w:pPr>
      <w:r w:rsidRPr="001740A1">
        <w:t>35.</w:t>
      </w:r>
      <w:r w:rsidRPr="001740A1">
        <w:tab/>
      </w:r>
      <w:r w:rsidRPr="001740A1">
        <w:rPr>
          <w:b/>
          <w:bCs/>
        </w:rPr>
        <w:t>Комитет призывает государство-участник принять незамедлительные меры для устранения экологических рисков, затрагивающих здоровье населения, особенно в городских и пригородных районах:</w:t>
      </w:r>
      <w:r w:rsidRPr="001740A1">
        <w:t xml:space="preserve"> </w:t>
      </w:r>
    </w:p>
    <w:p w14:paraId="3D5B3C21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a)</w:t>
      </w:r>
      <w:r w:rsidRPr="001740A1">
        <w:tab/>
      </w:r>
      <w:r w:rsidRPr="001740A1">
        <w:rPr>
          <w:b/>
          <w:bCs/>
        </w:rPr>
        <w:t>строго регулируя использование загрязняющих окружающую среду транспортных средств;</w:t>
      </w:r>
      <w:r w:rsidRPr="001740A1">
        <w:t xml:space="preserve"> </w:t>
      </w:r>
    </w:p>
    <w:p w14:paraId="701E9594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b)</w:t>
      </w:r>
      <w:r w:rsidRPr="001740A1">
        <w:tab/>
      </w:r>
      <w:r w:rsidRPr="001740A1">
        <w:rPr>
          <w:b/>
          <w:bCs/>
        </w:rPr>
        <w:t>совершенствуя надзор за сточными водами и управление их очисткой;</w:t>
      </w:r>
      <w:r w:rsidRPr="001740A1">
        <w:t xml:space="preserve"> </w:t>
      </w:r>
    </w:p>
    <w:p w14:paraId="605D3591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c)</w:t>
      </w:r>
      <w:r w:rsidRPr="001740A1">
        <w:tab/>
      </w:r>
      <w:r w:rsidRPr="001740A1">
        <w:rPr>
          <w:b/>
          <w:bCs/>
        </w:rPr>
        <w:t>неукоснительно</w:t>
      </w:r>
      <w:r w:rsidRPr="001740A1">
        <w:t xml:space="preserve"> </w:t>
      </w:r>
      <w:r w:rsidRPr="001740A1">
        <w:rPr>
          <w:b/>
          <w:bCs/>
        </w:rPr>
        <w:t>применяя Закон № 2015-09.</w:t>
      </w:r>
      <w:r w:rsidRPr="001740A1">
        <w:t xml:space="preserve"> </w:t>
      </w:r>
    </w:p>
    <w:p w14:paraId="72DCDD9B" w14:textId="77777777" w:rsidR="001740A1" w:rsidRPr="001740A1" w:rsidRDefault="001740A1" w:rsidP="001740A1">
      <w:pPr>
        <w:pStyle w:val="H23G"/>
      </w:pPr>
      <w:r w:rsidRPr="001740A1">
        <w:tab/>
      </w:r>
      <w:r w:rsidRPr="001740A1">
        <w:tab/>
        <w:t xml:space="preserve">Право на сексуальное и репродуктивное здоровье </w:t>
      </w:r>
    </w:p>
    <w:p w14:paraId="1E2E6CA9" w14:textId="77777777" w:rsidR="001740A1" w:rsidRPr="001740A1" w:rsidRDefault="001740A1" w:rsidP="001740A1">
      <w:pPr>
        <w:pStyle w:val="SingleTxtG"/>
      </w:pPr>
      <w:r w:rsidRPr="001740A1">
        <w:t>36.</w:t>
      </w:r>
      <w:r w:rsidRPr="001740A1">
        <w:tab/>
        <w:t xml:space="preserve">Комитет с обеспокоенностью отмечает, что добровольное прерывание беременности является уголовным преступлением в государстве-участнике, за исключением случаев, когда жизни женщины угрожает опасность, в результате чего многие женщины делают подпольные аборты без медицинской помощи и впоследствии страдают от опасных для жизни и в некоторых случаях смертельных осложнений, особенно в сельских районах. Комитет также отмечает высокие показатели ранней беременности, которые препятствуют осуществлению прав девочек на образование и на здоровье. Отмечая запретительный характер вопроса о сексуальности и связанное с этим социально-культурное отторжение, Комитет вместе с тем обеспокоен отсутствием доступа к информации и услугам по вопросам сексуальности и репродукции, которые должны быть направлены на предупреждение сексуального насилия и устранение рисков, связанных с ранней беременностью (статья 12). </w:t>
      </w:r>
    </w:p>
    <w:p w14:paraId="760B51DA" w14:textId="77777777" w:rsidR="001740A1" w:rsidRPr="001740A1" w:rsidRDefault="001740A1" w:rsidP="001740A1">
      <w:pPr>
        <w:pStyle w:val="SingleTxtG"/>
        <w:rPr>
          <w:b/>
        </w:rPr>
      </w:pPr>
      <w:r w:rsidRPr="001740A1">
        <w:t>37.</w:t>
      </w:r>
      <w:r w:rsidRPr="001740A1">
        <w:tab/>
      </w:r>
      <w:r w:rsidRPr="001740A1">
        <w:rPr>
          <w:b/>
          <w:bCs/>
        </w:rPr>
        <w:t>Комитет рекомендует государству-участнику:</w:t>
      </w:r>
    </w:p>
    <w:p w14:paraId="2B501CD2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a)</w:t>
      </w:r>
      <w:r w:rsidRPr="001740A1">
        <w:tab/>
      </w:r>
      <w:r w:rsidRPr="001740A1">
        <w:rPr>
          <w:b/>
          <w:bCs/>
        </w:rPr>
        <w:t>пересмотреть уголовное законодательство с целью приведения его в соответствие с правами женщин и расширить круг обстоятельств, допускающих добровольное прерывание беременности;</w:t>
      </w:r>
    </w:p>
    <w:p w14:paraId="3B6E6B3F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b)</w:t>
      </w:r>
      <w:r w:rsidRPr="001740A1">
        <w:tab/>
      </w:r>
      <w:r w:rsidRPr="001740A1">
        <w:rPr>
          <w:b/>
          <w:bCs/>
        </w:rPr>
        <w:t>обеспечить, чтобы женщины, применяющие эту практику, не привлекались к уголовной ответственности;</w:t>
      </w:r>
    </w:p>
    <w:p w14:paraId="16152A41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c)</w:t>
      </w:r>
      <w:r w:rsidRPr="001740A1">
        <w:tab/>
      </w:r>
      <w:r w:rsidRPr="001740A1">
        <w:rPr>
          <w:b/>
          <w:bCs/>
        </w:rPr>
        <w:t>обеспечить распространение информации и предоставление высококачественной и надлежащей информации и услуг в области сексуального и репродуктивного здоровья и обеспечить доступ к такой информации и услугам, включая услуги по планированию семьи, для всех женщин и девочек-подростков, особенно в сельских и отдаленных районах и в школах.</w:t>
      </w:r>
      <w:r w:rsidRPr="001740A1">
        <w:t xml:space="preserve"> </w:t>
      </w:r>
    </w:p>
    <w:p w14:paraId="4502B556" w14:textId="77777777" w:rsidR="001740A1" w:rsidRPr="001740A1" w:rsidRDefault="001740A1" w:rsidP="001740A1">
      <w:pPr>
        <w:pStyle w:val="SingleTxtG"/>
        <w:rPr>
          <w:b/>
        </w:rPr>
      </w:pPr>
      <w:r w:rsidRPr="001740A1">
        <w:t>38.</w:t>
      </w:r>
      <w:r w:rsidRPr="001740A1">
        <w:tab/>
      </w:r>
      <w:r w:rsidRPr="001740A1">
        <w:rPr>
          <w:b/>
          <w:bCs/>
        </w:rPr>
        <w:t>Комитет обращает внимание государства-участника на свое замечание общего порядка № 22 (2016) о праве на сексуальное и репродуктивное здоровье.</w:t>
      </w:r>
    </w:p>
    <w:p w14:paraId="13F38727" w14:textId="77777777" w:rsidR="001740A1" w:rsidRPr="001740A1" w:rsidRDefault="001740A1" w:rsidP="001740A1">
      <w:pPr>
        <w:pStyle w:val="H23G"/>
      </w:pPr>
      <w:r w:rsidRPr="001740A1">
        <w:tab/>
      </w:r>
      <w:r w:rsidRPr="001740A1">
        <w:tab/>
        <w:t xml:space="preserve">ВИЧ/СПИД </w:t>
      </w:r>
    </w:p>
    <w:p w14:paraId="00948DA8" w14:textId="77777777" w:rsidR="001740A1" w:rsidRPr="001740A1" w:rsidRDefault="001740A1" w:rsidP="001740A1">
      <w:pPr>
        <w:pStyle w:val="SingleTxtG"/>
      </w:pPr>
      <w:r w:rsidRPr="001740A1">
        <w:t>39.</w:t>
      </w:r>
      <w:r w:rsidRPr="001740A1">
        <w:tab/>
        <w:t xml:space="preserve">Отмечая усилия государства-участника по сокращению распространенности ВИЧ/СПИДа среди населения, Комитет в то же время с обеспокоенностью замечает, что распространенность ВИЧ/СПИДа среди работников сферы сексуальных услуг, мужчин, имеющих половые контакты с мужчинами, потребителей наркотиков и лиц, содержащихся под стражей, значительно превышает средний показатель по стране. Комитет также обеспокоен данными, свидетельствующими о низком уровне охвата антиретровирусной терапией в случае детей, что означает, что эта категория населения не охвачена (статья 12). </w:t>
      </w:r>
    </w:p>
    <w:p w14:paraId="5E0B1921" w14:textId="77777777" w:rsidR="001740A1" w:rsidRPr="001740A1" w:rsidRDefault="001740A1" w:rsidP="001740A1">
      <w:pPr>
        <w:pStyle w:val="SingleTxtG"/>
        <w:rPr>
          <w:b/>
        </w:rPr>
      </w:pPr>
      <w:r w:rsidRPr="001740A1">
        <w:t>40.</w:t>
      </w:r>
      <w:r w:rsidRPr="001740A1">
        <w:tab/>
      </w:r>
      <w:r w:rsidRPr="001740A1">
        <w:rPr>
          <w:b/>
          <w:bCs/>
        </w:rPr>
        <w:t xml:space="preserve">С учетом того факта, что группы с более высокой распространенностью ВИЧ/СПИДа часто относятся к так называемым категориям </w:t>
      </w:r>
      <w:r w:rsidR="00A6232D">
        <w:rPr>
          <w:b/>
          <w:bCs/>
        </w:rPr>
        <w:t>«</w:t>
      </w:r>
      <w:r w:rsidRPr="001740A1">
        <w:rPr>
          <w:b/>
          <w:bCs/>
        </w:rPr>
        <w:t>имеющих проблемы с законом</w:t>
      </w:r>
      <w:r w:rsidR="00A6232D">
        <w:rPr>
          <w:b/>
          <w:bCs/>
        </w:rPr>
        <w:t>»</w:t>
      </w:r>
      <w:r w:rsidRPr="001740A1">
        <w:rPr>
          <w:b/>
          <w:bCs/>
        </w:rPr>
        <w:t xml:space="preserve">, Комитет призывает государство-участник принять национальную стратегию по борьбе со стигматизацией, которая не позволяет </w:t>
      </w:r>
      <w:r w:rsidRPr="001740A1">
        <w:rPr>
          <w:b/>
          <w:bCs/>
        </w:rPr>
        <w:lastRenderedPageBreak/>
        <w:t>этим категориям населения пользоваться своим правом на здоровье наравне с остальным населением.</w:t>
      </w:r>
      <w:r w:rsidRPr="001740A1">
        <w:t xml:space="preserve"> </w:t>
      </w:r>
      <w:r w:rsidRPr="001740A1">
        <w:rPr>
          <w:b/>
          <w:bCs/>
        </w:rPr>
        <w:t>С этой целью Комитет просит государство-участник рассмотреть возможность декриминализации:</w:t>
      </w:r>
      <w:r w:rsidRPr="001740A1">
        <w:t xml:space="preserve"> </w:t>
      </w:r>
    </w:p>
    <w:p w14:paraId="6AD0028B" w14:textId="77777777" w:rsidR="001740A1" w:rsidRPr="001740A1" w:rsidRDefault="001740A1" w:rsidP="001740A1">
      <w:pPr>
        <w:pStyle w:val="SingleTxt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а)</w:t>
      </w:r>
      <w:r w:rsidRPr="001740A1">
        <w:tab/>
      </w:r>
      <w:r w:rsidRPr="001740A1">
        <w:rPr>
          <w:b/>
          <w:bCs/>
        </w:rPr>
        <w:t>однополых отношений;</w:t>
      </w:r>
      <w:r w:rsidRPr="001740A1">
        <w:t xml:space="preserve"> </w:t>
      </w:r>
    </w:p>
    <w:p w14:paraId="48FE87F4" w14:textId="77777777" w:rsidR="001740A1" w:rsidRPr="001740A1" w:rsidRDefault="001740A1" w:rsidP="001740A1">
      <w:pPr>
        <w:pStyle w:val="SingleTxt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b)</w:t>
      </w:r>
      <w:r w:rsidRPr="001740A1">
        <w:tab/>
      </w:r>
      <w:r w:rsidRPr="001740A1">
        <w:rPr>
          <w:b/>
          <w:bCs/>
        </w:rPr>
        <w:t>употребления наркотиков.</w:t>
      </w:r>
    </w:p>
    <w:p w14:paraId="67B28669" w14:textId="77777777" w:rsidR="001740A1" w:rsidRPr="001740A1" w:rsidRDefault="001740A1" w:rsidP="001740A1">
      <w:pPr>
        <w:pStyle w:val="H23G"/>
      </w:pPr>
      <w:r w:rsidRPr="001740A1">
        <w:tab/>
      </w:r>
      <w:r w:rsidRPr="001740A1">
        <w:tab/>
        <w:t xml:space="preserve">Доступ к образованию </w:t>
      </w:r>
    </w:p>
    <w:p w14:paraId="46DB6421" w14:textId="77777777" w:rsidR="001740A1" w:rsidRPr="001740A1" w:rsidRDefault="001740A1" w:rsidP="001740A1">
      <w:pPr>
        <w:pStyle w:val="SingleTxtG"/>
      </w:pPr>
      <w:r w:rsidRPr="001740A1">
        <w:t>41.</w:t>
      </w:r>
      <w:r w:rsidRPr="001740A1">
        <w:tab/>
        <w:t xml:space="preserve">Комитет с удовлетворением отмечает увеличение показателей зачисления в начальную школу в государстве-участнике, особенно в связи с введением отмены платы за школьное обучение. Вместе с тем Комитет обеспокоен сообщениями о том, что все еще существуют косвенные расходы на школьное обучение, особенно на уровне средней школы. Он также сожалеет о недостаточном уровне образования и профессиональной подготовки, особенно в сельских и неблагополучных районах, а также о том, что 47% детей школьного возраста не охвачены системой школьного образования, в частности из-за отсутствия свидетельства о гражданском состоянии. Комитет с обеспокоенностью отмечает недостаточную доступность инклюзивного и качественного образования в государственных школах в пользу потенциально дорогих частных школ и франко-арабских и коранических школ, которые в целом являются бесплатными, но нынешняя учебная программа которых не гарантирует такой же уровень образования, как в государственных структурах. Недостаточная подготовка преподавателей в вопросах инклюзивной педагогики или педагогики инвалидности также не обеспечивает детям-инвалидам необходимую подготовку для их социальной интеграции, включая профессиональную подготовку (статьи 13 и 14). </w:t>
      </w:r>
    </w:p>
    <w:p w14:paraId="699D14BC" w14:textId="77777777" w:rsidR="001740A1" w:rsidRPr="001740A1" w:rsidRDefault="001740A1" w:rsidP="001740A1">
      <w:pPr>
        <w:pStyle w:val="SingleTxtG"/>
        <w:rPr>
          <w:b/>
        </w:rPr>
      </w:pPr>
      <w:r w:rsidRPr="001740A1">
        <w:t>42.</w:t>
      </w:r>
      <w:r w:rsidRPr="001740A1">
        <w:tab/>
      </w:r>
      <w:r w:rsidRPr="001740A1">
        <w:rPr>
          <w:b/>
          <w:bCs/>
        </w:rPr>
        <w:t>Комитет рекомендует государству-участнику:</w:t>
      </w:r>
    </w:p>
    <w:p w14:paraId="4A316CD4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a)</w:t>
      </w:r>
      <w:r w:rsidRPr="001740A1">
        <w:tab/>
      </w:r>
      <w:r w:rsidRPr="001740A1">
        <w:rPr>
          <w:b/>
          <w:bCs/>
        </w:rPr>
        <w:t>усилить меры по обеспечению того, чтобы начальное и постепенно среднее образование действительно было бесплатным;</w:t>
      </w:r>
    </w:p>
    <w:p w14:paraId="6528D682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b)</w:t>
      </w:r>
      <w:r w:rsidRPr="001740A1">
        <w:tab/>
      </w:r>
      <w:r w:rsidRPr="001740A1">
        <w:rPr>
          <w:b/>
          <w:bCs/>
        </w:rPr>
        <w:t>отменить требование о наличии свидетельства о рождении для получения доступа к образованию и усилить меры по увеличению регистрации рождений;</w:t>
      </w:r>
      <w:r w:rsidRPr="001740A1">
        <w:t xml:space="preserve"> </w:t>
      </w:r>
    </w:p>
    <w:p w14:paraId="6ABA1CBB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c)</w:t>
      </w:r>
      <w:r w:rsidRPr="001740A1">
        <w:tab/>
      </w:r>
      <w:r w:rsidRPr="001740A1">
        <w:rPr>
          <w:b/>
          <w:bCs/>
        </w:rPr>
        <w:t>продолжать усилия по принятию стандартов для обеспечения качественного образования для всех;</w:t>
      </w:r>
      <w:r w:rsidRPr="001740A1">
        <w:t xml:space="preserve"> </w:t>
      </w:r>
    </w:p>
    <w:p w14:paraId="00ED142B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d)</w:t>
      </w:r>
      <w:r w:rsidRPr="001740A1">
        <w:tab/>
      </w:r>
      <w:r w:rsidRPr="001740A1">
        <w:rPr>
          <w:b/>
          <w:bCs/>
        </w:rPr>
        <w:t>улучшить качество и инфраструктуру школ, особенно в сельских районах, и обеспечить детям-инвалидам равный доступ к образованию на всей территории страны.</w:t>
      </w:r>
    </w:p>
    <w:p w14:paraId="222B6E1F" w14:textId="77777777" w:rsidR="001740A1" w:rsidRPr="001740A1" w:rsidRDefault="001740A1" w:rsidP="001740A1">
      <w:pPr>
        <w:pStyle w:val="H23G"/>
      </w:pPr>
      <w:r w:rsidRPr="001740A1">
        <w:tab/>
      </w:r>
      <w:r w:rsidRPr="001740A1">
        <w:tab/>
        <w:t xml:space="preserve">Сексуальные надругательства в школах </w:t>
      </w:r>
    </w:p>
    <w:p w14:paraId="772C4D16" w14:textId="77777777" w:rsidR="001740A1" w:rsidRPr="001740A1" w:rsidRDefault="001740A1" w:rsidP="001740A1">
      <w:pPr>
        <w:pStyle w:val="SingleTxtG"/>
      </w:pPr>
      <w:r w:rsidRPr="001740A1">
        <w:t>43.</w:t>
      </w:r>
      <w:r w:rsidRPr="001740A1">
        <w:tab/>
        <w:t xml:space="preserve">Признавая усилия государства-участника по борьбе с гендерным насилием, Комитет в то же время глубоко обеспокоен по-прежнему имеющими место сексуальными надругательствами в средних школах Сенегала, в связи с которыми, как представляется, государство-участник на данный момент принимает не все возможные меры. В частности, Комитет обеспокоен отсутствием доступных статистических данных о количестве случаев, сообщенных директорами школ, о количестве дел, по которым виновные были привлечены к ответственности, и о характере вынесенных приговоров. Подобная ситуация безнаказанности может серьезно подорвать право девочек на образование. В этой связи Комитет отмечает высокие показатели отсева на уровне начальной и средней школы, прежде всего среди девочек, и в частности из-за преждевременной беременности (статья 13). </w:t>
      </w:r>
    </w:p>
    <w:p w14:paraId="799648AD" w14:textId="77777777" w:rsidR="001740A1" w:rsidRPr="001740A1" w:rsidRDefault="001740A1" w:rsidP="001740A1">
      <w:pPr>
        <w:pStyle w:val="SingleTxtG"/>
        <w:rPr>
          <w:b/>
        </w:rPr>
      </w:pPr>
      <w:r w:rsidRPr="001740A1">
        <w:t>44.</w:t>
      </w:r>
      <w:r w:rsidRPr="001740A1">
        <w:tab/>
      </w:r>
      <w:r w:rsidRPr="001740A1">
        <w:rPr>
          <w:b/>
          <w:bCs/>
        </w:rPr>
        <w:t>Комитет призывает государство-участник продолжать свои усилия по сокращению показателей отсева на уровне начальной и средней школы, особенно среди девочек.</w:t>
      </w:r>
      <w:r w:rsidRPr="001740A1">
        <w:t xml:space="preserve"> </w:t>
      </w:r>
      <w:r w:rsidRPr="001740A1">
        <w:rPr>
          <w:b/>
          <w:bCs/>
        </w:rPr>
        <w:t>Он настоятельно призывает государство-участник серьезно отнестись к проблеме сексуальных надругательств над девочками в школах и просит его:</w:t>
      </w:r>
      <w:r w:rsidRPr="001740A1">
        <w:t xml:space="preserve"> </w:t>
      </w:r>
    </w:p>
    <w:p w14:paraId="156F0ADD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а)</w:t>
      </w:r>
      <w:r w:rsidRPr="001740A1">
        <w:tab/>
      </w:r>
      <w:r w:rsidRPr="001740A1">
        <w:rPr>
          <w:b/>
          <w:bCs/>
        </w:rPr>
        <w:t>принять национальную политику в области просвещения по вопросам борьбы с сексуальной эксплуатацией в школах;</w:t>
      </w:r>
      <w:r w:rsidRPr="001740A1">
        <w:t xml:space="preserve"> </w:t>
      </w:r>
    </w:p>
    <w:p w14:paraId="6000770E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 w:rsidRPr="001740A1">
        <w:rPr>
          <w:b/>
          <w:bCs/>
        </w:rPr>
        <w:t>b)</w:t>
      </w:r>
      <w:r w:rsidRPr="001740A1">
        <w:tab/>
      </w:r>
      <w:r w:rsidRPr="001740A1">
        <w:rPr>
          <w:b/>
          <w:bCs/>
        </w:rPr>
        <w:t>внести поправки в Уголовный кодекс, добавив в него положение о сексуальном насилии в школах в качестве отягчающего обстоятельства;</w:t>
      </w:r>
      <w:r w:rsidRPr="001740A1">
        <w:t xml:space="preserve"> </w:t>
      </w:r>
    </w:p>
    <w:p w14:paraId="0CE44BD3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c)</w:t>
      </w:r>
      <w:r w:rsidRPr="001740A1">
        <w:tab/>
      </w:r>
      <w:r w:rsidRPr="001740A1">
        <w:rPr>
          <w:b/>
          <w:bCs/>
        </w:rPr>
        <w:t>принять обязательный кодекс поведения для директоров школ, учителей и должностных лиц системы образования, который будет доступен во всех школах;</w:t>
      </w:r>
      <w:r w:rsidRPr="001740A1">
        <w:t xml:space="preserve"> </w:t>
      </w:r>
    </w:p>
    <w:p w14:paraId="2D3D9B2C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d)</w:t>
      </w:r>
      <w:r w:rsidRPr="001740A1">
        <w:tab/>
      </w:r>
      <w:r w:rsidRPr="001740A1">
        <w:rPr>
          <w:b/>
          <w:bCs/>
        </w:rPr>
        <w:t>создать в школах конфиденциальный механизм подачи жалоб и сообщений;</w:t>
      </w:r>
      <w:r w:rsidRPr="001740A1">
        <w:t xml:space="preserve"> </w:t>
      </w:r>
    </w:p>
    <w:p w14:paraId="2F769F55" w14:textId="77777777" w:rsidR="001740A1" w:rsidRPr="001740A1" w:rsidRDefault="001740A1" w:rsidP="001740A1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740A1">
        <w:rPr>
          <w:b/>
          <w:bCs/>
        </w:rPr>
        <w:t>е)</w:t>
      </w:r>
      <w:r w:rsidRPr="001740A1">
        <w:tab/>
      </w:r>
      <w:r w:rsidRPr="001740A1">
        <w:rPr>
          <w:b/>
          <w:bCs/>
        </w:rPr>
        <w:t>проводить необходимые расследования в связи с любыми сообщенными случаями сексуального насилия.</w:t>
      </w:r>
      <w:r w:rsidRPr="001740A1">
        <w:t xml:space="preserve"> </w:t>
      </w:r>
    </w:p>
    <w:p w14:paraId="74CB4A21" w14:textId="77777777" w:rsidR="001740A1" w:rsidRPr="001740A1" w:rsidRDefault="001740A1" w:rsidP="001740A1">
      <w:pPr>
        <w:pStyle w:val="H1G"/>
      </w:pPr>
      <w:r>
        <w:tab/>
      </w:r>
      <w:r w:rsidRPr="001740A1">
        <w:t>D.</w:t>
      </w:r>
      <w:r w:rsidRPr="001740A1">
        <w:tab/>
      </w:r>
      <w:r w:rsidRPr="001740A1">
        <w:tab/>
        <w:t>Другие рекомендации</w:t>
      </w:r>
    </w:p>
    <w:p w14:paraId="35E7D46B" w14:textId="77777777" w:rsidR="001740A1" w:rsidRPr="001740A1" w:rsidRDefault="001740A1" w:rsidP="001740A1">
      <w:pPr>
        <w:pStyle w:val="SingleTxtG"/>
        <w:rPr>
          <w:b/>
          <w:bCs/>
        </w:rPr>
      </w:pPr>
      <w:r w:rsidRPr="001740A1">
        <w:t>45.</w:t>
      </w:r>
      <w:r w:rsidRPr="001740A1">
        <w:tab/>
      </w:r>
      <w:r w:rsidRPr="001740A1">
        <w:rPr>
          <w:b/>
          <w:bCs/>
        </w:rPr>
        <w:t>Комитет призывает государство-участник ратифицировать Факультативный протокол к Международному пакту об экономических, социальных и культурных правах.</w:t>
      </w:r>
    </w:p>
    <w:p w14:paraId="19CCCD3D" w14:textId="77777777" w:rsidR="001740A1" w:rsidRPr="001740A1" w:rsidRDefault="001740A1" w:rsidP="001740A1">
      <w:pPr>
        <w:pStyle w:val="SingleTxtG"/>
        <w:rPr>
          <w:b/>
          <w:bCs/>
        </w:rPr>
      </w:pPr>
      <w:r w:rsidRPr="001740A1">
        <w:t>46.</w:t>
      </w:r>
      <w:r w:rsidRPr="001740A1">
        <w:tab/>
      </w:r>
      <w:r w:rsidRPr="001740A1">
        <w:rPr>
          <w:b/>
          <w:bCs/>
        </w:rPr>
        <w:t>Комитет рекомендует государству-участнику полностью учитывать свои обязательства, вытекающие из Пакта, и обеспечить полное осуществление провозглашенных в нем прав в рамках реализации на национальном уровне Повестки дня в области устойчивого развития на период до 2030 года, опираясь в случае необходимости на помощь и сотрудничество со стороны международного сообщества.</w:t>
      </w:r>
      <w:r w:rsidRPr="001740A1">
        <w:t xml:space="preserve"> </w:t>
      </w:r>
      <w:r w:rsidRPr="001740A1">
        <w:rPr>
          <w:b/>
          <w:bCs/>
        </w:rPr>
        <w:t>Государство-участник могло бы существенно содействовать достижению целей устойчивого развития путем создания независимых механизмов мониторинга достигнутого прогресса и обращения с бенефициарами программ государственной помощи как с правообладателями, которые могут запрашивать причитающиеся им льготы.</w:t>
      </w:r>
      <w:r w:rsidRPr="001740A1">
        <w:t xml:space="preserve"> </w:t>
      </w:r>
      <w:r w:rsidRPr="001740A1">
        <w:rPr>
          <w:b/>
          <w:bCs/>
        </w:rPr>
        <w:t>Достижение целей на основе принципов участия, подотчетности и недискриминации будет гарантировать, что никто не останется без внимания.</w:t>
      </w:r>
      <w:r w:rsidRPr="001740A1">
        <w:t xml:space="preserve"> </w:t>
      </w:r>
      <w:r w:rsidRPr="001740A1">
        <w:rPr>
          <w:b/>
          <w:bCs/>
        </w:rPr>
        <w:t>В этой связи Комитет обращает внимание государства-участника на свое заявление об обязательстве не забыть никого (E/C.12/2019/1).</w:t>
      </w:r>
    </w:p>
    <w:p w14:paraId="60EA51C2" w14:textId="77777777" w:rsidR="001740A1" w:rsidRPr="001740A1" w:rsidRDefault="001740A1" w:rsidP="001740A1">
      <w:pPr>
        <w:pStyle w:val="SingleTxtG"/>
        <w:rPr>
          <w:b/>
          <w:bCs/>
        </w:rPr>
      </w:pPr>
      <w:r w:rsidRPr="001740A1">
        <w:t>47.</w:t>
      </w:r>
      <w:r w:rsidRPr="001740A1">
        <w:tab/>
      </w:r>
      <w:r w:rsidRPr="001740A1">
        <w:rPr>
          <w:b/>
          <w:bCs/>
        </w:rPr>
        <w:t>Комитет рекомендует государству-участнику принять меры в целях поэтапной разработки и применения соответствующих показателей осуществления экономических, социальных и культурных прав для облегчения оценки прогресса, достигнутого государством-участником в деле выполнения его обязательств по Пакту применительно к различным слоям населения.</w:t>
      </w:r>
      <w:r w:rsidRPr="001740A1">
        <w:t xml:space="preserve"> </w:t>
      </w:r>
      <w:r w:rsidRPr="001740A1">
        <w:rPr>
          <w:b/>
          <w:bCs/>
        </w:rPr>
        <w:t>В этой связи Комитет обращает внимание государства-участника, в частности, на концептуальные и методологические рамки для показателей в области прав человека, разработанные Управлением Верховного комиссара Организации Объединенных Наций по правам человека (HRI/MC/2008/3).</w:t>
      </w:r>
    </w:p>
    <w:p w14:paraId="184F6CF3" w14:textId="77777777" w:rsidR="001740A1" w:rsidRPr="001740A1" w:rsidRDefault="001740A1" w:rsidP="001740A1">
      <w:pPr>
        <w:pStyle w:val="SingleTxtG"/>
        <w:rPr>
          <w:b/>
          <w:bCs/>
        </w:rPr>
      </w:pPr>
      <w:r w:rsidRPr="001740A1">
        <w:t>48.</w:t>
      </w:r>
      <w:r w:rsidRPr="001740A1">
        <w:tab/>
      </w:r>
      <w:r w:rsidRPr="001740A1">
        <w:rPr>
          <w:b/>
          <w:bCs/>
        </w:rPr>
        <w:t>Комитет просит государство-участник широко распространить настоящие заключительные замечания среди всех слоев общества на национальном и региональном уровнях, особенно среди членов Национальной ассамблеи, государственных должностных лиц и судебных органов, и информировать Комитет в своем следующем периодическом докладе о шагах, предпринятых с целью выполнения содержащихся в них рекомендаций.</w:t>
      </w:r>
      <w:r w:rsidRPr="001740A1">
        <w:t xml:space="preserve"> </w:t>
      </w:r>
      <w:r w:rsidRPr="001740A1">
        <w:rPr>
          <w:b/>
          <w:bCs/>
        </w:rPr>
        <w:t>Он призывает государство-участник привлечь Сенегальский комитет по правам человека, неправительственные организации и других членов гражданского общества к последующей деятельности в связи с настоящими заключительными замечаниями и к процессу национальных консультаций до представления его следующего периодического доклада.</w:t>
      </w:r>
    </w:p>
    <w:p w14:paraId="3A136837" w14:textId="77777777" w:rsidR="001740A1" w:rsidRPr="001740A1" w:rsidRDefault="001740A1" w:rsidP="001740A1">
      <w:pPr>
        <w:pStyle w:val="SingleTxtG"/>
        <w:rPr>
          <w:b/>
          <w:bCs/>
        </w:rPr>
      </w:pPr>
      <w:r w:rsidRPr="001740A1">
        <w:t>49.</w:t>
      </w:r>
      <w:r w:rsidRPr="001740A1">
        <w:tab/>
      </w:r>
      <w:r w:rsidRPr="001740A1">
        <w:rPr>
          <w:b/>
          <w:bCs/>
        </w:rPr>
        <w:t xml:space="preserve">В соответствии с процедурой последующих мер по выполнению заключительных замечаний, принятых Комитетом, государству-участнику предлагается представить в течение 24 месяцев с момента принятия настоящих заключительных замечаний информацию об осуществлении рекомендаций, вынесенных Комитетом в пунктах 13 (недискриминация), 27 (принуждение детей </w:t>
      </w:r>
      <w:r w:rsidRPr="001740A1">
        <w:rPr>
          <w:b/>
          <w:bCs/>
        </w:rPr>
        <w:lastRenderedPageBreak/>
        <w:t>к попрошайничеству и их эксплуатация) и 44 (сексуальные надругательства в школах) выше.</w:t>
      </w:r>
      <w:r w:rsidRPr="001740A1">
        <w:t xml:space="preserve"> </w:t>
      </w:r>
    </w:p>
    <w:p w14:paraId="1591D9D4" w14:textId="77777777" w:rsidR="001740A1" w:rsidRPr="001740A1" w:rsidRDefault="001740A1" w:rsidP="001740A1">
      <w:pPr>
        <w:pStyle w:val="SingleTxtG"/>
        <w:rPr>
          <w:b/>
          <w:bCs/>
        </w:rPr>
      </w:pPr>
      <w:r w:rsidRPr="001740A1">
        <w:t>50.</w:t>
      </w:r>
      <w:r w:rsidRPr="001740A1">
        <w:tab/>
      </w:r>
      <w:r w:rsidRPr="001740A1">
        <w:rPr>
          <w:b/>
          <w:bCs/>
        </w:rPr>
        <w:t>Комитет просит государство-участник представить свой четвертый периодический доклад, который будет подготовлен в соответствии с руководящими принципами представления докладов, принятыми Комитетом в 2008 году (см. E/C.12/2008/2), к 31 октября 2024 года.</w:t>
      </w:r>
      <w:r w:rsidRPr="001740A1">
        <w:t xml:space="preserve"> </w:t>
      </w:r>
      <w:r w:rsidRPr="001740A1">
        <w:rPr>
          <w:b/>
          <w:bCs/>
        </w:rPr>
        <w:t>Кроме того, он предлагает государству-участнику при необходимости обновить свой общий базовый документ в соответствии с согласованными руководящими принципами представления докладов согласно международным договорам о правах человека (HRI/GEN/2/Rev.6, глава I).</w:t>
      </w:r>
    </w:p>
    <w:p w14:paraId="175E574F" w14:textId="77777777" w:rsidR="001740A1" w:rsidRPr="001740A1" w:rsidRDefault="001740A1" w:rsidP="001740A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483B82" w14:textId="77777777" w:rsidR="001740A1" w:rsidRPr="001740A1" w:rsidRDefault="001740A1" w:rsidP="001740A1">
      <w:pPr>
        <w:pStyle w:val="SingleTxtG"/>
      </w:pPr>
    </w:p>
    <w:sectPr w:rsidR="001740A1" w:rsidRPr="001740A1" w:rsidSect="001740A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10334" w14:textId="77777777" w:rsidR="00E57B82" w:rsidRPr="00A312BC" w:rsidRDefault="00E57B82" w:rsidP="00A312BC"/>
  </w:endnote>
  <w:endnote w:type="continuationSeparator" w:id="0">
    <w:p w14:paraId="018890C1" w14:textId="77777777" w:rsidR="00E57B82" w:rsidRPr="00A312BC" w:rsidRDefault="00E57B8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9F2E3" w14:textId="77777777" w:rsidR="001740A1" w:rsidRPr="001740A1" w:rsidRDefault="001740A1">
    <w:pPr>
      <w:pStyle w:val="aa"/>
    </w:pPr>
    <w:r w:rsidRPr="001740A1">
      <w:rPr>
        <w:b/>
        <w:sz w:val="18"/>
      </w:rPr>
      <w:fldChar w:fldCharType="begin"/>
    </w:r>
    <w:r w:rsidRPr="001740A1">
      <w:rPr>
        <w:b/>
        <w:sz w:val="18"/>
      </w:rPr>
      <w:instrText xml:space="preserve"> PAGE  \* MERGEFORMAT </w:instrText>
    </w:r>
    <w:r w:rsidRPr="001740A1">
      <w:rPr>
        <w:b/>
        <w:sz w:val="18"/>
      </w:rPr>
      <w:fldChar w:fldCharType="separate"/>
    </w:r>
    <w:r w:rsidRPr="001740A1">
      <w:rPr>
        <w:b/>
        <w:noProof/>
        <w:sz w:val="18"/>
      </w:rPr>
      <w:t>2</w:t>
    </w:r>
    <w:r w:rsidRPr="001740A1">
      <w:rPr>
        <w:b/>
        <w:sz w:val="18"/>
      </w:rPr>
      <w:fldChar w:fldCharType="end"/>
    </w:r>
    <w:r>
      <w:rPr>
        <w:b/>
        <w:sz w:val="18"/>
      </w:rPr>
      <w:tab/>
    </w:r>
    <w:r>
      <w:t>GE.19-19613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EFD9" w14:textId="77777777" w:rsidR="001740A1" w:rsidRPr="001740A1" w:rsidRDefault="001740A1" w:rsidP="001740A1">
    <w:pPr>
      <w:pStyle w:val="aa"/>
      <w:tabs>
        <w:tab w:val="clear" w:pos="9639"/>
        <w:tab w:val="right" w:pos="9638"/>
      </w:tabs>
      <w:rPr>
        <w:b/>
        <w:sz w:val="18"/>
      </w:rPr>
    </w:pPr>
    <w:r>
      <w:t>GE.19-19613</w:t>
    </w:r>
    <w:r>
      <w:tab/>
    </w:r>
    <w:r w:rsidRPr="001740A1">
      <w:rPr>
        <w:b/>
        <w:sz w:val="18"/>
      </w:rPr>
      <w:fldChar w:fldCharType="begin"/>
    </w:r>
    <w:r w:rsidRPr="001740A1">
      <w:rPr>
        <w:b/>
        <w:sz w:val="18"/>
      </w:rPr>
      <w:instrText xml:space="preserve"> PAGE  \* MERGEFORMAT </w:instrText>
    </w:r>
    <w:r w:rsidRPr="001740A1">
      <w:rPr>
        <w:b/>
        <w:sz w:val="18"/>
      </w:rPr>
      <w:fldChar w:fldCharType="separate"/>
    </w:r>
    <w:r w:rsidRPr="001740A1">
      <w:rPr>
        <w:b/>
        <w:noProof/>
        <w:sz w:val="18"/>
      </w:rPr>
      <w:t>3</w:t>
    </w:r>
    <w:r w:rsidRPr="001740A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E7A0" w14:textId="77777777" w:rsidR="00042B72" w:rsidRPr="001740A1" w:rsidRDefault="001740A1" w:rsidP="001740A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C642000" wp14:editId="282C995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19-19613  (R)</w:t>
    </w:r>
    <w:r>
      <w:rPr>
        <w:lang w:val="en-US"/>
      </w:rPr>
      <w:t xml:space="preserve">  291119  021219</w:t>
    </w:r>
    <w:r>
      <w:br/>
    </w:r>
    <w:r w:rsidRPr="001740A1">
      <w:rPr>
        <w:rFonts w:ascii="C39T30Lfz" w:hAnsi="C39T30Lfz"/>
        <w:kern w:val="14"/>
        <w:sz w:val="56"/>
      </w:rPr>
      <w:t></w:t>
    </w:r>
    <w:r w:rsidRPr="001740A1">
      <w:rPr>
        <w:rFonts w:ascii="C39T30Lfz" w:hAnsi="C39T30Lfz"/>
        <w:kern w:val="14"/>
        <w:sz w:val="56"/>
      </w:rPr>
      <w:t></w:t>
    </w:r>
    <w:r w:rsidRPr="001740A1">
      <w:rPr>
        <w:rFonts w:ascii="C39T30Lfz" w:hAnsi="C39T30Lfz"/>
        <w:kern w:val="14"/>
        <w:sz w:val="56"/>
      </w:rPr>
      <w:t></w:t>
    </w:r>
    <w:r w:rsidRPr="001740A1">
      <w:rPr>
        <w:rFonts w:ascii="C39T30Lfz" w:hAnsi="C39T30Lfz"/>
        <w:kern w:val="14"/>
        <w:sz w:val="56"/>
      </w:rPr>
      <w:t></w:t>
    </w:r>
    <w:r w:rsidRPr="001740A1">
      <w:rPr>
        <w:rFonts w:ascii="C39T30Lfz" w:hAnsi="C39T30Lfz"/>
        <w:kern w:val="14"/>
        <w:sz w:val="56"/>
      </w:rPr>
      <w:t></w:t>
    </w:r>
    <w:r w:rsidRPr="001740A1">
      <w:rPr>
        <w:rFonts w:ascii="C39T30Lfz" w:hAnsi="C39T30Lfz"/>
        <w:kern w:val="14"/>
        <w:sz w:val="56"/>
      </w:rPr>
      <w:t></w:t>
    </w:r>
    <w:r w:rsidRPr="001740A1">
      <w:rPr>
        <w:rFonts w:ascii="C39T30Lfz" w:hAnsi="C39T30Lfz"/>
        <w:kern w:val="14"/>
        <w:sz w:val="56"/>
      </w:rPr>
      <w:t></w:t>
    </w:r>
    <w:r w:rsidRPr="001740A1">
      <w:rPr>
        <w:rFonts w:ascii="C39T30Lfz" w:hAnsi="C39T30Lfz"/>
        <w:kern w:val="14"/>
        <w:sz w:val="56"/>
      </w:rPr>
      <w:t></w:t>
    </w:r>
    <w:r w:rsidRPr="001740A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13D8CBF" wp14:editId="714D499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/C.12/SEN/CO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SEN/CO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DC6F5" w14:textId="77777777" w:rsidR="00E57B82" w:rsidRPr="001075E9" w:rsidRDefault="00E57B8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406758" w14:textId="77777777" w:rsidR="00E57B82" w:rsidRDefault="00E57B8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D0DD7CA" w14:textId="77777777" w:rsidR="001740A1" w:rsidRPr="00923E38" w:rsidRDefault="001740A1" w:rsidP="001740A1">
      <w:pPr>
        <w:pStyle w:val="af"/>
        <w:rPr>
          <w:szCs w:val="18"/>
        </w:rPr>
      </w:pPr>
      <w:r>
        <w:tab/>
      </w:r>
      <w:r w:rsidRPr="001740A1">
        <w:rPr>
          <w:sz w:val="20"/>
        </w:rPr>
        <w:t>*</w:t>
      </w:r>
      <w:r>
        <w:tab/>
        <w:t xml:space="preserve">Приняты Комитетом на его шестьдесят шестой сессии (30 сентября </w:t>
      </w:r>
      <w:r w:rsidRPr="001740A1">
        <w:t>–</w:t>
      </w:r>
      <w:r>
        <w:t xml:space="preserve"> 18 октября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3D065" w14:textId="300F188B" w:rsidR="001740A1" w:rsidRPr="001740A1" w:rsidRDefault="001740A1">
    <w:pPr>
      <w:pStyle w:val="a5"/>
    </w:pPr>
    <w:fldSimple w:instr=" TITLE  \* MERGEFORMAT ">
      <w:r w:rsidR="0030652E">
        <w:t>E/C.12/SEN/CO/3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E3C9A" w14:textId="3C999B7D" w:rsidR="001740A1" w:rsidRPr="001740A1" w:rsidRDefault="001740A1" w:rsidP="001740A1">
    <w:pPr>
      <w:pStyle w:val="a5"/>
      <w:jc w:val="right"/>
    </w:pPr>
    <w:fldSimple w:instr=" TITLE  \* MERGEFORMAT ">
      <w:r w:rsidR="0030652E">
        <w:t>E/C.12/SEN/CO/3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82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740A1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64BB"/>
    <w:rsid w:val="0030652E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4C7E05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31A46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77815"/>
    <w:rsid w:val="00792497"/>
    <w:rsid w:val="007B647D"/>
    <w:rsid w:val="00806737"/>
    <w:rsid w:val="00811570"/>
    <w:rsid w:val="00825F8D"/>
    <w:rsid w:val="00834B71"/>
    <w:rsid w:val="0086445C"/>
    <w:rsid w:val="00874FED"/>
    <w:rsid w:val="00881771"/>
    <w:rsid w:val="00894662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6232D"/>
    <w:rsid w:val="00A65B19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57B82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4E2207"/>
  <w15:docId w15:val="{0575F40C-DC3A-40EA-98D1-D7D880CC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11</Pages>
  <Words>4100</Words>
  <Characters>28727</Characters>
  <Application>Microsoft Office Word</Application>
  <DocSecurity>0</DocSecurity>
  <Lines>518</Lines>
  <Paragraphs>124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E/C.12/SEN/CO/3</vt:lpstr>
      <vt:lpstr>A/</vt:lpstr>
      <vt:lpstr>A/</vt:lpstr>
    </vt:vector>
  </TitlesOfParts>
  <Company>DCM</Company>
  <LinksUpToDate>false</LinksUpToDate>
  <CharactersWithSpaces>32904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E/C.12/SEN/CO/3</dc:title>
  <dc:subject/>
  <dc:creator>Elena IZOTOVA</dc:creator>
  <cp:keywords/>
  <cp:lastModifiedBy>Elena Izotova</cp:lastModifiedBy>
  <cp:revision>3</cp:revision>
  <cp:lastPrinted>2019-12-02T09:11:00Z</cp:lastPrinted>
  <dcterms:created xsi:type="dcterms:W3CDTF">2019-12-02T09:11:00Z</dcterms:created>
  <dcterms:modified xsi:type="dcterms:W3CDTF">2019-12-02T09:12:00Z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