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B614C" w:rsidRPr="003A1559" w14:paraId="22E9834D" w14:textId="77777777" w:rsidTr="00DD1051">
        <w:trPr>
          <w:trHeight w:val="851"/>
        </w:trPr>
        <w:tc>
          <w:tcPr>
            <w:tcW w:w="1259" w:type="dxa"/>
            <w:tcBorders>
              <w:top w:val="nil"/>
              <w:left w:val="nil"/>
              <w:bottom w:val="single" w:sz="4" w:space="0" w:color="auto"/>
              <w:right w:val="nil"/>
            </w:tcBorders>
            <w:shd w:val="clear" w:color="auto" w:fill="auto"/>
          </w:tcPr>
          <w:p w14:paraId="7412EE15" w14:textId="31254063" w:rsidR="00446DE4" w:rsidRPr="004453C0" w:rsidRDefault="004453C0" w:rsidP="004453C0">
            <w:pPr>
              <w:spacing w:line="20" w:lineRule="exact"/>
              <w:rPr>
                <w:sz w:val="2"/>
                <w:lang w:val="en-US"/>
              </w:rPr>
            </w:pPr>
            <w:r>
              <w:rPr>
                <w:rStyle w:val="CommentReference"/>
              </w:rPr>
              <w:commentReference w:id="0"/>
            </w:r>
          </w:p>
          <w:p w14:paraId="7D23D474" w14:textId="77777777" w:rsidR="004453C0" w:rsidRPr="00F669A7" w:rsidRDefault="004453C0" w:rsidP="004F425B">
            <w:pPr>
              <w:spacing w:line="20" w:lineRule="exact"/>
              <w:rPr>
                <w:sz w:val="2"/>
                <w:lang w:val="en-US"/>
              </w:rPr>
            </w:pPr>
          </w:p>
          <w:p w14:paraId="15448A60" w14:textId="77777777" w:rsidR="004F425B" w:rsidRPr="00F669A7" w:rsidRDefault="004F425B" w:rsidP="00DD1051">
            <w:pPr>
              <w:rPr>
                <w:lang w:val="en-US"/>
              </w:rPr>
            </w:pPr>
          </w:p>
        </w:tc>
        <w:tc>
          <w:tcPr>
            <w:tcW w:w="2236" w:type="dxa"/>
            <w:tcBorders>
              <w:top w:val="nil"/>
              <w:left w:val="nil"/>
              <w:bottom w:val="single" w:sz="4" w:space="0" w:color="auto"/>
              <w:right w:val="nil"/>
            </w:tcBorders>
            <w:shd w:val="clear" w:color="auto" w:fill="auto"/>
            <w:vAlign w:val="bottom"/>
          </w:tcPr>
          <w:p w14:paraId="017D4A56" w14:textId="77777777" w:rsidR="00446DE4" w:rsidRPr="00F669A7" w:rsidRDefault="00BC0578" w:rsidP="00DD1051">
            <w:pPr>
              <w:spacing w:after="80" w:line="300" w:lineRule="exact"/>
              <w:rPr>
                <w:sz w:val="28"/>
                <w:szCs w:val="28"/>
                <w:lang w:val="en-US"/>
              </w:rPr>
            </w:pPr>
            <w:r w:rsidRPr="00F669A7">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3E998754" w14:textId="006FA7E3" w:rsidR="00446DE4" w:rsidRPr="00F669A7" w:rsidRDefault="007C7CBA" w:rsidP="00D039A3">
            <w:pPr>
              <w:suppressAutoHyphens w:val="0"/>
              <w:jc w:val="right"/>
              <w:outlineLvl w:val="6"/>
              <w:rPr>
                <w:lang w:val="en-US"/>
              </w:rPr>
            </w:pPr>
            <w:r w:rsidRPr="00F669A7">
              <w:rPr>
                <w:sz w:val="40"/>
                <w:szCs w:val="40"/>
                <w:lang w:val="en-US"/>
              </w:rPr>
              <w:t>E</w:t>
            </w:r>
            <w:r w:rsidRPr="00F669A7">
              <w:rPr>
                <w:lang w:val="en-US"/>
              </w:rPr>
              <w:t>/C.12/ITA/CO/5</w:t>
            </w:r>
          </w:p>
        </w:tc>
      </w:tr>
      <w:tr w:rsidR="007B614C" w:rsidRPr="003A1559" w14:paraId="3D6EA076" w14:textId="77777777" w:rsidTr="00DD1051">
        <w:trPr>
          <w:trHeight w:val="2835"/>
        </w:trPr>
        <w:tc>
          <w:tcPr>
            <w:tcW w:w="1259" w:type="dxa"/>
            <w:tcBorders>
              <w:top w:val="single" w:sz="4" w:space="0" w:color="auto"/>
              <w:left w:val="nil"/>
              <w:bottom w:val="single" w:sz="12" w:space="0" w:color="auto"/>
              <w:right w:val="nil"/>
            </w:tcBorders>
            <w:shd w:val="clear" w:color="auto" w:fill="auto"/>
          </w:tcPr>
          <w:p w14:paraId="735EE17C" w14:textId="77777777" w:rsidR="003107FA" w:rsidRPr="00F669A7" w:rsidRDefault="00DD2B91" w:rsidP="00DD1051">
            <w:pPr>
              <w:spacing w:before="120"/>
              <w:outlineLvl w:val="6"/>
              <w:rPr>
                <w:lang w:val="en-US"/>
              </w:rPr>
            </w:pPr>
            <w:r w:rsidRPr="00B82BF5">
              <w:rPr>
                <w:noProof/>
                <w:lang w:val="en-US" w:eastAsia="zh-CN"/>
              </w:rPr>
              <w:drawing>
                <wp:inline distT="0" distB="0" distL="0" distR="0" wp14:anchorId="44407666" wp14:editId="780B0A7C">
                  <wp:extent cx="711835"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19FD3AF3" w14:textId="77777777" w:rsidR="003107FA" w:rsidRPr="00F669A7" w:rsidRDefault="00DB0F0D" w:rsidP="00DD1051">
            <w:pPr>
              <w:spacing w:before="240" w:line="260" w:lineRule="exact"/>
              <w:rPr>
                <w:b/>
                <w:sz w:val="36"/>
                <w:szCs w:val="36"/>
                <w:lang w:val="en-US"/>
              </w:rPr>
            </w:pPr>
            <w:r w:rsidRPr="00F669A7">
              <w:rPr>
                <w:b/>
                <w:sz w:val="36"/>
                <w:szCs w:val="36"/>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22CB3B25" w14:textId="56886676" w:rsidR="003107FA" w:rsidRPr="00F669A7" w:rsidRDefault="007C7CBA" w:rsidP="007C7CBA">
            <w:pPr>
              <w:suppressAutoHyphens w:val="0"/>
              <w:spacing w:before="240" w:line="240" w:lineRule="exact"/>
              <w:outlineLvl w:val="6"/>
              <w:rPr>
                <w:lang w:val="en-US"/>
              </w:rPr>
            </w:pPr>
            <w:r w:rsidRPr="00F669A7">
              <w:rPr>
                <w:lang w:val="en-US"/>
              </w:rPr>
              <w:t xml:space="preserve">Distr.: </w:t>
            </w:r>
            <w:r w:rsidR="00885300" w:rsidRPr="00F669A7">
              <w:rPr>
                <w:lang w:val="en-US"/>
              </w:rPr>
              <w:t>General</w:t>
            </w:r>
          </w:p>
          <w:p w14:paraId="69A8BD20" w14:textId="0980F80E" w:rsidR="007C7CBA" w:rsidRPr="00F669A7" w:rsidRDefault="00766A12" w:rsidP="007C7CBA">
            <w:pPr>
              <w:suppressAutoHyphens w:val="0"/>
              <w:spacing w:line="240" w:lineRule="exact"/>
              <w:rPr>
                <w:lang w:val="en-US"/>
              </w:rPr>
            </w:pPr>
            <w:r>
              <w:rPr>
                <w:lang w:val="en-US"/>
              </w:rPr>
              <w:t>28</w:t>
            </w:r>
            <w:r w:rsidR="00901C09" w:rsidRPr="00F669A7">
              <w:rPr>
                <w:lang w:val="en-US"/>
              </w:rPr>
              <w:t xml:space="preserve"> October</w:t>
            </w:r>
            <w:r w:rsidR="007C7CBA" w:rsidRPr="00F669A7">
              <w:rPr>
                <w:lang w:val="en-US"/>
              </w:rPr>
              <w:t xml:space="preserve"> 2015</w:t>
            </w:r>
          </w:p>
          <w:p w14:paraId="096C67CB" w14:textId="77777777" w:rsidR="007C7CBA" w:rsidRPr="00F669A7" w:rsidRDefault="007C7CBA" w:rsidP="007C7CBA">
            <w:pPr>
              <w:suppressAutoHyphens w:val="0"/>
              <w:spacing w:line="240" w:lineRule="exact"/>
              <w:rPr>
                <w:lang w:val="en-US"/>
              </w:rPr>
            </w:pPr>
          </w:p>
          <w:p w14:paraId="1ED69131" w14:textId="77777777" w:rsidR="007C7CBA" w:rsidRPr="00F669A7" w:rsidRDefault="007C7CBA" w:rsidP="007C7CBA">
            <w:pPr>
              <w:suppressAutoHyphens w:val="0"/>
              <w:spacing w:line="240" w:lineRule="exact"/>
              <w:outlineLvl w:val="6"/>
              <w:rPr>
                <w:lang w:val="en-US"/>
              </w:rPr>
            </w:pPr>
            <w:r w:rsidRPr="00F669A7">
              <w:rPr>
                <w:lang w:val="en-US"/>
              </w:rPr>
              <w:t>Original: English</w:t>
            </w:r>
          </w:p>
          <w:p w14:paraId="288CD25A" w14:textId="33B8E011" w:rsidR="00963B74" w:rsidRPr="00F669A7" w:rsidRDefault="00963B74" w:rsidP="007C7CBA">
            <w:pPr>
              <w:suppressAutoHyphens w:val="0"/>
              <w:spacing w:line="240" w:lineRule="exact"/>
              <w:rPr>
                <w:lang w:val="en-US"/>
              </w:rPr>
            </w:pPr>
          </w:p>
        </w:tc>
      </w:tr>
    </w:tbl>
    <w:p w14:paraId="580E9992" w14:textId="77777777" w:rsidR="00E62C9D" w:rsidRPr="00F669A7" w:rsidRDefault="00DB0F0D" w:rsidP="00DB0F0D">
      <w:pPr>
        <w:spacing w:before="120"/>
        <w:rPr>
          <w:lang w:val="en-US"/>
        </w:rPr>
      </w:pPr>
      <w:r w:rsidRPr="00F669A7">
        <w:rPr>
          <w:b/>
          <w:sz w:val="24"/>
          <w:szCs w:val="24"/>
          <w:lang w:val="en-US"/>
        </w:rPr>
        <w:t>Committee on Economic, Social and Cultural Rights</w:t>
      </w:r>
    </w:p>
    <w:p w14:paraId="2628458C" w14:textId="0E52E491" w:rsidR="00747D37" w:rsidRPr="00F669A7" w:rsidRDefault="001F3FDF" w:rsidP="0018694B">
      <w:pPr>
        <w:pStyle w:val="HChG"/>
        <w:rPr>
          <w:lang w:val="en-US"/>
        </w:rPr>
      </w:pPr>
      <w:r w:rsidRPr="00F669A7">
        <w:rPr>
          <w:lang w:val="en-US"/>
        </w:rPr>
        <w:tab/>
      </w:r>
      <w:r w:rsidR="00A609FF" w:rsidRPr="00F669A7">
        <w:rPr>
          <w:lang w:val="en-US"/>
        </w:rPr>
        <w:tab/>
        <w:t>C</w:t>
      </w:r>
      <w:r w:rsidR="00A13695" w:rsidRPr="00F669A7">
        <w:rPr>
          <w:lang w:val="en-US"/>
        </w:rPr>
        <w:t xml:space="preserve">oncluding observations on the fifth </w:t>
      </w:r>
      <w:r w:rsidR="00B056AC" w:rsidRPr="00F669A7">
        <w:rPr>
          <w:lang w:val="en-US"/>
        </w:rPr>
        <w:t>periodic report</w:t>
      </w:r>
      <w:r w:rsidR="00A13695" w:rsidRPr="00F669A7">
        <w:rPr>
          <w:lang w:val="en-US"/>
        </w:rPr>
        <w:t xml:space="preserve"> of Italy</w:t>
      </w:r>
      <w:r w:rsidR="0018694B" w:rsidRPr="00F669A7">
        <w:rPr>
          <w:b w:val="0"/>
          <w:sz w:val="18"/>
          <w:vertAlign w:val="superscript"/>
          <w:lang w:val="en-US"/>
        </w:rPr>
        <w:t xml:space="preserve"> </w:t>
      </w:r>
      <w:r w:rsidR="0018694B" w:rsidRPr="00F669A7">
        <w:rPr>
          <w:rStyle w:val="FootnoteReference"/>
          <w:b w:val="0"/>
          <w:bCs/>
          <w:sz w:val="20"/>
          <w:vertAlign w:val="baseline"/>
          <w:lang w:val="en-US"/>
        </w:rPr>
        <w:footnoteReference w:customMarkFollows="1" w:id="2"/>
        <w:t>*</w:t>
      </w:r>
    </w:p>
    <w:p w14:paraId="249BD6AE" w14:textId="32E1751B" w:rsidR="00C82F62" w:rsidRPr="00F669A7" w:rsidRDefault="00C82F62" w:rsidP="00DD23FE">
      <w:pPr>
        <w:pStyle w:val="SingleTxtG"/>
        <w:numPr>
          <w:ilvl w:val="0"/>
          <w:numId w:val="18"/>
        </w:numPr>
        <w:ind w:left="1134" w:firstLine="0"/>
        <w:rPr>
          <w:lang w:val="en-US"/>
        </w:rPr>
      </w:pPr>
      <w:r w:rsidRPr="00F669A7">
        <w:rPr>
          <w:lang w:val="en-US"/>
        </w:rPr>
        <w:t>The Committee on Economic, Social and</w:t>
      </w:r>
      <w:r w:rsidR="00A13695" w:rsidRPr="00F669A7">
        <w:rPr>
          <w:lang w:val="en-US"/>
        </w:rPr>
        <w:t xml:space="preserve"> Cultural Rights considered the fifth </w:t>
      </w:r>
      <w:r w:rsidR="00893699" w:rsidRPr="00F669A7">
        <w:rPr>
          <w:lang w:val="en-US"/>
        </w:rPr>
        <w:t xml:space="preserve">periodic </w:t>
      </w:r>
      <w:r w:rsidR="00A13695" w:rsidRPr="003A1559">
        <w:rPr>
          <w:lang w:val="en-US"/>
        </w:rPr>
        <w:t>report of Italy</w:t>
      </w:r>
      <w:r w:rsidRPr="00F669A7">
        <w:rPr>
          <w:lang w:val="en-US"/>
        </w:rPr>
        <w:t xml:space="preserve"> on the implementation of th</w:t>
      </w:r>
      <w:bookmarkStart w:id="1" w:name="_GoBack"/>
      <w:bookmarkEnd w:id="1"/>
      <w:r w:rsidRPr="00F669A7">
        <w:rPr>
          <w:lang w:val="en-US"/>
        </w:rPr>
        <w:t>e International Covenant on Economic, Social a</w:t>
      </w:r>
      <w:r w:rsidR="00A13695" w:rsidRPr="00F669A7">
        <w:rPr>
          <w:lang w:val="en-US"/>
        </w:rPr>
        <w:t xml:space="preserve">nd Cultural Rights (E/C.12/ITA/5) at its 57th </w:t>
      </w:r>
      <w:r w:rsidR="00893699" w:rsidRPr="00F669A7">
        <w:rPr>
          <w:lang w:val="en-US"/>
        </w:rPr>
        <w:t>and</w:t>
      </w:r>
      <w:r w:rsidR="00A13695" w:rsidRPr="00F669A7">
        <w:rPr>
          <w:lang w:val="en-US"/>
        </w:rPr>
        <w:t xml:space="preserve"> 58</w:t>
      </w:r>
      <w:r w:rsidRPr="00F669A7">
        <w:rPr>
          <w:lang w:val="en-US"/>
        </w:rPr>
        <w:t>th meeti</w:t>
      </w:r>
      <w:r w:rsidR="00A13695" w:rsidRPr="00F669A7">
        <w:rPr>
          <w:lang w:val="en-US"/>
        </w:rPr>
        <w:t>ngs (</w:t>
      </w:r>
      <w:r w:rsidR="008250C4" w:rsidRPr="00F669A7">
        <w:rPr>
          <w:lang w:val="en-US"/>
        </w:rPr>
        <w:t xml:space="preserve">see </w:t>
      </w:r>
      <w:r w:rsidR="00A13695" w:rsidRPr="00F669A7">
        <w:rPr>
          <w:lang w:val="en-US"/>
        </w:rPr>
        <w:t>E/C.12/2015/SR</w:t>
      </w:r>
      <w:r w:rsidR="008250C4" w:rsidRPr="00F669A7">
        <w:rPr>
          <w:lang w:val="en-US"/>
        </w:rPr>
        <w:t>.</w:t>
      </w:r>
      <w:r w:rsidR="00A13695" w:rsidRPr="00F669A7">
        <w:rPr>
          <w:lang w:val="en-US"/>
        </w:rPr>
        <w:t>57</w:t>
      </w:r>
      <w:r w:rsidR="008250C4" w:rsidRPr="00F669A7">
        <w:rPr>
          <w:lang w:val="en-US"/>
        </w:rPr>
        <w:t xml:space="preserve"> </w:t>
      </w:r>
      <w:r w:rsidR="00A13695" w:rsidRPr="00F669A7">
        <w:rPr>
          <w:lang w:val="en-US"/>
        </w:rPr>
        <w:t>and 58)</w:t>
      </w:r>
      <w:r w:rsidR="008250C4" w:rsidRPr="00F669A7">
        <w:rPr>
          <w:lang w:val="en-US"/>
        </w:rPr>
        <w:t>,</w:t>
      </w:r>
      <w:r w:rsidR="00A13695" w:rsidRPr="00F669A7">
        <w:rPr>
          <w:lang w:val="en-US"/>
        </w:rPr>
        <w:t xml:space="preserve"> held on 25 </w:t>
      </w:r>
      <w:r w:rsidR="00A37D88" w:rsidRPr="00F669A7">
        <w:rPr>
          <w:lang w:val="en-US"/>
        </w:rPr>
        <w:t>September</w:t>
      </w:r>
      <w:r w:rsidRPr="00F669A7">
        <w:rPr>
          <w:lang w:val="en-US"/>
        </w:rPr>
        <w:t xml:space="preserve"> 2015,</w:t>
      </w:r>
      <w:r w:rsidR="00967060" w:rsidRPr="00F669A7">
        <w:rPr>
          <w:lang w:val="en-US"/>
        </w:rPr>
        <w:t xml:space="preserve"> an</w:t>
      </w:r>
      <w:r w:rsidR="00E11F2B" w:rsidRPr="00F669A7">
        <w:rPr>
          <w:lang w:val="en-US"/>
        </w:rPr>
        <w:t>d adopted</w:t>
      </w:r>
      <w:r w:rsidR="00DD23FE" w:rsidRPr="00F669A7">
        <w:rPr>
          <w:lang w:val="en-US"/>
        </w:rPr>
        <w:t xml:space="preserve"> the following concluding observations</w:t>
      </w:r>
      <w:r w:rsidR="00E11F2B" w:rsidRPr="00F669A7">
        <w:rPr>
          <w:lang w:val="en-US"/>
        </w:rPr>
        <w:t xml:space="preserve"> at its </w:t>
      </w:r>
      <w:r w:rsidR="008250C4" w:rsidRPr="00F669A7">
        <w:rPr>
          <w:lang w:val="en-US"/>
        </w:rPr>
        <w:t>78th</w:t>
      </w:r>
      <w:r w:rsidRPr="00F669A7">
        <w:rPr>
          <w:lang w:val="en-US"/>
        </w:rPr>
        <w:t xml:space="preserve"> </w:t>
      </w:r>
      <w:r w:rsidRPr="00F669A7">
        <w:rPr>
          <w:lang w:val="en-US" w:eastAsia="ko-KR"/>
        </w:rPr>
        <w:t>meeting</w:t>
      </w:r>
      <w:r w:rsidR="008250C4" w:rsidRPr="00F669A7">
        <w:rPr>
          <w:lang w:val="en-US" w:eastAsia="ko-KR"/>
        </w:rPr>
        <w:t>,</w:t>
      </w:r>
      <w:r w:rsidR="00967060" w:rsidRPr="00F669A7">
        <w:rPr>
          <w:lang w:val="en-US"/>
        </w:rPr>
        <w:t xml:space="preserve"> held on 9</w:t>
      </w:r>
      <w:r w:rsidRPr="00F669A7">
        <w:rPr>
          <w:lang w:val="en-US"/>
        </w:rPr>
        <w:t xml:space="preserve"> </w:t>
      </w:r>
      <w:r w:rsidR="00967060" w:rsidRPr="00F669A7">
        <w:rPr>
          <w:lang w:val="en-US"/>
        </w:rPr>
        <w:t>October</w:t>
      </w:r>
      <w:r w:rsidRPr="00F669A7">
        <w:rPr>
          <w:lang w:val="en-US"/>
        </w:rPr>
        <w:t xml:space="preserve"> 2015.</w:t>
      </w:r>
    </w:p>
    <w:p w14:paraId="09879360" w14:textId="77777777" w:rsidR="00C82F62" w:rsidRPr="00F669A7" w:rsidRDefault="00C82F62" w:rsidP="00C82F62">
      <w:pPr>
        <w:pStyle w:val="H1G"/>
        <w:rPr>
          <w:lang w:val="en-US"/>
        </w:rPr>
      </w:pPr>
      <w:r w:rsidRPr="00F669A7">
        <w:rPr>
          <w:lang w:val="en-US"/>
        </w:rPr>
        <w:tab/>
        <w:t>A.</w:t>
      </w:r>
      <w:r w:rsidRPr="00F669A7">
        <w:rPr>
          <w:lang w:val="en-US"/>
        </w:rPr>
        <w:tab/>
        <w:t>Introduction</w:t>
      </w:r>
    </w:p>
    <w:p w14:paraId="312D8C43" w14:textId="22598F3D" w:rsidR="0039527A" w:rsidRPr="00F669A7" w:rsidRDefault="00C82F62" w:rsidP="00C57D84">
      <w:pPr>
        <w:pStyle w:val="SingleTxtG"/>
        <w:numPr>
          <w:ilvl w:val="0"/>
          <w:numId w:val="18"/>
        </w:numPr>
        <w:ind w:left="1134" w:firstLine="0"/>
        <w:rPr>
          <w:lang w:val="en-US"/>
        </w:rPr>
      </w:pPr>
      <w:r w:rsidRPr="00F669A7">
        <w:rPr>
          <w:lang w:val="en-US"/>
        </w:rPr>
        <w:t xml:space="preserve">The Committee welcomes the </w:t>
      </w:r>
      <w:r w:rsidR="00105918">
        <w:rPr>
          <w:lang w:val="en-US"/>
        </w:rPr>
        <w:t>fifth</w:t>
      </w:r>
      <w:r w:rsidR="00105918" w:rsidRPr="00F669A7">
        <w:rPr>
          <w:lang w:val="en-US"/>
        </w:rPr>
        <w:t xml:space="preserve"> </w:t>
      </w:r>
      <w:r w:rsidRPr="00F669A7">
        <w:rPr>
          <w:lang w:val="en-US"/>
        </w:rPr>
        <w:t>periodic report submitted by the State party</w:t>
      </w:r>
      <w:r w:rsidR="003B0030" w:rsidRPr="00F669A7">
        <w:rPr>
          <w:lang w:val="en-US"/>
        </w:rPr>
        <w:t xml:space="preserve"> and</w:t>
      </w:r>
      <w:r w:rsidRPr="00F669A7">
        <w:rPr>
          <w:lang w:val="en-US"/>
        </w:rPr>
        <w:t xml:space="preserve"> the supplementary information provided in the replies to the list of issues (</w:t>
      </w:r>
      <w:r w:rsidR="00A13695" w:rsidRPr="00F669A7">
        <w:rPr>
          <w:lang w:val="en-US"/>
        </w:rPr>
        <w:t>E/C.12/ITA/Q/5/Add.1</w:t>
      </w:r>
      <w:r w:rsidR="00E11F2B" w:rsidRPr="00F669A7">
        <w:rPr>
          <w:lang w:val="en-US"/>
        </w:rPr>
        <w:t>)</w:t>
      </w:r>
      <w:r w:rsidR="008250C4" w:rsidRPr="00F669A7">
        <w:rPr>
          <w:lang w:val="en-US"/>
        </w:rPr>
        <w:t>,</w:t>
      </w:r>
      <w:r w:rsidRPr="00F669A7">
        <w:rPr>
          <w:lang w:val="en-US"/>
        </w:rPr>
        <w:t xml:space="preserve"> </w:t>
      </w:r>
      <w:r w:rsidR="008250C4" w:rsidRPr="00F669A7">
        <w:rPr>
          <w:lang w:val="en-US"/>
        </w:rPr>
        <w:t xml:space="preserve">while </w:t>
      </w:r>
      <w:r w:rsidR="009D68EF" w:rsidRPr="00F669A7">
        <w:rPr>
          <w:lang w:val="en-US"/>
        </w:rPr>
        <w:t>regret</w:t>
      </w:r>
      <w:r w:rsidR="009B16D9" w:rsidRPr="00F669A7">
        <w:rPr>
          <w:lang w:val="en-US"/>
        </w:rPr>
        <w:t>ting</w:t>
      </w:r>
      <w:r w:rsidR="008250C4" w:rsidRPr="00F669A7">
        <w:rPr>
          <w:lang w:val="en-US"/>
        </w:rPr>
        <w:t xml:space="preserve"> that</w:t>
      </w:r>
      <w:r w:rsidR="009D68EF" w:rsidRPr="00F669A7">
        <w:rPr>
          <w:lang w:val="en-US"/>
        </w:rPr>
        <w:t xml:space="preserve"> these were submitted</w:t>
      </w:r>
      <w:r w:rsidR="009B16D9" w:rsidRPr="00F669A7">
        <w:rPr>
          <w:lang w:val="en-US"/>
        </w:rPr>
        <w:t xml:space="preserve"> with considerable delay</w:t>
      </w:r>
      <w:r w:rsidR="004D1C01" w:rsidRPr="00F669A7">
        <w:rPr>
          <w:lang w:val="en-US"/>
        </w:rPr>
        <w:t xml:space="preserve">. The Committee also welcomes </w:t>
      </w:r>
      <w:r w:rsidRPr="00F669A7">
        <w:rPr>
          <w:lang w:val="en-US"/>
        </w:rPr>
        <w:t>the oral replies provided by the delegation.</w:t>
      </w:r>
    </w:p>
    <w:p w14:paraId="3B6ABDA2" w14:textId="77777777" w:rsidR="00E04FFD" w:rsidRPr="00F669A7" w:rsidRDefault="00C82F62" w:rsidP="00C82F62">
      <w:pPr>
        <w:pStyle w:val="H1G"/>
        <w:rPr>
          <w:lang w:val="en-US"/>
        </w:rPr>
      </w:pPr>
      <w:r w:rsidRPr="00F669A7">
        <w:rPr>
          <w:lang w:val="en-US"/>
        </w:rPr>
        <w:tab/>
        <w:t>B.</w:t>
      </w:r>
      <w:r w:rsidRPr="00F669A7">
        <w:rPr>
          <w:lang w:val="en-US"/>
        </w:rPr>
        <w:tab/>
        <w:t>Positive aspects</w:t>
      </w:r>
    </w:p>
    <w:p w14:paraId="08F9BAC9" w14:textId="77777777" w:rsidR="00845073" w:rsidRPr="00F669A7" w:rsidRDefault="00A13695" w:rsidP="00471932">
      <w:pPr>
        <w:pStyle w:val="SingleTxtG"/>
        <w:numPr>
          <w:ilvl w:val="0"/>
          <w:numId w:val="18"/>
        </w:numPr>
        <w:ind w:left="1134" w:firstLine="0"/>
        <w:rPr>
          <w:lang w:val="en-US"/>
        </w:rPr>
      </w:pPr>
      <w:r w:rsidRPr="00F669A7">
        <w:rPr>
          <w:lang w:val="en-US"/>
        </w:rPr>
        <w:t>The Committee welcomes the ratification of the Optional Protocol to the International Covenant on Economic, Soc</w:t>
      </w:r>
      <w:r w:rsidR="00845073" w:rsidRPr="00F669A7">
        <w:rPr>
          <w:lang w:val="en-US"/>
        </w:rPr>
        <w:t>ial and Cultural Rights, in 2015</w:t>
      </w:r>
      <w:r w:rsidRPr="00F669A7">
        <w:rPr>
          <w:lang w:val="en-US"/>
        </w:rPr>
        <w:t>.</w:t>
      </w:r>
    </w:p>
    <w:p w14:paraId="6F7F56B5" w14:textId="7BB3F4EA" w:rsidR="00845073" w:rsidRPr="00F669A7" w:rsidRDefault="00845073" w:rsidP="009F4171">
      <w:pPr>
        <w:pStyle w:val="SingleTxtG"/>
        <w:numPr>
          <w:ilvl w:val="0"/>
          <w:numId w:val="18"/>
        </w:numPr>
        <w:ind w:left="1134" w:firstLine="0"/>
        <w:rPr>
          <w:lang w:val="en-US"/>
        </w:rPr>
      </w:pPr>
      <w:r w:rsidRPr="00F669A7">
        <w:rPr>
          <w:lang w:val="en-US" w:eastAsia="ko-KR"/>
        </w:rPr>
        <w:t>The Committee</w:t>
      </w:r>
      <w:r w:rsidRPr="00F669A7">
        <w:rPr>
          <w:lang w:val="en-US"/>
        </w:rPr>
        <w:t xml:space="preserve"> also appreciates the ratification of the </w:t>
      </w:r>
      <w:r w:rsidRPr="00F669A7">
        <w:rPr>
          <w:lang w:val="en-US" w:eastAsia="ko-KR"/>
        </w:rPr>
        <w:t>following international human rights instruments</w:t>
      </w:r>
      <w:r w:rsidRPr="00F669A7">
        <w:rPr>
          <w:lang w:val="en-US"/>
        </w:rPr>
        <w:t>:</w:t>
      </w:r>
    </w:p>
    <w:p w14:paraId="032E459C" w14:textId="41C7A0AE" w:rsidR="00E11F2B" w:rsidRPr="00F669A7" w:rsidRDefault="00FD64FF" w:rsidP="00FD64FF">
      <w:pPr>
        <w:pStyle w:val="SingleTxtG"/>
        <w:rPr>
          <w:lang w:val="en-US"/>
        </w:rPr>
      </w:pPr>
      <w:r w:rsidRPr="00F669A7">
        <w:rPr>
          <w:lang w:val="en-US"/>
        </w:rPr>
        <w:tab/>
      </w:r>
      <w:r w:rsidR="00DD2B91" w:rsidRPr="00F669A7">
        <w:rPr>
          <w:lang w:val="en-US"/>
        </w:rPr>
        <w:t>(</w:t>
      </w:r>
      <w:r w:rsidRPr="00F669A7">
        <w:rPr>
          <w:lang w:val="en-US"/>
        </w:rPr>
        <w:t>a)</w:t>
      </w:r>
      <w:r w:rsidRPr="00F669A7">
        <w:rPr>
          <w:lang w:val="en-US"/>
        </w:rPr>
        <w:tab/>
      </w:r>
      <w:r w:rsidR="00E11F2B" w:rsidRPr="00F669A7">
        <w:rPr>
          <w:lang w:val="en-US"/>
        </w:rPr>
        <w:t>Convention on the Rights of Persons with Disabilities and its Optional Protocol</w:t>
      </w:r>
      <w:r w:rsidR="009F4171" w:rsidRPr="00F669A7">
        <w:rPr>
          <w:lang w:val="en-US"/>
        </w:rPr>
        <w:t>,</w:t>
      </w:r>
      <w:r w:rsidR="00E11F2B" w:rsidRPr="00F669A7">
        <w:rPr>
          <w:lang w:val="en-US"/>
        </w:rPr>
        <w:t xml:space="preserve"> in 2009;</w:t>
      </w:r>
    </w:p>
    <w:p w14:paraId="21311BDC" w14:textId="77777777" w:rsidR="00845073" w:rsidRPr="00F669A7" w:rsidRDefault="00FD64FF" w:rsidP="00FD64FF">
      <w:pPr>
        <w:pStyle w:val="SingleTxtG"/>
        <w:rPr>
          <w:lang w:val="en-US"/>
        </w:rPr>
      </w:pPr>
      <w:r w:rsidRPr="00F669A7">
        <w:rPr>
          <w:lang w:val="en-US"/>
        </w:rPr>
        <w:tab/>
      </w:r>
      <w:r w:rsidR="00DD2B91" w:rsidRPr="00F669A7">
        <w:rPr>
          <w:lang w:val="en-US"/>
        </w:rPr>
        <w:t>(</w:t>
      </w:r>
      <w:r w:rsidRPr="00F669A7">
        <w:rPr>
          <w:lang w:val="en-US"/>
        </w:rPr>
        <w:t>b)</w:t>
      </w:r>
      <w:r w:rsidRPr="00F669A7">
        <w:rPr>
          <w:lang w:val="en-US"/>
        </w:rPr>
        <w:tab/>
      </w:r>
      <w:r w:rsidR="00845073" w:rsidRPr="00F669A7">
        <w:rPr>
          <w:lang w:val="en-US"/>
        </w:rPr>
        <w:t xml:space="preserve">Optional Protocol to the Convention against Torture and Other Cruel, Inhuman or Degrading </w:t>
      </w:r>
      <w:r w:rsidR="00E11F2B" w:rsidRPr="00F669A7">
        <w:rPr>
          <w:lang w:val="en-US"/>
        </w:rPr>
        <w:t>Treatment or Punishment</w:t>
      </w:r>
      <w:r w:rsidR="009F4171" w:rsidRPr="00F669A7">
        <w:rPr>
          <w:lang w:val="en-US"/>
        </w:rPr>
        <w:t>,</w:t>
      </w:r>
      <w:r w:rsidR="00E11F2B" w:rsidRPr="00F669A7">
        <w:rPr>
          <w:lang w:val="en-US"/>
        </w:rPr>
        <w:t xml:space="preserve"> in 2013.</w:t>
      </w:r>
    </w:p>
    <w:p w14:paraId="74068483" w14:textId="77777777" w:rsidR="003235B4" w:rsidRPr="00F669A7" w:rsidRDefault="003235B4" w:rsidP="00471932">
      <w:pPr>
        <w:pStyle w:val="SingleTxtG"/>
        <w:numPr>
          <w:ilvl w:val="0"/>
          <w:numId w:val="18"/>
        </w:numPr>
        <w:ind w:left="1134" w:firstLine="0"/>
        <w:rPr>
          <w:lang w:val="en-US"/>
        </w:rPr>
      </w:pPr>
      <w:r w:rsidRPr="00F669A7">
        <w:rPr>
          <w:lang w:val="en-US"/>
        </w:rPr>
        <w:t>The Committee notes with appreciation the following legislative and policy measures taken by the State party:</w:t>
      </w:r>
      <w:r w:rsidR="00F94846" w:rsidRPr="00F669A7">
        <w:rPr>
          <w:lang w:val="en-US"/>
        </w:rPr>
        <w:t xml:space="preserve"> </w:t>
      </w:r>
    </w:p>
    <w:p w14:paraId="39169245" w14:textId="77777777" w:rsidR="00717D70" w:rsidRPr="00F669A7" w:rsidRDefault="00FD64FF" w:rsidP="00FD64FF">
      <w:pPr>
        <w:pStyle w:val="SingleTxtG"/>
        <w:rPr>
          <w:lang w:val="en-US"/>
        </w:rPr>
      </w:pPr>
      <w:r w:rsidRPr="00F669A7">
        <w:rPr>
          <w:lang w:val="en-US"/>
        </w:rPr>
        <w:tab/>
      </w:r>
      <w:r w:rsidR="00DD2B91" w:rsidRPr="00F669A7">
        <w:rPr>
          <w:lang w:val="en-US"/>
        </w:rPr>
        <w:t>(</w:t>
      </w:r>
      <w:r w:rsidRPr="00F669A7">
        <w:rPr>
          <w:lang w:val="en-US"/>
        </w:rPr>
        <w:t>a)</w:t>
      </w:r>
      <w:r w:rsidRPr="00F669A7">
        <w:rPr>
          <w:lang w:val="en-US"/>
        </w:rPr>
        <w:tab/>
      </w:r>
      <w:r w:rsidR="00B36CC9" w:rsidRPr="00F669A7">
        <w:rPr>
          <w:lang w:val="en-US"/>
        </w:rPr>
        <w:t xml:space="preserve">Act No. 107/2015 on reform of </w:t>
      </w:r>
      <w:r w:rsidR="003B0030" w:rsidRPr="00F669A7">
        <w:rPr>
          <w:lang w:val="en-US"/>
        </w:rPr>
        <w:t xml:space="preserve">the </w:t>
      </w:r>
      <w:r w:rsidR="00B36CC9" w:rsidRPr="00F669A7">
        <w:rPr>
          <w:lang w:val="en-US"/>
        </w:rPr>
        <w:t>national system of education</w:t>
      </w:r>
      <w:r w:rsidR="00717D70" w:rsidRPr="00F669A7">
        <w:rPr>
          <w:lang w:val="en-US"/>
        </w:rPr>
        <w:t xml:space="preserve"> and training;</w:t>
      </w:r>
    </w:p>
    <w:p w14:paraId="31F6447F" w14:textId="14CE332F" w:rsidR="00910D00" w:rsidRPr="00F669A7" w:rsidRDefault="00FD64FF" w:rsidP="00194D83">
      <w:pPr>
        <w:pStyle w:val="SingleTxtG"/>
        <w:rPr>
          <w:lang w:val="en-US"/>
        </w:rPr>
      </w:pPr>
      <w:r w:rsidRPr="00F669A7">
        <w:rPr>
          <w:lang w:val="en-US"/>
        </w:rPr>
        <w:tab/>
      </w:r>
      <w:r w:rsidR="00DD2B91" w:rsidRPr="00F669A7">
        <w:rPr>
          <w:lang w:val="en-US"/>
        </w:rPr>
        <w:t>(</w:t>
      </w:r>
      <w:r w:rsidRPr="00F669A7">
        <w:rPr>
          <w:lang w:val="en-US"/>
        </w:rPr>
        <w:t>b)</w:t>
      </w:r>
      <w:r w:rsidRPr="00F669A7">
        <w:rPr>
          <w:lang w:val="en-US"/>
        </w:rPr>
        <w:tab/>
      </w:r>
      <w:r w:rsidR="00910D00" w:rsidRPr="00F669A7">
        <w:rPr>
          <w:lang w:val="en-US"/>
        </w:rPr>
        <w:t xml:space="preserve">Act </w:t>
      </w:r>
      <w:r w:rsidR="00194D83">
        <w:rPr>
          <w:lang w:val="en-US"/>
        </w:rPr>
        <w:t>N</w:t>
      </w:r>
      <w:r w:rsidR="00910D00" w:rsidRPr="00F669A7">
        <w:rPr>
          <w:lang w:val="en-US"/>
        </w:rPr>
        <w:t>o. 183/2014</w:t>
      </w:r>
      <w:r w:rsidR="003D0E2D">
        <w:rPr>
          <w:lang w:val="en-US"/>
        </w:rPr>
        <w:t xml:space="preserve"> on labour reforms;</w:t>
      </w:r>
    </w:p>
    <w:p w14:paraId="4FAE9766" w14:textId="1A064A8F" w:rsidR="009F64C1" w:rsidRPr="00F669A7" w:rsidRDefault="00FD64FF" w:rsidP="00C57D84">
      <w:pPr>
        <w:pStyle w:val="SingleTxtG"/>
        <w:rPr>
          <w:lang w:val="en-US"/>
        </w:rPr>
      </w:pPr>
      <w:r w:rsidRPr="00F669A7">
        <w:rPr>
          <w:lang w:val="en-US"/>
        </w:rPr>
        <w:tab/>
      </w:r>
      <w:r w:rsidR="00DD2B91" w:rsidRPr="00F669A7">
        <w:rPr>
          <w:lang w:val="en-US"/>
        </w:rPr>
        <w:t>(</w:t>
      </w:r>
      <w:r w:rsidRPr="00F669A7">
        <w:rPr>
          <w:lang w:val="en-US"/>
        </w:rPr>
        <w:t>c)</w:t>
      </w:r>
      <w:r w:rsidRPr="00F669A7">
        <w:rPr>
          <w:lang w:val="en-US"/>
        </w:rPr>
        <w:tab/>
      </w:r>
      <w:r w:rsidR="009F64C1" w:rsidRPr="00F669A7">
        <w:rPr>
          <w:lang w:val="en-US"/>
        </w:rPr>
        <w:t>Act</w:t>
      </w:r>
      <w:r w:rsidR="00EC2452" w:rsidRPr="00F669A7">
        <w:rPr>
          <w:lang w:val="en-US"/>
        </w:rPr>
        <w:t xml:space="preserve"> No. 99/2013 on the </w:t>
      </w:r>
      <w:r w:rsidR="005928E2" w:rsidRPr="00F669A7">
        <w:rPr>
          <w:lang w:val="en-US"/>
        </w:rPr>
        <w:t>p</w:t>
      </w:r>
      <w:r w:rsidR="00EC2452" w:rsidRPr="00F669A7">
        <w:rPr>
          <w:lang w:val="en-US"/>
        </w:rPr>
        <w:t xml:space="preserve">romotion of </w:t>
      </w:r>
      <w:r w:rsidR="00105918">
        <w:rPr>
          <w:lang w:val="en-US"/>
        </w:rPr>
        <w:t>employment</w:t>
      </w:r>
      <w:r w:rsidR="001C4372" w:rsidRPr="00F669A7">
        <w:rPr>
          <w:lang w:val="en-US"/>
        </w:rPr>
        <w:t xml:space="preserve"> and </w:t>
      </w:r>
      <w:r w:rsidR="005928E2" w:rsidRPr="00F669A7">
        <w:rPr>
          <w:lang w:val="en-US"/>
        </w:rPr>
        <w:t>s</w:t>
      </w:r>
      <w:r w:rsidR="001C4372" w:rsidRPr="00F669A7">
        <w:rPr>
          <w:lang w:val="en-US"/>
        </w:rPr>
        <w:t xml:space="preserve">ocial </w:t>
      </w:r>
      <w:r w:rsidR="005928E2" w:rsidRPr="00F669A7">
        <w:rPr>
          <w:lang w:val="en-US"/>
        </w:rPr>
        <w:t>c</w:t>
      </w:r>
      <w:r w:rsidR="001C4372" w:rsidRPr="00F669A7">
        <w:rPr>
          <w:lang w:val="en-US"/>
        </w:rPr>
        <w:t>ohesion</w:t>
      </w:r>
      <w:r w:rsidR="00EC2452" w:rsidRPr="00F669A7">
        <w:rPr>
          <w:lang w:val="en-US"/>
        </w:rPr>
        <w:t>;</w:t>
      </w:r>
    </w:p>
    <w:p w14:paraId="4161BC16" w14:textId="3BB5FCFB" w:rsidR="009F64C1" w:rsidRPr="00F669A7" w:rsidRDefault="00FD64FF" w:rsidP="002B7CA9">
      <w:pPr>
        <w:pStyle w:val="SingleTxtG"/>
        <w:rPr>
          <w:lang w:val="en-US"/>
        </w:rPr>
      </w:pPr>
      <w:r w:rsidRPr="00F669A7">
        <w:rPr>
          <w:lang w:val="en-US"/>
        </w:rPr>
        <w:lastRenderedPageBreak/>
        <w:tab/>
      </w:r>
      <w:r w:rsidR="00DD2B91" w:rsidRPr="00F669A7">
        <w:rPr>
          <w:lang w:val="en-US"/>
        </w:rPr>
        <w:t>(</w:t>
      </w:r>
      <w:r w:rsidRPr="00F669A7">
        <w:rPr>
          <w:lang w:val="en-US"/>
        </w:rPr>
        <w:t>d)</w:t>
      </w:r>
      <w:r w:rsidRPr="00F669A7">
        <w:rPr>
          <w:lang w:val="en-US"/>
        </w:rPr>
        <w:tab/>
      </w:r>
      <w:r w:rsidR="001C4372" w:rsidRPr="00F669A7">
        <w:rPr>
          <w:lang w:val="en-US"/>
        </w:rPr>
        <w:t xml:space="preserve">Youth Guarantee </w:t>
      </w:r>
      <w:r w:rsidR="007F56EA" w:rsidRPr="00F669A7">
        <w:rPr>
          <w:lang w:val="en-US"/>
        </w:rPr>
        <w:t>P</w:t>
      </w:r>
      <w:r w:rsidR="001C4372" w:rsidRPr="00F669A7">
        <w:rPr>
          <w:lang w:val="en-US"/>
        </w:rPr>
        <w:t>rogramme</w:t>
      </w:r>
      <w:r w:rsidR="007F56EA" w:rsidRPr="00F669A7">
        <w:rPr>
          <w:lang w:val="en-US"/>
        </w:rPr>
        <w:t>,</w:t>
      </w:r>
      <w:r w:rsidR="001C4372" w:rsidRPr="00F669A7">
        <w:rPr>
          <w:lang w:val="en-US"/>
        </w:rPr>
        <w:t xml:space="preserve"> </w:t>
      </w:r>
      <w:r w:rsidR="00E108E3">
        <w:rPr>
          <w:lang w:val="en-US"/>
        </w:rPr>
        <w:t xml:space="preserve">launched </w:t>
      </w:r>
      <w:r w:rsidR="001C4372" w:rsidRPr="00F669A7">
        <w:rPr>
          <w:lang w:val="en-US"/>
        </w:rPr>
        <w:t>in 2014</w:t>
      </w:r>
      <w:r w:rsidR="00910D00" w:rsidRPr="00F669A7">
        <w:rPr>
          <w:lang w:val="en-US"/>
        </w:rPr>
        <w:t>;</w:t>
      </w:r>
    </w:p>
    <w:p w14:paraId="5D796D56" w14:textId="032C127D" w:rsidR="003235B4" w:rsidRPr="00F669A7" w:rsidRDefault="00FD64FF" w:rsidP="00DD23FE">
      <w:pPr>
        <w:pStyle w:val="SingleTxtG"/>
        <w:rPr>
          <w:lang w:val="en-US"/>
        </w:rPr>
      </w:pPr>
      <w:r w:rsidRPr="00F669A7">
        <w:rPr>
          <w:lang w:val="en-US"/>
        </w:rPr>
        <w:tab/>
      </w:r>
      <w:r w:rsidR="00DD2B91" w:rsidRPr="00F669A7">
        <w:rPr>
          <w:lang w:val="en-US"/>
        </w:rPr>
        <w:t>(</w:t>
      </w:r>
      <w:r w:rsidR="002B7CA9">
        <w:rPr>
          <w:lang w:val="en-US"/>
        </w:rPr>
        <w:t>e</w:t>
      </w:r>
      <w:r w:rsidRPr="00F669A7">
        <w:rPr>
          <w:lang w:val="en-US"/>
        </w:rPr>
        <w:t>)</w:t>
      </w:r>
      <w:r w:rsidRPr="00F669A7">
        <w:rPr>
          <w:lang w:val="en-US"/>
        </w:rPr>
        <w:tab/>
      </w:r>
      <w:r w:rsidR="00AB3EB8" w:rsidRPr="00F669A7">
        <w:rPr>
          <w:lang w:val="en-US"/>
        </w:rPr>
        <w:t>National Strategy for the Inclusion</w:t>
      </w:r>
      <w:r w:rsidR="00E11F2B" w:rsidRPr="00F669A7">
        <w:rPr>
          <w:lang w:val="en-US"/>
        </w:rPr>
        <w:t xml:space="preserve"> of Roma, Sinti and Travellers</w:t>
      </w:r>
      <w:r w:rsidR="00DD23FE" w:rsidRPr="00F669A7">
        <w:rPr>
          <w:lang w:val="en-US"/>
        </w:rPr>
        <w:t>,</w:t>
      </w:r>
      <w:r w:rsidR="00910D00" w:rsidRPr="00F669A7">
        <w:rPr>
          <w:lang w:val="en-US"/>
        </w:rPr>
        <w:t xml:space="preserve"> </w:t>
      </w:r>
      <w:r w:rsidR="002B7CA9">
        <w:rPr>
          <w:lang w:val="en-US"/>
        </w:rPr>
        <w:t xml:space="preserve">adopted </w:t>
      </w:r>
      <w:r w:rsidR="00910D00" w:rsidRPr="00F669A7">
        <w:rPr>
          <w:lang w:val="en-US"/>
        </w:rPr>
        <w:t>in 2012.</w:t>
      </w:r>
    </w:p>
    <w:p w14:paraId="166451D0" w14:textId="77777777" w:rsidR="00C82F62" w:rsidRPr="00F669A7" w:rsidRDefault="00C82F62" w:rsidP="00C82F62">
      <w:pPr>
        <w:pStyle w:val="H1G"/>
        <w:rPr>
          <w:lang w:val="en-US"/>
        </w:rPr>
      </w:pPr>
      <w:r w:rsidRPr="00F669A7">
        <w:rPr>
          <w:lang w:val="en-US"/>
        </w:rPr>
        <w:tab/>
        <w:t>C.</w:t>
      </w:r>
      <w:r w:rsidRPr="00F669A7">
        <w:rPr>
          <w:lang w:val="en-US"/>
        </w:rPr>
        <w:tab/>
        <w:t>Principal subjects of concern and recommendations</w:t>
      </w:r>
    </w:p>
    <w:p w14:paraId="21A35CAD" w14:textId="77777777" w:rsidR="00AB3EB8" w:rsidRPr="00F669A7" w:rsidRDefault="005A1F40" w:rsidP="00471932">
      <w:pPr>
        <w:pStyle w:val="H23G"/>
        <w:rPr>
          <w:lang w:val="en-US"/>
        </w:rPr>
      </w:pPr>
      <w:r w:rsidRPr="00F669A7">
        <w:rPr>
          <w:bCs/>
          <w:lang w:val="en-US"/>
        </w:rPr>
        <w:tab/>
      </w:r>
      <w:r w:rsidRPr="00F669A7">
        <w:rPr>
          <w:bCs/>
          <w:lang w:val="en-US"/>
        </w:rPr>
        <w:tab/>
      </w:r>
      <w:r w:rsidR="002C678F" w:rsidRPr="00F669A7">
        <w:rPr>
          <w:bCs/>
          <w:lang w:val="en-US"/>
        </w:rPr>
        <w:t>Justiciability</w:t>
      </w:r>
      <w:r w:rsidR="002C678F" w:rsidRPr="00F669A7">
        <w:rPr>
          <w:b w:val="0"/>
          <w:bCs/>
          <w:lang w:val="en-US"/>
        </w:rPr>
        <w:t xml:space="preserve"> </w:t>
      </w:r>
      <w:r w:rsidR="00AB3EB8" w:rsidRPr="00F669A7">
        <w:rPr>
          <w:lang w:val="en-US"/>
        </w:rPr>
        <w:t>of the Covenant</w:t>
      </w:r>
    </w:p>
    <w:p w14:paraId="13271099" w14:textId="3B4DF3EF" w:rsidR="00537D53" w:rsidRPr="00F669A7" w:rsidRDefault="003D7D14" w:rsidP="00471932">
      <w:pPr>
        <w:pStyle w:val="SingleTxtG"/>
        <w:numPr>
          <w:ilvl w:val="0"/>
          <w:numId w:val="18"/>
        </w:numPr>
        <w:ind w:left="1134" w:firstLine="0"/>
        <w:rPr>
          <w:lang w:val="en-US" w:eastAsia="en-GB"/>
        </w:rPr>
      </w:pPr>
      <w:r w:rsidRPr="00F669A7">
        <w:rPr>
          <w:lang w:val="en-US"/>
        </w:rPr>
        <w:t xml:space="preserve">The Committee </w:t>
      </w:r>
      <w:r w:rsidR="00537D53" w:rsidRPr="00F669A7">
        <w:rPr>
          <w:lang w:val="en-US"/>
        </w:rPr>
        <w:t>is</w:t>
      </w:r>
      <w:r w:rsidR="00FD4B89" w:rsidRPr="00F669A7">
        <w:rPr>
          <w:lang w:val="en-US"/>
        </w:rPr>
        <w:t xml:space="preserve"> concern</w:t>
      </w:r>
      <w:r w:rsidR="00537D53" w:rsidRPr="00F669A7">
        <w:rPr>
          <w:lang w:val="en-US"/>
        </w:rPr>
        <w:t>ed</w:t>
      </w:r>
      <w:r w:rsidR="00FD4B89" w:rsidRPr="00F669A7">
        <w:rPr>
          <w:lang w:val="en-US"/>
        </w:rPr>
        <w:t xml:space="preserve"> that the Covenant provisions </w:t>
      </w:r>
      <w:r w:rsidR="00765EC1" w:rsidRPr="00F669A7">
        <w:rPr>
          <w:lang w:val="en-US"/>
        </w:rPr>
        <w:t xml:space="preserve">are not fully reflected in the </w:t>
      </w:r>
      <w:r w:rsidRPr="00F669A7">
        <w:rPr>
          <w:lang w:val="en-US"/>
        </w:rPr>
        <w:t>S</w:t>
      </w:r>
      <w:r w:rsidR="00AC2179" w:rsidRPr="00F669A7">
        <w:rPr>
          <w:lang w:val="en-US"/>
        </w:rPr>
        <w:t>t</w:t>
      </w:r>
      <w:r w:rsidRPr="00F669A7">
        <w:rPr>
          <w:lang w:val="en-US"/>
        </w:rPr>
        <w:t xml:space="preserve">ate party’s </w:t>
      </w:r>
      <w:r w:rsidR="00765EC1" w:rsidRPr="00F669A7">
        <w:rPr>
          <w:lang w:val="en-US"/>
        </w:rPr>
        <w:t>Constitution and th</w:t>
      </w:r>
      <w:r w:rsidR="00321092" w:rsidRPr="00F669A7">
        <w:rPr>
          <w:lang w:val="en-US"/>
        </w:rPr>
        <w:t>us</w:t>
      </w:r>
      <w:r w:rsidR="00765EC1" w:rsidRPr="00F669A7">
        <w:rPr>
          <w:lang w:val="en-US"/>
        </w:rPr>
        <w:t xml:space="preserve"> </w:t>
      </w:r>
      <w:r w:rsidR="002E0C7F">
        <w:rPr>
          <w:lang w:val="en-US"/>
        </w:rPr>
        <w:t xml:space="preserve">that </w:t>
      </w:r>
      <w:r w:rsidR="00765EC1" w:rsidRPr="00F669A7">
        <w:rPr>
          <w:lang w:val="en-US"/>
        </w:rPr>
        <w:t xml:space="preserve">not </w:t>
      </w:r>
      <w:r w:rsidR="00ED5A87" w:rsidRPr="00F669A7">
        <w:rPr>
          <w:lang w:val="en-US"/>
        </w:rPr>
        <w:t xml:space="preserve">all </w:t>
      </w:r>
      <w:r w:rsidR="002C678F" w:rsidRPr="00F669A7">
        <w:rPr>
          <w:lang w:val="en-US"/>
        </w:rPr>
        <w:t xml:space="preserve">Covenant </w:t>
      </w:r>
      <w:r w:rsidR="00537D53" w:rsidRPr="00F669A7">
        <w:rPr>
          <w:lang w:val="en-US"/>
        </w:rPr>
        <w:t xml:space="preserve">rights </w:t>
      </w:r>
      <w:r w:rsidR="00ED5A87" w:rsidRPr="00F669A7">
        <w:rPr>
          <w:lang w:val="en-US"/>
        </w:rPr>
        <w:t xml:space="preserve">are </w:t>
      </w:r>
      <w:r w:rsidR="00765EC1" w:rsidRPr="00F669A7">
        <w:rPr>
          <w:lang w:val="en-US"/>
        </w:rPr>
        <w:t>justiciable</w:t>
      </w:r>
      <w:r w:rsidR="00537D53" w:rsidRPr="00F669A7">
        <w:rPr>
          <w:lang w:val="en-US"/>
        </w:rPr>
        <w:t xml:space="preserve">. </w:t>
      </w:r>
      <w:r w:rsidR="00537D53" w:rsidRPr="00F669A7">
        <w:rPr>
          <w:lang w:val="en-US" w:eastAsia="en-GB"/>
        </w:rPr>
        <w:t>The Committee is also concerned that the provisions of the Covenant have not been invoked before or applied by domestic courts.</w:t>
      </w:r>
    </w:p>
    <w:p w14:paraId="5CB47674" w14:textId="0CAC9544" w:rsidR="00FD4B89" w:rsidRPr="00F669A7" w:rsidRDefault="00FD4B89" w:rsidP="00C57D84">
      <w:pPr>
        <w:pStyle w:val="SingleTxtG"/>
        <w:numPr>
          <w:ilvl w:val="0"/>
          <w:numId w:val="18"/>
        </w:numPr>
        <w:ind w:left="1134" w:firstLine="0"/>
        <w:rPr>
          <w:b/>
          <w:lang w:val="en-US"/>
        </w:rPr>
      </w:pPr>
      <w:r w:rsidRPr="00F669A7">
        <w:rPr>
          <w:b/>
          <w:lang w:val="en-US"/>
        </w:rPr>
        <w:t xml:space="preserve">The Committee recommends that the State party </w:t>
      </w:r>
      <w:r w:rsidR="008F0DB7" w:rsidRPr="00F669A7">
        <w:rPr>
          <w:b/>
          <w:lang w:val="en-US"/>
        </w:rPr>
        <w:t>take steps to fully incorporate the Covenant in the State party’</w:t>
      </w:r>
      <w:r w:rsidR="00ED5A87" w:rsidRPr="00F669A7">
        <w:rPr>
          <w:b/>
          <w:lang w:val="en-US"/>
        </w:rPr>
        <w:t>s legal order and thu</w:t>
      </w:r>
      <w:r w:rsidR="008F0DB7" w:rsidRPr="00F669A7">
        <w:rPr>
          <w:b/>
          <w:lang w:val="en-US"/>
        </w:rPr>
        <w:t xml:space="preserve">s render </w:t>
      </w:r>
      <w:r w:rsidR="00753E4C" w:rsidRPr="00F669A7">
        <w:rPr>
          <w:b/>
          <w:lang w:val="en-US"/>
        </w:rPr>
        <w:t>the economic, social and cultural rights enshrined therein</w:t>
      </w:r>
      <w:r w:rsidR="008F0DB7" w:rsidRPr="00F669A7">
        <w:rPr>
          <w:b/>
          <w:lang w:val="en-US"/>
        </w:rPr>
        <w:t xml:space="preserve"> justiciable in domestic courts. It </w:t>
      </w:r>
      <w:r w:rsidR="00006D74" w:rsidRPr="00F669A7">
        <w:rPr>
          <w:b/>
          <w:lang w:val="en-US"/>
        </w:rPr>
        <w:t xml:space="preserve">also encourages the State </w:t>
      </w:r>
      <w:r w:rsidR="003A1559" w:rsidRPr="00F669A7">
        <w:rPr>
          <w:b/>
          <w:lang w:val="en-US"/>
        </w:rPr>
        <w:t>p</w:t>
      </w:r>
      <w:r w:rsidR="00006D74" w:rsidRPr="00F669A7">
        <w:rPr>
          <w:b/>
          <w:lang w:val="en-US"/>
        </w:rPr>
        <w:t>arty to</w:t>
      </w:r>
      <w:r w:rsidR="008F0DB7" w:rsidRPr="00F669A7">
        <w:rPr>
          <w:b/>
          <w:lang w:val="en-US"/>
        </w:rPr>
        <w:t xml:space="preserve"> </w:t>
      </w:r>
      <w:r w:rsidRPr="00F669A7">
        <w:rPr>
          <w:b/>
          <w:lang w:val="en-US"/>
        </w:rPr>
        <w:t xml:space="preserve">step up its efforts </w:t>
      </w:r>
      <w:r w:rsidR="003A1559" w:rsidRPr="00F669A7">
        <w:rPr>
          <w:b/>
          <w:lang w:val="en-US"/>
        </w:rPr>
        <w:t xml:space="preserve">to raise </w:t>
      </w:r>
      <w:r w:rsidRPr="00F669A7">
        <w:rPr>
          <w:b/>
          <w:bCs/>
          <w:lang w:val="en-US"/>
        </w:rPr>
        <w:t xml:space="preserve">awareness </w:t>
      </w:r>
      <w:r w:rsidR="003A1559" w:rsidRPr="00F669A7">
        <w:rPr>
          <w:b/>
          <w:bCs/>
          <w:lang w:val="en-US"/>
        </w:rPr>
        <w:t>among</w:t>
      </w:r>
      <w:r w:rsidRPr="00F669A7">
        <w:rPr>
          <w:b/>
          <w:bCs/>
          <w:lang w:val="en-US"/>
        </w:rPr>
        <w:t xml:space="preserve"> members of the judiciary</w:t>
      </w:r>
      <w:r w:rsidRPr="00F669A7">
        <w:rPr>
          <w:b/>
          <w:bCs/>
          <w:lang w:val="en-US" w:eastAsia="ko-KR"/>
        </w:rPr>
        <w:t>, lawyers and rights holders</w:t>
      </w:r>
      <w:r w:rsidRPr="00F669A7">
        <w:rPr>
          <w:b/>
          <w:bCs/>
          <w:lang w:val="en-US"/>
        </w:rPr>
        <w:t xml:space="preserve"> </w:t>
      </w:r>
      <w:r w:rsidR="003A1559" w:rsidRPr="00F669A7">
        <w:rPr>
          <w:b/>
          <w:bCs/>
          <w:lang w:val="en-US"/>
        </w:rPr>
        <w:t>about</w:t>
      </w:r>
      <w:r w:rsidRPr="00F669A7">
        <w:rPr>
          <w:b/>
          <w:bCs/>
          <w:lang w:val="en-US"/>
        </w:rPr>
        <w:t xml:space="preserve"> </w:t>
      </w:r>
      <w:r w:rsidRPr="00F669A7">
        <w:rPr>
          <w:b/>
          <w:bCs/>
          <w:lang w:val="en-US" w:eastAsia="ko-KR"/>
        </w:rPr>
        <w:t>the Covenant</w:t>
      </w:r>
      <w:r w:rsidRPr="00F669A7">
        <w:rPr>
          <w:b/>
          <w:bCs/>
          <w:lang w:val="en-US"/>
        </w:rPr>
        <w:t xml:space="preserve"> </w:t>
      </w:r>
      <w:r w:rsidRPr="00F669A7">
        <w:rPr>
          <w:b/>
          <w:bCs/>
          <w:lang w:val="en-US" w:eastAsia="ko-KR"/>
        </w:rPr>
        <w:t xml:space="preserve">and its Optional Protocol, </w:t>
      </w:r>
      <w:r w:rsidR="003A1559" w:rsidRPr="00F669A7">
        <w:rPr>
          <w:b/>
          <w:bCs/>
          <w:lang w:val="en-US" w:eastAsia="ko-KR"/>
        </w:rPr>
        <w:t>and about</w:t>
      </w:r>
      <w:r w:rsidRPr="00F669A7">
        <w:rPr>
          <w:b/>
          <w:bCs/>
          <w:lang w:val="en-US"/>
        </w:rPr>
        <w:t xml:space="preserve"> the justiciability of those rights. </w:t>
      </w:r>
      <w:r w:rsidR="00CA60AC" w:rsidRPr="00F669A7">
        <w:rPr>
          <w:b/>
          <w:bCs/>
          <w:lang w:val="en-US"/>
        </w:rPr>
        <w:t xml:space="preserve">The Committee invites the State </w:t>
      </w:r>
      <w:r w:rsidR="003E60D6">
        <w:rPr>
          <w:b/>
          <w:bCs/>
          <w:lang w:val="en-US"/>
        </w:rPr>
        <w:t>p</w:t>
      </w:r>
      <w:r w:rsidR="00CA60AC" w:rsidRPr="00F669A7">
        <w:rPr>
          <w:b/>
          <w:bCs/>
          <w:lang w:val="en-US"/>
        </w:rPr>
        <w:t>arty to consider recogni</w:t>
      </w:r>
      <w:r w:rsidR="003A1559">
        <w:rPr>
          <w:b/>
          <w:bCs/>
          <w:lang w:val="en-US"/>
        </w:rPr>
        <w:t>z</w:t>
      </w:r>
      <w:r w:rsidR="00CA60AC" w:rsidRPr="00F669A7">
        <w:rPr>
          <w:b/>
          <w:bCs/>
          <w:lang w:val="en-US"/>
        </w:rPr>
        <w:t xml:space="preserve">ing the competence of the Committee under article 11 of the Optional Protocol. </w:t>
      </w:r>
      <w:r w:rsidRPr="00F669A7">
        <w:rPr>
          <w:b/>
          <w:bCs/>
          <w:lang w:val="en-US"/>
        </w:rPr>
        <w:t>The Committee draws the State party’s attention to its general comment No. 9 (1998) on the domestic application of the Covenant.</w:t>
      </w:r>
    </w:p>
    <w:p w14:paraId="123114D0" w14:textId="77777777" w:rsidR="0060092A" w:rsidRPr="00F669A7" w:rsidRDefault="005A1F40" w:rsidP="00471932">
      <w:pPr>
        <w:pStyle w:val="H23G"/>
        <w:rPr>
          <w:lang w:val="en-US"/>
        </w:rPr>
      </w:pPr>
      <w:r w:rsidRPr="00F669A7">
        <w:rPr>
          <w:lang w:val="en-US"/>
        </w:rPr>
        <w:tab/>
      </w:r>
      <w:r w:rsidRPr="00F669A7">
        <w:rPr>
          <w:lang w:val="en-US"/>
        </w:rPr>
        <w:tab/>
      </w:r>
      <w:r w:rsidR="008139BF" w:rsidRPr="00F669A7">
        <w:rPr>
          <w:lang w:val="en-US"/>
        </w:rPr>
        <w:t>Austerity measures</w:t>
      </w:r>
    </w:p>
    <w:p w14:paraId="7FF82CC6" w14:textId="43B47CF7" w:rsidR="008B1A99" w:rsidRPr="00F669A7" w:rsidRDefault="004D1C01" w:rsidP="003E60D6">
      <w:pPr>
        <w:pStyle w:val="SingleTxtG"/>
        <w:numPr>
          <w:ilvl w:val="0"/>
          <w:numId w:val="18"/>
        </w:numPr>
        <w:ind w:left="1134" w:firstLine="0"/>
        <w:rPr>
          <w:lang w:val="en-US" w:eastAsia="en-GB"/>
        </w:rPr>
      </w:pPr>
      <w:r w:rsidRPr="00F669A7">
        <w:rPr>
          <w:lang w:val="en-US" w:eastAsia="en-GB"/>
        </w:rPr>
        <w:t xml:space="preserve">While </w:t>
      </w:r>
      <w:r w:rsidR="000F1E24" w:rsidRPr="00F669A7">
        <w:rPr>
          <w:lang w:val="en-US" w:eastAsia="en-GB"/>
        </w:rPr>
        <w:t>recognizing</w:t>
      </w:r>
      <w:r w:rsidRPr="00F669A7">
        <w:rPr>
          <w:lang w:val="en-US" w:eastAsia="en-GB"/>
        </w:rPr>
        <w:t xml:space="preserve"> the </w:t>
      </w:r>
      <w:r w:rsidR="000F1E24" w:rsidRPr="00F669A7">
        <w:rPr>
          <w:lang w:val="en-US" w:eastAsia="en-GB"/>
        </w:rPr>
        <w:t>financial</w:t>
      </w:r>
      <w:r w:rsidRPr="00F669A7">
        <w:rPr>
          <w:lang w:val="en-US" w:eastAsia="en-GB"/>
        </w:rPr>
        <w:t xml:space="preserve"> crisis faced by the State party, </w:t>
      </w:r>
      <w:r w:rsidR="000F1E24" w:rsidRPr="00F669A7">
        <w:rPr>
          <w:lang w:val="en-US" w:eastAsia="en-GB"/>
        </w:rPr>
        <w:t>t</w:t>
      </w:r>
      <w:r w:rsidR="008139BF" w:rsidRPr="00F669A7">
        <w:rPr>
          <w:lang w:val="en-US" w:eastAsia="en-GB"/>
        </w:rPr>
        <w:t xml:space="preserve">he Committee expresses concern that the levels of effective protection for the rights enshrined in the Covenant have been reduced as a result of the austerity measures adopted by the State party, which </w:t>
      </w:r>
      <w:r w:rsidR="00E20AF1" w:rsidRPr="00F669A7">
        <w:rPr>
          <w:lang w:val="en-US" w:eastAsia="en-GB"/>
        </w:rPr>
        <w:t xml:space="preserve">adversely </w:t>
      </w:r>
      <w:r w:rsidR="00CA60AC" w:rsidRPr="00F669A7">
        <w:rPr>
          <w:lang w:val="en-US" w:eastAsia="en-GB"/>
        </w:rPr>
        <w:t>affect</w:t>
      </w:r>
      <w:r w:rsidR="003E60D6">
        <w:rPr>
          <w:lang w:val="en-US" w:eastAsia="en-GB"/>
        </w:rPr>
        <w:t>s</w:t>
      </w:r>
      <w:r w:rsidR="008139BF" w:rsidRPr="00F669A7">
        <w:rPr>
          <w:lang w:val="en-US" w:eastAsia="en-GB"/>
        </w:rPr>
        <w:t xml:space="preserve"> enjoyment of the </w:t>
      </w:r>
      <w:r w:rsidR="00E20AF1" w:rsidRPr="00F669A7">
        <w:rPr>
          <w:lang w:val="en-US" w:eastAsia="en-GB"/>
        </w:rPr>
        <w:t xml:space="preserve">Covenant </w:t>
      </w:r>
      <w:r w:rsidR="008139BF" w:rsidRPr="00F669A7">
        <w:rPr>
          <w:lang w:val="en-US" w:eastAsia="en-GB"/>
        </w:rPr>
        <w:t>rights</w:t>
      </w:r>
      <w:r w:rsidR="003E60D6">
        <w:rPr>
          <w:lang w:val="en-US" w:eastAsia="en-GB"/>
        </w:rPr>
        <w:t>,</w:t>
      </w:r>
      <w:r w:rsidR="008139BF" w:rsidRPr="00F669A7">
        <w:rPr>
          <w:lang w:val="en-US" w:eastAsia="en-GB"/>
        </w:rPr>
        <w:t xml:space="preserve"> </w:t>
      </w:r>
      <w:r w:rsidR="00E20AF1" w:rsidRPr="00F669A7">
        <w:rPr>
          <w:lang w:val="en-US" w:eastAsia="en-GB"/>
        </w:rPr>
        <w:t xml:space="preserve">particularly </w:t>
      </w:r>
      <w:r w:rsidR="008139BF" w:rsidRPr="00F669A7">
        <w:rPr>
          <w:lang w:val="en-US" w:eastAsia="en-GB"/>
        </w:rPr>
        <w:t>by disadvantaged and marginalized individuals and groups</w:t>
      </w:r>
      <w:r w:rsidR="00AC2179" w:rsidRPr="00F669A7">
        <w:rPr>
          <w:lang w:val="en-US" w:eastAsia="en-GB"/>
        </w:rPr>
        <w:t>.</w:t>
      </w:r>
    </w:p>
    <w:p w14:paraId="6EDAB77D" w14:textId="1B09FA3D" w:rsidR="008B1A99" w:rsidRPr="00F669A7" w:rsidRDefault="00AC2179" w:rsidP="003E60D6">
      <w:pPr>
        <w:pStyle w:val="SingleTxtG"/>
        <w:numPr>
          <w:ilvl w:val="0"/>
          <w:numId w:val="18"/>
        </w:numPr>
        <w:ind w:left="1134" w:firstLine="0"/>
        <w:rPr>
          <w:b/>
          <w:bCs/>
          <w:lang w:val="en-US" w:eastAsia="en-GB"/>
        </w:rPr>
      </w:pPr>
      <w:r w:rsidRPr="00F669A7">
        <w:rPr>
          <w:b/>
          <w:bCs/>
          <w:lang w:val="en-US"/>
        </w:rPr>
        <w:t>The Committee recommends that the State party r</w:t>
      </w:r>
      <w:r w:rsidR="00163893" w:rsidRPr="00F669A7">
        <w:rPr>
          <w:b/>
          <w:bCs/>
          <w:lang w:val="en-US"/>
        </w:rPr>
        <w:t xml:space="preserve">eview, based on </w:t>
      </w:r>
      <w:r w:rsidR="003E60D6">
        <w:rPr>
          <w:b/>
          <w:bCs/>
          <w:lang w:val="en-US"/>
        </w:rPr>
        <w:t xml:space="preserve">a </w:t>
      </w:r>
      <w:r w:rsidR="00163893" w:rsidRPr="00F669A7">
        <w:rPr>
          <w:b/>
          <w:bCs/>
          <w:lang w:val="en-US"/>
        </w:rPr>
        <w:t>human</w:t>
      </w:r>
      <w:r w:rsidR="003E60D6">
        <w:rPr>
          <w:b/>
          <w:bCs/>
          <w:lang w:val="en-US"/>
        </w:rPr>
        <w:t xml:space="preserve"> </w:t>
      </w:r>
      <w:r w:rsidR="00753E4C" w:rsidRPr="00F669A7">
        <w:rPr>
          <w:b/>
          <w:bCs/>
          <w:lang w:val="en-US"/>
        </w:rPr>
        <w:t>rights</w:t>
      </w:r>
      <w:r w:rsidR="003E60D6">
        <w:rPr>
          <w:b/>
          <w:bCs/>
          <w:lang w:val="en-US"/>
        </w:rPr>
        <w:t xml:space="preserve"> </w:t>
      </w:r>
      <w:r w:rsidR="00753E4C" w:rsidRPr="00F669A7">
        <w:rPr>
          <w:b/>
          <w:bCs/>
          <w:lang w:val="en-US"/>
        </w:rPr>
        <w:t>impact</w:t>
      </w:r>
      <w:r w:rsidR="003E60D6">
        <w:rPr>
          <w:b/>
          <w:bCs/>
          <w:lang w:val="en-US"/>
        </w:rPr>
        <w:t xml:space="preserve"> </w:t>
      </w:r>
      <w:r w:rsidR="00753E4C" w:rsidRPr="00F669A7">
        <w:rPr>
          <w:b/>
          <w:bCs/>
          <w:lang w:val="en-US"/>
        </w:rPr>
        <w:t>assessment</w:t>
      </w:r>
      <w:r w:rsidR="00163893" w:rsidRPr="00F669A7">
        <w:rPr>
          <w:b/>
          <w:bCs/>
          <w:lang w:val="en-US"/>
        </w:rPr>
        <w:t xml:space="preserve">, all the measures that have been taken </w:t>
      </w:r>
      <w:r w:rsidRPr="00F669A7">
        <w:rPr>
          <w:b/>
          <w:bCs/>
          <w:lang w:val="en-US"/>
        </w:rPr>
        <w:t xml:space="preserve">in response to the </w:t>
      </w:r>
      <w:r w:rsidR="00163893" w:rsidRPr="00F669A7">
        <w:rPr>
          <w:b/>
          <w:bCs/>
          <w:lang w:val="en-US"/>
        </w:rPr>
        <w:t>financial crisis and are still in place</w:t>
      </w:r>
      <w:r w:rsidR="003E60D6">
        <w:rPr>
          <w:b/>
          <w:bCs/>
          <w:lang w:val="en-US"/>
        </w:rPr>
        <w:t>,</w:t>
      </w:r>
      <w:r w:rsidR="00163893" w:rsidRPr="00F669A7">
        <w:rPr>
          <w:b/>
          <w:bCs/>
          <w:lang w:val="en-US"/>
        </w:rPr>
        <w:t xml:space="preserve"> with a view to ensuring the enjoyment of economic, social and cultural rights. In this regard, it draws the State party’s attention to its open letter of 16 May 2012 to States parties on economic, social and cultural rights in the context of the economic and financial crisis, </w:t>
      </w:r>
      <w:r w:rsidR="003E60D6">
        <w:rPr>
          <w:b/>
          <w:bCs/>
          <w:lang w:val="en-US"/>
        </w:rPr>
        <w:t xml:space="preserve">and </w:t>
      </w:r>
      <w:r w:rsidR="00163893" w:rsidRPr="00F669A7">
        <w:rPr>
          <w:b/>
          <w:bCs/>
          <w:lang w:val="en-US"/>
        </w:rPr>
        <w:t>in particular to the requirements that austerity policies must meet.</w:t>
      </w:r>
    </w:p>
    <w:p w14:paraId="57BE3783" w14:textId="77777777" w:rsidR="0060092A" w:rsidRPr="00F669A7" w:rsidRDefault="005A1F40" w:rsidP="00471932">
      <w:pPr>
        <w:pStyle w:val="H23G"/>
        <w:rPr>
          <w:lang w:val="en-US"/>
        </w:rPr>
      </w:pPr>
      <w:r w:rsidRPr="00F669A7">
        <w:rPr>
          <w:lang w:val="en-US"/>
        </w:rPr>
        <w:tab/>
      </w:r>
      <w:r w:rsidRPr="00F669A7">
        <w:rPr>
          <w:lang w:val="en-US"/>
        </w:rPr>
        <w:tab/>
      </w:r>
      <w:r w:rsidR="0060092A" w:rsidRPr="00F669A7">
        <w:rPr>
          <w:lang w:val="en-US"/>
        </w:rPr>
        <w:t>Corruption</w:t>
      </w:r>
    </w:p>
    <w:p w14:paraId="3764753B" w14:textId="5A2B56D8" w:rsidR="00DB6AD8" w:rsidRPr="00F669A7" w:rsidRDefault="00DB6AD8" w:rsidP="00534460">
      <w:pPr>
        <w:pStyle w:val="SingleTxtG"/>
        <w:numPr>
          <w:ilvl w:val="0"/>
          <w:numId w:val="18"/>
        </w:numPr>
        <w:ind w:left="1134" w:firstLine="0"/>
        <w:rPr>
          <w:lang w:val="en-US"/>
        </w:rPr>
      </w:pPr>
      <w:r w:rsidRPr="00F669A7">
        <w:rPr>
          <w:lang w:val="en-US"/>
        </w:rPr>
        <w:t xml:space="preserve">While </w:t>
      </w:r>
      <w:r w:rsidR="00E20AF1" w:rsidRPr="00F669A7">
        <w:rPr>
          <w:lang w:val="en-US"/>
        </w:rPr>
        <w:t xml:space="preserve">acknowledging </w:t>
      </w:r>
      <w:r w:rsidRPr="00F669A7">
        <w:rPr>
          <w:lang w:val="en-US"/>
        </w:rPr>
        <w:t xml:space="preserve">the adoption </w:t>
      </w:r>
      <w:r w:rsidR="00534460">
        <w:rPr>
          <w:lang w:val="en-US"/>
        </w:rPr>
        <w:t xml:space="preserve">in 2012 </w:t>
      </w:r>
      <w:r w:rsidRPr="00F669A7">
        <w:rPr>
          <w:lang w:val="en-US"/>
        </w:rPr>
        <w:t>of the Anti-</w:t>
      </w:r>
      <w:r w:rsidR="00A40FE2" w:rsidRPr="00F669A7">
        <w:rPr>
          <w:lang w:val="en-US"/>
        </w:rPr>
        <w:t>Corruption</w:t>
      </w:r>
      <w:r w:rsidRPr="00F669A7">
        <w:rPr>
          <w:lang w:val="en-US"/>
        </w:rPr>
        <w:t xml:space="preserve"> </w:t>
      </w:r>
      <w:r w:rsidR="00A40FE2" w:rsidRPr="00F669A7">
        <w:rPr>
          <w:lang w:val="en-US"/>
        </w:rPr>
        <w:t>Act</w:t>
      </w:r>
      <w:r w:rsidRPr="00F669A7">
        <w:rPr>
          <w:lang w:val="en-US"/>
        </w:rPr>
        <w:t>, the</w:t>
      </w:r>
      <w:r w:rsidR="0054226B" w:rsidRPr="00F669A7">
        <w:rPr>
          <w:lang w:val="en-US"/>
        </w:rPr>
        <w:t xml:space="preserve"> Committee is</w:t>
      </w:r>
      <w:r w:rsidRPr="00F669A7">
        <w:rPr>
          <w:lang w:val="en-US"/>
        </w:rPr>
        <w:t xml:space="preserve"> c</w:t>
      </w:r>
      <w:r w:rsidR="0054226B" w:rsidRPr="00F669A7">
        <w:rPr>
          <w:lang w:val="en-US"/>
        </w:rPr>
        <w:t>oncerned that</w:t>
      </w:r>
      <w:r w:rsidRPr="00F669A7">
        <w:rPr>
          <w:lang w:val="en-US"/>
        </w:rPr>
        <w:t xml:space="preserve"> corruption </w:t>
      </w:r>
      <w:r w:rsidR="0054226B" w:rsidRPr="00F669A7">
        <w:rPr>
          <w:lang w:val="en-US"/>
        </w:rPr>
        <w:t xml:space="preserve">remains pervasive </w:t>
      </w:r>
      <w:r w:rsidRPr="00F669A7">
        <w:rPr>
          <w:lang w:val="en-US"/>
        </w:rPr>
        <w:t xml:space="preserve">within the State party, including in the judiciary. It is also concerned about the inadequate </w:t>
      </w:r>
      <w:r w:rsidR="00A40FE2" w:rsidRPr="00F669A7">
        <w:rPr>
          <w:lang w:val="en-US"/>
        </w:rPr>
        <w:t xml:space="preserve">and underresourced </w:t>
      </w:r>
      <w:r w:rsidR="002C678F" w:rsidRPr="00F669A7">
        <w:rPr>
          <w:lang w:val="en-US"/>
        </w:rPr>
        <w:t xml:space="preserve">institutions </w:t>
      </w:r>
      <w:r w:rsidR="00534460">
        <w:rPr>
          <w:lang w:val="en-US"/>
        </w:rPr>
        <w:t>set up</w:t>
      </w:r>
      <w:r w:rsidR="004C756E" w:rsidRPr="00F669A7">
        <w:rPr>
          <w:lang w:val="en-US"/>
        </w:rPr>
        <w:t xml:space="preserve"> </w:t>
      </w:r>
      <w:r w:rsidR="002C678F" w:rsidRPr="00F669A7">
        <w:rPr>
          <w:lang w:val="en-US"/>
        </w:rPr>
        <w:t>to curb corruption</w:t>
      </w:r>
      <w:r w:rsidRPr="00F669A7">
        <w:rPr>
          <w:lang w:val="en-US"/>
        </w:rPr>
        <w:t>.</w:t>
      </w:r>
    </w:p>
    <w:p w14:paraId="23F22DB4" w14:textId="014A4646" w:rsidR="00DB6AD8" w:rsidRPr="00F669A7" w:rsidRDefault="00DB6AD8" w:rsidP="002854C3">
      <w:pPr>
        <w:pStyle w:val="SingleTxtG"/>
        <w:numPr>
          <w:ilvl w:val="0"/>
          <w:numId w:val="18"/>
        </w:numPr>
        <w:ind w:left="1134" w:firstLine="0"/>
        <w:rPr>
          <w:b/>
          <w:lang w:val="en-US"/>
        </w:rPr>
      </w:pPr>
      <w:r w:rsidRPr="00F669A7">
        <w:rPr>
          <w:b/>
          <w:lang w:val="en-US"/>
        </w:rPr>
        <w:t xml:space="preserve">The Committee urges the State party to increase its efforts </w:t>
      </w:r>
      <w:r w:rsidR="00534460">
        <w:rPr>
          <w:b/>
          <w:lang w:val="en-US"/>
        </w:rPr>
        <w:t>to combat</w:t>
      </w:r>
      <w:r w:rsidRPr="00F669A7">
        <w:rPr>
          <w:b/>
          <w:lang w:val="en-US"/>
        </w:rPr>
        <w:t xml:space="preserve"> corruption, including in the judiciary. It </w:t>
      </w:r>
      <w:r w:rsidRPr="00F669A7">
        <w:rPr>
          <w:b/>
          <w:lang w:val="en-US" w:eastAsia="ko-KR"/>
        </w:rPr>
        <w:t>calls upon the State party</w:t>
      </w:r>
      <w:r w:rsidRPr="00F669A7">
        <w:rPr>
          <w:b/>
          <w:lang w:val="en-US"/>
        </w:rPr>
        <w:t>, among other</w:t>
      </w:r>
      <w:r w:rsidR="00B5676E" w:rsidRPr="00F669A7">
        <w:rPr>
          <w:b/>
          <w:lang w:val="en-US"/>
        </w:rPr>
        <w:t xml:space="preserve"> measure</w:t>
      </w:r>
      <w:r w:rsidRPr="00F669A7">
        <w:rPr>
          <w:b/>
          <w:lang w:val="en-US"/>
        </w:rPr>
        <w:t xml:space="preserve">s, </w:t>
      </w:r>
      <w:r w:rsidR="00252945">
        <w:rPr>
          <w:b/>
          <w:lang w:val="en-US"/>
        </w:rPr>
        <w:t xml:space="preserve">to </w:t>
      </w:r>
      <w:r w:rsidRPr="00F669A7">
        <w:rPr>
          <w:b/>
          <w:lang w:val="en-US"/>
        </w:rPr>
        <w:t xml:space="preserve">guarantee the transparency and independence of its </w:t>
      </w:r>
      <w:r w:rsidR="004C756E" w:rsidRPr="00F669A7">
        <w:rPr>
          <w:b/>
          <w:lang w:val="en-US"/>
        </w:rPr>
        <w:t xml:space="preserve">anti-corruption </w:t>
      </w:r>
      <w:r w:rsidRPr="00F669A7">
        <w:rPr>
          <w:b/>
          <w:lang w:val="en-US"/>
        </w:rPr>
        <w:t>institutions</w:t>
      </w:r>
      <w:r w:rsidR="002854C3">
        <w:rPr>
          <w:b/>
          <w:lang w:val="en-US"/>
        </w:rPr>
        <w:t>,</w:t>
      </w:r>
      <w:r w:rsidRPr="00F669A7">
        <w:rPr>
          <w:b/>
          <w:lang w:val="en-US"/>
        </w:rPr>
        <w:t xml:space="preserve"> investigate all allegations of corruption and ensure effective implementation of </w:t>
      </w:r>
      <w:r w:rsidR="0054226B" w:rsidRPr="00F669A7">
        <w:rPr>
          <w:b/>
          <w:lang w:val="en-US"/>
        </w:rPr>
        <w:t>the anti-corruption law</w:t>
      </w:r>
      <w:r w:rsidR="002C678F" w:rsidRPr="00F669A7">
        <w:rPr>
          <w:b/>
          <w:lang w:val="en-US"/>
        </w:rPr>
        <w:t>. I</w:t>
      </w:r>
      <w:r w:rsidR="005738AF" w:rsidRPr="00F669A7">
        <w:rPr>
          <w:b/>
          <w:lang w:val="en-US"/>
        </w:rPr>
        <w:t xml:space="preserve">t </w:t>
      </w:r>
      <w:r w:rsidR="002C678F" w:rsidRPr="00F669A7">
        <w:rPr>
          <w:b/>
          <w:lang w:val="en-US"/>
        </w:rPr>
        <w:t xml:space="preserve">also </w:t>
      </w:r>
      <w:r w:rsidR="005738AF" w:rsidRPr="00F669A7">
        <w:rPr>
          <w:b/>
          <w:lang w:val="en-US"/>
        </w:rPr>
        <w:t>encourage</w:t>
      </w:r>
      <w:r w:rsidR="00E20AF1" w:rsidRPr="00F669A7">
        <w:rPr>
          <w:b/>
          <w:lang w:val="en-US"/>
        </w:rPr>
        <w:t>s the State party</w:t>
      </w:r>
      <w:r w:rsidR="005738AF" w:rsidRPr="00F669A7">
        <w:rPr>
          <w:b/>
          <w:lang w:val="en-US"/>
        </w:rPr>
        <w:t xml:space="preserve"> to allocate sufficient resources to the</w:t>
      </w:r>
      <w:r w:rsidR="0054226B" w:rsidRPr="00F669A7">
        <w:rPr>
          <w:b/>
          <w:lang w:val="en-US"/>
        </w:rPr>
        <w:t xml:space="preserve"> anti-corruption agency, </w:t>
      </w:r>
      <w:r w:rsidRPr="00F669A7">
        <w:rPr>
          <w:b/>
          <w:lang w:val="en-US"/>
        </w:rPr>
        <w:t>implement a zero-tolerance p</w:t>
      </w:r>
      <w:r w:rsidR="0054226B" w:rsidRPr="00F669A7">
        <w:rPr>
          <w:b/>
          <w:lang w:val="en-US"/>
        </w:rPr>
        <w:t>olicy against corruption and ensure effective protection of victims of corruption</w:t>
      </w:r>
      <w:r w:rsidR="00A40FE2" w:rsidRPr="00F669A7">
        <w:rPr>
          <w:b/>
          <w:lang w:val="en-US"/>
        </w:rPr>
        <w:t>,</w:t>
      </w:r>
      <w:r w:rsidR="0054226B" w:rsidRPr="00F669A7">
        <w:rPr>
          <w:b/>
          <w:lang w:val="en-US"/>
        </w:rPr>
        <w:t xml:space="preserve"> whistle-blowers</w:t>
      </w:r>
      <w:r w:rsidR="00A40FE2" w:rsidRPr="00F669A7">
        <w:rPr>
          <w:b/>
          <w:lang w:val="en-US"/>
        </w:rPr>
        <w:t>,</w:t>
      </w:r>
      <w:r w:rsidR="0054226B" w:rsidRPr="00F669A7">
        <w:rPr>
          <w:b/>
          <w:lang w:val="en-US"/>
        </w:rPr>
        <w:t xml:space="preserve"> and their lawyers.</w:t>
      </w:r>
    </w:p>
    <w:p w14:paraId="1CD020FE" w14:textId="77777777" w:rsidR="00A52519" w:rsidRPr="00F669A7" w:rsidRDefault="005A1F40" w:rsidP="00471932">
      <w:pPr>
        <w:pStyle w:val="H23G"/>
        <w:rPr>
          <w:lang w:val="en-US"/>
        </w:rPr>
      </w:pPr>
      <w:r w:rsidRPr="00F669A7">
        <w:rPr>
          <w:lang w:val="en-US"/>
        </w:rPr>
        <w:lastRenderedPageBreak/>
        <w:tab/>
      </w:r>
      <w:r w:rsidRPr="00F669A7">
        <w:rPr>
          <w:lang w:val="en-US"/>
        </w:rPr>
        <w:tab/>
      </w:r>
      <w:r w:rsidR="00A52519" w:rsidRPr="00F669A7">
        <w:rPr>
          <w:lang w:val="en-US"/>
        </w:rPr>
        <w:t>Official development assistance</w:t>
      </w:r>
    </w:p>
    <w:p w14:paraId="778E7880" w14:textId="77777777" w:rsidR="00A52519" w:rsidRPr="00F669A7" w:rsidRDefault="00A52519" w:rsidP="00471932">
      <w:pPr>
        <w:pStyle w:val="SingleTxtG"/>
        <w:numPr>
          <w:ilvl w:val="0"/>
          <w:numId w:val="18"/>
        </w:numPr>
        <w:ind w:left="1134" w:firstLine="0"/>
        <w:rPr>
          <w:lang w:val="en-US"/>
        </w:rPr>
      </w:pPr>
      <w:r w:rsidRPr="00F669A7">
        <w:rPr>
          <w:lang w:val="en-US"/>
        </w:rPr>
        <w:t xml:space="preserve">The Committee expresses concern over the decline in the </w:t>
      </w:r>
      <w:r w:rsidR="00DB4DCD">
        <w:rPr>
          <w:lang w:val="en-US"/>
        </w:rPr>
        <w:t xml:space="preserve">level of the </w:t>
      </w:r>
      <w:r w:rsidRPr="00F669A7">
        <w:rPr>
          <w:lang w:val="en-US"/>
        </w:rPr>
        <w:t>State party’s official development assistance from the already low figure of 0.2 per</w:t>
      </w:r>
      <w:r w:rsidR="00DB4DCD">
        <w:rPr>
          <w:lang w:val="en-US"/>
        </w:rPr>
        <w:t xml:space="preserve"> </w:t>
      </w:r>
      <w:r w:rsidRPr="00F669A7">
        <w:rPr>
          <w:lang w:val="en-US"/>
        </w:rPr>
        <w:t xml:space="preserve">cent of </w:t>
      </w:r>
      <w:r w:rsidRPr="00F669A7">
        <w:rPr>
          <w:bCs/>
          <w:lang w:val="en-US"/>
        </w:rPr>
        <w:t>gross national product</w:t>
      </w:r>
      <w:r w:rsidRPr="00F669A7">
        <w:rPr>
          <w:b/>
          <w:bCs/>
          <w:lang w:val="en-US"/>
        </w:rPr>
        <w:t xml:space="preserve"> </w:t>
      </w:r>
      <w:r w:rsidRPr="00F669A7">
        <w:rPr>
          <w:bCs/>
          <w:lang w:val="en-US"/>
        </w:rPr>
        <w:t>(</w:t>
      </w:r>
      <w:r w:rsidRPr="00F669A7">
        <w:rPr>
          <w:lang w:val="en-US"/>
        </w:rPr>
        <w:t>GNP) in 2006 to a mere 0.15 per</w:t>
      </w:r>
      <w:r w:rsidR="00DB4DCD">
        <w:rPr>
          <w:lang w:val="en-US"/>
        </w:rPr>
        <w:t xml:space="preserve"> </w:t>
      </w:r>
      <w:r w:rsidRPr="00F669A7">
        <w:rPr>
          <w:lang w:val="en-US"/>
        </w:rPr>
        <w:t>cent in 2010.</w:t>
      </w:r>
    </w:p>
    <w:p w14:paraId="2FB1CA9A" w14:textId="0066A5B5" w:rsidR="00A52519" w:rsidRPr="00F669A7" w:rsidRDefault="00A52519" w:rsidP="00DB4DCD">
      <w:pPr>
        <w:pStyle w:val="SingleTxtG"/>
        <w:numPr>
          <w:ilvl w:val="0"/>
          <w:numId w:val="18"/>
        </w:numPr>
        <w:ind w:left="1134" w:firstLine="0"/>
        <w:rPr>
          <w:b/>
          <w:lang w:val="en-US"/>
        </w:rPr>
      </w:pPr>
      <w:r w:rsidRPr="00F669A7">
        <w:rPr>
          <w:b/>
          <w:lang w:val="en-US"/>
        </w:rPr>
        <w:t xml:space="preserve">The Committee calls </w:t>
      </w:r>
      <w:r w:rsidR="001C6A13">
        <w:rPr>
          <w:b/>
          <w:lang w:val="en-US"/>
        </w:rPr>
        <w:t>up</w:t>
      </w:r>
      <w:r w:rsidRPr="00F669A7">
        <w:rPr>
          <w:b/>
          <w:lang w:val="en-US"/>
        </w:rPr>
        <w:t>on the State party to progressively increase its official development assistance to the internationally agreed level of 0.7 per</w:t>
      </w:r>
      <w:r w:rsidR="00DB4DCD">
        <w:rPr>
          <w:b/>
          <w:lang w:val="en-US"/>
        </w:rPr>
        <w:t xml:space="preserve"> </w:t>
      </w:r>
      <w:r w:rsidRPr="00F669A7">
        <w:rPr>
          <w:b/>
          <w:lang w:val="en-US"/>
        </w:rPr>
        <w:t xml:space="preserve">cent of GNP and to pursue </w:t>
      </w:r>
      <w:r w:rsidR="00DB4DCD">
        <w:rPr>
          <w:b/>
          <w:lang w:val="en-US"/>
        </w:rPr>
        <w:t xml:space="preserve">a </w:t>
      </w:r>
      <w:r w:rsidRPr="00F669A7">
        <w:rPr>
          <w:b/>
          <w:lang w:val="en-US"/>
        </w:rPr>
        <w:t>human rights</w:t>
      </w:r>
      <w:r w:rsidR="00DB4DCD">
        <w:rPr>
          <w:b/>
          <w:lang w:val="en-US"/>
        </w:rPr>
        <w:t>–</w:t>
      </w:r>
      <w:r w:rsidRPr="00F669A7">
        <w:rPr>
          <w:b/>
          <w:lang w:val="en-US"/>
        </w:rPr>
        <w:t xml:space="preserve">based approach in its development cooperation policy </w:t>
      </w:r>
      <w:r w:rsidR="00DB4DCD">
        <w:rPr>
          <w:b/>
          <w:lang w:val="en-US"/>
        </w:rPr>
        <w:t>that reflects</w:t>
      </w:r>
      <w:r w:rsidR="00DB4DCD" w:rsidRPr="00F669A7">
        <w:rPr>
          <w:b/>
          <w:lang w:val="en-US"/>
        </w:rPr>
        <w:t xml:space="preserve"> </w:t>
      </w:r>
      <w:r w:rsidRPr="00F669A7">
        <w:rPr>
          <w:b/>
          <w:lang w:val="en-US"/>
        </w:rPr>
        <w:t>the rights enshrined in the Covenant.</w:t>
      </w:r>
    </w:p>
    <w:p w14:paraId="52B63269" w14:textId="77777777" w:rsidR="00AB3EB8" w:rsidRPr="00F669A7" w:rsidRDefault="005A1F40" w:rsidP="00471932">
      <w:pPr>
        <w:pStyle w:val="H23G"/>
        <w:rPr>
          <w:lang w:val="en-US"/>
        </w:rPr>
      </w:pPr>
      <w:r w:rsidRPr="00F669A7">
        <w:rPr>
          <w:lang w:val="en-US"/>
        </w:rPr>
        <w:tab/>
      </w:r>
      <w:r w:rsidRPr="00F669A7">
        <w:rPr>
          <w:lang w:val="en-US"/>
        </w:rPr>
        <w:tab/>
      </w:r>
      <w:r w:rsidR="00AB3EB8" w:rsidRPr="00F669A7">
        <w:rPr>
          <w:lang w:val="en-US"/>
        </w:rPr>
        <w:t>National human rights institution</w:t>
      </w:r>
    </w:p>
    <w:p w14:paraId="32B8D663" w14:textId="141CEA8F" w:rsidR="00603406" w:rsidRPr="00F669A7" w:rsidRDefault="00603406" w:rsidP="00C244C9">
      <w:pPr>
        <w:pStyle w:val="SingleTxtG"/>
        <w:numPr>
          <w:ilvl w:val="0"/>
          <w:numId w:val="18"/>
        </w:numPr>
        <w:ind w:left="1134" w:firstLine="0"/>
        <w:rPr>
          <w:lang w:val="en-US"/>
        </w:rPr>
      </w:pPr>
      <w:r w:rsidRPr="00F669A7">
        <w:rPr>
          <w:lang w:val="en-US"/>
        </w:rPr>
        <w:t>While noting the information provided by the delega</w:t>
      </w:r>
      <w:r w:rsidR="00765EC1" w:rsidRPr="00F669A7">
        <w:rPr>
          <w:lang w:val="en-US"/>
        </w:rPr>
        <w:t>tion about the pending draft laws aimed at establishing</w:t>
      </w:r>
      <w:r w:rsidRPr="00F669A7">
        <w:rPr>
          <w:lang w:val="en-US"/>
        </w:rPr>
        <w:t xml:space="preserve"> a national human rights institution, the Committee remains concerned about </w:t>
      </w:r>
      <w:r w:rsidR="00C244C9">
        <w:rPr>
          <w:lang w:val="en-US"/>
        </w:rPr>
        <w:t>the continued</w:t>
      </w:r>
      <w:r w:rsidR="00C244C9" w:rsidRPr="00F669A7">
        <w:rPr>
          <w:lang w:val="en-US"/>
        </w:rPr>
        <w:t xml:space="preserve"> </w:t>
      </w:r>
      <w:r w:rsidRPr="00F669A7">
        <w:rPr>
          <w:lang w:val="en-US"/>
        </w:rPr>
        <w:t>delays in doing so despit</w:t>
      </w:r>
      <w:r w:rsidR="003D7D14" w:rsidRPr="00F669A7">
        <w:rPr>
          <w:lang w:val="en-US"/>
        </w:rPr>
        <w:t>e its previous recommendation</w:t>
      </w:r>
      <w:r w:rsidRPr="00F669A7">
        <w:rPr>
          <w:lang w:val="en-US"/>
        </w:rPr>
        <w:t>.</w:t>
      </w:r>
    </w:p>
    <w:p w14:paraId="7805718C" w14:textId="43F27AD6" w:rsidR="00321092" w:rsidRPr="00F669A7" w:rsidRDefault="00603406" w:rsidP="00471932">
      <w:pPr>
        <w:pStyle w:val="SingleTxtG"/>
        <w:numPr>
          <w:ilvl w:val="0"/>
          <w:numId w:val="18"/>
        </w:numPr>
        <w:ind w:left="1134" w:firstLine="0"/>
        <w:rPr>
          <w:b/>
          <w:lang w:val="en-US"/>
        </w:rPr>
      </w:pPr>
      <w:r w:rsidRPr="00F669A7">
        <w:rPr>
          <w:b/>
          <w:lang w:val="en-US"/>
        </w:rPr>
        <w:t xml:space="preserve">The Committee </w:t>
      </w:r>
      <w:r w:rsidR="004D1C01" w:rsidRPr="00F669A7">
        <w:rPr>
          <w:b/>
          <w:lang w:val="en-US"/>
        </w:rPr>
        <w:t xml:space="preserve">urges </w:t>
      </w:r>
      <w:r w:rsidRPr="00F669A7">
        <w:rPr>
          <w:b/>
          <w:lang w:val="en-US"/>
        </w:rPr>
        <w:t>the State party to redouble its efforts to establish an adequately resourced national human rights institution that is compliant with the principles relating to the status of national institutions (Paris Principles)</w:t>
      </w:r>
      <w:r w:rsidR="00C244C9">
        <w:rPr>
          <w:b/>
          <w:lang w:val="en-US"/>
        </w:rPr>
        <w:t xml:space="preserve"> and is</w:t>
      </w:r>
      <w:r w:rsidR="008B1A99" w:rsidRPr="00F669A7">
        <w:rPr>
          <w:b/>
          <w:lang w:val="en-US"/>
        </w:rPr>
        <w:t xml:space="preserve"> mandated with </w:t>
      </w:r>
      <w:r w:rsidR="00C244C9">
        <w:rPr>
          <w:b/>
          <w:lang w:val="en-US"/>
        </w:rPr>
        <w:t xml:space="preserve">the </w:t>
      </w:r>
      <w:r w:rsidR="008B1A99" w:rsidRPr="00F669A7">
        <w:rPr>
          <w:b/>
          <w:lang w:val="en-US"/>
        </w:rPr>
        <w:t>protection and promotion of all human rights, including economic, social and cultural rights</w:t>
      </w:r>
      <w:r w:rsidRPr="00F669A7">
        <w:rPr>
          <w:b/>
          <w:lang w:val="en-US"/>
        </w:rPr>
        <w:t>.</w:t>
      </w:r>
    </w:p>
    <w:p w14:paraId="03E2030C" w14:textId="063AEC4A" w:rsidR="0054342B" w:rsidRPr="00F669A7" w:rsidRDefault="005A1F40" w:rsidP="00471932">
      <w:pPr>
        <w:pStyle w:val="H23G"/>
        <w:rPr>
          <w:lang w:val="en-US"/>
        </w:rPr>
      </w:pPr>
      <w:r w:rsidRPr="00F669A7">
        <w:rPr>
          <w:lang w:val="en-US"/>
        </w:rPr>
        <w:tab/>
      </w:r>
      <w:r w:rsidRPr="00F669A7">
        <w:rPr>
          <w:lang w:val="en-US"/>
        </w:rPr>
        <w:tab/>
      </w:r>
      <w:r w:rsidR="002B7CA9">
        <w:rPr>
          <w:lang w:val="en-US"/>
        </w:rPr>
        <w:t>L</w:t>
      </w:r>
      <w:r w:rsidR="0054342B" w:rsidRPr="00F669A7">
        <w:rPr>
          <w:lang w:val="en-US"/>
        </w:rPr>
        <w:t>egal framework</w:t>
      </w:r>
      <w:r w:rsidR="002B7CA9" w:rsidRPr="002B7CA9">
        <w:rPr>
          <w:lang w:val="en-US"/>
        </w:rPr>
        <w:t xml:space="preserve"> </w:t>
      </w:r>
      <w:r w:rsidR="002B7CA9">
        <w:rPr>
          <w:lang w:val="en-US"/>
        </w:rPr>
        <w:t>for n</w:t>
      </w:r>
      <w:r w:rsidR="002B7CA9" w:rsidRPr="00124F57">
        <w:rPr>
          <w:lang w:val="en-US"/>
        </w:rPr>
        <w:t>on-discrimination</w:t>
      </w:r>
    </w:p>
    <w:p w14:paraId="109B8827" w14:textId="69919D0D" w:rsidR="00765EC1" w:rsidRPr="00F669A7" w:rsidRDefault="00765EC1" w:rsidP="00471932">
      <w:pPr>
        <w:pStyle w:val="SingleTxtG"/>
        <w:numPr>
          <w:ilvl w:val="0"/>
          <w:numId w:val="18"/>
        </w:numPr>
        <w:ind w:left="1134" w:firstLine="0"/>
        <w:rPr>
          <w:lang w:val="en-US"/>
        </w:rPr>
      </w:pPr>
      <w:r w:rsidRPr="00F669A7">
        <w:rPr>
          <w:lang w:val="en-US"/>
        </w:rPr>
        <w:t xml:space="preserve">While taking note of the anti-discrimination provision in the State party’s Constitution, the Committee is concerned that not all </w:t>
      </w:r>
      <w:r w:rsidR="00E20AF1" w:rsidRPr="00F669A7">
        <w:rPr>
          <w:lang w:val="en-US"/>
        </w:rPr>
        <w:t xml:space="preserve">grounds of discrimination </w:t>
      </w:r>
      <w:r w:rsidRPr="00F669A7">
        <w:rPr>
          <w:lang w:val="en-US"/>
        </w:rPr>
        <w:t xml:space="preserve">prohibited </w:t>
      </w:r>
      <w:r w:rsidR="00E20AF1" w:rsidRPr="00F669A7">
        <w:rPr>
          <w:lang w:val="en-US"/>
        </w:rPr>
        <w:t xml:space="preserve">under the Covenant </w:t>
      </w:r>
      <w:r w:rsidRPr="00F669A7">
        <w:rPr>
          <w:lang w:val="en-US"/>
        </w:rPr>
        <w:t>are enumerated in that provision</w:t>
      </w:r>
      <w:r w:rsidR="00010174" w:rsidRPr="00F669A7">
        <w:rPr>
          <w:lang w:val="en-US"/>
        </w:rPr>
        <w:t>,</w:t>
      </w:r>
      <w:r w:rsidR="00575099" w:rsidRPr="00F669A7">
        <w:rPr>
          <w:lang w:val="en-US"/>
        </w:rPr>
        <w:t xml:space="preserve"> </w:t>
      </w:r>
      <w:r w:rsidR="00010174" w:rsidRPr="00F669A7">
        <w:rPr>
          <w:lang w:val="en-US"/>
        </w:rPr>
        <w:t>and</w:t>
      </w:r>
      <w:r w:rsidR="006D65F9" w:rsidRPr="00F669A7">
        <w:rPr>
          <w:lang w:val="en-US"/>
        </w:rPr>
        <w:t xml:space="preserve"> that existing</w:t>
      </w:r>
      <w:r w:rsidR="000C01BC" w:rsidRPr="00F669A7">
        <w:rPr>
          <w:lang w:val="en-US"/>
        </w:rPr>
        <w:t xml:space="preserve"> legislation</w:t>
      </w:r>
      <w:r w:rsidR="006D65F9" w:rsidRPr="00F669A7">
        <w:rPr>
          <w:lang w:val="en-US"/>
        </w:rPr>
        <w:t xml:space="preserve"> </w:t>
      </w:r>
      <w:r w:rsidR="002C678F" w:rsidRPr="00F669A7">
        <w:rPr>
          <w:lang w:val="en-US"/>
        </w:rPr>
        <w:t>address</w:t>
      </w:r>
      <w:r w:rsidR="00D83427">
        <w:rPr>
          <w:lang w:val="en-US"/>
        </w:rPr>
        <w:t>es</w:t>
      </w:r>
      <w:r w:rsidR="006D65F9" w:rsidRPr="00F669A7">
        <w:rPr>
          <w:lang w:val="en-US"/>
        </w:rPr>
        <w:t xml:space="preserve"> </w:t>
      </w:r>
      <w:r w:rsidR="00010174" w:rsidRPr="00F669A7">
        <w:rPr>
          <w:lang w:val="en-US"/>
        </w:rPr>
        <w:t xml:space="preserve">only </w:t>
      </w:r>
      <w:r w:rsidR="000C01BC" w:rsidRPr="00F669A7">
        <w:rPr>
          <w:lang w:val="en-US"/>
        </w:rPr>
        <w:t>some grounds</w:t>
      </w:r>
      <w:r w:rsidR="006D65F9" w:rsidRPr="00F669A7">
        <w:rPr>
          <w:lang w:val="en-US"/>
        </w:rPr>
        <w:t xml:space="preserve"> of discrimination</w:t>
      </w:r>
      <w:r w:rsidR="008139BF" w:rsidRPr="00F669A7">
        <w:rPr>
          <w:lang w:val="en-US"/>
        </w:rPr>
        <w:t>. The Committee is also conc</w:t>
      </w:r>
      <w:r w:rsidR="00503CEE" w:rsidRPr="00F669A7">
        <w:rPr>
          <w:lang w:val="en-US"/>
        </w:rPr>
        <w:t>erned that same-sex unions are</w:t>
      </w:r>
      <w:r w:rsidR="008139BF" w:rsidRPr="00F669A7">
        <w:rPr>
          <w:lang w:val="en-US"/>
        </w:rPr>
        <w:t xml:space="preserve"> not recognized in the State party’s legislation</w:t>
      </w:r>
      <w:r w:rsidR="006D65F9" w:rsidRPr="00F669A7">
        <w:rPr>
          <w:lang w:val="en-US"/>
        </w:rPr>
        <w:t xml:space="preserve"> </w:t>
      </w:r>
      <w:r w:rsidR="00575099" w:rsidRPr="00F669A7">
        <w:rPr>
          <w:lang w:val="en-US"/>
        </w:rPr>
        <w:t xml:space="preserve">(art. 2 </w:t>
      </w:r>
      <w:r w:rsidR="00105918">
        <w:rPr>
          <w:lang w:val="en-US"/>
        </w:rPr>
        <w:t>(</w:t>
      </w:r>
      <w:r w:rsidR="00575099" w:rsidRPr="00F669A7">
        <w:rPr>
          <w:lang w:val="en-US"/>
        </w:rPr>
        <w:t>2</w:t>
      </w:r>
      <w:r w:rsidR="00105918">
        <w:rPr>
          <w:lang w:val="en-US"/>
        </w:rPr>
        <w:t>)</w:t>
      </w:r>
      <w:r w:rsidR="00575099" w:rsidRPr="00F669A7">
        <w:rPr>
          <w:lang w:val="en-US"/>
        </w:rPr>
        <w:t>)</w:t>
      </w:r>
      <w:r w:rsidRPr="00F669A7">
        <w:rPr>
          <w:lang w:val="en-US"/>
        </w:rPr>
        <w:t>.</w:t>
      </w:r>
    </w:p>
    <w:p w14:paraId="39C2FAC3" w14:textId="1AC10F26" w:rsidR="00010174" w:rsidRPr="00F669A7" w:rsidRDefault="00010174" w:rsidP="00C57D84">
      <w:pPr>
        <w:pStyle w:val="SingleTxtG"/>
        <w:numPr>
          <w:ilvl w:val="0"/>
          <w:numId w:val="18"/>
        </w:numPr>
        <w:ind w:left="1134" w:firstLine="0"/>
        <w:rPr>
          <w:rFonts w:eastAsia="Malgun Gothic"/>
          <w:b/>
          <w:lang w:val="en-US"/>
        </w:rPr>
      </w:pPr>
      <w:r w:rsidRPr="00F669A7">
        <w:rPr>
          <w:b/>
          <w:lang w:val="en-US"/>
        </w:rPr>
        <w:t>The Committee recommends that the State party take steps to</w:t>
      </w:r>
      <w:r w:rsidRPr="00F669A7">
        <w:rPr>
          <w:rFonts w:eastAsia="Malgun Gothic"/>
          <w:b/>
          <w:lang w:val="en-US"/>
        </w:rPr>
        <w:t xml:space="preserve"> adopt</w:t>
      </w:r>
      <w:r w:rsidR="00ED5A87" w:rsidRPr="00F669A7">
        <w:rPr>
          <w:rFonts w:eastAsia="Malgun Gothic"/>
          <w:b/>
          <w:lang w:val="en-US"/>
        </w:rPr>
        <w:t xml:space="preserve"> a</w:t>
      </w:r>
      <w:r w:rsidRPr="00F669A7">
        <w:rPr>
          <w:rFonts w:eastAsia="Malgun Gothic"/>
          <w:b/>
          <w:lang w:val="en-US"/>
        </w:rPr>
        <w:t xml:space="preserve"> comprehensive anti-discrimination law</w:t>
      </w:r>
      <w:r w:rsidR="00D83427">
        <w:rPr>
          <w:rFonts w:eastAsia="Malgun Gothic"/>
          <w:b/>
          <w:lang w:val="en-US"/>
        </w:rPr>
        <w:t xml:space="preserve"> that</w:t>
      </w:r>
      <w:r w:rsidRPr="00F669A7">
        <w:rPr>
          <w:rFonts w:eastAsia="Malgun Gothic"/>
          <w:b/>
          <w:lang w:val="en-US"/>
        </w:rPr>
        <w:t xml:space="preserve"> guarantee</w:t>
      </w:r>
      <w:r w:rsidR="00D83427">
        <w:rPr>
          <w:rFonts w:eastAsia="Malgun Gothic"/>
          <w:b/>
          <w:lang w:val="en-US"/>
        </w:rPr>
        <w:t>s</w:t>
      </w:r>
      <w:r w:rsidRPr="00F669A7">
        <w:rPr>
          <w:rFonts w:eastAsia="Malgun Gothic"/>
          <w:b/>
          <w:lang w:val="en-US"/>
        </w:rPr>
        <w:t xml:space="preserve"> protection for </w:t>
      </w:r>
      <w:r w:rsidR="00D83427">
        <w:rPr>
          <w:rFonts w:eastAsia="Malgun Gothic"/>
          <w:b/>
          <w:lang w:val="en-US"/>
        </w:rPr>
        <w:t>everyone</w:t>
      </w:r>
      <w:r w:rsidR="00D83427" w:rsidRPr="00F669A7">
        <w:rPr>
          <w:rFonts w:eastAsia="Malgun Gothic"/>
          <w:b/>
          <w:lang w:val="en-US"/>
        </w:rPr>
        <w:t xml:space="preserve"> </w:t>
      </w:r>
      <w:r w:rsidRPr="00F669A7">
        <w:rPr>
          <w:rFonts w:eastAsia="Malgun Gothic"/>
          <w:b/>
          <w:lang w:val="en-US"/>
        </w:rPr>
        <w:t>against discrimination in the enjoyment of economic, social and cultural rights, and encompass</w:t>
      </w:r>
      <w:r w:rsidR="00D83427">
        <w:rPr>
          <w:rFonts w:eastAsia="Malgun Gothic"/>
          <w:b/>
          <w:lang w:val="en-US"/>
        </w:rPr>
        <w:t>es</w:t>
      </w:r>
      <w:r w:rsidRPr="00F669A7">
        <w:rPr>
          <w:rFonts w:eastAsia="Malgun Gothic"/>
          <w:b/>
          <w:lang w:val="en-US"/>
        </w:rPr>
        <w:t xml:space="preserve"> all </w:t>
      </w:r>
      <w:r w:rsidR="003732D7" w:rsidRPr="00F669A7">
        <w:rPr>
          <w:rFonts w:eastAsia="Malgun Gothic"/>
          <w:b/>
          <w:lang w:val="en-US"/>
        </w:rPr>
        <w:t>forms</w:t>
      </w:r>
      <w:r w:rsidRPr="00F669A7">
        <w:rPr>
          <w:rFonts w:eastAsia="Malgun Gothic"/>
          <w:b/>
          <w:lang w:val="en-US"/>
        </w:rPr>
        <w:t xml:space="preserve"> of discriminatio</w:t>
      </w:r>
      <w:r w:rsidR="00DA5587" w:rsidRPr="00F669A7">
        <w:rPr>
          <w:rFonts w:eastAsia="Malgun Gothic"/>
          <w:b/>
          <w:lang w:val="en-US"/>
        </w:rPr>
        <w:t>n, including sexual orientation</w:t>
      </w:r>
      <w:r w:rsidR="000C01BC" w:rsidRPr="00F669A7">
        <w:rPr>
          <w:rFonts w:eastAsia="Malgun Gothic"/>
          <w:b/>
          <w:lang w:val="en-US"/>
        </w:rPr>
        <w:t xml:space="preserve"> and gender identity</w:t>
      </w:r>
      <w:r w:rsidRPr="00F669A7">
        <w:rPr>
          <w:rFonts w:eastAsia="Malgun Gothic"/>
          <w:b/>
          <w:lang w:val="en-US"/>
        </w:rPr>
        <w:t xml:space="preserve">. </w:t>
      </w:r>
      <w:r w:rsidR="00105918">
        <w:rPr>
          <w:rFonts w:eastAsia="Malgun Gothic"/>
          <w:b/>
          <w:lang w:val="en-US"/>
        </w:rPr>
        <w:t>It also recommends that t</w:t>
      </w:r>
      <w:r w:rsidR="00503CEE" w:rsidRPr="00F669A7">
        <w:rPr>
          <w:rFonts w:eastAsia="Malgun Gothic"/>
          <w:b/>
          <w:lang w:val="en-US"/>
        </w:rPr>
        <w:t xml:space="preserve">he State party </w:t>
      </w:r>
      <w:r w:rsidR="00503CEE" w:rsidRPr="00F669A7">
        <w:rPr>
          <w:rFonts w:eastAsia="Malgun Gothic"/>
          <w:b/>
          <w:lang w:val="en-US" w:eastAsia="ko-KR"/>
        </w:rPr>
        <w:t>r</w:t>
      </w:r>
      <w:r w:rsidR="00503CEE" w:rsidRPr="00F669A7">
        <w:rPr>
          <w:rFonts w:eastAsia="Malgun Gothic"/>
          <w:b/>
          <w:lang w:val="en-US"/>
        </w:rPr>
        <w:t xml:space="preserve">ecognize </w:t>
      </w:r>
      <w:r w:rsidR="00503CEE" w:rsidRPr="00F669A7">
        <w:rPr>
          <w:rFonts w:eastAsia="Malgun Gothic"/>
          <w:b/>
          <w:lang w:val="en-US" w:eastAsia="ko-KR"/>
        </w:rPr>
        <w:t xml:space="preserve">that </w:t>
      </w:r>
      <w:r w:rsidR="000C01BC" w:rsidRPr="00F669A7">
        <w:rPr>
          <w:rFonts w:eastAsia="Malgun Gothic"/>
          <w:b/>
          <w:lang w:val="en-US" w:eastAsia="ko-KR"/>
        </w:rPr>
        <w:t xml:space="preserve">individuals in </w:t>
      </w:r>
      <w:r w:rsidR="00503CEE" w:rsidRPr="00F669A7">
        <w:rPr>
          <w:rFonts w:eastAsia="Malgun Gothic"/>
          <w:b/>
          <w:lang w:val="en-US"/>
        </w:rPr>
        <w:t xml:space="preserve">same-sex </w:t>
      </w:r>
      <w:r w:rsidR="003732D7" w:rsidRPr="00F669A7">
        <w:rPr>
          <w:rFonts w:eastAsia="Malgun Gothic"/>
          <w:b/>
          <w:lang w:val="en-US"/>
        </w:rPr>
        <w:t>unions</w:t>
      </w:r>
      <w:r w:rsidR="00503CEE" w:rsidRPr="00F669A7">
        <w:rPr>
          <w:rFonts w:eastAsia="Malgun Gothic"/>
          <w:b/>
          <w:lang w:val="en-US"/>
        </w:rPr>
        <w:t xml:space="preserve"> are entitled to equal enjoyment of their </w:t>
      </w:r>
      <w:r w:rsidR="00503CEE" w:rsidRPr="00F669A7">
        <w:rPr>
          <w:rFonts w:eastAsia="Malgun Gothic"/>
          <w:b/>
          <w:lang w:val="en-US" w:eastAsia="ko-KR"/>
        </w:rPr>
        <w:t>economic, social and cultural rights</w:t>
      </w:r>
      <w:r w:rsidR="00503CEE" w:rsidRPr="00F669A7">
        <w:rPr>
          <w:rFonts w:eastAsia="Malgun Gothic"/>
          <w:b/>
          <w:lang w:val="en-US"/>
        </w:rPr>
        <w:t xml:space="preserve">. </w:t>
      </w:r>
      <w:r w:rsidRPr="00F669A7">
        <w:rPr>
          <w:rFonts w:eastAsia="Malgun Gothic"/>
          <w:b/>
          <w:lang w:val="en-US"/>
        </w:rPr>
        <w:t>The Committee draws the State party’s attention to it</w:t>
      </w:r>
      <w:r w:rsidR="005738AF" w:rsidRPr="00F669A7">
        <w:rPr>
          <w:rFonts w:eastAsia="Malgun Gothic"/>
          <w:b/>
          <w:lang w:val="en-US"/>
        </w:rPr>
        <w:t xml:space="preserve">s general comment </w:t>
      </w:r>
      <w:r w:rsidR="001F3C1B" w:rsidRPr="00F669A7">
        <w:rPr>
          <w:rFonts w:eastAsia="Malgun Gothic"/>
          <w:b/>
          <w:lang w:val="en-US"/>
        </w:rPr>
        <w:t>N</w:t>
      </w:r>
      <w:r w:rsidR="005738AF" w:rsidRPr="00F669A7">
        <w:rPr>
          <w:rFonts w:eastAsia="Malgun Gothic"/>
          <w:b/>
          <w:lang w:val="en-US"/>
        </w:rPr>
        <w:t xml:space="preserve">o. 20 (2009) </w:t>
      </w:r>
      <w:r w:rsidRPr="00F669A7">
        <w:rPr>
          <w:rFonts w:eastAsia="Malgun Gothic"/>
          <w:b/>
          <w:lang w:val="en-US"/>
        </w:rPr>
        <w:t>on non-discrimination in economic, social and cultural rights.</w:t>
      </w:r>
      <w:r w:rsidRPr="00F669A7">
        <w:rPr>
          <w:rFonts w:ascii="Verdana" w:eastAsia="Malgun Gothic" w:hAnsi="Verdana"/>
          <w:bCs/>
          <w:sz w:val="18"/>
          <w:szCs w:val="18"/>
          <w:lang w:val="en-US"/>
        </w:rPr>
        <w:t xml:space="preserve"> </w:t>
      </w:r>
    </w:p>
    <w:p w14:paraId="081AE655" w14:textId="1D943F02" w:rsidR="00451B32" w:rsidRPr="00F669A7" w:rsidRDefault="005A1F40" w:rsidP="00471932">
      <w:pPr>
        <w:pStyle w:val="H23G"/>
        <w:rPr>
          <w:lang w:val="en-US"/>
        </w:rPr>
      </w:pPr>
      <w:r w:rsidRPr="00F669A7">
        <w:rPr>
          <w:lang w:val="en-US"/>
        </w:rPr>
        <w:tab/>
      </w:r>
      <w:r w:rsidRPr="00F669A7">
        <w:rPr>
          <w:lang w:val="en-US"/>
        </w:rPr>
        <w:tab/>
      </w:r>
      <w:r w:rsidR="009732A9" w:rsidRPr="00F669A7">
        <w:rPr>
          <w:lang w:val="en-US"/>
        </w:rPr>
        <w:t>Migrants, asylum seekers and refugees</w:t>
      </w:r>
    </w:p>
    <w:p w14:paraId="0B02F60B" w14:textId="7E9165E1" w:rsidR="00451B32" w:rsidRPr="00F669A7" w:rsidRDefault="00451B32" w:rsidP="00C57D84">
      <w:pPr>
        <w:pStyle w:val="SingleTxtG"/>
        <w:numPr>
          <w:ilvl w:val="0"/>
          <w:numId w:val="18"/>
        </w:numPr>
        <w:ind w:left="1134" w:firstLine="0"/>
        <w:rPr>
          <w:lang w:val="en-US"/>
        </w:rPr>
      </w:pPr>
      <w:r w:rsidRPr="00F669A7">
        <w:rPr>
          <w:lang w:val="en-US"/>
        </w:rPr>
        <w:t xml:space="preserve">The Committee appreciates the efforts </w:t>
      </w:r>
      <w:r w:rsidR="009732A9" w:rsidRPr="00F669A7">
        <w:rPr>
          <w:lang w:val="en-US"/>
        </w:rPr>
        <w:t xml:space="preserve">made </w:t>
      </w:r>
      <w:r w:rsidRPr="00F669A7">
        <w:rPr>
          <w:lang w:val="en-US"/>
        </w:rPr>
        <w:t>by the State party</w:t>
      </w:r>
      <w:r w:rsidR="00D83427">
        <w:rPr>
          <w:lang w:val="en-US"/>
        </w:rPr>
        <w:t>,</w:t>
      </w:r>
      <w:r w:rsidRPr="00F669A7">
        <w:rPr>
          <w:lang w:val="en-US"/>
        </w:rPr>
        <w:t xml:space="preserve"> </w:t>
      </w:r>
      <w:r w:rsidR="009732A9" w:rsidRPr="00F669A7">
        <w:rPr>
          <w:lang w:val="en-US"/>
        </w:rPr>
        <w:t xml:space="preserve">including through the launch </w:t>
      </w:r>
      <w:r w:rsidR="00EF3788">
        <w:rPr>
          <w:lang w:val="en-US"/>
        </w:rPr>
        <w:t xml:space="preserve">in 2013 </w:t>
      </w:r>
      <w:r w:rsidR="009732A9" w:rsidRPr="00F669A7">
        <w:rPr>
          <w:lang w:val="en-US"/>
        </w:rPr>
        <w:t>of</w:t>
      </w:r>
      <w:r w:rsidR="00D83427">
        <w:rPr>
          <w:lang w:val="en-US"/>
        </w:rPr>
        <w:t xml:space="preserve"> </w:t>
      </w:r>
      <w:r w:rsidR="00105918">
        <w:rPr>
          <w:lang w:val="en-US"/>
        </w:rPr>
        <w:t>operation</w:t>
      </w:r>
      <w:r w:rsidR="009732A9" w:rsidRPr="00F669A7">
        <w:rPr>
          <w:lang w:val="en-US"/>
        </w:rPr>
        <w:t xml:space="preserve"> Mare Nostrum</w:t>
      </w:r>
      <w:r w:rsidR="00D83427">
        <w:rPr>
          <w:lang w:val="en-US"/>
        </w:rPr>
        <w:t>,</w:t>
      </w:r>
      <w:r w:rsidR="009732A9" w:rsidRPr="00F669A7">
        <w:rPr>
          <w:lang w:val="en-US"/>
        </w:rPr>
        <w:t xml:space="preserve"> </w:t>
      </w:r>
      <w:r w:rsidRPr="00F669A7">
        <w:rPr>
          <w:lang w:val="en-US"/>
        </w:rPr>
        <w:t xml:space="preserve">to </w:t>
      </w:r>
      <w:r w:rsidR="00B5676E" w:rsidRPr="00F669A7">
        <w:rPr>
          <w:lang w:val="en-US"/>
        </w:rPr>
        <w:t xml:space="preserve">receive and </w:t>
      </w:r>
      <w:r w:rsidRPr="00F669A7">
        <w:rPr>
          <w:lang w:val="en-US"/>
        </w:rPr>
        <w:t>host exceptional number</w:t>
      </w:r>
      <w:r w:rsidR="00EF3788">
        <w:rPr>
          <w:lang w:val="en-US"/>
        </w:rPr>
        <w:t>s</w:t>
      </w:r>
      <w:r w:rsidRPr="00F669A7">
        <w:rPr>
          <w:lang w:val="en-US"/>
        </w:rPr>
        <w:t xml:space="preserve"> of</w:t>
      </w:r>
      <w:r w:rsidR="00165A5C" w:rsidRPr="00F669A7">
        <w:rPr>
          <w:lang w:val="en-US"/>
        </w:rPr>
        <w:t xml:space="preserve"> </w:t>
      </w:r>
      <w:r w:rsidR="001442A4" w:rsidRPr="00F669A7">
        <w:rPr>
          <w:lang w:val="en-US"/>
        </w:rPr>
        <w:t>migrants</w:t>
      </w:r>
      <w:r w:rsidR="009732A9" w:rsidRPr="00F669A7">
        <w:rPr>
          <w:lang w:val="en-US"/>
        </w:rPr>
        <w:t>, asylum seekers and refugees</w:t>
      </w:r>
      <w:r w:rsidRPr="00F669A7">
        <w:rPr>
          <w:lang w:val="en-US"/>
        </w:rPr>
        <w:t xml:space="preserve">. </w:t>
      </w:r>
      <w:r w:rsidR="009732A9" w:rsidRPr="00F669A7">
        <w:rPr>
          <w:lang w:val="en-US"/>
        </w:rPr>
        <w:t>The Committee</w:t>
      </w:r>
      <w:r w:rsidR="00BD000C" w:rsidRPr="00F669A7">
        <w:rPr>
          <w:lang w:val="en-US"/>
        </w:rPr>
        <w:t>,</w:t>
      </w:r>
      <w:r w:rsidRPr="00F669A7">
        <w:rPr>
          <w:lang w:val="en-US"/>
        </w:rPr>
        <w:t xml:space="preserve"> however</w:t>
      </w:r>
      <w:r w:rsidR="00BD000C" w:rsidRPr="00F669A7">
        <w:rPr>
          <w:lang w:val="en-US"/>
        </w:rPr>
        <w:t>,</w:t>
      </w:r>
      <w:r w:rsidRPr="00F669A7">
        <w:rPr>
          <w:lang w:val="en-US"/>
        </w:rPr>
        <w:t xml:space="preserve"> remains concerned </w:t>
      </w:r>
      <w:r w:rsidR="009732A9" w:rsidRPr="00F669A7">
        <w:rPr>
          <w:lang w:val="en-US"/>
        </w:rPr>
        <w:t>about</w:t>
      </w:r>
      <w:r w:rsidR="003D7D14" w:rsidRPr="00F669A7">
        <w:rPr>
          <w:lang w:val="en-US"/>
        </w:rPr>
        <w:t xml:space="preserve"> the </w:t>
      </w:r>
      <w:r w:rsidR="009732A9" w:rsidRPr="00F669A7">
        <w:rPr>
          <w:lang w:val="en-US"/>
        </w:rPr>
        <w:t xml:space="preserve">reported </w:t>
      </w:r>
      <w:r w:rsidR="003D7D14" w:rsidRPr="00F669A7">
        <w:rPr>
          <w:lang w:val="en-US"/>
        </w:rPr>
        <w:t xml:space="preserve">practice of </w:t>
      </w:r>
      <w:r w:rsidR="001442A4" w:rsidRPr="00F669A7">
        <w:rPr>
          <w:lang w:val="en-US"/>
        </w:rPr>
        <w:t>pushbacks</w:t>
      </w:r>
      <w:r w:rsidR="003D7D14" w:rsidRPr="00F669A7">
        <w:rPr>
          <w:lang w:val="en-US"/>
        </w:rPr>
        <w:t xml:space="preserve"> and </w:t>
      </w:r>
      <w:r w:rsidRPr="00F669A7">
        <w:rPr>
          <w:lang w:val="en-US"/>
        </w:rPr>
        <w:t xml:space="preserve">about limited enjoyment of the Covenant rights </w:t>
      </w:r>
      <w:r w:rsidR="00BD000C" w:rsidRPr="00F669A7">
        <w:rPr>
          <w:lang w:val="en-US"/>
        </w:rPr>
        <w:t>by</w:t>
      </w:r>
      <w:r w:rsidRPr="00F669A7">
        <w:rPr>
          <w:lang w:val="en-US"/>
        </w:rPr>
        <w:t xml:space="preserve"> migrants</w:t>
      </w:r>
      <w:r w:rsidR="009732A9" w:rsidRPr="00F669A7">
        <w:rPr>
          <w:lang w:val="en-US"/>
        </w:rPr>
        <w:t xml:space="preserve">, asylum seekers and refugees upon arrival </w:t>
      </w:r>
      <w:r w:rsidR="00EF3788">
        <w:rPr>
          <w:lang w:val="en-US"/>
        </w:rPr>
        <w:t>in</w:t>
      </w:r>
      <w:r w:rsidR="009732A9" w:rsidRPr="00F669A7">
        <w:rPr>
          <w:lang w:val="en-US"/>
        </w:rPr>
        <w:t xml:space="preserve"> the State party</w:t>
      </w:r>
      <w:r w:rsidR="00BD000C" w:rsidRPr="00F669A7">
        <w:rPr>
          <w:lang w:val="en-US"/>
        </w:rPr>
        <w:t>.</w:t>
      </w:r>
      <w:r w:rsidR="00C77BA7" w:rsidRPr="00F669A7">
        <w:rPr>
          <w:lang w:val="en-US"/>
        </w:rPr>
        <w:t xml:space="preserve"> The Committee is particularly concerned about the </w:t>
      </w:r>
      <w:r w:rsidR="009732A9" w:rsidRPr="00F669A7">
        <w:rPr>
          <w:lang w:val="en-US"/>
        </w:rPr>
        <w:t>insufficient number of reception cent</w:t>
      </w:r>
      <w:r w:rsidR="00EF3788">
        <w:rPr>
          <w:lang w:val="en-US"/>
        </w:rPr>
        <w:t>re</w:t>
      </w:r>
      <w:r w:rsidR="009732A9" w:rsidRPr="00F669A7">
        <w:rPr>
          <w:lang w:val="en-US"/>
        </w:rPr>
        <w:t xml:space="preserve">s in the State party and the </w:t>
      </w:r>
      <w:r w:rsidR="00C77BA7" w:rsidRPr="00F669A7">
        <w:rPr>
          <w:lang w:val="en-US"/>
        </w:rPr>
        <w:t xml:space="preserve">substandard conditions </w:t>
      </w:r>
      <w:r w:rsidR="009732A9" w:rsidRPr="00F669A7">
        <w:rPr>
          <w:lang w:val="en-US"/>
        </w:rPr>
        <w:t>therein</w:t>
      </w:r>
      <w:r w:rsidR="00481D59" w:rsidRPr="00F669A7">
        <w:rPr>
          <w:lang w:val="en-US"/>
        </w:rPr>
        <w:t xml:space="preserve"> </w:t>
      </w:r>
      <w:r w:rsidRPr="00F669A7">
        <w:rPr>
          <w:lang w:val="en-US"/>
        </w:rPr>
        <w:t xml:space="preserve">(art. 2 </w:t>
      </w:r>
      <w:r w:rsidR="00105918">
        <w:rPr>
          <w:lang w:val="en-US"/>
        </w:rPr>
        <w:t>(</w:t>
      </w:r>
      <w:r w:rsidRPr="00F669A7">
        <w:rPr>
          <w:lang w:val="en-US"/>
        </w:rPr>
        <w:t>2</w:t>
      </w:r>
      <w:r w:rsidR="00105918">
        <w:rPr>
          <w:lang w:val="en-US"/>
        </w:rPr>
        <w:t>)</w:t>
      </w:r>
      <w:r w:rsidRPr="00F669A7">
        <w:rPr>
          <w:lang w:val="en-US"/>
        </w:rPr>
        <w:t>).</w:t>
      </w:r>
    </w:p>
    <w:p w14:paraId="0BA5A917" w14:textId="627402F8" w:rsidR="00451B32" w:rsidRPr="00F669A7" w:rsidRDefault="009732A9" w:rsidP="00E67884">
      <w:pPr>
        <w:pStyle w:val="SingleTxtG"/>
        <w:numPr>
          <w:ilvl w:val="0"/>
          <w:numId w:val="18"/>
        </w:numPr>
        <w:ind w:left="1134" w:firstLine="0"/>
        <w:rPr>
          <w:rFonts w:eastAsia="Malgun Gothic"/>
          <w:b/>
          <w:lang w:val="en-US"/>
        </w:rPr>
      </w:pPr>
      <w:r w:rsidRPr="00F669A7">
        <w:rPr>
          <w:rFonts w:eastAsia="Malgun Gothic"/>
          <w:b/>
          <w:lang w:val="en-US"/>
        </w:rPr>
        <w:t>The Committee urges the State party to stop</w:t>
      </w:r>
      <w:r w:rsidRPr="00F669A7">
        <w:rPr>
          <w:b/>
          <w:bCs/>
          <w:lang w:val="en-US"/>
        </w:rPr>
        <w:t xml:space="preserve"> the practice of pushbacks.</w:t>
      </w:r>
      <w:r w:rsidRPr="00F669A7">
        <w:rPr>
          <w:rFonts w:eastAsia="Malgun Gothic"/>
          <w:b/>
          <w:lang w:val="en-US"/>
        </w:rPr>
        <w:t xml:space="preserve"> </w:t>
      </w:r>
      <w:r w:rsidR="00451B32" w:rsidRPr="00F669A7">
        <w:rPr>
          <w:rFonts w:eastAsia="Malgun Gothic"/>
          <w:b/>
          <w:lang w:val="en-US"/>
        </w:rPr>
        <w:t xml:space="preserve">The Committee </w:t>
      </w:r>
      <w:r w:rsidRPr="00F669A7">
        <w:rPr>
          <w:b/>
          <w:lang w:val="en-US"/>
        </w:rPr>
        <w:t>recommends that the State party</w:t>
      </w:r>
      <w:r w:rsidR="00C67A38" w:rsidRPr="00F669A7">
        <w:rPr>
          <w:b/>
          <w:bCs/>
          <w:lang w:val="en-US"/>
        </w:rPr>
        <w:t xml:space="preserve"> </w:t>
      </w:r>
      <w:r w:rsidR="00C67A38" w:rsidRPr="00F669A7">
        <w:rPr>
          <w:rFonts w:eastAsia="Malgun Gothic"/>
          <w:b/>
          <w:lang w:val="en-US"/>
        </w:rPr>
        <w:t>i</w:t>
      </w:r>
      <w:r w:rsidRPr="00F669A7">
        <w:rPr>
          <w:rFonts w:eastAsia="Malgun Gothic"/>
          <w:b/>
          <w:lang w:val="en-US"/>
        </w:rPr>
        <w:t>ntensify</w:t>
      </w:r>
      <w:r w:rsidR="00C67A38" w:rsidRPr="00F669A7">
        <w:rPr>
          <w:rFonts w:eastAsia="Malgun Gothic"/>
          <w:b/>
          <w:lang w:val="en-US"/>
        </w:rPr>
        <w:t xml:space="preserve"> its efforts to ensure the </w:t>
      </w:r>
      <w:r w:rsidRPr="00F669A7">
        <w:rPr>
          <w:rFonts w:eastAsia="Malgun Gothic"/>
          <w:b/>
          <w:lang w:val="en-US"/>
        </w:rPr>
        <w:t>full enjoyment of economic, social and cultural rights by migrants, asylum seekers and refugees. In implementing its Covenant obligations towards these persons</w:t>
      </w:r>
      <w:r w:rsidR="005A7DC1">
        <w:rPr>
          <w:rFonts w:eastAsia="Malgun Gothic"/>
          <w:b/>
          <w:lang w:val="en-US"/>
        </w:rPr>
        <w:t>,</w:t>
      </w:r>
      <w:r w:rsidR="00C67A38" w:rsidRPr="00F669A7">
        <w:rPr>
          <w:rFonts w:eastAsia="Malgun Gothic"/>
          <w:b/>
          <w:lang w:val="en-US"/>
        </w:rPr>
        <w:t xml:space="preserve"> </w:t>
      </w:r>
      <w:r w:rsidR="00E67884">
        <w:rPr>
          <w:rFonts w:eastAsia="Malgun Gothic"/>
          <w:b/>
          <w:lang w:val="en-US"/>
        </w:rPr>
        <w:t xml:space="preserve">it is recommended that </w:t>
      </w:r>
      <w:r w:rsidRPr="00F669A7">
        <w:rPr>
          <w:rFonts w:eastAsia="Malgun Gothic"/>
          <w:b/>
          <w:lang w:val="en-US"/>
        </w:rPr>
        <w:t>the State party seek and</w:t>
      </w:r>
      <w:r w:rsidR="00C67A38" w:rsidRPr="00F669A7">
        <w:rPr>
          <w:rFonts w:eastAsia="Malgun Gothic"/>
          <w:b/>
          <w:lang w:val="en-US"/>
        </w:rPr>
        <w:t xml:space="preserve"> strengthen </w:t>
      </w:r>
      <w:r w:rsidR="009C5E7C" w:rsidRPr="00F669A7">
        <w:rPr>
          <w:rFonts w:eastAsia="Malgun Gothic"/>
          <w:b/>
          <w:lang w:val="en-US"/>
        </w:rPr>
        <w:t xml:space="preserve">international </w:t>
      </w:r>
      <w:r w:rsidR="00C67A38" w:rsidRPr="00F669A7">
        <w:rPr>
          <w:rFonts w:eastAsia="Malgun Gothic"/>
          <w:b/>
          <w:lang w:val="en-US"/>
        </w:rPr>
        <w:t xml:space="preserve">cooperation </w:t>
      </w:r>
      <w:r w:rsidR="009C5E7C" w:rsidRPr="00F669A7">
        <w:rPr>
          <w:rFonts w:eastAsia="Malgun Gothic"/>
          <w:b/>
          <w:lang w:val="en-US"/>
        </w:rPr>
        <w:t xml:space="preserve">and </w:t>
      </w:r>
      <w:r w:rsidR="00BD000C" w:rsidRPr="00F669A7">
        <w:rPr>
          <w:rFonts w:eastAsia="Malgun Gothic"/>
          <w:b/>
          <w:lang w:val="en-US"/>
        </w:rPr>
        <w:t xml:space="preserve">assistance, </w:t>
      </w:r>
      <w:r w:rsidR="009C5E7C" w:rsidRPr="00F669A7">
        <w:rPr>
          <w:rFonts w:eastAsia="Malgun Gothic"/>
          <w:b/>
          <w:lang w:val="en-US"/>
        </w:rPr>
        <w:t xml:space="preserve">in particular </w:t>
      </w:r>
      <w:r w:rsidR="00C67A38" w:rsidRPr="00F669A7">
        <w:rPr>
          <w:rFonts w:eastAsia="Malgun Gothic"/>
          <w:b/>
          <w:lang w:val="en-US"/>
        </w:rPr>
        <w:t xml:space="preserve">with </w:t>
      </w:r>
      <w:r w:rsidRPr="00F669A7">
        <w:rPr>
          <w:rFonts w:eastAsia="Malgun Gothic"/>
          <w:b/>
          <w:lang w:val="en-US"/>
        </w:rPr>
        <w:t>States</w:t>
      </w:r>
      <w:r w:rsidR="005A7DC1">
        <w:rPr>
          <w:rFonts w:eastAsia="Malgun Gothic"/>
          <w:b/>
          <w:lang w:val="en-US"/>
        </w:rPr>
        <w:t xml:space="preserve"> </w:t>
      </w:r>
      <w:r w:rsidR="00105918">
        <w:rPr>
          <w:rFonts w:eastAsia="Malgun Gothic"/>
          <w:b/>
          <w:lang w:val="en-US"/>
        </w:rPr>
        <w:t xml:space="preserve">members </w:t>
      </w:r>
      <w:r w:rsidR="005A7DC1">
        <w:rPr>
          <w:rFonts w:eastAsia="Malgun Gothic"/>
          <w:b/>
          <w:lang w:val="en-US"/>
        </w:rPr>
        <w:t>of the European Union</w:t>
      </w:r>
      <w:r w:rsidR="003D7D14" w:rsidRPr="00F669A7">
        <w:rPr>
          <w:b/>
          <w:bCs/>
          <w:lang w:val="en-US"/>
        </w:rPr>
        <w:t xml:space="preserve">. </w:t>
      </w:r>
      <w:r w:rsidRPr="00F669A7">
        <w:rPr>
          <w:b/>
          <w:bCs/>
          <w:lang w:val="en-US"/>
        </w:rPr>
        <w:t>The Committee</w:t>
      </w:r>
      <w:r w:rsidR="003D7D14" w:rsidRPr="00F669A7">
        <w:rPr>
          <w:b/>
          <w:bCs/>
          <w:lang w:val="en-US"/>
        </w:rPr>
        <w:t xml:space="preserve"> </w:t>
      </w:r>
      <w:r w:rsidR="005A7DC1">
        <w:rPr>
          <w:b/>
          <w:bCs/>
          <w:lang w:val="en-US"/>
        </w:rPr>
        <w:t>also</w:t>
      </w:r>
      <w:r w:rsidR="003D7D14" w:rsidRPr="00F669A7">
        <w:rPr>
          <w:b/>
          <w:bCs/>
          <w:lang w:val="en-US"/>
        </w:rPr>
        <w:t xml:space="preserve"> </w:t>
      </w:r>
      <w:r w:rsidR="0068426A" w:rsidRPr="00F669A7">
        <w:rPr>
          <w:b/>
          <w:bCs/>
          <w:lang w:val="en-US"/>
        </w:rPr>
        <w:t>recommends</w:t>
      </w:r>
      <w:r w:rsidR="00321092" w:rsidRPr="00F669A7">
        <w:rPr>
          <w:rFonts w:eastAsia="Malgun Gothic"/>
          <w:b/>
          <w:lang w:val="en-US"/>
        </w:rPr>
        <w:t xml:space="preserve"> that the Stat</w:t>
      </w:r>
      <w:r w:rsidR="00F87EFC" w:rsidRPr="00F669A7">
        <w:rPr>
          <w:rFonts w:eastAsia="Malgun Gothic"/>
          <w:b/>
          <w:lang w:val="en-US"/>
        </w:rPr>
        <w:t xml:space="preserve">e </w:t>
      </w:r>
      <w:r w:rsidR="0068426A" w:rsidRPr="00F669A7">
        <w:rPr>
          <w:rFonts w:eastAsia="Malgun Gothic"/>
          <w:b/>
          <w:lang w:val="en-US"/>
        </w:rPr>
        <w:t xml:space="preserve">party take measures to </w:t>
      </w:r>
      <w:r w:rsidRPr="00F669A7">
        <w:rPr>
          <w:rFonts w:eastAsia="Malgun Gothic"/>
          <w:b/>
          <w:lang w:val="en-US"/>
        </w:rPr>
        <w:t>increase the number of reception cent</w:t>
      </w:r>
      <w:r w:rsidR="005A7DC1">
        <w:rPr>
          <w:rFonts w:eastAsia="Malgun Gothic"/>
          <w:b/>
          <w:lang w:val="en-US"/>
        </w:rPr>
        <w:t>re</w:t>
      </w:r>
      <w:r w:rsidRPr="00F669A7">
        <w:rPr>
          <w:rFonts w:eastAsia="Malgun Gothic"/>
          <w:b/>
          <w:lang w:val="en-US"/>
        </w:rPr>
        <w:t>s</w:t>
      </w:r>
      <w:r w:rsidR="00BD000C" w:rsidRPr="00F669A7">
        <w:rPr>
          <w:rFonts w:eastAsia="Malgun Gothic"/>
          <w:b/>
          <w:lang w:val="en-US"/>
        </w:rPr>
        <w:t xml:space="preserve">, </w:t>
      </w:r>
      <w:r w:rsidR="005A7DC1">
        <w:rPr>
          <w:rFonts w:eastAsia="Malgun Gothic"/>
          <w:b/>
          <w:lang w:val="en-US"/>
        </w:rPr>
        <w:t xml:space="preserve">to </w:t>
      </w:r>
      <w:r w:rsidR="00F87EFC" w:rsidRPr="00F669A7">
        <w:rPr>
          <w:rFonts w:eastAsia="Malgun Gothic"/>
          <w:b/>
          <w:lang w:val="en-US"/>
        </w:rPr>
        <w:t xml:space="preserve">improve </w:t>
      </w:r>
      <w:r w:rsidR="00DA5587" w:rsidRPr="00F669A7">
        <w:rPr>
          <w:rFonts w:eastAsia="Malgun Gothic"/>
          <w:b/>
          <w:lang w:val="en-US"/>
        </w:rPr>
        <w:t>the living conditions</w:t>
      </w:r>
      <w:r w:rsidR="00F87EFC" w:rsidRPr="00F669A7">
        <w:rPr>
          <w:rFonts w:eastAsia="Malgun Gothic"/>
          <w:b/>
          <w:lang w:val="en-US"/>
        </w:rPr>
        <w:t xml:space="preserve"> </w:t>
      </w:r>
      <w:r w:rsidR="00BD000C" w:rsidRPr="00F669A7">
        <w:rPr>
          <w:rFonts w:eastAsia="Malgun Gothic"/>
          <w:b/>
          <w:lang w:val="en-US"/>
        </w:rPr>
        <w:t>there</w:t>
      </w:r>
      <w:r w:rsidR="00F87EFC" w:rsidRPr="00F669A7">
        <w:rPr>
          <w:rFonts w:eastAsia="Malgun Gothic"/>
          <w:b/>
          <w:lang w:val="en-US"/>
        </w:rPr>
        <w:t xml:space="preserve">in </w:t>
      </w:r>
      <w:r w:rsidR="00DA5587" w:rsidRPr="00F669A7">
        <w:rPr>
          <w:rFonts w:eastAsia="Malgun Gothic"/>
          <w:b/>
          <w:lang w:val="en-US"/>
        </w:rPr>
        <w:t>and</w:t>
      </w:r>
      <w:r w:rsidR="005A7DC1">
        <w:rPr>
          <w:rFonts w:eastAsia="Malgun Gothic"/>
          <w:b/>
          <w:lang w:val="en-US"/>
        </w:rPr>
        <w:t xml:space="preserve"> to</w:t>
      </w:r>
      <w:r w:rsidR="00DA5587" w:rsidRPr="00F669A7">
        <w:rPr>
          <w:rFonts w:eastAsia="Malgun Gothic"/>
          <w:b/>
          <w:lang w:val="en-US"/>
        </w:rPr>
        <w:t xml:space="preserve"> ensure that </w:t>
      </w:r>
      <w:r w:rsidR="0068426A" w:rsidRPr="00F669A7">
        <w:rPr>
          <w:rFonts w:eastAsia="Malgun Gothic"/>
          <w:b/>
          <w:lang w:val="en-US"/>
        </w:rPr>
        <w:t>everyone</w:t>
      </w:r>
      <w:r w:rsidR="001442A4" w:rsidRPr="00F669A7">
        <w:rPr>
          <w:rFonts w:eastAsia="Malgun Gothic"/>
          <w:b/>
          <w:lang w:val="en-US"/>
        </w:rPr>
        <w:t xml:space="preserve"> </w:t>
      </w:r>
      <w:r w:rsidR="0068426A" w:rsidRPr="00F669A7">
        <w:rPr>
          <w:rFonts w:eastAsia="Malgun Gothic"/>
          <w:b/>
          <w:lang w:val="en-US"/>
        </w:rPr>
        <w:t xml:space="preserve">in </w:t>
      </w:r>
      <w:r w:rsidR="005A7DC1">
        <w:rPr>
          <w:rFonts w:eastAsia="Malgun Gothic"/>
          <w:b/>
          <w:lang w:val="en-US"/>
        </w:rPr>
        <w:t>the</w:t>
      </w:r>
      <w:r w:rsidR="005A7DC1" w:rsidRPr="00F669A7">
        <w:rPr>
          <w:rFonts w:eastAsia="Malgun Gothic"/>
          <w:b/>
          <w:lang w:val="en-US"/>
        </w:rPr>
        <w:t xml:space="preserve"> </w:t>
      </w:r>
      <w:r w:rsidR="0068426A" w:rsidRPr="00F669A7">
        <w:rPr>
          <w:rFonts w:eastAsia="Malgun Gothic"/>
          <w:b/>
          <w:lang w:val="en-US"/>
        </w:rPr>
        <w:t>cent</w:t>
      </w:r>
      <w:r w:rsidR="005A7DC1">
        <w:rPr>
          <w:rFonts w:eastAsia="Malgun Gothic"/>
          <w:b/>
          <w:lang w:val="en-US"/>
        </w:rPr>
        <w:t>re</w:t>
      </w:r>
      <w:r w:rsidR="0068426A" w:rsidRPr="00F669A7">
        <w:rPr>
          <w:rFonts w:eastAsia="Malgun Gothic"/>
          <w:b/>
          <w:lang w:val="en-US"/>
        </w:rPr>
        <w:t xml:space="preserve">s </w:t>
      </w:r>
      <w:r w:rsidR="00F87EFC" w:rsidRPr="00F669A7">
        <w:rPr>
          <w:rFonts w:eastAsia="Malgun Gothic"/>
          <w:b/>
          <w:lang w:val="en-US"/>
        </w:rPr>
        <w:t>ha</w:t>
      </w:r>
      <w:r w:rsidR="0068426A" w:rsidRPr="00F669A7">
        <w:rPr>
          <w:rFonts w:eastAsia="Malgun Gothic"/>
          <w:b/>
          <w:lang w:val="en-US"/>
        </w:rPr>
        <w:t>s</w:t>
      </w:r>
      <w:r w:rsidR="00F87EFC" w:rsidRPr="00F669A7">
        <w:rPr>
          <w:rFonts w:eastAsia="Malgun Gothic"/>
          <w:b/>
          <w:lang w:val="en-US"/>
        </w:rPr>
        <w:t xml:space="preserve"> access to medical care, interpreters, adequate food</w:t>
      </w:r>
      <w:r w:rsidR="0068426A" w:rsidRPr="00F669A7">
        <w:rPr>
          <w:rFonts w:eastAsia="Malgun Gothic"/>
          <w:b/>
          <w:lang w:val="en-US"/>
        </w:rPr>
        <w:t>,</w:t>
      </w:r>
      <w:r w:rsidR="00F87EFC" w:rsidRPr="00F669A7">
        <w:rPr>
          <w:rFonts w:eastAsia="Malgun Gothic"/>
          <w:b/>
          <w:lang w:val="en-US"/>
        </w:rPr>
        <w:t xml:space="preserve"> clothing</w:t>
      </w:r>
      <w:r w:rsidR="0068426A" w:rsidRPr="00F669A7">
        <w:rPr>
          <w:rFonts w:eastAsia="Malgun Gothic"/>
          <w:b/>
          <w:lang w:val="en-US"/>
        </w:rPr>
        <w:t xml:space="preserve"> and social support</w:t>
      </w:r>
      <w:r w:rsidR="00F87EFC" w:rsidRPr="00F669A7">
        <w:rPr>
          <w:rFonts w:eastAsia="Malgun Gothic"/>
          <w:b/>
          <w:lang w:val="en-US"/>
        </w:rPr>
        <w:t>.</w:t>
      </w:r>
      <w:r w:rsidR="0054342B" w:rsidRPr="00F669A7">
        <w:rPr>
          <w:rFonts w:eastAsia="Malgun Gothic"/>
          <w:b/>
          <w:lang w:val="en-US"/>
        </w:rPr>
        <w:t xml:space="preserve"> </w:t>
      </w:r>
    </w:p>
    <w:p w14:paraId="6D548775" w14:textId="77777777" w:rsidR="0060049B" w:rsidRPr="00F669A7" w:rsidRDefault="005A1F40" w:rsidP="00471932">
      <w:pPr>
        <w:pStyle w:val="H23G"/>
        <w:rPr>
          <w:lang w:val="en-US"/>
        </w:rPr>
      </w:pPr>
      <w:r w:rsidRPr="00F669A7">
        <w:rPr>
          <w:lang w:val="en-US"/>
        </w:rPr>
        <w:tab/>
      </w:r>
      <w:r w:rsidRPr="00F669A7">
        <w:rPr>
          <w:lang w:val="en-US"/>
        </w:rPr>
        <w:tab/>
      </w:r>
      <w:r w:rsidR="0060049B" w:rsidRPr="00F669A7">
        <w:rPr>
          <w:lang w:val="en-US"/>
        </w:rPr>
        <w:t>Discrimination against persons with disabilities</w:t>
      </w:r>
    </w:p>
    <w:p w14:paraId="5EDD84DE" w14:textId="75CF883B" w:rsidR="0060049B" w:rsidRPr="00F669A7" w:rsidRDefault="00C20D44" w:rsidP="000E7506">
      <w:pPr>
        <w:pStyle w:val="SingleTxtG"/>
        <w:numPr>
          <w:ilvl w:val="0"/>
          <w:numId w:val="18"/>
        </w:numPr>
        <w:ind w:left="1134" w:firstLine="0"/>
        <w:rPr>
          <w:lang w:val="en-US"/>
        </w:rPr>
      </w:pPr>
      <w:r w:rsidRPr="00F669A7">
        <w:rPr>
          <w:lang w:val="en-US"/>
        </w:rPr>
        <w:t xml:space="preserve">The Committee </w:t>
      </w:r>
      <w:r w:rsidR="0060049B" w:rsidRPr="00F669A7">
        <w:rPr>
          <w:lang w:val="en-US"/>
        </w:rPr>
        <w:t>is concerned ab</w:t>
      </w:r>
      <w:r w:rsidR="008F2A81" w:rsidRPr="00F669A7">
        <w:rPr>
          <w:lang w:val="en-US"/>
        </w:rPr>
        <w:t xml:space="preserve">out </w:t>
      </w:r>
      <w:r w:rsidR="0060049B" w:rsidRPr="00F669A7">
        <w:rPr>
          <w:lang w:val="en-US"/>
        </w:rPr>
        <w:t xml:space="preserve">discrimination against persons with disabilities in </w:t>
      </w:r>
      <w:r w:rsidR="00E20AF1" w:rsidRPr="00F669A7">
        <w:rPr>
          <w:lang w:val="en-US"/>
        </w:rPr>
        <w:t xml:space="preserve">several </w:t>
      </w:r>
      <w:r w:rsidR="0060049B" w:rsidRPr="00F669A7">
        <w:rPr>
          <w:lang w:val="en-US"/>
        </w:rPr>
        <w:t xml:space="preserve">areas covered by the Covenant, particularly employment, </w:t>
      </w:r>
      <w:r w:rsidR="00FB06D9" w:rsidRPr="00F669A7">
        <w:rPr>
          <w:lang w:val="en-US"/>
        </w:rPr>
        <w:t>standard of living</w:t>
      </w:r>
      <w:r w:rsidR="0060049B" w:rsidRPr="00F669A7">
        <w:rPr>
          <w:lang w:val="en-US"/>
        </w:rPr>
        <w:t xml:space="preserve"> and education. The Committee is also concerned th</w:t>
      </w:r>
      <w:r w:rsidR="003B0030" w:rsidRPr="00F669A7">
        <w:rPr>
          <w:lang w:val="en-US"/>
        </w:rPr>
        <w:t>at the</w:t>
      </w:r>
      <w:r w:rsidR="00EE7493" w:rsidRPr="00F669A7">
        <w:rPr>
          <w:lang w:val="en-US"/>
        </w:rPr>
        <w:t xml:space="preserve"> concept of reasonable accom</w:t>
      </w:r>
      <w:r w:rsidR="00C12EED" w:rsidRPr="00F669A7">
        <w:rPr>
          <w:lang w:val="en-US"/>
        </w:rPr>
        <w:t>m</w:t>
      </w:r>
      <w:r w:rsidR="00EE7493" w:rsidRPr="00F669A7">
        <w:rPr>
          <w:lang w:val="en-US"/>
        </w:rPr>
        <w:t>odation i</w:t>
      </w:r>
      <w:r w:rsidR="004C756E" w:rsidRPr="00F669A7">
        <w:rPr>
          <w:lang w:val="en-US"/>
        </w:rPr>
        <w:t>s</w:t>
      </w:r>
      <w:r w:rsidR="00EE7493" w:rsidRPr="00F669A7">
        <w:rPr>
          <w:lang w:val="en-US"/>
        </w:rPr>
        <w:t xml:space="preserve"> </w:t>
      </w:r>
      <w:r w:rsidR="003B0030" w:rsidRPr="00F669A7">
        <w:rPr>
          <w:lang w:val="en-US"/>
        </w:rPr>
        <w:t>not incorporated in</w:t>
      </w:r>
      <w:r w:rsidR="005A7DC1">
        <w:rPr>
          <w:lang w:val="en-US"/>
        </w:rPr>
        <w:t>to</w:t>
      </w:r>
      <w:r w:rsidR="00154651" w:rsidRPr="00F669A7">
        <w:rPr>
          <w:lang w:val="en-US"/>
        </w:rPr>
        <w:t xml:space="preserve"> all</w:t>
      </w:r>
      <w:r w:rsidR="003B0030" w:rsidRPr="00F669A7">
        <w:rPr>
          <w:lang w:val="en-US"/>
        </w:rPr>
        <w:t xml:space="preserve"> </w:t>
      </w:r>
      <w:r w:rsidR="002B7CA9">
        <w:rPr>
          <w:lang w:val="en-US"/>
        </w:rPr>
        <w:t>relevant</w:t>
      </w:r>
      <w:r w:rsidR="00E20AF1" w:rsidRPr="00F669A7">
        <w:rPr>
          <w:lang w:val="en-US"/>
        </w:rPr>
        <w:t xml:space="preserve"> </w:t>
      </w:r>
      <w:r w:rsidR="00ED5A87" w:rsidRPr="00F669A7">
        <w:rPr>
          <w:lang w:val="en-US"/>
        </w:rPr>
        <w:t>legislation</w:t>
      </w:r>
      <w:r w:rsidR="005A7DC1">
        <w:rPr>
          <w:lang w:val="en-US"/>
        </w:rPr>
        <w:t>,</w:t>
      </w:r>
      <w:r w:rsidR="00511E3E" w:rsidRPr="00F669A7">
        <w:rPr>
          <w:lang w:val="en-US"/>
        </w:rPr>
        <w:t xml:space="preserve"> </w:t>
      </w:r>
      <w:r w:rsidR="000E7506">
        <w:rPr>
          <w:lang w:val="en-US"/>
        </w:rPr>
        <w:t>which contributes</w:t>
      </w:r>
      <w:r w:rsidR="00E20AF1" w:rsidRPr="00F669A7">
        <w:rPr>
          <w:lang w:val="en-US"/>
        </w:rPr>
        <w:t xml:space="preserve"> further </w:t>
      </w:r>
      <w:r w:rsidR="004B0EA7" w:rsidRPr="00F669A7">
        <w:rPr>
          <w:lang w:val="en-US"/>
        </w:rPr>
        <w:t xml:space="preserve">to </w:t>
      </w:r>
      <w:r w:rsidR="00E20AF1" w:rsidRPr="00F669A7">
        <w:rPr>
          <w:lang w:val="en-US"/>
        </w:rPr>
        <w:t xml:space="preserve">de facto discrimination </w:t>
      </w:r>
      <w:r w:rsidR="005A7DC1">
        <w:rPr>
          <w:lang w:val="en-US"/>
        </w:rPr>
        <w:t>against</w:t>
      </w:r>
      <w:r w:rsidR="00E20AF1" w:rsidRPr="00F669A7">
        <w:rPr>
          <w:lang w:val="en-US"/>
        </w:rPr>
        <w:t xml:space="preserve"> </w:t>
      </w:r>
      <w:r w:rsidR="004D1C01" w:rsidRPr="00F669A7">
        <w:rPr>
          <w:lang w:val="en-US"/>
        </w:rPr>
        <w:t>persons with disabilit</w:t>
      </w:r>
      <w:r w:rsidR="007B614C" w:rsidRPr="00F669A7">
        <w:rPr>
          <w:lang w:val="en-US"/>
        </w:rPr>
        <w:t>ies</w:t>
      </w:r>
      <w:r w:rsidR="004D1C01" w:rsidRPr="00F669A7">
        <w:rPr>
          <w:lang w:val="en-US"/>
        </w:rPr>
        <w:t xml:space="preserve"> </w:t>
      </w:r>
      <w:r w:rsidR="00511E3E" w:rsidRPr="00F669A7">
        <w:rPr>
          <w:lang w:val="en-US"/>
        </w:rPr>
        <w:t>(arts. 2, 6, 11, 13 and 14)</w:t>
      </w:r>
      <w:r w:rsidR="00ED5A87" w:rsidRPr="00F669A7">
        <w:rPr>
          <w:lang w:val="en-US"/>
        </w:rPr>
        <w:t>.</w:t>
      </w:r>
    </w:p>
    <w:p w14:paraId="733F321B" w14:textId="3FF4C64D" w:rsidR="00511E3E" w:rsidRPr="00F669A7" w:rsidRDefault="003732D7" w:rsidP="004B0497">
      <w:pPr>
        <w:pStyle w:val="SingleTxtG"/>
        <w:numPr>
          <w:ilvl w:val="0"/>
          <w:numId w:val="18"/>
        </w:numPr>
        <w:ind w:left="1134" w:firstLine="0"/>
        <w:rPr>
          <w:b/>
          <w:bCs/>
          <w:lang w:val="en-US"/>
        </w:rPr>
      </w:pPr>
      <w:r w:rsidRPr="00F669A7">
        <w:rPr>
          <w:b/>
          <w:bCs/>
          <w:lang w:val="en-US"/>
        </w:rPr>
        <w:t xml:space="preserve">The </w:t>
      </w:r>
      <w:r w:rsidR="0060049B" w:rsidRPr="00F669A7">
        <w:rPr>
          <w:b/>
          <w:bCs/>
          <w:lang w:val="en-US"/>
        </w:rPr>
        <w:t xml:space="preserve">Committee </w:t>
      </w:r>
      <w:r w:rsidR="008F2A81" w:rsidRPr="00F669A7">
        <w:rPr>
          <w:b/>
          <w:bCs/>
          <w:lang w:val="en-US"/>
        </w:rPr>
        <w:t>recommends that the State</w:t>
      </w:r>
      <w:r w:rsidR="0060049B" w:rsidRPr="00F669A7">
        <w:rPr>
          <w:b/>
          <w:bCs/>
          <w:lang w:val="en-US"/>
        </w:rPr>
        <w:t xml:space="preserve"> </w:t>
      </w:r>
      <w:r w:rsidR="008F2A81" w:rsidRPr="00F669A7">
        <w:rPr>
          <w:b/>
          <w:bCs/>
          <w:lang w:val="en-US"/>
        </w:rPr>
        <w:t xml:space="preserve">party </w:t>
      </w:r>
      <w:r w:rsidR="00EF0B24" w:rsidRPr="00F669A7">
        <w:rPr>
          <w:b/>
          <w:bCs/>
          <w:lang w:val="en-US"/>
        </w:rPr>
        <w:t xml:space="preserve">ensure that </w:t>
      </w:r>
      <w:r w:rsidR="008F2A81" w:rsidRPr="00F669A7">
        <w:rPr>
          <w:b/>
          <w:lang w:val="en-US"/>
        </w:rPr>
        <w:t>persons</w:t>
      </w:r>
      <w:r w:rsidR="008F2A81" w:rsidRPr="00F669A7">
        <w:rPr>
          <w:b/>
          <w:bCs/>
          <w:lang w:val="en-US"/>
        </w:rPr>
        <w:t xml:space="preserve"> </w:t>
      </w:r>
      <w:r w:rsidR="008F2A81" w:rsidRPr="00F669A7">
        <w:rPr>
          <w:b/>
          <w:lang w:val="en-US"/>
        </w:rPr>
        <w:t>with</w:t>
      </w:r>
      <w:r w:rsidR="008F2A81" w:rsidRPr="00F669A7">
        <w:rPr>
          <w:b/>
          <w:bCs/>
          <w:lang w:val="en-US"/>
        </w:rPr>
        <w:t xml:space="preserve"> </w:t>
      </w:r>
      <w:r w:rsidR="008F2A81" w:rsidRPr="00F669A7">
        <w:rPr>
          <w:b/>
          <w:lang w:val="en-US"/>
        </w:rPr>
        <w:t>disabilities</w:t>
      </w:r>
      <w:r w:rsidR="00511E3E" w:rsidRPr="00F669A7">
        <w:rPr>
          <w:b/>
          <w:bCs/>
          <w:lang w:val="en-US"/>
        </w:rPr>
        <w:t xml:space="preserve"> full</w:t>
      </w:r>
      <w:r w:rsidR="00EF0B24" w:rsidRPr="00F669A7">
        <w:rPr>
          <w:b/>
          <w:bCs/>
          <w:lang w:val="en-US"/>
        </w:rPr>
        <w:t>y enjoy their</w:t>
      </w:r>
      <w:r w:rsidR="00511E3E" w:rsidRPr="00F669A7">
        <w:rPr>
          <w:b/>
          <w:bCs/>
          <w:lang w:val="en-US"/>
        </w:rPr>
        <w:t xml:space="preserve"> rights under the C</w:t>
      </w:r>
      <w:r w:rsidR="008F2A81" w:rsidRPr="00F669A7">
        <w:rPr>
          <w:b/>
          <w:bCs/>
          <w:lang w:val="en-US"/>
        </w:rPr>
        <w:t xml:space="preserve">ovenant </w:t>
      </w:r>
      <w:r w:rsidR="008F2A81" w:rsidRPr="00F669A7">
        <w:rPr>
          <w:b/>
          <w:lang w:val="en-US"/>
        </w:rPr>
        <w:t>without</w:t>
      </w:r>
      <w:r w:rsidR="008F2A81" w:rsidRPr="00F669A7">
        <w:rPr>
          <w:b/>
          <w:bCs/>
          <w:lang w:val="en-US"/>
        </w:rPr>
        <w:t xml:space="preserve"> </w:t>
      </w:r>
      <w:r w:rsidR="008F2A81" w:rsidRPr="00F669A7">
        <w:rPr>
          <w:b/>
          <w:lang w:val="en-US"/>
        </w:rPr>
        <w:t>discrimination,</w:t>
      </w:r>
      <w:r w:rsidR="00511E3E" w:rsidRPr="00F669A7">
        <w:rPr>
          <w:b/>
          <w:bCs/>
          <w:lang w:val="en-US"/>
        </w:rPr>
        <w:t xml:space="preserve"> particular</w:t>
      </w:r>
      <w:r w:rsidR="00D05B55">
        <w:rPr>
          <w:b/>
          <w:bCs/>
          <w:lang w:val="en-US"/>
        </w:rPr>
        <w:t>ly</w:t>
      </w:r>
      <w:r w:rsidR="00511E3E" w:rsidRPr="00F669A7">
        <w:rPr>
          <w:b/>
          <w:bCs/>
          <w:lang w:val="en-US"/>
        </w:rPr>
        <w:t xml:space="preserve"> </w:t>
      </w:r>
      <w:r w:rsidR="00D05B55">
        <w:rPr>
          <w:b/>
          <w:bCs/>
          <w:lang w:val="en-US"/>
        </w:rPr>
        <w:t xml:space="preserve">with </w:t>
      </w:r>
      <w:r w:rsidR="00511E3E" w:rsidRPr="00F669A7">
        <w:rPr>
          <w:b/>
          <w:bCs/>
          <w:lang w:val="en-US"/>
        </w:rPr>
        <w:t>regard</w:t>
      </w:r>
      <w:r w:rsidR="00D05B55">
        <w:rPr>
          <w:b/>
          <w:bCs/>
          <w:lang w:val="en-US"/>
        </w:rPr>
        <w:t xml:space="preserve"> to</w:t>
      </w:r>
      <w:r w:rsidR="00511E3E" w:rsidRPr="00F669A7">
        <w:rPr>
          <w:b/>
          <w:bCs/>
          <w:lang w:val="en-US"/>
        </w:rPr>
        <w:t xml:space="preserve"> their right to work, </w:t>
      </w:r>
      <w:r w:rsidR="000E7506">
        <w:rPr>
          <w:b/>
          <w:bCs/>
          <w:lang w:val="en-US"/>
        </w:rPr>
        <w:t xml:space="preserve">an </w:t>
      </w:r>
      <w:r w:rsidR="007B614C" w:rsidRPr="00F669A7">
        <w:rPr>
          <w:b/>
          <w:bCs/>
          <w:lang w:val="en-US"/>
        </w:rPr>
        <w:t>adequate</w:t>
      </w:r>
      <w:r w:rsidR="004C756E" w:rsidRPr="00F669A7">
        <w:rPr>
          <w:b/>
          <w:bCs/>
          <w:lang w:val="en-US"/>
        </w:rPr>
        <w:t xml:space="preserve"> </w:t>
      </w:r>
      <w:r w:rsidR="00511E3E" w:rsidRPr="00F669A7">
        <w:rPr>
          <w:b/>
          <w:bCs/>
          <w:lang w:val="en-US"/>
        </w:rPr>
        <w:t>standar</w:t>
      </w:r>
      <w:r w:rsidR="008F2A81" w:rsidRPr="00F669A7">
        <w:rPr>
          <w:b/>
          <w:bCs/>
          <w:lang w:val="en-US"/>
        </w:rPr>
        <w:t xml:space="preserve">d </w:t>
      </w:r>
      <w:r w:rsidR="00511E3E" w:rsidRPr="00F669A7">
        <w:rPr>
          <w:b/>
          <w:bCs/>
          <w:lang w:val="en-US"/>
        </w:rPr>
        <w:t xml:space="preserve">of living and education. </w:t>
      </w:r>
      <w:r w:rsidR="00575099" w:rsidRPr="00F669A7">
        <w:rPr>
          <w:b/>
          <w:bCs/>
          <w:lang w:val="en-US"/>
        </w:rPr>
        <w:t xml:space="preserve">The </w:t>
      </w:r>
      <w:r w:rsidR="00165A5C" w:rsidRPr="00F669A7">
        <w:rPr>
          <w:b/>
          <w:bCs/>
          <w:lang w:val="en-US"/>
        </w:rPr>
        <w:t xml:space="preserve">Committee </w:t>
      </w:r>
      <w:r w:rsidR="004B0497">
        <w:rPr>
          <w:b/>
          <w:bCs/>
          <w:lang w:val="en-US"/>
        </w:rPr>
        <w:t>also</w:t>
      </w:r>
      <w:r w:rsidR="004B0497" w:rsidRPr="00F669A7">
        <w:rPr>
          <w:b/>
          <w:bCs/>
          <w:lang w:val="en-US"/>
        </w:rPr>
        <w:t xml:space="preserve"> </w:t>
      </w:r>
      <w:r w:rsidR="00165A5C" w:rsidRPr="00F669A7">
        <w:rPr>
          <w:b/>
          <w:bCs/>
          <w:lang w:val="en-US"/>
        </w:rPr>
        <w:t xml:space="preserve">recommends that the </w:t>
      </w:r>
      <w:r w:rsidR="00575099" w:rsidRPr="00F669A7">
        <w:rPr>
          <w:b/>
          <w:bCs/>
          <w:lang w:val="en-US"/>
        </w:rPr>
        <w:t>State party incorporate the concept of reasonable a</w:t>
      </w:r>
      <w:r w:rsidR="005738AF" w:rsidRPr="00F669A7">
        <w:rPr>
          <w:b/>
          <w:bCs/>
          <w:lang w:val="en-US"/>
        </w:rPr>
        <w:t>ccommodation in</w:t>
      </w:r>
      <w:r w:rsidR="00EA642E">
        <w:rPr>
          <w:b/>
          <w:bCs/>
          <w:lang w:val="en-US"/>
        </w:rPr>
        <w:t>to</w:t>
      </w:r>
      <w:r w:rsidR="005738AF" w:rsidRPr="00F669A7">
        <w:rPr>
          <w:b/>
          <w:bCs/>
          <w:lang w:val="en-US"/>
        </w:rPr>
        <w:t xml:space="preserve"> </w:t>
      </w:r>
      <w:r w:rsidR="004D1C01" w:rsidRPr="00F669A7">
        <w:rPr>
          <w:b/>
          <w:bCs/>
          <w:lang w:val="en-US"/>
        </w:rPr>
        <w:t xml:space="preserve">all </w:t>
      </w:r>
      <w:r w:rsidR="005738AF" w:rsidRPr="00F669A7">
        <w:rPr>
          <w:b/>
          <w:bCs/>
          <w:lang w:val="en-US"/>
        </w:rPr>
        <w:t>legislation</w:t>
      </w:r>
      <w:r w:rsidR="004D1C01" w:rsidRPr="00F669A7">
        <w:rPr>
          <w:b/>
          <w:bCs/>
          <w:lang w:val="en-US"/>
        </w:rPr>
        <w:t xml:space="preserve"> </w:t>
      </w:r>
      <w:r w:rsidR="00C752A5">
        <w:rPr>
          <w:b/>
          <w:bCs/>
          <w:lang w:val="en-US"/>
        </w:rPr>
        <w:t>affecting</w:t>
      </w:r>
      <w:r w:rsidR="004D1C01" w:rsidRPr="00F669A7">
        <w:rPr>
          <w:b/>
          <w:bCs/>
          <w:lang w:val="en-US"/>
        </w:rPr>
        <w:t xml:space="preserve"> persons with disabilities</w:t>
      </w:r>
      <w:r w:rsidR="003B0030" w:rsidRPr="00F669A7">
        <w:rPr>
          <w:b/>
          <w:bCs/>
          <w:lang w:val="en-US"/>
        </w:rPr>
        <w:t>,</w:t>
      </w:r>
      <w:r w:rsidR="004D1C01" w:rsidRPr="00F669A7">
        <w:rPr>
          <w:b/>
          <w:bCs/>
          <w:lang w:val="en-US"/>
        </w:rPr>
        <w:t xml:space="preserve"> </w:t>
      </w:r>
      <w:r w:rsidR="004B0497">
        <w:rPr>
          <w:b/>
          <w:bCs/>
          <w:lang w:val="en-US"/>
        </w:rPr>
        <w:t>and</w:t>
      </w:r>
      <w:r w:rsidR="00EF0B24" w:rsidRPr="00F669A7">
        <w:rPr>
          <w:b/>
          <w:bCs/>
          <w:lang w:val="en-US"/>
        </w:rPr>
        <w:t xml:space="preserve"> take measures to ensure its implementation.</w:t>
      </w:r>
    </w:p>
    <w:p w14:paraId="5A722081" w14:textId="77777777" w:rsidR="0054342B" w:rsidRPr="00F669A7" w:rsidRDefault="005A1F40" w:rsidP="00471932">
      <w:pPr>
        <w:pStyle w:val="H23G"/>
        <w:rPr>
          <w:lang w:val="en-US"/>
        </w:rPr>
      </w:pPr>
      <w:r w:rsidRPr="00F669A7">
        <w:rPr>
          <w:lang w:val="en-US"/>
        </w:rPr>
        <w:tab/>
      </w:r>
      <w:r w:rsidRPr="00F669A7">
        <w:rPr>
          <w:lang w:val="en-US"/>
        </w:rPr>
        <w:tab/>
      </w:r>
      <w:r w:rsidR="0054342B" w:rsidRPr="00F669A7">
        <w:rPr>
          <w:lang w:val="en-US"/>
        </w:rPr>
        <w:t>Equality between men and women</w:t>
      </w:r>
    </w:p>
    <w:p w14:paraId="6755E7E0" w14:textId="08798B97" w:rsidR="003B4863" w:rsidRPr="00F669A7" w:rsidRDefault="003B4863" w:rsidP="00C57D84">
      <w:pPr>
        <w:pStyle w:val="SingleTxtG"/>
        <w:numPr>
          <w:ilvl w:val="0"/>
          <w:numId w:val="18"/>
        </w:numPr>
        <w:ind w:left="1134" w:firstLine="0"/>
        <w:rPr>
          <w:lang w:val="en-US" w:eastAsia="en-GB"/>
        </w:rPr>
      </w:pPr>
      <w:r w:rsidRPr="00F669A7">
        <w:rPr>
          <w:lang w:val="en-US"/>
        </w:rPr>
        <w:t>The Committee notes wi</w:t>
      </w:r>
      <w:r w:rsidR="00E22692" w:rsidRPr="00F669A7">
        <w:rPr>
          <w:lang w:val="en-US"/>
        </w:rPr>
        <w:t xml:space="preserve">th appreciation the adoption of </w:t>
      </w:r>
      <w:r w:rsidR="005A05E9" w:rsidRPr="00F669A7">
        <w:rPr>
          <w:lang w:val="en-US"/>
        </w:rPr>
        <w:t>various</w:t>
      </w:r>
      <w:r w:rsidRPr="00F669A7">
        <w:rPr>
          <w:lang w:val="en-US"/>
        </w:rPr>
        <w:t xml:space="preserve"> </w:t>
      </w:r>
      <w:r w:rsidR="005738AF" w:rsidRPr="00F669A7">
        <w:rPr>
          <w:lang w:val="en-US"/>
        </w:rPr>
        <w:t>l</w:t>
      </w:r>
      <w:r w:rsidR="005A05E9" w:rsidRPr="00F669A7">
        <w:rPr>
          <w:lang w:val="en-US"/>
        </w:rPr>
        <w:t xml:space="preserve">aws </w:t>
      </w:r>
      <w:r w:rsidR="00EF0B24" w:rsidRPr="00F669A7">
        <w:rPr>
          <w:lang w:val="en-US"/>
        </w:rPr>
        <w:t xml:space="preserve">and policies </w:t>
      </w:r>
      <w:r w:rsidR="005A05E9" w:rsidRPr="00F669A7">
        <w:rPr>
          <w:lang w:val="en-US"/>
        </w:rPr>
        <w:t>aimed at increasing women</w:t>
      </w:r>
      <w:r w:rsidR="00EF0B24" w:rsidRPr="00F669A7">
        <w:rPr>
          <w:lang w:val="en-US"/>
        </w:rPr>
        <w:t>’s</w:t>
      </w:r>
      <w:r w:rsidR="005A05E9" w:rsidRPr="00F669A7">
        <w:rPr>
          <w:lang w:val="en-US"/>
        </w:rPr>
        <w:t xml:space="preserve"> representation in political affairs, including</w:t>
      </w:r>
      <w:r w:rsidRPr="00F669A7">
        <w:rPr>
          <w:lang w:val="en-US"/>
        </w:rPr>
        <w:t xml:space="preserve"> </w:t>
      </w:r>
      <w:r w:rsidR="003D0E2D">
        <w:rPr>
          <w:lang w:val="en-US"/>
        </w:rPr>
        <w:t>Act</w:t>
      </w:r>
      <w:r w:rsidR="005A05E9" w:rsidRPr="00F669A7">
        <w:rPr>
          <w:lang w:val="en-US"/>
        </w:rPr>
        <w:t xml:space="preserve"> No. 1</w:t>
      </w:r>
      <w:r w:rsidR="009030F9">
        <w:rPr>
          <w:lang w:val="en-US"/>
        </w:rPr>
        <w:t>2</w:t>
      </w:r>
      <w:r w:rsidR="005A05E9" w:rsidRPr="00F669A7">
        <w:rPr>
          <w:lang w:val="en-US"/>
        </w:rPr>
        <w:t>0</w:t>
      </w:r>
      <w:r w:rsidR="009030F9">
        <w:rPr>
          <w:lang w:val="en-US"/>
        </w:rPr>
        <w:t>/2011</w:t>
      </w:r>
      <w:r w:rsidR="005A05E9" w:rsidRPr="00F669A7">
        <w:rPr>
          <w:lang w:val="en-US"/>
        </w:rPr>
        <w:t xml:space="preserve"> on </w:t>
      </w:r>
      <w:r w:rsidR="00857BFA">
        <w:rPr>
          <w:lang w:val="en-US"/>
        </w:rPr>
        <w:t>e</w:t>
      </w:r>
      <w:r w:rsidR="005A05E9" w:rsidRPr="00F669A7">
        <w:rPr>
          <w:lang w:val="en-US"/>
        </w:rPr>
        <w:t xml:space="preserve">qual </w:t>
      </w:r>
      <w:r w:rsidR="00857BFA">
        <w:rPr>
          <w:lang w:val="en-US"/>
        </w:rPr>
        <w:t>a</w:t>
      </w:r>
      <w:r w:rsidR="005A05E9" w:rsidRPr="00F669A7">
        <w:rPr>
          <w:lang w:val="en-US"/>
        </w:rPr>
        <w:t xml:space="preserve">ccess to </w:t>
      </w:r>
      <w:r w:rsidR="00857BFA">
        <w:rPr>
          <w:lang w:val="en-US"/>
        </w:rPr>
        <w:t>b</w:t>
      </w:r>
      <w:r w:rsidR="005A05E9" w:rsidRPr="00F669A7">
        <w:rPr>
          <w:lang w:val="en-US"/>
        </w:rPr>
        <w:t>oard</w:t>
      </w:r>
      <w:r w:rsidR="00857BFA">
        <w:rPr>
          <w:lang w:val="en-US"/>
        </w:rPr>
        <w:t>s</w:t>
      </w:r>
      <w:r w:rsidR="005A05E9" w:rsidRPr="00F669A7">
        <w:rPr>
          <w:lang w:val="en-US"/>
        </w:rPr>
        <w:t xml:space="preserve"> of </w:t>
      </w:r>
      <w:r w:rsidR="00857BFA">
        <w:rPr>
          <w:lang w:val="en-US"/>
        </w:rPr>
        <w:t>d</w:t>
      </w:r>
      <w:r w:rsidR="005A05E9" w:rsidRPr="00F669A7">
        <w:rPr>
          <w:lang w:val="en-US"/>
        </w:rPr>
        <w:t xml:space="preserve">irectors and </w:t>
      </w:r>
      <w:r w:rsidR="00857BFA">
        <w:rPr>
          <w:lang w:val="en-US"/>
        </w:rPr>
        <w:t>b</w:t>
      </w:r>
      <w:r w:rsidR="005A05E9" w:rsidRPr="00F669A7">
        <w:rPr>
          <w:lang w:val="en-US"/>
        </w:rPr>
        <w:t>oard</w:t>
      </w:r>
      <w:r w:rsidR="00857BFA">
        <w:rPr>
          <w:lang w:val="en-US"/>
        </w:rPr>
        <w:t>s</w:t>
      </w:r>
      <w:r w:rsidR="005A05E9" w:rsidRPr="00F669A7">
        <w:rPr>
          <w:lang w:val="en-US"/>
        </w:rPr>
        <w:t xml:space="preserve"> of </w:t>
      </w:r>
      <w:r w:rsidR="00857BFA">
        <w:rPr>
          <w:lang w:val="en-US"/>
        </w:rPr>
        <w:t>s</w:t>
      </w:r>
      <w:r w:rsidR="005A05E9" w:rsidRPr="00F669A7">
        <w:rPr>
          <w:lang w:val="en-US"/>
        </w:rPr>
        <w:t xml:space="preserve">tatutory </w:t>
      </w:r>
      <w:r w:rsidR="00857BFA">
        <w:rPr>
          <w:lang w:val="en-US"/>
        </w:rPr>
        <w:t>a</w:t>
      </w:r>
      <w:r w:rsidR="005A05E9" w:rsidRPr="00F669A7">
        <w:rPr>
          <w:lang w:val="en-US"/>
        </w:rPr>
        <w:t xml:space="preserve">uditors of publicly listed companies and </w:t>
      </w:r>
      <w:r w:rsidR="00B10E98">
        <w:rPr>
          <w:lang w:val="en-US"/>
        </w:rPr>
        <w:t>Act</w:t>
      </w:r>
      <w:r w:rsidR="005A05E9" w:rsidRPr="00F669A7">
        <w:rPr>
          <w:lang w:val="en-US"/>
        </w:rPr>
        <w:t xml:space="preserve"> </w:t>
      </w:r>
      <w:r w:rsidR="00AC2179" w:rsidRPr="00F669A7">
        <w:rPr>
          <w:lang w:val="en-US"/>
        </w:rPr>
        <w:t>N</w:t>
      </w:r>
      <w:r w:rsidR="005A05E9" w:rsidRPr="00F669A7">
        <w:rPr>
          <w:lang w:val="en-US"/>
        </w:rPr>
        <w:t>o. 215</w:t>
      </w:r>
      <w:r w:rsidR="00DA40BA">
        <w:rPr>
          <w:lang w:val="en-US"/>
        </w:rPr>
        <w:t>/2012</w:t>
      </w:r>
      <w:r w:rsidR="005A05E9" w:rsidRPr="00F669A7">
        <w:rPr>
          <w:lang w:val="en-US"/>
        </w:rPr>
        <w:t xml:space="preserve"> on provisions to promote gender balance </w:t>
      </w:r>
      <w:r w:rsidR="00E20AF1" w:rsidRPr="00F669A7">
        <w:rPr>
          <w:lang w:val="en-US"/>
        </w:rPr>
        <w:t xml:space="preserve">and equality </w:t>
      </w:r>
      <w:r w:rsidR="005A05E9" w:rsidRPr="00F669A7">
        <w:rPr>
          <w:lang w:val="en-US"/>
        </w:rPr>
        <w:t>in local governments and regional councils</w:t>
      </w:r>
      <w:r w:rsidRPr="00F669A7">
        <w:rPr>
          <w:lang w:val="en-US"/>
        </w:rPr>
        <w:t xml:space="preserve">. </w:t>
      </w:r>
      <w:r w:rsidR="00AC3CD0">
        <w:rPr>
          <w:lang w:val="en-US"/>
        </w:rPr>
        <w:t>However</w:t>
      </w:r>
      <w:r w:rsidR="00406C70">
        <w:rPr>
          <w:lang w:val="en-US"/>
        </w:rPr>
        <w:t>,</w:t>
      </w:r>
      <w:r w:rsidR="00AC3CD0">
        <w:rPr>
          <w:lang w:val="en-US"/>
        </w:rPr>
        <w:t xml:space="preserve"> i</w:t>
      </w:r>
      <w:r w:rsidRPr="00F669A7">
        <w:rPr>
          <w:lang w:val="en-US"/>
        </w:rPr>
        <w:t>t remains concerned</w:t>
      </w:r>
      <w:r w:rsidR="00AC3CD0">
        <w:rPr>
          <w:lang w:val="en-US"/>
        </w:rPr>
        <w:t xml:space="preserve"> that</w:t>
      </w:r>
      <w:r w:rsidR="00FE6340" w:rsidRPr="00F669A7">
        <w:rPr>
          <w:lang w:val="en-US"/>
        </w:rPr>
        <w:t xml:space="preserve"> gender role stereotypes</w:t>
      </w:r>
      <w:r w:rsidR="00AC3CD0">
        <w:rPr>
          <w:lang w:val="en-US"/>
        </w:rPr>
        <w:t xml:space="preserve"> persist</w:t>
      </w:r>
      <w:r w:rsidR="00FE6340" w:rsidRPr="00F669A7">
        <w:rPr>
          <w:lang w:val="en-US"/>
        </w:rPr>
        <w:t xml:space="preserve"> and </w:t>
      </w:r>
      <w:r w:rsidRPr="00F669A7">
        <w:rPr>
          <w:lang w:val="en-US"/>
        </w:rPr>
        <w:t>that</w:t>
      </w:r>
      <w:r w:rsidR="00FE6340" w:rsidRPr="00F669A7">
        <w:rPr>
          <w:lang w:val="en-US"/>
        </w:rPr>
        <w:t xml:space="preserve"> </w:t>
      </w:r>
      <w:r w:rsidR="00754240" w:rsidRPr="00F669A7">
        <w:rPr>
          <w:lang w:val="en-US"/>
        </w:rPr>
        <w:t>women’s</w:t>
      </w:r>
      <w:r w:rsidRPr="00F669A7">
        <w:rPr>
          <w:lang w:val="en-US"/>
        </w:rPr>
        <w:t xml:space="preserve"> representation </w:t>
      </w:r>
      <w:r w:rsidRPr="00F669A7">
        <w:rPr>
          <w:lang w:val="en-US" w:eastAsia="en-GB"/>
        </w:rPr>
        <w:t xml:space="preserve">in the </w:t>
      </w:r>
      <w:r w:rsidR="00AC3CD0">
        <w:rPr>
          <w:lang w:val="en-US" w:eastAsia="en-GB"/>
        </w:rPr>
        <w:t>n</w:t>
      </w:r>
      <w:r w:rsidRPr="00F669A7">
        <w:rPr>
          <w:lang w:val="en-US" w:eastAsia="en-GB"/>
        </w:rPr>
        <w:t xml:space="preserve">ational Parliament, the judiciary </w:t>
      </w:r>
      <w:r w:rsidR="00AC3CD0">
        <w:rPr>
          <w:lang w:val="en-US" w:eastAsia="en-GB"/>
        </w:rPr>
        <w:t>and</w:t>
      </w:r>
      <w:r w:rsidR="00905DB7" w:rsidRPr="00F669A7">
        <w:rPr>
          <w:lang w:val="en-US" w:eastAsia="en-GB"/>
        </w:rPr>
        <w:t xml:space="preserve"> </w:t>
      </w:r>
      <w:r w:rsidRPr="00F669A7">
        <w:rPr>
          <w:lang w:val="en-US" w:eastAsia="en-GB"/>
        </w:rPr>
        <w:t>senior positions within the public administration remains unsatisfactory</w:t>
      </w:r>
      <w:r w:rsidR="00EF0B24" w:rsidRPr="00F669A7">
        <w:rPr>
          <w:lang w:val="en-US" w:eastAsia="en-GB"/>
        </w:rPr>
        <w:t>. It is also concerned that</w:t>
      </w:r>
      <w:r w:rsidR="00905DB7" w:rsidRPr="00F669A7">
        <w:rPr>
          <w:lang w:val="en-US" w:eastAsia="en-GB"/>
        </w:rPr>
        <w:t xml:space="preserve"> Roma women and women from the south are </w:t>
      </w:r>
      <w:r w:rsidR="00AC3CD0">
        <w:rPr>
          <w:lang w:val="en-US" w:eastAsia="en-GB"/>
        </w:rPr>
        <w:t>nearly</w:t>
      </w:r>
      <w:r w:rsidR="00AC3CD0" w:rsidRPr="00F669A7">
        <w:rPr>
          <w:lang w:val="en-US" w:eastAsia="en-GB"/>
        </w:rPr>
        <w:t xml:space="preserve"> </w:t>
      </w:r>
      <w:r w:rsidR="00905DB7" w:rsidRPr="00F669A7">
        <w:rPr>
          <w:lang w:val="en-US" w:eastAsia="en-GB"/>
        </w:rPr>
        <w:t>absent from the public scene (art. 3).</w:t>
      </w:r>
    </w:p>
    <w:p w14:paraId="65AD759B" w14:textId="66F32EFA" w:rsidR="00E22692" w:rsidRPr="00F669A7" w:rsidRDefault="005738AF" w:rsidP="00560A40">
      <w:pPr>
        <w:pStyle w:val="SingleTxtG"/>
        <w:numPr>
          <w:ilvl w:val="0"/>
          <w:numId w:val="18"/>
        </w:numPr>
        <w:ind w:left="1134" w:firstLine="0"/>
        <w:rPr>
          <w:b/>
          <w:lang w:val="en-US" w:eastAsia="en-GB"/>
        </w:rPr>
      </w:pPr>
      <w:r w:rsidRPr="00F669A7">
        <w:rPr>
          <w:b/>
          <w:lang w:val="en-US" w:eastAsia="en-GB"/>
        </w:rPr>
        <w:t>R</w:t>
      </w:r>
      <w:r w:rsidR="00C33394" w:rsidRPr="00F669A7">
        <w:rPr>
          <w:b/>
          <w:lang w:val="en-US" w:eastAsia="en-GB"/>
        </w:rPr>
        <w:t>ecalling its general comment No. 16 (2005) on the equal right of men and women to the enjoyment of all economic, social and cultural rights, t</w:t>
      </w:r>
      <w:r w:rsidR="003B4863" w:rsidRPr="00F669A7">
        <w:rPr>
          <w:b/>
          <w:lang w:val="en-US" w:eastAsia="en-GB"/>
        </w:rPr>
        <w:t xml:space="preserve">he Committee recommends that the State party </w:t>
      </w:r>
      <w:r w:rsidR="007A2EEF" w:rsidRPr="00F669A7">
        <w:rPr>
          <w:b/>
          <w:lang w:val="en-US" w:eastAsia="en-GB"/>
        </w:rPr>
        <w:t xml:space="preserve">step up its efforts to combat gender stereotypes and </w:t>
      </w:r>
      <w:r w:rsidR="00BB6381">
        <w:rPr>
          <w:b/>
          <w:lang w:val="en-US" w:eastAsia="en-GB"/>
        </w:rPr>
        <w:t xml:space="preserve">that it </w:t>
      </w:r>
      <w:r w:rsidR="007A2EEF" w:rsidRPr="00F669A7">
        <w:rPr>
          <w:b/>
          <w:lang w:val="en-US" w:eastAsia="en-GB"/>
        </w:rPr>
        <w:t>embark on national awareness</w:t>
      </w:r>
      <w:r w:rsidR="00BB6381">
        <w:rPr>
          <w:b/>
          <w:lang w:val="en-US" w:eastAsia="en-GB"/>
        </w:rPr>
        <w:t>-</w:t>
      </w:r>
      <w:r w:rsidR="007A2EEF" w:rsidRPr="00F669A7">
        <w:rPr>
          <w:b/>
          <w:lang w:val="en-US" w:eastAsia="en-GB"/>
        </w:rPr>
        <w:t>raising campaigns, including by increased use of the media</w:t>
      </w:r>
      <w:r w:rsidR="00E13EFB" w:rsidRPr="00F669A7">
        <w:rPr>
          <w:b/>
          <w:lang w:val="en-US" w:eastAsia="en-GB"/>
        </w:rPr>
        <w:t xml:space="preserve">, aimed at </w:t>
      </w:r>
      <w:r w:rsidR="00E20AF1" w:rsidRPr="00F669A7">
        <w:rPr>
          <w:b/>
          <w:lang w:val="en-US" w:eastAsia="en-GB"/>
        </w:rPr>
        <w:t xml:space="preserve">modifying </w:t>
      </w:r>
      <w:r w:rsidR="00BB6381">
        <w:rPr>
          <w:b/>
          <w:lang w:val="en-US" w:eastAsia="en-GB"/>
        </w:rPr>
        <w:t xml:space="preserve">the </w:t>
      </w:r>
      <w:r w:rsidR="00E13EFB" w:rsidRPr="00F669A7">
        <w:rPr>
          <w:b/>
          <w:lang w:val="en-US" w:eastAsia="en-GB"/>
        </w:rPr>
        <w:t>population’s mindset as regards gender roles</w:t>
      </w:r>
      <w:r w:rsidR="007A2EEF" w:rsidRPr="00F669A7">
        <w:rPr>
          <w:b/>
          <w:lang w:val="en-US" w:eastAsia="en-GB"/>
        </w:rPr>
        <w:t>. It also recommend</w:t>
      </w:r>
      <w:r w:rsidR="00AC2179" w:rsidRPr="00F669A7">
        <w:rPr>
          <w:b/>
          <w:lang w:val="en-US" w:eastAsia="en-GB"/>
        </w:rPr>
        <w:t xml:space="preserve">s </w:t>
      </w:r>
      <w:r w:rsidR="00560A40">
        <w:rPr>
          <w:b/>
          <w:lang w:val="en-US" w:eastAsia="en-GB"/>
        </w:rPr>
        <w:t>that the State party take</w:t>
      </w:r>
      <w:r w:rsidR="003B4863" w:rsidRPr="00F669A7">
        <w:rPr>
          <w:b/>
          <w:lang w:val="en-US" w:eastAsia="en-GB"/>
        </w:rPr>
        <w:t xml:space="preserve"> effective measures</w:t>
      </w:r>
      <w:r w:rsidR="00E20AF1" w:rsidRPr="00F669A7">
        <w:rPr>
          <w:b/>
          <w:lang w:val="en-US" w:eastAsia="en-GB"/>
        </w:rPr>
        <w:t xml:space="preserve"> </w:t>
      </w:r>
      <w:r w:rsidR="00AC3CD0">
        <w:rPr>
          <w:b/>
          <w:lang w:val="en-US" w:eastAsia="en-GB"/>
        </w:rPr>
        <w:t>to</w:t>
      </w:r>
      <w:r w:rsidR="00E20AF1" w:rsidRPr="00F669A7">
        <w:rPr>
          <w:b/>
          <w:lang w:val="en-US" w:eastAsia="en-GB"/>
        </w:rPr>
        <w:t xml:space="preserve"> enhance women’s participation in all areas of public life</w:t>
      </w:r>
      <w:r w:rsidR="003B4863" w:rsidRPr="00F669A7">
        <w:rPr>
          <w:b/>
          <w:lang w:val="en-US" w:eastAsia="en-GB"/>
        </w:rPr>
        <w:t xml:space="preserve">, </w:t>
      </w:r>
      <w:r w:rsidR="00E20AF1" w:rsidRPr="00F669A7">
        <w:rPr>
          <w:b/>
          <w:lang w:val="en-US" w:eastAsia="en-GB"/>
        </w:rPr>
        <w:t xml:space="preserve">and </w:t>
      </w:r>
      <w:r w:rsidR="00560A40">
        <w:rPr>
          <w:b/>
          <w:lang w:val="en-US" w:eastAsia="en-GB"/>
        </w:rPr>
        <w:t xml:space="preserve">that it </w:t>
      </w:r>
      <w:r w:rsidR="00E20AF1" w:rsidRPr="00F669A7">
        <w:rPr>
          <w:b/>
          <w:lang w:val="en-US" w:eastAsia="en-GB"/>
        </w:rPr>
        <w:t>consider</w:t>
      </w:r>
      <w:r w:rsidR="003B4863" w:rsidRPr="00F669A7">
        <w:rPr>
          <w:b/>
          <w:lang w:val="en-US" w:eastAsia="en-GB"/>
        </w:rPr>
        <w:t xml:space="preserve"> the adoption of temporary special measures</w:t>
      </w:r>
      <w:r w:rsidR="00905DB7" w:rsidRPr="00F669A7">
        <w:rPr>
          <w:b/>
          <w:lang w:val="en-US" w:eastAsia="en-GB"/>
        </w:rPr>
        <w:t xml:space="preserve"> </w:t>
      </w:r>
      <w:r w:rsidR="00EF0B24" w:rsidRPr="00F669A7">
        <w:rPr>
          <w:b/>
          <w:lang w:val="en-US" w:eastAsia="en-GB"/>
        </w:rPr>
        <w:t xml:space="preserve">including </w:t>
      </w:r>
      <w:r w:rsidR="00905DB7" w:rsidRPr="00F669A7">
        <w:rPr>
          <w:b/>
          <w:lang w:val="en-US" w:eastAsia="en-GB"/>
        </w:rPr>
        <w:t>quotas, paying particular attention to Roma women and women from the south.</w:t>
      </w:r>
    </w:p>
    <w:p w14:paraId="4A85B777" w14:textId="77777777" w:rsidR="00EB223B" w:rsidRPr="00F669A7" w:rsidRDefault="005A1F40" w:rsidP="00471932">
      <w:pPr>
        <w:pStyle w:val="H23G"/>
        <w:rPr>
          <w:lang w:val="en-US"/>
        </w:rPr>
      </w:pPr>
      <w:r w:rsidRPr="00F669A7">
        <w:rPr>
          <w:lang w:val="en-US"/>
        </w:rPr>
        <w:tab/>
      </w:r>
      <w:r w:rsidRPr="00F669A7">
        <w:rPr>
          <w:lang w:val="en-US"/>
        </w:rPr>
        <w:tab/>
      </w:r>
      <w:r w:rsidR="00EB223B" w:rsidRPr="00F669A7">
        <w:rPr>
          <w:lang w:val="en-US"/>
        </w:rPr>
        <w:t>Unemployment</w:t>
      </w:r>
      <w:r w:rsidR="00F31466">
        <w:rPr>
          <w:lang w:val="en-US"/>
        </w:rPr>
        <w:t xml:space="preserve"> </w:t>
      </w:r>
    </w:p>
    <w:p w14:paraId="06DC2940" w14:textId="7A96D8BF" w:rsidR="00905DB7" w:rsidRPr="00F669A7" w:rsidRDefault="00905DB7" w:rsidP="00471932">
      <w:pPr>
        <w:pStyle w:val="SingleTxtG"/>
        <w:numPr>
          <w:ilvl w:val="0"/>
          <w:numId w:val="18"/>
        </w:numPr>
        <w:ind w:left="1134" w:firstLine="0"/>
        <w:rPr>
          <w:lang w:val="en-US"/>
        </w:rPr>
      </w:pPr>
      <w:r w:rsidRPr="00F669A7">
        <w:rPr>
          <w:lang w:val="en-US"/>
        </w:rPr>
        <w:t>The Committee is concerned that</w:t>
      </w:r>
      <w:r w:rsidR="00FB4A60" w:rsidRPr="00F669A7">
        <w:rPr>
          <w:lang w:val="en-US"/>
        </w:rPr>
        <w:t>,</w:t>
      </w:r>
      <w:r w:rsidRPr="00F669A7">
        <w:rPr>
          <w:lang w:val="en-US"/>
        </w:rPr>
        <w:t xml:space="preserve"> </w:t>
      </w:r>
      <w:r w:rsidR="00FB4A60" w:rsidRPr="00F669A7">
        <w:rPr>
          <w:lang w:val="en-US"/>
        </w:rPr>
        <w:t xml:space="preserve">in spite of the various programmes </w:t>
      </w:r>
      <w:r w:rsidR="00B82BF5">
        <w:rPr>
          <w:lang w:val="en-US"/>
        </w:rPr>
        <w:t>designed</w:t>
      </w:r>
      <w:r w:rsidR="00B82BF5" w:rsidRPr="00F669A7">
        <w:rPr>
          <w:lang w:val="en-US"/>
        </w:rPr>
        <w:t xml:space="preserve"> </w:t>
      </w:r>
      <w:r w:rsidR="00FB4A60" w:rsidRPr="00F669A7">
        <w:rPr>
          <w:lang w:val="en-US"/>
        </w:rPr>
        <w:t xml:space="preserve">to tackle unemployment and the situation of young people who are neither in education nor in training, </w:t>
      </w:r>
      <w:r w:rsidR="00165A5C" w:rsidRPr="00F669A7">
        <w:rPr>
          <w:lang w:val="en-US"/>
        </w:rPr>
        <w:t xml:space="preserve">the </w:t>
      </w:r>
      <w:r w:rsidRPr="00F669A7">
        <w:rPr>
          <w:lang w:val="en-US"/>
        </w:rPr>
        <w:t>unemployment rate is high in the State party, affecting particularly the youth, persons with disabilit</w:t>
      </w:r>
      <w:r w:rsidR="00150A93" w:rsidRPr="00F669A7">
        <w:rPr>
          <w:lang w:val="en-US"/>
        </w:rPr>
        <w:t>ies</w:t>
      </w:r>
      <w:r w:rsidRPr="00F669A7">
        <w:rPr>
          <w:lang w:val="en-US"/>
        </w:rPr>
        <w:t xml:space="preserve"> and migrant workers</w:t>
      </w:r>
      <w:r w:rsidR="00666E8D" w:rsidRPr="00F669A7">
        <w:rPr>
          <w:lang w:val="en-US"/>
        </w:rPr>
        <w:t>,</w:t>
      </w:r>
      <w:r w:rsidR="003732D7" w:rsidRPr="00F669A7">
        <w:rPr>
          <w:lang w:val="en-US"/>
        </w:rPr>
        <w:t xml:space="preserve"> and that measures taken </w:t>
      </w:r>
      <w:r w:rsidR="00150A93" w:rsidRPr="00F669A7">
        <w:rPr>
          <w:lang w:val="en-US"/>
        </w:rPr>
        <w:t>in th</w:t>
      </w:r>
      <w:r w:rsidR="00B82BF5">
        <w:rPr>
          <w:lang w:val="en-US"/>
        </w:rPr>
        <w:t>at</w:t>
      </w:r>
      <w:r w:rsidR="00150A93" w:rsidRPr="00F669A7">
        <w:rPr>
          <w:lang w:val="en-US"/>
        </w:rPr>
        <w:t xml:space="preserve"> regard </w:t>
      </w:r>
      <w:r w:rsidR="003732D7" w:rsidRPr="00F669A7">
        <w:rPr>
          <w:lang w:val="en-US"/>
        </w:rPr>
        <w:t xml:space="preserve">have not yielded the </w:t>
      </w:r>
      <w:r w:rsidR="00754240" w:rsidRPr="00F669A7">
        <w:rPr>
          <w:lang w:val="en-US"/>
        </w:rPr>
        <w:t>desired</w:t>
      </w:r>
      <w:r w:rsidR="003732D7" w:rsidRPr="00F669A7">
        <w:rPr>
          <w:lang w:val="en-US"/>
        </w:rPr>
        <w:t xml:space="preserve"> results</w:t>
      </w:r>
      <w:r w:rsidRPr="00F669A7">
        <w:rPr>
          <w:lang w:val="en-US"/>
        </w:rPr>
        <w:t xml:space="preserve">. The Committee is </w:t>
      </w:r>
      <w:r w:rsidR="00B82BF5">
        <w:rPr>
          <w:lang w:val="en-US"/>
        </w:rPr>
        <w:t>also</w:t>
      </w:r>
      <w:r w:rsidR="00B82BF5" w:rsidRPr="00F669A7">
        <w:rPr>
          <w:lang w:val="en-US"/>
        </w:rPr>
        <w:t xml:space="preserve"> </w:t>
      </w:r>
      <w:r w:rsidRPr="00F669A7">
        <w:rPr>
          <w:lang w:val="en-US"/>
        </w:rPr>
        <w:t xml:space="preserve">concerned </w:t>
      </w:r>
      <w:r w:rsidR="000770F2" w:rsidRPr="00F669A7">
        <w:rPr>
          <w:lang w:val="en-US"/>
        </w:rPr>
        <w:t>about regional dis</w:t>
      </w:r>
      <w:r w:rsidR="00150A93" w:rsidRPr="00F669A7">
        <w:rPr>
          <w:lang w:val="en-US"/>
        </w:rPr>
        <w:t>parit</w:t>
      </w:r>
      <w:r w:rsidR="000770F2" w:rsidRPr="00F669A7">
        <w:rPr>
          <w:lang w:val="en-US"/>
        </w:rPr>
        <w:t xml:space="preserve">ies in </w:t>
      </w:r>
      <w:r w:rsidR="00150A93" w:rsidRPr="00F669A7">
        <w:rPr>
          <w:lang w:val="en-US"/>
        </w:rPr>
        <w:t xml:space="preserve">the prevalence of </w:t>
      </w:r>
      <w:r w:rsidR="000770F2" w:rsidRPr="00F669A7">
        <w:rPr>
          <w:lang w:val="en-US"/>
        </w:rPr>
        <w:t>unemployment</w:t>
      </w:r>
      <w:r w:rsidR="00FB4A60" w:rsidRPr="00F669A7">
        <w:rPr>
          <w:lang w:val="en-US"/>
        </w:rPr>
        <w:t>,</w:t>
      </w:r>
      <w:r w:rsidR="000770F2" w:rsidRPr="00F669A7">
        <w:rPr>
          <w:lang w:val="en-US"/>
        </w:rPr>
        <w:t xml:space="preserve"> </w:t>
      </w:r>
      <w:r w:rsidR="00150A93" w:rsidRPr="00F669A7">
        <w:rPr>
          <w:lang w:val="en-US"/>
        </w:rPr>
        <w:t xml:space="preserve">which is </w:t>
      </w:r>
      <w:r w:rsidR="00666E8D" w:rsidRPr="00F669A7">
        <w:rPr>
          <w:lang w:val="en-US"/>
        </w:rPr>
        <w:t xml:space="preserve">far </w:t>
      </w:r>
      <w:r w:rsidR="00857701" w:rsidRPr="00F669A7">
        <w:rPr>
          <w:lang w:val="en-US"/>
        </w:rPr>
        <w:t>more acute</w:t>
      </w:r>
      <w:r w:rsidR="000770F2" w:rsidRPr="00F669A7">
        <w:rPr>
          <w:lang w:val="en-US"/>
        </w:rPr>
        <w:t xml:space="preserve"> in the south</w:t>
      </w:r>
      <w:r w:rsidR="007B614C" w:rsidRPr="00F669A7">
        <w:rPr>
          <w:lang w:val="en-US"/>
        </w:rPr>
        <w:t xml:space="preserve"> and o</w:t>
      </w:r>
      <w:r w:rsidR="00150A93" w:rsidRPr="00F669A7">
        <w:rPr>
          <w:lang w:val="en-US"/>
        </w:rPr>
        <w:t>n the islands</w:t>
      </w:r>
      <w:r w:rsidR="000770F2" w:rsidRPr="00F669A7">
        <w:rPr>
          <w:lang w:val="en-US"/>
        </w:rPr>
        <w:t xml:space="preserve">, and about the limited effectiveness of </w:t>
      </w:r>
      <w:r w:rsidR="00B82BF5">
        <w:rPr>
          <w:lang w:val="en-US"/>
        </w:rPr>
        <w:t xml:space="preserve">the </w:t>
      </w:r>
      <w:r w:rsidR="000770F2" w:rsidRPr="00F669A7">
        <w:rPr>
          <w:lang w:val="en-US"/>
        </w:rPr>
        <w:t xml:space="preserve">measures taken to </w:t>
      </w:r>
      <w:r w:rsidR="00A35869">
        <w:rPr>
          <w:lang w:val="en-US"/>
        </w:rPr>
        <w:t>address that situation</w:t>
      </w:r>
      <w:r w:rsidR="000770F2" w:rsidRPr="00F669A7">
        <w:rPr>
          <w:lang w:val="en-US"/>
        </w:rPr>
        <w:t xml:space="preserve"> (art. 6).</w:t>
      </w:r>
    </w:p>
    <w:p w14:paraId="472727A2" w14:textId="1764AB01" w:rsidR="00905DB7" w:rsidRPr="00F669A7" w:rsidRDefault="00857701" w:rsidP="00471932">
      <w:pPr>
        <w:pStyle w:val="SingleTxtG"/>
        <w:numPr>
          <w:ilvl w:val="0"/>
          <w:numId w:val="18"/>
        </w:numPr>
        <w:ind w:left="1134" w:firstLine="0"/>
        <w:rPr>
          <w:b/>
          <w:lang w:val="en-US"/>
        </w:rPr>
      </w:pPr>
      <w:r w:rsidRPr="00F669A7">
        <w:rPr>
          <w:b/>
          <w:lang w:val="en-US"/>
        </w:rPr>
        <w:t>The Committee</w:t>
      </w:r>
      <w:r w:rsidR="00974162" w:rsidRPr="00F669A7">
        <w:rPr>
          <w:b/>
          <w:lang w:val="en-US"/>
        </w:rPr>
        <w:t xml:space="preserve"> </w:t>
      </w:r>
      <w:r w:rsidR="00E13EFB" w:rsidRPr="00F669A7">
        <w:rPr>
          <w:b/>
          <w:lang w:val="en-US"/>
        </w:rPr>
        <w:t>recommends</w:t>
      </w:r>
      <w:r w:rsidR="00692A84" w:rsidRPr="00F669A7">
        <w:rPr>
          <w:b/>
          <w:lang w:val="en-US"/>
        </w:rPr>
        <w:t xml:space="preserve"> </w:t>
      </w:r>
      <w:r w:rsidR="00A35869">
        <w:rPr>
          <w:b/>
          <w:lang w:val="en-US"/>
        </w:rPr>
        <w:t>that the State party</w:t>
      </w:r>
      <w:r w:rsidR="00692A84" w:rsidRPr="00F669A7">
        <w:rPr>
          <w:b/>
          <w:lang w:val="en-US"/>
        </w:rPr>
        <w:t xml:space="preserve"> step up its efforts to </w:t>
      </w:r>
      <w:r w:rsidR="00A35869">
        <w:rPr>
          <w:b/>
          <w:lang w:val="en-US"/>
        </w:rPr>
        <w:t>address unemployment effectively</w:t>
      </w:r>
      <w:r w:rsidR="00692A84" w:rsidRPr="00F669A7">
        <w:rPr>
          <w:b/>
          <w:lang w:val="en-US"/>
        </w:rPr>
        <w:t xml:space="preserve">, including by </w:t>
      </w:r>
      <w:r w:rsidR="003345D6" w:rsidRPr="00F669A7">
        <w:rPr>
          <w:b/>
          <w:lang w:val="en-US"/>
        </w:rPr>
        <w:t xml:space="preserve">adjusting where necessary </w:t>
      </w:r>
      <w:r w:rsidR="00A138D3" w:rsidRPr="00F669A7">
        <w:rPr>
          <w:b/>
          <w:lang w:val="en-US"/>
        </w:rPr>
        <w:t>and</w:t>
      </w:r>
      <w:r w:rsidR="003345D6" w:rsidRPr="00F669A7">
        <w:rPr>
          <w:b/>
          <w:lang w:val="en-US"/>
        </w:rPr>
        <w:t xml:space="preserve"> implementing existing programmes and plans, including labour market reforms, with the aim of in</w:t>
      </w:r>
      <w:r w:rsidR="00150A93" w:rsidRPr="00F669A7">
        <w:rPr>
          <w:b/>
          <w:lang w:val="en-US"/>
        </w:rPr>
        <w:t>tegrat</w:t>
      </w:r>
      <w:r w:rsidR="003345D6" w:rsidRPr="00F669A7">
        <w:rPr>
          <w:b/>
          <w:lang w:val="en-US"/>
        </w:rPr>
        <w:t>ing the unemployed in</w:t>
      </w:r>
      <w:r w:rsidR="00A35869">
        <w:rPr>
          <w:b/>
          <w:lang w:val="en-US"/>
        </w:rPr>
        <w:t>to</w:t>
      </w:r>
      <w:r w:rsidR="003345D6" w:rsidRPr="00F669A7">
        <w:rPr>
          <w:b/>
          <w:lang w:val="en-US"/>
        </w:rPr>
        <w:t xml:space="preserve"> the labour market. In doing so, the State party </w:t>
      </w:r>
      <w:r w:rsidR="00165A5C" w:rsidRPr="00F669A7">
        <w:rPr>
          <w:b/>
          <w:lang w:val="en-US"/>
        </w:rPr>
        <w:t xml:space="preserve">is encouraged to </w:t>
      </w:r>
      <w:r w:rsidR="003345D6" w:rsidRPr="00F669A7">
        <w:rPr>
          <w:b/>
          <w:lang w:val="en-US"/>
        </w:rPr>
        <w:t>pay</w:t>
      </w:r>
      <w:r w:rsidR="00692A84" w:rsidRPr="00F669A7">
        <w:rPr>
          <w:b/>
          <w:lang w:val="en-US"/>
        </w:rPr>
        <w:t xml:space="preserve"> particular attention to groups that </w:t>
      </w:r>
      <w:r w:rsidR="00CD6037" w:rsidRPr="00F669A7">
        <w:rPr>
          <w:b/>
          <w:lang w:val="en-US"/>
        </w:rPr>
        <w:t>are</w:t>
      </w:r>
      <w:r w:rsidR="00692A84" w:rsidRPr="00F669A7">
        <w:rPr>
          <w:b/>
          <w:lang w:val="en-US"/>
        </w:rPr>
        <w:t xml:space="preserve"> more vu</w:t>
      </w:r>
      <w:r w:rsidR="008E3E07" w:rsidRPr="00F669A7">
        <w:rPr>
          <w:b/>
          <w:lang w:val="en-US"/>
        </w:rPr>
        <w:t>lnerable to unemployment, n</w:t>
      </w:r>
      <w:r w:rsidR="00150A93" w:rsidRPr="00F669A7">
        <w:rPr>
          <w:b/>
          <w:lang w:val="en-US"/>
        </w:rPr>
        <w:t>ame</w:t>
      </w:r>
      <w:r w:rsidR="008E3E07" w:rsidRPr="00F669A7">
        <w:rPr>
          <w:b/>
          <w:lang w:val="en-US"/>
        </w:rPr>
        <w:t>ly</w:t>
      </w:r>
      <w:r w:rsidR="00692A84" w:rsidRPr="00F669A7">
        <w:rPr>
          <w:b/>
          <w:lang w:val="en-US"/>
        </w:rPr>
        <w:t xml:space="preserve"> the youth, persons with disabilities and migrant workers. The </w:t>
      </w:r>
      <w:r w:rsidR="00666E8D" w:rsidRPr="00F669A7">
        <w:rPr>
          <w:b/>
          <w:lang w:val="en-US"/>
        </w:rPr>
        <w:t>Committee</w:t>
      </w:r>
      <w:r w:rsidR="00692A84" w:rsidRPr="00F669A7">
        <w:rPr>
          <w:b/>
          <w:lang w:val="en-US"/>
        </w:rPr>
        <w:t xml:space="preserve"> also recommend</w:t>
      </w:r>
      <w:r w:rsidR="00666E8D" w:rsidRPr="00F669A7">
        <w:rPr>
          <w:b/>
          <w:lang w:val="en-US"/>
        </w:rPr>
        <w:t>s that the State party</w:t>
      </w:r>
      <w:r w:rsidR="00692A84" w:rsidRPr="00F669A7">
        <w:rPr>
          <w:b/>
          <w:lang w:val="en-US"/>
        </w:rPr>
        <w:t xml:space="preserve"> </w:t>
      </w:r>
      <w:r w:rsidR="00150A93" w:rsidRPr="00F669A7">
        <w:rPr>
          <w:b/>
          <w:lang w:val="en-US"/>
        </w:rPr>
        <w:t xml:space="preserve">take measures to substantially improve </w:t>
      </w:r>
      <w:r w:rsidR="004B0EA7" w:rsidRPr="00F669A7">
        <w:rPr>
          <w:b/>
          <w:lang w:val="en-US"/>
        </w:rPr>
        <w:t xml:space="preserve">the effectiveness of </w:t>
      </w:r>
      <w:r w:rsidR="00150A93" w:rsidRPr="00F669A7">
        <w:rPr>
          <w:b/>
          <w:lang w:val="en-US"/>
        </w:rPr>
        <w:t xml:space="preserve">its programmes </w:t>
      </w:r>
      <w:r w:rsidR="00CD6037" w:rsidRPr="00F669A7">
        <w:rPr>
          <w:b/>
          <w:lang w:val="en-US"/>
        </w:rPr>
        <w:t xml:space="preserve">so as to </w:t>
      </w:r>
      <w:r w:rsidR="00FB4A60" w:rsidRPr="00F669A7">
        <w:rPr>
          <w:b/>
          <w:lang w:val="en-US"/>
        </w:rPr>
        <w:t>ensure</w:t>
      </w:r>
      <w:r w:rsidR="00692A84" w:rsidRPr="00F669A7">
        <w:rPr>
          <w:b/>
          <w:lang w:val="en-US"/>
        </w:rPr>
        <w:t xml:space="preserve"> </w:t>
      </w:r>
      <w:r w:rsidR="007B614C" w:rsidRPr="00F669A7">
        <w:rPr>
          <w:b/>
          <w:lang w:val="en-US"/>
        </w:rPr>
        <w:t xml:space="preserve">that </w:t>
      </w:r>
      <w:r w:rsidR="00692A84" w:rsidRPr="00F669A7">
        <w:rPr>
          <w:b/>
          <w:lang w:val="en-US"/>
        </w:rPr>
        <w:t xml:space="preserve">the right to work of those living in </w:t>
      </w:r>
      <w:r w:rsidR="00A35869">
        <w:rPr>
          <w:b/>
          <w:lang w:val="en-US"/>
        </w:rPr>
        <w:t xml:space="preserve">the </w:t>
      </w:r>
      <w:r w:rsidR="00692A84" w:rsidRPr="00F669A7">
        <w:rPr>
          <w:b/>
          <w:lang w:val="en-US"/>
        </w:rPr>
        <w:t>southern provinces</w:t>
      </w:r>
      <w:r w:rsidR="00B5676E" w:rsidRPr="00F669A7">
        <w:rPr>
          <w:b/>
          <w:lang w:val="en-US"/>
        </w:rPr>
        <w:t xml:space="preserve"> and on the islands</w:t>
      </w:r>
      <w:r w:rsidR="00150A93" w:rsidRPr="00F669A7">
        <w:rPr>
          <w:b/>
          <w:lang w:val="en-US"/>
        </w:rPr>
        <w:t xml:space="preserve"> is respected, protected and fulfilled</w:t>
      </w:r>
      <w:r w:rsidR="00692A84" w:rsidRPr="00F669A7">
        <w:rPr>
          <w:b/>
          <w:lang w:val="en-US"/>
        </w:rPr>
        <w:t>.</w:t>
      </w:r>
    </w:p>
    <w:p w14:paraId="44285236" w14:textId="77777777" w:rsidR="00EB223B" w:rsidRPr="00F669A7" w:rsidRDefault="005A1F40" w:rsidP="00471932">
      <w:pPr>
        <w:pStyle w:val="H23G"/>
        <w:rPr>
          <w:lang w:val="en-US"/>
        </w:rPr>
      </w:pPr>
      <w:r w:rsidRPr="00F669A7">
        <w:rPr>
          <w:lang w:val="en-US"/>
        </w:rPr>
        <w:tab/>
      </w:r>
      <w:r w:rsidRPr="00F669A7">
        <w:rPr>
          <w:lang w:val="en-US"/>
        </w:rPr>
        <w:tab/>
      </w:r>
      <w:r w:rsidR="00EB223B" w:rsidRPr="00F669A7">
        <w:rPr>
          <w:lang w:val="en-US"/>
        </w:rPr>
        <w:t>Women’s employment</w:t>
      </w:r>
    </w:p>
    <w:p w14:paraId="59E6ABB8" w14:textId="275DD8E2" w:rsidR="00857701" w:rsidRPr="00F669A7" w:rsidRDefault="00857701" w:rsidP="00C57D84">
      <w:pPr>
        <w:pStyle w:val="SingleTxtG"/>
        <w:numPr>
          <w:ilvl w:val="0"/>
          <w:numId w:val="18"/>
        </w:numPr>
        <w:ind w:left="1134" w:firstLine="0"/>
        <w:rPr>
          <w:lang w:val="en-US"/>
        </w:rPr>
      </w:pPr>
      <w:r w:rsidRPr="00F669A7">
        <w:rPr>
          <w:lang w:val="en-US"/>
        </w:rPr>
        <w:t xml:space="preserve">The Committee is concerned </w:t>
      </w:r>
      <w:r w:rsidR="00150A93" w:rsidRPr="00F669A7">
        <w:rPr>
          <w:lang w:val="en-US"/>
        </w:rPr>
        <w:t xml:space="preserve">about </w:t>
      </w:r>
      <w:r w:rsidRPr="00F669A7">
        <w:rPr>
          <w:lang w:val="en-US"/>
        </w:rPr>
        <w:t>th</w:t>
      </w:r>
      <w:r w:rsidR="00150A93" w:rsidRPr="00F669A7">
        <w:rPr>
          <w:lang w:val="en-US"/>
        </w:rPr>
        <w:t xml:space="preserve">e sharp difference in </w:t>
      </w:r>
      <w:r w:rsidR="00A35869">
        <w:rPr>
          <w:lang w:val="en-US"/>
        </w:rPr>
        <w:t xml:space="preserve">the </w:t>
      </w:r>
      <w:r w:rsidR="00150A93" w:rsidRPr="00F669A7">
        <w:rPr>
          <w:lang w:val="en-US"/>
        </w:rPr>
        <w:t>employment rate between</w:t>
      </w:r>
      <w:r w:rsidRPr="00F669A7">
        <w:rPr>
          <w:lang w:val="en-US"/>
        </w:rPr>
        <w:t xml:space="preserve"> women </w:t>
      </w:r>
      <w:r w:rsidR="00150A93" w:rsidRPr="00F669A7">
        <w:rPr>
          <w:lang w:val="en-US"/>
        </w:rPr>
        <w:t>and</w:t>
      </w:r>
      <w:r w:rsidRPr="00F669A7">
        <w:rPr>
          <w:lang w:val="en-US"/>
        </w:rPr>
        <w:t xml:space="preserve"> men, </w:t>
      </w:r>
      <w:r w:rsidR="00A35869">
        <w:rPr>
          <w:lang w:val="en-US"/>
        </w:rPr>
        <w:t>which particularly affects</w:t>
      </w:r>
      <w:r w:rsidR="00150A93" w:rsidRPr="00F669A7">
        <w:rPr>
          <w:lang w:val="en-US"/>
        </w:rPr>
        <w:t xml:space="preserve"> women </w:t>
      </w:r>
      <w:r w:rsidRPr="00F669A7">
        <w:rPr>
          <w:lang w:val="en-US"/>
        </w:rPr>
        <w:t xml:space="preserve">in the south. The Committee is also concerned about </w:t>
      </w:r>
      <w:r w:rsidR="00754240" w:rsidRPr="00F669A7">
        <w:rPr>
          <w:lang w:val="en-US"/>
        </w:rPr>
        <w:t>women’s</w:t>
      </w:r>
      <w:r w:rsidR="00FB4A60" w:rsidRPr="00F669A7">
        <w:rPr>
          <w:lang w:val="en-US"/>
        </w:rPr>
        <w:t xml:space="preserve"> </w:t>
      </w:r>
      <w:r w:rsidRPr="00F669A7">
        <w:rPr>
          <w:lang w:val="en-US"/>
        </w:rPr>
        <w:t xml:space="preserve">concentration in the informal </w:t>
      </w:r>
      <w:r w:rsidR="00165A5C" w:rsidRPr="00F669A7">
        <w:rPr>
          <w:lang w:val="en-US"/>
        </w:rPr>
        <w:t xml:space="preserve">economy </w:t>
      </w:r>
      <w:r w:rsidRPr="00F669A7">
        <w:rPr>
          <w:lang w:val="en-US"/>
        </w:rPr>
        <w:t>and in low</w:t>
      </w:r>
      <w:r w:rsidR="00CD08ED">
        <w:rPr>
          <w:lang w:val="en-US"/>
        </w:rPr>
        <w:t>-</w:t>
      </w:r>
      <w:r w:rsidRPr="00F669A7">
        <w:rPr>
          <w:lang w:val="en-US"/>
        </w:rPr>
        <w:t xml:space="preserve">paid sectors, </w:t>
      </w:r>
      <w:r w:rsidR="00CD08ED">
        <w:rPr>
          <w:lang w:val="en-US"/>
        </w:rPr>
        <w:t xml:space="preserve">which </w:t>
      </w:r>
      <w:r w:rsidRPr="00F669A7">
        <w:rPr>
          <w:lang w:val="en-US"/>
        </w:rPr>
        <w:t>perpetuat</w:t>
      </w:r>
      <w:r w:rsidR="00CD08ED">
        <w:rPr>
          <w:lang w:val="en-US"/>
        </w:rPr>
        <w:t>es</w:t>
      </w:r>
      <w:r w:rsidRPr="00F669A7">
        <w:rPr>
          <w:lang w:val="en-US"/>
        </w:rPr>
        <w:t xml:space="preserve"> </w:t>
      </w:r>
      <w:r w:rsidR="000F1E24" w:rsidRPr="00F669A7">
        <w:rPr>
          <w:lang w:val="en-US"/>
        </w:rPr>
        <w:t xml:space="preserve">vertical and horizontal </w:t>
      </w:r>
      <w:r w:rsidR="007B614C" w:rsidRPr="00F669A7">
        <w:rPr>
          <w:lang w:val="en-US"/>
        </w:rPr>
        <w:t xml:space="preserve">occupational </w:t>
      </w:r>
      <w:r w:rsidR="00150A93" w:rsidRPr="00F669A7">
        <w:rPr>
          <w:lang w:val="en-US"/>
        </w:rPr>
        <w:t xml:space="preserve">sex </w:t>
      </w:r>
      <w:r w:rsidR="000F1E24" w:rsidRPr="00F669A7">
        <w:rPr>
          <w:lang w:val="en-US"/>
        </w:rPr>
        <w:t xml:space="preserve">segregation and </w:t>
      </w:r>
      <w:r w:rsidRPr="00F669A7">
        <w:rPr>
          <w:lang w:val="en-US"/>
        </w:rPr>
        <w:t>the gender wage gap.</w:t>
      </w:r>
      <w:r w:rsidR="00692173" w:rsidRPr="00F669A7">
        <w:rPr>
          <w:lang w:val="en-US"/>
        </w:rPr>
        <w:t xml:space="preserve"> The Committee is further</w:t>
      </w:r>
      <w:r w:rsidR="00BF61FF" w:rsidRPr="00F669A7">
        <w:rPr>
          <w:lang w:val="en-US"/>
        </w:rPr>
        <w:t xml:space="preserve"> concer</w:t>
      </w:r>
      <w:r w:rsidR="00CD07AC" w:rsidRPr="00F669A7">
        <w:rPr>
          <w:lang w:val="en-US"/>
        </w:rPr>
        <w:t>ned that the already</w:t>
      </w:r>
      <w:r w:rsidR="0083367A" w:rsidRPr="00F669A7">
        <w:rPr>
          <w:lang w:val="en-US"/>
        </w:rPr>
        <w:t xml:space="preserve"> </w:t>
      </w:r>
      <w:r w:rsidR="003732D7" w:rsidRPr="00F669A7">
        <w:rPr>
          <w:lang w:val="en-US"/>
        </w:rPr>
        <w:t>low rate</w:t>
      </w:r>
      <w:r w:rsidR="00CD07AC" w:rsidRPr="00F669A7">
        <w:rPr>
          <w:lang w:val="en-US"/>
        </w:rPr>
        <w:t xml:space="preserve"> of women</w:t>
      </w:r>
      <w:r w:rsidR="00FB4A60" w:rsidRPr="00F669A7">
        <w:rPr>
          <w:lang w:val="en-US"/>
        </w:rPr>
        <w:t>’s</w:t>
      </w:r>
      <w:r w:rsidR="00CD07AC" w:rsidRPr="00F669A7">
        <w:rPr>
          <w:lang w:val="en-US"/>
        </w:rPr>
        <w:t xml:space="preserve"> employment before the </w:t>
      </w:r>
      <w:r w:rsidR="00BB71E4" w:rsidRPr="00F669A7">
        <w:rPr>
          <w:lang w:val="en-US"/>
        </w:rPr>
        <w:t>financial crisis</w:t>
      </w:r>
      <w:r w:rsidR="00CD07AC" w:rsidRPr="00F669A7">
        <w:rPr>
          <w:lang w:val="en-US"/>
        </w:rPr>
        <w:t xml:space="preserve"> </w:t>
      </w:r>
      <w:r w:rsidR="00150A93" w:rsidRPr="00F669A7">
        <w:rPr>
          <w:lang w:val="en-US"/>
        </w:rPr>
        <w:t>has been</w:t>
      </w:r>
      <w:r w:rsidR="00CD07AC" w:rsidRPr="00F669A7">
        <w:rPr>
          <w:lang w:val="en-US"/>
        </w:rPr>
        <w:t xml:space="preserve"> exacerbated by austerity measures </w:t>
      </w:r>
      <w:r w:rsidR="0083367A" w:rsidRPr="00F669A7">
        <w:rPr>
          <w:lang w:val="en-US"/>
        </w:rPr>
        <w:t>(arts. 3, 6 and 7)</w:t>
      </w:r>
      <w:r w:rsidR="00BF61FF" w:rsidRPr="00F669A7">
        <w:rPr>
          <w:lang w:val="en-US"/>
        </w:rPr>
        <w:t>.</w:t>
      </w:r>
    </w:p>
    <w:p w14:paraId="0156A457" w14:textId="24EFB3B9" w:rsidR="000770F2" w:rsidRPr="00F669A7" w:rsidRDefault="00857701" w:rsidP="00471932">
      <w:pPr>
        <w:pStyle w:val="SingleTxtG"/>
        <w:numPr>
          <w:ilvl w:val="0"/>
          <w:numId w:val="18"/>
        </w:numPr>
        <w:ind w:left="1134" w:firstLine="0"/>
        <w:rPr>
          <w:b/>
          <w:lang w:val="en-US"/>
        </w:rPr>
      </w:pPr>
      <w:r w:rsidRPr="00F669A7">
        <w:rPr>
          <w:b/>
          <w:lang w:val="en-US"/>
        </w:rPr>
        <w:t xml:space="preserve">The Committee recommends that the State party take effective measures to raise </w:t>
      </w:r>
      <w:r w:rsidR="00165A5C" w:rsidRPr="00F669A7">
        <w:rPr>
          <w:b/>
          <w:lang w:val="en-US"/>
        </w:rPr>
        <w:t xml:space="preserve">the </w:t>
      </w:r>
      <w:r w:rsidR="00BF61FF" w:rsidRPr="00F669A7">
        <w:rPr>
          <w:b/>
          <w:lang w:val="en-US"/>
        </w:rPr>
        <w:t>employment</w:t>
      </w:r>
      <w:r w:rsidRPr="00F669A7">
        <w:rPr>
          <w:b/>
          <w:lang w:val="en-US"/>
        </w:rPr>
        <w:t xml:space="preserve"> rate</w:t>
      </w:r>
      <w:r w:rsidR="00165A5C" w:rsidRPr="00F669A7">
        <w:rPr>
          <w:b/>
          <w:lang w:val="en-US"/>
        </w:rPr>
        <w:t xml:space="preserve"> of women</w:t>
      </w:r>
      <w:r w:rsidR="00614A6C" w:rsidRPr="00F669A7">
        <w:rPr>
          <w:b/>
          <w:lang w:val="en-US"/>
        </w:rPr>
        <w:t>, while paying particular attention to the situation of women in the south</w:t>
      </w:r>
      <w:r w:rsidR="00BF61FF" w:rsidRPr="00F669A7">
        <w:rPr>
          <w:b/>
          <w:lang w:val="en-US"/>
        </w:rPr>
        <w:t xml:space="preserve">. It </w:t>
      </w:r>
      <w:r w:rsidR="00614A6C" w:rsidRPr="00F669A7">
        <w:rPr>
          <w:b/>
          <w:lang w:val="en-US"/>
        </w:rPr>
        <w:t>is encouraged to</w:t>
      </w:r>
      <w:r w:rsidR="00BF61FF" w:rsidRPr="00F669A7">
        <w:rPr>
          <w:b/>
          <w:lang w:val="en-US"/>
        </w:rPr>
        <w:t xml:space="preserve"> do so</w:t>
      </w:r>
      <w:r w:rsidRPr="00F669A7">
        <w:rPr>
          <w:b/>
          <w:lang w:val="en-US"/>
        </w:rPr>
        <w:t xml:space="preserve"> </w:t>
      </w:r>
      <w:r w:rsidR="00BF61FF" w:rsidRPr="00F669A7">
        <w:rPr>
          <w:b/>
          <w:lang w:val="en-US"/>
        </w:rPr>
        <w:t>including by embarking on education and training programmes aimed</w:t>
      </w:r>
      <w:r w:rsidRPr="00F669A7">
        <w:rPr>
          <w:b/>
          <w:lang w:val="en-US"/>
        </w:rPr>
        <w:t xml:space="preserve"> at </w:t>
      </w:r>
      <w:r w:rsidR="00BF61FF" w:rsidRPr="00F669A7">
        <w:rPr>
          <w:b/>
          <w:lang w:val="en-US"/>
        </w:rPr>
        <w:t xml:space="preserve">reducing </w:t>
      </w:r>
      <w:r w:rsidR="00150A93" w:rsidRPr="00F669A7">
        <w:rPr>
          <w:b/>
          <w:lang w:val="en-US"/>
        </w:rPr>
        <w:t xml:space="preserve">occupational </w:t>
      </w:r>
      <w:r w:rsidR="009030F9">
        <w:rPr>
          <w:b/>
          <w:lang w:val="en-US"/>
        </w:rPr>
        <w:t xml:space="preserve">sex </w:t>
      </w:r>
      <w:r w:rsidR="00BF61FF" w:rsidRPr="00F669A7">
        <w:rPr>
          <w:b/>
          <w:lang w:val="en-US"/>
        </w:rPr>
        <w:t xml:space="preserve">segregation and </w:t>
      </w:r>
      <w:r w:rsidR="00150A93" w:rsidRPr="00F669A7">
        <w:rPr>
          <w:b/>
          <w:lang w:val="en-US"/>
        </w:rPr>
        <w:t xml:space="preserve">encouraging </w:t>
      </w:r>
      <w:r w:rsidR="00774421" w:rsidRPr="00F669A7">
        <w:rPr>
          <w:b/>
          <w:lang w:val="en-US"/>
        </w:rPr>
        <w:t xml:space="preserve">women </w:t>
      </w:r>
      <w:r w:rsidR="00150A93" w:rsidRPr="00F669A7">
        <w:rPr>
          <w:b/>
          <w:lang w:val="en-US"/>
        </w:rPr>
        <w:t>to take up</w:t>
      </w:r>
      <w:r w:rsidR="00BF61FF" w:rsidRPr="00F669A7">
        <w:rPr>
          <w:b/>
          <w:lang w:val="en-US"/>
        </w:rPr>
        <w:t xml:space="preserve"> traditionally male-dominated</w:t>
      </w:r>
      <w:r w:rsidR="00CD08ED">
        <w:rPr>
          <w:b/>
          <w:lang w:val="en-US"/>
        </w:rPr>
        <w:t xml:space="preserve"> occupations</w:t>
      </w:r>
      <w:r w:rsidR="00BF61FF" w:rsidRPr="00F669A7">
        <w:rPr>
          <w:b/>
          <w:lang w:val="en-US"/>
        </w:rPr>
        <w:t xml:space="preserve">, as well as by considering creating incentives for employers. </w:t>
      </w:r>
      <w:r w:rsidR="00DE65CC" w:rsidRPr="00F669A7">
        <w:rPr>
          <w:b/>
          <w:lang w:val="en-US"/>
        </w:rPr>
        <w:t>Furthermore</w:t>
      </w:r>
      <w:r w:rsidR="000872D4">
        <w:rPr>
          <w:b/>
          <w:lang w:val="en-US"/>
        </w:rPr>
        <w:t>,</w:t>
      </w:r>
      <w:r w:rsidR="00DE65CC" w:rsidRPr="00F669A7">
        <w:rPr>
          <w:b/>
          <w:lang w:val="en-US"/>
        </w:rPr>
        <w:t xml:space="preserve"> </w:t>
      </w:r>
      <w:r w:rsidR="00BB71E4" w:rsidRPr="00F669A7">
        <w:rPr>
          <w:b/>
          <w:lang w:val="en-US"/>
        </w:rPr>
        <w:t xml:space="preserve">it recommends that </w:t>
      </w:r>
      <w:r w:rsidR="00DE65CC" w:rsidRPr="00F669A7">
        <w:rPr>
          <w:b/>
          <w:lang w:val="en-US"/>
        </w:rPr>
        <w:t>t</w:t>
      </w:r>
      <w:r w:rsidR="00CD07AC" w:rsidRPr="00F669A7">
        <w:rPr>
          <w:b/>
          <w:lang w:val="en-US"/>
        </w:rPr>
        <w:t xml:space="preserve">he State party </w:t>
      </w:r>
      <w:r w:rsidR="000A60CC" w:rsidRPr="00F669A7">
        <w:rPr>
          <w:b/>
          <w:lang w:val="en-US"/>
        </w:rPr>
        <w:t xml:space="preserve">ensure that austerity measures do not generate </w:t>
      </w:r>
      <w:r w:rsidR="007B614C" w:rsidRPr="00F669A7">
        <w:rPr>
          <w:b/>
          <w:lang w:val="en-US"/>
        </w:rPr>
        <w:t xml:space="preserve">a </w:t>
      </w:r>
      <w:r w:rsidR="004C756E" w:rsidRPr="00F669A7">
        <w:rPr>
          <w:b/>
          <w:lang w:val="en-US"/>
        </w:rPr>
        <w:t>disproportionately</w:t>
      </w:r>
      <w:r w:rsidR="000A60CC" w:rsidRPr="00F669A7">
        <w:rPr>
          <w:b/>
          <w:lang w:val="en-US"/>
        </w:rPr>
        <w:t xml:space="preserve"> </w:t>
      </w:r>
      <w:r w:rsidR="004C756E" w:rsidRPr="00F669A7">
        <w:rPr>
          <w:b/>
          <w:lang w:val="en-US"/>
        </w:rPr>
        <w:t xml:space="preserve">negative </w:t>
      </w:r>
      <w:r w:rsidR="000A60CC" w:rsidRPr="00F669A7">
        <w:rPr>
          <w:b/>
          <w:lang w:val="en-US"/>
        </w:rPr>
        <w:t>effect on women</w:t>
      </w:r>
      <w:r w:rsidR="00B82925" w:rsidRPr="00F669A7">
        <w:rPr>
          <w:b/>
          <w:lang w:val="en-US"/>
        </w:rPr>
        <w:t>’s employment</w:t>
      </w:r>
      <w:r w:rsidR="00BF61FF" w:rsidRPr="00F669A7">
        <w:rPr>
          <w:b/>
          <w:bCs/>
          <w:lang w:val="en-US" w:eastAsia="en-GB"/>
        </w:rPr>
        <w:t>.</w:t>
      </w:r>
    </w:p>
    <w:p w14:paraId="73EB3FB2" w14:textId="77777777" w:rsidR="00EB223B" w:rsidRPr="00F669A7" w:rsidRDefault="005A1F40" w:rsidP="00471932">
      <w:pPr>
        <w:pStyle w:val="H23G"/>
        <w:rPr>
          <w:lang w:val="en-US"/>
        </w:rPr>
      </w:pPr>
      <w:r w:rsidRPr="00F669A7">
        <w:rPr>
          <w:lang w:val="en-US"/>
        </w:rPr>
        <w:tab/>
      </w:r>
      <w:r w:rsidRPr="00F669A7">
        <w:rPr>
          <w:lang w:val="en-US"/>
        </w:rPr>
        <w:tab/>
      </w:r>
      <w:r w:rsidR="000D7836" w:rsidRPr="00F669A7">
        <w:rPr>
          <w:lang w:val="en-US"/>
        </w:rPr>
        <w:t>I</w:t>
      </w:r>
      <w:r w:rsidR="00E70C71" w:rsidRPr="00F669A7">
        <w:rPr>
          <w:lang w:val="en-US"/>
        </w:rPr>
        <w:t>nformal economy</w:t>
      </w:r>
    </w:p>
    <w:p w14:paraId="22F7824F" w14:textId="10849495" w:rsidR="000D7836" w:rsidRPr="00F669A7" w:rsidRDefault="000D7836" w:rsidP="00471932">
      <w:pPr>
        <w:pStyle w:val="SingleTxtG"/>
        <w:numPr>
          <w:ilvl w:val="0"/>
          <w:numId w:val="18"/>
        </w:numPr>
        <w:ind w:left="1134" w:firstLine="0"/>
        <w:rPr>
          <w:lang w:val="en-US"/>
        </w:rPr>
      </w:pPr>
      <w:r w:rsidRPr="00F669A7">
        <w:rPr>
          <w:lang w:val="en-US"/>
        </w:rPr>
        <w:t xml:space="preserve">The Committee </w:t>
      </w:r>
      <w:r w:rsidR="001F3DD4" w:rsidRPr="00F669A7">
        <w:rPr>
          <w:lang w:val="en-US"/>
        </w:rPr>
        <w:t>reiterates its</w:t>
      </w:r>
      <w:r w:rsidRPr="00F669A7">
        <w:rPr>
          <w:lang w:val="en-US"/>
        </w:rPr>
        <w:t xml:space="preserve"> concern </w:t>
      </w:r>
      <w:r w:rsidR="001F3DD4" w:rsidRPr="00F669A7">
        <w:rPr>
          <w:lang w:val="en-US"/>
        </w:rPr>
        <w:t xml:space="preserve">about </w:t>
      </w:r>
      <w:r w:rsidRPr="00F669A7">
        <w:rPr>
          <w:lang w:val="en-US"/>
        </w:rPr>
        <w:t>the considerable proportion of workers in the informal economy in the State party</w:t>
      </w:r>
      <w:r w:rsidR="007F1175">
        <w:rPr>
          <w:lang w:val="en-US"/>
        </w:rPr>
        <w:t>,</w:t>
      </w:r>
      <w:r w:rsidRPr="00F669A7">
        <w:rPr>
          <w:lang w:val="en-US"/>
        </w:rPr>
        <w:t xml:space="preserve"> and that </w:t>
      </w:r>
      <w:r w:rsidR="001F3DD4" w:rsidRPr="00F669A7">
        <w:rPr>
          <w:lang w:val="en-US"/>
        </w:rPr>
        <w:t xml:space="preserve">such workers </w:t>
      </w:r>
      <w:r w:rsidRPr="00F669A7">
        <w:rPr>
          <w:lang w:val="en-US"/>
        </w:rPr>
        <w:t>are not adequately covered by labour and social protection laws. It is also concerned about the punitive approach taken by the State party to</w:t>
      </w:r>
      <w:r w:rsidR="001F3DD4" w:rsidRPr="00F669A7">
        <w:rPr>
          <w:lang w:val="en-US"/>
        </w:rPr>
        <w:t>wards the</w:t>
      </w:r>
      <w:r w:rsidRPr="00F669A7">
        <w:rPr>
          <w:lang w:val="en-US"/>
        </w:rPr>
        <w:t xml:space="preserve"> informal economy (art. 7).</w:t>
      </w:r>
    </w:p>
    <w:p w14:paraId="0C4ECC45" w14:textId="1B0B19E8" w:rsidR="000D7836" w:rsidRPr="00F669A7" w:rsidRDefault="000D7836" w:rsidP="005A11F0">
      <w:pPr>
        <w:pStyle w:val="SingleTxtG"/>
        <w:numPr>
          <w:ilvl w:val="0"/>
          <w:numId w:val="18"/>
        </w:numPr>
        <w:ind w:left="1134" w:firstLine="0"/>
        <w:rPr>
          <w:b/>
          <w:lang w:val="en-US"/>
        </w:rPr>
      </w:pPr>
      <w:r w:rsidRPr="00F669A7">
        <w:rPr>
          <w:b/>
          <w:lang w:val="en-US"/>
        </w:rPr>
        <w:t>The Committee recommends that the State party adopt a holistic approach in addressing</w:t>
      </w:r>
      <w:r w:rsidR="00165A5C" w:rsidRPr="00F669A7">
        <w:rPr>
          <w:b/>
          <w:lang w:val="en-US"/>
        </w:rPr>
        <w:t xml:space="preserve"> the</w:t>
      </w:r>
      <w:r w:rsidRPr="00F669A7">
        <w:rPr>
          <w:b/>
          <w:lang w:val="en-US"/>
        </w:rPr>
        <w:t xml:space="preserve"> informal economy.</w:t>
      </w:r>
      <w:r w:rsidRPr="00F669A7">
        <w:rPr>
          <w:b/>
          <w:bCs/>
          <w:lang w:val="en-US"/>
        </w:rPr>
        <w:t xml:space="preserve"> It recommends that the State party take all measures </w:t>
      </w:r>
      <w:r w:rsidR="00437B95">
        <w:rPr>
          <w:b/>
          <w:bCs/>
          <w:lang w:val="en-US"/>
        </w:rPr>
        <w:t xml:space="preserve">necessary </w:t>
      </w:r>
      <w:r w:rsidRPr="00F669A7">
        <w:rPr>
          <w:b/>
          <w:bCs/>
          <w:lang w:val="en-US"/>
        </w:rPr>
        <w:t xml:space="preserve">to progressively reduce the extent of the informal economy and </w:t>
      </w:r>
      <w:r w:rsidR="007F1175">
        <w:rPr>
          <w:b/>
          <w:bCs/>
          <w:lang w:val="en-US"/>
        </w:rPr>
        <w:t xml:space="preserve">to </w:t>
      </w:r>
      <w:r w:rsidRPr="00F669A7">
        <w:rPr>
          <w:b/>
          <w:bCs/>
          <w:lang w:val="en-US"/>
        </w:rPr>
        <w:t xml:space="preserve">increase employment opportunities in the formal labour market. In the interim, the State party </w:t>
      </w:r>
      <w:r w:rsidR="00165A5C" w:rsidRPr="00F669A7">
        <w:rPr>
          <w:b/>
          <w:bCs/>
          <w:lang w:val="en-US"/>
        </w:rPr>
        <w:t xml:space="preserve">is encouraged to </w:t>
      </w:r>
      <w:r w:rsidRPr="00F669A7">
        <w:rPr>
          <w:b/>
          <w:bCs/>
          <w:lang w:val="en-US"/>
        </w:rPr>
        <w:t xml:space="preserve">take steps to ensure that workers in </w:t>
      </w:r>
      <w:r w:rsidR="00165A5C" w:rsidRPr="00F669A7">
        <w:rPr>
          <w:b/>
          <w:bCs/>
          <w:lang w:val="en-US"/>
        </w:rPr>
        <w:t xml:space="preserve">the </w:t>
      </w:r>
      <w:r w:rsidRPr="00F669A7">
        <w:rPr>
          <w:b/>
          <w:bCs/>
          <w:lang w:val="en-US"/>
        </w:rPr>
        <w:t>informal economy</w:t>
      </w:r>
      <w:r w:rsidRPr="00F669A7">
        <w:rPr>
          <w:b/>
          <w:lang w:val="en-US"/>
        </w:rPr>
        <w:t xml:space="preserve"> enjoy basic labour rights and social protection</w:t>
      </w:r>
      <w:r w:rsidRPr="00F669A7">
        <w:rPr>
          <w:b/>
          <w:bCs/>
          <w:lang w:val="en-US"/>
        </w:rPr>
        <w:t>. In this connection</w:t>
      </w:r>
      <w:r w:rsidR="007F1175">
        <w:rPr>
          <w:b/>
          <w:bCs/>
          <w:lang w:val="en-US"/>
        </w:rPr>
        <w:t>,</w:t>
      </w:r>
      <w:r w:rsidRPr="00F669A7">
        <w:rPr>
          <w:b/>
          <w:bCs/>
          <w:lang w:val="en-US"/>
        </w:rPr>
        <w:t xml:space="preserve"> the Committee draws the State party’s attention to </w:t>
      </w:r>
      <w:r w:rsidR="00672F61">
        <w:rPr>
          <w:b/>
          <w:bCs/>
          <w:lang w:val="en-US"/>
        </w:rPr>
        <w:t>International Labour Organization</w:t>
      </w:r>
      <w:r w:rsidRPr="00F669A7">
        <w:rPr>
          <w:b/>
          <w:bCs/>
          <w:lang w:val="en-US"/>
        </w:rPr>
        <w:t xml:space="preserve"> recommendation No. 204 (2015) on the transition from </w:t>
      </w:r>
      <w:r w:rsidR="00672F61">
        <w:rPr>
          <w:b/>
          <w:bCs/>
          <w:lang w:val="en-US"/>
        </w:rPr>
        <w:t xml:space="preserve">the </w:t>
      </w:r>
      <w:r w:rsidRPr="00F669A7">
        <w:rPr>
          <w:b/>
          <w:bCs/>
          <w:lang w:val="en-US"/>
        </w:rPr>
        <w:t>informal to the formal economy</w:t>
      </w:r>
      <w:r w:rsidR="00B82925" w:rsidRPr="00F669A7">
        <w:rPr>
          <w:b/>
          <w:bCs/>
          <w:lang w:val="en-US"/>
        </w:rPr>
        <w:t xml:space="preserve">, </w:t>
      </w:r>
      <w:r w:rsidR="00B82925" w:rsidRPr="00F669A7">
        <w:rPr>
          <w:rFonts w:eastAsia="Malgun Gothic"/>
          <w:b/>
          <w:lang w:val="en-US"/>
        </w:rPr>
        <w:t xml:space="preserve">and the Committee’s </w:t>
      </w:r>
      <w:r w:rsidR="005A11F0">
        <w:rPr>
          <w:rFonts w:eastAsia="Malgun Gothic"/>
          <w:b/>
          <w:lang w:val="en-US"/>
        </w:rPr>
        <w:t>“</w:t>
      </w:r>
      <w:r w:rsidR="00B82925" w:rsidRPr="004A26CD">
        <w:rPr>
          <w:rFonts w:eastAsia="Malgun Gothic"/>
          <w:b/>
        </w:rPr>
        <w:t>S</w:t>
      </w:r>
      <w:r w:rsidR="00B82925" w:rsidRPr="00F669A7">
        <w:rPr>
          <w:rFonts w:eastAsia="Malgun Gothic"/>
          <w:b/>
          <w:lang w:val="en-US"/>
        </w:rPr>
        <w:t xml:space="preserve">tatement on </w:t>
      </w:r>
      <w:r w:rsidR="005A11F0">
        <w:rPr>
          <w:rFonts w:eastAsia="Malgun Gothic"/>
          <w:b/>
          <w:lang w:val="en-US"/>
        </w:rPr>
        <w:t>s</w:t>
      </w:r>
      <w:r w:rsidR="00B82925" w:rsidRPr="00F669A7">
        <w:rPr>
          <w:rFonts w:eastAsia="Malgun Gothic"/>
          <w:b/>
          <w:lang w:val="en-US"/>
        </w:rPr>
        <w:t xml:space="preserve">ocial protection floors: an essential element of the right to social security and of the </w:t>
      </w:r>
      <w:r w:rsidR="00B82925" w:rsidRPr="004A26CD">
        <w:rPr>
          <w:rFonts w:eastAsia="Malgun Gothic"/>
          <w:b/>
        </w:rPr>
        <w:t>s</w:t>
      </w:r>
      <w:r w:rsidR="00B82925" w:rsidRPr="00F669A7">
        <w:rPr>
          <w:rFonts w:eastAsia="Malgun Gothic"/>
          <w:b/>
          <w:lang w:val="en-US"/>
        </w:rPr>
        <w:t xml:space="preserve">ustainable </w:t>
      </w:r>
      <w:r w:rsidR="00B82925" w:rsidRPr="004A26CD">
        <w:rPr>
          <w:rFonts w:eastAsia="Malgun Gothic"/>
          <w:b/>
        </w:rPr>
        <w:t>d</w:t>
      </w:r>
      <w:r w:rsidR="00B82925" w:rsidRPr="00F669A7">
        <w:rPr>
          <w:rFonts w:eastAsia="Malgun Gothic"/>
          <w:b/>
          <w:lang w:val="en-US"/>
        </w:rPr>
        <w:t xml:space="preserve">evelopment </w:t>
      </w:r>
      <w:r w:rsidR="00B82925" w:rsidRPr="004A26CD">
        <w:rPr>
          <w:rFonts w:eastAsia="Malgun Gothic"/>
          <w:b/>
        </w:rPr>
        <w:t>g</w:t>
      </w:r>
      <w:r w:rsidR="00B82925" w:rsidRPr="00F669A7">
        <w:rPr>
          <w:rFonts w:eastAsia="Malgun Gothic"/>
          <w:b/>
          <w:lang w:val="en-US"/>
        </w:rPr>
        <w:t>oals</w:t>
      </w:r>
      <w:r w:rsidR="005A11F0">
        <w:rPr>
          <w:rFonts w:eastAsia="Malgun Gothic"/>
          <w:b/>
          <w:lang w:val="en-US"/>
        </w:rPr>
        <w:t>”</w:t>
      </w:r>
      <w:r w:rsidR="00B82925" w:rsidRPr="00F669A7">
        <w:rPr>
          <w:rFonts w:eastAsia="Malgun Gothic"/>
          <w:b/>
          <w:lang w:val="en-US"/>
        </w:rPr>
        <w:t xml:space="preserve"> (2015)</w:t>
      </w:r>
      <w:r w:rsidRPr="00F669A7">
        <w:rPr>
          <w:b/>
          <w:bCs/>
          <w:lang w:val="en-US"/>
        </w:rPr>
        <w:t>.</w:t>
      </w:r>
    </w:p>
    <w:p w14:paraId="45FF360D" w14:textId="77777777" w:rsidR="001F37F3" w:rsidRPr="00F669A7" w:rsidRDefault="005A1F40" w:rsidP="00471932">
      <w:pPr>
        <w:pStyle w:val="H23G"/>
        <w:rPr>
          <w:lang w:val="en-US"/>
        </w:rPr>
      </w:pPr>
      <w:r w:rsidRPr="00F669A7">
        <w:rPr>
          <w:lang w:val="en-US"/>
        </w:rPr>
        <w:tab/>
      </w:r>
      <w:r w:rsidRPr="00F669A7">
        <w:rPr>
          <w:lang w:val="en-US"/>
        </w:rPr>
        <w:tab/>
      </w:r>
      <w:r w:rsidR="00165A5C" w:rsidRPr="00F669A7">
        <w:rPr>
          <w:lang w:val="en-US"/>
        </w:rPr>
        <w:t>Just and f</w:t>
      </w:r>
      <w:r w:rsidR="00FB06D9" w:rsidRPr="00F669A7">
        <w:rPr>
          <w:lang w:val="en-US"/>
        </w:rPr>
        <w:t>avourable conditions of work</w:t>
      </w:r>
    </w:p>
    <w:p w14:paraId="6AC97965" w14:textId="61CA2B41" w:rsidR="001F37F3" w:rsidRPr="00F669A7" w:rsidRDefault="004C756E" w:rsidP="00471932">
      <w:pPr>
        <w:pStyle w:val="SingleTxtG"/>
        <w:numPr>
          <w:ilvl w:val="0"/>
          <w:numId w:val="18"/>
        </w:numPr>
        <w:ind w:left="1134" w:firstLine="0"/>
        <w:rPr>
          <w:lang w:val="en-US"/>
        </w:rPr>
      </w:pPr>
      <w:r w:rsidRPr="00F669A7">
        <w:rPr>
          <w:lang w:val="en-US"/>
        </w:rPr>
        <w:t>While noting that the State party has intr</w:t>
      </w:r>
      <w:r w:rsidR="007B614C" w:rsidRPr="00F669A7">
        <w:rPr>
          <w:lang w:val="en-US"/>
        </w:rPr>
        <w:t>oduced an hourly minimum wage, t</w:t>
      </w:r>
      <w:r w:rsidR="001957AC" w:rsidRPr="00F669A7">
        <w:rPr>
          <w:lang w:val="en-US"/>
        </w:rPr>
        <w:t xml:space="preserve">he Committee is concerned about the absence of a </w:t>
      </w:r>
      <w:r w:rsidR="00FB4A60" w:rsidRPr="00F669A7">
        <w:rPr>
          <w:lang w:val="en-US"/>
        </w:rPr>
        <w:t xml:space="preserve">monthly </w:t>
      </w:r>
      <w:r w:rsidR="001957AC" w:rsidRPr="00F669A7">
        <w:rPr>
          <w:lang w:val="en-US"/>
        </w:rPr>
        <w:t>minimum wage</w:t>
      </w:r>
      <w:r w:rsidR="00841DC0" w:rsidRPr="00F669A7">
        <w:rPr>
          <w:lang w:val="en-US"/>
        </w:rPr>
        <w:t xml:space="preserve"> for groups of workers not covered by collective agreements</w:t>
      </w:r>
      <w:r w:rsidRPr="00F669A7">
        <w:rPr>
          <w:lang w:val="en-US"/>
        </w:rPr>
        <w:t>.</w:t>
      </w:r>
      <w:r w:rsidR="00FB06D9" w:rsidRPr="00F669A7">
        <w:rPr>
          <w:lang w:val="en-US"/>
        </w:rPr>
        <w:t xml:space="preserve">. The Committee is </w:t>
      </w:r>
      <w:r w:rsidR="00900362">
        <w:rPr>
          <w:lang w:val="en-US"/>
        </w:rPr>
        <w:t>also</w:t>
      </w:r>
      <w:r w:rsidR="00900362" w:rsidRPr="00F669A7">
        <w:rPr>
          <w:lang w:val="en-US"/>
        </w:rPr>
        <w:t xml:space="preserve"> </w:t>
      </w:r>
      <w:r w:rsidR="00FB06D9" w:rsidRPr="00F669A7">
        <w:rPr>
          <w:lang w:val="en-US"/>
        </w:rPr>
        <w:t xml:space="preserve">concerned about the </w:t>
      </w:r>
      <w:r w:rsidR="005D3E18" w:rsidRPr="00F669A7">
        <w:rPr>
          <w:lang w:val="en-US"/>
        </w:rPr>
        <w:t>absence</w:t>
      </w:r>
      <w:r w:rsidR="00FB06D9" w:rsidRPr="00F669A7">
        <w:rPr>
          <w:lang w:val="en-US"/>
        </w:rPr>
        <w:t xml:space="preserve"> of the principle of equal pa</w:t>
      </w:r>
      <w:r w:rsidR="00E13EFB" w:rsidRPr="00F669A7">
        <w:rPr>
          <w:lang w:val="en-US"/>
        </w:rPr>
        <w:t>y for work of equal value</w:t>
      </w:r>
      <w:r w:rsidR="00C10412" w:rsidRPr="00F669A7">
        <w:rPr>
          <w:lang w:val="en-US"/>
        </w:rPr>
        <w:t xml:space="preserve"> i</w:t>
      </w:r>
      <w:r w:rsidR="00FB06D9" w:rsidRPr="00F669A7">
        <w:rPr>
          <w:lang w:val="en-US"/>
        </w:rPr>
        <w:t>n the State party’s legislation</w:t>
      </w:r>
      <w:r w:rsidR="001957AC" w:rsidRPr="00F669A7">
        <w:rPr>
          <w:lang w:val="en-US"/>
        </w:rPr>
        <w:t xml:space="preserve"> (art. 7).</w:t>
      </w:r>
    </w:p>
    <w:p w14:paraId="4E430E61" w14:textId="22FCC364" w:rsidR="00FB06D9" w:rsidRPr="00F669A7" w:rsidRDefault="00FB06D9" w:rsidP="00471932">
      <w:pPr>
        <w:pStyle w:val="SingleTxtG"/>
        <w:numPr>
          <w:ilvl w:val="0"/>
          <w:numId w:val="18"/>
        </w:numPr>
        <w:ind w:left="1134" w:firstLine="0"/>
        <w:rPr>
          <w:b/>
          <w:lang w:val="en-US"/>
        </w:rPr>
      </w:pPr>
      <w:r w:rsidRPr="00F669A7">
        <w:rPr>
          <w:b/>
          <w:lang w:val="en-US"/>
        </w:rPr>
        <w:t>The Committee recommends that</w:t>
      </w:r>
      <w:r w:rsidR="00C10412" w:rsidRPr="00F669A7">
        <w:rPr>
          <w:b/>
          <w:lang w:val="en-US"/>
        </w:rPr>
        <w:t xml:space="preserve"> the State party </w:t>
      </w:r>
      <w:r w:rsidRPr="00F669A7">
        <w:rPr>
          <w:b/>
          <w:lang w:val="en-US"/>
        </w:rPr>
        <w:t xml:space="preserve">establish a monthly minimum wage that is indexed to the cost of living and allows a decent living for </w:t>
      </w:r>
      <w:r w:rsidR="00841DC0" w:rsidRPr="00F669A7">
        <w:rPr>
          <w:b/>
          <w:lang w:val="en-US"/>
        </w:rPr>
        <w:t xml:space="preserve">all </w:t>
      </w:r>
      <w:r w:rsidRPr="00F669A7">
        <w:rPr>
          <w:b/>
          <w:lang w:val="en-US"/>
        </w:rPr>
        <w:t xml:space="preserve">workers and their families. The Committee also </w:t>
      </w:r>
      <w:r w:rsidR="00716B37" w:rsidRPr="00F669A7">
        <w:rPr>
          <w:b/>
          <w:lang w:val="en-US"/>
        </w:rPr>
        <w:t xml:space="preserve">reiterates its </w:t>
      </w:r>
      <w:r w:rsidRPr="00F669A7">
        <w:rPr>
          <w:b/>
          <w:lang w:val="en-US"/>
        </w:rPr>
        <w:t>recommend</w:t>
      </w:r>
      <w:r w:rsidR="00716B37" w:rsidRPr="00F669A7">
        <w:rPr>
          <w:b/>
          <w:lang w:val="en-US"/>
        </w:rPr>
        <w:t>ation</w:t>
      </w:r>
      <w:r w:rsidRPr="00F669A7">
        <w:rPr>
          <w:b/>
          <w:lang w:val="en-US"/>
        </w:rPr>
        <w:t xml:space="preserve"> that the State party </w:t>
      </w:r>
      <w:r w:rsidR="00716B37" w:rsidRPr="00F669A7">
        <w:rPr>
          <w:b/>
          <w:lang w:val="en-US"/>
        </w:rPr>
        <w:t xml:space="preserve">without further delay </w:t>
      </w:r>
      <w:r w:rsidR="005D3E18" w:rsidRPr="00F669A7">
        <w:rPr>
          <w:b/>
          <w:lang w:val="en-US"/>
        </w:rPr>
        <w:t>explicitly include in the labour code the principle of equal pay for work of equal val</w:t>
      </w:r>
      <w:r w:rsidR="00666E8D" w:rsidRPr="00F669A7">
        <w:rPr>
          <w:b/>
          <w:lang w:val="en-US"/>
        </w:rPr>
        <w:t>ue for men and women, and</w:t>
      </w:r>
      <w:r w:rsidR="005D3E18" w:rsidRPr="00F669A7">
        <w:rPr>
          <w:b/>
          <w:lang w:val="en-US"/>
        </w:rPr>
        <w:t xml:space="preserve"> introduce the </w:t>
      </w:r>
      <w:r w:rsidR="00437B95">
        <w:rPr>
          <w:b/>
          <w:lang w:val="en-US"/>
        </w:rPr>
        <w:t xml:space="preserve">mechanism </w:t>
      </w:r>
      <w:r w:rsidR="005D3E18" w:rsidRPr="00F669A7">
        <w:rPr>
          <w:b/>
          <w:lang w:val="en-US"/>
        </w:rPr>
        <w:t>necessary for its effective implementation.</w:t>
      </w:r>
    </w:p>
    <w:p w14:paraId="7D8B6E49" w14:textId="77777777" w:rsidR="00EB223B" w:rsidRPr="00F669A7" w:rsidRDefault="005A1F40" w:rsidP="00471932">
      <w:pPr>
        <w:pStyle w:val="H23G"/>
        <w:rPr>
          <w:lang w:val="en-US"/>
        </w:rPr>
      </w:pPr>
      <w:r w:rsidRPr="00F669A7">
        <w:rPr>
          <w:lang w:val="en-US"/>
        </w:rPr>
        <w:tab/>
      </w:r>
      <w:r w:rsidRPr="00F669A7">
        <w:rPr>
          <w:lang w:val="en-US"/>
        </w:rPr>
        <w:tab/>
      </w:r>
      <w:r w:rsidR="00037916" w:rsidRPr="00F669A7">
        <w:rPr>
          <w:lang w:val="en-US"/>
        </w:rPr>
        <w:t>Trade union right</w:t>
      </w:r>
      <w:r w:rsidR="00165A5C" w:rsidRPr="00F669A7">
        <w:rPr>
          <w:lang w:val="en-US"/>
        </w:rPr>
        <w:t>s</w:t>
      </w:r>
    </w:p>
    <w:p w14:paraId="6912D88F" w14:textId="55E088FA" w:rsidR="001957AC" w:rsidRPr="00F669A7" w:rsidRDefault="001957AC" w:rsidP="00471932">
      <w:pPr>
        <w:pStyle w:val="SingleTxtG"/>
        <w:numPr>
          <w:ilvl w:val="0"/>
          <w:numId w:val="18"/>
        </w:numPr>
        <w:ind w:left="1134" w:firstLine="0"/>
        <w:rPr>
          <w:lang w:val="en-US"/>
        </w:rPr>
      </w:pPr>
      <w:r w:rsidRPr="00F669A7">
        <w:rPr>
          <w:lang w:val="en-US"/>
        </w:rPr>
        <w:t xml:space="preserve">The Committee regrets the absence of a law </w:t>
      </w:r>
      <w:r w:rsidR="004C756E" w:rsidRPr="00F669A7">
        <w:rPr>
          <w:lang w:val="en-US"/>
        </w:rPr>
        <w:t xml:space="preserve">on </w:t>
      </w:r>
      <w:r w:rsidRPr="00F669A7">
        <w:rPr>
          <w:lang w:val="en-US"/>
        </w:rPr>
        <w:t>trade union rights</w:t>
      </w:r>
      <w:r w:rsidR="00557679" w:rsidRPr="00F669A7">
        <w:rPr>
          <w:lang w:val="en-US"/>
        </w:rPr>
        <w:t xml:space="preserve"> in the State party</w:t>
      </w:r>
      <w:r w:rsidR="00037916" w:rsidRPr="00F669A7">
        <w:rPr>
          <w:lang w:val="en-US"/>
        </w:rPr>
        <w:t xml:space="preserve"> and</w:t>
      </w:r>
      <w:r w:rsidRPr="00F669A7">
        <w:rPr>
          <w:lang w:val="en-US"/>
        </w:rPr>
        <w:t xml:space="preserve"> the </w:t>
      </w:r>
      <w:r w:rsidR="00037916" w:rsidRPr="00F669A7">
        <w:rPr>
          <w:lang w:val="en-US"/>
        </w:rPr>
        <w:t>lack</w:t>
      </w:r>
      <w:r w:rsidRPr="00F669A7">
        <w:rPr>
          <w:lang w:val="en-US"/>
        </w:rPr>
        <w:t xml:space="preserve"> of information on the right to strike</w:t>
      </w:r>
      <w:r w:rsidR="000D7836" w:rsidRPr="00F669A7">
        <w:rPr>
          <w:lang w:val="en-US"/>
        </w:rPr>
        <w:t xml:space="preserve"> (art. 8)</w:t>
      </w:r>
      <w:r w:rsidRPr="00F669A7">
        <w:rPr>
          <w:lang w:val="en-US"/>
        </w:rPr>
        <w:t>.</w:t>
      </w:r>
    </w:p>
    <w:p w14:paraId="130AD179" w14:textId="104FE382" w:rsidR="001957AC" w:rsidRPr="00F669A7" w:rsidRDefault="001957AC" w:rsidP="00471932">
      <w:pPr>
        <w:pStyle w:val="SingleTxtG"/>
        <w:numPr>
          <w:ilvl w:val="0"/>
          <w:numId w:val="18"/>
        </w:numPr>
        <w:ind w:left="1134" w:firstLine="0"/>
        <w:rPr>
          <w:b/>
          <w:lang w:val="en-US"/>
        </w:rPr>
      </w:pPr>
      <w:r w:rsidRPr="00F669A7">
        <w:rPr>
          <w:b/>
          <w:lang w:val="en-US"/>
        </w:rPr>
        <w:t>The Committee recommends that the Sta</w:t>
      </w:r>
      <w:r w:rsidR="00C10412" w:rsidRPr="00F669A7">
        <w:rPr>
          <w:b/>
          <w:lang w:val="en-US"/>
        </w:rPr>
        <w:t>te party adopt a legal framework governing trade union rights and</w:t>
      </w:r>
      <w:r w:rsidR="00037916" w:rsidRPr="00F669A7">
        <w:rPr>
          <w:b/>
          <w:lang w:val="en-US"/>
        </w:rPr>
        <w:t xml:space="preserve"> the right to strike</w:t>
      </w:r>
      <w:r w:rsidR="00841DC0" w:rsidRPr="00F669A7">
        <w:rPr>
          <w:b/>
          <w:lang w:val="en-US"/>
        </w:rPr>
        <w:t xml:space="preserve"> in line with article 8 of the Covenant</w:t>
      </w:r>
      <w:r w:rsidR="00037916" w:rsidRPr="00F669A7">
        <w:rPr>
          <w:b/>
          <w:lang w:val="en-US"/>
        </w:rPr>
        <w:t xml:space="preserve"> and </w:t>
      </w:r>
      <w:r w:rsidR="00DA62E7">
        <w:rPr>
          <w:b/>
          <w:lang w:val="en-US"/>
        </w:rPr>
        <w:t xml:space="preserve">that it </w:t>
      </w:r>
      <w:r w:rsidR="00037916" w:rsidRPr="00F669A7">
        <w:rPr>
          <w:b/>
          <w:lang w:val="en-US"/>
        </w:rPr>
        <w:t>provide information i</w:t>
      </w:r>
      <w:r w:rsidRPr="00F669A7">
        <w:rPr>
          <w:b/>
          <w:lang w:val="en-US"/>
        </w:rPr>
        <w:t xml:space="preserve">n its next periodic report on the actual enjoyment </w:t>
      </w:r>
      <w:r w:rsidR="00037916" w:rsidRPr="00F669A7">
        <w:rPr>
          <w:b/>
          <w:lang w:val="en-US"/>
        </w:rPr>
        <w:t>of th</w:t>
      </w:r>
      <w:r w:rsidR="00F86498">
        <w:rPr>
          <w:b/>
          <w:lang w:val="en-US"/>
        </w:rPr>
        <w:t>o</w:t>
      </w:r>
      <w:r w:rsidR="00037916" w:rsidRPr="00F669A7">
        <w:rPr>
          <w:b/>
          <w:lang w:val="en-US"/>
        </w:rPr>
        <w:t>se rights</w:t>
      </w:r>
      <w:r w:rsidRPr="00F669A7">
        <w:rPr>
          <w:b/>
          <w:lang w:val="en-US"/>
        </w:rPr>
        <w:t>.</w:t>
      </w:r>
    </w:p>
    <w:p w14:paraId="2112DB89" w14:textId="77777777" w:rsidR="003345D6" w:rsidRPr="00F669A7" w:rsidRDefault="005A1F40" w:rsidP="00471932">
      <w:pPr>
        <w:pStyle w:val="H23G"/>
        <w:rPr>
          <w:lang w:val="en-US"/>
        </w:rPr>
      </w:pPr>
      <w:r w:rsidRPr="00F669A7">
        <w:rPr>
          <w:lang w:val="en-US"/>
        </w:rPr>
        <w:tab/>
      </w:r>
      <w:r w:rsidRPr="00F669A7">
        <w:rPr>
          <w:lang w:val="en-US"/>
        </w:rPr>
        <w:tab/>
      </w:r>
      <w:r w:rsidR="00776162" w:rsidRPr="00F669A7">
        <w:rPr>
          <w:lang w:val="en-US"/>
        </w:rPr>
        <w:t>Social security</w:t>
      </w:r>
    </w:p>
    <w:p w14:paraId="6B7CE2AB" w14:textId="400AA10D" w:rsidR="00E918B6" w:rsidRPr="00F669A7" w:rsidRDefault="00776162" w:rsidP="00471932">
      <w:pPr>
        <w:pStyle w:val="SingleTxtG"/>
        <w:numPr>
          <w:ilvl w:val="0"/>
          <w:numId w:val="18"/>
        </w:numPr>
        <w:ind w:left="1134" w:firstLine="0"/>
        <w:rPr>
          <w:lang w:val="en-US"/>
        </w:rPr>
      </w:pPr>
      <w:r w:rsidRPr="00F669A7">
        <w:rPr>
          <w:lang w:val="en-US"/>
        </w:rPr>
        <w:t xml:space="preserve">The Committee is concerned about the </w:t>
      </w:r>
      <w:r w:rsidR="00165A5C" w:rsidRPr="00F669A7">
        <w:rPr>
          <w:lang w:val="en-US"/>
        </w:rPr>
        <w:t xml:space="preserve">significant </w:t>
      </w:r>
      <w:r w:rsidRPr="00F669A7">
        <w:rPr>
          <w:lang w:val="en-US"/>
        </w:rPr>
        <w:t xml:space="preserve">cuts to social expenditure and essential services </w:t>
      </w:r>
      <w:r w:rsidR="00716B37" w:rsidRPr="00F669A7">
        <w:rPr>
          <w:lang w:val="en-US"/>
        </w:rPr>
        <w:t>during</w:t>
      </w:r>
      <w:r w:rsidRPr="00F669A7">
        <w:rPr>
          <w:lang w:val="en-US"/>
        </w:rPr>
        <w:t xml:space="preserve"> the financial crisis</w:t>
      </w:r>
      <w:r w:rsidR="00A11C6F" w:rsidRPr="00F669A7">
        <w:rPr>
          <w:lang w:val="en-US"/>
        </w:rPr>
        <w:t xml:space="preserve">, </w:t>
      </w:r>
      <w:r w:rsidR="00716B37" w:rsidRPr="00F669A7">
        <w:rPr>
          <w:lang w:val="en-US"/>
        </w:rPr>
        <w:t xml:space="preserve">which </w:t>
      </w:r>
      <w:r w:rsidR="004A26CD">
        <w:rPr>
          <w:lang w:val="en-US"/>
        </w:rPr>
        <w:t xml:space="preserve">have </w:t>
      </w:r>
      <w:r w:rsidR="00A11C6F" w:rsidRPr="00F669A7">
        <w:rPr>
          <w:lang w:val="en-US"/>
        </w:rPr>
        <w:t>disproportionate</w:t>
      </w:r>
      <w:r w:rsidR="00716B37" w:rsidRPr="00F669A7">
        <w:rPr>
          <w:lang w:val="en-US"/>
        </w:rPr>
        <w:t>ly</w:t>
      </w:r>
      <w:r w:rsidR="00A11C6F" w:rsidRPr="00F669A7">
        <w:rPr>
          <w:lang w:val="en-US"/>
        </w:rPr>
        <w:t xml:space="preserve"> </w:t>
      </w:r>
      <w:r w:rsidR="00716B37" w:rsidRPr="00F669A7">
        <w:rPr>
          <w:lang w:val="en-US"/>
        </w:rPr>
        <w:t>a</w:t>
      </w:r>
      <w:r w:rsidR="00A11C6F" w:rsidRPr="00F669A7">
        <w:rPr>
          <w:lang w:val="en-US"/>
        </w:rPr>
        <w:t>ffect</w:t>
      </w:r>
      <w:r w:rsidR="004A26CD">
        <w:rPr>
          <w:lang w:val="en-US"/>
        </w:rPr>
        <w:t>ed</w:t>
      </w:r>
      <w:r w:rsidR="00A11C6F" w:rsidRPr="00F669A7">
        <w:rPr>
          <w:lang w:val="en-US"/>
        </w:rPr>
        <w:t xml:space="preserve"> disadvantaged and marginali</w:t>
      </w:r>
      <w:r w:rsidR="0008658F">
        <w:rPr>
          <w:lang w:val="en-US"/>
        </w:rPr>
        <w:t>z</w:t>
      </w:r>
      <w:r w:rsidR="00A11C6F" w:rsidRPr="00F669A7">
        <w:rPr>
          <w:lang w:val="en-US"/>
        </w:rPr>
        <w:t>ed groups and individuals</w:t>
      </w:r>
      <w:r w:rsidRPr="00F669A7">
        <w:rPr>
          <w:lang w:val="en-US"/>
        </w:rPr>
        <w:t xml:space="preserve">. It is </w:t>
      </w:r>
      <w:r w:rsidR="00D01AC8" w:rsidRPr="00F669A7">
        <w:rPr>
          <w:lang w:val="en-US"/>
        </w:rPr>
        <w:t>also</w:t>
      </w:r>
      <w:r w:rsidRPr="00F669A7">
        <w:rPr>
          <w:lang w:val="en-US"/>
        </w:rPr>
        <w:t xml:space="preserve"> concerned </w:t>
      </w:r>
      <w:r w:rsidR="00D01AC8" w:rsidRPr="00F669A7">
        <w:rPr>
          <w:lang w:val="en-US"/>
        </w:rPr>
        <w:t xml:space="preserve">about the persistence of regional disparities in social spending per </w:t>
      </w:r>
      <w:r w:rsidR="00B82925" w:rsidRPr="00F669A7">
        <w:rPr>
          <w:lang w:val="en-US"/>
        </w:rPr>
        <w:t xml:space="preserve">capita </w:t>
      </w:r>
      <w:r w:rsidR="00D01AC8" w:rsidRPr="00F669A7">
        <w:rPr>
          <w:lang w:val="en-US"/>
        </w:rPr>
        <w:t>and in social services provision</w:t>
      </w:r>
      <w:r w:rsidR="003B19EC" w:rsidRPr="00F669A7">
        <w:rPr>
          <w:lang w:val="en-US"/>
        </w:rPr>
        <w:t>. The Committee fur</w:t>
      </w:r>
      <w:r w:rsidR="00A11C6F" w:rsidRPr="00F669A7">
        <w:rPr>
          <w:lang w:val="en-US"/>
        </w:rPr>
        <w:t>ther expresses concern at the inadequacy of unemployment</w:t>
      </w:r>
      <w:r w:rsidR="003B19EC" w:rsidRPr="00F669A7">
        <w:rPr>
          <w:lang w:val="en-US"/>
        </w:rPr>
        <w:t xml:space="preserve"> benefits</w:t>
      </w:r>
      <w:r w:rsidRPr="00F669A7">
        <w:rPr>
          <w:lang w:val="en-US"/>
        </w:rPr>
        <w:t xml:space="preserve"> (art. 9).</w:t>
      </w:r>
    </w:p>
    <w:p w14:paraId="3110BA66" w14:textId="77777777" w:rsidR="00A11C6F" w:rsidRPr="00F669A7" w:rsidRDefault="003B19EC" w:rsidP="00471932">
      <w:pPr>
        <w:pStyle w:val="SingleTxtG"/>
        <w:numPr>
          <w:ilvl w:val="0"/>
          <w:numId w:val="18"/>
        </w:numPr>
        <w:ind w:left="1134" w:firstLine="0"/>
        <w:rPr>
          <w:b/>
          <w:lang w:val="en-US"/>
        </w:rPr>
      </w:pPr>
      <w:r w:rsidRPr="00F669A7">
        <w:rPr>
          <w:b/>
          <w:lang w:val="en-US"/>
        </w:rPr>
        <w:t>The Committee recommends that the State party</w:t>
      </w:r>
      <w:r w:rsidR="00A11C6F" w:rsidRPr="00F669A7">
        <w:rPr>
          <w:b/>
          <w:lang w:val="en-US"/>
        </w:rPr>
        <w:t>:</w:t>
      </w:r>
    </w:p>
    <w:p w14:paraId="69CBB3B1" w14:textId="5EDB0F32" w:rsidR="0096697B" w:rsidRPr="00F669A7" w:rsidRDefault="00FD64FF" w:rsidP="00FD64FF">
      <w:pPr>
        <w:pStyle w:val="SingleTxtG"/>
        <w:rPr>
          <w:b/>
          <w:lang w:val="en-US"/>
        </w:rPr>
      </w:pPr>
      <w:r w:rsidRPr="00F669A7">
        <w:rPr>
          <w:lang w:val="en-US"/>
        </w:rPr>
        <w:tab/>
      </w:r>
      <w:r w:rsidR="00DD2B91" w:rsidRPr="00F669A7">
        <w:rPr>
          <w:lang w:val="en-US"/>
        </w:rPr>
        <w:t>(</w:t>
      </w:r>
      <w:r w:rsidRPr="00F669A7">
        <w:rPr>
          <w:lang w:val="en-US"/>
        </w:rPr>
        <w:t>a)</w:t>
      </w:r>
      <w:r w:rsidRPr="00F669A7">
        <w:rPr>
          <w:lang w:val="en-US"/>
        </w:rPr>
        <w:tab/>
      </w:r>
      <w:r w:rsidR="0026415A" w:rsidRPr="00F669A7">
        <w:rPr>
          <w:b/>
          <w:lang w:val="en-US"/>
        </w:rPr>
        <w:t xml:space="preserve">Take immediate measures to mitigate the effects of social </w:t>
      </w:r>
      <w:r w:rsidR="0096697B" w:rsidRPr="00F669A7">
        <w:rPr>
          <w:b/>
          <w:lang w:val="en-US"/>
        </w:rPr>
        <w:t xml:space="preserve">expenditure </w:t>
      </w:r>
      <w:r w:rsidR="0026415A" w:rsidRPr="00F669A7">
        <w:rPr>
          <w:b/>
          <w:lang w:val="en-US"/>
        </w:rPr>
        <w:t>cuts</w:t>
      </w:r>
      <w:r w:rsidR="0096697B" w:rsidRPr="00F669A7">
        <w:rPr>
          <w:b/>
          <w:lang w:val="en-US"/>
        </w:rPr>
        <w:t xml:space="preserve">, and </w:t>
      </w:r>
      <w:r w:rsidR="00154651" w:rsidRPr="00F669A7">
        <w:rPr>
          <w:b/>
          <w:lang w:val="en-US"/>
        </w:rPr>
        <w:t xml:space="preserve">fully </w:t>
      </w:r>
      <w:r w:rsidR="0096697B" w:rsidRPr="00F669A7">
        <w:rPr>
          <w:b/>
          <w:lang w:val="en-US"/>
        </w:rPr>
        <w:t xml:space="preserve">restore the financial </w:t>
      </w:r>
      <w:r w:rsidR="00B5676E" w:rsidRPr="00F669A7">
        <w:rPr>
          <w:b/>
          <w:lang w:val="en-US"/>
        </w:rPr>
        <w:t>allocation</w:t>
      </w:r>
      <w:r w:rsidR="00D962F6" w:rsidRPr="00F669A7">
        <w:rPr>
          <w:b/>
          <w:lang w:val="en-US"/>
        </w:rPr>
        <w:t>s</w:t>
      </w:r>
      <w:r w:rsidR="00B5676E" w:rsidRPr="00F669A7">
        <w:rPr>
          <w:b/>
          <w:lang w:val="en-US"/>
        </w:rPr>
        <w:t xml:space="preserve"> to</w:t>
      </w:r>
      <w:r w:rsidR="0096697B" w:rsidRPr="00F669A7">
        <w:rPr>
          <w:b/>
          <w:lang w:val="en-US"/>
        </w:rPr>
        <w:t xml:space="preserve"> the main national funds for social interventions, notably the National Fund for Social Policy and Fund for Dependent Persons;</w:t>
      </w:r>
    </w:p>
    <w:p w14:paraId="46B988EF" w14:textId="14E2CD8E" w:rsidR="00037916" w:rsidRPr="00F669A7" w:rsidRDefault="00FD64FF" w:rsidP="00FD64FF">
      <w:pPr>
        <w:pStyle w:val="SingleTxtG"/>
        <w:rPr>
          <w:b/>
          <w:lang w:val="en-US"/>
        </w:rPr>
      </w:pPr>
      <w:r w:rsidRPr="00F669A7">
        <w:rPr>
          <w:lang w:val="en-US"/>
        </w:rPr>
        <w:tab/>
      </w:r>
      <w:r w:rsidR="00DD2B91" w:rsidRPr="00F669A7">
        <w:rPr>
          <w:lang w:val="en-US"/>
        </w:rPr>
        <w:t>(</w:t>
      </w:r>
      <w:r w:rsidRPr="00F669A7">
        <w:rPr>
          <w:lang w:val="en-US"/>
        </w:rPr>
        <w:t>b)</w:t>
      </w:r>
      <w:r w:rsidRPr="00F669A7">
        <w:rPr>
          <w:lang w:val="en-US"/>
        </w:rPr>
        <w:tab/>
      </w:r>
      <w:r w:rsidR="0096697B" w:rsidRPr="00F669A7">
        <w:rPr>
          <w:b/>
          <w:lang w:val="en-US"/>
        </w:rPr>
        <w:t xml:space="preserve">Redouble its efforts </w:t>
      </w:r>
      <w:r w:rsidR="00B82925" w:rsidRPr="00F669A7">
        <w:rPr>
          <w:b/>
          <w:lang w:val="en-US"/>
        </w:rPr>
        <w:t xml:space="preserve">to </w:t>
      </w:r>
      <w:r w:rsidR="00841DC0" w:rsidRPr="00F669A7">
        <w:rPr>
          <w:b/>
          <w:lang w:val="en-US"/>
        </w:rPr>
        <w:t xml:space="preserve">allocate resources so as </w:t>
      </w:r>
      <w:r w:rsidR="0096697B" w:rsidRPr="00F669A7">
        <w:rPr>
          <w:b/>
          <w:lang w:val="en-US"/>
        </w:rPr>
        <w:t xml:space="preserve">to ensure that social spending per </w:t>
      </w:r>
      <w:r w:rsidR="00841DC0" w:rsidRPr="00F669A7">
        <w:rPr>
          <w:b/>
          <w:lang w:val="en-US"/>
        </w:rPr>
        <w:t>capita</w:t>
      </w:r>
      <w:r w:rsidR="0096697B" w:rsidRPr="00F669A7">
        <w:rPr>
          <w:b/>
          <w:lang w:val="en-US"/>
        </w:rPr>
        <w:t xml:space="preserve"> a</w:t>
      </w:r>
      <w:r w:rsidR="00CB3767" w:rsidRPr="00F669A7">
        <w:rPr>
          <w:b/>
          <w:lang w:val="en-US"/>
        </w:rPr>
        <w:t>nd social services provision are made on a non-discriminatory basis</w:t>
      </w:r>
      <w:r w:rsidR="00037916" w:rsidRPr="00F669A7">
        <w:rPr>
          <w:b/>
          <w:lang w:val="en-US"/>
        </w:rPr>
        <w:t xml:space="preserve"> across the </w:t>
      </w:r>
      <w:r w:rsidR="00841DC0" w:rsidRPr="00F669A7">
        <w:rPr>
          <w:b/>
          <w:lang w:val="en-US"/>
        </w:rPr>
        <w:t>State party</w:t>
      </w:r>
      <w:r w:rsidR="00CB3767" w:rsidRPr="00F669A7">
        <w:rPr>
          <w:b/>
          <w:lang w:val="en-US"/>
        </w:rPr>
        <w:t>;</w:t>
      </w:r>
    </w:p>
    <w:p w14:paraId="56C7076C" w14:textId="3B29A184" w:rsidR="00A11C6F" w:rsidRPr="00F669A7" w:rsidRDefault="00FD64FF" w:rsidP="00FD64FF">
      <w:pPr>
        <w:pStyle w:val="SingleTxtG"/>
        <w:rPr>
          <w:b/>
          <w:lang w:val="en-US"/>
        </w:rPr>
      </w:pPr>
      <w:r w:rsidRPr="00F669A7">
        <w:rPr>
          <w:lang w:val="en-US"/>
        </w:rPr>
        <w:tab/>
      </w:r>
      <w:r w:rsidR="00DD2B91" w:rsidRPr="00F669A7">
        <w:rPr>
          <w:lang w:val="en-US"/>
        </w:rPr>
        <w:t>(</w:t>
      </w:r>
      <w:r w:rsidRPr="00F669A7">
        <w:rPr>
          <w:lang w:val="en-US"/>
        </w:rPr>
        <w:t>c)</w:t>
      </w:r>
      <w:r w:rsidRPr="00F669A7">
        <w:rPr>
          <w:lang w:val="en-US"/>
        </w:rPr>
        <w:tab/>
      </w:r>
      <w:r w:rsidR="00A11C6F" w:rsidRPr="00F669A7">
        <w:rPr>
          <w:rFonts w:eastAsia="Malgun Gothic"/>
          <w:b/>
          <w:lang w:val="en-US"/>
        </w:rPr>
        <w:t xml:space="preserve">Guarantee that social benefits, including unemployment benefits, are indexed to the cost of living and </w:t>
      </w:r>
      <w:r w:rsidR="00716B37" w:rsidRPr="00F669A7">
        <w:rPr>
          <w:rFonts w:eastAsia="Malgun Gothic"/>
          <w:b/>
          <w:lang w:val="en-US"/>
        </w:rPr>
        <w:t>provide a decent</w:t>
      </w:r>
      <w:r w:rsidR="00A11C6F" w:rsidRPr="00F669A7">
        <w:rPr>
          <w:rFonts w:eastAsia="Malgun Gothic"/>
          <w:b/>
          <w:lang w:val="en-US"/>
        </w:rPr>
        <w:t xml:space="preserve"> living for beneficiaries and their families</w:t>
      </w:r>
      <w:r w:rsidR="00B82925" w:rsidRPr="00F669A7">
        <w:rPr>
          <w:rFonts w:eastAsia="Malgun Gothic"/>
          <w:b/>
          <w:lang w:val="en-US"/>
        </w:rPr>
        <w:t>.</w:t>
      </w:r>
    </w:p>
    <w:p w14:paraId="2C74A8D4" w14:textId="77777777" w:rsidR="00EB223B" w:rsidRPr="00F669A7" w:rsidRDefault="005A1F40" w:rsidP="00471932">
      <w:pPr>
        <w:pStyle w:val="H23G"/>
        <w:rPr>
          <w:lang w:val="en-US"/>
        </w:rPr>
      </w:pPr>
      <w:r w:rsidRPr="00F669A7">
        <w:rPr>
          <w:lang w:val="en-US"/>
        </w:rPr>
        <w:tab/>
      </w:r>
      <w:r w:rsidRPr="00F669A7">
        <w:rPr>
          <w:lang w:val="en-US"/>
        </w:rPr>
        <w:tab/>
      </w:r>
      <w:r w:rsidR="00EB223B" w:rsidRPr="00F669A7">
        <w:rPr>
          <w:lang w:val="en-US"/>
        </w:rPr>
        <w:t>Violence against women</w:t>
      </w:r>
      <w:r w:rsidR="00716B37" w:rsidRPr="00F669A7">
        <w:rPr>
          <w:lang w:val="en-US"/>
        </w:rPr>
        <w:t xml:space="preserve"> and girls</w:t>
      </w:r>
    </w:p>
    <w:p w14:paraId="127DAAC1" w14:textId="19A983C1" w:rsidR="000D224E" w:rsidRPr="00F669A7" w:rsidRDefault="00493220" w:rsidP="00471932">
      <w:pPr>
        <w:pStyle w:val="SingleTxtG"/>
        <w:numPr>
          <w:ilvl w:val="0"/>
          <w:numId w:val="18"/>
        </w:numPr>
        <w:ind w:left="1134" w:firstLine="0"/>
        <w:rPr>
          <w:lang w:val="en-US"/>
        </w:rPr>
      </w:pPr>
      <w:r w:rsidRPr="00F669A7">
        <w:rPr>
          <w:lang w:val="en-US"/>
        </w:rPr>
        <w:t>Th</w:t>
      </w:r>
      <w:r w:rsidR="005F10AA" w:rsidRPr="00F669A7">
        <w:rPr>
          <w:lang w:val="en-US"/>
        </w:rPr>
        <w:t>e</w:t>
      </w:r>
      <w:r w:rsidRPr="00F669A7">
        <w:rPr>
          <w:lang w:val="en-US"/>
        </w:rPr>
        <w:t xml:space="preserve"> Committee is concerned </w:t>
      </w:r>
      <w:r w:rsidR="005F10AA" w:rsidRPr="00F669A7">
        <w:rPr>
          <w:lang w:val="en-US"/>
        </w:rPr>
        <w:t>that</w:t>
      </w:r>
      <w:r w:rsidRPr="00F669A7">
        <w:rPr>
          <w:lang w:val="en-US"/>
        </w:rPr>
        <w:t xml:space="preserve"> </w:t>
      </w:r>
      <w:r w:rsidR="00037916" w:rsidRPr="00F669A7">
        <w:rPr>
          <w:lang w:val="en-US"/>
        </w:rPr>
        <w:t>domestic violence against women and girls remains pervasive in the State party despite</w:t>
      </w:r>
      <w:r w:rsidRPr="00F669A7">
        <w:rPr>
          <w:lang w:val="en-US"/>
        </w:rPr>
        <w:t xml:space="preserve"> </w:t>
      </w:r>
      <w:r w:rsidR="00B165E8" w:rsidRPr="00F669A7">
        <w:rPr>
          <w:lang w:val="en-US"/>
        </w:rPr>
        <w:t xml:space="preserve">numerous </w:t>
      </w:r>
      <w:r w:rsidRPr="00F669A7">
        <w:rPr>
          <w:lang w:val="en-US"/>
        </w:rPr>
        <w:t>legi</w:t>
      </w:r>
      <w:r w:rsidR="005F10AA" w:rsidRPr="00F669A7">
        <w:rPr>
          <w:lang w:val="en-US"/>
        </w:rPr>
        <w:t>s</w:t>
      </w:r>
      <w:r w:rsidRPr="00F669A7">
        <w:rPr>
          <w:lang w:val="en-US"/>
        </w:rPr>
        <w:t>l</w:t>
      </w:r>
      <w:r w:rsidR="005F10AA" w:rsidRPr="00F669A7">
        <w:rPr>
          <w:lang w:val="en-US"/>
        </w:rPr>
        <w:t>a</w:t>
      </w:r>
      <w:r w:rsidR="00037916" w:rsidRPr="00F669A7">
        <w:rPr>
          <w:lang w:val="en-US"/>
        </w:rPr>
        <w:t>tive and policy measures adopted</w:t>
      </w:r>
      <w:r w:rsidR="00165A5C" w:rsidRPr="00F669A7">
        <w:rPr>
          <w:lang w:val="en-US"/>
        </w:rPr>
        <w:t xml:space="preserve"> to address it</w:t>
      </w:r>
      <w:r w:rsidR="000D224E" w:rsidRPr="00F669A7">
        <w:rPr>
          <w:lang w:val="en-US"/>
        </w:rPr>
        <w:t>.</w:t>
      </w:r>
      <w:r w:rsidR="00557679" w:rsidRPr="00F669A7">
        <w:rPr>
          <w:lang w:val="en-US"/>
        </w:rPr>
        <w:t xml:space="preserve"> The Committee is also concerned </w:t>
      </w:r>
      <w:r w:rsidR="00A947A0" w:rsidRPr="00F669A7">
        <w:rPr>
          <w:lang w:val="en-US"/>
        </w:rPr>
        <w:t xml:space="preserve">that </w:t>
      </w:r>
      <w:r w:rsidR="001C6A13">
        <w:rPr>
          <w:lang w:val="en-US"/>
        </w:rPr>
        <w:t xml:space="preserve">the </w:t>
      </w:r>
      <w:r w:rsidR="00716B37" w:rsidRPr="00F669A7">
        <w:rPr>
          <w:lang w:val="en-US"/>
        </w:rPr>
        <w:t xml:space="preserve">measures taken do not address the situation of </w:t>
      </w:r>
      <w:r w:rsidR="00A947A0" w:rsidRPr="00F669A7">
        <w:rPr>
          <w:lang w:val="en-US"/>
        </w:rPr>
        <w:t xml:space="preserve">women </w:t>
      </w:r>
      <w:r w:rsidR="00716B37" w:rsidRPr="00F669A7">
        <w:rPr>
          <w:lang w:val="en-US"/>
        </w:rPr>
        <w:t xml:space="preserve">and girls </w:t>
      </w:r>
      <w:r w:rsidR="00B36CC9" w:rsidRPr="00F669A7">
        <w:rPr>
          <w:lang w:val="en-US"/>
        </w:rPr>
        <w:t>with disabilit</w:t>
      </w:r>
      <w:r w:rsidR="007B614C" w:rsidRPr="00F669A7">
        <w:rPr>
          <w:lang w:val="en-US"/>
        </w:rPr>
        <w:t>ies</w:t>
      </w:r>
      <w:r w:rsidR="001C6A13">
        <w:rPr>
          <w:lang w:val="en-US"/>
        </w:rPr>
        <w:t>,</w:t>
      </w:r>
      <w:r w:rsidR="00B36CC9" w:rsidRPr="00F669A7">
        <w:rPr>
          <w:lang w:val="en-US"/>
        </w:rPr>
        <w:t xml:space="preserve"> </w:t>
      </w:r>
      <w:r w:rsidR="00716B37" w:rsidRPr="00F669A7">
        <w:rPr>
          <w:lang w:val="en-US"/>
        </w:rPr>
        <w:t xml:space="preserve">who </w:t>
      </w:r>
      <w:r w:rsidR="00A947A0" w:rsidRPr="00F669A7">
        <w:rPr>
          <w:lang w:val="en-US"/>
        </w:rPr>
        <w:t xml:space="preserve">are particularly subject to domestic violence </w:t>
      </w:r>
      <w:r w:rsidR="00557679" w:rsidRPr="00F669A7">
        <w:rPr>
          <w:lang w:val="en-US"/>
        </w:rPr>
        <w:t>(art. 10).</w:t>
      </w:r>
    </w:p>
    <w:p w14:paraId="7A0C6A81" w14:textId="159DA0D6" w:rsidR="00DE6C2A" w:rsidRPr="00F669A7" w:rsidRDefault="00DE6C2A" w:rsidP="00C57D84">
      <w:pPr>
        <w:pStyle w:val="SingleTxtG"/>
        <w:numPr>
          <w:ilvl w:val="0"/>
          <w:numId w:val="18"/>
        </w:numPr>
        <w:ind w:left="1134" w:firstLine="0"/>
        <w:rPr>
          <w:b/>
          <w:lang w:val="en-US"/>
        </w:rPr>
      </w:pPr>
      <w:r w:rsidRPr="00F669A7">
        <w:rPr>
          <w:b/>
          <w:lang w:val="en-US"/>
        </w:rPr>
        <w:t xml:space="preserve">The </w:t>
      </w:r>
      <w:r w:rsidR="005F10AA" w:rsidRPr="00F669A7">
        <w:rPr>
          <w:b/>
          <w:lang w:val="en-US"/>
        </w:rPr>
        <w:t>C</w:t>
      </w:r>
      <w:r w:rsidRPr="00F669A7">
        <w:rPr>
          <w:b/>
          <w:lang w:val="en-US"/>
        </w:rPr>
        <w:t>o</w:t>
      </w:r>
      <w:r w:rsidR="00B165E8" w:rsidRPr="00F669A7">
        <w:rPr>
          <w:b/>
          <w:lang w:val="en-US"/>
        </w:rPr>
        <w:t>mmittee recommends that the S</w:t>
      </w:r>
      <w:r w:rsidRPr="00F669A7">
        <w:rPr>
          <w:b/>
          <w:lang w:val="en-US"/>
        </w:rPr>
        <w:t>tate part</w:t>
      </w:r>
      <w:r w:rsidR="005F10AA" w:rsidRPr="00F669A7">
        <w:rPr>
          <w:b/>
          <w:lang w:val="en-US"/>
        </w:rPr>
        <w:t>y redouble</w:t>
      </w:r>
      <w:r w:rsidRPr="00F669A7">
        <w:rPr>
          <w:b/>
          <w:lang w:val="en-US"/>
        </w:rPr>
        <w:t xml:space="preserve"> its effort</w:t>
      </w:r>
      <w:r w:rsidR="005F10AA" w:rsidRPr="00F669A7">
        <w:rPr>
          <w:b/>
          <w:lang w:val="en-US"/>
        </w:rPr>
        <w:t>s</w:t>
      </w:r>
      <w:r w:rsidRPr="00F669A7">
        <w:rPr>
          <w:b/>
          <w:lang w:val="en-US"/>
        </w:rPr>
        <w:t xml:space="preserve"> to combat violence again</w:t>
      </w:r>
      <w:r w:rsidR="005F10AA" w:rsidRPr="00F669A7">
        <w:rPr>
          <w:b/>
          <w:lang w:val="en-US"/>
        </w:rPr>
        <w:t>st wo</w:t>
      </w:r>
      <w:r w:rsidRPr="00F669A7">
        <w:rPr>
          <w:b/>
          <w:lang w:val="en-US"/>
        </w:rPr>
        <w:t>men</w:t>
      </w:r>
      <w:r w:rsidR="006A2E72" w:rsidRPr="00F669A7">
        <w:rPr>
          <w:b/>
          <w:lang w:val="en-US"/>
        </w:rPr>
        <w:t xml:space="preserve"> </w:t>
      </w:r>
      <w:r w:rsidR="00F64157" w:rsidRPr="00F669A7">
        <w:rPr>
          <w:b/>
          <w:lang w:val="en-US"/>
        </w:rPr>
        <w:t xml:space="preserve">and girls </w:t>
      </w:r>
      <w:r w:rsidR="006A2E72" w:rsidRPr="00F669A7">
        <w:rPr>
          <w:b/>
          <w:lang w:val="en-US"/>
        </w:rPr>
        <w:t>and to prosecute perpetrators</w:t>
      </w:r>
      <w:r w:rsidR="00B165E8" w:rsidRPr="00F669A7">
        <w:rPr>
          <w:b/>
          <w:lang w:val="en-US"/>
        </w:rPr>
        <w:t xml:space="preserve">. </w:t>
      </w:r>
      <w:r w:rsidR="00F64157" w:rsidRPr="00F669A7">
        <w:rPr>
          <w:b/>
          <w:lang w:val="en-US"/>
        </w:rPr>
        <w:t xml:space="preserve">In </w:t>
      </w:r>
      <w:r w:rsidR="001C6A13">
        <w:rPr>
          <w:b/>
          <w:lang w:val="en-US"/>
        </w:rPr>
        <w:t>that</w:t>
      </w:r>
      <w:r w:rsidR="00F64157" w:rsidRPr="00F669A7">
        <w:rPr>
          <w:b/>
          <w:lang w:val="en-US"/>
        </w:rPr>
        <w:t xml:space="preserve"> regard</w:t>
      </w:r>
      <w:r w:rsidR="00B165E8" w:rsidRPr="00F669A7">
        <w:rPr>
          <w:b/>
          <w:lang w:val="en-US"/>
        </w:rPr>
        <w:t xml:space="preserve">, it </w:t>
      </w:r>
      <w:r w:rsidR="00F64157" w:rsidRPr="00F669A7">
        <w:rPr>
          <w:b/>
          <w:lang w:val="en-US"/>
        </w:rPr>
        <w:t xml:space="preserve">calls </w:t>
      </w:r>
      <w:r w:rsidR="001C6A13">
        <w:rPr>
          <w:b/>
          <w:lang w:val="en-US"/>
        </w:rPr>
        <w:t>up</w:t>
      </w:r>
      <w:r w:rsidR="00F64157" w:rsidRPr="00F669A7">
        <w:rPr>
          <w:b/>
          <w:lang w:val="en-US"/>
        </w:rPr>
        <w:t>on the State party</w:t>
      </w:r>
      <w:r w:rsidR="00B165E8" w:rsidRPr="00F669A7">
        <w:rPr>
          <w:b/>
          <w:lang w:val="en-US"/>
        </w:rPr>
        <w:t xml:space="preserve"> to</w:t>
      </w:r>
      <w:r w:rsidRPr="00F669A7">
        <w:rPr>
          <w:b/>
          <w:lang w:val="en-US"/>
        </w:rPr>
        <w:t xml:space="preserve"> ensure effective imp</w:t>
      </w:r>
      <w:r w:rsidR="005F10AA" w:rsidRPr="00F669A7">
        <w:rPr>
          <w:b/>
          <w:lang w:val="en-US"/>
        </w:rPr>
        <w:t>lem</w:t>
      </w:r>
      <w:r w:rsidR="00B165E8" w:rsidRPr="00F669A7">
        <w:rPr>
          <w:b/>
          <w:lang w:val="en-US"/>
        </w:rPr>
        <w:t>e</w:t>
      </w:r>
      <w:r w:rsidR="005F10AA" w:rsidRPr="00F669A7">
        <w:rPr>
          <w:b/>
          <w:lang w:val="en-US"/>
        </w:rPr>
        <w:t>nt</w:t>
      </w:r>
      <w:r w:rsidRPr="00F669A7">
        <w:rPr>
          <w:b/>
          <w:lang w:val="en-US"/>
        </w:rPr>
        <w:t xml:space="preserve">ation of </w:t>
      </w:r>
      <w:r w:rsidR="001C6A13">
        <w:rPr>
          <w:b/>
          <w:lang w:val="en-US"/>
        </w:rPr>
        <w:t xml:space="preserve">the </w:t>
      </w:r>
      <w:r w:rsidRPr="00F669A7">
        <w:rPr>
          <w:b/>
          <w:lang w:val="en-US"/>
        </w:rPr>
        <w:t>related legislation</w:t>
      </w:r>
      <w:r w:rsidR="001C6A13">
        <w:rPr>
          <w:b/>
          <w:lang w:val="en-US"/>
        </w:rPr>
        <w:t>,</w:t>
      </w:r>
      <w:r w:rsidRPr="00F669A7">
        <w:rPr>
          <w:b/>
          <w:lang w:val="en-US"/>
        </w:rPr>
        <w:t xml:space="preserve"> and </w:t>
      </w:r>
      <w:r w:rsidR="00DA62E7">
        <w:rPr>
          <w:b/>
          <w:lang w:val="en-US"/>
        </w:rPr>
        <w:t xml:space="preserve">the </w:t>
      </w:r>
      <w:r w:rsidR="005F10AA" w:rsidRPr="00F669A7">
        <w:rPr>
          <w:b/>
          <w:lang w:val="en-US"/>
        </w:rPr>
        <w:t>adequate resourc</w:t>
      </w:r>
      <w:r w:rsidR="00DA62E7">
        <w:rPr>
          <w:b/>
          <w:lang w:val="en-US"/>
        </w:rPr>
        <w:t>ing of</w:t>
      </w:r>
      <w:r w:rsidR="005F10AA" w:rsidRPr="00F669A7">
        <w:rPr>
          <w:b/>
          <w:lang w:val="en-US"/>
        </w:rPr>
        <w:t xml:space="preserve"> </w:t>
      </w:r>
      <w:r w:rsidRPr="00F669A7">
        <w:rPr>
          <w:b/>
          <w:lang w:val="en-US"/>
        </w:rPr>
        <w:t>plans</w:t>
      </w:r>
      <w:r w:rsidR="005F10AA" w:rsidRPr="00F669A7">
        <w:rPr>
          <w:b/>
          <w:lang w:val="en-US"/>
        </w:rPr>
        <w:t xml:space="preserve"> of action</w:t>
      </w:r>
      <w:r w:rsidR="00B165E8" w:rsidRPr="00F669A7">
        <w:rPr>
          <w:b/>
          <w:lang w:val="en-US"/>
        </w:rPr>
        <w:t xml:space="preserve">, </w:t>
      </w:r>
      <w:r w:rsidR="001D5FF7" w:rsidRPr="00F669A7">
        <w:rPr>
          <w:b/>
          <w:lang w:val="en-US"/>
        </w:rPr>
        <w:t>including the action plan against sexual and gender</w:t>
      </w:r>
      <w:r w:rsidR="001C6A13">
        <w:rPr>
          <w:b/>
          <w:lang w:val="en-US"/>
        </w:rPr>
        <w:t>-based</w:t>
      </w:r>
      <w:r w:rsidR="001D5FF7" w:rsidRPr="00F669A7">
        <w:rPr>
          <w:b/>
          <w:lang w:val="en-US"/>
        </w:rPr>
        <w:t xml:space="preserve"> violence</w:t>
      </w:r>
      <w:r w:rsidR="00165A5C" w:rsidRPr="00F669A7">
        <w:rPr>
          <w:b/>
          <w:lang w:val="en-US"/>
        </w:rPr>
        <w:t>. Furthermore, the Committee recommends that</w:t>
      </w:r>
      <w:r w:rsidR="001D5FF7" w:rsidRPr="00F669A7">
        <w:rPr>
          <w:b/>
          <w:lang w:val="en-US"/>
        </w:rPr>
        <w:t xml:space="preserve"> </w:t>
      </w:r>
      <w:r w:rsidR="00B165E8" w:rsidRPr="00F669A7">
        <w:rPr>
          <w:b/>
          <w:lang w:val="en-US"/>
        </w:rPr>
        <w:t>public awareness</w:t>
      </w:r>
      <w:r w:rsidR="00DA62E7">
        <w:rPr>
          <w:b/>
          <w:lang w:val="en-US"/>
        </w:rPr>
        <w:t>-raising</w:t>
      </w:r>
      <w:r w:rsidR="00B165E8" w:rsidRPr="00F669A7">
        <w:rPr>
          <w:b/>
          <w:lang w:val="en-US"/>
        </w:rPr>
        <w:t xml:space="preserve"> campaigns against domestic violence</w:t>
      </w:r>
      <w:r w:rsidR="00165A5C" w:rsidRPr="00F669A7">
        <w:rPr>
          <w:b/>
          <w:lang w:val="en-US"/>
        </w:rPr>
        <w:t xml:space="preserve"> </w:t>
      </w:r>
      <w:r w:rsidR="001C6A13">
        <w:rPr>
          <w:b/>
          <w:lang w:val="en-US"/>
        </w:rPr>
        <w:t>be</w:t>
      </w:r>
      <w:r w:rsidR="001C6A13" w:rsidRPr="00F669A7">
        <w:rPr>
          <w:b/>
          <w:lang w:val="en-US"/>
        </w:rPr>
        <w:t xml:space="preserve"> </w:t>
      </w:r>
      <w:r w:rsidR="00165A5C" w:rsidRPr="00F669A7">
        <w:rPr>
          <w:b/>
          <w:lang w:val="en-US"/>
        </w:rPr>
        <w:t>strengthened</w:t>
      </w:r>
      <w:r w:rsidR="00B165E8" w:rsidRPr="00F669A7">
        <w:rPr>
          <w:b/>
          <w:lang w:val="en-US"/>
        </w:rPr>
        <w:t xml:space="preserve">, and </w:t>
      </w:r>
      <w:r w:rsidR="00165A5C" w:rsidRPr="00F669A7">
        <w:rPr>
          <w:b/>
          <w:lang w:val="en-US"/>
        </w:rPr>
        <w:t xml:space="preserve">that </w:t>
      </w:r>
      <w:r w:rsidR="00B165E8" w:rsidRPr="00F669A7">
        <w:rPr>
          <w:b/>
          <w:lang w:val="en-US"/>
        </w:rPr>
        <w:t>support for victims of domestic violenc</w:t>
      </w:r>
      <w:r w:rsidR="00501DE5" w:rsidRPr="00F669A7">
        <w:rPr>
          <w:b/>
          <w:lang w:val="en-US"/>
        </w:rPr>
        <w:t>e</w:t>
      </w:r>
      <w:r w:rsidR="00165A5C" w:rsidRPr="00F669A7">
        <w:rPr>
          <w:b/>
          <w:lang w:val="en-US"/>
        </w:rPr>
        <w:t xml:space="preserve"> </w:t>
      </w:r>
      <w:r w:rsidR="001C6A13">
        <w:rPr>
          <w:b/>
          <w:lang w:val="en-US"/>
        </w:rPr>
        <w:t>be</w:t>
      </w:r>
      <w:r w:rsidR="00165A5C" w:rsidRPr="00F669A7">
        <w:rPr>
          <w:b/>
          <w:lang w:val="en-US"/>
        </w:rPr>
        <w:t xml:space="preserve"> reinforced</w:t>
      </w:r>
      <w:r w:rsidR="00501DE5" w:rsidRPr="00F669A7">
        <w:rPr>
          <w:b/>
          <w:lang w:val="en-US"/>
        </w:rPr>
        <w:t xml:space="preserve">, including </w:t>
      </w:r>
      <w:r w:rsidR="001C6A13">
        <w:rPr>
          <w:b/>
          <w:lang w:val="en-US"/>
        </w:rPr>
        <w:t xml:space="preserve">by </w:t>
      </w:r>
      <w:r w:rsidR="00501DE5" w:rsidRPr="00F669A7">
        <w:rPr>
          <w:b/>
          <w:lang w:val="en-US"/>
        </w:rPr>
        <w:t>facilitating their access to adequate services for recovery, counselling and other forms of rehabilitation</w:t>
      </w:r>
      <w:r w:rsidR="00557679" w:rsidRPr="00F669A7">
        <w:rPr>
          <w:b/>
          <w:lang w:val="en-US"/>
        </w:rPr>
        <w:t xml:space="preserve">. </w:t>
      </w:r>
      <w:r w:rsidR="001D5FF7" w:rsidRPr="00F669A7">
        <w:rPr>
          <w:b/>
          <w:lang w:val="en-US"/>
        </w:rPr>
        <w:t>The Committee draws the State party’s attention</w:t>
      </w:r>
      <w:r w:rsidR="00165A5C" w:rsidRPr="00F669A7">
        <w:rPr>
          <w:b/>
          <w:lang w:val="en-US"/>
        </w:rPr>
        <w:t>, in</w:t>
      </w:r>
      <w:r w:rsidR="001D5FF7" w:rsidRPr="00F669A7">
        <w:rPr>
          <w:b/>
          <w:lang w:val="en-US"/>
        </w:rPr>
        <w:t xml:space="preserve"> </w:t>
      </w:r>
      <w:r w:rsidR="00165A5C" w:rsidRPr="00F669A7">
        <w:rPr>
          <w:b/>
          <w:lang w:val="en-US"/>
        </w:rPr>
        <w:t xml:space="preserve">particular, </w:t>
      </w:r>
      <w:r w:rsidR="001D5FF7" w:rsidRPr="00F669A7">
        <w:rPr>
          <w:b/>
          <w:lang w:val="en-US"/>
        </w:rPr>
        <w:t xml:space="preserve">to the domestic violence </w:t>
      </w:r>
      <w:r w:rsidR="00165A5C" w:rsidRPr="00F669A7">
        <w:rPr>
          <w:b/>
          <w:lang w:val="en-US"/>
        </w:rPr>
        <w:t xml:space="preserve">experienced </w:t>
      </w:r>
      <w:r w:rsidR="001D5FF7" w:rsidRPr="00F669A7">
        <w:rPr>
          <w:b/>
          <w:lang w:val="en-US"/>
        </w:rPr>
        <w:t>by women and girls with disabi</w:t>
      </w:r>
      <w:r w:rsidR="00C10412" w:rsidRPr="00F669A7">
        <w:rPr>
          <w:b/>
          <w:lang w:val="en-US"/>
        </w:rPr>
        <w:t>lities and recommends that the S</w:t>
      </w:r>
      <w:r w:rsidR="001D5FF7" w:rsidRPr="00F669A7">
        <w:rPr>
          <w:b/>
          <w:lang w:val="en-US"/>
        </w:rPr>
        <w:t xml:space="preserve">tate party </w:t>
      </w:r>
      <w:r w:rsidR="00A947A0" w:rsidRPr="00F669A7">
        <w:rPr>
          <w:b/>
          <w:lang w:val="en-US"/>
        </w:rPr>
        <w:t>facilitate their access to complaint procedure</w:t>
      </w:r>
      <w:r w:rsidR="007B614C" w:rsidRPr="00F669A7">
        <w:rPr>
          <w:b/>
          <w:lang w:val="en-US"/>
        </w:rPr>
        <w:t>s</w:t>
      </w:r>
      <w:r w:rsidR="00A947A0" w:rsidRPr="00F669A7">
        <w:rPr>
          <w:b/>
          <w:lang w:val="en-US"/>
        </w:rPr>
        <w:t xml:space="preserve"> and </w:t>
      </w:r>
      <w:r w:rsidR="001D5FF7" w:rsidRPr="00F669A7">
        <w:rPr>
          <w:b/>
          <w:lang w:val="en-US"/>
        </w:rPr>
        <w:t xml:space="preserve">ensure that they receive adequate </w:t>
      </w:r>
      <w:r w:rsidR="00165A5C" w:rsidRPr="00F669A7">
        <w:rPr>
          <w:b/>
          <w:lang w:val="en-US"/>
        </w:rPr>
        <w:t>support</w:t>
      </w:r>
      <w:r w:rsidR="001D5FF7" w:rsidRPr="00F669A7">
        <w:rPr>
          <w:b/>
          <w:lang w:val="en-US"/>
        </w:rPr>
        <w:t xml:space="preserve"> and assistance.</w:t>
      </w:r>
    </w:p>
    <w:p w14:paraId="495EC023" w14:textId="5B3001C4" w:rsidR="00EB223B" w:rsidRPr="00F669A7" w:rsidRDefault="00557679" w:rsidP="00F669A7">
      <w:pPr>
        <w:pStyle w:val="H23G"/>
        <w:ind w:firstLine="0"/>
        <w:rPr>
          <w:lang w:val="en-US"/>
        </w:rPr>
      </w:pPr>
      <w:r w:rsidRPr="00F669A7">
        <w:rPr>
          <w:lang w:val="en-US"/>
        </w:rPr>
        <w:t>Poverty</w:t>
      </w:r>
      <w:r w:rsidR="001C6A13">
        <w:rPr>
          <w:lang w:val="en-US"/>
        </w:rPr>
        <w:t xml:space="preserve"> </w:t>
      </w:r>
    </w:p>
    <w:p w14:paraId="52FDE07F" w14:textId="0B7762FC" w:rsidR="00020F71" w:rsidRPr="00F669A7" w:rsidRDefault="0023477D" w:rsidP="00471932">
      <w:pPr>
        <w:pStyle w:val="SingleTxtG"/>
        <w:numPr>
          <w:ilvl w:val="0"/>
          <w:numId w:val="18"/>
        </w:numPr>
        <w:ind w:left="1134" w:firstLine="0"/>
        <w:rPr>
          <w:lang w:val="en-US"/>
        </w:rPr>
      </w:pPr>
      <w:r w:rsidRPr="00F669A7">
        <w:rPr>
          <w:lang w:val="en-US"/>
        </w:rPr>
        <w:t>The Committee is concerned about the increasing rate of poverty</w:t>
      </w:r>
      <w:r w:rsidR="00037916" w:rsidRPr="00F669A7">
        <w:rPr>
          <w:lang w:val="en-US"/>
        </w:rPr>
        <w:t xml:space="preserve"> in recent years</w:t>
      </w:r>
      <w:r w:rsidR="001C6A13">
        <w:rPr>
          <w:lang w:val="en-US"/>
        </w:rPr>
        <w:t>,</w:t>
      </w:r>
      <w:r w:rsidR="00F64157" w:rsidRPr="00F669A7">
        <w:rPr>
          <w:lang w:val="en-US"/>
        </w:rPr>
        <w:t xml:space="preserve"> especially in the light of the financial crisis</w:t>
      </w:r>
      <w:r w:rsidR="00037916" w:rsidRPr="00F669A7">
        <w:rPr>
          <w:lang w:val="en-US"/>
        </w:rPr>
        <w:t>. It is particularly concerned about</w:t>
      </w:r>
      <w:r w:rsidR="00192FF2" w:rsidRPr="00F669A7">
        <w:rPr>
          <w:lang w:val="en-US"/>
        </w:rPr>
        <w:t xml:space="preserve"> the high rate of c</w:t>
      </w:r>
      <w:r w:rsidR="00037916" w:rsidRPr="00F669A7">
        <w:rPr>
          <w:lang w:val="en-US"/>
        </w:rPr>
        <w:t>hild poverty</w:t>
      </w:r>
      <w:r w:rsidR="00192FF2" w:rsidRPr="00F669A7">
        <w:rPr>
          <w:lang w:val="en-US"/>
        </w:rPr>
        <w:t xml:space="preserve"> </w:t>
      </w:r>
      <w:r w:rsidR="006B3737" w:rsidRPr="00F669A7">
        <w:rPr>
          <w:lang w:val="en-US"/>
        </w:rPr>
        <w:t>and</w:t>
      </w:r>
      <w:r w:rsidRPr="00F669A7">
        <w:rPr>
          <w:lang w:val="en-US"/>
        </w:rPr>
        <w:t xml:space="preserve"> </w:t>
      </w:r>
      <w:r w:rsidR="00037916" w:rsidRPr="00F669A7">
        <w:rPr>
          <w:lang w:val="en-US"/>
        </w:rPr>
        <w:t xml:space="preserve">the </w:t>
      </w:r>
      <w:r w:rsidRPr="00F669A7">
        <w:rPr>
          <w:lang w:val="en-US"/>
        </w:rPr>
        <w:t>regional disparities in poverty prevalence</w:t>
      </w:r>
      <w:r w:rsidR="006B3737" w:rsidRPr="00F669A7">
        <w:rPr>
          <w:lang w:val="en-US"/>
        </w:rPr>
        <w:t xml:space="preserve"> as well as</w:t>
      </w:r>
      <w:r w:rsidR="00727488" w:rsidRPr="00F669A7">
        <w:rPr>
          <w:lang w:val="en-US"/>
        </w:rPr>
        <w:t xml:space="preserve"> the increase in income inequality across the country</w:t>
      </w:r>
      <w:r w:rsidR="00CB3767" w:rsidRPr="00F669A7">
        <w:rPr>
          <w:lang w:val="en-US"/>
        </w:rPr>
        <w:t xml:space="preserve"> (art. 11)</w:t>
      </w:r>
      <w:r w:rsidR="00192FF2" w:rsidRPr="00F669A7">
        <w:rPr>
          <w:lang w:val="en-US"/>
        </w:rPr>
        <w:t>.</w:t>
      </w:r>
    </w:p>
    <w:p w14:paraId="709A438C" w14:textId="6B4B2D9D" w:rsidR="0023477D" w:rsidRPr="00F669A7" w:rsidRDefault="0023477D" w:rsidP="00766A12">
      <w:pPr>
        <w:pStyle w:val="SingleTxtG"/>
        <w:numPr>
          <w:ilvl w:val="0"/>
          <w:numId w:val="18"/>
        </w:numPr>
        <w:ind w:left="1134" w:firstLine="0"/>
        <w:rPr>
          <w:b/>
          <w:lang w:val="en-US"/>
        </w:rPr>
      </w:pPr>
      <w:r w:rsidRPr="00F669A7">
        <w:rPr>
          <w:b/>
          <w:lang w:val="en-US"/>
        </w:rPr>
        <w:t>The Committee urges the State party</w:t>
      </w:r>
      <w:r w:rsidR="00E918B6" w:rsidRPr="00F669A7">
        <w:rPr>
          <w:b/>
          <w:lang w:val="en-US"/>
        </w:rPr>
        <w:t xml:space="preserve"> to step up it</w:t>
      </w:r>
      <w:r w:rsidR="001D5FF7" w:rsidRPr="00F669A7">
        <w:rPr>
          <w:b/>
          <w:lang w:val="en-US"/>
        </w:rPr>
        <w:t xml:space="preserve">s efforts </w:t>
      </w:r>
      <w:r w:rsidR="008B57E5">
        <w:rPr>
          <w:b/>
          <w:lang w:val="en-US"/>
        </w:rPr>
        <w:t>to address</w:t>
      </w:r>
      <w:r w:rsidR="001D5FF7" w:rsidRPr="00F669A7">
        <w:rPr>
          <w:b/>
          <w:lang w:val="en-US"/>
        </w:rPr>
        <w:t xml:space="preserve"> poverty while payin</w:t>
      </w:r>
      <w:r w:rsidR="00CB3767" w:rsidRPr="00F669A7">
        <w:rPr>
          <w:b/>
          <w:lang w:val="en-US"/>
        </w:rPr>
        <w:t>g particular attention to child</w:t>
      </w:r>
      <w:r w:rsidR="00237274" w:rsidRPr="00F669A7">
        <w:rPr>
          <w:b/>
          <w:lang w:val="en-US"/>
        </w:rPr>
        <w:t xml:space="preserve"> </w:t>
      </w:r>
      <w:r w:rsidR="001D5FF7" w:rsidRPr="00F669A7">
        <w:rPr>
          <w:b/>
          <w:lang w:val="en-US"/>
        </w:rPr>
        <w:t>poverty</w:t>
      </w:r>
      <w:r w:rsidR="00020F71" w:rsidRPr="00F669A7">
        <w:rPr>
          <w:b/>
          <w:lang w:val="en-US"/>
        </w:rPr>
        <w:t xml:space="preserve"> and poverty in </w:t>
      </w:r>
      <w:r w:rsidR="008B57E5">
        <w:rPr>
          <w:b/>
          <w:lang w:val="en-US"/>
        </w:rPr>
        <w:t xml:space="preserve">the </w:t>
      </w:r>
      <w:r w:rsidR="00020F71" w:rsidRPr="00F669A7">
        <w:rPr>
          <w:b/>
          <w:lang w:val="en-US"/>
        </w:rPr>
        <w:t xml:space="preserve">southern provinces. </w:t>
      </w:r>
      <w:r w:rsidR="009C5FF0" w:rsidRPr="00F669A7">
        <w:rPr>
          <w:b/>
          <w:lang w:val="en-US"/>
        </w:rPr>
        <w:t xml:space="preserve">Among </w:t>
      </w:r>
      <w:r w:rsidR="008B57E5">
        <w:rPr>
          <w:b/>
          <w:lang w:val="en-US"/>
        </w:rPr>
        <w:t xml:space="preserve">other </w:t>
      </w:r>
      <w:r w:rsidR="00DB268D">
        <w:rPr>
          <w:b/>
          <w:lang w:val="en-US"/>
        </w:rPr>
        <w:t>measures</w:t>
      </w:r>
      <w:r w:rsidR="009C5FF0" w:rsidRPr="00F669A7">
        <w:rPr>
          <w:b/>
          <w:lang w:val="en-US"/>
        </w:rPr>
        <w:t xml:space="preserve">, </w:t>
      </w:r>
      <w:r w:rsidR="00BB71E4" w:rsidRPr="00F669A7">
        <w:rPr>
          <w:b/>
          <w:lang w:val="en-US"/>
        </w:rPr>
        <w:t xml:space="preserve">it recommends that the </w:t>
      </w:r>
      <w:r w:rsidR="009C5FF0" w:rsidRPr="00F669A7">
        <w:rPr>
          <w:b/>
          <w:lang w:val="en-US"/>
        </w:rPr>
        <w:t xml:space="preserve">State party strengthen social and financial support </w:t>
      </w:r>
      <w:r w:rsidR="008B57E5">
        <w:rPr>
          <w:b/>
          <w:lang w:val="en-US"/>
        </w:rPr>
        <w:t>for</w:t>
      </w:r>
      <w:r w:rsidR="009C5FF0" w:rsidRPr="00F669A7">
        <w:rPr>
          <w:b/>
          <w:lang w:val="en-US"/>
        </w:rPr>
        <w:t xml:space="preserve"> families in situations of vuln</w:t>
      </w:r>
      <w:r w:rsidR="006B3737" w:rsidRPr="00F669A7">
        <w:rPr>
          <w:b/>
          <w:lang w:val="en-US"/>
        </w:rPr>
        <w:t>erability</w:t>
      </w:r>
      <w:r w:rsidR="009C5FF0" w:rsidRPr="00F669A7">
        <w:rPr>
          <w:b/>
          <w:lang w:val="en-US"/>
        </w:rPr>
        <w:t xml:space="preserve"> and develop human rights</w:t>
      </w:r>
      <w:r w:rsidR="00450FBF" w:rsidRPr="00180984">
        <w:rPr>
          <w:b/>
          <w:lang w:val="en-US"/>
        </w:rPr>
        <w:t>–</w:t>
      </w:r>
      <w:r w:rsidR="009C5FF0" w:rsidRPr="00F669A7">
        <w:rPr>
          <w:b/>
          <w:lang w:val="en-US"/>
        </w:rPr>
        <w:t xml:space="preserve">based poverty-reduction programmes, taking into consideration the Committee’s </w:t>
      </w:r>
      <w:r w:rsidR="00180984">
        <w:rPr>
          <w:b/>
          <w:lang w:val="en-US"/>
        </w:rPr>
        <w:t>s</w:t>
      </w:r>
      <w:r w:rsidR="009C5FF0" w:rsidRPr="00F669A7">
        <w:rPr>
          <w:b/>
          <w:lang w:val="en-US"/>
        </w:rPr>
        <w:t xml:space="preserve">tatement on </w:t>
      </w:r>
      <w:r w:rsidR="00180984">
        <w:rPr>
          <w:b/>
          <w:lang w:val="en-US"/>
        </w:rPr>
        <w:t>p</w:t>
      </w:r>
      <w:r w:rsidR="009C5FF0" w:rsidRPr="00F669A7">
        <w:rPr>
          <w:b/>
          <w:lang w:val="en-US"/>
        </w:rPr>
        <w:t xml:space="preserve">overty and the International Covenant on Economic, Social and Cultural Rights </w:t>
      </w:r>
      <w:r w:rsidR="00180984">
        <w:rPr>
          <w:b/>
          <w:lang w:val="en-US"/>
        </w:rPr>
        <w:t>(</w:t>
      </w:r>
      <w:r w:rsidR="00180984" w:rsidRPr="00180984">
        <w:rPr>
          <w:b/>
        </w:rPr>
        <w:t>E/C.12/2001/10</w:t>
      </w:r>
      <w:r w:rsidR="00180984">
        <w:rPr>
          <w:b/>
        </w:rPr>
        <w:t>)</w:t>
      </w:r>
      <w:r w:rsidR="009C5FF0" w:rsidRPr="00F669A7">
        <w:rPr>
          <w:b/>
          <w:lang w:val="en-US"/>
        </w:rPr>
        <w:t>.</w:t>
      </w:r>
    </w:p>
    <w:p w14:paraId="691E42C6" w14:textId="77777777" w:rsidR="00EB223B" w:rsidRPr="00F669A7" w:rsidRDefault="005A1F40" w:rsidP="00471932">
      <w:pPr>
        <w:pStyle w:val="H23G"/>
        <w:rPr>
          <w:lang w:val="en-US"/>
        </w:rPr>
      </w:pPr>
      <w:r w:rsidRPr="00F669A7">
        <w:rPr>
          <w:lang w:val="en-US"/>
        </w:rPr>
        <w:tab/>
      </w:r>
      <w:r w:rsidRPr="00F669A7">
        <w:rPr>
          <w:lang w:val="en-US"/>
        </w:rPr>
        <w:tab/>
      </w:r>
      <w:r w:rsidR="006B3737" w:rsidRPr="00F669A7">
        <w:rPr>
          <w:lang w:val="en-US"/>
        </w:rPr>
        <w:t>Right to housing</w:t>
      </w:r>
    </w:p>
    <w:p w14:paraId="48F49BF1" w14:textId="25FF07E5" w:rsidR="00B36CC9" w:rsidRPr="00F669A7" w:rsidRDefault="00B36CC9" w:rsidP="00471932">
      <w:pPr>
        <w:pStyle w:val="SingleTxtG"/>
        <w:numPr>
          <w:ilvl w:val="0"/>
          <w:numId w:val="18"/>
        </w:numPr>
        <w:ind w:left="1134" w:firstLine="0"/>
        <w:rPr>
          <w:lang w:val="en-US"/>
        </w:rPr>
      </w:pPr>
      <w:r w:rsidRPr="00F669A7">
        <w:rPr>
          <w:lang w:val="en-US"/>
        </w:rPr>
        <w:t xml:space="preserve">The Committee </w:t>
      </w:r>
      <w:r w:rsidR="00F64157" w:rsidRPr="00F669A7">
        <w:rPr>
          <w:lang w:val="en-US"/>
        </w:rPr>
        <w:t xml:space="preserve">remains </w:t>
      </w:r>
      <w:r w:rsidRPr="00F669A7">
        <w:rPr>
          <w:lang w:val="en-US"/>
        </w:rPr>
        <w:t xml:space="preserve">concerned about the shortage </w:t>
      </w:r>
      <w:r w:rsidR="001F1389">
        <w:rPr>
          <w:lang w:val="en-US"/>
        </w:rPr>
        <w:t>of</w:t>
      </w:r>
      <w:r w:rsidRPr="00F669A7">
        <w:rPr>
          <w:lang w:val="en-US"/>
        </w:rPr>
        <w:t xml:space="preserve"> affordable </w:t>
      </w:r>
      <w:r w:rsidR="00D962F6" w:rsidRPr="00F669A7">
        <w:rPr>
          <w:lang w:val="en-US"/>
        </w:rPr>
        <w:t xml:space="preserve">housing units </w:t>
      </w:r>
      <w:r w:rsidR="001F1389">
        <w:rPr>
          <w:lang w:val="en-US"/>
        </w:rPr>
        <w:t>and of</w:t>
      </w:r>
      <w:r w:rsidRPr="00F669A7">
        <w:rPr>
          <w:lang w:val="en-US"/>
        </w:rPr>
        <w:t xml:space="preserve"> social housing and about the de facto exclusion of Roma from accessing social housing. It is also concerned about the increased number of homeless persons in the State party and the inadequate measures taken to address homelessness (art. 11).</w:t>
      </w:r>
    </w:p>
    <w:p w14:paraId="6B0F499C" w14:textId="77777777" w:rsidR="00B36CC9" w:rsidRPr="00F669A7" w:rsidRDefault="00B36CC9" w:rsidP="00471932">
      <w:pPr>
        <w:pStyle w:val="SingleTxtG"/>
        <w:numPr>
          <w:ilvl w:val="0"/>
          <w:numId w:val="18"/>
        </w:numPr>
        <w:ind w:left="1134" w:firstLine="0"/>
        <w:rPr>
          <w:b/>
          <w:lang w:val="en-US"/>
        </w:rPr>
      </w:pPr>
      <w:r w:rsidRPr="00F669A7">
        <w:rPr>
          <w:b/>
          <w:lang w:val="en-US"/>
        </w:rPr>
        <w:t>The Committee recommends that the State party:</w:t>
      </w:r>
    </w:p>
    <w:p w14:paraId="4487D670" w14:textId="43DE979C" w:rsidR="00B36CC9" w:rsidRPr="00F669A7" w:rsidRDefault="0054342B" w:rsidP="0054342B">
      <w:pPr>
        <w:pStyle w:val="SingleTxtG"/>
        <w:rPr>
          <w:b/>
          <w:lang w:val="en-US"/>
        </w:rPr>
      </w:pPr>
      <w:r w:rsidRPr="00F669A7">
        <w:rPr>
          <w:lang w:val="en-US"/>
        </w:rPr>
        <w:tab/>
      </w:r>
      <w:r w:rsidR="00DD2B91" w:rsidRPr="00F669A7">
        <w:rPr>
          <w:lang w:val="en-US"/>
        </w:rPr>
        <w:t>(</w:t>
      </w:r>
      <w:r w:rsidRPr="00F669A7">
        <w:rPr>
          <w:lang w:val="en-US"/>
        </w:rPr>
        <w:t>a)</w:t>
      </w:r>
      <w:r w:rsidRPr="00F669A7">
        <w:rPr>
          <w:lang w:val="en-US"/>
        </w:rPr>
        <w:tab/>
      </w:r>
      <w:r w:rsidR="00B36CC9" w:rsidRPr="00F669A7">
        <w:rPr>
          <w:b/>
          <w:lang w:val="en-US"/>
        </w:rPr>
        <w:t>Adopt comprehensive national housing legislation, including legislation on rent control that promote</w:t>
      </w:r>
      <w:r w:rsidR="00FA5488">
        <w:rPr>
          <w:b/>
          <w:lang w:val="en-US"/>
        </w:rPr>
        <w:t>s</w:t>
      </w:r>
      <w:r w:rsidR="00B36CC9" w:rsidRPr="00F669A7">
        <w:rPr>
          <w:b/>
          <w:lang w:val="en-US"/>
        </w:rPr>
        <w:t xml:space="preserve"> affordable rental housing, in order to meet </w:t>
      </w:r>
      <w:r w:rsidR="00FA5488">
        <w:rPr>
          <w:b/>
          <w:lang w:val="en-US"/>
        </w:rPr>
        <w:t xml:space="preserve">the </w:t>
      </w:r>
      <w:r w:rsidR="00B36CC9" w:rsidRPr="00F669A7">
        <w:rPr>
          <w:b/>
          <w:lang w:val="en-US"/>
        </w:rPr>
        <w:t>needs of poor and of low-income families, and as a matter of urgency, increase the availability of affordable rental housing;</w:t>
      </w:r>
    </w:p>
    <w:p w14:paraId="2A3A6EC4" w14:textId="2F7A3E66" w:rsidR="00B36CC9" w:rsidRPr="00F669A7" w:rsidRDefault="0054342B" w:rsidP="0054342B">
      <w:pPr>
        <w:pStyle w:val="SingleTxtG"/>
        <w:rPr>
          <w:b/>
          <w:lang w:val="en-US"/>
        </w:rPr>
      </w:pPr>
      <w:r w:rsidRPr="00F669A7">
        <w:rPr>
          <w:lang w:val="en-US"/>
        </w:rPr>
        <w:tab/>
      </w:r>
      <w:r w:rsidR="00DD2B91" w:rsidRPr="00F669A7">
        <w:rPr>
          <w:lang w:val="en-US"/>
        </w:rPr>
        <w:t>(</w:t>
      </w:r>
      <w:r w:rsidRPr="00F669A7">
        <w:rPr>
          <w:lang w:val="en-US"/>
        </w:rPr>
        <w:t>b)</w:t>
      </w:r>
      <w:r w:rsidRPr="00F669A7">
        <w:rPr>
          <w:lang w:val="en-US"/>
        </w:rPr>
        <w:tab/>
      </w:r>
      <w:r w:rsidR="00B36CC9" w:rsidRPr="00F669A7">
        <w:rPr>
          <w:b/>
          <w:lang w:val="en-US"/>
        </w:rPr>
        <w:t xml:space="preserve">Adopt a national strategy to </w:t>
      </w:r>
      <w:r w:rsidR="009D65E6" w:rsidRPr="009D65E6">
        <w:rPr>
          <w:b/>
          <w:lang w:val="en-US"/>
        </w:rPr>
        <w:t>e</w:t>
      </w:r>
      <w:r w:rsidR="00B36CC9" w:rsidRPr="00F669A7">
        <w:rPr>
          <w:b/>
          <w:lang w:val="en-US"/>
        </w:rPr>
        <w:t xml:space="preserve">nquire into the causes and the extent of homelessness </w:t>
      </w:r>
      <w:r w:rsidR="009D65E6">
        <w:rPr>
          <w:b/>
          <w:lang w:val="en-US"/>
        </w:rPr>
        <w:t>that</w:t>
      </w:r>
      <w:r w:rsidR="009D65E6" w:rsidRPr="00F669A7">
        <w:rPr>
          <w:b/>
          <w:lang w:val="en-US"/>
        </w:rPr>
        <w:t xml:space="preserve"> </w:t>
      </w:r>
      <w:r w:rsidR="009D65E6">
        <w:rPr>
          <w:b/>
          <w:lang w:val="en-US"/>
        </w:rPr>
        <w:t>e</w:t>
      </w:r>
      <w:r w:rsidR="00B36CC9" w:rsidRPr="00F669A7">
        <w:rPr>
          <w:b/>
          <w:lang w:val="en-US"/>
        </w:rPr>
        <w:t xml:space="preserve">specially </w:t>
      </w:r>
      <w:r w:rsidR="009D65E6">
        <w:rPr>
          <w:b/>
          <w:lang w:val="en-US"/>
        </w:rPr>
        <w:t xml:space="preserve">affects </w:t>
      </w:r>
      <w:r w:rsidR="00B36CC9" w:rsidRPr="00F669A7">
        <w:rPr>
          <w:b/>
          <w:lang w:val="en-US"/>
        </w:rPr>
        <w:t>foreigners</w:t>
      </w:r>
      <w:r w:rsidR="003D0E2D">
        <w:rPr>
          <w:b/>
          <w:lang w:val="en-US"/>
        </w:rPr>
        <w:t>,</w:t>
      </w:r>
      <w:r w:rsidR="00B36CC9" w:rsidRPr="00F669A7">
        <w:rPr>
          <w:b/>
          <w:lang w:val="en-US"/>
        </w:rPr>
        <w:t xml:space="preserve"> and adopt more effective measures to address homelessness; </w:t>
      </w:r>
    </w:p>
    <w:p w14:paraId="1EB81425" w14:textId="7FB89050" w:rsidR="00B36CC9" w:rsidRPr="00F669A7" w:rsidRDefault="0054342B" w:rsidP="0054342B">
      <w:pPr>
        <w:pStyle w:val="SingleTxtG"/>
        <w:rPr>
          <w:lang w:val="en-US"/>
        </w:rPr>
      </w:pPr>
      <w:r w:rsidRPr="00F669A7">
        <w:rPr>
          <w:lang w:val="en-US"/>
        </w:rPr>
        <w:tab/>
      </w:r>
      <w:r w:rsidR="00DD2B91" w:rsidRPr="00F669A7">
        <w:rPr>
          <w:lang w:val="en-US"/>
        </w:rPr>
        <w:t>(</w:t>
      </w:r>
      <w:r w:rsidRPr="00F669A7">
        <w:rPr>
          <w:lang w:val="en-US"/>
        </w:rPr>
        <w:t>c)</w:t>
      </w:r>
      <w:r w:rsidRPr="00F669A7">
        <w:rPr>
          <w:lang w:val="en-US"/>
        </w:rPr>
        <w:tab/>
      </w:r>
      <w:r w:rsidR="00B36CC9" w:rsidRPr="00F669A7">
        <w:rPr>
          <w:b/>
          <w:lang w:val="en-US"/>
        </w:rPr>
        <w:t xml:space="preserve">Increase the availability of social housing </w:t>
      </w:r>
      <w:r w:rsidR="00F64157" w:rsidRPr="00F669A7">
        <w:rPr>
          <w:b/>
          <w:lang w:val="en-US"/>
        </w:rPr>
        <w:t>units</w:t>
      </w:r>
      <w:r w:rsidR="00C1525A">
        <w:rPr>
          <w:b/>
          <w:lang w:val="en-US"/>
        </w:rPr>
        <w:t>,</w:t>
      </w:r>
      <w:r w:rsidR="00F64157" w:rsidRPr="00F669A7">
        <w:rPr>
          <w:b/>
          <w:lang w:val="en-US"/>
        </w:rPr>
        <w:t xml:space="preserve"> </w:t>
      </w:r>
      <w:r w:rsidR="00B36CC9" w:rsidRPr="00F669A7">
        <w:rPr>
          <w:b/>
          <w:lang w:val="en-US"/>
        </w:rPr>
        <w:t xml:space="preserve">targeting the most in need, and repeal any regional enactment or </w:t>
      </w:r>
      <w:r w:rsidR="00F64157" w:rsidRPr="00F669A7">
        <w:rPr>
          <w:b/>
          <w:lang w:val="en-US"/>
        </w:rPr>
        <w:t xml:space="preserve">rescind any </w:t>
      </w:r>
      <w:r w:rsidR="00B36CC9" w:rsidRPr="00F669A7">
        <w:rPr>
          <w:b/>
          <w:lang w:val="en-US"/>
        </w:rPr>
        <w:t>policy on eligibility to social housing that causes indirect discrimination against Roma and exclude</w:t>
      </w:r>
      <w:r w:rsidR="008C7080">
        <w:rPr>
          <w:b/>
          <w:lang w:val="en-US"/>
        </w:rPr>
        <w:t>s</w:t>
      </w:r>
      <w:r w:rsidR="00B36CC9" w:rsidRPr="00F669A7">
        <w:rPr>
          <w:b/>
          <w:lang w:val="en-US"/>
        </w:rPr>
        <w:t xml:space="preserve"> them from</w:t>
      </w:r>
      <w:r w:rsidR="00C6323B" w:rsidRPr="00F669A7">
        <w:rPr>
          <w:b/>
          <w:lang w:val="en-US"/>
        </w:rPr>
        <w:t xml:space="preserve"> </w:t>
      </w:r>
      <w:r w:rsidR="00B36CC9" w:rsidRPr="00F669A7">
        <w:rPr>
          <w:b/>
          <w:lang w:val="en-US"/>
        </w:rPr>
        <w:t>access thereto.</w:t>
      </w:r>
    </w:p>
    <w:p w14:paraId="16E99919" w14:textId="77777777" w:rsidR="00D962F6" w:rsidRPr="00F669A7" w:rsidRDefault="005A1F40" w:rsidP="00471932">
      <w:pPr>
        <w:pStyle w:val="H23G"/>
        <w:rPr>
          <w:lang w:val="en-US"/>
        </w:rPr>
      </w:pPr>
      <w:r w:rsidRPr="00F669A7">
        <w:rPr>
          <w:lang w:val="en-US"/>
        </w:rPr>
        <w:tab/>
      </w:r>
      <w:r w:rsidRPr="00F669A7">
        <w:rPr>
          <w:lang w:val="en-US"/>
        </w:rPr>
        <w:tab/>
      </w:r>
      <w:r w:rsidR="00D962F6" w:rsidRPr="00F669A7">
        <w:rPr>
          <w:lang w:val="en-US"/>
        </w:rPr>
        <w:t>Forced evictions</w:t>
      </w:r>
    </w:p>
    <w:p w14:paraId="1AA31CC4" w14:textId="24258D8A" w:rsidR="006B4D6D" w:rsidRPr="00F669A7" w:rsidRDefault="006B4D6D" w:rsidP="00471932">
      <w:pPr>
        <w:pStyle w:val="SingleTxtG"/>
        <w:numPr>
          <w:ilvl w:val="0"/>
          <w:numId w:val="18"/>
        </w:numPr>
        <w:ind w:left="1134" w:firstLine="0"/>
        <w:rPr>
          <w:lang w:val="en-US"/>
        </w:rPr>
      </w:pPr>
      <w:r w:rsidRPr="00F669A7">
        <w:rPr>
          <w:lang w:val="en-US"/>
        </w:rPr>
        <w:t xml:space="preserve">The </w:t>
      </w:r>
      <w:r w:rsidR="00C113BF" w:rsidRPr="00F669A7">
        <w:rPr>
          <w:lang w:val="en-US"/>
        </w:rPr>
        <w:t>C</w:t>
      </w:r>
      <w:r w:rsidRPr="00F669A7">
        <w:rPr>
          <w:lang w:val="en-US"/>
        </w:rPr>
        <w:t xml:space="preserve">ommittee is concerned about </w:t>
      </w:r>
      <w:r w:rsidR="00B5676E" w:rsidRPr="00F669A7">
        <w:rPr>
          <w:lang w:val="en-US"/>
        </w:rPr>
        <w:t xml:space="preserve">the </w:t>
      </w:r>
      <w:r w:rsidRPr="00F669A7">
        <w:rPr>
          <w:lang w:val="en-US"/>
        </w:rPr>
        <w:t xml:space="preserve">absence of </w:t>
      </w:r>
      <w:r w:rsidR="00C113BF" w:rsidRPr="00F669A7">
        <w:rPr>
          <w:lang w:val="en-US"/>
        </w:rPr>
        <w:t xml:space="preserve">a </w:t>
      </w:r>
      <w:r w:rsidRPr="00F669A7">
        <w:rPr>
          <w:lang w:val="en-US"/>
        </w:rPr>
        <w:t>legal framework governing evic</w:t>
      </w:r>
      <w:r w:rsidR="00D654F4" w:rsidRPr="00F669A7">
        <w:rPr>
          <w:lang w:val="en-US"/>
        </w:rPr>
        <w:t>tions. It is also concerned</w:t>
      </w:r>
      <w:r w:rsidRPr="00F669A7">
        <w:rPr>
          <w:lang w:val="en-US"/>
        </w:rPr>
        <w:t xml:space="preserve"> at the increased incidence of forced evictions</w:t>
      </w:r>
      <w:r w:rsidR="00935741">
        <w:rPr>
          <w:lang w:val="en-US"/>
        </w:rPr>
        <w:t>,</w:t>
      </w:r>
      <w:r w:rsidRPr="00F669A7">
        <w:rPr>
          <w:lang w:val="en-US"/>
        </w:rPr>
        <w:t xml:space="preserve"> particularly </w:t>
      </w:r>
      <w:r w:rsidR="00935741">
        <w:rPr>
          <w:lang w:val="en-US"/>
        </w:rPr>
        <w:t>of</w:t>
      </w:r>
      <w:r w:rsidRPr="00F669A7">
        <w:rPr>
          <w:lang w:val="en-US"/>
        </w:rPr>
        <w:t xml:space="preserve"> Roma</w:t>
      </w:r>
      <w:r w:rsidR="00C113BF" w:rsidRPr="00F669A7">
        <w:rPr>
          <w:lang w:val="en-US"/>
        </w:rPr>
        <w:t xml:space="preserve"> </w:t>
      </w:r>
      <w:r w:rsidRPr="00F669A7">
        <w:rPr>
          <w:lang w:val="en-US"/>
        </w:rPr>
        <w:t xml:space="preserve">and those who cannot afford the </w:t>
      </w:r>
      <w:r w:rsidR="00B5676E" w:rsidRPr="00F669A7">
        <w:rPr>
          <w:lang w:val="en-US"/>
        </w:rPr>
        <w:t xml:space="preserve">increased </w:t>
      </w:r>
      <w:r w:rsidRPr="00F669A7">
        <w:rPr>
          <w:lang w:val="en-US"/>
        </w:rPr>
        <w:t>rent</w:t>
      </w:r>
      <w:r w:rsidR="00D654F4" w:rsidRPr="00F669A7">
        <w:rPr>
          <w:lang w:val="en-US"/>
        </w:rPr>
        <w:t>al cost</w:t>
      </w:r>
      <w:r w:rsidR="00691245" w:rsidRPr="00F669A7">
        <w:rPr>
          <w:lang w:val="en-US"/>
        </w:rPr>
        <w:t>s</w:t>
      </w:r>
      <w:r w:rsidRPr="00F669A7">
        <w:rPr>
          <w:lang w:val="en-US"/>
        </w:rPr>
        <w:t xml:space="preserve"> </w:t>
      </w:r>
      <w:r w:rsidR="00B36CC9" w:rsidRPr="00F669A7">
        <w:rPr>
          <w:lang w:val="en-US"/>
        </w:rPr>
        <w:t>(</w:t>
      </w:r>
      <w:r w:rsidR="00124BEE" w:rsidRPr="00F669A7">
        <w:rPr>
          <w:lang w:val="en-US"/>
        </w:rPr>
        <w:t>art. 11).</w:t>
      </w:r>
    </w:p>
    <w:p w14:paraId="7E934605" w14:textId="68A46BCA" w:rsidR="00D654F4" w:rsidRPr="00F669A7" w:rsidRDefault="00D654F4" w:rsidP="00C57D84">
      <w:pPr>
        <w:pStyle w:val="SingleTxtG"/>
        <w:numPr>
          <w:ilvl w:val="0"/>
          <w:numId w:val="18"/>
        </w:numPr>
        <w:ind w:left="1134" w:firstLine="0"/>
        <w:rPr>
          <w:b/>
          <w:bCs/>
          <w:lang w:val="en-US"/>
        </w:rPr>
      </w:pPr>
      <w:r w:rsidRPr="00F669A7">
        <w:rPr>
          <w:b/>
          <w:bCs/>
          <w:lang w:val="en-US"/>
        </w:rPr>
        <w:t>Recalling its general comment</w:t>
      </w:r>
      <w:r w:rsidR="00935741">
        <w:rPr>
          <w:b/>
          <w:bCs/>
          <w:lang w:val="en-US"/>
        </w:rPr>
        <w:t>s</w:t>
      </w:r>
      <w:r w:rsidRPr="00F669A7">
        <w:rPr>
          <w:b/>
          <w:bCs/>
          <w:lang w:val="en-US"/>
        </w:rPr>
        <w:t xml:space="preserve"> </w:t>
      </w:r>
      <w:r w:rsidR="001F3C1B" w:rsidRPr="00F669A7">
        <w:rPr>
          <w:b/>
          <w:bCs/>
          <w:lang w:val="en-US"/>
        </w:rPr>
        <w:t>N</w:t>
      </w:r>
      <w:r w:rsidRPr="00F669A7">
        <w:rPr>
          <w:b/>
          <w:bCs/>
          <w:lang w:val="en-US"/>
        </w:rPr>
        <w:t xml:space="preserve">o. 4 (1991) on the right to adequate housing and No. 7 </w:t>
      </w:r>
      <w:r w:rsidR="00165A5C" w:rsidRPr="00F669A7">
        <w:rPr>
          <w:b/>
          <w:bCs/>
          <w:lang w:val="en-US"/>
        </w:rPr>
        <w:t xml:space="preserve">(1997) </w:t>
      </w:r>
      <w:r w:rsidRPr="00F669A7">
        <w:rPr>
          <w:b/>
          <w:bCs/>
          <w:lang w:val="en-US"/>
        </w:rPr>
        <w:t>on forced evictions, the Committee recommends that the State party:</w:t>
      </w:r>
    </w:p>
    <w:p w14:paraId="72F21E35" w14:textId="77777777" w:rsidR="00ED20C9" w:rsidRPr="00F669A7" w:rsidRDefault="00FD64FF" w:rsidP="00FD64FF">
      <w:pPr>
        <w:pStyle w:val="SingleTxtG"/>
        <w:rPr>
          <w:b/>
          <w:lang w:val="en-US"/>
        </w:rPr>
      </w:pPr>
      <w:r w:rsidRPr="00F669A7">
        <w:rPr>
          <w:lang w:val="en-US"/>
        </w:rPr>
        <w:tab/>
      </w:r>
      <w:r w:rsidR="00DD2B91" w:rsidRPr="00F669A7">
        <w:rPr>
          <w:lang w:val="en-US"/>
        </w:rPr>
        <w:t>(</w:t>
      </w:r>
      <w:r w:rsidRPr="00F669A7">
        <w:rPr>
          <w:lang w:val="en-US"/>
        </w:rPr>
        <w:t>a)</w:t>
      </w:r>
      <w:r w:rsidRPr="00F669A7">
        <w:rPr>
          <w:lang w:val="en-US"/>
        </w:rPr>
        <w:tab/>
      </w:r>
      <w:r w:rsidR="00D654F4" w:rsidRPr="00F669A7">
        <w:rPr>
          <w:b/>
          <w:lang w:val="en-US"/>
        </w:rPr>
        <w:t>Develop a legal framework on evictions that is compliant with international standards;</w:t>
      </w:r>
    </w:p>
    <w:p w14:paraId="4D7DC2C7" w14:textId="4FB3AD91" w:rsidR="001876DD" w:rsidRPr="00F669A7" w:rsidRDefault="00FD64FF" w:rsidP="00FD64FF">
      <w:pPr>
        <w:pStyle w:val="SingleTxtG"/>
        <w:rPr>
          <w:lang w:val="en-US"/>
        </w:rPr>
      </w:pPr>
      <w:r w:rsidRPr="00F669A7">
        <w:rPr>
          <w:lang w:val="en-US"/>
        </w:rPr>
        <w:tab/>
      </w:r>
      <w:r w:rsidR="00DD2B91" w:rsidRPr="00F669A7">
        <w:rPr>
          <w:lang w:val="en-US"/>
        </w:rPr>
        <w:t>(</w:t>
      </w:r>
      <w:r w:rsidRPr="00F669A7">
        <w:rPr>
          <w:lang w:val="en-US"/>
        </w:rPr>
        <w:t>b)</w:t>
      </w:r>
      <w:r w:rsidRPr="00F669A7">
        <w:rPr>
          <w:lang w:val="en-US"/>
        </w:rPr>
        <w:tab/>
      </w:r>
      <w:r w:rsidR="00ED20C9" w:rsidRPr="00F669A7">
        <w:rPr>
          <w:b/>
          <w:lang w:val="en-US"/>
        </w:rPr>
        <w:t xml:space="preserve">Avoid carrying out forced evictions, and ensure that any necessary </w:t>
      </w:r>
      <w:r w:rsidR="006B3737" w:rsidRPr="00F669A7">
        <w:rPr>
          <w:b/>
          <w:lang w:val="en-US"/>
        </w:rPr>
        <w:t xml:space="preserve">evictions are always </w:t>
      </w:r>
      <w:r w:rsidR="00B5676E" w:rsidRPr="00F669A7">
        <w:rPr>
          <w:b/>
          <w:lang w:val="en-US"/>
        </w:rPr>
        <w:t xml:space="preserve">carried out </w:t>
      </w:r>
      <w:r w:rsidR="00ED20C9" w:rsidRPr="00F669A7">
        <w:rPr>
          <w:b/>
          <w:lang w:val="en-US"/>
        </w:rPr>
        <w:t>as a last resort</w:t>
      </w:r>
      <w:r w:rsidR="009B005A">
        <w:rPr>
          <w:b/>
          <w:lang w:val="en-US"/>
        </w:rPr>
        <w:t>,</w:t>
      </w:r>
      <w:r w:rsidR="00ED20C9" w:rsidRPr="00F669A7">
        <w:rPr>
          <w:b/>
          <w:lang w:val="en-US"/>
        </w:rPr>
        <w:t xml:space="preserve"> after all feasible alternatives have been explored and with the required</w:t>
      </w:r>
      <w:r w:rsidR="00B5676E" w:rsidRPr="00F669A7">
        <w:rPr>
          <w:b/>
          <w:lang w:val="en-US"/>
        </w:rPr>
        <w:t xml:space="preserve"> procedural safeguards</w:t>
      </w:r>
      <w:r w:rsidR="001876DD" w:rsidRPr="00F669A7">
        <w:rPr>
          <w:b/>
          <w:lang w:val="en-US"/>
        </w:rPr>
        <w:t>;</w:t>
      </w:r>
    </w:p>
    <w:p w14:paraId="6CA618F1" w14:textId="2889C88F" w:rsidR="001876DD" w:rsidRPr="00F669A7" w:rsidRDefault="00FD64FF" w:rsidP="00C57D84">
      <w:pPr>
        <w:pStyle w:val="SingleTxtG"/>
        <w:rPr>
          <w:b/>
          <w:lang w:val="en-US"/>
        </w:rPr>
      </w:pPr>
      <w:r w:rsidRPr="00F669A7">
        <w:rPr>
          <w:lang w:val="en-US"/>
        </w:rPr>
        <w:tab/>
      </w:r>
      <w:r w:rsidR="00DD2B91" w:rsidRPr="00F669A7">
        <w:rPr>
          <w:lang w:val="en-US"/>
        </w:rPr>
        <w:t>(</w:t>
      </w:r>
      <w:r w:rsidRPr="00F669A7">
        <w:rPr>
          <w:lang w:val="en-US"/>
        </w:rPr>
        <w:t>c)</w:t>
      </w:r>
      <w:r w:rsidRPr="00F669A7">
        <w:rPr>
          <w:lang w:val="en-US"/>
        </w:rPr>
        <w:tab/>
      </w:r>
      <w:r w:rsidR="001876DD" w:rsidRPr="00F669A7">
        <w:rPr>
          <w:b/>
          <w:lang w:val="en-US"/>
        </w:rPr>
        <w:t xml:space="preserve">Provide compensation </w:t>
      </w:r>
      <w:r w:rsidR="00EC2253" w:rsidRPr="00F669A7">
        <w:rPr>
          <w:b/>
          <w:lang w:val="en-US"/>
        </w:rPr>
        <w:t>and</w:t>
      </w:r>
      <w:r w:rsidR="00F64157" w:rsidRPr="00F669A7">
        <w:rPr>
          <w:b/>
          <w:lang w:val="en-US"/>
        </w:rPr>
        <w:t>/or</w:t>
      </w:r>
      <w:r w:rsidR="00EC2253" w:rsidRPr="00F669A7">
        <w:rPr>
          <w:b/>
          <w:lang w:val="en-US"/>
        </w:rPr>
        <w:t xml:space="preserve"> alternative accommodation </w:t>
      </w:r>
      <w:r w:rsidR="001876DD" w:rsidRPr="00F669A7">
        <w:rPr>
          <w:b/>
          <w:lang w:val="en-US"/>
        </w:rPr>
        <w:t xml:space="preserve">to all </w:t>
      </w:r>
      <w:r w:rsidR="009B005A">
        <w:rPr>
          <w:b/>
          <w:lang w:val="en-US"/>
        </w:rPr>
        <w:t>persons</w:t>
      </w:r>
      <w:r w:rsidR="009B005A" w:rsidRPr="00F669A7">
        <w:rPr>
          <w:b/>
          <w:lang w:val="en-US"/>
        </w:rPr>
        <w:t xml:space="preserve"> </w:t>
      </w:r>
      <w:r w:rsidR="001876DD" w:rsidRPr="00F669A7">
        <w:rPr>
          <w:b/>
          <w:lang w:val="en-US"/>
        </w:rPr>
        <w:t xml:space="preserve">affected by </w:t>
      </w:r>
      <w:r w:rsidR="006B3737" w:rsidRPr="00F669A7">
        <w:rPr>
          <w:b/>
          <w:lang w:val="en-US"/>
        </w:rPr>
        <w:t>forced evictions, including</w:t>
      </w:r>
      <w:r w:rsidR="001876DD" w:rsidRPr="00F669A7">
        <w:rPr>
          <w:b/>
          <w:lang w:val="en-US"/>
        </w:rPr>
        <w:t xml:space="preserve"> those carried</w:t>
      </w:r>
      <w:r w:rsidR="004C756E" w:rsidRPr="00F669A7">
        <w:rPr>
          <w:b/>
          <w:lang w:val="en-US"/>
        </w:rPr>
        <w:t xml:space="preserve"> </w:t>
      </w:r>
      <w:r w:rsidR="001876DD" w:rsidRPr="00F669A7">
        <w:rPr>
          <w:b/>
          <w:lang w:val="en-US"/>
        </w:rPr>
        <w:t xml:space="preserve">out under the </w:t>
      </w:r>
      <w:r w:rsidR="009B005A">
        <w:rPr>
          <w:b/>
          <w:lang w:val="en-US"/>
        </w:rPr>
        <w:t>“</w:t>
      </w:r>
      <w:r w:rsidR="00C57D84">
        <w:rPr>
          <w:b/>
          <w:lang w:val="en-US"/>
        </w:rPr>
        <w:t>n</w:t>
      </w:r>
      <w:r w:rsidR="001876DD" w:rsidRPr="00F669A7">
        <w:rPr>
          <w:b/>
          <w:lang w:val="en-US"/>
        </w:rPr>
        <w:t xml:space="preserve">omad </w:t>
      </w:r>
      <w:r w:rsidR="00C57D84">
        <w:rPr>
          <w:b/>
          <w:lang w:val="en-US"/>
        </w:rPr>
        <w:t>e</w:t>
      </w:r>
      <w:r w:rsidR="001876DD" w:rsidRPr="00F669A7">
        <w:rPr>
          <w:b/>
          <w:lang w:val="en-US"/>
        </w:rPr>
        <w:t>mergency</w:t>
      </w:r>
      <w:r w:rsidR="009B005A">
        <w:rPr>
          <w:b/>
          <w:lang w:val="en-US"/>
        </w:rPr>
        <w:t>”</w:t>
      </w:r>
      <w:r w:rsidR="006B3737" w:rsidRPr="00F669A7">
        <w:rPr>
          <w:b/>
          <w:lang w:val="en-US"/>
        </w:rPr>
        <w:t xml:space="preserve"> that was declared unlawful in 2011 by the Council of State</w:t>
      </w:r>
      <w:r w:rsidR="00B36CC9" w:rsidRPr="00F669A7">
        <w:rPr>
          <w:b/>
          <w:lang w:val="en-US"/>
        </w:rPr>
        <w:t>.</w:t>
      </w:r>
    </w:p>
    <w:p w14:paraId="3B17CEC9" w14:textId="2D18AC81" w:rsidR="005D3E18" w:rsidRPr="00F669A7" w:rsidRDefault="005A1F40" w:rsidP="00471932">
      <w:pPr>
        <w:pStyle w:val="H23G"/>
        <w:rPr>
          <w:lang w:val="en-US"/>
        </w:rPr>
      </w:pPr>
      <w:r w:rsidRPr="00F669A7">
        <w:rPr>
          <w:lang w:val="en-US"/>
        </w:rPr>
        <w:tab/>
      </w:r>
      <w:r w:rsidRPr="00F669A7">
        <w:rPr>
          <w:lang w:val="en-US"/>
        </w:rPr>
        <w:tab/>
      </w:r>
      <w:r w:rsidR="005D3E18" w:rsidRPr="00F669A7">
        <w:rPr>
          <w:lang w:val="en-US"/>
        </w:rPr>
        <w:t>Roma living conditions</w:t>
      </w:r>
      <w:r w:rsidR="00AB08CE">
        <w:rPr>
          <w:lang w:val="en-US"/>
        </w:rPr>
        <w:t xml:space="preserve"> </w:t>
      </w:r>
    </w:p>
    <w:p w14:paraId="1B64CAF7" w14:textId="507DBB62" w:rsidR="005D3E18" w:rsidRPr="00F669A7" w:rsidRDefault="005D3E18" w:rsidP="005D3E18">
      <w:pPr>
        <w:pStyle w:val="SingleTxtG"/>
        <w:numPr>
          <w:ilvl w:val="0"/>
          <w:numId w:val="18"/>
        </w:numPr>
        <w:spacing w:before="240"/>
        <w:ind w:left="1134" w:firstLine="0"/>
        <w:rPr>
          <w:lang w:val="en-US"/>
        </w:rPr>
      </w:pPr>
      <w:r w:rsidRPr="00F669A7">
        <w:rPr>
          <w:lang w:val="en-US"/>
        </w:rPr>
        <w:t>The Committee is concerned about the substandard living conditions of Roma, many of wh</w:t>
      </w:r>
      <w:r w:rsidR="004C756E" w:rsidRPr="00F669A7">
        <w:rPr>
          <w:lang w:val="en-US"/>
        </w:rPr>
        <w:t>om</w:t>
      </w:r>
      <w:r w:rsidRPr="00F669A7">
        <w:rPr>
          <w:lang w:val="en-US"/>
        </w:rPr>
        <w:t xml:space="preserve"> live in informal settlements or in </w:t>
      </w:r>
      <w:r w:rsidR="007B614C" w:rsidRPr="00F669A7">
        <w:rPr>
          <w:lang w:val="en-US"/>
        </w:rPr>
        <w:t xml:space="preserve">de facto </w:t>
      </w:r>
      <w:r w:rsidRPr="00F669A7">
        <w:rPr>
          <w:lang w:val="en-US"/>
        </w:rPr>
        <w:t>segregated Roma camps (art. 11).</w:t>
      </w:r>
    </w:p>
    <w:p w14:paraId="04CB2653" w14:textId="77777777" w:rsidR="005D3E18" w:rsidRPr="00F669A7" w:rsidRDefault="005D3E18" w:rsidP="00471932">
      <w:pPr>
        <w:pStyle w:val="SingleTxtG"/>
        <w:numPr>
          <w:ilvl w:val="0"/>
          <w:numId w:val="18"/>
        </w:numPr>
        <w:ind w:left="1134" w:firstLine="0"/>
        <w:rPr>
          <w:b/>
          <w:lang w:val="en-US"/>
        </w:rPr>
      </w:pPr>
      <w:r w:rsidRPr="00F669A7">
        <w:rPr>
          <w:b/>
          <w:lang w:val="en-US"/>
        </w:rPr>
        <w:t>The Committee recommends that the State party:</w:t>
      </w:r>
    </w:p>
    <w:p w14:paraId="0089E14C" w14:textId="228AA7B7" w:rsidR="005D3E18" w:rsidRPr="00F669A7" w:rsidRDefault="0054342B" w:rsidP="000365B7">
      <w:pPr>
        <w:pStyle w:val="SingleTxtG"/>
        <w:rPr>
          <w:b/>
          <w:lang w:val="en-US"/>
        </w:rPr>
      </w:pPr>
      <w:r w:rsidRPr="00F669A7">
        <w:rPr>
          <w:lang w:val="en-US"/>
        </w:rPr>
        <w:tab/>
      </w:r>
      <w:r w:rsidR="00DD2B91" w:rsidRPr="00F669A7">
        <w:rPr>
          <w:lang w:val="en-US"/>
        </w:rPr>
        <w:t>(</w:t>
      </w:r>
      <w:r w:rsidRPr="00F669A7">
        <w:rPr>
          <w:lang w:val="en-US"/>
        </w:rPr>
        <w:t>a)</w:t>
      </w:r>
      <w:r w:rsidRPr="00F669A7">
        <w:rPr>
          <w:lang w:val="en-US"/>
        </w:rPr>
        <w:tab/>
      </w:r>
      <w:r w:rsidR="00AB08CE">
        <w:rPr>
          <w:b/>
          <w:lang w:val="en-US"/>
        </w:rPr>
        <w:t xml:space="preserve">Implement </w:t>
      </w:r>
      <w:r w:rsidR="00AB08CE" w:rsidRPr="00A47DC1">
        <w:rPr>
          <w:b/>
          <w:lang w:val="en-US"/>
        </w:rPr>
        <w:t>effectively</w:t>
      </w:r>
      <w:r w:rsidR="005D3E18" w:rsidRPr="00F669A7">
        <w:rPr>
          <w:b/>
          <w:lang w:val="en-US"/>
        </w:rPr>
        <w:t xml:space="preserve"> the National Strategy for the Inclusion of Roma, Sinti and Travellers at </w:t>
      </w:r>
      <w:r w:rsidR="00AB08CE" w:rsidRPr="00A47DC1">
        <w:rPr>
          <w:b/>
          <w:lang w:val="en-US"/>
        </w:rPr>
        <w:t>the</w:t>
      </w:r>
      <w:r w:rsidR="00AB08CE">
        <w:rPr>
          <w:b/>
          <w:lang w:val="en-US"/>
        </w:rPr>
        <w:t xml:space="preserve"> </w:t>
      </w:r>
      <w:r w:rsidR="005D3E18" w:rsidRPr="00F669A7">
        <w:rPr>
          <w:b/>
          <w:lang w:val="en-US"/>
        </w:rPr>
        <w:t>national, provincial and local levels</w:t>
      </w:r>
      <w:r w:rsidR="00C67A38" w:rsidRPr="00F669A7">
        <w:rPr>
          <w:b/>
          <w:lang w:val="en-US"/>
        </w:rPr>
        <w:t xml:space="preserve">, and take effective and immediate measures to end </w:t>
      </w:r>
      <w:r w:rsidR="00AB08CE">
        <w:rPr>
          <w:b/>
          <w:lang w:val="en-US"/>
        </w:rPr>
        <w:t xml:space="preserve">the </w:t>
      </w:r>
      <w:r w:rsidR="00C67A38" w:rsidRPr="00F669A7">
        <w:rPr>
          <w:b/>
          <w:lang w:val="en-US"/>
        </w:rPr>
        <w:t>segregation of Roma living in Roma camps, in accordance with</w:t>
      </w:r>
      <w:r w:rsidR="00AB08CE">
        <w:rPr>
          <w:b/>
          <w:lang w:val="en-US"/>
        </w:rPr>
        <w:t xml:space="preserve"> the</w:t>
      </w:r>
      <w:r w:rsidR="00C67A38" w:rsidRPr="00F669A7">
        <w:rPr>
          <w:b/>
          <w:lang w:val="en-US"/>
        </w:rPr>
        <w:t xml:space="preserve"> </w:t>
      </w:r>
      <w:r w:rsidR="00192F3E">
        <w:rPr>
          <w:b/>
          <w:lang w:val="en-US"/>
        </w:rPr>
        <w:t xml:space="preserve">ruling of the </w:t>
      </w:r>
      <w:r w:rsidR="00CF0798" w:rsidRPr="00F669A7">
        <w:rPr>
          <w:b/>
          <w:lang w:val="en-US"/>
        </w:rPr>
        <w:t>Tribunal</w:t>
      </w:r>
      <w:r w:rsidR="00192F3E">
        <w:rPr>
          <w:b/>
          <w:lang w:val="en-US"/>
        </w:rPr>
        <w:t xml:space="preserve"> of Rom</w:t>
      </w:r>
      <w:r w:rsidR="000365B7">
        <w:rPr>
          <w:b/>
          <w:lang w:val="en-US"/>
        </w:rPr>
        <w:t>e</w:t>
      </w:r>
      <w:r w:rsidR="00C67A38" w:rsidRPr="00F669A7">
        <w:rPr>
          <w:b/>
          <w:lang w:val="en-US"/>
        </w:rPr>
        <w:t xml:space="preserve"> of May 2015</w:t>
      </w:r>
      <w:r w:rsidR="005D3E18" w:rsidRPr="00F669A7">
        <w:rPr>
          <w:b/>
          <w:lang w:val="en-US"/>
        </w:rPr>
        <w:t>;</w:t>
      </w:r>
    </w:p>
    <w:p w14:paraId="4494DB5A" w14:textId="28F678C8" w:rsidR="00D962F6" w:rsidRPr="00F669A7" w:rsidRDefault="0054342B" w:rsidP="0054342B">
      <w:pPr>
        <w:pStyle w:val="SingleTxtG"/>
        <w:rPr>
          <w:b/>
          <w:lang w:val="en-US"/>
        </w:rPr>
      </w:pPr>
      <w:r w:rsidRPr="00F669A7">
        <w:rPr>
          <w:lang w:val="en-US"/>
        </w:rPr>
        <w:tab/>
      </w:r>
      <w:r w:rsidR="00DD2B91" w:rsidRPr="00F669A7">
        <w:rPr>
          <w:lang w:val="en-US"/>
        </w:rPr>
        <w:t>(</w:t>
      </w:r>
      <w:r w:rsidRPr="00F669A7">
        <w:rPr>
          <w:lang w:val="en-US"/>
        </w:rPr>
        <w:t>b)</w:t>
      </w:r>
      <w:r w:rsidRPr="00F669A7">
        <w:rPr>
          <w:lang w:val="en-US"/>
        </w:rPr>
        <w:tab/>
      </w:r>
      <w:r w:rsidR="005D3E18" w:rsidRPr="00F669A7">
        <w:rPr>
          <w:b/>
          <w:lang w:val="en-US"/>
        </w:rPr>
        <w:t xml:space="preserve">Prioritize the </w:t>
      </w:r>
      <w:r w:rsidR="00CF0798" w:rsidRPr="00F669A7">
        <w:rPr>
          <w:b/>
          <w:lang w:val="en-US"/>
        </w:rPr>
        <w:t>r</w:t>
      </w:r>
      <w:r w:rsidR="005D3E18" w:rsidRPr="00F669A7">
        <w:rPr>
          <w:b/>
          <w:lang w:val="en-US"/>
        </w:rPr>
        <w:t>eg</w:t>
      </w:r>
      <w:r w:rsidR="00CF0798" w:rsidRPr="00F669A7">
        <w:rPr>
          <w:b/>
          <w:lang w:val="en-US"/>
        </w:rPr>
        <w:t>ul</w:t>
      </w:r>
      <w:r w:rsidR="005D3E18" w:rsidRPr="00F669A7">
        <w:rPr>
          <w:b/>
          <w:lang w:val="en-US"/>
        </w:rPr>
        <w:t>a</w:t>
      </w:r>
      <w:r w:rsidR="00CF0798" w:rsidRPr="00F669A7">
        <w:rPr>
          <w:b/>
          <w:lang w:val="en-US"/>
        </w:rPr>
        <w:t>r</w:t>
      </w:r>
      <w:r w:rsidR="005D3E18" w:rsidRPr="00F669A7">
        <w:rPr>
          <w:b/>
          <w:lang w:val="en-US"/>
        </w:rPr>
        <w:t xml:space="preserve">ization of informal settlements, </w:t>
      </w:r>
      <w:r w:rsidR="001F43C2">
        <w:rPr>
          <w:b/>
          <w:lang w:val="en-US"/>
        </w:rPr>
        <w:t xml:space="preserve">and </w:t>
      </w:r>
      <w:r w:rsidR="005D3E18" w:rsidRPr="00F669A7">
        <w:rPr>
          <w:b/>
          <w:lang w:val="en-US"/>
        </w:rPr>
        <w:t xml:space="preserve">work out other solutions in </w:t>
      </w:r>
      <w:r w:rsidR="004C756E" w:rsidRPr="00F669A7">
        <w:rPr>
          <w:b/>
          <w:lang w:val="en-US"/>
        </w:rPr>
        <w:t xml:space="preserve">meaningful </w:t>
      </w:r>
      <w:r w:rsidR="005D3E18" w:rsidRPr="00F669A7">
        <w:rPr>
          <w:b/>
          <w:lang w:val="en-US"/>
        </w:rPr>
        <w:t>consultation with the Roma communities concerned;</w:t>
      </w:r>
    </w:p>
    <w:p w14:paraId="1DAFF51F" w14:textId="128464CE" w:rsidR="00D962F6" w:rsidRPr="00F669A7" w:rsidRDefault="0054342B" w:rsidP="0054342B">
      <w:pPr>
        <w:pStyle w:val="SingleTxtG"/>
        <w:rPr>
          <w:b/>
          <w:lang w:val="en-US"/>
        </w:rPr>
      </w:pPr>
      <w:r w:rsidRPr="00F669A7">
        <w:rPr>
          <w:lang w:val="en-US"/>
        </w:rPr>
        <w:tab/>
      </w:r>
      <w:r w:rsidR="00DD2B91" w:rsidRPr="00F669A7">
        <w:rPr>
          <w:lang w:val="en-US"/>
        </w:rPr>
        <w:t>(</w:t>
      </w:r>
      <w:r w:rsidRPr="00F669A7">
        <w:rPr>
          <w:lang w:val="en-US"/>
        </w:rPr>
        <w:t>c)</w:t>
      </w:r>
      <w:r w:rsidRPr="00F669A7">
        <w:rPr>
          <w:lang w:val="en-US"/>
        </w:rPr>
        <w:tab/>
      </w:r>
      <w:r w:rsidR="00BD4418" w:rsidRPr="00F669A7">
        <w:rPr>
          <w:b/>
          <w:lang w:val="en-US"/>
        </w:rPr>
        <w:t>Determine without delay the minimum e</w:t>
      </w:r>
      <w:r w:rsidR="00C67A38" w:rsidRPr="00F669A7">
        <w:rPr>
          <w:b/>
          <w:lang w:val="en-US"/>
        </w:rPr>
        <w:t>ssential levels</w:t>
      </w:r>
      <w:r w:rsidR="00BD4418" w:rsidRPr="00F669A7">
        <w:rPr>
          <w:b/>
          <w:lang w:val="en-US"/>
        </w:rPr>
        <w:t xml:space="preserve"> </w:t>
      </w:r>
      <w:r w:rsidR="00C67A38" w:rsidRPr="00F669A7">
        <w:rPr>
          <w:b/>
          <w:lang w:val="en-US"/>
        </w:rPr>
        <w:t xml:space="preserve">as </w:t>
      </w:r>
      <w:r w:rsidR="00BD4418" w:rsidRPr="00F669A7">
        <w:rPr>
          <w:b/>
          <w:lang w:val="en-US"/>
        </w:rPr>
        <w:t>core</w:t>
      </w:r>
      <w:r w:rsidR="00C67A38" w:rsidRPr="00F669A7">
        <w:rPr>
          <w:b/>
          <w:lang w:val="en-US"/>
        </w:rPr>
        <w:t xml:space="preserve"> </w:t>
      </w:r>
      <w:r w:rsidR="00BD4418" w:rsidRPr="00F669A7">
        <w:rPr>
          <w:b/>
          <w:lang w:val="en-US"/>
        </w:rPr>
        <w:t>elements of housing required to</w:t>
      </w:r>
      <w:r w:rsidR="00C67A38" w:rsidRPr="00F669A7">
        <w:rPr>
          <w:b/>
          <w:lang w:val="en-US"/>
        </w:rPr>
        <w:t xml:space="preserve"> meet the needs of disadvantaged</w:t>
      </w:r>
      <w:r w:rsidR="00BD4418" w:rsidRPr="00F669A7">
        <w:rPr>
          <w:b/>
          <w:lang w:val="en-US"/>
        </w:rPr>
        <w:t xml:space="preserve"> and marginalized individuals and groups, in line with</w:t>
      </w:r>
      <w:r w:rsidR="00C67A38" w:rsidRPr="00F669A7">
        <w:rPr>
          <w:b/>
          <w:lang w:val="en-US"/>
        </w:rPr>
        <w:t xml:space="preserve"> the</w:t>
      </w:r>
      <w:r w:rsidR="00BD4418" w:rsidRPr="00F669A7">
        <w:rPr>
          <w:b/>
          <w:lang w:val="en-US"/>
        </w:rPr>
        <w:t xml:space="preserve"> Constitutional Court’s ruling</w:t>
      </w:r>
      <w:r w:rsidR="001F43C2" w:rsidRPr="00656DFE">
        <w:rPr>
          <w:b/>
          <w:lang w:val="en-US"/>
        </w:rPr>
        <w:t>s</w:t>
      </w:r>
      <w:r w:rsidR="00BD4418" w:rsidRPr="00F669A7">
        <w:rPr>
          <w:b/>
          <w:lang w:val="en-US"/>
        </w:rPr>
        <w:t xml:space="preserve"> of 2007 and 2008</w:t>
      </w:r>
      <w:r w:rsidR="00C67A38" w:rsidRPr="00F669A7">
        <w:rPr>
          <w:b/>
          <w:lang w:val="en-US"/>
        </w:rPr>
        <w:t>;</w:t>
      </w:r>
      <w:r w:rsidR="00B36CC9" w:rsidRPr="00F669A7">
        <w:rPr>
          <w:b/>
          <w:lang w:val="en-US"/>
        </w:rPr>
        <w:t xml:space="preserve"> </w:t>
      </w:r>
    </w:p>
    <w:p w14:paraId="025B7B02" w14:textId="7C1BE5A2" w:rsidR="005D3E18" w:rsidRPr="00F669A7" w:rsidRDefault="0054342B" w:rsidP="0054342B">
      <w:pPr>
        <w:pStyle w:val="SingleTxtG"/>
        <w:rPr>
          <w:b/>
          <w:lang w:val="en-US"/>
        </w:rPr>
      </w:pPr>
      <w:r w:rsidRPr="00F669A7">
        <w:rPr>
          <w:lang w:val="en-US"/>
        </w:rPr>
        <w:tab/>
      </w:r>
      <w:r w:rsidR="00DD2B91" w:rsidRPr="00F669A7">
        <w:rPr>
          <w:lang w:val="en-US"/>
        </w:rPr>
        <w:t>(</w:t>
      </w:r>
      <w:r w:rsidRPr="00F669A7">
        <w:rPr>
          <w:lang w:val="en-US"/>
        </w:rPr>
        <w:t>d)</w:t>
      </w:r>
      <w:r w:rsidRPr="00F669A7">
        <w:rPr>
          <w:lang w:val="en-US"/>
        </w:rPr>
        <w:tab/>
      </w:r>
      <w:r w:rsidR="005D3E18" w:rsidRPr="00F669A7">
        <w:rPr>
          <w:b/>
          <w:lang w:val="en-US"/>
        </w:rPr>
        <w:t xml:space="preserve">Ensure that Roma communities </w:t>
      </w:r>
      <w:r w:rsidR="00BD4418" w:rsidRPr="00F669A7">
        <w:rPr>
          <w:b/>
          <w:lang w:val="en-US"/>
        </w:rPr>
        <w:t xml:space="preserve">living </w:t>
      </w:r>
      <w:r w:rsidR="005D3E18" w:rsidRPr="00F669A7">
        <w:rPr>
          <w:b/>
          <w:lang w:val="en-US"/>
        </w:rPr>
        <w:t>in informal settlements enjoy access to basic services, such as water, electricity</w:t>
      </w:r>
      <w:r w:rsidR="00CF0798" w:rsidRPr="00F669A7">
        <w:rPr>
          <w:b/>
          <w:lang w:val="en-US"/>
        </w:rPr>
        <w:t>, waste disposal services</w:t>
      </w:r>
      <w:r w:rsidR="005D3E18" w:rsidRPr="00F669A7">
        <w:rPr>
          <w:b/>
          <w:lang w:val="en-US"/>
        </w:rPr>
        <w:t xml:space="preserve"> and sanitation</w:t>
      </w:r>
      <w:r w:rsidR="00C67A38" w:rsidRPr="00F669A7">
        <w:rPr>
          <w:b/>
          <w:lang w:val="en-US"/>
        </w:rPr>
        <w:t>.</w:t>
      </w:r>
    </w:p>
    <w:p w14:paraId="0A8ABFEA" w14:textId="77777777" w:rsidR="00EB223B" w:rsidRPr="00F669A7" w:rsidRDefault="005A1F40" w:rsidP="00471932">
      <w:pPr>
        <w:pStyle w:val="H23G"/>
        <w:rPr>
          <w:lang w:val="en-US"/>
        </w:rPr>
      </w:pPr>
      <w:r w:rsidRPr="00F669A7">
        <w:rPr>
          <w:lang w:val="en-US"/>
        </w:rPr>
        <w:tab/>
      </w:r>
      <w:r w:rsidRPr="00F669A7">
        <w:rPr>
          <w:lang w:val="en-US"/>
        </w:rPr>
        <w:tab/>
      </w:r>
      <w:r w:rsidR="00EB223B" w:rsidRPr="00F669A7">
        <w:rPr>
          <w:lang w:val="en-US"/>
        </w:rPr>
        <w:t>Right to health</w:t>
      </w:r>
    </w:p>
    <w:p w14:paraId="07F132BB" w14:textId="5242C662" w:rsidR="00E918B6" w:rsidRPr="00F669A7" w:rsidRDefault="0071081A" w:rsidP="00766A12">
      <w:pPr>
        <w:pStyle w:val="SingleTxtG"/>
        <w:numPr>
          <w:ilvl w:val="0"/>
          <w:numId w:val="18"/>
        </w:numPr>
        <w:ind w:left="1134" w:firstLine="0"/>
        <w:rPr>
          <w:lang w:val="en-US"/>
        </w:rPr>
      </w:pPr>
      <w:r w:rsidRPr="00F669A7">
        <w:rPr>
          <w:lang w:val="en-US"/>
        </w:rPr>
        <w:t>The Committee is concerned about regional dis</w:t>
      </w:r>
      <w:r w:rsidR="00165A5C" w:rsidRPr="00F669A7">
        <w:rPr>
          <w:lang w:val="en-US"/>
        </w:rPr>
        <w:t>parities</w:t>
      </w:r>
      <w:r w:rsidRPr="00F669A7">
        <w:rPr>
          <w:lang w:val="en-US"/>
        </w:rPr>
        <w:t xml:space="preserve"> in access to basic health</w:t>
      </w:r>
      <w:r w:rsidR="00BF28F7">
        <w:rPr>
          <w:lang w:val="en-US"/>
        </w:rPr>
        <w:t>-</w:t>
      </w:r>
      <w:r w:rsidRPr="00F669A7">
        <w:rPr>
          <w:lang w:val="en-US"/>
        </w:rPr>
        <w:t xml:space="preserve">care services adversely </w:t>
      </w:r>
      <w:r w:rsidR="00C57D84">
        <w:rPr>
          <w:lang w:val="en-US"/>
        </w:rPr>
        <w:t>affe</w:t>
      </w:r>
      <w:r w:rsidRPr="00F669A7">
        <w:rPr>
          <w:lang w:val="en-US"/>
        </w:rPr>
        <w:t xml:space="preserve">cting populations living in </w:t>
      </w:r>
      <w:r w:rsidR="00BF28F7">
        <w:rPr>
          <w:lang w:val="en-US"/>
        </w:rPr>
        <w:t xml:space="preserve">the </w:t>
      </w:r>
      <w:r w:rsidRPr="00F669A7">
        <w:rPr>
          <w:lang w:val="en-US"/>
        </w:rPr>
        <w:t>southern provinces and</w:t>
      </w:r>
      <w:r w:rsidR="00DF710B">
        <w:rPr>
          <w:lang w:val="en-US"/>
        </w:rPr>
        <w:t xml:space="preserve"> about</w:t>
      </w:r>
      <w:r w:rsidRPr="00F669A7">
        <w:rPr>
          <w:lang w:val="en-US"/>
        </w:rPr>
        <w:t xml:space="preserve"> </w:t>
      </w:r>
      <w:r w:rsidR="00124BEE" w:rsidRPr="00F669A7">
        <w:rPr>
          <w:lang w:val="en-US"/>
        </w:rPr>
        <w:t>the inadequate measures taken by</w:t>
      </w:r>
      <w:r w:rsidRPr="00F669A7">
        <w:rPr>
          <w:lang w:val="en-US"/>
        </w:rPr>
        <w:t xml:space="preserve"> the State party to address </w:t>
      </w:r>
      <w:r w:rsidR="00A947A0" w:rsidRPr="00F669A7">
        <w:rPr>
          <w:lang w:val="en-US"/>
        </w:rPr>
        <w:t>such disparities</w:t>
      </w:r>
      <w:r w:rsidRPr="00F669A7">
        <w:rPr>
          <w:lang w:val="en-US"/>
        </w:rPr>
        <w:t>.</w:t>
      </w:r>
      <w:r w:rsidR="00E918B6" w:rsidRPr="00F669A7">
        <w:rPr>
          <w:lang w:val="en-US"/>
        </w:rPr>
        <w:t xml:space="preserve"> </w:t>
      </w:r>
      <w:r w:rsidR="00124BEE" w:rsidRPr="00F669A7">
        <w:rPr>
          <w:lang w:val="en-US"/>
        </w:rPr>
        <w:t>The Committee is also</w:t>
      </w:r>
      <w:r w:rsidR="000A403E" w:rsidRPr="00F669A7">
        <w:rPr>
          <w:lang w:val="en-US"/>
        </w:rPr>
        <w:t xml:space="preserve"> concerned that</w:t>
      </w:r>
      <w:r w:rsidR="00BC5BA2">
        <w:rPr>
          <w:lang w:val="en-US"/>
        </w:rPr>
        <w:t>,</w:t>
      </w:r>
      <w:r w:rsidR="000A403E" w:rsidRPr="00F669A7">
        <w:rPr>
          <w:lang w:val="en-US"/>
        </w:rPr>
        <w:t xml:space="preserve"> </w:t>
      </w:r>
      <w:r w:rsidR="00EC60D7" w:rsidRPr="00F669A7">
        <w:rPr>
          <w:lang w:val="en-US"/>
        </w:rPr>
        <w:t xml:space="preserve">as a result of the </w:t>
      </w:r>
      <w:r w:rsidR="001F43C2">
        <w:rPr>
          <w:lang w:val="en-US"/>
        </w:rPr>
        <w:t xml:space="preserve">budget </w:t>
      </w:r>
      <w:r w:rsidR="00EC60D7" w:rsidRPr="00F669A7">
        <w:rPr>
          <w:lang w:val="en-US"/>
        </w:rPr>
        <w:t>cuts</w:t>
      </w:r>
      <w:r w:rsidR="00CF0798" w:rsidRPr="00F669A7">
        <w:rPr>
          <w:lang w:val="en-US"/>
        </w:rPr>
        <w:t xml:space="preserve"> in the context of the austerity measures</w:t>
      </w:r>
      <w:r w:rsidR="000A403E" w:rsidRPr="00F669A7">
        <w:rPr>
          <w:lang w:val="en-US"/>
        </w:rPr>
        <w:t xml:space="preserve">, </w:t>
      </w:r>
      <w:r w:rsidR="00CF0798" w:rsidRPr="00F669A7">
        <w:rPr>
          <w:lang w:val="en-US"/>
        </w:rPr>
        <w:t>a considerable segment of the population</w:t>
      </w:r>
      <w:r w:rsidR="00EC60D7" w:rsidRPr="00F669A7">
        <w:rPr>
          <w:lang w:val="en-US"/>
        </w:rPr>
        <w:t xml:space="preserve"> </w:t>
      </w:r>
      <w:r w:rsidR="00A947A0" w:rsidRPr="00F669A7">
        <w:rPr>
          <w:lang w:val="en-US"/>
        </w:rPr>
        <w:t xml:space="preserve">can </w:t>
      </w:r>
      <w:r w:rsidR="000A403E" w:rsidRPr="00F669A7">
        <w:rPr>
          <w:lang w:val="en-US"/>
        </w:rPr>
        <w:t>no</w:t>
      </w:r>
      <w:r w:rsidR="00A947A0" w:rsidRPr="00F669A7">
        <w:rPr>
          <w:lang w:val="en-US"/>
        </w:rPr>
        <w:t xml:space="preserve"> longer</w:t>
      </w:r>
      <w:r w:rsidR="000A403E" w:rsidRPr="00F669A7">
        <w:rPr>
          <w:lang w:val="en-US"/>
        </w:rPr>
        <w:t xml:space="preserve"> a</w:t>
      </w:r>
      <w:r w:rsidR="00165A5C" w:rsidRPr="00F669A7">
        <w:rPr>
          <w:lang w:val="en-US"/>
        </w:rPr>
        <w:t>ccess</w:t>
      </w:r>
      <w:r w:rsidR="000A403E" w:rsidRPr="00F669A7">
        <w:rPr>
          <w:lang w:val="en-US"/>
        </w:rPr>
        <w:t xml:space="preserve"> h</w:t>
      </w:r>
      <w:r w:rsidR="00E918B6" w:rsidRPr="00F669A7">
        <w:rPr>
          <w:lang w:val="en-US"/>
        </w:rPr>
        <w:t>ealth</w:t>
      </w:r>
      <w:r w:rsidR="009A6DC1">
        <w:rPr>
          <w:lang w:val="en-US"/>
        </w:rPr>
        <w:t>-care</w:t>
      </w:r>
      <w:r w:rsidR="00E918B6" w:rsidRPr="00F669A7">
        <w:rPr>
          <w:lang w:val="en-US"/>
        </w:rPr>
        <w:t xml:space="preserve"> services becau</w:t>
      </w:r>
      <w:r w:rsidR="000A403E" w:rsidRPr="00F669A7">
        <w:rPr>
          <w:lang w:val="en-US"/>
        </w:rPr>
        <w:t>se of incre</w:t>
      </w:r>
      <w:r w:rsidR="00124BEE" w:rsidRPr="00F669A7">
        <w:rPr>
          <w:lang w:val="en-US"/>
        </w:rPr>
        <w:t>ased fees. The Committee is further</w:t>
      </w:r>
      <w:r w:rsidR="000A403E" w:rsidRPr="00F669A7">
        <w:rPr>
          <w:lang w:val="en-US"/>
        </w:rPr>
        <w:t xml:space="preserve"> concerned at the reported trend of reinstitutionalizing dependent persons and persons with </w:t>
      </w:r>
      <w:r w:rsidR="004C756E" w:rsidRPr="00F669A7">
        <w:rPr>
          <w:lang w:val="en-US"/>
        </w:rPr>
        <w:t xml:space="preserve">intellectual and psychosocial </w:t>
      </w:r>
      <w:r w:rsidR="000A403E" w:rsidRPr="00F669A7">
        <w:rPr>
          <w:lang w:val="en-US"/>
        </w:rPr>
        <w:t>disabilities (art. 12).</w:t>
      </w:r>
    </w:p>
    <w:p w14:paraId="4B33D550" w14:textId="77777777" w:rsidR="00405574" w:rsidRPr="00F669A7" w:rsidRDefault="00ED224F" w:rsidP="00471932">
      <w:pPr>
        <w:pStyle w:val="SingleTxtG"/>
        <w:numPr>
          <w:ilvl w:val="0"/>
          <w:numId w:val="18"/>
        </w:numPr>
        <w:ind w:left="1134" w:firstLine="0"/>
        <w:rPr>
          <w:b/>
          <w:bCs/>
          <w:lang w:val="en-US" w:eastAsia="en-GB"/>
        </w:rPr>
      </w:pPr>
      <w:r w:rsidRPr="00F669A7">
        <w:rPr>
          <w:b/>
          <w:lang w:val="en-US"/>
        </w:rPr>
        <w:t>The Committee recommends that the State party</w:t>
      </w:r>
      <w:r w:rsidR="001C4372" w:rsidRPr="00F669A7">
        <w:rPr>
          <w:b/>
          <w:lang w:val="en-US"/>
        </w:rPr>
        <w:t>:</w:t>
      </w:r>
      <w:r w:rsidRPr="00F669A7">
        <w:rPr>
          <w:b/>
          <w:lang w:val="en-US"/>
        </w:rPr>
        <w:t xml:space="preserve"> </w:t>
      </w:r>
    </w:p>
    <w:p w14:paraId="1E8B4126" w14:textId="66C17664" w:rsidR="00405574" w:rsidRPr="00F669A7" w:rsidRDefault="00FD64FF" w:rsidP="00766A12">
      <w:pPr>
        <w:pStyle w:val="SingleTxtG"/>
        <w:rPr>
          <w:b/>
          <w:lang w:val="en-US"/>
        </w:rPr>
      </w:pPr>
      <w:r w:rsidRPr="00F669A7">
        <w:rPr>
          <w:lang w:val="en-US"/>
        </w:rPr>
        <w:tab/>
      </w:r>
      <w:r w:rsidR="00DD2B91" w:rsidRPr="00F669A7">
        <w:rPr>
          <w:lang w:val="en-US"/>
        </w:rPr>
        <w:t>(</w:t>
      </w:r>
      <w:r w:rsidRPr="00F669A7">
        <w:rPr>
          <w:lang w:val="en-US"/>
        </w:rPr>
        <w:t>a)</w:t>
      </w:r>
      <w:r w:rsidRPr="00F669A7">
        <w:rPr>
          <w:lang w:val="en-US"/>
        </w:rPr>
        <w:tab/>
      </w:r>
      <w:r w:rsidR="00405574" w:rsidRPr="00F669A7">
        <w:rPr>
          <w:b/>
          <w:lang w:val="en-US"/>
        </w:rPr>
        <w:t>T</w:t>
      </w:r>
      <w:r w:rsidR="00ED224F" w:rsidRPr="00F669A7">
        <w:rPr>
          <w:b/>
          <w:lang w:val="en-US"/>
        </w:rPr>
        <w:t xml:space="preserve">ake effective measures to </w:t>
      </w:r>
      <w:r w:rsidR="00E558D4" w:rsidRPr="00F669A7">
        <w:rPr>
          <w:b/>
          <w:lang w:val="en-US"/>
        </w:rPr>
        <w:t>ensure equal</w:t>
      </w:r>
      <w:r w:rsidR="00ED224F" w:rsidRPr="00F669A7">
        <w:rPr>
          <w:b/>
          <w:lang w:val="en-US"/>
        </w:rPr>
        <w:t xml:space="preserve"> access to basic health</w:t>
      </w:r>
      <w:r w:rsidR="00925B0B">
        <w:rPr>
          <w:b/>
          <w:lang w:val="en-US"/>
        </w:rPr>
        <w:t>-</w:t>
      </w:r>
      <w:r w:rsidR="00E558D4" w:rsidRPr="00F669A7">
        <w:rPr>
          <w:b/>
          <w:lang w:val="en-US"/>
        </w:rPr>
        <w:t xml:space="preserve">care </w:t>
      </w:r>
      <w:r w:rsidR="00ED224F" w:rsidRPr="00F669A7">
        <w:rPr>
          <w:b/>
          <w:lang w:val="en-US"/>
        </w:rPr>
        <w:t xml:space="preserve">services </w:t>
      </w:r>
      <w:r w:rsidR="00165A5C" w:rsidRPr="00F669A7">
        <w:rPr>
          <w:b/>
          <w:lang w:val="en-US"/>
        </w:rPr>
        <w:t xml:space="preserve">throughout the State </w:t>
      </w:r>
      <w:r w:rsidR="00754240" w:rsidRPr="00F669A7">
        <w:rPr>
          <w:b/>
          <w:lang w:val="en-US"/>
        </w:rPr>
        <w:t>p</w:t>
      </w:r>
      <w:r w:rsidR="00165A5C" w:rsidRPr="00F669A7">
        <w:rPr>
          <w:b/>
          <w:lang w:val="en-US"/>
        </w:rPr>
        <w:t xml:space="preserve">arty </w:t>
      </w:r>
      <w:r w:rsidR="00405574" w:rsidRPr="00F669A7">
        <w:rPr>
          <w:b/>
          <w:lang w:val="en-US"/>
        </w:rPr>
        <w:t>with a view to bridging the gap between the</w:t>
      </w:r>
      <w:r w:rsidR="00165A5C" w:rsidRPr="00F669A7">
        <w:rPr>
          <w:b/>
          <w:lang w:val="en-US"/>
        </w:rPr>
        <w:t xml:space="preserve"> provinces in the</w:t>
      </w:r>
      <w:r w:rsidR="00405574" w:rsidRPr="00F669A7">
        <w:rPr>
          <w:b/>
          <w:lang w:val="en-US"/>
        </w:rPr>
        <w:t xml:space="preserve"> north and the south of Italy i</w:t>
      </w:r>
      <w:r w:rsidR="00124BEE" w:rsidRPr="00F669A7">
        <w:rPr>
          <w:b/>
          <w:lang w:val="en-US"/>
        </w:rPr>
        <w:t>n such access</w:t>
      </w:r>
      <w:r w:rsidR="00405574" w:rsidRPr="00F669A7">
        <w:rPr>
          <w:b/>
          <w:lang w:val="en-US"/>
        </w:rPr>
        <w:t>;</w:t>
      </w:r>
    </w:p>
    <w:p w14:paraId="5F4F0EA4" w14:textId="7C64DBED" w:rsidR="00405574" w:rsidRPr="00F669A7" w:rsidRDefault="00FD64FF" w:rsidP="00FD64FF">
      <w:pPr>
        <w:pStyle w:val="SingleTxtG"/>
        <w:rPr>
          <w:b/>
          <w:lang w:val="en-US"/>
        </w:rPr>
      </w:pPr>
      <w:r w:rsidRPr="00F669A7">
        <w:rPr>
          <w:lang w:val="en-US"/>
        </w:rPr>
        <w:tab/>
      </w:r>
      <w:r w:rsidR="00DD2B91" w:rsidRPr="00F669A7">
        <w:rPr>
          <w:lang w:val="en-US"/>
        </w:rPr>
        <w:t>(</w:t>
      </w:r>
      <w:r w:rsidR="00405574" w:rsidRPr="00F669A7">
        <w:rPr>
          <w:lang w:val="en-US"/>
        </w:rPr>
        <w:t>b)</w:t>
      </w:r>
      <w:r w:rsidR="00405574" w:rsidRPr="00F669A7">
        <w:rPr>
          <w:lang w:val="en-US"/>
        </w:rPr>
        <w:tab/>
      </w:r>
      <w:r w:rsidR="00405574" w:rsidRPr="00F669A7">
        <w:rPr>
          <w:b/>
          <w:lang w:val="en-US"/>
        </w:rPr>
        <w:t>Ensure that</w:t>
      </w:r>
      <w:r w:rsidR="00165A5C" w:rsidRPr="00F669A7">
        <w:rPr>
          <w:b/>
          <w:lang w:val="en-US"/>
        </w:rPr>
        <w:t xml:space="preserve"> reforms adopted do not limit </w:t>
      </w:r>
      <w:r w:rsidR="00AE3E14">
        <w:rPr>
          <w:b/>
          <w:lang w:val="en-US"/>
        </w:rPr>
        <w:t>access by</w:t>
      </w:r>
      <w:r w:rsidR="00165A5C" w:rsidRPr="00F669A7">
        <w:rPr>
          <w:b/>
          <w:lang w:val="en-US"/>
        </w:rPr>
        <w:t xml:space="preserve"> persons </w:t>
      </w:r>
      <w:r w:rsidR="007966A5">
        <w:rPr>
          <w:b/>
          <w:lang w:val="en-US"/>
        </w:rPr>
        <w:t xml:space="preserve">on the </w:t>
      </w:r>
      <w:r w:rsidR="00E558D4" w:rsidRPr="00F669A7">
        <w:rPr>
          <w:b/>
          <w:lang w:val="en-US"/>
        </w:rPr>
        <w:t>bas</w:t>
      </w:r>
      <w:r w:rsidR="007966A5">
        <w:rPr>
          <w:b/>
          <w:lang w:val="en-US"/>
        </w:rPr>
        <w:t>is of</w:t>
      </w:r>
      <w:r w:rsidR="00165A5C" w:rsidRPr="00F669A7">
        <w:rPr>
          <w:b/>
          <w:lang w:val="en-US"/>
        </w:rPr>
        <w:t xml:space="preserve"> their socioeconomic situation</w:t>
      </w:r>
      <w:r w:rsidR="00405574" w:rsidRPr="00F669A7">
        <w:rPr>
          <w:b/>
          <w:lang w:val="en-US"/>
        </w:rPr>
        <w:t xml:space="preserve">, </w:t>
      </w:r>
      <w:r w:rsidR="00165A5C" w:rsidRPr="00F669A7">
        <w:rPr>
          <w:b/>
          <w:lang w:val="en-US"/>
        </w:rPr>
        <w:t xml:space="preserve">taking into account </w:t>
      </w:r>
      <w:r w:rsidR="00405574" w:rsidRPr="00F669A7">
        <w:rPr>
          <w:b/>
          <w:lang w:val="en-US"/>
        </w:rPr>
        <w:t>the Committee’s general comment No. 14 (2000) on the right to the highest attainable standard of health;</w:t>
      </w:r>
    </w:p>
    <w:p w14:paraId="76F1A07C" w14:textId="324F63D4" w:rsidR="00405574" w:rsidRPr="00F669A7" w:rsidRDefault="00FD64FF" w:rsidP="00FD64FF">
      <w:pPr>
        <w:pStyle w:val="SingleTxtG"/>
        <w:rPr>
          <w:b/>
          <w:lang w:val="en-US"/>
        </w:rPr>
      </w:pPr>
      <w:r w:rsidRPr="00F669A7">
        <w:rPr>
          <w:lang w:val="en-US"/>
        </w:rPr>
        <w:tab/>
      </w:r>
      <w:r w:rsidR="00DD2B91" w:rsidRPr="00F669A7">
        <w:rPr>
          <w:lang w:val="en-US"/>
        </w:rPr>
        <w:t>(</w:t>
      </w:r>
      <w:r w:rsidR="00405574" w:rsidRPr="00F669A7">
        <w:rPr>
          <w:lang w:val="en-US"/>
        </w:rPr>
        <w:t>c)</w:t>
      </w:r>
      <w:r w:rsidR="00405574" w:rsidRPr="00F669A7">
        <w:rPr>
          <w:lang w:val="en-US"/>
        </w:rPr>
        <w:tab/>
      </w:r>
      <w:r w:rsidR="00405574" w:rsidRPr="00F669A7">
        <w:rPr>
          <w:b/>
          <w:lang w:val="en-US"/>
        </w:rPr>
        <w:t xml:space="preserve">Assess the impact of any proposed cuts on </w:t>
      </w:r>
      <w:r w:rsidR="00AE3E14">
        <w:rPr>
          <w:b/>
          <w:lang w:val="en-US"/>
        </w:rPr>
        <w:t>access by</w:t>
      </w:r>
      <w:r w:rsidR="00405574" w:rsidRPr="00F669A7">
        <w:rPr>
          <w:b/>
          <w:lang w:val="en-US"/>
        </w:rPr>
        <w:t xml:space="preserve"> the most disadvantaged and marginalized individuals and groups to health</w:t>
      </w:r>
      <w:r w:rsidR="00AE3E14">
        <w:rPr>
          <w:b/>
          <w:lang w:val="en-US"/>
        </w:rPr>
        <w:t>-</w:t>
      </w:r>
      <w:r w:rsidR="00E558D4" w:rsidRPr="00F669A7">
        <w:rPr>
          <w:b/>
          <w:lang w:val="en-US"/>
        </w:rPr>
        <w:t>care</w:t>
      </w:r>
      <w:r w:rsidR="00405574" w:rsidRPr="00F669A7">
        <w:rPr>
          <w:b/>
          <w:lang w:val="en-US"/>
        </w:rPr>
        <w:t xml:space="preserve"> services;</w:t>
      </w:r>
    </w:p>
    <w:p w14:paraId="2EA6BF5E" w14:textId="2AB58932" w:rsidR="000A403E" w:rsidRPr="00F669A7" w:rsidRDefault="00FD64FF" w:rsidP="00FD64FF">
      <w:pPr>
        <w:pStyle w:val="SingleTxtG"/>
        <w:rPr>
          <w:b/>
          <w:lang w:val="en-US"/>
        </w:rPr>
      </w:pPr>
      <w:r w:rsidRPr="00F669A7">
        <w:rPr>
          <w:lang w:val="en-US"/>
        </w:rPr>
        <w:tab/>
      </w:r>
      <w:r w:rsidR="00DD2B91" w:rsidRPr="00F669A7">
        <w:rPr>
          <w:lang w:val="en-US"/>
        </w:rPr>
        <w:t>(</w:t>
      </w:r>
      <w:r w:rsidR="00405574" w:rsidRPr="00F669A7">
        <w:rPr>
          <w:lang w:val="en-US"/>
        </w:rPr>
        <w:t>d)</w:t>
      </w:r>
      <w:r w:rsidR="00405574" w:rsidRPr="00F669A7">
        <w:rPr>
          <w:lang w:val="en-US"/>
        </w:rPr>
        <w:tab/>
      </w:r>
      <w:r w:rsidR="009C5FF0" w:rsidRPr="00F669A7">
        <w:rPr>
          <w:b/>
          <w:lang w:val="en-US"/>
        </w:rPr>
        <w:t>P</w:t>
      </w:r>
      <w:r w:rsidR="00C10412" w:rsidRPr="00F669A7">
        <w:rPr>
          <w:b/>
          <w:lang w:val="en-US"/>
        </w:rPr>
        <w:t xml:space="preserve">rovide alternative family- and community-based care systems </w:t>
      </w:r>
      <w:r w:rsidR="00E558D4" w:rsidRPr="00F669A7">
        <w:rPr>
          <w:b/>
          <w:lang w:val="en-US"/>
        </w:rPr>
        <w:t xml:space="preserve">for dependent persons and persons with </w:t>
      </w:r>
      <w:r w:rsidR="004C756E" w:rsidRPr="00F669A7">
        <w:rPr>
          <w:b/>
          <w:lang w:val="en-US"/>
        </w:rPr>
        <w:t xml:space="preserve">intellectual and psychosocial </w:t>
      </w:r>
      <w:r w:rsidR="00116E78" w:rsidRPr="00F669A7">
        <w:rPr>
          <w:b/>
          <w:lang w:val="en-US"/>
        </w:rPr>
        <w:t>disabilities</w:t>
      </w:r>
      <w:r w:rsidR="00E558D4" w:rsidRPr="00F669A7">
        <w:rPr>
          <w:b/>
          <w:lang w:val="en-US"/>
        </w:rPr>
        <w:t xml:space="preserve"> </w:t>
      </w:r>
      <w:r w:rsidR="00C10412" w:rsidRPr="00F669A7">
        <w:rPr>
          <w:b/>
          <w:lang w:val="en-US"/>
        </w:rPr>
        <w:t>and ensure that institutional care is used only as a measure of last resort</w:t>
      </w:r>
      <w:r w:rsidRPr="00F669A7">
        <w:rPr>
          <w:b/>
          <w:lang w:val="en-US"/>
        </w:rPr>
        <w:t>.</w:t>
      </w:r>
    </w:p>
    <w:p w14:paraId="4E08389D" w14:textId="77777777" w:rsidR="0060092A" w:rsidRPr="00F669A7" w:rsidRDefault="005A1F40" w:rsidP="00471932">
      <w:pPr>
        <w:pStyle w:val="H23G"/>
        <w:rPr>
          <w:lang w:val="en-US"/>
        </w:rPr>
      </w:pPr>
      <w:r w:rsidRPr="00F669A7">
        <w:rPr>
          <w:lang w:val="en-US"/>
        </w:rPr>
        <w:tab/>
      </w:r>
      <w:r w:rsidRPr="00F669A7">
        <w:rPr>
          <w:lang w:val="en-US"/>
        </w:rPr>
        <w:tab/>
      </w:r>
      <w:r w:rsidR="0060092A" w:rsidRPr="00F669A7">
        <w:rPr>
          <w:lang w:val="en-US"/>
        </w:rPr>
        <w:t>Legal termination of pregnancy</w:t>
      </w:r>
    </w:p>
    <w:p w14:paraId="2C70B31B" w14:textId="5E909621" w:rsidR="00F24E4F" w:rsidRPr="00F669A7" w:rsidRDefault="00C113BF" w:rsidP="00C57D84">
      <w:pPr>
        <w:pStyle w:val="SingleTxtG"/>
        <w:numPr>
          <w:ilvl w:val="0"/>
          <w:numId w:val="18"/>
        </w:numPr>
        <w:ind w:left="1134" w:firstLine="0"/>
        <w:rPr>
          <w:lang w:val="en-US"/>
        </w:rPr>
      </w:pPr>
      <w:r w:rsidRPr="00F669A7">
        <w:rPr>
          <w:lang w:val="en-US"/>
        </w:rPr>
        <w:t xml:space="preserve">The Committee is concerned </w:t>
      </w:r>
      <w:r w:rsidR="006A2E72" w:rsidRPr="00F669A7">
        <w:rPr>
          <w:lang w:val="en-US"/>
        </w:rPr>
        <w:t>that despite Act No. 194/78</w:t>
      </w:r>
      <w:r w:rsidR="00BC5BA2">
        <w:rPr>
          <w:lang w:val="en-US"/>
        </w:rPr>
        <w:t>,</w:t>
      </w:r>
      <w:r w:rsidR="006A2E72" w:rsidRPr="00F669A7">
        <w:rPr>
          <w:lang w:val="en-US"/>
        </w:rPr>
        <w:t xml:space="preserve"> </w:t>
      </w:r>
      <w:r w:rsidR="00573268">
        <w:rPr>
          <w:lang w:val="en-US"/>
        </w:rPr>
        <w:t>which allows</w:t>
      </w:r>
      <w:r w:rsidR="006A2E72" w:rsidRPr="00F669A7">
        <w:rPr>
          <w:lang w:val="en-US"/>
        </w:rPr>
        <w:t xml:space="preserve"> legal abortion, there is only </w:t>
      </w:r>
      <w:r w:rsidR="00355481" w:rsidRPr="00F669A7">
        <w:rPr>
          <w:lang w:val="en-US"/>
        </w:rPr>
        <w:t xml:space="preserve">limited availability </w:t>
      </w:r>
      <w:r w:rsidR="00B41A77" w:rsidRPr="00F669A7">
        <w:rPr>
          <w:lang w:val="en-US"/>
        </w:rPr>
        <w:t>of</w:t>
      </w:r>
      <w:r w:rsidR="00E558D4" w:rsidRPr="00F669A7">
        <w:rPr>
          <w:lang w:val="en-US"/>
        </w:rPr>
        <w:t>,</w:t>
      </w:r>
      <w:r w:rsidR="00B41A77" w:rsidRPr="00F669A7">
        <w:rPr>
          <w:lang w:val="en-US"/>
        </w:rPr>
        <w:t xml:space="preserve"> and</w:t>
      </w:r>
      <w:r w:rsidR="00BA42D6" w:rsidRPr="00F669A7">
        <w:rPr>
          <w:lang w:val="en-US"/>
        </w:rPr>
        <w:t xml:space="preserve"> </w:t>
      </w:r>
      <w:r w:rsidR="00355481" w:rsidRPr="00F669A7">
        <w:rPr>
          <w:lang w:val="en-US"/>
        </w:rPr>
        <w:t>accessibility to</w:t>
      </w:r>
      <w:r w:rsidR="00E558D4" w:rsidRPr="00F669A7">
        <w:rPr>
          <w:lang w:val="en-US"/>
        </w:rPr>
        <w:t>,</w:t>
      </w:r>
      <w:r w:rsidR="00BA42D6" w:rsidRPr="00F669A7">
        <w:rPr>
          <w:lang w:val="en-US"/>
        </w:rPr>
        <w:t xml:space="preserve"> abortion services</w:t>
      </w:r>
      <w:r w:rsidRPr="00F669A7">
        <w:rPr>
          <w:lang w:val="en-US"/>
        </w:rPr>
        <w:t xml:space="preserve"> </w:t>
      </w:r>
      <w:r w:rsidR="00F302ED">
        <w:rPr>
          <w:lang w:val="en-US"/>
        </w:rPr>
        <w:t xml:space="preserve">and </w:t>
      </w:r>
      <w:r w:rsidR="00355481" w:rsidRPr="00F669A7">
        <w:rPr>
          <w:lang w:val="en-US"/>
        </w:rPr>
        <w:t xml:space="preserve">that </w:t>
      </w:r>
      <w:r w:rsidR="00F302ED">
        <w:rPr>
          <w:lang w:val="en-US"/>
        </w:rPr>
        <w:t xml:space="preserve">this </w:t>
      </w:r>
      <w:r w:rsidR="00355481" w:rsidRPr="00F669A7">
        <w:rPr>
          <w:lang w:val="en-US"/>
        </w:rPr>
        <w:t xml:space="preserve">is exacerbated by the </w:t>
      </w:r>
      <w:r w:rsidRPr="00F669A7">
        <w:rPr>
          <w:lang w:val="en-US"/>
        </w:rPr>
        <w:t>increased number of health personnel conscientiously objecting to carry</w:t>
      </w:r>
      <w:r w:rsidR="00F302ED">
        <w:rPr>
          <w:lang w:val="en-US"/>
        </w:rPr>
        <w:t>ing</w:t>
      </w:r>
      <w:r w:rsidRPr="00F669A7">
        <w:rPr>
          <w:lang w:val="en-US"/>
        </w:rPr>
        <w:t xml:space="preserve"> out such operations, leading pregnant women to undergo unsafe abortions</w:t>
      </w:r>
      <w:r w:rsidR="00BA42D6" w:rsidRPr="00F669A7">
        <w:rPr>
          <w:lang w:val="en-US"/>
        </w:rPr>
        <w:t xml:space="preserve"> (art. 12)</w:t>
      </w:r>
      <w:r w:rsidRPr="00F669A7">
        <w:rPr>
          <w:lang w:val="en-US"/>
        </w:rPr>
        <w:t>.</w:t>
      </w:r>
    </w:p>
    <w:p w14:paraId="7A93E500" w14:textId="6BDC598F" w:rsidR="00912162" w:rsidRPr="00F669A7" w:rsidRDefault="00F24E4F" w:rsidP="00766A12">
      <w:pPr>
        <w:pStyle w:val="SingleTxtG"/>
        <w:numPr>
          <w:ilvl w:val="0"/>
          <w:numId w:val="18"/>
        </w:numPr>
        <w:ind w:left="1134" w:firstLine="0"/>
        <w:rPr>
          <w:lang w:val="en-US"/>
        </w:rPr>
      </w:pPr>
      <w:r w:rsidRPr="00F669A7">
        <w:rPr>
          <w:b/>
          <w:bCs/>
          <w:lang w:val="en-US" w:eastAsia="en-GB"/>
        </w:rPr>
        <w:t xml:space="preserve">The Committee recommends that the State party guarantee the full application of </w:t>
      </w:r>
      <w:r w:rsidRPr="00F669A7">
        <w:rPr>
          <w:b/>
          <w:lang w:val="en-US"/>
        </w:rPr>
        <w:t>Act</w:t>
      </w:r>
      <w:r w:rsidRPr="00F669A7">
        <w:rPr>
          <w:b/>
          <w:bCs/>
          <w:lang w:val="en-US" w:eastAsia="en-GB"/>
        </w:rPr>
        <w:t xml:space="preserve"> </w:t>
      </w:r>
      <w:r w:rsidR="00E040BE">
        <w:rPr>
          <w:b/>
          <w:bCs/>
          <w:lang w:val="en-US" w:eastAsia="en-GB"/>
        </w:rPr>
        <w:t xml:space="preserve">No. </w:t>
      </w:r>
      <w:r w:rsidRPr="00F669A7">
        <w:rPr>
          <w:b/>
          <w:bCs/>
          <w:lang w:val="en-US" w:eastAsia="en-GB"/>
        </w:rPr>
        <w:t xml:space="preserve">194/78 </w:t>
      </w:r>
      <w:r w:rsidR="00116E78" w:rsidRPr="00F669A7">
        <w:rPr>
          <w:b/>
          <w:bCs/>
          <w:lang w:val="en-US" w:eastAsia="en-GB"/>
        </w:rPr>
        <w:t>across the State party</w:t>
      </w:r>
      <w:r w:rsidRPr="00F669A7">
        <w:rPr>
          <w:b/>
          <w:bCs/>
          <w:lang w:val="en-US" w:eastAsia="en-GB"/>
        </w:rPr>
        <w:t>. To that end, the Committee recommends that the State party adopt a procedure common to all provinces in order to guarantee access to abortion</w:t>
      </w:r>
      <w:r w:rsidR="00116E78" w:rsidRPr="00F669A7">
        <w:rPr>
          <w:b/>
          <w:bCs/>
          <w:lang w:val="en-US" w:eastAsia="en-GB"/>
        </w:rPr>
        <w:t xml:space="preserve"> services and appropriate referral </w:t>
      </w:r>
      <w:r w:rsidR="00D962F6" w:rsidRPr="00F669A7">
        <w:rPr>
          <w:b/>
          <w:bCs/>
          <w:lang w:val="en-US" w:eastAsia="en-GB"/>
        </w:rPr>
        <w:t>services</w:t>
      </w:r>
      <w:r w:rsidRPr="00F669A7">
        <w:rPr>
          <w:b/>
          <w:bCs/>
          <w:lang w:val="en-US" w:eastAsia="en-GB"/>
        </w:rPr>
        <w:t>, and ensure that the exercise of conscientious o</w:t>
      </w:r>
      <w:r w:rsidR="00124BEE" w:rsidRPr="00F669A7">
        <w:rPr>
          <w:b/>
          <w:bCs/>
          <w:lang w:val="en-US" w:eastAsia="en-GB"/>
        </w:rPr>
        <w:t xml:space="preserve">bjection by </w:t>
      </w:r>
      <w:r w:rsidR="00124BEE" w:rsidRPr="00F669A7">
        <w:rPr>
          <w:b/>
          <w:lang w:val="en-US"/>
        </w:rPr>
        <w:t>health</w:t>
      </w:r>
      <w:r w:rsidR="000D65FD" w:rsidRPr="006E7D28">
        <w:rPr>
          <w:b/>
          <w:lang w:val="en-US"/>
        </w:rPr>
        <w:t>-care</w:t>
      </w:r>
      <w:r w:rsidR="00124BEE" w:rsidRPr="00F669A7">
        <w:rPr>
          <w:b/>
          <w:lang w:val="en-US"/>
        </w:rPr>
        <w:t xml:space="preserve"> personnel</w:t>
      </w:r>
      <w:r w:rsidRPr="00F669A7">
        <w:rPr>
          <w:b/>
          <w:bCs/>
          <w:lang w:val="en-US" w:eastAsia="en-GB"/>
        </w:rPr>
        <w:t xml:space="preserve"> does not pose an obstacle for women who wish to</w:t>
      </w:r>
      <w:r w:rsidRPr="00F669A7">
        <w:rPr>
          <w:lang w:val="en-US"/>
        </w:rPr>
        <w:t xml:space="preserve"> </w:t>
      </w:r>
      <w:r w:rsidRPr="00F669A7">
        <w:rPr>
          <w:b/>
          <w:bCs/>
          <w:lang w:val="en-US" w:eastAsia="en-GB"/>
        </w:rPr>
        <w:t>terminate a pregnancy</w:t>
      </w:r>
      <w:r w:rsidR="00BA42D6" w:rsidRPr="00F669A7">
        <w:rPr>
          <w:b/>
          <w:lang w:val="en-US"/>
        </w:rPr>
        <w:t>.</w:t>
      </w:r>
    </w:p>
    <w:p w14:paraId="16C53B2C" w14:textId="77777777" w:rsidR="0060092A" w:rsidRPr="00F669A7" w:rsidRDefault="005A1F40" w:rsidP="00471932">
      <w:pPr>
        <w:pStyle w:val="H23G"/>
        <w:rPr>
          <w:lang w:val="en-US"/>
        </w:rPr>
      </w:pPr>
      <w:r w:rsidRPr="00F669A7">
        <w:rPr>
          <w:lang w:val="en-US"/>
        </w:rPr>
        <w:tab/>
      </w:r>
      <w:r w:rsidRPr="00F669A7">
        <w:rPr>
          <w:lang w:val="en-US"/>
        </w:rPr>
        <w:tab/>
      </w:r>
      <w:r w:rsidR="00F50AA0" w:rsidRPr="00F669A7">
        <w:rPr>
          <w:lang w:val="en-US"/>
        </w:rPr>
        <w:t>O</w:t>
      </w:r>
      <w:r w:rsidR="0060092A" w:rsidRPr="00F669A7">
        <w:rPr>
          <w:lang w:val="en-US"/>
        </w:rPr>
        <w:t>besity</w:t>
      </w:r>
    </w:p>
    <w:p w14:paraId="277BB85D" w14:textId="49059D0D" w:rsidR="006F65B9" w:rsidRPr="00F669A7" w:rsidRDefault="00773493" w:rsidP="00471932">
      <w:pPr>
        <w:pStyle w:val="SingleTxtG"/>
        <w:numPr>
          <w:ilvl w:val="0"/>
          <w:numId w:val="18"/>
        </w:numPr>
        <w:ind w:left="1134" w:firstLine="0"/>
        <w:rPr>
          <w:lang w:val="en-US"/>
        </w:rPr>
      </w:pPr>
      <w:r w:rsidRPr="00F669A7">
        <w:rPr>
          <w:lang w:val="en-US"/>
        </w:rPr>
        <w:t>The Committee is conce</w:t>
      </w:r>
      <w:r w:rsidR="00F50AA0" w:rsidRPr="00F669A7">
        <w:rPr>
          <w:lang w:val="en-US"/>
        </w:rPr>
        <w:t xml:space="preserve">rned that </w:t>
      </w:r>
      <w:r w:rsidR="00CF0798" w:rsidRPr="00F669A7">
        <w:rPr>
          <w:lang w:val="en-US"/>
        </w:rPr>
        <w:t xml:space="preserve">one in ten adults is obese, with persons with lower levels of education being most at risk, </w:t>
      </w:r>
      <w:r w:rsidR="00F50AA0" w:rsidRPr="00F669A7">
        <w:rPr>
          <w:lang w:val="en-US"/>
        </w:rPr>
        <w:t xml:space="preserve">and about the </w:t>
      </w:r>
      <w:r w:rsidR="00CF0798" w:rsidRPr="00F669A7">
        <w:rPr>
          <w:lang w:val="en-US"/>
        </w:rPr>
        <w:t xml:space="preserve">significant </w:t>
      </w:r>
      <w:r w:rsidR="00F50AA0" w:rsidRPr="00F669A7">
        <w:rPr>
          <w:lang w:val="en-US"/>
        </w:rPr>
        <w:t xml:space="preserve">increase in child obesity </w:t>
      </w:r>
      <w:r w:rsidR="006F65B9" w:rsidRPr="00F669A7">
        <w:rPr>
          <w:lang w:val="en-US"/>
        </w:rPr>
        <w:t>i</w:t>
      </w:r>
      <w:r w:rsidR="00F50AA0" w:rsidRPr="00F669A7">
        <w:rPr>
          <w:lang w:val="en-US"/>
        </w:rPr>
        <w:t>n the State party</w:t>
      </w:r>
      <w:r w:rsidR="00782598" w:rsidRPr="00F669A7">
        <w:rPr>
          <w:lang w:val="en-US"/>
        </w:rPr>
        <w:t xml:space="preserve"> (art. 12).</w:t>
      </w:r>
    </w:p>
    <w:p w14:paraId="505C9629" w14:textId="211C8B29" w:rsidR="00FE6340" w:rsidRPr="00F669A7" w:rsidRDefault="00F50AA0" w:rsidP="00BC5BA2">
      <w:pPr>
        <w:pStyle w:val="SingleTxtG"/>
        <w:numPr>
          <w:ilvl w:val="0"/>
          <w:numId w:val="18"/>
        </w:numPr>
        <w:ind w:left="1134" w:firstLine="0"/>
        <w:rPr>
          <w:b/>
          <w:lang w:val="en-US"/>
        </w:rPr>
      </w:pPr>
      <w:r w:rsidRPr="00F669A7">
        <w:rPr>
          <w:b/>
          <w:lang w:val="en-US"/>
        </w:rPr>
        <w:t>The Committee recommends that the Sta</w:t>
      </w:r>
      <w:r w:rsidR="00C57D84">
        <w:rPr>
          <w:b/>
          <w:lang w:val="en-US"/>
        </w:rPr>
        <w:t>t</w:t>
      </w:r>
      <w:r w:rsidRPr="00F669A7">
        <w:rPr>
          <w:b/>
          <w:lang w:val="en-US"/>
        </w:rPr>
        <w:t xml:space="preserve">e party redouble its efforts </w:t>
      </w:r>
      <w:r w:rsidR="0096594D">
        <w:rPr>
          <w:b/>
          <w:lang w:val="en-US"/>
        </w:rPr>
        <w:t xml:space="preserve">to combat </w:t>
      </w:r>
      <w:r w:rsidRPr="00F669A7">
        <w:rPr>
          <w:b/>
          <w:lang w:val="en-US"/>
        </w:rPr>
        <w:t>obesity</w:t>
      </w:r>
      <w:r w:rsidR="0096594D">
        <w:rPr>
          <w:b/>
          <w:lang w:val="en-US"/>
        </w:rPr>
        <w:t>,</w:t>
      </w:r>
      <w:r w:rsidRPr="00F669A7">
        <w:rPr>
          <w:b/>
          <w:lang w:val="en-US"/>
        </w:rPr>
        <w:t xml:space="preserve"> particularly among children</w:t>
      </w:r>
      <w:r w:rsidR="00FE6340" w:rsidRPr="00F669A7">
        <w:rPr>
          <w:b/>
          <w:lang w:val="en-US"/>
        </w:rPr>
        <w:t xml:space="preserve">. </w:t>
      </w:r>
      <w:r w:rsidR="00C05AA6">
        <w:rPr>
          <w:b/>
          <w:lang w:val="en-US"/>
        </w:rPr>
        <w:t>I</w:t>
      </w:r>
      <w:r w:rsidR="00FE6340" w:rsidRPr="00F669A7">
        <w:rPr>
          <w:b/>
          <w:lang w:val="en-US"/>
        </w:rPr>
        <w:t xml:space="preserve">t </w:t>
      </w:r>
      <w:r w:rsidR="00C05AA6">
        <w:rPr>
          <w:b/>
          <w:lang w:val="en-US"/>
        </w:rPr>
        <w:t xml:space="preserve">also </w:t>
      </w:r>
      <w:r w:rsidR="00FE6340" w:rsidRPr="00F669A7">
        <w:rPr>
          <w:b/>
          <w:lang w:val="en-US"/>
        </w:rPr>
        <w:t>recommend</w:t>
      </w:r>
      <w:r w:rsidR="00BB71E4" w:rsidRPr="00F669A7">
        <w:rPr>
          <w:b/>
          <w:lang w:val="en-US"/>
        </w:rPr>
        <w:t>s</w:t>
      </w:r>
      <w:r w:rsidR="00FE6340" w:rsidRPr="00F669A7">
        <w:rPr>
          <w:b/>
          <w:lang w:val="en-US"/>
        </w:rPr>
        <w:t xml:space="preserve"> </w:t>
      </w:r>
      <w:r w:rsidR="00BB71E4" w:rsidRPr="00F669A7">
        <w:rPr>
          <w:b/>
          <w:lang w:val="en-US"/>
        </w:rPr>
        <w:t>that the State party</w:t>
      </w:r>
      <w:r w:rsidR="00FE6340" w:rsidRPr="00F669A7">
        <w:rPr>
          <w:b/>
          <w:lang w:val="en-US"/>
        </w:rPr>
        <w:t xml:space="preserve"> </w:t>
      </w:r>
      <w:r w:rsidR="00782598" w:rsidRPr="00F669A7">
        <w:rPr>
          <w:b/>
          <w:lang w:val="en-US"/>
        </w:rPr>
        <w:t>introduc</w:t>
      </w:r>
      <w:r w:rsidR="00FE6340" w:rsidRPr="00F669A7">
        <w:rPr>
          <w:b/>
          <w:lang w:val="en-US"/>
        </w:rPr>
        <w:t>e</w:t>
      </w:r>
      <w:r w:rsidR="00782598" w:rsidRPr="00F669A7">
        <w:rPr>
          <w:b/>
          <w:lang w:val="en-US"/>
        </w:rPr>
        <w:t xml:space="preserve"> higher taxes on junk foods and </w:t>
      </w:r>
      <w:r w:rsidR="00FE6340" w:rsidRPr="00F669A7">
        <w:rPr>
          <w:b/>
          <w:lang w:val="en-US"/>
        </w:rPr>
        <w:t xml:space="preserve">sweet beverages </w:t>
      </w:r>
      <w:r w:rsidR="0096594D">
        <w:rPr>
          <w:b/>
          <w:lang w:val="en-US"/>
        </w:rPr>
        <w:t>and</w:t>
      </w:r>
      <w:r w:rsidR="00FE6340" w:rsidRPr="00F669A7">
        <w:rPr>
          <w:b/>
          <w:lang w:val="en-US"/>
        </w:rPr>
        <w:t xml:space="preserve"> consider adopting strict regulation</w:t>
      </w:r>
      <w:r w:rsidR="0096594D">
        <w:rPr>
          <w:b/>
          <w:lang w:val="en-US"/>
        </w:rPr>
        <w:t>s on</w:t>
      </w:r>
      <w:r w:rsidR="00FE6340" w:rsidRPr="00F669A7">
        <w:rPr>
          <w:b/>
          <w:lang w:val="en-US"/>
        </w:rPr>
        <w:t xml:space="preserve"> the marketing of such products</w:t>
      </w:r>
      <w:r w:rsidR="007B614C" w:rsidRPr="00F669A7">
        <w:rPr>
          <w:b/>
          <w:lang w:val="en-US"/>
        </w:rPr>
        <w:t>,</w:t>
      </w:r>
      <w:r w:rsidR="007B614C" w:rsidRPr="00F669A7">
        <w:rPr>
          <w:b/>
          <w:bCs/>
          <w:lang w:val="en-US"/>
        </w:rPr>
        <w:t xml:space="preserve"> while ensuring improved access to healthy diets.</w:t>
      </w:r>
    </w:p>
    <w:p w14:paraId="0AF97C96" w14:textId="31C8467C" w:rsidR="0060092A" w:rsidRPr="00F669A7" w:rsidRDefault="005A1F40" w:rsidP="00471932">
      <w:pPr>
        <w:pStyle w:val="H23G"/>
        <w:rPr>
          <w:lang w:val="en-US"/>
        </w:rPr>
      </w:pPr>
      <w:r w:rsidRPr="00F669A7">
        <w:rPr>
          <w:lang w:val="en-US"/>
        </w:rPr>
        <w:tab/>
      </w:r>
      <w:r w:rsidRPr="00F669A7">
        <w:rPr>
          <w:lang w:val="en-US"/>
        </w:rPr>
        <w:tab/>
      </w:r>
      <w:r w:rsidR="004B0EA7" w:rsidRPr="00F669A7">
        <w:rPr>
          <w:lang w:val="en-US"/>
        </w:rPr>
        <w:t>S</w:t>
      </w:r>
      <w:r w:rsidR="00ED224F" w:rsidRPr="00F669A7">
        <w:rPr>
          <w:lang w:val="en-US"/>
        </w:rPr>
        <w:t xml:space="preserve">chool </w:t>
      </w:r>
      <w:r w:rsidR="004B0EA7" w:rsidRPr="00F669A7">
        <w:rPr>
          <w:lang w:val="en-US"/>
        </w:rPr>
        <w:t>dropout</w:t>
      </w:r>
      <w:r w:rsidR="008B7DFD" w:rsidRPr="00F669A7">
        <w:rPr>
          <w:lang w:val="en-US"/>
        </w:rPr>
        <w:t xml:space="preserve"> </w:t>
      </w:r>
      <w:r w:rsidR="00C57D84">
        <w:rPr>
          <w:lang w:val="en-US"/>
        </w:rPr>
        <w:t>rate</w:t>
      </w:r>
    </w:p>
    <w:p w14:paraId="202D4A3B" w14:textId="439EB692" w:rsidR="008B7DFD" w:rsidRPr="00F669A7" w:rsidRDefault="008B7DFD" w:rsidP="00471932">
      <w:pPr>
        <w:pStyle w:val="SingleTxtG"/>
        <w:numPr>
          <w:ilvl w:val="0"/>
          <w:numId w:val="18"/>
        </w:numPr>
        <w:ind w:left="1134" w:firstLine="0"/>
        <w:rPr>
          <w:lang w:val="en-US" w:eastAsia="en-GB"/>
        </w:rPr>
      </w:pPr>
      <w:r w:rsidRPr="00F669A7">
        <w:rPr>
          <w:lang w:val="en-US" w:eastAsia="en-GB"/>
        </w:rPr>
        <w:t>The Committe</w:t>
      </w:r>
      <w:r w:rsidR="00912162" w:rsidRPr="00F669A7">
        <w:rPr>
          <w:lang w:val="en-US" w:eastAsia="en-GB"/>
        </w:rPr>
        <w:t>e is concerned that, despite some</w:t>
      </w:r>
      <w:r w:rsidRPr="00F669A7">
        <w:rPr>
          <w:lang w:val="en-US" w:eastAsia="en-GB"/>
        </w:rPr>
        <w:t xml:space="preserve"> progress made, the school</w:t>
      </w:r>
      <w:r w:rsidR="007B614C" w:rsidRPr="00F669A7">
        <w:rPr>
          <w:lang w:val="en-US" w:eastAsia="en-GB"/>
        </w:rPr>
        <w:t xml:space="preserve"> dropout</w:t>
      </w:r>
      <w:r w:rsidRPr="00F669A7">
        <w:rPr>
          <w:lang w:val="en-US" w:eastAsia="en-GB"/>
        </w:rPr>
        <w:t xml:space="preserve"> </w:t>
      </w:r>
      <w:r w:rsidR="009E439C" w:rsidRPr="00F669A7">
        <w:rPr>
          <w:lang w:val="en-US" w:eastAsia="en-GB"/>
        </w:rPr>
        <w:t>rate in</w:t>
      </w:r>
      <w:r w:rsidR="00616BD7" w:rsidRPr="00F669A7">
        <w:rPr>
          <w:lang w:val="en-US" w:eastAsia="en-GB"/>
        </w:rPr>
        <w:t xml:space="preserve"> the last two years of high school</w:t>
      </w:r>
      <w:r w:rsidRPr="00F669A7">
        <w:rPr>
          <w:lang w:val="en-US" w:eastAsia="en-GB"/>
        </w:rPr>
        <w:t xml:space="preserve"> </w:t>
      </w:r>
      <w:r w:rsidR="00912162" w:rsidRPr="00F669A7">
        <w:rPr>
          <w:lang w:val="en-US" w:eastAsia="en-GB"/>
        </w:rPr>
        <w:t>in the State party is still</w:t>
      </w:r>
      <w:r w:rsidRPr="00F669A7">
        <w:rPr>
          <w:lang w:val="en-US" w:eastAsia="en-GB"/>
        </w:rPr>
        <w:t xml:space="preserve"> higher than the European Union average</w:t>
      </w:r>
      <w:r w:rsidR="00CA1FA2" w:rsidRPr="00F669A7">
        <w:rPr>
          <w:lang w:val="en-US" w:eastAsia="en-GB"/>
        </w:rPr>
        <w:t xml:space="preserve">, </w:t>
      </w:r>
      <w:r w:rsidR="00EE7DB8">
        <w:rPr>
          <w:lang w:val="en-US" w:eastAsia="en-GB"/>
        </w:rPr>
        <w:t xml:space="preserve">with </w:t>
      </w:r>
      <w:r w:rsidR="00C57D84">
        <w:rPr>
          <w:lang w:val="en-US" w:eastAsia="en-GB"/>
        </w:rPr>
        <w:t>higher</w:t>
      </w:r>
      <w:r w:rsidR="00CA1FA2" w:rsidRPr="00F669A7">
        <w:rPr>
          <w:lang w:val="en-US" w:eastAsia="en-GB"/>
        </w:rPr>
        <w:t xml:space="preserve"> prevalen</w:t>
      </w:r>
      <w:r w:rsidR="00EE7DB8">
        <w:rPr>
          <w:lang w:val="en-US" w:eastAsia="en-GB"/>
        </w:rPr>
        <w:t>ce</w:t>
      </w:r>
      <w:r w:rsidR="00CA1FA2" w:rsidRPr="00F669A7">
        <w:rPr>
          <w:lang w:val="en-US" w:eastAsia="en-GB"/>
        </w:rPr>
        <w:t xml:space="preserve"> in </w:t>
      </w:r>
      <w:r w:rsidR="00EE7DB8">
        <w:rPr>
          <w:lang w:val="en-US" w:eastAsia="en-GB"/>
        </w:rPr>
        <w:t xml:space="preserve">the </w:t>
      </w:r>
      <w:r w:rsidR="00CA1FA2" w:rsidRPr="00F669A7">
        <w:rPr>
          <w:lang w:val="en-US" w:eastAsia="en-GB"/>
        </w:rPr>
        <w:t>southern provinces</w:t>
      </w:r>
      <w:r w:rsidRPr="00F669A7">
        <w:rPr>
          <w:lang w:val="en-US" w:eastAsia="en-GB"/>
        </w:rPr>
        <w:t xml:space="preserve"> (art. 13).</w:t>
      </w:r>
    </w:p>
    <w:p w14:paraId="048574B5" w14:textId="7E50BC23" w:rsidR="006F65B9" w:rsidRPr="00F669A7" w:rsidRDefault="008B7DFD" w:rsidP="00766A12">
      <w:pPr>
        <w:pStyle w:val="SingleTxtG"/>
        <w:numPr>
          <w:ilvl w:val="0"/>
          <w:numId w:val="18"/>
        </w:numPr>
        <w:ind w:left="1134" w:firstLine="0"/>
        <w:rPr>
          <w:b/>
          <w:bCs/>
          <w:lang w:val="en-US" w:eastAsia="en-GB"/>
        </w:rPr>
      </w:pPr>
      <w:r w:rsidRPr="00F669A7">
        <w:rPr>
          <w:b/>
          <w:bCs/>
          <w:lang w:val="en-US" w:eastAsia="en-GB"/>
        </w:rPr>
        <w:t xml:space="preserve">The Committee recommends that the State party redouble its efforts to reduce the </w:t>
      </w:r>
      <w:r w:rsidR="007B614C" w:rsidRPr="00F669A7">
        <w:rPr>
          <w:b/>
          <w:bCs/>
          <w:lang w:val="en-US" w:eastAsia="en-GB"/>
        </w:rPr>
        <w:t>school dropout</w:t>
      </w:r>
      <w:r w:rsidRPr="00F669A7">
        <w:rPr>
          <w:b/>
          <w:bCs/>
          <w:lang w:val="en-US" w:eastAsia="en-GB"/>
        </w:rPr>
        <w:t xml:space="preserve"> rat</w:t>
      </w:r>
      <w:r w:rsidR="00D962F6" w:rsidRPr="00F669A7">
        <w:rPr>
          <w:b/>
          <w:bCs/>
          <w:lang w:val="en-US" w:eastAsia="en-GB"/>
        </w:rPr>
        <w:t>e</w:t>
      </w:r>
      <w:r w:rsidR="007B614C" w:rsidRPr="00F669A7">
        <w:rPr>
          <w:b/>
          <w:bCs/>
          <w:lang w:val="en-US" w:eastAsia="en-GB"/>
        </w:rPr>
        <w:t xml:space="preserve"> in the last two years of high school</w:t>
      </w:r>
      <w:r w:rsidRPr="00F669A7">
        <w:rPr>
          <w:b/>
          <w:bCs/>
          <w:lang w:val="en-US" w:eastAsia="en-GB"/>
        </w:rPr>
        <w:t xml:space="preserve">, in line with the Europe 2020 </w:t>
      </w:r>
      <w:r w:rsidR="00287815">
        <w:rPr>
          <w:b/>
          <w:bCs/>
          <w:lang w:val="en-US" w:eastAsia="en-GB"/>
        </w:rPr>
        <w:t>s</w:t>
      </w:r>
      <w:r w:rsidRPr="00F669A7">
        <w:rPr>
          <w:b/>
          <w:bCs/>
          <w:lang w:val="en-US" w:eastAsia="en-GB"/>
        </w:rPr>
        <w:t>trategy</w:t>
      </w:r>
      <w:r w:rsidR="00E41DFA">
        <w:rPr>
          <w:b/>
          <w:bCs/>
          <w:lang w:val="en-US" w:eastAsia="en-GB"/>
        </w:rPr>
        <w:t>,</w:t>
      </w:r>
      <w:r w:rsidR="00D962F6" w:rsidRPr="00F669A7">
        <w:rPr>
          <w:b/>
          <w:bCs/>
          <w:lang w:val="en-US" w:eastAsia="en-GB"/>
        </w:rPr>
        <w:t xml:space="preserve"> </w:t>
      </w:r>
      <w:r w:rsidR="00287815">
        <w:rPr>
          <w:b/>
          <w:bCs/>
          <w:lang w:val="en-US" w:eastAsia="en-GB"/>
        </w:rPr>
        <w:t>which</w:t>
      </w:r>
      <w:r w:rsidRPr="00F669A7">
        <w:rPr>
          <w:b/>
          <w:bCs/>
          <w:lang w:val="en-US" w:eastAsia="en-GB"/>
        </w:rPr>
        <w:t xml:space="preserve"> addresses the socioeconomic factors </w:t>
      </w:r>
      <w:r w:rsidR="00287815">
        <w:rPr>
          <w:b/>
          <w:bCs/>
          <w:lang w:val="en-US" w:eastAsia="en-GB"/>
        </w:rPr>
        <w:t>that</w:t>
      </w:r>
      <w:r w:rsidRPr="00F669A7">
        <w:rPr>
          <w:b/>
          <w:bCs/>
          <w:lang w:val="en-US" w:eastAsia="en-GB"/>
        </w:rPr>
        <w:t xml:space="preserve"> influence decisions to leave </w:t>
      </w:r>
      <w:r w:rsidR="00116E78" w:rsidRPr="00F669A7">
        <w:rPr>
          <w:b/>
          <w:bCs/>
          <w:lang w:val="en-US" w:eastAsia="en-GB"/>
        </w:rPr>
        <w:t xml:space="preserve">school </w:t>
      </w:r>
      <w:r w:rsidRPr="00F669A7">
        <w:rPr>
          <w:b/>
          <w:bCs/>
          <w:lang w:val="en-US" w:eastAsia="en-GB"/>
        </w:rPr>
        <w:t xml:space="preserve">prematurely </w:t>
      </w:r>
      <w:r w:rsidR="00116E78" w:rsidRPr="00F669A7">
        <w:rPr>
          <w:b/>
          <w:bCs/>
          <w:lang w:val="en-US" w:eastAsia="en-GB"/>
        </w:rPr>
        <w:t>by</w:t>
      </w:r>
      <w:r w:rsidRPr="00F669A7">
        <w:rPr>
          <w:b/>
          <w:bCs/>
          <w:lang w:val="en-US" w:eastAsia="en-GB"/>
        </w:rPr>
        <w:t xml:space="preserve"> prioritiz</w:t>
      </w:r>
      <w:r w:rsidR="00116E78" w:rsidRPr="00F669A7">
        <w:rPr>
          <w:b/>
          <w:bCs/>
          <w:lang w:val="en-US" w:eastAsia="en-GB"/>
        </w:rPr>
        <w:t>ing</w:t>
      </w:r>
      <w:r w:rsidRPr="00F669A7">
        <w:rPr>
          <w:b/>
          <w:bCs/>
          <w:lang w:val="en-US" w:eastAsia="en-GB"/>
        </w:rPr>
        <w:t xml:space="preserve"> the most disadvantaged and marginalized individuals and groups. </w:t>
      </w:r>
      <w:r w:rsidR="00E41DFA">
        <w:rPr>
          <w:b/>
          <w:bCs/>
          <w:lang w:val="en-US" w:eastAsia="en-GB"/>
        </w:rPr>
        <w:t>It also recommends that t</w:t>
      </w:r>
      <w:r w:rsidR="00D962F6" w:rsidRPr="00F669A7">
        <w:rPr>
          <w:b/>
          <w:bCs/>
          <w:lang w:val="en-US" w:eastAsia="en-GB"/>
        </w:rPr>
        <w:t>he S</w:t>
      </w:r>
      <w:r w:rsidR="00695AF6" w:rsidRPr="00F669A7">
        <w:rPr>
          <w:b/>
          <w:bCs/>
          <w:lang w:val="en-US" w:eastAsia="en-GB"/>
        </w:rPr>
        <w:t>t</w:t>
      </w:r>
      <w:r w:rsidR="00D962F6" w:rsidRPr="00F669A7">
        <w:rPr>
          <w:b/>
          <w:bCs/>
          <w:lang w:val="en-US" w:eastAsia="en-GB"/>
        </w:rPr>
        <w:t>ate party p</w:t>
      </w:r>
      <w:r w:rsidR="00962033" w:rsidRPr="00F669A7">
        <w:rPr>
          <w:b/>
          <w:bCs/>
          <w:lang w:val="en-US" w:eastAsia="en-GB"/>
        </w:rPr>
        <w:t>a</w:t>
      </w:r>
      <w:r w:rsidR="00D962F6" w:rsidRPr="00F669A7">
        <w:rPr>
          <w:b/>
          <w:bCs/>
          <w:lang w:val="en-US" w:eastAsia="en-GB"/>
        </w:rPr>
        <w:t xml:space="preserve">y particular attention to </w:t>
      </w:r>
      <w:r w:rsidR="00E41DFA">
        <w:rPr>
          <w:b/>
          <w:bCs/>
          <w:lang w:val="en-US" w:eastAsia="en-GB"/>
        </w:rPr>
        <w:t>the tendency of children</w:t>
      </w:r>
      <w:r w:rsidR="00D962F6" w:rsidRPr="00F669A7">
        <w:rPr>
          <w:b/>
          <w:bCs/>
          <w:lang w:val="en-US" w:eastAsia="en-GB"/>
        </w:rPr>
        <w:t xml:space="preserve"> in </w:t>
      </w:r>
      <w:r w:rsidR="00287815">
        <w:rPr>
          <w:b/>
          <w:bCs/>
          <w:lang w:val="en-US" w:eastAsia="en-GB"/>
        </w:rPr>
        <w:t xml:space="preserve">the </w:t>
      </w:r>
      <w:r w:rsidR="00D962F6" w:rsidRPr="00F669A7">
        <w:rPr>
          <w:b/>
          <w:bCs/>
          <w:lang w:val="en-US" w:eastAsia="en-GB"/>
        </w:rPr>
        <w:t xml:space="preserve">southern </w:t>
      </w:r>
      <w:r w:rsidR="00962033" w:rsidRPr="00F669A7">
        <w:rPr>
          <w:b/>
          <w:bCs/>
          <w:lang w:val="en-US" w:eastAsia="en-GB"/>
        </w:rPr>
        <w:t>provinces</w:t>
      </w:r>
      <w:r w:rsidR="00D962F6" w:rsidRPr="00F669A7">
        <w:rPr>
          <w:b/>
          <w:bCs/>
          <w:lang w:val="en-US" w:eastAsia="en-GB"/>
        </w:rPr>
        <w:t>.</w:t>
      </w:r>
    </w:p>
    <w:p w14:paraId="0EDAEADF" w14:textId="77777777" w:rsidR="0060092A" w:rsidRPr="00F669A7" w:rsidRDefault="005A1F40" w:rsidP="00471932">
      <w:pPr>
        <w:pStyle w:val="H23G"/>
        <w:rPr>
          <w:lang w:val="en-US"/>
        </w:rPr>
      </w:pPr>
      <w:r w:rsidRPr="00F669A7">
        <w:rPr>
          <w:lang w:val="en-US"/>
        </w:rPr>
        <w:tab/>
      </w:r>
      <w:r w:rsidRPr="00F669A7">
        <w:rPr>
          <w:lang w:val="en-US"/>
        </w:rPr>
        <w:tab/>
      </w:r>
      <w:r w:rsidR="00793C4E" w:rsidRPr="00F669A7">
        <w:rPr>
          <w:lang w:val="en-US"/>
        </w:rPr>
        <w:t>Inclusive education</w:t>
      </w:r>
    </w:p>
    <w:p w14:paraId="7F711971" w14:textId="02FB2F91" w:rsidR="008B7DFD" w:rsidRPr="00F669A7" w:rsidRDefault="00633756" w:rsidP="00471932">
      <w:pPr>
        <w:pStyle w:val="SingleTxtG"/>
        <w:numPr>
          <w:ilvl w:val="0"/>
          <w:numId w:val="18"/>
        </w:numPr>
        <w:ind w:left="1134" w:firstLine="0"/>
        <w:rPr>
          <w:lang w:val="en-US"/>
        </w:rPr>
      </w:pPr>
      <w:r w:rsidRPr="00F669A7">
        <w:rPr>
          <w:lang w:val="en-US"/>
        </w:rPr>
        <w:t xml:space="preserve">The Committee </w:t>
      </w:r>
      <w:r w:rsidR="00912162" w:rsidRPr="00F669A7">
        <w:rPr>
          <w:lang w:val="en-US"/>
        </w:rPr>
        <w:t xml:space="preserve">is concerned at </w:t>
      </w:r>
      <w:r w:rsidRPr="00F669A7">
        <w:rPr>
          <w:lang w:val="en-US"/>
        </w:rPr>
        <w:t>statistics provided by the State party</w:t>
      </w:r>
      <w:r w:rsidR="00275479">
        <w:rPr>
          <w:lang w:val="en-US"/>
        </w:rPr>
        <w:t>,</w:t>
      </w:r>
      <w:r w:rsidRPr="00F669A7">
        <w:rPr>
          <w:lang w:val="en-US"/>
        </w:rPr>
        <w:t xml:space="preserve"> during the dialogue</w:t>
      </w:r>
      <w:r w:rsidR="00275479">
        <w:rPr>
          <w:lang w:val="en-US"/>
        </w:rPr>
        <w:t>,</w:t>
      </w:r>
      <w:r w:rsidRPr="00F669A7">
        <w:rPr>
          <w:lang w:val="en-US"/>
        </w:rPr>
        <w:t xml:space="preserve"> </w:t>
      </w:r>
      <w:r w:rsidR="00EB4763">
        <w:rPr>
          <w:lang w:val="en-US"/>
        </w:rPr>
        <w:t>showing</w:t>
      </w:r>
      <w:r w:rsidR="00EB4763" w:rsidRPr="00F669A7">
        <w:rPr>
          <w:lang w:val="en-US"/>
        </w:rPr>
        <w:t xml:space="preserve"> </w:t>
      </w:r>
      <w:r w:rsidRPr="00F669A7">
        <w:rPr>
          <w:lang w:val="en-US"/>
        </w:rPr>
        <w:t xml:space="preserve">the </w:t>
      </w:r>
      <w:r w:rsidR="00040CA3" w:rsidRPr="00F669A7">
        <w:rPr>
          <w:lang w:val="en-US"/>
        </w:rPr>
        <w:t>high</w:t>
      </w:r>
      <w:r w:rsidRPr="00F669A7">
        <w:rPr>
          <w:lang w:val="en-US"/>
        </w:rPr>
        <w:t xml:space="preserve"> proportion of persons with di</w:t>
      </w:r>
      <w:r w:rsidR="00040CA3" w:rsidRPr="00F669A7">
        <w:rPr>
          <w:lang w:val="en-US"/>
        </w:rPr>
        <w:t>sabi</w:t>
      </w:r>
      <w:r w:rsidR="00124BEE" w:rsidRPr="00F669A7">
        <w:rPr>
          <w:lang w:val="en-US"/>
        </w:rPr>
        <w:t>lities among those who have not attended school</w:t>
      </w:r>
      <w:r w:rsidRPr="00F669A7">
        <w:rPr>
          <w:lang w:val="en-US"/>
        </w:rPr>
        <w:t xml:space="preserve"> and their </w:t>
      </w:r>
      <w:r w:rsidR="00040CA3" w:rsidRPr="00F669A7">
        <w:rPr>
          <w:lang w:val="en-US"/>
        </w:rPr>
        <w:t>lower proportion among</w:t>
      </w:r>
      <w:r w:rsidRPr="00F669A7">
        <w:rPr>
          <w:lang w:val="en-US"/>
        </w:rPr>
        <w:t xml:space="preserve"> those </w:t>
      </w:r>
      <w:r w:rsidR="00F02676" w:rsidRPr="00F669A7">
        <w:rPr>
          <w:lang w:val="en-US"/>
        </w:rPr>
        <w:t xml:space="preserve">who </w:t>
      </w:r>
      <w:r w:rsidR="00EB4763">
        <w:rPr>
          <w:lang w:val="en-US"/>
        </w:rPr>
        <w:t xml:space="preserve">have </w:t>
      </w:r>
      <w:r w:rsidR="00165A5C" w:rsidRPr="00F669A7">
        <w:rPr>
          <w:lang w:val="en-US"/>
        </w:rPr>
        <w:t xml:space="preserve">obtained </w:t>
      </w:r>
      <w:r w:rsidR="00040CA3" w:rsidRPr="00F669A7">
        <w:rPr>
          <w:lang w:val="en-US"/>
        </w:rPr>
        <w:t xml:space="preserve">a </w:t>
      </w:r>
      <w:r w:rsidR="00355481" w:rsidRPr="00F669A7">
        <w:rPr>
          <w:lang w:val="en-US"/>
        </w:rPr>
        <w:t xml:space="preserve">high school </w:t>
      </w:r>
      <w:r w:rsidR="00EB4763">
        <w:rPr>
          <w:lang w:val="en-US"/>
        </w:rPr>
        <w:t>diploma</w:t>
      </w:r>
      <w:r w:rsidRPr="00F669A7">
        <w:rPr>
          <w:lang w:val="en-US"/>
        </w:rPr>
        <w:t xml:space="preserve">. The Committee is </w:t>
      </w:r>
      <w:r w:rsidR="00EB4763">
        <w:rPr>
          <w:lang w:val="en-US"/>
        </w:rPr>
        <w:t>also</w:t>
      </w:r>
      <w:r w:rsidR="00EB4763" w:rsidRPr="00F669A7">
        <w:rPr>
          <w:lang w:val="en-US"/>
        </w:rPr>
        <w:t xml:space="preserve"> </w:t>
      </w:r>
      <w:r w:rsidRPr="00F669A7">
        <w:rPr>
          <w:lang w:val="en-US"/>
        </w:rPr>
        <w:t xml:space="preserve">concerned </w:t>
      </w:r>
      <w:r w:rsidR="00EB4763">
        <w:rPr>
          <w:lang w:val="en-US"/>
        </w:rPr>
        <w:t>at</w:t>
      </w:r>
      <w:r w:rsidR="00EB4763" w:rsidRPr="00F669A7">
        <w:rPr>
          <w:lang w:val="en-US"/>
        </w:rPr>
        <w:t xml:space="preserve"> </w:t>
      </w:r>
      <w:r w:rsidRPr="00F669A7">
        <w:rPr>
          <w:lang w:val="en-US"/>
        </w:rPr>
        <w:t>the persiste</w:t>
      </w:r>
      <w:r w:rsidR="00F02676" w:rsidRPr="00F669A7">
        <w:rPr>
          <w:lang w:val="en-US"/>
        </w:rPr>
        <w:t>nce of</w:t>
      </w:r>
      <w:r w:rsidR="00C6323B" w:rsidRPr="00F669A7">
        <w:rPr>
          <w:lang w:val="en-US"/>
        </w:rPr>
        <w:t xml:space="preserve"> </w:t>
      </w:r>
      <w:r w:rsidR="00355481" w:rsidRPr="00F669A7">
        <w:rPr>
          <w:lang w:val="en-US"/>
        </w:rPr>
        <w:t>physical b</w:t>
      </w:r>
      <w:r w:rsidR="00F02676" w:rsidRPr="00F669A7">
        <w:rPr>
          <w:lang w:val="en-US"/>
        </w:rPr>
        <w:t xml:space="preserve">arriers </w:t>
      </w:r>
      <w:r w:rsidR="00EB4763">
        <w:rPr>
          <w:lang w:val="en-US"/>
        </w:rPr>
        <w:t>in</w:t>
      </w:r>
      <w:r w:rsidRPr="00F669A7">
        <w:rPr>
          <w:lang w:val="en-US"/>
        </w:rPr>
        <w:t xml:space="preserve"> schools </w:t>
      </w:r>
      <w:r w:rsidR="00EB4763">
        <w:rPr>
          <w:lang w:val="en-US"/>
        </w:rPr>
        <w:t>and at</w:t>
      </w:r>
      <w:r w:rsidRPr="00F669A7">
        <w:rPr>
          <w:lang w:val="en-US"/>
        </w:rPr>
        <w:t xml:space="preserve"> </w:t>
      </w:r>
      <w:r w:rsidR="00912162" w:rsidRPr="00F669A7">
        <w:rPr>
          <w:lang w:val="en-US"/>
        </w:rPr>
        <w:t xml:space="preserve">the absence of </w:t>
      </w:r>
      <w:r w:rsidR="006A2E72" w:rsidRPr="00F669A7">
        <w:rPr>
          <w:lang w:val="en-US"/>
        </w:rPr>
        <w:t xml:space="preserve">training </w:t>
      </w:r>
      <w:r w:rsidR="00912162" w:rsidRPr="00F669A7">
        <w:rPr>
          <w:lang w:val="en-US"/>
        </w:rPr>
        <w:t xml:space="preserve">targeted </w:t>
      </w:r>
      <w:r w:rsidR="00510541" w:rsidRPr="00F669A7">
        <w:rPr>
          <w:lang w:val="en-US"/>
        </w:rPr>
        <w:t>a</w:t>
      </w:r>
      <w:r w:rsidR="00912162" w:rsidRPr="00F669A7">
        <w:rPr>
          <w:lang w:val="en-US"/>
        </w:rPr>
        <w:t xml:space="preserve">t teachers </w:t>
      </w:r>
      <w:r w:rsidR="00116E78" w:rsidRPr="00F669A7">
        <w:rPr>
          <w:lang w:val="en-US"/>
        </w:rPr>
        <w:t>and other education professionals on inclusive education</w:t>
      </w:r>
      <w:r w:rsidR="00510541" w:rsidRPr="00F669A7">
        <w:rPr>
          <w:lang w:val="en-US"/>
        </w:rPr>
        <w:t xml:space="preserve"> </w:t>
      </w:r>
      <w:r w:rsidRPr="00F669A7">
        <w:rPr>
          <w:lang w:val="en-US"/>
        </w:rPr>
        <w:t>(arts</w:t>
      </w:r>
      <w:r w:rsidR="005F057C" w:rsidRPr="00F669A7">
        <w:rPr>
          <w:lang w:val="en-US"/>
        </w:rPr>
        <w:t>.</w:t>
      </w:r>
      <w:r w:rsidRPr="00F669A7">
        <w:rPr>
          <w:lang w:val="en-US"/>
        </w:rPr>
        <w:t xml:space="preserve"> 13 and 14).</w:t>
      </w:r>
    </w:p>
    <w:p w14:paraId="30E9F93D" w14:textId="741265B7" w:rsidR="00F02676" w:rsidRPr="00F669A7" w:rsidRDefault="001D6181" w:rsidP="00471932">
      <w:pPr>
        <w:pStyle w:val="SingleTxtG"/>
        <w:numPr>
          <w:ilvl w:val="0"/>
          <w:numId w:val="18"/>
        </w:numPr>
        <w:ind w:left="1134" w:firstLine="0"/>
        <w:rPr>
          <w:b/>
          <w:lang w:val="en-US"/>
        </w:rPr>
      </w:pPr>
      <w:r w:rsidRPr="00F669A7">
        <w:rPr>
          <w:b/>
          <w:bCs/>
          <w:lang w:val="en-US" w:eastAsia="en-GB"/>
        </w:rPr>
        <w:t>The C</w:t>
      </w:r>
      <w:r w:rsidR="00ED3078" w:rsidRPr="00F669A7">
        <w:rPr>
          <w:b/>
          <w:bCs/>
          <w:lang w:val="en-US" w:eastAsia="en-GB"/>
        </w:rPr>
        <w:t>ommittee reco</w:t>
      </w:r>
      <w:r w:rsidRPr="00F669A7">
        <w:rPr>
          <w:b/>
          <w:bCs/>
          <w:lang w:val="en-US" w:eastAsia="en-GB"/>
        </w:rPr>
        <w:t>mmends that the S</w:t>
      </w:r>
      <w:r w:rsidR="00F60F05" w:rsidRPr="00F669A7">
        <w:rPr>
          <w:b/>
          <w:bCs/>
          <w:lang w:val="en-US" w:eastAsia="en-GB"/>
        </w:rPr>
        <w:t xml:space="preserve">tate party expedite the adoption of draft law No. 2444 on inclusive education. </w:t>
      </w:r>
      <w:r w:rsidR="00B41A77" w:rsidRPr="00F669A7">
        <w:rPr>
          <w:b/>
          <w:bCs/>
          <w:lang w:val="en-US" w:eastAsia="en-GB"/>
        </w:rPr>
        <w:t>It</w:t>
      </w:r>
      <w:r w:rsidR="00F60F05" w:rsidRPr="00F669A7">
        <w:rPr>
          <w:b/>
          <w:bCs/>
          <w:lang w:val="en-US" w:eastAsia="en-GB"/>
        </w:rPr>
        <w:t xml:space="preserve"> also recommend</w:t>
      </w:r>
      <w:r w:rsidR="00B41A77" w:rsidRPr="00F669A7">
        <w:rPr>
          <w:b/>
          <w:bCs/>
          <w:lang w:val="en-US" w:eastAsia="en-GB"/>
        </w:rPr>
        <w:t xml:space="preserve">s </w:t>
      </w:r>
      <w:r w:rsidR="00EB4763">
        <w:rPr>
          <w:b/>
          <w:bCs/>
          <w:lang w:val="en-US" w:eastAsia="en-GB"/>
        </w:rPr>
        <w:t xml:space="preserve">that </w:t>
      </w:r>
      <w:r w:rsidR="00B41A77" w:rsidRPr="00F669A7">
        <w:rPr>
          <w:b/>
          <w:bCs/>
          <w:lang w:val="en-US" w:eastAsia="en-GB"/>
        </w:rPr>
        <w:t>the State party</w:t>
      </w:r>
      <w:r w:rsidR="00F60F05" w:rsidRPr="00F669A7">
        <w:rPr>
          <w:b/>
          <w:bCs/>
          <w:lang w:val="en-US" w:eastAsia="en-GB"/>
        </w:rPr>
        <w:t xml:space="preserve"> </w:t>
      </w:r>
      <w:r w:rsidR="00F02676" w:rsidRPr="00F669A7">
        <w:rPr>
          <w:b/>
          <w:bCs/>
          <w:lang w:val="en-US" w:eastAsia="en-GB"/>
        </w:rPr>
        <w:t xml:space="preserve">take measures </w:t>
      </w:r>
      <w:r w:rsidR="00F60F05" w:rsidRPr="00F669A7">
        <w:rPr>
          <w:b/>
          <w:bCs/>
          <w:lang w:val="en-US" w:eastAsia="en-GB"/>
        </w:rPr>
        <w:t xml:space="preserve">to ensure </w:t>
      </w:r>
      <w:r w:rsidR="00ED3078" w:rsidRPr="00F669A7">
        <w:rPr>
          <w:b/>
          <w:bCs/>
          <w:lang w:val="en-US" w:eastAsia="en-GB"/>
        </w:rPr>
        <w:t>in p</w:t>
      </w:r>
      <w:r w:rsidR="00F60F05" w:rsidRPr="00F669A7">
        <w:rPr>
          <w:b/>
          <w:bCs/>
          <w:lang w:val="en-US" w:eastAsia="en-GB"/>
        </w:rPr>
        <w:t>ractice</w:t>
      </w:r>
      <w:r w:rsidRPr="00F669A7">
        <w:rPr>
          <w:b/>
          <w:bCs/>
          <w:lang w:val="en-US" w:eastAsia="en-GB"/>
        </w:rPr>
        <w:t xml:space="preserve"> the implement</w:t>
      </w:r>
      <w:r w:rsidR="00ED3078" w:rsidRPr="00F669A7">
        <w:rPr>
          <w:b/>
          <w:bCs/>
          <w:lang w:val="en-US" w:eastAsia="en-GB"/>
        </w:rPr>
        <w:t xml:space="preserve">ation of inclusive education </w:t>
      </w:r>
      <w:r w:rsidR="00116E78" w:rsidRPr="00F669A7">
        <w:rPr>
          <w:b/>
          <w:bCs/>
          <w:lang w:val="en-US" w:eastAsia="en-GB"/>
        </w:rPr>
        <w:t xml:space="preserve">for </w:t>
      </w:r>
      <w:r w:rsidR="00ED3078" w:rsidRPr="00F669A7">
        <w:rPr>
          <w:b/>
          <w:bCs/>
          <w:lang w:val="en-US" w:eastAsia="en-GB"/>
        </w:rPr>
        <w:t>children with disabilities</w:t>
      </w:r>
      <w:r w:rsidR="00F02676" w:rsidRPr="00F669A7">
        <w:rPr>
          <w:b/>
          <w:bCs/>
          <w:lang w:val="en-US" w:eastAsia="en-GB"/>
        </w:rPr>
        <w:t xml:space="preserve">, such as: (a) training of all teachers (beyond special </w:t>
      </w:r>
      <w:r w:rsidR="00F02676" w:rsidRPr="00F669A7">
        <w:rPr>
          <w:b/>
          <w:lang w:val="en-US" w:eastAsia="en-GB"/>
        </w:rPr>
        <w:t>education</w:t>
      </w:r>
      <w:r w:rsidR="00F02676" w:rsidRPr="00F669A7">
        <w:rPr>
          <w:b/>
          <w:bCs/>
          <w:lang w:val="en-US" w:eastAsia="en-GB"/>
        </w:rPr>
        <w:t xml:space="preserve"> teachers)</w:t>
      </w:r>
      <w:r w:rsidR="00116E78" w:rsidRPr="00F669A7">
        <w:rPr>
          <w:b/>
          <w:bCs/>
          <w:lang w:val="en-US" w:eastAsia="en-GB"/>
        </w:rPr>
        <w:t xml:space="preserve"> and </w:t>
      </w:r>
      <w:r w:rsidR="00B36CC9" w:rsidRPr="00F669A7">
        <w:rPr>
          <w:b/>
          <w:bCs/>
          <w:lang w:val="en-US" w:eastAsia="en-GB"/>
        </w:rPr>
        <w:t>ot</w:t>
      </w:r>
      <w:r w:rsidR="006A2E72" w:rsidRPr="00F669A7">
        <w:rPr>
          <w:b/>
          <w:bCs/>
          <w:lang w:val="en-US" w:eastAsia="en-GB"/>
        </w:rPr>
        <w:t>h</w:t>
      </w:r>
      <w:r w:rsidR="00B36CC9" w:rsidRPr="00F669A7">
        <w:rPr>
          <w:b/>
          <w:bCs/>
          <w:lang w:val="en-US" w:eastAsia="en-GB"/>
        </w:rPr>
        <w:t>er</w:t>
      </w:r>
      <w:r w:rsidR="00116E78" w:rsidRPr="00F669A7">
        <w:rPr>
          <w:b/>
          <w:bCs/>
          <w:lang w:val="en-US" w:eastAsia="en-GB"/>
        </w:rPr>
        <w:t xml:space="preserve"> education professionals</w:t>
      </w:r>
      <w:r w:rsidR="005F11AF">
        <w:rPr>
          <w:b/>
          <w:bCs/>
          <w:lang w:val="en-US" w:eastAsia="en-GB"/>
        </w:rPr>
        <w:t>;</w:t>
      </w:r>
      <w:r w:rsidR="00F02676" w:rsidRPr="00F669A7">
        <w:rPr>
          <w:b/>
          <w:bCs/>
          <w:lang w:val="en-US" w:eastAsia="en-GB"/>
        </w:rPr>
        <w:t xml:space="preserve"> (b) individual </w:t>
      </w:r>
      <w:r w:rsidR="00F02676" w:rsidRPr="00F669A7">
        <w:rPr>
          <w:b/>
          <w:lang w:val="en-US" w:eastAsia="en-GB"/>
        </w:rPr>
        <w:t>education</w:t>
      </w:r>
      <w:r w:rsidR="00F02676" w:rsidRPr="00F669A7">
        <w:rPr>
          <w:b/>
          <w:bCs/>
          <w:lang w:val="en-US" w:eastAsia="en-GB"/>
        </w:rPr>
        <w:t xml:space="preserve"> plans for all </w:t>
      </w:r>
      <w:r w:rsidR="004B0EA7" w:rsidRPr="00F669A7">
        <w:rPr>
          <w:b/>
          <w:bCs/>
          <w:lang w:val="en-US" w:eastAsia="en-GB"/>
        </w:rPr>
        <w:t xml:space="preserve">pupils </w:t>
      </w:r>
      <w:r w:rsidR="006A2E72" w:rsidRPr="00F669A7">
        <w:rPr>
          <w:b/>
          <w:bCs/>
          <w:lang w:val="en-US" w:eastAsia="en-GB"/>
        </w:rPr>
        <w:t>with disabilities</w:t>
      </w:r>
      <w:r w:rsidR="00F02676" w:rsidRPr="00F669A7">
        <w:rPr>
          <w:b/>
          <w:bCs/>
          <w:lang w:val="en-US" w:eastAsia="en-GB"/>
        </w:rPr>
        <w:t xml:space="preserve">; (c) availability of assistive devices and support in classrooms, </w:t>
      </w:r>
      <w:r w:rsidR="00F53393">
        <w:rPr>
          <w:b/>
          <w:bCs/>
          <w:lang w:val="en-US" w:eastAsia="en-GB"/>
        </w:rPr>
        <w:t xml:space="preserve">and of </w:t>
      </w:r>
      <w:r w:rsidR="00F02676" w:rsidRPr="00F669A7">
        <w:rPr>
          <w:b/>
          <w:lang w:val="en-US" w:eastAsia="en-GB"/>
        </w:rPr>
        <w:t>educational</w:t>
      </w:r>
      <w:r w:rsidR="00F02676" w:rsidRPr="00F669A7">
        <w:rPr>
          <w:b/>
          <w:bCs/>
          <w:lang w:val="en-US" w:eastAsia="en-GB"/>
        </w:rPr>
        <w:t xml:space="preserve"> materials and curricula; (</w:t>
      </w:r>
      <w:r w:rsidR="004B0EA7" w:rsidRPr="00F669A7">
        <w:rPr>
          <w:b/>
          <w:bCs/>
          <w:lang w:val="en-US" w:eastAsia="en-GB"/>
        </w:rPr>
        <w:t>d</w:t>
      </w:r>
      <w:r w:rsidR="00F02676" w:rsidRPr="00F669A7">
        <w:rPr>
          <w:b/>
          <w:bCs/>
          <w:lang w:val="en-US" w:eastAsia="en-GB"/>
        </w:rPr>
        <w:t>) accessibility of physical school environments; (</w:t>
      </w:r>
      <w:r w:rsidR="004B0EA7" w:rsidRPr="00F669A7">
        <w:rPr>
          <w:b/>
          <w:bCs/>
          <w:lang w:val="en-US" w:eastAsia="en-GB"/>
        </w:rPr>
        <w:t>e</w:t>
      </w:r>
      <w:r w:rsidR="00F02676" w:rsidRPr="00F669A7">
        <w:rPr>
          <w:b/>
          <w:bCs/>
          <w:lang w:val="en-US" w:eastAsia="en-GB"/>
        </w:rPr>
        <w:t>) teaching of sign language; and (</w:t>
      </w:r>
      <w:r w:rsidR="004B0EA7" w:rsidRPr="00F669A7">
        <w:rPr>
          <w:b/>
          <w:bCs/>
          <w:lang w:val="en-US" w:eastAsia="en-GB"/>
        </w:rPr>
        <w:t>f</w:t>
      </w:r>
      <w:r w:rsidR="00F02676" w:rsidRPr="00F669A7">
        <w:rPr>
          <w:b/>
          <w:bCs/>
          <w:lang w:val="en-US" w:eastAsia="en-GB"/>
        </w:rPr>
        <w:t>) allocation of sufficient financial resources.</w:t>
      </w:r>
    </w:p>
    <w:p w14:paraId="1B0B764C" w14:textId="77777777" w:rsidR="00EB223B" w:rsidRPr="00F669A7" w:rsidRDefault="005A1F40" w:rsidP="00471932">
      <w:pPr>
        <w:pStyle w:val="H23G"/>
        <w:rPr>
          <w:lang w:val="en-US"/>
        </w:rPr>
      </w:pPr>
      <w:r w:rsidRPr="00F669A7">
        <w:rPr>
          <w:lang w:val="en-US"/>
        </w:rPr>
        <w:tab/>
      </w:r>
      <w:r w:rsidRPr="00F669A7">
        <w:rPr>
          <w:lang w:val="en-US"/>
        </w:rPr>
        <w:tab/>
      </w:r>
      <w:r w:rsidR="0060092A" w:rsidRPr="00F669A7">
        <w:rPr>
          <w:lang w:val="en-US"/>
        </w:rPr>
        <w:t>Cultural rights</w:t>
      </w:r>
    </w:p>
    <w:p w14:paraId="21C612FC" w14:textId="0519D18B" w:rsidR="00E0563D" w:rsidRPr="00F669A7" w:rsidRDefault="00E0563D" w:rsidP="000A5E8C">
      <w:pPr>
        <w:pStyle w:val="SingleTxtG"/>
        <w:numPr>
          <w:ilvl w:val="0"/>
          <w:numId w:val="18"/>
        </w:numPr>
        <w:ind w:left="1134" w:firstLine="0"/>
        <w:rPr>
          <w:lang w:val="en-US"/>
        </w:rPr>
      </w:pPr>
      <w:r w:rsidRPr="00F669A7">
        <w:rPr>
          <w:lang w:val="en-US"/>
        </w:rPr>
        <w:t>The Committee regrets the lack of information on the actual enjoyment of</w:t>
      </w:r>
      <w:r w:rsidR="003D0E2D">
        <w:rPr>
          <w:lang w:val="en-US"/>
        </w:rPr>
        <w:t xml:space="preserve"> the rights enumerated under article 15 of the Covenant</w:t>
      </w:r>
      <w:r w:rsidR="00BB71E4" w:rsidRPr="00F669A7">
        <w:rPr>
          <w:lang w:val="en-US"/>
        </w:rPr>
        <w:t>, in particular concerning article 15</w:t>
      </w:r>
      <w:r w:rsidR="006C5E5E">
        <w:rPr>
          <w:lang w:val="en-US"/>
        </w:rPr>
        <w:t xml:space="preserve"> </w:t>
      </w:r>
      <w:r w:rsidR="00BB71E4" w:rsidRPr="00F669A7">
        <w:rPr>
          <w:lang w:val="en-US"/>
        </w:rPr>
        <w:t>(1)</w:t>
      </w:r>
      <w:r w:rsidR="006C5E5E">
        <w:rPr>
          <w:lang w:val="en-US"/>
        </w:rPr>
        <w:t xml:space="preserve"> </w:t>
      </w:r>
      <w:r w:rsidR="00BB71E4" w:rsidRPr="00F669A7">
        <w:rPr>
          <w:lang w:val="en-US"/>
        </w:rPr>
        <w:t>(b)</w:t>
      </w:r>
      <w:r w:rsidRPr="00F669A7">
        <w:rPr>
          <w:lang w:val="en-US"/>
        </w:rPr>
        <w:t xml:space="preserve">. </w:t>
      </w:r>
      <w:r w:rsidR="00355481" w:rsidRPr="00F669A7">
        <w:rPr>
          <w:lang w:val="en-US"/>
        </w:rPr>
        <w:t xml:space="preserve">While noting efforts to teach </w:t>
      </w:r>
      <w:r w:rsidR="006C5E5E">
        <w:rPr>
          <w:lang w:val="en-US"/>
        </w:rPr>
        <w:t xml:space="preserve">the </w:t>
      </w:r>
      <w:r w:rsidR="00355481" w:rsidRPr="00F669A7">
        <w:rPr>
          <w:lang w:val="en-US"/>
        </w:rPr>
        <w:t xml:space="preserve">Italian </w:t>
      </w:r>
      <w:r w:rsidR="00962033" w:rsidRPr="00F669A7">
        <w:rPr>
          <w:lang w:val="en-US"/>
        </w:rPr>
        <w:t xml:space="preserve">language </w:t>
      </w:r>
      <w:r w:rsidR="00355481" w:rsidRPr="00F669A7">
        <w:rPr>
          <w:lang w:val="en-US"/>
        </w:rPr>
        <w:t>to migrant children so as to facilitate their integration</w:t>
      </w:r>
      <w:r w:rsidR="00BB71E4" w:rsidRPr="00F669A7">
        <w:rPr>
          <w:lang w:val="en-US"/>
        </w:rPr>
        <w:t xml:space="preserve"> in the State party</w:t>
      </w:r>
      <w:r w:rsidR="00355481" w:rsidRPr="00F669A7">
        <w:rPr>
          <w:lang w:val="en-US"/>
        </w:rPr>
        <w:t>, the Committee is</w:t>
      </w:r>
      <w:r w:rsidRPr="00F669A7">
        <w:rPr>
          <w:lang w:val="en-US"/>
        </w:rPr>
        <w:t xml:space="preserve"> concerned about </w:t>
      </w:r>
      <w:r w:rsidR="006C5E5E">
        <w:rPr>
          <w:lang w:val="en-US"/>
        </w:rPr>
        <w:t xml:space="preserve">the </w:t>
      </w:r>
      <w:r w:rsidRPr="00F669A7">
        <w:rPr>
          <w:lang w:val="en-US"/>
        </w:rPr>
        <w:t xml:space="preserve">limited efforts </w:t>
      </w:r>
      <w:r w:rsidR="006C5E5E">
        <w:rPr>
          <w:lang w:val="en-US"/>
        </w:rPr>
        <w:t>made</w:t>
      </w:r>
      <w:r w:rsidRPr="00F669A7">
        <w:rPr>
          <w:lang w:val="en-US"/>
        </w:rPr>
        <w:t xml:space="preserve"> to </w:t>
      </w:r>
      <w:r w:rsidR="00BB71E4" w:rsidRPr="00F669A7">
        <w:rPr>
          <w:lang w:val="en-US"/>
        </w:rPr>
        <w:t xml:space="preserve">allow them to </w:t>
      </w:r>
      <w:r w:rsidR="00C05AA6">
        <w:rPr>
          <w:lang w:val="en-US"/>
        </w:rPr>
        <w:t>retain</w:t>
      </w:r>
      <w:r w:rsidR="00656DFE">
        <w:rPr>
          <w:lang w:val="en-US"/>
        </w:rPr>
        <w:t xml:space="preserve"> </w:t>
      </w:r>
      <w:r w:rsidR="00BB71E4" w:rsidRPr="00F669A7">
        <w:rPr>
          <w:lang w:val="en-US"/>
        </w:rPr>
        <w:t>their</w:t>
      </w:r>
      <w:r w:rsidRPr="00F669A7">
        <w:rPr>
          <w:lang w:val="en-US"/>
        </w:rPr>
        <w:t xml:space="preserve"> </w:t>
      </w:r>
      <w:r w:rsidR="00355481" w:rsidRPr="00F669A7">
        <w:rPr>
          <w:lang w:val="en-US"/>
        </w:rPr>
        <w:t>mother tongue</w:t>
      </w:r>
      <w:r w:rsidRPr="00F669A7">
        <w:rPr>
          <w:lang w:val="en-US"/>
        </w:rPr>
        <w:t xml:space="preserve"> (art. 15).</w:t>
      </w:r>
    </w:p>
    <w:p w14:paraId="46D30B10" w14:textId="7CCC8D0A" w:rsidR="00E0563D" w:rsidRPr="00F669A7" w:rsidRDefault="00E0563D" w:rsidP="00471932">
      <w:pPr>
        <w:pStyle w:val="SingleTxtG"/>
        <w:numPr>
          <w:ilvl w:val="0"/>
          <w:numId w:val="18"/>
        </w:numPr>
        <w:ind w:left="1134" w:firstLine="0"/>
        <w:rPr>
          <w:b/>
          <w:lang w:val="en-US"/>
        </w:rPr>
      </w:pPr>
      <w:r w:rsidRPr="00F669A7">
        <w:rPr>
          <w:b/>
          <w:lang w:val="en-US"/>
        </w:rPr>
        <w:t>The Committee requests that the State party provide</w:t>
      </w:r>
      <w:r w:rsidR="005A5D20">
        <w:rPr>
          <w:b/>
          <w:lang w:val="en-US"/>
        </w:rPr>
        <w:t>,</w:t>
      </w:r>
      <w:r w:rsidRPr="00F669A7">
        <w:rPr>
          <w:b/>
          <w:lang w:val="en-US"/>
        </w:rPr>
        <w:t xml:space="preserve"> in its next periodic report</w:t>
      </w:r>
      <w:r w:rsidR="005A5D20">
        <w:rPr>
          <w:b/>
          <w:lang w:val="en-US"/>
        </w:rPr>
        <w:t>,</w:t>
      </w:r>
      <w:r w:rsidRPr="00F669A7">
        <w:rPr>
          <w:b/>
          <w:lang w:val="en-US"/>
        </w:rPr>
        <w:t xml:space="preserve"> information on the enjoyment of the right to take part in cultural life by all</w:t>
      </w:r>
      <w:r w:rsidR="00CE1F39" w:rsidRPr="00F669A7">
        <w:rPr>
          <w:b/>
          <w:lang w:val="en-US"/>
        </w:rPr>
        <w:t xml:space="preserve"> individuals</w:t>
      </w:r>
      <w:r w:rsidR="00E918B6" w:rsidRPr="00F669A7">
        <w:rPr>
          <w:b/>
          <w:lang w:val="en-US"/>
        </w:rPr>
        <w:t>, taking into consideration the Committee’s general</w:t>
      </w:r>
      <w:r w:rsidR="00C33394" w:rsidRPr="00F669A7">
        <w:rPr>
          <w:b/>
          <w:lang w:val="en-US"/>
        </w:rPr>
        <w:t xml:space="preserve"> comment No. 21 (2009) on the right of everyone to take part in cultural life</w:t>
      </w:r>
      <w:r w:rsidRPr="00F669A7">
        <w:rPr>
          <w:b/>
          <w:lang w:val="en-US"/>
        </w:rPr>
        <w:t xml:space="preserve">. </w:t>
      </w:r>
      <w:r w:rsidR="00B41A77" w:rsidRPr="00F669A7">
        <w:rPr>
          <w:b/>
          <w:lang w:val="en-US"/>
        </w:rPr>
        <w:t>It</w:t>
      </w:r>
      <w:r w:rsidRPr="00F669A7">
        <w:rPr>
          <w:b/>
          <w:lang w:val="en-US"/>
        </w:rPr>
        <w:t xml:space="preserve"> also recommend</w:t>
      </w:r>
      <w:r w:rsidR="00B41A77" w:rsidRPr="00F669A7">
        <w:rPr>
          <w:b/>
          <w:lang w:val="en-US"/>
        </w:rPr>
        <w:t>s that the State party</w:t>
      </w:r>
      <w:r w:rsidRPr="00F669A7">
        <w:rPr>
          <w:b/>
          <w:lang w:val="en-US"/>
        </w:rPr>
        <w:t xml:space="preserve"> increase efforts to assist </w:t>
      </w:r>
      <w:r w:rsidR="00116E78" w:rsidRPr="00F669A7">
        <w:rPr>
          <w:b/>
          <w:lang w:val="en-US"/>
        </w:rPr>
        <w:t>second</w:t>
      </w:r>
      <w:r w:rsidR="005A5D20">
        <w:rPr>
          <w:b/>
          <w:lang w:val="en-US"/>
        </w:rPr>
        <w:t>-</w:t>
      </w:r>
      <w:r w:rsidR="00116E78" w:rsidRPr="00F669A7">
        <w:rPr>
          <w:b/>
          <w:lang w:val="en-US"/>
        </w:rPr>
        <w:t xml:space="preserve">generation </w:t>
      </w:r>
      <w:r w:rsidRPr="00F669A7">
        <w:rPr>
          <w:b/>
          <w:lang w:val="en-US"/>
        </w:rPr>
        <w:t xml:space="preserve">migrant children </w:t>
      </w:r>
      <w:r w:rsidR="00116E78" w:rsidRPr="00F669A7">
        <w:rPr>
          <w:b/>
          <w:lang w:val="en-US"/>
        </w:rPr>
        <w:t xml:space="preserve">and youth </w:t>
      </w:r>
      <w:r w:rsidR="00CE1F39" w:rsidRPr="00F669A7">
        <w:rPr>
          <w:b/>
          <w:lang w:val="en-US"/>
        </w:rPr>
        <w:t xml:space="preserve">in </w:t>
      </w:r>
      <w:r w:rsidR="00C05AA6">
        <w:rPr>
          <w:b/>
          <w:lang w:val="en-US"/>
        </w:rPr>
        <w:t>retaining</w:t>
      </w:r>
      <w:r w:rsidR="00C05AA6" w:rsidRPr="00F669A7">
        <w:rPr>
          <w:b/>
          <w:lang w:val="en-US"/>
        </w:rPr>
        <w:t xml:space="preserve"> </w:t>
      </w:r>
      <w:r w:rsidRPr="00F669A7">
        <w:rPr>
          <w:b/>
          <w:lang w:val="en-US"/>
        </w:rPr>
        <w:t>th</w:t>
      </w:r>
      <w:r w:rsidR="00CE1F39" w:rsidRPr="00F669A7">
        <w:rPr>
          <w:b/>
          <w:lang w:val="en-US"/>
        </w:rPr>
        <w:t xml:space="preserve">eir </w:t>
      </w:r>
      <w:r w:rsidR="00754240" w:rsidRPr="00F669A7">
        <w:rPr>
          <w:b/>
          <w:lang w:val="en-US"/>
        </w:rPr>
        <w:t>mother tongue</w:t>
      </w:r>
      <w:r w:rsidR="00116E78" w:rsidRPr="00F669A7">
        <w:rPr>
          <w:b/>
          <w:lang w:val="en-US"/>
        </w:rPr>
        <w:t xml:space="preserve"> and promoting their cultural traditions</w:t>
      </w:r>
      <w:r w:rsidR="00962033" w:rsidRPr="00F669A7">
        <w:rPr>
          <w:b/>
          <w:lang w:val="en-US"/>
        </w:rPr>
        <w:t>.</w:t>
      </w:r>
    </w:p>
    <w:p w14:paraId="295C4386" w14:textId="77777777" w:rsidR="00C82F62" w:rsidRPr="00F669A7" w:rsidRDefault="0054342B" w:rsidP="0054342B">
      <w:pPr>
        <w:pStyle w:val="H1G"/>
        <w:rPr>
          <w:lang w:val="en-US"/>
        </w:rPr>
      </w:pPr>
      <w:r w:rsidRPr="00F669A7">
        <w:rPr>
          <w:lang w:val="en-US"/>
        </w:rPr>
        <w:tab/>
      </w:r>
      <w:r w:rsidR="00C82F62" w:rsidRPr="00F669A7">
        <w:rPr>
          <w:lang w:val="en-US"/>
        </w:rPr>
        <w:t>D.</w:t>
      </w:r>
      <w:r w:rsidR="00C82F62" w:rsidRPr="00F669A7">
        <w:rPr>
          <w:lang w:val="en-US"/>
        </w:rPr>
        <w:tab/>
        <w:t>Other recommendations</w:t>
      </w:r>
    </w:p>
    <w:p w14:paraId="550BAE01" w14:textId="18756218" w:rsidR="003D7C8D" w:rsidRPr="000025ED" w:rsidRDefault="00FC35B8" w:rsidP="00F669A7">
      <w:pPr>
        <w:pStyle w:val="SingleTxtG"/>
        <w:numPr>
          <w:ilvl w:val="0"/>
          <w:numId w:val="18"/>
        </w:numPr>
        <w:ind w:left="1134" w:firstLine="0"/>
        <w:rPr>
          <w:b/>
          <w:lang w:val="en-US"/>
        </w:rPr>
      </w:pPr>
      <w:r w:rsidRPr="00F669A7">
        <w:rPr>
          <w:b/>
          <w:lang w:val="en-US"/>
        </w:rPr>
        <w:t xml:space="preserve">The Committee recommends that the State party </w:t>
      </w:r>
      <w:r w:rsidR="004B0EA7" w:rsidRPr="00F669A7">
        <w:rPr>
          <w:b/>
          <w:lang w:val="en-US"/>
        </w:rPr>
        <w:t xml:space="preserve">collect </w:t>
      </w:r>
      <w:r w:rsidR="00C05AA6">
        <w:rPr>
          <w:b/>
          <w:lang w:val="en-US"/>
        </w:rPr>
        <w:t xml:space="preserve">data </w:t>
      </w:r>
      <w:r w:rsidR="004B0EA7" w:rsidRPr="00F669A7">
        <w:rPr>
          <w:b/>
          <w:lang w:val="en-US"/>
        </w:rPr>
        <w:t xml:space="preserve">and </w:t>
      </w:r>
      <w:r w:rsidR="000025ED">
        <w:rPr>
          <w:b/>
          <w:lang w:val="en-US"/>
        </w:rPr>
        <w:t>use statistics</w:t>
      </w:r>
      <w:r w:rsidR="00C05AA6">
        <w:rPr>
          <w:b/>
          <w:lang w:val="en-US"/>
        </w:rPr>
        <w:t>,</w:t>
      </w:r>
      <w:r w:rsidRPr="00F669A7">
        <w:rPr>
          <w:b/>
          <w:lang w:val="en-US"/>
        </w:rPr>
        <w:t xml:space="preserve"> </w:t>
      </w:r>
      <w:r w:rsidR="003D7C8D">
        <w:rPr>
          <w:b/>
          <w:lang w:val="en-US"/>
        </w:rPr>
        <w:t>and</w:t>
      </w:r>
      <w:r w:rsidRPr="00F669A7">
        <w:rPr>
          <w:b/>
          <w:lang w:val="en-US"/>
        </w:rPr>
        <w:t xml:space="preserve"> </w:t>
      </w:r>
      <w:r w:rsidR="000025ED">
        <w:rPr>
          <w:b/>
          <w:lang w:val="en-US"/>
        </w:rPr>
        <w:t>that it</w:t>
      </w:r>
      <w:r w:rsidR="003D0E2D">
        <w:rPr>
          <w:b/>
          <w:lang w:val="en-US"/>
        </w:rPr>
        <w:t xml:space="preserve"> </w:t>
      </w:r>
      <w:r w:rsidR="003D7C8D">
        <w:rPr>
          <w:b/>
          <w:lang w:val="en-US"/>
        </w:rPr>
        <w:t>encourage</w:t>
      </w:r>
      <w:r w:rsidR="003D0E2D">
        <w:rPr>
          <w:b/>
          <w:lang w:val="en-US"/>
        </w:rPr>
        <w:t xml:space="preserve"> the</w:t>
      </w:r>
      <w:r w:rsidR="000025ED">
        <w:rPr>
          <w:b/>
          <w:lang w:val="en-US"/>
        </w:rPr>
        <w:t>ir collection and</w:t>
      </w:r>
      <w:r w:rsidR="003D0E2D">
        <w:rPr>
          <w:b/>
          <w:lang w:val="en-US"/>
        </w:rPr>
        <w:t xml:space="preserve"> use</w:t>
      </w:r>
      <w:r w:rsidR="000025ED">
        <w:rPr>
          <w:b/>
          <w:lang w:val="en-US"/>
        </w:rPr>
        <w:t>,</w:t>
      </w:r>
      <w:r w:rsidRPr="00F669A7">
        <w:rPr>
          <w:b/>
          <w:lang w:val="en-US"/>
        </w:rPr>
        <w:t xml:space="preserve"> for human rights indicators, including for economic, social and cultural rights.</w:t>
      </w:r>
    </w:p>
    <w:p w14:paraId="539735EF" w14:textId="241FE0BD" w:rsidR="00FC35B8" w:rsidRPr="00F669A7" w:rsidRDefault="00FC35B8" w:rsidP="003D7C8D">
      <w:pPr>
        <w:pStyle w:val="SingleTxtG"/>
        <w:numPr>
          <w:ilvl w:val="0"/>
          <w:numId w:val="18"/>
        </w:numPr>
        <w:ind w:left="1134" w:firstLine="0"/>
        <w:rPr>
          <w:b/>
          <w:lang w:val="en-US"/>
        </w:rPr>
      </w:pPr>
      <w:r w:rsidRPr="00F669A7">
        <w:rPr>
          <w:b/>
          <w:lang w:val="en-US"/>
        </w:rPr>
        <w:t>In th</w:t>
      </w:r>
      <w:r w:rsidR="00536F02">
        <w:rPr>
          <w:b/>
          <w:lang w:val="en-US"/>
        </w:rPr>
        <w:t>at</w:t>
      </w:r>
      <w:r w:rsidRPr="00F669A7">
        <w:rPr>
          <w:b/>
          <w:lang w:val="en-US"/>
        </w:rPr>
        <w:t xml:space="preserve"> respect, the Committee refers the State party to the conceptual and methodological framework for human rights indicators developed by the Office of the United Nations High Commissioner for Human Rights (HRI/MC/2008/3). The Committee requests that the State party include in its next periodic report statistical data on the enjoyment of each Covenant right, disaggregated by age, sex, ethnic origin, urban</w:t>
      </w:r>
      <w:r w:rsidR="00C05AA6">
        <w:rPr>
          <w:b/>
          <w:lang w:val="en-US"/>
        </w:rPr>
        <w:t xml:space="preserve"> or </w:t>
      </w:r>
      <w:r w:rsidRPr="00F669A7">
        <w:rPr>
          <w:b/>
          <w:lang w:val="en-US"/>
        </w:rPr>
        <w:t xml:space="preserve">rural </w:t>
      </w:r>
      <w:r w:rsidR="00C05AA6">
        <w:rPr>
          <w:b/>
          <w:lang w:val="en-US"/>
        </w:rPr>
        <w:t>location</w:t>
      </w:r>
      <w:r w:rsidRPr="00F669A7">
        <w:rPr>
          <w:b/>
          <w:lang w:val="en-US"/>
        </w:rPr>
        <w:t>, disability and other relevant status, on an annual comparative basis.</w:t>
      </w:r>
    </w:p>
    <w:p w14:paraId="6AFCEBE3" w14:textId="0FA47721" w:rsidR="00632BE8" w:rsidRPr="00F669A7" w:rsidRDefault="00632BE8" w:rsidP="00471932">
      <w:pPr>
        <w:pStyle w:val="SingleTxtG"/>
        <w:numPr>
          <w:ilvl w:val="0"/>
          <w:numId w:val="18"/>
        </w:numPr>
        <w:ind w:left="1134" w:firstLine="0"/>
        <w:rPr>
          <w:b/>
          <w:lang w:val="en-US"/>
        </w:rPr>
      </w:pPr>
      <w:r w:rsidRPr="00F669A7">
        <w:rPr>
          <w:b/>
          <w:lang w:val="en-US"/>
        </w:rPr>
        <w:t xml:space="preserve">The Committee requests </w:t>
      </w:r>
      <w:r w:rsidR="001F5B27">
        <w:rPr>
          <w:b/>
          <w:lang w:val="en-US"/>
        </w:rPr>
        <w:t xml:space="preserve">that </w:t>
      </w:r>
      <w:r w:rsidRPr="00F669A7">
        <w:rPr>
          <w:b/>
          <w:lang w:val="en-US"/>
        </w:rPr>
        <w:t xml:space="preserve">the State party translate </w:t>
      </w:r>
      <w:r w:rsidR="00C33394" w:rsidRPr="00F669A7">
        <w:rPr>
          <w:b/>
          <w:lang w:val="en-US"/>
        </w:rPr>
        <w:t xml:space="preserve">the </w:t>
      </w:r>
      <w:r w:rsidRPr="00F669A7">
        <w:rPr>
          <w:b/>
          <w:lang w:val="en-US"/>
        </w:rPr>
        <w:t xml:space="preserve">present </w:t>
      </w:r>
      <w:r w:rsidR="001F5B27">
        <w:rPr>
          <w:b/>
          <w:lang w:val="en-US"/>
        </w:rPr>
        <w:t>c</w:t>
      </w:r>
      <w:r w:rsidRPr="00F669A7">
        <w:rPr>
          <w:b/>
          <w:lang w:val="en-US"/>
        </w:rPr>
        <w:t xml:space="preserve">oncluding </w:t>
      </w:r>
      <w:r w:rsidR="001F5B27">
        <w:rPr>
          <w:b/>
          <w:lang w:val="en-US"/>
        </w:rPr>
        <w:t>o</w:t>
      </w:r>
      <w:r w:rsidRPr="00F669A7">
        <w:rPr>
          <w:b/>
          <w:lang w:val="en-US"/>
        </w:rPr>
        <w:t xml:space="preserve">bservations into </w:t>
      </w:r>
      <w:r w:rsidR="004B0EA7" w:rsidRPr="00F669A7">
        <w:rPr>
          <w:b/>
          <w:lang w:val="en-US"/>
        </w:rPr>
        <w:t xml:space="preserve">the </w:t>
      </w:r>
      <w:r w:rsidRPr="00F669A7">
        <w:rPr>
          <w:b/>
          <w:lang w:val="en-US"/>
        </w:rPr>
        <w:t xml:space="preserve">official language </w:t>
      </w:r>
      <w:r w:rsidR="00C33394" w:rsidRPr="00F669A7">
        <w:rPr>
          <w:b/>
          <w:lang w:val="en-US"/>
        </w:rPr>
        <w:t xml:space="preserve">and </w:t>
      </w:r>
      <w:r w:rsidRPr="00F669A7">
        <w:rPr>
          <w:b/>
          <w:lang w:val="en-US"/>
        </w:rPr>
        <w:t>disseminate the</w:t>
      </w:r>
      <w:r w:rsidR="00C33394" w:rsidRPr="00F669A7">
        <w:rPr>
          <w:b/>
          <w:lang w:val="en-US"/>
        </w:rPr>
        <w:t>m</w:t>
      </w:r>
      <w:r w:rsidRPr="00F669A7">
        <w:rPr>
          <w:b/>
          <w:lang w:val="en-US"/>
        </w:rPr>
        <w:t xml:space="preserve"> widely at all levels of society, particularly among parliamentarians, public officials</w:t>
      </w:r>
      <w:r w:rsidR="001F5B27">
        <w:rPr>
          <w:b/>
          <w:lang w:val="en-US"/>
        </w:rPr>
        <w:t xml:space="preserve"> and</w:t>
      </w:r>
      <w:r w:rsidRPr="00F669A7">
        <w:rPr>
          <w:b/>
          <w:lang w:val="en-US"/>
        </w:rPr>
        <w:t xml:space="preserve"> judicial authorities, and </w:t>
      </w:r>
      <w:r w:rsidR="001F5B27">
        <w:rPr>
          <w:b/>
          <w:lang w:val="en-US"/>
        </w:rPr>
        <w:t>that it</w:t>
      </w:r>
      <w:r w:rsidRPr="00F669A7">
        <w:rPr>
          <w:b/>
          <w:lang w:val="en-US"/>
        </w:rPr>
        <w:t xml:space="preserve"> inform the Committee in its next periodic report </w:t>
      </w:r>
      <w:r w:rsidR="001F5B27">
        <w:rPr>
          <w:b/>
          <w:lang w:val="en-US"/>
        </w:rPr>
        <w:t>about</w:t>
      </w:r>
      <w:r w:rsidRPr="00F669A7">
        <w:rPr>
          <w:b/>
          <w:lang w:val="en-US"/>
        </w:rPr>
        <w:t xml:space="preserve"> the steps taken to implement them. </w:t>
      </w:r>
      <w:r w:rsidR="001F5B27">
        <w:rPr>
          <w:b/>
          <w:lang w:val="en-US"/>
        </w:rPr>
        <w:t>The Committee</w:t>
      </w:r>
      <w:r w:rsidRPr="00F669A7">
        <w:rPr>
          <w:b/>
          <w:lang w:val="en-US"/>
        </w:rPr>
        <w:t xml:space="preserve"> also encourages the State party to engage non-governmental organizations and other members of civil society in the process</w:t>
      </w:r>
      <w:r w:rsidR="00754240" w:rsidRPr="00F669A7">
        <w:rPr>
          <w:b/>
          <w:lang w:val="en-US"/>
        </w:rPr>
        <w:t xml:space="preserve"> </w:t>
      </w:r>
      <w:r w:rsidR="006A2E72" w:rsidRPr="00F669A7">
        <w:rPr>
          <w:b/>
          <w:lang w:val="en-US"/>
        </w:rPr>
        <w:t xml:space="preserve">of </w:t>
      </w:r>
      <w:r w:rsidR="00165A5C" w:rsidRPr="00F669A7">
        <w:rPr>
          <w:b/>
          <w:lang w:val="en-US"/>
        </w:rPr>
        <w:t>consultation at the national level</w:t>
      </w:r>
      <w:r w:rsidRPr="00F669A7">
        <w:rPr>
          <w:b/>
          <w:lang w:val="en-US"/>
        </w:rPr>
        <w:t xml:space="preserve"> prior to the submission of its next periodic report.</w:t>
      </w:r>
    </w:p>
    <w:p w14:paraId="03F24A0C" w14:textId="31DABEFE" w:rsidR="00C82F62" w:rsidRPr="00F669A7" w:rsidRDefault="00C82F62" w:rsidP="00471932">
      <w:pPr>
        <w:pStyle w:val="SingleTxtG"/>
        <w:numPr>
          <w:ilvl w:val="0"/>
          <w:numId w:val="18"/>
        </w:numPr>
        <w:ind w:left="1134" w:firstLine="0"/>
        <w:rPr>
          <w:b/>
          <w:lang w:val="en-US"/>
        </w:rPr>
      </w:pPr>
      <w:r w:rsidRPr="00F669A7">
        <w:rPr>
          <w:b/>
          <w:lang w:val="en-US"/>
        </w:rPr>
        <w:t xml:space="preserve">The Committee requests the State party to submit its </w:t>
      </w:r>
      <w:r w:rsidR="00AB3EB8" w:rsidRPr="00F669A7">
        <w:rPr>
          <w:b/>
          <w:lang w:val="en-US"/>
        </w:rPr>
        <w:t>sixth</w:t>
      </w:r>
      <w:r w:rsidRPr="00F669A7">
        <w:rPr>
          <w:b/>
          <w:lang w:val="en-US"/>
        </w:rPr>
        <w:t xml:space="preserve"> periodic report,</w:t>
      </w:r>
      <w:r w:rsidR="006A47AF">
        <w:rPr>
          <w:b/>
          <w:lang w:val="en-US"/>
        </w:rPr>
        <w:t xml:space="preserve"> to be prepared</w:t>
      </w:r>
      <w:r w:rsidRPr="00F669A7">
        <w:rPr>
          <w:b/>
          <w:lang w:val="en-US"/>
        </w:rPr>
        <w:t xml:space="preserve"> in accordance with the </w:t>
      </w:r>
      <w:r w:rsidR="006A47AF">
        <w:rPr>
          <w:b/>
          <w:lang w:val="en-US"/>
        </w:rPr>
        <w:t xml:space="preserve">reporting </w:t>
      </w:r>
      <w:r w:rsidRPr="00F669A7">
        <w:rPr>
          <w:b/>
          <w:lang w:val="en-US"/>
        </w:rPr>
        <w:t>guidelines adopted by the Committee in 2008 (E/C.12/2008/2), by 3</w:t>
      </w:r>
      <w:r w:rsidR="00A37D88" w:rsidRPr="00F669A7">
        <w:rPr>
          <w:b/>
          <w:lang w:val="en-US"/>
        </w:rPr>
        <w:t>1</w:t>
      </w:r>
      <w:r w:rsidRPr="00F669A7">
        <w:rPr>
          <w:b/>
          <w:lang w:val="en-US"/>
        </w:rPr>
        <w:t xml:space="preserve"> </w:t>
      </w:r>
      <w:r w:rsidR="00A37D88" w:rsidRPr="00F669A7">
        <w:rPr>
          <w:b/>
          <w:lang w:val="en-US"/>
        </w:rPr>
        <w:t>October</w:t>
      </w:r>
      <w:r w:rsidRPr="00F669A7">
        <w:rPr>
          <w:b/>
          <w:lang w:val="en-US"/>
        </w:rPr>
        <w:t xml:space="preserve"> 2020.</w:t>
      </w:r>
      <w:r w:rsidR="00AB3EB8" w:rsidRPr="00F669A7">
        <w:rPr>
          <w:b/>
          <w:lang w:val="en-US"/>
        </w:rPr>
        <w:t xml:space="preserve"> It also invites the State party to submit its common core document</w:t>
      </w:r>
      <w:r w:rsidR="001F5B27">
        <w:rPr>
          <w:b/>
          <w:lang w:val="en-US"/>
        </w:rPr>
        <w:t>,</w:t>
      </w:r>
      <w:r w:rsidR="00AB3EB8" w:rsidRPr="00F669A7">
        <w:rPr>
          <w:b/>
          <w:lang w:val="en-US"/>
        </w:rPr>
        <w:t xml:space="preserve"> in accordance with the harmonized guidelines on reporting under the international human rights treaties (HRI/GEN/2/Rev.6, chap. I).</w:t>
      </w:r>
    </w:p>
    <w:p w14:paraId="010F551A" w14:textId="77777777" w:rsidR="0054342B" w:rsidRPr="00F669A7" w:rsidRDefault="00F64E50" w:rsidP="00F64E50">
      <w:pPr>
        <w:pStyle w:val="SingleTxtG"/>
        <w:spacing w:before="240" w:after="0"/>
        <w:jc w:val="center"/>
        <w:rPr>
          <w:u w:val="single"/>
          <w:lang w:val="en-US"/>
        </w:rPr>
      </w:pPr>
      <w:r w:rsidRPr="00F669A7">
        <w:rPr>
          <w:u w:val="single"/>
          <w:lang w:val="en-US"/>
        </w:rPr>
        <w:tab/>
      </w:r>
      <w:r w:rsidRPr="00F669A7">
        <w:rPr>
          <w:u w:val="single"/>
          <w:lang w:val="en-US"/>
        </w:rPr>
        <w:tab/>
      </w:r>
      <w:r w:rsidRPr="00F669A7">
        <w:rPr>
          <w:u w:val="single"/>
          <w:lang w:val="en-US"/>
        </w:rPr>
        <w:tab/>
      </w:r>
    </w:p>
    <w:sectPr w:rsidR="0054342B" w:rsidRPr="00F669A7" w:rsidSect="004453C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8T16:47:00Z" w:initials="Start">
    <w:p w14:paraId="747F4928" w14:textId="77777777" w:rsidR="004453C0" w:rsidRDefault="004453C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NO&gt;&gt;N1524619E&lt;&lt;ODS JOB NO&gt;&gt;</w:t>
      </w:r>
    </w:p>
    <w:p w14:paraId="2AC3B308" w14:textId="77777777" w:rsidR="004453C0" w:rsidRDefault="004453C0">
      <w:pPr>
        <w:pStyle w:val="CommentText"/>
      </w:pPr>
      <w:r>
        <w:t>&lt;&lt;ODS DOC SYMBOL1&gt;&gt;E/C.12/ITA/CO/5&lt;&lt;ODS DOC SYMBOL1&gt;&gt;</w:t>
      </w:r>
    </w:p>
    <w:p w14:paraId="5563F199" w14:textId="30B7FBD8" w:rsidR="004453C0" w:rsidRDefault="004453C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50FA3" w14:textId="77777777" w:rsidR="000365B7" w:rsidRDefault="000365B7"/>
  </w:endnote>
  <w:endnote w:type="continuationSeparator" w:id="0">
    <w:p w14:paraId="78D00389" w14:textId="77777777" w:rsidR="000365B7" w:rsidRDefault="000365B7"/>
  </w:endnote>
  <w:endnote w:type="continuationNotice" w:id="1">
    <w:p w14:paraId="1B2FE56A" w14:textId="77777777" w:rsidR="000365B7" w:rsidRDefault="00036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3E37" w14:textId="77777777" w:rsidR="000365B7" w:rsidRPr="00F669A7" w:rsidRDefault="000365B7" w:rsidP="007C7CBA">
    <w:pPr>
      <w:pStyle w:val="Footer"/>
      <w:tabs>
        <w:tab w:val="right" w:pos="9598"/>
        <w:tab w:val="right" w:pos="9638"/>
      </w:tabs>
      <w:rPr>
        <w:b/>
        <w:bCs/>
      </w:rPr>
    </w:pPr>
    <w:r w:rsidRPr="00471932">
      <w:rPr>
        <w:b/>
        <w:bCs/>
        <w:sz w:val="18"/>
      </w:rPr>
      <w:fldChar w:fldCharType="begin"/>
    </w:r>
    <w:r w:rsidRPr="00471932">
      <w:rPr>
        <w:b/>
        <w:bCs/>
        <w:sz w:val="18"/>
      </w:rPr>
      <w:instrText xml:space="preserve"> PAGE  \* MERGEFORMAT </w:instrText>
    </w:r>
    <w:r w:rsidRPr="00471932">
      <w:rPr>
        <w:b/>
        <w:bCs/>
        <w:sz w:val="18"/>
      </w:rPr>
      <w:fldChar w:fldCharType="separate"/>
    </w:r>
    <w:r w:rsidR="00C33713">
      <w:rPr>
        <w:b/>
        <w:bCs/>
        <w:noProof/>
        <w:sz w:val="18"/>
      </w:rPr>
      <w:t>10</w:t>
    </w:r>
    <w:r w:rsidRPr="00471932">
      <w:rPr>
        <w:b/>
        <w:bCs/>
        <w:sz w:val="18"/>
      </w:rPr>
      <w:fldChar w:fldCharType="end"/>
    </w:r>
    <w:r w:rsidRPr="00471932">
      <w:rPr>
        <w:b/>
        <w:bCs/>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E923E" w14:textId="77777777" w:rsidR="000365B7" w:rsidRPr="00471932" w:rsidRDefault="000365B7" w:rsidP="007C7CBA">
    <w:pPr>
      <w:pStyle w:val="Footer"/>
      <w:tabs>
        <w:tab w:val="right" w:pos="9598"/>
        <w:tab w:val="right" w:pos="9638"/>
      </w:tabs>
      <w:rPr>
        <w:b/>
        <w:bCs/>
        <w:sz w:val="18"/>
      </w:rPr>
    </w:pPr>
    <w:r>
      <w:rPr>
        <w:b/>
        <w:sz w:val="20"/>
      </w:rPr>
      <w:tab/>
    </w:r>
    <w:r w:rsidRPr="00471932">
      <w:rPr>
        <w:b/>
        <w:bCs/>
        <w:sz w:val="18"/>
      </w:rPr>
      <w:fldChar w:fldCharType="begin"/>
    </w:r>
    <w:r w:rsidRPr="00471932">
      <w:rPr>
        <w:b/>
        <w:bCs/>
        <w:sz w:val="18"/>
      </w:rPr>
      <w:instrText xml:space="preserve"> PAGE  \* MERGEFORMAT </w:instrText>
    </w:r>
    <w:r w:rsidRPr="00471932">
      <w:rPr>
        <w:b/>
        <w:bCs/>
        <w:sz w:val="18"/>
      </w:rPr>
      <w:fldChar w:fldCharType="separate"/>
    </w:r>
    <w:r w:rsidR="00C33713">
      <w:rPr>
        <w:b/>
        <w:bCs/>
        <w:noProof/>
        <w:sz w:val="18"/>
      </w:rPr>
      <w:t>9</w:t>
    </w:r>
    <w:r w:rsidRPr="00471932">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453C0" w14:paraId="264846D8" w14:textId="77777777" w:rsidTr="004453C0">
      <w:tc>
        <w:tcPr>
          <w:tcW w:w="3614" w:type="dxa"/>
          <w:shd w:val="clear" w:color="auto" w:fill="auto"/>
        </w:tcPr>
        <w:p w14:paraId="1ABF0BEC" w14:textId="06499865" w:rsidR="004453C0" w:rsidRDefault="004453C0" w:rsidP="004453C0">
          <w:pPr>
            <w:pStyle w:val="Footer"/>
            <w:rPr>
              <w:sz w:val="20"/>
            </w:rPr>
          </w:pPr>
          <w:r>
            <w:rPr>
              <w:noProof/>
              <w:sz w:val="20"/>
              <w:lang w:val="en-US" w:eastAsia="zh-CN"/>
            </w:rPr>
            <w:drawing>
              <wp:anchor distT="0" distB="0" distL="114300" distR="114300" simplePos="0" relativeHeight="251658240" behindDoc="0" locked="0" layoutInCell="1" allowOverlap="1" wp14:anchorId="70E63F68" wp14:editId="363BC906">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12/ITA/CO/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ITA/CO/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GE.15-18516(E)</w:t>
          </w:r>
        </w:p>
        <w:p w14:paraId="4F7E058B" w14:textId="2E392AAA" w:rsidR="004453C0" w:rsidRPr="004453C0" w:rsidRDefault="004453C0" w:rsidP="004453C0">
          <w:pPr>
            <w:pStyle w:val="Footer"/>
            <w:rPr>
              <w:rFonts w:ascii="Barcode 3 of 9 by request" w:hAnsi="Barcode 3 of 9 by request"/>
              <w:sz w:val="24"/>
            </w:rPr>
          </w:pPr>
          <w:r>
            <w:rPr>
              <w:rFonts w:ascii="Barcode 3 of 9 by request" w:hAnsi="Barcode 3 of 9 by request"/>
              <w:sz w:val="24"/>
            </w:rPr>
            <w:t>*1518516*</w:t>
          </w:r>
        </w:p>
      </w:tc>
      <w:tc>
        <w:tcPr>
          <w:tcW w:w="4752" w:type="dxa"/>
          <w:shd w:val="clear" w:color="auto" w:fill="auto"/>
        </w:tcPr>
        <w:p w14:paraId="30A7893A" w14:textId="4DFDEA9E" w:rsidR="004453C0" w:rsidRDefault="004453C0" w:rsidP="004453C0">
          <w:pPr>
            <w:pStyle w:val="Footer"/>
            <w:spacing w:line="240" w:lineRule="atLeast"/>
            <w:jc w:val="right"/>
            <w:rPr>
              <w:sz w:val="20"/>
            </w:rPr>
          </w:pPr>
          <w:r>
            <w:rPr>
              <w:noProof/>
              <w:sz w:val="20"/>
              <w:lang w:val="en-US" w:eastAsia="zh-CN"/>
            </w:rPr>
            <w:drawing>
              <wp:inline distT="0" distB="0" distL="0" distR="0" wp14:anchorId="211E7F46" wp14:editId="2D0E535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796E57C" w14:textId="77777777" w:rsidR="004453C0" w:rsidRPr="004453C0" w:rsidRDefault="004453C0" w:rsidP="004453C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EFAF2" w14:textId="77777777" w:rsidR="000365B7" w:rsidRPr="000B175B" w:rsidRDefault="000365B7" w:rsidP="000B175B">
      <w:pPr>
        <w:tabs>
          <w:tab w:val="right" w:pos="2155"/>
        </w:tabs>
        <w:spacing w:after="80"/>
        <w:ind w:left="680"/>
        <w:rPr>
          <w:u w:val="single"/>
        </w:rPr>
      </w:pPr>
      <w:r>
        <w:rPr>
          <w:u w:val="single"/>
        </w:rPr>
        <w:tab/>
      </w:r>
    </w:p>
  </w:footnote>
  <w:footnote w:type="continuationSeparator" w:id="0">
    <w:p w14:paraId="7B376342" w14:textId="77777777" w:rsidR="000365B7" w:rsidRPr="00FC68B7" w:rsidRDefault="000365B7" w:rsidP="00FC68B7">
      <w:pPr>
        <w:tabs>
          <w:tab w:val="left" w:pos="2155"/>
        </w:tabs>
        <w:spacing w:after="80"/>
        <w:ind w:left="680"/>
        <w:rPr>
          <w:u w:val="single"/>
        </w:rPr>
      </w:pPr>
      <w:r>
        <w:rPr>
          <w:u w:val="single"/>
        </w:rPr>
        <w:tab/>
      </w:r>
    </w:p>
  </w:footnote>
  <w:footnote w:type="continuationNotice" w:id="1">
    <w:p w14:paraId="58D2F9D1" w14:textId="77777777" w:rsidR="000365B7" w:rsidRDefault="000365B7"/>
  </w:footnote>
  <w:footnote w:id="2">
    <w:p w14:paraId="650895C9" w14:textId="23F6A0CC" w:rsidR="000365B7" w:rsidRDefault="000365B7" w:rsidP="0018694B">
      <w:pPr>
        <w:pStyle w:val="FootnoteText"/>
      </w:pPr>
      <w:r>
        <w:tab/>
      </w:r>
      <w:r w:rsidRPr="00C6323B">
        <w:rPr>
          <w:rStyle w:val="FootnoteReference"/>
          <w:sz w:val="20"/>
          <w:vertAlign w:val="baseline"/>
        </w:rPr>
        <w:t>*</w:t>
      </w:r>
      <w:r>
        <w:rPr>
          <w:sz w:val="20"/>
        </w:rPr>
        <w:tab/>
      </w:r>
      <w:r w:rsidRPr="00E057FE">
        <w:t xml:space="preserve">Adopted by the Committee at its </w:t>
      </w:r>
      <w:r w:rsidRPr="00997965">
        <w:t>fifty-</w:t>
      </w:r>
      <w:r>
        <w:t>sixth</w:t>
      </w:r>
      <w:r w:rsidRPr="00997965">
        <w:t xml:space="preserve"> session (</w:t>
      </w:r>
      <w:r>
        <w:t>21 September-9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72B9" w14:textId="337AECAE" w:rsidR="000365B7" w:rsidRPr="003235B4" w:rsidRDefault="000365B7" w:rsidP="0024165B">
    <w:pPr>
      <w:pStyle w:val="Header"/>
      <w:rPr>
        <w:lang w:val="fr-CH"/>
      </w:rPr>
    </w:pPr>
    <w:r>
      <w:rPr>
        <w:lang w:val="fr-CH"/>
      </w:rPr>
      <w:t>E/C.12/ITA/CO/5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7A90" w14:textId="7BA5117B" w:rsidR="000365B7" w:rsidRPr="003D2931" w:rsidRDefault="000365B7" w:rsidP="007C7CBA">
    <w:pPr>
      <w:pStyle w:val="Header"/>
      <w:jc w:val="right"/>
      <w:rPr>
        <w:lang w:val="fr-CH"/>
      </w:rPr>
    </w:pPr>
    <w:r>
      <w:rPr>
        <w:lang w:val="fr-CH"/>
      </w:rPr>
      <w:t>E/C.12/ITA/CO/5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AB27A3"/>
    <w:multiLevelType w:val="hybridMultilevel"/>
    <w:tmpl w:val="F4D67E66"/>
    <w:lvl w:ilvl="0" w:tplc="0AF605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BA36C60"/>
    <w:multiLevelType w:val="hybridMultilevel"/>
    <w:tmpl w:val="D4AC6714"/>
    <w:lvl w:ilvl="0" w:tplc="2B0822A4">
      <w:start w:val="1"/>
      <w:numFmt w:val="decimal"/>
      <w:lvlText w:val="%1."/>
      <w:lvlJc w:val="left"/>
      <w:pPr>
        <w:ind w:left="3196"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5562B1"/>
    <w:multiLevelType w:val="hybridMultilevel"/>
    <w:tmpl w:val="F7D44BC4"/>
    <w:lvl w:ilvl="0" w:tplc="2B0822A4">
      <w:start w:val="1"/>
      <w:numFmt w:val="decimal"/>
      <w:lvlText w:val="%1."/>
      <w:lvlJc w:val="left"/>
      <w:pPr>
        <w:ind w:left="3196"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nsid w:val="2B9D6C71"/>
    <w:multiLevelType w:val="hybridMultilevel"/>
    <w:tmpl w:val="11C88E74"/>
    <w:lvl w:ilvl="0" w:tplc="AC9ED27A">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8">
    <w:nsid w:val="2C1B3552"/>
    <w:multiLevelType w:val="hybridMultilevel"/>
    <w:tmpl w:val="EF08C3C8"/>
    <w:lvl w:ilvl="0" w:tplc="3F2AA1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315A0BF6"/>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671368"/>
    <w:multiLevelType w:val="hybridMultilevel"/>
    <w:tmpl w:val="4E6862A2"/>
    <w:lvl w:ilvl="0" w:tplc="4FB2EF6A">
      <w:start w:val="1"/>
      <w:numFmt w:val="lowerLetter"/>
      <w:lvlText w:val="(%1)"/>
      <w:lvlJc w:val="left"/>
      <w:pPr>
        <w:ind w:left="2826" w:hanging="1080"/>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22">
    <w:nsid w:val="39162E07"/>
    <w:multiLevelType w:val="hybridMultilevel"/>
    <w:tmpl w:val="8F006F16"/>
    <w:lvl w:ilvl="0" w:tplc="F758A76A">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nsid w:val="3B991499"/>
    <w:multiLevelType w:val="hybridMultilevel"/>
    <w:tmpl w:val="D4AC6714"/>
    <w:lvl w:ilvl="0" w:tplc="2B0822A4">
      <w:start w:val="1"/>
      <w:numFmt w:val="decimal"/>
      <w:lvlText w:val="%1."/>
      <w:lvlJc w:val="left"/>
      <w:pPr>
        <w:ind w:left="7307"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4">
    <w:nsid w:val="401B0CCF"/>
    <w:multiLevelType w:val="hybridMultilevel"/>
    <w:tmpl w:val="8ADEF284"/>
    <w:lvl w:ilvl="0" w:tplc="D15C6A8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nsid w:val="42654D80"/>
    <w:multiLevelType w:val="hybridMultilevel"/>
    <w:tmpl w:val="F7D44BC4"/>
    <w:lvl w:ilvl="0" w:tplc="2B0822A4">
      <w:start w:val="1"/>
      <w:numFmt w:val="decimal"/>
      <w:lvlText w:val="%1."/>
      <w:lvlJc w:val="left"/>
      <w:pPr>
        <w:ind w:left="3196"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nsid w:val="47AD07B3"/>
    <w:multiLevelType w:val="hybridMultilevel"/>
    <w:tmpl w:val="37761E5E"/>
    <w:lvl w:ilvl="0" w:tplc="3B7435F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4E363865"/>
    <w:multiLevelType w:val="hybridMultilevel"/>
    <w:tmpl w:val="A5BA6EF2"/>
    <w:lvl w:ilvl="0" w:tplc="B45CD3FA">
      <w:start w:val="1"/>
      <w:numFmt w:val="decimal"/>
      <w:lvlText w:val="%1."/>
      <w:lvlJc w:val="left"/>
      <w:pPr>
        <w:ind w:left="1854" w:hanging="360"/>
      </w:pPr>
      <w:rPr>
        <w:rFonts w:ascii="Times New Roman" w:hAnsi="Times New Roman" w:cs="Times New Roman"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5F52164B"/>
    <w:multiLevelType w:val="hybridMultilevel"/>
    <w:tmpl w:val="F7D44BC4"/>
    <w:lvl w:ilvl="0" w:tplc="2B0822A4">
      <w:start w:val="1"/>
      <w:numFmt w:val="decimal"/>
      <w:lvlText w:val="%1."/>
      <w:lvlJc w:val="left"/>
      <w:pPr>
        <w:ind w:left="3196"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A441275"/>
    <w:multiLevelType w:val="hybridMultilevel"/>
    <w:tmpl w:val="EF08C3C8"/>
    <w:lvl w:ilvl="0" w:tplc="3F2AA1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6CCE5B25"/>
    <w:multiLevelType w:val="hybridMultilevel"/>
    <w:tmpl w:val="553C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46817"/>
    <w:multiLevelType w:val="hybridMultilevel"/>
    <w:tmpl w:val="8ADEF284"/>
    <w:lvl w:ilvl="0" w:tplc="D15C6A8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nsid w:val="6FA60DD0"/>
    <w:multiLevelType w:val="hybridMultilevel"/>
    <w:tmpl w:val="F7D44BC4"/>
    <w:lvl w:ilvl="0" w:tplc="2B0822A4">
      <w:start w:val="1"/>
      <w:numFmt w:val="decimal"/>
      <w:lvlText w:val="%1."/>
      <w:lvlJc w:val="left"/>
      <w:pPr>
        <w:ind w:left="3196" w:hanging="360"/>
      </w:pPr>
      <w:rPr>
        <w:rFonts w:ascii="Times New Roman" w:hAnsi="Times New Roman" w:cs="Times New Roman" w:hint="default"/>
        <w:b w:val="0"/>
        <w:color w:val="auto"/>
        <w:sz w:val="20"/>
        <w:szCs w:val="2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4">
    <w:nsid w:val="78DA0C56"/>
    <w:multiLevelType w:val="hybridMultilevel"/>
    <w:tmpl w:val="21181C36"/>
    <w:lvl w:ilvl="0" w:tplc="1E68D3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A64335C"/>
    <w:multiLevelType w:val="hybridMultilevel"/>
    <w:tmpl w:val="EF08C3C8"/>
    <w:lvl w:ilvl="0" w:tplc="3F2AA1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0"/>
  </w:num>
  <w:num w:numId="14">
    <w:abstractNumId w:val="29"/>
  </w:num>
  <w:num w:numId="15">
    <w:abstractNumId w:val="12"/>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32"/>
  </w:num>
  <w:num w:numId="21">
    <w:abstractNumId w:val="24"/>
  </w:num>
  <w:num w:numId="22">
    <w:abstractNumId w:val="27"/>
  </w:num>
  <w:num w:numId="23">
    <w:abstractNumId w:val="22"/>
  </w:num>
  <w:num w:numId="24">
    <w:abstractNumId w:val="26"/>
  </w:num>
  <w:num w:numId="25">
    <w:abstractNumId w:val="35"/>
  </w:num>
  <w:num w:numId="26">
    <w:abstractNumId w:val="13"/>
  </w:num>
  <w:num w:numId="27">
    <w:abstractNumId w:val="18"/>
  </w:num>
  <w:num w:numId="28">
    <w:abstractNumId w:val="3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8"/>
  </w:num>
  <w:num w:numId="32">
    <w:abstractNumId w:val="3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3"/>
  </w:num>
  <w:num w:numId="36">
    <w:abstractNumId w:val="14"/>
  </w:num>
  <w:num w:numId="37">
    <w:abstractNumId w:val="21"/>
  </w:num>
  <w:num w:numId="3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25ED"/>
    <w:rsid w:val="00003796"/>
    <w:rsid w:val="00006D74"/>
    <w:rsid w:val="00010174"/>
    <w:rsid w:val="00013DE0"/>
    <w:rsid w:val="00014165"/>
    <w:rsid w:val="00016AA6"/>
    <w:rsid w:val="00020F71"/>
    <w:rsid w:val="00023366"/>
    <w:rsid w:val="00030B99"/>
    <w:rsid w:val="000365B7"/>
    <w:rsid w:val="00037916"/>
    <w:rsid w:val="00040CA3"/>
    <w:rsid w:val="000411BC"/>
    <w:rsid w:val="00043D23"/>
    <w:rsid w:val="00050F6B"/>
    <w:rsid w:val="00052D80"/>
    <w:rsid w:val="000726E8"/>
    <w:rsid w:val="00072C8C"/>
    <w:rsid w:val="000770F2"/>
    <w:rsid w:val="0008658F"/>
    <w:rsid w:val="000872D4"/>
    <w:rsid w:val="000931C0"/>
    <w:rsid w:val="000A2266"/>
    <w:rsid w:val="000A35DF"/>
    <w:rsid w:val="000A403E"/>
    <w:rsid w:val="000A5E8C"/>
    <w:rsid w:val="000A60CC"/>
    <w:rsid w:val="000A746F"/>
    <w:rsid w:val="000B175B"/>
    <w:rsid w:val="000B3A0F"/>
    <w:rsid w:val="000B7C86"/>
    <w:rsid w:val="000C01BC"/>
    <w:rsid w:val="000C3162"/>
    <w:rsid w:val="000C4C55"/>
    <w:rsid w:val="000C79D1"/>
    <w:rsid w:val="000D0FB0"/>
    <w:rsid w:val="000D224E"/>
    <w:rsid w:val="000D525C"/>
    <w:rsid w:val="000D65FD"/>
    <w:rsid w:val="000D7836"/>
    <w:rsid w:val="000E0415"/>
    <w:rsid w:val="000E54D7"/>
    <w:rsid w:val="000E5E17"/>
    <w:rsid w:val="000E7506"/>
    <w:rsid w:val="000F1E24"/>
    <w:rsid w:val="00105918"/>
    <w:rsid w:val="00107407"/>
    <w:rsid w:val="0011263A"/>
    <w:rsid w:val="00116E78"/>
    <w:rsid w:val="0012352A"/>
    <w:rsid w:val="00124BEE"/>
    <w:rsid w:val="00125799"/>
    <w:rsid w:val="001414BC"/>
    <w:rsid w:val="001442A4"/>
    <w:rsid w:val="00150A93"/>
    <w:rsid w:val="00154651"/>
    <w:rsid w:val="0015676E"/>
    <w:rsid w:val="00163893"/>
    <w:rsid w:val="00165A5C"/>
    <w:rsid w:val="001701FE"/>
    <w:rsid w:val="00173234"/>
    <w:rsid w:val="00180984"/>
    <w:rsid w:val="00183058"/>
    <w:rsid w:val="00185E1B"/>
    <w:rsid w:val="0018694B"/>
    <w:rsid w:val="001876DD"/>
    <w:rsid w:val="00192722"/>
    <w:rsid w:val="00192F3E"/>
    <w:rsid w:val="00192FF2"/>
    <w:rsid w:val="001937A7"/>
    <w:rsid w:val="00194D83"/>
    <w:rsid w:val="001957AC"/>
    <w:rsid w:val="00196070"/>
    <w:rsid w:val="001A326F"/>
    <w:rsid w:val="001A5F06"/>
    <w:rsid w:val="001A7D19"/>
    <w:rsid w:val="001B02DA"/>
    <w:rsid w:val="001B3309"/>
    <w:rsid w:val="001B4B04"/>
    <w:rsid w:val="001B4BE0"/>
    <w:rsid w:val="001C18D6"/>
    <w:rsid w:val="001C2156"/>
    <w:rsid w:val="001C4372"/>
    <w:rsid w:val="001C5291"/>
    <w:rsid w:val="001C6663"/>
    <w:rsid w:val="001C6A13"/>
    <w:rsid w:val="001C7895"/>
    <w:rsid w:val="001D1861"/>
    <w:rsid w:val="001D26DF"/>
    <w:rsid w:val="001D436A"/>
    <w:rsid w:val="001D5FF7"/>
    <w:rsid w:val="001D6181"/>
    <w:rsid w:val="001D750D"/>
    <w:rsid w:val="001F1389"/>
    <w:rsid w:val="001F37F3"/>
    <w:rsid w:val="001F3C1B"/>
    <w:rsid w:val="001F3DD4"/>
    <w:rsid w:val="001F3FDF"/>
    <w:rsid w:val="001F43C2"/>
    <w:rsid w:val="001F5B27"/>
    <w:rsid w:val="001F69B4"/>
    <w:rsid w:val="001F74B2"/>
    <w:rsid w:val="00202AF1"/>
    <w:rsid w:val="00204081"/>
    <w:rsid w:val="00205E77"/>
    <w:rsid w:val="00211E0B"/>
    <w:rsid w:val="00211FA3"/>
    <w:rsid w:val="00214320"/>
    <w:rsid w:val="0023001B"/>
    <w:rsid w:val="0023477D"/>
    <w:rsid w:val="00237274"/>
    <w:rsid w:val="00237DC4"/>
    <w:rsid w:val="0024165B"/>
    <w:rsid w:val="00242A93"/>
    <w:rsid w:val="00246FD4"/>
    <w:rsid w:val="0025128E"/>
    <w:rsid w:val="00252945"/>
    <w:rsid w:val="0026415A"/>
    <w:rsid w:val="00271673"/>
    <w:rsid w:val="0027235C"/>
    <w:rsid w:val="00275479"/>
    <w:rsid w:val="002762C6"/>
    <w:rsid w:val="002854C3"/>
    <w:rsid w:val="00287815"/>
    <w:rsid w:val="002A4183"/>
    <w:rsid w:val="002A4BAA"/>
    <w:rsid w:val="002A66E8"/>
    <w:rsid w:val="002B1680"/>
    <w:rsid w:val="002B7CA9"/>
    <w:rsid w:val="002C1690"/>
    <w:rsid w:val="002C2B48"/>
    <w:rsid w:val="002C678F"/>
    <w:rsid w:val="002E0825"/>
    <w:rsid w:val="002E0C7F"/>
    <w:rsid w:val="002E0EBC"/>
    <w:rsid w:val="002E1C2E"/>
    <w:rsid w:val="002E3EAC"/>
    <w:rsid w:val="002E416E"/>
    <w:rsid w:val="002E4711"/>
    <w:rsid w:val="002F3320"/>
    <w:rsid w:val="002F6E5E"/>
    <w:rsid w:val="003107FA"/>
    <w:rsid w:val="00313BB7"/>
    <w:rsid w:val="00315D28"/>
    <w:rsid w:val="00321092"/>
    <w:rsid w:val="003229D8"/>
    <w:rsid w:val="003235B4"/>
    <w:rsid w:val="00323B04"/>
    <w:rsid w:val="003335E1"/>
    <w:rsid w:val="003345D6"/>
    <w:rsid w:val="00351568"/>
    <w:rsid w:val="00355481"/>
    <w:rsid w:val="00356DDA"/>
    <w:rsid w:val="003710F6"/>
    <w:rsid w:val="00371B04"/>
    <w:rsid w:val="003732D7"/>
    <w:rsid w:val="0039277A"/>
    <w:rsid w:val="0039527A"/>
    <w:rsid w:val="0039583B"/>
    <w:rsid w:val="00396D66"/>
    <w:rsid w:val="003972E0"/>
    <w:rsid w:val="003A11C6"/>
    <w:rsid w:val="003A1559"/>
    <w:rsid w:val="003A3758"/>
    <w:rsid w:val="003A565B"/>
    <w:rsid w:val="003B0030"/>
    <w:rsid w:val="003B12FE"/>
    <w:rsid w:val="003B19EC"/>
    <w:rsid w:val="003B2899"/>
    <w:rsid w:val="003B4863"/>
    <w:rsid w:val="003C0533"/>
    <w:rsid w:val="003C2CC4"/>
    <w:rsid w:val="003C30D4"/>
    <w:rsid w:val="003D0E2D"/>
    <w:rsid w:val="003D2931"/>
    <w:rsid w:val="003D40AD"/>
    <w:rsid w:val="003D4307"/>
    <w:rsid w:val="003D4B23"/>
    <w:rsid w:val="003D7C8D"/>
    <w:rsid w:val="003D7D14"/>
    <w:rsid w:val="003E60D6"/>
    <w:rsid w:val="003F111F"/>
    <w:rsid w:val="003F443A"/>
    <w:rsid w:val="00405574"/>
    <w:rsid w:val="00406C70"/>
    <w:rsid w:val="0041099C"/>
    <w:rsid w:val="00412DC6"/>
    <w:rsid w:val="004170E9"/>
    <w:rsid w:val="004325CB"/>
    <w:rsid w:val="00432734"/>
    <w:rsid w:val="00437B95"/>
    <w:rsid w:val="004453C0"/>
    <w:rsid w:val="004464E0"/>
    <w:rsid w:val="00446DE4"/>
    <w:rsid w:val="004474BB"/>
    <w:rsid w:val="004478B2"/>
    <w:rsid w:val="00450FBF"/>
    <w:rsid w:val="00451B32"/>
    <w:rsid w:val="00452E3C"/>
    <w:rsid w:val="0045542E"/>
    <w:rsid w:val="00457830"/>
    <w:rsid w:val="00471932"/>
    <w:rsid w:val="004769AE"/>
    <w:rsid w:val="00477CE1"/>
    <w:rsid w:val="00477F15"/>
    <w:rsid w:val="00480DD8"/>
    <w:rsid w:val="00481D59"/>
    <w:rsid w:val="0048491B"/>
    <w:rsid w:val="00493220"/>
    <w:rsid w:val="004934B6"/>
    <w:rsid w:val="004A26CD"/>
    <w:rsid w:val="004A41CA"/>
    <w:rsid w:val="004B0497"/>
    <w:rsid w:val="004B0EA7"/>
    <w:rsid w:val="004B7FC9"/>
    <w:rsid w:val="004C756E"/>
    <w:rsid w:val="004D1C01"/>
    <w:rsid w:val="004D5E26"/>
    <w:rsid w:val="004D6867"/>
    <w:rsid w:val="004F425B"/>
    <w:rsid w:val="004F4264"/>
    <w:rsid w:val="004F4291"/>
    <w:rsid w:val="004F5540"/>
    <w:rsid w:val="00501DE5"/>
    <w:rsid w:val="0050370D"/>
    <w:rsid w:val="00503CEE"/>
    <w:rsid w:val="00505DD0"/>
    <w:rsid w:val="00510541"/>
    <w:rsid w:val="00511E3E"/>
    <w:rsid w:val="00534460"/>
    <w:rsid w:val="00536F02"/>
    <w:rsid w:val="00537D53"/>
    <w:rsid w:val="00540E79"/>
    <w:rsid w:val="005420F2"/>
    <w:rsid w:val="0054226B"/>
    <w:rsid w:val="00542D8C"/>
    <w:rsid w:val="0054342B"/>
    <w:rsid w:val="00555B82"/>
    <w:rsid w:val="00557679"/>
    <w:rsid w:val="005600B3"/>
    <w:rsid w:val="00560A40"/>
    <w:rsid w:val="00563389"/>
    <w:rsid w:val="00566834"/>
    <w:rsid w:val="00573268"/>
    <w:rsid w:val="005738AF"/>
    <w:rsid w:val="00575099"/>
    <w:rsid w:val="00585C4E"/>
    <w:rsid w:val="005928E2"/>
    <w:rsid w:val="00596CE6"/>
    <w:rsid w:val="00597B2E"/>
    <w:rsid w:val="005A05E9"/>
    <w:rsid w:val="005A11F0"/>
    <w:rsid w:val="005A1ED0"/>
    <w:rsid w:val="005A1F40"/>
    <w:rsid w:val="005A5D20"/>
    <w:rsid w:val="005A7DC1"/>
    <w:rsid w:val="005B247F"/>
    <w:rsid w:val="005B3DB3"/>
    <w:rsid w:val="005D0AB6"/>
    <w:rsid w:val="005D3E18"/>
    <w:rsid w:val="005D688C"/>
    <w:rsid w:val="005D7A78"/>
    <w:rsid w:val="005E74C7"/>
    <w:rsid w:val="005F04C0"/>
    <w:rsid w:val="005F057C"/>
    <w:rsid w:val="005F0D1D"/>
    <w:rsid w:val="005F10AA"/>
    <w:rsid w:val="005F11AF"/>
    <w:rsid w:val="005F4C7C"/>
    <w:rsid w:val="0060049B"/>
    <w:rsid w:val="0060092A"/>
    <w:rsid w:val="00600FE3"/>
    <w:rsid w:val="00603406"/>
    <w:rsid w:val="00604743"/>
    <w:rsid w:val="00611EB3"/>
    <w:rsid w:val="00611FC4"/>
    <w:rsid w:val="00614A6C"/>
    <w:rsid w:val="00615DDE"/>
    <w:rsid w:val="0061628C"/>
    <w:rsid w:val="00616BD7"/>
    <w:rsid w:val="006176FB"/>
    <w:rsid w:val="006213B6"/>
    <w:rsid w:val="00625F40"/>
    <w:rsid w:val="00627ED0"/>
    <w:rsid w:val="00630BA0"/>
    <w:rsid w:val="00631F45"/>
    <w:rsid w:val="00632BE8"/>
    <w:rsid w:val="00633756"/>
    <w:rsid w:val="0063729C"/>
    <w:rsid w:val="00637580"/>
    <w:rsid w:val="00640B26"/>
    <w:rsid w:val="00641883"/>
    <w:rsid w:val="00646456"/>
    <w:rsid w:val="00650E27"/>
    <w:rsid w:val="00652599"/>
    <w:rsid w:val="00656DFE"/>
    <w:rsid w:val="00661C89"/>
    <w:rsid w:val="00662121"/>
    <w:rsid w:val="006647EE"/>
    <w:rsid w:val="00665595"/>
    <w:rsid w:val="00666E8D"/>
    <w:rsid w:val="00672F61"/>
    <w:rsid w:val="0068426A"/>
    <w:rsid w:val="00691245"/>
    <w:rsid w:val="00692173"/>
    <w:rsid w:val="00692A84"/>
    <w:rsid w:val="00695AF6"/>
    <w:rsid w:val="006A2E72"/>
    <w:rsid w:val="006A47AF"/>
    <w:rsid w:val="006A7392"/>
    <w:rsid w:val="006B3737"/>
    <w:rsid w:val="006B3F0E"/>
    <w:rsid w:val="006B4D6D"/>
    <w:rsid w:val="006C3623"/>
    <w:rsid w:val="006C5E5E"/>
    <w:rsid w:val="006D61AE"/>
    <w:rsid w:val="006D65F9"/>
    <w:rsid w:val="006E0A73"/>
    <w:rsid w:val="006E2762"/>
    <w:rsid w:val="006E4292"/>
    <w:rsid w:val="006E564B"/>
    <w:rsid w:val="006E7D28"/>
    <w:rsid w:val="006F2455"/>
    <w:rsid w:val="006F65B9"/>
    <w:rsid w:val="007005CE"/>
    <w:rsid w:val="007008CD"/>
    <w:rsid w:val="00706DA6"/>
    <w:rsid w:val="0071081A"/>
    <w:rsid w:val="00710D8B"/>
    <w:rsid w:val="007126E0"/>
    <w:rsid w:val="00714B41"/>
    <w:rsid w:val="00716B37"/>
    <w:rsid w:val="00717B59"/>
    <w:rsid w:val="00717D70"/>
    <w:rsid w:val="007232A9"/>
    <w:rsid w:val="0072332E"/>
    <w:rsid w:val="0072534B"/>
    <w:rsid w:val="0072632A"/>
    <w:rsid w:val="0072718C"/>
    <w:rsid w:val="00727488"/>
    <w:rsid w:val="007337CD"/>
    <w:rsid w:val="007366F9"/>
    <w:rsid w:val="00747D37"/>
    <w:rsid w:val="00753E4C"/>
    <w:rsid w:val="00754240"/>
    <w:rsid w:val="00763971"/>
    <w:rsid w:val="00765ADB"/>
    <w:rsid w:val="00765EC1"/>
    <w:rsid w:val="00766A12"/>
    <w:rsid w:val="00773493"/>
    <w:rsid w:val="00774421"/>
    <w:rsid w:val="00776162"/>
    <w:rsid w:val="0078174A"/>
    <w:rsid w:val="00781D9E"/>
    <w:rsid w:val="00782598"/>
    <w:rsid w:val="00784C0B"/>
    <w:rsid w:val="00786499"/>
    <w:rsid w:val="007923E8"/>
    <w:rsid w:val="00793C4E"/>
    <w:rsid w:val="007966A5"/>
    <w:rsid w:val="007A1923"/>
    <w:rsid w:val="007A2EEF"/>
    <w:rsid w:val="007A690C"/>
    <w:rsid w:val="007A714D"/>
    <w:rsid w:val="007B614C"/>
    <w:rsid w:val="007B6BA5"/>
    <w:rsid w:val="007B71C3"/>
    <w:rsid w:val="007C110F"/>
    <w:rsid w:val="007C1FBF"/>
    <w:rsid w:val="007C3390"/>
    <w:rsid w:val="007C4F4B"/>
    <w:rsid w:val="007C7CBA"/>
    <w:rsid w:val="007E189A"/>
    <w:rsid w:val="007E2C6D"/>
    <w:rsid w:val="007F0B83"/>
    <w:rsid w:val="007F1175"/>
    <w:rsid w:val="007F1E0C"/>
    <w:rsid w:val="007F56EA"/>
    <w:rsid w:val="007F6611"/>
    <w:rsid w:val="00803C67"/>
    <w:rsid w:val="00806609"/>
    <w:rsid w:val="00811239"/>
    <w:rsid w:val="008139BF"/>
    <w:rsid w:val="008175E9"/>
    <w:rsid w:val="00822955"/>
    <w:rsid w:val="008242D7"/>
    <w:rsid w:val="008250C4"/>
    <w:rsid w:val="008311A3"/>
    <w:rsid w:val="0083367A"/>
    <w:rsid w:val="00840224"/>
    <w:rsid w:val="00841DC0"/>
    <w:rsid w:val="00845073"/>
    <w:rsid w:val="0085544E"/>
    <w:rsid w:val="00857701"/>
    <w:rsid w:val="00857BFA"/>
    <w:rsid w:val="00871FD5"/>
    <w:rsid w:val="008760D2"/>
    <w:rsid w:val="0087776D"/>
    <w:rsid w:val="0088072B"/>
    <w:rsid w:val="00885300"/>
    <w:rsid w:val="00893699"/>
    <w:rsid w:val="008979B1"/>
    <w:rsid w:val="008A46D3"/>
    <w:rsid w:val="008A6B25"/>
    <w:rsid w:val="008A6C4F"/>
    <w:rsid w:val="008B1A99"/>
    <w:rsid w:val="008B4BA4"/>
    <w:rsid w:val="008B57E5"/>
    <w:rsid w:val="008B649B"/>
    <w:rsid w:val="008B7A3C"/>
    <w:rsid w:val="008B7DFD"/>
    <w:rsid w:val="008C38C8"/>
    <w:rsid w:val="008C7080"/>
    <w:rsid w:val="008D6446"/>
    <w:rsid w:val="008D74FE"/>
    <w:rsid w:val="008E0E46"/>
    <w:rsid w:val="008E0FD0"/>
    <w:rsid w:val="008E3E07"/>
    <w:rsid w:val="008E4FCB"/>
    <w:rsid w:val="008E653C"/>
    <w:rsid w:val="008F0DB7"/>
    <w:rsid w:val="008F1555"/>
    <w:rsid w:val="008F2A81"/>
    <w:rsid w:val="008F7058"/>
    <w:rsid w:val="008F78EE"/>
    <w:rsid w:val="008F79B2"/>
    <w:rsid w:val="00900362"/>
    <w:rsid w:val="00901C09"/>
    <w:rsid w:val="009030F9"/>
    <w:rsid w:val="00903522"/>
    <w:rsid w:val="00905DB7"/>
    <w:rsid w:val="00907AD2"/>
    <w:rsid w:val="00910D00"/>
    <w:rsid w:val="00912162"/>
    <w:rsid w:val="00922B52"/>
    <w:rsid w:val="00925B0B"/>
    <w:rsid w:val="00925E4E"/>
    <w:rsid w:val="00935741"/>
    <w:rsid w:val="00943979"/>
    <w:rsid w:val="009559BE"/>
    <w:rsid w:val="00956D25"/>
    <w:rsid w:val="009611C8"/>
    <w:rsid w:val="00962033"/>
    <w:rsid w:val="00963B74"/>
    <w:rsid w:val="00963CBA"/>
    <w:rsid w:val="0096594D"/>
    <w:rsid w:val="0096697B"/>
    <w:rsid w:val="00967060"/>
    <w:rsid w:val="009731DE"/>
    <w:rsid w:val="009732A9"/>
    <w:rsid w:val="00973D8F"/>
    <w:rsid w:val="00974162"/>
    <w:rsid w:val="00974A8D"/>
    <w:rsid w:val="009753E9"/>
    <w:rsid w:val="00986F7D"/>
    <w:rsid w:val="00991261"/>
    <w:rsid w:val="009A5CB5"/>
    <w:rsid w:val="009A60AE"/>
    <w:rsid w:val="009A6AAB"/>
    <w:rsid w:val="009A6DC1"/>
    <w:rsid w:val="009A75FD"/>
    <w:rsid w:val="009B005A"/>
    <w:rsid w:val="009B16D9"/>
    <w:rsid w:val="009C14A5"/>
    <w:rsid w:val="009C43CE"/>
    <w:rsid w:val="009C5E7C"/>
    <w:rsid w:val="009C5FF0"/>
    <w:rsid w:val="009D4D44"/>
    <w:rsid w:val="009D65E6"/>
    <w:rsid w:val="009D68EF"/>
    <w:rsid w:val="009D6B3D"/>
    <w:rsid w:val="009E439C"/>
    <w:rsid w:val="009E4FED"/>
    <w:rsid w:val="009E7C2A"/>
    <w:rsid w:val="009F22A1"/>
    <w:rsid w:val="009F3A17"/>
    <w:rsid w:val="009F4171"/>
    <w:rsid w:val="009F5F0D"/>
    <w:rsid w:val="009F6041"/>
    <w:rsid w:val="009F64C1"/>
    <w:rsid w:val="00A01B39"/>
    <w:rsid w:val="00A11821"/>
    <w:rsid w:val="00A11C6F"/>
    <w:rsid w:val="00A13695"/>
    <w:rsid w:val="00A138D3"/>
    <w:rsid w:val="00A1427D"/>
    <w:rsid w:val="00A14809"/>
    <w:rsid w:val="00A200CB"/>
    <w:rsid w:val="00A21ADA"/>
    <w:rsid w:val="00A27F10"/>
    <w:rsid w:val="00A35869"/>
    <w:rsid w:val="00A37D88"/>
    <w:rsid w:val="00A40FE2"/>
    <w:rsid w:val="00A41F48"/>
    <w:rsid w:val="00A43E08"/>
    <w:rsid w:val="00A456CC"/>
    <w:rsid w:val="00A4594D"/>
    <w:rsid w:val="00A47DC1"/>
    <w:rsid w:val="00A50F86"/>
    <w:rsid w:val="00A52519"/>
    <w:rsid w:val="00A53223"/>
    <w:rsid w:val="00A609FF"/>
    <w:rsid w:val="00A7150E"/>
    <w:rsid w:val="00A72F22"/>
    <w:rsid w:val="00A748A6"/>
    <w:rsid w:val="00A77059"/>
    <w:rsid w:val="00A879A4"/>
    <w:rsid w:val="00A9232E"/>
    <w:rsid w:val="00A947A0"/>
    <w:rsid w:val="00A95208"/>
    <w:rsid w:val="00A96408"/>
    <w:rsid w:val="00AA7DF9"/>
    <w:rsid w:val="00AB08CE"/>
    <w:rsid w:val="00AB3955"/>
    <w:rsid w:val="00AB3EB8"/>
    <w:rsid w:val="00AB5824"/>
    <w:rsid w:val="00AC2179"/>
    <w:rsid w:val="00AC3CD0"/>
    <w:rsid w:val="00AC4306"/>
    <w:rsid w:val="00AD1BF6"/>
    <w:rsid w:val="00AD1F4E"/>
    <w:rsid w:val="00AD4202"/>
    <w:rsid w:val="00AD4C72"/>
    <w:rsid w:val="00AE3ADD"/>
    <w:rsid w:val="00AE3E14"/>
    <w:rsid w:val="00AF7FB6"/>
    <w:rsid w:val="00B056AC"/>
    <w:rsid w:val="00B06459"/>
    <w:rsid w:val="00B065AF"/>
    <w:rsid w:val="00B10E98"/>
    <w:rsid w:val="00B10F56"/>
    <w:rsid w:val="00B165E8"/>
    <w:rsid w:val="00B20D2F"/>
    <w:rsid w:val="00B21686"/>
    <w:rsid w:val="00B222CE"/>
    <w:rsid w:val="00B22ACE"/>
    <w:rsid w:val="00B27AF8"/>
    <w:rsid w:val="00B30179"/>
    <w:rsid w:val="00B33EC0"/>
    <w:rsid w:val="00B36CC9"/>
    <w:rsid w:val="00B41A77"/>
    <w:rsid w:val="00B43548"/>
    <w:rsid w:val="00B44C3B"/>
    <w:rsid w:val="00B459AB"/>
    <w:rsid w:val="00B52CC8"/>
    <w:rsid w:val="00B5676E"/>
    <w:rsid w:val="00B67DA3"/>
    <w:rsid w:val="00B81E12"/>
    <w:rsid w:val="00B82925"/>
    <w:rsid w:val="00B82BF5"/>
    <w:rsid w:val="00B856C0"/>
    <w:rsid w:val="00B9144A"/>
    <w:rsid w:val="00B92736"/>
    <w:rsid w:val="00BA0659"/>
    <w:rsid w:val="00BA12B9"/>
    <w:rsid w:val="00BA25F6"/>
    <w:rsid w:val="00BA3A0E"/>
    <w:rsid w:val="00BA42D6"/>
    <w:rsid w:val="00BB476A"/>
    <w:rsid w:val="00BB6381"/>
    <w:rsid w:val="00BB71E4"/>
    <w:rsid w:val="00BC0578"/>
    <w:rsid w:val="00BC5BA2"/>
    <w:rsid w:val="00BC74E9"/>
    <w:rsid w:val="00BD000C"/>
    <w:rsid w:val="00BD07EF"/>
    <w:rsid w:val="00BD3E07"/>
    <w:rsid w:val="00BD4418"/>
    <w:rsid w:val="00BD7A4B"/>
    <w:rsid w:val="00BE330D"/>
    <w:rsid w:val="00BE4F74"/>
    <w:rsid w:val="00BE5A5B"/>
    <w:rsid w:val="00BE618E"/>
    <w:rsid w:val="00BF28F7"/>
    <w:rsid w:val="00BF61FF"/>
    <w:rsid w:val="00C014AC"/>
    <w:rsid w:val="00C02789"/>
    <w:rsid w:val="00C03024"/>
    <w:rsid w:val="00C043D8"/>
    <w:rsid w:val="00C0492F"/>
    <w:rsid w:val="00C05AA6"/>
    <w:rsid w:val="00C10412"/>
    <w:rsid w:val="00C113BF"/>
    <w:rsid w:val="00C11B6B"/>
    <w:rsid w:val="00C12EED"/>
    <w:rsid w:val="00C1525A"/>
    <w:rsid w:val="00C1645A"/>
    <w:rsid w:val="00C20D44"/>
    <w:rsid w:val="00C244C9"/>
    <w:rsid w:val="00C301B0"/>
    <w:rsid w:val="00C33394"/>
    <w:rsid w:val="00C33713"/>
    <w:rsid w:val="00C43863"/>
    <w:rsid w:val="00C463DD"/>
    <w:rsid w:val="00C46B08"/>
    <w:rsid w:val="00C57D84"/>
    <w:rsid w:val="00C60FEA"/>
    <w:rsid w:val="00C6323B"/>
    <w:rsid w:val="00C67A38"/>
    <w:rsid w:val="00C67CEE"/>
    <w:rsid w:val="00C728BC"/>
    <w:rsid w:val="00C745C3"/>
    <w:rsid w:val="00C752A5"/>
    <w:rsid w:val="00C75477"/>
    <w:rsid w:val="00C7649E"/>
    <w:rsid w:val="00C77BA7"/>
    <w:rsid w:val="00C82F62"/>
    <w:rsid w:val="00C85A4D"/>
    <w:rsid w:val="00C97AA3"/>
    <w:rsid w:val="00CA1FA2"/>
    <w:rsid w:val="00CA475F"/>
    <w:rsid w:val="00CA60AC"/>
    <w:rsid w:val="00CB16FA"/>
    <w:rsid w:val="00CB3767"/>
    <w:rsid w:val="00CC0BB1"/>
    <w:rsid w:val="00CC4053"/>
    <w:rsid w:val="00CD07AC"/>
    <w:rsid w:val="00CD08ED"/>
    <w:rsid w:val="00CD6037"/>
    <w:rsid w:val="00CE1F39"/>
    <w:rsid w:val="00CE4A8F"/>
    <w:rsid w:val="00CE55A0"/>
    <w:rsid w:val="00CE6C07"/>
    <w:rsid w:val="00CF0798"/>
    <w:rsid w:val="00CF3F35"/>
    <w:rsid w:val="00D01AC8"/>
    <w:rsid w:val="00D039A3"/>
    <w:rsid w:val="00D05B55"/>
    <w:rsid w:val="00D13424"/>
    <w:rsid w:val="00D2031B"/>
    <w:rsid w:val="00D25FE2"/>
    <w:rsid w:val="00D317BB"/>
    <w:rsid w:val="00D43252"/>
    <w:rsid w:val="00D4346F"/>
    <w:rsid w:val="00D46FD2"/>
    <w:rsid w:val="00D555E1"/>
    <w:rsid w:val="00D654F4"/>
    <w:rsid w:val="00D80302"/>
    <w:rsid w:val="00D8251A"/>
    <w:rsid w:val="00D83427"/>
    <w:rsid w:val="00D84EB3"/>
    <w:rsid w:val="00D86464"/>
    <w:rsid w:val="00D962F6"/>
    <w:rsid w:val="00D968F0"/>
    <w:rsid w:val="00D978C6"/>
    <w:rsid w:val="00D97D35"/>
    <w:rsid w:val="00DA40BA"/>
    <w:rsid w:val="00DA5469"/>
    <w:rsid w:val="00DA5587"/>
    <w:rsid w:val="00DA62E7"/>
    <w:rsid w:val="00DA67AD"/>
    <w:rsid w:val="00DA7CFF"/>
    <w:rsid w:val="00DB0004"/>
    <w:rsid w:val="00DB0F0D"/>
    <w:rsid w:val="00DB268D"/>
    <w:rsid w:val="00DB4DCD"/>
    <w:rsid w:val="00DB6AD8"/>
    <w:rsid w:val="00DC242D"/>
    <w:rsid w:val="00DC618D"/>
    <w:rsid w:val="00DC77AB"/>
    <w:rsid w:val="00DD1051"/>
    <w:rsid w:val="00DD23FE"/>
    <w:rsid w:val="00DD2B91"/>
    <w:rsid w:val="00DE65CC"/>
    <w:rsid w:val="00DE6C2A"/>
    <w:rsid w:val="00DF12F7"/>
    <w:rsid w:val="00DF710B"/>
    <w:rsid w:val="00E01562"/>
    <w:rsid w:val="00E02C81"/>
    <w:rsid w:val="00E040BE"/>
    <w:rsid w:val="00E04FFD"/>
    <w:rsid w:val="00E0563D"/>
    <w:rsid w:val="00E0678D"/>
    <w:rsid w:val="00E108E3"/>
    <w:rsid w:val="00E11495"/>
    <w:rsid w:val="00E11F2B"/>
    <w:rsid w:val="00E130AB"/>
    <w:rsid w:val="00E134E2"/>
    <w:rsid w:val="00E13C63"/>
    <w:rsid w:val="00E13EFB"/>
    <w:rsid w:val="00E162E7"/>
    <w:rsid w:val="00E20AF1"/>
    <w:rsid w:val="00E22692"/>
    <w:rsid w:val="00E23842"/>
    <w:rsid w:val="00E31865"/>
    <w:rsid w:val="00E407E4"/>
    <w:rsid w:val="00E4080E"/>
    <w:rsid w:val="00E40F25"/>
    <w:rsid w:val="00E41DFA"/>
    <w:rsid w:val="00E426BE"/>
    <w:rsid w:val="00E5203C"/>
    <w:rsid w:val="00E558D4"/>
    <w:rsid w:val="00E55FE5"/>
    <w:rsid w:val="00E57021"/>
    <w:rsid w:val="00E62C9D"/>
    <w:rsid w:val="00E67884"/>
    <w:rsid w:val="00E70C71"/>
    <w:rsid w:val="00E7260F"/>
    <w:rsid w:val="00E73015"/>
    <w:rsid w:val="00E7325B"/>
    <w:rsid w:val="00E76B60"/>
    <w:rsid w:val="00E76ED5"/>
    <w:rsid w:val="00E82F77"/>
    <w:rsid w:val="00E85BD2"/>
    <w:rsid w:val="00E87921"/>
    <w:rsid w:val="00E905FF"/>
    <w:rsid w:val="00E918B6"/>
    <w:rsid w:val="00E94716"/>
    <w:rsid w:val="00E96630"/>
    <w:rsid w:val="00E973CC"/>
    <w:rsid w:val="00E97F2D"/>
    <w:rsid w:val="00EA642E"/>
    <w:rsid w:val="00EB223B"/>
    <w:rsid w:val="00EB4763"/>
    <w:rsid w:val="00EC2253"/>
    <w:rsid w:val="00EC2452"/>
    <w:rsid w:val="00EC58F5"/>
    <w:rsid w:val="00EC60D7"/>
    <w:rsid w:val="00ED20C9"/>
    <w:rsid w:val="00ED224F"/>
    <w:rsid w:val="00ED3078"/>
    <w:rsid w:val="00ED5A87"/>
    <w:rsid w:val="00ED7A2A"/>
    <w:rsid w:val="00EE7280"/>
    <w:rsid w:val="00EE7493"/>
    <w:rsid w:val="00EE7DB8"/>
    <w:rsid w:val="00EF0B24"/>
    <w:rsid w:val="00EF1D7F"/>
    <w:rsid w:val="00EF215B"/>
    <w:rsid w:val="00EF3788"/>
    <w:rsid w:val="00EF49A8"/>
    <w:rsid w:val="00EF7504"/>
    <w:rsid w:val="00F00928"/>
    <w:rsid w:val="00F02676"/>
    <w:rsid w:val="00F126D8"/>
    <w:rsid w:val="00F1616A"/>
    <w:rsid w:val="00F24E4F"/>
    <w:rsid w:val="00F302ED"/>
    <w:rsid w:val="00F31466"/>
    <w:rsid w:val="00F3753F"/>
    <w:rsid w:val="00F410F5"/>
    <w:rsid w:val="00F50AA0"/>
    <w:rsid w:val="00F51CAC"/>
    <w:rsid w:val="00F53393"/>
    <w:rsid w:val="00F53EDA"/>
    <w:rsid w:val="00F60F05"/>
    <w:rsid w:val="00F61A5F"/>
    <w:rsid w:val="00F64157"/>
    <w:rsid w:val="00F64E50"/>
    <w:rsid w:val="00F669A7"/>
    <w:rsid w:val="00F66DA1"/>
    <w:rsid w:val="00F7753D"/>
    <w:rsid w:val="00F85F34"/>
    <w:rsid w:val="00F86498"/>
    <w:rsid w:val="00F87EFC"/>
    <w:rsid w:val="00F9054F"/>
    <w:rsid w:val="00F94846"/>
    <w:rsid w:val="00FA06F7"/>
    <w:rsid w:val="00FA5488"/>
    <w:rsid w:val="00FA7CF2"/>
    <w:rsid w:val="00FB06D9"/>
    <w:rsid w:val="00FB0EDD"/>
    <w:rsid w:val="00FB1138"/>
    <w:rsid w:val="00FB171A"/>
    <w:rsid w:val="00FB2C1E"/>
    <w:rsid w:val="00FB4A60"/>
    <w:rsid w:val="00FB6EFF"/>
    <w:rsid w:val="00FC09DE"/>
    <w:rsid w:val="00FC0DB9"/>
    <w:rsid w:val="00FC35B8"/>
    <w:rsid w:val="00FC68B7"/>
    <w:rsid w:val="00FD2B55"/>
    <w:rsid w:val="00FD4B89"/>
    <w:rsid w:val="00FD64FF"/>
    <w:rsid w:val="00FD7BF6"/>
    <w:rsid w:val="00FE3AFE"/>
    <w:rsid w:val="00FE6340"/>
    <w:rsid w:val="00FF1B15"/>
    <w:rsid w:val="00FF4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color="white">
      <v:fill color="white"/>
    </o:shapedefaults>
    <o:shapelayout v:ext="edit">
      <o:idmap v:ext="edit" data="1"/>
    </o:shapelayout>
  </w:shapeDefaults>
  <w:decimalSymbol w:val="."/>
  <w:listSeparator w:val=","/>
  <w14:docId w14:val="7420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highlight1">
    <w:name w:val="highlight1"/>
    <w:rsid w:val="008F2A81"/>
    <w:rPr>
      <w:shd w:val="clear" w:color="auto" w:fill="FFCC33"/>
    </w:rPr>
  </w:style>
  <w:style w:type="paragraph" w:customStyle="1" w:styleId="Default">
    <w:name w:val="Default"/>
    <w:rsid w:val="008F0DB7"/>
    <w:pPr>
      <w:autoSpaceDE w:val="0"/>
      <w:autoSpaceDN w:val="0"/>
      <w:adjustRightInd w:val="0"/>
    </w:pPr>
    <w:rPr>
      <w:color w:val="000000"/>
      <w:sz w:val="24"/>
      <w:szCs w:val="24"/>
    </w:rPr>
  </w:style>
  <w:style w:type="paragraph" w:styleId="ListParagraph">
    <w:name w:val="List Paragraph"/>
    <w:basedOn w:val="Normal"/>
    <w:uiPriority w:val="34"/>
    <w:qFormat/>
    <w:rsid w:val="008B7DFD"/>
    <w:pPr>
      <w:suppressAutoHyphens w:val="0"/>
      <w:spacing w:after="200" w:line="276" w:lineRule="auto"/>
      <w:ind w:left="720"/>
      <w:contextualSpacing/>
    </w:pPr>
    <w:rPr>
      <w:rFonts w:ascii="Calibri" w:eastAsia="SimSun" w:hAnsi="Calibri" w:cs="Arial"/>
      <w:sz w:val="22"/>
      <w:szCs w:val="22"/>
      <w:lang w:eastAsia="zh-CN"/>
    </w:rPr>
  </w:style>
  <w:style w:type="paragraph" w:styleId="CommentSubject">
    <w:name w:val="annotation subject"/>
    <w:basedOn w:val="CommentText"/>
    <w:next w:val="CommentText"/>
    <w:link w:val="CommentSubjectChar"/>
    <w:rsid w:val="00006D74"/>
    <w:rPr>
      <w:b/>
      <w:bCs/>
    </w:rPr>
  </w:style>
  <w:style w:type="character" w:customStyle="1" w:styleId="CommentTextChar">
    <w:name w:val="Comment Text Char"/>
    <w:link w:val="CommentText"/>
    <w:semiHidden/>
    <w:rsid w:val="00006D74"/>
    <w:rPr>
      <w:lang w:eastAsia="en-US"/>
    </w:rPr>
  </w:style>
  <w:style w:type="character" w:customStyle="1" w:styleId="CommentSubjectChar">
    <w:name w:val="Comment Subject Char"/>
    <w:link w:val="CommentSubject"/>
    <w:rsid w:val="00006D74"/>
    <w:rPr>
      <w:b/>
      <w:bCs/>
      <w:lang w:eastAsia="en-US"/>
    </w:rPr>
  </w:style>
  <w:style w:type="paragraph" w:styleId="Revision">
    <w:name w:val="Revision"/>
    <w:hidden/>
    <w:uiPriority w:val="99"/>
    <w:semiHidden/>
    <w:rsid w:val="004719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lang w:val="en-GB" w:eastAsia="en-US" w:bidi="ar-SA"/>
    </w:rPr>
  </w:style>
  <w:style w:type="character" w:customStyle="1" w:styleId="HChGChar">
    <w:name w:val="_ H _Ch_G Char"/>
    <w:link w:val="HChG"/>
    <w:rsid w:val="00371B04"/>
    <w:rPr>
      <w:b/>
      <w:sz w:val="28"/>
      <w:lang w:val="en-GB" w:eastAsia="en-US" w:bidi="ar-SA"/>
    </w:rPr>
  </w:style>
  <w:style w:type="character" w:customStyle="1" w:styleId="H1GChar">
    <w:name w:val="_ H_1_G Char"/>
    <w:link w:val="H1G"/>
    <w:locked/>
    <w:rsid w:val="00C82F62"/>
    <w:rPr>
      <w:b/>
      <w:sz w:val="24"/>
      <w:lang w:eastAsia="en-US"/>
    </w:rPr>
  </w:style>
  <w:style w:type="character" w:customStyle="1" w:styleId="highlight1">
    <w:name w:val="highlight1"/>
    <w:rsid w:val="008F2A81"/>
    <w:rPr>
      <w:shd w:val="clear" w:color="auto" w:fill="FFCC33"/>
    </w:rPr>
  </w:style>
  <w:style w:type="paragraph" w:customStyle="1" w:styleId="Default">
    <w:name w:val="Default"/>
    <w:rsid w:val="008F0DB7"/>
    <w:pPr>
      <w:autoSpaceDE w:val="0"/>
      <w:autoSpaceDN w:val="0"/>
      <w:adjustRightInd w:val="0"/>
    </w:pPr>
    <w:rPr>
      <w:color w:val="000000"/>
      <w:sz w:val="24"/>
      <w:szCs w:val="24"/>
    </w:rPr>
  </w:style>
  <w:style w:type="paragraph" w:styleId="ListParagraph">
    <w:name w:val="List Paragraph"/>
    <w:basedOn w:val="Normal"/>
    <w:uiPriority w:val="34"/>
    <w:qFormat/>
    <w:rsid w:val="008B7DFD"/>
    <w:pPr>
      <w:suppressAutoHyphens w:val="0"/>
      <w:spacing w:after="200" w:line="276" w:lineRule="auto"/>
      <w:ind w:left="720"/>
      <w:contextualSpacing/>
    </w:pPr>
    <w:rPr>
      <w:rFonts w:ascii="Calibri" w:eastAsia="SimSun" w:hAnsi="Calibri" w:cs="Arial"/>
      <w:sz w:val="22"/>
      <w:szCs w:val="22"/>
      <w:lang w:eastAsia="zh-CN"/>
    </w:rPr>
  </w:style>
  <w:style w:type="paragraph" w:styleId="CommentSubject">
    <w:name w:val="annotation subject"/>
    <w:basedOn w:val="CommentText"/>
    <w:next w:val="CommentText"/>
    <w:link w:val="CommentSubjectChar"/>
    <w:rsid w:val="00006D74"/>
    <w:rPr>
      <w:b/>
      <w:bCs/>
    </w:rPr>
  </w:style>
  <w:style w:type="character" w:customStyle="1" w:styleId="CommentTextChar">
    <w:name w:val="Comment Text Char"/>
    <w:link w:val="CommentText"/>
    <w:semiHidden/>
    <w:rsid w:val="00006D74"/>
    <w:rPr>
      <w:lang w:eastAsia="en-US"/>
    </w:rPr>
  </w:style>
  <w:style w:type="character" w:customStyle="1" w:styleId="CommentSubjectChar">
    <w:name w:val="Comment Subject Char"/>
    <w:link w:val="CommentSubject"/>
    <w:rsid w:val="00006D74"/>
    <w:rPr>
      <w:b/>
      <w:bCs/>
      <w:lang w:eastAsia="en-US"/>
    </w:rPr>
  </w:style>
  <w:style w:type="paragraph" w:styleId="Revision">
    <w:name w:val="Revision"/>
    <w:hidden/>
    <w:uiPriority w:val="99"/>
    <w:semiHidden/>
    <w:rsid w:val="004719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838">
      <w:bodyDiv w:val="1"/>
      <w:marLeft w:val="0"/>
      <w:marRight w:val="0"/>
      <w:marTop w:val="0"/>
      <w:marBottom w:val="0"/>
      <w:divBdr>
        <w:top w:val="none" w:sz="0" w:space="0" w:color="auto"/>
        <w:left w:val="none" w:sz="0" w:space="0" w:color="auto"/>
        <w:bottom w:val="none" w:sz="0" w:space="0" w:color="auto"/>
        <w:right w:val="none" w:sz="0" w:space="0" w:color="auto"/>
      </w:divBdr>
    </w:div>
    <w:div w:id="204372059">
      <w:bodyDiv w:val="1"/>
      <w:marLeft w:val="0"/>
      <w:marRight w:val="0"/>
      <w:marTop w:val="0"/>
      <w:marBottom w:val="0"/>
      <w:divBdr>
        <w:top w:val="none" w:sz="0" w:space="0" w:color="auto"/>
        <w:left w:val="none" w:sz="0" w:space="0" w:color="auto"/>
        <w:bottom w:val="none" w:sz="0" w:space="0" w:color="auto"/>
        <w:right w:val="none" w:sz="0" w:space="0" w:color="auto"/>
      </w:divBdr>
    </w:div>
    <w:div w:id="579876182">
      <w:bodyDiv w:val="1"/>
      <w:marLeft w:val="0"/>
      <w:marRight w:val="0"/>
      <w:marTop w:val="0"/>
      <w:marBottom w:val="0"/>
      <w:divBdr>
        <w:top w:val="none" w:sz="0" w:space="0" w:color="auto"/>
        <w:left w:val="none" w:sz="0" w:space="0" w:color="auto"/>
        <w:bottom w:val="none" w:sz="0" w:space="0" w:color="auto"/>
        <w:right w:val="none" w:sz="0" w:space="0" w:color="auto"/>
      </w:divBdr>
    </w:div>
    <w:div w:id="854735244">
      <w:bodyDiv w:val="1"/>
      <w:marLeft w:val="0"/>
      <w:marRight w:val="0"/>
      <w:marTop w:val="0"/>
      <w:marBottom w:val="0"/>
      <w:divBdr>
        <w:top w:val="none" w:sz="0" w:space="0" w:color="auto"/>
        <w:left w:val="none" w:sz="0" w:space="0" w:color="auto"/>
        <w:bottom w:val="none" w:sz="0" w:space="0" w:color="auto"/>
        <w:right w:val="none" w:sz="0" w:space="0" w:color="auto"/>
      </w:divBdr>
    </w:div>
    <w:div w:id="974679858">
      <w:bodyDiv w:val="1"/>
      <w:marLeft w:val="0"/>
      <w:marRight w:val="0"/>
      <w:marTop w:val="0"/>
      <w:marBottom w:val="0"/>
      <w:divBdr>
        <w:top w:val="none" w:sz="0" w:space="0" w:color="auto"/>
        <w:left w:val="none" w:sz="0" w:space="0" w:color="auto"/>
        <w:bottom w:val="none" w:sz="0" w:space="0" w:color="auto"/>
        <w:right w:val="none" w:sz="0" w:space="0" w:color="auto"/>
      </w:divBdr>
    </w:div>
    <w:div w:id="1148942105">
      <w:bodyDiv w:val="1"/>
      <w:marLeft w:val="0"/>
      <w:marRight w:val="0"/>
      <w:marTop w:val="0"/>
      <w:marBottom w:val="0"/>
      <w:divBdr>
        <w:top w:val="none" w:sz="0" w:space="0" w:color="auto"/>
        <w:left w:val="none" w:sz="0" w:space="0" w:color="auto"/>
        <w:bottom w:val="none" w:sz="0" w:space="0" w:color="auto"/>
        <w:right w:val="none" w:sz="0" w:space="0" w:color="auto"/>
      </w:divBdr>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458447866">
      <w:bodyDiv w:val="1"/>
      <w:marLeft w:val="0"/>
      <w:marRight w:val="0"/>
      <w:marTop w:val="0"/>
      <w:marBottom w:val="0"/>
      <w:divBdr>
        <w:top w:val="none" w:sz="0" w:space="0" w:color="auto"/>
        <w:left w:val="none" w:sz="0" w:space="0" w:color="auto"/>
        <w:bottom w:val="none" w:sz="0" w:space="0" w:color="auto"/>
        <w:right w:val="none" w:sz="0" w:space="0" w:color="auto"/>
      </w:divBdr>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 w:id="19826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Plain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74DE-6365-4C2A-B5F9-08EA3D03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Template>
  <TotalTime>1</TotalTime>
  <Pages>10</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29847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cp:lastModifiedBy>pdfeng</cp:lastModifiedBy>
  <cp:revision>3</cp:revision>
  <cp:lastPrinted>2015-10-28T15:48:00Z</cp:lastPrinted>
  <dcterms:created xsi:type="dcterms:W3CDTF">2015-10-28T15:48:00Z</dcterms:created>
  <dcterms:modified xsi:type="dcterms:W3CDTF">2015-10-28T15:48:00Z</dcterms:modified>
</cp:coreProperties>
</file>