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90" w:rsidRPr="00C74D8A" w:rsidRDefault="002F7A90" w:rsidP="002F7A90">
      <w:pPr>
        <w:spacing w:line="60" w:lineRule="exact"/>
        <w:rPr>
          <w:color w:val="010000"/>
          <w:sz w:val="6"/>
        </w:rPr>
        <w:sectPr w:rsidR="002F7A90" w:rsidRPr="00C74D8A" w:rsidSect="002F7A9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  <w:r w:rsidRPr="00C74D8A">
        <w:rPr>
          <w:rStyle w:val="CommentReference"/>
        </w:rPr>
        <w:commentReference w:id="1"/>
      </w:r>
    </w:p>
    <w:p w:rsidR="00183811" w:rsidRPr="00183811" w:rsidRDefault="00183811" w:rsidP="0018381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7"/>
      </w:pPr>
      <w:r w:rsidRPr="00183811">
        <w:lastRenderedPageBreak/>
        <w:t xml:space="preserve">Комитет по экономическим, социальным </w:t>
      </w:r>
      <w:r w:rsidRPr="00183811">
        <w:br/>
        <w:t>и культурным правам</w:t>
      </w:r>
    </w:p>
    <w:p w:rsidR="00183811" w:rsidRPr="00183811" w:rsidRDefault="00183811" w:rsidP="00183811">
      <w:pPr>
        <w:pStyle w:val="SingleTxt"/>
        <w:spacing w:after="0" w:line="120" w:lineRule="exact"/>
        <w:rPr>
          <w:sz w:val="10"/>
        </w:rPr>
      </w:pPr>
    </w:p>
    <w:p w:rsidR="00183811" w:rsidRPr="00183811" w:rsidRDefault="00183811" w:rsidP="00183811">
      <w:pPr>
        <w:pStyle w:val="SingleTxt"/>
        <w:spacing w:after="0" w:line="120" w:lineRule="exact"/>
        <w:rPr>
          <w:sz w:val="10"/>
        </w:rPr>
      </w:pPr>
    </w:p>
    <w:p w:rsidR="00183811" w:rsidRPr="00183811" w:rsidRDefault="00183811" w:rsidP="00183811">
      <w:pPr>
        <w:pStyle w:val="SingleTxt"/>
        <w:spacing w:after="0" w:line="120" w:lineRule="exact"/>
        <w:rPr>
          <w:sz w:val="10"/>
        </w:rPr>
      </w:pPr>
    </w:p>
    <w:p w:rsidR="00183811" w:rsidRPr="00183811" w:rsidRDefault="00183811" w:rsidP="0018381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83811">
        <w:tab/>
      </w:r>
      <w:r w:rsidRPr="00183811">
        <w:tab/>
        <w:t>Сообщение № 2/2014</w:t>
      </w:r>
    </w:p>
    <w:p w:rsidR="00183811" w:rsidRPr="00592732" w:rsidRDefault="00183811" w:rsidP="00183811">
      <w:pPr>
        <w:pStyle w:val="SingleTxt"/>
        <w:spacing w:after="0" w:line="120" w:lineRule="exact"/>
        <w:rPr>
          <w:sz w:val="10"/>
        </w:rPr>
      </w:pPr>
    </w:p>
    <w:p w:rsidR="00183811" w:rsidRPr="00592732" w:rsidRDefault="00183811" w:rsidP="00183811">
      <w:pPr>
        <w:pStyle w:val="SingleTxt"/>
        <w:spacing w:after="0" w:line="120" w:lineRule="exact"/>
        <w:rPr>
          <w:sz w:val="10"/>
        </w:rPr>
      </w:pPr>
    </w:p>
    <w:p w:rsidR="00183811" w:rsidRPr="00183811" w:rsidRDefault="00183811" w:rsidP="0018381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83811">
        <w:tab/>
      </w:r>
      <w:r w:rsidRPr="00183811">
        <w:tab/>
        <w:t>Соображения, принятые Комитетом на его пятьдесят пятой сессии (1–19 июня 2015 года)</w:t>
      </w:r>
    </w:p>
    <w:p w:rsidR="00183811" w:rsidRPr="00183811" w:rsidRDefault="00183811" w:rsidP="00183811">
      <w:pPr>
        <w:pStyle w:val="SingleTxt"/>
        <w:spacing w:after="0" w:line="120" w:lineRule="exact"/>
        <w:rPr>
          <w:sz w:val="10"/>
        </w:rPr>
      </w:pPr>
    </w:p>
    <w:p w:rsidR="00183811" w:rsidRPr="00183811" w:rsidRDefault="00183811" w:rsidP="00183811">
      <w:pPr>
        <w:pStyle w:val="SingleTxt"/>
        <w:spacing w:after="0" w:line="120" w:lineRule="exact"/>
        <w:rPr>
          <w:sz w:val="10"/>
        </w:rPr>
      </w:pPr>
    </w:p>
    <w:p w:rsidR="00183811" w:rsidRPr="00183811" w:rsidRDefault="00183811" w:rsidP="00183811">
      <w:pPr>
        <w:pStyle w:val="SingleTxt"/>
        <w:spacing w:after="0" w:line="120" w:lineRule="exact"/>
        <w:rPr>
          <w:sz w:val="10"/>
        </w:rPr>
      </w:pPr>
    </w:p>
    <w:tbl>
      <w:tblPr>
        <w:tblW w:w="7092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2"/>
        <w:gridCol w:w="4070"/>
      </w:tblGrid>
      <w:tr w:rsidR="00183811" w:rsidTr="007745E7">
        <w:tc>
          <w:tcPr>
            <w:tcW w:w="3022" w:type="dxa"/>
            <w:shd w:val="clear" w:color="auto" w:fill="auto"/>
            <w:tcMar>
              <w:left w:w="43" w:type="dxa"/>
            </w:tcMar>
          </w:tcPr>
          <w:p w:rsidR="00183811" w:rsidRPr="00B93E3B" w:rsidRDefault="00183811" w:rsidP="00183811">
            <w:pPr>
              <w:suppressAutoHyphens/>
              <w:spacing w:after="120"/>
              <w:rPr>
                <w:rFonts w:eastAsia="Times New Roman"/>
                <w:i/>
              </w:rPr>
            </w:pPr>
            <w:r w:rsidRPr="00B93E3B">
              <w:rPr>
                <w:rFonts w:eastAsia="Times New Roman"/>
                <w:i/>
                <w:iCs/>
              </w:rPr>
              <w:t>Тема сообщения:</w:t>
            </w:r>
          </w:p>
        </w:tc>
        <w:tc>
          <w:tcPr>
            <w:tcW w:w="4070" w:type="dxa"/>
            <w:shd w:val="clear" w:color="auto" w:fill="auto"/>
            <w:tcMar>
              <w:left w:w="43" w:type="dxa"/>
            </w:tcMar>
          </w:tcPr>
          <w:p w:rsidR="00183811" w:rsidRPr="00B93E3B" w:rsidRDefault="007745E7" w:rsidP="007745E7">
            <w:pPr>
              <w:suppressAutoHyphens/>
              <w:spacing w:after="120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  <w:r w:rsidR="00183811" w:rsidRPr="00183811">
              <w:rPr>
                <w:rFonts w:eastAsia="Times New Roman"/>
              </w:rPr>
              <w:t>тсутствие эффективного доступа к судам для защиты права на достаточное жилище</w:t>
            </w:r>
          </w:p>
        </w:tc>
      </w:tr>
      <w:tr w:rsidR="00183811" w:rsidTr="007745E7">
        <w:tc>
          <w:tcPr>
            <w:tcW w:w="3022" w:type="dxa"/>
            <w:shd w:val="clear" w:color="auto" w:fill="auto"/>
            <w:tcMar>
              <w:left w:w="43" w:type="dxa"/>
            </w:tcMar>
          </w:tcPr>
          <w:p w:rsidR="00183811" w:rsidRPr="00B93E3B" w:rsidRDefault="00183811" w:rsidP="00183811">
            <w:pPr>
              <w:suppressAutoHyphens/>
              <w:spacing w:after="120"/>
              <w:rPr>
                <w:rFonts w:eastAsia="Times New Roman"/>
                <w:i/>
                <w:iCs/>
              </w:rPr>
            </w:pPr>
            <w:r w:rsidRPr="00B93E3B">
              <w:rPr>
                <w:rFonts w:eastAsia="Times New Roman"/>
                <w:i/>
                <w:iCs/>
              </w:rPr>
              <w:t>Вопросы существа:</w:t>
            </w:r>
          </w:p>
        </w:tc>
        <w:tc>
          <w:tcPr>
            <w:tcW w:w="4070" w:type="dxa"/>
            <w:shd w:val="clear" w:color="auto" w:fill="auto"/>
            <w:tcMar>
              <w:left w:w="43" w:type="dxa"/>
            </w:tcMar>
          </w:tcPr>
          <w:p w:rsidR="00183811" w:rsidRPr="00B93E3B" w:rsidRDefault="007745E7" w:rsidP="00183811">
            <w:pPr>
              <w:suppressAutoHyphens/>
              <w:spacing w:after="120"/>
              <w:rPr>
                <w:rFonts w:eastAsia="Times New Roman"/>
              </w:rPr>
            </w:pPr>
            <w:r>
              <w:rPr>
                <w:rFonts w:eastAsia="Times New Roman"/>
              </w:rPr>
              <w:t>м</w:t>
            </w:r>
            <w:r w:rsidR="00183811" w:rsidRPr="00183811">
              <w:rPr>
                <w:rFonts w:eastAsia="Times New Roman"/>
              </w:rPr>
              <w:t>еры по обеспечению полной реализации прав, закрепленных в Пакте, право на достаточное жилище</w:t>
            </w:r>
          </w:p>
        </w:tc>
      </w:tr>
      <w:tr w:rsidR="00183811" w:rsidTr="007745E7">
        <w:tc>
          <w:tcPr>
            <w:tcW w:w="3022" w:type="dxa"/>
            <w:shd w:val="clear" w:color="auto" w:fill="auto"/>
            <w:tcMar>
              <w:left w:w="43" w:type="dxa"/>
            </w:tcMar>
          </w:tcPr>
          <w:p w:rsidR="00183811" w:rsidRPr="00B93E3B" w:rsidRDefault="00183811" w:rsidP="00183811">
            <w:pPr>
              <w:suppressAutoHyphens/>
              <w:spacing w:after="120"/>
              <w:rPr>
                <w:rFonts w:eastAsia="Times New Roman"/>
                <w:i/>
                <w:iCs/>
              </w:rPr>
            </w:pPr>
            <w:r w:rsidRPr="00B93E3B">
              <w:rPr>
                <w:rFonts w:eastAsia="Times New Roman"/>
                <w:i/>
                <w:iCs/>
              </w:rPr>
              <w:t>Процедурные вопросы</w:t>
            </w:r>
            <w:r w:rsidRPr="00B93E3B">
              <w:rPr>
                <w:rFonts w:eastAsia="Times New Roman"/>
                <w:i/>
              </w:rPr>
              <w:t>:</w:t>
            </w:r>
          </w:p>
        </w:tc>
        <w:tc>
          <w:tcPr>
            <w:tcW w:w="4070" w:type="dxa"/>
            <w:shd w:val="clear" w:color="auto" w:fill="auto"/>
            <w:tcMar>
              <w:left w:w="43" w:type="dxa"/>
            </w:tcMar>
          </w:tcPr>
          <w:p w:rsidR="00183811" w:rsidRPr="00B93E3B" w:rsidRDefault="007745E7" w:rsidP="00183811">
            <w:pPr>
              <w:suppressAutoHyphens/>
              <w:spacing w:after="120"/>
              <w:rPr>
                <w:rFonts w:eastAsia="Times New Roman"/>
              </w:rPr>
            </w:pPr>
            <w:r>
              <w:rPr>
                <w:rFonts w:eastAsia="Times New Roman"/>
              </w:rPr>
              <w:t>к</w:t>
            </w:r>
            <w:r w:rsidR="00183811" w:rsidRPr="00183811">
              <w:rPr>
                <w:rFonts w:eastAsia="Times New Roman"/>
              </w:rPr>
              <w:t>омпетенция ratione temporis Комитета</w:t>
            </w:r>
          </w:p>
        </w:tc>
      </w:tr>
      <w:tr w:rsidR="00183811" w:rsidTr="007745E7">
        <w:tc>
          <w:tcPr>
            <w:tcW w:w="3022" w:type="dxa"/>
            <w:shd w:val="clear" w:color="auto" w:fill="auto"/>
            <w:tcMar>
              <w:left w:w="43" w:type="dxa"/>
            </w:tcMar>
          </w:tcPr>
          <w:p w:rsidR="00183811" w:rsidRPr="00B93E3B" w:rsidRDefault="00183811" w:rsidP="00183811">
            <w:pPr>
              <w:suppressAutoHyphens/>
              <w:spacing w:after="120"/>
              <w:rPr>
                <w:rFonts w:eastAsia="Times New Roman"/>
                <w:i/>
                <w:iCs/>
              </w:rPr>
            </w:pPr>
            <w:r w:rsidRPr="00B93E3B">
              <w:rPr>
                <w:rFonts w:eastAsia="Times New Roman"/>
                <w:i/>
                <w:iCs/>
              </w:rPr>
              <w:t>Статьи Пакта</w:t>
            </w:r>
            <w:r w:rsidRPr="00B93E3B">
              <w:rPr>
                <w:rFonts w:eastAsia="Times New Roman"/>
                <w:i/>
              </w:rPr>
              <w:t>:</w:t>
            </w:r>
          </w:p>
        </w:tc>
        <w:tc>
          <w:tcPr>
            <w:tcW w:w="4070" w:type="dxa"/>
            <w:shd w:val="clear" w:color="auto" w:fill="auto"/>
            <w:tcMar>
              <w:left w:w="43" w:type="dxa"/>
            </w:tcMar>
          </w:tcPr>
          <w:p w:rsidR="00183811" w:rsidRPr="00B93E3B" w:rsidRDefault="00183811" w:rsidP="00183811">
            <w:pPr>
              <w:suppressAutoHyphens/>
              <w:spacing w:after="120"/>
              <w:rPr>
                <w:rFonts w:eastAsia="Times New Roman"/>
              </w:rPr>
            </w:pPr>
            <w:r w:rsidRPr="00183811">
              <w:rPr>
                <w:rFonts w:eastAsia="Times New Roman"/>
              </w:rPr>
              <w:t>пункт 1 статьи 2 и пункт 1 статьи 11</w:t>
            </w:r>
          </w:p>
        </w:tc>
      </w:tr>
      <w:tr w:rsidR="00183811" w:rsidTr="007745E7">
        <w:tc>
          <w:tcPr>
            <w:tcW w:w="3022" w:type="dxa"/>
            <w:shd w:val="clear" w:color="auto" w:fill="auto"/>
            <w:tcMar>
              <w:left w:w="43" w:type="dxa"/>
            </w:tcMar>
          </w:tcPr>
          <w:p w:rsidR="00183811" w:rsidRPr="00B93E3B" w:rsidRDefault="00183811" w:rsidP="00183811">
            <w:pPr>
              <w:suppressAutoHyphens/>
              <w:spacing w:after="120"/>
              <w:rPr>
                <w:rFonts w:eastAsia="Times New Roman"/>
                <w:i/>
                <w:iCs/>
              </w:rPr>
            </w:pPr>
            <w:r w:rsidRPr="00B93E3B">
              <w:rPr>
                <w:rFonts w:eastAsia="Times New Roman"/>
                <w:i/>
                <w:iCs/>
              </w:rPr>
              <w:t xml:space="preserve">Статьи </w:t>
            </w:r>
            <w:r>
              <w:rPr>
                <w:rFonts w:eastAsia="Times New Roman"/>
                <w:i/>
                <w:iCs/>
              </w:rPr>
              <w:t>Факультативного протокола</w:t>
            </w:r>
            <w:r w:rsidRPr="00B93E3B">
              <w:rPr>
                <w:rFonts w:eastAsia="Times New Roman"/>
                <w:i/>
              </w:rPr>
              <w:t>:</w:t>
            </w:r>
          </w:p>
        </w:tc>
        <w:tc>
          <w:tcPr>
            <w:tcW w:w="4070" w:type="dxa"/>
            <w:shd w:val="clear" w:color="auto" w:fill="auto"/>
            <w:tcMar>
              <w:left w:w="43" w:type="dxa"/>
            </w:tcMar>
          </w:tcPr>
          <w:p w:rsidR="00183811" w:rsidRPr="00B93E3B" w:rsidRDefault="00183811" w:rsidP="00183811">
            <w:pPr>
              <w:suppressAutoHyphens/>
              <w:spacing w:after="120"/>
              <w:rPr>
                <w:rFonts w:eastAsia="Times New Roman"/>
              </w:rPr>
            </w:pPr>
            <w:r w:rsidRPr="00183811">
              <w:rPr>
                <w:rFonts w:eastAsia="Times New Roman"/>
              </w:rPr>
              <w:t>пункт 2 b) статьи 3</w:t>
            </w:r>
          </w:p>
        </w:tc>
      </w:tr>
    </w:tbl>
    <w:p w:rsidR="00183811" w:rsidRDefault="00183811" w:rsidP="002F7A90">
      <w:pPr>
        <w:pStyle w:val="SingleTxt"/>
      </w:pPr>
    </w:p>
    <w:p w:rsidR="00183811" w:rsidRPr="00183811" w:rsidRDefault="00183811" w:rsidP="00183811">
      <w:pPr>
        <w:pStyle w:val="SingleTxt"/>
        <w:spacing w:after="0" w:line="120" w:lineRule="exact"/>
        <w:rPr>
          <w:sz w:val="10"/>
        </w:rPr>
      </w:pPr>
      <w:r>
        <w:br w:type="page"/>
      </w:r>
    </w:p>
    <w:p w:rsidR="00183811" w:rsidRPr="00183811" w:rsidRDefault="00183811" w:rsidP="0018381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83811">
        <w:t>Приложение</w:t>
      </w:r>
    </w:p>
    <w:p w:rsidR="00183811" w:rsidRPr="00183811" w:rsidRDefault="00183811" w:rsidP="00183811">
      <w:pPr>
        <w:pStyle w:val="SingleTxt"/>
        <w:spacing w:after="0" w:line="120" w:lineRule="exact"/>
        <w:rPr>
          <w:sz w:val="10"/>
        </w:rPr>
      </w:pPr>
    </w:p>
    <w:p w:rsidR="00183811" w:rsidRPr="00183811" w:rsidRDefault="00183811" w:rsidP="00183811">
      <w:pPr>
        <w:pStyle w:val="SingleTxt"/>
        <w:spacing w:after="0" w:line="120" w:lineRule="exact"/>
        <w:rPr>
          <w:sz w:val="10"/>
        </w:rPr>
      </w:pPr>
    </w:p>
    <w:p w:rsidR="00183811" w:rsidRPr="00183811" w:rsidRDefault="00183811" w:rsidP="0018381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83811">
        <w:tab/>
      </w:r>
      <w:r w:rsidRPr="00183811">
        <w:tab/>
        <w:t>Соображения Комитета по экономическим, социальным и культурным правам в соответствии с Факультативным протоколом к Международному пакту об экономических, социальных и культурных правах (пятьдесят пятая сессия)</w:t>
      </w:r>
    </w:p>
    <w:p w:rsidR="00183811" w:rsidRPr="00183811" w:rsidRDefault="00183811" w:rsidP="00183811">
      <w:pPr>
        <w:pStyle w:val="SingleTxt"/>
        <w:spacing w:after="0" w:line="120" w:lineRule="exact"/>
        <w:rPr>
          <w:sz w:val="10"/>
        </w:rPr>
      </w:pPr>
    </w:p>
    <w:p w:rsidR="00183811" w:rsidRPr="00183811" w:rsidRDefault="00183811" w:rsidP="00183811">
      <w:pPr>
        <w:pStyle w:val="SingleTxt"/>
        <w:spacing w:after="0" w:line="120" w:lineRule="exact"/>
        <w:rPr>
          <w:sz w:val="10"/>
        </w:rPr>
      </w:pPr>
    </w:p>
    <w:p w:rsidR="00183811" w:rsidRPr="00183811" w:rsidRDefault="00183811" w:rsidP="00183811">
      <w:pPr>
        <w:pStyle w:val="SingleTxt"/>
        <w:rPr>
          <w:bCs/>
        </w:rPr>
      </w:pPr>
      <w:r w:rsidRPr="00183811">
        <w:t>относительно</w:t>
      </w:r>
    </w:p>
    <w:p w:rsidR="00183811" w:rsidRPr="00183811" w:rsidRDefault="00183811" w:rsidP="00183811">
      <w:pPr>
        <w:pStyle w:val="SingleTxt"/>
        <w:spacing w:after="0" w:line="120" w:lineRule="exact"/>
        <w:rPr>
          <w:sz w:val="10"/>
        </w:rPr>
      </w:pPr>
    </w:p>
    <w:p w:rsidR="00183811" w:rsidRPr="00183811" w:rsidRDefault="00183811" w:rsidP="00183811">
      <w:pPr>
        <w:pStyle w:val="SingleTxt"/>
        <w:spacing w:after="0" w:line="120" w:lineRule="exact"/>
        <w:rPr>
          <w:sz w:val="10"/>
        </w:rPr>
      </w:pPr>
    </w:p>
    <w:p w:rsidR="00183811" w:rsidRPr="00183811" w:rsidRDefault="00183811" w:rsidP="007745E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83811">
        <w:tab/>
      </w:r>
      <w:r w:rsidRPr="00183811">
        <w:tab/>
        <w:t>Сообщения № 2/2014</w:t>
      </w:r>
    </w:p>
    <w:p w:rsidR="00183811" w:rsidRPr="00183811" w:rsidRDefault="00183811" w:rsidP="00183811">
      <w:pPr>
        <w:pStyle w:val="SingleTxt"/>
        <w:spacing w:after="0" w:line="120" w:lineRule="exact"/>
        <w:rPr>
          <w:sz w:val="10"/>
        </w:rPr>
      </w:pPr>
    </w:p>
    <w:p w:rsidR="00183811" w:rsidRPr="00183811" w:rsidRDefault="00183811" w:rsidP="00183811">
      <w:pPr>
        <w:pStyle w:val="SingleTxt"/>
        <w:spacing w:after="0" w:line="120" w:lineRule="exact"/>
        <w:rPr>
          <w:sz w:val="10"/>
        </w:rPr>
      </w:pPr>
    </w:p>
    <w:tbl>
      <w:tblPr>
        <w:tblW w:w="7092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0"/>
        <w:gridCol w:w="4052"/>
      </w:tblGrid>
      <w:tr w:rsidR="007745E7" w:rsidTr="007745E7">
        <w:tc>
          <w:tcPr>
            <w:tcW w:w="3040" w:type="dxa"/>
            <w:shd w:val="clear" w:color="auto" w:fill="auto"/>
            <w:tcMar>
              <w:left w:w="43" w:type="dxa"/>
            </w:tcMar>
          </w:tcPr>
          <w:p w:rsidR="007745E7" w:rsidRPr="00B93E3B" w:rsidRDefault="007745E7" w:rsidP="007745E7">
            <w:pPr>
              <w:suppressAutoHyphens/>
              <w:spacing w:after="12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  <w:iCs/>
              </w:rPr>
              <w:t>Представлено</w:t>
            </w:r>
            <w:r w:rsidRPr="00B93E3B">
              <w:rPr>
                <w:rFonts w:eastAsia="Times New Roman"/>
                <w:i/>
                <w:iCs/>
              </w:rPr>
              <w:t>:</w:t>
            </w:r>
          </w:p>
        </w:tc>
        <w:tc>
          <w:tcPr>
            <w:tcW w:w="4052" w:type="dxa"/>
            <w:shd w:val="clear" w:color="auto" w:fill="auto"/>
            <w:tcMar>
              <w:left w:w="43" w:type="dxa"/>
            </w:tcMar>
          </w:tcPr>
          <w:p w:rsidR="007745E7" w:rsidRPr="00B93E3B" w:rsidRDefault="007745E7" w:rsidP="007745E7">
            <w:pPr>
              <w:suppressAutoHyphens/>
              <w:spacing w:after="120"/>
              <w:rPr>
                <w:rFonts w:eastAsia="Times New Roman"/>
              </w:rPr>
            </w:pPr>
            <w:r w:rsidRPr="007745E7">
              <w:rPr>
                <w:rFonts w:eastAsia="Times New Roman"/>
              </w:rPr>
              <w:t>И.Д.Г. (представлена адвокатами Фернандо Рон</w:t>
            </w:r>
            <w:r w:rsidR="00D51E6C">
              <w:rPr>
                <w:rFonts w:eastAsia="Times New Roman"/>
              </w:rPr>
              <w:t>ом</w:t>
            </w:r>
            <w:r w:rsidRPr="007745E7">
              <w:rPr>
                <w:rFonts w:eastAsia="Times New Roman"/>
              </w:rPr>
              <w:t xml:space="preserve"> и Фернандо Моралес</w:t>
            </w:r>
            <w:r w:rsidR="00D51E6C">
              <w:rPr>
                <w:rFonts w:eastAsia="Times New Roman"/>
              </w:rPr>
              <w:t>ом</w:t>
            </w:r>
            <w:r w:rsidRPr="007745E7">
              <w:rPr>
                <w:rFonts w:eastAsia="Times New Roman"/>
              </w:rPr>
              <w:t>)</w:t>
            </w:r>
          </w:p>
        </w:tc>
      </w:tr>
      <w:tr w:rsidR="007745E7" w:rsidTr="007745E7">
        <w:tc>
          <w:tcPr>
            <w:tcW w:w="3040" w:type="dxa"/>
            <w:shd w:val="clear" w:color="auto" w:fill="auto"/>
            <w:tcMar>
              <w:left w:w="43" w:type="dxa"/>
            </w:tcMar>
          </w:tcPr>
          <w:p w:rsidR="007745E7" w:rsidRPr="00B93E3B" w:rsidRDefault="007745E7" w:rsidP="007745E7">
            <w:pPr>
              <w:suppressAutoHyphens/>
              <w:spacing w:after="120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Предполагаемая жертва</w:t>
            </w:r>
            <w:r w:rsidRPr="00B93E3B">
              <w:rPr>
                <w:rFonts w:eastAsia="Times New Roman"/>
                <w:i/>
                <w:iCs/>
              </w:rPr>
              <w:t>:</w:t>
            </w:r>
          </w:p>
        </w:tc>
        <w:tc>
          <w:tcPr>
            <w:tcW w:w="4052" w:type="dxa"/>
            <w:shd w:val="clear" w:color="auto" w:fill="auto"/>
            <w:tcMar>
              <w:left w:w="43" w:type="dxa"/>
            </w:tcMar>
          </w:tcPr>
          <w:p w:rsidR="007745E7" w:rsidRPr="00B93E3B" w:rsidRDefault="007745E7" w:rsidP="007745E7">
            <w:pPr>
              <w:suppressAutoHyphens/>
              <w:spacing w:after="120"/>
              <w:rPr>
                <w:rFonts w:eastAsia="Times New Roman"/>
              </w:rPr>
            </w:pPr>
            <w:r w:rsidRPr="007745E7">
              <w:rPr>
                <w:rFonts w:eastAsia="Times New Roman"/>
              </w:rPr>
              <w:t>автор сообщения</w:t>
            </w:r>
          </w:p>
        </w:tc>
      </w:tr>
      <w:tr w:rsidR="007745E7" w:rsidTr="007745E7">
        <w:tc>
          <w:tcPr>
            <w:tcW w:w="3040" w:type="dxa"/>
            <w:shd w:val="clear" w:color="auto" w:fill="auto"/>
            <w:tcMar>
              <w:left w:w="43" w:type="dxa"/>
            </w:tcMar>
          </w:tcPr>
          <w:p w:rsidR="007745E7" w:rsidRPr="00B93E3B" w:rsidRDefault="007745E7" w:rsidP="007745E7">
            <w:pPr>
              <w:suppressAutoHyphens/>
              <w:spacing w:after="120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Государство-участник</w:t>
            </w:r>
            <w:r w:rsidRPr="00B93E3B">
              <w:rPr>
                <w:rFonts w:eastAsia="Times New Roman"/>
                <w:i/>
              </w:rPr>
              <w:t>:</w:t>
            </w:r>
          </w:p>
        </w:tc>
        <w:tc>
          <w:tcPr>
            <w:tcW w:w="4052" w:type="dxa"/>
            <w:shd w:val="clear" w:color="auto" w:fill="auto"/>
            <w:tcMar>
              <w:left w:w="43" w:type="dxa"/>
            </w:tcMar>
          </w:tcPr>
          <w:p w:rsidR="007745E7" w:rsidRPr="00B93E3B" w:rsidRDefault="007745E7" w:rsidP="007745E7">
            <w:pPr>
              <w:suppressAutoHyphens/>
              <w:spacing w:after="120"/>
              <w:rPr>
                <w:rFonts w:eastAsia="Times New Roman"/>
              </w:rPr>
            </w:pPr>
            <w:r>
              <w:rPr>
                <w:rFonts w:eastAsia="Times New Roman"/>
              </w:rPr>
              <w:t>Испания</w:t>
            </w:r>
          </w:p>
        </w:tc>
      </w:tr>
      <w:tr w:rsidR="007745E7" w:rsidTr="007745E7">
        <w:tc>
          <w:tcPr>
            <w:tcW w:w="3040" w:type="dxa"/>
            <w:shd w:val="clear" w:color="auto" w:fill="auto"/>
            <w:tcMar>
              <w:left w:w="43" w:type="dxa"/>
            </w:tcMar>
          </w:tcPr>
          <w:p w:rsidR="007745E7" w:rsidRPr="00B93E3B" w:rsidRDefault="007745E7" w:rsidP="007745E7">
            <w:pPr>
              <w:suppressAutoHyphens/>
              <w:spacing w:after="120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Дата сообщения</w:t>
            </w:r>
            <w:r w:rsidRPr="00B93E3B">
              <w:rPr>
                <w:rFonts w:eastAsia="Times New Roman"/>
                <w:i/>
              </w:rPr>
              <w:t>:</w:t>
            </w:r>
          </w:p>
        </w:tc>
        <w:tc>
          <w:tcPr>
            <w:tcW w:w="4052" w:type="dxa"/>
            <w:shd w:val="clear" w:color="auto" w:fill="auto"/>
            <w:tcMar>
              <w:left w:w="43" w:type="dxa"/>
            </w:tcMar>
          </w:tcPr>
          <w:p w:rsidR="007745E7" w:rsidRPr="00B93E3B" w:rsidRDefault="007745E7" w:rsidP="007745E7">
            <w:pPr>
              <w:suppressAutoHyphens/>
              <w:spacing w:after="120"/>
              <w:rPr>
                <w:rFonts w:eastAsia="Times New Roman"/>
              </w:rPr>
            </w:pPr>
            <w:r w:rsidRPr="007745E7">
              <w:rPr>
                <w:rFonts w:eastAsia="Times New Roman"/>
              </w:rPr>
              <w:t>28 января 2014 года (дата получения Комитетом)</w:t>
            </w:r>
          </w:p>
        </w:tc>
      </w:tr>
    </w:tbl>
    <w:p w:rsidR="00183811" w:rsidRPr="007745E7" w:rsidRDefault="00183811" w:rsidP="007745E7">
      <w:pPr>
        <w:pStyle w:val="SingleTxt"/>
        <w:spacing w:after="0" w:line="120" w:lineRule="exact"/>
        <w:rPr>
          <w:sz w:val="10"/>
        </w:rPr>
      </w:pPr>
    </w:p>
    <w:p w:rsidR="007745E7" w:rsidRPr="007745E7" w:rsidRDefault="007745E7" w:rsidP="007745E7">
      <w:pPr>
        <w:pStyle w:val="SingleTxt"/>
        <w:spacing w:after="0" w:line="120" w:lineRule="exact"/>
        <w:rPr>
          <w:sz w:val="10"/>
        </w:rPr>
      </w:pPr>
    </w:p>
    <w:p w:rsidR="007745E7" w:rsidRPr="007745E7" w:rsidRDefault="007745E7" w:rsidP="007745E7">
      <w:pPr>
        <w:pStyle w:val="SingleTxt"/>
      </w:pPr>
      <w:r w:rsidRPr="007745E7">
        <w:tab/>
      </w:r>
      <w:r w:rsidRPr="007745E7">
        <w:rPr>
          <w:i/>
          <w:iCs/>
        </w:rPr>
        <w:t>Комитет по экономическим, социальным и культурным правам</w:t>
      </w:r>
      <w:r w:rsidRPr="007745E7">
        <w:t>, учрежде</w:t>
      </w:r>
      <w:r w:rsidRPr="007745E7">
        <w:t>н</w:t>
      </w:r>
      <w:r w:rsidRPr="007745E7">
        <w:t>ный в соответствии с резолюцией 1985/17 Экономического и Социального Сов</w:t>
      </w:r>
      <w:r w:rsidRPr="007745E7">
        <w:t>е</w:t>
      </w:r>
      <w:r w:rsidRPr="007745E7">
        <w:t xml:space="preserve">та, </w:t>
      </w:r>
    </w:p>
    <w:p w:rsidR="007745E7" w:rsidRPr="007745E7" w:rsidRDefault="007745E7" w:rsidP="007745E7">
      <w:pPr>
        <w:pStyle w:val="SingleTxt"/>
      </w:pPr>
      <w:r w:rsidRPr="007745E7">
        <w:tab/>
      </w:r>
      <w:r w:rsidRPr="007745E7">
        <w:rPr>
          <w:i/>
          <w:iCs/>
        </w:rPr>
        <w:t>на своем заседании</w:t>
      </w:r>
      <w:r w:rsidRPr="007745E7">
        <w:t xml:space="preserve"> 17 июня 2015 года,</w:t>
      </w:r>
    </w:p>
    <w:p w:rsidR="007745E7" w:rsidRPr="007745E7" w:rsidRDefault="007745E7" w:rsidP="007745E7">
      <w:pPr>
        <w:pStyle w:val="SingleTxt"/>
      </w:pPr>
      <w:r w:rsidRPr="007745E7">
        <w:tab/>
      </w:r>
      <w:r w:rsidRPr="007745E7">
        <w:rPr>
          <w:i/>
          <w:iCs/>
        </w:rPr>
        <w:t>завершив рассмотрение</w:t>
      </w:r>
      <w:r w:rsidRPr="007745E7">
        <w:t xml:space="preserve"> сообщения № 2/2014, представленного Комитету в</w:t>
      </w:r>
      <w:r w:rsidR="00D04A5B">
        <w:t> </w:t>
      </w:r>
      <w:r w:rsidRPr="007745E7">
        <w:t>соответствии с Факультативным протоколом к Международному пакту об эк</w:t>
      </w:r>
      <w:r w:rsidRPr="007745E7">
        <w:t>о</w:t>
      </w:r>
      <w:r w:rsidRPr="007745E7">
        <w:t>номических, социальных и культурных правах,</w:t>
      </w:r>
    </w:p>
    <w:p w:rsidR="007745E7" w:rsidRPr="007745E7" w:rsidRDefault="007745E7" w:rsidP="007745E7">
      <w:pPr>
        <w:pStyle w:val="SingleTxt"/>
        <w:rPr>
          <w:i/>
        </w:rPr>
      </w:pPr>
      <w:r w:rsidRPr="007745E7">
        <w:tab/>
      </w:r>
      <w:r w:rsidRPr="007745E7">
        <w:rPr>
          <w:i/>
          <w:iCs/>
        </w:rPr>
        <w:t xml:space="preserve">принимает </w:t>
      </w:r>
      <w:r w:rsidRPr="007745E7">
        <w:t>следующее:</w:t>
      </w:r>
    </w:p>
    <w:p w:rsidR="007745E7" w:rsidRPr="007745E7" w:rsidRDefault="007745E7" w:rsidP="007745E7">
      <w:pPr>
        <w:pStyle w:val="SingleTxt"/>
        <w:spacing w:after="0" w:line="120" w:lineRule="exact"/>
        <w:rPr>
          <w:sz w:val="10"/>
        </w:rPr>
      </w:pPr>
    </w:p>
    <w:p w:rsidR="007745E7" w:rsidRPr="007745E7" w:rsidRDefault="007745E7" w:rsidP="007745E7">
      <w:pPr>
        <w:pStyle w:val="SingleTxt"/>
        <w:spacing w:after="0" w:line="120" w:lineRule="exact"/>
        <w:rPr>
          <w:sz w:val="10"/>
        </w:rPr>
      </w:pPr>
    </w:p>
    <w:p w:rsidR="007745E7" w:rsidRPr="007745E7" w:rsidRDefault="007745E7" w:rsidP="007745E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745E7">
        <w:tab/>
      </w:r>
      <w:r w:rsidRPr="007745E7">
        <w:tab/>
        <w:t>Соображения в соответствии с пунктом 1 статьи 9 Факультативного протокола</w:t>
      </w:r>
    </w:p>
    <w:p w:rsidR="007745E7" w:rsidRPr="007745E7" w:rsidRDefault="007745E7" w:rsidP="007745E7">
      <w:pPr>
        <w:pStyle w:val="SingleTxt"/>
        <w:spacing w:after="0" w:line="120" w:lineRule="exact"/>
        <w:rPr>
          <w:sz w:val="10"/>
        </w:rPr>
      </w:pPr>
    </w:p>
    <w:p w:rsidR="007745E7" w:rsidRPr="007745E7" w:rsidRDefault="007745E7" w:rsidP="007745E7">
      <w:pPr>
        <w:pStyle w:val="SingleTxt"/>
        <w:spacing w:after="0" w:line="120" w:lineRule="exact"/>
        <w:rPr>
          <w:sz w:val="10"/>
        </w:rPr>
      </w:pPr>
    </w:p>
    <w:p w:rsidR="007745E7" w:rsidRPr="007745E7" w:rsidRDefault="007745E7" w:rsidP="007745E7">
      <w:pPr>
        <w:pStyle w:val="SingleTxt"/>
      </w:pPr>
      <w:r w:rsidRPr="007745E7">
        <w:t>1.1</w:t>
      </w:r>
      <w:r w:rsidRPr="007745E7">
        <w:tab/>
        <w:t>Автором сообщения является гражданка Испании г-жа И.Д.Г., родившаяся 28 июня 1965 года. Автор утверждает, что она является жертвой нарушения гос</w:t>
      </w:r>
      <w:r w:rsidRPr="007745E7">
        <w:t>у</w:t>
      </w:r>
      <w:r w:rsidRPr="007745E7">
        <w:t>дарством-участником прав, закрепленных в статье 11, а также в пункте 1 статьи 2 Международного пакта об экономических, социальных и культурных правах</w:t>
      </w:r>
      <w:r w:rsidRPr="00D04A5B">
        <w:rPr>
          <w:vertAlign w:val="superscript"/>
        </w:rPr>
        <w:footnoteReference w:id="1"/>
      </w:r>
      <w:r w:rsidRPr="007745E7">
        <w:t>. Автор представлена адвокатом.</w:t>
      </w:r>
    </w:p>
    <w:p w:rsidR="007745E7" w:rsidRPr="007745E7" w:rsidRDefault="007745E7" w:rsidP="007745E7">
      <w:pPr>
        <w:pStyle w:val="SingleTxt"/>
      </w:pPr>
      <w:r w:rsidRPr="007745E7">
        <w:t>1.2</w:t>
      </w:r>
      <w:r w:rsidRPr="007745E7">
        <w:tab/>
        <w:t xml:space="preserve">В настоящих Соображениях Комитет сначала обобщает информацию и </w:t>
      </w:r>
      <w:r w:rsidR="00D51E6C">
        <w:t>утверждения</w:t>
      </w:r>
      <w:r w:rsidRPr="007745E7">
        <w:t>, представленные сторонами</w:t>
      </w:r>
      <w:r w:rsidR="00D51E6C">
        <w:t>,</w:t>
      </w:r>
      <w:r w:rsidRPr="007745E7">
        <w:t xml:space="preserve"> затем он рассматривает вопросы пр</w:t>
      </w:r>
      <w:r w:rsidRPr="007745E7">
        <w:t>и</w:t>
      </w:r>
      <w:r w:rsidRPr="007745E7">
        <w:t>емлемо</w:t>
      </w:r>
      <w:r w:rsidR="00D51E6C">
        <w:t>сти и существа</w:t>
      </w:r>
      <w:r w:rsidRPr="007745E7">
        <w:t xml:space="preserve"> сообщени</w:t>
      </w:r>
      <w:r w:rsidR="001F72B8">
        <w:t>я</w:t>
      </w:r>
      <w:r w:rsidRPr="007745E7">
        <w:t xml:space="preserve"> и в заключение представляет свои выводы и</w:t>
      </w:r>
      <w:r w:rsidR="00723935">
        <w:t> </w:t>
      </w:r>
      <w:r w:rsidRPr="007745E7">
        <w:t>рекомендации.</w:t>
      </w:r>
    </w:p>
    <w:p w:rsidR="007745E7" w:rsidRPr="007745E7" w:rsidRDefault="007745E7" w:rsidP="007745E7">
      <w:pPr>
        <w:pStyle w:val="SingleTxt"/>
        <w:spacing w:after="0" w:line="120" w:lineRule="exact"/>
        <w:rPr>
          <w:sz w:val="10"/>
        </w:rPr>
      </w:pPr>
    </w:p>
    <w:p w:rsidR="007745E7" w:rsidRPr="007745E7" w:rsidRDefault="007745E7" w:rsidP="007745E7">
      <w:pPr>
        <w:pStyle w:val="SingleTxt"/>
        <w:spacing w:after="0" w:line="120" w:lineRule="exact"/>
        <w:rPr>
          <w:sz w:val="10"/>
        </w:rPr>
      </w:pPr>
    </w:p>
    <w:p w:rsidR="007745E7" w:rsidRPr="007745E7" w:rsidRDefault="007745E7" w:rsidP="007745E7">
      <w:pPr>
        <w:pStyle w:val="H1"/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745E7">
        <w:lastRenderedPageBreak/>
        <w:tab/>
        <w:t>А.</w:t>
      </w:r>
      <w:r w:rsidRPr="007745E7">
        <w:tab/>
        <w:t xml:space="preserve">Резюме информации и </w:t>
      </w:r>
      <w:r w:rsidR="00D51E6C">
        <w:t>утвержд</w:t>
      </w:r>
      <w:r w:rsidR="00723935">
        <w:t>е</w:t>
      </w:r>
      <w:r w:rsidR="00D51E6C">
        <w:t>ния</w:t>
      </w:r>
      <w:r w:rsidRPr="007745E7">
        <w:t xml:space="preserve"> сторон</w:t>
      </w:r>
    </w:p>
    <w:p w:rsidR="007745E7" w:rsidRPr="007745E7" w:rsidRDefault="007745E7" w:rsidP="007745E7">
      <w:pPr>
        <w:pStyle w:val="SingleTxt"/>
        <w:keepNext/>
        <w:keepLines/>
        <w:spacing w:after="0" w:line="120" w:lineRule="exact"/>
        <w:rPr>
          <w:sz w:val="10"/>
        </w:rPr>
      </w:pPr>
    </w:p>
    <w:p w:rsidR="007745E7" w:rsidRPr="007745E7" w:rsidRDefault="007745E7" w:rsidP="007745E7">
      <w:pPr>
        <w:pStyle w:val="SingleTxt"/>
        <w:keepNext/>
        <w:keepLines/>
        <w:spacing w:after="0" w:line="120" w:lineRule="exact"/>
        <w:rPr>
          <w:sz w:val="10"/>
        </w:rPr>
      </w:pPr>
    </w:p>
    <w:p w:rsidR="007745E7" w:rsidRPr="007745E7" w:rsidRDefault="007745E7" w:rsidP="007745E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745E7">
        <w:tab/>
      </w:r>
      <w:r w:rsidRPr="007745E7">
        <w:tab/>
        <w:t>Факты в изложении автора сообщения</w:t>
      </w:r>
    </w:p>
    <w:p w:rsidR="007745E7" w:rsidRPr="007745E7" w:rsidRDefault="007745E7" w:rsidP="007745E7">
      <w:pPr>
        <w:pStyle w:val="SingleTxt"/>
        <w:keepNext/>
        <w:keepLines/>
        <w:spacing w:after="0" w:line="120" w:lineRule="exact"/>
        <w:rPr>
          <w:sz w:val="10"/>
        </w:rPr>
      </w:pPr>
    </w:p>
    <w:p w:rsidR="007745E7" w:rsidRPr="007745E7" w:rsidRDefault="007745E7" w:rsidP="007745E7">
      <w:pPr>
        <w:pStyle w:val="SingleTxt"/>
        <w:keepNext/>
        <w:keepLines/>
      </w:pPr>
      <w:r w:rsidRPr="007745E7">
        <w:t>2.1</w:t>
      </w:r>
      <w:r w:rsidRPr="007745E7">
        <w:tab/>
        <w:t>Автор проживает в Мадриде. 15 июня 2007 года автор приобрела жилье, и</w:t>
      </w:r>
      <w:r w:rsidRPr="007745E7">
        <w:t>с</w:t>
      </w:r>
      <w:r w:rsidRPr="007745E7">
        <w:t>пользовав большую часть своих сбережений и взяв в банке ипотечный кредит. По</w:t>
      </w:r>
      <w:r w:rsidR="00D51E6C">
        <w:t> </w:t>
      </w:r>
      <w:r w:rsidRPr="007745E7">
        <w:t xml:space="preserve">словам автора, базовая оценочная стоимость ее жилья составляет </w:t>
      </w:r>
      <w:r w:rsidR="00D51E6C">
        <w:br/>
      </w:r>
      <w:r w:rsidRPr="007745E7">
        <w:t>742</w:t>
      </w:r>
      <w:r w:rsidR="00D51E6C">
        <w:t> </w:t>
      </w:r>
      <w:r w:rsidRPr="007745E7">
        <w:t xml:space="preserve">890,68 евро. </w:t>
      </w:r>
    </w:p>
    <w:p w:rsidR="007745E7" w:rsidRPr="007745E7" w:rsidRDefault="007745E7" w:rsidP="007745E7">
      <w:pPr>
        <w:pStyle w:val="SingleTxt"/>
      </w:pPr>
      <w:r w:rsidRPr="007745E7">
        <w:t>2.2</w:t>
      </w:r>
      <w:r w:rsidRPr="007745E7">
        <w:tab/>
        <w:t>Вследствие серьезного экономического кризиса в государстве-участнике и личных обстоятельств</w:t>
      </w:r>
      <w:r w:rsidRPr="00D04A5B">
        <w:rPr>
          <w:vertAlign w:val="superscript"/>
        </w:rPr>
        <w:footnoteReference w:id="2"/>
      </w:r>
      <w:r w:rsidRPr="007745E7">
        <w:t xml:space="preserve"> автор не смогла </w:t>
      </w:r>
      <w:r w:rsidR="00D51E6C">
        <w:t>произвести</w:t>
      </w:r>
      <w:r w:rsidRPr="007745E7">
        <w:t xml:space="preserve"> ряд выплат по ипотечному кредиту на сумму около 11</w:t>
      </w:r>
      <w:r w:rsidR="00D51E6C">
        <w:t xml:space="preserve"> </w:t>
      </w:r>
      <w:r w:rsidRPr="007745E7">
        <w:t>000 евро. Она утверждает, что банк (кредитная орг</w:t>
      </w:r>
      <w:r w:rsidRPr="007745E7">
        <w:t>а</w:t>
      </w:r>
      <w:r w:rsidRPr="007745E7">
        <w:t xml:space="preserve">низация) не выразил готовности к переговорам. </w:t>
      </w:r>
    </w:p>
    <w:p w:rsidR="007745E7" w:rsidRPr="007745E7" w:rsidRDefault="007745E7" w:rsidP="007745E7">
      <w:pPr>
        <w:pStyle w:val="SingleTxt"/>
      </w:pPr>
      <w:r w:rsidRPr="007745E7">
        <w:t>2.3</w:t>
      </w:r>
      <w:r w:rsidRPr="007745E7">
        <w:tab/>
        <w:t xml:space="preserve">Кредитная организация </w:t>
      </w:r>
      <w:r w:rsidR="00D51E6C">
        <w:t xml:space="preserve">полностью </w:t>
      </w:r>
      <w:r w:rsidRPr="007745E7">
        <w:t>погасила кредит и приступила к спец</w:t>
      </w:r>
      <w:r w:rsidRPr="007745E7">
        <w:t>и</w:t>
      </w:r>
      <w:r w:rsidRPr="007745E7">
        <w:t>альной процедуре обращения взыскания на заложенное имущество в суде первой инстанции</w:t>
      </w:r>
      <w:r w:rsidR="00D51E6C">
        <w:t xml:space="preserve"> </w:t>
      </w:r>
      <w:r w:rsidRPr="007745E7">
        <w:t xml:space="preserve">№ 31 города Мадрид (суд № 31) </w:t>
      </w:r>
      <w:r w:rsidR="00D51E6C">
        <w:t>в</w:t>
      </w:r>
      <w:r w:rsidRPr="007745E7">
        <w:t xml:space="preserve"> цел</w:t>
      </w:r>
      <w:r w:rsidR="00D51E6C">
        <w:t>ях</w:t>
      </w:r>
      <w:r w:rsidRPr="007745E7">
        <w:t xml:space="preserve"> продажи ее жилья на аукц</w:t>
      </w:r>
      <w:r w:rsidRPr="007745E7">
        <w:t>и</w:t>
      </w:r>
      <w:r w:rsidRPr="007745E7">
        <w:t xml:space="preserve">оне. 21 июня 2012 года суд № 31 возбудил исполнительное производство по </w:t>
      </w:r>
      <w:r w:rsidR="00D51E6C">
        <w:t xml:space="preserve">наложению </w:t>
      </w:r>
      <w:r w:rsidRPr="007745E7">
        <w:t>взыска</w:t>
      </w:r>
      <w:r w:rsidR="00D51E6C">
        <w:t>ния</w:t>
      </w:r>
      <w:r w:rsidRPr="007745E7">
        <w:t xml:space="preserve"> на заложенное имущество на сумму 381</w:t>
      </w:r>
      <w:r w:rsidR="00D51E6C">
        <w:t> </w:t>
      </w:r>
      <w:r w:rsidRPr="007745E7">
        <w:t>153,66</w:t>
      </w:r>
      <w:r w:rsidR="00D51E6C">
        <w:t> </w:t>
      </w:r>
      <w:r w:rsidRPr="007745E7">
        <w:t xml:space="preserve">евро </w:t>
      </w:r>
      <w:r w:rsidR="00D51E6C">
        <w:br/>
      </w:r>
      <w:r w:rsidRPr="007745E7">
        <w:t>(основная часть), 5</w:t>
      </w:r>
      <w:r w:rsidR="00D51E6C">
        <w:t xml:space="preserve"> </w:t>
      </w:r>
      <w:r w:rsidRPr="007745E7">
        <w:t>725,80 евро (обыкновенные проценты) и 856,77 евро (проце</w:t>
      </w:r>
      <w:r w:rsidRPr="007745E7">
        <w:t>н</w:t>
      </w:r>
      <w:r w:rsidRPr="007745E7">
        <w:t xml:space="preserve">ты за просрочку платежа). </w:t>
      </w:r>
    </w:p>
    <w:p w:rsidR="007745E7" w:rsidRPr="007745E7" w:rsidRDefault="007745E7" w:rsidP="007745E7">
      <w:pPr>
        <w:pStyle w:val="SingleTxt"/>
      </w:pPr>
      <w:r w:rsidRPr="007745E7">
        <w:t>2.4</w:t>
      </w:r>
      <w:r w:rsidRPr="007745E7">
        <w:tab/>
        <w:t>В соответствии с судебным приказом 6</w:t>
      </w:r>
      <w:r w:rsidR="007176B3">
        <w:t>,</w:t>
      </w:r>
      <w:r w:rsidRPr="007745E7">
        <w:t xml:space="preserve"> 27 и 28 сентября 2012 года Главное управление судебных извещений и правоприменительных процедур города Ма</w:t>
      </w:r>
      <w:r w:rsidRPr="007745E7">
        <w:t>д</w:t>
      </w:r>
      <w:r w:rsidRPr="007745E7">
        <w:t>рид предприняло попытки уведомить автора об иске, решении суда и постано</w:t>
      </w:r>
      <w:r w:rsidRPr="007745E7">
        <w:t>в</w:t>
      </w:r>
      <w:r w:rsidRPr="007745E7">
        <w:t>лении о возбуждении исполнительного производства по адресу заложенной н</w:t>
      </w:r>
      <w:r w:rsidRPr="007745E7">
        <w:t>е</w:t>
      </w:r>
      <w:r w:rsidRPr="007745E7">
        <w:t xml:space="preserve">движимости, обозначенному автором в кредитном договоре. Однако судебный пристав не смог найти автора. После третьей попытки найти автора судебный пристав оставил следующую пометку: </w:t>
      </w:r>
      <w:r w:rsidR="00FA4543">
        <w:t>«</w:t>
      </w:r>
      <w:r w:rsidRPr="007745E7">
        <w:t>Никто не отвечает и не открывает дверь, несмотря на неоднократные звонки по месту жительства заинтересованного(ых) лица (лиц)</w:t>
      </w:r>
      <w:r w:rsidR="00FA4543">
        <w:t>»</w:t>
      </w:r>
      <w:r w:rsidRPr="007745E7">
        <w:t xml:space="preserve"> и добавил: </w:t>
      </w:r>
      <w:r w:rsidR="00FA4543">
        <w:t>«</w:t>
      </w:r>
      <w:r w:rsidRPr="007745E7">
        <w:t xml:space="preserve">Вошел в здание и, убедившись, что на почтовых ящиках значится имя должника, позвонил в </w:t>
      </w:r>
      <w:r w:rsidR="00D51E6C">
        <w:t xml:space="preserve">дверной </w:t>
      </w:r>
      <w:r w:rsidRPr="007745E7">
        <w:t>звонок, но никто не открыл дверь. Консьерж сообщил, что он недавно начал здесь работать и не знаком с заинтер</w:t>
      </w:r>
      <w:r w:rsidRPr="007745E7">
        <w:t>е</w:t>
      </w:r>
      <w:r w:rsidRPr="007745E7">
        <w:t>сованным лицом, так как его смена заканчивается в 18</w:t>
      </w:r>
      <w:r w:rsidR="00120637">
        <w:t xml:space="preserve"> ч. </w:t>
      </w:r>
      <w:r w:rsidRPr="007745E7">
        <w:t>00</w:t>
      </w:r>
      <w:r w:rsidR="00120637">
        <w:t xml:space="preserve"> м.</w:t>
      </w:r>
      <w:r w:rsidRPr="007745E7">
        <w:t>, но соответств</w:t>
      </w:r>
      <w:r w:rsidRPr="007745E7">
        <w:t>у</w:t>
      </w:r>
      <w:r w:rsidRPr="007745E7">
        <w:t>ющая гражданка значится в списке жильцов</w:t>
      </w:r>
      <w:r w:rsidR="00FA4543">
        <w:t>»</w:t>
      </w:r>
      <w:r w:rsidRPr="00D04A5B">
        <w:rPr>
          <w:vertAlign w:val="superscript"/>
        </w:rPr>
        <w:footnoteReference w:id="3"/>
      </w:r>
      <w:r w:rsidRPr="007745E7">
        <w:t>. Наконец, в 21</w:t>
      </w:r>
      <w:r w:rsidR="00D51E6C">
        <w:t xml:space="preserve"> ч. </w:t>
      </w:r>
      <w:r w:rsidRPr="007745E7">
        <w:t>24</w:t>
      </w:r>
      <w:r w:rsidR="00D51E6C">
        <w:t xml:space="preserve"> м.</w:t>
      </w:r>
      <w:r w:rsidRPr="007745E7">
        <w:t xml:space="preserve"> 4 октября 2012</w:t>
      </w:r>
      <w:r w:rsidR="00D51E6C">
        <w:t> </w:t>
      </w:r>
      <w:r w:rsidRPr="007745E7">
        <w:t>года была сделана еще одна тщетная попытка уведомить автора. Автор утверждает, что на момент осуществления уведомления ее не было дома.</w:t>
      </w:r>
    </w:p>
    <w:p w:rsidR="007745E7" w:rsidRPr="007745E7" w:rsidRDefault="007745E7" w:rsidP="007745E7">
      <w:pPr>
        <w:pStyle w:val="SingleTxt"/>
      </w:pPr>
      <w:r w:rsidRPr="007745E7">
        <w:t>2.5</w:t>
      </w:r>
      <w:r w:rsidRPr="007745E7">
        <w:tab/>
        <w:t>30 октября 2012 года суд № 31 принял решение о публикации приказа на доске объявлений суда, с тем чтобы осуществить процедуру уведомления о р</w:t>
      </w:r>
      <w:r w:rsidRPr="007745E7">
        <w:t>е</w:t>
      </w:r>
      <w:r w:rsidRPr="007745E7">
        <w:t xml:space="preserve">шении суда и о возбуждении исполнительного производства. Автор утверждает, что этот </w:t>
      </w:r>
      <w:r w:rsidR="00D51E6C">
        <w:t>при</w:t>
      </w:r>
      <w:r w:rsidRPr="007745E7">
        <w:t>каз был опубликован без какой бы то ни было внешней огласки, об</w:t>
      </w:r>
      <w:r w:rsidRPr="007745E7">
        <w:t>ъ</w:t>
      </w:r>
      <w:r w:rsidRPr="007745E7">
        <w:t>яв</w:t>
      </w:r>
      <w:r w:rsidR="00D51E6C">
        <w:t>ления</w:t>
      </w:r>
      <w:r w:rsidRPr="007745E7">
        <w:t xml:space="preserve"> в официальных средствах массовой информации или публикаци</w:t>
      </w:r>
      <w:r w:rsidR="00D51E6C">
        <w:t>и</w:t>
      </w:r>
      <w:r w:rsidRPr="007745E7">
        <w:t xml:space="preserve"> в оф</w:t>
      </w:r>
      <w:r w:rsidRPr="007745E7">
        <w:t>и</w:t>
      </w:r>
      <w:r w:rsidRPr="007745E7">
        <w:t>циальном вестнике. Она отмечает, что суд, не найдя ее по месту ее жительства, должен был оставить уведомление у консьержа, который присутствовал в момент визита судебных приставов 6 и 28 сентября 2012 года, или у ее соседей. Всле</w:t>
      </w:r>
      <w:r w:rsidRPr="007745E7">
        <w:t>д</w:t>
      </w:r>
      <w:r w:rsidRPr="007745E7">
        <w:t xml:space="preserve">ствие этого суд № 31 не уведомил ее о начале исполнительного производства по </w:t>
      </w:r>
      <w:r w:rsidR="00D51E6C">
        <w:t xml:space="preserve">наложению </w:t>
      </w:r>
      <w:r w:rsidRPr="007745E7">
        <w:t>взыскани</w:t>
      </w:r>
      <w:r w:rsidR="00D51E6C">
        <w:t>я</w:t>
      </w:r>
      <w:r w:rsidRPr="007745E7">
        <w:t xml:space="preserve"> на заложенное имущество, что не позволило ей защитить свои права.</w:t>
      </w:r>
    </w:p>
    <w:p w:rsidR="007745E7" w:rsidRPr="007745E7" w:rsidRDefault="007745E7" w:rsidP="007745E7">
      <w:pPr>
        <w:pStyle w:val="SingleTxt"/>
      </w:pPr>
      <w:r w:rsidRPr="007745E7">
        <w:t>2.6</w:t>
      </w:r>
      <w:r w:rsidRPr="007745E7">
        <w:tab/>
        <w:t xml:space="preserve">11 февраля 2013 года суд № 31 </w:t>
      </w:r>
      <w:r w:rsidR="007176B3">
        <w:t>постановил</w:t>
      </w:r>
      <w:r w:rsidRPr="007745E7">
        <w:t xml:space="preserve"> провести аукцион заложенного жилья. 1 и 21 марта 2013 года Главное управление судебных извещений и прав</w:t>
      </w:r>
      <w:r w:rsidRPr="007745E7">
        <w:t>о</w:t>
      </w:r>
      <w:r w:rsidRPr="007745E7">
        <w:t>применительных процедур города Мадрид предприняло тщетную попытку направить автору по адресу заложенного жилья уведомление о проведении ау</w:t>
      </w:r>
      <w:r w:rsidRPr="007745E7">
        <w:t>к</w:t>
      </w:r>
      <w:r w:rsidRPr="007745E7">
        <w:t>циона. После второй попытки уведомить автора судебный пристав оставил сл</w:t>
      </w:r>
      <w:r w:rsidRPr="007745E7">
        <w:t>е</w:t>
      </w:r>
      <w:r w:rsidRPr="007745E7">
        <w:t xml:space="preserve">дующую пометку: </w:t>
      </w:r>
      <w:r w:rsidR="00FA4543">
        <w:t>«</w:t>
      </w:r>
      <w:r w:rsidRPr="007745E7">
        <w:t>Оставлено извещение о необходимости забрать уведомление в Управлении до 5 апреля 2013 года</w:t>
      </w:r>
      <w:r w:rsidR="00FA4543">
        <w:t>»</w:t>
      </w:r>
      <w:r w:rsidRPr="00D04A5B">
        <w:rPr>
          <w:vertAlign w:val="superscript"/>
        </w:rPr>
        <w:footnoteReference w:id="4"/>
      </w:r>
      <w:r w:rsidRPr="007745E7">
        <w:t xml:space="preserve">. Наконец, 4 апреля 2013 года автор забрала уведомление при помощи доверенного лица. Автор утверждает, что только после этого она узнала об исполнительном производстве по </w:t>
      </w:r>
      <w:r w:rsidR="007176B3">
        <w:t xml:space="preserve">наложению </w:t>
      </w:r>
      <w:r w:rsidRPr="007745E7">
        <w:t>взыскани</w:t>
      </w:r>
      <w:r w:rsidR="007176B3">
        <w:t>я</w:t>
      </w:r>
      <w:r w:rsidRPr="007745E7">
        <w:t xml:space="preserve"> на заложенное имущество и о продаже ее жилья на аукционе. </w:t>
      </w:r>
    </w:p>
    <w:p w:rsidR="007745E7" w:rsidRPr="007745E7" w:rsidRDefault="007745E7" w:rsidP="007745E7">
      <w:pPr>
        <w:pStyle w:val="SingleTxt"/>
      </w:pPr>
      <w:r w:rsidRPr="007745E7">
        <w:t>2.7</w:t>
      </w:r>
      <w:r w:rsidRPr="007745E7">
        <w:tab/>
        <w:t>10 или 11 апреля 2013 года автор подала в суд № 31 заявление о пересмотре его решения от 11 февраля 2013 года и подала прошение об отмене этого реш</w:t>
      </w:r>
      <w:r w:rsidRPr="007745E7">
        <w:t>е</w:t>
      </w:r>
      <w:r w:rsidRPr="007745E7">
        <w:t xml:space="preserve">ния и всего исполнительного производства по </w:t>
      </w:r>
      <w:r w:rsidR="007176B3">
        <w:t xml:space="preserve">наложению </w:t>
      </w:r>
      <w:r w:rsidR="007176B3" w:rsidRPr="007745E7">
        <w:t>взыскани</w:t>
      </w:r>
      <w:r w:rsidR="007176B3">
        <w:t>я</w:t>
      </w:r>
      <w:r w:rsidR="007176B3" w:rsidRPr="007745E7">
        <w:t xml:space="preserve"> </w:t>
      </w:r>
      <w:r w:rsidRPr="007745E7">
        <w:t>на заложе</w:t>
      </w:r>
      <w:r w:rsidRPr="007745E7">
        <w:t>н</w:t>
      </w:r>
      <w:r w:rsidRPr="007745E7">
        <w:t>ное имущество до момента, предшествующего направлению судебной повестки, поскольку она не была уведомлена о соответствующем иске по адресам, дов</w:t>
      </w:r>
      <w:r w:rsidRPr="007745E7">
        <w:t>е</w:t>
      </w:r>
      <w:r w:rsidRPr="007745E7">
        <w:t>денным до сведения кредитной организации, таким как место жительства одного из членов ее семьи и адрес ее места работы, что представляет собой нарушение, среди прочего, права на защиту и на эффективную судебную защиту. Автор з</w:t>
      </w:r>
      <w:r w:rsidRPr="007745E7">
        <w:t>а</w:t>
      </w:r>
      <w:r w:rsidRPr="007745E7">
        <w:t>явила, что в соответствии со статьями 156 и 164 Гражданского процессуального кодекса (ГПК) и практик</w:t>
      </w:r>
      <w:r w:rsidR="007176B3">
        <w:t>ой</w:t>
      </w:r>
      <w:r w:rsidRPr="007745E7">
        <w:t xml:space="preserve"> Конституционного суда и Верховного суда судебное уведомление посредством публикации приказа может быть использовано только после исчерпания всех средств личного уведомления ответчика и попыток найти его по другим адресам. </w:t>
      </w:r>
    </w:p>
    <w:p w:rsidR="007745E7" w:rsidRPr="007745E7" w:rsidRDefault="007745E7" w:rsidP="007745E7">
      <w:pPr>
        <w:pStyle w:val="SingleTxt"/>
      </w:pPr>
      <w:r w:rsidRPr="007745E7">
        <w:t>2.8</w:t>
      </w:r>
      <w:r w:rsidRPr="007745E7">
        <w:tab/>
        <w:t>23 апреля 2013 года суд № 31 отклонил заявление автора. В своем решении суд указал, что уведомление о судебном взыскании платежа производится по с</w:t>
      </w:r>
      <w:r w:rsidRPr="007745E7">
        <w:t>о</w:t>
      </w:r>
      <w:r w:rsidRPr="007745E7">
        <w:t>гласованному сторонами адресу, будь то адрес, данный изначально или обозн</w:t>
      </w:r>
      <w:r w:rsidRPr="007745E7">
        <w:t>а</w:t>
      </w:r>
      <w:r w:rsidRPr="007745E7">
        <w:t xml:space="preserve">ченный впоследствии, согласно статье 683 ГПК. По мнению суда, </w:t>
      </w:r>
      <w:r w:rsidR="00FA4543">
        <w:t>«</w:t>
      </w:r>
      <w:r w:rsidRPr="007745E7">
        <w:t>после внес</w:t>
      </w:r>
      <w:r w:rsidRPr="007745E7">
        <w:t>е</w:t>
      </w:r>
      <w:r w:rsidRPr="007745E7">
        <w:t>ния поправок в пункт 3 статьи 686 ГПК [затем] осуществляется непосредстве</w:t>
      </w:r>
      <w:r w:rsidRPr="007745E7">
        <w:t>н</w:t>
      </w:r>
      <w:r w:rsidRPr="007745E7">
        <w:t>ный переход к уведомлению посредством публикации приказа в качестве разн</w:t>
      </w:r>
      <w:r w:rsidRPr="007745E7">
        <w:t>о</w:t>
      </w:r>
      <w:r w:rsidRPr="007745E7">
        <w:t>видности суммарного производства по обращению взыскания на заложенное имущество</w:t>
      </w:r>
      <w:r w:rsidR="00FA4543">
        <w:t>»</w:t>
      </w:r>
      <w:r w:rsidRPr="007745E7">
        <w:t xml:space="preserve"> без необходимости повторно уведомлять о судебном взыскании пл</w:t>
      </w:r>
      <w:r w:rsidRPr="007745E7">
        <w:t>а</w:t>
      </w:r>
      <w:r w:rsidRPr="007745E7">
        <w:t>тежа по месту работы или по другим адресам ответчика. Применительно к да</w:t>
      </w:r>
      <w:r w:rsidRPr="007745E7">
        <w:t>н</w:t>
      </w:r>
      <w:r w:rsidRPr="007745E7">
        <w:t>ному случаю суд отметил, что Главное управление судебных извещений и прав</w:t>
      </w:r>
      <w:r w:rsidRPr="007745E7">
        <w:t>о</w:t>
      </w:r>
      <w:r w:rsidRPr="007745E7">
        <w:t>применительных процедур города Мадрид уже трижды предпринимало попытки надлежащим образом уведомить автора, причем</w:t>
      </w:r>
      <w:r w:rsidR="007176B3">
        <w:t xml:space="preserve"> две из них были осуществлены в вечернее время</w:t>
      </w:r>
      <w:r w:rsidRPr="007745E7">
        <w:t>, как было предложено консьержем ее дома. Помимо этого, суд отметил, что он не правомочен объявить недействительным приказ от 11 февраля 2013 года в соответствии со статьей 5 и пунктом 2 статьи 562 ГПК, а также ст</w:t>
      </w:r>
      <w:r w:rsidRPr="007745E7">
        <w:t>а</w:t>
      </w:r>
      <w:r w:rsidRPr="007745E7">
        <w:t xml:space="preserve">тьей 455 Органического закона о судебной власти. </w:t>
      </w:r>
    </w:p>
    <w:p w:rsidR="007745E7" w:rsidRPr="007745E7" w:rsidRDefault="007745E7" w:rsidP="007745E7">
      <w:pPr>
        <w:pStyle w:val="SingleTxt"/>
      </w:pPr>
      <w:r w:rsidRPr="007745E7">
        <w:t>2.9</w:t>
      </w:r>
      <w:r w:rsidRPr="007745E7">
        <w:tab/>
        <w:t>23 мая 2013 года автор подала ходатайство по процедуре ампаро в Конст</w:t>
      </w:r>
      <w:r w:rsidRPr="007745E7">
        <w:t>и</w:t>
      </w:r>
      <w:r w:rsidRPr="007745E7">
        <w:t>туционный суд и заявила, что решение суда № 31</w:t>
      </w:r>
      <w:r w:rsidR="007176B3">
        <w:t xml:space="preserve"> об отклонени</w:t>
      </w:r>
      <w:r w:rsidR="00723935">
        <w:t>и</w:t>
      </w:r>
      <w:r w:rsidR="007176B3">
        <w:t xml:space="preserve"> </w:t>
      </w:r>
      <w:r w:rsidRPr="007745E7">
        <w:t>ее заявлени</w:t>
      </w:r>
      <w:r w:rsidR="007176B3">
        <w:t>я</w:t>
      </w:r>
      <w:r w:rsidRPr="007745E7">
        <w:t>, нарушило ее право на защиту и право на эффективную судебную защиту, пр</w:t>
      </w:r>
      <w:r w:rsidRPr="007745E7">
        <w:t>и</w:t>
      </w:r>
      <w:r w:rsidRPr="007745E7">
        <w:t>знанные в статьях 24 и 25 Конституции государства-участника; и что оно прот</w:t>
      </w:r>
      <w:r w:rsidRPr="007745E7">
        <w:t>и</w:t>
      </w:r>
      <w:r w:rsidRPr="007745E7">
        <w:t>воречит практике Конституционного суда. Автор заявила, что суд № 31 не увед</w:t>
      </w:r>
      <w:r w:rsidRPr="007745E7">
        <w:t>о</w:t>
      </w:r>
      <w:r w:rsidRPr="007745E7">
        <w:t>мил ее ни об обращении взыскания на заложенное имущество, ни о возбуждении исполнительного производства, ни о каком-либо другом сообщении, предш</w:t>
      </w:r>
      <w:r w:rsidRPr="007745E7">
        <w:t>е</w:t>
      </w:r>
      <w:r w:rsidRPr="007745E7">
        <w:t xml:space="preserve">ствующем решению о проведении аукциона, и что суд не исчерпал все доступные ему средства личного уведомления в соответствии со статьями 155, 156 </w:t>
      </w:r>
      <w:r w:rsidR="007176B3">
        <w:br/>
      </w:r>
      <w:r w:rsidRPr="007745E7">
        <w:t xml:space="preserve">и 683 ГПК. </w:t>
      </w:r>
    </w:p>
    <w:p w:rsidR="007745E7" w:rsidRPr="007745E7" w:rsidRDefault="007745E7" w:rsidP="007745E7">
      <w:pPr>
        <w:pStyle w:val="SingleTxt"/>
      </w:pPr>
      <w:r w:rsidRPr="007745E7">
        <w:t>2.10</w:t>
      </w:r>
      <w:r w:rsidRPr="007745E7">
        <w:tab/>
        <w:t>16 октября 2013 года Конституционный суд отклонил поданное автором х</w:t>
      </w:r>
      <w:r w:rsidRPr="007745E7">
        <w:t>о</w:t>
      </w:r>
      <w:r w:rsidRPr="007745E7">
        <w:t xml:space="preserve">датайство вследствие </w:t>
      </w:r>
      <w:r w:rsidR="00FA4543">
        <w:t>«</w:t>
      </w:r>
      <w:r w:rsidRPr="007745E7">
        <w:t>явного отсутствия нарушения основополагающего права, на которое распространяется процедура ампаро</w:t>
      </w:r>
      <w:r w:rsidR="00FA4543">
        <w:t>»</w:t>
      </w:r>
      <w:r w:rsidRPr="007745E7">
        <w:t xml:space="preserve"> в соответствии с пунктом 1 ст</w:t>
      </w:r>
      <w:r w:rsidRPr="007745E7">
        <w:t>а</w:t>
      </w:r>
      <w:r w:rsidRPr="007745E7">
        <w:t xml:space="preserve">тьи 44 и пунктом 1 а) статьи 50 Органического закона о Конституционном суде. </w:t>
      </w:r>
    </w:p>
    <w:p w:rsidR="007745E7" w:rsidRPr="007745E7" w:rsidRDefault="007745E7" w:rsidP="007745E7">
      <w:pPr>
        <w:pStyle w:val="SingleTxt"/>
        <w:spacing w:after="0" w:line="120" w:lineRule="exact"/>
        <w:rPr>
          <w:sz w:val="10"/>
        </w:rPr>
      </w:pPr>
    </w:p>
    <w:p w:rsidR="007745E7" w:rsidRPr="007745E7" w:rsidRDefault="007745E7" w:rsidP="00D04A5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745E7">
        <w:tab/>
      </w:r>
      <w:r w:rsidRPr="007745E7">
        <w:tab/>
        <w:t>Жалоба</w:t>
      </w:r>
    </w:p>
    <w:p w:rsidR="007745E7" w:rsidRPr="007745E7" w:rsidRDefault="007745E7" w:rsidP="00D04A5B">
      <w:pPr>
        <w:pStyle w:val="SingleTxt"/>
        <w:keepNext/>
        <w:keepLines/>
        <w:spacing w:after="0" w:line="120" w:lineRule="exact"/>
        <w:rPr>
          <w:sz w:val="10"/>
        </w:rPr>
      </w:pPr>
    </w:p>
    <w:p w:rsidR="007745E7" w:rsidRPr="007745E7" w:rsidRDefault="007745E7" w:rsidP="00D04A5B">
      <w:pPr>
        <w:pStyle w:val="SingleTxt"/>
        <w:keepNext/>
        <w:keepLines/>
        <w:rPr>
          <w:bCs/>
        </w:rPr>
      </w:pPr>
      <w:r w:rsidRPr="007745E7">
        <w:t>3.1</w:t>
      </w:r>
      <w:r w:rsidRPr="007745E7">
        <w:tab/>
        <w:t xml:space="preserve">Автор утверждает, что государство-участник нарушило </w:t>
      </w:r>
      <w:r w:rsidR="007176B3">
        <w:t>ее</w:t>
      </w:r>
      <w:r w:rsidRPr="007745E7">
        <w:t xml:space="preserve"> право на дост</w:t>
      </w:r>
      <w:r w:rsidRPr="007745E7">
        <w:t>а</w:t>
      </w:r>
      <w:r w:rsidRPr="007745E7">
        <w:t xml:space="preserve">точное жилище в соответствии с пунктом 1 статьи 11 Пакта. </w:t>
      </w:r>
    </w:p>
    <w:p w:rsidR="007745E7" w:rsidRPr="007745E7" w:rsidRDefault="007745E7" w:rsidP="007745E7">
      <w:pPr>
        <w:pStyle w:val="SingleTxt"/>
        <w:rPr>
          <w:bCs/>
        </w:rPr>
      </w:pPr>
      <w:r w:rsidRPr="007745E7">
        <w:t>3.2</w:t>
      </w:r>
      <w:r w:rsidRPr="007745E7">
        <w:tab/>
        <w:t>Автор подчеркивает, что ее положение вызвано серьезным социальным кр</w:t>
      </w:r>
      <w:r w:rsidRPr="007745E7">
        <w:t>и</w:t>
      </w:r>
      <w:r w:rsidRPr="007745E7">
        <w:t>зисом в государстве-участнике, где с 2007 года до момента представления соо</w:t>
      </w:r>
      <w:r w:rsidRPr="007745E7">
        <w:t>б</w:t>
      </w:r>
      <w:r w:rsidRPr="007745E7">
        <w:t xml:space="preserve">щения в Комитет было </w:t>
      </w:r>
      <w:r w:rsidR="007176B3">
        <w:t>произведено</w:t>
      </w:r>
      <w:r w:rsidRPr="007745E7">
        <w:t xml:space="preserve"> более 400 000 выселений и обращений взы</w:t>
      </w:r>
      <w:r w:rsidRPr="007745E7">
        <w:t>с</w:t>
      </w:r>
      <w:r w:rsidRPr="007745E7">
        <w:t xml:space="preserve">кания на заложенное имущество. </w:t>
      </w:r>
    </w:p>
    <w:p w:rsidR="007745E7" w:rsidRPr="007745E7" w:rsidRDefault="007745E7" w:rsidP="007745E7">
      <w:pPr>
        <w:pStyle w:val="SingleTxt"/>
      </w:pPr>
      <w:r w:rsidRPr="007745E7">
        <w:t>3.3</w:t>
      </w:r>
      <w:r w:rsidRPr="007745E7">
        <w:tab/>
        <w:t xml:space="preserve">Автор утверждает, что в свете </w:t>
      </w:r>
      <w:r w:rsidR="007176B3">
        <w:t>ее</w:t>
      </w:r>
      <w:r w:rsidRPr="007745E7">
        <w:t xml:space="preserve"> прав, предусмотренных Пактом, судебные органы обязаны обеспечивать эффективное осуществление судебных уведомл</w:t>
      </w:r>
      <w:r w:rsidRPr="007745E7">
        <w:t>е</w:t>
      </w:r>
      <w:r w:rsidRPr="007745E7">
        <w:t>ний. Несмотря на это, в данном случае после неудачных попыток лично увед</w:t>
      </w:r>
      <w:r w:rsidRPr="007745E7">
        <w:t>о</w:t>
      </w:r>
      <w:r w:rsidRPr="007745E7">
        <w:t>мить автора по месту ее жительства суд №</w:t>
      </w:r>
      <w:r w:rsidR="007176B3">
        <w:t xml:space="preserve"> </w:t>
      </w:r>
      <w:r w:rsidRPr="007745E7">
        <w:t>31 непосредственно приступил к ув</w:t>
      </w:r>
      <w:r w:rsidRPr="007745E7">
        <w:t>е</w:t>
      </w:r>
      <w:r w:rsidRPr="007745E7">
        <w:t>домлению посредством публикации приказа, не использовав другие формы или средства уведомления, установленные в самом ГПК. В результате этой недобр</w:t>
      </w:r>
      <w:r w:rsidRPr="007745E7">
        <w:t>о</w:t>
      </w:r>
      <w:r w:rsidRPr="007745E7">
        <w:t>совестности в работе суда автор не была уведомлена ни об обращении взыскания на заложенное имущество со стороны кредитной организации, ни о возбуждении исполнительного производства, ни о каком-либо другом сообщении, предш</w:t>
      </w:r>
      <w:r w:rsidRPr="007745E7">
        <w:t>е</w:t>
      </w:r>
      <w:r w:rsidRPr="007745E7">
        <w:t>ствующем приказу о проведении аукциона. Автор утверждает, что в практич</w:t>
      </w:r>
      <w:r w:rsidRPr="007745E7">
        <w:t>е</w:t>
      </w:r>
      <w:r w:rsidRPr="007745E7">
        <w:t>ской плоскости отсутствие уведомления не позволило ей принять ответные юр</w:t>
      </w:r>
      <w:r w:rsidRPr="007745E7">
        <w:t>и</w:t>
      </w:r>
      <w:r w:rsidRPr="007745E7">
        <w:t>дические меры и защитить в суде свое право на жилище, поскольку она узнала о</w:t>
      </w:r>
      <w:r w:rsidR="00206AED">
        <w:t> </w:t>
      </w:r>
      <w:r w:rsidRPr="007745E7">
        <w:t>производстве по этому делу только после того, как суд издал приказ о провед</w:t>
      </w:r>
      <w:r w:rsidRPr="007745E7">
        <w:t>е</w:t>
      </w:r>
      <w:r w:rsidRPr="007745E7">
        <w:t>нии аукциона ее жилья. Автор утверждает, что результате отсутствия своевр</w:t>
      </w:r>
      <w:r w:rsidRPr="007745E7">
        <w:t>е</w:t>
      </w:r>
      <w:r w:rsidRPr="007745E7">
        <w:t>менной и эффективной судебной защиты она оказалась в ситуации беспомощн</w:t>
      </w:r>
      <w:r w:rsidRPr="007745E7">
        <w:t>о</w:t>
      </w:r>
      <w:r w:rsidRPr="007745E7">
        <w:t>сти, неопределенности и тревоги, что серьезно сказалось на ее состоянии здор</w:t>
      </w:r>
      <w:r w:rsidRPr="007745E7">
        <w:t>о</w:t>
      </w:r>
      <w:r w:rsidRPr="007745E7">
        <w:t xml:space="preserve">вья. </w:t>
      </w:r>
    </w:p>
    <w:p w:rsidR="007745E7" w:rsidRPr="007745E7" w:rsidRDefault="007745E7" w:rsidP="007745E7">
      <w:pPr>
        <w:pStyle w:val="SingleTxt"/>
        <w:rPr>
          <w:bCs/>
        </w:rPr>
      </w:pPr>
      <w:r w:rsidRPr="007745E7">
        <w:t>3.4</w:t>
      </w:r>
      <w:r w:rsidRPr="007745E7">
        <w:tab/>
        <w:t>По мнению автора, отсутствие эффективного доступа к судам государства-участника помешало ей оспорить в судебном порядке неправомерность догово</w:t>
      </w:r>
      <w:r w:rsidRPr="007745E7">
        <w:t>р</w:t>
      </w:r>
      <w:r w:rsidRPr="007745E7">
        <w:t>ных условий</w:t>
      </w:r>
      <w:r w:rsidRPr="00D04A5B">
        <w:rPr>
          <w:vertAlign w:val="superscript"/>
        </w:rPr>
        <w:footnoteReference w:id="5"/>
      </w:r>
      <w:r w:rsidRPr="007745E7">
        <w:t>, в частности то, как кредитная организация про</w:t>
      </w:r>
      <w:r w:rsidR="007176B3">
        <w:t>из</w:t>
      </w:r>
      <w:r w:rsidRPr="007745E7">
        <w:t>вела расчет пр</w:t>
      </w:r>
      <w:r w:rsidRPr="007745E7">
        <w:t>и</w:t>
      </w:r>
      <w:r w:rsidRPr="007745E7">
        <w:t xml:space="preserve">читающихся к выплате сумм по процентам. </w:t>
      </w:r>
    </w:p>
    <w:p w:rsidR="007745E7" w:rsidRPr="007745E7" w:rsidRDefault="007745E7" w:rsidP="007745E7">
      <w:pPr>
        <w:pStyle w:val="SingleTxt"/>
      </w:pPr>
      <w:r w:rsidRPr="007745E7">
        <w:t>3.5</w:t>
      </w:r>
      <w:r w:rsidRPr="007745E7">
        <w:tab/>
        <w:t>Автор утверждает, что законодательство, регулирующее процедуру обращ</w:t>
      </w:r>
      <w:r w:rsidRPr="007745E7">
        <w:t>е</w:t>
      </w:r>
      <w:r w:rsidRPr="007745E7">
        <w:t>ния взыскания на заложенное имущество, не обеспечивает достаточной защиты права физических лиц на надлежащую правовую защиту своего жилища. Зач</w:t>
      </w:r>
      <w:r w:rsidRPr="007745E7">
        <w:t>а</w:t>
      </w:r>
      <w:r w:rsidRPr="007745E7">
        <w:t>стую соответствующие лица узнают о том, что на них подали иск кредиторы, в</w:t>
      </w:r>
      <w:r w:rsidR="007176B3">
        <w:t> </w:t>
      </w:r>
      <w:r w:rsidRPr="007745E7">
        <w:t>момент изъятия недвижимого имущества или выселения. Более того, процесс</w:t>
      </w:r>
      <w:r w:rsidRPr="007745E7">
        <w:t>у</w:t>
      </w:r>
      <w:r w:rsidRPr="007745E7">
        <w:t>альное право государства-участника запрещает судье, которому известно о нал</w:t>
      </w:r>
      <w:r w:rsidRPr="007745E7">
        <w:t>и</w:t>
      </w:r>
      <w:r w:rsidRPr="007745E7">
        <w:t>чии такого производства, принимать меры пресечения для обеспечения полной эффективности его окончательного решения, например в случае неправомерн</w:t>
      </w:r>
      <w:r w:rsidRPr="007745E7">
        <w:t>о</w:t>
      </w:r>
      <w:r w:rsidRPr="007745E7">
        <w:t xml:space="preserve">сти положений договора. В этой связи автор, ссылаясь на пункт 1 статьи 2 Пакта, утверждает, что государство-участник не приняло надлежащих законодательных мер для </w:t>
      </w:r>
      <w:r w:rsidR="007176B3">
        <w:t>полной</w:t>
      </w:r>
      <w:r w:rsidRPr="007745E7">
        <w:t xml:space="preserve"> реализации права на жилище и его обеспечения согласно пун</w:t>
      </w:r>
      <w:r w:rsidRPr="007745E7">
        <w:t>к</w:t>
      </w:r>
      <w:r w:rsidRPr="007745E7">
        <w:t>ту</w:t>
      </w:r>
      <w:r w:rsidR="007176B3">
        <w:t> </w:t>
      </w:r>
      <w:r w:rsidRPr="007745E7">
        <w:t>1 статьи 11 Пакта.</w:t>
      </w:r>
    </w:p>
    <w:p w:rsidR="007745E7" w:rsidRPr="007745E7" w:rsidRDefault="007745E7" w:rsidP="007745E7">
      <w:pPr>
        <w:pStyle w:val="SingleTxt"/>
      </w:pPr>
      <w:r w:rsidRPr="007745E7">
        <w:t>3.6</w:t>
      </w:r>
      <w:r w:rsidRPr="007745E7">
        <w:tab/>
        <w:t xml:space="preserve">В качестве средств правовой защиты автор просит Комитет потребовать от государства-участника повернуть вспять исполнительное производство по </w:t>
      </w:r>
      <w:r w:rsidR="007176B3">
        <w:t>обр</w:t>
      </w:r>
      <w:r w:rsidR="007176B3">
        <w:t>а</w:t>
      </w:r>
      <w:r w:rsidR="007176B3">
        <w:t xml:space="preserve">щению взыскания </w:t>
      </w:r>
      <w:r w:rsidRPr="007745E7">
        <w:t>на заложенное имущество в отношении ее жилья до первон</w:t>
      </w:r>
      <w:r w:rsidRPr="007745E7">
        <w:t>а</w:t>
      </w:r>
      <w:r w:rsidRPr="007745E7">
        <w:t>чального момента уведомления об иске, с тем чтобы эффективно гарантировать ее право на жилище и обеспечить ей возможность защиты этого права в обычных судах; или, в качестве альтернативы, выплатить автору 250</w:t>
      </w:r>
      <w:r w:rsidR="007176B3">
        <w:t xml:space="preserve"> </w:t>
      </w:r>
      <w:r w:rsidRPr="007745E7">
        <w:t>000 евро в качестве компенсации за  понесенный моральный ущерб. Помимо этого, автор просит го</w:t>
      </w:r>
      <w:r w:rsidRPr="007745E7">
        <w:t>с</w:t>
      </w:r>
      <w:r w:rsidRPr="007745E7">
        <w:t>ударство-участник принять соответствующие законодательные меры в целях обеспечения закрепленных в Пакте прав.</w:t>
      </w:r>
    </w:p>
    <w:p w:rsidR="007745E7" w:rsidRPr="007745E7" w:rsidRDefault="007745E7" w:rsidP="007745E7">
      <w:pPr>
        <w:pStyle w:val="SingleTxt"/>
        <w:spacing w:after="0" w:line="120" w:lineRule="exact"/>
        <w:rPr>
          <w:sz w:val="10"/>
        </w:rPr>
      </w:pPr>
    </w:p>
    <w:p w:rsidR="007745E7" w:rsidRPr="007745E7" w:rsidRDefault="007745E7" w:rsidP="00D04A5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745E7">
        <w:tab/>
      </w:r>
      <w:r w:rsidRPr="007745E7">
        <w:tab/>
        <w:t>Замечания государства-участника относительно приемлемости и существа сообщения</w:t>
      </w:r>
    </w:p>
    <w:p w:rsidR="007745E7" w:rsidRPr="007745E7" w:rsidRDefault="007745E7" w:rsidP="00D04A5B">
      <w:pPr>
        <w:pStyle w:val="SingleTxt"/>
        <w:keepNext/>
        <w:keepLines/>
        <w:spacing w:after="0" w:line="120" w:lineRule="exact"/>
        <w:rPr>
          <w:sz w:val="10"/>
        </w:rPr>
      </w:pPr>
    </w:p>
    <w:p w:rsidR="007745E7" w:rsidRPr="007745E7" w:rsidRDefault="007745E7" w:rsidP="00D04A5B">
      <w:pPr>
        <w:pStyle w:val="SingleTxt"/>
        <w:keepNext/>
        <w:keepLines/>
      </w:pPr>
      <w:r w:rsidRPr="007745E7">
        <w:t>4.1</w:t>
      </w:r>
      <w:r w:rsidRPr="007745E7">
        <w:tab/>
        <w:t>13 октября 2014 года государство-участник представило свои замечания о</w:t>
      </w:r>
      <w:r w:rsidRPr="007745E7">
        <w:t>т</w:t>
      </w:r>
      <w:r w:rsidRPr="007745E7">
        <w:t xml:space="preserve">носительно приемлемости и существа сообщения. </w:t>
      </w:r>
      <w:r w:rsidR="007176B3">
        <w:t>Что</w:t>
      </w:r>
      <w:r w:rsidRPr="007745E7">
        <w:t xml:space="preserve"> касается изложенных в сообщении фактов, </w:t>
      </w:r>
      <w:r w:rsidR="007176B3">
        <w:t xml:space="preserve">то </w:t>
      </w:r>
      <w:r w:rsidRPr="007745E7">
        <w:t>государство-участник утверждает, что в соответствии с з</w:t>
      </w:r>
      <w:r w:rsidRPr="007745E7">
        <w:t>а</w:t>
      </w:r>
      <w:r w:rsidRPr="007745E7">
        <w:t>явле</w:t>
      </w:r>
      <w:r w:rsidR="007176B3">
        <w:t>нием автора Комитету</w:t>
      </w:r>
      <w:r w:rsidRPr="007745E7">
        <w:t xml:space="preserve"> жилье, о котором идет речь, является постоянным м</w:t>
      </w:r>
      <w:r w:rsidRPr="007745E7">
        <w:t>е</w:t>
      </w:r>
      <w:r w:rsidRPr="007745E7">
        <w:t>стом ее жительства. Однако в своем заявлении, поданном в суд 10 апреля 2013</w:t>
      </w:r>
      <w:r w:rsidR="007176B3">
        <w:t> </w:t>
      </w:r>
      <w:r w:rsidRPr="007745E7">
        <w:t>года, она утверждает, что соответствующий орган должен был уведомить ее не только по адресу ее находящегося под залогом жилища, указанному ей самой в нотариально заверенном кредитном договоре, но и по другому адресу, прина</w:t>
      </w:r>
      <w:r w:rsidRPr="007745E7">
        <w:t>д</w:t>
      </w:r>
      <w:r w:rsidRPr="007745E7">
        <w:t>лежащему членам ее семьи, или, при его отсутствии, по ее рабочему адресу, к</w:t>
      </w:r>
      <w:r w:rsidRPr="007745E7">
        <w:t>о</w:t>
      </w:r>
      <w:r w:rsidRPr="007745E7">
        <w:t>торый, как она утверждает, также был известен кредитной организации.</w:t>
      </w:r>
    </w:p>
    <w:p w:rsidR="007745E7" w:rsidRPr="007745E7" w:rsidRDefault="007745E7" w:rsidP="007745E7">
      <w:pPr>
        <w:pStyle w:val="SingleTxt"/>
      </w:pPr>
      <w:r w:rsidRPr="007745E7">
        <w:t xml:space="preserve">4.2 </w:t>
      </w:r>
      <w:r w:rsidRPr="007745E7">
        <w:tab/>
        <w:t>Государство-участник отмечает, что в постановлении о возбуждении испо</w:t>
      </w:r>
      <w:r w:rsidRPr="007745E7">
        <w:t>л</w:t>
      </w:r>
      <w:r w:rsidRPr="007745E7">
        <w:t>нительного производства по обращению взыскания на заложенное имущество от 21 июня 2012 года суд № 31 сообщил должнику, что она имеет право оспорить обращение взыскания по причинам, обозначенным в статье 695 ГПК. Это прои</w:t>
      </w:r>
      <w:r w:rsidRPr="007745E7">
        <w:t>з</w:t>
      </w:r>
      <w:r w:rsidRPr="007745E7">
        <w:t>водство не лишает соответствующее лицо возможности прибегнуть к обычному, не суммарному производству для урегулирования вопросов, связанных с защитой его прав и интересов. Оно отмечает также, что в соответствии с заключением Конституционного суда процедур</w:t>
      </w:r>
      <w:r w:rsidR="007176B3">
        <w:t>ы</w:t>
      </w:r>
      <w:r w:rsidRPr="007745E7">
        <w:t xml:space="preserve"> обращения взыскания на заложенное имущ</w:t>
      </w:r>
      <w:r w:rsidRPr="007745E7">
        <w:t>е</w:t>
      </w:r>
      <w:r w:rsidRPr="007745E7">
        <w:t>ство, а именно статьи 695 и 698 ГПК, не затрагивают право на эффективную с</w:t>
      </w:r>
      <w:r w:rsidRPr="007745E7">
        <w:t>у</w:t>
      </w:r>
      <w:r w:rsidRPr="007745E7">
        <w:t>дебную защиту в отношении равенства сторон в процессе и права на достойное и достаточное жилище, поскольку соответствующее решение, вынесенное судом, не является окончательным, и всегда есть возможность прибегнуть к обычному производству</w:t>
      </w:r>
      <w:r w:rsidRPr="00D04A5B">
        <w:rPr>
          <w:vertAlign w:val="superscript"/>
        </w:rPr>
        <w:footnoteReference w:id="6"/>
      </w:r>
      <w:r w:rsidRPr="007745E7">
        <w:t xml:space="preserve">. </w:t>
      </w:r>
    </w:p>
    <w:p w:rsidR="007745E7" w:rsidRPr="007745E7" w:rsidRDefault="007745E7" w:rsidP="007745E7">
      <w:pPr>
        <w:pStyle w:val="SingleTxt"/>
      </w:pPr>
      <w:r w:rsidRPr="007745E7">
        <w:t xml:space="preserve">4.3 </w:t>
      </w:r>
      <w:r w:rsidRPr="007745E7">
        <w:tab/>
        <w:t>Государство-участник отмечает, что уведомление о решении суда № 31 было направлено автору по адресу, указанному ею в нотариально заверенном договоре ипотечного кредитования. Согласно статьям 682, 683 и 686 ГПК требование уплаты, с которого начинается процедура обращения взыскания на заложенное имущество, и соответствующие уведомления направляются по адресу, добр</w:t>
      </w:r>
      <w:r w:rsidRPr="007745E7">
        <w:t>о</w:t>
      </w:r>
      <w:r w:rsidRPr="007745E7">
        <w:t>вольно указанному залогодателем. Таким образом, требования и уведомления не направляются по адресу, произвольно выбранному кредитором или судебным о</w:t>
      </w:r>
      <w:r w:rsidRPr="007745E7">
        <w:t>р</w:t>
      </w:r>
      <w:r w:rsidRPr="007745E7">
        <w:t>ганом. Этот порядок необходим для соблюдения элементарных критериев опер</w:t>
      </w:r>
      <w:r w:rsidRPr="007745E7">
        <w:t>а</w:t>
      </w:r>
      <w:r w:rsidRPr="007745E7">
        <w:t>тивности, поскольку сделать кредитора ответственным за проверку места ж</w:t>
      </w:r>
      <w:r w:rsidRPr="007745E7">
        <w:t>и</w:t>
      </w:r>
      <w:r w:rsidRPr="007745E7">
        <w:t xml:space="preserve">тельства должника было бы невыполнимой задачей. </w:t>
      </w:r>
    </w:p>
    <w:p w:rsidR="007745E7" w:rsidRPr="007745E7" w:rsidRDefault="007745E7" w:rsidP="007745E7">
      <w:pPr>
        <w:pStyle w:val="SingleTxt"/>
      </w:pPr>
      <w:r w:rsidRPr="007745E7">
        <w:t xml:space="preserve">4.4 </w:t>
      </w:r>
      <w:r w:rsidRPr="007745E7">
        <w:tab/>
        <w:t>Как утверждает государство-участник, суд № 31 принял решение осущ</w:t>
      </w:r>
      <w:r w:rsidRPr="007745E7">
        <w:t>е</w:t>
      </w:r>
      <w:r w:rsidRPr="007745E7">
        <w:t xml:space="preserve">ствить уведомление об исполнительном производстве по </w:t>
      </w:r>
      <w:r w:rsidR="00FA4543">
        <w:t>обращению взыскания</w:t>
      </w:r>
      <w:r w:rsidRPr="007745E7">
        <w:t xml:space="preserve"> на заложенное имущество посредством публикации соответствующего приказа лишь после нескольких попыток уведомить автора согласно пункту 3 статьи 686 ГПК. Уведомление посредством публикации судебного приказа соответствует требованиям соблюдения права на эффективную судебную защиту. После ув</w:t>
      </w:r>
      <w:r w:rsidRPr="007745E7">
        <w:t>е</w:t>
      </w:r>
      <w:r w:rsidRPr="007745E7">
        <w:t>домления об исполнительном производстве по обращению взыскания на зал</w:t>
      </w:r>
      <w:r w:rsidRPr="007745E7">
        <w:t>о</w:t>
      </w:r>
      <w:r w:rsidRPr="007745E7">
        <w:t>женное имущество путем публикации соответствующего приказа в соответствии со статьей 691 ГПК приказом от 11 февраля 2013 года, который в итоге был вр</w:t>
      </w:r>
      <w:r w:rsidRPr="007745E7">
        <w:t>у</w:t>
      </w:r>
      <w:r w:rsidRPr="007745E7">
        <w:t>чен доверенному лицу автора 4 апреля 2013 года после двух безуспешных поп</w:t>
      </w:r>
      <w:r w:rsidRPr="007745E7">
        <w:t>ы</w:t>
      </w:r>
      <w:r w:rsidRPr="007745E7">
        <w:t xml:space="preserve">ток уведомить ее по указанному ей адресу, был объявлен аукцион заложенного имущества. </w:t>
      </w:r>
    </w:p>
    <w:p w:rsidR="007745E7" w:rsidRPr="007745E7" w:rsidRDefault="007745E7" w:rsidP="007745E7">
      <w:pPr>
        <w:pStyle w:val="SingleTxt"/>
      </w:pPr>
      <w:r w:rsidRPr="007745E7">
        <w:t>4.5</w:t>
      </w:r>
      <w:r w:rsidRPr="007745E7">
        <w:tab/>
        <w:t>Государство-участник утверждает, что автор подала только апелляцию в о</w:t>
      </w:r>
      <w:r w:rsidRPr="007745E7">
        <w:t>т</w:t>
      </w:r>
      <w:r w:rsidRPr="007745E7">
        <w:t>ношении решения суда от 11 февраля 2013 года, согласно которому суд объявил аукцион заложенной недвижимости, и что это средство правовой защиты предн</w:t>
      </w:r>
      <w:r w:rsidRPr="007745E7">
        <w:t>а</w:t>
      </w:r>
      <w:r w:rsidRPr="007745E7">
        <w:t>значено для оспаривания правомерности соответствующего решения, а не для его отмены в силу нарушения основных прав. Оно добавляет, что автор не под</w:t>
      </w:r>
      <w:r w:rsidRPr="007745E7">
        <w:t>а</w:t>
      </w:r>
      <w:r w:rsidRPr="007745E7">
        <w:t>вала ходатайства об отклонении иска, которое представляет собой надлежащую процедуру отмены процессуальных действий, затрагивающих основные права, и</w:t>
      </w:r>
      <w:r w:rsidR="00593E1E">
        <w:t> </w:t>
      </w:r>
      <w:r w:rsidRPr="007745E7">
        <w:t>по этой причине у Конституционного суда впоследствии не было возможности оценить, представляло ли уведомление путем публикации приказа нарушение к</w:t>
      </w:r>
      <w:r w:rsidRPr="007745E7">
        <w:t>а</w:t>
      </w:r>
      <w:r w:rsidRPr="007745E7">
        <w:t xml:space="preserve">кого-либо основного права и, </w:t>
      </w:r>
      <w:r w:rsidR="00FA4543">
        <w:t>следовательно</w:t>
      </w:r>
      <w:r w:rsidRPr="007745E7">
        <w:t xml:space="preserve">, могло ли </w:t>
      </w:r>
      <w:r w:rsidR="00FA4543">
        <w:t xml:space="preserve">это </w:t>
      </w:r>
      <w:r w:rsidRPr="007745E7">
        <w:t>действие быть отмен</w:t>
      </w:r>
      <w:r w:rsidRPr="007745E7">
        <w:t>е</w:t>
      </w:r>
      <w:r w:rsidRPr="007745E7">
        <w:t>но непосредственно судебным органом.</w:t>
      </w:r>
    </w:p>
    <w:p w:rsidR="007745E7" w:rsidRPr="007745E7" w:rsidRDefault="00FA4543" w:rsidP="007745E7">
      <w:pPr>
        <w:pStyle w:val="SingleTxt"/>
      </w:pPr>
      <w:r>
        <w:t>4.6</w:t>
      </w:r>
      <w:r w:rsidR="007745E7" w:rsidRPr="007745E7">
        <w:tab/>
        <w:t>Государство-участник отмечает, что предметом сообщения, в отношении к</w:t>
      </w:r>
      <w:r w:rsidR="007745E7" w:rsidRPr="007745E7">
        <w:t>о</w:t>
      </w:r>
      <w:r w:rsidR="007745E7" w:rsidRPr="007745E7">
        <w:t xml:space="preserve">торого автор исчерпала внутренние средства правовой защиты, является якобы ненадлежащее уведомление об исполнительном производстве по </w:t>
      </w:r>
      <w:r>
        <w:t xml:space="preserve">обращению </w:t>
      </w:r>
      <w:r w:rsidR="007745E7" w:rsidRPr="007745E7">
        <w:t>взыскани</w:t>
      </w:r>
      <w:r>
        <w:t>я</w:t>
      </w:r>
      <w:r w:rsidR="007745E7" w:rsidRPr="007745E7">
        <w:t xml:space="preserve"> на заложенное имущество; и что его невозможно распространить на другие вопросы или обстоятельства, связанные с этим производством или с о</w:t>
      </w:r>
      <w:r w:rsidR="007745E7" w:rsidRPr="007745E7">
        <w:t>б</w:t>
      </w:r>
      <w:r w:rsidR="007745E7" w:rsidRPr="007745E7">
        <w:t xml:space="preserve">ращением взыскания на заложенное имущество. </w:t>
      </w:r>
    </w:p>
    <w:p w:rsidR="007745E7" w:rsidRPr="007745E7" w:rsidRDefault="00FA4543" w:rsidP="007745E7">
      <w:pPr>
        <w:pStyle w:val="SingleTxt"/>
      </w:pPr>
      <w:r>
        <w:t>4.7</w:t>
      </w:r>
      <w:r w:rsidR="007745E7" w:rsidRPr="007745E7">
        <w:tab/>
        <w:t>Государство-участник сообщает, что на момент представления им своих з</w:t>
      </w:r>
      <w:r w:rsidR="007745E7" w:rsidRPr="007745E7">
        <w:t>а</w:t>
      </w:r>
      <w:r w:rsidR="007745E7" w:rsidRPr="007745E7">
        <w:t>мечаний выселения, взыскания или аукциона заложенной недвижимости, где проживала автор, не осуществлялось; и что автор представила суду № 31 ход</w:t>
      </w:r>
      <w:r w:rsidR="007745E7" w:rsidRPr="007745E7">
        <w:t>а</w:t>
      </w:r>
      <w:r w:rsidR="007745E7" w:rsidRPr="007745E7">
        <w:t>тайство о приостановлении процедуры аукциона, ссылаясь на недействител</w:t>
      </w:r>
      <w:r w:rsidR="007745E7" w:rsidRPr="007745E7">
        <w:t>ь</w:t>
      </w:r>
      <w:r w:rsidR="007745E7" w:rsidRPr="007745E7">
        <w:t>ность отдельных положений договора ипотечного кредитования. 4 октября 2013</w:t>
      </w:r>
      <w:r>
        <w:t> </w:t>
      </w:r>
      <w:r w:rsidR="007745E7" w:rsidRPr="007745E7">
        <w:t>года суд частично удовлетворил это ходатайство, отменив шестой пункт д</w:t>
      </w:r>
      <w:r w:rsidR="007745E7" w:rsidRPr="007745E7">
        <w:t>о</w:t>
      </w:r>
      <w:r w:rsidR="007745E7" w:rsidRPr="007745E7">
        <w:t>говора (</w:t>
      </w:r>
      <w:r>
        <w:t>«</w:t>
      </w:r>
      <w:r w:rsidR="007745E7" w:rsidRPr="007745E7">
        <w:t>проценты за просрочку</w:t>
      </w:r>
      <w:r>
        <w:t>»</w:t>
      </w:r>
      <w:r w:rsidR="007745E7" w:rsidRPr="007745E7">
        <w:t xml:space="preserve">). </w:t>
      </w:r>
    </w:p>
    <w:p w:rsidR="007745E7" w:rsidRPr="007745E7" w:rsidRDefault="00FA4543" w:rsidP="007745E7">
      <w:pPr>
        <w:pStyle w:val="SingleTxt"/>
      </w:pPr>
      <w:r>
        <w:t>4.8</w:t>
      </w:r>
      <w:r w:rsidR="007745E7" w:rsidRPr="007745E7">
        <w:tab/>
        <w:t>В целях эффективного осуществления права, предусмотренного в пункте 1 статьи 11 Пакта, государство-участник приняло Закон № 1/2013 от 14 мая 2013</w:t>
      </w:r>
      <w:r>
        <w:t> </w:t>
      </w:r>
      <w:r w:rsidR="007745E7" w:rsidRPr="007745E7">
        <w:t>года о мерах по усилению защиты должников по ипотечным кредитам, р</w:t>
      </w:r>
      <w:r w:rsidR="007745E7" w:rsidRPr="007745E7">
        <w:t>е</w:t>
      </w:r>
      <w:r w:rsidR="007745E7" w:rsidRPr="007745E7">
        <w:t>структуризации долга и сдаче в аренду жилья на благоприятных для незащище</w:t>
      </w:r>
      <w:r w:rsidR="007745E7" w:rsidRPr="007745E7">
        <w:t>н</w:t>
      </w:r>
      <w:r w:rsidR="007745E7" w:rsidRPr="007745E7">
        <w:t xml:space="preserve">ных групп населения условиях; а также Королевский декрет-закон № 27/2012 от 15 ноября 2012 года о неотложных мерах по усилению защиты должников по ипотечным кредитам. Кроме того, государство-участник считает, что в рамках исполнительного производства по </w:t>
      </w:r>
      <w:r>
        <w:t xml:space="preserve">обращению </w:t>
      </w:r>
      <w:r w:rsidR="007745E7" w:rsidRPr="007745E7">
        <w:t>взыскани</w:t>
      </w:r>
      <w:r>
        <w:t>я</w:t>
      </w:r>
      <w:r w:rsidR="007745E7" w:rsidRPr="007745E7">
        <w:t xml:space="preserve"> на заложенное имущ</w:t>
      </w:r>
      <w:r w:rsidR="007745E7" w:rsidRPr="007745E7">
        <w:t>е</w:t>
      </w:r>
      <w:r w:rsidR="007745E7" w:rsidRPr="007745E7">
        <w:t>ство в соответствии с ГПК неукоснительно соблюдаются требования в отнош</w:t>
      </w:r>
      <w:r w:rsidR="007745E7" w:rsidRPr="007745E7">
        <w:t>е</w:t>
      </w:r>
      <w:r w:rsidR="007745E7" w:rsidRPr="007745E7">
        <w:t>нии права на эффективную судебную защиту. В частности, оно подчеркивает, что сам должник определяет, по какому адресу направляются уведомления; что должник может в любой момент изменить этот адрес; что предусмотрено н</w:t>
      </w:r>
      <w:r w:rsidR="007745E7" w:rsidRPr="007745E7">
        <w:t>е</w:t>
      </w:r>
      <w:r w:rsidR="007745E7" w:rsidRPr="007745E7">
        <w:t>сколько попыток личного уведомления и только в исключительных случаях, к</w:t>
      </w:r>
      <w:r w:rsidR="007745E7" w:rsidRPr="007745E7">
        <w:t>о</w:t>
      </w:r>
      <w:r w:rsidR="007745E7" w:rsidRPr="007745E7">
        <w:t>гда это невозможно, допускается уведомление посредством публикации приказа; что эта процедура позволяет в любой момент прибегнуть к ординарному прои</w:t>
      </w:r>
      <w:r w:rsidR="007745E7" w:rsidRPr="007745E7">
        <w:t>з</w:t>
      </w:r>
      <w:r w:rsidR="007745E7" w:rsidRPr="007745E7">
        <w:t>водству, с тем чтобы должники могли поднять любой вопрос относительно защ</w:t>
      </w:r>
      <w:r w:rsidR="007745E7" w:rsidRPr="007745E7">
        <w:t>и</w:t>
      </w:r>
      <w:r w:rsidR="007745E7" w:rsidRPr="007745E7">
        <w:t>ты своих прав и интересов; что она позволяет приостановить разбирательство и оспорить правомерность условий договора ипотечного кредитования; и что на любом этапе разбирательства заинтересованная сторона может подать ходата</w:t>
      </w:r>
      <w:r w:rsidR="007745E7" w:rsidRPr="007745E7">
        <w:t>й</w:t>
      </w:r>
      <w:r w:rsidR="007745E7" w:rsidRPr="007745E7">
        <w:t>ство об отклонении иска, если она считает, что в ходе исполнительного прои</w:t>
      </w:r>
      <w:r w:rsidR="007745E7" w:rsidRPr="007745E7">
        <w:t>з</w:t>
      </w:r>
      <w:r w:rsidR="007745E7" w:rsidRPr="007745E7">
        <w:t xml:space="preserve">водства было нарушено право на эффективную судебную защиту. </w:t>
      </w:r>
    </w:p>
    <w:p w:rsidR="007745E7" w:rsidRPr="007745E7" w:rsidRDefault="007745E7" w:rsidP="007745E7">
      <w:pPr>
        <w:pStyle w:val="SingleTxt"/>
        <w:spacing w:after="0" w:line="120" w:lineRule="exact"/>
        <w:rPr>
          <w:sz w:val="10"/>
        </w:rPr>
      </w:pPr>
    </w:p>
    <w:p w:rsidR="007745E7" w:rsidRPr="007745E7" w:rsidRDefault="007745E7" w:rsidP="00206AE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745E7">
        <w:tab/>
      </w:r>
      <w:r w:rsidRPr="007745E7">
        <w:tab/>
        <w:t>Комментарии автора относительно замечаний государства-участника по</w:t>
      </w:r>
      <w:r w:rsidR="00206AED">
        <w:t> </w:t>
      </w:r>
      <w:r w:rsidRPr="007745E7">
        <w:t>приемлемости и существу сообщения</w:t>
      </w:r>
    </w:p>
    <w:p w:rsidR="007745E7" w:rsidRPr="007745E7" w:rsidRDefault="007745E7" w:rsidP="00206AED">
      <w:pPr>
        <w:pStyle w:val="SingleTxt"/>
        <w:keepNext/>
        <w:spacing w:after="0" w:line="120" w:lineRule="exact"/>
        <w:rPr>
          <w:sz w:val="10"/>
        </w:rPr>
      </w:pPr>
    </w:p>
    <w:p w:rsidR="007745E7" w:rsidRPr="007745E7" w:rsidRDefault="00D04A5B" w:rsidP="00206AED">
      <w:pPr>
        <w:pStyle w:val="SingleTxt"/>
        <w:keepNext/>
      </w:pPr>
      <w:r>
        <w:t>5.1</w:t>
      </w:r>
      <w:r w:rsidR="007745E7" w:rsidRPr="007745E7">
        <w:tab/>
        <w:t>Письмом от 10 декабря 2014 года автор представила свои комментарии о</w:t>
      </w:r>
      <w:r w:rsidR="007745E7" w:rsidRPr="007745E7">
        <w:t>т</w:t>
      </w:r>
      <w:r w:rsidR="007745E7" w:rsidRPr="007745E7">
        <w:t>носительно замечаний государства-участника. Автор отрицает, что она владеет каким-либо еще недвижимым имуществом и что она не проживает по данному адресу и предоставляет документальное подтверждение того, что данная зал</w:t>
      </w:r>
      <w:r w:rsidR="007745E7" w:rsidRPr="007745E7">
        <w:t>о</w:t>
      </w:r>
      <w:r w:rsidR="007745E7" w:rsidRPr="007745E7">
        <w:t>женная недвижимость является постоянным местом ее жительства</w:t>
      </w:r>
      <w:r w:rsidR="007745E7" w:rsidRPr="00D04A5B">
        <w:rPr>
          <w:vertAlign w:val="superscript"/>
        </w:rPr>
        <w:footnoteReference w:id="7"/>
      </w:r>
      <w:r w:rsidR="007745E7" w:rsidRPr="007745E7">
        <w:t>. Она отмеч</w:t>
      </w:r>
      <w:r w:rsidR="007745E7" w:rsidRPr="007745E7">
        <w:t>а</w:t>
      </w:r>
      <w:r w:rsidR="007745E7" w:rsidRPr="007745E7">
        <w:t>ет, что</w:t>
      </w:r>
      <w:r w:rsidR="00FA4543">
        <w:t>, хотя</w:t>
      </w:r>
      <w:r w:rsidR="007745E7" w:rsidRPr="007745E7">
        <w:t xml:space="preserve"> у государства-участника есть доступ к различным государственным реестрам и архивным документам, в том числе к записи актов гражданского с</w:t>
      </w:r>
      <w:r w:rsidR="007745E7" w:rsidRPr="007745E7">
        <w:t>о</w:t>
      </w:r>
      <w:r w:rsidR="007745E7" w:rsidRPr="007745E7">
        <w:t>стояния, к документам налоговой службы и к списку жителей каждого муниц</w:t>
      </w:r>
      <w:r w:rsidR="007745E7" w:rsidRPr="007745E7">
        <w:t>и</w:t>
      </w:r>
      <w:r w:rsidR="007745E7" w:rsidRPr="007745E7">
        <w:t>пального округа, оно оспаривает эти факты без предоставления каких-либо док</w:t>
      </w:r>
      <w:r w:rsidR="007745E7" w:rsidRPr="007745E7">
        <w:t>а</w:t>
      </w:r>
      <w:r w:rsidR="007745E7" w:rsidRPr="007745E7">
        <w:t>зательств или документации. Она сообщает</w:t>
      </w:r>
      <w:r w:rsidR="00FA4543" w:rsidRPr="00FA4543">
        <w:t xml:space="preserve"> </w:t>
      </w:r>
      <w:r w:rsidR="00FA4543" w:rsidRPr="007745E7">
        <w:t>также</w:t>
      </w:r>
      <w:r w:rsidR="007745E7" w:rsidRPr="007745E7">
        <w:t>, что она разведена, бездетна и проживает одна в данном жилом помещении, находящимся под залогом, и что в своей апелляции, где упомянута возможность направить ей уведомление по адр</w:t>
      </w:r>
      <w:r w:rsidR="007745E7" w:rsidRPr="007745E7">
        <w:t>е</w:t>
      </w:r>
      <w:r w:rsidR="007745E7" w:rsidRPr="007745E7">
        <w:t>су одного из членов ее семьи, она имела в виду адрес ее матери, который изв</w:t>
      </w:r>
      <w:r w:rsidR="007745E7" w:rsidRPr="007745E7">
        <w:t>е</w:t>
      </w:r>
      <w:r w:rsidR="007745E7" w:rsidRPr="007745E7">
        <w:t xml:space="preserve">стен соответствующей кредитной организации. </w:t>
      </w:r>
    </w:p>
    <w:p w:rsidR="007745E7" w:rsidRPr="007745E7" w:rsidRDefault="00FA4543" w:rsidP="007745E7">
      <w:pPr>
        <w:pStyle w:val="SingleTxt"/>
      </w:pPr>
      <w:r>
        <w:t>5.2</w:t>
      </w:r>
      <w:r w:rsidR="007745E7" w:rsidRPr="007745E7">
        <w:tab/>
        <w:t>Автор подчеркивает, что ее сообщение о нарушении пункта 1 статьи 11 Пакта связано с отсутствием уведомления об иске и о решении суда № 31 о во</w:t>
      </w:r>
      <w:r w:rsidR="007745E7" w:rsidRPr="007745E7">
        <w:t>з</w:t>
      </w:r>
      <w:r w:rsidR="007745E7" w:rsidRPr="007745E7">
        <w:t>буждении исполнительного производства по обращению взыскания на ее зал</w:t>
      </w:r>
      <w:r w:rsidR="007745E7" w:rsidRPr="007745E7">
        <w:t>о</w:t>
      </w:r>
      <w:r w:rsidR="007745E7" w:rsidRPr="007745E7">
        <w:t>женную недвижимость, что помешало ей защитить свое право на жилище в с</w:t>
      </w:r>
      <w:r w:rsidR="007745E7" w:rsidRPr="007745E7">
        <w:t>у</w:t>
      </w:r>
      <w:r w:rsidR="007745E7" w:rsidRPr="007745E7">
        <w:t xml:space="preserve">дебном порядке. </w:t>
      </w:r>
    </w:p>
    <w:p w:rsidR="007745E7" w:rsidRPr="007745E7" w:rsidRDefault="00FA4543" w:rsidP="007745E7">
      <w:pPr>
        <w:pStyle w:val="SingleTxt"/>
      </w:pPr>
      <w:r>
        <w:t>5.3</w:t>
      </w:r>
      <w:r w:rsidR="007745E7" w:rsidRPr="007745E7">
        <w:tab/>
        <w:t xml:space="preserve">По словам автора, пункт 3 статьи 686 ГПК позволяет </w:t>
      </w:r>
      <w:r>
        <w:t>производить</w:t>
      </w:r>
      <w:r w:rsidR="007745E7" w:rsidRPr="007745E7">
        <w:t xml:space="preserve"> уведо</w:t>
      </w:r>
      <w:r w:rsidR="007745E7" w:rsidRPr="007745E7">
        <w:t>м</w:t>
      </w:r>
      <w:r w:rsidR="007745E7" w:rsidRPr="007745E7">
        <w:t xml:space="preserve">ление путем публикации приказа только в том случае, если уведомить должника до этого не удалось. Кроме того, в соответствии с процессуальными нормами государства-участника и с </w:t>
      </w:r>
      <w:r>
        <w:t>практикой Конституционного суда</w:t>
      </w:r>
      <w:r w:rsidR="007745E7" w:rsidRPr="007745E7">
        <w:t xml:space="preserve"> уведомление п</w:t>
      </w:r>
      <w:r w:rsidR="007745E7" w:rsidRPr="007745E7">
        <w:t>о</w:t>
      </w:r>
      <w:r w:rsidR="007745E7" w:rsidRPr="007745E7">
        <w:t>средством публикации приказа</w:t>
      </w:r>
      <w:r>
        <w:t>,</w:t>
      </w:r>
      <w:r w:rsidR="007745E7" w:rsidRPr="007745E7">
        <w:t xml:space="preserve"> как правило</w:t>
      </w:r>
      <w:r>
        <w:t>,</w:t>
      </w:r>
      <w:r w:rsidR="007745E7" w:rsidRPr="007745E7">
        <w:t xml:space="preserve"> </w:t>
      </w:r>
      <w:r>
        <w:t>производится</w:t>
      </w:r>
      <w:r w:rsidR="007745E7" w:rsidRPr="007745E7">
        <w:t xml:space="preserve"> только после того, как были исчерпаны все возможные способы личного уведомления, и когда в почт</w:t>
      </w:r>
      <w:r w:rsidR="007745E7" w:rsidRPr="007745E7">
        <w:t>о</w:t>
      </w:r>
      <w:r w:rsidR="007745E7" w:rsidRPr="007745E7">
        <w:t>вом ящике получателя уведомления была по крайней мере оставлена соотве</w:t>
      </w:r>
      <w:r w:rsidR="007745E7" w:rsidRPr="007745E7">
        <w:t>т</w:t>
      </w:r>
      <w:r w:rsidR="007745E7" w:rsidRPr="007745E7">
        <w:t>ствующая записка</w:t>
      </w:r>
      <w:r w:rsidR="007745E7" w:rsidRPr="00D04A5B">
        <w:rPr>
          <w:vertAlign w:val="superscript"/>
        </w:rPr>
        <w:footnoteReference w:id="8"/>
      </w:r>
      <w:r w:rsidR="007745E7" w:rsidRPr="007745E7">
        <w:t>.</w:t>
      </w:r>
    </w:p>
    <w:p w:rsidR="007745E7" w:rsidRPr="007745E7" w:rsidRDefault="00FA4543" w:rsidP="007745E7">
      <w:pPr>
        <w:pStyle w:val="SingleTxt"/>
      </w:pPr>
      <w:r>
        <w:t>5.4</w:t>
      </w:r>
      <w:r w:rsidR="007745E7" w:rsidRPr="007745E7">
        <w:tab/>
        <w:t>Автор подчеркивает отличие действий суда № 31 в отношении ее уведомл</w:t>
      </w:r>
      <w:r w:rsidR="007745E7" w:rsidRPr="007745E7">
        <w:t>е</w:t>
      </w:r>
      <w:r w:rsidR="007745E7" w:rsidRPr="007745E7">
        <w:t>ния о проведении аукциона заложенной недвижимости, а именно то, что после двух безуспешных попыток личного уведомления была оставлена записка, с тем чтобы она могла действительно принять к сведению приказ о проведении аукц</w:t>
      </w:r>
      <w:r w:rsidR="007745E7" w:rsidRPr="007745E7">
        <w:t>и</w:t>
      </w:r>
      <w:r w:rsidR="007745E7" w:rsidRPr="007745E7">
        <w:t>она.</w:t>
      </w:r>
    </w:p>
    <w:p w:rsidR="007745E7" w:rsidRPr="007745E7" w:rsidRDefault="00FA4543" w:rsidP="007745E7">
      <w:pPr>
        <w:pStyle w:val="SingleTxt"/>
      </w:pPr>
      <w:r>
        <w:t>5.5</w:t>
      </w:r>
      <w:r w:rsidR="007745E7" w:rsidRPr="007745E7">
        <w:tab/>
        <w:t>Автор утверждает, что поданные ей в суд № 31 апелляции являются надл</w:t>
      </w:r>
      <w:r w:rsidR="007745E7" w:rsidRPr="007745E7">
        <w:t>е</w:t>
      </w:r>
      <w:r w:rsidR="007745E7" w:rsidRPr="007745E7">
        <w:t>жащими и подходящими для рассмотрения судом нарушения ее основных прав вследствие уведомления путем публикации приказа и исправления этого полож</w:t>
      </w:r>
      <w:r w:rsidR="007745E7" w:rsidRPr="007745E7">
        <w:t>е</w:t>
      </w:r>
      <w:r w:rsidR="007745E7" w:rsidRPr="007745E7">
        <w:t>ния. Она утверждает также, что в соответствии с практикой Конституционного суда ходатайство об отклонении иска в отношении решения суда № 31 (в соо</w:t>
      </w:r>
      <w:r w:rsidR="007745E7" w:rsidRPr="007745E7">
        <w:t>т</w:t>
      </w:r>
      <w:r w:rsidR="007745E7" w:rsidRPr="007745E7">
        <w:t>ветствии с которым был объявлен аукцион), на которое ссылается государство-участник, не было необходимым и подходящим средством правовой защиты, к</w:t>
      </w:r>
      <w:r w:rsidR="007745E7" w:rsidRPr="007745E7">
        <w:t>о</w:t>
      </w:r>
      <w:r w:rsidR="007745E7" w:rsidRPr="007745E7">
        <w:t>торое автор должна была исчерпать, прежде чем подавать апелляцию по проц</w:t>
      </w:r>
      <w:r w:rsidR="007745E7" w:rsidRPr="007745E7">
        <w:t>е</w:t>
      </w:r>
      <w:r w:rsidR="007745E7" w:rsidRPr="007745E7">
        <w:t>дуре ампаро в Конституционный суд</w:t>
      </w:r>
      <w:r w:rsidR="007745E7" w:rsidRPr="00D04A5B">
        <w:rPr>
          <w:vertAlign w:val="superscript"/>
        </w:rPr>
        <w:footnoteReference w:id="9"/>
      </w:r>
      <w:r w:rsidR="007745E7" w:rsidRPr="007745E7">
        <w:t>.</w:t>
      </w:r>
    </w:p>
    <w:p w:rsidR="007745E7" w:rsidRPr="007745E7" w:rsidRDefault="007745E7" w:rsidP="00FA4543">
      <w:pPr>
        <w:pStyle w:val="SingleTxt"/>
        <w:keepNext/>
        <w:keepLines/>
      </w:pPr>
      <w:r w:rsidRPr="007745E7">
        <w:t xml:space="preserve">5.6 </w:t>
      </w:r>
      <w:r w:rsidRPr="007745E7">
        <w:tab/>
        <w:t xml:space="preserve">Автор считает, что внесенные в законодательство государства-участника </w:t>
      </w:r>
      <w:r w:rsidR="00FA4543" w:rsidRPr="007745E7">
        <w:t xml:space="preserve">поправки </w:t>
      </w:r>
      <w:r w:rsidRPr="007745E7">
        <w:t>в целях укрепления защиты должников по ипотечным кредитам, на к</w:t>
      </w:r>
      <w:r w:rsidRPr="007745E7">
        <w:t>о</w:t>
      </w:r>
      <w:r w:rsidRPr="007745E7">
        <w:t>торые оно ссылается, не являются применимыми к настоящему случаю и не имеют к нему отношения.</w:t>
      </w:r>
    </w:p>
    <w:p w:rsidR="007745E7" w:rsidRPr="007745E7" w:rsidRDefault="007745E7" w:rsidP="007745E7">
      <w:pPr>
        <w:pStyle w:val="SingleTxt"/>
        <w:spacing w:after="0" w:line="120" w:lineRule="exact"/>
        <w:rPr>
          <w:sz w:val="10"/>
        </w:rPr>
      </w:pPr>
    </w:p>
    <w:p w:rsidR="007745E7" w:rsidRPr="007745E7" w:rsidRDefault="007745E7" w:rsidP="00D04A5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745E7">
        <w:tab/>
      </w:r>
      <w:r w:rsidRPr="007745E7">
        <w:tab/>
      </w:r>
      <w:r w:rsidR="00FA4543">
        <w:t>Материалы, представленные третьими</w:t>
      </w:r>
      <w:r w:rsidRPr="007745E7">
        <w:t xml:space="preserve"> сторон</w:t>
      </w:r>
      <w:r w:rsidR="00FA4543">
        <w:t>ами</w:t>
      </w:r>
    </w:p>
    <w:p w:rsidR="007745E7" w:rsidRPr="007745E7" w:rsidRDefault="007745E7" w:rsidP="007745E7">
      <w:pPr>
        <w:pStyle w:val="SingleTxt"/>
        <w:spacing w:after="0" w:line="120" w:lineRule="exact"/>
        <w:rPr>
          <w:sz w:val="10"/>
        </w:rPr>
      </w:pPr>
    </w:p>
    <w:p w:rsidR="007745E7" w:rsidRPr="007745E7" w:rsidRDefault="007745E7" w:rsidP="007745E7">
      <w:pPr>
        <w:pStyle w:val="SingleTxt"/>
      </w:pPr>
      <w:r w:rsidRPr="007745E7">
        <w:t>6.1</w:t>
      </w:r>
      <w:r w:rsidRPr="007745E7">
        <w:tab/>
        <w:t>В соответствии с пунктом 3 статьи 8 Факультативного протокола в рамках правил процедуры рассмотрения сообщений и при условии наличия предвар</w:t>
      </w:r>
      <w:r w:rsidRPr="007745E7">
        <w:t>и</w:t>
      </w:r>
      <w:r w:rsidRPr="007745E7">
        <w:t xml:space="preserve">тельного разрешения Комитета допускается вмешательство третьих сторон для представления документов, имеющих отношение к рассматриваемому делу. </w:t>
      </w:r>
      <w:r w:rsidR="00FA4543">
        <w:br/>
      </w:r>
      <w:r w:rsidRPr="007745E7">
        <w:t>Такие документы должны передаваться на рассмотрение сторон. 4 февраля 2015</w:t>
      </w:r>
      <w:r w:rsidR="00FA4543">
        <w:t> </w:t>
      </w:r>
      <w:r w:rsidRPr="007745E7">
        <w:t>года Рабочая группа по сообщениям, действуя от имени Комитета, санкци</w:t>
      </w:r>
      <w:r w:rsidRPr="007745E7">
        <w:t>о</w:t>
      </w:r>
      <w:r w:rsidRPr="007745E7">
        <w:t xml:space="preserve">нировала </w:t>
      </w:r>
      <w:r w:rsidR="00FA4543">
        <w:t>представление материалов</w:t>
      </w:r>
      <w:r w:rsidRPr="007745E7">
        <w:t xml:space="preserve"> организации </w:t>
      </w:r>
      <w:r w:rsidR="00FA4543">
        <w:t>«</w:t>
      </w:r>
      <w:r w:rsidRPr="007745E7">
        <w:t>Международная сеть в инт</w:t>
      </w:r>
      <w:r w:rsidRPr="007745E7">
        <w:t>е</w:t>
      </w:r>
      <w:r w:rsidRPr="007745E7">
        <w:t>ресах экономических, социальных и культурных прав</w:t>
      </w:r>
      <w:r w:rsidR="00FA4543">
        <w:t>»</w:t>
      </w:r>
      <w:r w:rsidRPr="007745E7">
        <w:t xml:space="preserve"> (Сеть ЭСКП)</w:t>
      </w:r>
      <w:r w:rsidRPr="00D04A5B">
        <w:rPr>
          <w:vertAlign w:val="superscript"/>
        </w:rPr>
        <w:footnoteReference w:id="10"/>
      </w:r>
      <w:r w:rsidRPr="007745E7">
        <w:t xml:space="preserve"> в соотве</w:t>
      </w:r>
      <w:r w:rsidRPr="007745E7">
        <w:t>т</w:t>
      </w:r>
      <w:r w:rsidRPr="007745E7">
        <w:t>ствии со статьей 8 Факультативного протокола и правилом 14 временных правил процедуры Комитета в соответствии с Факультативным протоколом. 26 февраля 2015 года Комитет препроводил государству-участнику и автору материалы, к</w:t>
      </w:r>
      <w:r w:rsidRPr="007745E7">
        <w:t>о</w:t>
      </w:r>
      <w:r w:rsidRPr="007745E7">
        <w:t xml:space="preserve">торые Сеть ЭСКП предоставила 24 февраля 2015 года, и попросил их </w:t>
      </w:r>
      <w:r w:rsidR="00FA4543">
        <w:t>сформул</w:t>
      </w:r>
      <w:r w:rsidR="00FA4543">
        <w:t>и</w:t>
      </w:r>
      <w:r w:rsidR="00FA4543">
        <w:t>ровать</w:t>
      </w:r>
      <w:r w:rsidRPr="007745E7">
        <w:t xml:space="preserve"> свои замечания и комментарии. </w:t>
      </w:r>
    </w:p>
    <w:p w:rsidR="007745E7" w:rsidRPr="007745E7" w:rsidRDefault="00FA4543" w:rsidP="007745E7">
      <w:pPr>
        <w:pStyle w:val="SingleTxt"/>
      </w:pPr>
      <w:r>
        <w:t>6.2</w:t>
      </w:r>
      <w:r w:rsidR="007745E7" w:rsidRPr="007745E7">
        <w:tab/>
        <w:t>Соответствующая сторона отмечает, что ситуация в области жилья в гос</w:t>
      </w:r>
      <w:r w:rsidR="007745E7" w:rsidRPr="007745E7">
        <w:t>у</w:t>
      </w:r>
      <w:r w:rsidR="007745E7" w:rsidRPr="007745E7">
        <w:t>дарстве-участнике сопряжена с серьезным и широкомасштабным риском в ко</w:t>
      </w:r>
      <w:r w:rsidR="007745E7" w:rsidRPr="007745E7">
        <w:t>н</w:t>
      </w:r>
      <w:r w:rsidR="007745E7" w:rsidRPr="007745E7">
        <w:t>тексте экономическо</w:t>
      </w:r>
      <w:r>
        <w:t>й рецессии</w:t>
      </w:r>
      <w:r w:rsidR="007745E7" w:rsidRPr="007745E7">
        <w:t xml:space="preserve"> и высокого уровня безработицы и что в </w:t>
      </w:r>
      <w:r>
        <w:br/>
      </w:r>
      <w:r w:rsidR="007745E7" w:rsidRPr="007745E7">
        <w:t>2008</w:t>
      </w:r>
      <w:r>
        <w:t>–</w:t>
      </w:r>
      <w:r w:rsidR="007745E7" w:rsidRPr="007745E7">
        <w:t>2010 годах были осуществлено приблизительно 400 000 взысканий по ип</w:t>
      </w:r>
      <w:r w:rsidR="007745E7" w:rsidRPr="007745E7">
        <w:t>о</w:t>
      </w:r>
      <w:r w:rsidR="007745E7" w:rsidRPr="007745E7">
        <w:t>течным кредитам</w:t>
      </w:r>
      <w:r w:rsidR="007745E7" w:rsidRPr="00D04A5B">
        <w:rPr>
          <w:vertAlign w:val="superscript"/>
        </w:rPr>
        <w:footnoteReference w:id="11"/>
      </w:r>
      <w:r w:rsidR="007745E7" w:rsidRPr="007745E7">
        <w:t>. Она отмечает</w:t>
      </w:r>
      <w:r w:rsidRPr="00FA4543">
        <w:t xml:space="preserve"> </w:t>
      </w:r>
      <w:r w:rsidRPr="007745E7">
        <w:t>также</w:t>
      </w:r>
      <w:r w:rsidR="00895FEA">
        <w:t>, что</w:t>
      </w:r>
      <w:r w:rsidR="007745E7" w:rsidRPr="007745E7">
        <w:t xml:space="preserve"> по заключению Европейского суда испанское законодательство обеспечивает </w:t>
      </w:r>
      <w:r>
        <w:t>«</w:t>
      </w:r>
      <w:r w:rsidR="007745E7" w:rsidRPr="007745E7">
        <w:t>неполную и неадекватную</w:t>
      </w:r>
      <w:r>
        <w:t>»</w:t>
      </w:r>
      <w:r w:rsidR="007745E7" w:rsidRPr="007745E7">
        <w:t xml:space="preserve"> защиту держателей ипотечных кредитов, особенно в тех случаях, когда объектом зал</w:t>
      </w:r>
      <w:r w:rsidR="007745E7" w:rsidRPr="007745E7">
        <w:t>о</w:t>
      </w:r>
      <w:r w:rsidR="007745E7" w:rsidRPr="007745E7">
        <w:t>женного имущества является жилье, где проживают члены семьи заемщика</w:t>
      </w:r>
      <w:r w:rsidR="007745E7" w:rsidRPr="00D04A5B">
        <w:rPr>
          <w:vertAlign w:val="superscript"/>
        </w:rPr>
        <w:footnoteReference w:id="12"/>
      </w:r>
      <w:r w:rsidR="007745E7" w:rsidRPr="007745E7">
        <w:t>. По</w:t>
      </w:r>
      <w:r w:rsidR="00895FEA">
        <w:t> </w:t>
      </w:r>
      <w:r w:rsidR="007745E7" w:rsidRPr="007745E7">
        <w:t>ее мнению, принятые государством-участником законодательные меры, такие как Королевский декрет-закон № 6/2012 и Закон № 4/2013, недостаточны для преодоления чрезвычайного социального положения, вызванного взысканиями по ипотечным кредитам, поскольку испанское законодательство по-прежнему защищает интересы финансовых учреждений, а не соответствующих физических лиц.</w:t>
      </w:r>
    </w:p>
    <w:p w:rsidR="007745E7" w:rsidRPr="007745E7" w:rsidRDefault="00895FEA" w:rsidP="00206AED">
      <w:pPr>
        <w:pStyle w:val="SingleTxt"/>
        <w:keepNext/>
        <w:keepLines/>
      </w:pPr>
      <w:r>
        <w:t>6.3</w:t>
      </w:r>
      <w:r w:rsidR="007745E7" w:rsidRPr="007745E7">
        <w:tab/>
        <w:t>В целях защиты прав, закрепленных в Пакте, уточняет соответствующая сторона, выселение возможно только в исключительных обстоятельствах; после проведения оценки всех возможных альтернатив, включая другие способы пог</w:t>
      </w:r>
      <w:r w:rsidR="007745E7" w:rsidRPr="007745E7">
        <w:t>а</w:t>
      </w:r>
      <w:r w:rsidR="007745E7" w:rsidRPr="007745E7">
        <w:t>шения долга, с проведением консультаций с соответствующей общиной или ф</w:t>
      </w:r>
      <w:r w:rsidR="007745E7" w:rsidRPr="007745E7">
        <w:t>и</w:t>
      </w:r>
      <w:r w:rsidR="007745E7" w:rsidRPr="007745E7">
        <w:t xml:space="preserve">зическим лицом; с обеспечением всех надлежащих </w:t>
      </w:r>
      <w:r>
        <w:t>процессуальных гарантий</w:t>
      </w:r>
      <w:r w:rsidR="007745E7" w:rsidRPr="007745E7">
        <w:t xml:space="preserve"> защиты, таких как эффективное средство правовой защиты и достаточный и р</w:t>
      </w:r>
      <w:r w:rsidR="007745E7" w:rsidRPr="007745E7">
        <w:t>а</w:t>
      </w:r>
      <w:r w:rsidR="007745E7" w:rsidRPr="007745E7">
        <w:t xml:space="preserve">зумный срок уведомления; а также </w:t>
      </w:r>
      <w:r>
        <w:t xml:space="preserve">с </w:t>
      </w:r>
      <w:r w:rsidR="007745E7" w:rsidRPr="007745E7">
        <w:t>обеспечением того, что выселение не ост</w:t>
      </w:r>
      <w:r w:rsidR="007745E7" w:rsidRPr="007745E7">
        <w:t>а</w:t>
      </w:r>
      <w:r w:rsidR="007745E7" w:rsidRPr="007745E7">
        <w:t>вит пострадавшее лицо без жилья и не подвергнет его нарушениям других прав человека</w:t>
      </w:r>
      <w:r w:rsidR="007745E7" w:rsidRPr="00D04A5B">
        <w:rPr>
          <w:vertAlign w:val="superscript"/>
        </w:rPr>
        <w:footnoteReference w:id="13"/>
      </w:r>
      <w:r w:rsidR="007745E7" w:rsidRPr="007745E7">
        <w:t>.</w:t>
      </w:r>
    </w:p>
    <w:p w:rsidR="007745E7" w:rsidRPr="007745E7" w:rsidRDefault="00895FEA" w:rsidP="007745E7">
      <w:pPr>
        <w:pStyle w:val="SingleTxt"/>
      </w:pPr>
      <w:r>
        <w:t>6.4</w:t>
      </w:r>
      <w:r w:rsidR="007745E7" w:rsidRPr="007745E7">
        <w:tab/>
        <w:t xml:space="preserve">Государству-участнику следует </w:t>
      </w:r>
      <w:r>
        <w:t>предусмотреть</w:t>
      </w:r>
      <w:r w:rsidR="007745E7" w:rsidRPr="007745E7">
        <w:t xml:space="preserve"> максимальные гарантии </w:t>
      </w:r>
      <w:r w:rsidR="00592732">
        <w:t xml:space="preserve"> обеспечения проживания, </w:t>
      </w:r>
      <w:r w:rsidR="007745E7" w:rsidRPr="007745E7">
        <w:t>в том числе в отношении надлежащего судебного ко</w:t>
      </w:r>
      <w:r w:rsidR="007745E7" w:rsidRPr="007745E7">
        <w:t>н</w:t>
      </w:r>
      <w:r w:rsidR="007745E7" w:rsidRPr="007745E7">
        <w:t xml:space="preserve">троля. В этой связи соответствующая сторона заявляет, что необходим судебный контроль над процессом взыскания по ипотечным кредитам и что в обязанности кредиторов, заинтересованных в обращении взыскания по договорам ипотечного кредитования, входит </w:t>
      </w:r>
      <w:r w:rsidR="00390B45">
        <w:t>представление</w:t>
      </w:r>
      <w:r>
        <w:t xml:space="preserve"> </w:t>
      </w:r>
      <w:r w:rsidR="007745E7" w:rsidRPr="007745E7">
        <w:t xml:space="preserve">доказательств соответствующему судебному органу </w:t>
      </w:r>
      <w:r>
        <w:t xml:space="preserve">относительно </w:t>
      </w:r>
      <w:r w:rsidR="007745E7" w:rsidRPr="007745E7">
        <w:t>обоснованности продажи жилища того или иного лица с учетом всех обстоятельств каждого дела</w:t>
      </w:r>
      <w:r w:rsidR="007745E7" w:rsidRPr="00D04A5B">
        <w:rPr>
          <w:vertAlign w:val="superscript"/>
        </w:rPr>
        <w:footnoteReference w:id="14"/>
      </w:r>
      <w:r w:rsidR="007745E7" w:rsidRPr="007745E7">
        <w:t>. Судебные органы должны учитывать не только законность выселения в соответствии с национальным законодател</w:t>
      </w:r>
      <w:r w:rsidR="007745E7" w:rsidRPr="007745E7">
        <w:t>ь</w:t>
      </w:r>
      <w:r w:rsidR="007745E7" w:rsidRPr="007745E7">
        <w:t>ством, но и существенные аргументы в отношении соразмерности и необходим</w:t>
      </w:r>
      <w:r w:rsidR="007745E7" w:rsidRPr="007745E7">
        <w:t>о</w:t>
      </w:r>
      <w:r w:rsidR="007745E7" w:rsidRPr="007745E7">
        <w:t>сти принятия этой меры</w:t>
      </w:r>
      <w:r w:rsidR="007745E7" w:rsidRPr="00D04A5B">
        <w:rPr>
          <w:vertAlign w:val="superscript"/>
        </w:rPr>
        <w:footnoteReference w:id="15"/>
      </w:r>
      <w:r w:rsidR="007745E7" w:rsidRPr="007745E7">
        <w:t xml:space="preserve">. </w:t>
      </w:r>
    </w:p>
    <w:p w:rsidR="007745E7" w:rsidRPr="007745E7" w:rsidRDefault="00895FEA" w:rsidP="007745E7">
      <w:pPr>
        <w:pStyle w:val="SingleTxt"/>
      </w:pPr>
      <w:r>
        <w:t>6.5</w:t>
      </w:r>
      <w:r w:rsidR="007745E7" w:rsidRPr="007745E7">
        <w:tab/>
        <w:t>По мнению соответствующей стороны, государству-участнику следует ув</w:t>
      </w:r>
      <w:r w:rsidR="007745E7" w:rsidRPr="007745E7">
        <w:t>е</w:t>
      </w:r>
      <w:r w:rsidR="007745E7" w:rsidRPr="007745E7">
        <w:t>домлять каждое соответствующее лицо в достаточный и разумный срок до уст</w:t>
      </w:r>
      <w:r w:rsidR="007745E7" w:rsidRPr="007745E7">
        <w:t>а</w:t>
      </w:r>
      <w:r w:rsidR="007745E7" w:rsidRPr="007745E7">
        <w:t>новленной даты выселения</w:t>
      </w:r>
      <w:r w:rsidR="007745E7" w:rsidRPr="00D04A5B">
        <w:rPr>
          <w:vertAlign w:val="superscript"/>
        </w:rPr>
        <w:footnoteReference w:id="16"/>
      </w:r>
      <w:r w:rsidR="007745E7" w:rsidRPr="007745E7">
        <w:t xml:space="preserve">. Что касается уведомления о судебных повестках, </w:t>
      </w:r>
      <w:r>
        <w:t xml:space="preserve">то </w:t>
      </w:r>
      <w:r w:rsidR="007745E7" w:rsidRPr="007745E7">
        <w:t>южноафриканские суды признали необходимость обеспечивать строгий судебный контроль в случаях, когда должники не могут оспорить исполнительное прои</w:t>
      </w:r>
      <w:r w:rsidR="007745E7" w:rsidRPr="007745E7">
        <w:t>з</w:t>
      </w:r>
      <w:r w:rsidR="007745E7" w:rsidRPr="007745E7">
        <w:t>водство или согласовать условия, относящиеся к уведомлению до судебного ра</w:t>
      </w:r>
      <w:r w:rsidR="007745E7" w:rsidRPr="007745E7">
        <w:t>з</w:t>
      </w:r>
      <w:r w:rsidR="007745E7" w:rsidRPr="007745E7">
        <w:t>бирательства, в особенности касательно того, было ли уведомление о судебной повестке осуществлено надлежащим образом</w:t>
      </w:r>
      <w:r w:rsidR="007745E7" w:rsidRPr="00D04A5B">
        <w:rPr>
          <w:vertAlign w:val="superscript"/>
        </w:rPr>
        <w:footnoteReference w:id="17"/>
      </w:r>
      <w:r w:rsidR="007745E7" w:rsidRPr="007745E7">
        <w:t>.</w:t>
      </w:r>
    </w:p>
    <w:p w:rsidR="007745E7" w:rsidRPr="007745E7" w:rsidRDefault="007745E7" w:rsidP="007745E7">
      <w:pPr>
        <w:pStyle w:val="SingleTxt"/>
        <w:spacing w:after="0" w:line="120" w:lineRule="exact"/>
        <w:rPr>
          <w:sz w:val="10"/>
        </w:rPr>
      </w:pPr>
    </w:p>
    <w:p w:rsidR="007745E7" w:rsidRPr="007745E7" w:rsidRDefault="007745E7" w:rsidP="00D04A5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745E7">
        <w:tab/>
      </w:r>
      <w:r w:rsidRPr="007745E7">
        <w:tab/>
        <w:t xml:space="preserve">Замечания автора по поводу </w:t>
      </w:r>
      <w:r w:rsidR="00895FEA">
        <w:t xml:space="preserve">материалов, представленных </w:t>
      </w:r>
      <w:r w:rsidRPr="007745E7">
        <w:t>третьи</w:t>
      </w:r>
      <w:r w:rsidR="00895FEA">
        <w:t>ми</w:t>
      </w:r>
      <w:r w:rsidRPr="007745E7">
        <w:t xml:space="preserve"> сторон</w:t>
      </w:r>
      <w:r w:rsidR="00895FEA">
        <w:t>ами</w:t>
      </w:r>
    </w:p>
    <w:p w:rsidR="007745E7" w:rsidRPr="007745E7" w:rsidRDefault="007745E7" w:rsidP="007745E7">
      <w:pPr>
        <w:pStyle w:val="SingleTxt"/>
        <w:spacing w:after="0" w:line="120" w:lineRule="exact"/>
        <w:rPr>
          <w:sz w:val="10"/>
        </w:rPr>
      </w:pPr>
    </w:p>
    <w:p w:rsidR="007745E7" w:rsidRPr="007745E7" w:rsidRDefault="007745E7" w:rsidP="007745E7">
      <w:pPr>
        <w:pStyle w:val="SingleTxt"/>
      </w:pPr>
      <w:r w:rsidRPr="007745E7">
        <w:t>7.</w:t>
      </w:r>
      <w:r w:rsidRPr="007745E7">
        <w:tab/>
        <w:t xml:space="preserve">В письме от 12 марта 2015 года автор представила Комитету свои замечания по поводу </w:t>
      </w:r>
      <w:r w:rsidR="00895FEA">
        <w:t>материалов</w:t>
      </w:r>
      <w:r w:rsidRPr="007745E7">
        <w:t xml:space="preserve"> третьих сторон. Автор утверждает, что право на получение предварительного сообщения в случае выселения относится к судебным гарант</w:t>
      </w:r>
      <w:r w:rsidRPr="007745E7">
        <w:t>и</w:t>
      </w:r>
      <w:r w:rsidRPr="007745E7">
        <w:t xml:space="preserve">ям, которые должны соблюдаться. Она повторяет свои утверждения о том, что было нарушено ее право на судебную защиту, что, </w:t>
      </w:r>
      <w:r w:rsidR="00895FEA">
        <w:t>таким образом</w:t>
      </w:r>
      <w:r w:rsidRPr="007745E7">
        <w:t>, лишило ее возможности явиться на судебный процесс и должным образом осуществить в суде защиту своего права на жилище вследствие отсутствия уведомления об иске кредитной организации и о решении суда, который принял к исполнительному производству взыскание по ипотечному кредиту.</w:t>
      </w:r>
    </w:p>
    <w:p w:rsidR="007745E7" w:rsidRPr="007745E7" w:rsidRDefault="007745E7" w:rsidP="007745E7">
      <w:pPr>
        <w:pStyle w:val="SingleTxt"/>
        <w:spacing w:after="0" w:line="120" w:lineRule="exact"/>
        <w:rPr>
          <w:sz w:val="10"/>
        </w:rPr>
      </w:pPr>
    </w:p>
    <w:p w:rsidR="007745E7" w:rsidRPr="007745E7" w:rsidRDefault="007745E7" w:rsidP="00D04A5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745E7">
        <w:tab/>
      </w:r>
      <w:r w:rsidRPr="007745E7">
        <w:tab/>
        <w:t xml:space="preserve">Замечания государства-участника по </w:t>
      </w:r>
      <w:r w:rsidR="003C3834">
        <w:t>материалам</w:t>
      </w:r>
      <w:r w:rsidRPr="007745E7">
        <w:t xml:space="preserve"> третьих сторон</w:t>
      </w:r>
    </w:p>
    <w:p w:rsidR="007745E7" w:rsidRPr="007745E7" w:rsidRDefault="007745E7" w:rsidP="007745E7">
      <w:pPr>
        <w:pStyle w:val="SingleTxt"/>
        <w:spacing w:after="0" w:line="120" w:lineRule="exact"/>
        <w:rPr>
          <w:sz w:val="10"/>
        </w:rPr>
      </w:pPr>
    </w:p>
    <w:p w:rsidR="007745E7" w:rsidRPr="007745E7" w:rsidRDefault="007745E7" w:rsidP="007745E7">
      <w:pPr>
        <w:pStyle w:val="SingleTxt"/>
      </w:pPr>
      <w:r w:rsidRPr="007745E7">
        <w:t>8.1</w:t>
      </w:r>
      <w:r w:rsidRPr="007745E7">
        <w:tab/>
        <w:t xml:space="preserve">19 марта 2015 года государство-участник представило свои замечания по </w:t>
      </w:r>
      <w:r w:rsidR="00DF3297">
        <w:t>материалам</w:t>
      </w:r>
      <w:r w:rsidRPr="007745E7">
        <w:t xml:space="preserve"> третьих сторон. Оно утверждает, что в распоряжении автора бы</w:t>
      </w:r>
      <w:r w:rsidR="003C3834">
        <w:t>ли все средства правовой защиты</w:t>
      </w:r>
      <w:r w:rsidRPr="007745E7">
        <w:t xml:space="preserve"> и она воспользовалась всеми </w:t>
      </w:r>
      <w:r w:rsidR="003C3834">
        <w:t>процессуальными гарантиями</w:t>
      </w:r>
      <w:r w:rsidRPr="007745E7">
        <w:t xml:space="preserve"> защиты. </w:t>
      </w:r>
    </w:p>
    <w:p w:rsidR="007745E7" w:rsidRPr="007745E7" w:rsidRDefault="007745E7" w:rsidP="007745E7">
      <w:pPr>
        <w:pStyle w:val="SingleTxt"/>
      </w:pPr>
      <w:r w:rsidRPr="007745E7">
        <w:t>8.2</w:t>
      </w:r>
      <w:r w:rsidRPr="007745E7">
        <w:tab/>
        <w:t>Государство-участник утверждает, что Закон № 1/2013 и Королевский д</w:t>
      </w:r>
      <w:r w:rsidRPr="007745E7">
        <w:t>е</w:t>
      </w:r>
      <w:r w:rsidRPr="007745E7">
        <w:t>крет-закон № 27/2012 о защите должников по ипотечным кредитам предусматр</w:t>
      </w:r>
      <w:r w:rsidRPr="007745E7">
        <w:t>и</w:t>
      </w:r>
      <w:r w:rsidRPr="007745E7">
        <w:t>вают схему защиты с чрезвычайно выгодными для них гарантиями, которая</w:t>
      </w:r>
      <w:r w:rsidR="003C3834">
        <w:t>, в частности,</w:t>
      </w:r>
      <w:r w:rsidRPr="007745E7">
        <w:t xml:space="preserve"> позволяет бывшему владельцу проживать в соответствующем ж</w:t>
      </w:r>
      <w:r w:rsidRPr="007745E7">
        <w:t>и</w:t>
      </w:r>
      <w:r w:rsidRPr="007745E7">
        <w:t>лом помещении в течение двух лет после выселения в качестве арендатора с во</w:t>
      </w:r>
      <w:r w:rsidRPr="007745E7">
        <w:t>з</w:t>
      </w:r>
      <w:r w:rsidRPr="007745E7">
        <w:t xml:space="preserve">можностью получения помощи для оплаты аренды. Кроме того, государство-участник повторяет, что в рамках исполнительного производства по </w:t>
      </w:r>
      <w:r w:rsidR="003C3834">
        <w:t xml:space="preserve">обращению </w:t>
      </w:r>
      <w:r w:rsidRPr="007745E7">
        <w:t>взыска</w:t>
      </w:r>
      <w:r w:rsidR="003C3834">
        <w:t>ния</w:t>
      </w:r>
      <w:r w:rsidRPr="007745E7">
        <w:t xml:space="preserve"> на заложенное имущество в соответствии с ГПК неукоснительно с</w:t>
      </w:r>
      <w:r w:rsidRPr="007745E7">
        <w:t>о</w:t>
      </w:r>
      <w:r w:rsidRPr="007745E7">
        <w:t>блюдаются требования в отношении права на эффективную судебную защиту.</w:t>
      </w:r>
    </w:p>
    <w:p w:rsidR="007745E7" w:rsidRPr="007745E7" w:rsidRDefault="007745E7" w:rsidP="007745E7">
      <w:pPr>
        <w:pStyle w:val="SingleTxt"/>
      </w:pPr>
      <w:r w:rsidRPr="007745E7">
        <w:t>8.3</w:t>
      </w:r>
      <w:r w:rsidRPr="007745E7">
        <w:tab/>
        <w:t xml:space="preserve">Государство-участник подчеркивает, что автор продолжает пользоваться своим жильем и что ее права никоим образом не были ущемлены. Кроме того, оно сообщает, что решением суда от 25 апреля 2013 года было приостановлено исполнительное производство по </w:t>
      </w:r>
      <w:r w:rsidR="003C3834">
        <w:t>обращению взыскания</w:t>
      </w:r>
      <w:r w:rsidRPr="007745E7">
        <w:t xml:space="preserve"> на заложенное имущ</w:t>
      </w:r>
      <w:r w:rsidRPr="007745E7">
        <w:t>е</w:t>
      </w:r>
      <w:r w:rsidRPr="007745E7">
        <w:t xml:space="preserve">ство </w:t>
      </w:r>
      <w:r w:rsidR="003C3834">
        <w:t xml:space="preserve">в </w:t>
      </w:r>
      <w:r w:rsidRPr="007745E7">
        <w:t>це</w:t>
      </w:r>
      <w:r w:rsidR="003C3834">
        <w:t>лях</w:t>
      </w:r>
      <w:r w:rsidRPr="007745E7">
        <w:t xml:space="preserve"> анализа возможной неправомерности положения договора ипоте</w:t>
      </w:r>
      <w:r w:rsidRPr="007745E7">
        <w:t>ч</w:t>
      </w:r>
      <w:r w:rsidRPr="007745E7">
        <w:t>ного кредитования, где установлен размер процентов за просрочку платежа, а</w:t>
      </w:r>
      <w:r w:rsidR="003C3834">
        <w:t> </w:t>
      </w:r>
      <w:r w:rsidRPr="007745E7">
        <w:t>также размер установленных законом банковских процентов по займу.</w:t>
      </w:r>
    </w:p>
    <w:p w:rsidR="007745E7" w:rsidRPr="007745E7" w:rsidRDefault="007745E7" w:rsidP="007745E7">
      <w:pPr>
        <w:pStyle w:val="SingleTxt"/>
      </w:pPr>
      <w:r w:rsidRPr="007745E7">
        <w:t>8.4</w:t>
      </w:r>
      <w:r w:rsidRPr="007745E7">
        <w:tab/>
        <w:t>Государство-участник утверждает, что уведомления, касающиеся исполн</w:t>
      </w:r>
      <w:r w:rsidRPr="007745E7">
        <w:t>и</w:t>
      </w:r>
      <w:r w:rsidRPr="007745E7">
        <w:t xml:space="preserve">тельного производства по </w:t>
      </w:r>
      <w:r w:rsidR="003C3834">
        <w:t xml:space="preserve">обращению </w:t>
      </w:r>
      <w:r w:rsidRPr="007745E7">
        <w:t>взыскани</w:t>
      </w:r>
      <w:r w:rsidR="003C3834">
        <w:t>я</w:t>
      </w:r>
      <w:r w:rsidRPr="007745E7">
        <w:t xml:space="preserve"> на заложенное имущество, направлялись по адресу, указанному автором; что суд предприн</w:t>
      </w:r>
      <w:r w:rsidR="003C3834">
        <w:t>имал</w:t>
      </w:r>
      <w:r w:rsidRPr="007745E7">
        <w:t xml:space="preserve"> неоднокра</w:t>
      </w:r>
      <w:r w:rsidRPr="007745E7">
        <w:t>т</w:t>
      </w:r>
      <w:r w:rsidRPr="007745E7">
        <w:t>ные попытки уведомить ее; что после попытки уведомить автора 28 сентября 2012</w:t>
      </w:r>
      <w:r w:rsidR="003C3834">
        <w:t> </w:t>
      </w:r>
      <w:r w:rsidRPr="007745E7">
        <w:t xml:space="preserve">года судебный пристав сообщил: </w:t>
      </w:r>
      <w:r w:rsidR="00FA4543">
        <w:t>«</w:t>
      </w:r>
      <w:r w:rsidRPr="007745E7">
        <w:t xml:space="preserve">Вошел в здание и, убедившись, что на почтовых ящиках значится имя должника, позвонил в </w:t>
      </w:r>
      <w:r w:rsidR="003C3834">
        <w:t xml:space="preserve">дверной </w:t>
      </w:r>
      <w:r w:rsidRPr="007745E7">
        <w:t xml:space="preserve">звонок, но никто не открыл дверь. Консьерж сообщил, что он недавно начал здесь работать, </w:t>
      </w:r>
      <w:r w:rsidRPr="007745E7">
        <w:rPr>
          <w:i/>
          <w:iCs/>
        </w:rPr>
        <w:t>но с</w:t>
      </w:r>
      <w:r w:rsidRPr="007745E7">
        <w:rPr>
          <w:i/>
          <w:iCs/>
        </w:rPr>
        <w:t>о</w:t>
      </w:r>
      <w:r w:rsidRPr="007745E7">
        <w:rPr>
          <w:i/>
          <w:iCs/>
        </w:rPr>
        <w:t>ответствующая гражданка проживает по этому адресу</w:t>
      </w:r>
      <w:r w:rsidR="00FA4543">
        <w:t>»</w:t>
      </w:r>
      <w:r w:rsidRPr="00D04A5B">
        <w:rPr>
          <w:vertAlign w:val="superscript"/>
        </w:rPr>
        <w:footnoteReference w:id="18"/>
      </w:r>
      <w:r w:rsidRPr="007745E7">
        <w:t>; и что, таким обр</w:t>
      </w:r>
      <w:r w:rsidRPr="007745E7">
        <w:t>а</w:t>
      </w:r>
      <w:r w:rsidRPr="007745E7">
        <w:t xml:space="preserve">зом, следует понимать, что автор добровольно отказалась получать уведомления об исполнительном производстве по </w:t>
      </w:r>
      <w:r w:rsidR="003C3834">
        <w:t xml:space="preserve">обращению </w:t>
      </w:r>
      <w:r w:rsidRPr="007745E7">
        <w:t>взыскани</w:t>
      </w:r>
      <w:r w:rsidR="003C3834">
        <w:t>я</w:t>
      </w:r>
      <w:r w:rsidRPr="007745E7">
        <w:t xml:space="preserve"> на заложенное им</w:t>
      </w:r>
      <w:r w:rsidRPr="007745E7">
        <w:t>у</w:t>
      </w:r>
      <w:r w:rsidRPr="007745E7">
        <w:t xml:space="preserve">щество. </w:t>
      </w:r>
    </w:p>
    <w:p w:rsidR="007745E7" w:rsidRPr="007745E7" w:rsidRDefault="007745E7" w:rsidP="007745E7">
      <w:pPr>
        <w:pStyle w:val="SingleTxt"/>
        <w:spacing w:after="0" w:line="120" w:lineRule="exact"/>
        <w:rPr>
          <w:sz w:val="10"/>
        </w:rPr>
      </w:pPr>
    </w:p>
    <w:p w:rsidR="007745E7" w:rsidRPr="007745E7" w:rsidRDefault="007745E7" w:rsidP="007745E7">
      <w:pPr>
        <w:pStyle w:val="SingleTxt"/>
        <w:spacing w:after="0" w:line="120" w:lineRule="exact"/>
        <w:rPr>
          <w:sz w:val="10"/>
        </w:rPr>
      </w:pPr>
    </w:p>
    <w:p w:rsidR="007745E7" w:rsidRPr="007745E7" w:rsidRDefault="007745E7" w:rsidP="00D04A5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Cs/>
        </w:rPr>
      </w:pPr>
      <w:r w:rsidRPr="007745E7">
        <w:tab/>
        <w:t>B.</w:t>
      </w:r>
      <w:r w:rsidRPr="007745E7">
        <w:tab/>
        <w:t>Соображения Комитета по вопрос</w:t>
      </w:r>
      <w:r w:rsidR="003C3834">
        <w:t>ам</w:t>
      </w:r>
      <w:r w:rsidRPr="007745E7">
        <w:t xml:space="preserve"> приемлемости и существа</w:t>
      </w:r>
    </w:p>
    <w:p w:rsidR="007745E7" w:rsidRPr="007745E7" w:rsidRDefault="007745E7" w:rsidP="007745E7">
      <w:pPr>
        <w:pStyle w:val="SingleTxt"/>
        <w:spacing w:after="0" w:line="120" w:lineRule="exact"/>
        <w:rPr>
          <w:sz w:val="10"/>
        </w:rPr>
      </w:pPr>
    </w:p>
    <w:p w:rsidR="007745E7" w:rsidRPr="007745E7" w:rsidRDefault="007745E7" w:rsidP="007745E7">
      <w:pPr>
        <w:pStyle w:val="SingleTxt"/>
        <w:spacing w:after="0" w:line="120" w:lineRule="exact"/>
        <w:rPr>
          <w:sz w:val="10"/>
        </w:rPr>
      </w:pPr>
    </w:p>
    <w:p w:rsidR="007745E7" w:rsidRPr="007745E7" w:rsidRDefault="007745E7" w:rsidP="00D04A5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745E7">
        <w:tab/>
      </w:r>
      <w:r w:rsidRPr="007745E7">
        <w:tab/>
        <w:t xml:space="preserve">Рассмотрение вопроса </w:t>
      </w:r>
      <w:r w:rsidR="003C3834">
        <w:t xml:space="preserve">о </w:t>
      </w:r>
      <w:r w:rsidRPr="007745E7">
        <w:t>приемлемости</w:t>
      </w:r>
    </w:p>
    <w:p w:rsidR="007745E7" w:rsidRPr="007745E7" w:rsidRDefault="007745E7" w:rsidP="007745E7">
      <w:pPr>
        <w:pStyle w:val="SingleTxt"/>
        <w:spacing w:after="0" w:line="120" w:lineRule="exact"/>
        <w:rPr>
          <w:sz w:val="10"/>
        </w:rPr>
      </w:pPr>
    </w:p>
    <w:p w:rsidR="007745E7" w:rsidRPr="007745E7" w:rsidRDefault="007745E7" w:rsidP="007745E7">
      <w:pPr>
        <w:pStyle w:val="SingleTxt"/>
      </w:pPr>
      <w:r w:rsidRPr="007745E7">
        <w:t>9.1</w:t>
      </w:r>
      <w:r w:rsidRPr="007745E7">
        <w:tab/>
        <w:t>Прежде чем рассматривать любые утверждения, содержащиеся в сообщ</w:t>
      </w:r>
      <w:r w:rsidRPr="007745E7">
        <w:t>е</w:t>
      </w:r>
      <w:r w:rsidRPr="007745E7">
        <w:t>нии, Комитет должен решить, согласно статье 9 его временных правил процед</w:t>
      </w:r>
      <w:r w:rsidRPr="007745E7">
        <w:t>у</w:t>
      </w:r>
      <w:r w:rsidRPr="007745E7">
        <w:t>ры в соответствии с Факультативным протоколом, является ли сообщение прие</w:t>
      </w:r>
      <w:r w:rsidRPr="007745E7">
        <w:t>м</w:t>
      </w:r>
      <w:r w:rsidRPr="007745E7">
        <w:t xml:space="preserve">лемым </w:t>
      </w:r>
      <w:r w:rsidR="003679D6">
        <w:t>по смыслу Факультативного протокола</w:t>
      </w:r>
      <w:r w:rsidRPr="007745E7">
        <w:t>. Комитет рассматривает сообщ</w:t>
      </w:r>
      <w:r w:rsidRPr="007745E7">
        <w:t>е</w:t>
      </w:r>
      <w:r w:rsidRPr="007745E7">
        <w:t>ние</w:t>
      </w:r>
      <w:r w:rsidR="003679D6">
        <w:t>,</w:t>
      </w:r>
      <w:r w:rsidRPr="007745E7">
        <w:t xml:space="preserve"> только если оно соответствуют критериям приемлемости, изложенным в Факультативном протоколе.</w:t>
      </w:r>
    </w:p>
    <w:p w:rsidR="007745E7" w:rsidRPr="007745E7" w:rsidRDefault="007745E7" w:rsidP="007745E7">
      <w:pPr>
        <w:pStyle w:val="SingleTxt"/>
      </w:pPr>
      <w:r w:rsidRPr="007745E7">
        <w:t xml:space="preserve">9.2 </w:t>
      </w:r>
      <w:r w:rsidRPr="007745E7">
        <w:tab/>
        <w:t>С учетом всей документации, предоставленной сторонами в соответствии с</w:t>
      </w:r>
      <w:r w:rsidR="00206AED">
        <w:t> </w:t>
      </w:r>
      <w:r w:rsidRPr="007745E7">
        <w:t>пунктом 1 статьи 8 Факультативного протокола, Комитет отмечает, что этот же вопрос не рассматривался и не рассматривается в рамках другой процедуры международно</w:t>
      </w:r>
      <w:r w:rsidR="003679D6">
        <w:t>го разбирательства или урегулирования</w:t>
      </w:r>
      <w:r w:rsidRPr="007745E7">
        <w:t>. В связи с этим Комитет считает, что ничто не препятствует ему рассмотреть настоящее сообщение в с</w:t>
      </w:r>
      <w:r w:rsidRPr="007745E7">
        <w:t>о</w:t>
      </w:r>
      <w:r w:rsidRPr="007745E7">
        <w:t>ответствии с пунктом 2 с) статьи 3 Факультативного протокола.</w:t>
      </w:r>
    </w:p>
    <w:p w:rsidR="007745E7" w:rsidRPr="007745E7" w:rsidRDefault="007745E7" w:rsidP="007745E7">
      <w:pPr>
        <w:pStyle w:val="SingleTxt"/>
      </w:pPr>
      <w:r w:rsidRPr="007745E7">
        <w:t>9.3</w:t>
      </w:r>
      <w:r w:rsidRPr="007745E7">
        <w:tab/>
        <w:t>В соответствии с пунктом 2 b) статьи 3 Факультативного протокола Комитет не может рассмотреть предполагаемые нарушения Пакта, имевшие место до вступления Факультативного протокола в силу для государства-участника, если только такие предполагаемые нарушения не длились после вступления Факульт</w:t>
      </w:r>
      <w:r w:rsidRPr="007745E7">
        <w:t>а</w:t>
      </w:r>
      <w:r w:rsidRPr="007745E7">
        <w:t>тивного протокола в силу. В данном случае Комитет отмечает, что часть фактов, послуживших основанием для нарушений, о которых утверждает автор, имели место до 5 мая 2013 года, когда Факультативный протокол вступил в силу для государства-участника. Однако решение Конституционного суда, отклонившего конституционную жалобу автора по процедуре ампаро, было вынесено 16 октя</w:t>
      </w:r>
      <w:r w:rsidRPr="007745E7">
        <w:t>б</w:t>
      </w:r>
      <w:r w:rsidRPr="007745E7">
        <w:t xml:space="preserve">ря 2013 года. Этот процесс предоставил Конституционному суду возможность рассмотреть утверждения о нарушении основных прав автора, относящихся к настоящему сообщению, поскольку предметом этой жалобы было изучение </w:t>
      </w:r>
      <w:r w:rsidR="003679D6" w:rsidRPr="007745E7">
        <w:t xml:space="preserve">не </w:t>
      </w:r>
      <w:r w:rsidRPr="007745E7">
        <w:t>чисто формальных аспектов или правовых ошибок, а возможны</w:t>
      </w:r>
      <w:r w:rsidR="003679D6">
        <w:t>х</w:t>
      </w:r>
      <w:r w:rsidRPr="007745E7">
        <w:t xml:space="preserve"> нарушени</w:t>
      </w:r>
      <w:r w:rsidR="003679D6">
        <w:t>й</w:t>
      </w:r>
      <w:r w:rsidRPr="007745E7">
        <w:t xml:space="preserve"> о</w:t>
      </w:r>
      <w:r w:rsidRPr="007745E7">
        <w:t>с</w:t>
      </w:r>
      <w:r w:rsidRPr="007745E7">
        <w:t xml:space="preserve">новных прав автора в связи с жалобой, которая является предметом настоящего сообщения, </w:t>
      </w:r>
      <w:r w:rsidR="003679D6">
        <w:t>откуда следует</w:t>
      </w:r>
      <w:r w:rsidRPr="007745E7">
        <w:t xml:space="preserve">, что нарушение прав автора </w:t>
      </w:r>
      <w:r w:rsidR="003679D6">
        <w:t xml:space="preserve">могло </w:t>
      </w:r>
      <w:r w:rsidRPr="007745E7">
        <w:t>име</w:t>
      </w:r>
      <w:r w:rsidR="003679D6">
        <w:t>ть</w:t>
      </w:r>
      <w:r w:rsidRPr="007745E7">
        <w:t xml:space="preserve"> место в тот момент. В этой связи Комитет считает, что он компетентен </w:t>
      </w:r>
      <w:r w:rsidRPr="003679D6">
        <w:rPr>
          <w:iCs/>
        </w:rPr>
        <w:t>ratione temporis</w:t>
      </w:r>
      <w:r w:rsidRPr="007745E7">
        <w:t xml:space="preserve"> ра</w:t>
      </w:r>
      <w:r w:rsidRPr="007745E7">
        <w:t>с</w:t>
      </w:r>
      <w:r w:rsidRPr="007745E7">
        <w:t>смотре</w:t>
      </w:r>
      <w:r w:rsidR="003679D6">
        <w:t xml:space="preserve">ть </w:t>
      </w:r>
      <w:r w:rsidRPr="007745E7">
        <w:t>настояще</w:t>
      </w:r>
      <w:r w:rsidR="003679D6">
        <w:t>е</w:t>
      </w:r>
      <w:r w:rsidRPr="007745E7">
        <w:t xml:space="preserve"> сообщени</w:t>
      </w:r>
      <w:r w:rsidR="003679D6">
        <w:t>е</w:t>
      </w:r>
      <w:r w:rsidRPr="00D04A5B">
        <w:rPr>
          <w:vertAlign w:val="superscript"/>
        </w:rPr>
        <w:footnoteReference w:id="19"/>
      </w:r>
      <w:r w:rsidRPr="007745E7">
        <w:t xml:space="preserve">. </w:t>
      </w:r>
    </w:p>
    <w:p w:rsidR="007745E7" w:rsidRPr="007745E7" w:rsidRDefault="003679D6" w:rsidP="007745E7">
      <w:pPr>
        <w:pStyle w:val="SingleTxt"/>
      </w:pPr>
      <w:r>
        <w:t>9.4</w:t>
      </w:r>
      <w:r w:rsidR="007745E7" w:rsidRPr="007745E7">
        <w:tab/>
        <w:t xml:space="preserve">Комитет отмечает, что государство-участник не представило возражений в связи с пунктом 1 статьи 3 Факультативного протокола относительно исчерпания внутренних средств правовой защиты. </w:t>
      </w:r>
      <w:r>
        <w:t>Хотя</w:t>
      </w:r>
      <w:r w:rsidR="007745E7" w:rsidRPr="007745E7">
        <w:t xml:space="preserve"> государство-участник сообщило К</w:t>
      </w:r>
      <w:r w:rsidR="007745E7" w:rsidRPr="007745E7">
        <w:t>о</w:t>
      </w:r>
      <w:r w:rsidR="007745E7" w:rsidRPr="007745E7">
        <w:t>митету о том, что впоследствии автор направила в суд № 31 заявление в соотве</w:t>
      </w:r>
      <w:r w:rsidR="007745E7" w:rsidRPr="007745E7">
        <w:t>т</w:t>
      </w:r>
      <w:r w:rsidR="007745E7" w:rsidRPr="007745E7">
        <w:t>ствии с пунктом 3 статьи 695 ГПК, что позволило приостановить исполнител</w:t>
      </w:r>
      <w:r w:rsidR="007745E7" w:rsidRPr="007745E7">
        <w:t>ь</w:t>
      </w:r>
      <w:r w:rsidR="007745E7" w:rsidRPr="007745E7">
        <w:t>ное производство на период рассмотрения возможной неправомерности одного из положений кредитного договора, оно не заявляло о неприемлемости сообщ</w:t>
      </w:r>
      <w:r w:rsidR="007745E7" w:rsidRPr="007745E7">
        <w:t>е</w:t>
      </w:r>
      <w:r w:rsidR="007745E7" w:rsidRPr="007745E7">
        <w:t xml:space="preserve">ния в силу неисчерпания внутренних средств правовой защиты. </w:t>
      </w:r>
    </w:p>
    <w:p w:rsidR="007745E7" w:rsidRPr="007745E7" w:rsidRDefault="003679D6" w:rsidP="007745E7">
      <w:pPr>
        <w:pStyle w:val="SingleTxt"/>
      </w:pPr>
      <w:r>
        <w:t>9.5</w:t>
      </w:r>
      <w:r w:rsidR="007745E7" w:rsidRPr="007745E7">
        <w:tab/>
        <w:t xml:space="preserve">Комитет считает, что если государство-участник утверждает о наличии </w:t>
      </w:r>
      <w:r>
        <w:t>эт</w:t>
      </w:r>
      <w:r>
        <w:t>о</w:t>
      </w:r>
      <w:r>
        <w:t xml:space="preserve">го </w:t>
      </w:r>
      <w:r w:rsidR="007745E7" w:rsidRPr="007745E7">
        <w:t>основани</w:t>
      </w:r>
      <w:r>
        <w:t>я</w:t>
      </w:r>
      <w:r w:rsidR="007745E7" w:rsidRPr="007745E7">
        <w:t xml:space="preserve"> для </w:t>
      </w:r>
      <w:r>
        <w:t xml:space="preserve">признания </w:t>
      </w:r>
      <w:r w:rsidR="007745E7" w:rsidRPr="007745E7">
        <w:t>неприемлемости, оно должно сделать это четко и незамедлительно, указав конкретные надлежащие и эффективные средства пр</w:t>
      </w:r>
      <w:r w:rsidR="007745E7" w:rsidRPr="007745E7">
        <w:t>а</w:t>
      </w:r>
      <w:r w:rsidR="007745E7" w:rsidRPr="007745E7">
        <w:t>вовой защиты, которые следовало исчерпать, чего не произошло в данном сл</w:t>
      </w:r>
      <w:r w:rsidR="007745E7" w:rsidRPr="007745E7">
        <w:t>у</w:t>
      </w:r>
      <w:r w:rsidR="007745E7" w:rsidRPr="007745E7">
        <w:t xml:space="preserve">чае. </w:t>
      </w:r>
      <w:r>
        <w:t>Следовательно</w:t>
      </w:r>
      <w:r w:rsidR="007745E7" w:rsidRPr="007745E7">
        <w:t xml:space="preserve">, Комитет исходит из того, что внутренние средства правовой защиты в отношении утверждений автора были исчерпаны с </w:t>
      </w:r>
      <w:r>
        <w:t xml:space="preserve">принятием </w:t>
      </w:r>
      <w:r w:rsidR="007745E7" w:rsidRPr="007745E7">
        <w:t>решени</w:t>
      </w:r>
      <w:r>
        <w:t>я</w:t>
      </w:r>
      <w:r w:rsidR="007745E7" w:rsidRPr="007745E7">
        <w:t xml:space="preserve"> Конституционного суда от 5 мая 2013 года. </w:t>
      </w:r>
    </w:p>
    <w:p w:rsidR="007745E7" w:rsidRPr="007745E7" w:rsidRDefault="003679D6" w:rsidP="007745E7">
      <w:pPr>
        <w:pStyle w:val="SingleTxt"/>
      </w:pPr>
      <w:r>
        <w:t>9.6</w:t>
      </w:r>
      <w:r w:rsidR="007745E7" w:rsidRPr="007745E7">
        <w:tab/>
        <w:t>Автор представила сообщение в Комитет 28 января 2014 года в течение ср</w:t>
      </w:r>
      <w:r w:rsidR="007745E7" w:rsidRPr="007745E7">
        <w:t>о</w:t>
      </w:r>
      <w:r w:rsidR="007745E7" w:rsidRPr="007745E7">
        <w:t>ка, установленного в пункте 2 а) статьи 3 Факультативного протокола.</w:t>
      </w:r>
    </w:p>
    <w:p w:rsidR="007745E7" w:rsidRPr="007745E7" w:rsidRDefault="00206AED" w:rsidP="007745E7">
      <w:pPr>
        <w:pStyle w:val="SingleTxt"/>
      </w:pPr>
      <w:r>
        <w:t>9.7</w:t>
      </w:r>
      <w:r w:rsidR="007745E7" w:rsidRPr="007745E7">
        <w:tab/>
        <w:t>Комитет считает, что в данном случае сообщение соответствует требован</w:t>
      </w:r>
      <w:r w:rsidR="007745E7" w:rsidRPr="007745E7">
        <w:t>и</w:t>
      </w:r>
      <w:r w:rsidR="007745E7" w:rsidRPr="007745E7">
        <w:t>ям приемлемости в соответствии со статьей 3 Факультативного протокола, а</w:t>
      </w:r>
      <w:r w:rsidR="003679D6">
        <w:t> </w:t>
      </w:r>
      <w:r w:rsidR="007745E7" w:rsidRPr="007745E7">
        <w:t xml:space="preserve">именно в соответствии с пунктом 2 e). В этом сообщении поднимается вопрос </w:t>
      </w:r>
      <w:r w:rsidR="003679D6">
        <w:t xml:space="preserve">о </w:t>
      </w:r>
      <w:r w:rsidR="007745E7" w:rsidRPr="007745E7">
        <w:t>возможно</w:t>
      </w:r>
      <w:r w:rsidR="003679D6">
        <w:t>м</w:t>
      </w:r>
      <w:r w:rsidR="007745E7" w:rsidRPr="007745E7">
        <w:t xml:space="preserve"> нарушени</w:t>
      </w:r>
      <w:r w:rsidR="003679D6">
        <w:t>и</w:t>
      </w:r>
      <w:r w:rsidR="007745E7" w:rsidRPr="007745E7">
        <w:t xml:space="preserve"> права автора на жилище в связи с возможно ненадлеж</w:t>
      </w:r>
      <w:r w:rsidR="007745E7" w:rsidRPr="007745E7">
        <w:t>а</w:t>
      </w:r>
      <w:r w:rsidR="007745E7" w:rsidRPr="007745E7">
        <w:t xml:space="preserve">щим характером уведомления об исполнительном производстве по </w:t>
      </w:r>
      <w:r w:rsidR="003679D6">
        <w:t xml:space="preserve">обращению </w:t>
      </w:r>
      <w:r w:rsidR="007745E7" w:rsidRPr="007745E7">
        <w:t>взыскани</w:t>
      </w:r>
      <w:r w:rsidR="003679D6">
        <w:t>я</w:t>
      </w:r>
      <w:r w:rsidR="007745E7" w:rsidRPr="007745E7">
        <w:t xml:space="preserve"> на заложенное имущество, что якобы помешало автору прибегнуть к надлежащим средствам защиты, в свете чего Комитет считает настоящее соо</w:t>
      </w:r>
      <w:r w:rsidR="007745E7" w:rsidRPr="007745E7">
        <w:t>б</w:t>
      </w:r>
      <w:r w:rsidR="007745E7" w:rsidRPr="007745E7">
        <w:t xml:space="preserve">щение достаточно обоснованным для его рассмотрения по существу. </w:t>
      </w:r>
    </w:p>
    <w:p w:rsidR="007745E7" w:rsidRPr="007745E7" w:rsidRDefault="007745E7" w:rsidP="007745E7">
      <w:pPr>
        <w:pStyle w:val="SingleTxt"/>
        <w:spacing w:after="0" w:line="120" w:lineRule="exact"/>
        <w:rPr>
          <w:sz w:val="10"/>
        </w:rPr>
      </w:pPr>
    </w:p>
    <w:p w:rsidR="007745E7" w:rsidRPr="007745E7" w:rsidRDefault="007745E7" w:rsidP="00D04A5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745E7">
        <w:tab/>
      </w:r>
      <w:r w:rsidRPr="007745E7">
        <w:tab/>
        <w:t>Рассмотрение сообщения по существу</w:t>
      </w:r>
    </w:p>
    <w:p w:rsidR="007745E7" w:rsidRPr="007745E7" w:rsidRDefault="007745E7" w:rsidP="007745E7">
      <w:pPr>
        <w:pStyle w:val="SingleTxt"/>
        <w:spacing w:after="0" w:line="120" w:lineRule="exact"/>
        <w:rPr>
          <w:sz w:val="10"/>
        </w:rPr>
      </w:pPr>
    </w:p>
    <w:p w:rsidR="007745E7" w:rsidRPr="007745E7" w:rsidRDefault="007745E7" w:rsidP="00D04A5B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745E7">
        <w:tab/>
      </w:r>
      <w:r w:rsidRPr="007745E7">
        <w:tab/>
        <w:t>Факты и правовые вопросы</w:t>
      </w:r>
    </w:p>
    <w:p w:rsidR="007745E7" w:rsidRPr="007745E7" w:rsidRDefault="007745E7" w:rsidP="007745E7">
      <w:pPr>
        <w:pStyle w:val="SingleTxt"/>
        <w:spacing w:after="0" w:line="120" w:lineRule="exact"/>
        <w:rPr>
          <w:sz w:val="10"/>
        </w:rPr>
      </w:pPr>
    </w:p>
    <w:p w:rsidR="007745E7" w:rsidRPr="007745E7" w:rsidRDefault="007745E7" w:rsidP="007745E7">
      <w:pPr>
        <w:pStyle w:val="SingleTxt"/>
      </w:pPr>
      <w:r w:rsidRPr="007745E7">
        <w:t>10.1</w:t>
      </w:r>
      <w:r w:rsidRPr="007745E7">
        <w:tab/>
        <w:t xml:space="preserve">Комитет рассмотрел настоящее сообщение с учетом всех представленных ему материалов, как это предусмотрено статьей 8 Факультативного протокола. </w:t>
      </w:r>
    </w:p>
    <w:p w:rsidR="007745E7" w:rsidRPr="007745E7" w:rsidRDefault="003679D6" w:rsidP="007745E7">
      <w:pPr>
        <w:pStyle w:val="SingleTxt"/>
      </w:pPr>
      <w:r>
        <w:t>10.2</w:t>
      </w:r>
      <w:r w:rsidR="007745E7" w:rsidRPr="007745E7">
        <w:tab/>
        <w:t>Автор утверждает, что в связи с рядом невыплат по ее ипотечному кредиту, взятому для покупки жилья, где она проживает, в 2012 году кредитная организ</w:t>
      </w:r>
      <w:r w:rsidR="007745E7" w:rsidRPr="007745E7">
        <w:t>а</w:t>
      </w:r>
      <w:r w:rsidR="007745E7" w:rsidRPr="007745E7">
        <w:t>ция начала процедуру взыскания по этому кредиту, о чем автор не была надл</w:t>
      </w:r>
      <w:r w:rsidR="007745E7" w:rsidRPr="007745E7">
        <w:t>е</w:t>
      </w:r>
      <w:r w:rsidR="007745E7" w:rsidRPr="007745E7">
        <w:t xml:space="preserve">жащим образом уведомлена, </w:t>
      </w:r>
      <w:r>
        <w:t xml:space="preserve">так как </w:t>
      </w:r>
      <w:r w:rsidR="007745E7" w:rsidRPr="007745E7">
        <w:t xml:space="preserve">она узнала об этом взыскании только после того, как был издан приказ о </w:t>
      </w:r>
      <w:r>
        <w:t xml:space="preserve">выставлении </w:t>
      </w:r>
      <w:r w:rsidR="007745E7" w:rsidRPr="007745E7">
        <w:t>ее жилья</w:t>
      </w:r>
      <w:r>
        <w:t xml:space="preserve"> на аукцион</w:t>
      </w:r>
      <w:r w:rsidR="007745E7" w:rsidRPr="007745E7">
        <w:t>. В результате а</w:t>
      </w:r>
      <w:r w:rsidR="007745E7" w:rsidRPr="007745E7">
        <w:t>в</w:t>
      </w:r>
      <w:r w:rsidR="007745E7" w:rsidRPr="007745E7">
        <w:t>тор считает, что на деле она не получила доступа к эффективной и своевреме</w:t>
      </w:r>
      <w:r w:rsidR="007745E7" w:rsidRPr="007745E7">
        <w:t>н</w:t>
      </w:r>
      <w:r w:rsidR="007745E7" w:rsidRPr="007745E7">
        <w:t xml:space="preserve">ной судебной защите, что помешало ей оспорить в судебном порядке этот иск и защитить свое право на жилище в суде, в связи с чем она до сих пор находится в состоянии </w:t>
      </w:r>
      <w:r>
        <w:t>беспомощности</w:t>
      </w:r>
      <w:r w:rsidR="007745E7" w:rsidRPr="007745E7">
        <w:t xml:space="preserve">, неопределенности и тревоги. </w:t>
      </w:r>
    </w:p>
    <w:p w:rsidR="007745E7" w:rsidRPr="007745E7" w:rsidRDefault="003679D6" w:rsidP="007745E7">
      <w:pPr>
        <w:pStyle w:val="SingleTxt"/>
        <w:rPr>
          <w:b/>
        </w:rPr>
      </w:pPr>
      <w:r>
        <w:t>10.3</w:t>
      </w:r>
      <w:r w:rsidR="007745E7" w:rsidRPr="007745E7">
        <w:tab/>
        <w:t>Государство-участник утверждает, что в своей апелляции автор сослалась на другой адрес, принадлежащий членам ее семьи, в связи с чем вышеупомянутое жилище не является постоянным местом ее жительства; что суд № 31 направлял автору уведомления о принятии к исполнительному производству этого взыск</w:t>
      </w:r>
      <w:r w:rsidR="007745E7" w:rsidRPr="007745E7">
        <w:t>а</w:t>
      </w:r>
      <w:r w:rsidR="007745E7" w:rsidRPr="007745E7">
        <w:t>ния в соответствии с законом по адресу, который сама автор указала в нотар</w:t>
      </w:r>
      <w:r w:rsidR="007745E7" w:rsidRPr="007745E7">
        <w:t>и</w:t>
      </w:r>
      <w:r w:rsidR="007745E7" w:rsidRPr="007745E7">
        <w:t>ально заверенном договоре ипотечного кредитования; что только после ряда бе</w:t>
      </w:r>
      <w:r w:rsidR="007745E7" w:rsidRPr="007745E7">
        <w:t>з</w:t>
      </w:r>
      <w:r w:rsidR="007745E7" w:rsidRPr="007745E7">
        <w:t>успешных попыток личного уведомления автора суд № 31 приказал осущ</w:t>
      </w:r>
      <w:r w:rsidR="007745E7" w:rsidRPr="007745E7">
        <w:t>е</w:t>
      </w:r>
      <w:r w:rsidR="007745E7" w:rsidRPr="007745E7">
        <w:t xml:space="preserve">ствить уведомление путем публикации приказа в соответствии с пунктом 3 статьи 686 ГПК; </w:t>
      </w:r>
      <w:r w:rsidR="009C6932">
        <w:t xml:space="preserve">и </w:t>
      </w:r>
      <w:r w:rsidR="007745E7" w:rsidRPr="007745E7">
        <w:t>что уведомление посредством публикации судебного приказа соотве</w:t>
      </w:r>
      <w:r w:rsidR="007745E7" w:rsidRPr="007745E7">
        <w:t>т</w:t>
      </w:r>
      <w:r w:rsidR="007745E7" w:rsidRPr="007745E7">
        <w:t>ствует требованиям права на эффективную судебную защиту. Кроме того, гос</w:t>
      </w:r>
      <w:r w:rsidR="007745E7" w:rsidRPr="007745E7">
        <w:t>у</w:t>
      </w:r>
      <w:r w:rsidR="007745E7" w:rsidRPr="007745E7">
        <w:t>дарство утверждает, что автор якобы добровольно отказалась от получения ув</w:t>
      </w:r>
      <w:r w:rsidR="007745E7" w:rsidRPr="007745E7">
        <w:t>е</w:t>
      </w:r>
      <w:r w:rsidR="007745E7" w:rsidRPr="007745E7">
        <w:t>домления о соответствующем взыскании и решении суда № 31 о</w:t>
      </w:r>
      <w:r w:rsidR="009F5D36">
        <w:t xml:space="preserve"> </w:t>
      </w:r>
      <w:r w:rsidR="007745E7" w:rsidRPr="007745E7">
        <w:t>возбуждении исполнительного производства (см. пункт 8.4 выше), как обозначено в уведомл</w:t>
      </w:r>
      <w:r w:rsidR="007745E7" w:rsidRPr="007745E7">
        <w:t>е</w:t>
      </w:r>
      <w:r w:rsidR="007745E7" w:rsidRPr="007745E7">
        <w:t>нии от 28 сентября 2012 года. Наконец, государство</w:t>
      </w:r>
      <w:r w:rsidR="00CA479E" w:rsidRPr="007745E7">
        <w:t>-участник</w:t>
      </w:r>
      <w:r w:rsidR="007745E7" w:rsidRPr="007745E7">
        <w:t xml:space="preserve"> сообщило Комит</w:t>
      </w:r>
      <w:r w:rsidR="007745E7" w:rsidRPr="007745E7">
        <w:t>е</w:t>
      </w:r>
      <w:r w:rsidR="007745E7" w:rsidRPr="007745E7">
        <w:t>ту, что выселения, взыскания или продажи заложенного жилья в любом случае осуществлено не было, так как автор представила обычное средство правовой защиты, на основании которого исполнительное производство было приостано</w:t>
      </w:r>
      <w:r w:rsidR="007745E7" w:rsidRPr="007745E7">
        <w:t>в</w:t>
      </w:r>
      <w:r w:rsidR="007745E7" w:rsidRPr="007745E7">
        <w:t xml:space="preserve">лено, </w:t>
      </w:r>
      <w:r>
        <w:t>т.е.</w:t>
      </w:r>
      <w:r w:rsidR="007745E7" w:rsidRPr="007745E7">
        <w:t xml:space="preserve"> автор по-прежнему проживает в этом жилище и ее права не были ущемлены. </w:t>
      </w:r>
    </w:p>
    <w:p w:rsidR="007745E7" w:rsidRPr="007745E7" w:rsidRDefault="007745E7" w:rsidP="007745E7">
      <w:pPr>
        <w:pStyle w:val="SingleTxt"/>
      </w:pPr>
      <w:r w:rsidRPr="007745E7">
        <w:t>10.4</w:t>
      </w:r>
      <w:r w:rsidRPr="007745E7">
        <w:tab/>
        <w:t xml:space="preserve">Что касается характера заложенного жилья, которое является предметом настоящего сообщения, </w:t>
      </w:r>
      <w:r w:rsidR="003679D6">
        <w:t xml:space="preserve">то </w:t>
      </w:r>
      <w:r w:rsidRPr="007745E7">
        <w:t>Комитет принимает к сведению разъяснения автора о том, что под другим адресом, принадлежащим членам ее семьи, упомянутым е</w:t>
      </w:r>
      <w:r w:rsidR="003679D6">
        <w:t>ю</w:t>
      </w:r>
      <w:r w:rsidRPr="007745E7">
        <w:t xml:space="preserve"> в рамках исполнительного производства, она имела в виду жилье одного из чл</w:t>
      </w:r>
      <w:r w:rsidRPr="007745E7">
        <w:t>е</w:t>
      </w:r>
      <w:r w:rsidRPr="007745E7">
        <w:t>нов ее семьи (см. пункт 5.1), в то время как она проживает в жилье, о котором идет речь; и что она не является собственником какого-либо другого жилья. Представленная автором документация (см. сноску 7 выше), которая не оспар</w:t>
      </w:r>
      <w:r w:rsidRPr="007745E7">
        <w:t>и</w:t>
      </w:r>
      <w:r w:rsidRPr="007745E7">
        <w:t>валась государством-участником, подтверждает ее утверждения. Представленная на рассмотрение Комитету документация свидетельствует о том, что жилище, о котором идет речь, является постоянным местом жительства автора и что она не является собственником какого-либо другого жилья. Таким образом, в свете д</w:t>
      </w:r>
      <w:r w:rsidRPr="007745E7">
        <w:t>о</w:t>
      </w:r>
      <w:r w:rsidRPr="007745E7">
        <w:t>кументов настоящего дела, а также информации, полученной от сторон, Комитет рассматривает жилье, о котором идет речь, в качестве постоянного места жител</w:t>
      </w:r>
      <w:r w:rsidRPr="007745E7">
        <w:t>ь</w:t>
      </w:r>
      <w:r w:rsidRPr="007745E7">
        <w:t>ства автора.</w:t>
      </w:r>
    </w:p>
    <w:p w:rsidR="007745E7" w:rsidRPr="007745E7" w:rsidRDefault="00BF0284" w:rsidP="007745E7">
      <w:pPr>
        <w:pStyle w:val="SingleTxt"/>
      </w:pPr>
      <w:r>
        <w:t>10.5</w:t>
      </w:r>
      <w:r w:rsidR="007745E7" w:rsidRPr="007745E7">
        <w:tab/>
        <w:t xml:space="preserve">Что касается отсутствия автора 28 сентября 2012 года, когда было </w:t>
      </w:r>
      <w:r>
        <w:t>произв</w:t>
      </w:r>
      <w:r>
        <w:t>е</w:t>
      </w:r>
      <w:r>
        <w:t>дено</w:t>
      </w:r>
      <w:r w:rsidR="007745E7" w:rsidRPr="007745E7">
        <w:t xml:space="preserve"> уведомление о</w:t>
      </w:r>
      <w:r>
        <w:t xml:space="preserve"> подаче иска </w:t>
      </w:r>
      <w:r w:rsidR="007745E7" w:rsidRPr="007745E7">
        <w:t>кредитной организации и о решении суда № 31 о</w:t>
      </w:r>
      <w:r>
        <w:t> </w:t>
      </w:r>
      <w:r w:rsidR="007745E7" w:rsidRPr="007745E7">
        <w:t xml:space="preserve">принятии его к производству, </w:t>
      </w:r>
      <w:r>
        <w:t xml:space="preserve">то </w:t>
      </w:r>
      <w:r w:rsidR="007745E7" w:rsidRPr="007745E7">
        <w:t>Комитет отмечает, что ни экземпляр уведомл</w:t>
      </w:r>
      <w:r w:rsidR="007745E7" w:rsidRPr="007745E7">
        <w:t>е</w:t>
      </w:r>
      <w:r w:rsidR="007745E7" w:rsidRPr="007745E7">
        <w:t>ния Главного управления судебных извещений и правоприменительных процедур города Мадрид от 28 сентября 2012 года, представленный автором, ни какой-либо любой другой документ не указывает на то, что автор находилась в пост</w:t>
      </w:r>
      <w:r w:rsidR="007745E7" w:rsidRPr="007745E7">
        <w:t>о</w:t>
      </w:r>
      <w:r w:rsidR="007745E7" w:rsidRPr="007745E7">
        <w:t>янном месте своего жительства и отказалась получить уведомление, сделанное по приказу суда № 31 (см. пункт 2.4 и сноски 3 и 18 выше).</w:t>
      </w:r>
    </w:p>
    <w:p w:rsidR="007745E7" w:rsidRPr="007745E7" w:rsidRDefault="00BF0284" w:rsidP="007745E7">
      <w:pPr>
        <w:pStyle w:val="SingleTxt"/>
      </w:pPr>
      <w:r>
        <w:t>10.6</w:t>
      </w:r>
      <w:r w:rsidR="007745E7" w:rsidRPr="007745E7">
        <w:tab/>
        <w:t xml:space="preserve">В свете </w:t>
      </w:r>
      <w:r>
        <w:t>выводов</w:t>
      </w:r>
      <w:r w:rsidR="007745E7" w:rsidRPr="007745E7">
        <w:t xml:space="preserve"> Комитета относительно фактов, относящихся к данному делу, главный юридический вопрос, связанный с настоящим сообщением, закл</w:t>
      </w:r>
      <w:r w:rsidR="007745E7" w:rsidRPr="007745E7">
        <w:t>ю</w:t>
      </w:r>
      <w:r w:rsidR="007745E7" w:rsidRPr="007745E7">
        <w:t>чается в следующем: было ли нарушено право автора на жилище, закрепленное в пункте 1 статьи 11 Пакта, вследствие возбуждения государством-участником и</w:t>
      </w:r>
      <w:r w:rsidR="007745E7" w:rsidRPr="007745E7">
        <w:t>с</w:t>
      </w:r>
      <w:r w:rsidR="007745E7" w:rsidRPr="007745E7">
        <w:t>полнительного производства по обращению взыскания по ипотечному кредиту, о</w:t>
      </w:r>
      <w:r w:rsidR="00206AED">
        <w:t> </w:t>
      </w:r>
      <w:r w:rsidR="007745E7" w:rsidRPr="007745E7">
        <w:t>чем, как утверждает автор, она не была должным образом уведомлена, что п</w:t>
      </w:r>
      <w:r w:rsidR="007745E7" w:rsidRPr="007745E7">
        <w:t>о</w:t>
      </w:r>
      <w:r w:rsidR="007745E7" w:rsidRPr="007745E7">
        <w:t>мешало ей защитить свои права, признанные в Пакте. Чтобы ответить на этот в</w:t>
      </w:r>
      <w:r w:rsidR="007745E7" w:rsidRPr="007745E7">
        <w:t>о</w:t>
      </w:r>
      <w:r w:rsidR="007745E7" w:rsidRPr="007745E7">
        <w:t>прос, Комитет прежде всего перечислит ряд положений, связанных с правом на жилище, в частности тех, которые касаются правовой защиты этого права, и з</w:t>
      </w:r>
      <w:r w:rsidR="007745E7" w:rsidRPr="007745E7">
        <w:t>а</w:t>
      </w:r>
      <w:r w:rsidR="007745E7" w:rsidRPr="007745E7">
        <w:t>тем перейдет к рассмотрению обстоятельств данного дела.</w:t>
      </w:r>
    </w:p>
    <w:p w:rsidR="007745E7" w:rsidRPr="007745E7" w:rsidRDefault="007745E7" w:rsidP="007745E7">
      <w:pPr>
        <w:pStyle w:val="SingleTxt"/>
        <w:spacing w:after="0" w:line="120" w:lineRule="exact"/>
        <w:rPr>
          <w:sz w:val="10"/>
        </w:rPr>
      </w:pPr>
    </w:p>
    <w:p w:rsidR="007745E7" w:rsidRPr="007745E7" w:rsidRDefault="007745E7" w:rsidP="00D04A5B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745E7">
        <w:tab/>
      </w:r>
      <w:r w:rsidRPr="007745E7">
        <w:tab/>
        <w:t xml:space="preserve">Право на жилище и его юридическая защита </w:t>
      </w:r>
    </w:p>
    <w:p w:rsidR="007745E7" w:rsidRPr="007745E7" w:rsidRDefault="007745E7" w:rsidP="007745E7">
      <w:pPr>
        <w:pStyle w:val="SingleTxt"/>
        <w:spacing w:after="0" w:line="120" w:lineRule="exact"/>
        <w:rPr>
          <w:sz w:val="10"/>
        </w:rPr>
      </w:pPr>
    </w:p>
    <w:p w:rsidR="007745E7" w:rsidRPr="007745E7" w:rsidRDefault="007745E7" w:rsidP="007745E7">
      <w:pPr>
        <w:pStyle w:val="SingleTxt"/>
      </w:pPr>
      <w:r w:rsidRPr="007745E7">
        <w:t>11.1</w:t>
      </w:r>
      <w:r w:rsidRPr="007745E7">
        <w:tab/>
        <w:t>Право человека на достаточное жилище является основополагающим пр</w:t>
      </w:r>
      <w:r w:rsidRPr="007745E7">
        <w:t>а</w:t>
      </w:r>
      <w:r w:rsidRPr="007745E7">
        <w:t>вом, которое представляет собой основу для пользования всеми экономическими, социальными и культурными правами</w:t>
      </w:r>
      <w:r w:rsidRPr="00D04A5B">
        <w:rPr>
          <w:vertAlign w:val="superscript"/>
        </w:rPr>
        <w:footnoteReference w:id="20"/>
      </w:r>
      <w:r w:rsidRPr="007745E7">
        <w:t xml:space="preserve"> и всецело связано с другими правами ч</w:t>
      </w:r>
      <w:r w:rsidRPr="007745E7">
        <w:t>е</w:t>
      </w:r>
      <w:r w:rsidRPr="007745E7">
        <w:t>ловека, включая те из них, которые изложены в Международном пакте о гра</w:t>
      </w:r>
      <w:r w:rsidRPr="007745E7">
        <w:t>ж</w:t>
      </w:r>
      <w:r w:rsidRPr="007745E7">
        <w:t>данских и политических правах</w:t>
      </w:r>
      <w:r w:rsidRPr="00D04A5B">
        <w:rPr>
          <w:vertAlign w:val="superscript"/>
        </w:rPr>
        <w:footnoteReference w:id="21"/>
      </w:r>
      <w:r w:rsidRPr="007745E7">
        <w:t>. Право на жилище должно обеспечиваться всем, вне зависимости от уровня дохода или доступа к экономическим ресу</w:t>
      </w:r>
      <w:r w:rsidRPr="007745E7">
        <w:t>р</w:t>
      </w:r>
      <w:r w:rsidRPr="007745E7">
        <w:t>сам</w:t>
      </w:r>
      <w:r w:rsidRPr="00D04A5B">
        <w:rPr>
          <w:vertAlign w:val="superscript"/>
        </w:rPr>
        <w:footnoteReference w:id="22"/>
      </w:r>
      <w:r w:rsidRPr="007745E7">
        <w:t>, и государства-участники обязаны принимать все необходимые меры, с тем чтобы обеспечить полную реализацию этого права</w:t>
      </w:r>
      <w:r w:rsidRPr="00D04A5B">
        <w:rPr>
          <w:vertAlign w:val="superscript"/>
        </w:rPr>
        <w:footnoteReference w:id="23"/>
      </w:r>
      <w:r w:rsidRPr="007745E7">
        <w:t xml:space="preserve">. Многие элементы права на достаточное жилище тесно связаны с наличием надлежащих внутренних средств </w:t>
      </w:r>
      <w:r w:rsidR="00BF0284">
        <w:t xml:space="preserve">юридической </w:t>
      </w:r>
      <w:r w:rsidRPr="007745E7">
        <w:t>защиты в целях обеспечения эффективного осуществления этого права</w:t>
      </w:r>
      <w:r w:rsidRPr="00D04A5B">
        <w:rPr>
          <w:vertAlign w:val="superscript"/>
        </w:rPr>
        <w:footnoteReference w:id="24"/>
      </w:r>
      <w:r w:rsidRPr="007745E7">
        <w:t>.</w:t>
      </w:r>
    </w:p>
    <w:p w:rsidR="007745E7" w:rsidRPr="007745E7" w:rsidRDefault="009F5D36" w:rsidP="007745E7">
      <w:pPr>
        <w:pStyle w:val="SingleTxt"/>
      </w:pPr>
      <w:r>
        <w:t>11.2</w:t>
      </w:r>
      <w:r w:rsidR="007745E7" w:rsidRPr="007745E7">
        <w:tab/>
        <w:t>Комитет напоминает также, что все лица должны пользоваться определе</w:t>
      </w:r>
      <w:r w:rsidR="007745E7" w:rsidRPr="007745E7">
        <w:t>н</w:t>
      </w:r>
      <w:r w:rsidR="007745E7" w:rsidRPr="007745E7">
        <w:t>ной степенью обеспечения проживания, которая гарантирует правовую защиту от принудительного выселения, преследования и других угроз</w:t>
      </w:r>
      <w:r w:rsidR="007745E7" w:rsidRPr="00D04A5B">
        <w:rPr>
          <w:vertAlign w:val="superscript"/>
        </w:rPr>
        <w:footnoteReference w:id="25"/>
      </w:r>
      <w:r w:rsidR="007745E7" w:rsidRPr="007745E7">
        <w:t>, и что принуд</w:t>
      </w:r>
      <w:r w:rsidR="007745E7" w:rsidRPr="007745E7">
        <w:t>и</w:t>
      </w:r>
      <w:r w:rsidR="007745E7" w:rsidRPr="007745E7">
        <w:t xml:space="preserve">тельные выселения, будучи </w:t>
      </w:r>
      <w:r w:rsidR="007745E7" w:rsidRPr="00851445">
        <w:rPr>
          <w:iCs/>
        </w:rPr>
        <w:t>prima facie</w:t>
      </w:r>
      <w:r w:rsidR="007745E7" w:rsidRPr="007745E7">
        <w:t xml:space="preserve"> несовместимыми с требованиями Межд</w:t>
      </w:r>
      <w:r w:rsidR="007745E7" w:rsidRPr="007745E7">
        <w:t>у</w:t>
      </w:r>
      <w:r w:rsidR="007745E7" w:rsidRPr="007745E7">
        <w:t>народного пакта об экономических, социальных и культурных правах, могут быть оправданными лишь в самых исключительных обстоятельствах согласно соответствующим принципам международного права</w:t>
      </w:r>
      <w:r w:rsidR="007745E7" w:rsidRPr="00D04A5B">
        <w:rPr>
          <w:vertAlign w:val="superscript"/>
        </w:rPr>
        <w:footnoteReference w:id="26"/>
      </w:r>
      <w:r w:rsidR="007745E7" w:rsidRPr="007745E7">
        <w:t>. Комитет считает, что в рамках процессов принудительного выселения или процессов, в которых может быть затронуто обеспечение проживания и которые могут в конечном итоге пр</w:t>
      </w:r>
      <w:r w:rsidR="007745E7" w:rsidRPr="007745E7">
        <w:t>и</w:t>
      </w:r>
      <w:r w:rsidR="007745E7" w:rsidRPr="007745E7">
        <w:t>вести к выселению, государствам-участникам следует обеспечить соблюдение надлежащих процессуальных норм, с тем чтобы, в частности, все заинтересова</w:t>
      </w:r>
      <w:r w:rsidR="007745E7" w:rsidRPr="007745E7">
        <w:t>н</w:t>
      </w:r>
      <w:r w:rsidR="007745E7" w:rsidRPr="007745E7">
        <w:t>ные лица получили реальную возможность проведения консультаций, а также з</w:t>
      </w:r>
      <w:r w:rsidR="007745E7" w:rsidRPr="007745E7">
        <w:t>а</w:t>
      </w:r>
      <w:r w:rsidR="007745E7" w:rsidRPr="007745E7">
        <w:t>благовременное уведомление этих лиц в достаточные и разумные сроки до уст</w:t>
      </w:r>
      <w:r w:rsidR="007745E7" w:rsidRPr="007745E7">
        <w:t>а</w:t>
      </w:r>
      <w:r w:rsidR="007745E7" w:rsidRPr="007745E7">
        <w:t>новленной даты выселения</w:t>
      </w:r>
      <w:r w:rsidR="007745E7" w:rsidRPr="00D04A5B">
        <w:rPr>
          <w:vertAlign w:val="superscript"/>
        </w:rPr>
        <w:footnoteReference w:id="27"/>
      </w:r>
      <w:r w:rsidR="007745E7" w:rsidRPr="007745E7">
        <w:t>.</w:t>
      </w:r>
    </w:p>
    <w:p w:rsidR="007745E7" w:rsidRPr="007745E7" w:rsidRDefault="00851445" w:rsidP="007745E7">
      <w:pPr>
        <w:pStyle w:val="SingleTxt"/>
      </w:pPr>
      <w:r>
        <w:t>11.3</w:t>
      </w:r>
      <w:r w:rsidR="007745E7" w:rsidRPr="007745E7">
        <w:tab/>
        <w:t>Комитет также напоминает о том, что статья 2 Пакта налагает целый ряд обязательств, имеющих безотлагательный характер</w:t>
      </w:r>
      <w:r w:rsidR="007745E7" w:rsidRPr="00D04A5B">
        <w:rPr>
          <w:vertAlign w:val="superscript"/>
        </w:rPr>
        <w:footnoteReference w:id="28"/>
      </w:r>
      <w:r w:rsidR="007745E7" w:rsidRPr="007745E7">
        <w:t>. Таким образом, в соотве</w:t>
      </w:r>
      <w:r w:rsidR="007745E7" w:rsidRPr="007745E7">
        <w:t>т</w:t>
      </w:r>
      <w:r w:rsidR="007745E7" w:rsidRPr="007745E7">
        <w:t>ствии с пунктом 1 статьи 2 Пакта государства-участники обязаны принимать м</w:t>
      </w:r>
      <w:r w:rsidR="007745E7" w:rsidRPr="007745E7">
        <w:t>е</w:t>
      </w:r>
      <w:r w:rsidR="007745E7" w:rsidRPr="007745E7">
        <w:t xml:space="preserve">ры для осуществления признаваемых в Пакте прав </w:t>
      </w:r>
      <w:r w:rsidR="00FA4543">
        <w:t>«</w:t>
      </w:r>
      <w:r w:rsidR="007745E7" w:rsidRPr="007745E7">
        <w:t>всеми надлежащими спос</w:t>
      </w:r>
      <w:r w:rsidR="007745E7" w:rsidRPr="007745E7">
        <w:t>о</w:t>
      </w:r>
      <w:r w:rsidR="007745E7" w:rsidRPr="007745E7">
        <w:t>бами, включая, в частности, принятие законодательных мер</w:t>
      </w:r>
      <w:r w:rsidR="00FA4543">
        <w:t>»</w:t>
      </w:r>
      <w:r w:rsidR="007745E7" w:rsidRPr="007745E7">
        <w:t>. Это требование включает в себя принятие мер, обеспечивающих доступ к эффективным сре</w:t>
      </w:r>
      <w:r w:rsidR="007745E7" w:rsidRPr="007745E7">
        <w:t>д</w:t>
      </w:r>
      <w:r w:rsidR="007745E7" w:rsidRPr="007745E7">
        <w:t>ствам судебной защиты в отношении прав, признанных в Пакте, поскольку, как отметил Комитет в своем замечании общего порядка № 9, каждое право предп</w:t>
      </w:r>
      <w:r w:rsidR="007745E7" w:rsidRPr="007745E7">
        <w:t>о</w:t>
      </w:r>
      <w:r w:rsidR="007745E7" w:rsidRPr="007745E7">
        <w:t>лагает наличие средства его защиты</w:t>
      </w:r>
      <w:r w:rsidR="007745E7" w:rsidRPr="00D04A5B">
        <w:rPr>
          <w:vertAlign w:val="superscript"/>
        </w:rPr>
        <w:footnoteReference w:id="29"/>
      </w:r>
      <w:r w:rsidR="007745E7" w:rsidRPr="007745E7">
        <w:t xml:space="preserve">. </w:t>
      </w:r>
    </w:p>
    <w:p w:rsidR="007745E7" w:rsidRPr="007745E7" w:rsidRDefault="007745E7" w:rsidP="007745E7">
      <w:pPr>
        <w:pStyle w:val="SingleTxt"/>
      </w:pPr>
      <w:r w:rsidRPr="007745E7">
        <w:t>11.4</w:t>
      </w:r>
      <w:r w:rsidRPr="007745E7">
        <w:tab/>
        <w:t>Таким образом, в соответствии с обязательством, содержащимся в пункте 1 статьи 2 Пакта, государства-участники обязаны обеспечить лицам, чье право на достаточное жилище могло быть затронуто, например в связи с принудительным выселением или обращением взыскания по ипотечному кредиту, эффективное и надлежащее средство судебной защиты</w:t>
      </w:r>
      <w:r w:rsidRPr="00D04A5B">
        <w:rPr>
          <w:vertAlign w:val="superscript"/>
        </w:rPr>
        <w:footnoteReference w:id="30"/>
      </w:r>
      <w:r w:rsidRPr="007745E7">
        <w:t>.</w:t>
      </w:r>
    </w:p>
    <w:p w:rsidR="007745E7" w:rsidRPr="007745E7" w:rsidRDefault="007745E7" w:rsidP="007745E7">
      <w:pPr>
        <w:pStyle w:val="SingleTxt"/>
        <w:spacing w:after="0" w:line="120" w:lineRule="exact"/>
        <w:rPr>
          <w:sz w:val="10"/>
        </w:rPr>
      </w:pPr>
    </w:p>
    <w:p w:rsidR="007745E7" w:rsidRPr="007745E7" w:rsidRDefault="007745E7" w:rsidP="00851445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745E7">
        <w:tab/>
      </w:r>
      <w:r w:rsidRPr="007745E7">
        <w:tab/>
        <w:t>Надлежащее уведомление в контексте процедуры взыскания</w:t>
      </w:r>
      <w:r w:rsidR="00851445">
        <w:t xml:space="preserve"> по ипотечному кредиту</w:t>
      </w:r>
      <w:r w:rsidRPr="007745E7">
        <w:t>, которая может затронуть право на жилище</w:t>
      </w:r>
    </w:p>
    <w:p w:rsidR="007745E7" w:rsidRPr="007745E7" w:rsidRDefault="007745E7" w:rsidP="007745E7">
      <w:pPr>
        <w:pStyle w:val="SingleTxt"/>
        <w:spacing w:after="0" w:line="120" w:lineRule="exact"/>
        <w:rPr>
          <w:sz w:val="10"/>
        </w:rPr>
      </w:pPr>
    </w:p>
    <w:p w:rsidR="007745E7" w:rsidRPr="007745E7" w:rsidRDefault="007745E7" w:rsidP="007745E7">
      <w:pPr>
        <w:pStyle w:val="SingleTxt"/>
      </w:pPr>
      <w:r w:rsidRPr="007745E7">
        <w:t>12.1</w:t>
      </w:r>
      <w:r w:rsidRPr="007745E7">
        <w:tab/>
        <w:t>Комитет напоминает о том, что в соответствии с его замечанием общего п</w:t>
      </w:r>
      <w:r w:rsidRPr="007745E7">
        <w:t>о</w:t>
      </w:r>
      <w:r w:rsidR="00851445">
        <w:t>рядка № 7</w:t>
      </w:r>
      <w:r w:rsidRPr="007745E7">
        <w:t xml:space="preserve"> надлежащая процедурная защита и надлежащее судебное разбирател</w:t>
      </w:r>
      <w:r w:rsidRPr="007745E7">
        <w:t>ь</w:t>
      </w:r>
      <w:r w:rsidRPr="007745E7">
        <w:t xml:space="preserve">ство являются важными аспектами всех прав человека и приобретают особенно важное значение в случаях принудительных выселений; и что эти процедурные </w:t>
      </w:r>
      <w:r w:rsidR="00851445">
        <w:t>гарантии</w:t>
      </w:r>
      <w:r w:rsidRPr="007745E7">
        <w:t xml:space="preserve"> защиты включают в себя, среди прочего, надлежащее и обоснованное уведомление государством-участником всех затрагиваемых лиц до установле</w:t>
      </w:r>
      <w:r w:rsidRPr="007745E7">
        <w:t>н</w:t>
      </w:r>
      <w:r w:rsidRPr="007745E7">
        <w:t>ной даты выселения и обеспечение этим лицам средств правовой защиты</w:t>
      </w:r>
      <w:r w:rsidRPr="00D04A5B">
        <w:rPr>
          <w:vertAlign w:val="superscript"/>
        </w:rPr>
        <w:footnoteReference w:id="31"/>
      </w:r>
      <w:r w:rsidRPr="007745E7">
        <w:t>. К</w:t>
      </w:r>
      <w:r w:rsidRPr="007745E7">
        <w:t>о</w:t>
      </w:r>
      <w:r w:rsidRPr="007745E7">
        <w:t>митет считает, что такие средства защиты подходят и для других аналогичных случаев, таких, например, как обращение взыскания по ипотечному кредиту, к</w:t>
      </w:r>
      <w:r w:rsidRPr="007745E7">
        <w:t>о</w:t>
      </w:r>
      <w:r w:rsidRPr="007745E7">
        <w:t>гда право на жилище может серьезно пострадать.</w:t>
      </w:r>
    </w:p>
    <w:p w:rsidR="007745E7" w:rsidRPr="007745E7" w:rsidRDefault="007745E7" w:rsidP="007745E7">
      <w:pPr>
        <w:pStyle w:val="SingleTxt"/>
      </w:pPr>
      <w:r w:rsidRPr="007745E7">
        <w:t>12.2</w:t>
      </w:r>
      <w:r w:rsidRPr="007745E7">
        <w:tab/>
        <w:t xml:space="preserve">Комитет считает, что во исполнение вышеупомянутых обязательств власти обязаны </w:t>
      </w:r>
      <w:r w:rsidR="00851445">
        <w:t>пред</w:t>
      </w:r>
      <w:r w:rsidRPr="007745E7">
        <w:t xml:space="preserve">принять все разумные </w:t>
      </w:r>
      <w:r w:rsidR="00754C44">
        <w:t>шаги</w:t>
      </w:r>
      <w:r w:rsidRPr="007745E7">
        <w:t xml:space="preserve"> и усилия, направленные на обеспечение того, чтобы уведомления о наиболее важных решениях и постановлениях суда в рамках административного или судебного производства осуществлялись надл</w:t>
      </w:r>
      <w:r w:rsidRPr="007745E7">
        <w:t>е</w:t>
      </w:r>
      <w:r w:rsidRPr="007745E7">
        <w:t>жащим и эффективным образом, с тем чтобы затрагиваемые лица могли отста</w:t>
      </w:r>
      <w:r w:rsidRPr="007745E7">
        <w:t>и</w:t>
      </w:r>
      <w:r w:rsidRPr="007745E7">
        <w:t>вать в рамках соответствующего процесса свои права.</w:t>
      </w:r>
    </w:p>
    <w:p w:rsidR="007745E7" w:rsidRPr="007745E7" w:rsidRDefault="007745E7" w:rsidP="007745E7">
      <w:pPr>
        <w:pStyle w:val="SingleTxt"/>
      </w:pPr>
      <w:r w:rsidRPr="007745E7">
        <w:t>12.3</w:t>
      </w:r>
      <w:r w:rsidRPr="007745E7">
        <w:tab/>
        <w:t>Уведомление посредством публикации приказа может быть надлежащим средством судебного уведомления в соответствии с правом на эффективную с</w:t>
      </w:r>
      <w:r w:rsidRPr="007745E7">
        <w:t>у</w:t>
      </w:r>
      <w:r w:rsidRPr="007745E7">
        <w:t>дебную защиту; однако Комитет считает, что его применение в случаях, связа</w:t>
      </w:r>
      <w:r w:rsidRPr="007745E7">
        <w:t>н</w:t>
      </w:r>
      <w:r w:rsidRPr="007745E7">
        <w:t>ных с возможным нарушением таких прав человека, как право на достаточное жилище, которые требуют судебного надзора, должно быть крайней мерой, ос</w:t>
      </w:r>
      <w:r w:rsidRPr="007745E7">
        <w:t>о</w:t>
      </w:r>
      <w:r w:rsidRPr="007745E7">
        <w:t>бенно в отношении действий, инициирующих соответствующее производство. Его применение должно быть строго ограничено случаями, когда были исчерп</w:t>
      </w:r>
      <w:r w:rsidRPr="007745E7">
        <w:t>а</w:t>
      </w:r>
      <w:r w:rsidRPr="007745E7">
        <w:t>ны все возможности осуществления личного уведомления; и оно должно пред</w:t>
      </w:r>
      <w:r w:rsidRPr="007745E7">
        <w:t>у</w:t>
      </w:r>
      <w:r w:rsidRPr="007745E7">
        <w:t>сматривать обеспечение достаточной и заблаговременной огласки, с тем чтобы соответствующее лицо получило реальную возможность узнать о начале проце</w:t>
      </w:r>
      <w:r w:rsidRPr="007745E7">
        <w:t>с</w:t>
      </w:r>
      <w:r w:rsidRPr="007745E7">
        <w:t>са и принять в нем участие.</w:t>
      </w:r>
    </w:p>
    <w:p w:rsidR="007745E7" w:rsidRPr="007745E7" w:rsidRDefault="007745E7" w:rsidP="007745E7">
      <w:pPr>
        <w:pStyle w:val="SingleTxt"/>
      </w:pPr>
      <w:r w:rsidRPr="007745E7">
        <w:t>12.4</w:t>
      </w:r>
      <w:r w:rsidRPr="007745E7">
        <w:tab/>
        <w:t>Таким образом, ненадлежащее уведомление об обращении взыскания по ипотечному кредиту, препятствующее защите соответствующим лицом своих прав, представляет собой нарушение права на жилище, в связи с чем Комитет приступает к рассмотрению вопроса о том, является ли сделанное в данном сл</w:t>
      </w:r>
      <w:r w:rsidRPr="007745E7">
        <w:t>у</w:t>
      </w:r>
      <w:r w:rsidRPr="007745E7">
        <w:t>чае уведомление ненадлежащим.</w:t>
      </w:r>
    </w:p>
    <w:p w:rsidR="007745E7" w:rsidRPr="007745E7" w:rsidRDefault="007745E7" w:rsidP="007745E7">
      <w:pPr>
        <w:pStyle w:val="SingleTxt"/>
        <w:spacing w:after="0" w:line="120" w:lineRule="exact"/>
        <w:rPr>
          <w:sz w:val="10"/>
        </w:rPr>
      </w:pPr>
    </w:p>
    <w:p w:rsidR="007745E7" w:rsidRPr="007745E7" w:rsidRDefault="007745E7" w:rsidP="00D04A5B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745E7">
        <w:tab/>
      </w:r>
      <w:r w:rsidRPr="007745E7">
        <w:tab/>
        <w:t xml:space="preserve">Анализ материалов дела </w:t>
      </w:r>
    </w:p>
    <w:p w:rsidR="007745E7" w:rsidRPr="007745E7" w:rsidRDefault="007745E7" w:rsidP="007745E7">
      <w:pPr>
        <w:pStyle w:val="SingleTxt"/>
        <w:spacing w:after="0" w:line="120" w:lineRule="exact"/>
        <w:rPr>
          <w:sz w:val="10"/>
        </w:rPr>
      </w:pPr>
    </w:p>
    <w:p w:rsidR="007745E7" w:rsidRPr="007745E7" w:rsidRDefault="00851445" w:rsidP="007745E7">
      <w:pPr>
        <w:pStyle w:val="SingleTxt"/>
      </w:pPr>
      <w:r>
        <w:t>13.1</w:t>
      </w:r>
      <w:r w:rsidR="007745E7" w:rsidRPr="007745E7">
        <w:tab/>
        <w:t>При рассмотрении сообщений в задачи Комитета не входит проверка того, действительно ли внутренние судебные и административные процедуры соотве</w:t>
      </w:r>
      <w:r w:rsidR="007745E7" w:rsidRPr="007745E7">
        <w:t>т</w:t>
      </w:r>
      <w:r w:rsidR="007745E7" w:rsidRPr="007745E7">
        <w:t>ствовали национальному законодательству. Работа Комитета ограничивается ан</w:t>
      </w:r>
      <w:r w:rsidR="007745E7" w:rsidRPr="007745E7">
        <w:t>а</w:t>
      </w:r>
      <w:r w:rsidR="007745E7" w:rsidRPr="007745E7">
        <w:t>лизом того, представляют ли доказанные факты сообщения нарушение госуда</w:t>
      </w:r>
      <w:r w:rsidR="007745E7" w:rsidRPr="007745E7">
        <w:t>р</w:t>
      </w:r>
      <w:r w:rsidR="007745E7" w:rsidRPr="007745E7">
        <w:t>ством-участником экономических, социальных и культурных прав, закрепленных в Пакте. Исходя из этого, Комитет считает, что в каждом конкретном случае о</w:t>
      </w:r>
      <w:r w:rsidR="007745E7" w:rsidRPr="007745E7">
        <w:t>т</w:t>
      </w:r>
      <w:r w:rsidR="007745E7" w:rsidRPr="007745E7">
        <w:t>ветственность за оценку фактов и доказательств или за применение внутреннего законодательства лежит прежде всего</w:t>
      </w:r>
      <w:r>
        <w:t xml:space="preserve"> на судах государств-участников</w:t>
      </w:r>
      <w:r w:rsidR="007745E7" w:rsidRPr="007745E7">
        <w:t xml:space="preserve"> и что эти аспекты значимы</w:t>
      </w:r>
      <w:r>
        <w:t>,</w:t>
      </w:r>
      <w:r w:rsidR="007745E7" w:rsidRPr="007745E7">
        <w:t xml:space="preserve"> только если представляется очевидным, что оценка соотве</w:t>
      </w:r>
      <w:r w:rsidR="007745E7" w:rsidRPr="007745E7">
        <w:t>т</w:t>
      </w:r>
      <w:r w:rsidR="007745E7" w:rsidRPr="007745E7">
        <w:t>ствующих доказательств или применение внутреннего права носят явно прои</w:t>
      </w:r>
      <w:r w:rsidR="007745E7" w:rsidRPr="007745E7">
        <w:t>з</w:t>
      </w:r>
      <w:r w:rsidR="007745E7" w:rsidRPr="007745E7">
        <w:t>вольный характер или равносильны отказу в правосудии, что предполагает нарушение признанного в Пакте права.</w:t>
      </w:r>
    </w:p>
    <w:p w:rsidR="007745E7" w:rsidRPr="007745E7" w:rsidRDefault="00851445" w:rsidP="007745E7">
      <w:pPr>
        <w:pStyle w:val="SingleTxt"/>
      </w:pPr>
      <w:r>
        <w:t>13.2</w:t>
      </w:r>
      <w:r w:rsidR="007745E7" w:rsidRPr="007745E7">
        <w:tab/>
        <w:t>Согл</w:t>
      </w:r>
      <w:r>
        <w:t>асно документам настоящего дела</w:t>
      </w:r>
      <w:r w:rsidR="007745E7" w:rsidRPr="007745E7">
        <w:t xml:space="preserve"> 21 июня 2012 года суд № 31 возб</w:t>
      </w:r>
      <w:r w:rsidR="007745E7" w:rsidRPr="007745E7">
        <w:t>у</w:t>
      </w:r>
      <w:r w:rsidR="007745E7" w:rsidRPr="007745E7">
        <w:t xml:space="preserve">дил исполнительное производство по </w:t>
      </w:r>
      <w:r>
        <w:t>обращению взыскания</w:t>
      </w:r>
      <w:r w:rsidR="007745E7" w:rsidRPr="007745E7">
        <w:t xml:space="preserve"> на заложенную н</w:t>
      </w:r>
      <w:r w:rsidR="007745E7" w:rsidRPr="007745E7">
        <w:t>е</w:t>
      </w:r>
      <w:r w:rsidR="007745E7" w:rsidRPr="007745E7">
        <w:t xml:space="preserve">движимость автора. Однако автор узнала об этом лишь 4 апреля 2013 года, когда она получила уведомление о приказе </w:t>
      </w:r>
      <w:r>
        <w:t xml:space="preserve">выставить на </w:t>
      </w:r>
      <w:r w:rsidR="007745E7" w:rsidRPr="007745E7">
        <w:t>аукцион ее недвижимо</w:t>
      </w:r>
      <w:r>
        <w:t>сть</w:t>
      </w:r>
      <w:r w:rsidR="007745E7" w:rsidRPr="007745E7">
        <w:t>, не</w:t>
      </w:r>
      <w:r>
        <w:t xml:space="preserve"> имея при этом </w:t>
      </w:r>
      <w:r w:rsidR="007745E7" w:rsidRPr="007745E7">
        <w:t>возможности защитить свои права во время исполнительного производства. В сентябре и октябре 2012 года были предприняты четыре бе</w:t>
      </w:r>
      <w:r w:rsidR="007745E7" w:rsidRPr="007745E7">
        <w:t>з</w:t>
      </w:r>
      <w:r w:rsidR="007745E7" w:rsidRPr="007745E7">
        <w:t xml:space="preserve">успешные попытки уведомления о решении суда № 31 о принятии </w:t>
      </w:r>
      <w:r w:rsidR="009B66DB">
        <w:t>иска</w:t>
      </w:r>
      <w:r w:rsidR="007745E7" w:rsidRPr="007745E7">
        <w:t xml:space="preserve"> к прои</w:t>
      </w:r>
      <w:r w:rsidR="007745E7" w:rsidRPr="007745E7">
        <w:t>з</w:t>
      </w:r>
      <w:r w:rsidR="007745E7" w:rsidRPr="007745E7">
        <w:t xml:space="preserve">водству, так как автор отсутствовала по месту своего жительства, адрес которого был указан </w:t>
      </w:r>
      <w:r w:rsidR="009B66DB">
        <w:t>ею</w:t>
      </w:r>
      <w:r w:rsidR="009B66DB" w:rsidRPr="007745E7">
        <w:t xml:space="preserve"> </w:t>
      </w:r>
      <w:r w:rsidR="007745E7" w:rsidRPr="007745E7">
        <w:t>для направления уведомлений. Судебный пристав подтвердил, что в соответствующем здании на почтовом ящике значилось ее имя; и что по кра</w:t>
      </w:r>
      <w:r w:rsidR="007745E7" w:rsidRPr="007745E7">
        <w:t>й</w:t>
      </w:r>
      <w:r w:rsidR="007745E7" w:rsidRPr="007745E7">
        <w:t>ней мере дважды там присутствовал консьерж, о чем была сделана пометка в д</w:t>
      </w:r>
      <w:r w:rsidR="007745E7" w:rsidRPr="007745E7">
        <w:t>о</w:t>
      </w:r>
      <w:r w:rsidR="007745E7" w:rsidRPr="007745E7">
        <w:t>кументах Главного управления судебных извещений и правоприменительных процедур города Мадрид (см. сноску 3 выше), что, соответственно, принял или должен был принять к сведению суд № 31. 30 октября 2012 года суд № 31 дал разрешение на публикацию своего приказа на доске объявлений в целях ос</w:t>
      </w:r>
      <w:r w:rsidR="007745E7" w:rsidRPr="007745E7">
        <w:t>у</w:t>
      </w:r>
      <w:r w:rsidR="007745E7" w:rsidRPr="007745E7">
        <w:t xml:space="preserve">ществления уведомления, которое не было своевременно доведено до сведения автора. </w:t>
      </w:r>
    </w:p>
    <w:p w:rsidR="007745E7" w:rsidRPr="007745E7" w:rsidRDefault="007745E7" w:rsidP="007745E7">
      <w:pPr>
        <w:pStyle w:val="SingleTxt"/>
      </w:pPr>
      <w:r w:rsidRPr="007745E7">
        <w:t>13.3</w:t>
      </w:r>
      <w:r w:rsidRPr="007745E7">
        <w:tab/>
        <w:t>В данном случае Комитет отдает должное неоднократным усилиям с</w:t>
      </w:r>
      <w:r w:rsidRPr="007745E7">
        <w:t>у</w:t>
      </w:r>
      <w:r w:rsidRPr="007745E7">
        <w:t>да</w:t>
      </w:r>
      <w:r w:rsidR="009B66DB">
        <w:t> </w:t>
      </w:r>
      <w:r w:rsidRPr="007745E7">
        <w:t>№</w:t>
      </w:r>
      <w:r w:rsidR="009B66DB">
        <w:t> </w:t>
      </w:r>
      <w:r w:rsidRPr="007745E7">
        <w:t>31, направленным на осуществление личного уведомления автора о реш</w:t>
      </w:r>
      <w:r w:rsidRPr="007745E7">
        <w:t>е</w:t>
      </w:r>
      <w:r w:rsidRPr="007745E7">
        <w:t xml:space="preserve">нии суда о принятии к производству </w:t>
      </w:r>
      <w:r w:rsidR="009B66DB">
        <w:t xml:space="preserve">дела об обращении </w:t>
      </w:r>
      <w:r w:rsidRPr="007745E7">
        <w:t>взыскания на ее зал</w:t>
      </w:r>
      <w:r w:rsidRPr="007745E7">
        <w:t>о</w:t>
      </w:r>
      <w:r w:rsidRPr="007745E7">
        <w:t>женную недвижимость. Однако Комитет считает, что государство-участник не доказало, что суд № 31 исчерпал все имеющиеся средства осуществления личн</w:t>
      </w:r>
      <w:r w:rsidRPr="007745E7">
        <w:t>о</w:t>
      </w:r>
      <w:r w:rsidRPr="007745E7">
        <w:t>го уведомления (например, не объяснив причины, по которым суд № 31 не ув</w:t>
      </w:r>
      <w:r w:rsidRPr="007745E7">
        <w:t>е</w:t>
      </w:r>
      <w:r w:rsidRPr="007745E7">
        <w:t>домил автора, оставив записку или извещение в ее почтовом ящике</w:t>
      </w:r>
      <w:r w:rsidR="009B66DB">
        <w:t>,</w:t>
      </w:r>
      <w:r w:rsidRPr="007745E7">
        <w:t xml:space="preserve"> или любым другим способом, предусмотренным в ГПК, таким как вручение уведомления консьержу или соседу из ближайшей квартиры), и ограничилось указанием того, что после неудачных попыток уведомить автора уведомление в соответствии с законом было осуществлено путем публикации приказа. Помимо этого, госуда</w:t>
      </w:r>
      <w:r w:rsidRPr="007745E7">
        <w:t>р</w:t>
      </w:r>
      <w:r w:rsidRPr="007745E7">
        <w:t>ство не представило какого-либо серьезного обоснования своего утверждения о</w:t>
      </w:r>
      <w:r w:rsidR="009B66DB">
        <w:t> </w:t>
      </w:r>
      <w:r w:rsidRPr="007745E7">
        <w:t>том, что при одной из попыток уведомления автор якобы спряталась, чтобы уведомление не было вручено ей лично. Таким образом, Комитет считает, что</w:t>
      </w:r>
      <w:r w:rsidR="009B66DB">
        <w:t>,</w:t>
      </w:r>
      <w:r w:rsidRPr="007745E7">
        <w:t xml:space="preserve"> даже если можно сделать вывод, что уведомление автора путем публикации пр</w:t>
      </w:r>
      <w:r w:rsidRPr="007745E7">
        <w:t>и</w:t>
      </w:r>
      <w:r w:rsidRPr="007745E7">
        <w:t>каза соответствует ГПК, такое уведомление об обращении взыскания на зал</w:t>
      </w:r>
      <w:r w:rsidRPr="007745E7">
        <w:t>о</w:t>
      </w:r>
      <w:r w:rsidRPr="007745E7">
        <w:t>женное имущество должно в любом случае быть надлежащим в соответствии с нормами Пакта, касающимися права на жилище, как указано выше в пун</w:t>
      </w:r>
      <w:r w:rsidRPr="007745E7">
        <w:t>к</w:t>
      </w:r>
      <w:r w:rsidRPr="007745E7">
        <w:t>тах</w:t>
      </w:r>
      <w:r w:rsidR="009B66DB">
        <w:t> </w:t>
      </w:r>
      <w:r w:rsidRPr="007745E7">
        <w:t>11.1</w:t>
      </w:r>
      <w:r w:rsidR="009B66DB">
        <w:t>–</w:t>
      </w:r>
      <w:r w:rsidRPr="007745E7">
        <w:t xml:space="preserve">12.4, которые в данном случае не были соблюдены, </w:t>
      </w:r>
      <w:r w:rsidR="009B66DB">
        <w:t>т.е.</w:t>
      </w:r>
      <w:r w:rsidRPr="007745E7">
        <w:t xml:space="preserve"> уведомление было ненадлежащим. </w:t>
      </w:r>
    </w:p>
    <w:p w:rsidR="007745E7" w:rsidRPr="007745E7" w:rsidRDefault="007745E7" w:rsidP="007745E7">
      <w:pPr>
        <w:pStyle w:val="SingleTxt"/>
      </w:pPr>
      <w:r w:rsidRPr="007745E7">
        <w:t>13.4</w:t>
      </w:r>
      <w:r w:rsidRPr="007745E7">
        <w:tab/>
        <w:t>Это нарушение в процедуре уведомления не означало бы нарушения права на жилище, если бы оно не имело существенных последствий для защиты авт</w:t>
      </w:r>
      <w:r w:rsidRPr="007745E7">
        <w:t>о</w:t>
      </w:r>
      <w:r w:rsidRPr="007745E7">
        <w:t>ром права на эффективное использование своего жилища, например в случае, е</w:t>
      </w:r>
      <w:r w:rsidRPr="007745E7">
        <w:t>с</w:t>
      </w:r>
      <w:r w:rsidRPr="007745E7">
        <w:t>ли бы соответствующее лицо могло прибегнуть к другому надлежащему проц</w:t>
      </w:r>
      <w:r w:rsidRPr="007745E7">
        <w:t>е</w:t>
      </w:r>
      <w:r w:rsidRPr="007745E7">
        <w:t xml:space="preserve">дурному механизму защиты своих прав и интересов. Позиция государства-участника представляется именно такой, поскольку оно утверждает, не приводя серьезных обоснований, что </w:t>
      </w:r>
      <w:r w:rsidR="009B66DB">
        <w:t>утрата</w:t>
      </w:r>
      <w:r w:rsidRPr="007745E7">
        <w:t xml:space="preserve"> автором возможности участвовать в исполн</w:t>
      </w:r>
      <w:r w:rsidRPr="007745E7">
        <w:t>и</w:t>
      </w:r>
      <w:r w:rsidRPr="007745E7">
        <w:t>тельном производстве не имеет серьезных последствий, так как в любом случае доступные должнику возможности защиты в ходе исполнительного производства с юридическо</w:t>
      </w:r>
      <w:r w:rsidR="009B66DB">
        <w:t>й точки зрения весьма ограничен</w:t>
      </w:r>
      <w:r w:rsidRPr="007745E7">
        <w:t xml:space="preserve">ы, но он, в свою очередь, имеет в своем распоряжении </w:t>
      </w:r>
      <w:r w:rsidR="009B66DB">
        <w:t>вариант ординарного</w:t>
      </w:r>
      <w:r w:rsidRPr="007745E7">
        <w:t xml:space="preserve"> производств</w:t>
      </w:r>
      <w:r w:rsidR="009B66DB">
        <w:t>а</w:t>
      </w:r>
      <w:r w:rsidRPr="007745E7">
        <w:t>, позволяюще</w:t>
      </w:r>
      <w:r w:rsidR="009B66DB">
        <w:t>го</w:t>
      </w:r>
      <w:r w:rsidRPr="007745E7">
        <w:t xml:space="preserve"> ему оспаривать выплату ипотечного кредита без каких-либо ограничений</w:t>
      </w:r>
      <w:r w:rsidR="009B66DB">
        <w:t>;</w:t>
      </w:r>
      <w:r w:rsidRPr="007745E7">
        <w:t xml:space="preserve"> </w:t>
      </w:r>
      <w:r w:rsidR="009B66DB">
        <w:t>и</w:t>
      </w:r>
      <w:r w:rsidRPr="007745E7">
        <w:t xml:space="preserve"> что автор представила письменное заявление в соответствии с пунктом 3 статьи 695 ГПК, </w:t>
      </w:r>
      <w:r w:rsidR="00A46142">
        <w:t>сославшись</w:t>
      </w:r>
      <w:r w:rsidRPr="007745E7">
        <w:t xml:space="preserve"> на неправомерность ряда положений договора ипотечного кредит</w:t>
      </w:r>
      <w:r w:rsidRPr="007745E7">
        <w:t>о</w:t>
      </w:r>
      <w:r w:rsidRPr="007745E7">
        <w:t>вания, и ей даже удалось добиться приостановления исполнительного произво</w:t>
      </w:r>
      <w:r w:rsidRPr="007745E7">
        <w:t>д</w:t>
      </w:r>
      <w:r w:rsidRPr="007745E7">
        <w:t>ства и продажи своего жилья, поскольку, в силу недавнего решения Европейского суда, эти обычные средства защиты позволяют</w:t>
      </w:r>
      <w:r w:rsidR="00A46142">
        <w:t>,</w:t>
      </w:r>
      <w:r w:rsidRPr="007745E7">
        <w:t xml:space="preserve"> в том числе</w:t>
      </w:r>
      <w:r w:rsidR="00A46142">
        <w:t>,</w:t>
      </w:r>
      <w:r w:rsidRPr="007745E7">
        <w:t xml:space="preserve"> приостановить о</w:t>
      </w:r>
      <w:r w:rsidRPr="007745E7">
        <w:t>б</w:t>
      </w:r>
      <w:r w:rsidRPr="007745E7">
        <w:t xml:space="preserve">ращение взыскания на заложенное имущество и его продажу. </w:t>
      </w:r>
    </w:p>
    <w:p w:rsidR="007745E7" w:rsidRPr="007745E7" w:rsidRDefault="007745E7" w:rsidP="007745E7">
      <w:pPr>
        <w:pStyle w:val="SingleTxt"/>
      </w:pPr>
      <w:r w:rsidRPr="007745E7">
        <w:t>13.5</w:t>
      </w:r>
      <w:r w:rsidRPr="007745E7">
        <w:tab/>
        <w:t>В</w:t>
      </w:r>
      <w:r w:rsidR="00A46142">
        <w:t xml:space="preserve"> контексте настоящего сообщения</w:t>
      </w:r>
      <w:r w:rsidRPr="007745E7">
        <w:t xml:space="preserve"> в силу специфики поднятого автором вопроса </w:t>
      </w:r>
      <w:r w:rsidR="00A46142">
        <w:t>о ненадлежащем</w:t>
      </w:r>
      <w:r w:rsidRPr="007745E7">
        <w:t xml:space="preserve"> уведомлени</w:t>
      </w:r>
      <w:r w:rsidR="00A46142">
        <w:t>и</w:t>
      </w:r>
      <w:r w:rsidRPr="007745E7">
        <w:t xml:space="preserve"> в задачи Комитета не входит общее ра</w:t>
      </w:r>
      <w:r w:rsidRPr="007745E7">
        <w:t>с</w:t>
      </w:r>
      <w:r w:rsidRPr="007745E7">
        <w:t>смотрение того, соответствуют ли внутренние норм</w:t>
      </w:r>
      <w:r w:rsidR="00A46142">
        <w:t>ы</w:t>
      </w:r>
      <w:r w:rsidRPr="007745E7">
        <w:t xml:space="preserve"> государства-участника, р</w:t>
      </w:r>
      <w:r w:rsidRPr="007745E7">
        <w:t>е</w:t>
      </w:r>
      <w:r w:rsidRPr="007745E7">
        <w:t>гулирующие процесс обращения взыскания на заложенную недвижимость (в</w:t>
      </w:r>
      <w:r w:rsidR="00A46142">
        <w:t> </w:t>
      </w:r>
      <w:r w:rsidRPr="007745E7">
        <w:t xml:space="preserve">частности, дом или квартиру) и ее последующей продажи, праву на жилище. Таким образом, Комитет в данном случае ограничивается рассмотрением </w:t>
      </w:r>
      <w:r w:rsidR="00A46142">
        <w:t>вопр</w:t>
      </w:r>
      <w:r w:rsidR="00A46142">
        <w:t>о</w:t>
      </w:r>
      <w:r w:rsidR="00A46142">
        <w:t xml:space="preserve">са о </w:t>
      </w:r>
      <w:r w:rsidRPr="007745E7">
        <w:t>то</w:t>
      </w:r>
      <w:r w:rsidR="00A46142">
        <w:t>м</w:t>
      </w:r>
      <w:r w:rsidRPr="007745E7">
        <w:t xml:space="preserve">, было ли в силу уже установленного ненадлежащего уведомления автора существенно затронуто ее право на защиту, что означало бы нарушение права на жилище. </w:t>
      </w:r>
    </w:p>
    <w:p w:rsidR="007745E7" w:rsidRPr="007745E7" w:rsidRDefault="007745E7" w:rsidP="007745E7">
      <w:pPr>
        <w:pStyle w:val="SingleTxt"/>
      </w:pPr>
      <w:r w:rsidRPr="007745E7">
        <w:t>13.6</w:t>
      </w:r>
      <w:r w:rsidRPr="007745E7">
        <w:tab/>
        <w:t>Согласно действую</w:t>
      </w:r>
      <w:r w:rsidR="00A46142">
        <w:t>щему на момент этих событий ГПК</w:t>
      </w:r>
      <w:r w:rsidRPr="007745E7">
        <w:t xml:space="preserve"> должник в рамках процедуры исполнения судебного решения может оспорить проведение аукциона на весьма ограниченных основаниях, таких как погашение ипотечного залога или соответствующего обязательства. В рамках этого процесса он не может оспаривать, например, неправомерные положения договора. Напротив, ордина</w:t>
      </w:r>
      <w:r w:rsidRPr="007745E7">
        <w:t>р</w:t>
      </w:r>
      <w:r w:rsidRPr="007745E7">
        <w:t>ное производство обеспечивает должнику широкие и открытые основания для оспаривания соответствующего кредита. В таком случае можно утверждать, что неявка на исполнительное производство необязательно является особо серье</w:t>
      </w:r>
      <w:r w:rsidRPr="007745E7">
        <w:t>з</w:t>
      </w:r>
      <w:r w:rsidRPr="007745E7">
        <w:t xml:space="preserve">ным обстоятельством, поскольку для отстаивания своих прав должник в любом случае имеет в своем распоряжении </w:t>
      </w:r>
      <w:r w:rsidR="00A46142">
        <w:t xml:space="preserve">вариант </w:t>
      </w:r>
      <w:r w:rsidRPr="007745E7">
        <w:t>ординарно</w:t>
      </w:r>
      <w:r w:rsidR="00A46142">
        <w:t>го</w:t>
      </w:r>
      <w:r w:rsidRPr="007745E7">
        <w:t xml:space="preserve"> производств</w:t>
      </w:r>
      <w:r w:rsidR="00A46142">
        <w:t>а</w:t>
      </w:r>
      <w:r w:rsidRPr="007745E7">
        <w:t xml:space="preserve">. Но для того, чтобы это положение имело под собой основания, ординарное производство должно давать возможность приостановить исполнительное производство и </w:t>
      </w:r>
      <w:r w:rsidR="00A46142">
        <w:t>в</w:t>
      </w:r>
      <w:r w:rsidR="00A46142">
        <w:t>ы</w:t>
      </w:r>
      <w:r w:rsidR="00A46142">
        <w:t xml:space="preserve">ставление на </w:t>
      </w:r>
      <w:r w:rsidRPr="007745E7">
        <w:t>аукцион соответствующего объекта недвижимости, поскольку в противном случае защиты при помощи ординарного производства будет недост</w:t>
      </w:r>
      <w:r w:rsidRPr="007745E7">
        <w:t>а</w:t>
      </w:r>
      <w:r w:rsidRPr="007745E7">
        <w:t>точно для обеспечения права на жилище, так как соответствующее лицо не см</w:t>
      </w:r>
      <w:r w:rsidRPr="007745E7">
        <w:t>о</w:t>
      </w:r>
      <w:r w:rsidRPr="007745E7">
        <w:t>жет воспрепятствовать продаже своей недвижимости; у него будет возможность получить в конечном итоге лишь компенсацию или возврат имущества в случае, если это возможно. Комитет считает, что ненадлежащее уведомление автора им</w:t>
      </w:r>
      <w:r w:rsidRPr="007745E7">
        <w:t>е</w:t>
      </w:r>
      <w:r w:rsidRPr="007745E7">
        <w:t xml:space="preserve">ло место 30 октября 2012 года, когда суд № 31 опубликовал соответствующий приказ. Государство-участник, должно быть, ссылается на решение Европейского суда по делу № C-415/11, </w:t>
      </w:r>
      <w:r w:rsidRPr="007745E7">
        <w:rPr>
          <w:i/>
          <w:iCs/>
        </w:rPr>
        <w:t>Мохамед Азиз против Каталуньякайша</w:t>
      </w:r>
      <w:r w:rsidRPr="007745E7">
        <w:t>, от 14 марта 2013 года, принятое через несколько месяцев после этого ненадлежащего ув</w:t>
      </w:r>
      <w:r w:rsidRPr="007745E7">
        <w:t>е</w:t>
      </w:r>
      <w:r w:rsidRPr="007745E7">
        <w:t xml:space="preserve">домления. Итак, исходя из этого решения, очевидно, что </w:t>
      </w:r>
      <w:r w:rsidR="00A46142">
        <w:t xml:space="preserve">до </w:t>
      </w:r>
      <w:r w:rsidRPr="007745E7">
        <w:t>то</w:t>
      </w:r>
      <w:r w:rsidR="00A46142">
        <w:t>го</w:t>
      </w:r>
      <w:r w:rsidRPr="007745E7">
        <w:t xml:space="preserve"> момент</w:t>
      </w:r>
      <w:r w:rsidR="00A46142">
        <w:t xml:space="preserve">а </w:t>
      </w:r>
      <w:r w:rsidRPr="007745E7">
        <w:t>декл</w:t>
      </w:r>
      <w:r w:rsidRPr="007745E7">
        <w:t>а</w:t>
      </w:r>
      <w:r w:rsidRPr="007745E7">
        <w:t>раторные иски не позволяли приостановить процедуру обращения взыскания на заложенное имущество. Таким образом, автор была лишена возможности защ</w:t>
      </w:r>
      <w:r w:rsidRPr="007745E7">
        <w:t>и</w:t>
      </w:r>
      <w:r w:rsidRPr="007745E7">
        <w:t>тить свои интересы в ходе исполнительного производства для того, чтобы в к</w:t>
      </w:r>
      <w:r w:rsidRPr="007745E7">
        <w:t>о</w:t>
      </w:r>
      <w:r w:rsidRPr="007745E7">
        <w:t>нечном итоге не допустить проведения аукциона, причем на момент ненадлеж</w:t>
      </w:r>
      <w:r w:rsidRPr="007745E7">
        <w:t>а</w:t>
      </w:r>
      <w:r w:rsidRPr="007745E7">
        <w:t xml:space="preserve">щего уведомления ординарное производство не могло даже рассматриваться как </w:t>
      </w:r>
      <w:r w:rsidR="00A46142">
        <w:t xml:space="preserve">адекватный </w:t>
      </w:r>
      <w:r w:rsidRPr="007745E7">
        <w:t>возможный альтернативный механизм, так как оно не давало во</w:t>
      </w:r>
      <w:r w:rsidRPr="007745E7">
        <w:t>з</w:t>
      </w:r>
      <w:r w:rsidRPr="007745E7">
        <w:t>можности приостановить исполнительное производство.</w:t>
      </w:r>
    </w:p>
    <w:p w:rsidR="007745E7" w:rsidRPr="007745E7" w:rsidRDefault="007745E7" w:rsidP="007745E7">
      <w:pPr>
        <w:pStyle w:val="SingleTxt"/>
      </w:pPr>
      <w:r w:rsidRPr="007745E7">
        <w:t>13.7</w:t>
      </w:r>
      <w:r w:rsidRPr="007745E7">
        <w:tab/>
      </w:r>
      <w:r w:rsidR="00A46142">
        <w:t>Исходя из этого</w:t>
      </w:r>
      <w:r w:rsidRPr="007745E7">
        <w:t xml:space="preserve">, Комитет считает, что это ненадлежащее уведомление в тот момент являлось нарушением права на жилище, которое впоследствии не было исправлено государством-участником, так как автору было отказано как в отмене судебного решения о проведении аукциона, так и в процедуре ампаро, по которой она обратилась в Конституционный суд. </w:t>
      </w:r>
    </w:p>
    <w:p w:rsidR="007745E7" w:rsidRPr="007745E7" w:rsidRDefault="007745E7" w:rsidP="007745E7">
      <w:pPr>
        <w:pStyle w:val="SingleTxt"/>
        <w:spacing w:after="0" w:line="120" w:lineRule="exact"/>
        <w:rPr>
          <w:sz w:val="10"/>
        </w:rPr>
      </w:pPr>
    </w:p>
    <w:p w:rsidR="007745E7" w:rsidRPr="007745E7" w:rsidRDefault="007745E7" w:rsidP="007745E7">
      <w:pPr>
        <w:pStyle w:val="SingleTxt"/>
        <w:spacing w:after="0" w:line="120" w:lineRule="exact"/>
        <w:rPr>
          <w:sz w:val="10"/>
        </w:rPr>
      </w:pPr>
    </w:p>
    <w:p w:rsidR="007745E7" w:rsidRPr="007745E7" w:rsidRDefault="007745E7" w:rsidP="00D04A5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745E7">
        <w:tab/>
        <w:t>C.</w:t>
      </w:r>
      <w:r w:rsidRPr="007745E7">
        <w:tab/>
        <w:t>Заключение и рекомендации</w:t>
      </w:r>
    </w:p>
    <w:p w:rsidR="007745E7" w:rsidRPr="007745E7" w:rsidRDefault="007745E7" w:rsidP="007745E7">
      <w:pPr>
        <w:pStyle w:val="SingleTxt"/>
        <w:spacing w:after="0" w:line="120" w:lineRule="exact"/>
        <w:rPr>
          <w:sz w:val="10"/>
        </w:rPr>
      </w:pPr>
    </w:p>
    <w:p w:rsidR="007745E7" w:rsidRPr="007745E7" w:rsidRDefault="007745E7" w:rsidP="007745E7">
      <w:pPr>
        <w:pStyle w:val="SingleTxt"/>
        <w:spacing w:after="0" w:line="120" w:lineRule="exact"/>
        <w:rPr>
          <w:sz w:val="10"/>
        </w:rPr>
      </w:pPr>
    </w:p>
    <w:p w:rsidR="007745E7" w:rsidRPr="007745E7" w:rsidRDefault="007745E7" w:rsidP="007745E7">
      <w:pPr>
        <w:pStyle w:val="SingleTxt"/>
      </w:pPr>
      <w:r w:rsidRPr="007745E7">
        <w:t>14.</w:t>
      </w:r>
      <w:r w:rsidRPr="007745E7">
        <w:tab/>
        <w:t>Принимая во внимание все представленные материалы, Комитет считает, что факты, которыми он располагает, свидетельствуют о том, что суд № 31 не</w:t>
      </w:r>
      <w:r w:rsidR="00A46142">
        <w:t> </w:t>
      </w:r>
      <w:r w:rsidRPr="007745E7">
        <w:t xml:space="preserve">принял все разумные меры для того, чтобы надлежащим образом уведомить автора об </w:t>
      </w:r>
      <w:r w:rsidR="00A46142">
        <w:t xml:space="preserve">иске </w:t>
      </w:r>
      <w:r w:rsidRPr="007745E7">
        <w:t>кредитной организаци</w:t>
      </w:r>
      <w:r w:rsidR="00882D1C">
        <w:t>и об обращении в</w:t>
      </w:r>
      <w:r w:rsidR="00A46142">
        <w:t>з</w:t>
      </w:r>
      <w:r w:rsidR="00882D1C">
        <w:t>ы</w:t>
      </w:r>
      <w:r w:rsidR="00A46142">
        <w:t>скания на заложенное имущество</w:t>
      </w:r>
      <w:r w:rsidRPr="007745E7">
        <w:t xml:space="preserve"> (см. пункт 13.3 выше), с тем чтобы убедиться в том, что она действ</w:t>
      </w:r>
      <w:r w:rsidRPr="007745E7">
        <w:t>и</w:t>
      </w:r>
      <w:r w:rsidRPr="007745E7">
        <w:t>тельно проинформирована о начале производства по этому делу; и, как сле</w:t>
      </w:r>
      <w:r w:rsidRPr="007745E7">
        <w:t>д</w:t>
      </w:r>
      <w:r w:rsidRPr="007745E7">
        <w:t>ствие, суд № 31 лишил автора возможности должным образом защитить в суде</w:t>
      </w:r>
      <w:r w:rsidRPr="007745E7">
        <w:t>б</w:t>
      </w:r>
      <w:r w:rsidRPr="007745E7">
        <w:t xml:space="preserve">ном порядке свое право на жилище. </w:t>
      </w:r>
    </w:p>
    <w:p w:rsidR="007745E7" w:rsidRPr="007745E7" w:rsidRDefault="007745E7" w:rsidP="007745E7">
      <w:pPr>
        <w:pStyle w:val="SingleTxt"/>
      </w:pPr>
      <w:r w:rsidRPr="007745E7">
        <w:t>15.</w:t>
      </w:r>
      <w:r w:rsidRPr="007745E7">
        <w:tab/>
        <w:t>Комитет, действуя на основании пункта 1 статьи 9 Факультативного прот</w:t>
      </w:r>
      <w:r w:rsidRPr="007745E7">
        <w:t>о</w:t>
      </w:r>
      <w:r w:rsidRPr="007745E7">
        <w:t>кола, считает, что в силу невыполнения своего обязательства обеспечить автору эффективное средство правовой защиты государство-участник нарушило ее пр</w:t>
      </w:r>
      <w:r w:rsidRPr="007745E7">
        <w:t>а</w:t>
      </w:r>
      <w:r w:rsidRPr="007745E7">
        <w:t>ва в соответствии с пунктом 1 статьи 11 Пакта, рассматриваемым в совокупности с пунктом 1 статьи 2 Пакта. В свете соображений, содержащихся в настоящем сообщении, Комитет выносит государству-участнику следующие рекомендации.</w:t>
      </w:r>
    </w:p>
    <w:p w:rsidR="007745E7" w:rsidRPr="007745E7" w:rsidRDefault="007745E7" w:rsidP="007745E7">
      <w:pPr>
        <w:pStyle w:val="SingleTxt"/>
        <w:spacing w:after="0" w:line="120" w:lineRule="exact"/>
        <w:rPr>
          <w:sz w:val="10"/>
        </w:rPr>
      </w:pPr>
    </w:p>
    <w:p w:rsidR="007745E7" w:rsidRPr="007745E7" w:rsidRDefault="007745E7" w:rsidP="00D04A5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745E7">
        <w:tab/>
      </w:r>
      <w:r w:rsidRPr="007745E7">
        <w:tab/>
        <w:t>Рекомендации в отношении автора</w:t>
      </w:r>
    </w:p>
    <w:p w:rsidR="007745E7" w:rsidRPr="007745E7" w:rsidRDefault="007745E7" w:rsidP="007745E7">
      <w:pPr>
        <w:pStyle w:val="SingleTxt"/>
        <w:spacing w:after="0" w:line="120" w:lineRule="exact"/>
        <w:rPr>
          <w:sz w:val="10"/>
        </w:rPr>
      </w:pPr>
    </w:p>
    <w:p w:rsidR="007745E7" w:rsidRPr="007745E7" w:rsidRDefault="007745E7" w:rsidP="007745E7">
      <w:pPr>
        <w:pStyle w:val="SingleTxt"/>
      </w:pPr>
      <w:r w:rsidRPr="007745E7">
        <w:t>16.</w:t>
      </w:r>
      <w:r w:rsidRPr="007745E7">
        <w:tab/>
        <w:t xml:space="preserve">Государство-участник обязано предоставить автору эффективное средство правовой защиты, а именно: а) обеспечить проведение аукциона </w:t>
      </w:r>
      <w:r w:rsidR="00A46142">
        <w:t xml:space="preserve">по продаже </w:t>
      </w:r>
      <w:r w:rsidRPr="007745E7">
        <w:t>н</w:t>
      </w:r>
      <w:r w:rsidRPr="007745E7">
        <w:t>е</w:t>
      </w:r>
      <w:r w:rsidRPr="007745E7">
        <w:t xml:space="preserve">движимости автора только при наличии у нее надлежащей процедурной защиты и надлежащего судебного разбирательства в соответствии с положениями Пакта </w:t>
      </w:r>
      <w:r w:rsidR="00A46142">
        <w:t xml:space="preserve">и с учетом </w:t>
      </w:r>
      <w:r w:rsidRPr="007745E7">
        <w:t>замечани</w:t>
      </w:r>
      <w:r w:rsidR="00A46142">
        <w:t>й</w:t>
      </w:r>
      <w:r w:rsidRPr="007745E7">
        <w:t xml:space="preserve"> общего </w:t>
      </w:r>
      <w:r w:rsidR="00A46142">
        <w:t>порядке</w:t>
      </w:r>
      <w:r w:rsidRPr="007745E7">
        <w:t xml:space="preserve"> № 4 и 7 Комитета; и b) возместить автору </w:t>
      </w:r>
      <w:r w:rsidR="00A46142">
        <w:t>расходы на юридические услуги</w:t>
      </w:r>
      <w:r w:rsidRPr="007745E7">
        <w:t>, понесенные при рассмотрении этого сообщ</w:t>
      </w:r>
      <w:r w:rsidRPr="007745E7">
        <w:t>е</w:t>
      </w:r>
      <w:r w:rsidRPr="007745E7">
        <w:t>ния.</w:t>
      </w:r>
    </w:p>
    <w:p w:rsidR="007745E7" w:rsidRPr="007745E7" w:rsidRDefault="007745E7" w:rsidP="007745E7">
      <w:pPr>
        <w:pStyle w:val="SingleTxt"/>
        <w:spacing w:after="0" w:line="120" w:lineRule="exact"/>
        <w:rPr>
          <w:sz w:val="10"/>
        </w:rPr>
      </w:pPr>
    </w:p>
    <w:p w:rsidR="007745E7" w:rsidRPr="007745E7" w:rsidRDefault="007745E7" w:rsidP="00206AE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745E7">
        <w:tab/>
      </w:r>
      <w:r w:rsidRPr="007745E7">
        <w:tab/>
        <w:t xml:space="preserve">Общие рекомендации </w:t>
      </w:r>
    </w:p>
    <w:p w:rsidR="007745E7" w:rsidRPr="007745E7" w:rsidRDefault="007745E7" w:rsidP="00206AED">
      <w:pPr>
        <w:pStyle w:val="SingleTxt"/>
        <w:keepNext/>
        <w:spacing w:after="0" w:line="120" w:lineRule="exact"/>
        <w:rPr>
          <w:sz w:val="10"/>
        </w:rPr>
      </w:pPr>
    </w:p>
    <w:p w:rsidR="007745E7" w:rsidRPr="007745E7" w:rsidRDefault="007745E7" w:rsidP="00206AED">
      <w:pPr>
        <w:pStyle w:val="SingleTxt"/>
        <w:keepNext/>
      </w:pPr>
      <w:r w:rsidRPr="007745E7">
        <w:t>17.</w:t>
      </w:r>
      <w:r w:rsidRPr="007745E7">
        <w:tab/>
        <w:t>Комитет считает, что в принципе средства правовой защиты, рекомендова</w:t>
      </w:r>
      <w:r w:rsidRPr="007745E7">
        <w:t>н</w:t>
      </w:r>
      <w:r w:rsidRPr="007745E7">
        <w:t>ные в контексте индивидуальных сообщений, могут включать в себя гарантии неповторения, и напоминает об обязательстве государства-участника не допу</w:t>
      </w:r>
      <w:r w:rsidRPr="007745E7">
        <w:t>с</w:t>
      </w:r>
      <w:r w:rsidRPr="007745E7">
        <w:t>кать аналогичных нарушений в будущем. Принимая к сведению меры, принятые государством-участником, включая Королевский декрет-закон № 27/2012 и З</w:t>
      </w:r>
      <w:r w:rsidRPr="007745E7">
        <w:t>а</w:t>
      </w:r>
      <w:r w:rsidRPr="007745E7">
        <w:t>кон</w:t>
      </w:r>
      <w:r w:rsidR="00A46142">
        <w:t> </w:t>
      </w:r>
      <w:r w:rsidRPr="007745E7">
        <w:t>№ 1/2013, вследствие решения Европейского суда от 14 марта 2013 года</w:t>
      </w:r>
      <w:r w:rsidR="00A46142">
        <w:t>,</w:t>
      </w:r>
      <w:r w:rsidRPr="007745E7">
        <w:t xml:space="preserve"> К</w:t>
      </w:r>
      <w:r w:rsidRPr="007745E7">
        <w:t>о</w:t>
      </w:r>
      <w:r w:rsidRPr="007745E7">
        <w:t>митет считает, что государству-участнику следует обеспечить соответствие его законодательства и применения этого законодательства обязательствам, закре</w:t>
      </w:r>
      <w:r w:rsidRPr="007745E7">
        <w:t>п</w:t>
      </w:r>
      <w:r w:rsidRPr="007745E7">
        <w:t>ленным в Пакте</w:t>
      </w:r>
      <w:r w:rsidRPr="00D04A5B">
        <w:rPr>
          <w:vertAlign w:val="superscript"/>
        </w:rPr>
        <w:footnoteReference w:id="32"/>
      </w:r>
      <w:r w:rsidRPr="007745E7">
        <w:t>. В частности, государство-участник обязано:</w:t>
      </w:r>
    </w:p>
    <w:p w:rsidR="007745E7" w:rsidRPr="007745E7" w:rsidRDefault="007745E7" w:rsidP="007745E7">
      <w:pPr>
        <w:pStyle w:val="SingleTxt"/>
      </w:pPr>
      <w:r w:rsidRPr="007745E7">
        <w:tab/>
        <w:t>а)</w:t>
      </w:r>
      <w:r w:rsidRPr="007745E7">
        <w:tab/>
        <w:t xml:space="preserve">обеспечить доступность средств правовой защиты для лиц, которые сталкиваются с процедурой обращения взыскания на заложенное имущество в связи с </w:t>
      </w:r>
      <w:r w:rsidR="00A46142">
        <w:t>непогашен</w:t>
      </w:r>
      <w:r w:rsidR="00E94349">
        <w:t>ием</w:t>
      </w:r>
      <w:r w:rsidR="00A46142">
        <w:t xml:space="preserve"> кредито</w:t>
      </w:r>
      <w:r w:rsidR="00E94349">
        <w:t>в</w:t>
      </w:r>
      <w:r w:rsidRPr="007745E7">
        <w:t xml:space="preserve">; </w:t>
      </w:r>
    </w:p>
    <w:p w:rsidR="007745E7" w:rsidRPr="007745E7" w:rsidRDefault="007745E7" w:rsidP="007745E7">
      <w:pPr>
        <w:pStyle w:val="SingleTxt"/>
      </w:pPr>
      <w:r>
        <w:tab/>
        <w:t>b)</w:t>
      </w:r>
      <w:r w:rsidRPr="007745E7">
        <w:tab/>
        <w:t>принять надлежащие законодательные и/или административные меры для обеспечения того, чтобы в рамках исполнительного производства по обращ</w:t>
      </w:r>
      <w:r w:rsidRPr="007745E7">
        <w:t>е</w:t>
      </w:r>
      <w:r w:rsidRPr="007745E7">
        <w:t>нию взыскания на заложенное имущество уведомление посредством публикации соответствующего приказа было строго ограничено ситуациями, когда были и</w:t>
      </w:r>
      <w:r w:rsidRPr="007745E7">
        <w:t>с</w:t>
      </w:r>
      <w:r w:rsidRPr="007745E7">
        <w:t>черпаны все средства личного уведомления; и обеспечить достаточную огласку и своевременность уведомления, с тем чтобы соответствующее лицо действител</w:t>
      </w:r>
      <w:r w:rsidRPr="007745E7">
        <w:t>ь</w:t>
      </w:r>
      <w:r w:rsidRPr="007745E7">
        <w:t>но получило возможность узнать о начавшем</w:t>
      </w:r>
      <w:r w:rsidR="00A46142">
        <w:t>ся производстве и явиться в суд;</w:t>
      </w:r>
    </w:p>
    <w:p w:rsidR="007745E7" w:rsidRPr="007745E7" w:rsidRDefault="007745E7" w:rsidP="007745E7">
      <w:pPr>
        <w:pStyle w:val="SingleTxt"/>
      </w:pPr>
      <w:r w:rsidRPr="007745E7">
        <w:tab/>
        <w:t>c)</w:t>
      </w:r>
      <w:r w:rsidRPr="007745E7">
        <w:tab/>
        <w:t>принять соответствующие законодательные меры для обеспечения наличия в процедуре обращения взыскания на заложенное имущество и в пр</w:t>
      </w:r>
      <w:r w:rsidRPr="007745E7">
        <w:t>о</w:t>
      </w:r>
      <w:r w:rsidRPr="007745E7">
        <w:t>цессуальных нормах надлежащих требований (см. пункты 12.1</w:t>
      </w:r>
      <w:r w:rsidR="00A46142">
        <w:t>–</w:t>
      </w:r>
      <w:r w:rsidRPr="007745E7">
        <w:t>12.4 и 13.3</w:t>
      </w:r>
      <w:r w:rsidR="00A46142">
        <w:t>–</w:t>
      </w:r>
      <w:r w:rsidRPr="007745E7">
        <w:t xml:space="preserve">13.4 выше) и процедур, обязательных к выполнению до проведения аукциона объекта </w:t>
      </w:r>
      <w:r w:rsidR="00A46142">
        <w:t xml:space="preserve">по продаже </w:t>
      </w:r>
      <w:r w:rsidRPr="007745E7">
        <w:t xml:space="preserve">недвижимости или выселения, в соответствии с Пактом и </w:t>
      </w:r>
      <w:r w:rsidR="00A46142">
        <w:t>с учетом</w:t>
      </w:r>
      <w:r w:rsidRPr="007745E7">
        <w:t xml:space="preserve"> замечани</w:t>
      </w:r>
      <w:r w:rsidR="00A46142">
        <w:t>я</w:t>
      </w:r>
      <w:r w:rsidRPr="007745E7">
        <w:t xml:space="preserve"> общего </w:t>
      </w:r>
      <w:r w:rsidR="00A46142">
        <w:t>порядка</w:t>
      </w:r>
      <w:r w:rsidRPr="007745E7">
        <w:t xml:space="preserve"> № 7 Комитета.</w:t>
      </w:r>
    </w:p>
    <w:p w:rsidR="007745E7" w:rsidRPr="007745E7" w:rsidRDefault="007745E7" w:rsidP="007745E7">
      <w:pPr>
        <w:pStyle w:val="SingleTxt"/>
      </w:pPr>
      <w:r w:rsidRPr="007745E7">
        <w:t>18.</w:t>
      </w:r>
      <w:r w:rsidRPr="007745E7">
        <w:tab/>
        <w:t>В соответствии с пунктом 2 статьи 9 Факультативного протокола и пун</w:t>
      </w:r>
      <w:r w:rsidRPr="007745E7">
        <w:t>к</w:t>
      </w:r>
      <w:r w:rsidRPr="007745E7">
        <w:t>том</w:t>
      </w:r>
      <w:r w:rsidR="00A46142">
        <w:t> </w:t>
      </w:r>
      <w:r w:rsidRPr="007745E7">
        <w:t xml:space="preserve">1 статьи 18 временных правил процедуры в соответствии с Факультативным протоколом государство-участник должно в течение шести месяцев представить Комитету письменный ответ, </w:t>
      </w:r>
      <w:r w:rsidR="00A46142">
        <w:t xml:space="preserve">содержащий </w:t>
      </w:r>
      <w:r w:rsidRPr="007745E7">
        <w:t>информацию о мерах, принятых с уч</w:t>
      </w:r>
      <w:r w:rsidRPr="007745E7">
        <w:t>е</w:t>
      </w:r>
      <w:r w:rsidRPr="007745E7">
        <w:t xml:space="preserve">том соображений и рекомендаций Комитета. Государству-участнику предлагается </w:t>
      </w:r>
      <w:r w:rsidR="00A46142" w:rsidRPr="007745E7">
        <w:t xml:space="preserve">также </w:t>
      </w:r>
      <w:r w:rsidRPr="007745E7">
        <w:t>опубликовать соображения Комитета и широко распространить их в д</w:t>
      </w:r>
      <w:r w:rsidRPr="007745E7">
        <w:t>о</w:t>
      </w:r>
      <w:r w:rsidRPr="007745E7">
        <w:t xml:space="preserve">ступной форме среди всех групп населения. </w:t>
      </w:r>
    </w:p>
    <w:p w:rsidR="00183811" w:rsidRPr="007745E7" w:rsidRDefault="007745E7" w:rsidP="007745E7">
      <w:pPr>
        <w:pStyle w:val="SingleTxt"/>
        <w:spacing w:after="0" w:line="240" w:lineRule="auto"/>
      </w:pPr>
      <w:r>
        <w:rPr>
          <w:noProof/>
          <w:w w:val="1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183811" w:rsidRPr="007745E7" w:rsidSect="002F7A90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tart" w:date="2016-01-13T11:35:00Z" w:initials="Start">
    <w:p w:rsidR="003679D6" w:rsidRPr="00C74D8A" w:rsidRDefault="003679D6">
      <w:pPr>
        <w:pStyle w:val="CommentText"/>
        <w:rPr>
          <w:lang w:val="en-US"/>
        </w:rPr>
      </w:pPr>
      <w:r>
        <w:fldChar w:fldCharType="begin"/>
      </w:r>
      <w:r w:rsidRPr="00C74D8A">
        <w:rPr>
          <w:rStyle w:val="CommentReference"/>
          <w:lang w:val="en-US"/>
        </w:rPr>
        <w:instrText xml:space="preserve"> </w:instrText>
      </w:r>
      <w:r w:rsidRPr="00C74D8A">
        <w:rPr>
          <w:lang w:val="en-US"/>
        </w:rPr>
        <w:instrText>PAGE \# "'Page: '#'</w:instrText>
      </w:r>
      <w:r w:rsidRPr="00C74D8A">
        <w:rPr>
          <w:lang w:val="en-US"/>
        </w:rPr>
        <w:br/>
        <w:instrText>'"</w:instrText>
      </w:r>
      <w:r w:rsidRPr="00C74D8A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C74D8A">
        <w:rPr>
          <w:lang w:val="en-US"/>
        </w:rPr>
        <w:t>&lt;&lt;ODS JOB NO&gt;&gt;N1523398R&lt;&lt;ODS JOB NO&gt;&gt;</w:t>
      </w:r>
    </w:p>
    <w:p w:rsidR="003679D6" w:rsidRPr="00592732" w:rsidRDefault="003679D6">
      <w:pPr>
        <w:pStyle w:val="CommentText"/>
        <w:rPr>
          <w:lang w:val="en-US"/>
        </w:rPr>
      </w:pPr>
      <w:r w:rsidRPr="00592732">
        <w:rPr>
          <w:lang w:val="en-US"/>
        </w:rPr>
        <w:t>&lt;&lt;ODS DOC SYMBOL1&gt;&gt;E/C.12/55/D/2/2014&lt;&lt;ODS DOC SYMBOL1&gt;&gt;</w:t>
      </w:r>
    </w:p>
    <w:p w:rsidR="003679D6" w:rsidRPr="00592732" w:rsidRDefault="003679D6">
      <w:pPr>
        <w:pStyle w:val="CommentText"/>
        <w:rPr>
          <w:lang w:val="en-US"/>
        </w:rPr>
      </w:pPr>
      <w:r w:rsidRPr="00592732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9D6" w:rsidRDefault="003679D6" w:rsidP="008A1A7A">
      <w:pPr>
        <w:spacing w:line="240" w:lineRule="auto"/>
      </w:pPr>
      <w:r>
        <w:separator/>
      </w:r>
    </w:p>
  </w:endnote>
  <w:endnote w:type="continuationSeparator" w:id="0">
    <w:p w:rsidR="003679D6" w:rsidRDefault="003679D6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3679D6" w:rsidTr="002F7A90">
      <w:trPr>
        <w:jc w:val="center"/>
      </w:trPr>
      <w:tc>
        <w:tcPr>
          <w:tcW w:w="5126" w:type="dxa"/>
          <w:shd w:val="clear" w:color="auto" w:fill="auto"/>
          <w:vAlign w:val="bottom"/>
        </w:tcPr>
        <w:p w:rsidR="003679D6" w:rsidRPr="002F7A90" w:rsidRDefault="003679D6" w:rsidP="002F7A90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0700B">
            <w:rPr>
              <w:noProof/>
            </w:rPr>
            <w:t>18</w:t>
          </w:r>
          <w:r>
            <w:fldChar w:fldCharType="end"/>
          </w:r>
          <w:r>
            <w:t>/</w:t>
          </w:r>
          <w:r w:rsidR="0020700B">
            <w:fldChar w:fldCharType="begin"/>
          </w:r>
          <w:r w:rsidR="0020700B">
            <w:instrText xml:space="preserve"> NUMPAGES  \* Arabic  \* MERGEFORMAT </w:instrText>
          </w:r>
          <w:r w:rsidR="0020700B">
            <w:fldChar w:fldCharType="separate"/>
          </w:r>
          <w:r w:rsidR="0020700B">
            <w:rPr>
              <w:noProof/>
            </w:rPr>
            <w:t>19</w:t>
          </w:r>
          <w:r w:rsidR="0020700B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3679D6" w:rsidRPr="002F7A90" w:rsidRDefault="003679D6" w:rsidP="002F7A90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20700B">
            <w:rPr>
              <w:b w:val="0"/>
              <w:color w:val="000000"/>
              <w:sz w:val="14"/>
            </w:rPr>
            <w:t>GE.15-17368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3679D6" w:rsidRPr="002F7A90" w:rsidRDefault="003679D6" w:rsidP="002F7A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3679D6" w:rsidTr="002F7A90">
      <w:trPr>
        <w:jc w:val="center"/>
      </w:trPr>
      <w:tc>
        <w:tcPr>
          <w:tcW w:w="5126" w:type="dxa"/>
          <w:shd w:val="clear" w:color="auto" w:fill="auto"/>
          <w:vAlign w:val="bottom"/>
        </w:tcPr>
        <w:p w:rsidR="003679D6" w:rsidRPr="002F7A90" w:rsidRDefault="003679D6" w:rsidP="002F7A90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20700B">
            <w:rPr>
              <w:b w:val="0"/>
              <w:color w:val="000000"/>
              <w:sz w:val="14"/>
            </w:rPr>
            <w:t>GE.15-17368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3679D6" w:rsidRPr="002F7A90" w:rsidRDefault="003679D6" w:rsidP="002F7A90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0700B">
            <w:rPr>
              <w:noProof/>
            </w:rPr>
            <w:t>19</w:t>
          </w:r>
          <w:r>
            <w:fldChar w:fldCharType="end"/>
          </w:r>
          <w:r>
            <w:t>/</w:t>
          </w:r>
          <w:r w:rsidR="0020700B">
            <w:fldChar w:fldCharType="begin"/>
          </w:r>
          <w:r w:rsidR="0020700B">
            <w:instrText xml:space="preserve"> NUMPAGES  \* Arabic  \* MERGEFORMAT </w:instrText>
          </w:r>
          <w:r w:rsidR="0020700B">
            <w:fldChar w:fldCharType="separate"/>
          </w:r>
          <w:r w:rsidR="0020700B">
            <w:rPr>
              <w:noProof/>
            </w:rPr>
            <w:t>19</w:t>
          </w:r>
          <w:r w:rsidR="0020700B">
            <w:rPr>
              <w:noProof/>
            </w:rPr>
            <w:fldChar w:fldCharType="end"/>
          </w:r>
        </w:p>
      </w:tc>
    </w:tr>
  </w:tbl>
  <w:p w:rsidR="003679D6" w:rsidRPr="002F7A90" w:rsidRDefault="003679D6" w:rsidP="002F7A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3679D6" w:rsidTr="002F7A90">
      <w:tc>
        <w:tcPr>
          <w:tcW w:w="3873" w:type="dxa"/>
        </w:tcPr>
        <w:p w:rsidR="003679D6" w:rsidRDefault="003679D6" w:rsidP="002F7A90">
          <w:pPr>
            <w:pStyle w:val="ReleaseDate"/>
            <w:rPr>
              <w:color w:val="010000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8240" behindDoc="0" locked="0" layoutInCell="1" allowOverlap="1" wp14:anchorId="10EC36EA" wp14:editId="510368DA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/C.12/55/D/2/2014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/C.12/55/D/2/2014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GE.15-17368 (R)</w:t>
          </w:r>
          <w:r>
            <w:rPr>
              <w:color w:val="010000"/>
            </w:rPr>
            <w:t xml:space="preserve">    1</w:t>
          </w:r>
          <w:r>
            <w:rPr>
              <w:color w:val="010000"/>
              <w:lang w:val="en-US"/>
            </w:rPr>
            <w:t>2</w:t>
          </w:r>
          <w:r>
            <w:rPr>
              <w:color w:val="010000"/>
            </w:rPr>
            <w:t>0116    130116</w:t>
          </w:r>
        </w:p>
        <w:p w:rsidR="003679D6" w:rsidRPr="002F7A90" w:rsidRDefault="003679D6" w:rsidP="002F7A90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*1517368*</w:t>
          </w:r>
        </w:p>
      </w:tc>
      <w:tc>
        <w:tcPr>
          <w:tcW w:w="5127" w:type="dxa"/>
        </w:tcPr>
        <w:p w:rsidR="003679D6" w:rsidRDefault="003679D6" w:rsidP="002F7A90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eastAsia="ru-RU"/>
            </w:rPr>
            <w:drawing>
              <wp:inline distT="0" distB="0" distL="0" distR="0" wp14:anchorId="0ADA55BB" wp14:editId="751794F0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679D6" w:rsidRPr="002F7A90" w:rsidRDefault="003679D6" w:rsidP="002F7A90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9D6" w:rsidRPr="00D04A5B" w:rsidRDefault="003679D6" w:rsidP="00D04A5B">
      <w:pPr>
        <w:pStyle w:val="Footer"/>
        <w:spacing w:after="80"/>
        <w:ind w:left="792"/>
        <w:rPr>
          <w:sz w:val="16"/>
        </w:rPr>
      </w:pPr>
      <w:r w:rsidRPr="00D04A5B">
        <w:rPr>
          <w:sz w:val="16"/>
        </w:rPr>
        <w:t>__________________</w:t>
      </w:r>
    </w:p>
  </w:footnote>
  <w:footnote w:type="continuationSeparator" w:id="0">
    <w:p w:rsidR="003679D6" w:rsidRPr="00D04A5B" w:rsidRDefault="003679D6" w:rsidP="00D04A5B">
      <w:pPr>
        <w:pStyle w:val="Footer"/>
        <w:spacing w:after="80"/>
        <w:ind w:left="792"/>
        <w:rPr>
          <w:sz w:val="16"/>
        </w:rPr>
      </w:pPr>
      <w:r w:rsidRPr="00D04A5B">
        <w:rPr>
          <w:sz w:val="16"/>
        </w:rPr>
        <w:t>__________________</w:t>
      </w:r>
    </w:p>
  </w:footnote>
  <w:footnote w:id="1">
    <w:p w:rsidR="003679D6" w:rsidRDefault="003679D6" w:rsidP="00D04A5B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 w:val="18"/>
          <w:lang w:eastAsia="zh-CN"/>
        </w:rPr>
      </w:pPr>
      <w:r>
        <w:tab/>
      </w:r>
      <w:r>
        <w:rPr>
          <w:rStyle w:val="FootnoteReference"/>
        </w:rPr>
        <w:footnoteRef/>
      </w:r>
      <w:r>
        <w:tab/>
        <w:t xml:space="preserve">Факультативный протокол вступил в силу для государства-участника 5 мая 2013 года. </w:t>
      </w:r>
    </w:p>
  </w:footnote>
  <w:footnote w:id="2">
    <w:p w:rsidR="003679D6" w:rsidRDefault="003679D6" w:rsidP="00D04A5B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В качестве доказательства автор предоставила сво</w:t>
      </w:r>
      <w:r w:rsidR="00120637">
        <w:t>и</w:t>
      </w:r>
      <w:r>
        <w:t xml:space="preserve"> деклараци</w:t>
      </w:r>
      <w:r w:rsidR="00120637">
        <w:t>и</w:t>
      </w:r>
      <w:r>
        <w:t xml:space="preserve"> о доходах физических лиц </w:t>
      </w:r>
      <w:r w:rsidR="00120637">
        <w:t>з</w:t>
      </w:r>
      <w:r>
        <w:t>а</w:t>
      </w:r>
      <w:r w:rsidR="00120637">
        <w:t xml:space="preserve"> 2011 и 2012 финансовые </w:t>
      </w:r>
      <w:r>
        <w:t>год</w:t>
      </w:r>
      <w:r w:rsidR="00120637">
        <w:t>ы</w:t>
      </w:r>
      <w:r>
        <w:t>, где общая сумма поддающихся расч</w:t>
      </w:r>
      <w:r w:rsidR="007C3D09">
        <w:t>е</w:t>
      </w:r>
      <w:r>
        <w:t xml:space="preserve">ту доходов составляет </w:t>
      </w:r>
      <w:r>
        <w:br/>
      </w:r>
      <w:r w:rsidR="007C3D09">
        <w:t>соответственно</w:t>
      </w:r>
      <w:r w:rsidR="007C3D09">
        <w:t xml:space="preserve"> </w:t>
      </w:r>
      <w:r>
        <w:t xml:space="preserve">4 406,00 и 22 741,86 евро. </w:t>
      </w:r>
    </w:p>
  </w:footnote>
  <w:footnote w:id="3">
    <w:p w:rsidR="003679D6" w:rsidRDefault="003679D6" w:rsidP="00D04A5B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 xml:space="preserve">Представленные автором копии документов Главного управления судебных извещений и правоприменительных процедур города Мадрид от 6, 27 и 28 сентября 2012 года подтверждают ее утверждения. </w:t>
      </w:r>
    </w:p>
  </w:footnote>
  <w:footnote w:id="4">
    <w:p w:rsidR="003679D6" w:rsidRDefault="003679D6" w:rsidP="00D04A5B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 xml:space="preserve">Представленные автором копии документов Главного управления судебных извещений и правоприменительных процедур города Мадрид от 1 и 21 марта 2013 года подтверждают ее утверждения. </w:t>
      </w:r>
    </w:p>
  </w:footnote>
  <w:footnote w:id="5">
    <w:p w:rsidR="003679D6" w:rsidRDefault="003679D6" w:rsidP="00D04A5B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 xml:space="preserve">Автор ссылается на решение первой палаты Европейского суда по делу C-415/11, </w:t>
      </w:r>
      <w:r>
        <w:rPr>
          <w:i/>
          <w:iCs/>
        </w:rPr>
        <w:t>Мохамед Азиз против Кайша д'Эстальвис де Каталунья, Таррагона и Манреса (Каталуньякайша)</w:t>
      </w:r>
      <w:r>
        <w:t xml:space="preserve">, от 14 марта 2013 года. </w:t>
      </w:r>
    </w:p>
  </w:footnote>
  <w:footnote w:id="6">
    <w:p w:rsidR="003679D6" w:rsidRDefault="003679D6" w:rsidP="00D04A5B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 xml:space="preserve">Государство-участник ссылается на решение Конституционного суда № 112/2011 от 19 июля 2011 года. </w:t>
      </w:r>
    </w:p>
  </w:footnote>
  <w:footnote w:id="7">
    <w:p w:rsidR="003679D6" w:rsidRDefault="003679D6" w:rsidP="00D04A5B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Автор предоставляет свидетельство о регистрации по месту жительства от 14 ноября 2014</w:t>
      </w:r>
      <w:r w:rsidR="00206AED">
        <w:t> </w:t>
      </w:r>
      <w:r>
        <w:t xml:space="preserve">года, выданное муниципальным советом города Мадрид, и копии квитанции об оплате городского налога на недвижимое имущество от 2014 года и квитанции об оплате городского налога за сбор мусора от 2014 года, выданных налоговой службой города Мадрид, </w:t>
      </w:r>
      <w:r w:rsidR="002E46D1">
        <w:br/>
      </w:r>
      <w:r>
        <w:t xml:space="preserve">где в качестве адреса автора значится адрес заложенного жилого помещения. </w:t>
      </w:r>
    </w:p>
  </w:footnote>
  <w:footnote w:id="8">
    <w:p w:rsidR="003679D6" w:rsidRDefault="003679D6" w:rsidP="00D04A5B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 xml:space="preserve">Автор ссылается на решение Конституционного суда № 59/2014 от 5 мая 2014 года, четвертое правовое основание. </w:t>
      </w:r>
    </w:p>
  </w:footnote>
  <w:footnote w:id="9">
    <w:p w:rsidR="003679D6" w:rsidRDefault="003679D6" w:rsidP="00D04A5B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 xml:space="preserve">Автор ссылается на решение Конституционного суда № 216/2013 от 19 декабря 2013 года. </w:t>
      </w:r>
    </w:p>
  </w:footnote>
  <w:footnote w:id="10">
    <w:p w:rsidR="003679D6" w:rsidRDefault="003679D6" w:rsidP="00D04A5B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 xml:space="preserve">В подготовке материалов третьих сторон участвовали следующие члены Сети ЭСКП: Центр по экономическим и социальным правам, Глобальная инициатива в области экономических, социальных и культурных прав и Южноафриканский институт по социально-экономическим правам. </w:t>
      </w:r>
    </w:p>
  </w:footnote>
  <w:footnote w:id="11">
    <w:p w:rsidR="003679D6" w:rsidRDefault="003679D6" w:rsidP="00D04A5B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 xml:space="preserve">Как отмечает соответствующая сторона, этот показатель представляет собой оценочную величину на основе частичных данных, опубликованных испанской судебной системой, и ссылается на следующие источники: Генеральный совет судебной власти, «Оценка увеличения нагрузки на судебные органы, связанной с экономическим кризисом», Статистический информационный бюллетень № 31, сентябрь 2012 года; Генеральный совет судебной власти. «Взыскания по ипотечным кредитам, представленные Верховному суду: влияние кризиса на органы судебной власти», Мадрид (2013 год), цитируется в следующих источниках: Наблюдатели ЭСКП, Платформа для пострадавших от ипотечных кредитов, «Чрезвычайное положение в области жилья в Испании: кризис взысканий по ипотечным кредитам и выселений с точки зрения прав человека» (2013 год), стр. 12, сноска 17 (испанского текста). </w:t>
      </w:r>
    </w:p>
  </w:footnote>
  <w:footnote w:id="12">
    <w:p w:rsidR="003679D6" w:rsidRDefault="003679D6" w:rsidP="00D04A5B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 xml:space="preserve">Соответствующая сторона ссылается на решение Европейского суда по делу </w:t>
      </w:r>
      <w:r>
        <w:rPr>
          <w:i/>
          <w:iCs/>
        </w:rPr>
        <w:t>Мохамед Азиз против Каталуньякайша</w:t>
      </w:r>
      <w:r>
        <w:t xml:space="preserve"> (сноска 5 выше), пункты 60 и 61. </w:t>
      </w:r>
    </w:p>
  </w:footnote>
  <w:footnote w:id="13">
    <w:p w:rsidR="003679D6" w:rsidRDefault="003679D6" w:rsidP="00D04A5B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 xml:space="preserve">Соответствующее лицо ссылается на следующие решения Европейского суда по правам человека: </w:t>
      </w:r>
      <w:r>
        <w:rPr>
          <w:i/>
          <w:iCs/>
        </w:rPr>
        <w:t>Коннорс против Соединенного Королевства</w:t>
      </w:r>
      <w:r>
        <w:t xml:space="preserve">, дело № 66746/01, пункт 81, 2004-I; </w:t>
      </w:r>
      <w:r>
        <w:rPr>
          <w:i/>
          <w:iCs/>
        </w:rPr>
        <w:t>Винтерштейн и др. против Франции</w:t>
      </w:r>
      <w:r>
        <w:t xml:space="preserve">, дело № 27013/07, пункт 76, 2013; </w:t>
      </w:r>
      <w:r>
        <w:rPr>
          <w:i/>
          <w:iCs/>
        </w:rPr>
        <w:t>Маккэнн против Соединенного Королевства</w:t>
      </w:r>
      <w:r>
        <w:t xml:space="preserve">, дело № 19009/04, пункт 53, 2008; </w:t>
      </w:r>
      <w:r>
        <w:rPr>
          <w:i/>
          <w:iCs/>
        </w:rPr>
        <w:t>Cтанкова против Словакии</w:t>
      </w:r>
      <w:r>
        <w:t xml:space="preserve">, дело № 7205/02, пункт 60, 2007-IV; и </w:t>
      </w:r>
      <w:r>
        <w:rPr>
          <w:i/>
          <w:iCs/>
        </w:rPr>
        <w:t>Йорданова и др. против Болгарии</w:t>
      </w:r>
      <w:r>
        <w:t xml:space="preserve">, дело № 25446/06, пункт 133, 2012; на решение Конституционного суда Южной Африки по делу </w:t>
      </w:r>
      <w:r>
        <w:rPr>
          <w:i/>
          <w:iCs/>
        </w:rPr>
        <w:t>Гундвана против Стэко Девелопмент CC и др</w:t>
      </w:r>
      <w:r>
        <w:t xml:space="preserve">., 2011 (3) SA 608 (CC); и на решение Высокого суда Претории (Южная Африка) по делу </w:t>
      </w:r>
      <w:r>
        <w:rPr>
          <w:i/>
          <w:iCs/>
        </w:rPr>
        <w:t>Ферст Рэнд Бэнк против Фольшера</w:t>
      </w:r>
      <w:r>
        <w:t xml:space="preserve">, 2011 (4) SA 314 (GNP), пункт 40. Она ссылается также на выводы, обнародованные в 2011 году Европейским комитетом по социальным правам по Андорре (документ 2011/def/AND/31/2/EN), Португалии (2011/def/PRT/31/2/EN), Румынии (2011/def/ROU/16/EN) и Украине (2011/def/UKR/31/2/FR). </w:t>
      </w:r>
    </w:p>
  </w:footnote>
  <w:footnote w:id="14">
    <w:p w:rsidR="003679D6" w:rsidRDefault="003679D6" w:rsidP="00D04A5B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 xml:space="preserve">Соответствующая сторона указывает, например, на то, что в соответствии с пунктом 3 статьи 26 Конституции Южной Африки национальные суды должны осуществлять судебный контроль над взысканиями со стороны банков и специальными процедурами взыскания по ипотечным кредитам на жилые помещения и ссылается на пункт 41 решения Конституционного суда Южной Африки по делу </w:t>
      </w:r>
      <w:r>
        <w:rPr>
          <w:i/>
          <w:iCs/>
        </w:rPr>
        <w:t>Гундваны</w:t>
      </w:r>
      <w:r>
        <w:t xml:space="preserve"> (сноска 13 выше). Она также ссылается на пункт 41 решения по делу </w:t>
      </w:r>
      <w:r>
        <w:rPr>
          <w:i/>
          <w:iCs/>
        </w:rPr>
        <w:t>Фольшера</w:t>
      </w:r>
      <w:r>
        <w:t xml:space="preserve"> (сноска 13 выше), где Высокий суд Претории привел неисчерпывающий перечень из 19 факторов, которые могут рассматриваться судом при принятии решения о необходимости обращения взыскания по ипотечному кредиту, с тем чтобы обеспечить гарантии владения недвижимостью, в том числе вопрос о том, был ли должник каким-либо образом уведомлен до того, как на него было заведено соответствующее дело. </w:t>
      </w:r>
    </w:p>
  </w:footnote>
  <w:footnote w:id="15">
    <w:p w:rsidR="003679D6" w:rsidRDefault="003679D6" w:rsidP="00D04A5B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 xml:space="preserve">Соответствующая сторона ссылается на правовую практику Европейского суда по правам человека по делу </w:t>
      </w:r>
      <w:r>
        <w:rPr>
          <w:i/>
          <w:iCs/>
        </w:rPr>
        <w:t>Орлич против Хорватии</w:t>
      </w:r>
      <w:r>
        <w:t xml:space="preserve"> (дело № 48822/07, пункт 65, 2011 год) и по делу </w:t>
      </w:r>
      <w:r>
        <w:rPr>
          <w:i/>
          <w:iCs/>
        </w:rPr>
        <w:t>Винтерштейн и др. против Франции</w:t>
      </w:r>
      <w:r>
        <w:t xml:space="preserve"> (сноска 13 выше), пункт 82. </w:t>
      </w:r>
    </w:p>
  </w:footnote>
  <w:footnote w:id="16">
    <w:p w:rsidR="003679D6" w:rsidRDefault="003679D6" w:rsidP="00D04A5B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 xml:space="preserve">Соответствующая сторона ссылается на решение Конституционного суда Южной Африки по делу </w:t>
      </w:r>
      <w:r>
        <w:rPr>
          <w:i/>
          <w:iCs/>
        </w:rPr>
        <w:t>Кубян против Стандарт Бэнк оф Саут Африка лтд</w:t>
      </w:r>
      <w:r>
        <w:t xml:space="preserve">, 2014 (3) SA 56 (CC); и </w:t>
      </w:r>
      <w:r>
        <w:rPr>
          <w:i/>
          <w:iCs/>
        </w:rPr>
        <w:t>Себол и др. против Стандарт Бэнк оф Саут Африка лтд и др</w:t>
      </w:r>
      <w:r>
        <w:t xml:space="preserve">., 2012 (5) SA 142 (CC), пункты 75 и 77. </w:t>
      </w:r>
    </w:p>
  </w:footnote>
  <w:footnote w:id="17">
    <w:p w:rsidR="003679D6" w:rsidRDefault="003679D6" w:rsidP="00D04A5B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 xml:space="preserve">Соответствующая сторона ссылается на дело </w:t>
      </w:r>
      <w:r>
        <w:rPr>
          <w:i/>
          <w:iCs/>
        </w:rPr>
        <w:t>АБСА Бэнк лтд против Лекуку</w:t>
      </w:r>
      <w:r>
        <w:t xml:space="preserve"> (32700/2013) [2014 год] ZAGPJHC 244 (14 октября 2014 года) (Лекуку), пункт 39, и </w:t>
      </w:r>
      <w:r>
        <w:rPr>
          <w:i/>
          <w:iCs/>
        </w:rPr>
        <w:t>Главный судья Высокого суда Северного Гаутенга, Претория, против Моталы НО и др</w:t>
      </w:r>
      <w:r>
        <w:t xml:space="preserve">., 2012 (3) SA 325 (SCA), пункты 11 и 12. </w:t>
      </w:r>
    </w:p>
  </w:footnote>
  <w:footnote w:id="18">
    <w:p w:rsidR="003679D6" w:rsidRDefault="003679D6" w:rsidP="00D04A5B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Выделено государством-участником. Комитет отмечает, что государство-участник не</w:t>
      </w:r>
      <w:r w:rsidR="00206AED">
        <w:t> </w:t>
      </w:r>
      <w:r>
        <w:t>представило каких-либо документов, подтверждающих свои заявления, и открыто не</w:t>
      </w:r>
      <w:r w:rsidR="00206AED">
        <w:t> </w:t>
      </w:r>
      <w:r>
        <w:t xml:space="preserve">оспаривало подлинность копий уведомлений Главного управления судебных извещений и правоприменительных процедур города Мадрид (см. сноски 3 и 4 выше). </w:t>
      </w:r>
    </w:p>
  </w:footnote>
  <w:footnote w:id="19">
    <w:p w:rsidR="003679D6" w:rsidRDefault="003679D6" w:rsidP="00D04A5B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 xml:space="preserve">См. Комитет по правам инвалидов, сообщение № 5/2011, </w:t>
      </w:r>
      <w:r>
        <w:rPr>
          <w:i/>
          <w:iCs/>
        </w:rPr>
        <w:t>Юнгелин против Швеции</w:t>
      </w:r>
      <w:r>
        <w:t>, соображения, принятые 2 октября 2014 года, пункт 7.6.</w:t>
      </w:r>
    </w:p>
  </w:footnote>
  <w:footnote w:id="20">
    <w:p w:rsidR="003679D6" w:rsidRDefault="003679D6" w:rsidP="00D04A5B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См. пункт 1 замечания общего порядка № 4 (1992 год) Комитета в отношении права на</w:t>
      </w:r>
      <w:r w:rsidR="00851445">
        <w:t> </w:t>
      </w:r>
      <w:r>
        <w:t xml:space="preserve">достаточное жилище (пункт 1 статьи 11 Пакта). </w:t>
      </w:r>
    </w:p>
  </w:footnote>
  <w:footnote w:id="21">
    <w:p w:rsidR="003679D6" w:rsidRDefault="003679D6" w:rsidP="00D04A5B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 xml:space="preserve">Там же, пункты 7 и 9. </w:t>
      </w:r>
    </w:p>
  </w:footnote>
  <w:footnote w:id="22">
    <w:p w:rsidR="003679D6" w:rsidRDefault="003679D6" w:rsidP="00D04A5B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 xml:space="preserve">Там же, пункт. 7. </w:t>
      </w:r>
    </w:p>
  </w:footnote>
  <w:footnote w:id="23">
    <w:p w:rsidR="003679D6" w:rsidRDefault="003679D6" w:rsidP="00D04A5B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 xml:space="preserve">Там же, пункт 12. </w:t>
      </w:r>
    </w:p>
  </w:footnote>
  <w:footnote w:id="24">
    <w:p w:rsidR="003679D6" w:rsidRDefault="003679D6" w:rsidP="00D04A5B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 xml:space="preserve">Там же, пункт 17. </w:t>
      </w:r>
    </w:p>
  </w:footnote>
  <w:footnote w:id="25">
    <w:p w:rsidR="003679D6" w:rsidRDefault="003679D6" w:rsidP="00D04A5B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 xml:space="preserve">Там же, пункт 8 а). </w:t>
      </w:r>
    </w:p>
  </w:footnote>
  <w:footnote w:id="26">
    <w:p w:rsidR="003679D6" w:rsidRDefault="003679D6" w:rsidP="00D04A5B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См. там же, пункт 18</w:t>
      </w:r>
      <w:r w:rsidR="00851445">
        <w:t>,</w:t>
      </w:r>
      <w:r>
        <w:t xml:space="preserve"> и замечание общего порядка № 7 (1997 год) Комитета о праве на</w:t>
      </w:r>
      <w:r w:rsidR="00851445">
        <w:t> </w:t>
      </w:r>
      <w:r>
        <w:t xml:space="preserve">достаточное жилище (пункт 1 статьи 11 Пакта): принудительные выселения, пункт 1. </w:t>
      </w:r>
    </w:p>
  </w:footnote>
  <w:footnote w:id="27">
    <w:p w:rsidR="003679D6" w:rsidRDefault="003679D6" w:rsidP="00D04A5B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 xml:space="preserve">См. замечание общего порядка № 7 Комитета, пункт 15. </w:t>
      </w:r>
    </w:p>
  </w:footnote>
  <w:footnote w:id="28">
    <w:p w:rsidR="003679D6" w:rsidRDefault="003679D6" w:rsidP="00D04A5B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См. пункт 1 замечания общего порядка № 3 (1991 год) Комитета о природе обязательств государств-участников (пункт 1 статьи 2 Пакта).</w:t>
      </w:r>
    </w:p>
  </w:footnote>
  <w:footnote w:id="29">
    <w:p w:rsidR="003679D6" w:rsidRDefault="003679D6" w:rsidP="00D04A5B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См. пункт. 2 замечания общего порядка № 9 (1998 год) Комитета о применении Пакта во</w:t>
      </w:r>
      <w:r w:rsidR="00851445">
        <w:t> </w:t>
      </w:r>
      <w:r>
        <w:t>внутреннем праве.</w:t>
      </w:r>
    </w:p>
  </w:footnote>
  <w:footnote w:id="30">
    <w:p w:rsidR="003679D6" w:rsidRDefault="003679D6" w:rsidP="00D04A5B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 xml:space="preserve">См. пункт 5 замечания общего порядка № 3 Комитета; пункты 9, 11 и 15 замечания общего порядка №7; и пункт 2 замечания общего порядка № 9. </w:t>
      </w:r>
    </w:p>
  </w:footnote>
  <w:footnote w:id="31">
    <w:p w:rsidR="003679D6" w:rsidRDefault="003679D6" w:rsidP="00D04A5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 xml:space="preserve">См. пункт 15 замечания общего порядка № 7 Комитета. </w:t>
      </w:r>
    </w:p>
  </w:footnote>
  <w:footnote w:id="32">
    <w:p w:rsidR="003679D6" w:rsidRDefault="003679D6" w:rsidP="00D04A5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См., например, заключительные замечания Комитета по пятому периодическому докладу Испании (E/C.12/ESP/CO/5), пункты 21 и 22.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3679D6" w:rsidTr="002F7A90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3679D6" w:rsidRPr="002F7A90" w:rsidRDefault="003679D6" w:rsidP="002F7A90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20700B">
            <w:rPr>
              <w:b/>
            </w:rPr>
            <w:t>E/C.12/55/D/2/2014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3679D6" w:rsidRDefault="003679D6" w:rsidP="002F7A90">
          <w:pPr>
            <w:pStyle w:val="Header"/>
          </w:pPr>
        </w:p>
      </w:tc>
    </w:tr>
  </w:tbl>
  <w:p w:rsidR="003679D6" w:rsidRPr="002F7A90" w:rsidRDefault="003679D6" w:rsidP="002F7A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3679D6" w:rsidTr="002F7A90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3679D6" w:rsidRDefault="003679D6" w:rsidP="002F7A90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3679D6" w:rsidRPr="002F7A90" w:rsidRDefault="003679D6" w:rsidP="002F7A90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20700B">
            <w:rPr>
              <w:b/>
            </w:rPr>
            <w:t>E/C.12/55/D/2/2014</w:t>
          </w:r>
          <w:r>
            <w:rPr>
              <w:b/>
            </w:rPr>
            <w:fldChar w:fldCharType="end"/>
          </w:r>
        </w:p>
      </w:tc>
    </w:tr>
  </w:tbl>
  <w:p w:rsidR="003679D6" w:rsidRPr="002F7A90" w:rsidRDefault="003679D6" w:rsidP="002F7A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3679D6" w:rsidTr="002F7A90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3679D6" w:rsidRPr="002F7A90" w:rsidRDefault="003679D6" w:rsidP="002F7A9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3679D6" w:rsidRDefault="003679D6" w:rsidP="002F7A90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3679D6" w:rsidRPr="002F7A90" w:rsidRDefault="003679D6" w:rsidP="002F7A90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</w:t>
          </w:r>
          <w:r>
            <w:rPr>
              <w:sz w:val="20"/>
            </w:rPr>
            <w:t>/C.12/55/D/2/2014</w:t>
          </w:r>
        </w:p>
      </w:tc>
    </w:tr>
    <w:tr w:rsidR="003679D6" w:rsidRPr="001F72B8" w:rsidTr="002F7A90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679D6" w:rsidRPr="002F7A90" w:rsidRDefault="003679D6" w:rsidP="002F7A90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eastAsia="ru-RU"/>
            </w:rPr>
            <w:drawing>
              <wp:inline distT="0" distB="0" distL="0" distR="0" wp14:anchorId="602E4919" wp14:editId="6AB73153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679D6" w:rsidRPr="002F7A90" w:rsidRDefault="003679D6" w:rsidP="002F7A90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Экономический</w:t>
          </w:r>
          <w:r>
            <w:rPr>
              <w:sz w:val="34"/>
            </w:rP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679D6" w:rsidRPr="002F7A90" w:rsidRDefault="003679D6" w:rsidP="002F7A90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679D6" w:rsidRPr="00C74D8A" w:rsidRDefault="003679D6" w:rsidP="002F7A90">
          <w:pPr>
            <w:pStyle w:val="Distribution"/>
            <w:rPr>
              <w:color w:val="000000"/>
              <w:lang w:val="en-US"/>
            </w:rPr>
          </w:pPr>
          <w:r w:rsidRPr="00C74D8A">
            <w:rPr>
              <w:color w:val="000000"/>
              <w:lang w:val="en-US"/>
            </w:rPr>
            <w:t>Distr.: General</w:t>
          </w:r>
        </w:p>
        <w:p w:rsidR="003679D6" w:rsidRPr="00C74D8A" w:rsidRDefault="003679D6" w:rsidP="00C74D8A">
          <w:pPr>
            <w:pStyle w:val="Publication"/>
            <w:rPr>
              <w:color w:val="000000"/>
              <w:lang w:val="en-US"/>
            </w:rPr>
          </w:pPr>
          <w:r w:rsidRPr="00C74D8A">
            <w:rPr>
              <w:color w:val="000000"/>
              <w:lang w:val="en-US"/>
            </w:rPr>
            <w:t xml:space="preserve">13 </w:t>
          </w:r>
          <w:r>
            <w:rPr>
              <w:color w:val="000000"/>
              <w:lang w:val="en-US"/>
            </w:rPr>
            <w:t>October</w:t>
          </w:r>
          <w:r w:rsidRPr="00C74D8A">
            <w:rPr>
              <w:color w:val="000000"/>
              <w:lang w:val="en-US"/>
            </w:rPr>
            <w:t xml:space="preserve"> 2015</w:t>
          </w:r>
        </w:p>
        <w:p w:rsidR="003679D6" w:rsidRPr="00C74D8A" w:rsidRDefault="003679D6" w:rsidP="002F7A90">
          <w:pPr>
            <w:rPr>
              <w:color w:val="000000"/>
              <w:lang w:val="en-US"/>
            </w:rPr>
          </w:pPr>
          <w:r w:rsidRPr="00C74D8A">
            <w:rPr>
              <w:color w:val="000000"/>
              <w:lang w:val="en-US"/>
            </w:rPr>
            <w:t>Russian</w:t>
          </w:r>
        </w:p>
        <w:p w:rsidR="003679D6" w:rsidRPr="00C74D8A" w:rsidRDefault="003679D6" w:rsidP="002F7A90">
          <w:pPr>
            <w:pStyle w:val="Original"/>
            <w:rPr>
              <w:color w:val="000000"/>
              <w:lang w:val="en-US"/>
            </w:rPr>
          </w:pPr>
          <w:r w:rsidRPr="00C74D8A">
            <w:rPr>
              <w:color w:val="000000"/>
              <w:lang w:val="en-US"/>
            </w:rPr>
            <w:t>Original: Spanish</w:t>
          </w:r>
        </w:p>
        <w:p w:rsidR="003679D6" w:rsidRPr="00C74D8A" w:rsidRDefault="003679D6" w:rsidP="002F7A90">
          <w:pPr>
            <w:rPr>
              <w:lang w:val="en-US"/>
            </w:rPr>
          </w:pPr>
        </w:p>
      </w:tc>
    </w:tr>
  </w:tbl>
  <w:p w:rsidR="003679D6" w:rsidRPr="00C74D8A" w:rsidRDefault="003679D6" w:rsidP="002F7A90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7368*"/>
    <w:docVar w:name="CreationDt" w:val="1/13/2016 11:35 AM"/>
    <w:docVar w:name="DocCategory" w:val="Doc"/>
    <w:docVar w:name="DocType" w:val="Final"/>
    <w:docVar w:name="DutyStation" w:val="Geneva"/>
    <w:docVar w:name="FooterJN" w:val="GE.15-17368"/>
    <w:docVar w:name="jobn" w:val="GE.15-17368 (R)"/>
    <w:docVar w:name="jobnDT" w:val="GE.15-17368 (R)   130116"/>
    <w:docVar w:name="jobnDTDT" w:val="GE.15-17368 (R)   130116   130116"/>
    <w:docVar w:name="JobNo" w:val="GE.1517368R"/>
    <w:docVar w:name="JobNo2" w:val="1523398R"/>
    <w:docVar w:name="LocalDrive" w:val="0"/>
    <w:docVar w:name="OandT" w:val=" "/>
    <w:docVar w:name="PaperSize" w:val="A4"/>
    <w:docVar w:name="sss1" w:val="E/C.12/55/D/2/2014"/>
    <w:docVar w:name="sss2" w:val="-"/>
    <w:docVar w:name="Symbol1" w:val="E/C.12/55/D/2/2014"/>
    <w:docVar w:name="Symbol2" w:val="-"/>
  </w:docVars>
  <w:rsids>
    <w:rsidRoot w:val="00623DA0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80723"/>
    <w:rsid w:val="0008159E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0637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3811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1F72B8"/>
    <w:rsid w:val="00205CBD"/>
    <w:rsid w:val="00206603"/>
    <w:rsid w:val="00206AED"/>
    <w:rsid w:val="0020700B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5B9C"/>
    <w:rsid w:val="002D666D"/>
    <w:rsid w:val="002E1F79"/>
    <w:rsid w:val="002E46D1"/>
    <w:rsid w:val="002F3CF9"/>
    <w:rsid w:val="002F5C45"/>
    <w:rsid w:val="002F6149"/>
    <w:rsid w:val="002F7A90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679D6"/>
    <w:rsid w:val="0038044D"/>
    <w:rsid w:val="00384AEE"/>
    <w:rsid w:val="0038527A"/>
    <w:rsid w:val="00386A98"/>
    <w:rsid w:val="00390B45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C3834"/>
    <w:rsid w:val="003D0825"/>
    <w:rsid w:val="003D2003"/>
    <w:rsid w:val="003D5DA2"/>
    <w:rsid w:val="003E5193"/>
    <w:rsid w:val="003F68FD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14A0"/>
    <w:rsid w:val="004645DD"/>
    <w:rsid w:val="0046710A"/>
    <w:rsid w:val="0047759D"/>
    <w:rsid w:val="00480CB2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2732"/>
    <w:rsid w:val="005933CB"/>
    <w:rsid w:val="00593E1E"/>
    <w:rsid w:val="00593E2F"/>
    <w:rsid w:val="00595A74"/>
    <w:rsid w:val="005967C6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3DA0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0479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176B3"/>
    <w:rsid w:val="00723115"/>
    <w:rsid w:val="00723935"/>
    <w:rsid w:val="00723A18"/>
    <w:rsid w:val="00724550"/>
    <w:rsid w:val="00726A54"/>
    <w:rsid w:val="00730859"/>
    <w:rsid w:val="00731830"/>
    <w:rsid w:val="00736A19"/>
    <w:rsid w:val="00743C8D"/>
    <w:rsid w:val="00745258"/>
    <w:rsid w:val="00754C44"/>
    <w:rsid w:val="00763C4A"/>
    <w:rsid w:val="00767AED"/>
    <w:rsid w:val="0077374B"/>
    <w:rsid w:val="007745E7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C3D09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1C17"/>
    <w:rsid w:val="00833A04"/>
    <w:rsid w:val="00833B8D"/>
    <w:rsid w:val="00842DFF"/>
    <w:rsid w:val="0084324F"/>
    <w:rsid w:val="00843750"/>
    <w:rsid w:val="00844407"/>
    <w:rsid w:val="00851445"/>
    <w:rsid w:val="00853B24"/>
    <w:rsid w:val="00853E2A"/>
    <w:rsid w:val="008541E9"/>
    <w:rsid w:val="00856EEB"/>
    <w:rsid w:val="00873020"/>
    <w:rsid w:val="008739EB"/>
    <w:rsid w:val="008776BB"/>
    <w:rsid w:val="00880540"/>
    <w:rsid w:val="00882D1C"/>
    <w:rsid w:val="00883631"/>
    <w:rsid w:val="0088396E"/>
    <w:rsid w:val="00884EB1"/>
    <w:rsid w:val="008862E4"/>
    <w:rsid w:val="00895FEA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47EA8"/>
    <w:rsid w:val="00952B5F"/>
    <w:rsid w:val="00953546"/>
    <w:rsid w:val="009541F6"/>
    <w:rsid w:val="0095649D"/>
    <w:rsid w:val="009565AD"/>
    <w:rsid w:val="00960332"/>
    <w:rsid w:val="00963BDB"/>
    <w:rsid w:val="0097006F"/>
    <w:rsid w:val="00970DDD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66DB"/>
    <w:rsid w:val="009B7193"/>
    <w:rsid w:val="009C02FB"/>
    <w:rsid w:val="009C0F43"/>
    <w:rsid w:val="009C20B9"/>
    <w:rsid w:val="009C382E"/>
    <w:rsid w:val="009C490E"/>
    <w:rsid w:val="009C495F"/>
    <w:rsid w:val="009C6932"/>
    <w:rsid w:val="009C6A25"/>
    <w:rsid w:val="009D28B9"/>
    <w:rsid w:val="009D6E3D"/>
    <w:rsid w:val="009E5E58"/>
    <w:rsid w:val="009F0808"/>
    <w:rsid w:val="009F5D36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142"/>
    <w:rsid w:val="00A46574"/>
    <w:rsid w:val="00A471A3"/>
    <w:rsid w:val="00A47B1B"/>
    <w:rsid w:val="00A5253A"/>
    <w:rsid w:val="00A61766"/>
    <w:rsid w:val="00A63339"/>
    <w:rsid w:val="00A72F9A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C5E35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0284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4D8A"/>
    <w:rsid w:val="00C77473"/>
    <w:rsid w:val="00C856F4"/>
    <w:rsid w:val="00C91210"/>
    <w:rsid w:val="00C94257"/>
    <w:rsid w:val="00C96443"/>
    <w:rsid w:val="00CA2CF3"/>
    <w:rsid w:val="00CA479E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4A5B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1E6C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CF0"/>
    <w:rsid w:val="00DF3297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4349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2986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454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0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Hyperlink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semiHidden/>
    <w:unhideWhenUsed/>
    <w:rsid w:val="002F7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A9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A90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A90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semiHidden/>
    <w:unhideWhenUsed/>
    <w:rsid w:val="007745E7"/>
    <w:rPr>
      <w:strike w:val="0"/>
      <w:dstrike w:val="0"/>
      <w:color w:val="auto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0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Hyperlink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semiHidden/>
    <w:unhideWhenUsed/>
    <w:rsid w:val="002F7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A9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A90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A90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semiHidden/>
    <w:unhideWhenUsed/>
    <w:rsid w:val="007745E7"/>
    <w:rPr>
      <w:strike w:val="0"/>
      <w:dstrike w:val="0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087EE-5A72-4D4E-9A64-EB52B139C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7113</Words>
  <Characters>46404</Characters>
  <Application>Microsoft Office Word</Application>
  <DocSecurity>0</DocSecurity>
  <Lines>867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53463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Chouvalova Natalia</dc:creator>
  <cp:lastModifiedBy>Chouvalova Natalia</cp:lastModifiedBy>
  <cp:revision>3</cp:revision>
  <cp:lastPrinted>2016-01-13T15:00:00Z</cp:lastPrinted>
  <dcterms:created xsi:type="dcterms:W3CDTF">2016-01-13T15:00:00Z</dcterms:created>
  <dcterms:modified xsi:type="dcterms:W3CDTF">2016-01-13T15:00:00Z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1517368R</vt:lpwstr>
  </property>
  <property fmtid="{D5CDD505-2E9C-101B-9397-08002B2CF9AE}" pid="3" name="ODSRefJobNo">
    <vt:lpwstr>1523398R</vt:lpwstr>
  </property>
  <property fmtid="{D5CDD505-2E9C-101B-9397-08002B2CF9AE}" pid="4" name="Symbol1">
    <vt:lpwstr>E/C.12/55/D/2/2014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13 December 2015</vt:lpwstr>
  </property>
  <property fmtid="{D5CDD505-2E9C-101B-9397-08002B2CF9AE}" pid="12" name="Original">
    <vt:lpwstr>Spanish</vt:lpwstr>
  </property>
  <property fmtid="{D5CDD505-2E9C-101B-9397-08002B2CF9AE}" pid="13" name="Release Date">
    <vt:lpwstr>130116</vt:lpwstr>
  </property>
</Properties>
</file>