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BC4829E" w14:textId="77777777" w:rsidTr="007666A4">
        <w:trPr>
          <w:trHeight w:hRule="exact" w:val="851"/>
        </w:trPr>
        <w:tc>
          <w:tcPr>
            <w:tcW w:w="1280" w:type="dxa"/>
            <w:tcBorders>
              <w:bottom w:val="single" w:sz="4" w:space="0" w:color="auto"/>
            </w:tcBorders>
          </w:tcPr>
          <w:p w14:paraId="55F149AC" w14:textId="77777777" w:rsidR="002D5AAC" w:rsidRDefault="002D5AAC" w:rsidP="00735A86">
            <w:pPr>
              <w:kinsoku w:val="0"/>
              <w:overflowPunct w:val="0"/>
              <w:autoSpaceDE w:val="0"/>
              <w:autoSpaceDN w:val="0"/>
              <w:adjustRightInd w:val="0"/>
              <w:snapToGrid w:val="0"/>
            </w:pPr>
          </w:p>
        </w:tc>
        <w:tc>
          <w:tcPr>
            <w:tcW w:w="2273" w:type="dxa"/>
            <w:tcBorders>
              <w:bottom w:val="single" w:sz="4" w:space="0" w:color="auto"/>
            </w:tcBorders>
            <w:vAlign w:val="bottom"/>
          </w:tcPr>
          <w:p w14:paraId="24A4264D" w14:textId="77777777"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485E1125" w14:textId="1D6611F8" w:rsidR="002D5AAC" w:rsidRDefault="00735A86" w:rsidP="00735A86">
            <w:pPr>
              <w:jc w:val="right"/>
            </w:pPr>
            <w:r w:rsidRPr="00735A86">
              <w:rPr>
                <w:sz w:val="40"/>
              </w:rPr>
              <w:t>E</w:t>
            </w:r>
            <w:r>
              <w:t>/C.12/IRQ/5</w:t>
            </w:r>
          </w:p>
        </w:tc>
      </w:tr>
      <w:tr w:rsidR="002D5AAC" w14:paraId="665ADF5B" w14:textId="77777777" w:rsidTr="007666A4">
        <w:trPr>
          <w:trHeight w:hRule="exact" w:val="2835"/>
        </w:trPr>
        <w:tc>
          <w:tcPr>
            <w:tcW w:w="1280" w:type="dxa"/>
            <w:tcBorders>
              <w:top w:val="single" w:sz="4" w:space="0" w:color="auto"/>
              <w:bottom w:val="single" w:sz="12" w:space="0" w:color="auto"/>
            </w:tcBorders>
          </w:tcPr>
          <w:p w14:paraId="1CD3E0DC" w14:textId="77777777" w:rsidR="002D5AAC" w:rsidRDefault="00DC6544" w:rsidP="006E27AD">
            <w:pPr>
              <w:spacing w:before="120"/>
              <w:jc w:val="center"/>
            </w:pPr>
            <w:r>
              <w:rPr>
                <w:noProof/>
              </w:rPr>
              <w:drawing>
                <wp:inline distT="0" distB="0" distL="0" distR="0" wp14:anchorId="3C5CB0BD" wp14:editId="4AF50C2A">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7661C43"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14:paraId="57C9948B" w14:textId="77777777" w:rsidR="002D5AAC" w:rsidRDefault="00735A86" w:rsidP="006E27AD">
            <w:pPr>
              <w:spacing w:before="240"/>
            </w:pPr>
            <w:r>
              <w:t>Distr. general</w:t>
            </w:r>
          </w:p>
          <w:p w14:paraId="442A9F7F" w14:textId="77777777" w:rsidR="00735A86" w:rsidRDefault="00735A86" w:rsidP="00735A86">
            <w:pPr>
              <w:spacing w:line="240" w:lineRule="exact"/>
            </w:pPr>
            <w:r>
              <w:t>20 de agosto de 2021</w:t>
            </w:r>
          </w:p>
          <w:p w14:paraId="2A17CD95" w14:textId="77777777" w:rsidR="00735A86" w:rsidRDefault="00735A86" w:rsidP="00735A86">
            <w:pPr>
              <w:spacing w:line="240" w:lineRule="exact"/>
            </w:pPr>
            <w:r>
              <w:t>Español</w:t>
            </w:r>
          </w:p>
          <w:p w14:paraId="36D2A2A6" w14:textId="77777777" w:rsidR="00735A86" w:rsidRDefault="00735A86" w:rsidP="00735A86">
            <w:pPr>
              <w:spacing w:line="240" w:lineRule="exact"/>
            </w:pPr>
            <w:r>
              <w:t>Original: árabe</w:t>
            </w:r>
          </w:p>
          <w:p w14:paraId="7356DCA0" w14:textId="7B1F8853" w:rsidR="00735A86" w:rsidRDefault="00735A86" w:rsidP="00735A86">
            <w:pPr>
              <w:spacing w:line="240" w:lineRule="exact"/>
            </w:pPr>
            <w:r>
              <w:t>Árabe, español, francés e inglés únicamente</w:t>
            </w:r>
          </w:p>
        </w:tc>
      </w:tr>
    </w:tbl>
    <w:p w14:paraId="677A77F5" w14:textId="77777777" w:rsidR="007666A4" w:rsidRPr="00587808" w:rsidRDefault="007666A4" w:rsidP="00587808">
      <w:pPr>
        <w:spacing w:before="120"/>
        <w:rPr>
          <w:b/>
          <w:bCs/>
          <w:sz w:val="24"/>
          <w:szCs w:val="24"/>
        </w:rPr>
      </w:pPr>
      <w:r w:rsidRPr="00587808">
        <w:rPr>
          <w:b/>
          <w:bCs/>
          <w:sz w:val="24"/>
          <w:szCs w:val="24"/>
        </w:rPr>
        <w:t>Comité de Derechos Económicos, Sociales y Culturales</w:t>
      </w:r>
    </w:p>
    <w:p w14:paraId="6058CE17" w14:textId="39B0809A" w:rsidR="007666A4" w:rsidRPr="007666A4" w:rsidRDefault="00587808" w:rsidP="00587808">
      <w:pPr>
        <w:pStyle w:val="HMG"/>
      </w:pPr>
      <w:r>
        <w:tab/>
      </w:r>
      <w:r w:rsidR="007666A4" w:rsidRPr="007666A4">
        <w:tab/>
        <w:t>Quinto informe periódico que el Iraq debía presentar en 2020 en virtud de los artículos 16 y</w:t>
      </w:r>
      <w:r>
        <w:t> </w:t>
      </w:r>
      <w:r w:rsidR="007666A4" w:rsidRPr="007666A4">
        <w:t>17</w:t>
      </w:r>
      <w:r>
        <w:t> </w:t>
      </w:r>
      <w:r w:rsidR="007666A4" w:rsidRPr="007666A4">
        <w:t>del Pacto</w:t>
      </w:r>
      <w:r w:rsidRPr="00587808">
        <w:rPr>
          <w:rStyle w:val="Refdenotaalpie"/>
          <w:b w:val="0"/>
          <w:bCs/>
          <w:sz w:val="20"/>
          <w:vertAlign w:val="baseline"/>
        </w:rPr>
        <w:footnoteReference w:customMarkFollows="1" w:id="1"/>
        <w:t>*</w:t>
      </w:r>
    </w:p>
    <w:p w14:paraId="1D235CE8" w14:textId="69A74BA7" w:rsidR="007666A4" w:rsidRDefault="007666A4" w:rsidP="00587808">
      <w:pPr>
        <w:pStyle w:val="SingleTxtG"/>
        <w:jc w:val="right"/>
      </w:pPr>
      <w:r w:rsidRPr="007666A4">
        <w:t>[Fecha de recepción: 26 de febrero de 2021]</w:t>
      </w:r>
    </w:p>
    <w:p w14:paraId="3B78CA96" w14:textId="554BF6D1" w:rsidR="00587808" w:rsidRDefault="00587808" w:rsidP="00587808">
      <w:pPr>
        <w:pStyle w:val="SingleTxtG"/>
      </w:pPr>
      <w:r>
        <w:br w:type="page"/>
      </w:r>
    </w:p>
    <w:p w14:paraId="70AFDF1C" w14:textId="1ED181C6" w:rsidR="007666A4" w:rsidRPr="007666A4" w:rsidRDefault="007666A4" w:rsidP="00587808">
      <w:pPr>
        <w:pStyle w:val="HChG"/>
      </w:pPr>
      <w:r w:rsidRPr="007666A4">
        <w:lastRenderedPageBreak/>
        <w:tab/>
        <w:t>I.</w:t>
      </w:r>
      <w:r w:rsidRPr="007666A4">
        <w:tab/>
        <w:t>Introducción</w:t>
      </w:r>
    </w:p>
    <w:p w14:paraId="260F232B" w14:textId="2E1F8220" w:rsidR="007666A4" w:rsidRPr="007666A4" w:rsidRDefault="007666A4" w:rsidP="007666A4">
      <w:pPr>
        <w:pStyle w:val="SingleTxtG"/>
        <w:rPr>
          <w:b/>
          <w:bCs/>
          <w:u w:val="thick"/>
        </w:rPr>
      </w:pPr>
      <w:r w:rsidRPr="007666A4">
        <w:t>1.</w:t>
      </w:r>
      <w:r w:rsidR="00587808">
        <w:tab/>
      </w:r>
      <w:r w:rsidRPr="007666A4">
        <w:t>El Comité de Derechos Económicos, Sociales y Culturales examinó el cuarto informe periódico del Iraq en sus sesiones 62ª y 63ª, celebradas los días 29 y 30 de septiembre de</w:t>
      </w:r>
      <w:r w:rsidR="00215B5D">
        <w:t> </w:t>
      </w:r>
      <w:r w:rsidRPr="007666A4">
        <w:t>2015, y aprobó las correspondientes observaciones finales en su 78ª sesión, celebrada el 9</w:t>
      </w:r>
      <w:r w:rsidR="00215B5D">
        <w:t> </w:t>
      </w:r>
      <w:r w:rsidRPr="007666A4">
        <w:t>de octubre de 2015.</w:t>
      </w:r>
    </w:p>
    <w:p w14:paraId="2DC4F4F9" w14:textId="4E276411" w:rsidR="007666A4" w:rsidRPr="007666A4" w:rsidRDefault="007666A4" w:rsidP="007666A4">
      <w:pPr>
        <w:pStyle w:val="SingleTxtG"/>
      </w:pPr>
      <w:r w:rsidRPr="007666A4">
        <w:t>2.</w:t>
      </w:r>
      <w:r w:rsidR="00587808">
        <w:tab/>
      </w:r>
      <w:r w:rsidRPr="007666A4">
        <w:t>De conformidad con el artículo 16, párrafo 1, del Pacto Internacional de Derechos Económicos, Sociales y Culturales, la República del Iraq presenta su quinto informe periódico con el objetivo de supervisar los avances en la aplicación del Pacto y las observaciones finales del Comité.</w:t>
      </w:r>
    </w:p>
    <w:p w14:paraId="77F6D1D1" w14:textId="44C4D18F" w:rsidR="007666A4" w:rsidRPr="007666A4" w:rsidRDefault="007666A4" w:rsidP="007666A4">
      <w:pPr>
        <w:pStyle w:val="SingleTxtG"/>
      </w:pPr>
      <w:r w:rsidRPr="007666A4">
        <w:t>3.</w:t>
      </w:r>
      <w:r w:rsidR="00587808">
        <w:tab/>
      </w:r>
      <w:r w:rsidRPr="007666A4">
        <w:t>A fecha de 19 de junio de 2016, se dictó una orden ministerial con objeto de crear una comisión central permanente, presidida por el Ministro de Justicia y con representación de los ministerios pertinentes, para preparar los informes relativos a los instrumentos de derechos humanos. Asimismo, el 5 de febrero de 2018 se emitió otra orden ministerial por la que se constituyó el Comité Nacional de Redacción de Informes, se amplió el nivel de su representación y se aumentaron sus atribuciones.</w:t>
      </w:r>
    </w:p>
    <w:p w14:paraId="52DC2534" w14:textId="4DA8334A" w:rsidR="007666A4" w:rsidRPr="007666A4" w:rsidRDefault="00587808" w:rsidP="00587808">
      <w:pPr>
        <w:pStyle w:val="H1G"/>
      </w:pPr>
      <w:r>
        <w:tab/>
      </w:r>
      <w:r w:rsidR="007666A4" w:rsidRPr="007666A4">
        <w:tab/>
        <w:t>Mecanismo y metodología para la preparación del informe</w:t>
      </w:r>
    </w:p>
    <w:p w14:paraId="628C137B" w14:textId="3514DBAA" w:rsidR="007666A4" w:rsidRPr="007666A4" w:rsidRDefault="007666A4" w:rsidP="007666A4">
      <w:pPr>
        <w:pStyle w:val="SingleTxtG"/>
        <w:rPr>
          <w:u w:val="thick"/>
        </w:rPr>
      </w:pPr>
      <w:r w:rsidRPr="007666A4">
        <w:t>4.</w:t>
      </w:r>
      <w:r w:rsidR="00587808">
        <w:tab/>
      </w:r>
      <w:r w:rsidRPr="007666A4">
        <w:t>El proceso de preparación del informe ha englobado las siguientes fases:</w:t>
      </w:r>
    </w:p>
    <w:p w14:paraId="32D43C7D" w14:textId="043BA6BF" w:rsidR="007666A4" w:rsidRPr="007666A4" w:rsidRDefault="007666A4" w:rsidP="007666A4">
      <w:pPr>
        <w:pStyle w:val="SingleTxtG"/>
      </w:pPr>
      <w:r w:rsidRPr="007666A4">
        <w:tab/>
        <w:t>a)</w:t>
      </w:r>
      <w:r w:rsidR="00587808">
        <w:tab/>
      </w:r>
      <w:r w:rsidRPr="007666A4">
        <w:t>Preparación: esta fase se centró en la constitución de un subcomité ministerial presidido por el Ministerio de Justicia e integrado por varios ministerios competentes, así como en la difusión de las observaciones finales del Comité de Derechos Económicos, Sociales y Culturales entre los organismos y ministerios competentes</w:t>
      </w:r>
      <w:r w:rsidR="00215B5D">
        <w:t>;</w:t>
      </w:r>
    </w:p>
    <w:p w14:paraId="132142FB" w14:textId="516CB3B5" w:rsidR="007666A4" w:rsidRPr="007666A4" w:rsidRDefault="007666A4" w:rsidP="007666A4">
      <w:pPr>
        <w:pStyle w:val="SingleTxtG"/>
      </w:pPr>
      <w:r w:rsidRPr="007666A4">
        <w:tab/>
        <w:t>b)</w:t>
      </w:r>
      <w:r w:rsidR="00587808">
        <w:tab/>
      </w:r>
      <w:r w:rsidRPr="007666A4">
        <w:t>Recopilación de información: en esta fase, se reunió la información necesaria requerida para el informe y el subcomité celebró varias reuniones para revisar y actualizar la información disponible</w:t>
      </w:r>
      <w:r w:rsidR="00215B5D">
        <w:t>;</w:t>
      </w:r>
    </w:p>
    <w:p w14:paraId="7E135A2B" w14:textId="23B9D1E9" w:rsidR="007666A4" w:rsidRPr="007666A4" w:rsidRDefault="007666A4" w:rsidP="007666A4">
      <w:pPr>
        <w:pStyle w:val="SingleTxtG"/>
      </w:pPr>
      <w:r w:rsidRPr="007666A4">
        <w:tab/>
        <w:t>c)</w:t>
      </w:r>
      <w:r w:rsidR="00587808">
        <w:tab/>
      </w:r>
      <w:r w:rsidRPr="007666A4">
        <w:t>Redacción: se recopiló la información disponible sobre los temas que aborda el informe y se redactó el mismo. Esta fase concluyó con la preparación del proyecto del informe, siguiendo las directrices establecidas, por parte del subcomité, que lo elevó al Comité Nacional de Redacción de Informes</w:t>
      </w:r>
      <w:r w:rsidR="00215B5D">
        <w:t>;</w:t>
      </w:r>
    </w:p>
    <w:p w14:paraId="47770C4C" w14:textId="50D66AE7" w:rsidR="007666A4" w:rsidRPr="007666A4" w:rsidRDefault="007666A4" w:rsidP="007666A4">
      <w:pPr>
        <w:pStyle w:val="SingleTxtG"/>
      </w:pPr>
      <w:r w:rsidRPr="007666A4">
        <w:tab/>
        <w:t>d)</w:t>
      </w:r>
      <w:r w:rsidR="00587808">
        <w:tab/>
      </w:r>
      <w:r w:rsidRPr="007666A4">
        <w:t>Revisión y aprobación: el Comité Nacional aprobó, tras haberlo examinado, el proyecto del informe y lo remitió al Consejo de Ministros para que, a su vez, lo aprobara y lo hiciera llegar al distinguido Comité de Derechos Económicos, Sociales y Culturales.</w:t>
      </w:r>
    </w:p>
    <w:p w14:paraId="3D1F9002" w14:textId="64455B46" w:rsidR="007666A4" w:rsidRPr="007666A4" w:rsidRDefault="007666A4" w:rsidP="007666A4">
      <w:pPr>
        <w:pStyle w:val="SingleTxtG"/>
      </w:pPr>
      <w:r w:rsidRPr="007666A4">
        <w:t>5.</w:t>
      </w:r>
      <w:r w:rsidR="00587808">
        <w:tab/>
      </w:r>
      <w:r w:rsidRPr="007666A4">
        <w:t>El 18 de febrero de 2020, el Ministerio de Justicia organizó un taller dirigido a organizaciones de la sociedad civil en cooperación con el Departamento de Organizaciones No Gubernamentales de la Secretaría General del Consejo de Ministros a fin de presentar los informes del Iraq relativos al Pacto Internacional de Derechos Económicos, Sociales y Culturales y a la Convención sobre los Derechos del Niño y aclarar la importancia de la participación de la sociedad civil en el proceso de debate que se desarrollará ulteriormente, de conformidad con la recomendación que figura en el párrafo 62 de las observaciones finales.</w:t>
      </w:r>
    </w:p>
    <w:p w14:paraId="7EE472BE" w14:textId="53CB6CF0" w:rsidR="007666A4" w:rsidRPr="007666A4" w:rsidRDefault="00587808" w:rsidP="00587808">
      <w:pPr>
        <w:pStyle w:val="H1G"/>
      </w:pPr>
      <w:r>
        <w:tab/>
      </w:r>
      <w:r w:rsidR="007666A4" w:rsidRPr="007666A4">
        <w:tab/>
        <w:t>Manifestaciones en el Iraq</w:t>
      </w:r>
    </w:p>
    <w:p w14:paraId="1D12D0F2" w14:textId="47FE9A52" w:rsidR="007666A4" w:rsidRPr="007666A4" w:rsidRDefault="007666A4" w:rsidP="007666A4">
      <w:pPr>
        <w:pStyle w:val="SingleTxtG"/>
      </w:pPr>
      <w:r w:rsidRPr="007666A4">
        <w:t>6.</w:t>
      </w:r>
      <w:r w:rsidR="00587808">
        <w:tab/>
      </w:r>
      <w:r w:rsidRPr="007666A4">
        <w:t xml:space="preserve">El Iraq organizó las elecciones para la Cámara de Representantes y, una vez se conocieron los resultados, formó el Gobierno. Debido a la situación económica que había en el país tras el fin de las acciones militares para derrotar al grupo terrorista Dáesh, el Iraq fue testigo de manifestaciones de protesta generalizadas a principios de octubre de 2019 en las que, haciendo uso de la libertad de opinión amparada por la Constitución, los manifestantes pedían la reforma política, la lucha contra la corrupción y la pobreza, y la prestación de servicios sociales, sanitarios y educativos. Como resultado de ello, el Gobierno de la República del Iraq, en cumplimiento de las demandas de los manifestantes, presentó su renuncia y el Presidente de la República encargó a una personalidad que goza de aceptación </w:t>
      </w:r>
      <w:r w:rsidRPr="007666A4">
        <w:lastRenderedPageBreak/>
        <w:t>popular la formación de un nuevo Gobierno provisional como paso previo a la celebración de nuevas elecciones. Antes de su renuncia, el Gobierno del Dr. Adel Abdul Mahdi emitió varias decisiones que fueron aprobadas por la Cámara de Representantes e incluían paquetes de reformas en todas las áreas. Entre ellos cabe destacar:</w:t>
      </w:r>
    </w:p>
    <w:p w14:paraId="75E6995F" w14:textId="3917E985" w:rsidR="007666A4" w:rsidRPr="007666A4" w:rsidRDefault="00587808" w:rsidP="0000345C">
      <w:pPr>
        <w:pStyle w:val="SingleTxtG"/>
        <w:ind w:left="1701"/>
      </w:pPr>
      <w:r>
        <w:rPr>
          <w:b/>
          <w:bCs/>
        </w:rPr>
        <w:tab/>
      </w:r>
      <w:r w:rsidR="007666A4" w:rsidRPr="007666A4">
        <w:rPr>
          <w:b/>
          <w:bCs/>
        </w:rPr>
        <w:t xml:space="preserve">Primer paquete de medidas: </w:t>
      </w:r>
      <w:r w:rsidR="007666A4" w:rsidRPr="007666A4">
        <w:t xml:space="preserve">Se aprobó en virtud del </w:t>
      </w:r>
      <w:r w:rsidR="00215B5D" w:rsidRPr="007666A4">
        <w:t xml:space="preserve">Decreto </w:t>
      </w:r>
      <w:r w:rsidR="007666A4" w:rsidRPr="007666A4">
        <w:t>núm. 340/2019 del Consejo de Ministros y abarcaba:</w:t>
      </w:r>
    </w:p>
    <w:p w14:paraId="2A96B9F7" w14:textId="03379190" w:rsidR="007666A4" w:rsidRPr="00A013F5" w:rsidRDefault="007666A4" w:rsidP="0000345C">
      <w:pPr>
        <w:pStyle w:val="Bullet1G"/>
        <w:numPr>
          <w:ilvl w:val="0"/>
          <w:numId w:val="5"/>
        </w:numPr>
        <w:tabs>
          <w:tab w:val="clear" w:pos="2268"/>
          <w:tab w:val="num" w:pos="1701"/>
        </w:tabs>
        <w:rPr>
          <w:rFonts w:eastAsiaTheme="minorEastAsia"/>
        </w:rPr>
      </w:pPr>
      <w:r w:rsidRPr="00A013F5">
        <w:rPr>
          <w:rFonts w:eastAsiaTheme="minorEastAsia"/>
        </w:rPr>
        <w:t>El diseño de un programa nacional de vivienda orientado a la construcción de viviendas para personas con bajos ingresos. Los gobernadores se encargarían de formar comisiones para determinar los nombres de las familias más necesitadas y el Ministerio de Finanzas reforzaría el Fondo de la Vivienda para conceder préstamos de construcción sin intereses.</w:t>
      </w:r>
    </w:p>
    <w:p w14:paraId="7368F44C" w14:textId="4621FA39" w:rsidR="007666A4" w:rsidRPr="00A013F5" w:rsidRDefault="007666A4" w:rsidP="0000345C">
      <w:pPr>
        <w:pStyle w:val="Bullet1G"/>
        <w:numPr>
          <w:ilvl w:val="0"/>
          <w:numId w:val="5"/>
        </w:numPr>
        <w:tabs>
          <w:tab w:val="clear" w:pos="2268"/>
          <w:tab w:val="num" w:pos="1701"/>
        </w:tabs>
        <w:rPr>
          <w:rFonts w:eastAsiaTheme="minorEastAsia"/>
        </w:rPr>
      </w:pPr>
      <w:r w:rsidRPr="00A013F5">
        <w:rPr>
          <w:rFonts w:eastAsiaTheme="minorEastAsia"/>
        </w:rPr>
        <w:t>La concesión de subsidios de desempleo de 150.000 dinares iraquíes (ID) por un período de tres meses, de modo que llegaron a beneficiarse de este subsidio de emergencia 387.361 personas; el inicio de un proceso de reclutamiento en el Ministerio de Defensa y la reincorporación a sus puestos en los Ministerios de Defensa y de Interior de aquellas personas cuyos contratos habían sido rescindidos.</w:t>
      </w:r>
    </w:p>
    <w:p w14:paraId="1C70F0F6" w14:textId="49061F6E" w:rsidR="007666A4" w:rsidRPr="00A013F5" w:rsidRDefault="007666A4" w:rsidP="0000345C">
      <w:pPr>
        <w:pStyle w:val="Bullet1G"/>
        <w:numPr>
          <w:ilvl w:val="0"/>
          <w:numId w:val="5"/>
        </w:numPr>
        <w:tabs>
          <w:tab w:val="clear" w:pos="2268"/>
          <w:tab w:val="num" w:pos="1701"/>
        </w:tabs>
        <w:rPr>
          <w:rFonts w:eastAsiaTheme="minorEastAsia"/>
        </w:rPr>
      </w:pPr>
      <w:r w:rsidRPr="00A013F5">
        <w:rPr>
          <w:rFonts w:eastAsiaTheme="minorEastAsia"/>
        </w:rPr>
        <w:t>La creación de puestos de venta para generar 45.000 oportunidades de empleo; la preparación de un programa de formación para 1,5 millones de desempleados y la oferta de puestos de trabajo en proyectos de inversión, así como la asignación de 1</w:t>
      </w:r>
      <w:r w:rsidR="00215B5D">
        <w:rPr>
          <w:rFonts w:eastAsiaTheme="minorEastAsia"/>
        </w:rPr>
        <w:t> </w:t>
      </w:r>
      <w:r w:rsidRPr="00A013F5">
        <w:rPr>
          <w:rFonts w:eastAsiaTheme="minorEastAsia"/>
        </w:rPr>
        <w:t>billón de dinares iraquíes a la concesión de préstamos para la creación de pequeñas y medianas empresas, además de permitirles optar a parcelas de terreno para establecer en ellas proyectos industriales.</w:t>
      </w:r>
    </w:p>
    <w:p w14:paraId="33D8CFD4" w14:textId="5BD52C13" w:rsidR="007666A4" w:rsidRPr="00A013F5" w:rsidRDefault="007666A4" w:rsidP="0000345C">
      <w:pPr>
        <w:pStyle w:val="Bullet1G"/>
        <w:numPr>
          <w:ilvl w:val="0"/>
          <w:numId w:val="5"/>
        </w:numPr>
        <w:tabs>
          <w:tab w:val="clear" w:pos="2268"/>
          <w:tab w:val="num" w:pos="1701"/>
        </w:tabs>
        <w:rPr>
          <w:rFonts w:eastAsiaTheme="minorEastAsia"/>
        </w:rPr>
      </w:pPr>
      <w:r w:rsidRPr="00A013F5">
        <w:rPr>
          <w:rFonts w:eastAsiaTheme="minorEastAsia"/>
        </w:rPr>
        <w:t>La concesión de la condición de mártires a los manifestantes y policías heridos y fallecidos en las manifestaciones, concediéndoles todos los derechos y asumiendo el Estado el tratamiento de los heridos tanto dentro como fuera del país, así como la preparación, por parte de las provincias, de listas de familias con derecho a recibir asistencia social (aproximadamente 600.000).</w:t>
      </w:r>
    </w:p>
    <w:p w14:paraId="1FA9D647" w14:textId="1588F0A9" w:rsidR="007666A4" w:rsidRPr="00A511EF" w:rsidRDefault="007666A4" w:rsidP="0000345C">
      <w:pPr>
        <w:pStyle w:val="Bullet1G"/>
        <w:numPr>
          <w:ilvl w:val="0"/>
          <w:numId w:val="5"/>
        </w:numPr>
        <w:tabs>
          <w:tab w:val="clear" w:pos="2268"/>
          <w:tab w:val="num" w:pos="1701"/>
        </w:tabs>
        <w:rPr>
          <w:rFonts w:eastAsiaTheme="minorEastAsia"/>
        </w:rPr>
      </w:pPr>
      <w:r w:rsidRPr="00A013F5">
        <w:rPr>
          <w:rFonts w:eastAsiaTheme="minorEastAsia"/>
        </w:rPr>
        <w:t>La contratación de profesores con cargo a las partidas presupuestarias correspondientes a 2020 y la</w:t>
      </w:r>
      <w:r w:rsidRPr="00A511EF">
        <w:rPr>
          <w:rFonts w:eastAsiaTheme="minorEastAsia"/>
        </w:rPr>
        <w:t xml:space="preserve"> exención, para los agricultores, del pago del arrendamiento de sus tierras hasta finales de 2019.</w:t>
      </w:r>
    </w:p>
    <w:p w14:paraId="518E2899" w14:textId="1840F55A" w:rsidR="007666A4" w:rsidRPr="007666A4" w:rsidRDefault="00A013F5" w:rsidP="0000345C">
      <w:pPr>
        <w:pStyle w:val="SingleTxtG"/>
        <w:ind w:left="1701"/>
      </w:pPr>
      <w:r>
        <w:rPr>
          <w:b/>
          <w:bCs/>
        </w:rPr>
        <w:tab/>
      </w:r>
      <w:r w:rsidR="007666A4" w:rsidRPr="00A013F5">
        <w:rPr>
          <w:b/>
          <w:bCs/>
        </w:rPr>
        <w:t>Segundo paquete de medidas:</w:t>
      </w:r>
      <w:r w:rsidR="007666A4" w:rsidRPr="007666A4">
        <w:rPr>
          <w:b/>
          <w:bCs/>
        </w:rPr>
        <w:t xml:space="preserve"> </w:t>
      </w:r>
      <w:r w:rsidR="007666A4" w:rsidRPr="007666A4">
        <w:t xml:space="preserve">Se aprobó en virtud del </w:t>
      </w:r>
      <w:r w:rsidR="000503F1" w:rsidRPr="007666A4">
        <w:t xml:space="preserve">Decreto </w:t>
      </w:r>
      <w:r w:rsidR="007666A4" w:rsidRPr="007666A4">
        <w:t>núm.</w:t>
      </w:r>
      <w:r w:rsidR="0000345C">
        <w:t> </w:t>
      </w:r>
      <w:r w:rsidR="007666A4" w:rsidRPr="007666A4">
        <w:t>341/2019 del Consejo de Ministros y contemplaba:</w:t>
      </w:r>
    </w:p>
    <w:p w14:paraId="55B8685F" w14:textId="550DFBF5" w:rsidR="007666A4" w:rsidRPr="00A013F5" w:rsidRDefault="007666A4" w:rsidP="0000345C">
      <w:pPr>
        <w:pStyle w:val="Bullet1G"/>
        <w:numPr>
          <w:ilvl w:val="0"/>
          <w:numId w:val="5"/>
        </w:numPr>
        <w:tabs>
          <w:tab w:val="clear" w:pos="2268"/>
          <w:tab w:val="num" w:pos="1701"/>
        </w:tabs>
        <w:rPr>
          <w:rFonts w:eastAsiaTheme="minorEastAsia"/>
        </w:rPr>
      </w:pPr>
      <w:r w:rsidRPr="00A013F5">
        <w:rPr>
          <w:rFonts w:eastAsiaTheme="minorEastAsia"/>
        </w:rPr>
        <w:t xml:space="preserve">La constitución de una comisión para el reparto de tierras mediante el acondicionamiento de terrenos y la ampliación de los límites municipales, así como la creación de comisiones en las provincias para dar seguimiento a la aplicación de las decisiones del Consejo de Ministros. </w:t>
      </w:r>
    </w:p>
    <w:p w14:paraId="1E88E8D8" w14:textId="324DB3C1" w:rsidR="007666A4" w:rsidRPr="00A013F5" w:rsidRDefault="007666A4" w:rsidP="0000345C">
      <w:pPr>
        <w:pStyle w:val="Bullet1G"/>
        <w:numPr>
          <w:ilvl w:val="0"/>
          <w:numId w:val="5"/>
        </w:numPr>
        <w:tabs>
          <w:tab w:val="clear" w:pos="2268"/>
          <w:tab w:val="num" w:pos="1701"/>
        </w:tabs>
        <w:rPr>
          <w:rFonts w:eastAsiaTheme="minorEastAsia"/>
        </w:rPr>
      </w:pPr>
      <w:r w:rsidRPr="00A013F5">
        <w:rPr>
          <w:rFonts w:eastAsiaTheme="minorEastAsia"/>
        </w:rPr>
        <w:t>La asignación de 15.000 millones de dinares para distribuir gratuitamente sistemas fotovoltaicos a 3.000 familias; la simplificación de los procedimientos de registro para las pequeñas empresas y la concesión a estas últimas de contratos de trabajo inferiores a 1.000 millones de dinares con arreglo a las directrices dictadas por el Ministerio de Planificación</w:t>
      </w:r>
      <w:r w:rsidR="001577D2">
        <w:rPr>
          <w:rFonts w:eastAsiaTheme="minorEastAsia"/>
        </w:rPr>
        <w:t>.</w:t>
      </w:r>
    </w:p>
    <w:p w14:paraId="05596244" w14:textId="4423B53C" w:rsidR="007666A4" w:rsidRPr="00A013F5" w:rsidRDefault="007666A4" w:rsidP="0000345C">
      <w:pPr>
        <w:pStyle w:val="Bullet1G"/>
        <w:numPr>
          <w:ilvl w:val="0"/>
          <w:numId w:val="5"/>
        </w:numPr>
        <w:tabs>
          <w:tab w:val="clear" w:pos="2268"/>
          <w:tab w:val="num" w:pos="1701"/>
        </w:tabs>
        <w:rPr>
          <w:rFonts w:eastAsiaTheme="minorEastAsia"/>
        </w:rPr>
      </w:pPr>
      <w:r w:rsidRPr="00A013F5">
        <w:rPr>
          <w:rFonts w:eastAsiaTheme="minorEastAsia"/>
        </w:rPr>
        <w:t xml:space="preserve">La concesión de créditos para financiar pequeños proyectos y la simplificación de los procedimientos para el otorgamiento de licencias, así como la contratación de desempleados como cobradores de las facturas de electricidad a cambio de un jornal. </w:t>
      </w:r>
    </w:p>
    <w:p w14:paraId="511B7C3B" w14:textId="17551AA4" w:rsidR="007666A4" w:rsidRPr="00A013F5" w:rsidRDefault="007666A4" w:rsidP="0000345C">
      <w:pPr>
        <w:pStyle w:val="Bullet1G"/>
        <w:numPr>
          <w:ilvl w:val="0"/>
          <w:numId w:val="5"/>
        </w:numPr>
        <w:tabs>
          <w:tab w:val="clear" w:pos="2268"/>
          <w:tab w:val="num" w:pos="1701"/>
        </w:tabs>
        <w:rPr>
          <w:rFonts w:eastAsiaTheme="minorEastAsia"/>
        </w:rPr>
      </w:pPr>
      <w:r w:rsidRPr="00A013F5">
        <w:rPr>
          <w:rFonts w:eastAsiaTheme="minorEastAsia"/>
        </w:rPr>
        <w:t xml:space="preserve">El apoyo a la formación agraria, la concesión de tierras agrícolas con una cuota de riego para establecer proyectos agrícolas y la activación del Fondo de Crédito Agrícola. </w:t>
      </w:r>
    </w:p>
    <w:p w14:paraId="2679BFBF" w14:textId="0CBF78E8" w:rsidR="007666A4" w:rsidRPr="00A013F5" w:rsidRDefault="007666A4" w:rsidP="0000345C">
      <w:pPr>
        <w:pStyle w:val="Bullet1G"/>
        <w:numPr>
          <w:ilvl w:val="0"/>
          <w:numId w:val="5"/>
        </w:numPr>
        <w:tabs>
          <w:tab w:val="clear" w:pos="2268"/>
          <w:tab w:val="num" w:pos="1701"/>
        </w:tabs>
        <w:rPr>
          <w:rFonts w:eastAsiaTheme="minorEastAsia"/>
        </w:rPr>
      </w:pPr>
      <w:r w:rsidRPr="00A013F5">
        <w:rPr>
          <w:rFonts w:eastAsiaTheme="minorEastAsia"/>
        </w:rPr>
        <w:t xml:space="preserve">La creación de nuevas plazas para titulados superiores por universidades públicas y privadas. </w:t>
      </w:r>
    </w:p>
    <w:p w14:paraId="27BDD3D6" w14:textId="6EB1639E" w:rsidR="007666A4" w:rsidRPr="00A013F5" w:rsidRDefault="007666A4" w:rsidP="0000345C">
      <w:pPr>
        <w:pStyle w:val="Bullet1G"/>
        <w:numPr>
          <w:ilvl w:val="0"/>
          <w:numId w:val="5"/>
        </w:numPr>
        <w:tabs>
          <w:tab w:val="clear" w:pos="2268"/>
          <w:tab w:val="num" w:pos="1701"/>
        </w:tabs>
        <w:rPr>
          <w:rFonts w:eastAsiaTheme="minorEastAsia"/>
        </w:rPr>
      </w:pPr>
      <w:r w:rsidRPr="00A013F5">
        <w:rPr>
          <w:rFonts w:eastAsiaTheme="minorEastAsia"/>
        </w:rPr>
        <w:t xml:space="preserve">El apoyo a proyectos para la gestión de residuos y la producción de energía eléctrica, así como la imposición a los organismos gubernamentales de la </w:t>
      </w:r>
      <w:r w:rsidRPr="00A013F5">
        <w:rPr>
          <w:rFonts w:eastAsiaTheme="minorEastAsia"/>
        </w:rPr>
        <w:lastRenderedPageBreak/>
        <w:t xml:space="preserve">obligación de optar por productores locales para adquirir los productos o equipos que necesiten. </w:t>
      </w:r>
    </w:p>
    <w:p w14:paraId="2243CC0B" w14:textId="4B92DD1A" w:rsidR="007666A4" w:rsidRPr="007666A4" w:rsidRDefault="00A013F5" w:rsidP="0000345C">
      <w:pPr>
        <w:pStyle w:val="SingleTxtG"/>
        <w:ind w:left="1701"/>
      </w:pPr>
      <w:r w:rsidRPr="00A013F5">
        <w:rPr>
          <w:b/>
          <w:bCs/>
        </w:rPr>
        <w:tab/>
      </w:r>
      <w:r w:rsidR="007666A4" w:rsidRPr="00A013F5">
        <w:rPr>
          <w:b/>
          <w:bCs/>
        </w:rPr>
        <w:t>Tercer paquete de medidas:</w:t>
      </w:r>
      <w:r w:rsidR="007666A4" w:rsidRPr="007666A4">
        <w:t xml:space="preserve"> Se aprobó en virtud del </w:t>
      </w:r>
      <w:r w:rsidR="00215B5D" w:rsidRPr="007666A4">
        <w:t xml:space="preserve">Decreto </w:t>
      </w:r>
      <w:r w:rsidR="007666A4" w:rsidRPr="007666A4">
        <w:t>núm. 364/2019 del Consejo de Ministros y abarcaba:</w:t>
      </w:r>
    </w:p>
    <w:p w14:paraId="1DF7837C" w14:textId="5E1E4FD0" w:rsidR="007666A4" w:rsidRPr="00A013F5" w:rsidRDefault="007666A4" w:rsidP="0000345C">
      <w:pPr>
        <w:pStyle w:val="Bullet1G"/>
        <w:numPr>
          <w:ilvl w:val="0"/>
          <w:numId w:val="5"/>
        </w:numPr>
        <w:tabs>
          <w:tab w:val="clear" w:pos="2268"/>
          <w:tab w:val="num" w:pos="1701"/>
        </w:tabs>
        <w:rPr>
          <w:rFonts w:eastAsiaTheme="minorEastAsia"/>
        </w:rPr>
      </w:pPr>
      <w:r w:rsidRPr="00A013F5">
        <w:rPr>
          <w:rFonts w:eastAsiaTheme="minorEastAsia"/>
        </w:rPr>
        <w:t>La formación de desempleados en el mantenimiento de transformadores de distribución de electricidad y la asignación de subvenciones y terrenos para que cada grupo abriese un taller industrial, imponiendo a los organismos gubernamentales la obligación de contratar con ese taller.</w:t>
      </w:r>
    </w:p>
    <w:p w14:paraId="3B7BFC72" w14:textId="3EAB82E7" w:rsidR="007666A4" w:rsidRPr="00A013F5" w:rsidRDefault="007666A4" w:rsidP="0000345C">
      <w:pPr>
        <w:pStyle w:val="Bullet1G"/>
        <w:numPr>
          <w:ilvl w:val="0"/>
          <w:numId w:val="5"/>
        </w:numPr>
        <w:tabs>
          <w:tab w:val="clear" w:pos="2268"/>
          <w:tab w:val="num" w:pos="1701"/>
        </w:tabs>
        <w:rPr>
          <w:rFonts w:eastAsiaTheme="minorEastAsia"/>
        </w:rPr>
      </w:pPr>
      <w:r w:rsidRPr="00A013F5">
        <w:rPr>
          <w:rFonts w:eastAsiaTheme="minorEastAsia"/>
        </w:rPr>
        <w:t>La modificación, por parte del Ministerio de Finanzas, de la Ley del Impuesto sobre la Renta a fin de eximir del pago de impuestos a los profesionales de bajos ingresos y a las pequeñas empresas durante diez años.</w:t>
      </w:r>
    </w:p>
    <w:p w14:paraId="1E90776F" w14:textId="58959292" w:rsidR="007666A4" w:rsidRPr="00A013F5" w:rsidRDefault="007666A4" w:rsidP="0000345C">
      <w:pPr>
        <w:pStyle w:val="Bullet1G"/>
        <w:numPr>
          <w:ilvl w:val="0"/>
          <w:numId w:val="5"/>
        </w:numPr>
        <w:tabs>
          <w:tab w:val="clear" w:pos="2268"/>
          <w:tab w:val="num" w:pos="1701"/>
        </w:tabs>
        <w:rPr>
          <w:rFonts w:eastAsiaTheme="minorEastAsia"/>
        </w:rPr>
      </w:pPr>
      <w:r w:rsidRPr="00A013F5">
        <w:rPr>
          <w:rFonts w:eastAsiaTheme="minorEastAsia"/>
        </w:rPr>
        <w:t xml:space="preserve">La creación de instituciones y la aprobación de un paquete de leyes para atender las demandas expresadas en las manifestaciones. </w:t>
      </w:r>
    </w:p>
    <w:p w14:paraId="2742A4E2" w14:textId="079BD22A" w:rsidR="007666A4" w:rsidRPr="00A013F5" w:rsidRDefault="007666A4" w:rsidP="0000345C">
      <w:pPr>
        <w:pStyle w:val="Bullet1G"/>
        <w:numPr>
          <w:ilvl w:val="0"/>
          <w:numId w:val="5"/>
        </w:numPr>
        <w:tabs>
          <w:tab w:val="clear" w:pos="2268"/>
          <w:tab w:val="num" w:pos="1701"/>
        </w:tabs>
        <w:rPr>
          <w:rFonts w:eastAsiaTheme="minorEastAsia"/>
        </w:rPr>
      </w:pPr>
      <w:r w:rsidRPr="00A013F5">
        <w:rPr>
          <w:rFonts w:eastAsiaTheme="minorEastAsia"/>
        </w:rPr>
        <w:t xml:space="preserve">La aprobación de una nueva ley electoral y la formación de una nueva comisión electoral compuesta por jueces a fin de celebrar elecciones justas cuyos resultados transmitan confianza a los votantes y que estén en consonancia con las aspiraciones reformistas exigidas por la población. </w:t>
      </w:r>
    </w:p>
    <w:p w14:paraId="42BC377C" w14:textId="7219FD81" w:rsidR="007666A4" w:rsidRPr="00A013F5" w:rsidRDefault="007666A4" w:rsidP="0000345C">
      <w:pPr>
        <w:pStyle w:val="Bullet1G"/>
        <w:numPr>
          <w:ilvl w:val="0"/>
          <w:numId w:val="5"/>
        </w:numPr>
        <w:tabs>
          <w:tab w:val="clear" w:pos="2268"/>
          <w:tab w:val="num" w:pos="1701"/>
        </w:tabs>
        <w:rPr>
          <w:rFonts w:eastAsiaTheme="minorEastAsia"/>
        </w:rPr>
      </w:pPr>
      <w:r w:rsidRPr="00A013F5">
        <w:rPr>
          <w:rFonts w:eastAsiaTheme="minorEastAsia"/>
        </w:rPr>
        <w:t>La modificación de la Ley Unificada de Jubilación, a fin de que, al cubrir las vacantes generadas por la movilidad del personal, se atraiga a profesionales jóvenes.</w:t>
      </w:r>
    </w:p>
    <w:p w14:paraId="49A97187" w14:textId="48F68271" w:rsidR="007666A4" w:rsidRPr="00A013F5" w:rsidRDefault="007666A4" w:rsidP="0000345C">
      <w:pPr>
        <w:pStyle w:val="Bullet1G"/>
        <w:numPr>
          <w:ilvl w:val="0"/>
          <w:numId w:val="5"/>
        </w:numPr>
        <w:tabs>
          <w:tab w:val="clear" w:pos="2268"/>
          <w:tab w:val="num" w:pos="1701"/>
        </w:tabs>
        <w:rPr>
          <w:rFonts w:eastAsiaTheme="minorEastAsia"/>
        </w:rPr>
      </w:pPr>
      <w:r w:rsidRPr="00A013F5">
        <w:rPr>
          <w:rFonts w:eastAsiaTheme="minorEastAsia"/>
        </w:rPr>
        <w:t>La creación del Consejo Superior de la Mujer, encargado de llevar a cabo una serie de tareas, entre ellas la aplicación de las obligaciones contraídas por el Iraq en virtud de la Resolución 1325 (2000) del Consejo de Seguridad de las Naciones Unidas, la elaboración de políticas y estrategias relativas a la mujer, el estudio de informes y el examen de la situación de la mujer.</w:t>
      </w:r>
    </w:p>
    <w:p w14:paraId="04752DF3" w14:textId="293633F9" w:rsidR="007666A4" w:rsidRPr="00A013F5" w:rsidRDefault="007666A4" w:rsidP="0000345C">
      <w:pPr>
        <w:pStyle w:val="Bullet1G"/>
        <w:numPr>
          <w:ilvl w:val="0"/>
          <w:numId w:val="5"/>
        </w:numPr>
        <w:tabs>
          <w:tab w:val="clear" w:pos="2268"/>
          <w:tab w:val="num" w:pos="1701"/>
        </w:tabs>
        <w:rPr>
          <w:rFonts w:eastAsiaTheme="minorEastAsia"/>
        </w:rPr>
      </w:pPr>
      <w:r w:rsidRPr="00A013F5">
        <w:rPr>
          <w:rFonts w:eastAsiaTheme="minorEastAsia"/>
        </w:rPr>
        <w:t xml:space="preserve">La formación del Consejo Federal de la Función Pública para gestionar el funcionariado público, liberarlo de la politización y el partidismo, establecer un Estado basado en las instituciones, elevar el nivel del servicio público y velar por la igualdad de oportunidades para acceder a la función pública. </w:t>
      </w:r>
    </w:p>
    <w:p w14:paraId="1E7077F4" w14:textId="56C61031" w:rsidR="007666A4" w:rsidRPr="00A013F5" w:rsidRDefault="007666A4" w:rsidP="0000345C">
      <w:pPr>
        <w:pStyle w:val="Bullet1G"/>
        <w:numPr>
          <w:ilvl w:val="0"/>
          <w:numId w:val="5"/>
        </w:numPr>
        <w:tabs>
          <w:tab w:val="clear" w:pos="2268"/>
          <w:tab w:val="num" w:pos="1701"/>
        </w:tabs>
        <w:rPr>
          <w:rFonts w:eastAsiaTheme="minorEastAsia"/>
        </w:rPr>
      </w:pPr>
      <w:r w:rsidRPr="00A013F5">
        <w:rPr>
          <w:rFonts w:eastAsiaTheme="minorEastAsia"/>
        </w:rPr>
        <w:t>La modificación de la Ley de Elecciones a los Consejos Provinciales y de Distrito, a la vista de la expiración del mandato de los consejos y de la reorganización de la labor de las administraciones locales que no están encuadradas en una región.</w:t>
      </w:r>
    </w:p>
    <w:p w14:paraId="5BB699B7" w14:textId="3CC8DA1A" w:rsidR="007666A4" w:rsidRPr="00A013F5" w:rsidRDefault="007666A4" w:rsidP="0000345C">
      <w:pPr>
        <w:pStyle w:val="Bullet1G"/>
        <w:numPr>
          <w:ilvl w:val="0"/>
          <w:numId w:val="5"/>
        </w:numPr>
        <w:tabs>
          <w:tab w:val="clear" w:pos="2268"/>
          <w:tab w:val="num" w:pos="1701"/>
        </w:tabs>
        <w:rPr>
          <w:rFonts w:eastAsiaTheme="minorEastAsia"/>
        </w:rPr>
      </w:pPr>
      <w:r w:rsidRPr="00A013F5">
        <w:rPr>
          <w:rFonts w:eastAsiaTheme="minorEastAsia"/>
        </w:rPr>
        <w:t xml:space="preserve">La promulgación de una ley para abolir las prestaciones en metálico de los responsables estatales y reducir los gastos, en aras de la justicia social y para reducir la desigualdad entre la ciudadanía. </w:t>
      </w:r>
    </w:p>
    <w:p w14:paraId="0733E5AA" w14:textId="16712095" w:rsidR="007666A4" w:rsidRPr="00A013F5" w:rsidRDefault="007666A4" w:rsidP="0000345C">
      <w:pPr>
        <w:pStyle w:val="Bullet1G"/>
        <w:numPr>
          <w:ilvl w:val="0"/>
          <w:numId w:val="5"/>
        </w:numPr>
        <w:tabs>
          <w:tab w:val="clear" w:pos="2268"/>
          <w:tab w:val="num" w:pos="1701"/>
        </w:tabs>
        <w:rPr>
          <w:rFonts w:eastAsiaTheme="minorEastAsia"/>
        </w:rPr>
      </w:pPr>
      <w:r w:rsidRPr="00A013F5">
        <w:rPr>
          <w:rFonts w:eastAsiaTheme="minorEastAsia"/>
        </w:rPr>
        <w:t xml:space="preserve">La promulgación de una ley para disolver las oficinas de los inspectores públicos a fin de agilizar la administración y evitar la duplicación de tareas, y también de acelerar las medidas para combatir la corrupción. </w:t>
      </w:r>
    </w:p>
    <w:p w14:paraId="6CFE589D" w14:textId="2C7C6F4F" w:rsidR="007666A4" w:rsidRPr="00A013F5" w:rsidRDefault="007666A4" w:rsidP="0000345C">
      <w:pPr>
        <w:pStyle w:val="Bullet1G"/>
        <w:numPr>
          <w:ilvl w:val="0"/>
          <w:numId w:val="5"/>
        </w:numPr>
        <w:tabs>
          <w:tab w:val="clear" w:pos="2268"/>
          <w:tab w:val="num" w:pos="1701"/>
        </w:tabs>
        <w:rPr>
          <w:rFonts w:eastAsiaTheme="minorEastAsia"/>
        </w:rPr>
      </w:pPr>
      <w:r w:rsidRPr="00A013F5">
        <w:rPr>
          <w:rFonts w:eastAsiaTheme="minorEastAsia"/>
        </w:rPr>
        <w:t>El Gobierno del Iraq, que respeta la libertad de expresión y de opinión y el derecho a la protesta pacífica, se comprometió a proteger a los estudiantes que participaron en la huelga general y a no adoptar ninguna medida disciplinaria contra ellos durante el período en que no asistieron a clase. Asimismo, el Ministerio de Educación dictó instrucciones para responder a los cambios en el calendario escolar de los centros educativos que participaron en la huelga.</w:t>
      </w:r>
    </w:p>
    <w:p w14:paraId="749A5F2A" w14:textId="36134A92" w:rsidR="007666A4" w:rsidRPr="00A013F5" w:rsidRDefault="007666A4" w:rsidP="0000345C">
      <w:pPr>
        <w:pStyle w:val="Bullet1G"/>
        <w:numPr>
          <w:ilvl w:val="0"/>
          <w:numId w:val="5"/>
        </w:numPr>
        <w:tabs>
          <w:tab w:val="clear" w:pos="2268"/>
          <w:tab w:val="num" w:pos="1701"/>
        </w:tabs>
        <w:rPr>
          <w:rFonts w:eastAsiaTheme="minorEastAsia"/>
        </w:rPr>
      </w:pPr>
      <w:r w:rsidRPr="00A013F5">
        <w:rPr>
          <w:rFonts w:eastAsiaTheme="minorEastAsia"/>
        </w:rPr>
        <w:t>El 6 de mayo de 2020, la Cámara de Representantes del Iraq votó a favor de formar un nuevo Gobierno encabezado por el Primer Ministro, el Sr. Mustafa Al-Kadhimi.</w:t>
      </w:r>
    </w:p>
    <w:p w14:paraId="34DF5383" w14:textId="732F9A20" w:rsidR="007666A4" w:rsidRPr="007666A4" w:rsidRDefault="00A013F5" w:rsidP="0000345C">
      <w:pPr>
        <w:pStyle w:val="SingleTxtG"/>
        <w:ind w:left="1701"/>
      </w:pPr>
      <w:r w:rsidRPr="00A013F5">
        <w:rPr>
          <w:b/>
          <w:bCs/>
        </w:rPr>
        <w:tab/>
      </w:r>
      <w:r w:rsidR="007666A4" w:rsidRPr="00A013F5">
        <w:rPr>
          <w:b/>
          <w:bCs/>
        </w:rPr>
        <w:t>Cuarto paquete de medidas:</w:t>
      </w:r>
      <w:r>
        <w:rPr>
          <w:b/>
          <w:bCs/>
        </w:rPr>
        <w:t xml:space="preserve"> </w:t>
      </w:r>
      <w:r w:rsidR="007666A4" w:rsidRPr="007666A4">
        <w:t xml:space="preserve">Contemplaba: </w:t>
      </w:r>
    </w:p>
    <w:p w14:paraId="769392C4" w14:textId="7DBAB97F" w:rsidR="007666A4" w:rsidRPr="007666A4" w:rsidRDefault="007666A4" w:rsidP="0000345C">
      <w:pPr>
        <w:pStyle w:val="SingleTxtG"/>
        <w:ind w:left="1701"/>
      </w:pPr>
      <w:r w:rsidRPr="007666A4">
        <w:tab/>
        <w:t>1.</w:t>
      </w:r>
      <w:r w:rsidR="00A013F5">
        <w:tab/>
      </w:r>
      <w:r w:rsidRPr="007666A4">
        <w:t>La inclusión de los mártires y heridos de las manifestaciones de octubre de</w:t>
      </w:r>
      <w:r w:rsidR="00DC1E39">
        <w:t> </w:t>
      </w:r>
      <w:r w:rsidRPr="007666A4">
        <w:t xml:space="preserve">2019 en las disposiciones del proyecto de ley de primera enmienda de la </w:t>
      </w:r>
      <w:r w:rsidR="00DC1E39" w:rsidRPr="007666A4">
        <w:t xml:space="preserve">Ley </w:t>
      </w:r>
      <w:r w:rsidRPr="007666A4">
        <w:t xml:space="preserve">sobre la Fundación de los Mártires (Ley núm. 2/2016), que fue aprobado por decisión del </w:t>
      </w:r>
      <w:r w:rsidRPr="007666A4">
        <w:lastRenderedPageBreak/>
        <w:t xml:space="preserve">Consejo de Ministros (decisión núm. 169/2020) y se remitió a la Cámara de Representantes para su ratificación. </w:t>
      </w:r>
    </w:p>
    <w:p w14:paraId="167262AA" w14:textId="1283C37B" w:rsidR="007666A4" w:rsidRPr="007666A4" w:rsidRDefault="007666A4" w:rsidP="0000345C">
      <w:pPr>
        <w:pStyle w:val="SingleTxtG"/>
        <w:ind w:left="1701"/>
      </w:pPr>
      <w:r w:rsidRPr="007666A4">
        <w:tab/>
        <w:t>2.</w:t>
      </w:r>
      <w:r w:rsidR="00A013F5">
        <w:tab/>
      </w:r>
      <w:r w:rsidRPr="007666A4">
        <w:t xml:space="preserve">La instrucción dada al Ministerio de Salud para establecer, en cada provincia, comités médicos multidisciplinares a fin de llevar un seguimiento del estado de salud de los heridos y ofrecerles el tratamiento necesario en sus respectivas provincias. </w:t>
      </w:r>
    </w:p>
    <w:p w14:paraId="3D3FD82B" w14:textId="655D2316" w:rsidR="007666A4" w:rsidRPr="007666A4" w:rsidRDefault="007666A4" w:rsidP="0000345C">
      <w:pPr>
        <w:pStyle w:val="SingleTxtG"/>
        <w:ind w:left="1701"/>
      </w:pPr>
      <w:r w:rsidRPr="007666A4">
        <w:tab/>
        <w:t>3.</w:t>
      </w:r>
      <w:r w:rsidR="00A013F5">
        <w:tab/>
      </w:r>
      <w:r w:rsidRPr="007666A4">
        <w:t xml:space="preserve">La derivación de los heridos que no pueden ser tratados en el Iraq al comité pertinente del Ministerio de Salud para facilitar su tratamiento fuera del país. </w:t>
      </w:r>
    </w:p>
    <w:p w14:paraId="5554BD3D" w14:textId="4D9930DE" w:rsidR="007666A4" w:rsidRPr="007666A4" w:rsidRDefault="007666A4" w:rsidP="0000345C">
      <w:pPr>
        <w:pStyle w:val="SingleTxtG"/>
        <w:ind w:left="1701"/>
      </w:pPr>
      <w:r w:rsidRPr="007666A4">
        <w:tab/>
        <w:t>4.</w:t>
      </w:r>
      <w:r w:rsidR="00A013F5">
        <w:tab/>
      </w:r>
      <w:r w:rsidRPr="007666A4">
        <w:t xml:space="preserve">La concesión de una indemnización en metálico de 5 millones de dinares a las familias de los manifestantes fallecidos, según lo dispuesto en el artículo 9, párrafo 1, de la Ley núm. 20/2009, relativa a la Indemnización a los Perjudicados por las Operaciones Bélicas, los Errores Militares y los Atentados Terroristas. </w:t>
      </w:r>
    </w:p>
    <w:p w14:paraId="2EECC246" w14:textId="287889AE" w:rsidR="007666A4" w:rsidRPr="007666A4" w:rsidRDefault="007666A4" w:rsidP="0000345C">
      <w:pPr>
        <w:pStyle w:val="SingleTxtG"/>
        <w:ind w:left="1701"/>
      </w:pPr>
      <w:r w:rsidRPr="007666A4">
        <w:tab/>
        <w:t>5.</w:t>
      </w:r>
      <w:r w:rsidR="00A013F5">
        <w:tab/>
      </w:r>
      <w:r w:rsidRPr="007666A4">
        <w:t xml:space="preserve">La entrega a los manifestantes heridos de una indemnización en metálico de entre 2,5 y 5 millones de dinares, según su grado de discapacidad, con arreglo a lo dispuesto en el artículo 9 de la Ley núm. 20/2009, relativa a la Indemnización a los Perjudicados por las Operaciones Bélicas, los Errores Militares y los Atentados Terroristas. </w:t>
      </w:r>
    </w:p>
    <w:p w14:paraId="4BE5CD99" w14:textId="2259088D" w:rsidR="007666A4" w:rsidRPr="007666A4" w:rsidRDefault="007666A4" w:rsidP="0000345C">
      <w:pPr>
        <w:pStyle w:val="SingleTxtG"/>
        <w:ind w:left="1701"/>
      </w:pPr>
      <w:r w:rsidRPr="007666A4">
        <w:tab/>
        <w:t>6.</w:t>
      </w:r>
      <w:r w:rsidR="00A013F5">
        <w:tab/>
      </w:r>
      <w:r w:rsidRPr="007666A4">
        <w:t>La inclusión de las víctimas del movimiento de protesta pacífica de octubre de</w:t>
      </w:r>
      <w:r w:rsidR="00DC1E39">
        <w:t>  </w:t>
      </w:r>
      <w:r w:rsidRPr="007666A4">
        <w:t xml:space="preserve">2019 que hubiesen quedado físicamente incapacitadas para trabajar debido a una discapacidad o deficiencia derivada de esos hechos en la Ley núm. 38/2013 de Atención a las Personas con Discapacidad </w:t>
      </w:r>
      <w:r w:rsidR="00D95708">
        <w:t>y</w:t>
      </w:r>
      <w:r w:rsidRPr="007666A4">
        <w:t xml:space="preserve"> con Necesidades Especiales.</w:t>
      </w:r>
    </w:p>
    <w:p w14:paraId="4A0D3C13" w14:textId="7BE6CBBE" w:rsidR="007666A4" w:rsidRPr="007666A4" w:rsidRDefault="007666A4" w:rsidP="00A013F5">
      <w:pPr>
        <w:pStyle w:val="HChG"/>
      </w:pPr>
      <w:r w:rsidRPr="007666A4">
        <w:tab/>
        <w:t>II.</w:t>
      </w:r>
      <w:r w:rsidRPr="007666A4">
        <w:tab/>
        <w:t>Información sobre la aplicación de las disposiciones del</w:t>
      </w:r>
      <w:r w:rsidR="00A013F5">
        <w:t> </w:t>
      </w:r>
      <w:r w:rsidRPr="007666A4">
        <w:t>Pacto</w:t>
      </w:r>
      <w:r w:rsidR="00A013F5">
        <w:t> </w:t>
      </w:r>
      <w:r w:rsidRPr="007666A4">
        <w:t>Internacional y las observaciones finales</w:t>
      </w:r>
      <w:r w:rsidR="00A013F5">
        <w:br/>
      </w:r>
      <w:r w:rsidRPr="007666A4">
        <w:t>del Comité</w:t>
      </w:r>
    </w:p>
    <w:p w14:paraId="78C68867" w14:textId="0944EF64" w:rsidR="007666A4" w:rsidRPr="007666A4" w:rsidRDefault="007666A4" w:rsidP="00A013F5">
      <w:pPr>
        <w:pStyle w:val="H1G"/>
      </w:pPr>
      <w:r w:rsidRPr="007666A4">
        <w:tab/>
      </w:r>
      <w:r w:rsidRPr="007666A4">
        <w:tab/>
        <w:t>Artículo 2 y recomendación que figura en el párrafo 8 de las observaciones finales</w:t>
      </w:r>
    </w:p>
    <w:p w14:paraId="736BE002" w14:textId="0C179266" w:rsidR="007666A4" w:rsidRPr="007666A4" w:rsidRDefault="007666A4" w:rsidP="007666A4">
      <w:pPr>
        <w:pStyle w:val="SingleTxtG"/>
      </w:pPr>
      <w:r w:rsidRPr="007666A4">
        <w:t>7.</w:t>
      </w:r>
      <w:r w:rsidR="00A013F5">
        <w:tab/>
      </w:r>
      <w:r w:rsidRPr="007666A4">
        <w:t>El poder judicial dicta sus sentencias con arreglo a las leyes iraquíes vigentes, pero nada impide a los tribunales iraquíes fundamentar dichas sentencias en cualquier convenio internacional que el Iraq haya ratificado en el marco de los procedimientos legales seguidos al respecto. Dicho convenio se considera legislación interna y tiene la misma fuerza de ley que las leyes promulgadas por la autoridad legislativa iraquí. El poder judicial iraquí aplica las convenciones internacionales, incluido el Pacto Internacional de Derechos Económicos, Sociales y Culturales, tras su incorporación a la legislación nacional, al amparo de una ley que traduce las disposiciones de ese instrumento en legislación nacional detallada, vinculante para el poder judicial y susceptible de servir de base para fundamentar fallos judiciales. Los principios reconocidos en el Pacto Internacional de Derechos Económicos, Sociales y Culturales están incorporados en las leyes iraquíes y, por lo tanto, las aplicaciones de la justicia iraquí siguen de cerca las disposiciones del Pacto.</w:t>
      </w:r>
    </w:p>
    <w:p w14:paraId="0C7DB207" w14:textId="721B9D41" w:rsidR="007666A4" w:rsidRPr="007666A4" w:rsidRDefault="007666A4" w:rsidP="007666A4">
      <w:pPr>
        <w:pStyle w:val="SingleTxtG"/>
      </w:pPr>
      <w:r w:rsidRPr="007666A4">
        <w:t>8.</w:t>
      </w:r>
      <w:r w:rsidR="00A013F5">
        <w:tab/>
      </w:r>
      <w:r w:rsidRPr="007666A4">
        <w:t xml:space="preserve">Todas las dependencias de los ministerios y organismos independientes dedicadas a los derechos humanos tratan de concienciar a la población sobre los conceptos de derechos humanos contemplados en el Pacto mediante programas educativos y divulgativos, talleres y conferencias que se imparten de manera continuada durante todo el año. Estos programas instan a los ministerios e instituciones competentes a brindar servicios y preservar los derechos, y promueven el cumplimiento de las normas internacionales reconocidas en el Pacto. </w:t>
      </w:r>
    </w:p>
    <w:p w14:paraId="4D236F6A" w14:textId="7D211419" w:rsidR="007666A4" w:rsidRPr="007666A4" w:rsidRDefault="007666A4" w:rsidP="001577D2">
      <w:pPr>
        <w:pStyle w:val="H23G"/>
      </w:pPr>
      <w:r w:rsidRPr="007666A4">
        <w:tab/>
      </w:r>
      <w:r w:rsidRPr="007666A4">
        <w:tab/>
        <w:t>Recomendaciones que figuran en los párrafos 9 y 10</w:t>
      </w:r>
    </w:p>
    <w:p w14:paraId="63760A2D" w14:textId="6BAD445E" w:rsidR="007666A4" w:rsidRPr="007666A4" w:rsidRDefault="007666A4" w:rsidP="007666A4">
      <w:pPr>
        <w:pStyle w:val="SingleTxtG"/>
      </w:pPr>
      <w:r w:rsidRPr="007666A4">
        <w:t>9.</w:t>
      </w:r>
      <w:r w:rsidR="00A013F5">
        <w:tab/>
      </w:r>
      <w:r w:rsidRPr="007666A4">
        <w:t xml:space="preserve">En cuanto a la independencia del poder judicial, las normas relativas a los juicios imparciales y los derechos humanos, el artículo 87 de la Constitución establece que “el poder judicial es independiente y lo ejercen los tribunales”, mientras que el artículo 88 afirma que “el poder judicial es independiente y no está sometido a ninguna autoridad que no sea la de </w:t>
      </w:r>
      <w:r w:rsidRPr="007666A4">
        <w:lastRenderedPageBreak/>
        <w:t>la ley”. Las disposiciones contempladas en la Constitución y las leyes vigentes que regulan el poder judicial son consideradas una garantía básica sólida respecto del principio de independencia judicial y del cumplimiento de las normas relativas a los juicios imparciales que respeten los derechos humanos.</w:t>
      </w:r>
    </w:p>
    <w:p w14:paraId="427143ED" w14:textId="274F003D" w:rsidR="007666A4" w:rsidRPr="007666A4" w:rsidRDefault="007666A4" w:rsidP="007666A4">
      <w:pPr>
        <w:pStyle w:val="SingleTxtG"/>
      </w:pPr>
      <w:r w:rsidRPr="007666A4">
        <w:t>10.</w:t>
      </w:r>
      <w:r w:rsidR="00A013F5">
        <w:tab/>
      </w:r>
      <w:r w:rsidRPr="007666A4">
        <w:t>El Tribunal de lo Contencioso-Administrativo y el Tribunal Laboral se han separado del Ministerio de Justicia al independizarse y desvincularse del Consejo de Estado adscrito a ese ministerio en virtud de la Ley núm. 71/2017, por la que se modifica la Ley del Consejo Consultivo del Estado de 1979. Estas leyes consagran las salvaguardias judiciales y la imparcialidad judicial.</w:t>
      </w:r>
    </w:p>
    <w:p w14:paraId="0E47C44D" w14:textId="71083093" w:rsidR="007666A4" w:rsidRPr="007666A4" w:rsidRDefault="007666A4" w:rsidP="007666A4">
      <w:pPr>
        <w:pStyle w:val="SingleTxtG"/>
      </w:pPr>
      <w:r w:rsidRPr="007666A4">
        <w:t>11.</w:t>
      </w:r>
      <w:r w:rsidR="00A013F5">
        <w:tab/>
      </w:r>
      <w:r w:rsidRPr="007666A4">
        <w:t xml:space="preserve">Se promulgó la Ley núm. 70/2017, que acaba con la vinculación orgánica entre el Instituto Judicial y el Ministerio de Justicia, y que vincula el Instituto al Consejo Superior de la Magistratura, en calidad de órgano responsable de la capacitación y el nombramiento de los jueces y fiscales, y para resolver el problema de la duplicación de su administración. Asimismo, se han adoptado las medidas de seguridad necesarias para proteger a los jueces, mediante miembros de la policía judicial y escoltas del Ministerio del Interior. Estas medidas se siguen aplicando una vez los jueces se han jubilado. Los procedimientos de nombramiento de los jueces y fiscales se rigen por las disposiciones de Ley núm. 45/2017, relativa al Consejo Superior de la Magistratura, que regula el mecanismo de nombramiento de personal calificado del poder judicial, así como los miembros, presidentes y vicepresidentes de los tribunales, y la Ley núm. 49/2007, de la Fiscalía, que, en su artículo 1, dispone que: a) La </w:t>
      </w:r>
      <w:r w:rsidR="000503F1">
        <w:t>f</w:t>
      </w:r>
      <w:r w:rsidRPr="007666A4">
        <w:t xml:space="preserve">iscalía se constituirá, como parte del poder judicial federal, con independencia financiera y administrativa, y tendrá su sede en Bagdad; b) La </w:t>
      </w:r>
      <w:r w:rsidR="000503F1">
        <w:t>f</w:t>
      </w:r>
      <w:r w:rsidRPr="007666A4">
        <w:t xml:space="preserve">iscalía gozará de personalidad jurídica y estará representada por el Fiscal General o quien esté autorizado para actuar en su nombre. Ambas </w:t>
      </w:r>
      <w:r w:rsidR="001C4B93" w:rsidRPr="007666A4">
        <w:t xml:space="preserve">Leyes </w:t>
      </w:r>
      <w:r w:rsidRPr="007666A4">
        <w:t>fueron promulgadas con el fin de establecer el procedimiento de constitución, las competencias y las normas de funcionamiento del Consejo Superior de la Magistratura en consonancia con los avances en la esfera constitucional, legislativa y judicial en el Iraq y con el fin de que el Consejo pueda ejercer las prerrogativas que le confiere la Constitución.</w:t>
      </w:r>
    </w:p>
    <w:p w14:paraId="72427258" w14:textId="3958F0CA" w:rsidR="007666A4" w:rsidRPr="007666A4" w:rsidRDefault="007666A4" w:rsidP="007666A4">
      <w:pPr>
        <w:pStyle w:val="SingleTxtG"/>
      </w:pPr>
      <w:r w:rsidRPr="007666A4">
        <w:t>12.</w:t>
      </w:r>
      <w:r w:rsidR="00A013F5">
        <w:tab/>
      </w:r>
      <w:r w:rsidRPr="007666A4">
        <w:t>Existe un comité disciplinario competente para investigar los casos de corrupción o cualquier tipo de abuso por parte de jueces y fiscales. Si este comité determina que un juez ha cometido un delito, lo remitirá a los tribunales como acusado, donde será sometido a un juicio imparcial de acuerdo con la ley.</w:t>
      </w:r>
    </w:p>
    <w:p w14:paraId="7A2998E5" w14:textId="0F114076" w:rsidR="007666A4" w:rsidRPr="007666A4" w:rsidRDefault="007666A4" w:rsidP="00A013F5">
      <w:pPr>
        <w:pStyle w:val="H1G"/>
      </w:pPr>
      <w:r w:rsidRPr="007666A4">
        <w:tab/>
      </w:r>
      <w:r w:rsidRPr="007666A4">
        <w:tab/>
        <w:t>Artículo 1 y recomendación que figura en el párrafo 14</w:t>
      </w:r>
    </w:p>
    <w:p w14:paraId="28DB7E02" w14:textId="1FA5505F" w:rsidR="007666A4" w:rsidRPr="007666A4" w:rsidRDefault="007666A4" w:rsidP="007666A4">
      <w:pPr>
        <w:pStyle w:val="SingleTxtG"/>
      </w:pPr>
      <w:r w:rsidRPr="007666A4">
        <w:t>13.</w:t>
      </w:r>
      <w:r w:rsidR="00A013F5">
        <w:tab/>
      </w:r>
      <w:r w:rsidRPr="007666A4">
        <w:t xml:space="preserve">El Gobierno del partido Baaz creó campamentos forzosos para los migrantes y desplazados en tierras pertenecientes a cristianos con objeto de sembrar el caos y suscitar el rencor entre ellos. La región del Kurdistán está trabajando para dar seguimiento a estos problemas y resolverlos. En aplicación de esa política, el Gobierno del partido Baaz construyó en 1978 un campamento forzoso en tierras pertenecientes a cristianos de la zona de Kafana, en la provincia de Dehok, para acoger a los desplazados del distrito de Yuman. En 1992 se publicaron instrucciones específicas para estas aldeas, que incluían la concesión de tierras para los campesinos cristianos y musulmanes. Sin embargo, algunos de ellos no comparecieron ante el comité en el momento establecido por ley, sino que lo hicieron siete años más tarde. Por consiguiente, las tierras se concedieron a las 46 personas que comparecieron. Si bien los cristianos se demoraron mucho en acudir al comité, que supervisaba la distribución de tierras en sus regiones dentro del plazo legal de 30 días estipulado en la Ley de Reforma Agraria, el gobierno regional del Kurdistán estableció un Comité Especial para el Seguimiento de los Asuntos Cristianos, que ahora se encuentra en las etapas finales de su labor. Por tratarse de una situación “excepcional”, las tierras les han sido restituidas a los cristianos en reconocimiento de su patriotismo y de la buena convivencia de que han hecho gala a lo largo de los años. El gobierno regional se toma muy en serio el problema de los afectados por este proyecto, tanto de los propietarios originales como de quienes han explotado esas tierras durante más de 20 años. </w:t>
      </w:r>
    </w:p>
    <w:p w14:paraId="077DCD19" w14:textId="10904FB7" w:rsidR="007666A4" w:rsidRPr="007666A4" w:rsidRDefault="007666A4" w:rsidP="007666A4">
      <w:pPr>
        <w:pStyle w:val="SingleTxtG"/>
      </w:pPr>
      <w:r w:rsidRPr="007666A4">
        <w:t>14.</w:t>
      </w:r>
      <w:r w:rsidR="00A013F5">
        <w:tab/>
      </w:r>
      <w:r w:rsidRPr="007666A4">
        <w:t xml:space="preserve">A petición de la Alta Comisión Independiente de Derechos Humanos, los residentes de varias aldeas cristianas, incluida la aldea de Kashkawa en el subdistrito </w:t>
      </w:r>
      <w:r w:rsidRPr="001C4B93">
        <w:rPr>
          <w:i/>
          <w:iCs/>
        </w:rPr>
        <w:t>(nahiya)</w:t>
      </w:r>
      <w:r w:rsidRPr="007666A4">
        <w:t xml:space="preserve"> de Dinariya del distrito de Aqra, presentaron una queja ante la Presidencia del Consejo de </w:t>
      </w:r>
      <w:r w:rsidRPr="007666A4">
        <w:lastRenderedPageBreak/>
        <w:t xml:space="preserve">Ministros el 10 de mayo de 2016 en relación con la necesidad de encontrar una solución a los problemas de los habitantes de esas aldeas. El 28 de agosto de 2016, se creó un comité bajo la supervisión del Gobernador de Dehok, a fin de dar seguimiento y resolver las cuestiones y problemas relacionados con la usurpación de propiedades de ciudadanos cristianos en la provincia de Dehok, de conformidad con las instrucciones seguidas en la región del Kurdistán. Con objeto de resolver el problema, el 26 de octubre de 2016 se celebró una reunión en Erbil, en el parlamento de la región del Kurdistán, en presencia de los actores relevantes. </w:t>
      </w:r>
    </w:p>
    <w:p w14:paraId="0031FEAB" w14:textId="50414260" w:rsidR="007666A4" w:rsidRPr="007666A4" w:rsidRDefault="007666A4" w:rsidP="007666A4">
      <w:pPr>
        <w:pStyle w:val="SingleTxtG"/>
      </w:pPr>
      <w:r w:rsidRPr="007666A4">
        <w:t>15.</w:t>
      </w:r>
      <w:r w:rsidR="00A013F5">
        <w:tab/>
      </w:r>
      <w:r w:rsidRPr="001577D2">
        <w:t>Terrenos del Aeropuerto Internacional de Erbil:</w:t>
      </w:r>
      <w:r w:rsidRPr="007666A4">
        <w:t xml:space="preserve"> Ankawa se encuentra situada al noroeste de la ciudad de Erbil, y la mayoría de sus residentes son cristianos. En 2004, el gobierno regional del Kurdistán adoptó la decisión de construir el aeropuerto de Erbil cerca de este municipio y, a tal efecto, se rescindieron los contratos de aparcería sobre más de 10.000 </w:t>
      </w:r>
      <w:r w:rsidRPr="007666A4">
        <w:rPr>
          <w:i/>
          <w:iCs/>
        </w:rPr>
        <w:t xml:space="preserve">dunums </w:t>
      </w:r>
      <w:r w:rsidRPr="007666A4">
        <w:t xml:space="preserve">de tierras agrícolas de los que eran titulares campesinos de la zona. Luego se amplió el aeropuerto añadiéndole otros 1.000 </w:t>
      </w:r>
      <w:r w:rsidRPr="007666A4">
        <w:rPr>
          <w:i/>
          <w:iCs/>
        </w:rPr>
        <w:t>dunums</w:t>
      </w:r>
      <w:r w:rsidRPr="007666A4">
        <w:t>. Se dictaron varias decisiones sobre este asunto, entre ellas las relativas a la indemnización a varios propietarios por las tierras sobre las que se había levantado el aeropuerto. Aproximadamente 40 personas, de un total de</w:t>
      </w:r>
      <w:r w:rsidR="001C4B93">
        <w:t> </w:t>
      </w:r>
      <w:r w:rsidRPr="007666A4">
        <w:t>223, recibieron indemnizaciones. Habida cuenta de la situación de la economía y de la insuficiencia del presupuesto designado a tal fin, no todas fueron indemnizadas, si bien el Ministerio de Agricultura anunció que los propietarios de las tierras serían compensados con otras tierras agrícolas y que, de no haber tierras disponibles, recibirían una compensación en metálico.</w:t>
      </w:r>
    </w:p>
    <w:p w14:paraId="19039DA5" w14:textId="729C2ACC" w:rsidR="007666A4" w:rsidRPr="007666A4" w:rsidRDefault="007666A4" w:rsidP="001577D2">
      <w:pPr>
        <w:pStyle w:val="H23G"/>
      </w:pPr>
      <w:r w:rsidRPr="007666A4">
        <w:tab/>
      </w:r>
      <w:r w:rsidRPr="007666A4">
        <w:tab/>
        <w:t>Recomendación que figura</w:t>
      </w:r>
      <w:r w:rsidRPr="007666A4" w:rsidDel="00D35640">
        <w:t xml:space="preserve"> </w:t>
      </w:r>
      <w:r w:rsidRPr="007666A4">
        <w:t>en el párrafo 18</w:t>
      </w:r>
    </w:p>
    <w:p w14:paraId="3AC38D46" w14:textId="2C0B4428" w:rsidR="007666A4" w:rsidRPr="007666A4" w:rsidRDefault="007666A4" w:rsidP="007666A4">
      <w:pPr>
        <w:pStyle w:val="SingleTxtG"/>
      </w:pPr>
      <w:r w:rsidRPr="007666A4">
        <w:t>16.</w:t>
      </w:r>
      <w:r w:rsidR="00A013F5">
        <w:tab/>
      </w:r>
      <w:r w:rsidRPr="007666A4">
        <w:t xml:space="preserve">La Alta Comisión Independiente de Derechos Humanos se creó en 2008 como un organismo nacional, independiente del Gobierno, dedicado a los derechos humanos. Goza de personalidad jurídica e independencia financiera y administrativa, y está vinculada a la Cámara de Representantes. Tiene como objetivo garantizar la protección y la promoción del respeto de los derechos humanos en el Iraq, así como la protección de los derechos y libertades, y la consolidación, el fomento y el desarrollo de los valores de los derechos humanos. Asimismo, se coordina con las autoridades competentes para lograr sus objetivos, preparar estudios e investigaciones, examinar la legislación, presentar propuestas de adhesión a tratados, cooperar con la sociedad civil y trabajar para difundir la cultura de los derechos humanos. Asimismo, recibe las denuncias de personas, grupos y organizaciones sobre violaciones de derechos humanos y lleva a cabo visitas a prisiones, comisarías y centros correccionales. </w:t>
      </w:r>
    </w:p>
    <w:p w14:paraId="78337D7D" w14:textId="1659F797" w:rsidR="007666A4" w:rsidRPr="007666A4" w:rsidRDefault="007666A4" w:rsidP="00A013F5">
      <w:pPr>
        <w:pStyle w:val="SingleTxtG"/>
      </w:pPr>
      <w:r w:rsidRPr="007666A4">
        <w:t>17.</w:t>
      </w:r>
      <w:r w:rsidR="00A013F5">
        <w:tab/>
      </w:r>
      <w:r w:rsidRPr="007666A4">
        <w:t>El Gobierno del Iraq financia el presupuesto de la Comisión y la dota de recursos humanos y financieros para ejecutar el mandato que le ha sido encomendado por ley, según se muestra a continuación</w:t>
      </w:r>
      <w:r w:rsidR="001577D2">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804"/>
        <w:gridCol w:w="2408"/>
        <w:gridCol w:w="1269"/>
        <w:gridCol w:w="1620"/>
        <w:gridCol w:w="1269"/>
      </w:tblGrid>
      <w:tr w:rsidR="00A013F5" w:rsidRPr="00A013F5" w14:paraId="2B69AC1C" w14:textId="77777777" w:rsidTr="00DF2A6E">
        <w:trPr>
          <w:trHeight w:val="240"/>
          <w:tblHeader/>
        </w:trPr>
        <w:tc>
          <w:tcPr>
            <w:tcW w:w="804" w:type="dxa"/>
            <w:tcBorders>
              <w:top w:val="single" w:sz="4" w:space="0" w:color="auto"/>
              <w:bottom w:val="single" w:sz="12" w:space="0" w:color="auto"/>
            </w:tcBorders>
            <w:shd w:val="clear" w:color="auto" w:fill="auto"/>
            <w:vAlign w:val="bottom"/>
          </w:tcPr>
          <w:p w14:paraId="6A62291B" w14:textId="77777777" w:rsidR="007666A4" w:rsidRPr="00A013F5" w:rsidRDefault="007666A4" w:rsidP="00A013F5">
            <w:pPr>
              <w:pStyle w:val="SingleTxtG"/>
              <w:tabs>
                <w:tab w:val="clear" w:pos="1701"/>
                <w:tab w:val="clear" w:pos="2268"/>
                <w:tab w:val="clear" w:pos="2835"/>
              </w:tabs>
              <w:spacing w:before="80" w:after="80" w:line="200" w:lineRule="exact"/>
              <w:ind w:left="0" w:right="0"/>
              <w:jc w:val="left"/>
              <w:rPr>
                <w:i/>
                <w:iCs/>
                <w:sz w:val="16"/>
              </w:rPr>
            </w:pPr>
            <w:r w:rsidRPr="00A013F5">
              <w:rPr>
                <w:i/>
                <w:iCs/>
                <w:sz w:val="16"/>
              </w:rPr>
              <w:t>Año</w:t>
            </w:r>
          </w:p>
        </w:tc>
        <w:tc>
          <w:tcPr>
            <w:tcW w:w="2408" w:type="dxa"/>
            <w:tcBorders>
              <w:top w:val="single" w:sz="4" w:space="0" w:color="auto"/>
              <w:bottom w:val="single" w:sz="12" w:space="0" w:color="auto"/>
            </w:tcBorders>
            <w:shd w:val="clear" w:color="auto" w:fill="auto"/>
            <w:vAlign w:val="bottom"/>
          </w:tcPr>
          <w:p w14:paraId="52CFE506" w14:textId="77777777" w:rsidR="007666A4" w:rsidRPr="00A013F5" w:rsidRDefault="007666A4" w:rsidP="00A013F5">
            <w:pPr>
              <w:pStyle w:val="SingleTxtG"/>
              <w:tabs>
                <w:tab w:val="clear" w:pos="1701"/>
                <w:tab w:val="clear" w:pos="2268"/>
                <w:tab w:val="clear" w:pos="2835"/>
              </w:tabs>
              <w:spacing w:before="80" w:after="80" w:line="200" w:lineRule="exact"/>
              <w:ind w:left="57" w:right="28"/>
              <w:jc w:val="right"/>
              <w:rPr>
                <w:i/>
                <w:iCs/>
                <w:sz w:val="16"/>
              </w:rPr>
            </w:pPr>
            <w:r w:rsidRPr="00A013F5">
              <w:rPr>
                <w:i/>
                <w:iCs/>
                <w:sz w:val="16"/>
              </w:rPr>
              <w:t>Presupuesto total del Estado (gastos)/miles de dinares</w:t>
            </w:r>
          </w:p>
        </w:tc>
        <w:tc>
          <w:tcPr>
            <w:tcW w:w="1269" w:type="dxa"/>
            <w:tcBorders>
              <w:top w:val="single" w:sz="4" w:space="0" w:color="auto"/>
              <w:bottom w:val="single" w:sz="12" w:space="0" w:color="auto"/>
            </w:tcBorders>
            <w:shd w:val="clear" w:color="auto" w:fill="auto"/>
            <w:vAlign w:val="bottom"/>
          </w:tcPr>
          <w:p w14:paraId="0C91E675" w14:textId="77777777" w:rsidR="007666A4" w:rsidRPr="00A013F5" w:rsidRDefault="007666A4" w:rsidP="00A013F5">
            <w:pPr>
              <w:pStyle w:val="SingleTxtG"/>
              <w:tabs>
                <w:tab w:val="clear" w:pos="1701"/>
                <w:tab w:val="clear" w:pos="2268"/>
                <w:tab w:val="clear" w:pos="2835"/>
              </w:tabs>
              <w:spacing w:before="80" w:after="80" w:line="200" w:lineRule="exact"/>
              <w:ind w:left="57" w:right="28"/>
              <w:jc w:val="right"/>
              <w:rPr>
                <w:i/>
                <w:iCs/>
                <w:sz w:val="16"/>
              </w:rPr>
            </w:pPr>
            <w:r w:rsidRPr="00A013F5">
              <w:rPr>
                <w:i/>
                <w:iCs/>
                <w:sz w:val="16"/>
              </w:rPr>
              <w:t>Plantilla</w:t>
            </w:r>
          </w:p>
        </w:tc>
        <w:tc>
          <w:tcPr>
            <w:tcW w:w="1620" w:type="dxa"/>
            <w:tcBorders>
              <w:top w:val="single" w:sz="4" w:space="0" w:color="auto"/>
              <w:bottom w:val="single" w:sz="12" w:space="0" w:color="auto"/>
            </w:tcBorders>
            <w:shd w:val="clear" w:color="auto" w:fill="auto"/>
            <w:vAlign w:val="bottom"/>
          </w:tcPr>
          <w:p w14:paraId="5442D0B9" w14:textId="77777777" w:rsidR="007666A4" w:rsidRPr="00A013F5" w:rsidRDefault="007666A4" w:rsidP="00A013F5">
            <w:pPr>
              <w:pStyle w:val="SingleTxtG"/>
              <w:tabs>
                <w:tab w:val="clear" w:pos="1701"/>
                <w:tab w:val="clear" w:pos="2268"/>
                <w:tab w:val="clear" w:pos="2835"/>
              </w:tabs>
              <w:spacing w:before="80" w:after="80" w:line="200" w:lineRule="exact"/>
              <w:ind w:left="57" w:right="28"/>
              <w:jc w:val="right"/>
              <w:rPr>
                <w:i/>
                <w:iCs/>
                <w:sz w:val="16"/>
              </w:rPr>
            </w:pPr>
            <w:r w:rsidRPr="00A013F5">
              <w:rPr>
                <w:i/>
                <w:iCs/>
                <w:sz w:val="16"/>
              </w:rPr>
              <w:t>Ejecutivo</w:t>
            </w:r>
          </w:p>
        </w:tc>
        <w:tc>
          <w:tcPr>
            <w:tcW w:w="1269" w:type="dxa"/>
            <w:tcBorders>
              <w:top w:val="single" w:sz="4" w:space="0" w:color="auto"/>
              <w:bottom w:val="single" w:sz="12" w:space="0" w:color="auto"/>
            </w:tcBorders>
            <w:shd w:val="clear" w:color="auto" w:fill="auto"/>
            <w:vAlign w:val="bottom"/>
          </w:tcPr>
          <w:p w14:paraId="224E2838" w14:textId="77777777" w:rsidR="007666A4" w:rsidRPr="00A013F5" w:rsidRDefault="007666A4" w:rsidP="00A013F5">
            <w:pPr>
              <w:pStyle w:val="SingleTxtG"/>
              <w:tabs>
                <w:tab w:val="clear" w:pos="1701"/>
                <w:tab w:val="clear" w:pos="2268"/>
                <w:tab w:val="clear" w:pos="2835"/>
              </w:tabs>
              <w:spacing w:before="80" w:after="80" w:line="200" w:lineRule="exact"/>
              <w:ind w:left="57" w:right="28"/>
              <w:jc w:val="right"/>
              <w:rPr>
                <w:i/>
                <w:iCs/>
                <w:sz w:val="16"/>
              </w:rPr>
            </w:pPr>
            <w:r w:rsidRPr="00A013F5">
              <w:rPr>
                <w:i/>
                <w:iCs/>
                <w:sz w:val="16"/>
              </w:rPr>
              <w:t>Inversión</w:t>
            </w:r>
          </w:p>
        </w:tc>
      </w:tr>
      <w:tr w:rsidR="00DF2A6E" w:rsidRPr="00A013F5" w14:paraId="74635D15" w14:textId="77777777" w:rsidTr="00DF2A6E">
        <w:trPr>
          <w:trHeight w:val="240"/>
        </w:trPr>
        <w:tc>
          <w:tcPr>
            <w:tcW w:w="804" w:type="dxa"/>
            <w:tcBorders>
              <w:top w:val="single" w:sz="12" w:space="0" w:color="auto"/>
            </w:tcBorders>
            <w:shd w:val="clear" w:color="auto" w:fill="auto"/>
          </w:tcPr>
          <w:p w14:paraId="0FFC77C1" w14:textId="77777777" w:rsidR="00DF2A6E" w:rsidRPr="00A013F5" w:rsidRDefault="00DF2A6E" w:rsidP="00DF2A6E">
            <w:pPr>
              <w:pStyle w:val="SingleTxtG"/>
              <w:tabs>
                <w:tab w:val="clear" w:pos="1701"/>
                <w:tab w:val="clear" w:pos="2268"/>
                <w:tab w:val="clear" w:pos="2835"/>
              </w:tabs>
              <w:spacing w:before="40" w:after="40" w:line="220" w:lineRule="exact"/>
              <w:ind w:left="0" w:right="0"/>
              <w:jc w:val="left"/>
              <w:rPr>
                <w:sz w:val="18"/>
              </w:rPr>
            </w:pPr>
            <w:r w:rsidRPr="00A013F5">
              <w:rPr>
                <w:sz w:val="18"/>
              </w:rPr>
              <w:t>2013</w:t>
            </w:r>
          </w:p>
        </w:tc>
        <w:tc>
          <w:tcPr>
            <w:tcW w:w="2408" w:type="dxa"/>
            <w:tcBorders>
              <w:top w:val="single" w:sz="12" w:space="0" w:color="auto"/>
            </w:tcBorders>
            <w:shd w:val="clear" w:color="auto" w:fill="auto"/>
            <w:vAlign w:val="bottom"/>
          </w:tcPr>
          <w:p w14:paraId="638AE8D3" w14:textId="4AD7B932" w:rsidR="00DF2A6E" w:rsidRPr="00A013F5" w:rsidRDefault="00DF2A6E" w:rsidP="00DF2A6E">
            <w:pPr>
              <w:pStyle w:val="SingleTxtG"/>
              <w:tabs>
                <w:tab w:val="clear" w:pos="1701"/>
                <w:tab w:val="clear" w:pos="2268"/>
                <w:tab w:val="clear" w:pos="2835"/>
              </w:tabs>
              <w:spacing w:before="40" w:after="40" w:line="220" w:lineRule="exact"/>
              <w:ind w:left="57" w:right="28"/>
              <w:jc w:val="right"/>
              <w:rPr>
                <w:sz w:val="18"/>
                <w:szCs w:val="18"/>
              </w:rPr>
            </w:pPr>
            <w:r w:rsidRPr="001629FD">
              <w:rPr>
                <w:sz w:val="18"/>
              </w:rPr>
              <w:t>138 424 608 000</w:t>
            </w:r>
          </w:p>
        </w:tc>
        <w:tc>
          <w:tcPr>
            <w:tcW w:w="1269" w:type="dxa"/>
            <w:tcBorders>
              <w:top w:val="single" w:sz="12" w:space="0" w:color="auto"/>
            </w:tcBorders>
            <w:shd w:val="clear" w:color="auto" w:fill="auto"/>
            <w:vAlign w:val="bottom"/>
          </w:tcPr>
          <w:p w14:paraId="6312CBF4" w14:textId="77777777" w:rsidR="00DF2A6E" w:rsidRPr="00A013F5" w:rsidRDefault="00DF2A6E" w:rsidP="00DF2A6E">
            <w:pPr>
              <w:pStyle w:val="SingleTxtG"/>
              <w:tabs>
                <w:tab w:val="clear" w:pos="1701"/>
                <w:tab w:val="clear" w:pos="2268"/>
                <w:tab w:val="clear" w:pos="2835"/>
              </w:tabs>
              <w:spacing w:before="40" w:after="40" w:line="220" w:lineRule="exact"/>
              <w:ind w:left="57" w:right="28"/>
              <w:jc w:val="right"/>
              <w:rPr>
                <w:sz w:val="18"/>
                <w:szCs w:val="18"/>
              </w:rPr>
            </w:pPr>
            <w:r w:rsidRPr="00A013F5">
              <w:rPr>
                <w:sz w:val="18"/>
                <w:szCs w:val="18"/>
              </w:rPr>
              <w:t>111</w:t>
            </w:r>
          </w:p>
        </w:tc>
        <w:tc>
          <w:tcPr>
            <w:tcW w:w="1620" w:type="dxa"/>
            <w:tcBorders>
              <w:top w:val="single" w:sz="12" w:space="0" w:color="auto"/>
            </w:tcBorders>
            <w:shd w:val="clear" w:color="auto" w:fill="auto"/>
            <w:vAlign w:val="bottom"/>
          </w:tcPr>
          <w:p w14:paraId="63273FA8" w14:textId="0D7C86C0" w:rsidR="00DF2A6E" w:rsidRPr="00A013F5" w:rsidRDefault="00DF2A6E" w:rsidP="00DF2A6E">
            <w:pPr>
              <w:pStyle w:val="SingleTxtG"/>
              <w:tabs>
                <w:tab w:val="clear" w:pos="1701"/>
                <w:tab w:val="clear" w:pos="2268"/>
                <w:tab w:val="clear" w:pos="2835"/>
              </w:tabs>
              <w:spacing w:before="40" w:after="40" w:line="220" w:lineRule="exact"/>
              <w:ind w:left="57" w:right="28"/>
              <w:jc w:val="right"/>
              <w:rPr>
                <w:sz w:val="18"/>
                <w:szCs w:val="18"/>
                <w:rtl/>
              </w:rPr>
            </w:pPr>
            <w:r w:rsidRPr="001629FD">
              <w:rPr>
                <w:sz w:val="18"/>
              </w:rPr>
              <w:t>20 675 000</w:t>
            </w:r>
          </w:p>
        </w:tc>
        <w:tc>
          <w:tcPr>
            <w:tcW w:w="1269" w:type="dxa"/>
            <w:tcBorders>
              <w:top w:val="single" w:sz="12" w:space="0" w:color="auto"/>
            </w:tcBorders>
            <w:shd w:val="clear" w:color="auto" w:fill="auto"/>
            <w:vAlign w:val="bottom"/>
          </w:tcPr>
          <w:p w14:paraId="73C1FF12" w14:textId="77777777" w:rsidR="00DF2A6E" w:rsidRPr="00A013F5" w:rsidRDefault="00DF2A6E" w:rsidP="00DF2A6E">
            <w:pPr>
              <w:pStyle w:val="SingleTxtG"/>
              <w:tabs>
                <w:tab w:val="clear" w:pos="1701"/>
                <w:tab w:val="clear" w:pos="2268"/>
                <w:tab w:val="clear" w:pos="2835"/>
              </w:tabs>
              <w:spacing w:before="40" w:after="40" w:line="220" w:lineRule="exact"/>
              <w:ind w:left="57" w:right="28"/>
              <w:jc w:val="right"/>
              <w:rPr>
                <w:sz w:val="18"/>
                <w:szCs w:val="18"/>
              </w:rPr>
            </w:pPr>
            <w:r w:rsidRPr="00A013F5">
              <w:rPr>
                <w:sz w:val="18"/>
                <w:szCs w:val="18"/>
              </w:rPr>
              <w:t>0</w:t>
            </w:r>
          </w:p>
        </w:tc>
      </w:tr>
      <w:tr w:rsidR="00DF2A6E" w:rsidRPr="00A013F5" w14:paraId="1FE25129" w14:textId="77777777" w:rsidTr="00DF2A6E">
        <w:trPr>
          <w:trHeight w:val="240"/>
        </w:trPr>
        <w:tc>
          <w:tcPr>
            <w:tcW w:w="804" w:type="dxa"/>
            <w:shd w:val="clear" w:color="auto" w:fill="auto"/>
          </w:tcPr>
          <w:p w14:paraId="22F6DF19" w14:textId="77777777" w:rsidR="00DF2A6E" w:rsidRPr="00A013F5" w:rsidRDefault="00DF2A6E" w:rsidP="00DF2A6E">
            <w:pPr>
              <w:pStyle w:val="SingleTxtG"/>
              <w:tabs>
                <w:tab w:val="clear" w:pos="1701"/>
                <w:tab w:val="clear" w:pos="2268"/>
                <w:tab w:val="clear" w:pos="2835"/>
              </w:tabs>
              <w:spacing w:before="40" w:after="40" w:line="220" w:lineRule="exact"/>
              <w:ind w:left="0" w:right="0"/>
              <w:jc w:val="left"/>
              <w:rPr>
                <w:sz w:val="18"/>
              </w:rPr>
            </w:pPr>
            <w:r w:rsidRPr="00A013F5">
              <w:rPr>
                <w:sz w:val="18"/>
              </w:rPr>
              <w:t>2015</w:t>
            </w:r>
          </w:p>
        </w:tc>
        <w:tc>
          <w:tcPr>
            <w:tcW w:w="2408" w:type="dxa"/>
            <w:shd w:val="clear" w:color="auto" w:fill="auto"/>
            <w:vAlign w:val="bottom"/>
          </w:tcPr>
          <w:p w14:paraId="73D98E48" w14:textId="0422D4CA" w:rsidR="00DF2A6E" w:rsidRPr="00A013F5" w:rsidRDefault="00DF2A6E" w:rsidP="00DF2A6E">
            <w:pPr>
              <w:pStyle w:val="SingleTxtG"/>
              <w:tabs>
                <w:tab w:val="clear" w:pos="1701"/>
                <w:tab w:val="clear" w:pos="2268"/>
                <w:tab w:val="clear" w:pos="2835"/>
              </w:tabs>
              <w:spacing w:before="40" w:after="40" w:line="220" w:lineRule="exact"/>
              <w:ind w:left="57" w:right="28"/>
              <w:jc w:val="right"/>
              <w:rPr>
                <w:sz w:val="18"/>
                <w:szCs w:val="18"/>
                <w:rtl/>
              </w:rPr>
            </w:pPr>
            <w:r w:rsidRPr="001629FD">
              <w:rPr>
                <w:sz w:val="18"/>
              </w:rPr>
              <w:t>119 462 429 549</w:t>
            </w:r>
          </w:p>
        </w:tc>
        <w:tc>
          <w:tcPr>
            <w:tcW w:w="1269" w:type="dxa"/>
            <w:shd w:val="clear" w:color="auto" w:fill="auto"/>
            <w:vAlign w:val="bottom"/>
          </w:tcPr>
          <w:p w14:paraId="7C3455F1" w14:textId="77777777" w:rsidR="00DF2A6E" w:rsidRPr="00A013F5" w:rsidRDefault="00DF2A6E" w:rsidP="00DF2A6E">
            <w:pPr>
              <w:pStyle w:val="SingleTxtG"/>
              <w:tabs>
                <w:tab w:val="clear" w:pos="1701"/>
                <w:tab w:val="clear" w:pos="2268"/>
                <w:tab w:val="clear" w:pos="2835"/>
              </w:tabs>
              <w:spacing w:before="40" w:after="40" w:line="220" w:lineRule="exact"/>
              <w:ind w:left="57" w:right="28"/>
              <w:jc w:val="right"/>
              <w:rPr>
                <w:sz w:val="18"/>
                <w:szCs w:val="18"/>
              </w:rPr>
            </w:pPr>
            <w:r w:rsidRPr="00A013F5">
              <w:rPr>
                <w:sz w:val="18"/>
                <w:szCs w:val="18"/>
              </w:rPr>
              <w:t>111</w:t>
            </w:r>
          </w:p>
        </w:tc>
        <w:tc>
          <w:tcPr>
            <w:tcW w:w="1620" w:type="dxa"/>
            <w:shd w:val="clear" w:color="auto" w:fill="auto"/>
            <w:vAlign w:val="bottom"/>
          </w:tcPr>
          <w:p w14:paraId="7ED1ED11" w14:textId="231A135D" w:rsidR="00DF2A6E" w:rsidRPr="00A013F5" w:rsidRDefault="00DF2A6E" w:rsidP="00DF2A6E">
            <w:pPr>
              <w:pStyle w:val="SingleTxtG"/>
              <w:tabs>
                <w:tab w:val="clear" w:pos="1701"/>
                <w:tab w:val="clear" w:pos="2268"/>
                <w:tab w:val="clear" w:pos="2835"/>
              </w:tabs>
              <w:spacing w:before="40" w:after="40" w:line="220" w:lineRule="exact"/>
              <w:ind w:left="57" w:right="28"/>
              <w:jc w:val="right"/>
              <w:rPr>
                <w:sz w:val="18"/>
                <w:szCs w:val="18"/>
                <w:rtl/>
              </w:rPr>
            </w:pPr>
            <w:r w:rsidRPr="001629FD">
              <w:rPr>
                <w:sz w:val="18"/>
              </w:rPr>
              <w:t>19 840 660</w:t>
            </w:r>
          </w:p>
        </w:tc>
        <w:tc>
          <w:tcPr>
            <w:tcW w:w="1269" w:type="dxa"/>
            <w:shd w:val="clear" w:color="auto" w:fill="auto"/>
            <w:vAlign w:val="bottom"/>
          </w:tcPr>
          <w:p w14:paraId="5680A261" w14:textId="77777777" w:rsidR="00DF2A6E" w:rsidRPr="00A013F5" w:rsidRDefault="00DF2A6E" w:rsidP="00DF2A6E">
            <w:pPr>
              <w:pStyle w:val="SingleTxtG"/>
              <w:tabs>
                <w:tab w:val="clear" w:pos="1701"/>
                <w:tab w:val="clear" w:pos="2268"/>
                <w:tab w:val="clear" w:pos="2835"/>
              </w:tabs>
              <w:spacing w:before="40" w:after="40" w:line="220" w:lineRule="exact"/>
              <w:ind w:left="57" w:right="28"/>
              <w:jc w:val="right"/>
              <w:rPr>
                <w:sz w:val="18"/>
                <w:szCs w:val="18"/>
              </w:rPr>
            </w:pPr>
            <w:r w:rsidRPr="00A013F5">
              <w:rPr>
                <w:sz w:val="18"/>
                <w:szCs w:val="18"/>
              </w:rPr>
              <w:t>0</w:t>
            </w:r>
          </w:p>
        </w:tc>
      </w:tr>
      <w:tr w:rsidR="00DF2A6E" w:rsidRPr="00A013F5" w14:paraId="1FAB4877" w14:textId="77777777" w:rsidTr="00DF2A6E">
        <w:trPr>
          <w:trHeight w:val="240"/>
        </w:trPr>
        <w:tc>
          <w:tcPr>
            <w:tcW w:w="804" w:type="dxa"/>
            <w:shd w:val="clear" w:color="auto" w:fill="auto"/>
          </w:tcPr>
          <w:p w14:paraId="48505747" w14:textId="77777777" w:rsidR="00DF2A6E" w:rsidRPr="00A013F5" w:rsidRDefault="00DF2A6E" w:rsidP="00DF2A6E">
            <w:pPr>
              <w:pStyle w:val="SingleTxtG"/>
              <w:tabs>
                <w:tab w:val="clear" w:pos="1701"/>
                <w:tab w:val="clear" w:pos="2268"/>
                <w:tab w:val="clear" w:pos="2835"/>
              </w:tabs>
              <w:spacing w:before="40" w:after="40" w:line="220" w:lineRule="exact"/>
              <w:ind w:left="0" w:right="0"/>
              <w:jc w:val="left"/>
              <w:rPr>
                <w:sz w:val="18"/>
              </w:rPr>
            </w:pPr>
            <w:r w:rsidRPr="00A013F5">
              <w:rPr>
                <w:sz w:val="18"/>
              </w:rPr>
              <w:t>2016</w:t>
            </w:r>
          </w:p>
        </w:tc>
        <w:tc>
          <w:tcPr>
            <w:tcW w:w="2408" w:type="dxa"/>
            <w:shd w:val="clear" w:color="auto" w:fill="auto"/>
            <w:vAlign w:val="bottom"/>
          </w:tcPr>
          <w:p w14:paraId="4D312046" w14:textId="7D0EAEBC" w:rsidR="00DF2A6E" w:rsidRPr="00A013F5" w:rsidRDefault="00DF2A6E" w:rsidP="00DF2A6E">
            <w:pPr>
              <w:pStyle w:val="SingleTxtG"/>
              <w:tabs>
                <w:tab w:val="clear" w:pos="1701"/>
                <w:tab w:val="clear" w:pos="2268"/>
                <w:tab w:val="clear" w:pos="2835"/>
              </w:tabs>
              <w:spacing w:before="40" w:after="40" w:line="220" w:lineRule="exact"/>
              <w:ind w:left="57" w:right="28"/>
              <w:jc w:val="right"/>
              <w:rPr>
                <w:sz w:val="18"/>
                <w:szCs w:val="18"/>
                <w:rtl/>
              </w:rPr>
            </w:pPr>
            <w:r w:rsidRPr="001629FD">
              <w:rPr>
                <w:sz w:val="18"/>
              </w:rPr>
              <w:t>105 895 722 619</w:t>
            </w:r>
          </w:p>
        </w:tc>
        <w:tc>
          <w:tcPr>
            <w:tcW w:w="1269" w:type="dxa"/>
            <w:shd w:val="clear" w:color="auto" w:fill="auto"/>
            <w:vAlign w:val="bottom"/>
          </w:tcPr>
          <w:p w14:paraId="70B00354" w14:textId="77777777" w:rsidR="00DF2A6E" w:rsidRPr="00A013F5" w:rsidRDefault="00DF2A6E" w:rsidP="00DF2A6E">
            <w:pPr>
              <w:pStyle w:val="SingleTxtG"/>
              <w:tabs>
                <w:tab w:val="clear" w:pos="1701"/>
                <w:tab w:val="clear" w:pos="2268"/>
                <w:tab w:val="clear" w:pos="2835"/>
              </w:tabs>
              <w:spacing w:before="40" w:after="40" w:line="220" w:lineRule="exact"/>
              <w:ind w:left="57" w:right="28"/>
              <w:jc w:val="right"/>
              <w:rPr>
                <w:sz w:val="18"/>
                <w:szCs w:val="18"/>
              </w:rPr>
            </w:pPr>
            <w:r w:rsidRPr="00A013F5">
              <w:rPr>
                <w:sz w:val="18"/>
                <w:szCs w:val="18"/>
              </w:rPr>
              <w:t>111</w:t>
            </w:r>
          </w:p>
        </w:tc>
        <w:tc>
          <w:tcPr>
            <w:tcW w:w="1620" w:type="dxa"/>
            <w:shd w:val="clear" w:color="auto" w:fill="auto"/>
            <w:vAlign w:val="bottom"/>
          </w:tcPr>
          <w:p w14:paraId="2B7CAEEB" w14:textId="64E8F8D6" w:rsidR="00DF2A6E" w:rsidRPr="00A013F5" w:rsidRDefault="00DF2A6E" w:rsidP="00DF2A6E">
            <w:pPr>
              <w:pStyle w:val="SingleTxtG"/>
              <w:tabs>
                <w:tab w:val="clear" w:pos="1701"/>
                <w:tab w:val="clear" w:pos="2268"/>
                <w:tab w:val="clear" w:pos="2835"/>
              </w:tabs>
              <w:spacing w:before="40" w:after="40" w:line="220" w:lineRule="exact"/>
              <w:ind w:left="57" w:right="28"/>
              <w:jc w:val="right"/>
              <w:rPr>
                <w:sz w:val="18"/>
                <w:szCs w:val="18"/>
                <w:rtl/>
              </w:rPr>
            </w:pPr>
            <w:r w:rsidRPr="001629FD">
              <w:rPr>
                <w:sz w:val="18"/>
              </w:rPr>
              <w:t>10 898 430</w:t>
            </w:r>
          </w:p>
        </w:tc>
        <w:tc>
          <w:tcPr>
            <w:tcW w:w="1269" w:type="dxa"/>
            <w:shd w:val="clear" w:color="auto" w:fill="auto"/>
            <w:vAlign w:val="bottom"/>
          </w:tcPr>
          <w:p w14:paraId="694F3B85" w14:textId="77777777" w:rsidR="00DF2A6E" w:rsidRPr="00A013F5" w:rsidRDefault="00DF2A6E" w:rsidP="00DF2A6E">
            <w:pPr>
              <w:pStyle w:val="SingleTxtG"/>
              <w:tabs>
                <w:tab w:val="clear" w:pos="1701"/>
                <w:tab w:val="clear" w:pos="2268"/>
                <w:tab w:val="clear" w:pos="2835"/>
              </w:tabs>
              <w:spacing w:before="40" w:after="40" w:line="220" w:lineRule="exact"/>
              <w:ind w:left="57" w:right="28"/>
              <w:jc w:val="right"/>
              <w:rPr>
                <w:sz w:val="18"/>
                <w:szCs w:val="18"/>
              </w:rPr>
            </w:pPr>
            <w:r w:rsidRPr="00A013F5">
              <w:rPr>
                <w:sz w:val="18"/>
                <w:szCs w:val="18"/>
              </w:rPr>
              <w:t>0</w:t>
            </w:r>
          </w:p>
        </w:tc>
      </w:tr>
      <w:tr w:rsidR="00DF2A6E" w:rsidRPr="00A013F5" w14:paraId="77DD4ED4" w14:textId="77777777" w:rsidTr="00DF2A6E">
        <w:trPr>
          <w:trHeight w:val="240"/>
        </w:trPr>
        <w:tc>
          <w:tcPr>
            <w:tcW w:w="804" w:type="dxa"/>
            <w:shd w:val="clear" w:color="auto" w:fill="auto"/>
          </w:tcPr>
          <w:p w14:paraId="0907CD55" w14:textId="77777777" w:rsidR="00DF2A6E" w:rsidRPr="00A013F5" w:rsidRDefault="00DF2A6E" w:rsidP="00DF2A6E">
            <w:pPr>
              <w:pStyle w:val="SingleTxtG"/>
              <w:tabs>
                <w:tab w:val="clear" w:pos="1701"/>
                <w:tab w:val="clear" w:pos="2268"/>
                <w:tab w:val="clear" w:pos="2835"/>
              </w:tabs>
              <w:spacing w:before="40" w:after="40" w:line="220" w:lineRule="exact"/>
              <w:ind w:left="0" w:right="0"/>
              <w:jc w:val="left"/>
              <w:rPr>
                <w:sz w:val="18"/>
              </w:rPr>
            </w:pPr>
            <w:r w:rsidRPr="00A013F5">
              <w:rPr>
                <w:sz w:val="18"/>
              </w:rPr>
              <w:t>2017</w:t>
            </w:r>
          </w:p>
        </w:tc>
        <w:tc>
          <w:tcPr>
            <w:tcW w:w="2408" w:type="dxa"/>
            <w:shd w:val="clear" w:color="auto" w:fill="auto"/>
            <w:vAlign w:val="bottom"/>
          </w:tcPr>
          <w:p w14:paraId="0B5CF007" w14:textId="704BA6CA" w:rsidR="00DF2A6E" w:rsidRPr="00A013F5" w:rsidRDefault="00DF2A6E" w:rsidP="00DF2A6E">
            <w:pPr>
              <w:pStyle w:val="SingleTxtG"/>
              <w:tabs>
                <w:tab w:val="clear" w:pos="1701"/>
                <w:tab w:val="clear" w:pos="2268"/>
                <w:tab w:val="clear" w:pos="2835"/>
              </w:tabs>
              <w:spacing w:before="40" w:after="40" w:line="220" w:lineRule="exact"/>
              <w:ind w:left="57" w:right="28"/>
              <w:jc w:val="right"/>
              <w:rPr>
                <w:sz w:val="18"/>
                <w:szCs w:val="18"/>
                <w:rtl/>
              </w:rPr>
            </w:pPr>
            <w:r w:rsidRPr="001629FD">
              <w:rPr>
                <w:sz w:val="18"/>
              </w:rPr>
              <w:t>107 089 521 545</w:t>
            </w:r>
          </w:p>
        </w:tc>
        <w:tc>
          <w:tcPr>
            <w:tcW w:w="1269" w:type="dxa"/>
            <w:shd w:val="clear" w:color="auto" w:fill="auto"/>
            <w:vAlign w:val="bottom"/>
          </w:tcPr>
          <w:p w14:paraId="0770EE39" w14:textId="77777777" w:rsidR="00DF2A6E" w:rsidRPr="00A013F5" w:rsidRDefault="00DF2A6E" w:rsidP="00DF2A6E">
            <w:pPr>
              <w:pStyle w:val="SingleTxtG"/>
              <w:tabs>
                <w:tab w:val="clear" w:pos="1701"/>
                <w:tab w:val="clear" w:pos="2268"/>
                <w:tab w:val="clear" w:pos="2835"/>
              </w:tabs>
              <w:spacing w:before="40" w:after="40" w:line="220" w:lineRule="exact"/>
              <w:ind w:left="57" w:right="28"/>
              <w:jc w:val="right"/>
              <w:rPr>
                <w:sz w:val="18"/>
                <w:szCs w:val="18"/>
              </w:rPr>
            </w:pPr>
            <w:r w:rsidRPr="00A013F5">
              <w:rPr>
                <w:sz w:val="18"/>
                <w:szCs w:val="18"/>
              </w:rPr>
              <w:t>651</w:t>
            </w:r>
          </w:p>
        </w:tc>
        <w:tc>
          <w:tcPr>
            <w:tcW w:w="1620" w:type="dxa"/>
            <w:shd w:val="clear" w:color="auto" w:fill="auto"/>
            <w:vAlign w:val="bottom"/>
          </w:tcPr>
          <w:p w14:paraId="126FC498" w14:textId="6B52CF04" w:rsidR="00DF2A6E" w:rsidRPr="00A013F5" w:rsidRDefault="00DF2A6E" w:rsidP="00DF2A6E">
            <w:pPr>
              <w:pStyle w:val="SingleTxtG"/>
              <w:tabs>
                <w:tab w:val="clear" w:pos="1701"/>
                <w:tab w:val="clear" w:pos="2268"/>
                <w:tab w:val="clear" w:pos="2835"/>
              </w:tabs>
              <w:spacing w:before="40" w:after="40" w:line="220" w:lineRule="exact"/>
              <w:ind w:left="57" w:right="28"/>
              <w:jc w:val="right"/>
              <w:rPr>
                <w:sz w:val="18"/>
                <w:szCs w:val="18"/>
                <w:rtl/>
              </w:rPr>
            </w:pPr>
            <w:r w:rsidRPr="001629FD">
              <w:rPr>
                <w:sz w:val="18"/>
              </w:rPr>
              <w:t>25 821 662</w:t>
            </w:r>
          </w:p>
        </w:tc>
        <w:tc>
          <w:tcPr>
            <w:tcW w:w="1269" w:type="dxa"/>
            <w:shd w:val="clear" w:color="auto" w:fill="auto"/>
            <w:vAlign w:val="bottom"/>
          </w:tcPr>
          <w:p w14:paraId="64D5C46C" w14:textId="77777777" w:rsidR="00DF2A6E" w:rsidRPr="00A013F5" w:rsidRDefault="00DF2A6E" w:rsidP="00DF2A6E">
            <w:pPr>
              <w:pStyle w:val="SingleTxtG"/>
              <w:tabs>
                <w:tab w:val="clear" w:pos="1701"/>
                <w:tab w:val="clear" w:pos="2268"/>
                <w:tab w:val="clear" w:pos="2835"/>
              </w:tabs>
              <w:spacing w:before="40" w:after="40" w:line="220" w:lineRule="exact"/>
              <w:ind w:left="57" w:right="28"/>
              <w:jc w:val="right"/>
              <w:rPr>
                <w:sz w:val="18"/>
                <w:szCs w:val="18"/>
              </w:rPr>
            </w:pPr>
            <w:r w:rsidRPr="00A013F5">
              <w:rPr>
                <w:sz w:val="18"/>
                <w:szCs w:val="18"/>
              </w:rPr>
              <w:t>0</w:t>
            </w:r>
          </w:p>
        </w:tc>
      </w:tr>
      <w:tr w:rsidR="00DF2A6E" w:rsidRPr="00A013F5" w14:paraId="2E929616" w14:textId="77777777" w:rsidTr="00DF2A6E">
        <w:trPr>
          <w:trHeight w:val="240"/>
        </w:trPr>
        <w:tc>
          <w:tcPr>
            <w:tcW w:w="804" w:type="dxa"/>
            <w:shd w:val="clear" w:color="auto" w:fill="auto"/>
          </w:tcPr>
          <w:p w14:paraId="002614EE" w14:textId="77777777" w:rsidR="00DF2A6E" w:rsidRPr="00A013F5" w:rsidRDefault="00DF2A6E" w:rsidP="00DF2A6E">
            <w:pPr>
              <w:pStyle w:val="SingleTxtG"/>
              <w:tabs>
                <w:tab w:val="clear" w:pos="1701"/>
                <w:tab w:val="clear" w:pos="2268"/>
                <w:tab w:val="clear" w:pos="2835"/>
              </w:tabs>
              <w:spacing w:before="40" w:after="40" w:line="220" w:lineRule="exact"/>
              <w:ind w:left="0" w:right="0"/>
              <w:jc w:val="left"/>
              <w:rPr>
                <w:sz w:val="18"/>
              </w:rPr>
            </w:pPr>
            <w:r w:rsidRPr="00A013F5">
              <w:rPr>
                <w:sz w:val="18"/>
              </w:rPr>
              <w:t>2018</w:t>
            </w:r>
          </w:p>
        </w:tc>
        <w:tc>
          <w:tcPr>
            <w:tcW w:w="2408" w:type="dxa"/>
            <w:shd w:val="clear" w:color="auto" w:fill="auto"/>
            <w:vAlign w:val="bottom"/>
          </w:tcPr>
          <w:p w14:paraId="4FFD8FF4" w14:textId="45CD4AA6" w:rsidR="00DF2A6E" w:rsidRPr="00A013F5" w:rsidRDefault="00DF2A6E" w:rsidP="00DF2A6E">
            <w:pPr>
              <w:pStyle w:val="SingleTxtG"/>
              <w:tabs>
                <w:tab w:val="clear" w:pos="1701"/>
                <w:tab w:val="clear" w:pos="2268"/>
                <w:tab w:val="clear" w:pos="2835"/>
              </w:tabs>
              <w:spacing w:before="40" w:after="40" w:line="220" w:lineRule="exact"/>
              <w:ind w:left="57" w:right="28"/>
              <w:jc w:val="right"/>
              <w:rPr>
                <w:sz w:val="18"/>
                <w:szCs w:val="18"/>
                <w:rtl/>
              </w:rPr>
            </w:pPr>
            <w:r w:rsidRPr="001629FD">
              <w:rPr>
                <w:sz w:val="18"/>
              </w:rPr>
              <w:t>104 158 183 734</w:t>
            </w:r>
          </w:p>
        </w:tc>
        <w:tc>
          <w:tcPr>
            <w:tcW w:w="1269" w:type="dxa"/>
            <w:shd w:val="clear" w:color="auto" w:fill="auto"/>
            <w:vAlign w:val="bottom"/>
          </w:tcPr>
          <w:p w14:paraId="4D8864E6" w14:textId="77777777" w:rsidR="00DF2A6E" w:rsidRPr="00A013F5" w:rsidRDefault="00DF2A6E" w:rsidP="00DF2A6E">
            <w:pPr>
              <w:pStyle w:val="SingleTxtG"/>
              <w:tabs>
                <w:tab w:val="clear" w:pos="1701"/>
                <w:tab w:val="clear" w:pos="2268"/>
                <w:tab w:val="clear" w:pos="2835"/>
              </w:tabs>
              <w:spacing w:before="40" w:after="40" w:line="220" w:lineRule="exact"/>
              <w:ind w:left="57" w:right="28"/>
              <w:jc w:val="right"/>
              <w:rPr>
                <w:sz w:val="18"/>
                <w:szCs w:val="18"/>
              </w:rPr>
            </w:pPr>
            <w:r w:rsidRPr="00A013F5">
              <w:rPr>
                <w:sz w:val="18"/>
                <w:szCs w:val="18"/>
              </w:rPr>
              <w:t>651</w:t>
            </w:r>
          </w:p>
        </w:tc>
        <w:tc>
          <w:tcPr>
            <w:tcW w:w="1620" w:type="dxa"/>
            <w:shd w:val="clear" w:color="auto" w:fill="auto"/>
            <w:vAlign w:val="bottom"/>
          </w:tcPr>
          <w:p w14:paraId="0493AAF1" w14:textId="4B6A9D5D" w:rsidR="00DF2A6E" w:rsidRPr="00A013F5" w:rsidRDefault="00DF2A6E" w:rsidP="00DF2A6E">
            <w:pPr>
              <w:pStyle w:val="SingleTxtG"/>
              <w:tabs>
                <w:tab w:val="clear" w:pos="1701"/>
                <w:tab w:val="clear" w:pos="2268"/>
                <w:tab w:val="clear" w:pos="2835"/>
              </w:tabs>
              <w:spacing w:before="40" w:after="40" w:line="220" w:lineRule="exact"/>
              <w:ind w:left="57" w:right="28"/>
              <w:jc w:val="right"/>
              <w:rPr>
                <w:sz w:val="18"/>
                <w:szCs w:val="18"/>
                <w:rtl/>
              </w:rPr>
            </w:pPr>
            <w:r w:rsidRPr="001629FD">
              <w:rPr>
                <w:sz w:val="18"/>
              </w:rPr>
              <w:t>25 340 779</w:t>
            </w:r>
          </w:p>
        </w:tc>
        <w:tc>
          <w:tcPr>
            <w:tcW w:w="1269" w:type="dxa"/>
            <w:shd w:val="clear" w:color="auto" w:fill="auto"/>
            <w:vAlign w:val="bottom"/>
          </w:tcPr>
          <w:p w14:paraId="30119BCB" w14:textId="4F99CBF9" w:rsidR="00DF2A6E" w:rsidRPr="00A013F5" w:rsidRDefault="00DF2A6E" w:rsidP="00DF2A6E">
            <w:pPr>
              <w:pStyle w:val="SingleTxtG"/>
              <w:tabs>
                <w:tab w:val="clear" w:pos="1701"/>
                <w:tab w:val="clear" w:pos="2268"/>
                <w:tab w:val="clear" w:pos="2835"/>
              </w:tabs>
              <w:spacing w:before="40" w:after="40" w:line="220" w:lineRule="exact"/>
              <w:ind w:left="57" w:right="28"/>
              <w:jc w:val="right"/>
              <w:rPr>
                <w:sz w:val="18"/>
                <w:szCs w:val="18"/>
                <w:rtl/>
              </w:rPr>
            </w:pPr>
            <w:r w:rsidRPr="00A013F5">
              <w:rPr>
                <w:sz w:val="18"/>
                <w:szCs w:val="18"/>
                <w:rtl/>
              </w:rPr>
              <w:t>326</w:t>
            </w:r>
            <w:r>
              <w:rPr>
                <w:sz w:val="18"/>
                <w:szCs w:val="18"/>
              </w:rPr>
              <w:t xml:space="preserve"> </w:t>
            </w:r>
            <w:r w:rsidRPr="00A013F5">
              <w:rPr>
                <w:sz w:val="18"/>
                <w:szCs w:val="18"/>
                <w:rtl/>
              </w:rPr>
              <w:t>511</w:t>
            </w:r>
          </w:p>
        </w:tc>
      </w:tr>
      <w:tr w:rsidR="00DF2A6E" w:rsidRPr="00A013F5" w14:paraId="286A6DFC" w14:textId="77777777" w:rsidTr="00DF2A6E">
        <w:trPr>
          <w:trHeight w:val="240"/>
        </w:trPr>
        <w:tc>
          <w:tcPr>
            <w:tcW w:w="804" w:type="dxa"/>
            <w:tcBorders>
              <w:bottom w:val="single" w:sz="12" w:space="0" w:color="auto"/>
            </w:tcBorders>
            <w:shd w:val="clear" w:color="auto" w:fill="auto"/>
          </w:tcPr>
          <w:p w14:paraId="48948D94" w14:textId="77777777" w:rsidR="00DF2A6E" w:rsidRPr="00A013F5" w:rsidRDefault="00DF2A6E" w:rsidP="00DF2A6E">
            <w:pPr>
              <w:pStyle w:val="SingleTxtG"/>
              <w:tabs>
                <w:tab w:val="clear" w:pos="1701"/>
                <w:tab w:val="clear" w:pos="2268"/>
                <w:tab w:val="clear" w:pos="2835"/>
              </w:tabs>
              <w:spacing w:before="40" w:after="40" w:line="220" w:lineRule="exact"/>
              <w:ind w:left="0" w:right="0"/>
              <w:jc w:val="left"/>
              <w:rPr>
                <w:sz w:val="18"/>
              </w:rPr>
            </w:pPr>
            <w:r w:rsidRPr="00A013F5">
              <w:rPr>
                <w:sz w:val="18"/>
              </w:rPr>
              <w:t>2019</w:t>
            </w:r>
          </w:p>
        </w:tc>
        <w:tc>
          <w:tcPr>
            <w:tcW w:w="2408" w:type="dxa"/>
            <w:tcBorders>
              <w:bottom w:val="single" w:sz="12" w:space="0" w:color="auto"/>
            </w:tcBorders>
            <w:shd w:val="clear" w:color="auto" w:fill="auto"/>
            <w:vAlign w:val="bottom"/>
          </w:tcPr>
          <w:p w14:paraId="06083A77" w14:textId="26171EE6" w:rsidR="00DF2A6E" w:rsidRPr="00A013F5" w:rsidRDefault="00DF2A6E" w:rsidP="00DF2A6E">
            <w:pPr>
              <w:pStyle w:val="SingleTxtG"/>
              <w:tabs>
                <w:tab w:val="clear" w:pos="1701"/>
                <w:tab w:val="clear" w:pos="2268"/>
                <w:tab w:val="clear" w:pos="2835"/>
              </w:tabs>
              <w:spacing w:before="40" w:after="40" w:line="220" w:lineRule="exact"/>
              <w:ind w:left="57" w:right="28"/>
              <w:jc w:val="right"/>
              <w:rPr>
                <w:sz w:val="18"/>
                <w:szCs w:val="18"/>
                <w:rtl/>
              </w:rPr>
            </w:pPr>
            <w:r w:rsidRPr="001629FD">
              <w:rPr>
                <w:sz w:val="18"/>
              </w:rPr>
              <w:t>133 107 616 412</w:t>
            </w:r>
          </w:p>
        </w:tc>
        <w:tc>
          <w:tcPr>
            <w:tcW w:w="1269" w:type="dxa"/>
            <w:tcBorders>
              <w:bottom w:val="single" w:sz="12" w:space="0" w:color="auto"/>
            </w:tcBorders>
            <w:shd w:val="clear" w:color="auto" w:fill="auto"/>
            <w:vAlign w:val="bottom"/>
          </w:tcPr>
          <w:p w14:paraId="04B79697" w14:textId="77777777" w:rsidR="00DF2A6E" w:rsidRPr="00A013F5" w:rsidRDefault="00DF2A6E" w:rsidP="00DF2A6E">
            <w:pPr>
              <w:pStyle w:val="SingleTxtG"/>
              <w:tabs>
                <w:tab w:val="clear" w:pos="1701"/>
                <w:tab w:val="clear" w:pos="2268"/>
                <w:tab w:val="clear" w:pos="2835"/>
              </w:tabs>
              <w:spacing w:before="40" w:after="40" w:line="220" w:lineRule="exact"/>
              <w:ind w:left="57" w:right="28"/>
              <w:jc w:val="right"/>
              <w:rPr>
                <w:sz w:val="18"/>
                <w:szCs w:val="18"/>
              </w:rPr>
            </w:pPr>
            <w:r w:rsidRPr="00A013F5">
              <w:rPr>
                <w:sz w:val="18"/>
                <w:szCs w:val="18"/>
              </w:rPr>
              <w:t>653</w:t>
            </w:r>
          </w:p>
        </w:tc>
        <w:tc>
          <w:tcPr>
            <w:tcW w:w="1620" w:type="dxa"/>
            <w:tcBorders>
              <w:bottom w:val="single" w:sz="12" w:space="0" w:color="auto"/>
            </w:tcBorders>
            <w:shd w:val="clear" w:color="auto" w:fill="auto"/>
            <w:vAlign w:val="bottom"/>
          </w:tcPr>
          <w:p w14:paraId="1218CA8B" w14:textId="7F28A0B7" w:rsidR="00DF2A6E" w:rsidRPr="00A013F5" w:rsidRDefault="00DF2A6E" w:rsidP="00DF2A6E">
            <w:pPr>
              <w:pStyle w:val="SingleTxtG"/>
              <w:tabs>
                <w:tab w:val="clear" w:pos="1701"/>
                <w:tab w:val="clear" w:pos="2268"/>
                <w:tab w:val="clear" w:pos="2835"/>
              </w:tabs>
              <w:spacing w:before="40" w:after="40" w:line="220" w:lineRule="exact"/>
              <w:ind w:left="57" w:right="28"/>
              <w:jc w:val="right"/>
              <w:rPr>
                <w:sz w:val="18"/>
                <w:szCs w:val="18"/>
                <w:rtl/>
              </w:rPr>
            </w:pPr>
            <w:r w:rsidRPr="001629FD">
              <w:rPr>
                <w:sz w:val="18"/>
              </w:rPr>
              <w:t>26 170 719</w:t>
            </w:r>
          </w:p>
        </w:tc>
        <w:tc>
          <w:tcPr>
            <w:tcW w:w="1269" w:type="dxa"/>
            <w:tcBorders>
              <w:bottom w:val="single" w:sz="12" w:space="0" w:color="auto"/>
            </w:tcBorders>
            <w:shd w:val="clear" w:color="auto" w:fill="auto"/>
            <w:vAlign w:val="bottom"/>
          </w:tcPr>
          <w:p w14:paraId="5C1EE600" w14:textId="2BA9E01C" w:rsidR="00DF2A6E" w:rsidRPr="00A013F5" w:rsidRDefault="00DF2A6E" w:rsidP="00DF2A6E">
            <w:pPr>
              <w:pStyle w:val="SingleTxtG"/>
              <w:tabs>
                <w:tab w:val="clear" w:pos="1701"/>
                <w:tab w:val="clear" w:pos="2268"/>
                <w:tab w:val="clear" w:pos="2835"/>
              </w:tabs>
              <w:spacing w:before="40" w:after="40" w:line="220" w:lineRule="exact"/>
              <w:ind w:left="57" w:right="28"/>
              <w:jc w:val="right"/>
              <w:rPr>
                <w:sz w:val="18"/>
                <w:szCs w:val="18"/>
                <w:rtl/>
              </w:rPr>
            </w:pPr>
            <w:r w:rsidRPr="00A013F5">
              <w:rPr>
                <w:sz w:val="18"/>
                <w:szCs w:val="18"/>
                <w:rtl/>
              </w:rPr>
              <w:t>326</w:t>
            </w:r>
            <w:r>
              <w:rPr>
                <w:sz w:val="18"/>
                <w:szCs w:val="18"/>
              </w:rPr>
              <w:t xml:space="preserve"> </w:t>
            </w:r>
            <w:r w:rsidRPr="00A013F5">
              <w:rPr>
                <w:sz w:val="18"/>
                <w:szCs w:val="18"/>
                <w:rtl/>
              </w:rPr>
              <w:t>511</w:t>
            </w:r>
          </w:p>
        </w:tc>
      </w:tr>
    </w:tbl>
    <w:p w14:paraId="1F00BAB8" w14:textId="09DAEF00" w:rsidR="007666A4" w:rsidRPr="007666A4" w:rsidRDefault="007666A4" w:rsidP="00A013F5">
      <w:pPr>
        <w:pStyle w:val="SingleTxtG"/>
        <w:spacing w:before="240"/>
      </w:pPr>
      <w:r w:rsidRPr="007666A4">
        <w:t>18.</w:t>
      </w:r>
      <w:r w:rsidR="00A013F5">
        <w:tab/>
      </w:r>
      <w:r w:rsidRPr="007666A4">
        <w:t>En 2016, el Gobierno del Iraq prestó apoyo a la Comisión transfiriéndole 525</w:t>
      </w:r>
      <w:r w:rsidR="00BA730F">
        <w:t> </w:t>
      </w:r>
      <w:r w:rsidRPr="007666A4">
        <w:t>empleados del disuelto Ministerio de Derechos Humanos. Asimismo, el Gobierno dotó a la Comisión de edificios e infraestructura para que esta pudiera llevar a cabo las actividades que le habían sido encomendadas por ley. En 2015, la Alianza Global de las Instituciones Nacionales de Derechos Humanos concedió a la Alta Comisión Independiente de Derechos Humanos del Iraq el reconocimiento de “miembro observador con categoría B”. En 2017, se eligió al presidente de la Comisión y también a los 15 miembros de la Junta de Comisionados de la Alta Comisión Independiente de Derechos Humanos, entre los que hay 4 mujeres.</w:t>
      </w:r>
    </w:p>
    <w:p w14:paraId="7A07EB6C" w14:textId="08E5A96C" w:rsidR="007666A4" w:rsidRPr="007666A4" w:rsidRDefault="007666A4" w:rsidP="00A013F5">
      <w:pPr>
        <w:pStyle w:val="H1G"/>
      </w:pPr>
      <w:r w:rsidRPr="007666A4">
        <w:lastRenderedPageBreak/>
        <w:tab/>
      </w:r>
      <w:r w:rsidRPr="007666A4">
        <w:tab/>
        <w:t>Artículo 2 y recomendaciones que figuran en los párrafos 12, 16, 20,</w:t>
      </w:r>
      <w:r w:rsidR="00A013F5">
        <w:t> </w:t>
      </w:r>
      <w:r w:rsidRPr="007666A4">
        <w:t>22</w:t>
      </w:r>
      <w:r w:rsidR="00A013F5">
        <w:t> </w:t>
      </w:r>
      <w:r w:rsidRPr="007666A4">
        <w:t xml:space="preserve">y 24 </w:t>
      </w:r>
    </w:p>
    <w:p w14:paraId="1CDF927C" w14:textId="5E770C3A" w:rsidR="007666A4" w:rsidRPr="007666A4" w:rsidRDefault="007666A4" w:rsidP="007666A4">
      <w:pPr>
        <w:pStyle w:val="SingleTxtG"/>
      </w:pPr>
      <w:r w:rsidRPr="007666A4">
        <w:t>19.</w:t>
      </w:r>
      <w:r w:rsidR="00A013F5">
        <w:tab/>
      </w:r>
      <w:r w:rsidRPr="007666A4">
        <w:t xml:space="preserve">El artículo 14 de la Constitución de la República del Iraq dispone que “los iraquíes son iguales ante la ley, sin discriminación por motivos de género, raza, etnia, nacionalidad, origen, color, religión, rito, creencia u opinión, o condición económica o social”. Asimismo, en el artículo 15 se establece que toda persona tiene derecho a la vida, la seguridad y la libertad, derechos que solo pueden suspenderse o restringirse de conformidad con la ley y sobre la base de una decisión dictada por la autoridad judicial competente. El presente informe contiene en todos sus párrafos respuestas a las inquietudes expresadas por el Comité. </w:t>
      </w:r>
    </w:p>
    <w:p w14:paraId="48036973" w14:textId="0C1A1301" w:rsidR="007666A4" w:rsidRPr="007666A4" w:rsidRDefault="007666A4" w:rsidP="00A013F5">
      <w:pPr>
        <w:pStyle w:val="H23G"/>
      </w:pPr>
      <w:r w:rsidRPr="007666A4">
        <w:tab/>
      </w:r>
      <w:r w:rsidRPr="007666A4">
        <w:tab/>
        <w:t>Recomendación que figura</w:t>
      </w:r>
      <w:r w:rsidRPr="007666A4" w:rsidDel="00D35640">
        <w:t xml:space="preserve"> </w:t>
      </w:r>
      <w:r w:rsidRPr="007666A4">
        <w:t>en el párrafo 12</w:t>
      </w:r>
    </w:p>
    <w:p w14:paraId="45F148C7" w14:textId="2C9BD33A" w:rsidR="007666A4" w:rsidRPr="007666A4" w:rsidRDefault="007666A4" w:rsidP="007666A4">
      <w:pPr>
        <w:pStyle w:val="SingleTxtG"/>
      </w:pPr>
      <w:r w:rsidRPr="007666A4">
        <w:t>20.</w:t>
      </w:r>
      <w:r w:rsidR="00A013F5">
        <w:tab/>
      </w:r>
      <w:r w:rsidRPr="007666A4">
        <w:t>El Iraq cuenta con un marco institucional sólido para luchar contra la corrupción administrativa y financiera, basado en la existencia de tres instituciones especializadas en la lucha contra la corrupción, la Comisión para la Integridad, la Oficina Federal de Auditoría Financiera y la Fiscalía. El Iraq aprobó la Estrategia Nacional de Lucha contra la Corrupción, así como los procedimientos de la Comisión para la Integridad y los inspectores públicos, antes de que el Parlamento iraquí disolviera sus oficinas en virtud de la legislación que había promulgado en el marco de las iniciativas de reforma que el Iraq está llevando a cabo en la actualidad.</w:t>
      </w:r>
    </w:p>
    <w:p w14:paraId="5481D8A0" w14:textId="1E2C3C88" w:rsidR="007666A4" w:rsidRPr="007666A4" w:rsidRDefault="007666A4" w:rsidP="007666A4">
      <w:pPr>
        <w:pStyle w:val="SingleTxtG"/>
      </w:pPr>
      <w:r w:rsidRPr="007666A4">
        <w:t>21.</w:t>
      </w:r>
      <w:r w:rsidR="00A013F5">
        <w:tab/>
      </w:r>
      <w:r w:rsidRPr="007666A4">
        <w:t xml:space="preserve">El Consejo Superior de la Magistratura y los tribunales se encargan de los procesos contenciosos relativos a los delitos de corrupción financiera y administrativa en el Estado, así como de establecer tribunales especializados (tribunales de instrucción y de delitos contra la integridad) bajo la supervisión de los fiscales competentes. Esos tribunales han podido ventilar miles de casos de corrupción de acuerdo con las disposiciones de las leyes penales vigentes. </w:t>
      </w:r>
    </w:p>
    <w:p w14:paraId="14606644" w14:textId="7F3FEC98" w:rsidR="007666A4" w:rsidRPr="007666A4" w:rsidRDefault="007666A4" w:rsidP="007666A4">
      <w:pPr>
        <w:pStyle w:val="SingleTxtG"/>
      </w:pPr>
      <w:r w:rsidRPr="007666A4">
        <w:t>22.</w:t>
      </w:r>
      <w:r w:rsidR="00A013F5">
        <w:tab/>
      </w:r>
      <w:r w:rsidRPr="007666A4">
        <w:t xml:space="preserve">El Consejo de Ministros estableció, en virtud de la Orden Presidencial núm. 71/2018, el Consejo Supremo para Combatir la Corrupción, encargado de actuar como órgano ejecutivo y coordinador en la esfera de la lucha y la prevención de la corrupción y activar procedimientos para erradicar la corrupción de las instituciones públicas. </w:t>
      </w:r>
    </w:p>
    <w:p w14:paraId="51400702" w14:textId="73BF673D" w:rsidR="007666A4" w:rsidRPr="007666A4" w:rsidRDefault="007666A4" w:rsidP="007666A4">
      <w:pPr>
        <w:pStyle w:val="SingleTxtG"/>
      </w:pPr>
      <w:r w:rsidRPr="007666A4">
        <w:t>23.</w:t>
      </w:r>
      <w:r w:rsidR="00A013F5">
        <w:tab/>
      </w:r>
      <w:r w:rsidRPr="007666A4">
        <w:t>El Iraq se ha dotado de un marco jurídico importante y apropiado para aplicar esta recomendación, como se detalla a continuación:</w:t>
      </w:r>
    </w:p>
    <w:p w14:paraId="2059BC6F" w14:textId="5A2B0188" w:rsidR="007666A4" w:rsidRPr="007666A4" w:rsidRDefault="007666A4" w:rsidP="007666A4">
      <w:pPr>
        <w:pStyle w:val="SingleTxtG"/>
      </w:pPr>
      <w:r w:rsidRPr="007666A4">
        <w:tab/>
        <w:t>1.</w:t>
      </w:r>
      <w:r w:rsidR="00A013F5">
        <w:tab/>
      </w:r>
      <w:r w:rsidRPr="007666A4">
        <w:t xml:space="preserve">En 2017 se aprobó la Ley de Protección de Testigos, Peritos, Informantes y Víctimas, con arreglo a la cual se establecía el Departamento de Protección de Testigos, Peritos, Informantes y Víctimas en el Ministerio del Interior (Dirección de Protección de Instalaciones y Personalidades). La </w:t>
      </w:r>
      <w:r w:rsidR="00F36872" w:rsidRPr="007666A4">
        <w:t xml:space="preserve">Ley </w:t>
      </w:r>
      <w:r w:rsidRPr="007666A4">
        <w:t xml:space="preserve">garantiza la protección de los grupos amparados por sus disposiciones que lo soliciten y a sus familiares de hasta segundo grado en los procesos penales y de terrorismo, si existiera peligro para su vida, su integridad física o sus intereses fundamentales, o bien la vida, la integridad física o los intereses fundamentales de sus familiares y parientes a consecuencia de su testimonio, juicio pericial o declaración en el marco de un proceso penal o relacionado con el terrorismo que afecte a la seguridad del Estado y la vida de los ciudadanos. La </w:t>
      </w:r>
      <w:r w:rsidR="00CB6F96" w:rsidRPr="007666A4">
        <w:t xml:space="preserve">Ley </w:t>
      </w:r>
      <w:r w:rsidRPr="007666A4">
        <w:t>establece las penas en caso de infracción, así como las medidas que debe adoptar el juez de instrucción para proteger a las personas que se pueden acoger a sus disposiciones</w:t>
      </w:r>
      <w:r w:rsidR="00CB6F96">
        <w:t>;</w:t>
      </w:r>
    </w:p>
    <w:p w14:paraId="2D9EA699" w14:textId="431EB9FE" w:rsidR="007666A4" w:rsidRPr="007666A4" w:rsidRDefault="007666A4" w:rsidP="007666A4">
      <w:pPr>
        <w:pStyle w:val="SingleTxtG"/>
      </w:pPr>
      <w:r w:rsidRPr="007666A4">
        <w:tab/>
        <w:t>2.</w:t>
      </w:r>
      <w:r w:rsidR="00A013F5">
        <w:tab/>
      </w:r>
      <w:r w:rsidRPr="00A013F5">
        <w:t>Ley de la Fiscalía</w:t>
      </w:r>
      <w:r w:rsidRPr="007666A4">
        <w:t>: De conformidad con las disposiciones de la Ley núm.</w:t>
      </w:r>
      <w:r w:rsidR="002979FF">
        <w:t> </w:t>
      </w:r>
      <w:r w:rsidRPr="007666A4">
        <w:t xml:space="preserve">49/2017, de la Fiscalía, esta es responsable de ejercer la acusación pública en asuntos de corrupción financiera y administrativa, y de darles seguimiento, de conformidad con el Código de Procedimiento Penal, así como de investigar los delitos de corrupción financiera y administrativa y todos los delitos que atenten contra las obligaciones que impone un puesto en la función pública y que estén previstos en el Código Penal del Iraq (Ley núm. 111/1969, en su forma enmendada). La </w:t>
      </w:r>
      <w:r w:rsidR="000503F1">
        <w:t>f</w:t>
      </w:r>
      <w:r w:rsidRPr="007666A4">
        <w:t xml:space="preserve">iscalía debe remitir al asunto al juez de instrucción competente en un plazo de 24 horas a contar desde la detención del imputado; además, el fiscal público deberá adoptar las medidas necesarias para evitar que se vulnere o quebrante la ley. </w:t>
      </w:r>
    </w:p>
    <w:p w14:paraId="3A69FEDE" w14:textId="6AEB461B" w:rsidR="007666A4" w:rsidRPr="007666A4" w:rsidRDefault="007666A4" w:rsidP="007666A4">
      <w:pPr>
        <w:pStyle w:val="SingleTxtG"/>
      </w:pPr>
      <w:r w:rsidRPr="007666A4">
        <w:t>24.</w:t>
      </w:r>
      <w:r w:rsidR="00A013F5">
        <w:tab/>
      </w:r>
      <w:r w:rsidRPr="007666A4">
        <w:t>En el siguiente cuadro se exponen las actividades de lucha contra la corrupción según figuran en los informes publicados por la Comisión para la Integridad entre 2016 y 2018</w:t>
      </w:r>
      <w:r w:rsidR="00A013F5">
        <w:t>.</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835"/>
        <w:gridCol w:w="1560"/>
        <w:gridCol w:w="1559"/>
        <w:gridCol w:w="1416"/>
      </w:tblGrid>
      <w:tr w:rsidR="00A013F5" w:rsidRPr="00A013F5" w14:paraId="347B4F06" w14:textId="77777777" w:rsidTr="00A013F5">
        <w:trPr>
          <w:trHeight w:val="240"/>
          <w:tblHeader/>
        </w:trPr>
        <w:tc>
          <w:tcPr>
            <w:tcW w:w="2835" w:type="dxa"/>
            <w:tcBorders>
              <w:top w:val="single" w:sz="4" w:space="0" w:color="auto"/>
              <w:bottom w:val="single" w:sz="12" w:space="0" w:color="auto"/>
            </w:tcBorders>
            <w:shd w:val="clear" w:color="auto" w:fill="auto"/>
            <w:vAlign w:val="bottom"/>
          </w:tcPr>
          <w:p w14:paraId="0F6368D6" w14:textId="77777777" w:rsidR="007666A4" w:rsidRPr="00A013F5" w:rsidRDefault="007666A4" w:rsidP="00A013F5">
            <w:pPr>
              <w:pStyle w:val="SingleTxtG"/>
              <w:tabs>
                <w:tab w:val="clear" w:pos="1701"/>
                <w:tab w:val="clear" w:pos="2268"/>
                <w:tab w:val="clear" w:pos="2835"/>
              </w:tabs>
              <w:spacing w:before="80" w:after="80" w:line="200" w:lineRule="exact"/>
              <w:ind w:left="0" w:right="0"/>
              <w:jc w:val="left"/>
              <w:rPr>
                <w:i/>
                <w:iCs/>
                <w:sz w:val="16"/>
              </w:rPr>
            </w:pPr>
            <w:r w:rsidRPr="00A013F5">
              <w:rPr>
                <w:i/>
                <w:iCs/>
                <w:sz w:val="16"/>
              </w:rPr>
              <w:lastRenderedPageBreak/>
              <w:t>Procedimientos</w:t>
            </w:r>
          </w:p>
        </w:tc>
        <w:tc>
          <w:tcPr>
            <w:tcW w:w="1560" w:type="dxa"/>
            <w:tcBorders>
              <w:top w:val="single" w:sz="4" w:space="0" w:color="auto"/>
              <w:bottom w:val="single" w:sz="12" w:space="0" w:color="auto"/>
            </w:tcBorders>
            <w:shd w:val="clear" w:color="auto" w:fill="auto"/>
            <w:vAlign w:val="bottom"/>
          </w:tcPr>
          <w:p w14:paraId="73B99994" w14:textId="77777777" w:rsidR="007666A4" w:rsidRPr="00A013F5" w:rsidRDefault="007666A4" w:rsidP="00A013F5">
            <w:pPr>
              <w:pStyle w:val="SingleTxtG"/>
              <w:tabs>
                <w:tab w:val="clear" w:pos="1701"/>
                <w:tab w:val="clear" w:pos="2268"/>
                <w:tab w:val="clear" w:pos="2835"/>
              </w:tabs>
              <w:spacing w:before="80" w:after="80" w:line="200" w:lineRule="exact"/>
              <w:ind w:left="57" w:right="28"/>
              <w:jc w:val="right"/>
              <w:rPr>
                <w:i/>
                <w:iCs/>
                <w:sz w:val="16"/>
              </w:rPr>
            </w:pPr>
            <w:r w:rsidRPr="00A013F5">
              <w:rPr>
                <w:i/>
                <w:iCs/>
                <w:sz w:val="16"/>
              </w:rPr>
              <w:t>Año 2016</w:t>
            </w:r>
          </w:p>
        </w:tc>
        <w:tc>
          <w:tcPr>
            <w:tcW w:w="1559" w:type="dxa"/>
            <w:tcBorders>
              <w:top w:val="single" w:sz="4" w:space="0" w:color="auto"/>
              <w:bottom w:val="single" w:sz="12" w:space="0" w:color="auto"/>
            </w:tcBorders>
            <w:shd w:val="clear" w:color="auto" w:fill="auto"/>
            <w:vAlign w:val="bottom"/>
          </w:tcPr>
          <w:p w14:paraId="3245B9AE" w14:textId="77777777" w:rsidR="007666A4" w:rsidRPr="00A013F5" w:rsidRDefault="007666A4" w:rsidP="00A013F5">
            <w:pPr>
              <w:pStyle w:val="SingleTxtG"/>
              <w:tabs>
                <w:tab w:val="clear" w:pos="1701"/>
                <w:tab w:val="clear" w:pos="2268"/>
                <w:tab w:val="clear" w:pos="2835"/>
              </w:tabs>
              <w:spacing w:before="80" w:after="80" w:line="200" w:lineRule="exact"/>
              <w:ind w:left="57" w:right="28"/>
              <w:jc w:val="right"/>
              <w:rPr>
                <w:i/>
                <w:iCs/>
                <w:sz w:val="16"/>
              </w:rPr>
            </w:pPr>
            <w:r w:rsidRPr="00A013F5">
              <w:rPr>
                <w:i/>
                <w:iCs/>
                <w:sz w:val="16"/>
              </w:rPr>
              <w:t>Año 2017</w:t>
            </w:r>
          </w:p>
        </w:tc>
        <w:tc>
          <w:tcPr>
            <w:tcW w:w="1416" w:type="dxa"/>
            <w:tcBorders>
              <w:top w:val="single" w:sz="4" w:space="0" w:color="auto"/>
              <w:bottom w:val="single" w:sz="12" w:space="0" w:color="auto"/>
            </w:tcBorders>
            <w:shd w:val="clear" w:color="auto" w:fill="auto"/>
            <w:vAlign w:val="bottom"/>
          </w:tcPr>
          <w:p w14:paraId="37F105E1" w14:textId="77777777" w:rsidR="007666A4" w:rsidRPr="00A013F5" w:rsidRDefault="007666A4" w:rsidP="00A013F5">
            <w:pPr>
              <w:pStyle w:val="SingleTxtG"/>
              <w:tabs>
                <w:tab w:val="clear" w:pos="1701"/>
                <w:tab w:val="clear" w:pos="2268"/>
                <w:tab w:val="clear" w:pos="2835"/>
              </w:tabs>
              <w:spacing w:before="80" w:after="80" w:line="200" w:lineRule="exact"/>
              <w:ind w:left="57" w:right="28"/>
              <w:jc w:val="right"/>
              <w:rPr>
                <w:i/>
                <w:iCs/>
                <w:sz w:val="16"/>
              </w:rPr>
            </w:pPr>
            <w:r w:rsidRPr="00A013F5">
              <w:rPr>
                <w:i/>
                <w:iCs/>
                <w:sz w:val="16"/>
              </w:rPr>
              <w:t>Año 2018</w:t>
            </w:r>
          </w:p>
        </w:tc>
      </w:tr>
      <w:tr w:rsidR="00A013F5" w:rsidRPr="00A013F5" w14:paraId="5450B170" w14:textId="77777777" w:rsidTr="00A013F5">
        <w:trPr>
          <w:trHeight w:val="240"/>
        </w:trPr>
        <w:tc>
          <w:tcPr>
            <w:tcW w:w="2835" w:type="dxa"/>
            <w:tcBorders>
              <w:top w:val="single" w:sz="12" w:space="0" w:color="auto"/>
            </w:tcBorders>
            <w:shd w:val="clear" w:color="auto" w:fill="auto"/>
          </w:tcPr>
          <w:p w14:paraId="79935B30" w14:textId="77777777" w:rsidR="007666A4" w:rsidRPr="00A013F5" w:rsidRDefault="007666A4" w:rsidP="00A013F5">
            <w:pPr>
              <w:pStyle w:val="SingleTxtG"/>
              <w:tabs>
                <w:tab w:val="clear" w:pos="1701"/>
                <w:tab w:val="clear" w:pos="2268"/>
                <w:tab w:val="clear" w:pos="2835"/>
              </w:tabs>
              <w:spacing w:before="40" w:after="40" w:line="220" w:lineRule="exact"/>
              <w:ind w:left="0" w:right="0"/>
              <w:jc w:val="left"/>
              <w:rPr>
                <w:sz w:val="18"/>
              </w:rPr>
            </w:pPr>
            <w:r w:rsidRPr="00A013F5">
              <w:rPr>
                <w:sz w:val="18"/>
              </w:rPr>
              <w:t>Denuncias recibidas</w:t>
            </w:r>
          </w:p>
        </w:tc>
        <w:tc>
          <w:tcPr>
            <w:tcW w:w="1560" w:type="dxa"/>
            <w:tcBorders>
              <w:top w:val="single" w:sz="12" w:space="0" w:color="auto"/>
            </w:tcBorders>
            <w:shd w:val="clear" w:color="auto" w:fill="auto"/>
            <w:vAlign w:val="bottom"/>
          </w:tcPr>
          <w:p w14:paraId="251E419E" w14:textId="5B0BA439" w:rsidR="007666A4" w:rsidRPr="00A013F5" w:rsidRDefault="007666A4" w:rsidP="00A013F5">
            <w:pPr>
              <w:pStyle w:val="SingleTxtG"/>
              <w:tabs>
                <w:tab w:val="clear" w:pos="1701"/>
                <w:tab w:val="clear" w:pos="2268"/>
                <w:tab w:val="clear" w:pos="2835"/>
              </w:tabs>
              <w:spacing w:before="40" w:after="40" w:line="220" w:lineRule="exact"/>
              <w:ind w:left="57" w:right="28"/>
              <w:jc w:val="right"/>
              <w:rPr>
                <w:sz w:val="18"/>
              </w:rPr>
            </w:pPr>
            <w:r w:rsidRPr="00A013F5">
              <w:rPr>
                <w:sz w:val="18"/>
              </w:rPr>
              <w:t>2</w:t>
            </w:r>
            <w:r w:rsidR="00A013F5">
              <w:rPr>
                <w:sz w:val="18"/>
              </w:rPr>
              <w:t xml:space="preserve"> </w:t>
            </w:r>
            <w:r w:rsidRPr="00A013F5">
              <w:rPr>
                <w:sz w:val="18"/>
              </w:rPr>
              <w:t>001</w:t>
            </w:r>
          </w:p>
        </w:tc>
        <w:tc>
          <w:tcPr>
            <w:tcW w:w="1559" w:type="dxa"/>
            <w:tcBorders>
              <w:top w:val="single" w:sz="12" w:space="0" w:color="auto"/>
            </w:tcBorders>
            <w:shd w:val="clear" w:color="auto" w:fill="auto"/>
            <w:vAlign w:val="bottom"/>
          </w:tcPr>
          <w:p w14:paraId="14C80392" w14:textId="14EFA2A9" w:rsidR="007666A4" w:rsidRPr="00A013F5" w:rsidRDefault="007666A4" w:rsidP="00A013F5">
            <w:pPr>
              <w:pStyle w:val="SingleTxtG"/>
              <w:tabs>
                <w:tab w:val="clear" w:pos="1701"/>
                <w:tab w:val="clear" w:pos="2268"/>
                <w:tab w:val="clear" w:pos="2835"/>
              </w:tabs>
              <w:spacing w:before="40" w:after="40" w:line="220" w:lineRule="exact"/>
              <w:ind w:left="57" w:right="28"/>
              <w:jc w:val="right"/>
              <w:rPr>
                <w:sz w:val="18"/>
              </w:rPr>
            </w:pPr>
            <w:r w:rsidRPr="00A013F5">
              <w:rPr>
                <w:sz w:val="18"/>
              </w:rPr>
              <w:t>2</w:t>
            </w:r>
            <w:r w:rsidR="00A013F5">
              <w:rPr>
                <w:sz w:val="18"/>
              </w:rPr>
              <w:t xml:space="preserve"> </w:t>
            </w:r>
            <w:r w:rsidRPr="00A013F5">
              <w:rPr>
                <w:sz w:val="18"/>
              </w:rPr>
              <w:t>458</w:t>
            </w:r>
          </w:p>
        </w:tc>
        <w:tc>
          <w:tcPr>
            <w:tcW w:w="1416" w:type="dxa"/>
            <w:tcBorders>
              <w:top w:val="single" w:sz="12" w:space="0" w:color="auto"/>
            </w:tcBorders>
            <w:shd w:val="clear" w:color="auto" w:fill="auto"/>
            <w:vAlign w:val="bottom"/>
          </w:tcPr>
          <w:p w14:paraId="583DC238" w14:textId="483FD88E" w:rsidR="007666A4" w:rsidRPr="00A013F5" w:rsidRDefault="007666A4" w:rsidP="00A013F5">
            <w:pPr>
              <w:pStyle w:val="SingleTxtG"/>
              <w:tabs>
                <w:tab w:val="clear" w:pos="1701"/>
                <w:tab w:val="clear" w:pos="2268"/>
                <w:tab w:val="clear" w:pos="2835"/>
              </w:tabs>
              <w:spacing w:before="40" w:after="40" w:line="220" w:lineRule="exact"/>
              <w:ind w:left="57" w:right="28"/>
              <w:jc w:val="right"/>
              <w:rPr>
                <w:sz w:val="18"/>
              </w:rPr>
            </w:pPr>
            <w:r w:rsidRPr="00A013F5">
              <w:rPr>
                <w:sz w:val="18"/>
              </w:rPr>
              <w:t>2</w:t>
            </w:r>
            <w:r w:rsidR="00A013F5">
              <w:rPr>
                <w:sz w:val="18"/>
              </w:rPr>
              <w:t xml:space="preserve"> </w:t>
            </w:r>
            <w:r w:rsidRPr="00A013F5">
              <w:rPr>
                <w:sz w:val="18"/>
              </w:rPr>
              <w:t>753</w:t>
            </w:r>
          </w:p>
        </w:tc>
      </w:tr>
      <w:tr w:rsidR="00A013F5" w:rsidRPr="00A013F5" w14:paraId="5E5776EF" w14:textId="77777777" w:rsidTr="00A013F5">
        <w:trPr>
          <w:trHeight w:val="240"/>
        </w:trPr>
        <w:tc>
          <w:tcPr>
            <w:tcW w:w="2835" w:type="dxa"/>
            <w:shd w:val="clear" w:color="auto" w:fill="auto"/>
          </w:tcPr>
          <w:p w14:paraId="36B40063" w14:textId="77777777" w:rsidR="007666A4" w:rsidRPr="00A013F5" w:rsidRDefault="007666A4" w:rsidP="00A013F5">
            <w:pPr>
              <w:pStyle w:val="SingleTxtG"/>
              <w:tabs>
                <w:tab w:val="clear" w:pos="1701"/>
                <w:tab w:val="clear" w:pos="2268"/>
                <w:tab w:val="clear" w:pos="2835"/>
              </w:tabs>
              <w:spacing w:before="40" w:after="40" w:line="220" w:lineRule="exact"/>
              <w:ind w:left="0" w:right="0"/>
              <w:jc w:val="left"/>
              <w:rPr>
                <w:sz w:val="18"/>
              </w:rPr>
            </w:pPr>
            <w:r w:rsidRPr="00A013F5">
              <w:rPr>
                <w:sz w:val="18"/>
              </w:rPr>
              <w:t>Comunicaciones recibidas</w:t>
            </w:r>
          </w:p>
        </w:tc>
        <w:tc>
          <w:tcPr>
            <w:tcW w:w="1560" w:type="dxa"/>
            <w:shd w:val="clear" w:color="auto" w:fill="auto"/>
            <w:vAlign w:val="bottom"/>
          </w:tcPr>
          <w:p w14:paraId="327FA29E" w14:textId="68A810F8" w:rsidR="007666A4" w:rsidRPr="00A013F5" w:rsidRDefault="007666A4" w:rsidP="00A013F5">
            <w:pPr>
              <w:pStyle w:val="SingleTxtG"/>
              <w:tabs>
                <w:tab w:val="clear" w:pos="1701"/>
                <w:tab w:val="clear" w:pos="2268"/>
                <w:tab w:val="clear" w:pos="2835"/>
              </w:tabs>
              <w:spacing w:before="40" w:after="40" w:line="220" w:lineRule="exact"/>
              <w:ind w:left="57" w:right="28"/>
              <w:jc w:val="right"/>
              <w:rPr>
                <w:sz w:val="18"/>
              </w:rPr>
            </w:pPr>
            <w:r w:rsidRPr="00A013F5">
              <w:rPr>
                <w:sz w:val="18"/>
              </w:rPr>
              <w:t>2</w:t>
            </w:r>
            <w:r w:rsidR="00A013F5">
              <w:rPr>
                <w:sz w:val="18"/>
              </w:rPr>
              <w:t xml:space="preserve"> </w:t>
            </w:r>
            <w:r w:rsidRPr="00A013F5">
              <w:rPr>
                <w:sz w:val="18"/>
              </w:rPr>
              <w:t>848</w:t>
            </w:r>
          </w:p>
        </w:tc>
        <w:tc>
          <w:tcPr>
            <w:tcW w:w="1559" w:type="dxa"/>
            <w:shd w:val="clear" w:color="auto" w:fill="auto"/>
            <w:vAlign w:val="bottom"/>
          </w:tcPr>
          <w:p w14:paraId="658E5A44" w14:textId="69C3BB26" w:rsidR="007666A4" w:rsidRPr="00A013F5" w:rsidRDefault="007666A4" w:rsidP="00A013F5">
            <w:pPr>
              <w:pStyle w:val="SingleTxtG"/>
              <w:tabs>
                <w:tab w:val="clear" w:pos="1701"/>
                <w:tab w:val="clear" w:pos="2268"/>
                <w:tab w:val="clear" w:pos="2835"/>
              </w:tabs>
              <w:spacing w:before="40" w:after="40" w:line="220" w:lineRule="exact"/>
              <w:ind w:left="57" w:right="28"/>
              <w:jc w:val="right"/>
              <w:rPr>
                <w:sz w:val="18"/>
              </w:rPr>
            </w:pPr>
            <w:r w:rsidRPr="00A013F5">
              <w:rPr>
                <w:sz w:val="18"/>
              </w:rPr>
              <w:t>2</w:t>
            </w:r>
            <w:r w:rsidR="00A013F5">
              <w:rPr>
                <w:sz w:val="18"/>
              </w:rPr>
              <w:t xml:space="preserve"> </w:t>
            </w:r>
            <w:r w:rsidRPr="00A013F5">
              <w:rPr>
                <w:sz w:val="18"/>
              </w:rPr>
              <w:t>723</w:t>
            </w:r>
          </w:p>
        </w:tc>
        <w:tc>
          <w:tcPr>
            <w:tcW w:w="1416" w:type="dxa"/>
            <w:shd w:val="clear" w:color="auto" w:fill="auto"/>
            <w:vAlign w:val="bottom"/>
          </w:tcPr>
          <w:p w14:paraId="2129DEDD" w14:textId="54638B0A" w:rsidR="007666A4" w:rsidRPr="00A013F5" w:rsidRDefault="007666A4" w:rsidP="00A013F5">
            <w:pPr>
              <w:pStyle w:val="SingleTxtG"/>
              <w:tabs>
                <w:tab w:val="clear" w:pos="1701"/>
                <w:tab w:val="clear" w:pos="2268"/>
                <w:tab w:val="clear" w:pos="2835"/>
              </w:tabs>
              <w:spacing w:before="40" w:after="40" w:line="220" w:lineRule="exact"/>
              <w:ind w:left="57" w:right="28"/>
              <w:jc w:val="right"/>
              <w:rPr>
                <w:sz w:val="18"/>
              </w:rPr>
            </w:pPr>
            <w:r w:rsidRPr="00A013F5">
              <w:rPr>
                <w:sz w:val="18"/>
              </w:rPr>
              <w:t>3</w:t>
            </w:r>
            <w:r w:rsidR="00A013F5">
              <w:rPr>
                <w:sz w:val="18"/>
              </w:rPr>
              <w:t xml:space="preserve"> </w:t>
            </w:r>
            <w:r w:rsidRPr="00A013F5">
              <w:rPr>
                <w:sz w:val="18"/>
              </w:rPr>
              <w:t>650</w:t>
            </w:r>
          </w:p>
        </w:tc>
      </w:tr>
      <w:tr w:rsidR="00A013F5" w:rsidRPr="00A013F5" w14:paraId="3D6E2890" w14:textId="77777777" w:rsidTr="00A013F5">
        <w:trPr>
          <w:trHeight w:val="240"/>
        </w:trPr>
        <w:tc>
          <w:tcPr>
            <w:tcW w:w="2835" w:type="dxa"/>
            <w:shd w:val="clear" w:color="auto" w:fill="auto"/>
          </w:tcPr>
          <w:p w14:paraId="5C7AA6EF" w14:textId="77777777" w:rsidR="007666A4" w:rsidRPr="00A013F5" w:rsidRDefault="007666A4" w:rsidP="00A013F5">
            <w:pPr>
              <w:pStyle w:val="SingleTxtG"/>
              <w:tabs>
                <w:tab w:val="clear" w:pos="1701"/>
                <w:tab w:val="clear" w:pos="2268"/>
                <w:tab w:val="clear" w:pos="2835"/>
              </w:tabs>
              <w:spacing w:before="40" w:after="40" w:line="220" w:lineRule="exact"/>
              <w:ind w:left="0" w:right="0"/>
              <w:jc w:val="left"/>
              <w:rPr>
                <w:sz w:val="18"/>
              </w:rPr>
            </w:pPr>
            <w:r w:rsidRPr="00A013F5">
              <w:rPr>
                <w:sz w:val="18"/>
              </w:rPr>
              <w:t>Citaciones judiciales</w:t>
            </w:r>
          </w:p>
        </w:tc>
        <w:tc>
          <w:tcPr>
            <w:tcW w:w="1560" w:type="dxa"/>
            <w:shd w:val="clear" w:color="auto" w:fill="auto"/>
            <w:vAlign w:val="bottom"/>
          </w:tcPr>
          <w:p w14:paraId="6862FF2E" w14:textId="129FFA60" w:rsidR="007666A4" w:rsidRPr="00A013F5" w:rsidRDefault="007666A4" w:rsidP="00A013F5">
            <w:pPr>
              <w:pStyle w:val="SingleTxtG"/>
              <w:tabs>
                <w:tab w:val="clear" w:pos="1701"/>
                <w:tab w:val="clear" w:pos="2268"/>
                <w:tab w:val="clear" w:pos="2835"/>
              </w:tabs>
              <w:spacing w:before="40" w:after="40" w:line="220" w:lineRule="exact"/>
              <w:ind w:left="57" w:right="28"/>
              <w:jc w:val="right"/>
              <w:rPr>
                <w:sz w:val="18"/>
              </w:rPr>
            </w:pPr>
            <w:r w:rsidRPr="00A013F5">
              <w:rPr>
                <w:sz w:val="18"/>
              </w:rPr>
              <w:t>4</w:t>
            </w:r>
            <w:r w:rsidR="00A013F5">
              <w:rPr>
                <w:sz w:val="18"/>
              </w:rPr>
              <w:t xml:space="preserve"> </w:t>
            </w:r>
            <w:r w:rsidRPr="00A013F5">
              <w:rPr>
                <w:sz w:val="18"/>
              </w:rPr>
              <w:t>533</w:t>
            </w:r>
          </w:p>
        </w:tc>
        <w:tc>
          <w:tcPr>
            <w:tcW w:w="1559" w:type="dxa"/>
            <w:shd w:val="clear" w:color="auto" w:fill="auto"/>
            <w:vAlign w:val="bottom"/>
          </w:tcPr>
          <w:p w14:paraId="38E4782E" w14:textId="2B4DFBDB" w:rsidR="007666A4" w:rsidRPr="00A013F5" w:rsidRDefault="007666A4" w:rsidP="00A013F5">
            <w:pPr>
              <w:pStyle w:val="SingleTxtG"/>
              <w:tabs>
                <w:tab w:val="clear" w:pos="1701"/>
                <w:tab w:val="clear" w:pos="2268"/>
                <w:tab w:val="clear" w:pos="2835"/>
              </w:tabs>
              <w:spacing w:before="40" w:after="40" w:line="220" w:lineRule="exact"/>
              <w:ind w:left="57" w:right="28"/>
              <w:jc w:val="right"/>
              <w:rPr>
                <w:sz w:val="18"/>
              </w:rPr>
            </w:pPr>
            <w:r w:rsidRPr="00A013F5">
              <w:rPr>
                <w:sz w:val="18"/>
              </w:rPr>
              <w:t>6</w:t>
            </w:r>
            <w:r w:rsidR="00A013F5">
              <w:rPr>
                <w:sz w:val="18"/>
              </w:rPr>
              <w:t xml:space="preserve"> </w:t>
            </w:r>
            <w:r w:rsidRPr="00A013F5">
              <w:rPr>
                <w:sz w:val="18"/>
              </w:rPr>
              <w:t>261</w:t>
            </w:r>
          </w:p>
        </w:tc>
        <w:tc>
          <w:tcPr>
            <w:tcW w:w="1416" w:type="dxa"/>
            <w:shd w:val="clear" w:color="auto" w:fill="auto"/>
            <w:vAlign w:val="bottom"/>
          </w:tcPr>
          <w:p w14:paraId="2FE348D7" w14:textId="09D9D51B" w:rsidR="007666A4" w:rsidRPr="00A013F5" w:rsidRDefault="007666A4" w:rsidP="00A013F5">
            <w:pPr>
              <w:pStyle w:val="SingleTxtG"/>
              <w:tabs>
                <w:tab w:val="clear" w:pos="1701"/>
                <w:tab w:val="clear" w:pos="2268"/>
                <w:tab w:val="clear" w:pos="2835"/>
              </w:tabs>
              <w:spacing w:before="40" w:after="40" w:line="220" w:lineRule="exact"/>
              <w:ind w:left="57" w:right="28"/>
              <w:jc w:val="right"/>
              <w:rPr>
                <w:sz w:val="18"/>
              </w:rPr>
            </w:pPr>
            <w:r w:rsidRPr="00A013F5">
              <w:rPr>
                <w:sz w:val="18"/>
              </w:rPr>
              <w:t>5</w:t>
            </w:r>
            <w:r w:rsidR="00A013F5">
              <w:rPr>
                <w:sz w:val="18"/>
              </w:rPr>
              <w:t xml:space="preserve"> </w:t>
            </w:r>
            <w:r w:rsidRPr="00A013F5">
              <w:rPr>
                <w:sz w:val="18"/>
              </w:rPr>
              <w:t>811</w:t>
            </w:r>
          </w:p>
        </w:tc>
      </w:tr>
      <w:tr w:rsidR="00A013F5" w:rsidRPr="00A013F5" w14:paraId="66C4AFBF" w14:textId="77777777" w:rsidTr="00A013F5">
        <w:trPr>
          <w:trHeight w:val="240"/>
        </w:trPr>
        <w:tc>
          <w:tcPr>
            <w:tcW w:w="2835" w:type="dxa"/>
            <w:shd w:val="clear" w:color="auto" w:fill="auto"/>
          </w:tcPr>
          <w:p w14:paraId="4616E897" w14:textId="77777777" w:rsidR="007666A4" w:rsidRPr="00A013F5" w:rsidRDefault="007666A4" w:rsidP="00A013F5">
            <w:pPr>
              <w:pStyle w:val="SingleTxtG"/>
              <w:tabs>
                <w:tab w:val="clear" w:pos="1701"/>
                <w:tab w:val="clear" w:pos="2268"/>
                <w:tab w:val="clear" w:pos="2835"/>
              </w:tabs>
              <w:spacing w:before="40" w:after="40" w:line="220" w:lineRule="exact"/>
              <w:ind w:left="0" w:right="0"/>
              <w:jc w:val="left"/>
              <w:rPr>
                <w:sz w:val="18"/>
              </w:rPr>
            </w:pPr>
            <w:r w:rsidRPr="00A013F5">
              <w:rPr>
                <w:sz w:val="18"/>
              </w:rPr>
              <w:t>Autos de detención</w:t>
            </w:r>
          </w:p>
        </w:tc>
        <w:tc>
          <w:tcPr>
            <w:tcW w:w="1560" w:type="dxa"/>
            <w:shd w:val="clear" w:color="auto" w:fill="auto"/>
            <w:vAlign w:val="bottom"/>
          </w:tcPr>
          <w:p w14:paraId="77E5BF3F" w14:textId="1E54E727" w:rsidR="007666A4" w:rsidRPr="00A013F5" w:rsidRDefault="007666A4" w:rsidP="00A013F5">
            <w:pPr>
              <w:pStyle w:val="SingleTxtG"/>
              <w:tabs>
                <w:tab w:val="clear" w:pos="1701"/>
                <w:tab w:val="clear" w:pos="2268"/>
                <w:tab w:val="clear" w:pos="2835"/>
              </w:tabs>
              <w:spacing w:before="40" w:after="40" w:line="220" w:lineRule="exact"/>
              <w:ind w:left="57" w:right="28"/>
              <w:jc w:val="right"/>
              <w:rPr>
                <w:sz w:val="18"/>
              </w:rPr>
            </w:pPr>
            <w:r w:rsidRPr="00A013F5">
              <w:rPr>
                <w:sz w:val="18"/>
              </w:rPr>
              <w:t>1</w:t>
            </w:r>
            <w:r w:rsidR="00A013F5">
              <w:rPr>
                <w:sz w:val="18"/>
              </w:rPr>
              <w:t xml:space="preserve"> </w:t>
            </w:r>
            <w:r w:rsidRPr="00A013F5">
              <w:rPr>
                <w:sz w:val="18"/>
              </w:rPr>
              <w:t>507</w:t>
            </w:r>
          </w:p>
        </w:tc>
        <w:tc>
          <w:tcPr>
            <w:tcW w:w="1559" w:type="dxa"/>
            <w:shd w:val="clear" w:color="auto" w:fill="auto"/>
            <w:vAlign w:val="bottom"/>
          </w:tcPr>
          <w:p w14:paraId="43E6BE49" w14:textId="2BC1224F" w:rsidR="007666A4" w:rsidRPr="00A013F5" w:rsidRDefault="007666A4" w:rsidP="00A013F5">
            <w:pPr>
              <w:pStyle w:val="SingleTxtG"/>
              <w:tabs>
                <w:tab w:val="clear" w:pos="1701"/>
                <w:tab w:val="clear" w:pos="2268"/>
                <w:tab w:val="clear" w:pos="2835"/>
              </w:tabs>
              <w:spacing w:before="40" w:after="40" w:line="220" w:lineRule="exact"/>
              <w:ind w:left="57" w:right="28"/>
              <w:jc w:val="right"/>
              <w:rPr>
                <w:sz w:val="18"/>
              </w:rPr>
            </w:pPr>
            <w:r w:rsidRPr="00A013F5">
              <w:rPr>
                <w:sz w:val="18"/>
              </w:rPr>
              <w:t>2</w:t>
            </w:r>
            <w:r w:rsidR="00A013F5">
              <w:rPr>
                <w:sz w:val="18"/>
              </w:rPr>
              <w:t xml:space="preserve"> </w:t>
            </w:r>
            <w:r w:rsidRPr="00A013F5">
              <w:rPr>
                <w:sz w:val="18"/>
              </w:rPr>
              <w:t>133</w:t>
            </w:r>
          </w:p>
        </w:tc>
        <w:tc>
          <w:tcPr>
            <w:tcW w:w="1416" w:type="dxa"/>
            <w:shd w:val="clear" w:color="auto" w:fill="auto"/>
            <w:vAlign w:val="bottom"/>
          </w:tcPr>
          <w:p w14:paraId="061ECDAA" w14:textId="04D11174" w:rsidR="007666A4" w:rsidRPr="00A013F5" w:rsidRDefault="007666A4" w:rsidP="00A013F5">
            <w:pPr>
              <w:pStyle w:val="SingleTxtG"/>
              <w:tabs>
                <w:tab w:val="clear" w:pos="1701"/>
                <w:tab w:val="clear" w:pos="2268"/>
                <w:tab w:val="clear" w:pos="2835"/>
              </w:tabs>
              <w:spacing w:before="40" w:after="40" w:line="220" w:lineRule="exact"/>
              <w:ind w:left="57" w:right="28"/>
              <w:jc w:val="right"/>
              <w:rPr>
                <w:sz w:val="18"/>
              </w:rPr>
            </w:pPr>
            <w:r w:rsidRPr="00A013F5">
              <w:rPr>
                <w:sz w:val="18"/>
              </w:rPr>
              <w:t>2</w:t>
            </w:r>
            <w:r w:rsidR="00A013F5">
              <w:rPr>
                <w:sz w:val="18"/>
              </w:rPr>
              <w:t xml:space="preserve"> </w:t>
            </w:r>
            <w:r w:rsidRPr="00A013F5">
              <w:rPr>
                <w:sz w:val="18"/>
              </w:rPr>
              <w:t>020</w:t>
            </w:r>
          </w:p>
        </w:tc>
      </w:tr>
      <w:tr w:rsidR="00A013F5" w:rsidRPr="00A013F5" w14:paraId="0F011BD3" w14:textId="77777777" w:rsidTr="00A013F5">
        <w:trPr>
          <w:trHeight w:val="240"/>
        </w:trPr>
        <w:tc>
          <w:tcPr>
            <w:tcW w:w="2835" w:type="dxa"/>
            <w:shd w:val="clear" w:color="auto" w:fill="auto"/>
          </w:tcPr>
          <w:p w14:paraId="22972D0C" w14:textId="77777777" w:rsidR="007666A4" w:rsidRPr="00A013F5" w:rsidRDefault="007666A4" w:rsidP="00A013F5">
            <w:pPr>
              <w:pStyle w:val="SingleTxtG"/>
              <w:tabs>
                <w:tab w:val="clear" w:pos="1701"/>
                <w:tab w:val="clear" w:pos="2268"/>
                <w:tab w:val="clear" w:pos="2835"/>
              </w:tabs>
              <w:spacing w:before="40" w:after="40" w:line="220" w:lineRule="exact"/>
              <w:ind w:left="0" w:right="0"/>
              <w:jc w:val="left"/>
              <w:rPr>
                <w:sz w:val="18"/>
              </w:rPr>
            </w:pPr>
            <w:r w:rsidRPr="00A013F5">
              <w:rPr>
                <w:sz w:val="18"/>
              </w:rPr>
              <w:t>Autos de prisión</w:t>
            </w:r>
          </w:p>
        </w:tc>
        <w:tc>
          <w:tcPr>
            <w:tcW w:w="1560" w:type="dxa"/>
            <w:shd w:val="clear" w:color="auto" w:fill="auto"/>
            <w:vAlign w:val="bottom"/>
          </w:tcPr>
          <w:p w14:paraId="1CA7E61A" w14:textId="77777777" w:rsidR="007666A4" w:rsidRPr="00A013F5" w:rsidRDefault="007666A4" w:rsidP="00A013F5">
            <w:pPr>
              <w:pStyle w:val="SingleTxtG"/>
              <w:tabs>
                <w:tab w:val="clear" w:pos="1701"/>
                <w:tab w:val="clear" w:pos="2268"/>
                <w:tab w:val="clear" w:pos="2835"/>
              </w:tabs>
              <w:spacing w:before="40" w:after="40" w:line="220" w:lineRule="exact"/>
              <w:ind w:left="57" w:right="28"/>
              <w:jc w:val="right"/>
              <w:rPr>
                <w:sz w:val="18"/>
              </w:rPr>
            </w:pPr>
            <w:r w:rsidRPr="00A013F5">
              <w:rPr>
                <w:sz w:val="18"/>
              </w:rPr>
              <w:t>714</w:t>
            </w:r>
          </w:p>
        </w:tc>
        <w:tc>
          <w:tcPr>
            <w:tcW w:w="1559" w:type="dxa"/>
            <w:shd w:val="clear" w:color="auto" w:fill="auto"/>
            <w:vAlign w:val="bottom"/>
          </w:tcPr>
          <w:p w14:paraId="70332485" w14:textId="7AEB30EE" w:rsidR="007666A4" w:rsidRPr="00A013F5" w:rsidRDefault="007666A4" w:rsidP="00A013F5">
            <w:pPr>
              <w:pStyle w:val="SingleTxtG"/>
              <w:tabs>
                <w:tab w:val="clear" w:pos="1701"/>
                <w:tab w:val="clear" w:pos="2268"/>
                <w:tab w:val="clear" w:pos="2835"/>
              </w:tabs>
              <w:spacing w:before="40" w:after="40" w:line="220" w:lineRule="exact"/>
              <w:ind w:left="57" w:right="28"/>
              <w:jc w:val="right"/>
              <w:rPr>
                <w:sz w:val="18"/>
              </w:rPr>
            </w:pPr>
            <w:r w:rsidRPr="00A013F5">
              <w:rPr>
                <w:sz w:val="18"/>
              </w:rPr>
              <w:t>1</w:t>
            </w:r>
            <w:r w:rsidR="00A013F5">
              <w:rPr>
                <w:sz w:val="18"/>
              </w:rPr>
              <w:t xml:space="preserve"> </w:t>
            </w:r>
            <w:r w:rsidRPr="00A013F5">
              <w:rPr>
                <w:sz w:val="18"/>
              </w:rPr>
              <w:t>424</w:t>
            </w:r>
          </w:p>
        </w:tc>
        <w:tc>
          <w:tcPr>
            <w:tcW w:w="1416" w:type="dxa"/>
            <w:shd w:val="clear" w:color="auto" w:fill="auto"/>
            <w:vAlign w:val="bottom"/>
          </w:tcPr>
          <w:p w14:paraId="750D018B" w14:textId="63973BCC" w:rsidR="007666A4" w:rsidRPr="00A013F5" w:rsidRDefault="007666A4" w:rsidP="00A013F5">
            <w:pPr>
              <w:pStyle w:val="SingleTxtG"/>
              <w:tabs>
                <w:tab w:val="clear" w:pos="1701"/>
                <w:tab w:val="clear" w:pos="2268"/>
                <w:tab w:val="clear" w:pos="2835"/>
              </w:tabs>
              <w:spacing w:before="40" w:after="40" w:line="220" w:lineRule="exact"/>
              <w:ind w:left="57" w:right="28"/>
              <w:jc w:val="right"/>
              <w:rPr>
                <w:sz w:val="18"/>
              </w:rPr>
            </w:pPr>
            <w:r w:rsidRPr="00A013F5">
              <w:rPr>
                <w:sz w:val="18"/>
              </w:rPr>
              <w:t>1</w:t>
            </w:r>
            <w:r w:rsidR="00A013F5">
              <w:rPr>
                <w:sz w:val="18"/>
              </w:rPr>
              <w:t xml:space="preserve"> </w:t>
            </w:r>
            <w:r w:rsidRPr="00A013F5">
              <w:rPr>
                <w:sz w:val="18"/>
              </w:rPr>
              <w:t>417</w:t>
            </w:r>
          </w:p>
        </w:tc>
      </w:tr>
      <w:tr w:rsidR="00A013F5" w:rsidRPr="00A013F5" w14:paraId="4E9CF268" w14:textId="77777777" w:rsidTr="00A013F5">
        <w:trPr>
          <w:trHeight w:val="240"/>
        </w:trPr>
        <w:tc>
          <w:tcPr>
            <w:tcW w:w="2835" w:type="dxa"/>
            <w:shd w:val="clear" w:color="auto" w:fill="auto"/>
          </w:tcPr>
          <w:p w14:paraId="3895178A" w14:textId="77777777" w:rsidR="007666A4" w:rsidRPr="00A013F5" w:rsidRDefault="007666A4" w:rsidP="00A013F5">
            <w:pPr>
              <w:pStyle w:val="SingleTxtG"/>
              <w:tabs>
                <w:tab w:val="clear" w:pos="1701"/>
                <w:tab w:val="clear" w:pos="2268"/>
                <w:tab w:val="clear" w:pos="2835"/>
              </w:tabs>
              <w:spacing w:before="40" w:after="40" w:line="220" w:lineRule="exact"/>
              <w:ind w:left="0" w:right="0"/>
              <w:jc w:val="left"/>
              <w:rPr>
                <w:sz w:val="18"/>
              </w:rPr>
            </w:pPr>
            <w:r w:rsidRPr="00A013F5">
              <w:rPr>
                <w:sz w:val="18"/>
              </w:rPr>
              <w:t>Casos de flagrante delito</w:t>
            </w:r>
          </w:p>
        </w:tc>
        <w:tc>
          <w:tcPr>
            <w:tcW w:w="1560" w:type="dxa"/>
            <w:shd w:val="clear" w:color="auto" w:fill="auto"/>
            <w:vAlign w:val="bottom"/>
          </w:tcPr>
          <w:p w14:paraId="4AB4D137" w14:textId="77777777" w:rsidR="007666A4" w:rsidRPr="00A013F5" w:rsidRDefault="007666A4" w:rsidP="00A013F5">
            <w:pPr>
              <w:pStyle w:val="SingleTxtG"/>
              <w:tabs>
                <w:tab w:val="clear" w:pos="1701"/>
                <w:tab w:val="clear" w:pos="2268"/>
                <w:tab w:val="clear" w:pos="2835"/>
              </w:tabs>
              <w:spacing w:before="40" w:after="40" w:line="220" w:lineRule="exact"/>
              <w:ind w:left="57" w:right="28"/>
              <w:jc w:val="right"/>
              <w:rPr>
                <w:sz w:val="18"/>
              </w:rPr>
            </w:pPr>
            <w:r w:rsidRPr="00A013F5">
              <w:rPr>
                <w:sz w:val="18"/>
              </w:rPr>
              <w:t>71</w:t>
            </w:r>
          </w:p>
        </w:tc>
        <w:tc>
          <w:tcPr>
            <w:tcW w:w="1559" w:type="dxa"/>
            <w:shd w:val="clear" w:color="auto" w:fill="auto"/>
            <w:vAlign w:val="bottom"/>
          </w:tcPr>
          <w:p w14:paraId="15CAFAC8" w14:textId="77777777" w:rsidR="007666A4" w:rsidRPr="00A013F5" w:rsidRDefault="007666A4" w:rsidP="00A013F5">
            <w:pPr>
              <w:pStyle w:val="SingleTxtG"/>
              <w:tabs>
                <w:tab w:val="clear" w:pos="1701"/>
                <w:tab w:val="clear" w:pos="2268"/>
                <w:tab w:val="clear" w:pos="2835"/>
              </w:tabs>
              <w:spacing w:before="40" w:after="40" w:line="220" w:lineRule="exact"/>
              <w:ind w:left="57" w:right="28"/>
              <w:jc w:val="right"/>
              <w:rPr>
                <w:sz w:val="18"/>
              </w:rPr>
            </w:pPr>
            <w:r w:rsidRPr="00A013F5">
              <w:rPr>
                <w:sz w:val="18"/>
              </w:rPr>
              <w:t>293</w:t>
            </w:r>
          </w:p>
        </w:tc>
        <w:tc>
          <w:tcPr>
            <w:tcW w:w="1416" w:type="dxa"/>
            <w:shd w:val="clear" w:color="auto" w:fill="auto"/>
            <w:vAlign w:val="bottom"/>
          </w:tcPr>
          <w:p w14:paraId="27038F4B" w14:textId="77777777" w:rsidR="007666A4" w:rsidRPr="00A013F5" w:rsidRDefault="007666A4" w:rsidP="00A013F5">
            <w:pPr>
              <w:pStyle w:val="SingleTxtG"/>
              <w:tabs>
                <w:tab w:val="clear" w:pos="1701"/>
                <w:tab w:val="clear" w:pos="2268"/>
                <w:tab w:val="clear" w:pos="2835"/>
              </w:tabs>
              <w:spacing w:before="40" w:after="40" w:line="220" w:lineRule="exact"/>
              <w:ind w:left="57" w:right="28"/>
              <w:jc w:val="right"/>
              <w:rPr>
                <w:sz w:val="18"/>
              </w:rPr>
            </w:pPr>
            <w:r w:rsidRPr="00A013F5">
              <w:rPr>
                <w:sz w:val="18"/>
              </w:rPr>
              <w:t>441</w:t>
            </w:r>
          </w:p>
        </w:tc>
      </w:tr>
      <w:tr w:rsidR="00A013F5" w:rsidRPr="00A013F5" w14:paraId="792646D3" w14:textId="77777777" w:rsidTr="00A013F5">
        <w:trPr>
          <w:trHeight w:val="240"/>
        </w:trPr>
        <w:tc>
          <w:tcPr>
            <w:tcW w:w="2835" w:type="dxa"/>
            <w:shd w:val="clear" w:color="auto" w:fill="auto"/>
          </w:tcPr>
          <w:p w14:paraId="760C6887" w14:textId="77777777" w:rsidR="007666A4" w:rsidRPr="00A013F5" w:rsidRDefault="007666A4" w:rsidP="00A013F5">
            <w:pPr>
              <w:pStyle w:val="SingleTxtG"/>
              <w:tabs>
                <w:tab w:val="clear" w:pos="1701"/>
                <w:tab w:val="clear" w:pos="2268"/>
                <w:tab w:val="clear" w:pos="2835"/>
              </w:tabs>
              <w:spacing w:before="40" w:after="40" w:line="220" w:lineRule="exact"/>
              <w:ind w:left="0" w:right="0"/>
              <w:jc w:val="left"/>
              <w:rPr>
                <w:sz w:val="18"/>
              </w:rPr>
            </w:pPr>
            <w:r w:rsidRPr="00A013F5">
              <w:rPr>
                <w:sz w:val="18"/>
              </w:rPr>
              <w:t>Asuntos remitidos a los tribunales</w:t>
            </w:r>
          </w:p>
        </w:tc>
        <w:tc>
          <w:tcPr>
            <w:tcW w:w="1560" w:type="dxa"/>
            <w:shd w:val="clear" w:color="auto" w:fill="auto"/>
            <w:vAlign w:val="bottom"/>
          </w:tcPr>
          <w:p w14:paraId="551300B2" w14:textId="3A349870" w:rsidR="007666A4" w:rsidRPr="00A013F5" w:rsidRDefault="007666A4" w:rsidP="00A013F5">
            <w:pPr>
              <w:pStyle w:val="SingleTxtG"/>
              <w:tabs>
                <w:tab w:val="clear" w:pos="1701"/>
                <w:tab w:val="clear" w:pos="2268"/>
                <w:tab w:val="clear" w:pos="2835"/>
              </w:tabs>
              <w:spacing w:before="40" w:after="40" w:line="220" w:lineRule="exact"/>
              <w:ind w:left="57" w:right="28"/>
              <w:jc w:val="right"/>
              <w:rPr>
                <w:sz w:val="18"/>
              </w:rPr>
            </w:pPr>
            <w:r w:rsidRPr="00A013F5">
              <w:rPr>
                <w:sz w:val="18"/>
              </w:rPr>
              <w:t>2</w:t>
            </w:r>
            <w:r w:rsidR="00A013F5">
              <w:rPr>
                <w:sz w:val="18"/>
              </w:rPr>
              <w:t xml:space="preserve"> </w:t>
            </w:r>
            <w:r w:rsidRPr="00A013F5">
              <w:rPr>
                <w:sz w:val="18"/>
              </w:rPr>
              <w:t>057</w:t>
            </w:r>
          </w:p>
        </w:tc>
        <w:tc>
          <w:tcPr>
            <w:tcW w:w="1559" w:type="dxa"/>
            <w:shd w:val="clear" w:color="auto" w:fill="auto"/>
            <w:vAlign w:val="bottom"/>
          </w:tcPr>
          <w:p w14:paraId="550E9E08" w14:textId="00A2A6F2" w:rsidR="007666A4" w:rsidRPr="00A013F5" w:rsidRDefault="007666A4" w:rsidP="00A013F5">
            <w:pPr>
              <w:pStyle w:val="SingleTxtG"/>
              <w:tabs>
                <w:tab w:val="clear" w:pos="1701"/>
                <w:tab w:val="clear" w:pos="2268"/>
                <w:tab w:val="clear" w:pos="2835"/>
              </w:tabs>
              <w:spacing w:before="40" w:after="40" w:line="220" w:lineRule="exact"/>
              <w:ind w:left="57" w:right="28"/>
              <w:jc w:val="right"/>
              <w:rPr>
                <w:sz w:val="18"/>
              </w:rPr>
            </w:pPr>
            <w:r w:rsidRPr="00A013F5">
              <w:rPr>
                <w:sz w:val="18"/>
              </w:rPr>
              <w:t>2</w:t>
            </w:r>
            <w:r w:rsidR="00A013F5">
              <w:rPr>
                <w:sz w:val="18"/>
              </w:rPr>
              <w:t xml:space="preserve"> </w:t>
            </w:r>
            <w:r w:rsidRPr="00A013F5">
              <w:rPr>
                <w:sz w:val="18"/>
              </w:rPr>
              <w:t>412</w:t>
            </w:r>
          </w:p>
        </w:tc>
        <w:tc>
          <w:tcPr>
            <w:tcW w:w="1416" w:type="dxa"/>
            <w:shd w:val="clear" w:color="auto" w:fill="auto"/>
            <w:vAlign w:val="bottom"/>
          </w:tcPr>
          <w:p w14:paraId="2CD16BEE" w14:textId="3BDDE4D7" w:rsidR="007666A4" w:rsidRPr="00A013F5" w:rsidRDefault="007666A4" w:rsidP="00A013F5">
            <w:pPr>
              <w:pStyle w:val="SingleTxtG"/>
              <w:tabs>
                <w:tab w:val="clear" w:pos="1701"/>
                <w:tab w:val="clear" w:pos="2268"/>
                <w:tab w:val="clear" w:pos="2835"/>
              </w:tabs>
              <w:spacing w:before="40" w:after="40" w:line="220" w:lineRule="exact"/>
              <w:ind w:left="57" w:right="28"/>
              <w:jc w:val="right"/>
              <w:rPr>
                <w:sz w:val="18"/>
              </w:rPr>
            </w:pPr>
            <w:r w:rsidRPr="00A013F5">
              <w:rPr>
                <w:sz w:val="18"/>
              </w:rPr>
              <w:t>2</w:t>
            </w:r>
            <w:r w:rsidR="00A013F5">
              <w:rPr>
                <w:sz w:val="18"/>
              </w:rPr>
              <w:t xml:space="preserve"> </w:t>
            </w:r>
            <w:r w:rsidRPr="00A013F5">
              <w:rPr>
                <w:sz w:val="18"/>
              </w:rPr>
              <w:t>103</w:t>
            </w:r>
          </w:p>
        </w:tc>
      </w:tr>
      <w:tr w:rsidR="00A013F5" w:rsidRPr="00A013F5" w14:paraId="50F5BF3F" w14:textId="77777777" w:rsidTr="00A013F5">
        <w:trPr>
          <w:trHeight w:val="240"/>
        </w:trPr>
        <w:tc>
          <w:tcPr>
            <w:tcW w:w="2835" w:type="dxa"/>
            <w:shd w:val="clear" w:color="auto" w:fill="auto"/>
          </w:tcPr>
          <w:p w14:paraId="4C7803CA" w14:textId="77777777" w:rsidR="007666A4" w:rsidRPr="00A013F5" w:rsidRDefault="007666A4" w:rsidP="00A013F5">
            <w:pPr>
              <w:pStyle w:val="SingleTxtG"/>
              <w:tabs>
                <w:tab w:val="clear" w:pos="1701"/>
                <w:tab w:val="clear" w:pos="2268"/>
                <w:tab w:val="clear" w:pos="2835"/>
              </w:tabs>
              <w:spacing w:before="40" w:after="40" w:line="220" w:lineRule="exact"/>
              <w:ind w:left="0" w:right="0"/>
              <w:jc w:val="left"/>
              <w:rPr>
                <w:sz w:val="18"/>
              </w:rPr>
            </w:pPr>
            <w:r w:rsidRPr="00A013F5">
              <w:rPr>
                <w:sz w:val="18"/>
              </w:rPr>
              <w:t>Número de acusados puestos a disposición de los tribunales</w:t>
            </w:r>
          </w:p>
        </w:tc>
        <w:tc>
          <w:tcPr>
            <w:tcW w:w="1560" w:type="dxa"/>
            <w:shd w:val="clear" w:color="auto" w:fill="auto"/>
            <w:vAlign w:val="bottom"/>
          </w:tcPr>
          <w:p w14:paraId="33362F08" w14:textId="0EC8CF4A" w:rsidR="007666A4" w:rsidRPr="00A013F5" w:rsidRDefault="007666A4" w:rsidP="00A013F5">
            <w:pPr>
              <w:pStyle w:val="SingleTxtG"/>
              <w:tabs>
                <w:tab w:val="clear" w:pos="1701"/>
                <w:tab w:val="clear" w:pos="2268"/>
                <w:tab w:val="clear" w:pos="2835"/>
              </w:tabs>
              <w:spacing w:before="40" w:after="40" w:line="220" w:lineRule="exact"/>
              <w:ind w:left="57" w:right="28"/>
              <w:jc w:val="right"/>
              <w:rPr>
                <w:sz w:val="18"/>
              </w:rPr>
            </w:pPr>
            <w:r w:rsidRPr="00A013F5">
              <w:rPr>
                <w:sz w:val="18"/>
              </w:rPr>
              <w:t>2</w:t>
            </w:r>
            <w:r w:rsidR="00A013F5">
              <w:rPr>
                <w:sz w:val="18"/>
              </w:rPr>
              <w:t xml:space="preserve"> </w:t>
            </w:r>
            <w:r w:rsidRPr="00A013F5">
              <w:rPr>
                <w:sz w:val="18"/>
              </w:rPr>
              <w:t>057</w:t>
            </w:r>
          </w:p>
        </w:tc>
        <w:tc>
          <w:tcPr>
            <w:tcW w:w="1559" w:type="dxa"/>
            <w:shd w:val="clear" w:color="auto" w:fill="auto"/>
            <w:vAlign w:val="bottom"/>
          </w:tcPr>
          <w:p w14:paraId="40B706CB" w14:textId="356862CA" w:rsidR="007666A4" w:rsidRPr="00A013F5" w:rsidRDefault="007666A4" w:rsidP="00A013F5">
            <w:pPr>
              <w:pStyle w:val="SingleTxtG"/>
              <w:tabs>
                <w:tab w:val="clear" w:pos="1701"/>
                <w:tab w:val="clear" w:pos="2268"/>
                <w:tab w:val="clear" w:pos="2835"/>
              </w:tabs>
              <w:spacing w:before="40" w:after="40" w:line="220" w:lineRule="exact"/>
              <w:ind w:left="57" w:right="28"/>
              <w:jc w:val="right"/>
              <w:rPr>
                <w:sz w:val="18"/>
              </w:rPr>
            </w:pPr>
            <w:r w:rsidRPr="00A013F5">
              <w:rPr>
                <w:sz w:val="18"/>
              </w:rPr>
              <w:t>2</w:t>
            </w:r>
            <w:r w:rsidR="00A013F5">
              <w:rPr>
                <w:sz w:val="18"/>
              </w:rPr>
              <w:t xml:space="preserve"> </w:t>
            </w:r>
            <w:r w:rsidRPr="00A013F5">
              <w:rPr>
                <w:sz w:val="18"/>
              </w:rPr>
              <w:t>412</w:t>
            </w:r>
          </w:p>
        </w:tc>
        <w:tc>
          <w:tcPr>
            <w:tcW w:w="1416" w:type="dxa"/>
            <w:shd w:val="clear" w:color="auto" w:fill="auto"/>
            <w:vAlign w:val="bottom"/>
          </w:tcPr>
          <w:p w14:paraId="488C7F20" w14:textId="4AA0DCE1" w:rsidR="007666A4" w:rsidRPr="00A013F5" w:rsidRDefault="007666A4" w:rsidP="00A013F5">
            <w:pPr>
              <w:pStyle w:val="SingleTxtG"/>
              <w:tabs>
                <w:tab w:val="clear" w:pos="1701"/>
                <w:tab w:val="clear" w:pos="2268"/>
                <w:tab w:val="clear" w:pos="2835"/>
              </w:tabs>
              <w:spacing w:before="40" w:after="40" w:line="220" w:lineRule="exact"/>
              <w:ind w:left="57" w:right="28"/>
              <w:jc w:val="right"/>
              <w:rPr>
                <w:sz w:val="18"/>
              </w:rPr>
            </w:pPr>
            <w:r w:rsidRPr="00A013F5">
              <w:rPr>
                <w:sz w:val="18"/>
              </w:rPr>
              <w:t>2</w:t>
            </w:r>
            <w:r w:rsidR="00A013F5">
              <w:rPr>
                <w:sz w:val="18"/>
              </w:rPr>
              <w:t xml:space="preserve"> </w:t>
            </w:r>
            <w:r w:rsidRPr="00A013F5">
              <w:rPr>
                <w:sz w:val="18"/>
              </w:rPr>
              <w:t>103</w:t>
            </w:r>
          </w:p>
        </w:tc>
      </w:tr>
      <w:tr w:rsidR="00A013F5" w:rsidRPr="00A013F5" w14:paraId="5B6A9D76" w14:textId="77777777" w:rsidTr="00A013F5">
        <w:trPr>
          <w:trHeight w:val="240"/>
        </w:trPr>
        <w:tc>
          <w:tcPr>
            <w:tcW w:w="2835" w:type="dxa"/>
            <w:shd w:val="clear" w:color="auto" w:fill="auto"/>
          </w:tcPr>
          <w:p w14:paraId="7EB6BECE" w14:textId="77777777" w:rsidR="007666A4" w:rsidRPr="00A013F5" w:rsidRDefault="007666A4" w:rsidP="00A013F5">
            <w:pPr>
              <w:pStyle w:val="SingleTxtG"/>
              <w:tabs>
                <w:tab w:val="clear" w:pos="1701"/>
                <w:tab w:val="clear" w:pos="2268"/>
                <w:tab w:val="clear" w:pos="2835"/>
              </w:tabs>
              <w:spacing w:before="40" w:after="40" w:line="220" w:lineRule="exact"/>
              <w:ind w:left="0" w:right="0"/>
              <w:jc w:val="left"/>
              <w:rPr>
                <w:sz w:val="18"/>
              </w:rPr>
            </w:pPr>
            <w:r w:rsidRPr="00A013F5">
              <w:rPr>
                <w:sz w:val="18"/>
              </w:rPr>
              <w:t>Fondos públicos para su custodia</w:t>
            </w:r>
          </w:p>
        </w:tc>
        <w:tc>
          <w:tcPr>
            <w:tcW w:w="1560" w:type="dxa"/>
            <w:shd w:val="clear" w:color="auto" w:fill="auto"/>
            <w:vAlign w:val="bottom"/>
          </w:tcPr>
          <w:p w14:paraId="43C2ECC2" w14:textId="3E415586" w:rsidR="007666A4" w:rsidRPr="00A013F5" w:rsidRDefault="007666A4" w:rsidP="00A013F5">
            <w:pPr>
              <w:pStyle w:val="SingleTxtG"/>
              <w:tabs>
                <w:tab w:val="clear" w:pos="1701"/>
                <w:tab w:val="clear" w:pos="2268"/>
                <w:tab w:val="clear" w:pos="2835"/>
              </w:tabs>
              <w:spacing w:before="40" w:after="40" w:line="220" w:lineRule="exact"/>
              <w:ind w:left="57" w:right="28"/>
              <w:jc w:val="right"/>
              <w:rPr>
                <w:sz w:val="18"/>
              </w:rPr>
            </w:pPr>
            <w:r w:rsidRPr="00A013F5">
              <w:rPr>
                <w:sz w:val="18"/>
              </w:rPr>
              <w:t>2</w:t>
            </w:r>
            <w:r w:rsidR="00A013F5">
              <w:rPr>
                <w:sz w:val="18"/>
              </w:rPr>
              <w:t xml:space="preserve"> </w:t>
            </w:r>
            <w:r w:rsidRPr="00A013F5">
              <w:rPr>
                <w:sz w:val="18"/>
              </w:rPr>
              <w:t>599</w:t>
            </w:r>
            <w:r w:rsidR="00A013F5">
              <w:rPr>
                <w:sz w:val="18"/>
              </w:rPr>
              <w:t xml:space="preserve"> </w:t>
            </w:r>
            <w:r w:rsidRPr="00A013F5">
              <w:rPr>
                <w:sz w:val="18"/>
              </w:rPr>
              <w:t>814</w:t>
            </w:r>
            <w:r w:rsidR="00A013F5">
              <w:rPr>
                <w:sz w:val="18"/>
              </w:rPr>
              <w:t xml:space="preserve"> </w:t>
            </w:r>
            <w:r w:rsidRPr="00A013F5">
              <w:rPr>
                <w:sz w:val="18"/>
              </w:rPr>
              <w:t>370</w:t>
            </w:r>
            <w:r w:rsidR="00A013F5">
              <w:rPr>
                <w:sz w:val="18"/>
              </w:rPr>
              <w:t xml:space="preserve"> </w:t>
            </w:r>
            <w:r w:rsidRPr="00A013F5">
              <w:rPr>
                <w:sz w:val="18"/>
              </w:rPr>
              <w:t>554</w:t>
            </w:r>
          </w:p>
        </w:tc>
        <w:tc>
          <w:tcPr>
            <w:tcW w:w="1559" w:type="dxa"/>
            <w:shd w:val="clear" w:color="auto" w:fill="auto"/>
            <w:vAlign w:val="bottom"/>
          </w:tcPr>
          <w:p w14:paraId="28019523" w14:textId="5A48C989" w:rsidR="007666A4" w:rsidRPr="00A013F5" w:rsidRDefault="007666A4" w:rsidP="00A013F5">
            <w:pPr>
              <w:pStyle w:val="SingleTxtG"/>
              <w:tabs>
                <w:tab w:val="clear" w:pos="1701"/>
                <w:tab w:val="clear" w:pos="2268"/>
                <w:tab w:val="clear" w:pos="2835"/>
              </w:tabs>
              <w:spacing w:before="40" w:after="40" w:line="220" w:lineRule="exact"/>
              <w:ind w:left="57" w:right="28"/>
              <w:jc w:val="right"/>
              <w:rPr>
                <w:sz w:val="18"/>
              </w:rPr>
            </w:pPr>
            <w:r w:rsidRPr="00A013F5">
              <w:rPr>
                <w:sz w:val="18"/>
              </w:rPr>
              <w:t>1</w:t>
            </w:r>
            <w:r w:rsidR="00A013F5">
              <w:rPr>
                <w:sz w:val="18"/>
              </w:rPr>
              <w:t xml:space="preserve"> </w:t>
            </w:r>
            <w:r w:rsidRPr="00A013F5">
              <w:rPr>
                <w:sz w:val="18"/>
              </w:rPr>
              <w:t>305</w:t>
            </w:r>
            <w:r w:rsidR="00A013F5">
              <w:rPr>
                <w:sz w:val="18"/>
              </w:rPr>
              <w:t xml:space="preserve"> </w:t>
            </w:r>
            <w:r w:rsidRPr="00A013F5">
              <w:rPr>
                <w:sz w:val="18"/>
              </w:rPr>
              <w:t>694</w:t>
            </w:r>
            <w:r w:rsidR="00A013F5">
              <w:rPr>
                <w:sz w:val="18"/>
              </w:rPr>
              <w:t xml:space="preserve"> </w:t>
            </w:r>
            <w:r w:rsidRPr="00A013F5">
              <w:rPr>
                <w:sz w:val="18"/>
              </w:rPr>
              <w:t>644</w:t>
            </w:r>
            <w:r w:rsidR="00A013F5">
              <w:rPr>
                <w:sz w:val="18"/>
              </w:rPr>
              <w:t xml:space="preserve"> </w:t>
            </w:r>
            <w:r w:rsidRPr="00A013F5">
              <w:rPr>
                <w:sz w:val="18"/>
              </w:rPr>
              <w:t>492</w:t>
            </w:r>
          </w:p>
        </w:tc>
        <w:tc>
          <w:tcPr>
            <w:tcW w:w="1416" w:type="dxa"/>
            <w:shd w:val="clear" w:color="auto" w:fill="auto"/>
            <w:vAlign w:val="bottom"/>
          </w:tcPr>
          <w:p w14:paraId="5FC31E34" w14:textId="52494A30" w:rsidR="007666A4" w:rsidRPr="00A013F5" w:rsidRDefault="007666A4" w:rsidP="00A013F5">
            <w:pPr>
              <w:pStyle w:val="SingleTxtG"/>
              <w:tabs>
                <w:tab w:val="clear" w:pos="1701"/>
                <w:tab w:val="clear" w:pos="2268"/>
                <w:tab w:val="clear" w:pos="2835"/>
              </w:tabs>
              <w:spacing w:before="40" w:after="40" w:line="220" w:lineRule="exact"/>
              <w:ind w:left="57" w:right="28"/>
              <w:jc w:val="right"/>
              <w:rPr>
                <w:sz w:val="18"/>
              </w:rPr>
            </w:pPr>
            <w:r w:rsidRPr="00A013F5">
              <w:rPr>
                <w:sz w:val="18"/>
              </w:rPr>
              <w:t>740</w:t>
            </w:r>
            <w:r w:rsidR="00A013F5">
              <w:rPr>
                <w:sz w:val="18"/>
              </w:rPr>
              <w:t xml:space="preserve"> </w:t>
            </w:r>
            <w:r w:rsidRPr="00A013F5">
              <w:rPr>
                <w:sz w:val="18"/>
              </w:rPr>
              <w:t>488</w:t>
            </w:r>
            <w:r w:rsidR="00A013F5">
              <w:rPr>
                <w:sz w:val="18"/>
              </w:rPr>
              <w:t xml:space="preserve"> </w:t>
            </w:r>
            <w:r w:rsidRPr="00A013F5">
              <w:rPr>
                <w:sz w:val="18"/>
              </w:rPr>
              <w:t>498</w:t>
            </w:r>
            <w:r w:rsidR="00A013F5">
              <w:rPr>
                <w:sz w:val="18"/>
              </w:rPr>
              <w:t xml:space="preserve"> </w:t>
            </w:r>
            <w:r w:rsidRPr="00A013F5">
              <w:rPr>
                <w:sz w:val="18"/>
              </w:rPr>
              <w:t>313</w:t>
            </w:r>
          </w:p>
        </w:tc>
      </w:tr>
      <w:tr w:rsidR="00A013F5" w:rsidRPr="00A013F5" w14:paraId="36D70EBD" w14:textId="77777777" w:rsidTr="00A013F5">
        <w:trPr>
          <w:trHeight w:val="240"/>
        </w:trPr>
        <w:tc>
          <w:tcPr>
            <w:tcW w:w="2835" w:type="dxa"/>
            <w:shd w:val="clear" w:color="auto" w:fill="auto"/>
          </w:tcPr>
          <w:p w14:paraId="24279947" w14:textId="77777777" w:rsidR="007666A4" w:rsidRPr="00A013F5" w:rsidRDefault="007666A4" w:rsidP="00A013F5">
            <w:pPr>
              <w:pStyle w:val="SingleTxtG"/>
              <w:tabs>
                <w:tab w:val="clear" w:pos="1701"/>
                <w:tab w:val="clear" w:pos="2268"/>
                <w:tab w:val="clear" w:pos="2835"/>
              </w:tabs>
              <w:spacing w:before="40" w:after="40" w:line="220" w:lineRule="exact"/>
              <w:ind w:left="0" w:right="0"/>
              <w:jc w:val="left"/>
              <w:rPr>
                <w:sz w:val="18"/>
              </w:rPr>
            </w:pPr>
            <w:r w:rsidRPr="00A013F5">
              <w:rPr>
                <w:sz w:val="18"/>
              </w:rPr>
              <w:t>Sentencias condenatorias</w:t>
            </w:r>
          </w:p>
        </w:tc>
        <w:tc>
          <w:tcPr>
            <w:tcW w:w="1560" w:type="dxa"/>
            <w:shd w:val="clear" w:color="auto" w:fill="auto"/>
            <w:vAlign w:val="bottom"/>
          </w:tcPr>
          <w:p w14:paraId="1E2FF15E" w14:textId="77777777" w:rsidR="007666A4" w:rsidRPr="00A013F5" w:rsidRDefault="007666A4" w:rsidP="00A013F5">
            <w:pPr>
              <w:pStyle w:val="SingleTxtG"/>
              <w:tabs>
                <w:tab w:val="clear" w:pos="1701"/>
                <w:tab w:val="clear" w:pos="2268"/>
                <w:tab w:val="clear" w:pos="2835"/>
              </w:tabs>
              <w:spacing w:before="40" w:after="40" w:line="220" w:lineRule="exact"/>
              <w:ind w:left="57" w:right="28"/>
              <w:jc w:val="right"/>
              <w:rPr>
                <w:sz w:val="18"/>
              </w:rPr>
            </w:pPr>
            <w:r w:rsidRPr="00A013F5">
              <w:rPr>
                <w:sz w:val="18"/>
              </w:rPr>
              <w:t>771</w:t>
            </w:r>
          </w:p>
        </w:tc>
        <w:tc>
          <w:tcPr>
            <w:tcW w:w="1559" w:type="dxa"/>
            <w:shd w:val="clear" w:color="auto" w:fill="auto"/>
            <w:vAlign w:val="bottom"/>
          </w:tcPr>
          <w:p w14:paraId="304B5BF2" w14:textId="77777777" w:rsidR="007666A4" w:rsidRPr="00A013F5" w:rsidRDefault="007666A4" w:rsidP="00A013F5">
            <w:pPr>
              <w:pStyle w:val="SingleTxtG"/>
              <w:tabs>
                <w:tab w:val="clear" w:pos="1701"/>
                <w:tab w:val="clear" w:pos="2268"/>
                <w:tab w:val="clear" w:pos="2835"/>
              </w:tabs>
              <w:spacing w:before="40" w:after="40" w:line="220" w:lineRule="exact"/>
              <w:ind w:left="57" w:right="28"/>
              <w:jc w:val="right"/>
              <w:rPr>
                <w:sz w:val="18"/>
              </w:rPr>
            </w:pPr>
            <w:r w:rsidRPr="00A013F5">
              <w:rPr>
                <w:sz w:val="18"/>
              </w:rPr>
              <w:t>752</w:t>
            </w:r>
          </w:p>
        </w:tc>
        <w:tc>
          <w:tcPr>
            <w:tcW w:w="1416" w:type="dxa"/>
            <w:shd w:val="clear" w:color="auto" w:fill="auto"/>
            <w:vAlign w:val="bottom"/>
          </w:tcPr>
          <w:p w14:paraId="5613209D" w14:textId="77777777" w:rsidR="007666A4" w:rsidRPr="00A013F5" w:rsidRDefault="007666A4" w:rsidP="00A013F5">
            <w:pPr>
              <w:pStyle w:val="SingleTxtG"/>
              <w:tabs>
                <w:tab w:val="clear" w:pos="1701"/>
                <w:tab w:val="clear" w:pos="2268"/>
                <w:tab w:val="clear" w:pos="2835"/>
              </w:tabs>
              <w:spacing w:before="40" w:after="40" w:line="220" w:lineRule="exact"/>
              <w:ind w:left="57" w:right="28"/>
              <w:jc w:val="right"/>
              <w:rPr>
                <w:sz w:val="18"/>
              </w:rPr>
            </w:pPr>
            <w:r w:rsidRPr="00A013F5">
              <w:rPr>
                <w:sz w:val="18"/>
              </w:rPr>
              <w:t>926</w:t>
            </w:r>
          </w:p>
        </w:tc>
      </w:tr>
      <w:tr w:rsidR="00A013F5" w:rsidRPr="00A013F5" w14:paraId="2DBF7201" w14:textId="77777777" w:rsidTr="00A013F5">
        <w:trPr>
          <w:trHeight w:val="240"/>
        </w:trPr>
        <w:tc>
          <w:tcPr>
            <w:tcW w:w="2835" w:type="dxa"/>
            <w:shd w:val="clear" w:color="auto" w:fill="auto"/>
          </w:tcPr>
          <w:p w14:paraId="735D2B1E" w14:textId="77777777" w:rsidR="007666A4" w:rsidRPr="00A013F5" w:rsidRDefault="007666A4" w:rsidP="00A013F5">
            <w:pPr>
              <w:pStyle w:val="SingleTxtG"/>
              <w:tabs>
                <w:tab w:val="clear" w:pos="1701"/>
                <w:tab w:val="clear" w:pos="2268"/>
                <w:tab w:val="clear" w:pos="2835"/>
              </w:tabs>
              <w:spacing w:before="40" w:after="40" w:line="220" w:lineRule="exact"/>
              <w:ind w:left="0" w:right="0"/>
              <w:jc w:val="left"/>
              <w:rPr>
                <w:sz w:val="18"/>
              </w:rPr>
            </w:pPr>
            <w:r w:rsidRPr="00A013F5">
              <w:rPr>
                <w:sz w:val="18"/>
              </w:rPr>
              <w:t>Sentencias absolutorias</w:t>
            </w:r>
          </w:p>
        </w:tc>
        <w:tc>
          <w:tcPr>
            <w:tcW w:w="1560" w:type="dxa"/>
            <w:shd w:val="clear" w:color="auto" w:fill="auto"/>
            <w:vAlign w:val="bottom"/>
          </w:tcPr>
          <w:p w14:paraId="584C2285" w14:textId="6B7ACB52" w:rsidR="007666A4" w:rsidRPr="00A013F5" w:rsidRDefault="007666A4" w:rsidP="00A013F5">
            <w:pPr>
              <w:pStyle w:val="SingleTxtG"/>
              <w:tabs>
                <w:tab w:val="clear" w:pos="1701"/>
                <w:tab w:val="clear" w:pos="2268"/>
                <w:tab w:val="clear" w:pos="2835"/>
              </w:tabs>
              <w:spacing w:before="40" w:after="40" w:line="220" w:lineRule="exact"/>
              <w:ind w:left="57" w:right="28"/>
              <w:jc w:val="right"/>
              <w:rPr>
                <w:sz w:val="18"/>
              </w:rPr>
            </w:pPr>
            <w:r w:rsidRPr="00A013F5">
              <w:rPr>
                <w:sz w:val="18"/>
              </w:rPr>
              <w:t>1</w:t>
            </w:r>
            <w:r w:rsidR="00A013F5">
              <w:rPr>
                <w:sz w:val="18"/>
              </w:rPr>
              <w:t xml:space="preserve"> </w:t>
            </w:r>
            <w:r w:rsidRPr="00A013F5">
              <w:rPr>
                <w:sz w:val="18"/>
              </w:rPr>
              <w:t>053</w:t>
            </w:r>
          </w:p>
        </w:tc>
        <w:tc>
          <w:tcPr>
            <w:tcW w:w="1559" w:type="dxa"/>
            <w:shd w:val="clear" w:color="auto" w:fill="auto"/>
            <w:vAlign w:val="bottom"/>
          </w:tcPr>
          <w:p w14:paraId="7BD535A2" w14:textId="77777777" w:rsidR="007666A4" w:rsidRPr="00A013F5" w:rsidRDefault="007666A4" w:rsidP="00A013F5">
            <w:pPr>
              <w:pStyle w:val="SingleTxtG"/>
              <w:tabs>
                <w:tab w:val="clear" w:pos="1701"/>
                <w:tab w:val="clear" w:pos="2268"/>
                <w:tab w:val="clear" w:pos="2835"/>
              </w:tabs>
              <w:spacing w:before="40" w:after="40" w:line="220" w:lineRule="exact"/>
              <w:ind w:left="57" w:right="28"/>
              <w:jc w:val="right"/>
              <w:rPr>
                <w:sz w:val="18"/>
              </w:rPr>
            </w:pPr>
            <w:r w:rsidRPr="00A013F5">
              <w:rPr>
                <w:sz w:val="18"/>
              </w:rPr>
              <w:t>468</w:t>
            </w:r>
          </w:p>
        </w:tc>
        <w:tc>
          <w:tcPr>
            <w:tcW w:w="1416" w:type="dxa"/>
            <w:shd w:val="clear" w:color="auto" w:fill="auto"/>
            <w:vAlign w:val="bottom"/>
          </w:tcPr>
          <w:p w14:paraId="3D778894" w14:textId="77777777" w:rsidR="007666A4" w:rsidRPr="00A013F5" w:rsidRDefault="007666A4" w:rsidP="00A013F5">
            <w:pPr>
              <w:pStyle w:val="SingleTxtG"/>
              <w:tabs>
                <w:tab w:val="clear" w:pos="1701"/>
                <w:tab w:val="clear" w:pos="2268"/>
                <w:tab w:val="clear" w:pos="2835"/>
              </w:tabs>
              <w:spacing w:before="40" w:after="40" w:line="220" w:lineRule="exact"/>
              <w:ind w:left="57" w:right="28"/>
              <w:jc w:val="right"/>
              <w:rPr>
                <w:sz w:val="18"/>
              </w:rPr>
            </w:pPr>
            <w:r w:rsidRPr="00A013F5">
              <w:rPr>
                <w:sz w:val="18"/>
              </w:rPr>
              <w:t>707</w:t>
            </w:r>
          </w:p>
        </w:tc>
      </w:tr>
      <w:tr w:rsidR="00A013F5" w:rsidRPr="00A013F5" w14:paraId="10AE7896" w14:textId="77777777" w:rsidTr="00A013F5">
        <w:trPr>
          <w:trHeight w:val="240"/>
        </w:trPr>
        <w:tc>
          <w:tcPr>
            <w:tcW w:w="2835" w:type="dxa"/>
            <w:shd w:val="clear" w:color="auto" w:fill="auto"/>
          </w:tcPr>
          <w:p w14:paraId="24855AD8" w14:textId="77777777" w:rsidR="007666A4" w:rsidRPr="00A013F5" w:rsidRDefault="007666A4" w:rsidP="00A013F5">
            <w:pPr>
              <w:pStyle w:val="SingleTxtG"/>
              <w:tabs>
                <w:tab w:val="clear" w:pos="1701"/>
                <w:tab w:val="clear" w:pos="2268"/>
                <w:tab w:val="clear" w:pos="2835"/>
              </w:tabs>
              <w:spacing w:before="40" w:after="40" w:line="220" w:lineRule="exact"/>
              <w:ind w:left="0" w:right="0"/>
              <w:jc w:val="left"/>
              <w:rPr>
                <w:sz w:val="18"/>
              </w:rPr>
            </w:pPr>
            <w:r w:rsidRPr="00A013F5">
              <w:rPr>
                <w:sz w:val="18"/>
              </w:rPr>
              <w:t>Número de personas condenadas</w:t>
            </w:r>
          </w:p>
        </w:tc>
        <w:tc>
          <w:tcPr>
            <w:tcW w:w="1560" w:type="dxa"/>
            <w:shd w:val="clear" w:color="auto" w:fill="auto"/>
            <w:vAlign w:val="bottom"/>
          </w:tcPr>
          <w:p w14:paraId="2AFAD913" w14:textId="77777777" w:rsidR="007666A4" w:rsidRPr="00A013F5" w:rsidRDefault="007666A4" w:rsidP="00A013F5">
            <w:pPr>
              <w:pStyle w:val="SingleTxtG"/>
              <w:tabs>
                <w:tab w:val="clear" w:pos="1701"/>
                <w:tab w:val="clear" w:pos="2268"/>
                <w:tab w:val="clear" w:pos="2835"/>
              </w:tabs>
              <w:spacing w:before="40" w:after="40" w:line="220" w:lineRule="exact"/>
              <w:ind w:left="57" w:right="28"/>
              <w:jc w:val="right"/>
              <w:rPr>
                <w:sz w:val="18"/>
              </w:rPr>
            </w:pPr>
            <w:r w:rsidRPr="00A013F5">
              <w:rPr>
                <w:sz w:val="18"/>
              </w:rPr>
              <w:t>958</w:t>
            </w:r>
          </w:p>
        </w:tc>
        <w:tc>
          <w:tcPr>
            <w:tcW w:w="1559" w:type="dxa"/>
            <w:shd w:val="clear" w:color="auto" w:fill="auto"/>
            <w:vAlign w:val="bottom"/>
          </w:tcPr>
          <w:p w14:paraId="7466881D" w14:textId="77777777" w:rsidR="007666A4" w:rsidRPr="00A013F5" w:rsidRDefault="007666A4" w:rsidP="00A013F5">
            <w:pPr>
              <w:pStyle w:val="SingleTxtG"/>
              <w:tabs>
                <w:tab w:val="clear" w:pos="1701"/>
                <w:tab w:val="clear" w:pos="2268"/>
                <w:tab w:val="clear" w:pos="2835"/>
              </w:tabs>
              <w:spacing w:before="40" w:after="40" w:line="220" w:lineRule="exact"/>
              <w:ind w:left="57" w:right="28"/>
              <w:jc w:val="right"/>
              <w:rPr>
                <w:sz w:val="18"/>
              </w:rPr>
            </w:pPr>
            <w:r w:rsidRPr="00A013F5">
              <w:rPr>
                <w:sz w:val="18"/>
              </w:rPr>
              <w:t>950</w:t>
            </w:r>
          </w:p>
        </w:tc>
        <w:tc>
          <w:tcPr>
            <w:tcW w:w="1416" w:type="dxa"/>
            <w:shd w:val="clear" w:color="auto" w:fill="auto"/>
            <w:vAlign w:val="bottom"/>
          </w:tcPr>
          <w:p w14:paraId="1C80B50D" w14:textId="60AFFC8F" w:rsidR="007666A4" w:rsidRPr="00A013F5" w:rsidRDefault="007666A4" w:rsidP="00A013F5">
            <w:pPr>
              <w:pStyle w:val="SingleTxtG"/>
              <w:tabs>
                <w:tab w:val="clear" w:pos="1701"/>
                <w:tab w:val="clear" w:pos="2268"/>
                <w:tab w:val="clear" w:pos="2835"/>
              </w:tabs>
              <w:spacing w:before="40" w:after="40" w:line="220" w:lineRule="exact"/>
              <w:ind w:left="57" w:right="28"/>
              <w:jc w:val="right"/>
              <w:rPr>
                <w:sz w:val="18"/>
              </w:rPr>
            </w:pPr>
            <w:r w:rsidRPr="00A013F5">
              <w:rPr>
                <w:sz w:val="18"/>
              </w:rPr>
              <w:t>1</w:t>
            </w:r>
            <w:r w:rsidR="00A013F5">
              <w:rPr>
                <w:sz w:val="18"/>
              </w:rPr>
              <w:t xml:space="preserve"> </w:t>
            </w:r>
            <w:r w:rsidRPr="00A013F5">
              <w:rPr>
                <w:sz w:val="18"/>
              </w:rPr>
              <w:t>218</w:t>
            </w:r>
          </w:p>
        </w:tc>
      </w:tr>
      <w:tr w:rsidR="00A013F5" w:rsidRPr="00A013F5" w14:paraId="16F19584" w14:textId="77777777" w:rsidTr="00A013F5">
        <w:trPr>
          <w:trHeight w:val="240"/>
        </w:trPr>
        <w:tc>
          <w:tcPr>
            <w:tcW w:w="2835" w:type="dxa"/>
            <w:shd w:val="clear" w:color="auto" w:fill="auto"/>
          </w:tcPr>
          <w:p w14:paraId="1054C333" w14:textId="77777777" w:rsidR="007666A4" w:rsidRPr="00A013F5" w:rsidRDefault="007666A4" w:rsidP="00A013F5">
            <w:pPr>
              <w:pStyle w:val="SingleTxtG"/>
              <w:tabs>
                <w:tab w:val="clear" w:pos="1701"/>
                <w:tab w:val="clear" w:pos="2268"/>
                <w:tab w:val="clear" w:pos="2835"/>
              </w:tabs>
              <w:spacing w:before="40" w:after="40" w:line="220" w:lineRule="exact"/>
              <w:ind w:left="0" w:right="0"/>
              <w:jc w:val="left"/>
              <w:rPr>
                <w:sz w:val="18"/>
              </w:rPr>
            </w:pPr>
            <w:r w:rsidRPr="00A013F5">
              <w:rPr>
                <w:sz w:val="18"/>
              </w:rPr>
              <w:t>Número de personas absueltas</w:t>
            </w:r>
          </w:p>
        </w:tc>
        <w:tc>
          <w:tcPr>
            <w:tcW w:w="1560" w:type="dxa"/>
            <w:shd w:val="clear" w:color="auto" w:fill="auto"/>
            <w:vAlign w:val="bottom"/>
          </w:tcPr>
          <w:p w14:paraId="1ED1318E" w14:textId="60D6FA3B" w:rsidR="007666A4" w:rsidRPr="00A013F5" w:rsidRDefault="007666A4" w:rsidP="00A013F5">
            <w:pPr>
              <w:pStyle w:val="SingleTxtG"/>
              <w:tabs>
                <w:tab w:val="clear" w:pos="1701"/>
                <w:tab w:val="clear" w:pos="2268"/>
                <w:tab w:val="clear" w:pos="2835"/>
              </w:tabs>
              <w:spacing w:before="40" w:after="40" w:line="220" w:lineRule="exact"/>
              <w:ind w:left="57" w:right="28"/>
              <w:jc w:val="right"/>
              <w:rPr>
                <w:sz w:val="18"/>
              </w:rPr>
            </w:pPr>
            <w:r w:rsidRPr="00A013F5">
              <w:rPr>
                <w:sz w:val="18"/>
              </w:rPr>
              <w:t>1</w:t>
            </w:r>
            <w:r w:rsidR="00A013F5">
              <w:rPr>
                <w:sz w:val="18"/>
              </w:rPr>
              <w:t xml:space="preserve"> </w:t>
            </w:r>
            <w:r w:rsidRPr="00A013F5">
              <w:rPr>
                <w:sz w:val="18"/>
              </w:rPr>
              <w:t>242</w:t>
            </w:r>
          </w:p>
        </w:tc>
        <w:tc>
          <w:tcPr>
            <w:tcW w:w="1559" w:type="dxa"/>
            <w:shd w:val="clear" w:color="auto" w:fill="auto"/>
            <w:vAlign w:val="bottom"/>
          </w:tcPr>
          <w:p w14:paraId="5A66C6A3" w14:textId="77777777" w:rsidR="007666A4" w:rsidRPr="00A013F5" w:rsidRDefault="007666A4" w:rsidP="00A013F5">
            <w:pPr>
              <w:pStyle w:val="SingleTxtG"/>
              <w:tabs>
                <w:tab w:val="clear" w:pos="1701"/>
                <w:tab w:val="clear" w:pos="2268"/>
                <w:tab w:val="clear" w:pos="2835"/>
              </w:tabs>
              <w:spacing w:before="40" w:after="40" w:line="220" w:lineRule="exact"/>
              <w:ind w:left="57" w:right="28"/>
              <w:jc w:val="right"/>
              <w:rPr>
                <w:sz w:val="18"/>
              </w:rPr>
            </w:pPr>
            <w:r w:rsidRPr="00A013F5">
              <w:rPr>
                <w:sz w:val="18"/>
              </w:rPr>
              <w:t>662</w:t>
            </w:r>
          </w:p>
        </w:tc>
        <w:tc>
          <w:tcPr>
            <w:tcW w:w="1416" w:type="dxa"/>
            <w:shd w:val="clear" w:color="auto" w:fill="auto"/>
            <w:vAlign w:val="bottom"/>
          </w:tcPr>
          <w:p w14:paraId="33DF41F1" w14:textId="5A78F415" w:rsidR="007666A4" w:rsidRPr="00A013F5" w:rsidRDefault="007666A4" w:rsidP="00A013F5">
            <w:pPr>
              <w:pStyle w:val="SingleTxtG"/>
              <w:tabs>
                <w:tab w:val="clear" w:pos="1701"/>
                <w:tab w:val="clear" w:pos="2268"/>
                <w:tab w:val="clear" w:pos="2835"/>
              </w:tabs>
              <w:spacing w:before="40" w:after="40" w:line="220" w:lineRule="exact"/>
              <w:ind w:left="57" w:right="28"/>
              <w:jc w:val="right"/>
              <w:rPr>
                <w:sz w:val="18"/>
              </w:rPr>
            </w:pPr>
            <w:r w:rsidRPr="00A013F5">
              <w:rPr>
                <w:sz w:val="18"/>
              </w:rPr>
              <w:t>1</w:t>
            </w:r>
            <w:r w:rsidR="00A013F5">
              <w:rPr>
                <w:sz w:val="18"/>
              </w:rPr>
              <w:t xml:space="preserve"> </w:t>
            </w:r>
            <w:r w:rsidRPr="00A013F5">
              <w:rPr>
                <w:sz w:val="18"/>
              </w:rPr>
              <w:t>085</w:t>
            </w:r>
          </w:p>
        </w:tc>
      </w:tr>
      <w:tr w:rsidR="00A013F5" w:rsidRPr="00A013F5" w14:paraId="01F1B12F" w14:textId="77777777" w:rsidTr="00A013F5">
        <w:trPr>
          <w:trHeight w:val="240"/>
        </w:trPr>
        <w:tc>
          <w:tcPr>
            <w:tcW w:w="2835" w:type="dxa"/>
            <w:shd w:val="clear" w:color="auto" w:fill="auto"/>
          </w:tcPr>
          <w:p w14:paraId="4D01B00F" w14:textId="77777777" w:rsidR="007666A4" w:rsidRPr="00A013F5" w:rsidRDefault="007666A4" w:rsidP="00A013F5">
            <w:pPr>
              <w:pStyle w:val="SingleTxtG"/>
              <w:tabs>
                <w:tab w:val="clear" w:pos="1701"/>
                <w:tab w:val="clear" w:pos="2268"/>
                <w:tab w:val="clear" w:pos="2835"/>
              </w:tabs>
              <w:spacing w:before="40" w:after="40" w:line="220" w:lineRule="exact"/>
              <w:ind w:left="0" w:right="0"/>
              <w:jc w:val="left"/>
              <w:rPr>
                <w:sz w:val="18"/>
              </w:rPr>
            </w:pPr>
            <w:r w:rsidRPr="00A013F5">
              <w:rPr>
                <w:sz w:val="18"/>
              </w:rPr>
              <w:t>Número de expedientes de extradición de huidos de la justicia</w:t>
            </w:r>
          </w:p>
        </w:tc>
        <w:tc>
          <w:tcPr>
            <w:tcW w:w="1560" w:type="dxa"/>
            <w:shd w:val="clear" w:color="auto" w:fill="auto"/>
            <w:vAlign w:val="bottom"/>
          </w:tcPr>
          <w:p w14:paraId="54CC17C0" w14:textId="77777777" w:rsidR="007666A4" w:rsidRPr="00A013F5" w:rsidRDefault="007666A4" w:rsidP="00A013F5">
            <w:pPr>
              <w:pStyle w:val="SingleTxtG"/>
              <w:tabs>
                <w:tab w:val="clear" w:pos="1701"/>
                <w:tab w:val="clear" w:pos="2268"/>
                <w:tab w:val="clear" w:pos="2835"/>
              </w:tabs>
              <w:spacing w:before="40" w:after="40" w:line="220" w:lineRule="exact"/>
              <w:ind w:left="57" w:right="28"/>
              <w:jc w:val="right"/>
              <w:rPr>
                <w:sz w:val="18"/>
              </w:rPr>
            </w:pPr>
            <w:r w:rsidRPr="00A013F5">
              <w:rPr>
                <w:sz w:val="18"/>
              </w:rPr>
              <w:t>249</w:t>
            </w:r>
          </w:p>
        </w:tc>
        <w:tc>
          <w:tcPr>
            <w:tcW w:w="1559" w:type="dxa"/>
            <w:shd w:val="clear" w:color="auto" w:fill="auto"/>
            <w:vAlign w:val="bottom"/>
          </w:tcPr>
          <w:p w14:paraId="34B7F499" w14:textId="77777777" w:rsidR="007666A4" w:rsidRPr="00A013F5" w:rsidRDefault="007666A4" w:rsidP="00A013F5">
            <w:pPr>
              <w:pStyle w:val="SingleTxtG"/>
              <w:tabs>
                <w:tab w:val="clear" w:pos="1701"/>
                <w:tab w:val="clear" w:pos="2268"/>
                <w:tab w:val="clear" w:pos="2835"/>
              </w:tabs>
              <w:spacing w:before="40" w:after="40" w:line="220" w:lineRule="exact"/>
              <w:ind w:left="57" w:right="28"/>
              <w:jc w:val="right"/>
              <w:rPr>
                <w:sz w:val="18"/>
              </w:rPr>
            </w:pPr>
            <w:r w:rsidRPr="00A013F5">
              <w:rPr>
                <w:sz w:val="18"/>
              </w:rPr>
              <w:t>420</w:t>
            </w:r>
          </w:p>
        </w:tc>
        <w:tc>
          <w:tcPr>
            <w:tcW w:w="1416" w:type="dxa"/>
            <w:shd w:val="clear" w:color="auto" w:fill="auto"/>
            <w:vAlign w:val="bottom"/>
          </w:tcPr>
          <w:p w14:paraId="102F4EE0" w14:textId="77777777" w:rsidR="007666A4" w:rsidRPr="00A013F5" w:rsidRDefault="007666A4" w:rsidP="00A013F5">
            <w:pPr>
              <w:pStyle w:val="SingleTxtG"/>
              <w:tabs>
                <w:tab w:val="clear" w:pos="1701"/>
                <w:tab w:val="clear" w:pos="2268"/>
                <w:tab w:val="clear" w:pos="2835"/>
              </w:tabs>
              <w:spacing w:before="40" w:after="40" w:line="220" w:lineRule="exact"/>
              <w:ind w:left="57" w:right="28"/>
              <w:jc w:val="right"/>
              <w:rPr>
                <w:sz w:val="18"/>
              </w:rPr>
            </w:pPr>
            <w:r w:rsidRPr="00A013F5">
              <w:rPr>
                <w:sz w:val="18"/>
              </w:rPr>
              <w:t>376</w:t>
            </w:r>
          </w:p>
        </w:tc>
      </w:tr>
      <w:tr w:rsidR="00A013F5" w:rsidRPr="00A013F5" w14:paraId="37674761" w14:textId="77777777" w:rsidTr="00A013F5">
        <w:trPr>
          <w:trHeight w:val="240"/>
        </w:trPr>
        <w:tc>
          <w:tcPr>
            <w:tcW w:w="2835" w:type="dxa"/>
            <w:shd w:val="clear" w:color="auto" w:fill="auto"/>
          </w:tcPr>
          <w:p w14:paraId="30270854" w14:textId="77777777" w:rsidR="007666A4" w:rsidRPr="00A013F5" w:rsidRDefault="007666A4" w:rsidP="00A013F5">
            <w:pPr>
              <w:pStyle w:val="SingleTxtG"/>
              <w:tabs>
                <w:tab w:val="clear" w:pos="1701"/>
                <w:tab w:val="clear" w:pos="2268"/>
                <w:tab w:val="clear" w:pos="2835"/>
              </w:tabs>
              <w:spacing w:before="40" w:after="40" w:line="220" w:lineRule="exact"/>
              <w:ind w:left="0" w:right="0"/>
              <w:jc w:val="left"/>
              <w:rPr>
                <w:sz w:val="18"/>
              </w:rPr>
            </w:pPr>
            <w:r w:rsidRPr="00A013F5">
              <w:rPr>
                <w:sz w:val="18"/>
              </w:rPr>
              <w:t xml:space="preserve">Número de expedientes relativos a fondos no declarados </w:t>
            </w:r>
          </w:p>
        </w:tc>
        <w:tc>
          <w:tcPr>
            <w:tcW w:w="1560" w:type="dxa"/>
            <w:shd w:val="clear" w:color="auto" w:fill="auto"/>
            <w:vAlign w:val="bottom"/>
          </w:tcPr>
          <w:p w14:paraId="64775775" w14:textId="77777777" w:rsidR="007666A4" w:rsidRPr="00A013F5" w:rsidRDefault="007666A4" w:rsidP="00A013F5">
            <w:pPr>
              <w:pStyle w:val="SingleTxtG"/>
              <w:tabs>
                <w:tab w:val="clear" w:pos="1701"/>
                <w:tab w:val="clear" w:pos="2268"/>
                <w:tab w:val="clear" w:pos="2835"/>
              </w:tabs>
              <w:spacing w:before="40" w:after="40" w:line="220" w:lineRule="exact"/>
              <w:ind w:left="57" w:right="28"/>
              <w:jc w:val="right"/>
              <w:rPr>
                <w:sz w:val="18"/>
              </w:rPr>
            </w:pPr>
            <w:r w:rsidRPr="00A013F5">
              <w:rPr>
                <w:sz w:val="18"/>
              </w:rPr>
              <w:t>119</w:t>
            </w:r>
          </w:p>
        </w:tc>
        <w:tc>
          <w:tcPr>
            <w:tcW w:w="1559" w:type="dxa"/>
            <w:shd w:val="clear" w:color="auto" w:fill="auto"/>
            <w:vAlign w:val="bottom"/>
          </w:tcPr>
          <w:p w14:paraId="51630549" w14:textId="77777777" w:rsidR="007666A4" w:rsidRPr="00A013F5" w:rsidRDefault="007666A4" w:rsidP="00A013F5">
            <w:pPr>
              <w:pStyle w:val="SingleTxtG"/>
              <w:tabs>
                <w:tab w:val="clear" w:pos="1701"/>
                <w:tab w:val="clear" w:pos="2268"/>
                <w:tab w:val="clear" w:pos="2835"/>
              </w:tabs>
              <w:spacing w:before="40" w:after="40" w:line="220" w:lineRule="exact"/>
              <w:ind w:left="57" w:right="28"/>
              <w:jc w:val="right"/>
              <w:rPr>
                <w:sz w:val="18"/>
              </w:rPr>
            </w:pPr>
            <w:r w:rsidRPr="00A013F5">
              <w:rPr>
                <w:sz w:val="18"/>
              </w:rPr>
              <w:t>76</w:t>
            </w:r>
          </w:p>
        </w:tc>
        <w:tc>
          <w:tcPr>
            <w:tcW w:w="1416" w:type="dxa"/>
            <w:shd w:val="clear" w:color="auto" w:fill="auto"/>
            <w:vAlign w:val="bottom"/>
          </w:tcPr>
          <w:p w14:paraId="5ECE9CEE" w14:textId="77777777" w:rsidR="007666A4" w:rsidRPr="00A013F5" w:rsidRDefault="007666A4" w:rsidP="00A013F5">
            <w:pPr>
              <w:pStyle w:val="SingleTxtG"/>
              <w:tabs>
                <w:tab w:val="clear" w:pos="1701"/>
                <w:tab w:val="clear" w:pos="2268"/>
                <w:tab w:val="clear" w:pos="2835"/>
              </w:tabs>
              <w:spacing w:before="40" w:after="40" w:line="220" w:lineRule="exact"/>
              <w:ind w:left="57" w:right="28"/>
              <w:jc w:val="right"/>
              <w:rPr>
                <w:sz w:val="18"/>
              </w:rPr>
            </w:pPr>
            <w:r w:rsidRPr="00A013F5">
              <w:rPr>
                <w:sz w:val="18"/>
              </w:rPr>
              <w:t>114</w:t>
            </w:r>
          </w:p>
        </w:tc>
      </w:tr>
      <w:tr w:rsidR="00A013F5" w:rsidRPr="00A013F5" w14:paraId="6BBAB78C" w14:textId="77777777" w:rsidTr="00A013F5">
        <w:trPr>
          <w:trHeight w:val="240"/>
        </w:trPr>
        <w:tc>
          <w:tcPr>
            <w:tcW w:w="2835" w:type="dxa"/>
            <w:tcBorders>
              <w:bottom w:val="single" w:sz="12" w:space="0" w:color="auto"/>
            </w:tcBorders>
            <w:shd w:val="clear" w:color="auto" w:fill="auto"/>
          </w:tcPr>
          <w:p w14:paraId="102A23D1" w14:textId="77777777" w:rsidR="007666A4" w:rsidRPr="00A013F5" w:rsidRDefault="007666A4" w:rsidP="00A013F5">
            <w:pPr>
              <w:pStyle w:val="SingleTxtG"/>
              <w:tabs>
                <w:tab w:val="clear" w:pos="1701"/>
                <w:tab w:val="clear" w:pos="2268"/>
                <w:tab w:val="clear" w:pos="2835"/>
              </w:tabs>
              <w:spacing w:before="40" w:after="40" w:line="220" w:lineRule="exact"/>
              <w:ind w:left="0" w:right="0"/>
              <w:jc w:val="left"/>
              <w:rPr>
                <w:sz w:val="18"/>
              </w:rPr>
            </w:pPr>
            <w:r w:rsidRPr="00A013F5">
              <w:rPr>
                <w:sz w:val="18"/>
              </w:rPr>
              <w:t>Declaraciones patrimoniales</w:t>
            </w:r>
          </w:p>
        </w:tc>
        <w:tc>
          <w:tcPr>
            <w:tcW w:w="1560" w:type="dxa"/>
            <w:tcBorders>
              <w:bottom w:val="single" w:sz="12" w:space="0" w:color="auto"/>
            </w:tcBorders>
            <w:shd w:val="clear" w:color="auto" w:fill="auto"/>
            <w:vAlign w:val="bottom"/>
          </w:tcPr>
          <w:p w14:paraId="3BACB8A8" w14:textId="6FA66595" w:rsidR="007666A4" w:rsidRPr="00A013F5" w:rsidRDefault="007666A4" w:rsidP="00A013F5">
            <w:pPr>
              <w:pStyle w:val="SingleTxtG"/>
              <w:tabs>
                <w:tab w:val="clear" w:pos="1701"/>
                <w:tab w:val="clear" w:pos="2268"/>
                <w:tab w:val="clear" w:pos="2835"/>
              </w:tabs>
              <w:spacing w:before="40" w:after="40" w:line="220" w:lineRule="exact"/>
              <w:ind w:left="57" w:right="28"/>
              <w:jc w:val="right"/>
              <w:rPr>
                <w:sz w:val="18"/>
              </w:rPr>
            </w:pPr>
            <w:r w:rsidRPr="00A013F5">
              <w:rPr>
                <w:sz w:val="18"/>
              </w:rPr>
              <w:t>20</w:t>
            </w:r>
            <w:r w:rsidR="00A013F5">
              <w:rPr>
                <w:sz w:val="18"/>
              </w:rPr>
              <w:t xml:space="preserve"> </w:t>
            </w:r>
            <w:r w:rsidRPr="00A013F5">
              <w:rPr>
                <w:sz w:val="18"/>
              </w:rPr>
              <w:t>390</w:t>
            </w:r>
          </w:p>
        </w:tc>
        <w:tc>
          <w:tcPr>
            <w:tcW w:w="1559" w:type="dxa"/>
            <w:tcBorders>
              <w:bottom w:val="single" w:sz="12" w:space="0" w:color="auto"/>
            </w:tcBorders>
            <w:shd w:val="clear" w:color="auto" w:fill="auto"/>
            <w:vAlign w:val="bottom"/>
          </w:tcPr>
          <w:p w14:paraId="6C34D38E" w14:textId="1013BCDB" w:rsidR="007666A4" w:rsidRPr="00A013F5" w:rsidRDefault="007666A4" w:rsidP="00A013F5">
            <w:pPr>
              <w:pStyle w:val="SingleTxtG"/>
              <w:tabs>
                <w:tab w:val="clear" w:pos="1701"/>
                <w:tab w:val="clear" w:pos="2268"/>
                <w:tab w:val="clear" w:pos="2835"/>
              </w:tabs>
              <w:spacing w:before="40" w:after="40" w:line="220" w:lineRule="exact"/>
              <w:ind w:left="57" w:right="28"/>
              <w:jc w:val="right"/>
              <w:rPr>
                <w:sz w:val="18"/>
              </w:rPr>
            </w:pPr>
            <w:r w:rsidRPr="00A013F5">
              <w:rPr>
                <w:sz w:val="18"/>
              </w:rPr>
              <w:t>23</w:t>
            </w:r>
            <w:r w:rsidR="00A013F5">
              <w:rPr>
                <w:sz w:val="18"/>
              </w:rPr>
              <w:t xml:space="preserve"> </w:t>
            </w:r>
            <w:r w:rsidRPr="00A013F5">
              <w:rPr>
                <w:sz w:val="18"/>
              </w:rPr>
              <w:t>655</w:t>
            </w:r>
          </w:p>
        </w:tc>
        <w:tc>
          <w:tcPr>
            <w:tcW w:w="1416" w:type="dxa"/>
            <w:tcBorders>
              <w:bottom w:val="single" w:sz="12" w:space="0" w:color="auto"/>
            </w:tcBorders>
            <w:shd w:val="clear" w:color="auto" w:fill="auto"/>
            <w:vAlign w:val="bottom"/>
          </w:tcPr>
          <w:p w14:paraId="41A4D636" w14:textId="31513F5A" w:rsidR="007666A4" w:rsidRPr="00A013F5" w:rsidRDefault="007666A4" w:rsidP="00A013F5">
            <w:pPr>
              <w:pStyle w:val="SingleTxtG"/>
              <w:tabs>
                <w:tab w:val="clear" w:pos="1701"/>
                <w:tab w:val="clear" w:pos="2268"/>
                <w:tab w:val="clear" w:pos="2835"/>
              </w:tabs>
              <w:spacing w:before="40" w:after="40" w:line="220" w:lineRule="exact"/>
              <w:ind w:left="57" w:right="28"/>
              <w:jc w:val="right"/>
              <w:rPr>
                <w:sz w:val="18"/>
              </w:rPr>
            </w:pPr>
            <w:r w:rsidRPr="00A013F5">
              <w:rPr>
                <w:sz w:val="18"/>
              </w:rPr>
              <w:t>25</w:t>
            </w:r>
            <w:r w:rsidR="00A013F5">
              <w:rPr>
                <w:sz w:val="18"/>
              </w:rPr>
              <w:t xml:space="preserve"> </w:t>
            </w:r>
            <w:r w:rsidRPr="00A013F5">
              <w:rPr>
                <w:sz w:val="18"/>
              </w:rPr>
              <w:t>808</w:t>
            </w:r>
          </w:p>
        </w:tc>
      </w:tr>
    </w:tbl>
    <w:p w14:paraId="75F15D13" w14:textId="64C3D53C" w:rsidR="007666A4" w:rsidRPr="007666A4" w:rsidRDefault="007666A4" w:rsidP="00A013F5">
      <w:pPr>
        <w:pStyle w:val="SingleTxtG"/>
        <w:spacing w:before="240"/>
      </w:pPr>
      <w:r w:rsidRPr="007666A4">
        <w:t>25.</w:t>
      </w:r>
      <w:r w:rsidR="00A013F5">
        <w:tab/>
      </w:r>
      <w:r w:rsidRPr="007666A4">
        <w:t xml:space="preserve">Se promulgó la Ley núm. 24/2019, por la que se derogaba la Orden núm. 57/2004 de la Autoridad Provisional de la Coalición, relativa a la creación de las oficinas de los inspectores públicos, asignando todas sus tareas a la Comisión de Integridad a fin de agilizar la gestión administrativa, evitar la duplicación de tareas y acelerar las medidas para combatir la corrupción. </w:t>
      </w:r>
    </w:p>
    <w:p w14:paraId="478CA69A" w14:textId="7DCCDA55" w:rsidR="007666A4" w:rsidRPr="007666A4" w:rsidRDefault="007666A4" w:rsidP="00A013F5">
      <w:pPr>
        <w:pStyle w:val="H23G"/>
      </w:pPr>
      <w:r w:rsidRPr="007666A4">
        <w:tab/>
      </w:r>
      <w:r w:rsidRPr="007666A4">
        <w:tab/>
        <w:t>Recomendación que figura</w:t>
      </w:r>
      <w:r w:rsidRPr="007666A4" w:rsidDel="00D35640">
        <w:t xml:space="preserve"> </w:t>
      </w:r>
      <w:r w:rsidRPr="007666A4">
        <w:t>en el párrafo 16</w:t>
      </w:r>
    </w:p>
    <w:p w14:paraId="79E02FCB" w14:textId="4F041FBD" w:rsidR="007666A4" w:rsidRPr="007666A4" w:rsidRDefault="007666A4" w:rsidP="007666A4">
      <w:pPr>
        <w:pStyle w:val="SingleTxtG"/>
      </w:pPr>
      <w:r w:rsidRPr="007666A4">
        <w:t>26.</w:t>
      </w:r>
      <w:r w:rsidR="00A013F5">
        <w:tab/>
      </w:r>
      <w:r w:rsidRPr="007666A4">
        <w:t xml:space="preserve">Con objeto de reducir la tasa de desempleo, el Iraq ha adoptado una política nacional de empleo, una de las estrategias más importantes adoptadas para mejorar la situación laboral y reducir el desempleo. El Ministerio de Trabajo, junto con el Ministerio de Planificación, vela por la aplicación de la Estrategia para la Reducción de la Pobreza. Entre los programas más importantes cabe destacar el Programa de Rehabilitación Comunitaria, el Programa de Microcréditos para el período de 2007 a 2009, la Estrategia Nacional para la Reducción de la Pobreza, y el Fondo de Apoyo a Pequeños Proyectos Generadores de Ingresos. </w:t>
      </w:r>
    </w:p>
    <w:p w14:paraId="28967463" w14:textId="2A7EC53F" w:rsidR="007666A4" w:rsidRPr="007666A4" w:rsidRDefault="007666A4" w:rsidP="007666A4">
      <w:pPr>
        <w:pStyle w:val="SingleTxtG"/>
      </w:pPr>
      <w:r w:rsidRPr="007666A4">
        <w:t>27.</w:t>
      </w:r>
      <w:r w:rsidR="00A013F5">
        <w:tab/>
      </w:r>
      <w:r w:rsidRPr="007666A4">
        <w:t xml:space="preserve">En el siguiente cuadro figuran, en millones de dinares, las asignaciones adscritas al Ministerio de Trabajo para el año 2018, en comparación con las de años anteriores, destinadas a las categorías más amplias de beneficiarios de la red de protección social: personas con discapacidad, mujeres viudas y mujeres divorciadas, además de las asignaciones destinadas al pago de salarios de las personas que no tienen la condición de funcionarias y se ocupan de personas con discapacidad </w:t>
      </w:r>
      <w:r w:rsidR="00D95708">
        <w:t>y</w:t>
      </w:r>
      <w:r w:rsidRPr="007666A4">
        <w:t xml:space="preserve"> con necesidades especiales:</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3828"/>
        <w:gridCol w:w="850"/>
        <w:gridCol w:w="907"/>
        <w:gridCol w:w="936"/>
        <w:gridCol w:w="849"/>
      </w:tblGrid>
      <w:tr w:rsidR="00A013F5" w:rsidRPr="00A013F5" w14:paraId="5027B976" w14:textId="77777777" w:rsidTr="00A013F5">
        <w:trPr>
          <w:trHeight w:val="240"/>
          <w:tblHeader/>
        </w:trPr>
        <w:tc>
          <w:tcPr>
            <w:tcW w:w="3828" w:type="dxa"/>
            <w:vMerge w:val="restart"/>
            <w:tcBorders>
              <w:top w:val="single" w:sz="4" w:space="0" w:color="auto"/>
              <w:bottom w:val="single" w:sz="4" w:space="0" w:color="auto"/>
            </w:tcBorders>
            <w:shd w:val="clear" w:color="auto" w:fill="auto"/>
            <w:vAlign w:val="bottom"/>
            <w:hideMark/>
          </w:tcPr>
          <w:p w14:paraId="2EFBB456" w14:textId="77777777" w:rsidR="00A013F5" w:rsidRPr="00A013F5" w:rsidRDefault="00A013F5" w:rsidP="00A013F5">
            <w:pPr>
              <w:pStyle w:val="SingleTxtG"/>
              <w:tabs>
                <w:tab w:val="clear" w:pos="1701"/>
                <w:tab w:val="clear" w:pos="2268"/>
                <w:tab w:val="clear" w:pos="2835"/>
              </w:tabs>
              <w:spacing w:before="80" w:after="80" w:line="200" w:lineRule="exact"/>
              <w:ind w:left="0" w:right="0"/>
              <w:jc w:val="left"/>
              <w:rPr>
                <w:i/>
                <w:iCs/>
                <w:sz w:val="16"/>
              </w:rPr>
            </w:pPr>
            <w:r w:rsidRPr="00A013F5">
              <w:rPr>
                <w:i/>
                <w:iCs/>
                <w:sz w:val="16"/>
              </w:rPr>
              <w:t>Nombre de la partida</w:t>
            </w:r>
          </w:p>
        </w:tc>
        <w:tc>
          <w:tcPr>
            <w:tcW w:w="3542" w:type="dxa"/>
            <w:gridSpan w:val="4"/>
            <w:tcBorders>
              <w:top w:val="single" w:sz="4" w:space="0" w:color="auto"/>
              <w:bottom w:val="single" w:sz="4" w:space="0" w:color="auto"/>
            </w:tcBorders>
            <w:shd w:val="clear" w:color="auto" w:fill="auto"/>
            <w:vAlign w:val="bottom"/>
            <w:hideMark/>
          </w:tcPr>
          <w:p w14:paraId="4619358A" w14:textId="79847B0A" w:rsidR="00A013F5" w:rsidRPr="00A013F5" w:rsidRDefault="00A013F5" w:rsidP="00A013F5">
            <w:pPr>
              <w:pStyle w:val="SingleTxtG"/>
              <w:tabs>
                <w:tab w:val="clear" w:pos="1701"/>
                <w:tab w:val="clear" w:pos="2268"/>
                <w:tab w:val="clear" w:pos="2835"/>
              </w:tabs>
              <w:spacing w:before="80" w:after="80" w:line="200" w:lineRule="exact"/>
              <w:ind w:left="0" w:right="0"/>
              <w:jc w:val="center"/>
              <w:rPr>
                <w:i/>
                <w:iCs/>
                <w:sz w:val="16"/>
                <w:rtl/>
                <w:lang w:bidi="ar-IQ"/>
              </w:rPr>
            </w:pPr>
            <w:r w:rsidRPr="00A013F5">
              <w:rPr>
                <w:i/>
                <w:iCs/>
                <w:sz w:val="16"/>
              </w:rPr>
              <w:t>Años</w:t>
            </w:r>
          </w:p>
        </w:tc>
      </w:tr>
      <w:tr w:rsidR="00A013F5" w:rsidRPr="00A013F5" w14:paraId="22959897" w14:textId="77777777" w:rsidTr="00A013F5">
        <w:trPr>
          <w:trHeight w:val="240"/>
          <w:tblHeader/>
        </w:trPr>
        <w:tc>
          <w:tcPr>
            <w:tcW w:w="3828" w:type="dxa"/>
            <w:vMerge/>
            <w:tcBorders>
              <w:top w:val="single" w:sz="4" w:space="0" w:color="auto"/>
              <w:bottom w:val="single" w:sz="12" w:space="0" w:color="auto"/>
            </w:tcBorders>
            <w:shd w:val="clear" w:color="auto" w:fill="auto"/>
            <w:vAlign w:val="bottom"/>
            <w:hideMark/>
          </w:tcPr>
          <w:p w14:paraId="1F02C4E7" w14:textId="77777777" w:rsidR="007666A4" w:rsidRPr="00A013F5" w:rsidRDefault="007666A4" w:rsidP="00A013F5">
            <w:pPr>
              <w:pStyle w:val="SingleTxtG"/>
              <w:tabs>
                <w:tab w:val="clear" w:pos="1701"/>
                <w:tab w:val="clear" w:pos="2268"/>
                <w:tab w:val="clear" w:pos="2835"/>
              </w:tabs>
              <w:spacing w:before="40" w:after="40" w:line="220" w:lineRule="exact"/>
              <w:ind w:left="0" w:right="0"/>
              <w:jc w:val="left"/>
              <w:rPr>
                <w:iCs/>
                <w:sz w:val="18"/>
              </w:rPr>
            </w:pPr>
          </w:p>
        </w:tc>
        <w:tc>
          <w:tcPr>
            <w:tcW w:w="850" w:type="dxa"/>
            <w:tcBorders>
              <w:top w:val="single" w:sz="4" w:space="0" w:color="auto"/>
              <w:bottom w:val="single" w:sz="12" w:space="0" w:color="auto"/>
            </w:tcBorders>
            <w:shd w:val="clear" w:color="auto" w:fill="auto"/>
            <w:vAlign w:val="bottom"/>
            <w:hideMark/>
          </w:tcPr>
          <w:p w14:paraId="48488E03" w14:textId="77777777" w:rsidR="007666A4" w:rsidRPr="00A013F5" w:rsidRDefault="007666A4" w:rsidP="00A013F5">
            <w:pPr>
              <w:pStyle w:val="SingleTxtG"/>
              <w:tabs>
                <w:tab w:val="clear" w:pos="1701"/>
                <w:tab w:val="clear" w:pos="2268"/>
                <w:tab w:val="clear" w:pos="2835"/>
              </w:tabs>
              <w:spacing w:before="80" w:after="80" w:line="200" w:lineRule="exact"/>
              <w:ind w:left="57" w:right="28"/>
              <w:jc w:val="right"/>
              <w:rPr>
                <w:i/>
                <w:iCs/>
                <w:sz w:val="16"/>
              </w:rPr>
            </w:pPr>
            <w:r w:rsidRPr="00A013F5">
              <w:rPr>
                <w:i/>
                <w:iCs/>
                <w:sz w:val="16"/>
              </w:rPr>
              <w:t>2016</w:t>
            </w:r>
          </w:p>
        </w:tc>
        <w:tc>
          <w:tcPr>
            <w:tcW w:w="907" w:type="dxa"/>
            <w:tcBorders>
              <w:top w:val="single" w:sz="4" w:space="0" w:color="auto"/>
              <w:bottom w:val="single" w:sz="12" w:space="0" w:color="auto"/>
            </w:tcBorders>
            <w:shd w:val="clear" w:color="auto" w:fill="auto"/>
            <w:vAlign w:val="bottom"/>
            <w:hideMark/>
          </w:tcPr>
          <w:p w14:paraId="227CD67E" w14:textId="77777777" w:rsidR="007666A4" w:rsidRPr="00A013F5" w:rsidRDefault="007666A4" w:rsidP="00A013F5">
            <w:pPr>
              <w:pStyle w:val="SingleTxtG"/>
              <w:tabs>
                <w:tab w:val="clear" w:pos="1701"/>
                <w:tab w:val="clear" w:pos="2268"/>
                <w:tab w:val="clear" w:pos="2835"/>
              </w:tabs>
              <w:spacing w:before="80" w:after="80" w:line="200" w:lineRule="exact"/>
              <w:ind w:left="57" w:right="28"/>
              <w:jc w:val="right"/>
              <w:rPr>
                <w:i/>
                <w:iCs/>
                <w:sz w:val="16"/>
              </w:rPr>
            </w:pPr>
            <w:r w:rsidRPr="00A013F5">
              <w:rPr>
                <w:i/>
                <w:iCs/>
                <w:sz w:val="16"/>
              </w:rPr>
              <w:t>2017</w:t>
            </w:r>
          </w:p>
        </w:tc>
        <w:tc>
          <w:tcPr>
            <w:tcW w:w="936" w:type="dxa"/>
            <w:tcBorders>
              <w:top w:val="single" w:sz="4" w:space="0" w:color="auto"/>
              <w:bottom w:val="single" w:sz="12" w:space="0" w:color="auto"/>
            </w:tcBorders>
            <w:shd w:val="clear" w:color="auto" w:fill="auto"/>
            <w:vAlign w:val="bottom"/>
            <w:hideMark/>
          </w:tcPr>
          <w:p w14:paraId="2A3D6B9A" w14:textId="77777777" w:rsidR="007666A4" w:rsidRPr="00A013F5" w:rsidRDefault="007666A4" w:rsidP="00A013F5">
            <w:pPr>
              <w:pStyle w:val="SingleTxtG"/>
              <w:tabs>
                <w:tab w:val="clear" w:pos="1701"/>
                <w:tab w:val="clear" w:pos="2268"/>
                <w:tab w:val="clear" w:pos="2835"/>
              </w:tabs>
              <w:spacing w:before="80" w:after="80" w:line="200" w:lineRule="exact"/>
              <w:ind w:left="57" w:right="28"/>
              <w:jc w:val="right"/>
              <w:rPr>
                <w:i/>
                <w:iCs/>
                <w:sz w:val="16"/>
              </w:rPr>
            </w:pPr>
            <w:r w:rsidRPr="00A013F5">
              <w:rPr>
                <w:i/>
                <w:iCs/>
                <w:sz w:val="16"/>
              </w:rPr>
              <w:t>2018</w:t>
            </w:r>
          </w:p>
        </w:tc>
        <w:tc>
          <w:tcPr>
            <w:tcW w:w="849" w:type="dxa"/>
            <w:tcBorders>
              <w:top w:val="single" w:sz="4" w:space="0" w:color="auto"/>
              <w:bottom w:val="single" w:sz="12" w:space="0" w:color="auto"/>
            </w:tcBorders>
            <w:shd w:val="clear" w:color="auto" w:fill="auto"/>
            <w:vAlign w:val="bottom"/>
          </w:tcPr>
          <w:p w14:paraId="1155C5E5" w14:textId="77777777" w:rsidR="007666A4" w:rsidRPr="00A013F5" w:rsidRDefault="007666A4" w:rsidP="00A013F5">
            <w:pPr>
              <w:pStyle w:val="SingleTxtG"/>
              <w:tabs>
                <w:tab w:val="clear" w:pos="1701"/>
                <w:tab w:val="clear" w:pos="2268"/>
                <w:tab w:val="clear" w:pos="2835"/>
              </w:tabs>
              <w:spacing w:before="80" w:after="80" w:line="200" w:lineRule="exact"/>
              <w:ind w:left="57" w:right="28"/>
              <w:jc w:val="right"/>
              <w:rPr>
                <w:i/>
                <w:iCs/>
                <w:sz w:val="16"/>
              </w:rPr>
            </w:pPr>
            <w:r w:rsidRPr="00A013F5">
              <w:rPr>
                <w:i/>
                <w:iCs/>
                <w:sz w:val="16"/>
              </w:rPr>
              <w:t>2019</w:t>
            </w:r>
          </w:p>
        </w:tc>
      </w:tr>
      <w:tr w:rsidR="00A013F5" w:rsidRPr="00A013F5" w14:paraId="5C09DBF8" w14:textId="77777777" w:rsidTr="00A013F5">
        <w:trPr>
          <w:trHeight w:val="240"/>
        </w:trPr>
        <w:tc>
          <w:tcPr>
            <w:tcW w:w="3828" w:type="dxa"/>
            <w:tcBorders>
              <w:top w:val="single" w:sz="12" w:space="0" w:color="auto"/>
            </w:tcBorders>
            <w:shd w:val="clear" w:color="auto" w:fill="auto"/>
            <w:hideMark/>
          </w:tcPr>
          <w:p w14:paraId="600BADBF" w14:textId="77777777" w:rsidR="007666A4" w:rsidRPr="00A013F5" w:rsidRDefault="007666A4" w:rsidP="00A013F5">
            <w:pPr>
              <w:pStyle w:val="SingleTxtG"/>
              <w:tabs>
                <w:tab w:val="clear" w:pos="1701"/>
                <w:tab w:val="clear" w:pos="2268"/>
                <w:tab w:val="clear" w:pos="2835"/>
              </w:tabs>
              <w:spacing w:before="40" w:after="40" w:line="220" w:lineRule="exact"/>
              <w:ind w:left="0" w:right="0"/>
              <w:jc w:val="left"/>
              <w:rPr>
                <w:sz w:val="18"/>
              </w:rPr>
            </w:pPr>
            <w:r w:rsidRPr="00A013F5">
              <w:rPr>
                <w:sz w:val="18"/>
              </w:rPr>
              <w:t>Red de protección social</w:t>
            </w:r>
          </w:p>
        </w:tc>
        <w:tc>
          <w:tcPr>
            <w:tcW w:w="850" w:type="dxa"/>
            <w:tcBorders>
              <w:top w:val="single" w:sz="12" w:space="0" w:color="auto"/>
            </w:tcBorders>
            <w:shd w:val="clear" w:color="auto" w:fill="auto"/>
            <w:vAlign w:val="bottom"/>
            <w:hideMark/>
          </w:tcPr>
          <w:p w14:paraId="3B1570DF" w14:textId="4059E023" w:rsidR="007666A4" w:rsidRPr="00A013F5" w:rsidRDefault="007666A4" w:rsidP="00A013F5">
            <w:pPr>
              <w:pStyle w:val="SingleTxtG"/>
              <w:tabs>
                <w:tab w:val="clear" w:pos="1701"/>
                <w:tab w:val="clear" w:pos="2268"/>
                <w:tab w:val="clear" w:pos="2835"/>
              </w:tabs>
              <w:spacing w:before="40" w:after="40" w:line="220" w:lineRule="exact"/>
              <w:ind w:left="567" w:right="28" w:hanging="510"/>
              <w:jc w:val="right"/>
              <w:rPr>
                <w:sz w:val="18"/>
              </w:rPr>
            </w:pPr>
            <w:r w:rsidRPr="00A013F5">
              <w:rPr>
                <w:sz w:val="18"/>
              </w:rPr>
              <w:t>1</w:t>
            </w:r>
            <w:r w:rsidR="00A013F5">
              <w:rPr>
                <w:sz w:val="18"/>
              </w:rPr>
              <w:t xml:space="preserve"> </w:t>
            </w:r>
            <w:r w:rsidRPr="00A013F5">
              <w:rPr>
                <w:sz w:val="18"/>
              </w:rPr>
              <w:t>976</w:t>
            </w:r>
            <w:r w:rsidR="00A013F5">
              <w:rPr>
                <w:sz w:val="18"/>
              </w:rPr>
              <w:t xml:space="preserve"> </w:t>
            </w:r>
            <w:r w:rsidRPr="00A013F5">
              <w:rPr>
                <w:sz w:val="18"/>
              </w:rPr>
              <w:t>000</w:t>
            </w:r>
          </w:p>
        </w:tc>
        <w:tc>
          <w:tcPr>
            <w:tcW w:w="907" w:type="dxa"/>
            <w:tcBorders>
              <w:top w:val="single" w:sz="12" w:space="0" w:color="auto"/>
            </w:tcBorders>
            <w:shd w:val="clear" w:color="auto" w:fill="auto"/>
            <w:vAlign w:val="bottom"/>
            <w:hideMark/>
          </w:tcPr>
          <w:p w14:paraId="4097F7D9" w14:textId="3FFF8178" w:rsidR="007666A4" w:rsidRPr="00A013F5" w:rsidRDefault="007666A4" w:rsidP="00A013F5">
            <w:pPr>
              <w:pStyle w:val="SingleTxtG"/>
              <w:tabs>
                <w:tab w:val="clear" w:pos="1701"/>
                <w:tab w:val="clear" w:pos="2268"/>
                <w:tab w:val="clear" w:pos="2835"/>
              </w:tabs>
              <w:spacing w:before="40" w:after="40" w:line="220" w:lineRule="exact"/>
              <w:ind w:left="567" w:right="28" w:hanging="510"/>
              <w:jc w:val="right"/>
              <w:rPr>
                <w:sz w:val="18"/>
              </w:rPr>
            </w:pPr>
            <w:r w:rsidRPr="00A013F5">
              <w:rPr>
                <w:sz w:val="18"/>
              </w:rPr>
              <w:t>1</w:t>
            </w:r>
            <w:r w:rsidR="00A013F5">
              <w:rPr>
                <w:sz w:val="18"/>
              </w:rPr>
              <w:t xml:space="preserve"> </w:t>
            </w:r>
            <w:r w:rsidRPr="00A013F5">
              <w:rPr>
                <w:sz w:val="18"/>
              </w:rPr>
              <w:t>876</w:t>
            </w:r>
            <w:r w:rsidR="00A013F5">
              <w:rPr>
                <w:sz w:val="18"/>
              </w:rPr>
              <w:t xml:space="preserve"> </w:t>
            </w:r>
            <w:r w:rsidRPr="00A013F5">
              <w:rPr>
                <w:sz w:val="18"/>
              </w:rPr>
              <w:t>000</w:t>
            </w:r>
          </w:p>
        </w:tc>
        <w:tc>
          <w:tcPr>
            <w:tcW w:w="936" w:type="dxa"/>
            <w:tcBorders>
              <w:top w:val="single" w:sz="12" w:space="0" w:color="auto"/>
            </w:tcBorders>
            <w:shd w:val="clear" w:color="auto" w:fill="auto"/>
            <w:vAlign w:val="bottom"/>
            <w:hideMark/>
          </w:tcPr>
          <w:p w14:paraId="210C1BB2" w14:textId="7D60F30C" w:rsidR="007666A4" w:rsidRPr="00A013F5" w:rsidRDefault="007666A4" w:rsidP="00A013F5">
            <w:pPr>
              <w:pStyle w:val="SingleTxtG"/>
              <w:tabs>
                <w:tab w:val="clear" w:pos="1701"/>
                <w:tab w:val="clear" w:pos="2268"/>
                <w:tab w:val="clear" w:pos="2835"/>
              </w:tabs>
              <w:spacing w:before="40" w:after="40" w:line="220" w:lineRule="exact"/>
              <w:ind w:left="567" w:right="28" w:hanging="510"/>
              <w:jc w:val="right"/>
              <w:rPr>
                <w:sz w:val="18"/>
              </w:rPr>
            </w:pPr>
            <w:r w:rsidRPr="00A013F5">
              <w:rPr>
                <w:sz w:val="18"/>
              </w:rPr>
              <w:t>1</w:t>
            </w:r>
            <w:r w:rsidR="00A013F5">
              <w:rPr>
                <w:sz w:val="18"/>
              </w:rPr>
              <w:t xml:space="preserve"> </w:t>
            </w:r>
            <w:r w:rsidRPr="00A013F5">
              <w:rPr>
                <w:sz w:val="18"/>
              </w:rPr>
              <w:t>875</w:t>
            </w:r>
            <w:r w:rsidR="00A013F5">
              <w:rPr>
                <w:sz w:val="18"/>
              </w:rPr>
              <w:t xml:space="preserve"> </w:t>
            </w:r>
            <w:r w:rsidRPr="00A013F5">
              <w:rPr>
                <w:sz w:val="18"/>
              </w:rPr>
              <w:t>996</w:t>
            </w:r>
          </w:p>
        </w:tc>
        <w:tc>
          <w:tcPr>
            <w:tcW w:w="849" w:type="dxa"/>
            <w:tcBorders>
              <w:top w:val="single" w:sz="12" w:space="0" w:color="auto"/>
            </w:tcBorders>
            <w:shd w:val="clear" w:color="auto" w:fill="auto"/>
            <w:vAlign w:val="bottom"/>
          </w:tcPr>
          <w:p w14:paraId="688F49AA" w14:textId="3CE3A494" w:rsidR="007666A4" w:rsidRPr="00A013F5" w:rsidRDefault="007666A4" w:rsidP="00A013F5">
            <w:pPr>
              <w:pStyle w:val="SingleTxtG"/>
              <w:tabs>
                <w:tab w:val="clear" w:pos="1701"/>
                <w:tab w:val="clear" w:pos="2268"/>
                <w:tab w:val="clear" w:pos="2835"/>
              </w:tabs>
              <w:spacing w:before="40" w:after="40" w:line="220" w:lineRule="exact"/>
              <w:ind w:left="567" w:right="28" w:hanging="510"/>
              <w:jc w:val="right"/>
              <w:rPr>
                <w:sz w:val="18"/>
              </w:rPr>
            </w:pPr>
            <w:r w:rsidRPr="00A013F5">
              <w:rPr>
                <w:sz w:val="18"/>
              </w:rPr>
              <w:t>3</w:t>
            </w:r>
            <w:r w:rsidR="00A013F5">
              <w:rPr>
                <w:sz w:val="18"/>
              </w:rPr>
              <w:t xml:space="preserve"> </w:t>
            </w:r>
            <w:r w:rsidRPr="00A013F5">
              <w:rPr>
                <w:sz w:val="18"/>
              </w:rPr>
              <w:t>120</w:t>
            </w:r>
            <w:r w:rsidR="00A013F5">
              <w:rPr>
                <w:sz w:val="18"/>
              </w:rPr>
              <w:t xml:space="preserve"> </w:t>
            </w:r>
            <w:r w:rsidRPr="00A013F5">
              <w:rPr>
                <w:sz w:val="18"/>
              </w:rPr>
              <w:t>000</w:t>
            </w:r>
          </w:p>
        </w:tc>
      </w:tr>
      <w:tr w:rsidR="00A013F5" w:rsidRPr="00A013F5" w14:paraId="26FD8F69" w14:textId="77777777" w:rsidTr="00A013F5">
        <w:trPr>
          <w:trHeight w:val="240"/>
        </w:trPr>
        <w:tc>
          <w:tcPr>
            <w:tcW w:w="3828" w:type="dxa"/>
            <w:tcBorders>
              <w:bottom w:val="single" w:sz="12" w:space="0" w:color="auto"/>
            </w:tcBorders>
            <w:shd w:val="clear" w:color="auto" w:fill="auto"/>
            <w:hideMark/>
          </w:tcPr>
          <w:p w14:paraId="01489170" w14:textId="77777777" w:rsidR="007666A4" w:rsidRPr="00A013F5" w:rsidRDefault="007666A4" w:rsidP="00A013F5">
            <w:pPr>
              <w:pStyle w:val="SingleTxtG"/>
              <w:tabs>
                <w:tab w:val="clear" w:pos="1701"/>
                <w:tab w:val="clear" w:pos="2268"/>
                <w:tab w:val="clear" w:pos="2835"/>
              </w:tabs>
              <w:spacing w:before="40" w:after="40" w:line="220" w:lineRule="exact"/>
              <w:ind w:left="0" w:right="0"/>
              <w:jc w:val="left"/>
              <w:rPr>
                <w:sz w:val="18"/>
              </w:rPr>
            </w:pPr>
            <w:r w:rsidRPr="00A013F5">
              <w:rPr>
                <w:sz w:val="18"/>
              </w:rPr>
              <w:t>Salarios de los cuidadores de personas con discapacidad y personas con necesidades especiales</w:t>
            </w:r>
          </w:p>
        </w:tc>
        <w:tc>
          <w:tcPr>
            <w:tcW w:w="850" w:type="dxa"/>
            <w:tcBorders>
              <w:bottom w:val="single" w:sz="12" w:space="0" w:color="auto"/>
            </w:tcBorders>
            <w:shd w:val="clear" w:color="auto" w:fill="auto"/>
            <w:vAlign w:val="bottom"/>
            <w:hideMark/>
          </w:tcPr>
          <w:p w14:paraId="58002F15" w14:textId="6389888F" w:rsidR="007666A4" w:rsidRPr="00A013F5" w:rsidRDefault="007666A4" w:rsidP="00A013F5">
            <w:pPr>
              <w:pStyle w:val="SingleTxtG"/>
              <w:tabs>
                <w:tab w:val="clear" w:pos="1701"/>
                <w:tab w:val="clear" w:pos="2268"/>
                <w:tab w:val="clear" w:pos="2835"/>
              </w:tabs>
              <w:spacing w:before="40" w:after="40" w:line="220" w:lineRule="exact"/>
              <w:ind w:left="567" w:right="28" w:hanging="510"/>
              <w:jc w:val="right"/>
              <w:rPr>
                <w:sz w:val="18"/>
              </w:rPr>
            </w:pPr>
            <w:r w:rsidRPr="00A013F5">
              <w:rPr>
                <w:sz w:val="18"/>
              </w:rPr>
              <w:t>49</w:t>
            </w:r>
            <w:r w:rsidR="00A013F5">
              <w:rPr>
                <w:sz w:val="18"/>
              </w:rPr>
              <w:t xml:space="preserve"> </w:t>
            </w:r>
            <w:r w:rsidRPr="00A013F5">
              <w:rPr>
                <w:sz w:val="18"/>
              </w:rPr>
              <w:t>400</w:t>
            </w:r>
          </w:p>
        </w:tc>
        <w:tc>
          <w:tcPr>
            <w:tcW w:w="907" w:type="dxa"/>
            <w:tcBorders>
              <w:bottom w:val="single" w:sz="12" w:space="0" w:color="auto"/>
            </w:tcBorders>
            <w:shd w:val="clear" w:color="auto" w:fill="auto"/>
            <w:vAlign w:val="bottom"/>
            <w:hideMark/>
          </w:tcPr>
          <w:p w14:paraId="1A1B17B7" w14:textId="37167856" w:rsidR="007666A4" w:rsidRPr="00A013F5" w:rsidRDefault="007666A4" w:rsidP="00A013F5">
            <w:pPr>
              <w:pStyle w:val="SingleTxtG"/>
              <w:tabs>
                <w:tab w:val="clear" w:pos="1701"/>
                <w:tab w:val="clear" w:pos="2268"/>
                <w:tab w:val="clear" w:pos="2835"/>
              </w:tabs>
              <w:spacing w:before="40" w:after="40" w:line="220" w:lineRule="exact"/>
              <w:ind w:left="567" w:right="28" w:hanging="510"/>
              <w:jc w:val="right"/>
              <w:rPr>
                <w:sz w:val="18"/>
              </w:rPr>
            </w:pPr>
            <w:r w:rsidRPr="00A013F5">
              <w:rPr>
                <w:sz w:val="18"/>
              </w:rPr>
              <w:t>60</w:t>
            </w:r>
            <w:r w:rsidR="00A013F5">
              <w:rPr>
                <w:sz w:val="18"/>
              </w:rPr>
              <w:t xml:space="preserve"> </w:t>
            </w:r>
            <w:r w:rsidRPr="00A013F5">
              <w:rPr>
                <w:sz w:val="18"/>
              </w:rPr>
              <w:t>000</w:t>
            </w:r>
          </w:p>
        </w:tc>
        <w:tc>
          <w:tcPr>
            <w:tcW w:w="936" w:type="dxa"/>
            <w:tcBorders>
              <w:bottom w:val="single" w:sz="12" w:space="0" w:color="auto"/>
            </w:tcBorders>
            <w:shd w:val="clear" w:color="auto" w:fill="auto"/>
            <w:vAlign w:val="bottom"/>
            <w:hideMark/>
          </w:tcPr>
          <w:p w14:paraId="1C6999AE" w14:textId="26436654" w:rsidR="007666A4" w:rsidRPr="00A013F5" w:rsidRDefault="007666A4" w:rsidP="00A013F5">
            <w:pPr>
              <w:pStyle w:val="SingleTxtG"/>
              <w:tabs>
                <w:tab w:val="clear" w:pos="1701"/>
                <w:tab w:val="clear" w:pos="2268"/>
                <w:tab w:val="clear" w:pos="2835"/>
              </w:tabs>
              <w:spacing w:before="40" w:after="40" w:line="220" w:lineRule="exact"/>
              <w:ind w:left="567" w:right="28" w:hanging="510"/>
              <w:jc w:val="right"/>
              <w:rPr>
                <w:sz w:val="18"/>
              </w:rPr>
            </w:pPr>
            <w:r w:rsidRPr="00A013F5">
              <w:rPr>
                <w:sz w:val="18"/>
              </w:rPr>
              <w:t>60</w:t>
            </w:r>
            <w:r w:rsidR="00A013F5">
              <w:rPr>
                <w:sz w:val="18"/>
              </w:rPr>
              <w:t xml:space="preserve"> </w:t>
            </w:r>
            <w:r w:rsidRPr="00A013F5">
              <w:rPr>
                <w:sz w:val="18"/>
              </w:rPr>
              <w:t>000</w:t>
            </w:r>
          </w:p>
        </w:tc>
        <w:tc>
          <w:tcPr>
            <w:tcW w:w="849" w:type="dxa"/>
            <w:tcBorders>
              <w:bottom w:val="single" w:sz="12" w:space="0" w:color="auto"/>
            </w:tcBorders>
            <w:shd w:val="clear" w:color="auto" w:fill="auto"/>
            <w:vAlign w:val="bottom"/>
          </w:tcPr>
          <w:p w14:paraId="1A3965A8" w14:textId="1BC7B911" w:rsidR="007666A4" w:rsidRPr="00A013F5" w:rsidRDefault="007666A4" w:rsidP="00A013F5">
            <w:pPr>
              <w:pStyle w:val="SingleTxtG"/>
              <w:tabs>
                <w:tab w:val="clear" w:pos="1701"/>
                <w:tab w:val="clear" w:pos="2268"/>
                <w:tab w:val="clear" w:pos="2835"/>
              </w:tabs>
              <w:spacing w:before="40" w:after="40" w:line="220" w:lineRule="exact"/>
              <w:ind w:left="567" w:right="28" w:hanging="510"/>
              <w:jc w:val="right"/>
              <w:rPr>
                <w:sz w:val="18"/>
              </w:rPr>
            </w:pPr>
            <w:r w:rsidRPr="00A013F5">
              <w:rPr>
                <w:sz w:val="18"/>
              </w:rPr>
              <w:t>200</w:t>
            </w:r>
            <w:r w:rsidR="00A013F5">
              <w:rPr>
                <w:sz w:val="18"/>
              </w:rPr>
              <w:t xml:space="preserve"> </w:t>
            </w:r>
            <w:r w:rsidRPr="00A013F5">
              <w:rPr>
                <w:sz w:val="18"/>
              </w:rPr>
              <w:t>000</w:t>
            </w:r>
          </w:p>
        </w:tc>
      </w:tr>
    </w:tbl>
    <w:p w14:paraId="31A33102" w14:textId="15AC20D7" w:rsidR="007666A4" w:rsidRPr="007666A4" w:rsidRDefault="007666A4" w:rsidP="00A013F5">
      <w:pPr>
        <w:pStyle w:val="SingleTxtG"/>
        <w:spacing w:before="240"/>
      </w:pPr>
      <w:r w:rsidRPr="007666A4">
        <w:t>28.</w:t>
      </w:r>
      <w:r w:rsidR="00A013F5">
        <w:tab/>
      </w:r>
      <w:r w:rsidRPr="007666A4">
        <w:t xml:space="preserve">El Ministerio de Finanzas destina anualmente una partida para que el Ministerio de Sanidad y los departamentos que este tiene en todas las provincias puedan comprar medicamentos para cubrir las necesidades del mayor número posible de ciudadanos, </w:t>
      </w:r>
      <w:r w:rsidRPr="007666A4">
        <w:lastRenderedPageBreak/>
        <w:t>especialmente de las personas con bajos ingresos, como se muestra a continuación (en millones de dinares)</w:t>
      </w:r>
      <w:r w:rsidR="00A013F5">
        <w:t>.</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574"/>
        <w:gridCol w:w="1271"/>
        <w:gridCol w:w="1530"/>
        <w:gridCol w:w="1328"/>
        <w:gridCol w:w="1667"/>
      </w:tblGrid>
      <w:tr w:rsidR="00A013F5" w:rsidRPr="00A013F5" w14:paraId="2A23D0FA" w14:textId="77777777" w:rsidTr="00CC6B66">
        <w:trPr>
          <w:trHeight w:val="240"/>
          <w:tblHeader/>
        </w:trPr>
        <w:tc>
          <w:tcPr>
            <w:tcW w:w="1560" w:type="dxa"/>
            <w:vMerge w:val="restart"/>
            <w:tcBorders>
              <w:top w:val="single" w:sz="4" w:space="0" w:color="auto"/>
              <w:bottom w:val="single" w:sz="4" w:space="0" w:color="auto"/>
            </w:tcBorders>
            <w:shd w:val="clear" w:color="auto" w:fill="auto"/>
            <w:vAlign w:val="bottom"/>
            <w:hideMark/>
          </w:tcPr>
          <w:p w14:paraId="5C9BDD76" w14:textId="77777777" w:rsidR="007666A4" w:rsidRPr="00A013F5" w:rsidRDefault="007666A4" w:rsidP="00A013F5">
            <w:pPr>
              <w:pStyle w:val="SingleTxtG"/>
              <w:tabs>
                <w:tab w:val="clear" w:pos="1701"/>
                <w:tab w:val="clear" w:pos="2268"/>
                <w:tab w:val="clear" w:pos="2835"/>
              </w:tabs>
              <w:spacing w:before="80" w:after="80" w:line="200" w:lineRule="exact"/>
              <w:ind w:left="0" w:right="0"/>
              <w:jc w:val="left"/>
              <w:rPr>
                <w:i/>
                <w:iCs/>
                <w:sz w:val="16"/>
              </w:rPr>
            </w:pPr>
            <w:r w:rsidRPr="00A013F5">
              <w:rPr>
                <w:i/>
                <w:iCs/>
                <w:sz w:val="16"/>
              </w:rPr>
              <w:t>Nombre de la partida</w:t>
            </w:r>
          </w:p>
        </w:tc>
        <w:tc>
          <w:tcPr>
            <w:tcW w:w="5744" w:type="dxa"/>
            <w:gridSpan w:val="4"/>
            <w:tcBorders>
              <w:top w:val="single" w:sz="4" w:space="0" w:color="auto"/>
              <w:bottom w:val="single" w:sz="4" w:space="0" w:color="auto"/>
            </w:tcBorders>
            <w:shd w:val="clear" w:color="auto" w:fill="auto"/>
            <w:vAlign w:val="bottom"/>
            <w:hideMark/>
          </w:tcPr>
          <w:p w14:paraId="628BD97F" w14:textId="77777777" w:rsidR="007666A4" w:rsidRPr="00A013F5" w:rsidRDefault="007666A4" w:rsidP="00CC6B66">
            <w:pPr>
              <w:pStyle w:val="SingleTxtG"/>
              <w:tabs>
                <w:tab w:val="clear" w:pos="1701"/>
                <w:tab w:val="clear" w:pos="2268"/>
                <w:tab w:val="clear" w:pos="2835"/>
              </w:tabs>
              <w:spacing w:before="80" w:after="80" w:line="200" w:lineRule="exact"/>
              <w:ind w:left="0" w:right="0"/>
              <w:jc w:val="center"/>
              <w:rPr>
                <w:i/>
                <w:iCs/>
                <w:sz w:val="16"/>
              </w:rPr>
            </w:pPr>
            <w:r w:rsidRPr="00A013F5">
              <w:rPr>
                <w:i/>
                <w:iCs/>
                <w:sz w:val="16"/>
              </w:rPr>
              <w:t>Años</w:t>
            </w:r>
          </w:p>
        </w:tc>
      </w:tr>
      <w:tr w:rsidR="00A013F5" w:rsidRPr="00A013F5" w14:paraId="6AFD7C41" w14:textId="77777777" w:rsidTr="00CC6B66">
        <w:trPr>
          <w:trHeight w:val="240"/>
          <w:tblHeader/>
        </w:trPr>
        <w:tc>
          <w:tcPr>
            <w:tcW w:w="1560" w:type="dxa"/>
            <w:vMerge/>
            <w:tcBorders>
              <w:top w:val="single" w:sz="4" w:space="0" w:color="auto"/>
              <w:bottom w:val="single" w:sz="12" w:space="0" w:color="auto"/>
            </w:tcBorders>
            <w:shd w:val="clear" w:color="auto" w:fill="auto"/>
            <w:vAlign w:val="bottom"/>
            <w:hideMark/>
          </w:tcPr>
          <w:p w14:paraId="3B14D99E" w14:textId="77777777" w:rsidR="007666A4" w:rsidRPr="00A013F5" w:rsidRDefault="007666A4" w:rsidP="00A013F5">
            <w:pPr>
              <w:pStyle w:val="SingleTxtG"/>
              <w:tabs>
                <w:tab w:val="clear" w:pos="1701"/>
                <w:tab w:val="clear" w:pos="2268"/>
                <w:tab w:val="clear" w:pos="2835"/>
              </w:tabs>
              <w:spacing w:before="40" w:after="40" w:line="220" w:lineRule="exact"/>
              <w:ind w:left="0" w:right="0"/>
              <w:jc w:val="left"/>
              <w:rPr>
                <w:iCs/>
                <w:sz w:val="18"/>
              </w:rPr>
            </w:pPr>
          </w:p>
        </w:tc>
        <w:tc>
          <w:tcPr>
            <w:tcW w:w="1260" w:type="dxa"/>
            <w:tcBorders>
              <w:top w:val="single" w:sz="4" w:space="0" w:color="auto"/>
              <w:bottom w:val="single" w:sz="12" w:space="0" w:color="auto"/>
            </w:tcBorders>
            <w:shd w:val="clear" w:color="auto" w:fill="auto"/>
            <w:vAlign w:val="bottom"/>
            <w:hideMark/>
          </w:tcPr>
          <w:p w14:paraId="29ED513A" w14:textId="77777777" w:rsidR="007666A4" w:rsidRPr="00CC6B66" w:rsidRDefault="007666A4" w:rsidP="00CC6B66">
            <w:pPr>
              <w:pStyle w:val="SingleTxtG"/>
              <w:tabs>
                <w:tab w:val="clear" w:pos="1701"/>
                <w:tab w:val="clear" w:pos="2268"/>
                <w:tab w:val="clear" w:pos="2835"/>
              </w:tabs>
              <w:spacing w:before="80" w:after="80" w:line="200" w:lineRule="exact"/>
              <w:ind w:left="57" w:right="28"/>
              <w:jc w:val="right"/>
              <w:rPr>
                <w:i/>
                <w:iCs/>
                <w:sz w:val="16"/>
              </w:rPr>
            </w:pPr>
            <w:r w:rsidRPr="00CC6B66">
              <w:rPr>
                <w:i/>
                <w:iCs/>
                <w:sz w:val="16"/>
              </w:rPr>
              <w:t>2016</w:t>
            </w:r>
          </w:p>
        </w:tc>
        <w:tc>
          <w:tcPr>
            <w:tcW w:w="1516" w:type="dxa"/>
            <w:tcBorders>
              <w:top w:val="single" w:sz="4" w:space="0" w:color="auto"/>
              <w:bottom w:val="single" w:sz="12" w:space="0" w:color="auto"/>
            </w:tcBorders>
            <w:shd w:val="clear" w:color="auto" w:fill="auto"/>
            <w:vAlign w:val="bottom"/>
            <w:hideMark/>
          </w:tcPr>
          <w:p w14:paraId="1051D4D9" w14:textId="77777777" w:rsidR="007666A4" w:rsidRPr="00CC6B66" w:rsidRDefault="007666A4" w:rsidP="00CC6B66">
            <w:pPr>
              <w:pStyle w:val="SingleTxtG"/>
              <w:tabs>
                <w:tab w:val="clear" w:pos="1701"/>
                <w:tab w:val="clear" w:pos="2268"/>
                <w:tab w:val="clear" w:pos="2835"/>
              </w:tabs>
              <w:spacing w:before="80" w:after="80" w:line="200" w:lineRule="exact"/>
              <w:ind w:left="57" w:right="28"/>
              <w:jc w:val="right"/>
              <w:rPr>
                <w:i/>
                <w:iCs/>
                <w:sz w:val="16"/>
              </w:rPr>
            </w:pPr>
            <w:r w:rsidRPr="00CC6B66">
              <w:rPr>
                <w:i/>
                <w:iCs/>
                <w:sz w:val="16"/>
              </w:rPr>
              <w:t>2017</w:t>
            </w:r>
          </w:p>
        </w:tc>
        <w:tc>
          <w:tcPr>
            <w:tcW w:w="1316" w:type="dxa"/>
            <w:tcBorders>
              <w:top w:val="single" w:sz="4" w:space="0" w:color="auto"/>
              <w:bottom w:val="single" w:sz="12" w:space="0" w:color="auto"/>
            </w:tcBorders>
            <w:shd w:val="clear" w:color="auto" w:fill="auto"/>
            <w:vAlign w:val="bottom"/>
            <w:hideMark/>
          </w:tcPr>
          <w:p w14:paraId="2E5F33D8" w14:textId="77777777" w:rsidR="007666A4" w:rsidRPr="00CC6B66" w:rsidRDefault="007666A4" w:rsidP="00CC6B66">
            <w:pPr>
              <w:pStyle w:val="SingleTxtG"/>
              <w:tabs>
                <w:tab w:val="clear" w:pos="1701"/>
                <w:tab w:val="clear" w:pos="2268"/>
                <w:tab w:val="clear" w:pos="2835"/>
              </w:tabs>
              <w:spacing w:before="80" w:after="80" w:line="200" w:lineRule="exact"/>
              <w:ind w:left="57" w:right="28"/>
              <w:jc w:val="right"/>
              <w:rPr>
                <w:i/>
                <w:iCs/>
                <w:sz w:val="16"/>
              </w:rPr>
            </w:pPr>
            <w:r w:rsidRPr="00CC6B66">
              <w:rPr>
                <w:i/>
                <w:iCs/>
                <w:sz w:val="16"/>
              </w:rPr>
              <w:t>2018</w:t>
            </w:r>
          </w:p>
        </w:tc>
        <w:tc>
          <w:tcPr>
            <w:tcW w:w="1652" w:type="dxa"/>
            <w:tcBorders>
              <w:top w:val="single" w:sz="4" w:space="0" w:color="auto"/>
              <w:bottom w:val="single" w:sz="12" w:space="0" w:color="auto"/>
            </w:tcBorders>
            <w:shd w:val="clear" w:color="auto" w:fill="auto"/>
            <w:vAlign w:val="bottom"/>
          </w:tcPr>
          <w:p w14:paraId="1554A2FD" w14:textId="77777777" w:rsidR="007666A4" w:rsidRPr="00CC6B66" w:rsidRDefault="007666A4" w:rsidP="00CC6B66">
            <w:pPr>
              <w:pStyle w:val="SingleTxtG"/>
              <w:tabs>
                <w:tab w:val="clear" w:pos="1701"/>
                <w:tab w:val="clear" w:pos="2268"/>
                <w:tab w:val="clear" w:pos="2835"/>
              </w:tabs>
              <w:spacing w:before="80" w:after="80" w:line="200" w:lineRule="exact"/>
              <w:ind w:left="57" w:right="28"/>
              <w:jc w:val="right"/>
              <w:rPr>
                <w:i/>
                <w:iCs/>
                <w:sz w:val="16"/>
              </w:rPr>
            </w:pPr>
            <w:r w:rsidRPr="00CC6B66">
              <w:rPr>
                <w:i/>
                <w:iCs/>
                <w:sz w:val="16"/>
              </w:rPr>
              <w:t>2019</w:t>
            </w:r>
          </w:p>
        </w:tc>
      </w:tr>
      <w:tr w:rsidR="00A013F5" w:rsidRPr="00A013F5" w14:paraId="1D759641" w14:textId="77777777" w:rsidTr="00CC6B66">
        <w:trPr>
          <w:trHeight w:val="240"/>
        </w:trPr>
        <w:tc>
          <w:tcPr>
            <w:tcW w:w="1560" w:type="dxa"/>
            <w:tcBorders>
              <w:top w:val="single" w:sz="12" w:space="0" w:color="auto"/>
              <w:bottom w:val="single" w:sz="12" w:space="0" w:color="auto"/>
            </w:tcBorders>
            <w:shd w:val="clear" w:color="auto" w:fill="auto"/>
            <w:hideMark/>
          </w:tcPr>
          <w:p w14:paraId="1994BA3C" w14:textId="77777777" w:rsidR="007666A4" w:rsidRPr="00A013F5" w:rsidRDefault="007666A4" w:rsidP="00A013F5">
            <w:pPr>
              <w:pStyle w:val="SingleTxtG"/>
              <w:tabs>
                <w:tab w:val="clear" w:pos="1701"/>
                <w:tab w:val="clear" w:pos="2268"/>
                <w:tab w:val="clear" w:pos="2835"/>
              </w:tabs>
              <w:spacing w:before="40" w:after="40" w:line="220" w:lineRule="exact"/>
              <w:ind w:left="0" w:right="0"/>
              <w:jc w:val="left"/>
              <w:rPr>
                <w:sz w:val="18"/>
              </w:rPr>
            </w:pPr>
            <w:r w:rsidRPr="00A013F5">
              <w:rPr>
                <w:sz w:val="18"/>
              </w:rPr>
              <w:t>Medicamentos</w:t>
            </w:r>
          </w:p>
        </w:tc>
        <w:tc>
          <w:tcPr>
            <w:tcW w:w="1260" w:type="dxa"/>
            <w:tcBorders>
              <w:top w:val="single" w:sz="12" w:space="0" w:color="auto"/>
              <w:bottom w:val="single" w:sz="12" w:space="0" w:color="auto"/>
            </w:tcBorders>
            <w:shd w:val="clear" w:color="auto" w:fill="auto"/>
            <w:vAlign w:val="bottom"/>
            <w:hideMark/>
          </w:tcPr>
          <w:p w14:paraId="79B94392" w14:textId="714ADBF7" w:rsidR="007666A4" w:rsidRPr="00A013F5" w:rsidRDefault="007666A4" w:rsidP="00CC6B66">
            <w:pPr>
              <w:pStyle w:val="SingleTxtG"/>
              <w:tabs>
                <w:tab w:val="clear" w:pos="1701"/>
                <w:tab w:val="clear" w:pos="2268"/>
                <w:tab w:val="clear" w:pos="2835"/>
              </w:tabs>
              <w:spacing w:before="40" w:after="40" w:line="220" w:lineRule="exact"/>
              <w:ind w:left="57" w:right="28"/>
              <w:jc w:val="right"/>
              <w:rPr>
                <w:sz w:val="18"/>
              </w:rPr>
            </w:pPr>
            <w:r w:rsidRPr="00A013F5">
              <w:rPr>
                <w:sz w:val="18"/>
              </w:rPr>
              <w:t>1</w:t>
            </w:r>
            <w:r w:rsidR="00CC6B66">
              <w:rPr>
                <w:sz w:val="18"/>
              </w:rPr>
              <w:t xml:space="preserve"> </w:t>
            </w:r>
            <w:r w:rsidRPr="00A013F5">
              <w:rPr>
                <w:sz w:val="18"/>
              </w:rPr>
              <w:t>515</w:t>
            </w:r>
            <w:r w:rsidR="00CC6B66">
              <w:rPr>
                <w:sz w:val="18"/>
              </w:rPr>
              <w:t xml:space="preserve"> </w:t>
            </w:r>
            <w:r w:rsidRPr="00A013F5">
              <w:rPr>
                <w:sz w:val="18"/>
              </w:rPr>
              <w:t>063</w:t>
            </w:r>
          </w:p>
        </w:tc>
        <w:tc>
          <w:tcPr>
            <w:tcW w:w="1516" w:type="dxa"/>
            <w:tcBorders>
              <w:top w:val="single" w:sz="12" w:space="0" w:color="auto"/>
              <w:bottom w:val="single" w:sz="12" w:space="0" w:color="auto"/>
            </w:tcBorders>
            <w:shd w:val="clear" w:color="auto" w:fill="auto"/>
            <w:vAlign w:val="bottom"/>
            <w:hideMark/>
          </w:tcPr>
          <w:p w14:paraId="53622595" w14:textId="01E7332B" w:rsidR="007666A4" w:rsidRPr="00A013F5" w:rsidRDefault="007666A4" w:rsidP="00CC6B66">
            <w:pPr>
              <w:pStyle w:val="SingleTxtG"/>
              <w:tabs>
                <w:tab w:val="clear" w:pos="1701"/>
                <w:tab w:val="clear" w:pos="2268"/>
                <w:tab w:val="clear" w:pos="2835"/>
              </w:tabs>
              <w:spacing w:before="40" w:after="40" w:line="220" w:lineRule="exact"/>
              <w:ind w:left="57" w:right="28"/>
              <w:jc w:val="right"/>
              <w:rPr>
                <w:sz w:val="18"/>
              </w:rPr>
            </w:pPr>
            <w:r w:rsidRPr="00A013F5">
              <w:rPr>
                <w:sz w:val="18"/>
              </w:rPr>
              <w:t>645</w:t>
            </w:r>
            <w:r w:rsidR="00CC6B66">
              <w:rPr>
                <w:sz w:val="18"/>
              </w:rPr>
              <w:t xml:space="preserve"> </w:t>
            </w:r>
            <w:r w:rsidRPr="00A013F5">
              <w:rPr>
                <w:sz w:val="18"/>
              </w:rPr>
              <w:t>970</w:t>
            </w:r>
          </w:p>
        </w:tc>
        <w:tc>
          <w:tcPr>
            <w:tcW w:w="1316" w:type="dxa"/>
            <w:tcBorders>
              <w:top w:val="single" w:sz="12" w:space="0" w:color="auto"/>
              <w:bottom w:val="single" w:sz="12" w:space="0" w:color="auto"/>
            </w:tcBorders>
            <w:shd w:val="clear" w:color="auto" w:fill="auto"/>
            <w:vAlign w:val="bottom"/>
            <w:hideMark/>
          </w:tcPr>
          <w:p w14:paraId="7748B48B" w14:textId="054F25A6" w:rsidR="007666A4" w:rsidRPr="00A013F5" w:rsidRDefault="007666A4" w:rsidP="00CC6B66">
            <w:pPr>
              <w:pStyle w:val="SingleTxtG"/>
              <w:tabs>
                <w:tab w:val="clear" w:pos="1701"/>
                <w:tab w:val="clear" w:pos="2268"/>
                <w:tab w:val="clear" w:pos="2835"/>
              </w:tabs>
              <w:spacing w:before="40" w:after="40" w:line="220" w:lineRule="exact"/>
              <w:ind w:left="57" w:right="28"/>
              <w:jc w:val="right"/>
              <w:rPr>
                <w:sz w:val="18"/>
              </w:rPr>
            </w:pPr>
            <w:r w:rsidRPr="00A013F5">
              <w:rPr>
                <w:sz w:val="18"/>
              </w:rPr>
              <w:t>900</w:t>
            </w:r>
            <w:r w:rsidR="00CC6B66">
              <w:rPr>
                <w:sz w:val="18"/>
              </w:rPr>
              <w:t xml:space="preserve"> </w:t>
            </w:r>
            <w:r w:rsidRPr="00A013F5">
              <w:rPr>
                <w:sz w:val="18"/>
              </w:rPr>
              <w:t>000</w:t>
            </w:r>
          </w:p>
        </w:tc>
        <w:tc>
          <w:tcPr>
            <w:tcW w:w="1652" w:type="dxa"/>
            <w:tcBorders>
              <w:top w:val="single" w:sz="12" w:space="0" w:color="auto"/>
              <w:bottom w:val="single" w:sz="12" w:space="0" w:color="auto"/>
            </w:tcBorders>
            <w:shd w:val="clear" w:color="auto" w:fill="auto"/>
            <w:vAlign w:val="bottom"/>
          </w:tcPr>
          <w:p w14:paraId="3B433C85" w14:textId="17D23241" w:rsidR="007666A4" w:rsidRPr="00A013F5" w:rsidRDefault="007666A4" w:rsidP="00CC6B66">
            <w:pPr>
              <w:pStyle w:val="SingleTxtG"/>
              <w:tabs>
                <w:tab w:val="clear" w:pos="1701"/>
                <w:tab w:val="clear" w:pos="2268"/>
                <w:tab w:val="clear" w:pos="2835"/>
              </w:tabs>
              <w:spacing w:before="40" w:after="40" w:line="220" w:lineRule="exact"/>
              <w:ind w:left="57" w:right="28"/>
              <w:jc w:val="right"/>
              <w:rPr>
                <w:sz w:val="18"/>
              </w:rPr>
            </w:pPr>
            <w:r w:rsidRPr="00A013F5">
              <w:rPr>
                <w:sz w:val="18"/>
              </w:rPr>
              <w:t>1</w:t>
            </w:r>
            <w:r w:rsidR="00CC6B66">
              <w:rPr>
                <w:sz w:val="18"/>
              </w:rPr>
              <w:t xml:space="preserve"> </w:t>
            </w:r>
            <w:r w:rsidRPr="00A013F5">
              <w:rPr>
                <w:sz w:val="18"/>
              </w:rPr>
              <w:t>500</w:t>
            </w:r>
            <w:r w:rsidR="00CC6B66">
              <w:rPr>
                <w:sz w:val="18"/>
              </w:rPr>
              <w:t xml:space="preserve"> </w:t>
            </w:r>
            <w:r w:rsidRPr="00A013F5">
              <w:rPr>
                <w:sz w:val="18"/>
              </w:rPr>
              <w:t>000</w:t>
            </w:r>
          </w:p>
        </w:tc>
      </w:tr>
    </w:tbl>
    <w:p w14:paraId="2712FD38" w14:textId="03A30789" w:rsidR="007666A4" w:rsidRPr="007666A4" w:rsidRDefault="007666A4" w:rsidP="00CC6B66">
      <w:pPr>
        <w:pStyle w:val="SingleTxtG"/>
        <w:spacing w:before="240"/>
      </w:pPr>
      <w:r w:rsidRPr="007666A4">
        <w:t>29.</w:t>
      </w:r>
      <w:r w:rsidR="00CC6B66">
        <w:tab/>
      </w:r>
      <w:r w:rsidRPr="007666A4">
        <w:t>Sector educativo: El Ministerio de Finanzas apoya al sector educativo asignando fondos para la impresión de libros de texto que se distribuirán de manera gratuita a todos los grupos de población, a fin de aliviar la carga que ello supone para los ciudadanos iraquíes, según se indica a continuación (en millones de dinares).</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603"/>
        <w:gridCol w:w="1847"/>
        <w:gridCol w:w="1412"/>
        <w:gridCol w:w="1261"/>
        <w:gridCol w:w="1247"/>
      </w:tblGrid>
      <w:tr w:rsidR="00A013F5" w:rsidRPr="00A013F5" w14:paraId="4262CF6B" w14:textId="77777777" w:rsidTr="00CC6B66">
        <w:trPr>
          <w:trHeight w:val="240"/>
          <w:tblHeader/>
        </w:trPr>
        <w:tc>
          <w:tcPr>
            <w:tcW w:w="1584" w:type="dxa"/>
            <w:vMerge w:val="restart"/>
            <w:tcBorders>
              <w:top w:val="single" w:sz="4" w:space="0" w:color="auto"/>
              <w:bottom w:val="single" w:sz="4" w:space="0" w:color="auto"/>
            </w:tcBorders>
            <w:shd w:val="clear" w:color="auto" w:fill="auto"/>
            <w:vAlign w:val="bottom"/>
          </w:tcPr>
          <w:p w14:paraId="1E892610" w14:textId="77777777" w:rsidR="007666A4" w:rsidRPr="00A013F5" w:rsidRDefault="007666A4" w:rsidP="00A013F5">
            <w:pPr>
              <w:pStyle w:val="SingleTxtG"/>
              <w:tabs>
                <w:tab w:val="clear" w:pos="1701"/>
                <w:tab w:val="clear" w:pos="2268"/>
                <w:tab w:val="clear" w:pos="2835"/>
              </w:tabs>
              <w:spacing w:before="80" w:after="80" w:line="200" w:lineRule="exact"/>
              <w:ind w:left="0" w:right="0"/>
              <w:jc w:val="left"/>
              <w:rPr>
                <w:i/>
                <w:iCs/>
                <w:sz w:val="16"/>
              </w:rPr>
            </w:pPr>
            <w:r w:rsidRPr="00A013F5">
              <w:rPr>
                <w:i/>
                <w:iCs/>
                <w:sz w:val="16"/>
              </w:rPr>
              <w:t>Nombre de la partida</w:t>
            </w:r>
          </w:p>
        </w:tc>
        <w:tc>
          <w:tcPr>
            <w:tcW w:w="5698" w:type="dxa"/>
            <w:gridSpan w:val="4"/>
            <w:tcBorders>
              <w:top w:val="single" w:sz="4" w:space="0" w:color="auto"/>
              <w:bottom w:val="single" w:sz="4" w:space="0" w:color="auto"/>
            </w:tcBorders>
            <w:shd w:val="clear" w:color="auto" w:fill="auto"/>
            <w:vAlign w:val="bottom"/>
          </w:tcPr>
          <w:p w14:paraId="0E85E9B0" w14:textId="77777777" w:rsidR="007666A4" w:rsidRPr="00A013F5" w:rsidRDefault="007666A4" w:rsidP="00CC6B66">
            <w:pPr>
              <w:pStyle w:val="SingleTxtG"/>
              <w:tabs>
                <w:tab w:val="clear" w:pos="1701"/>
                <w:tab w:val="clear" w:pos="2268"/>
                <w:tab w:val="clear" w:pos="2835"/>
              </w:tabs>
              <w:spacing w:before="80" w:after="80" w:line="200" w:lineRule="exact"/>
              <w:ind w:left="0" w:right="0"/>
              <w:jc w:val="center"/>
              <w:rPr>
                <w:i/>
                <w:iCs/>
                <w:sz w:val="16"/>
              </w:rPr>
            </w:pPr>
            <w:r w:rsidRPr="00A013F5">
              <w:rPr>
                <w:i/>
                <w:iCs/>
                <w:sz w:val="16"/>
              </w:rPr>
              <w:t>Años</w:t>
            </w:r>
          </w:p>
        </w:tc>
      </w:tr>
      <w:tr w:rsidR="00A013F5" w:rsidRPr="00A013F5" w14:paraId="3E419A04" w14:textId="77777777" w:rsidTr="00CC6B66">
        <w:trPr>
          <w:trHeight w:val="240"/>
          <w:tblHeader/>
        </w:trPr>
        <w:tc>
          <w:tcPr>
            <w:tcW w:w="1584" w:type="dxa"/>
            <w:vMerge/>
            <w:tcBorders>
              <w:top w:val="single" w:sz="4" w:space="0" w:color="auto"/>
              <w:bottom w:val="single" w:sz="12" w:space="0" w:color="auto"/>
            </w:tcBorders>
            <w:shd w:val="clear" w:color="auto" w:fill="auto"/>
            <w:vAlign w:val="bottom"/>
          </w:tcPr>
          <w:p w14:paraId="63BC047A" w14:textId="77777777" w:rsidR="007666A4" w:rsidRPr="00A013F5" w:rsidRDefault="007666A4" w:rsidP="00A013F5">
            <w:pPr>
              <w:pStyle w:val="SingleTxtG"/>
              <w:tabs>
                <w:tab w:val="clear" w:pos="1701"/>
                <w:tab w:val="clear" w:pos="2268"/>
                <w:tab w:val="clear" w:pos="2835"/>
              </w:tabs>
              <w:spacing w:before="40" w:after="40" w:line="220" w:lineRule="exact"/>
              <w:ind w:left="0" w:right="0"/>
              <w:jc w:val="left"/>
              <w:rPr>
                <w:iCs/>
                <w:sz w:val="18"/>
                <w:rtl/>
                <w:lang w:bidi="ar-IQ"/>
              </w:rPr>
            </w:pPr>
          </w:p>
        </w:tc>
        <w:tc>
          <w:tcPr>
            <w:tcW w:w="1825" w:type="dxa"/>
            <w:tcBorders>
              <w:top w:val="single" w:sz="4" w:space="0" w:color="auto"/>
              <w:bottom w:val="single" w:sz="12" w:space="0" w:color="auto"/>
            </w:tcBorders>
            <w:shd w:val="clear" w:color="auto" w:fill="auto"/>
            <w:vAlign w:val="bottom"/>
          </w:tcPr>
          <w:p w14:paraId="3F049689" w14:textId="77777777" w:rsidR="007666A4" w:rsidRPr="00CC6B66" w:rsidRDefault="007666A4" w:rsidP="00CC6B66">
            <w:pPr>
              <w:pStyle w:val="SingleTxtG"/>
              <w:tabs>
                <w:tab w:val="clear" w:pos="1701"/>
                <w:tab w:val="clear" w:pos="2268"/>
                <w:tab w:val="clear" w:pos="2835"/>
              </w:tabs>
              <w:spacing w:before="80" w:after="80" w:line="200" w:lineRule="exact"/>
              <w:ind w:left="57" w:right="28"/>
              <w:jc w:val="right"/>
              <w:rPr>
                <w:i/>
                <w:iCs/>
                <w:sz w:val="16"/>
              </w:rPr>
            </w:pPr>
            <w:r w:rsidRPr="00CC6B66">
              <w:rPr>
                <w:i/>
                <w:iCs/>
                <w:sz w:val="16"/>
              </w:rPr>
              <w:t>2016</w:t>
            </w:r>
          </w:p>
        </w:tc>
        <w:tc>
          <w:tcPr>
            <w:tcW w:w="1395" w:type="dxa"/>
            <w:tcBorders>
              <w:top w:val="single" w:sz="4" w:space="0" w:color="auto"/>
              <w:bottom w:val="single" w:sz="12" w:space="0" w:color="auto"/>
            </w:tcBorders>
            <w:shd w:val="clear" w:color="auto" w:fill="auto"/>
            <w:vAlign w:val="bottom"/>
          </w:tcPr>
          <w:p w14:paraId="2E0FD3EC" w14:textId="77777777" w:rsidR="007666A4" w:rsidRPr="00CC6B66" w:rsidRDefault="007666A4" w:rsidP="00CC6B66">
            <w:pPr>
              <w:pStyle w:val="SingleTxtG"/>
              <w:tabs>
                <w:tab w:val="clear" w:pos="1701"/>
                <w:tab w:val="clear" w:pos="2268"/>
                <w:tab w:val="clear" w:pos="2835"/>
              </w:tabs>
              <w:spacing w:before="80" w:after="80" w:line="200" w:lineRule="exact"/>
              <w:ind w:left="57" w:right="28"/>
              <w:jc w:val="right"/>
              <w:rPr>
                <w:i/>
                <w:iCs/>
                <w:sz w:val="16"/>
              </w:rPr>
            </w:pPr>
            <w:r w:rsidRPr="00CC6B66">
              <w:rPr>
                <w:i/>
                <w:iCs/>
                <w:sz w:val="16"/>
              </w:rPr>
              <w:t>2017</w:t>
            </w:r>
          </w:p>
        </w:tc>
        <w:tc>
          <w:tcPr>
            <w:tcW w:w="1246" w:type="dxa"/>
            <w:tcBorders>
              <w:top w:val="single" w:sz="4" w:space="0" w:color="auto"/>
              <w:bottom w:val="single" w:sz="12" w:space="0" w:color="auto"/>
            </w:tcBorders>
            <w:shd w:val="clear" w:color="auto" w:fill="auto"/>
            <w:vAlign w:val="bottom"/>
          </w:tcPr>
          <w:p w14:paraId="3041C985" w14:textId="77777777" w:rsidR="007666A4" w:rsidRPr="00CC6B66" w:rsidRDefault="007666A4" w:rsidP="00CC6B66">
            <w:pPr>
              <w:pStyle w:val="SingleTxtG"/>
              <w:tabs>
                <w:tab w:val="clear" w:pos="1701"/>
                <w:tab w:val="clear" w:pos="2268"/>
                <w:tab w:val="clear" w:pos="2835"/>
              </w:tabs>
              <w:spacing w:before="80" w:after="80" w:line="200" w:lineRule="exact"/>
              <w:ind w:left="57" w:right="28"/>
              <w:jc w:val="right"/>
              <w:rPr>
                <w:i/>
                <w:iCs/>
                <w:sz w:val="16"/>
              </w:rPr>
            </w:pPr>
            <w:r w:rsidRPr="00CC6B66">
              <w:rPr>
                <w:i/>
                <w:iCs/>
                <w:sz w:val="16"/>
              </w:rPr>
              <w:t>2018</w:t>
            </w:r>
          </w:p>
        </w:tc>
        <w:tc>
          <w:tcPr>
            <w:tcW w:w="1232" w:type="dxa"/>
            <w:tcBorders>
              <w:top w:val="single" w:sz="4" w:space="0" w:color="auto"/>
              <w:bottom w:val="single" w:sz="12" w:space="0" w:color="auto"/>
            </w:tcBorders>
            <w:shd w:val="clear" w:color="auto" w:fill="auto"/>
            <w:vAlign w:val="bottom"/>
          </w:tcPr>
          <w:p w14:paraId="66DCC36A" w14:textId="77777777" w:rsidR="007666A4" w:rsidRPr="00CC6B66" w:rsidRDefault="007666A4" w:rsidP="00CC6B66">
            <w:pPr>
              <w:pStyle w:val="SingleTxtG"/>
              <w:tabs>
                <w:tab w:val="clear" w:pos="1701"/>
                <w:tab w:val="clear" w:pos="2268"/>
                <w:tab w:val="clear" w:pos="2835"/>
              </w:tabs>
              <w:spacing w:before="80" w:after="80" w:line="200" w:lineRule="exact"/>
              <w:ind w:left="57" w:right="28"/>
              <w:jc w:val="right"/>
              <w:rPr>
                <w:i/>
                <w:iCs/>
                <w:sz w:val="16"/>
              </w:rPr>
            </w:pPr>
            <w:r w:rsidRPr="00CC6B66">
              <w:rPr>
                <w:i/>
                <w:iCs/>
                <w:sz w:val="16"/>
              </w:rPr>
              <w:t>2019</w:t>
            </w:r>
          </w:p>
        </w:tc>
      </w:tr>
      <w:tr w:rsidR="00A013F5" w:rsidRPr="00A013F5" w14:paraId="51FF2A17" w14:textId="77777777" w:rsidTr="00CC6B66">
        <w:trPr>
          <w:trHeight w:val="240"/>
        </w:trPr>
        <w:tc>
          <w:tcPr>
            <w:tcW w:w="1584" w:type="dxa"/>
            <w:tcBorders>
              <w:top w:val="single" w:sz="12" w:space="0" w:color="auto"/>
              <w:bottom w:val="single" w:sz="12" w:space="0" w:color="auto"/>
            </w:tcBorders>
            <w:shd w:val="clear" w:color="auto" w:fill="auto"/>
          </w:tcPr>
          <w:p w14:paraId="75BE637E" w14:textId="77777777" w:rsidR="007666A4" w:rsidRPr="00A013F5" w:rsidRDefault="007666A4" w:rsidP="00A013F5">
            <w:pPr>
              <w:pStyle w:val="SingleTxtG"/>
              <w:tabs>
                <w:tab w:val="clear" w:pos="1701"/>
                <w:tab w:val="clear" w:pos="2268"/>
                <w:tab w:val="clear" w:pos="2835"/>
              </w:tabs>
              <w:spacing w:before="40" w:after="40" w:line="220" w:lineRule="exact"/>
              <w:ind w:left="0" w:right="0"/>
              <w:jc w:val="left"/>
              <w:rPr>
                <w:sz w:val="18"/>
              </w:rPr>
            </w:pPr>
            <w:r w:rsidRPr="00A013F5">
              <w:rPr>
                <w:sz w:val="18"/>
              </w:rPr>
              <w:t>Libros de texto</w:t>
            </w:r>
          </w:p>
        </w:tc>
        <w:tc>
          <w:tcPr>
            <w:tcW w:w="1825" w:type="dxa"/>
            <w:tcBorders>
              <w:top w:val="single" w:sz="12" w:space="0" w:color="auto"/>
              <w:bottom w:val="single" w:sz="12" w:space="0" w:color="auto"/>
            </w:tcBorders>
            <w:shd w:val="clear" w:color="auto" w:fill="auto"/>
            <w:vAlign w:val="bottom"/>
          </w:tcPr>
          <w:p w14:paraId="23FBC306" w14:textId="4A6DF894" w:rsidR="007666A4" w:rsidRPr="00A013F5" w:rsidRDefault="007666A4" w:rsidP="00CC6B66">
            <w:pPr>
              <w:pStyle w:val="SingleTxtG"/>
              <w:tabs>
                <w:tab w:val="clear" w:pos="1701"/>
                <w:tab w:val="clear" w:pos="2268"/>
                <w:tab w:val="clear" w:pos="2835"/>
              </w:tabs>
              <w:spacing w:before="40" w:after="40" w:line="220" w:lineRule="exact"/>
              <w:ind w:left="57" w:right="28"/>
              <w:jc w:val="right"/>
              <w:rPr>
                <w:sz w:val="18"/>
              </w:rPr>
            </w:pPr>
            <w:r w:rsidRPr="00A013F5">
              <w:rPr>
                <w:sz w:val="18"/>
              </w:rPr>
              <w:t>78</w:t>
            </w:r>
            <w:r w:rsidR="00CC6B66">
              <w:rPr>
                <w:sz w:val="18"/>
              </w:rPr>
              <w:t xml:space="preserve"> </w:t>
            </w:r>
            <w:r w:rsidRPr="00A013F5">
              <w:rPr>
                <w:sz w:val="18"/>
              </w:rPr>
              <w:t>000</w:t>
            </w:r>
          </w:p>
        </w:tc>
        <w:tc>
          <w:tcPr>
            <w:tcW w:w="1395" w:type="dxa"/>
            <w:tcBorders>
              <w:top w:val="single" w:sz="12" w:space="0" w:color="auto"/>
              <w:bottom w:val="single" w:sz="12" w:space="0" w:color="auto"/>
            </w:tcBorders>
            <w:shd w:val="clear" w:color="auto" w:fill="auto"/>
            <w:vAlign w:val="bottom"/>
          </w:tcPr>
          <w:p w14:paraId="0C75868A" w14:textId="516E7975" w:rsidR="007666A4" w:rsidRPr="00A013F5" w:rsidRDefault="007666A4" w:rsidP="00CC6B66">
            <w:pPr>
              <w:pStyle w:val="SingleTxtG"/>
              <w:tabs>
                <w:tab w:val="clear" w:pos="1701"/>
                <w:tab w:val="clear" w:pos="2268"/>
                <w:tab w:val="clear" w:pos="2835"/>
              </w:tabs>
              <w:spacing w:before="40" w:after="40" w:line="220" w:lineRule="exact"/>
              <w:ind w:left="57" w:right="28"/>
              <w:jc w:val="right"/>
              <w:rPr>
                <w:sz w:val="18"/>
              </w:rPr>
            </w:pPr>
            <w:r w:rsidRPr="00A013F5">
              <w:rPr>
                <w:sz w:val="18"/>
              </w:rPr>
              <w:t>144</w:t>
            </w:r>
            <w:r w:rsidR="00CC6B66">
              <w:rPr>
                <w:sz w:val="18"/>
              </w:rPr>
              <w:t xml:space="preserve"> </w:t>
            </w:r>
            <w:r w:rsidRPr="00A013F5">
              <w:rPr>
                <w:sz w:val="18"/>
              </w:rPr>
              <w:t>660</w:t>
            </w:r>
          </w:p>
        </w:tc>
        <w:tc>
          <w:tcPr>
            <w:tcW w:w="1246" w:type="dxa"/>
            <w:tcBorders>
              <w:top w:val="single" w:sz="12" w:space="0" w:color="auto"/>
              <w:bottom w:val="single" w:sz="12" w:space="0" w:color="auto"/>
            </w:tcBorders>
            <w:shd w:val="clear" w:color="auto" w:fill="auto"/>
            <w:vAlign w:val="bottom"/>
          </w:tcPr>
          <w:p w14:paraId="13B708F1" w14:textId="3BFB7113" w:rsidR="007666A4" w:rsidRPr="00A013F5" w:rsidRDefault="007666A4" w:rsidP="00CC6B66">
            <w:pPr>
              <w:pStyle w:val="SingleTxtG"/>
              <w:tabs>
                <w:tab w:val="clear" w:pos="1701"/>
                <w:tab w:val="clear" w:pos="2268"/>
                <w:tab w:val="clear" w:pos="2835"/>
              </w:tabs>
              <w:spacing w:before="40" w:after="40" w:line="220" w:lineRule="exact"/>
              <w:ind w:left="57" w:right="28"/>
              <w:jc w:val="right"/>
              <w:rPr>
                <w:sz w:val="18"/>
              </w:rPr>
            </w:pPr>
            <w:r w:rsidRPr="00A013F5">
              <w:rPr>
                <w:sz w:val="18"/>
              </w:rPr>
              <w:t>144</w:t>
            </w:r>
            <w:r w:rsidR="00CC6B66">
              <w:rPr>
                <w:sz w:val="18"/>
              </w:rPr>
              <w:t xml:space="preserve"> </w:t>
            </w:r>
            <w:r w:rsidRPr="00A013F5">
              <w:rPr>
                <w:sz w:val="18"/>
              </w:rPr>
              <w:t>660</w:t>
            </w:r>
          </w:p>
        </w:tc>
        <w:tc>
          <w:tcPr>
            <w:tcW w:w="1232" w:type="dxa"/>
            <w:tcBorders>
              <w:top w:val="single" w:sz="12" w:space="0" w:color="auto"/>
              <w:bottom w:val="single" w:sz="12" w:space="0" w:color="auto"/>
            </w:tcBorders>
            <w:shd w:val="clear" w:color="auto" w:fill="auto"/>
            <w:vAlign w:val="bottom"/>
          </w:tcPr>
          <w:p w14:paraId="6FDED0DA" w14:textId="4DE83048" w:rsidR="007666A4" w:rsidRPr="00A013F5" w:rsidRDefault="007666A4" w:rsidP="00CC6B66">
            <w:pPr>
              <w:pStyle w:val="SingleTxtG"/>
              <w:tabs>
                <w:tab w:val="clear" w:pos="1701"/>
                <w:tab w:val="clear" w:pos="2268"/>
                <w:tab w:val="clear" w:pos="2835"/>
              </w:tabs>
              <w:spacing w:before="40" w:after="40" w:line="220" w:lineRule="exact"/>
              <w:ind w:left="57" w:right="28"/>
              <w:jc w:val="right"/>
              <w:rPr>
                <w:sz w:val="18"/>
              </w:rPr>
            </w:pPr>
            <w:r w:rsidRPr="00A013F5">
              <w:rPr>
                <w:sz w:val="18"/>
              </w:rPr>
              <w:t>200</w:t>
            </w:r>
            <w:r w:rsidR="00CC6B66">
              <w:rPr>
                <w:sz w:val="18"/>
              </w:rPr>
              <w:t xml:space="preserve"> </w:t>
            </w:r>
            <w:r w:rsidRPr="00A013F5">
              <w:rPr>
                <w:sz w:val="18"/>
              </w:rPr>
              <w:t>000</w:t>
            </w:r>
          </w:p>
        </w:tc>
      </w:tr>
    </w:tbl>
    <w:p w14:paraId="73A4F137" w14:textId="6892707D" w:rsidR="007666A4" w:rsidRPr="007666A4" w:rsidRDefault="007666A4" w:rsidP="00CC6B66">
      <w:pPr>
        <w:pStyle w:val="SingleTxtG"/>
        <w:spacing w:before="240"/>
      </w:pPr>
      <w:r w:rsidRPr="007666A4">
        <w:t>30.</w:t>
      </w:r>
      <w:r w:rsidR="00CC6B66">
        <w:tab/>
      </w:r>
      <w:r w:rsidRPr="007666A4">
        <w:t>El sector de la salud en el presupuesto general para los ejercicios 2016 y 2017.</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3994"/>
        <w:gridCol w:w="2111"/>
        <w:gridCol w:w="1265"/>
      </w:tblGrid>
      <w:tr w:rsidR="007666A4" w:rsidRPr="00A013F5" w14:paraId="108DBB6C" w14:textId="77777777" w:rsidTr="00CC6B66">
        <w:trPr>
          <w:trHeight w:val="240"/>
          <w:tblHeader/>
        </w:trPr>
        <w:tc>
          <w:tcPr>
            <w:tcW w:w="4025" w:type="dxa"/>
            <w:tcBorders>
              <w:top w:val="single" w:sz="4" w:space="0" w:color="auto"/>
              <w:bottom w:val="single" w:sz="12" w:space="0" w:color="auto"/>
            </w:tcBorders>
            <w:shd w:val="clear" w:color="auto" w:fill="auto"/>
            <w:vAlign w:val="bottom"/>
          </w:tcPr>
          <w:p w14:paraId="19C6B5C2" w14:textId="77777777" w:rsidR="007666A4" w:rsidRPr="00A013F5" w:rsidRDefault="007666A4" w:rsidP="00A013F5">
            <w:pPr>
              <w:pStyle w:val="SingleTxtG"/>
              <w:tabs>
                <w:tab w:val="clear" w:pos="1701"/>
                <w:tab w:val="clear" w:pos="2268"/>
                <w:tab w:val="clear" w:pos="2835"/>
              </w:tabs>
              <w:spacing w:before="80" w:after="80" w:line="200" w:lineRule="exact"/>
              <w:ind w:left="0" w:right="0"/>
              <w:jc w:val="left"/>
              <w:rPr>
                <w:i/>
                <w:iCs/>
                <w:sz w:val="16"/>
              </w:rPr>
            </w:pPr>
            <w:r w:rsidRPr="00A013F5">
              <w:rPr>
                <w:i/>
                <w:iCs/>
                <w:sz w:val="16"/>
              </w:rPr>
              <w:t>Indicador</w:t>
            </w:r>
          </w:p>
        </w:tc>
        <w:tc>
          <w:tcPr>
            <w:tcW w:w="2127" w:type="dxa"/>
            <w:tcBorders>
              <w:top w:val="single" w:sz="4" w:space="0" w:color="auto"/>
              <w:bottom w:val="single" w:sz="12" w:space="0" w:color="auto"/>
            </w:tcBorders>
            <w:shd w:val="clear" w:color="auto" w:fill="auto"/>
            <w:vAlign w:val="bottom"/>
          </w:tcPr>
          <w:p w14:paraId="773780CE" w14:textId="6C793C96" w:rsidR="007666A4" w:rsidRPr="00A013F5" w:rsidRDefault="007666A4" w:rsidP="00CC6B66">
            <w:pPr>
              <w:pStyle w:val="SingleTxtG"/>
              <w:tabs>
                <w:tab w:val="clear" w:pos="1701"/>
                <w:tab w:val="clear" w:pos="2268"/>
                <w:tab w:val="clear" w:pos="2835"/>
              </w:tabs>
              <w:spacing w:before="80" w:after="80" w:line="200" w:lineRule="exact"/>
              <w:ind w:left="57" w:right="28"/>
              <w:jc w:val="right"/>
              <w:rPr>
                <w:i/>
                <w:iCs/>
                <w:sz w:val="16"/>
              </w:rPr>
            </w:pPr>
            <w:r w:rsidRPr="00A013F5">
              <w:rPr>
                <w:i/>
                <w:iCs/>
                <w:sz w:val="16"/>
              </w:rPr>
              <w:t>Monto</w:t>
            </w:r>
            <w:r w:rsidR="001D465A">
              <w:rPr>
                <w:i/>
                <w:iCs/>
                <w:sz w:val="16"/>
              </w:rPr>
              <w:br/>
              <w:t>(</w:t>
            </w:r>
            <w:r w:rsidRPr="00A013F5">
              <w:rPr>
                <w:i/>
                <w:iCs/>
                <w:sz w:val="16"/>
              </w:rPr>
              <w:t>miles de millones)</w:t>
            </w:r>
          </w:p>
        </w:tc>
        <w:tc>
          <w:tcPr>
            <w:tcW w:w="1275" w:type="dxa"/>
            <w:tcBorders>
              <w:top w:val="single" w:sz="4" w:space="0" w:color="auto"/>
              <w:bottom w:val="single" w:sz="12" w:space="0" w:color="auto"/>
            </w:tcBorders>
            <w:shd w:val="clear" w:color="auto" w:fill="auto"/>
            <w:vAlign w:val="bottom"/>
          </w:tcPr>
          <w:p w14:paraId="27555AEB" w14:textId="77777777" w:rsidR="007666A4" w:rsidRPr="00A013F5" w:rsidRDefault="007666A4" w:rsidP="00CC6B66">
            <w:pPr>
              <w:pStyle w:val="SingleTxtG"/>
              <w:tabs>
                <w:tab w:val="clear" w:pos="1701"/>
                <w:tab w:val="clear" w:pos="2268"/>
                <w:tab w:val="clear" w:pos="2835"/>
              </w:tabs>
              <w:spacing w:before="80" w:after="80" w:line="200" w:lineRule="exact"/>
              <w:ind w:left="57" w:right="28"/>
              <w:jc w:val="right"/>
              <w:rPr>
                <w:i/>
                <w:iCs/>
                <w:sz w:val="16"/>
              </w:rPr>
            </w:pPr>
            <w:r w:rsidRPr="00A013F5">
              <w:rPr>
                <w:i/>
                <w:iCs/>
                <w:sz w:val="16"/>
              </w:rPr>
              <w:t>Año</w:t>
            </w:r>
          </w:p>
        </w:tc>
      </w:tr>
      <w:tr w:rsidR="007666A4" w:rsidRPr="00A013F5" w14:paraId="0E03E969" w14:textId="77777777" w:rsidTr="00CC6B66">
        <w:trPr>
          <w:trHeight w:val="240"/>
        </w:trPr>
        <w:tc>
          <w:tcPr>
            <w:tcW w:w="4025" w:type="dxa"/>
            <w:vMerge w:val="restart"/>
            <w:tcBorders>
              <w:top w:val="single" w:sz="12" w:space="0" w:color="auto"/>
            </w:tcBorders>
            <w:shd w:val="clear" w:color="auto" w:fill="auto"/>
          </w:tcPr>
          <w:p w14:paraId="285BCDBE" w14:textId="77777777" w:rsidR="007666A4" w:rsidRPr="00A013F5" w:rsidRDefault="007666A4" w:rsidP="00A013F5">
            <w:pPr>
              <w:pStyle w:val="SingleTxtG"/>
              <w:tabs>
                <w:tab w:val="clear" w:pos="1701"/>
                <w:tab w:val="clear" w:pos="2268"/>
                <w:tab w:val="clear" w:pos="2835"/>
              </w:tabs>
              <w:spacing w:before="40" w:after="40" w:line="220" w:lineRule="exact"/>
              <w:ind w:left="0" w:right="0"/>
              <w:jc w:val="left"/>
              <w:rPr>
                <w:sz w:val="18"/>
              </w:rPr>
            </w:pPr>
            <w:r w:rsidRPr="00A013F5">
              <w:rPr>
                <w:sz w:val="18"/>
              </w:rPr>
              <w:t xml:space="preserve">Monto del presupuesto del Estado destinado al Ministerio de Sanidad </w:t>
            </w:r>
          </w:p>
        </w:tc>
        <w:tc>
          <w:tcPr>
            <w:tcW w:w="2127" w:type="dxa"/>
            <w:tcBorders>
              <w:top w:val="single" w:sz="12" w:space="0" w:color="auto"/>
            </w:tcBorders>
            <w:shd w:val="clear" w:color="auto" w:fill="auto"/>
            <w:vAlign w:val="bottom"/>
          </w:tcPr>
          <w:p w14:paraId="64F0ABA4" w14:textId="2B811C22" w:rsidR="007666A4" w:rsidRPr="00A013F5" w:rsidRDefault="007666A4" w:rsidP="00CC6B66">
            <w:pPr>
              <w:pStyle w:val="SingleTxtG"/>
              <w:tabs>
                <w:tab w:val="clear" w:pos="1701"/>
                <w:tab w:val="clear" w:pos="2268"/>
                <w:tab w:val="clear" w:pos="2835"/>
              </w:tabs>
              <w:spacing w:before="40" w:after="40" w:line="220" w:lineRule="exact"/>
              <w:ind w:left="57" w:right="28"/>
              <w:jc w:val="right"/>
              <w:rPr>
                <w:sz w:val="18"/>
              </w:rPr>
            </w:pPr>
            <w:r w:rsidRPr="00A013F5">
              <w:rPr>
                <w:sz w:val="18"/>
              </w:rPr>
              <w:t>5</w:t>
            </w:r>
            <w:r w:rsidR="00CC6B66">
              <w:rPr>
                <w:sz w:val="18"/>
              </w:rPr>
              <w:t xml:space="preserve"> </w:t>
            </w:r>
            <w:r w:rsidRPr="00A013F5">
              <w:rPr>
                <w:sz w:val="18"/>
              </w:rPr>
              <w:t>129</w:t>
            </w:r>
            <w:r w:rsidR="00CC6B66">
              <w:rPr>
                <w:sz w:val="18"/>
              </w:rPr>
              <w:t xml:space="preserve"> </w:t>
            </w:r>
            <w:r w:rsidRPr="00A013F5">
              <w:rPr>
                <w:sz w:val="18"/>
              </w:rPr>
              <w:t>037</w:t>
            </w:r>
            <w:r w:rsidR="00CC6B66">
              <w:rPr>
                <w:sz w:val="18"/>
              </w:rPr>
              <w:t xml:space="preserve"> </w:t>
            </w:r>
            <w:r w:rsidRPr="00A013F5">
              <w:rPr>
                <w:sz w:val="18"/>
              </w:rPr>
              <w:t>396</w:t>
            </w:r>
          </w:p>
        </w:tc>
        <w:tc>
          <w:tcPr>
            <w:tcW w:w="1275" w:type="dxa"/>
            <w:tcBorders>
              <w:top w:val="single" w:sz="12" w:space="0" w:color="auto"/>
            </w:tcBorders>
            <w:shd w:val="clear" w:color="auto" w:fill="auto"/>
            <w:vAlign w:val="bottom"/>
          </w:tcPr>
          <w:p w14:paraId="7FF5A690" w14:textId="77777777" w:rsidR="007666A4" w:rsidRPr="00A013F5" w:rsidRDefault="007666A4" w:rsidP="00CC6B66">
            <w:pPr>
              <w:pStyle w:val="SingleTxtG"/>
              <w:tabs>
                <w:tab w:val="clear" w:pos="1701"/>
                <w:tab w:val="clear" w:pos="2268"/>
                <w:tab w:val="clear" w:pos="2835"/>
              </w:tabs>
              <w:spacing w:before="40" w:after="40" w:line="220" w:lineRule="exact"/>
              <w:ind w:left="57" w:right="28"/>
              <w:jc w:val="right"/>
              <w:rPr>
                <w:sz w:val="18"/>
              </w:rPr>
            </w:pPr>
            <w:r w:rsidRPr="00A013F5">
              <w:rPr>
                <w:sz w:val="18"/>
              </w:rPr>
              <w:t>2016</w:t>
            </w:r>
          </w:p>
        </w:tc>
      </w:tr>
      <w:tr w:rsidR="007666A4" w:rsidRPr="00A013F5" w14:paraId="793D0EB0" w14:textId="77777777" w:rsidTr="00CC6B66">
        <w:trPr>
          <w:trHeight w:val="240"/>
        </w:trPr>
        <w:tc>
          <w:tcPr>
            <w:tcW w:w="4025" w:type="dxa"/>
            <w:vMerge/>
            <w:tcBorders>
              <w:bottom w:val="single" w:sz="12" w:space="0" w:color="auto"/>
            </w:tcBorders>
            <w:shd w:val="clear" w:color="auto" w:fill="auto"/>
          </w:tcPr>
          <w:p w14:paraId="471E27CD" w14:textId="77777777" w:rsidR="007666A4" w:rsidRPr="00A013F5" w:rsidRDefault="007666A4" w:rsidP="00A013F5">
            <w:pPr>
              <w:pStyle w:val="SingleTxtG"/>
              <w:tabs>
                <w:tab w:val="clear" w:pos="1701"/>
                <w:tab w:val="clear" w:pos="2268"/>
                <w:tab w:val="clear" w:pos="2835"/>
              </w:tabs>
              <w:spacing w:before="40" w:after="40" w:line="220" w:lineRule="exact"/>
              <w:ind w:left="0" w:right="0"/>
              <w:jc w:val="left"/>
              <w:rPr>
                <w:sz w:val="18"/>
              </w:rPr>
            </w:pPr>
          </w:p>
        </w:tc>
        <w:tc>
          <w:tcPr>
            <w:tcW w:w="2127" w:type="dxa"/>
            <w:tcBorders>
              <w:bottom w:val="single" w:sz="12" w:space="0" w:color="auto"/>
            </w:tcBorders>
            <w:shd w:val="clear" w:color="auto" w:fill="auto"/>
            <w:vAlign w:val="bottom"/>
          </w:tcPr>
          <w:p w14:paraId="6AE9C853" w14:textId="76B5D332" w:rsidR="007666A4" w:rsidRPr="00A013F5" w:rsidRDefault="007666A4" w:rsidP="00CC6B66">
            <w:pPr>
              <w:pStyle w:val="SingleTxtG"/>
              <w:tabs>
                <w:tab w:val="clear" w:pos="1701"/>
                <w:tab w:val="clear" w:pos="2268"/>
                <w:tab w:val="clear" w:pos="2835"/>
              </w:tabs>
              <w:spacing w:before="40" w:after="40" w:line="220" w:lineRule="exact"/>
              <w:ind w:left="57" w:right="28"/>
              <w:jc w:val="right"/>
              <w:rPr>
                <w:sz w:val="18"/>
              </w:rPr>
            </w:pPr>
            <w:r w:rsidRPr="00A013F5">
              <w:rPr>
                <w:sz w:val="18"/>
              </w:rPr>
              <w:t>1</w:t>
            </w:r>
            <w:r w:rsidR="00CC6B66">
              <w:rPr>
                <w:sz w:val="18"/>
              </w:rPr>
              <w:t xml:space="preserve"> </w:t>
            </w:r>
            <w:r w:rsidRPr="00A013F5">
              <w:rPr>
                <w:sz w:val="18"/>
              </w:rPr>
              <w:t>503</w:t>
            </w:r>
            <w:r w:rsidR="00CC6B66">
              <w:rPr>
                <w:sz w:val="18"/>
              </w:rPr>
              <w:t xml:space="preserve"> </w:t>
            </w:r>
            <w:r w:rsidRPr="00A013F5">
              <w:rPr>
                <w:sz w:val="18"/>
              </w:rPr>
              <w:t>619</w:t>
            </w:r>
            <w:r w:rsidR="00CC6B66">
              <w:rPr>
                <w:sz w:val="18"/>
              </w:rPr>
              <w:t xml:space="preserve"> </w:t>
            </w:r>
            <w:r w:rsidRPr="00A013F5">
              <w:rPr>
                <w:sz w:val="18"/>
              </w:rPr>
              <w:t>422</w:t>
            </w:r>
          </w:p>
        </w:tc>
        <w:tc>
          <w:tcPr>
            <w:tcW w:w="1275" w:type="dxa"/>
            <w:tcBorders>
              <w:bottom w:val="single" w:sz="12" w:space="0" w:color="auto"/>
            </w:tcBorders>
            <w:shd w:val="clear" w:color="auto" w:fill="auto"/>
            <w:vAlign w:val="bottom"/>
          </w:tcPr>
          <w:p w14:paraId="25B704BA" w14:textId="77777777" w:rsidR="007666A4" w:rsidRPr="00A013F5" w:rsidRDefault="007666A4" w:rsidP="00CC6B66">
            <w:pPr>
              <w:pStyle w:val="SingleTxtG"/>
              <w:tabs>
                <w:tab w:val="clear" w:pos="1701"/>
                <w:tab w:val="clear" w:pos="2268"/>
                <w:tab w:val="clear" w:pos="2835"/>
              </w:tabs>
              <w:spacing w:before="40" w:after="40" w:line="220" w:lineRule="exact"/>
              <w:ind w:left="57" w:right="28"/>
              <w:jc w:val="right"/>
              <w:rPr>
                <w:sz w:val="18"/>
              </w:rPr>
            </w:pPr>
            <w:r w:rsidRPr="00A013F5">
              <w:rPr>
                <w:sz w:val="18"/>
              </w:rPr>
              <w:t>2017</w:t>
            </w:r>
          </w:p>
        </w:tc>
      </w:tr>
    </w:tbl>
    <w:p w14:paraId="36695BD7" w14:textId="10CA4339" w:rsidR="007666A4" w:rsidRPr="001D465A" w:rsidRDefault="001D465A" w:rsidP="001D465A">
      <w:pPr>
        <w:pStyle w:val="H23G"/>
        <w:rPr>
          <w:b w:val="0"/>
          <w:bCs/>
          <w:sz w:val="16"/>
          <w:szCs w:val="16"/>
          <w:lang w:bidi="ar-IQ"/>
        </w:rPr>
      </w:pPr>
      <w:r>
        <w:rPr>
          <w:lang w:bidi="ar-IQ"/>
        </w:rPr>
        <w:tab/>
      </w:r>
      <w:r>
        <w:rPr>
          <w:lang w:bidi="ar-IQ"/>
        </w:rPr>
        <w:tab/>
      </w:r>
      <w:r w:rsidRPr="00CC6B66">
        <w:t>Presupuesto para la inversión en educación y salud correspondiente los años 2016 a</w:t>
      </w:r>
      <w:r>
        <w:t> </w:t>
      </w:r>
      <w:r w:rsidRPr="00CC6B66">
        <w:t>2018</w:t>
      </w:r>
      <w:r>
        <w:br/>
      </w:r>
      <w:r w:rsidRPr="001D465A">
        <w:rPr>
          <w:b w:val="0"/>
          <w:bCs/>
          <w:sz w:val="16"/>
          <w:szCs w:val="16"/>
        </w:rPr>
        <w:t>(En miles de millones)</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1843"/>
        <w:gridCol w:w="1842"/>
        <w:gridCol w:w="1842"/>
      </w:tblGrid>
      <w:tr w:rsidR="00CC6B66" w:rsidRPr="00CC6B66" w14:paraId="4248EC00" w14:textId="77777777" w:rsidTr="00CC6B66">
        <w:tc>
          <w:tcPr>
            <w:tcW w:w="1843" w:type="dxa"/>
            <w:tcBorders>
              <w:top w:val="single" w:sz="4" w:space="0" w:color="auto"/>
              <w:bottom w:val="single" w:sz="12" w:space="0" w:color="auto"/>
            </w:tcBorders>
            <w:shd w:val="clear" w:color="auto" w:fill="auto"/>
          </w:tcPr>
          <w:p w14:paraId="469AD59E" w14:textId="0A9C1C80" w:rsidR="00CC6B66" w:rsidRPr="00CC6B66" w:rsidRDefault="00CC6B66" w:rsidP="00CC6B66">
            <w:pPr>
              <w:pStyle w:val="SingleTxtG"/>
              <w:spacing w:before="40" w:after="40" w:line="220" w:lineRule="exact"/>
              <w:ind w:left="0" w:right="0"/>
              <w:jc w:val="left"/>
              <w:rPr>
                <w:sz w:val="18"/>
                <w:lang w:bidi="ar-IQ"/>
              </w:rPr>
            </w:pPr>
            <w:r w:rsidRPr="00CC6B66">
              <w:rPr>
                <w:i/>
                <w:iCs/>
                <w:sz w:val="16"/>
              </w:rPr>
              <w:t>Sectores</w:t>
            </w:r>
          </w:p>
        </w:tc>
        <w:tc>
          <w:tcPr>
            <w:tcW w:w="1843" w:type="dxa"/>
            <w:tcBorders>
              <w:top w:val="single" w:sz="4" w:space="0" w:color="auto"/>
              <w:bottom w:val="single" w:sz="12" w:space="0" w:color="auto"/>
            </w:tcBorders>
            <w:shd w:val="clear" w:color="auto" w:fill="auto"/>
          </w:tcPr>
          <w:p w14:paraId="3D01EDDC" w14:textId="21FE03A4" w:rsidR="00CC6B66" w:rsidRPr="00CC6B66" w:rsidRDefault="00CC6B66" w:rsidP="001577D2">
            <w:pPr>
              <w:pStyle w:val="SingleTxtG"/>
              <w:spacing w:before="40" w:after="40" w:line="220" w:lineRule="exact"/>
              <w:ind w:left="0" w:right="28"/>
              <w:jc w:val="right"/>
              <w:rPr>
                <w:sz w:val="18"/>
                <w:lang w:bidi="ar-IQ"/>
              </w:rPr>
            </w:pPr>
            <w:r w:rsidRPr="00CC6B66">
              <w:rPr>
                <w:i/>
                <w:iCs/>
                <w:sz w:val="16"/>
              </w:rPr>
              <w:t>2016</w:t>
            </w:r>
          </w:p>
        </w:tc>
        <w:tc>
          <w:tcPr>
            <w:tcW w:w="1842" w:type="dxa"/>
            <w:tcBorders>
              <w:top w:val="single" w:sz="4" w:space="0" w:color="auto"/>
              <w:bottom w:val="single" w:sz="12" w:space="0" w:color="auto"/>
            </w:tcBorders>
            <w:shd w:val="clear" w:color="auto" w:fill="auto"/>
          </w:tcPr>
          <w:p w14:paraId="0E0ED423" w14:textId="28DE6A56" w:rsidR="00CC6B66" w:rsidRPr="00CC6B66" w:rsidRDefault="00CC6B66" w:rsidP="001577D2">
            <w:pPr>
              <w:pStyle w:val="SingleTxtG"/>
              <w:spacing w:before="40" w:after="40" w:line="220" w:lineRule="exact"/>
              <w:ind w:left="0" w:right="28"/>
              <w:jc w:val="right"/>
              <w:rPr>
                <w:sz w:val="18"/>
                <w:lang w:bidi="ar-IQ"/>
              </w:rPr>
            </w:pPr>
            <w:r w:rsidRPr="00CC6B66">
              <w:rPr>
                <w:i/>
                <w:iCs/>
                <w:sz w:val="16"/>
              </w:rPr>
              <w:t>2017</w:t>
            </w:r>
          </w:p>
        </w:tc>
        <w:tc>
          <w:tcPr>
            <w:tcW w:w="1842" w:type="dxa"/>
            <w:tcBorders>
              <w:top w:val="single" w:sz="4" w:space="0" w:color="auto"/>
              <w:bottom w:val="single" w:sz="12" w:space="0" w:color="auto"/>
            </w:tcBorders>
            <w:shd w:val="clear" w:color="auto" w:fill="auto"/>
          </w:tcPr>
          <w:p w14:paraId="69ECF391" w14:textId="77A21F92" w:rsidR="00CC6B66" w:rsidRPr="00CC6B66" w:rsidRDefault="00CC6B66" w:rsidP="001577D2">
            <w:pPr>
              <w:pStyle w:val="SingleTxtG"/>
              <w:spacing w:before="40" w:after="40" w:line="220" w:lineRule="exact"/>
              <w:ind w:left="0" w:right="28"/>
              <w:jc w:val="right"/>
              <w:rPr>
                <w:sz w:val="18"/>
                <w:lang w:bidi="ar-IQ"/>
              </w:rPr>
            </w:pPr>
            <w:r w:rsidRPr="00CC6B66">
              <w:rPr>
                <w:i/>
                <w:iCs/>
                <w:sz w:val="16"/>
              </w:rPr>
              <w:t>2018</w:t>
            </w:r>
          </w:p>
        </w:tc>
      </w:tr>
      <w:tr w:rsidR="00CC6B66" w:rsidRPr="00CC6B66" w14:paraId="2F1015ED" w14:textId="77777777" w:rsidTr="00CC6B66">
        <w:tc>
          <w:tcPr>
            <w:tcW w:w="1843" w:type="dxa"/>
            <w:tcBorders>
              <w:top w:val="single" w:sz="12" w:space="0" w:color="auto"/>
            </w:tcBorders>
            <w:shd w:val="clear" w:color="auto" w:fill="auto"/>
          </w:tcPr>
          <w:p w14:paraId="02928C2D" w14:textId="46838D0E" w:rsidR="00CC6B66" w:rsidRPr="00CC6B66" w:rsidRDefault="00CC6B66" w:rsidP="00CC6B66">
            <w:pPr>
              <w:pStyle w:val="SingleTxtG"/>
              <w:spacing w:before="40" w:after="40" w:line="220" w:lineRule="exact"/>
              <w:ind w:left="0" w:right="0"/>
              <w:jc w:val="left"/>
              <w:rPr>
                <w:sz w:val="18"/>
                <w:lang w:bidi="ar-IQ"/>
              </w:rPr>
            </w:pPr>
            <w:r w:rsidRPr="00A013F5">
              <w:rPr>
                <w:sz w:val="18"/>
              </w:rPr>
              <w:t>Salud</w:t>
            </w:r>
          </w:p>
        </w:tc>
        <w:tc>
          <w:tcPr>
            <w:tcW w:w="1843" w:type="dxa"/>
            <w:tcBorders>
              <w:top w:val="single" w:sz="12" w:space="0" w:color="auto"/>
            </w:tcBorders>
            <w:shd w:val="clear" w:color="auto" w:fill="auto"/>
          </w:tcPr>
          <w:p w14:paraId="4B185B76" w14:textId="1E725075" w:rsidR="00CC6B66" w:rsidRPr="00CC6B66" w:rsidRDefault="00CC6B66" w:rsidP="001577D2">
            <w:pPr>
              <w:pStyle w:val="SingleTxtG"/>
              <w:spacing w:before="40" w:after="40" w:line="220" w:lineRule="exact"/>
              <w:ind w:left="0" w:right="28"/>
              <w:jc w:val="right"/>
              <w:rPr>
                <w:sz w:val="18"/>
                <w:lang w:bidi="ar-IQ"/>
              </w:rPr>
            </w:pPr>
            <w:r w:rsidRPr="00A013F5">
              <w:rPr>
                <w:sz w:val="18"/>
              </w:rPr>
              <w:t>148</w:t>
            </w:r>
            <w:r>
              <w:rPr>
                <w:sz w:val="18"/>
              </w:rPr>
              <w:t xml:space="preserve"> </w:t>
            </w:r>
            <w:r w:rsidRPr="00A013F5">
              <w:rPr>
                <w:sz w:val="18"/>
              </w:rPr>
              <w:t>200</w:t>
            </w:r>
            <w:r>
              <w:rPr>
                <w:sz w:val="18"/>
              </w:rPr>
              <w:t xml:space="preserve"> </w:t>
            </w:r>
            <w:r w:rsidRPr="00A013F5">
              <w:rPr>
                <w:sz w:val="18"/>
              </w:rPr>
              <w:t>000</w:t>
            </w:r>
            <w:r>
              <w:rPr>
                <w:sz w:val="18"/>
              </w:rPr>
              <w:t xml:space="preserve"> </w:t>
            </w:r>
            <w:r w:rsidRPr="00A013F5">
              <w:rPr>
                <w:sz w:val="18"/>
              </w:rPr>
              <w:t>000</w:t>
            </w:r>
          </w:p>
        </w:tc>
        <w:tc>
          <w:tcPr>
            <w:tcW w:w="1842" w:type="dxa"/>
            <w:tcBorders>
              <w:top w:val="single" w:sz="12" w:space="0" w:color="auto"/>
            </w:tcBorders>
            <w:shd w:val="clear" w:color="auto" w:fill="auto"/>
          </w:tcPr>
          <w:p w14:paraId="007991CB" w14:textId="5E2D87DC" w:rsidR="00CC6B66" w:rsidRPr="00CC6B66" w:rsidRDefault="00CC6B66" w:rsidP="001577D2">
            <w:pPr>
              <w:pStyle w:val="SingleTxtG"/>
              <w:spacing w:before="40" w:after="40" w:line="220" w:lineRule="exact"/>
              <w:ind w:left="0" w:right="28"/>
              <w:jc w:val="right"/>
              <w:rPr>
                <w:sz w:val="18"/>
                <w:lang w:bidi="ar-IQ"/>
              </w:rPr>
            </w:pPr>
            <w:r w:rsidRPr="00A013F5">
              <w:rPr>
                <w:sz w:val="18"/>
              </w:rPr>
              <w:t>75</w:t>
            </w:r>
            <w:r>
              <w:rPr>
                <w:sz w:val="18"/>
              </w:rPr>
              <w:t xml:space="preserve"> </w:t>
            </w:r>
            <w:r w:rsidRPr="00A013F5">
              <w:rPr>
                <w:sz w:val="18"/>
              </w:rPr>
              <w:t>654</w:t>
            </w:r>
            <w:r>
              <w:rPr>
                <w:sz w:val="18"/>
              </w:rPr>
              <w:t xml:space="preserve"> </w:t>
            </w:r>
            <w:r w:rsidRPr="00A013F5">
              <w:rPr>
                <w:sz w:val="18"/>
              </w:rPr>
              <w:t>451</w:t>
            </w:r>
            <w:r>
              <w:rPr>
                <w:sz w:val="18"/>
              </w:rPr>
              <w:t xml:space="preserve"> </w:t>
            </w:r>
            <w:r w:rsidRPr="00A013F5">
              <w:rPr>
                <w:sz w:val="18"/>
              </w:rPr>
              <w:t>000</w:t>
            </w:r>
          </w:p>
        </w:tc>
        <w:tc>
          <w:tcPr>
            <w:tcW w:w="1842" w:type="dxa"/>
            <w:tcBorders>
              <w:top w:val="single" w:sz="12" w:space="0" w:color="auto"/>
            </w:tcBorders>
            <w:shd w:val="clear" w:color="auto" w:fill="auto"/>
          </w:tcPr>
          <w:p w14:paraId="52DACDA5" w14:textId="6764E339" w:rsidR="00CC6B66" w:rsidRPr="00CC6B66" w:rsidRDefault="00CC6B66" w:rsidP="001577D2">
            <w:pPr>
              <w:pStyle w:val="SingleTxtG"/>
              <w:spacing w:before="40" w:after="40" w:line="220" w:lineRule="exact"/>
              <w:ind w:left="0" w:right="28"/>
              <w:jc w:val="right"/>
              <w:rPr>
                <w:sz w:val="18"/>
                <w:lang w:bidi="ar-IQ"/>
              </w:rPr>
            </w:pPr>
            <w:r w:rsidRPr="00A013F5">
              <w:rPr>
                <w:sz w:val="18"/>
              </w:rPr>
              <w:t>98</w:t>
            </w:r>
            <w:r>
              <w:rPr>
                <w:sz w:val="18"/>
              </w:rPr>
              <w:t xml:space="preserve"> </w:t>
            </w:r>
            <w:r w:rsidRPr="00A013F5">
              <w:rPr>
                <w:sz w:val="18"/>
              </w:rPr>
              <w:t>198</w:t>
            </w:r>
            <w:r>
              <w:rPr>
                <w:sz w:val="18"/>
              </w:rPr>
              <w:t xml:space="preserve"> </w:t>
            </w:r>
            <w:r w:rsidRPr="00A013F5">
              <w:rPr>
                <w:sz w:val="18"/>
              </w:rPr>
              <w:t>301</w:t>
            </w:r>
            <w:r>
              <w:rPr>
                <w:sz w:val="18"/>
              </w:rPr>
              <w:t xml:space="preserve"> </w:t>
            </w:r>
            <w:r w:rsidRPr="00A013F5">
              <w:rPr>
                <w:sz w:val="18"/>
              </w:rPr>
              <w:t>000</w:t>
            </w:r>
          </w:p>
        </w:tc>
      </w:tr>
      <w:tr w:rsidR="00CC6B66" w:rsidRPr="00CC6B66" w14:paraId="27674434" w14:textId="77777777" w:rsidTr="00D32A19">
        <w:tc>
          <w:tcPr>
            <w:tcW w:w="1843" w:type="dxa"/>
            <w:tcBorders>
              <w:bottom w:val="single" w:sz="12" w:space="0" w:color="auto"/>
            </w:tcBorders>
            <w:shd w:val="clear" w:color="auto" w:fill="auto"/>
          </w:tcPr>
          <w:p w14:paraId="1725E204" w14:textId="5AA65C6D" w:rsidR="00CC6B66" w:rsidRPr="00CC6B66" w:rsidRDefault="00CC6B66" w:rsidP="00CC6B66">
            <w:pPr>
              <w:pStyle w:val="SingleTxtG"/>
              <w:spacing w:before="40" w:after="40" w:line="220" w:lineRule="exact"/>
              <w:ind w:left="0" w:right="0"/>
              <w:jc w:val="left"/>
              <w:rPr>
                <w:sz w:val="18"/>
                <w:lang w:bidi="ar-IQ"/>
              </w:rPr>
            </w:pPr>
            <w:r w:rsidRPr="00A013F5">
              <w:rPr>
                <w:sz w:val="18"/>
              </w:rPr>
              <w:t>Educación</w:t>
            </w:r>
          </w:p>
        </w:tc>
        <w:tc>
          <w:tcPr>
            <w:tcW w:w="1843" w:type="dxa"/>
            <w:tcBorders>
              <w:bottom w:val="single" w:sz="12" w:space="0" w:color="auto"/>
            </w:tcBorders>
            <w:shd w:val="clear" w:color="auto" w:fill="auto"/>
          </w:tcPr>
          <w:p w14:paraId="235C80C8" w14:textId="6DCA083A" w:rsidR="00CC6B66" w:rsidRPr="00CC6B66" w:rsidRDefault="00CC6B66" w:rsidP="001577D2">
            <w:pPr>
              <w:pStyle w:val="SingleTxtG"/>
              <w:spacing w:before="40" w:after="40" w:line="220" w:lineRule="exact"/>
              <w:ind w:left="0" w:right="28"/>
              <w:jc w:val="right"/>
              <w:rPr>
                <w:sz w:val="18"/>
                <w:lang w:bidi="ar-IQ"/>
              </w:rPr>
            </w:pPr>
            <w:r w:rsidRPr="00A013F5">
              <w:rPr>
                <w:sz w:val="18"/>
              </w:rPr>
              <w:t>98</w:t>
            </w:r>
            <w:r>
              <w:rPr>
                <w:sz w:val="18"/>
              </w:rPr>
              <w:t xml:space="preserve"> </w:t>
            </w:r>
            <w:r w:rsidRPr="00A013F5">
              <w:rPr>
                <w:sz w:val="18"/>
              </w:rPr>
              <w:t>800</w:t>
            </w:r>
            <w:r>
              <w:rPr>
                <w:sz w:val="18"/>
              </w:rPr>
              <w:t xml:space="preserve"> </w:t>
            </w:r>
            <w:r w:rsidRPr="00A013F5">
              <w:rPr>
                <w:sz w:val="18"/>
              </w:rPr>
              <w:t>000</w:t>
            </w:r>
            <w:r>
              <w:rPr>
                <w:sz w:val="18"/>
              </w:rPr>
              <w:t xml:space="preserve"> </w:t>
            </w:r>
            <w:r w:rsidRPr="00A013F5">
              <w:rPr>
                <w:sz w:val="18"/>
              </w:rPr>
              <w:t>000</w:t>
            </w:r>
          </w:p>
        </w:tc>
        <w:tc>
          <w:tcPr>
            <w:tcW w:w="1842" w:type="dxa"/>
            <w:tcBorders>
              <w:bottom w:val="single" w:sz="12" w:space="0" w:color="auto"/>
            </w:tcBorders>
            <w:shd w:val="clear" w:color="auto" w:fill="auto"/>
          </w:tcPr>
          <w:p w14:paraId="2EC53D84" w14:textId="31EAEEE6" w:rsidR="00CC6B66" w:rsidRPr="00CC6B66" w:rsidRDefault="00CC6B66" w:rsidP="001577D2">
            <w:pPr>
              <w:pStyle w:val="SingleTxtG"/>
              <w:spacing w:before="40" w:after="40" w:line="220" w:lineRule="exact"/>
              <w:ind w:left="0" w:right="28"/>
              <w:jc w:val="right"/>
              <w:rPr>
                <w:sz w:val="18"/>
                <w:lang w:bidi="ar-IQ"/>
              </w:rPr>
            </w:pPr>
            <w:r w:rsidRPr="00A013F5">
              <w:rPr>
                <w:sz w:val="18"/>
              </w:rPr>
              <w:t>29</w:t>
            </w:r>
            <w:r>
              <w:rPr>
                <w:sz w:val="18"/>
              </w:rPr>
              <w:t xml:space="preserve"> </w:t>
            </w:r>
            <w:r w:rsidRPr="00A013F5">
              <w:rPr>
                <w:sz w:val="18"/>
              </w:rPr>
              <w:t>545</w:t>
            </w:r>
            <w:r>
              <w:rPr>
                <w:sz w:val="18"/>
              </w:rPr>
              <w:t xml:space="preserve"> </w:t>
            </w:r>
            <w:r w:rsidRPr="00A013F5">
              <w:rPr>
                <w:sz w:val="18"/>
              </w:rPr>
              <w:t>016</w:t>
            </w:r>
            <w:r>
              <w:rPr>
                <w:sz w:val="18"/>
              </w:rPr>
              <w:t xml:space="preserve"> </w:t>
            </w:r>
            <w:r w:rsidRPr="00A013F5">
              <w:rPr>
                <w:sz w:val="18"/>
              </w:rPr>
              <w:t>000</w:t>
            </w:r>
          </w:p>
        </w:tc>
        <w:tc>
          <w:tcPr>
            <w:tcW w:w="1842" w:type="dxa"/>
            <w:tcBorders>
              <w:bottom w:val="single" w:sz="12" w:space="0" w:color="auto"/>
            </w:tcBorders>
            <w:shd w:val="clear" w:color="auto" w:fill="auto"/>
          </w:tcPr>
          <w:p w14:paraId="5FD5C805" w14:textId="1BC37F9E" w:rsidR="00CC6B66" w:rsidRPr="00CC6B66" w:rsidRDefault="00CC6B66" w:rsidP="001577D2">
            <w:pPr>
              <w:pStyle w:val="SingleTxtG"/>
              <w:spacing w:before="40" w:after="40" w:line="220" w:lineRule="exact"/>
              <w:ind w:left="0" w:right="28"/>
              <w:jc w:val="right"/>
              <w:rPr>
                <w:sz w:val="18"/>
                <w:lang w:bidi="ar-IQ"/>
              </w:rPr>
            </w:pPr>
            <w:r w:rsidRPr="00A013F5">
              <w:rPr>
                <w:sz w:val="18"/>
              </w:rPr>
              <w:t>38</w:t>
            </w:r>
            <w:r>
              <w:rPr>
                <w:sz w:val="18"/>
              </w:rPr>
              <w:t xml:space="preserve"> </w:t>
            </w:r>
            <w:r w:rsidRPr="00A013F5">
              <w:rPr>
                <w:sz w:val="18"/>
              </w:rPr>
              <w:t>696</w:t>
            </w:r>
            <w:r>
              <w:rPr>
                <w:sz w:val="18"/>
              </w:rPr>
              <w:t xml:space="preserve"> </w:t>
            </w:r>
            <w:r w:rsidRPr="00A013F5">
              <w:rPr>
                <w:sz w:val="18"/>
              </w:rPr>
              <w:t>677</w:t>
            </w:r>
            <w:r>
              <w:rPr>
                <w:sz w:val="18"/>
              </w:rPr>
              <w:t xml:space="preserve"> </w:t>
            </w:r>
            <w:r w:rsidRPr="00A013F5">
              <w:rPr>
                <w:sz w:val="18"/>
              </w:rPr>
              <w:t>000</w:t>
            </w:r>
          </w:p>
        </w:tc>
      </w:tr>
    </w:tbl>
    <w:p w14:paraId="6C07B730" w14:textId="3A819748" w:rsidR="007666A4" w:rsidRPr="00CC6B66" w:rsidRDefault="007666A4" w:rsidP="00CC6B66">
      <w:pPr>
        <w:pStyle w:val="SingleTxtG"/>
        <w:spacing w:before="120" w:after="240"/>
        <w:ind w:firstLine="170"/>
        <w:jc w:val="left"/>
        <w:rPr>
          <w:sz w:val="18"/>
          <w:szCs w:val="18"/>
        </w:rPr>
      </w:pPr>
      <w:r w:rsidRPr="00CC6B66">
        <w:rPr>
          <w:i/>
          <w:iCs/>
          <w:sz w:val="18"/>
          <w:szCs w:val="18"/>
        </w:rPr>
        <w:t>Fuente:</w:t>
      </w:r>
      <w:r w:rsidRPr="00CC6B66">
        <w:rPr>
          <w:sz w:val="18"/>
          <w:szCs w:val="18"/>
        </w:rPr>
        <w:t xml:space="preserve"> Ministerio de Planificación/Departamento de Inversiones Públicas</w:t>
      </w:r>
      <w:r w:rsidR="001D465A">
        <w:rPr>
          <w:sz w:val="18"/>
          <w:szCs w:val="18"/>
        </w:rPr>
        <w:t>.</w:t>
      </w:r>
    </w:p>
    <w:p w14:paraId="386E5B62" w14:textId="3F62BFFF" w:rsidR="007666A4" w:rsidRPr="007666A4" w:rsidRDefault="007666A4" w:rsidP="007666A4">
      <w:pPr>
        <w:pStyle w:val="SingleTxtG"/>
      </w:pPr>
      <w:r w:rsidRPr="007666A4">
        <w:t>31.</w:t>
      </w:r>
      <w:r w:rsidR="00CC6B66">
        <w:tab/>
      </w:r>
      <w:r w:rsidRPr="007666A4">
        <w:t>Entre las medidas adoptadas para garantizar el acceso de la población a la salud y a un medio ambiente sano, cabe destacar:</w:t>
      </w:r>
    </w:p>
    <w:p w14:paraId="7CB48E8C" w14:textId="20CED377" w:rsidR="007666A4" w:rsidRPr="00CC6B66" w:rsidRDefault="007666A4" w:rsidP="00A511EF">
      <w:pPr>
        <w:pStyle w:val="Bullet1G"/>
        <w:numPr>
          <w:ilvl w:val="0"/>
          <w:numId w:val="5"/>
        </w:numPr>
        <w:tabs>
          <w:tab w:val="clear" w:pos="2268"/>
          <w:tab w:val="num" w:pos="1701"/>
        </w:tabs>
        <w:ind w:left="1701"/>
        <w:rPr>
          <w:rFonts w:eastAsiaTheme="minorEastAsia"/>
        </w:rPr>
      </w:pPr>
      <w:r w:rsidRPr="00CC6B66">
        <w:rPr>
          <w:rFonts w:eastAsiaTheme="minorEastAsia"/>
        </w:rPr>
        <w:t>La implementación, por parte del Ministerio de Salud, de la Estrategia de Protección de la Infancia y la Estrategia de Salud Reproductiva, así como la firma del Protocolo de Medidas Clínicas para las Víctimas de Abusos Sexuales y el informe correspondiente al período 2014-2017 sobre la resolución 1325 (2000) del Consejo de Seguridad, relativa a las mujeres</w:t>
      </w:r>
      <w:r w:rsidR="001577D2">
        <w:rPr>
          <w:rFonts w:eastAsiaTheme="minorEastAsia"/>
        </w:rPr>
        <w:t>.</w:t>
      </w:r>
    </w:p>
    <w:p w14:paraId="35CD89CB" w14:textId="5E5B6599" w:rsidR="007666A4" w:rsidRPr="00CC6B66" w:rsidRDefault="007666A4" w:rsidP="00A511EF">
      <w:pPr>
        <w:pStyle w:val="Bullet1G"/>
        <w:numPr>
          <w:ilvl w:val="0"/>
          <w:numId w:val="5"/>
        </w:numPr>
        <w:tabs>
          <w:tab w:val="clear" w:pos="2268"/>
          <w:tab w:val="num" w:pos="1701"/>
        </w:tabs>
        <w:ind w:left="1701"/>
        <w:rPr>
          <w:rFonts w:eastAsiaTheme="minorEastAsia"/>
        </w:rPr>
      </w:pPr>
      <w:r w:rsidRPr="00CC6B66">
        <w:rPr>
          <w:rFonts w:eastAsiaTheme="minorEastAsia"/>
        </w:rPr>
        <w:t>El seguimiento de la legislación relativa a la lucha contra la trata de personas a través de los comités pertinentes y la prestación de servicios de apoyo psicosocial a los supervivientes de la violencia.</w:t>
      </w:r>
    </w:p>
    <w:p w14:paraId="292C112E" w14:textId="77777777" w:rsidR="007666A4" w:rsidRPr="00CC6B66" w:rsidRDefault="007666A4" w:rsidP="00A511EF">
      <w:pPr>
        <w:pStyle w:val="Bullet1G"/>
        <w:numPr>
          <w:ilvl w:val="0"/>
          <w:numId w:val="5"/>
        </w:numPr>
        <w:tabs>
          <w:tab w:val="clear" w:pos="2268"/>
          <w:tab w:val="num" w:pos="1701"/>
        </w:tabs>
        <w:ind w:left="1701"/>
        <w:rPr>
          <w:rFonts w:eastAsiaTheme="minorEastAsia"/>
        </w:rPr>
      </w:pPr>
      <w:r w:rsidRPr="00CC6B66">
        <w:rPr>
          <w:rFonts w:eastAsiaTheme="minorEastAsia"/>
        </w:rPr>
        <w:t xml:space="preserve">La implementación de las estrategias siguientes: </w:t>
      </w:r>
    </w:p>
    <w:p w14:paraId="1A9BE2C9" w14:textId="064CEE8D" w:rsidR="007666A4" w:rsidRPr="00CC6B66" w:rsidRDefault="007666A4" w:rsidP="00CC6B66">
      <w:pPr>
        <w:pStyle w:val="Bullet2G"/>
        <w:numPr>
          <w:ilvl w:val="0"/>
          <w:numId w:val="5"/>
        </w:numPr>
        <w:rPr>
          <w:rFonts w:eastAsiaTheme="minorEastAsia"/>
        </w:rPr>
      </w:pPr>
      <w:r w:rsidRPr="00CC6B66">
        <w:rPr>
          <w:rFonts w:eastAsiaTheme="minorEastAsia"/>
        </w:rPr>
        <w:t>La Estrategia Nacional para la Reducción de la Pobreza correspondiente a los períodos 2010-2014 y 2018-2022</w:t>
      </w:r>
      <w:r w:rsidR="001577D2">
        <w:rPr>
          <w:rFonts w:eastAsiaTheme="minorEastAsia"/>
        </w:rPr>
        <w:t>.</w:t>
      </w:r>
    </w:p>
    <w:p w14:paraId="69580106" w14:textId="39825F1A" w:rsidR="007666A4" w:rsidRPr="00CC6B66" w:rsidRDefault="007666A4" w:rsidP="00CC6B66">
      <w:pPr>
        <w:pStyle w:val="Bullet2G"/>
        <w:numPr>
          <w:ilvl w:val="0"/>
          <w:numId w:val="5"/>
        </w:numPr>
        <w:rPr>
          <w:rFonts w:eastAsiaTheme="minorEastAsia"/>
        </w:rPr>
      </w:pPr>
      <w:r w:rsidRPr="00CC6B66">
        <w:rPr>
          <w:rFonts w:eastAsiaTheme="minorEastAsia"/>
        </w:rPr>
        <w:t>La Estrategia Nacional sobre Enfermedades no Transmisibles</w:t>
      </w:r>
      <w:r w:rsidR="001577D2">
        <w:rPr>
          <w:rFonts w:eastAsiaTheme="minorEastAsia"/>
        </w:rPr>
        <w:t>.</w:t>
      </w:r>
    </w:p>
    <w:p w14:paraId="702C325F" w14:textId="3285B908" w:rsidR="007666A4" w:rsidRPr="00CC6B66" w:rsidRDefault="007666A4" w:rsidP="00CC6B66">
      <w:pPr>
        <w:pStyle w:val="Bullet2G"/>
        <w:numPr>
          <w:ilvl w:val="0"/>
          <w:numId w:val="5"/>
        </w:numPr>
        <w:rPr>
          <w:rFonts w:eastAsiaTheme="minorEastAsia"/>
        </w:rPr>
      </w:pPr>
      <w:r w:rsidRPr="00CC6B66">
        <w:rPr>
          <w:rFonts w:eastAsiaTheme="minorEastAsia"/>
        </w:rPr>
        <w:t>La Estrategia de Nutrición y Seguridad Alimentaria</w:t>
      </w:r>
      <w:r w:rsidR="001577D2">
        <w:rPr>
          <w:rFonts w:eastAsiaTheme="minorEastAsia"/>
        </w:rPr>
        <w:t>.</w:t>
      </w:r>
    </w:p>
    <w:p w14:paraId="6A9555A1" w14:textId="22F13003" w:rsidR="007666A4" w:rsidRPr="00CC6B66" w:rsidRDefault="007666A4" w:rsidP="00CC6B66">
      <w:pPr>
        <w:pStyle w:val="Bullet2G"/>
        <w:numPr>
          <w:ilvl w:val="0"/>
          <w:numId w:val="5"/>
        </w:numPr>
        <w:rPr>
          <w:rFonts w:eastAsiaTheme="minorEastAsia"/>
        </w:rPr>
      </w:pPr>
      <w:r w:rsidRPr="00CC6B66">
        <w:rPr>
          <w:rFonts w:eastAsiaTheme="minorEastAsia"/>
        </w:rPr>
        <w:t>La Estrategia Nacional sobre Salud Mental</w:t>
      </w:r>
      <w:r w:rsidR="001577D2">
        <w:rPr>
          <w:rFonts w:eastAsiaTheme="minorEastAsia"/>
        </w:rPr>
        <w:t>.</w:t>
      </w:r>
    </w:p>
    <w:p w14:paraId="7E02E9B6" w14:textId="6255828A" w:rsidR="007666A4" w:rsidRPr="00CC6B66" w:rsidRDefault="007666A4" w:rsidP="00CC6B66">
      <w:pPr>
        <w:pStyle w:val="Bullet2G"/>
        <w:numPr>
          <w:ilvl w:val="0"/>
          <w:numId w:val="5"/>
        </w:numPr>
        <w:rPr>
          <w:rFonts w:eastAsiaTheme="minorEastAsia"/>
        </w:rPr>
      </w:pPr>
      <w:r w:rsidRPr="00CC6B66">
        <w:rPr>
          <w:rFonts w:eastAsiaTheme="minorEastAsia"/>
        </w:rPr>
        <w:t>La Estrategia de Control de Enfermedades Transmisibles</w:t>
      </w:r>
      <w:r w:rsidR="001577D2">
        <w:rPr>
          <w:rFonts w:eastAsiaTheme="minorEastAsia"/>
        </w:rPr>
        <w:t>.</w:t>
      </w:r>
    </w:p>
    <w:p w14:paraId="50CCDE5B" w14:textId="07ED4658" w:rsidR="007666A4" w:rsidRPr="00CC6B66" w:rsidRDefault="007666A4" w:rsidP="00CC6B66">
      <w:pPr>
        <w:pStyle w:val="Bullet2G"/>
        <w:numPr>
          <w:ilvl w:val="0"/>
          <w:numId w:val="5"/>
        </w:numPr>
        <w:rPr>
          <w:rFonts w:eastAsiaTheme="minorEastAsia"/>
        </w:rPr>
      </w:pPr>
      <w:r w:rsidRPr="00CC6B66">
        <w:rPr>
          <w:rFonts w:eastAsiaTheme="minorEastAsia"/>
        </w:rPr>
        <w:t>La Estrategia de Lucha contra el Sida</w:t>
      </w:r>
      <w:r w:rsidR="001577D2">
        <w:rPr>
          <w:rFonts w:eastAsiaTheme="minorEastAsia"/>
        </w:rPr>
        <w:t>.</w:t>
      </w:r>
    </w:p>
    <w:p w14:paraId="5E7B30FC" w14:textId="69402173" w:rsidR="007666A4" w:rsidRPr="00CC6B66" w:rsidRDefault="007666A4" w:rsidP="00CC6B66">
      <w:pPr>
        <w:pStyle w:val="Bullet2G"/>
        <w:numPr>
          <w:ilvl w:val="0"/>
          <w:numId w:val="5"/>
        </w:numPr>
        <w:rPr>
          <w:rFonts w:eastAsiaTheme="minorEastAsia"/>
        </w:rPr>
      </w:pPr>
      <w:r w:rsidRPr="00CC6B66">
        <w:rPr>
          <w:rFonts w:eastAsiaTheme="minorEastAsia"/>
        </w:rPr>
        <w:lastRenderedPageBreak/>
        <w:t>La Estrategia de Lucha contra la Tuberculosis</w:t>
      </w:r>
      <w:r w:rsidR="001577D2">
        <w:rPr>
          <w:rFonts w:eastAsiaTheme="minorEastAsia"/>
        </w:rPr>
        <w:t>.</w:t>
      </w:r>
    </w:p>
    <w:p w14:paraId="37130AEA" w14:textId="637C2174" w:rsidR="007666A4" w:rsidRPr="00CC6B66" w:rsidRDefault="007666A4" w:rsidP="00CC6B66">
      <w:pPr>
        <w:pStyle w:val="Bullet2G"/>
        <w:numPr>
          <w:ilvl w:val="0"/>
          <w:numId w:val="5"/>
        </w:numPr>
        <w:rPr>
          <w:rFonts w:eastAsiaTheme="minorEastAsia"/>
        </w:rPr>
      </w:pPr>
      <w:r w:rsidRPr="00CC6B66">
        <w:rPr>
          <w:rFonts w:eastAsiaTheme="minorEastAsia"/>
        </w:rPr>
        <w:t>La Estrategia de Comunicación para el Cambio de Conducta</w:t>
      </w:r>
      <w:r w:rsidR="001577D2">
        <w:rPr>
          <w:rFonts w:eastAsiaTheme="minorEastAsia"/>
        </w:rPr>
        <w:t>.</w:t>
      </w:r>
    </w:p>
    <w:p w14:paraId="709684E7" w14:textId="029384B2" w:rsidR="007666A4" w:rsidRPr="00CC6B66" w:rsidRDefault="007666A4" w:rsidP="0057661B">
      <w:pPr>
        <w:pStyle w:val="Bullet2G"/>
        <w:numPr>
          <w:ilvl w:val="0"/>
          <w:numId w:val="5"/>
        </w:numPr>
        <w:spacing w:after="130"/>
        <w:rPr>
          <w:rFonts w:eastAsiaTheme="minorEastAsia"/>
        </w:rPr>
      </w:pPr>
      <w:r w:rsidRPr="00CC6B66">
        <w:rPr>
          <w:rFonts w:eastAsiaTheme="minorEastAsia"/>
        </w:rPr>
        <w:t xml:space="preserve">El </w:t>
      </w:r>
      <w:r w:rsidR="00554ACD">
        <w:rPr>
          <w:rFonts w:eastAsiaTheme="minorEastAsia"/>
        </w:rPr>
        <w:t>p</w:t>
      </w:r>
      <w:r w:rsidRPr="00CC6B66">
        <w:rPr>
          <w:rFonts w:eastAsiaTheme="minorEastAsia"/>
        </w:rPr>
        <w:t>lan de acción para ofrecer servicios de salud preventivos y terapéuticos para los desplazados y las personas que han regresado a las zonas liberadas</w:t>
      </w:r>
      <w:r w:rsidR="001577D2">
        <w:rPr>
          <w:rFonts w:eastAsiaTheme="minorEastAsia"/>
        </w:rPr>
        <w:t>.</w:t>
      </w:r>
    </w:p>
    <w:p w14:paraId="59758036" w14:textId="0E231918" w:rsidR="007666A4" w:rsidRPr="00CC6B66" w:rsidRDefault="007666A4" w:rsidP="0057661B">
      <w:pPr>
        <w:pStyle w:val="Bullet2G"/>
        <w:numPr>
          <w:ilvl w:val="0"/>
          <w:numId w:val="5"/>
        </w:numPr>
        <w:spacing w:after="130"/>
        <w:rPr>
          <w:rFonts w:eastAsiaTheme="minorEastAsia"/>
        </w:rPr>
      </w:pPr>
      <w:r w:rsidRPr="00CC6B66">
        <w:rPr>
          <w:rFonts w:eastAsiaTheme="minorEastAsia"/>
        </w:rPr>
        <w:t>La Estrategia de Salud y Medio Ambiente (2018-2022).</w:t>
      </w:r>
    </w:p>
    <w:p w14:paraId="0BC47FD9" w14:textId="023EAC17" w:rsidR="007666A4" w:rsidRPr="007666A4" w:rsidRDefault="007666A4" w:rsidP="0057661B">
      <w:pPr>
        <w:pStyle w:val="SingleTxtG"/>
        <w:spacing w:after="130"/>
      </w:pPr>
      <w:r w:rsidRPr="007666A4">
        <w:t>32.</w:t>
      </w:r>
      <w:r w:rsidR="00B044AC">
        <w:tab/>
      </w:r>
      <w:r w:rsidRPr="007666A4">
        <w:t xml:space="preserve">Cabe señalar, además, las siguientes asignaciones presupuestarias para los sectores de los seguros médicos y la salud: </w:t>
      </w:r>
    </w:p>
    <w:p w14:paraId="0C694E59" w14:textId="24A227D8" w:rsidR="007666A4" w:rsidRPr="00B044AC" w:rsidRDefault="007666A4" w:rsidP="0057661B">
      <w:pPr>
        <w:pStyle w:val="Bullet1G"/>
        <w:numPr>
          <w:ilvl w:val="0"/>
          <w:numId w:val="5"/>
        </w:numPr>
        <w:tabs>
          <w:tab w:val="clear" w:pos="2268"/>
          <w:tab w:val="num" w:pos="1701"/>
        </w:tabs>
        <w:spacing w:after="130"/>
        <w:ind w:left="1701"/>
        <w:rPr>
          <w:rFonts w:eastAsiaTheme="minorEastAsia"/>
        </w:rPr>
      </w:pPr>
      <w:r w:rsidRPr="00B044AC">
        <w:rPr>
          <w:rFonts w:eastAsiaTheme="minorEastAsia"/>
        </w:rPr>
        <w:t>Casos de emergencia de toda índole (gratuidad de los servicios de emergencias)</w:t>
      </w:r>
      <w:r w:rsidR="001577D2">
        <w:rPr>
          <w:rFonts w:eastAsiaTheme="minorEastAsia"/>
        </w:rPr>
        <w:t>.</w:t>
      </w:r>
    </w:p>
    <w:p w14:paraId="3EEF6DBF" w14:textId="3F6E135C" w:rsidR="007666A4" w:rsidRPr="00B044AC" w:rsidRDefault="007666A4" w:rsidP="0057661B">
      <w:pPr>
        <w:pStyle w:val="Bullet1G"/>
        <w:numPr>
          <w:ilvl w:val="0"/>
          <w:numId w:val="5"/>
        </w:numPr>
        <w:tabs>
          <w:tab w:val="clear" w:pos="2268"/>
          <w:tab w:val="num" w:pos="1701"/>
        </w:tabs>
        <w:spacing w:after="130"/>
        <w:ind w:left="1701"/>
        <w:rPr>
          <w:rFonts w:eastAsiaTheme="minorEastAsia"/>
        </w:rPr>
      </w:pPr>
      <w:r w:rsidRPr="00B044AC">
        <w:rPr>
          <w:rFonts w:eastAsiaTheme="minorEastAsia"/>
        </w:rPr>
        <w:t>Heridos de las fuerzas de movilización popular (gratuidad de los servicios, las consultas y la rehabilitación)</w:t>
      </w:r>
      <w:r w:rsidR="001577D2">
        <w:rPr>
          <w:rFonts w:eastAsiaTheme="minorEastAsia"/>
        </w:rPr>
        <w:t>.</w:t>
      </w:r>
    </w:p>
    <w:p w14:paraId="025201D2" w14:textId="2766F2A2" w:rsidR="007666A4" w:rsidRPr="00B044AC" w:rsidRDefault="007666A4" w:rsidP="0057661B">
      <w:pPr>
        <w:pStyle w:val="Bullet1G"/>
        <w:numPr>
          <w:ilvl w:val="0"/>
          <w:numId w:val="5"/>
        </w:numPr>
        <w:tabs>
          <w:tab w:val="clear" w:pos="2268"/>
          <w:tab w:val="num" w:pos="1701"/>
        </w:tabs>
        <w:spacing w:after="130"/>
        <w:ind w:left="1701"/>
        <w:rPr>
          <w:rFonts w:eastAsiaTheme="minorEastAsia"/>
        </w:rPr>
      </w:pPr>
      <w:r w:rsidRPr="00B044AC">
        <w:rPr>
          <w:rFonts w:eastAsiaTheme="minorEastAsia"/>
        </w:rPr>
        <w:t>Heridos de las fuerzas de seguridad y personas heridas en operaciones terroristas (gratuidad de los servicios y las consultas)</w:t>
      </w:r>
      <w:r w:rsidR="001577D2">
        <w:rPr>
          <w:rFonts w:eastAsiaTheme="minorEastAsia"/>
        </w:rPr>
        <w:t>.</w:t>
      </w:r>
    </w:p>
    <w:p w14:paraId="1F1C8911" w14:textId="763B987E" w:rsidR="007666A4" w:rsidRPr="00B044AC" w:rsidRDefault="007666A4" w:rsidP="0057661B">
      <w:pPr>
        <w:pStyle w:val="Bullet1G"/>
        <w:numPr>
          <w:ilvl w:val="0"/>
          <w:numId w:val="5"/>
        </w:numPr>
        <w:tabs>
          <w:tab w:val="clear" w:pos="2268"/>
          <w:tab w:val="num" w:pos="1701"/>
        </w:tabs>
        <w:spacing w:after="130"/>
        <w:ind w:left="1701"/>
        <w:rPr>
          <w:rFonts w:eastAsiaTheme="minorEastAsia"/>
        </w:rPr>
      </w:pPr>
      <w:r w:rsidRPr="00B044AC">
        <w:rPr>
          <w:rFonts w:eastAsiaTheme="minorEastAsia"/>
        </w:rPr>
        <w:t>Pacientes con tuberculosis (gratuidad de los servicios)</w:t>
      </w:r>
      <w:r w:rsidR="001577D2">
        <w:rPr>
          <w:rFonts w:eastAsiaTheme="minorEastAsia"/>
        </w:rPr>
        <w:t>.</w:t>
      </w:r>
    </w:p>
    <w:p w14:paraId="24C3185D" w14:textId="342D94FE" w:rsidR="007666A4" w:rsidRPr="00B044AC" w:rsidRDefault="007666A4" w:rsidP="0057661B">
      <w:pPr>
        <w:pStyle w:val="Bullet1G"/>
        <w:numPr>
          <w:ilvl w:val="0"/>
          <w:numId w:val="5"/>
        </w:numPr>
        <w:tabs>
          <w:tab w:val="clear" w:pos="2268"/>
          <w:tab w:val="num" w:pos="1701"/>
        </w:tabs>
        <w:spacing w:after="130"/>
        <w:ind w:left="1701"/>
        <w:rPr>
          <w:rFonts w:eastAsiaTheme="minorEastAsia"/>
        </w:rPr>
      </w:pPr>
      <w:r w:rsidRPr="00B044AC">
        <w:rPr>
          <w:rFonts w:eastAsiaTheme="minorEastAsia"/>
        </w:rPr>
        <w:t>Pacientes oncológicos (gratuidad de los servicios y las consultas)</w:t>
      </w:r>
      <w:r w:rsidR="001577D2">
        <w:rPr>
          <w:rFonts w:eastAsiaTheme="minorEastAsia"/>
        </w:rPr>
        <w:t>.</w:t>
      </w:r>
    </w:p>
    <w:p w14:paraId="6B8A6154" w14:textId="11430F49" w:rsidR="007666A4" w:rsidRPr="00B044AC" w:rsidRDefault="007666A4" w:rsidP="0057661B">
      <w:pPr>
        <w:pStyle w:val="Bullet1G"/>
        <w:numPr>
          <w:ilvl w:val="0"/>
          <w:numId w:val="5"/>
        </w:numPr>
        <w:tabs>
          <w:tab w:val="clear" w:pos="2268"/>
          <w:tab w:val="num" w:pos="1701"/>
        </w:tabs>
        <w:spacing w:after="130"/>
        <w:ind w:left="1701"/>
        <w:rPr>
          <w:rFonts w:eastAsiaTheme="minorEastAsia"/>
        </w:rPr>
      </w:pPr>
      <w:r w:rsidRPr="00B044AC">
        <w:rPr>
          <w:rFonts w:eastAsiaTheme="minorEastAsia"/>
        </w:rPr>
        <w:t>Pacientes con insuficiencia renal (gratuidad de los servicios)</w:t>
      </w:r>
      <w:r w:rsidR="001577D2">
        <w:rPr>
          <w:rFonts w:eastAsiaTheme="minorEastAsia"/>
        </w:rPr>
        <w:t>.</w:t>
      </w:r>
    </w:p>
    <w:p w14:paraId="36C4C08A" w14:textId="3639405C" w:rsidR="007666A4" w:rsidRPr="00B044AC" w:rsidRDefault="007666A4" w:rsidP="0057661B">
      <w:pPr>
        <w:pStyle w:val="Bullet1G"/>
        <w:numPr>
          <w:ilvl w:val="0"/>
          <w:numId w:val="5"/>
        </w:numPr>
        <w:tabs>
          <w:tab w:val="clear" w:pos="2268"/>
          <w:tab w:val="num" w:pos="1701"/>
        </w:tabs>
        <w:spacing w:after="130"/>
        <w:ind w:left="1701"/>
        <w:rPr>
          <w:rFonts w:eastAsiaTheme="minorEastAsia"/>
        </w:rPr>
      </w:pPr>
      <w:r w:rsidRPr="00B044AC">
        <w:rPr>
          <w:rFonts w:eastAsiaTheme="minorEastAsia"/>
        </w:rPr>
        <w:t>Internos, reclusos y preventivos (gratuidad de los servicios y las consultas)</w:t>
      </w:r>
      <w:r w:rsidR="001577D2">
        <w:rPr>
          <w:rFonts w:eastAsiaTheme="minorEastAsia"/>
        </w:rPr>
        <w:t>.</w:t>
      </w:r>
    </w:p>
    <w:p w14:paraId="351B2CB3" w14:textId="7E1C88D9" w:rsidR="007666A4" w:rsidRPr="00B044AC" w:rsidRDefault="007666A4" w:rsidP="0057661B">
      <w:pPr>
        <w:pStyle w:val="Bullet1G"/>
        <w:numPr>
          <w:ilvl w:val="0"/>
          <w:numId w:val="5"/>
        </w:numPr>
        <w:tabs>
          <w:tab w:val="clear" w:pos="2268"/>
          <w:tab w:val="num" w:pos="1701"/>
        </w:tabs>
        <w:spacing w:after="130"/>
        <w:ind w:left="1701"/>
        <w:rPr>
          <w:rFonts w:eastAsiaTheme="minorEastAsia"/>
        </w:rPr>
      </w:pPr>
      <w:r w:rsidRPr="00B044AC">
        <w:rPr>
          <w:rFonts w:eastAsiaTheme="minorEastAsia"/>
        </w:rPr>
        <w:t>Pacientes ingresados en los pabellones públicos de los hospitales Al-Rashad e Ibn al</w:t>
      </w:r>
      <w:r w:rsidR="001577D2">
        <w:rPr>
          <w:rFonts w:eastAsiaTheme="minorEastAsia"/>
        </w:rPr>
        <w:noBreakHyphen/>
      </w:r>
      <w:r w:rsidRPr="00B044AC">
        <w:rPr>
          <w:rFonts w:eastAsiaTheme="minorEastAsia"/>
        </w:rPr>
        <w:t>Quff (gratuidad de los servicios)</w:t>
      </w:r>
      <w:r w:rsidR="001577D2">
        <w:rPr>
          <w:rFonts w:eastAsiaTheme="minorEastAsia"/>
        </w:rPr>
        <w:t>.</w:t>
      </w:r>
    </w:p>
    <w:p w14:paraId="6E8E9C33" w14:textId="5692FDB2" w:rsidR="007666A4" w:rsidRPr="00B044AC" w:rsidRDefault="007666A4" w:rsidP="0057661B">
      <w:pPr>
        <w:pStyle w:val="Bullet1G"/>
        <w:numPr>
          <w:ilvl w:val="0"/>
          <w:numId w:val="5"/>
        </w:numPr>
        <w:tabs>
          <w:tab w:val="clear" w:pos="2268"/>
          <w:tab w:val="num" w:pos="1701"/>
        </w:tabs>
        <w:spacing w:after="130"/>
        <w:ind w:left="1701"/>
        <w:rPr>
          <w:rFonts w:eastAsiaTheme="minorEastAsia"/>
        </w:rPr>
      </w:pPr>
      <w:r w:rsidRPr="00B044AC">
        <w:rPr>
          <w:rFonts w:eastAsiaTheme="minorEastAsia"/>
        </w:rPr>
        <w:t>Personas desplazadas en campamentos y titulares de tarjetas de identidad de desplazados o que posean confirmación escrita de su condición emitida por un organismo gubernamental competente (gratuidad de las consultas y de los servicios)</w:t>
      </w:r>
      <w:r w:rsidR="001577D2">
        <w:rPr>
          <w:rFonts w:eastAsiaTheme="minorEastAsia"/>
        </w:rPr>
        <w:t>.</w:t>
      </w:r>
    </w:p>
    <w:p w14:paraId="700B542C" w14:textId="1BE7079E" w:rsidR="007666A4" w:rsidRPr="00B044AC" w:rsidRDefault="007666A4" w:rsidP="0057661B">
      <w:pPr>
        <w:pStyle w:val="Bullet1G"/>
        <w:numPr>
          <w:ilvl w:val="0"/>
          <w:numId w:val="5"/>
        </w:numPr>
        <w:tabs>
          <w:tab w:val="clear" w:pos="2268"/>
          <w:tab w:val="num" w:pos="1701"/>
        </w:tabs>
        <w:spacing w:after="130"/>
        <w:ind w:left="1701"/>
        <w:rPr>
          <w:rFonts w:eastAsiaTheme="minorEastAsia"/>
        </w:rPr>
      </w:pPr>
      <w:r w:rsidRPr="00B044AC">
        <w:rPr>
          <w:rFonts w:eastAsiaTheme="minorEastAsia"/>
        </w:rPr>
        <w:t>Pacientes con talasemia, anemia drepanocítica y otros trastornos hematológicos que precisen transfusiones sanguíneas periódicas (gratuidad de los servicios)</w:t>
      </w:r>
      <w:r w:rsidR="001577D2">
        <w:rPr>
          <w:rFonts w:eastAsiaTheme="minorEastAsia"/>
        </w:rPr>
        <w:t>.</w:t>
      </w:r>
    </w:p>
    <w:p w14:paraId="7DA921BA" w14:textId="12371F64" w:rsidR="007666A4" w:rsidRPr="00B044AC" w:rsidRDefault="007666A4" w:rsidP="0057661B">
      <w:pPr>
        <w:pStyle w:val="Bullet1G"/>
        <w:numPr>
          <w:ilvl w:val="0"/>
          <w:numId w:val="5"/>
        </w:numPr>
        <w:tabs>
          <w:tab w:val="clear" w:pos="2268"/>
          <w:tab w:val="num" w:pos="1701"/>
        </w:tabs>
        <w:spacing w:after="130"/>
        <w:ind w:left="1701"/>
        <w:rPr>
          <w:rFonts w:eastAsiaTheme="minorEastAsia"/>
        </w:rPr>
      </w:pPr>
      <w:r w:rsidRPr="00B044AC">
        <w:rPr>
          <w:rFonts w:eastAsiaTheme="minorEastAsia"/>
        </w:rPr>
        <w:t>Personas con discapacidad titulares de la tarjeta de la red de protección social (gratuidad de los servicios hospitalarios, centros especializados y centros de atención primaria)</w:t>
      </w:r>
      <w:r w:rsidR="001577D2">
        <w:rPr>
          <w:rFonts w:eastAsiaTheme="minorEastAsia"/>
        </w:rPr>
        <w:t>.</w:t>
      </w:r>
    </w:p>
    <w:p w14:paraId="5C7FE59D" w14:textId="3183CD51" w:rsidR="007666A4" w:rsidRPr="00B044AC" w:rsidRDefault="007666A4" w:rsidP="0057661B">
      <w:pPr>
        <w:pStyle w:val="Bullet1G"/>
        <w:numPr>
          <w:ilvl w:val="0"/>
          <w:numId w:val="5"/>
        </w:numPr>
        <w:tabs>
          <w:tab w:val="clear" w:pos="2268"/>
          <w:tab w:val="num" w:pos="1701"/>
        </w:tabs>
        <w:spacing w:after="130"/>
        <w:ind w:left="1701"/>
        <w:rPr>
          <w:rFonts w:eastAsiaTheme="minorEastAsia"/>
        </w:rPr>
      </w:pPr>
      <w:r w:rsidRPr="00B044AC">
        <w:rPr>
          <w:rFonts w:eastAsiaTheme="minorEastAsia"/>
        </w:rPr>
        <w:t>Gratuidad de los servicios prestados en orfanatos y residencias para personas de edad</w:t>
      </w:r>
      <w:r w:rsidR="001577D2">
        <w:rPr>
          <w:rFonts w:eastAsiaTheme="minorEastAsia"/>
        </w:rPr>
        <w:t>.</w:t>
      </w:r>
    </w:p>
    <w:p w14:paraId="31989A6B" w14:textId="4ABBDE4E" w:rsidR="007666A4" w:rsidRPr="00B044AC" w:rsidRDefault="007666A4" w:rsidP="0057661B">
      <w:pPr>
        <w:pStyle w:val="Bullet1G"/>
        <w:numPr>
          <w:ilvl w:val="0"/>
          <w:numId w:val="5"/>
        </w:numPr>
        <w:tabs>
          <w:tab w:val="clear" w:pos="2268"/>
          <w:tab w:val="num" w:pos="1701"/>
        </w:tabs>
        <w:spacing w:after="130"/>
        <w:ind w:left="1701"/>
        <w:rPr>
          <w:rFonts w:eastAsiaTheme="minorEastAsia"/>
        </w:rPr>
      </w:pPr>
      <w:r w:rsidRPr="00B044AC">
        <w:rPr>
          <w:rFonts w:eastAsiaTheme="minorEastAsia"/>
        </w:rPr>
        <w:t>Exención del pago de las pruebas de detección de virus a todo el personal de planta, quirófanos, maternidades y centros de consulta</w:t>
      </w:r>
      <w:r w:rsidR="001577D2">
        <w:rPr>
          <w:rFonts w:eastAsiaTheme="minorEastAsia"/>
        </w:rPr>
        <w:t>.</w:t>
      </w:r>
    </w:p>
    <w:p w14:paraId="4668C14E" w14:textId="59BFAE1E" w:rsidR="007666A4" w:rsidRPr="00B044AC" w:rsidRDefault="007666A4" w:rsidP="0057661B">
      <w:pPr>
        <w:pStyle w:val="Bullet1G"/>
        <w:numPr>
          <w:ilvl w:val="0"/>
          <w:numId w:val="5"/>
        </w:numPr>
        <w:tabs>
          <w:tab w:val="clear" w:pos="2268"/>
          <w:tab w:val="num" w:pos="1701"/>
        </w:tabs>
        <w:spacing w:after="130"/>
        <w:ind w:left="1701"/>
        <w:rPr>
          <w:rFonts w:eastAsiaTheme="minorEastAsia"/>
        </w:rPr>
      </w:pPr>
      <w:r w:rsidRPr="00B044AC">
        <w:rPr>
          <w:rFonts w:eastAsiaTheme="minorEastAsia"/>
        </w:rPr>
        <w:t>Pacientes con hemofilia (gratuidad de los servicios)</w:t>
      </w:r>
      <w:r w:rsidR="001577D2">
        <w:rPr>
          <w:rFonts w:eastAsiaTheme="minorEastAsia"/>
        </w:rPr>
        <w:t>.</w:t>
      </w:r>
    </w:p>
    <w:p w14:paraId="3BCC9D49" w14:textId="50BDD75B" w:rsidR="007666A4" w:rsidRPr="00B044AC" w:rsidRDefault="007666A4" w:rsidP="0057661B">
      <w:pPr>
        <w:pStyle w:val="Bullet1G"/>
        <w:numPr>
          <w:ilvl w:val="0"/>
          <w:numId w:val="5"/>
        </w:numPr>
        <w:tabs>
          <w:tab w:val="clear" w:pos="2268"/>
          <w:tab w:val="num" w:pos="1701"/>
        </w:tabs>
        <w:spacing w:after="130"/>
        <w:ind w:left="1701"/>
        <w:rPr>
          <w:rFonts w:eastAsiaTheme="minorEastAsia"/>
        </w:rPr>
      </w:pPr>
      <w:r w:rsidRPr="00B044AC">
        <w:rPr>
          <w:rFonts w:eastAsiaTheme="minorEastAsia"/>
        </w:rPr>
        <w:t>Exención del pago de los servicios y las consultas para las personas cubiertas por la red de protección social y titulares de una tarjeta de la red</w:t>
      </w:r>
      <w:r w:rsidR="001577D2">
        <w:rPr>
          <w:rFonts w:eastAsiaTheme="minorEastAsia"/>
        </w:rPr>
        <w:t>.</w:t>
      </w:r>
    </w:p>
    <w:p w14:paraId="33BACC17" w14:textId="19013B7D" w:rsidR="007666A4" w:rsidRPr="00B044AC" w:rsidRDefault="007666A4" w:rsidP="0057661B">
      <w:pPr>
        <w:pStyle w:val="Bullet1G"/>
        <w:numPr>
          <w:ilvl w:val="0"/>
          <w:numId w:val="5"/>
        </w:numPr>
        <w:tabs>
          <w:tab w:val="clear" w:pos="2268"/>
          <w:tab w:val="num" w:pos="1701"/>
        </w:tabs>
        <w:spacing w:after="130"/>
        <w:ind w:left="1701"/>
        <w:rPr>
          <w:rFonts w:eastAsiaTheme="minorEastAsia"/>
        </w:rPr>
      </w:pPr>
      <w:r w:rsidRPr="00B044AC">
        <w:rPr>
          <w:rFonts w:eastAsiaTheme="minorEastAsia"/>
        </w:rPr>
        <w:t>Atención prenatal (gratuidad de las revisiones y los servicios)</w:t>
      </w:r>
      <w:r w:rsidR="001577D2">
        <w:rPr>
          <w:rFonts w:eastAsiaTheme="minorEastAsia"/>
        </w:rPr>
        <w:t>.</w:t>
      </w:r>
    </w:p>
    <w:p w14:paraId="20346EA4" w14:textId="333B73CA" w:rsidR="007666A4" w:rsidRPr="00B044AC" w:rsidRDefault="007666A4" w:rsidP="0057661B">
      <w:pPr>
        <w:pStyle w:val="Bullet1G"/>
        <w:numPr>
          <w:ilvl w:val="0"/>
          <w:numId w:val="5"/>
        </w:numPr>
        <w:tabs>
          <w:tab w:val="clear" w:pos="2268"/>
          <w:tab w:val="num" w:pos="1701"/>
        </w:tabs>
        <w:spacing w:after="130"/>
        <w:ind w:left="1701"/>
        <w:rPr>
          <w:rFonts w:eastAsiaTheme="minorEastAsia"/>
        </w:rPr>
      </w:pPr>
      <w:r w:rsidRPr="00B044AC">
        <w:rPr>
          <w:rFonts w:eastAsiaTheme="minorEastAsia"/>
        </w:rPr>
        <w:t xml:space="preserve">Salud escolar (gratuidad de los servicios y las consultas). </w:t>
      </w:r>
    </w:p>
    <w:p w14:paraId="16854CB7" w14:textId="7102E6E5" w:rsidR="007666A4" w:rsidRPr="007666A4" w:rsidRDefault="007666A4" w:rsidP="00B044AC">
      <w:pPr>
        <w:pStyle w:val="H23G"/>
      </w:pPr>
      <w:r w:rsidRPr="007666A4">
        <w:tab/>
      </w:r>
      <w:r w:rsidRPr="007666A4">
        <w:tab/>
        <w:t>Recomendación que figura</w:t>
      </w:r>
      <w:r w:rsidRPr="007666A4" w:rsidDel="00D35640">
        <w:t xml:space="preserve"> </w:t>
      </w:r>
      <w:r w:rsidRPr="007666A4">
        <w:t>en el párrafo 20</w:t>
      </w:r>
    </w:p>
    <w:p w14:paraId="12DCD8BB" w14:textId="26607BFA" w:rsidR="007666A4" w:rsidRPr="007666A4" w:rsidRDefault="007666A4" w:rsidP="007666A4">
      <w:pPr>
        <w:pStyle w:val="SingleTxtG"/>
      </w:pPr>
      <w:r w:rsidRPr="007666A4">
        <w:t>33.</w:t>
      </w:r>
      <w:r w:rsidR="00B044AC">
        <w:tab/>
      </w:r>
      <w:r w:rsidRPr="007666A4">
        <w:t xml:space="preserve">En virtud del principio constitucional de igualdad plena entre todos los iraquíes, la legislación iraquí no contiene ninguna disposición discriminatoria contra las personas pertenecientes a determinados grupos por razones de orientación sexual o de género, y no admite ni tolera el uso de ninguna forma de violencia contra ellos. Las disposiciones de la Constitución y la legislación iraquí amparan los derechos y libertades, incluido el derecho a la vida y a la integridad física de todas las personas. El poder judicial iraquí investiga las violaciones cometidas contra colectivos concretos para evitar que queden impunes. Antes que ser tratados como cualquier otro caso de asesinato ocurrido en la sociedad, existe por contra un interés especial en encontrar a los culpables y ponerlos a disposición de los tribunales competentes. </w:t>
      </w:r>
    </w:p>
    <w:p w14:paraId="3D734604" w14:textId="1760CE2A" w:rsidR="007666A4" w:rsidRPr="007666A4" w:rsidRDefault="007666A4" w:rsidP="0057661B">
      <w:pPr>
        <w:pStyle w:val="H23G"/>
      </w:pPr>
      <w:r w:rsidRPr="007666A4">
        <w:lastRenderedPageBreak/>
        <w:tab/>
      </w:r>
      <w:r w:rsidRPr="007666A4">
        <w:tab/>
        <w:t>Recomendación que figura</w:t>
      </w:r>
      <w:r w:rsidRPr="007666A4" w:rsidDel="00D35640">
        <w:t xml:space="preserve"> </w:t>
      </w:r>
      <w:r w:rsidRPr="007666A4">
        <w:t>en el párrafo 22</w:t>
      </w:r>
    </w:p>
    <w:p w14:paraId="0A51D741" w14:textId="1CCEC90F" w:rsidR="007666A4" w:rsidRPr="007666A4" w:rsidRDefault="007666A4" w:rsidP="0057661B">
      <w:pPr>
        <w:pStyle w:val="SingleTxtG"/>
        <w:keepNext/>
        <w:keepLines/>
      </w:pPr>
      <w:r w:rsidRPr="007666A4">
        <w:t>34.</w:t>
      </w:r>
      <w:r w:rsidR="00B044AC">
        <w:tab/>
      </w:r>
      <w:r w:rsidRPr="007666A4">
        <w:t>El proyecto de ley sobre los refugiados se encuentra en la Cámara de Representantes y ampara los derechos de los refugiados y solicitantes de asilo con arreglo a las normas internacionales, como garantizan la Ley núm. 21/2009 del Ministerio de Migración y Desplazados y otras leyes iraquíes.</w:t>
      </w:r>
    </w:p>
    <w:p w14:paraId="00BB9D40" w14:textId="44041167" w:rsidR="007666A4" w:rsidRPr="007666A4" w:rsidRDefault="007666A4" w:rsidP="007666A4">
      <w:pPr>
        <w:pStyle w:val="SingleTxtG"/>
      </w:pPr>
      <w:r w:rsidRPr="007666A4">
        <w:t>35.</w:t>
      </w:r>
      <w:r w:rsidR="00B044AC">
        <w:tab/>
      </w:r>
      <w:r w:rsidRPr="007666A4">
        <w:t>La adhesión del Iraq a la Convención sobre el Estatuto de los Refugiados de 1951 y a su Protocolo de 1967 sigue pendiente, está siendo estudiada y se decidirá a su debido momento.</w:t>
      </w:r>
    </w:p>
    <w:p w14:paraId="388C626A" w14:textId="6A03F4E4" w:rsidR="007666A4" w:rsidRPr="007666A4" w:rsidRDefault="007666A4" w:rsidP="007666A4">
      <w:pPr>
        <w:pStyle w:val="SingleTxtG"/>
        <w:rPr>
          <w:u w:val="single"/>
        </w:rPr>
      </w:pPr>
      <w:r w:rsidRPr="007666A4">
        <w:t>36.</w:t>
      </w:r>
      <w:r w:rsidR="00B044AC">
        <w:tab/>
      </w:r>
      <w:r w:rsidRPr="007666A4">
        <w:t>Los refugiados a los que se les concede el derecho de asilo en el Iraq gozan de los mismos derechos que los ciudadanos iraquíes en las cuestiones siguientes, tal como especifica el artículo 11 de la Ley núm. 51/1971, de los Refugiados Políticos:</w:t>
      </w:r>
    </w:p>
    <w:p w14:paraId="7CA83EE4" w14:textId="2F52BD45" w:rsidR="007666A4" w:rsidRPr="007666A4" w:rsidRDefault="007666A4" w:rsidP="007666A4">
      <w:pPr>
        <w:pStyle w:val="SingleTxtG"/>
      </w:pPr>
      <w:r w:rsidRPr="007666A4">
        <w:tab/>
        <w:t>a)</w:t>
      </w:r>
      <w:r w:rsidR="00B044AC">
        <w:tab/>
      </w:r>
      <w:r w:rsidRPr="007666A4">
        <w:t>El derecho al disfrute de todos los servicios sanitarios y culturales;</w:t>
      </w:r>
    </w:p>
    <w:p w14:paraId="5D81B9F2" w14:textId="2297BDD6" w:rsidR="007666A4" w:rsidRPr="007666A4" w:rsidRDefault="007666A4" w:rsidP="007666A4">
      <w:pPr>
        <w:pStyle w:val="SingleTxtG"/>
      </w:pPr>
      <w:r w:rsidRPr="007666A4">
        <w:tab/>
        <w:t>b)</w:t>
      </w:r>
      <w:r w:rsidR="00B044AC">
        <w:tab/>
      </w:r>
      <w:r w:rsidRPr="007666A4">
        <w:t>El derecho a ejercer una profesión y llevar un negocio;</w:t>
      </w:r>
    </w:p>
    <w:p w14:paraId="54C76256" w14:textId="561FFF87" w:rsidR="007666A4" w:rsidRPr="007666A4" w:rsidRDefault="007666A4" w:rsidP="007666A4">
      <w:pPr>
        <w:pStyle w:val="SingleTxtG"/>
      </w:pPr>
      <w:r w:rsidRPr="007666A4">
        <w:tab/>
        <w:t>c)</w:t>
      </w:r>
      <w:r w:rsidR="00B044AC">
        <w:tab/>
      </w:r>
      <w:r w:rsidRPr="007666A4">
        <w:t>El derecho a que se les faciliten tierras agrícolas, de conformidad con la Ley de Reforma Agraria, si bien un refugiado no podrá registrar la tierra a su nombre hasta que no haya obtenido la nacionalidad iraquí;</w:t>
      </w:r>
    </w:p>
    <w:p w14:paraId="00146CE4" w14:textId="5EC0E872" w:rsidR="007666A4" w:rsidRPr="007666A4" w:rsidRDefault="007666A4" w:rsidP="007666A4">
      <w:pPr>
        <w:pStyle w:val="SingleTxtG"/>
      </w:pPr>
      <w:r w:rsidRPr="007666A4">
        <w:tab/>
        <w:t>d)</w:t>
      </w:r>
      <w:r w:rsidR="00B044AC">
        <w:tab/>
      </w:r>
      <w:r w:rsidRPr="007666A4">
        <w:t>El derecho a trabajar o prestar servicio con la autorización del ministro competente.</w:t>
      </w:r>
    </w:p>
    <w:p w14:paraId="2AA20CAB" w14:textId="77777777" w:rsidR="007666A4" w:rsidRPr="00B044AC" w:rsidRDefault="007666A4" w:rsidP="00A511EF">
      <w:pPr>
        <w:pStyle w:val="Bullet1G"/>
        <w:numPr>
          <w:ilvl w:val="0"/>
          <w:numId w:val="5"/>
        </w:numPr>
        <w:tabs>
          <w:tab w:val="clear" w:pos="2268"/>
          <w:tab w:val="num" w:pos="1701"/>
        </w:tabs>
        <w:ind w:left="1701"/>
        <w:rPr>
          <w:rFonts w:eastAsiaTheme="minorEastAsia"/>
        </w:rPr>
      </w:pPr>
      <w:r w:rsidRPr="00B044AC">
        <w:rPr>
          <w:rFonts w:eastAsiaTheme="minorEastAsia"/>
        </w:rPr>
        <w:t xml:space="preserve">Los refugiados palestinos en el Iraq reciben el mismo trato que los iraquíes. </w:t>
      </w:r>
    </w:p>
    <w:p w14:paraId="25CCCB8C" w14:textId="15E61EA5" w:rsidR="007666A4" w:rsidRPr="007666A4" w:rsidRDefault="007666A4" w:rsidP="007666A4">
      <w:pPr>
        <w:pStyle w:val="SingleTxtG"/>
      </w:pPr>
      <w:r w:rsidRPr="007666A4">
        <w:t>37.</w:t>
      </w:r>
      <w:r w:rsidR="00B044AC">
        <w:tab/>
      </w:r>
      <w:r w:rsidRPr="007666A4">
        <w:t xml:space="preserve">Se promulgó la Ley núm. 76/2017, de Extranjería, en virtud de la cual se regulan los asuntos relacionados con la residencia de los extranjeros en el Iraq. Conforme a lo establecido en esta </w:t>
      </w:r>
      <w:r w:rsidR="00A33A12" w:rsidRPr="007666A4">
        <w:t>Ley</w:t>
      </w:r>
      <w:r w:rsidRPr="007666A4">
        <w:t xml:space="preserve">, el país respeta los derechos de los residentes en su territorio, también los de aquellos cuya presencia, aunque contraria a las disposiciones de la </w:t>
      </w:r>
      <w:r w:rsidR="00A33A12" w:rsidRPr="007666A4">
        <w:t>Ley</w:t>
      </w:r>
      <w:r w:rsidRPr="007666A4">
        <w:t xml:space="preserve">, se ajusta a las normas internacionales, en particular el principio de no devolución, establecido en virtud de los usos e instrumentos internacionales de derechos humanos. Los palestinos gozan de un estatuto jurídico especial que el Iraq sigue respetando y reafirmando. </w:t>
      </w:r>
    </w:p>
    <w:p w14:paraId="3CA98FA7" w14:textId="194AE41F" w:rsidR="007666A4" w:rsidRPr="007666A4" w:rsidRDefault="007666A4" w:rsidP="007666A4">
      <w:pPr>
        <w:pStyle w:val="SingleTxtG"/>
        <w:rPr>
          <w:u w:val="single"/>
        </w:rPr>
      </w:pPr>
      <w:r w:rsidRPr="007666A4">
        <w:t>38.</w:t>
      </w:r>
      <w:r w:rsidR="00B044AC">
        <w:tab/>
      </w:r>
      <w:r w:rsidRPr="007666A4">
        <w:t xml:space="preserve">En la región del Kurdistán se han establecido dos millones de desplazados y refugiados procedentes de otras provincias afectadas por el terrorismo y 300.000 refugiados sirios. Se han creado campamentos para ellos en las provincias de Erbil, Dehok y Sulaymaniya y se les ha tratado sin discriminación por motivos de raza, religión y creencias, con arreglo a lo establecido en las normas internacionales. En septiembre de 2014, el gobierno regional del Kurdistán, el equipo de las Naciones Unidas en el Iraq y las organizaciones no gubernamentales elaboraron un plan conjunto en torno a las medidas que había que adoptar con carácter prioritario para atender las necesidades más acuciantes de los refugiados. En el documento también se incluyeron los principales indicadores prioritarios sobre educación. Aproximadamente el 30 % de la población de la región son refugiados y desplazados que viven en 38 campamentos de refugiados y 18 más para refugiados sirios. Algunos viven fuera de esos campamentos. </w:t>
      </w:r>
    </w:p>
    <w:p w14:paraId="4FF8D2AF" w14:textId="46FD30F1" w:rsidR="007666A4" w:rsidRPr="007666A4" w:rsidRDefault="007666A4" w:rsidP="007666A4">
      <w:pPr>
        <w:pStyle w:val="SingleTxtG"/>
      </w:pPr>
      <w:r w:rsidRPr="007666A4">
        <w:t>39.</w:t>
      </w:r>
      <w:r w:rsidR="00B044AC">
        <w:tab/>
      </w:r>
      <w:r w:rsidRPr="007666A4">
        <w:t>El Gobierno del Iraq se basa en los procedimientos administrativos establecidos por la Ley de Refugiados Políticos para atender y proteger a los refugiados. No existe discriminación entre los refugiados a la hora de aplicar la ley iraquí y los procedimientos del Gobierno, y todas las instituciones gubernamentales y las instancias provinciales prestan servicios y garantizan, en la medida de lo posible, condiciones de paz y seguridad para los sirios que se encuentran en el Iraq desde 2012.</w:t>
      </w:r>
    </w:p>
    <w:p w14:paraId="17B75553" w14:textId="3AF80B6C" w:rsidR="007666A4" w:rsidRPr="007666A4" w:rsidRDefault="007666A4" w:rsidP="007666A4">
      <w:pPr>
        <w:pStyle w:val="SingleTxtG"/>
      </w:pPr>
      <w:r w:rsidRPr="007666A4">
        <w:t>40.</w:t>
      </w:r>
      <w:r w:rsidR="00B044AC">
        <w:tab/>
      </w:r>
      <w:r w:rsidRPr="007666A4">
        <w:t xml:space="preserve">El 31 de octubre de 2016 se firmó un memorando de entendimiento entre el Ministerio del Interior iraquí y la Oficina del Alto Comisionado de las Naciones Unidas para los Refugiados (ACNUR), cuyo artículo segundo (“Ámbito de cooperación entre ambas partes”), párrafo 4, estipula que “el Ministerio del Interior se compromete a no expulsar por la fuerza a los solicitantes de asilo que no hayan sido reconocidos como tales por parte del Comité Permanente para los Asuntos de los Refugiados, ni a otros refugiados que hayan recibido órdenes de expulsión emitidas por los tribunales iraquíes, a condición de que el ACNUR estudie la solicitud de nacionalización en un tercer país de conformidad con las leyes y los convenios conexos y se informe al Ministerio del Interior, a través del Comité Permanente </w:t>
      </w:r>
      <w:r w:rsidRPr="007666A4">
        <w:lastRenderedPageBreak/>
        <w:t xml:space="preserve">para los Asuntos de los Refugiados y en el plazo de un año, acerca del resultado de dicha solicitud; el plazo podrá ser prolongado por otro año cuando exista una justificación real que así lo exija”. Mediante una coordinación directa entre el Comité Permanente para los Asuntos de los Refugiados y el ACNUR, se mantiene el contacto con todos los refugiados y los solicitantes de asilo en el Iraq, se realiza un seguimiento de su situación y se cubren sus necesidades. </w:t>
      </w:r>
    </w:p>
    <w:p w14:paraId="6F510B25" w14:textId="0212E725" w:rsidR="007666A4" w:rsidRDefault="007666A4" w:rsidP="007666A4">
      <w:pPr>
        <w:pStyle w:val="SingleTxtG"/>
      </w:pPr>
      <w:r w:rsidRPr="007666A4">
        <w:t>41.</w:t>
      </w:r>
      <w:r w:rsidR="00B044AC">
        <w:tab/>
      </w:r>
      <w:r w:rsidRPr="007666A4">
        <w:t>El gobierno regional del Kurdistán ha atendido a los desplazados y refugiados asignando terrenos para la construcción de campamentos; construyendo campamentos y suministrando los servicios necesarios, como el agua y la electricidad; creando una administración civil dentro de los campamentos, garantizando la protección y seguridad; abriendo escuelas para todas las etapas educativas en idioma árabe, gracias a lo cual el 58 % de los niños refugiados y el 91 % de los niños desplazados estudian en los campamentos; prestando servicios de salud y facilitando la entrada y la salida de los trabajadores de socorro y de asuntos humanitarios en los campamentos.</w:t>
      </w:r>
    </w:p>
    <w:p w14:paraId="2A3A20DA" w14:textId="69633A81" w:rsidR="00617410" w:rsidRPr="007666A4" w:rsidRDefault="00617410" w:rsidP="0000345C">
      <w:pPr>
        <w:pStyle w:val="H1G"/>
      </w:pPr>
      <w:r>
        <w:tab/>
      </w:r>
      <w:r>
        <w:tab/>
      </w:r>
      <w:bookmarkStart w:id="0" w:name="_Hlk96002253"/>
      <w:r w:rsidRPr="0000345C">
        <w:t xml:space="preserve">Artículo 2 y recomendación que figura en el párrafo </w:t>
      </w:r>
      <w:r w:rsidR="004B6AEB" w:rsidRPr="0000345C">
        <w:t>2</w:t>
      </w:r>
      <w:r w:rsidRPr="0000345C">
        <w:t>4</w:t>
      </w:r>
      <w:bookmarkEnd w:id="0"/>
    </w:p>
    <w:p w14:paraId="13257AE9" w14:textId="53FBE87D" w:rsidR="007666A4" w:rsidRPr="007666A4" w:rsidRDefault="007666A4" w:rsidP="00B044AC">
      <w:pPr>
        <w:pStyle w:val="H23G"/>
      </w:pPr>
      <w:r w:rsidRPr="007666A4">
        <w:tab/>
      </w:r>
      <w:r w:rsidRPr="007666A4">
        <w:tab/>
        <w:t>Recomendación que figura</w:t>
      </w:r>
      <w:r w:rsidRPr="007666A4" w:rsidDel="00D35640">
        <w:t xml:space="preserve"> </w:t>
      </w:r>
      <w:r w:rsidRPr="007666A4">
        <w:t>en el párrafo 24</w:t>
      </w:r>
    </w:p>
    <w:p w14:paraId="1FE908D9" w14:textId="544DDDF6" w:rsidR="007666A4" w:rsidRPr="007666A4" w:rsidRDefault="007666A4" w:rsidP="007666A4">
      <w:pPr>
        <w:pStyle w:val="SingleTxtG"/>
      </w:pPr>
      <w:r w:rsidRPr="007666A4">
        <w:t>42.</w:t>
      </w:r>
      <w:r w:rsidR="00B044AC">
        <w:tab/>
      </w:r>
      <w:r w:rsidRPr="007666A4">
        <w:t xml:space="preserve">El Iraq ha creado centros de acogida y refugio para las familias desplazadas, en campamentos establecidos por el Estado. En 2019 había 89 de estos campamentos, en los que se respetaban debidamente los derechos humanos y la dignidad de los desplazados. </w:t>
      </w:r>
    </w:p>
    <w:p w14:paraId="4A053C41" w14:textId="6EDBB470" w:rsidR="007666A4" w:rsidRPr="007666A4" w:rsidRDefault="007666A4" w:rsidP="007666A4">
      <w:pPr>
        <w:pStyle w:val="SingleTxtG"/>
      </w:pPr>
      <w:r w:rsidRPr="007666A4">
        <w:t>43.</w:t>
      </w:r>
      <w:r w:rsidR="00B044AC">
        <w:tab/>
      </w:r>
      <w:r w:rsidRPr="007666A4">
        <w:t>Se han constituido equipos sobre el terreno para supervisar el proceso de registro de las familias desplazadas, garantizar sus derechos y entregarles ayuda alimentaria, a razón de dos raciones mensuales por familia dentro del campamento, además de una cesta de productos sanitarios y otros artículos de primera necesidad, como medios de refrigeración y calefacción, por un período de un año a partir de la fecha del retorno de la familia desplazada. También se les ofrece ayuda económica por valor de 2,5 millones de dinares, que se abona a cada familia en tres cuotas. Se ha otorgado una subvención de retorno de 1,5 millones de dinares a 30.000 familias que regresaron. A ello hay que añadir la subvención de 2 millones de dinares concedida a 899 mujeres supervivientes yazidíes. En el marco de la ejecución del programa de socorro y ayuda social a estas personas, se destinaron 225.038.545.450 dinares a la gestión del expediente de los desplazados.</w:t>
      </w:r>
    </w:p>
    <w:p w14:paraId="45E57822" w14:textId="6AD5BB6B" w:rsidR="007666A4" w:rsidRPr="007666A4" w:rsidRDefault="007666A4" w:rsidP="007666A4">
      <w:pPr>
        <w:pStyle w:val="SingleTxtG"/>
      </w:pPr>
      <w:r w:rsidRPr="007666A4">
        <w:t>44.</w:t>
      </w:r>
      <w:r w:rsidR="00B044AC">
        <w:tab/>
      </w:r>
      <w:r w:rsidRPr="007666A4">
        <w:t>En respuesta a las políticas estatales de asistencia a los desplazados, al 1 de diciembre de 2019, alrededor de 233.825 familias habían regresado a su lugar de residencia original: 81.937 a la provincia de Al-Anbar; 74.692 a la provincia de Nínive; 29.094 a la provincia de Salah al-Din; 28.914 a la provincia de Diyala; 15.206 a la provincia de Bagdad y 3.982 a la provincia de Kirkuk.</w:t>
      </w:r>
    </w:p>
    <w:p w14:paraId="0F3E871F" w14:textId="7324A16D" w:rsidR="007666A4" w:rsidRPr="007666A4" w:rsidRDefault="007666A4" w:rsidP="007666A4">
      <w:pPr>
        <w:pStyle w:val="SingleTxtG"/>
      </w:pPr>
      <w:r w:rsidRPr="007666A4">
        <w:t>45.</w:t>
      </w:r>
      <w:r w:rsidR="00B044AC">
        <w:tab/>
      </w:r>
      <w:r w:rsidRPr="007666A4">
        <w:t>El Iraq ha seguido abonando los salarios de los funcionarios desplazados de las zonas controladas por las bandas terroristas del Dáesh, emitiendo tarjetas electrónicas con las que podían cobrarlos en las zonas de destino. Además, se permitió a estos funcionarios trabajar en departamentos homólogos a los suyos y recibir de ellos su salario, para facilitarles el sustento hasta el retorno a sus hogares.</w:t>
      </w:r>
    </w:p>
    <w:p w14:paraId="6CD270C6" w14:textId="5F8CC59A" w:rsidR="007666A4" w:rsidRPr="007666A4" w:rsidRDefault="007666A4" w:rsidP="007666A4">
      <w:pPr>
        <w:pStyle w:val="SingleTxtG"/>
      </w:pPr>
      <w:r w:rsidRPr="007666A4">
        <w:t>46.</w:t>
      </w:r>
      <w:r w:rsidR="00B044AC">
        <w:tab/>
      </w:r>
      <w:r w:rsidRPr="007666A4">
        <w:t xml:space="preserve">Se ha garantizado la prestación de asistencia humanitaria y protección a los desplazados internos de acuerdo con las normas del derecho internacional, acogiendo a los niños, atendiendo en hogares al efecto a las personas de edad o a aquellas cuya familia se ha desintegrado a consecuencia de las guerras, proporcionando servicios de acogida básicos como alimentación, vestido y atención médica, programas culturales y recreativos y dinero de bolsillo. Se ha hecho un seguimiento de las personas de todos los grupos de edad y de ambos sexos que requieren asistencia humanitaria, y se las ha admitido en albergues en los que se atienden sus necesidades básicas. </w:t>
      </w:r>
    </w:p>
    <w:p w14:paraId="603D44D4" w14:textId="3D2F363B" w:rsidR="007666A4" w:rsidRPr="007666A4" w:rsidRDefault="007666A4" w:rsidP="007666A4">
      <w:pPr>
        <w:pStyle w:val="SingleTxtG"/>
      </w:pPr>
      <w:r w:rsidRPr="007666A4">
        <w:t>47.</w:t>
      </w:r>
      <w:r w:rsidR="00B044AC">
        <w:tab/>
      </w:r>
      <w:r w:rsidRPr="007666A4">
        <w:t>En 2017, la Comisión creada en virtud de la Orden Presidencial núm. 374/2016 brindó a los desplazados con discapacidad, con arreglo a la legislación, los servicios y prestaciones que figuran en las siguientes estadísticas de 2017, relativas a las provincias de Nínive, Salah al-Din y Al-Anbar.</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977"/>
        <w:gridCol w:w="1134"/>
        <w:gridCol w:w="1276"/>
        <w:gridCol w:w="992"/>
        <w:gridCol w:w="991"/>
      </w:tblGrid>
      <w:tr w:rsidR="00A511EF" w:rsidRPr="00A511EF" w14:paraId="5C213787" w14:textId="77777777" w:rsidTr="00A511EF">
        <w:trPr>
          <w:trHeight w:val="240"/>
          <w:tblHeader/>
        </w:trPr>
        <w:tc>
          <w:tcPr>
            <w:tcW w:w="2977" w:type="dxa"/>
            <w:tcBorders>
              <w:top w:val="single" w:sz="4" w:space="0" w:color="auto"/>
              <w:bottom w:val="single" w:sz="12" w:space="0" w:color="auto"/>
            </w:tcBorders>
            <w:shd w:val="clear" w:color="auto" w:fill="auto"/>
            <w:vAlign w:val="bottom"/>
          </w:tcPr>
          <w:p w14:paraId="29865E3F" w14:textId="77777777" w:rsidR="007666A4" w:rsidRPr="00A511EF" w:rsidRDefault="007666A4" w:rsidP="00A511EF">
            <w:pPr>
              <w:pStyle w:val="SingleTxtG"/>
              <w:tabs>
                <w:tab w:val="clear" w:pos="1701"/>
                <w:tab w:val="clear" w:pos="2268"/>
                <w:tab w:val="clear" w:pos="2835"/>
              </w:tabs>
              <w:spacing w:before="80" w:after="80" w:line="200" w:lineRule="exact"/>
              <w:ind w:left="0" w:right="0"/>
              <w:jc w:val="left"/>
              <w:rPr>
                <w:i/>
                <w:iCs/>
                <w:sz w:val="16"/>
              </w:rPr>
            </w:pPr>
            <w:r w:rsidRPr="00A511EF">
              <w:rPr>
                <w:i/>
                <w:sz w:val="16"/>
              </w:rPr>
              <w:lastRenderedPageBreak/>
              <w:t>Actividad</w:t>
            </w:r>
          </w:p>
        </w:tc>
        <w:tc>
          <w:tcPr>
            <w:tcW w:w="1134" w:type="dxa"/>
            <w:tcBorders>
              <w:top w:val="single" w:sz="4" w:space="0" w:color="auto"/>
              <w:bottom w:val="single" w:sz="12" w:space="0" w:color="auto"/>
            </w:tcBorders>
            <w:shd w:val="clear" w:color="auto" w:fill="auto"/>
            <w:vAlign w:val="bottom"/>
          </w:tcPr>
          <w:p w14:paraId="22DA5993" w14:textId="77777777" w:rsidR="007666A4" w:rsidRPr="00A511EF" w:rsidRDefault="007666A4" w:rsidP="00A511EF">
            <w:pPr>
              <w:pStyle w:val="SingleTxtG"/>
              <w:tabs>
                <w:tab w:val="clear" w:pos="1701"/>
                <w:tab w:val="clear" w:pos="2268"/>
                <w:tab w:val="clear" w:pos="2835"/>
              </w:tabs>
              <w:spacing w:before="80" w:after="80" w:line="200" w:lineRule="exact"/>
              <w:ind w:left="57" w:right="28"/>
              <w:jc w:val="right"/>
              <w:rPr>
                <w:i/>
                <w:iCs/>
                <w:sz w:val="16"/>
              </w:rPr>
            </w:pPr>
            <w:r w:rsidRPr="00A511EF">
              <w:rPr>
                <w:i/>
                <w:sz w:val="16"/>
              </w:rPr>
              <w:t>Nínive</w:t>
            </w:r>
          </w:p>
        </w:tc>
        <w:tc>
          <w:tcPr>
            <w:tcW w:w="1276" w:type="dxa"/>
            <w:tcBorders>
              <w:top w:val="single" w:sz="4" w:space="0" w:color="auto"/>
              <w:bottom w:val="single" w:sz="12" w:space="0" w:color="auto"/>
            </w:tcBorders>
            <w:shd w:val="clear" w:color="auto" w:fill="auto"/>
            <w:vAlign w:val="bottom"/>
          </w:tcPr>
          <w:p w14:paraId="2DAB2935" w14:textId="77777777" w:rsidR="007666A4" w:rsidRPr="00A511EF" w:rsidRDefault="007666A4" w:rsidP="00A511EF">
            <w:pPr>
              <w:pStyle w:val="SingleTxtG"/>
              <w:tabs>
                <w:tab w:val="clear" w:pos="1701"/>
                <w:tab w:val="clear" w:pos="2268"/>
                <w:tab w:val="clear" w:pos="2835"/>
              </w:tabs>
              <w:spacing w:before="80" w:after="80" w:line="200" w:lineRule="exact"/>
              <w:ind w:left="57" w:right="28"/>
              <w:jc w:val="right"/>
              <w:rPr>
                <w:i/>
                <w:iCs/>
                <w:sz w:val="16"/>
              </w:rPr>
            </w:pPr>
            <w:r w:rsidRPr="00A511EF">
              <w:rPr>
                <w:i/>
                <w:sz w:val="16"/>
              </w:rPr>
              <w:t>Salah al-Din</w:t>
            </w:r>
          </w:p>
        </w:tc>
        <w:tc>
          <w:tcPr>
            <w:tcW w:w="992" w:type="dxa"/>
            <w:tcBorders>
              <w:top w:val="single" w:sz="4" w:space="0" w:color="auto"/>
              <w:bottom w:val="single" w:sz="12" w:space="0" w:color="auto"/>
            </w:tcBorders>
            <w:shd w:val="clear" w:color="auto" w:fill="auto"/>
            <w:vAlign w:val="bottom"/>
          </w:tcPr>
          <w:p w14:paraId="1A5890B3" w14:textId="77777777" w:rsidR="007666A4" w:rsidRPr="00A511EF" w:rsidRDefault="007666A4" w:rsidP="00A511EF">
            <w:pPr>
              <w:pStyle w:val="SingleTxtG"/>
              <w:tabs>
                <w:tab w:val="clear" w:pos="1701"/>
                <w:tab w:val="clear" w:pos="2268"/>
                <w:tab w:val="clear" w:pos="2835"/>
              </w:tabs>
              <w:spacing w:before="80" w:after="80" w:line="200" w:lineRule="exact"/>
              <w:ind w:left="57" w:right="28"/>
              <w:jc w:val="right"/>
              <w:rPr>
                <w:i/>
                <w:iCs/>
                <w:sz w:val="16"/>
              </w:rPr>
            </w:pPr>
            <w:r w:rsidRPr="00A511EF">
              <w:rPr>
                <w:i/>
                <w:sz w:val="16"/>
              </w:rPr>
              <w:t>Al-Anbar</w:t>
            </w:r>
          </w:p>
        </w:tc>
        <w:tc>
          <w:tcPr>
            <w:tcW w:w="991" w:type="dxa"/>
            <w:tcBorders>
              <w:top w:val="single" w:sz="4" w:space="0" w:color="auto"/>
              <w:bottom w:val="single" w:sz="12" w:space="0" w:color="auto"/>
            </w:tcBorders>
            <w:shd w:val="clear" w:color="auto" w:fill="auto"/>
            <w:vAlign w:val="bottom"/>
          </w:tcPr>
          <w:p w14:paraId="52B3F094" w14:textId="77777777" w:rsidR="007666A4" w:rsidRPr="00A511EF" w:rsidRDefault="007666A4" w:rsidP="00A511EF">
            <w:pPr>
              <w:pStyle w:val="SingleTxtG"/>
              <w:tabs>
                <w:tab w:val="clear" w:pos="1701"/>
                <w:tab w:val="clear" w:pos="2268"/>
                <w:tab w:val="clear" w:pos="2835"/>
              </w:tabs>
              <w:spacing w:before="80" w:after="80" w:line="200" w:lineRule="exact"/>
              <w:ind w:left="57" w:right="28"/>
              <w:jc w:val="right"/>
              <w:rPr>
                <w:i/>
                <w:iCs/>
                <w:sz w:val="16"/>
              </w:rPr>
            </w:pPr>
            <w:r w:rsidRPr="00A511EF">
              <w:rPr>
                <w:i/>
                <w:sz w:val="16"/>
              </w:rPr>
              <w:t>Total</w:t>
            </w:r>
          </w:p>
        </w:tc>
      </w:tr>
      <w:tr w:rsidR="00A511EF" w:rsidRPr="00A511EF" w14:paraId="7CC6EFA5" w14:textId="77777777" w:rsidTr="00A511EF">
        <w:trPr>
          <w:trHeight w:val="240"/>
        </w:trPr>
        <w:tc>
          <w:tcPr>
            <w:tcW w:w="2977" w:type="dxa"/>
            <w:tcBorders>
              <w:top w:val="single" w:sz="12" w:space="0" w:color="auto"/>
            </w:tcBorders>
            <w:shd w:val="clear" w:color="auto" w:fill="auto"/>
          </w:tcPr>
          <w:p w14:paraId="015C271D" w14:textId="77777777" w:rsidR="007666A4" w:rsidRPr="00A511EF" w:rsidRDefault="007666A4" w:rsidP="00A511EF">
            <w:pPr>
              <w:pStyle w:val="SingleTxtG"/>
              <w:tabs>
                <w:tab w:val="clear" w:pos="1701"/>
                <w:tab w:val="clear" w:pos="2268"/>
                <w:tab w:val="clear" w:pos="2835"/>
              </w:tabs>
              <w:spacing w:before="40" w:after="40" w:line="220" w:lineRule="exact"/>
              <w:ind w:left="0" w:right="0"/>
              <w:jc w:val="left"/>
              <w:rPr>
                <w:sz w:val="18"/>
              </w:rPr>
            </w:pPr>
            <w:r w:rsidRPr="00A511EF">
              <w:rPr>
                <w:sz w:val="18"/>
              </w:rPr>
              <w:t>Nombramiento de un auxiliar funcionario a tiempo completo</w:t>
            </w:r>
          </w:p>
        </w:tc>
        <w:tc>
          <w:tcPr>
            <w:tcW w:w="1134" w:type="dxa"/>
            <w:tcBorders>
              <w:top w:val="single" w:sz="12" w:space="0" w:color="auto"/>
            </w:tcBorders>
            <w:shd w:val="clear" w:color="auto" w:fill="auto"/>
            <w:vAlign w:val="bottom"/>
          </w:tcPr>
          <w:p w14:paraId="47553AAF" w14:textId="77777777" w:rsidR="007666A4" w:rsidRPr="00A511EF" w:rsidRDefault="007666A4" w:rsidP="00A511EF">
            <w:pPr>
              <w:pStyle w:val="SingleTxtG"/>
              <w:tabs>
                <w:tab w:val="clear" w:pos="1701"/>
                <w:tab w:val="clear" w:pos="2268"/>
                <w:tab w:val="clear" w:pos="2835"/>
              </w:tabs>
              <w:spacing w:before="40" w:after="40" w:line="220" w:lineRule="exact"/>
              <w:ind w:left="57" w:right="28"/>
              <w:jc w:val="right"/>
              <w:rPr>
                <w:sz w:val="18"/>
              </w:rPr>
            </w:pPr>
            <w:r w:rsidRPr="00A511EF">
              <w:rPr>
                <w:sz w:val="18"/>
              </w:rPr>
              <w:t>6</w:t>
            </w:r>
          </w:p>
        </w:tc>
        <w:tc>
          <w:tcPr>
            <w:tcW w:w="1276" w:type="dxa"/>
            <w:tcBorders>
              <w:top w:val="single" w:sz="12" w:space="0" w:color="auto"/>
            </w:tcBorders>
            <w:shd w:val="clear" w:color="auto" w:fill="auto"/>
            <w:vAlign w:val="bottom"/>
          </w:tcPr>
          <w:p w14:paraId="2BB9196D" w14:textId="77777777" w:rsidR="007666A4" w:rsidRPr="00A511EF" w:rsidRDefault="007666A4" w:rsidP="00A511EF">
            <w:pPr>
              <w:pStyle w:val="SingleTxtG"/>
              <w:tabs>
                <w:tab w:val="clear" w:pos="1701"/>
                <w:tab w:val="clear" w:pos="2268"/>
                <w:tab w:val="clear" w:pos="2835"/>
              </w:tabs>
              <w:spacing w:before="40" w:after="40" w:line="220" w:lineRule="exact"/>
              <w:ind w:left="57" w:right="28"/>
              <w:jc w:val="right"/>
              <w:rPr>
                <w:sz w:val="18"/>
              </w:rPr>
            </w:pPr>
            <w:r w:rsidRPr="00A511EF">
              <w:rPr>
                <w:sz w:val="18"/>
              </w:rPr>
              <w:t>92</w:t>
            </w:r>
          </w:p>
        </w:tc>
        <w:tc>
          <w:tcPr>
            <w:tcW w:w="992" w:type="dxa"/>
            <w:tcBorders>
              <w:top w:val="single" w:sz="12" w:space="0" w:color="auto"/>
            </w:tcBorders>
            <w:shd w:val="clear" w:color="auto" w:fill="auto"/>
            <w:vAlign w:val="bottom"/>
          </w:tcPr>
          <w:p w14:paraId="77114555" w14:textId="77777777" w:rsidR="007666A4" w:rsidRPr="00A511EF" w:rsidRDefault="007666A4" w:rsidP="00A511EF">
            <w:pPr>
              <w:pStyle w:val="SingleTxtG"/>
              <w:tabs>
                <w:tab w:val="clear" w:pos="1701"/>
                <w:tab w:val="clear" w:pos="2268"/>
                <w:tab w:val="clear" w:pos="2835"/>
              </w:tabs>
              <w:spacing w:before="40" w:after="40" w:line="220" w:lineRule="exact"/>
              <w:ind w:left="57" w:right="28"/>
              <w:jc w:val="right"/>
              <w:rPr>
                <w:sz w:val="18"/>
              </w:rPr>
            </w:pPr>
            <w:r w:rsidRPr="00A511EF">
              <w:rPr>
                <w:sz w:val="18"/>
              </w:rPr>
              <w:t>28</w:t>
            </w:r>
          </w:p>
        </w:tc>
        <w:tc>
          <w:tcPr>
            <w:tcW w:w="991" w:type="dxa"/>
            <w:tcBorders>
              <w:top w:val="single" w:sz="12" w:space="0" w:color="auto"/>
            </w:tcBorders>
            <w:shd w:val="clear" w:color="auto" w:fill="auto"/>
            <w:vAlign w:val="bottom"/>
          </w:tcPr>
          <w:p w14:paraId="6C9DCCCE" w14:textId="77777777" w:rsidR="007666A4" w:rsidRPr="00A511EF" w:rsidRDefault="007666A4" w:rsidP="00A511EF">
            <w:pPr>
              <w:pStyle w:val="SingleTxtG"/>
              <w:tabs>
                <w:tab w:val="clear" w:pos="1701"/>
                <w:tab w:val="clear" w:pos="2268"/>
                <w:tab w:val="clear" w:pos="2835"/>
              </w:tabs>
              <w:spacing w:before="40" w:after="40" w:line="220" w:lineRule="exact"/>
              <w:ind w:left="57" w:right="28"/>
              <w:jc w:val="right"/>
              <w:rPr>
                <w:sz w:val="18"/>
              </w:rPr>
            </w:pPr>
            <w:r w:rsidRPr="00A511EF">
              <w:rPr>
                <w:sz w:val="18"/>
              </w:rPr>
              <w:t>126</w:t>
            </w:r>
          </w:p>
        </w:tc>
      </w:tr>
      <w:tr w:rsidR="00A511EF" w:rsidRPr="00A511EF" w14:paraId="296CFF39" w14:textId="77777777" w:rsidTr="00A511EF">
        <w:trPr>
          <w:trHeight w:val="240"/>
        </w:trPr>
        <w:tc>
          <w:tcPr>
            <w:tcW w:w="2977" w:type="dxa"/>
            <w:shd w:val="clear" w:color="auto" w:fill="auto"/>
          </w:tcPr>
          <w:p w14:paraId="76E49409" w14:textId="77777777" w:rsidR="007666A4" w:rsidRPr="00A511EF" w:rsidRDefault="007666A4" w:rsidP="00A511EF">
            <w:pPr>
              <w:pStyle w:val="SingleTxtG"/>
              <w:tabs>
                <w:tab w:val="clear" w:pos="1701"/>
                <w:tab w:val="clear" w:pos="2268"/>
                <w:tab w:val="clear" w:pos="2835"/>
              </w:tabs>
              <w:spacing w:before="40" w:after="40" w:line="220" w:lineRule="exact"/>
              <w:ind w:left="0" w:right="0"/>
              <w:jc w:val="left"/>
              <w:rPr>
                <w:sz w:val="18"/>
              </w:rPr>
            </w:pPr>
            <w:r w:rsidRPr="00A511EF">
              <w:rPr>
                <w:sz w:val="18"/>
              </w:rPr>
              <w:t>Nombramiento de un auxiliar no funcionario a tiempo completo</w:t>
            </w:r>
          </w:p>
        </w:tc>
        <w:tc>
          <w:tcPr>
            <w:tcW w:w="1134" w:type="dxa"/>
            <w:shd w:val="clear" w:color="auto" w:fill="auto"/>
            <w:vAlign w:val="bottom"/>
          </w:tcPr>
          <w:p w14:paraId="3A100A4A" w14:textId="77777777" w:rsidR="007666A4" w:rsidRPr="00A511EF" w:rsidRDefault="007666A4" w:rsidP="00A511EF">
            <w:pPr>
              <w:pStyle w:val="SingleTxtG"/>
              <w:tabs>
                <w:tab w:val="clear" w:pos="1701"/>
                <w:tab w:val="clear" w:pos="2268"/>
                <w:tab w:val="clear" w:pos="2835"/>
              </w:tabs>
              <w:spacing w:before="40" w:after="40" w:line="220" w:lineRule="exact"/>
              <w:ind w:left="57" w:right="28"/>
              <w:jc w:val="right"/>
              <w:rPr>
                <w:sz w:val="18"/>
              </w:rPr>
            </w:pPr>
            <w:r w:rsidRPr="00A511EF">
              <w:rPr>
                <w:sz w:val="18"/>
              </w:rPr>
              <w:t>712</w:t>
            </w:r>
          </w:p>
        </w:tc>
        <w:tc>
          <w:tcPr>
            <w:tcW w:w="1276" w:type="dxa"/>
            <w:shd w:val="clear" w:color="auto" w:fill="auto"/>
            <w:vAlign w:val="bottom"/>
          </w:tcPr>
          <w:p w14:paraId="14679DD0" w14:textId="2A9CEB6A" w:rsidR="007666A4" w:rsidRPr="00A511EF" w:rsidRDefault="007666A4" w:rsidP="00A511EF">
            <w:pPr>
              <w:pStyle w:val="SingleTxtG"/>
              <w:tabs>
                <w:tab w:val="clear" w:pos="1701"/>
                <w:tab w:val="clear" w:pos="2268"/>
                <w:tab w:val="clear" w:pos="2835"/>
              </w:tabs>
              <w:spacing w:before="40" w:after="40" w:line="220" w:lineRule="exact"/>
              <w:ind w:left="57" w:right="28"/>
              <w:jc w:val="right"/>
              <w:rPr>
                <w:sz w:val="18"/>
              </w:rPr>
            </w:pPr>
            <w:r w:rsidRPr="00A511EF">
              <w:rPr>
                <w:sz w:val="18"/>
              </w:rPr>
              <w:t>2</w:t>
            </w:r>
            <w:r w:rsidR="005E2DFB">
              <w:rPr>
                <w:sz w:val="18"/>
              </w:rPr>
              <w:t xml:space="preserve"> </w:t>
            </w:r>
            <w:r w:rsidRPr="00A511EF">
              <w:rPr>
                <w:sz w:val="18"/>
              </w:rPr>
              <w:t>066</w:t>
            </w:r>
          </w:p>
        </w:tc>
        <w:tc>
          <w:tcPr>
            <w:tcW w:w="992" w:type="dxa"/>
            <w:shd w:val="clear" w:color="auto" w:fill="auto"/>
            <w:vAlign w:val="bottom"/>
          </w:tcPr>
          <w:p w14:paraId="661E01BD" w14:textId="5B514093" w:rsidR="007666A4" w:rsidRPr="00A511EF" w:rsidRDefault="007666A4" w:rsidP="00A511EF">
            <w:pPr>
              <w:pStyle w:val="SingleTxtG"/>
              <w:tabs>
                <w:tab w:val="clear" w:pos="1701"/>
                <w:tab w:val="clear" w:pos="2268"/>
                <w:tab w:val="clear" w:pos="2835"/>
              </w:tabs>
              <w:spacing w:before="40" w:after="40" w:line="220" w:lineRule="exact"/>
              <w:ind w:left="57" w:right="28"/>
              <w:jc w:val="right"/>
              <w:rPr>
                <w:sz w:val="18"/>
              </w:rPr>
            </w:pPr>
            <w:r w:rsidRPr="00A511EF">
              <w:rPr>
                <w:sz w:val="18"/>
              </w:rPr>
              <w:t>1</w:t>
            </w:r>
            <w:r w:rsidR="005E2DFB">
              <w:rPr>
                <w:sz w:val="18"/>
              </w:rPr>
              <w:t xml:space="preserve"> </w:t>
            </w:r>
            <w:r w:rsidRPr="00A511EF">
              <w:rPr>
                <w:sz w:val="18"/>
              </w:rPr>
              <w:t>204</w:t>
            </w:r>
          </w:p>
        </w:tc>
        <w:tc>
          <w:tcPr>
            <w:tcW w:w="991" w:type="dxa"/>
            <w:shd w:val="clear" w:color="auto" w:fill="auto"/>
            <w:vAlign w:val="bottom"/>
          </w:tcPr>
          <w:p w14:paraId="28358CF3" w14:textId="57271ED8" w:rsidR="007666A4" w:rsidRPr="00A511EF" w:rsidRDefault="007666A4" w:rsidP="00A511EF">
            <w:pPr>
              <w:pStyle w:val="SingleTxtG"/>
              <w:tabs>
                <w:tab w:val="clear" w:pos="1701"/>
                <w:tab w:val="clear" w:pos="2268"/>
                <w:tab w:val="clear" w:pos="2835"/>
              </w:tabs>
              <w:spacing w:before="40" w:after="40" w:line="220" w:lineRule="exact"/>
              <w:ind w:left="57" w:right="28"/>
              <w:jc w:val="right"/>
              <w:rPr>
                <w:sz w:val="18"/>
              </w:rPr>
            </w:pPr>
            <w:r w:rsidRPr="00A511EF">
              <w:rPr>
                <w:sz w:val="18"/>
              </w:rPr>
              <w:t>3</w:t>
            </w:r>
            <w:r w:rsidR="005E2DFB">
              <w:rPr>
                <w:sz w:val="18"/>
              </w:rPr>
              <w:t xml:space="preserve"> </w:t>
            </w:r>
            <w:r w:rsidRPr="00A511EF">
              <w:rPr>
                <w:sz w:val="18"/>
              </w:rPr>
              <w:t>982</w:t>
            </w:r>
          </w:p>
        </w:tc>
      </w:tr>
      <w:tr w:rsidR="00A511EF" w:rsidRPr="00A511EF" w14:paraId="6894075E" w14:textId="77777777" w:rsidTr="00A511EF">
        <w:trPr>
          <w:trHeight w:val="240"/>
        </w:trPr>
        <w:tc>
          <w:tcPr>
            <w:tcW w:w="2977" w:type="dxa"/>
            <w:tcBorders>
              <w:bottom w:val="single" w:sz="12" w:space="0" w:color="auto"/>
            </w:tcBorders>
            <w:shd w:val="clear" w:color="auto" w:fill="auto"/>
          </w:tcPr>
          <w:p w14:paraId="55880958" w14:textId="77777777" w:rsidR="007666A4" w:rsidRPr="00A511EF" w:rsidRDefault="007666A4" w:rsidP="00A511EF">
            <w:pPr>
              <w:pStyle w:val="SingleTxtG"/>
              <w:tabs>
                <w:tab w:val="clear" w:pos="1701"/>
                <w:tab w:val="clear" w:pos="2268"/>
                <w:tab w:val="clear" w:pos="2835"/>
              </w:tabs>
              <w:spacing w:before="40" w:after="40" w:line="220" w:lineRule="exact"/>
              <w:ind w:left="0" w:right="0"/>
              <w:jc w:val="left"/>
              <w:rPr>
                <w:sz w:val="18"/>
              </w:rPr>
            </w:pPr>
            <w:r w:rsidRPr="00A511EF">
              <w:rPr>
                <w:sz w:val="18"/>
              </w:rPr>
              <w:t>Beneficiarios efectivos de prestaciones para un auxiliar a tiempo completo</w:t>
            </w:r>
          </w:p>
        </w:tc>
        <w:tc>
          <w:tcPr>
            <w:tcW w:w="1134" w:type="dxa"/>
            <w:tcBorders>
              <w:bottom w:val="single" w:sz="12" w:space="0" w:color="auto"/>
            </w:tcBorders>
            <w:shd w:val="clear" w:color="auto" w:fill="auto"/>
            <w:vAlign w:val="bottom"/>
          </w:tcPr>
          <w:p w14:paraId="5EDB546D" w14:textId="77777777" w:rsidR="007666A4" w:rsidRPr="00A511EF" w:rsidRDefault="007666A4" w:rsidP="00A511EF">
            <w:pPr>
              <w:pStyle w:val="SingleTxtG"/>
              <w:tabs>
                <w:tab w:val="clear" w:pos="1701"/>
                <w:tab w:val="clear" w:pos="2268"/>
                <w:tab w:val="clear" w:pos="2835"/>
              </w:tabs>
              <w:spacing w:before="40" w:after="40" w:line="220" w:lineRule="exact"/>
              <w:ind w:left="57" w:right="28"/>
              <w:jc w:val="right"/>
              <w:rPr>
                <w:sz w:val="18"/>
              </w:rPr>
            </w:pPr>
            <w:r w:rsidRPr="00A511EF">
              <w:rPr>
                <w:sz w:val="18"/>
              </w:rPr>
              <w:t>629</w:t>
            </w:r>
          </w:p>
        </w:tc>
        <w:tc>
          <w:tcPr>
            <w:tcW w:w="1276" w:type="dxa"/>
            <w:tcBorders>
              <w:bottom w:val="single" w:sz="12" w:space="0" w:color="auto"/>
            </w:tcBorders>
            <w:shd w:val="clear" w:color="auto" w:fill="auto"/>
            <w:vAlign w:val="bottom"/>
          </w:tcPr>
          <w:p w14:paraId="1F42C32D" w14:textId="610015CD" w:rsidR="007666A4" w:rsidRPr="00A511EF" w:rsidRDefault="007666A4" w:rsidP="00A511EF">
            <w:pPr>
              <w:pStyle w:val="SingleTxtG"/>
              <w:tabs>
                <w:tab w:val="clear" w:pos="1701"/>
                <w:tab w:val="clear" w:pos="2268"/>
                <w:tab w:val="clear" w:pos="2835"/>
              </w:tabs>
              <w:spacing w:before="40" w:after="40" w:line="220" w:lineRule="exact"/>
              <w:ind w:left="57" w:right="28"/>
              <w:jc w:val="right"/>
              <w:rPr>
                <w:sz w:val="18"/>
              </w:rPr>
            </w:pPr>
            <w:r w:rsidRPr="00A511EF">
              <w:rPr>
                <w:sz w:val="18"/>
              </w:rPr>
              <w:t>1</w:t>
            </w:r>
            <w:r w:rsidR="005E2DFB">
              <w:rPr>
                <w:sz w:val="18"/>
              </w:rPr>
              <w:t xml:space="preserve"> </w:t>
            </w:r>
            <w:r w:rsidRPr="00A511EF">
              <w:rPr>
                <w:sz w:val="18"/>
              </w:rPr>
              <w:t>097</w:t>
            </w:r>
          </w:p>
        </w:tc>
        <w:tc>
          <w:tcPr>
            <w:tcW w:w="992" w:type="dxa"/>
            <w:tcBorders>
              <w:bottom w:val="single" w:sz="12" w:space="0" w:color="auto"/>
            </w:tcBorders>
            <w:shd w:val="clear" w:color="auto" w:fill="auto"/>
            <w:vAlign w:val="bottom"/>
          </w:tcPr>
          <w:p w14:paraId="5F464633" w14:textId="77777777" w:rsidR="007666A4" w:rsidRPr="00A511EF" w:rsidRDefault="007666A4" w:rsidP="00A511EF">
            <w:pPr>
              <w:pStyle w:val="SingleTxtG"/>
              <w:tabs>
                <w:tab w:val="clear" w:pos="1701"/>
                <w:tab w:val="clear" w:pos="2268"/>
                <w:tab w:val="clear" w:pos="2835"/>
              </w:tabs>
              <w:spacing w:before="40" w:after="40" w:line="220" w:lineRule="exact"/>
              <w:ind w:left="57" w:right="28"/>
              <w:jc w:val="right"/>
              <w:rPr>
                <w:sz w:val="18"/>
              </w:rPr>
            </w:pPr>
            <w:r w:rsidRPr="00A511EF">
              <w:rPr>
                <w:sz w:val="18"/>
              </w:rPr>
              <w:t>835</w:t>
            </w:r>
          </w:p>
        </w:tc>
        <w:tc>
          <w:tcPr>
            <w:tcW w:w="991" w:type="dxa"/>
            <w:tcBorders>
              <w:bottom w:val="single" w:sz="12" w:space="0" w:color="auto"/>
            </w:tcBorders>
            <w:shd w:val="clear" w:color="auto" w:fill="auto"/>
            <w:vAlign w:val="bottom"/>
          </w:tcPr>
          <w:p w14:paraId="25FFFCDA" w14:textId="12D71D56" w:rsidR="007666A4" w:rsidRPr="00A511EF" w:rsidRDefault="007666A4" w:rsidP="00A511EF">
            <w:pPr>
              <w:pStyle w:val="SingleTxtG"/>
              <w:tabs>
                <w:tab w:val="clear" w:pos="1701"/>
                <w:tab w:val="clear" w:pos="2268"/>
                <w:tab w:val="clear" w:pos="2835"/>
              </w:tabs>
              <w:spacing w:before="40" w:after="40" w:line="220" w:lineRule="exact"/>
              <w:ind w:left="57" w:right="28"/>
              <w:jc w:val="right"/>
              <w:rPr>
                <w:sz w:val="18"/>
              </w:rPr>
            </w:pPr>
            <w:r w:rsidRPr="00A511EF">
              <w:rPr>
                <w:sz w:val="18"/>
              </w:rPr>
              <w:t>2</w:t>
            </w:r>
            <w:r w:rsidR="005E2DFB">
              <w:rPr>
                <w:sz w:val="18"/>
              </w:rPr>
              <w:t xml:space="preserve"> </w:t>
            </w:r>
            <w:r w:rsidRPr="00A511EF">
              <w:rPr>
                <w:sz w:val="18"/>
              </w:rPr>
              <w:t>561</w:t>
            </w:r>
          </w:p>
        </w:tc>
      </w:tr>
    </w:tbl>
    <w:p w14:paraId="13E5360C" w14:textId="0F436509" w:rsidR="007666A4" w:rsidRPr="007666A4" w:rsidRDefault="007666A4" w:rsidP="00A511EF">
      <w:pPr>
        <w:pStyle w:val="SingleTxtG"/>
        <w:spacing w:before="240"/>
      </w:pPr>
      <w:r w:rsidRPr="007666A4">
        <w:t>48.</w:t>
      </w:r>
      <w:r w:rsidR="00A511EF">
        <w:tab/>
      </w:r>
      <w:r w:rsidRPr="007666A4">
        <w:t>Las familias desplazadas reciben servicios de asistencia jurídica de los funcionarios del Ministerio de Migración, quienes se ocupan de los trámites de retorno, incluido el cálculo de la antigüedad de las personas cesadas en su momento por motivos políticos y la reincorporación a su puesto, mientras que un equipo de abogados se encarga de realizar los trámites de los desplazados en las diferentes provincias y de defenderlos en asuntos personales.</w:t>
      </w:r>
    </w:p>
    <w:p w14:paraId="5B572E9E" w14:textId="1C116AE0" w:rsidR="007666A4" w:rsidRPr="007666A4" w:rsidRDefault="007666A4" w:rsidP="007666A4">
      <w:pPr>
        <w:pStyle w:val="SingleTxtG"/>
      </w:pPr>
      <w:r w:rsidRPr="007666A4">
        <w:t>49.</w:t>
      </w:r>
      <w:r w:rsidR="00A511EF">
        <w:tab/>
      </w:r>
      <w:r w:rsidRPr="007666A4">
        <w:t>Se ha procurado mejorar la situación de seguridad para permitir el retorno de los desplazados, mediante la remoción de minas, la eliminación de explosivos, la limpieza de restos de material de guerra en las ciudades, la reapertura de las comisarías en las zonas liberadas y el despliegue de efectivos en sus alrededores y accesos. Estos cooperan con los ciudadanos para descubrir infiltrados y células terroristas, así como para obtener información de inteligencia. Los hogares encabezados por mujeres se han incluido entre los receptores de las subvenciones destinadas a las familias que retornan y se integran.</w:t>
      </w:r>
    </w:p>
    <w:p w14:paraId="3AA44F72" w14:textId="53BD6DF8" w:rsidR="007666A4" w:rsidRPr="007666A4" w:rsidRDefault="007666A4" w:rsidP="007666A4">
      <w:pPr>
        <w:pStyle w:val="SingleTxtG"/>
      </w:pPr>
      <w:r w:rsidRPr="007666A4">
        <w:t>50.</w:t>
      </w:r>
      <w:r w:rsidR="00A511EF">
        <w:tab/>
      </w:r>
      <w:r w:rsidRPr="007666A4">
        <w:t>En la reunión del Consejo de Seguridad Nacional de 11 de diciembre de 2017 se debatió “la situación de las familias desplazadas y los problemas que afrontan en algunas zonas” y se encomendó al Subsecretario del Ministerio de Migración y Desplazados la redacción de un documento sobre la posibilidad de cooperar con la comunidad internacional para proporcionar subvenciones en efectivo a las familias que retornan a sus zonas de origen. Asimismo, se recomendó que el Servicio de Seguridad Nacional acelerara los procedimientos de expedición de la autorización de seguridad y para la adopción del resultado definitivo de la verificación de seguridad en las zonas liberadas de las bandas terroristas del Dáesh, para liberar el pago de los salarios retenidos a los funcionarios. También se recomendó que derivaran a la Autoridad Nacional de Coordinación de Inteligencia los problemas que enfrentaban los miembros de las bandas terroristas del Dáesh que no podían regresar a sus zonas de origen por razones tribales o de seguridad, así como la responsabilidad por los controles de seguridad de ciertos desplazados contra los cuales no se habían dictado órdenes de detención, pero sobre los que pesaban sospechas, por lo que no se les permitía el regreso. Otras recomendaciones de índole laboral y social se remitieron a los organismos competentes, para que contribuyeran, según sus respectivos mandatos, a acelerar el regreso de los desplazados.</w:t>
      </w:r>
    </w:p>
    <w:p w14:paraId="4C889F68" w14:textId="5842E8FE" w:rsidR="007666A4" w:rsidRPr="007666A4" w:rsidRDefault="007666A4" w:rsidP="007666A4">
      <w:pPr>
        <w:pStyle w:val="SingleTxtG"/>
      </w:pPr>
      <w:r w:rsidRPr="007666A4">
        <w:t>51.</w:t>
      </w:r>
      <w:r w:rsidR="00A511EF">
        <w:tab/>
      </w:r>
      <w:r w:rsidRPr="007666A4">
        <w:t>Se han llevado a cabo actividades en aplicación de los programas de rehabilitación comunitaria, del Fondo de Apoyo a Pequeños Proyectos Generadores de Ingresos, de la Estrategia Nacional para la Reducción de la Pobreza y de microcrédito. Entre sus beneficiarios se contaron las personas con discapacidad (discapacidad mínima del 50 %); las mujeres cabeza de familia (viudas y divorciadas) que no reciben una prestación</w:t>
      </w:r>
      <w:r w:rsidRPr="007666A4">
        <w:rPr>
          <w:u w:val="single"/>
        </w:rPr>
        <w:t xml:space="preserve"> </w:t>
      </w:r>
      <w:r w:rsidRPr="007666A4">
        <w:t>de la asistencia social; los desempleados registrados en la base de datos del Departamento de Empleo y Préstamos; los desplazados, incluidos los que regresan a sus zonas de origen y se benefician de la rehabilitación comunitaria; quienes emprenden algún proyecto contemplado en las disposiciones de la Ley núm. 10/2012, de Apoyo a la Pequeña Empresa; quienes se hayan visto afectados por operaciones terroristas; quienes encabezan hogares precarios que viven en zonas de vertederos sanitarios; y quienes tienen un título universitario y están desempleados, estén o no inscritos como tales. Las prestaciones mínimas garantizadas fueron de:</w:t>
      </w:r>
    </w:p>
    <w:p w14:paraId="30582E33" w14:textId="3BC352BA" w:rsidR="007666A4" w:rsidRPr="00A511EF" w:rsidRDefault="007666A4" w:rsidP="001577D2">
      <w:pPr>
        <w:pStyle w:val="Bullet1G"/>
        <w:numPr>
          <w:ilvl w:val="0"/>
          <w:numId w:val="5"/>
        </w:numPr>
        <w:tabs>
          <w:tab w:val="clear" w:pos="2268"/>
          <w:tab w:val="num" w:pos="1701"/>
        </w:tabs>
        <w:ind w:left="1701"/>
        <w:rPr>
          <w:rFonts w:eastAsiaTheme="minorEastAsia"/>
        </w:rPr>
      </w:pPr>
      <w:r w:rsidRPr="00A511EF">
        <w:rPr>
          <w:rFonts w:eastAsiaTheme="minorEastAsia"/>
        </w:rPr>
        <w:t>Entre 3 y 5 millones de dinares iraquíes en el caso del Programa de Rehabilitación Comunitaria</w:t>
      </w:r>
      <w:r w:rsidR="001577D2">
        <w:rPr>
          <w:rFonts w:eastAsiaTheme="minorEastAsia"/>
        </w:rPr>
        <w:t>.</w:t>
      </w:r>
    </w:p>
    <w:p w14:paraId="41F13710" w14:textId="55BF4FA7" w:rsidR="007666A4" w:rsidRPr="00A511EF" w:rsidRDefault="007666A4" w:rsidP="001577D2">
      <w:pPr>
        <w:pStyle w:val="Bullet1G"/>
        <w:numPr>
          <w:ilvl w:val="0"/>
          <w:numId w:val="5"/>
        </w:numPr>
        <w:tabs>
          <w:tab w:val="clear" w:pos="2268"/>
          <w:tab w:val="num" w:pos="1701"/>
        </w:tabs>
        <w:ind w:left="1701"/>
        <w:rPr>
          <w:rFonts w:eastAsiaTheme="minorEastAsia"/>
        </w:rPr>
      </w:pPr>
      <w:r w:rsidRPr="00A511EF">
        <w:rPr>
          <w:rFonts w:eastAsiaTheme="minorEastAsia"/>
        </w:rPr>
        <w:t>Entre 8 y 20 millones de dinares, en el del Programa del Fondo de Apoyo a Pequeños Proyectos Generadores de Ingresos</w:t>
      </w:r>
      <w:r w:rsidR="001577D2">
        <w:rPr>
          <w:rFonts w:eastAsiaTheme="minorEastAsia"/>
        </w:rPr>
        <w:t>.</w:t>
      </w:r>
    </w:p>
    <w:p w14:paraId="5DDA472A" w14:textId="275F8EF0" w:rsidR="007666A4" w:rsidRPr="00A511EF" w:rsidRDefault="007666A4" w:rsidP="001577D2">
      <w:pPr>
        <w:pStyle w:val="Bullet1G"/>
        <w:numPr>
          <w:ilvl w:val="0"/>
          <w:numId w:val="5"/>
        </w:numPr>
        <w:tabs>
          <w:tab w:val="clear" w:pos="2268"/>
          <w:tab w:val="num" w:pos="1701"/>
        </w:tabs>
        <w:ind w:left="1701"/>
        <w:rPr>
          <w:rFonts w:eastAsiaTheme="minorEastAsia"/>
        </w:rPr>
      </w:pPr>
      <w:r w:rsidRPr="00A511EF">
        <w:rPr>
          <w:rFonts w:eastAsiaTheme="minorEastAsia"/>
        </w:rPr>
        <w:lastRenderedPageBreak/>
        <w:t>Entre 8 y 10 millones de dinares, en el del Programa de la Estrategia Nacional para la Reducción de la Pobreza.</w:t>
      </w:r>
    </w:p>
    <w:p w14:paraId="19E8F4BF" w14:textId="76896E1F" w:rsidR="007666A4" w:rsidRPr="007666A4" w:rsidRDefault="007666A4" w:rsidP="007666A4">
      <w:pPr>
        <w:pStyle w:val="SingleTxtG"/>
      </w:pPr>
      <w:r w:rsidRPr="007666A4">
        <w:t>52.</w:t>
      </w:r>
      <w:r w:rsidR="00A511EF">
        <w:tab/>
      </w:r>
      <w:r w:rsidRPr="007666A4">
        <w:t xml:space="preserve">Entre el 24 de noviembre de 2013 y el 31 de marzo de 2018, 27.052 personas percibieron efectivamente estos montos mínimos o prestaciones. </w:t>
      </w:r>
    </w:p>
    <w:p w14:paraId="1901F8BD" w14:textId="402A382A" w:rsidR="007666A4" w:rsidRPr="007666A4" w:rsidRDefault="007666A4" w:rsidP="007666A4">
      <w:pPr>
        <w:pStyle w:val="SingleTxtG"/>
      </w:pPr>
      <w:r w:rsidRPr="007666A4">
        <w:t>53.</w:t>
      </w:r>
      <w:r w:rsidR="00A511EF">
        <w:tab/>
      </w:r>
      <w:r w:rsidRPr="007666A4">
        <w:t>También quedaron amparadas por la asistencia social, sin que debieran cumplir las condiciones previstas a tal efecto, 1.52</w:t>
      </w:r>
      <w:r w:rsidR="004A125A">
        <w:t>8</w:t>
      </w:r>
      <w:r w:rsidRPr="007666A4">
        <w:t xml:space="preserve"> mujeres yazidíes que sufrieron la violencia de las bandas del Dáesh y 88 mujeres de la comunidad shabak que sobrevivieron a dicha violencia.</w:t>
      </w:r>
    </w:p>
    <w:p w14:paraId="7BB02AB8" w14:textId="47F7938B" w:rsidR="007666A4" w:rsidRPr="007666A4" w:rsidRDefault="007666A4" w:rsidP="007666A4">
      <w:pPr>
        <w:pStyle w:val="SingleTxtG"/>
      </w:pPr>
      <w:r w:rsidRPr="007666A4">
        <w:t>54.</w:t>
      </w:r>
      <w:r w:rsidR="00A511EF">
        <w:tab/>
      </w:r>
      <w:r w:rsidRPr="007666A4">
        <w:t xml:space="preserve">Se rehabilitado el hogar de Bagdad para las víctimas de la trata de personas, que acogerán a niños maltratados que sobrevivieron a las bandas del Dáesh. </w:t>
      </w:r>
    </w:p>
    <w:p w14:paraId="3063E0A9" w14:textId="69D74FA6" w:rsidR="007666A4" w:rsidRPr="007666A4" w:rsidRDefault="007666A4" w:rsidP="007666A4">
      <w:pPr>
        <w:pStyle w:val="SingleTxtG"/>
      </w:pPr>
      <w:r w:rsidRPr="007666A4">
        <w:t>55.</w:t>
      </w:r>
      <w:r w:rsidR="00A511EF">
        <w:tab/>
      </w:r>
      <w:r w:rsidRPr="007666A4">
        <w:t xml:space="preserve">Se ha aprobado una estrategia para brindar servicios de salud, preventivos y terapéuticos a los desplazados y retornados a las zonas liberadas desde 2014. </w:t>
      </w:r>
    </w:p>
    <w:p w14:paraId="02AE8B24" w14:textId="13DF5DCE" w:rsidR="007666A4" w:rsidRPr="007666A4" w:rsidRDefault="007666A4" w:rsidP="007666A4">
      <w:pPr>
        <w:pStyle w:val="SingleTxtG"/>
      </w:pPr>
      <w:r w:rsidRPr="007666A4">
        <w:t>56.</w:t>
      </w:r>
      <w:r w:rsidR="00A511EF">
        <w:tab/>
      </w:r>
      <w:r w:rsidRPr="007666A4">
        <w:t>Se han abierto puntos de protección social en las provincias, para recibir a los desplazados y facilitar los trámites.</w:t>
      </w:r>
    </w:p>
    <w:p w14:paraId="7D1C8C16" w14:textId="55712B71" w:rsidR="007666A4" w:rsidRPr="007666A4" w:rsidRDefault="007666A4" w:rsidP="007666A4">
      <w:pPr>
        <w:pStyle w:val="SingleTxtG"/>
      </w:pPr>
      <w:r w:rsidRPr="007666A4">
        <w:t>57.</w:t>
      </w:r>
      <w:r w:rsidR="00A511EF">
        <w:tab/>
      </w:r>
      <w:r w:rsidRPr="007666A4">
        <w:t>Los equipos del Ministerio de Salud realizan visitas sobre el terreno a los campamentos de desplazados para prestar los servicios de salud necesarios, llevar a cabo campañas de salud, estudios de rayos X y campañas de vacunación, proporcionar servicios de salud reproductiva, hacer chequeos, brindar tratamiento a pacientes con tuberculosis y hacerles un seguimiento, realizar exámenes a cargo de especialistas en enfermedades clínicas y derivar a pacientes para someterlos a pruebas de laboratorio, a fin de detectar casos de infección por VIH e infecciones de transmisión sexual; también se han prestado servicios para prevenir y controlar las enfermedades no contagiosas.</w:t>
      </w:r>
    </w:p>
    <w:p w14:paraId="4B37280C" w14:textId="1A724EAC" w:rsidR="007666A4" w:rsidRPr="007666A4" w:rsidRDefault="007666A4" w:rsidP="007666A4">
      <w:pPr>
        <w:pStyle w:val="SingleTxtG"/>
      </w:pPr>
      <w:r w:rsidRPr="007666A4">
        <w:t>58.</w:t>
      </w:r>
      <w:r w:rsidR="00A511EF">
        <w:tab/>
      </w:r>
      <w:r w:rsidRPr="007666A4">
        <w:t xml:space="preserve">El Ministerio de Salud elaboró un plan nacional para garantizar a las personas protección, cubrir sus necesidades básicas y ofrecerles apoyo psicosocial y terapia psicológica. El plan se centró en cómo prestar, en situaciones de emergencia humanitaria, servicios de salud mental y apoyo psicosocial que mejoren la resiliencia de las personas con trastornos mentales y problemas psicosociales y contribuyan a su rehabilitación. </w:t>
      </w:r>
    </w:p>
    <w:p w14:paraId="1E082F1A" w14:textId="72803677" w:rsidR="007666A4" w:rsidRPr="007666A4" w:rsidRDefault="007666A4" w:rsidP="007666A4">
      <w:pPr>
        <w:pStyle w:val="SingleTxtG"/>
      </w:pPr>
      <w:r w:rsidRPr="007666A4">
        <w:t>59.</w:t>
      </w:r>
      <w:r w:rsidR="00A511EF">
        <w:tab/>
      </w:r>
      <w:r w:rsidRPr="007666A4">
        <w:t xml:space="preserve">Los equipos de trabajo del Ministerio de Salud han intensificado sus visitas sobre el terreno a los campamentos, a fin de asegurar la sostenibilidad de los servicios de salud que se prestan a los desplazados junto con los equipos de campo de las provincias visitadas, así como para hacer un seguimiento de la disponibilidad de medicamentos e insumos médicos en los campamentos y otros emplazamientos en los que hay desplazados. </w:t>
      </w:r>
    </w:p>
    <w:p w14:paraId="3B03AAA6" w14:textId="5EC839E7" w:rsidR="007666A4" w:rsidRPr="007666A4" w:rsidRDefault="007666A4" w:rsidP="007666A4">
      <w:pPr>
        <w:pStyle w:val="SingleTxtG"/>
      </w:pPr>
      <w:r w:rsidRPr="007666A4">
        <w:t>60.</w:t>
      </w:r>
      <w:r w:rsidR="00A511EF">
        <w:tab/>
      </w:r>
      <w:r w:rsidRPr="007666A4">
        <w:t>Se han fortalecido los mecanismos de colaboración con el Ministerio de Salud de la región del Kurdistán, se le ha proporcionado un apoyo logístico acorde con el número de desplazados presentes en esas provincias y se han prestado servicios de atención maternoinfantil, evaluación nutricional, detección temprana de enfermedades crónicas, suministro de medicamentos para su tratamiento, y registro y seguimiento de los casos de cáncer.</w:t>
      </w:r>
    </w:p>
    <w:p w14:paraId="16B6709C" w14:textId="4F2A544E" w:rsidR="007666A4" w:rsidRPr="007666A4" w:rsidRDefault="007666A4" w:rsidP="007666A4">
      <w:pPr>
        <w:pStyle w:val="SingleTxtG"/>
      </w:pPr>
      <w:r w:rsidRPr="007666A4">
        <w:t>61.</w:t>
      </w:r>
      <w:r w:rsidR="00A511EF">
        <w:tab/>
      </w:r>
      <w:r w:rsidRPr="007666A4">
        <w:t xml:space="preserve">Con la participación de las dependencias de salud provinciales que cuentan con ambulancias se dotó de estos vehículos a los campamentos y otros lugares en que se concentran los desplazados y, en asociación con la Organización Mundial de la Salud y otras organizaciones colaboradoras, se suministraron clínicas móviles a los campamentos. </w:t>
      </w:r>
    </w:p>
    <w:p w14:paraId="700ABD07" w14:textId="7EDC6EBB" w:rsidR="007666A4" w:rsidRPr="007666A4" w:rsidRDefault="007666A4" w:rsidP="007666A4">
      <w:pPr>
        <w:pStyle w:val="SingleTxtG"/>
      </w:pPr>
      <w:r w:rsidRPr="007666A4">
        <w:t>62.</w:t>
      </w:r>
      <w:r w:rsidR="00A511EF">
        <w:tab/>
      </w:r>
      <w:r w:rsidRPr="007666A4">
        <w:t xml:space="preserve">Se ha vacunado a 925.755 niños menores de </w:t>
      </w:r>
      <w:r w:rsidR="004A125A">
        <w:t>5</w:t>
      </w:r>
      <w:r w:rsidRPr="007666A4">
        <w:t xml:space="preserve"> años en los campamentos y otros lugares en que se concentran los desplazados en las 18 campañas que ha llevado a cabo el Ministerio de Salud, y a 205.389 niños menores de un año en el marco de la cobertura habitual. Se han registrado anualmente 214.121 nacimientos; 4.588.740 personas han recibido servicios de salud preventivos y terapéuticos en los centros de salud, las clínicas móviles, los servicios de ambulancia y los equipos de salud itinerantes y 2.041.184 más atención terapéutica y de emergencia en hospitales. Asimismo, se habilitaron más de </w:t>
      </w:r>
      <w:r w:rsidR="004A125A">
        <w:t>10 </w:t>
      </w:r>
      <w:r w:rsidRPr="007666A4">
        <w:t>maternidades móviles para prestar servicios obstétricos seguros e higiénicos.</w:t>
      </w:r>
    </w:p>
    <w:p w14:paraId="6702A3C3" w14:textId="77E0F695" w:rsidR="007666A4" w:rsidRPr="007666A4" w:rsidRDefault="007666A4" w:rsidP="007666A4">
      <w:pPr>
        <w:pStyle w:val="SingleTxtG"/>
      </w:pPr>
      <w:r w:rsidRPr="007666A4">
        <w:t>63.</w:t>
      </w:r>
      <w:r w:rsidR="00A511EF">
        <w:tab/>
      </w:r>
      <w:r w:rsidRPr="007666A4">
        <w:t>La tasa de mortalidad atribuida a las 10 principales causas de mortalidad femenina disminuyó del 73,9</w:t>
      </w:r>
      <w:r w:rsidR="004A125A">
        <w:t xml:space="preserve"> </w:t>
      </w:r>
      <w:r w:rsidRPr="007666A4">
        <w:t>% en 2015 al 68,16</w:t>
      </w:r>
      <w:r w:rsidR="004A125A">
        <w:t xml:space="preserve"> </w:t>
      </w:r>
      <w:r w:rsidRPr="007666A4">
        <w:t xml:space="preserve">% en 2016; la proporción de mujeres en edad reproductiva vacunadas contra el tétanos aumentó del 9 % en 2015 a 15 % en 2016, y el </w:t>
      </w:r>
      <w:r w:rsidRPr="007666A4">
        <w:lastRenderedPageBreak/>
        <w:t>porcentaje de beneficiarias que recibieron asesoramiento de planificación familiar, del 74 % en 2015 al 84 % en 2016.</w:t>
      </w:r>
    </w:p>
    <w:p w14:paraId="6B51512B" w14:textId="73E5A136" w:rsidR="007666A4" w:rsidRPr="007666A4" w:rsidRDefault="007666A4" w:rsidP="007666A4">
      <w:pPr>
        <w:pStyle w:val="SingleTxtG"/>
      </w:pPr>
      <w:r w:rsidRPr="007666A4">
        <w:t>64.</w:t>
      </w:r>
      <w:r w:rsidR="00A511EF">
        <w:tab/>
      </w:r>
      <w:r w:rsidRPr="007666A4">
        <w:t>La tasa de neonatos con malformaciones congénitas por cada 1.000 nacidos vivos se redujo del 3,6</w:t>
      </w:r>
      <w:r w:rsidR="004A125A">
        <w:t xml:space="preserve"> </w:t>
      </w:r>
      <w:r w:rsidRPr="007666A4">
        <w:t>% en 2015 al 2,5</w:t>
      </w:r>
      <w:r w:rsidR="004A125A">
        <w:t xml:space="preserve"> </w:t>
      </w:r>
      <w:r w:rsidRPr="007666A4">
        <w:t xml:space="preserve">% en 2016. En cuanto a la detección temprana y tratamiento de la tuberculosis, se detectaron y trataron un mínimo de 1.000 casos en los campamentos de desplazados y en las zonas liberadas. </w:t>
      </w:r>
    </w:p>
    <w:p w14:paraId="29A3DCF4" w14:textId="0E8724B8" w:rsidR="007666A4" w:rsidRPr="007666A4" w:rsidRDefault="007666A4" w:rsidP="007666A4">
      <w:pPr>
        <w:pStyle w:val="SingleTxtG"/>
      </w:pPr>
      <w:r w:rsidRPr="007666A4">
        <w:t>65.</w:t>
      </w:r>
      <w:r w:rsidR="00A511EF">
        <w:tab/>
      </w:r>
      <w:r w:rsidRPr="007666A4">
        <w:t>Se ha proporcionado apoyo psicosocial a al menos 5.000 desplazados que regresaron a las provincias liberadas.</w:t>
      </w:r>
    </w:p>
    <w:p w14:paraId="0E6039B6" w14:textId="0A66CAC0" w:rsidR="007666A4" w:rsidRPr="007666A4" w:rsidRDefault="007666A4" w:rsidP="007666A4">
      <w:pPr>
        <w:pStyle w:val="SingleTxtG"/>
      </w:pPr>
      <w:r w:rsidRPr="007666A4">
        <w:t>66.</w:t>
      </w:r>
      <w:r w:rsidR="00A511EF">
        <w:tab/>
      </w:r>
      <w:r w:rsidRPr="007666A4">
        <w:t>En paralelo con la labor de rehabilitación inicial de los centros de salud y hospitales, se han utilizado más de 100 clínicas móviles, 500 brigadas y equipos médicos móviles y</w:t>
      </w:r>
      <w:r w:rsidR="004A125A">
        <w:t> </w:t>
      </w:r>
      <w:r w:rsidRPr="007666A4">
        <w:t>10</w:t>
      </w:r>
      <w:r w:rsidR="004A125A">
        <w:t> </w:t>
      </w:r>
      <w:r w:rsidRPr="007666A4">
        <w:t>hospitales de campaña para sustituir la infraestructura destruida. Desde el inicio de las operaciones de liberación y hasta el momento, se han enviado a las provincias liberadas más de 200 ambulancias, 100 vehículos para la movilización de la población y 70 vehículos destinados a la policía federal. Gracias a la coordinación con los organismos internacionales y otras organizaciones colaboradoras se adquirieron unas 100 ambulancias.</w:t>
      </w:r>
    </w:p>
    <w:p w14:paraId="1C92B005" w14:textId="6EA2477F" w:rsidR="007666A4" w:rsidRPr="007666A4" w:rsidRDefault="007666A4" w:rsidP="007666A4">
      <w:pPr>
        <w:pStyle w:val="SingleTxtG"/>
      </w:pPr>
      <w:r w:rsidRPr="007666A4">
        <w:t>67.</w:t>
      </w:r>
      <w:r w:rsidR="00A511EF">
        <w:tab/>
      </w:r>
      <w:r w:rsidRPr="007666A4">
        <w:t>Se han rehabilitado plenamente más de 150 instituciones de salud, incluidos centros de salud y hospitales, en las provincias liberadas de Al-Anbar, Salah al-Din, Nínive y zonas de Kirkuk, Diyala y Babel. Tras su rehabilitación inicial, estas han prestado servicios de salud preventivos y terapéuticos a más de 2 millones de personas.</w:t>
      </w:r>
    </w:p>
    <w:p w14:paraId="42776C6F" w14:textId="58888765" w:rsidR="007666A4" w:rsidRPr="007666A4" w:rsidRDefault="007666A4" w:rsidP="007666A4">
      <w:pPr>
        <w:pStyle w:val="SingleTxtG"/>
      </w:pPr>
      <w:r w:rsidRPr="007666A4">
        <w:t>68.</w:t>
      </w:r>
      <w:r w:rsidR="00A511EF">
        <w:tab/>
      </w:r>
      <w:r w:rsidRPr="007666A4">
        <w:t>En asociación activa con las fuerzas armadas se han abierto más de 20 puntos de emergencia (Puntos de Estabilización de Traumas o TSP, por sus siglas en inglés) que tratan, en coordinación con el servicio de medicina militar, a heridos civiles y militares en las zonas de operaciones.</w:t>
      </w:r>
    </w:p>
    <w:p w14:paraId="7A87B623" w14:textId="22856A1C" w:rsidR="007666A4" w:rsidRPr="007666A4" w:rsidRDefault="007666A4" w:rsidP="007666A4">
      <w:pPr>
        <w:pStyle w:val="SingleTxtG"/>
      </w:pPr>
      <w:r w:rsidRPr="007666A4">
        <w:t>69.</w:t>
      </w:r>
      <w:r w:rsidR="00A511EF">
        <w:tab/>
      </w:r>
      <w:r w:rsidRPr="007666A4">
        <w:t>El Ministerio de Salud distribuyó cupones gratuitos de atención sanitaria entre todos los desplazados en el Iraq, para que pudieran recibir sin costo atención primaria de la salud y servicios sanitarios integrales.</w:t>
      </w:r>
    </w:p>
    <w:p w14:paraId="4363586C" w14:textId="77777777" w:rsidR="007666A4" w:rsidRPr="007666A4" w:rsidRDefault="007666A4" w:rsidP="00A34845">
      <w:pPr>
        <w:pStyle w:val="H23G"/>
      </w:pPr>
      <w:r w:rsidRPr="007666A4">
        <w:tab/>
      </w:r>
      <w:r w:rsidRPr="007666A4">
        <w:tab/>
        <w:t xml:space="preserve">Circulación de los desplazados internos </w:t>
      </w:r>
    </w:p>
    <w:p w14:paraId="5543FCE0" w14:textId="09B66EE1" w:rsidR="007666A4" w:rsidRPr="007666A4" w:rsidRDefault="007666A4" w:rsidP="007666A4">
      <w:pPr>
        <w:pStyle w:val="SingleTxtG"/>
      </w:pPr>
      <w:r w:rsidRPr="007666A4">
        <w:t>70.</w:t>
      </w:r>
      <w:r w:rsidR="00A34845">
        <w:tab/>
      </w:r>
      <w:r w:rsidRPr="007666A4">
        <w:t>En lo que respecta a las restricciones impuestas a la libertad de circulación de los desplazados internos, cabe señalar que, durante el período en que el Dáesh tomó el control de extensas zonas de su territorio, el Iraq pasó por circunstancias excepcionales. Esta situación provocó un desplazamiento masivo de población a zonas más seguras. Debido a las operaciones militares a gran escala de las fuerzas de seguridad y el ejército iraquí para recuperar esas zonas, cientos de combatientes del Dáesh han huido infiltrados entre los desplazados, en algunos casos con el fin de cometer actos terroristas, que ya han perpetrado en numerosas ocasiones. Las medidas adoptadas por las autoridades iraquíes para verificar la información sobre estos infiltrados se inscriben en el marco de la protección de la seguridad nacional, el orden, la salud y la moral públicos y los derechos y las libertades de los demás.</w:t>
      </w:r>
      <w:r w:rsidRPr="007666A4">
        <w:rPr>
          <w:b/>
        </w:rPr>
        <w:t xml:space="preserve"> </w:t>
      </w:r>
      <w:r w:rsidRPr="007666A4">
        <w:t>En la región del Kurdistán no hay restricción alguna a la circulación dentro de la región. Se han adoptado algunas medidas de seguridad legales para reducir el riesgo de que el terrorismo ingrese a estas zonas y amenace la seguridad y la estabilidad de la región.</w:t>
      </w:r>
    </w:p>
    <w:p w14:paraId="2C490ED1" w14:textId="3E5DA2A3" w:rsidR="007666A4" w:rsidRPr="007666A4" w:rsidRDefault="007666A4" w:rsidP="007666A4">
      <w:pPr>
        <w:pStyle w:val="SingleTxtG"/>
      </w:pPr>
      <w:r w:rsidRPr="007666A4">
        <w:t>71.</w:t>
      </w:r>
      <w:r w:rsidR="00A34845">
        <w:tab/>
      </w:r>
      <w:r w:rsidRPr="007666A4">
        <w:t xml:space="preserve">El Gobierno del Iraq ha tomado una serie de medidas para garantizar que los desplazados internos disfruten del derecho a la educación, incluida la prórroga de los traslados hasta el final de las vacaciones de primavera para evitar la interrupción de los estudios. Las direcciones de educación coordinan su labor para proporcionar títulos de transporte a los estudiantes tras la liberación de sus zonas de origen en las provincias de Nínive, Al-Anbar, Salah al-Din y Kirkuk. Estas han recibido la instrucción de velar por el regreso del personal docente desplazado a sus provincias tras la liberación de esas zonas. También se ha garantizado la permanencia en las provincias de destino de los refugiados cuyos hogares hayan sido destruidos y que tengan hijos matriculados en estudios superiores en el año académico en curso. Se han abierto en las provincias 49 centros del programa “Tu derecho a la educación”, destinados a los niños de 10 a 18 años de las comunidades de desplazados y de acogida. El Ministerio de Educación estableció un centro de operaciones para ocuparse de los casos de estudiantes desplazados y tomó medidas específicas y prácticas para atender su situación, ayudarles a resolver sus problemas y asegurarles el regreso a sus </w:t>
      </w:r>
      <w:r w:rsidRPr="007666A4">
        <w:lastRenderedPageBreak/>
        <w:t>provincias de origen. Ello contribuyó a reinstaurar la normalidad y la estabilidad en esas provincias. Se han ejecutado programas socioculturales para promover una cultura de integración en la comunidad y la paz civil, así como programas de concienciación psicológica para colectivos sociales en las zonas liberadas, que incluyen talleres, investigaciones y estudios.</w:t>
      </w:r>
    </w:p>
    <w:p w14:paraId="09CA41EB" w14:textId="77B1D733" w:rsidR="007666A4" w:rsidRPr="007666A4" w:rsidRDefault="007666A4" w:rsidP="007666A4">
      <w:pPr>
        <w:pStyle w:val="SingleTxtG"/>
      </w:pPr>
      <w:r w:rsidRPr="007666A4">
        <w:t>72.</w:t>
      </w:r>
      <w:r w:rsidR="00A34845">
        <w:tab/>
      </w:r>
      <w:r w:rsidRPr="007666A4">
        <w:t xml:space="preserve">Con arreglo a las resoluciones de la Alta Comisión de Socorro y Acogida a las Familias Desplazadas, en los años 2014, 2015 y 2017, los fondos transferidos al Ministerio de Educación para los estudiantes desplazados ascendieron a 46.060 millones de dinares. Se pusieron en marcha una serie de programas destinados a los desplazados, incluido el Programa de Rehabilitación Comunitaria, el Programa de Microcrédito (2007-2009), el Programa de la Estrategia Nacional para la Reducción de la Pobreza y el Programa del Fondo de Apoyo a Pequeños Proyectos Generadores de Ingresos. </w:t>
      </w:r>
    </w:p>
    <w:p w14:paraId="2F4F8D9E" w14:textId="77777777" w:rsidR="007666A4" w:rsidRPr="007666A4" w:rsidRDefault="007666A4" w:rsidP="00A34845">
      <w:pPr>
        <w:pStyle w:val="H23G"/>
      </w:pPr>
      <w:r w:rsidRPr="007666A4">
        <w:tab/>
      </w:r>
      <w:r w:rsidRPr="007666A4">
        <w:tab/>
        <w:t xml:space="preserve">Satisfacción de las necesidades en materia educativa de los desplazados y los refugiados </w:t>
      </w:r>
    </w:p>
    <w:p w14:paraId="19F8B78C" w14:textId="32BBEAE7" w:rsidR="007666A4" w:rsidRPr="007666A4" w:rsidRDefault="007666A4" w:rsidP="007666A4">
      <w:pPr>
        <w:pStyle w:val="SingleTxtG"/>
      </w:pPr>
      <w:r w:rsidRPr="007666A4">
        <w:t>73.</w:t>
      </w:r>
      <w:r w:rsidR="00A34845">
        <w:tab/>
      </w:r>
      <w:r w:rsidRPr="007666A4">
        <w:t>El Ministerio de Educación Superior ha elaborado un plan para que las universidades de las zonas que no fueron atacadas y vandalizadas acojan e incorporen a los estudiantes de las universidades afectadas, y para establecer emplazamientos alternativos para las universidades afectadas. En la región del Kurdistán, 179.000 estudiantes desplazados prosiguen su aprendizaje en 100 escuelas de la región. El Ministerio de Educación del gobierno regional ha hecho incansables esfuerzos para atender las necesidades de los estudiantes desplazados, especialmente en materia de libros de texto, artículos de escritorio y pupitres, y coordinarse con las organizaciones para desarrollar el proceso educativo de los desplazados y reconstruir las instalaciones escolares en las zonas de destino en la provincia de Dehok.</w:t>
      </w:r>
    </w:p>
    <w:p w14:paraId="75A644D5" w14:textId="293F90C6" w:rsidR="007666A4" w:rsidRPr="007666A4" w:rsidRDefault="007666A4" w:rsidP="007666A4">
      <w:pPr>
        <w:pStyle w:val="SingleTxtG"/>
      </w:pPr>
      <w:r w:rsidRPr="007666A4">
        <w:t>74.</w:t>
      </w:r>
      <w:r w:rsidR="00A34845">
        <w:tab/>
      </w:r>
      <w:r w:rsidRPr="007666A4">
        <w:t>En 2018, después de la oleada de desplazamientos, el Ministerio de Educación del gobierno regional del Kurdistán abrió un gran número de escuelas para refugiados y desplazados, como se refleja en el siguiente cuadro</w:t>
      </w:r>
      <w:r w:rsidR="001577D2">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985"/>
        <w:gridCol w:w="2268"/>
        <w:gridCol w:w="3117"/>
      </w:tblGrid>
      <w:tr w:rsidR="00A34845" w:rsidRPr="00A34845" w14:paraId="5C38D238" w14:textId="77777777" w:rsidTr="00A34845">
        <w:trPr>
          <w:trHeight w:val="240"/>
          <w:tblHeader/>
        </w:trPr>
        <w:tc>
          <w:tcPr>
            <w:tcW w:w="1985" w:type="dxa"/>
            <w:tcBorders>
              <w:top w:val="single" w:sz="4" w:space="0" w:color="auto"/>
              <w:bottom w:val="single" w:sz="12" w:space="0" w:color="auto"/>
            </w:tcBorders>
            <w:shd w:val="clear" w:color="auto" w:fill="auto"/>
            <w:vAlign w:val="bottom"/>
          </w:tcPr>
          <w:p w14:paraId="06AB8A75" w14:textId="77777777" w:rsidR="007666A4" w:rsidRPr="00A34845" w:rsidRDefault="007666A4" w:rsidP="00A34845">
            <w:pPr>
              <w:pStyle w:val="SingleTxtG"/>
              <w:tabs>
                <w:tab w:val="clear" w:pos="1701"/>
                <w:tab w:val="clear" w:pos="2268"/>
                <w:tab w:val="clear" w:pos="2835"/>
              </w:tabs>
              <w:spacing w:before="80" w:after="80" w:line="200" w:lineRule="exact"/>
              <w:ind w:left="0" w:right="0"/>
              <w:jc w:val="left"/>
              <w:rPr>
                <w:i/>
                <w:iCs/>
                <w:sz w:val="16"/>
              </w:rPr>
            </w:pPr>
            <w:r w:rsidRPr="00A34845">
              <w:rPr>
                <w:i/>
                <w:sz w:val="16"/>
              </w:rPr>
              <w:t>Provincia</w:t>
            </w:r>
          </w:p>
        </w:tc>
        <w:tc>
          <w:tcPr>
            <w:tcW w:w="2268" w:type="dxa"/>
            <w:tcBorders>
              <w:top w:val="single" w:sz="4" w:space="0" w:color="auto"/>
              <w:bottom w:val="single" w:sz="12" w:space="0" w:color="auto"/>
            </w:tcBorders>
            <w:shd w:val="clear" w:color="auto" w:fill="auto"/>
            <w:vAlign w:val="bottom"/>
          </w:tcPr>
          <w:p w14:paraId="7DEB4D58" w14:textId="77777777" w:rsidR="007666A4" w:rsidRPr="00A34845" w:rsidRDefault="007666A4" w:rsidP="00A34845">
            <w:pPr>
              <w:pStyle w:val="SingleTxtG"/>
              <w:tabs>
                <w:tab w:val="clear" w:pos="1701"/>
                <w:tab w:val="clear" w:pos="2268"/>
                <w:tab w:val="clear" w:pos="2835"/>
              </w:tabs>
              <w:spacing w:before="80" w:after="80" w:line="200" w:lineRule="exact"/>
              <w:ind w:left="57" w:right="28"/>
              <w:jc w:val="right"/>
              <w:rPr>
                <w:i/>
                <w:iCs/>
                <w:sz w:val="16"/>
              </w:rPr>
            </w:pPr>
            <w:r w:rsidRPr="00A34845">
              <w:rPr>
                <w:i/>
                <w:sz w:val="16"/>
              </w:rPr>
              <w:t>Número de alumnos</w:t>
            </w:r>
          </w:p>
        </w:tc>
        <w:tc>
          <w:tcPr>
            <w:tcW w:w="3117" w:type="dxa"/>
            <w:tcBorders>
              <w:top w:val="single" w:sz="4" w:space="0" w:color="auto"/>
              <w:bottom w:val="single" w:sz="12" w:space="0" w:color="auto"/>
            </w:tcBorders>
            <w:shd w:val="clear" w:color="auto" w:fill="auto"/>
            <w:vAlign w:val="bottom"/>
          </w:tcPr>
          <w:p w14:paraId="47031491" w14:textId="77777777" w:rsidR="007666A4" w:rsidRPr="00A34845" w:rsidRDefault="007666A4" w:rsidP="00A34845">
            <w:pPr>
              <w:pStyle w:val="SingleTxtG"/>
              <w:tabs>
                <w:tab w:val="clear" w:pos="1701"/>
                <w:tab w:val="clear" w:pos="2268"/>
                <w:tab w:val="clear" w:pos="2835"/>
              </w:tabs>
              <w:spacing w:before="80" w:after="80" w:line="200" w:lineRule="exact"/>
              <w:ind w:left="57" w:right="28"/>
              <w:jc w:val="right"/>
              <w:rPr>
                <w:i/>
                <w:iCs/>
                <w:sz w:val="16"/>
              </w:rPr>
            </w:pPr>
            <w:r w:rsidRPr="00A34845">
              <w:rPr>
                <w:i/>
                <w:sz w:val="16"/>
              </w:rPr>
              <w:t>Número de escuelas</w:t>
            </w:r>
          </w:p>
        </w:tc>
      </w:tr>
      <w:tr w:rsidR="00A34845" w:rsidRPr="00A34845" w14:paraId="4F938378" w14:textId="77777777" w:rsidTr="00A34845">
        <w:trPr>
          <w:trHeight w:val="240"/>
        </w:trPr>
        <w:tc>
          <w:tcPr>
            <w:tcW w:w="1985" w:type="dxa"/>
            <w:tcBorders>
              <w:top w:val="single" w:sz="12" w:space="0" w:color="auto"/>
            </w:tcBorders>
            <w:shd w:val="clear" w:color="auto" w:fill="auto"/>
          </w:tcPr>
          <w:p w14:paraId="0AE59C7E" w14:textId="77777777" w:rsidR="007666A4" w:rsidRPr="00A34845" w:rsidRDefault="007666A4" w:rsidP="00A34845">
            <w:pPr>
              <w:pStyle w:val="SingleTxtG"/>
              <w:tabs>
                <w:tab w:val="clear" w:pos="1701"/>
                <w:tab w:val="clear" w:pos="2268"/>
                <w:tab w:val="clear" w:pos="2835"/>
              </w:tabs>
              <w:spacing w:before="40" w:after="40" w:line="220" w:lineRule="exact"/>
              <w:ind w:left="0" w:right="0"/>
              <w:jc w:val="left"/>
              <w:rPr>
                <w:sz w:val="18"/>
              </w:rPr>
            </w:pPr>
            <w:r w:rsidRPr="00A34845">
              <w:rPr>
                <w:sz w:val="18"/>
              </w:rPr>
              <w:t>Dehok</w:t>
            </w:r>
          </w:p>
        </w:tc>
        <w:tc>
          <w:tcPr>
            <w:tcW w:w="2268" w:type="dxa"/>
            <w:tcBorders>
              <w:top w:val="single" w:sz="12" w:space="0" w:color="auto"/>
            </w:tcBorders>
            <w:shd w:val="clear" w:color="auto" w:fill="auto"/>
            <w:vAlign w:val="bottom"/>
          </w:tcPr>
          <w:p w14:paraId="25B141B3" w14:textId="0FF2FE84" w:rsidR="007666A4" w:rsidRPr="00A34845" w:rsidRDefault="007666A4" w:rsidP="00A34845">
            <w:pPr>
              <w:pStyle w:val="SingleTxtG"/>
              <w:tabs>
                <w:tab w:val="clear" w:pos="1701"/>
                <w:tab w:val="clear" w:pos="2268"/>
                <w:tab w:val="clear" w:pos="2835"/>
              </w:tabs>
              <w:spacing w:before="40" w:after="40" w:line="220" w:lineRule="exact"/>
              <w:ind w:left="57" w:right="28"/>
              <w:jc w:val="right"/>
              <w:rPr>
                <w:sz w:val="18"/>
              </w:rPr>
            </w:pPr>
            <w:r w:rsidRPr="00A34845">
              <w:rPr>
                <w:sz w:val="18"/>
              </w:rPr>
              <w:t>90</w:t>
            </w:r>
            <w:r w:rsidR="00A34845">
              <w:rPr>
                <w:sz w:val="18"/>
              </w:rPr>
              <w:t xml:space="preserve"> </w:t>
            </w:r>
            <w:r w:rsidRPr="00A34845">
              <w:rPr>
                <w:sz w:val="18"/>
              </w:rPr>
              <w:t>120</w:t>
            </w:r>
          </w:p>
        </w:tc>
        <w:tc>
          <w:tcPr>
            <w:tcW w:w="3117" w:type="dxa"/>
            <w:tcBorders>
              <w:top w:val="single" w:sz="12" w:space="0" w:color="auto"/>
            </w:tcBorders>
            <w:shd w:val="clear" w:color="auto" w:fill="auto"/>
            <w:vAlign w:val="bottom"/>
          </w:tcPr>
          <w:p w14:paraId="1C324526" w14:textId="77777777" w:rsidR="007666A4" w:rsidRPr="00A34845" w:rsidRDefault="007666A4" w:rsidP="00A34845">
            <w:pPr>
              <w:pStyle w:val="SingleTxtG"/>
              <w:tabs>
                <w:tab w:val="clear" w:pos="1701"/>
                <w:tab w:val="clear" w:pos="2268"/>
                <w:tab w:val="clear" w:pos="2835"/>
              </w:tabs>
              <w:spacing w:before="40" w:after="40" w:line="220" w:lineRule="exact"/>
              <w:ind w:left="57" w:right="28"/>
              <w:jc w:val="right"/>
              <w:rPr>
                <w:sz w:val="18"/>
              </w:rPr>
            </w:pPr>
            <w:r w:rsidRPr="00A34845">
              <w:rPr>
                <w:sz w:val="18"/>
              </w:rPr>
              <w:t>220 escuelas y 15 escuelas- caravanas</w:t>
            </w:r>
          </w:p>
        </w:tc>
      </w:tr>
      <w:tr w:rsidR="00A34845" w:rsidRPr="00A34845" w14:paraId="27E2E86D" w14:textId="77777777" w:rsidTr="00A34845">
        <w:trPr>
          <w:trHeight w:val="240"/>
        </w:trPr>
        <w:tc>
          <w:tcPr>
            <w:tcW w:w="1985" w:type="dxa"/>
            <w:shd w:val="clear" w:color="auto" w:fill="auto"/>
          </w:tcPr>
          <w:p w14:paraId="69276311" w14:textId="77777777" w:rsidR="007666A4" w:rsidRPr="00A34845" w:rsidRDefault="007666A4" w:rsidP="00A34845">
            <w:pPr>
              <w:pStyle w:val="SingleTxtG"/>
              <w:tabs>
                <w:tab w:val="clear" w:pos="1701"/>
                <w:tab w:val="clear" w:pos="2268"/>
                <w:tab w:val="clear" w:pos="2835"/>
              </w:tabs>
              <w:spacing w:before="40" w:after="40" w:line="220" w:lineRule="exact"/>
              <w:ind w:left="0" w:right="0"/>
              <w:jc w:val="left"/>
              <w:rPr>
                <w:sz w:val="18"/>
              </w:rPr>
            </w:pPr>
            <w:r w:rsidRPr="00A34845">
              <w:rPr>
                <w:sz w:val="18"/>
              </w:rPr>
              <w:t>Erbil</w:t>
            </w:r>
          </w:p>
        </w:tc>
        <w:tc>
          <w:tcPr>
            <w:tcW w:w="2268" w:type="dxa"/>
            <w:shd w:val="clear" w:color="auto" w:fill="auto"/>
            <w:vAlign w:val="bottom"/>
          </w:tcPr>
          <w:p w14:paraId="2710602A" w14:textId="781AB955" w:rsidR="007666A4" w:rsidRPr="00A34845" w:rsidRDefault="007666A4" w:rsidP="00A34845">
            <w:pPr>
              <w:pStyle w:val="SingleTxtG"/>
              <w:tabs>
                <w:tab w:val="clear" w:pos="1701"/>
                <w:tab w:val="clear" w:pos="2268"/>
                <w:tab w:val="clear" w:pos="2835"/>
              </w:tabs>
              <w:spacing w:before="40" w:after="40" w:line="220" w:lineRule="exact"/>
              <w:ind w:left="57" w:right="28"/>
              <w:jc w:val="right"/>
              <w:rPr>
                <w:sz w:val="18"/>
              </w:rPr>
            </w:pPr>
            <w:r w:rsidRPr="00A34845">
              <w:rPr>
                <w:sz w:val="18"/>
              </w:rPr>
              <w:t>74</w:t>
            </w:r>
            <w:r w:rsidR="00A34845">
              <w:rPr>
                <w:sz w:val="18"/>
              </w:rPr>
              <w:t xml:space="preserve"> </w:t>
            </w:r>
            <w:r w:rsidRPr="00A34845">
              <w:rPr>
                <w:sz w:val="18"/>
              </w:rPr>
              <w:t>000</w:t>
            </w:r>
          </w:p>
        </w:tc>
        <w:tc>
          <w:tcPr>
            <w:tcW w:w="3117" w:type="dxa"/>
            <w:shd w:val="clear" w:color="auto" w:fill="auto"/>
            <w:vAlign w:val="bottom"/>
          </w:tcPr>
          <w:p w14:paraId="3A45EEB2" w14:textId="77777777" w:rsidR="007666A4" w:rsidRPr="00A34845" w:rsidRDefault="007666A4" w:rsidP="00A34845">
            <w:pPr>
              <w:pStyle w:val="SingleTxtG"/>
              <w:tabs>
                <w:tab w:val="clear" w:pos="1701"/>
                <w:tab w:val="clear" w:pos="2268"/>
                <w:tab w:val="clear" w:pos="2835"/>
              </w:tabs>
              <w:spacing w:before="40" w:after="40" w:line="220" w:lineRule="exact"/>
              <w:ind w:left="57" w:right="28"/>
              <w:jc w:val="right"/>
              <w:rPr>
                <w:sz w:val="18"/>
              </w:rPr>
            </w:pPr>
            <w:r w:rsidRPr="00A34845">
              <w:rPr>
                <w:sz w:val="18"/>
              </w:rPr>
              <w:t>67 escuelas</w:t>
            </w:r>
          </w:p>
        </w:tc>
      </w:tr>
      <w:tr w:rsidR="00A34845" w:rsidRPr="00A34845" w14:paraId="7C7AE41F" w14:textId="77777777" w:rsidTr="00A34845">
        <w:trPr>
          <w:trHeight w:val="240"/>
        </w:trPr>
        <w:tc>
          <w:tcPr>
            <w:tcW w:w="1985" w:type="dxa"/>
            <w:tcBorders>
              <w:bottom w:val="single" w:sz="12" w:space="0" w:color="auto"/>
            </w:tcBorders>
            <w:shd w:val="clear" w:color="auto" w:fill="auto"/>
          </w:tcPr>
          <w:p w14:paraId="46FB5532" w14:textId="77777777" w:rsidR="007666A4" w:rsidRPr="00A34845" w:rsidRDefault="007666A4" w:rsidP="00A34845">
            <w:pPr>
              <w:pStyle w:val="SingleTxtG"/>
              <w:tabs>
                <w:tab w:val="clear" w:pos="1701"/>
                <w:tab w:val="clear" w:pos="2268"/>
                <w:tab w:val="clear" w:pos="2835"/>
              </w:tabs>
              <w:spacing w:before="40" w:after="40" w:line="220" w:lineRule="exact"/>
              <w:ind w:left="0" w:right="0"/>
              <w:jc w:val="left"/>
              <w:rPr>
                <w:sz w:val="18"/>
              </w:rPr>
            </w:pPr>
            <w:r w:rsidRPr="00A34845">
              <w:rPr>
                <w:sz w:val="18"/>
              </w:rPr>
              <w:t>Sulaymaniya</w:t>
            </w:r>
          </w:p>
        </w:tc>
        <w:tc>
          <w:tcPr>
            <w:tcW w:w="2268" w:type="dxa"/>
            <w:tcBorders>
              <w:bottom w:val="single" w:sz="12" w:space="0" w:color="auto"/>
            </w:tcBorders>
            <w:shd w:val="clear" w:color="auto" w:fill="auto"/>
            <w:vAlign w:val="bottom"/>
          </w:tcPr>
          <w:p w14:paraId="33003076" w14:textId="3444F89A" w:rsidR="007666A4" w:rsidRPr="00A34845" w:rsidRDefault="007666A4" w:rsidP="00A34845">
            <w:pPr>
              <w:pStyle w:val="SingleTxtG"/>
              <w:tabs>
                <w:tab w:val="clear" w:pos="1701"/>
                <w:tab w:val="clear" w:pos="2268"/>
                <w:tab w:val="clear" w:pos="2835"/>
              </w:tabs>
              <w:spacing w:before="40" w:after="40" w:line="220" w:lineRule="exact"/>
              <w:ind w:left="57" w:right="28"/>
              <w:jc w:val="right"/>
              <w:rPr>
                <w:sz w:val="18"/>
              </w:rPr>
            </w:pPr>
            <w:r w:rsidRPr="00A34845">
              <w:rPr>
                <w:sz w:val="18"/>
              </w:rPr>
              <w:t>52</w:t>
            </w:r>
            <w:r w:rsidR="00A34845">
              <w:rPr>
                <w:sz w:val="18"/>
              </w:rPr>
              <w:t xml:space="preserve"> </w:t>
            </w:r>
            <w:r w:rsidRPr="00A34845">
              <w:rPr>
                <w:sz w:val="18"/>
              </w:rPr>
              <w:t>000</w:t>
            </w:r>
          </w:p>
        </w:tc>
        <w:tc>
          <w:tcPr>
            <w:tcW w:w="3117" w:type="dxa"/>
            <w:tcBorders>
              <w:bottom w:val="single" w:sz="12" w:space="0" w:color="auto"/>
            </w:tcBorders>
            <w:shd w:val="clear" w:color="auto" w:fill="auto"/>
            <w:vAlign w:val="bottom"/>
          </w:tcPr>
          <w:p w14:paraId="294FFBC8" w14:textId="77777777" w:rsidR="007666A4" w:rsidRPr="00A34845" w:rsidRDefault="007666A4" w:rsidP="00A34845">
            <w:pPr>
              <w:pStyle w:val="SingleTxtG"/>
              <w:tabs>
                <w:tab w:val="clear" w:pos="1701"/>
                <w:tab w:val="clear" w:pos="2268"/>
                <w:tab w:val="clear" w:pos="2835"/>
              </w:tabs>
              <w:spacing w:before="40" w:after="40" w:line="220" w:lineRule="exact"/>
              <w:ind w:left="57" w:right="28"/>
              <w:jc w:val="right"/>
              <w:rPr>
                <w:sz w:val="18"/>
              </w:rPr>
            </w:pPr>
            <w:r w:rsidRPr="00A34845">
              <w:rPr>
                <w:sz w:val="18"/>
              </w:rPr>
              <w:t>81 escuelas</w:t>
            </w:r>
          </w:p>
        </w:tc>
      </w:tr>
    </w:tbl>
    <w:p w14:paraId="1F72579A" w14:textId="77777777" w:rsidR="007666A4" w:rsidRPr="007666A4" w:rsidRDefault="007666A4" w:rsidP="00A34845">
      <w:pPr>
        <w:pStyle w:val="SingleTxtG"/>
        <w:spacing w:before="240"/>
      </w:pPr>
      <w:r w:rsidRPr="007666A4">
        <w:t>Por otra parte, en 650 escuelas de la provincia de Dehok y otras 100 escuelas de los distritos y subdistritos de las provincias de Erbil y Sulaymaniya en las que se establecieron desplazados había actividad lectiva, pero las clases no se iniciaron sino después de una larga demora.</w:t>
      </w:r>
    </w:p>
    <w:p w14:paraId="00976B57" w14:textId="10647317" w:rsidR="007666A4" w:rsidRPr="007666A4" w:rsidRDefault="007666A4" w:rsidP="007666A4">
      <w:pPr>
        <w:pStyle w:val="SingleTxtG"/>
      </w:pPr>
      <w:r w:rsidRPr="007666A4">
        <w:t>75.</w:t>
      </w:r>
      <w:r w:rsidR="00A34845">
        <w:tab/>
      </w:r>
      <w:r w:rsidRPr="007666A4">
        <w:t xml:space="preserve">Atendiendo a la invitación permanente cursada por el Gobierno de la República del Iraq a los relatores especiales, el país recibió la visita, del 15 al 23 de febrero de 2020, de la Relatora Especial sobre los derechos humanos de los desplazados internos. La Relatora se reunió con los ministerios y organismos competentes, del Gobierno federal y de la región del Kurdistán, y con organizaciones de la sociedad civil y, en su informe preliminar sobre la visita, elogió los esfuerzos del Gobierno iraquí y sus numerosas iniciativas y medidas para proteger los derechos de los desplazados. </w:t>
      </w:r>
    </w:p>
    <w:p w14:paraId="4BFDAB84" w14:textId="77777777" w:rsidR="007666A4" w:rsidRPr="007666A4" w:rsidRDefault="007666A4" w:rsidP="00A34845">
      <w:pPr>
        <w:pStyle w:val="H23G"/>
      </w:pPr>
      <w:r w:rsidRPr="007666A4">
        <w:tab/>
      </w:r>
      <w:r w:rsidRPr="007666A4">
        <w:tab/>
        <w:t>Recomendación que figura</w:t>
      </w:r>
      <w:r w:rsidRPr="007666A4" w:rsidDel="00D35640">
        <w:t xml:space="preserve"> </w:t>
      </w:r>
      <w:r w:rsidRPr="007666A4">
        <w:t>en el párrafo 26</w:t>
      </w:r>
    </w:p>
    <w:p w14:paraId="5DA9C8A9" w14:textId="297E825D" w:rsidR="007666A4" w:rsidRPr="007666A4" w:rsidRDefault="007666A4" w:rsidP="007666A4">
      <w:pPr>
        <w:pStyle w:val="SingleTxtG"/>
      </w:pPr>
      <w:r w:rsidRPr="007666A4">
        <w:t>76.</w:t>
      </w:r>
      <w:r w:rsidR="00A34845">
        <w:tab/>
      </w:r>
      <w:r w:rsidRPr="007666A4">
        <w:t>El Comité de Seguimiento y Aplicación de la Reconciliación Nacional ha llevado a cabo una exhaustiva labor institucional, en la que ha abordado los expedientes más importantes, en particular los relacionados con las entidades disueltas del régimen anterior. La reconciliación nacional en el Iraq se articulará en torno a un acuerdo global y a la seguridad integral, merced a una participación amplia, la resolución de las crisis entre las fuerzas negociadoras, dolorosas concesiones por todas las partes y el arreglo pacífico del conflicto, que supone abandonar la violencia como herramienta política en favor de una solución política.</w:t>
      </w:r>
    </w:p>
    <w:p w14:paraId="5583DB4D" w14:textId="647174E7" w:rsidR="007666A4" w:rsidRPr="007666A4" w:rsidRDefault="007666A4" w:rsidP="00B92B62">
      <w:pPr>
        <w:pStyle w:val="SingleTxtG"/>
        <w:spacing w:after="130"/>
      </w:pPr>
      <w:r w:rsidRPr="007666A4">
        <w:lastRenderedPageBreak/>
        <w:t>77.</w:t>
      </w:r>
      <w:r w:rsidR="00A34845">
        <w:tab/>
      </w:r>
      <w:r w:rsidRPr="007666A4">
        <w:t xml:space="preserve">En cooperación con la Misión de Asistencia de las Naciones Unidas para el Iraq (UNAMI), el Comité se puso en contacto con diversas partes, dentro y fuera del proceso político, directamente o por medio de intermediarios, con el fin de llegar a entendimientos preliminares para alcanzar la reconciliación nacional, dentro del marco de la Constitución. Esos esfuerzos han dado lugar a entendimientos y demandas iniciales que servirán de base a la negociación, y que se complementarán o desarrollarán en el curso de las negociaciones. </w:t>
      </w:r>
    </w:p>
    <w:p w14:paraId="3E8105FE" w14:textId="32F83115" w:rsidR="007666A4" w:rsidRPr="007666A4" w:rsidRDefault="007666A4" w:rsidP="00B92B62">
      <w:pPr>
        <w:pStyle w:val="SingleTxtG"/>
        <w:spacing w:after="130"/>
      </w:pPr>
      <w:r w:rsidRPr="007666A4">
        <w:t>78.</w:t>
      </w:r>
      <w:r w:rsidR="00A34845">
        <w:tab/>
      </w:r>
      <w:r w:rsidRPr="007666A4">
        <w:t>Teniendo presentes los resultados de las iniciativas anteriores, se aprobó, en asociación con la UNAMI, la Iniciativa de Acuerdo Nacional, un arreglo político y comunitario nacional que tiene por objeto logar un Iraq que permita una coexistencia sin violencia ni lealtades a partes ajenas, en que los diversos grupos de la sociedad (étnicos, religiosos y comunitarios), incluidas las mujeres, los jóvenes y las organizaciones de la sociedad civil participen de la instauración de la paz civil y el establecimiento de un Estado fundado en la ciudadanía y las instituciones.</w:t>
      </w:r>
    </w:p>
    <w:p w14:paraId="76CFC620" w14:textId="1BA69961" w:rsidR="007666A4" w:rsidRPr="007666A4" w:rsidRDefault="007666A4" w:rsidP="00B92B62">
      <w:pPr>
        <w:pStyle w:val="SingleTxtG"/>
        <w:spacing w:after="130"/>
      </w:pPr>
      <w:r w:rsidRPr="007666A4">
        <w:t>79.</w:t>
      </w:r>
      <w:r w:rsidR="00A34845">
        <w:tab/>
      </w:r>
      <w:r w:rsidRPr="007666A4">
        <w:t>En 2017, el Ministerio de Relaciones Exteriores organizó en Bagdad, junto con la Organización de Cooperación Islámica (OCI), la Conferencia de las Elites Nacionales Iraquíes. La mayoría de los párrafos de su documento final contienen recomendaciones sobre los derechos humanos en el Iraq, incluido el respeto y la protección de estos derechos, la adhesión a los valores de la coexistencia, la tolerancia, la fraternidad, la aceptación de los demás, el rechazo de la violencia como medio de resolver los problemas sociales y políticos, y el derecho de voto de los ciudadanos.</w:t>
      </w:r>
    </w:p>
    <w:p w14:paraId="1BF0A633" w14:textId="5A732E41" w:rsidR="007666A4" w:rsidRPr="007666A4" w:rsidRDefault="007666A4" w:rsidP="00B92B62">
      <w:pPr>
        <w:pStyle w:val="SingleTxtG"/>
        <w:spacing w:after="130"/>
      </w:pPr>
      <w:r w:rsidRPr="007666A4">
        <w:t>80.</w:t>
      </w:r>
      <w:r w:rsidR="00A34845">
        <w:tab/>
      </w:r>
      <w:r w:rsidRPr="007666A4">
        <w:t xml:space="preserve">El 17 de mayo de 2018, se anunció, en el marco de la reunión de seguimiento sobre la aplicación de las decisiones acerca de la llanura de Nínive, organizada en 2018 bajo la dirección del Primer Ministro en el subdistrito de Bartella, en presencia de representantes de las comunidades de toda la llanura y del Director General del Programa de las Naciones Unidas para el Desarrollo (PNUD), la constitución del Consejo de Ancianos por la Paz en la Llanura de Nínive. También se anunció la formación de comités locales de paz en la provincia de Nínive, la llanura de Nínive y el distrito de Sinyar, sin marginar a ninguna comunidad. Ello se sumó a los demás esfuerzos realizados por organizaciones de la sociedad civil y el Gobierno en el contexto de la labor de consolidación de la paz, la coexistencia pacífica y la cohesión social. </w:t>
      </w:r>
    </w:p>
    <w:p w14:paraId="3F573308" w14:textId="2F63C74F" w:rsidR="007666A4" w:rsidRPr="007666A4" w:rsidRDefault="007666A4" w:rsidP="00B92B62">
      <w:pPr>
        <w:pStyle w:val="SingleTxtG"/>
        <w:spacing w:after="130"/>
      </w:pPr>
      <w:r w:rsidRPr="007666A4">
        <w:t>81.</w:t>
      </w:r>
      <w:r w:rsidR="00A34845">
        <w:tab/>
      </w:r>
      <w:r w:rsidRPr="007666A4">
        <w:t xml:space="preserve">La Oficina de Coordinación e Información para la Reconciliación Nacional de la provincia de Nínive ha abierto y pavimentado varias carreteras nacionales y ha restaurado o construido escuelas e instalaciones públicas en la llanura de Nínive. </w:t>
      </w:r>
    </w:p>
    <w:p w14:paraId="0F4D9C4A" w14:textId="748A39AA" w:rsidR="007666A4" w:rsidRPr="007666A4" w:rsidRDefault="007666A4" w:rsidP="00B92B62">
      <w:pPr>
        <w:pStyle w:val="SingleTxtG"/>
        <w:spacing w:after="130"/>
      </w:pPr>
      <w:r w:rsidRPr="007666A4">
        <w:t>82.</w:t>
      </w:r>
      <w:r w:rsidR="00A34845">
        <w:tab/>
      </w:r>
      <w:r w:rsidRPr="007666A4">
        <w:t xml:space="preserve">En marzo de 2018, los habitantes de la llanura de Nínive firmaron el documento de coexistencia pacífica en la llanura de Nínive, que hace hincapié en la unidad nacional, el inicio de la reconstrucción y la buena fe. El documento contempla: tipificar como delito el sectarismo y el racismo y rechazar la violencia practicada por el Dáesh, así como el odio y el rencor; crear una situación de armonía y concierto social y una mentalidad abierta; eliminar todo rastro del régimen del Dáesh de todos los aspectos de la vida cotidiana; adoptar un nuevo modo de pensar colectivo; modernizar el discurso religioso y los medios de comunicación en toda Nínive, fortaleciendo el papel de la sociedad civil en la promoción de un espíritu de armonía y cooperación; trabajar de manera conjunta para garantizar a todos los ciudadanos el derecho a una vida libre, digna, segura y estable y a recibir una indemnización por los daños y perjuicios sufridos; repudiar los delitos de desplazamiento forzado y contra todas las comunidades de la llanura de Nínive, como cristianos, shabak, yazidíes, turcomanos, kakai, kurdos y árabes; hacer cumplir la legislación y aprobar leyes lo más rápido posible para eliminar cualquier vestigio de la ocupación del Dáesh; modificar la legislación y reformar el poder judicial, con miras a exigir responsabilidades a todos los autores de los delitos cometidos al amparo del Dáesh; aplicar la legislación y las sentencias judiciales; recurrir a la razón para resolver los abusos individuales; remitirse a los entendidos y personas eminentes; llegar a una solución consensuada de los conflictos sociales; confiar al poder judicial y la policía local la lucha contra la delincuencia penal y rechazar la militarización de la sociedad; y encomendar las decisiones administrativas a las instituciones de gobierno local, los consejos locales y los responsables de las delegaciones administrativas. </w:t>
      </w:r>
    </w:p>
    <w:p w14:paraId="2F718951" w14:textId="41CEA457" w:rsidR="007666A4" w:rsidRPr="007666A4" w:rsidRDefault="007666A4" w:rsidP="00B92B62">
      <w:pPr>
        <w:pStyle w:val="SingleTxtG"/>
        <w:keepNext/>
        <w:keepLines/>
        <w:rPr>
          <w:u w:val="single"/>
        </w:rPr>
      </w:pPr>
      <w:r w:rsidRPr="007666A4">
        <w:lastRenderedPageBreak/>
        <w:t>83.</w:t>
      </w:r>
      <w:r w:rsidR="00A34845">
        <w:tab/>
      </w:r>
      <w:r w:rsidRPr="007666A4">
        <w:rPr>
          <w:b/>
          <w:bCs/>
        </w:rPr>
        <w:t>Violaciones perpetradas por el Dáesh:</w:t>
      </w:r>
      <w:r w:rsidRPr="007666A4">
        <w:t xml:space="preserve"> La Oficina de la Mujer y la Reconciliación Nacional distribuyó ayuda a más de 2.500 familias desplazadas y organizó talleres de costura, informática y cocina para las mujeres desplazadas. Con la aprobación especial del Ministro de Trabajo, les proporcionó microcréditos de 3 a 5 millones de dinares iraquíes para que emprendieran pequeños proyectos, impartió talleres de capacitación a 75 mujeres con el mismo fin, y distribuyó máquinas de coser y materiales para que iniciaran una actividad generadora de ingresos.</w:t>
      </w:r>
    </w:p>
    <w:p w14:paraId="31ADB860" w14:textId="2D1F8E7E" w:rsidR="007666A4" w:rsidRPr="007666A4" w:rsidRDefault="007666A4" w:rsidP="007666A4">
      <w:pPr>
        <w:pStyle w:val="SingleTxtG"/>
      </w:pPr>
      <w:r w:rsidRPr="007666A4">
        <w:t>84.</w:t>
      </w:r>
      <w:r w:rsidR="00A34845">
        <w:tab/>
      </w:r>
      <w:r w:rsidRPr="007666A4">
        <w:rPr>
          <w:b/>
          <w:bCs/>
        </w:rPr>
        <w:t>Protección de las minorías:</w:t>
      </w:r>
      <w:r w:rsidRPr="007666A4">
        <w:t xml:space="preserve"> Incumbe al Estado la protección de la sociedad, los ciudadanos y todas las personas contra los autores de delitos mediante la legislación penal vigente. Las leyes protegen los derechos de las minorías y, en particular, pretenden eliminar todo el impacto negativo de las decisiones injustas del régimen anterior contra la comunidad kurda feylí del Iraq, reviviendo y documentando la memoria del genocidio perpetrado por ese régimen contra dicha comunidad. También cabe insistir en la importancia de los medios de comunicación oficiales para arrojar luz sobre esos delitos mediante programas y campañas, y mencionar la aplicación de las decisiones del Consejo de Ministros núms.</w:t>
      </w:r>
      <w:r w:rsidR="00447452">
        <w:t> </w:t>
      </w:r>
      <w:r w:rsidRPr="007666A4">
        <w:t xml:space="preserve">157/2017 y 93/2016, sobre la reincorporación de funcionarios cristianos a sus puestos en la región del Kurdistán iraquí. El plazo para acogerse a esas disposiciones se ha prorrogado, y ambas decisiones se han hecho circular entre los departamentos y órganos ministeriales, para que adoptaran las medidas del caso. </w:t>
      </w:r>
    </w:p>
    <w:p w14:paraId="70870D71" w14:textId="2EAA3391" w:rsidR="007666A4" w:rsidRPr="007666A4" w:rsidRDefault="007666A4" w:rsidP="007666A4">
      <w:pPr>
        <w:pStyle w:val="SingleTxtG"/>
      </w:pPr>
      <w:r w:rsidRPr="007666A4">
        <w:t>85.</w:t>
      </w:r>
      <w:r w:rsidR="00A34845">
        <w:tab/>
      </w:r>
      <w:r w:rsidRPr="007666A4">
        <w:t>El Consejo Superior de la Magistratura ha establecido en las jurisdicciones de apelación tribunales de apelación especializados en las diferentes materias, que tienen la tarea de investigar los delitos contra las minorías, así como tribunales de instrucción contra el terrorismo.</w:t>
      </w:r>
    </w:p>
    <w:p w14:paraId="081BAEB3" w14:textId="70A6ABFC" w:rsidR="007666A4" w:rsidRPr="007666A4" w:rsidRDefault="007666A4" w:rsidP="007666A4">
      <w:pPr>
        <w:pStyle w:val="SingleTxtG"/>
      </w:pPr>
      <w:r w:rsidRPr="007666A4">
        <w:t>86.</w:t>
      </w:r>
      <w:r w:rsidR="00A34845">
        <w:tab/>
      </w:r>
      <w:r w:rsidRPr="007666A4">
        <w:t>Se procura la rehabilitación psicológica de las mujeres y las niñas que han sido víctimas de abusos y agresiones por parte de las bandas terroristas del Dáesh. En este sentido, cabe referirse a las elecciones a la Cámara de Representantes celebradas el 12 de mayo de</w:t>
      </w:r>
      <w:r w:rsidR="00447452">
        <w:t> </w:t>
      </w:r>
      <w:r w:rsidRPr="007666A4">
        <w:t xml:space="preserve">2018 en las que, de un total de 329 escaños, 9 correspondieron a las minorías y el 25 % del total a mujeres. </w:t>
      </w:r>
    </w:p>
    <w:p w14:paraId="2909CC3D" w14:textId="5761A6B7" w:rsidR="007666A4" w:rsidRPr="007666A4" w:rsidRDefault="007666A4" w:rsidP="007666A4">
      <w:pPr>
        <w:pStyle w:val="SingleTxtG"/>
      </w:pPr>
      <w:r w:rsidRPr="007666A4">
        <w:t>87.</w:t>
      </w:r>
      <w:r w:rsidR="00A34845">
        <w:tab/>
      </w:r>
      <w:r w:rsidRPr="007666A4">
        <w:t>Las bandas del Dáesh perpetraron delitos contra las minorías (comunidades) del Iraq, sobre todo contra los yazidíes y cristianos, incluido el secuestro (según datos del gobierno regional del Kurdistán) de 6.417 yazidíes, 3.548 de ellos mujeres. Hasta junio de 2018, habían sido liberadas 3.300 personas, (mujeres, hombres, niñas y niños), que todavía sufren diversos problemas psicológicos y físicos. Hasta abril de 2017, el gobierno regional del Kurdistán había registrado unos 250 secuestros de cristianos en la llanura de Nínive. Se han adoptado medidas para prestar la asistencia necesaria a las mujeres y niñas víctimas liberadas de las bandas terroristas del Dáesh, así como a los niños retenidos por estas bandas, con miras a su recuperación física y psicológica y su reinserción. Las 1.529 mujeres yazidíes que sufrieron la violencia de las bandas terroristas del Dáesh y las 88 mujeres de la comunidad shabak que sobrevivieron a la brutalidad de estas bandas quedaron amparadas por la Ley núm. 11/2014 de Protección Social.</w:t>
      </w:r>
    </w:p>
    <w:p w14:paraId="77ED1760" w14:textId="5DEDEC6E" w:rsidR="007666A4" w:rsidRPr="007666A4" w:rsidRDefault="007666A4" w:rsidP="007666A4">
      <w:pPr>
        <w:pStyle w:val="SingleTxtG"/>
      </w:pPr>
      <w:r w:rsidRPr="007666A4">
        <w:t>88.</w:t>
      </w:r>
      <w:r w:rsidR="00A34845">
        <w:tab/>
      </w:r>
      <w:r w:rsidRPr="007666A4">
        <w:t xml:space="preserve">El </w:t>
      </w:r>
      <w:r w:rsidR="000503F1">
        <w:t>i</w:t>
      </w:r>
      <w:r w:rsidRPr="007666A4">
        <w:t xml:space="preserve">slam es la religión oficial del Estado, y la Constitución garantiza la preservación de la identidad islámica y los plenos derechos religiosos de todas las personas (cristianas, yazidíes y sabeo-mandeos) en materia de libertad de creencias y prácticas religiosas. </w:t>
      </w:r>
    </w:p>
    <w:p w14:paraId="5DA6A832" w14:textId="7C3B5822" w:rsidR="007666A4" w:rsidRPr="007666A4" w:rsidRDefault="007666A4" w:rsidP="007666A4">
      <w:pPr>
        <w:pStyle w:val="SingleTxtG"/>
      </w:pPr>
      <w:r w:rsidRPr="007666A4">
        <w:t>89.</w:t>
      </w:r>
      <w:r w:rsidR="00A34845">
        <w:tab/>
      </w:r>
      <w:r w:rsidRPr="007666A4">
        <w:t xml:space="preserve">El Consejo de Ministros dictó la resolución núm. 92/2014, por la que se reconoce que las comunidades iraquíes yazidí, turcomana, cristiana y shabak, entre otras, fueron víctimas de un delito de genocidio a manos de las bandas terroristas del Dáesh. </w:t>
      </w:r>
    </w:p>
    <w:p w14:paraId="5D8F7CC6" w14:textId="20960333" w:rsidR="007666A4" w:rsidRPr="007666A4" w:rsidRDefault="007666A4" w:rsidP="007666A4">
      <w:pPr>
        <w:pStyle w:val="SingleTxtG"/>
      </w:pPr>
      <w:r w:rsidRPr="007666A4">
        <w:t>90.</w:t>
      </w:r>
      <w:r w:rsidR="00A34845">
        <w:tab/>
      </w:r>
      <w:r w:rsidRPr="007666A4">
        <w:t xml:space="preserve">El Gobierno del Iraq ha abonado los salarios de los funcionarios desplazados de las zonas controladas por las bandas terroristas del Dáesh, emitiendo tarjetas electrónicas que les permitían cobrarlos en las zonas de desplazamiento. Las instituciones estatales del centro y el sur del país absorbieron a los funcionarios procedentes de las zonas de las que se habían apoderado las bandas terroristas del Dáesh. </w:t>
      </w:r>
    </w:p>
    <w:p w14:paraId="64B2A65F" w14:textId="0D433FB7" w:rsidR="007666A4" w:rsidRPr="007666A4" w:rsidRDefault="007666A4" w:rsidP="00447452">
      <w:pPr>
        <w:pStyle w:val="SingleTxtG"/>
        <w:spacing w:after="130"/>
      </w:pPr>
      <w:r w:rsidRPr="007666A4">
        <w:t>91.</w:t>
      </w:r>
      <w:r w:rsidR="00A34845">
        <w:tab/>
      </w:r>
      <w:r w:rsidRPr="007666A4">
        <w:t xml:space="preserve">El Gobierno del Iraq ha hecho grandes esfuerzos para hacer respetar la seguridad y el estado de derecho en el territorio iraquí. Con tal fin, ha llevado a cabo operaciones para liberar zonas controladas por las bandas terroristas del Dáesh y preservar la seguridad de los </w:t>
      </w:r>
      <w:r w:rsidRPr="007666A4">
        <w:lastRenderedPageBreak/>
        <w:t xml:space="preserve">ciudadanos; entre las zonas liberadas cabe mencionar las pertenecientes a las provincias de Diyala, Salah al-Din, Al-Anbar y Nínive. </w:t>
      </w:r>
    </w:p>
    <w:p w14:paraId="34A580AD" w14:textId="7DB1228B" w:rsidR="007666A4" w:rsidRPr="007666A4" w:rsidRDefault="007666A4" w:rsidP="00447452">
      <w:pPr>
        <w:pStyle w:val="SingleTxtG"/>
        <w:spacing w:after="130"/>
      </w:pPr>
      <w:r w:rsidRPr="007666A4">
        <w:t>92.</w:t>
      </w:r>
      <w:r w:rsidR="00A34845">
        <w:tab/>
      </w:r>
      <w:r w:rsidRPr="007666A4">
        <w:t xml:space="preserve">El 24 de septiembre de 2011, la Cámara de Representantes formó una comisión para preparar un proyecto de ley destinado a regular los derechos administrativos, políticos, culturales y educativos de diversas comunidades, de conformidad con el artículo 125 de la Constitución. Asimismo, varios diputados presentaron un proyecto de ley similar para regular los derechos de las comunidades siríaco-caldea, asiria y armenia conforme al artículo citado. </w:t>
      </w:r>
    </w:p>
    <w:p w14:paraId="4C46317B" w14:textId="4F6802BD" w:rsidR="007666A4" w:rsidRPr="007666A4" w:rsidRDefault="007666A4" w:rsidP="00447452">
      <w:pPr>
        <w:pStyle w:val="SingleTxtG"/>
        <w:spacing w:after="130"/>
      </w:pPr>
      <w:r w:rsidRPr="007666A4">
        <w:t>93.</w:t>
      </w:r>
      <w:r w:rsidR="00A34845">
        <w:tab/>
      </w:r>
      <w:r w:rsidRPr="007666A4">
        <w:t xml:space="preserve">El proyecto de ley que protege los derechos de las minorías religiosas y étnicas sigue en el parlamento. En la región del Kurdistán se aprobó la Ley núm. 5/2015, de los Derechos de las Comunidades Étnicas. </w:t>
      </w:r>
    </w:p>
    <w:p w14:paraId="3BE52436" w14:textId="3533B483" w:rsidR="007666A4" w:rsidRPr="007666A4" w:rsidRDefault="007666A4" w:rsidP="00447452">
      <w:pPr>
        <w:pStyle w:val="SingleTxtG"/>
        <w:spacing w:after="130"/>
      </w:pPr>
      <w:r w:rsidRPr="007666A4">
        <w:t>94.</w:t>
      </w:r>
      <w:r w:rsidR="00A34845">
        <w:tab/>
      </w:r>
      <w:r w:rsidRPr="007666A4">
        <w:t xml:space="preserve">El Consejo de Ministros aprobó un proyecto de ley sobre las supervivientes de los delitos perpetrados por las bandas terroristas del Dáesh, incluidas las supervivientes yazidíes, cristianas y turcomanas. </w:t>
      </w:r>
    </w:p>
    <w:p w14:paraId="60AAEE01" w14:textId="015B622B" w:rsidR="007666A4" w:rsidRPr="007666A4" w:rsidRDefault="007666A4" w:rsidP="00447452">
      <w:pPr>
        <w:pStyle w:val="SingleTxtG"/>
        <w:spacing w:after="130"/>
      </w:pPr>
      <w:r w:rsidRPr="007666A4">
        <w:t>95.</w:t>
      </w:r>
      <w:r w:rsidR="00A34845">
        <w:tab/>
      </w:r>
      <w:r w:rsidRPr="007666A4">
        <w:t>La cuestión de la nacionalidad de los niños supervivientes ha pasado a regirse por la Ley de Nacionalidad, mientras que la reglamentación de los aspectos religiosos de la vida de las mujeres yazidíes se ha dejado en manos de sus autoridades religiosas.</w:t>
      </w:r>
    </w:p>
    <w:p w14:paraId="187973A8" w14:textId="6F5D8B16" w:rsidR="007666A4" w:rsidRPr="007666A4" w:rsidRDefault="007666A4" w:rsidP="00447452">
      <w:pPr>
        <w:pStyle w:val="SingleTxtG"/>
        <w:spacing w:after="130"/>
      </w:pPr>
      <w:r w:rsidRPr="007666A4">
        <w:t>96.</w:t>
      </w:r>
      <w:r w:rsidR="00A34845">
        <w:tab/>
      </w:r>
      <w:r w:rsidRPr="007666A4">
        <w:t xml:space="preserve">Se aprobó la Ley núm. 12/2019, de los Derechos de los Mártires de la Base Aérea Piloto-Mártir Majid Al-Tamimi (antes Camp Speicher), que benefició a numerosos estudiantes y a familias que albergaban a las víctimas. Entre los derechos contemplados en la ley figuraba la obligación de las autoridades competentes de localizar los restos de los mártires y conmemorar su sacrificio. </w:t>
      </w:r>
    </w:p>
    <w:p w14:paraId="0656BEF7" w14:textId="06A1B853" w:rsidR="007666A4" w:rsidRPr="007666A4" w:rsidRDefault="007666A4" w:rsidP="0000345C">
      <w:pPr>
        <w:pStyle w:val="H1G"/>
      </w:pPr>
      <w:r w:rsidRPr="007666A4">
        <w:tab/>
      </w:r>
      <w:r w:rsidRPr="007666A4">
        <w:tab/>
        <w:t>Artículo 3 y recomendaciones que figuran</w:t>
      </w:r>
      <w:r w:rsidRPr="007666A4" w:rsidDel="00D35640">
        <w:t xml:space="preserve"> </w:t>
      </w:r>
      <w:r w:rsidRPr="007666A4">
        <w:t>en los párrafos 28 y 30</w:t>
      </w:r>
    </w:p>
    <w:p w14:paraId="48E8AF6B" w14:textId="1865BFFC" w:rsidR="007666A4" w:rsidRPr="007666A4" w:rsidRDefault="007666A4" w:rsidP="00447452">
      <w:pPr>
        <w:pStyle w:val="SingleTxtG"/>
        <w:spacing w:after="130"/>
      </w:pPr>
      <w:r w:rsidRPr="007666A4">
        <w:t>97.</w:t>
      </w:r>
      <w:r w:rsidR="00A34845">
        <w:tab/>
      </w:r>
      <w:r w:rsidRPr="007666A4">
        <w:t>El artículo 14 de la Constitución de 2005 garantiza la igualdad entre los sexos. Su artículo 16 estipula que “la igualdad de oportunidades es un derecho garantizado a todos los iraquíes, y el Estado vela por que se adopten las medidas necesarias para lograrlo”. El artículo</w:t>
      </w:r>
      <w:r w:rsidR="00447452">
        <w:t> </w:t>
      </w:r>
      <w:r w:rsidRPr="007666A4">
        <w:t xml:space="preserve">20 de la Constitución dispone que “los ciudadanos, hombres y mujeres, tienen derecho a participar en los asuntos públicos y a disfrutar de los derechos políticos, incluido el derecho a votar, a elegir y a ser elegido”. Su artículo 22, párrafo 1, dispone que “el trabajo es un derecho de todos los iraquíes, que les asegura una vida digna”. </w:t>
      </w:r>
    </w:p>
    <w:p w14:paraId="219E83B9" w14:textId="3D09E9D2" w:rsidR="007666A4" w:rsidRPr="007666A4" w:rsidRDefault="007666A4" w:rsidP="00447452">
      <w:pPr>
        <w:pStyle w:val="SingleTxtG"/>
        <w:spacing w:after="130"/>
      </w:pPr>
      <w:r w:rsidRPr="007666A4">
        <w:t>98.</w:t>
      </w:r>
      <w:r w:rsidR="00A34845">
        <w:tab/>
      </w:r>
      <w:r w:rsidRPr="007666A4">
        <w:t xml:space="preserve">El artículo 8, párrafo 3, del Código del Trabajo también dispone que “las distinciones, exclusiones o preferencias basadas en las calificaciones exigidas para un empleo determinado no se considerarán discriminación”. </w:t>
      </w:r>
    </w:p>
    <w:p w14:paraId="5930209B" w14:textId="24A5AD55" w:rsidR="007666A4" w:rsidRPr="007666A4" w:rsidRDefault="007666A4" w:rsidP="00447452">
      <w:pPr>
        <w:pStyle w:val="SingleTxtG"/>
        <w:spacing w:after="130"/>
      </w:pPr>
      <w:r w:rsidRPr="007666A4">
        <w:t>99.</w:t>
      </w:r>
      <w:r w:rsidR="00A34845">
        <w:tab/>
      </w:r>
      <w:r w:rsidRPr="007666A4">
        <w:t xml:space="preserve">En 2013, el Consejo de Ministros aprobó la Estrategia Nacional para Combatir la Violencia contra la Mujer, que tiene por objeto promover los derechos de las mujeres iraquíes a lo largo de toda su vida, protegerlas de todas las formas de discriminación negativa y de violencia y mitigar sus efectos. La Estrategia comprende cuatro pilares, a saber: la prevención, la atención, la protección y las políticas y su ejecución. </w:t>
      </w:r>
    </w:p>
    <w:p w14:paraId="265FB054" w14:textId="672FD26A" w:rsidR="007666A4" w:rsidRPr="007666A4" w:rsidRDefault="007666A4" w:rsidP="00447452">
      <w:pPr>
        <w:pStyle w:val="SingleTxtG"/>
        <w:spacing w:after="130"/>
      </w:pPr>
      <w:r w:rsidRPr="007666A4">
        <w:t>100.</w:t>
      </w:r>
      <w:r w:rsidR="00A34845">
        <w:tab/>
      </w:r>
      <w:r w:rsidRPr="007666A4">
        <w:t xml:space="preserve">Los organismos gubernamentales, en cooperación con la sociedad civil, llevan a cabo campañas de sensibilización en las zonas rurales para alentar a los padres a escolarizar a sus hijos (varones y mujeres) y garantizar así sus derechos básicos. Los planes de estudios también hacen hincapié en la igualdad de oportunidades entre los sexos y los derechos de las niñas a acceder a la educación y a oportunidades de empleo en pie de igualdad con sus compañeros varones. </w:t>
      </w:r>
    </w:p>
    <w:p w14:paraId="3FFC4E13" w14:textId="62E8AB4B" w:rsidR="007666A4" w:rsidRPr="007666A4" w:rsidRDefault="007666A4" w:rsidP="00447452">
      <w:pPr>
        <w:pStyle w:val="SingleTxtG"/>
        <w:spacing w:after="130"/>
        <w:rPr>
          <w:u w:val="single"/>
        </w:rPr>
      </w:pPr>
      <w:r w:rsidRPr="007666A4">
        <w:t>101.</w:t>
      </w:r>
      <w:r w:rsidR="00A34845">
        <w:tab/>
      </w:r>
      <w:r w:rsidRPr="007666A4">
        <w:t xml:space="preserve">Los resultados de la Encuesta de Desarrollo Rural </w:t>
      </w:r>
      <w:r w:rsidR="00447452" w:rsidRPr="00447452">
        <w:t>—</w:t>
      </w:r>
      <w:r w:rsidRPr="007666A4">
        <w:t>realizada en 2016 en las provincias, a nivel de las aldeas y los hogares de los subdistritos y que abarcó el sector de la educación en el entorno rural</w:t>
      </w:r>
      <w:r w:rsidR="00447452" w:rsidRPr="00447452">
        <w:t>—</w:t>
      </w:r>
      <w:r w:rsidRPr="007666A4">
        <w:t xml:space="preserve"> se utilizaron para determinar la situación de ambos sexos en cuanto al acceso a la educación y las necesidades de infraestructura y personal para cerrar la brecha y lograr la igualdad entre los sexos en la matriculación en la enseñanza primaria y secundaria en las zonas rurales.</w:t>
      </w:r>
    </w:p>
    <w:p w14:paraId="4D4BF449" w14:textId="64E4223E" w:rsidR="007666A4" w:rsidRPr="007666A4" w:rsidRDefault="007666A4" w:rsidP="00447452">
      <w:pPr>
        <w:pStyle w:val="SingleTxtG"/>
        <w:keepNext/>
        <w:keepLines/>
      </w:pPr>
      <w:r w:rsidRPr="007666A4">
        <w:lastRenderedPageBreak/>
        <w:t>102.</w:t>
      </w:r>
      <w:r w:rsidR="00A34845">
        <w:tab/>
      </w:r>
      <w:r w:rsidRPr="007666A4">
        <w:t xml:space="preserve">Se han creado oportunidades de acceso a la educación, el empleo y la atención de la salud a fin de alcanzar la igualdad entre hombres y mujeres en tanto que derecho de todos, sin discriminación, haciendo al mismo tiempo hincapié en los grupos vulnerables como las viudas, las divorciadas y los niños privados del cuidado parental. </w:t>
      </w:r>
    </w:p>
    <w:p w14:paraId="75E77600" w14:textId="48017AD3" w:rsidR="007666A4" w:rsidRPr="007666A4" w:rsidRDefault="007666A4" w:rsidP="007666A4">
      <w:pPr>
        <w:pStyle w:val="SingleTxtG"/>
      </w:pPr>
      <w:r w:rsidRPr="007666A4">
        <w:t>103.</w:t>
      </w:r>
      <w:r w:rsidR="00A34845">
        <w:tab/>
      </w:r>
      <w:r w:rsidRPr="007666A4">
        <w:t>Según la Ley de Nacionalidad vigente, la persona nacida de madre iraquí y padre extranjero (no iraquí) es de nacionalidad iraquí, con independencia de su lugar de nacimiento,</w:t>
      </w:r>
      <w:r w:rsidR="0000345C">
        <w:t> </w:t>
      </w:r>
      <w:r w:rsidRPr="007666A4">
        <w:t xml:space="preserve">dentro o fuera del Iraq. En lo que respecta a las disposiciones de los artículos 7 y 11 de esa </w:t>
      </w:r>
      <w:r w:rsidR="00436499" w:rsidRPr="007666A4">
        <w:t>Ley</w:t>
      </w:r>
      <w:r w:rsidRPr="007666A4">
        <w:t xml:space="preserve">, no hay ninguna diferencia fundamental ni jurídica en cuanto a los procedimientos de presentación de la solicitud ni a los requisitos de plazos y de continuidad del vínculo matrimonial. Se contempla ahora en el artículo 7 la concesión de la nacionalidad “al extranjero casado con una iraquí” si no ha sido condenado por un delito grave o menos grave contra el honor y tiene un medio de vida evidente. El resto del artículo y su texto no cambian. Actualmente se está examinando un proyecto de ley para modificar la Ley de Nacionalidad. </w:t>
      </w:r>
    </w:p>
    <w:p w14:paraId="4BA6C3E7" w14:textId="70E8727D" w:rsidR="007666A4" w:rsidRPr="007666A4" w:rsidRDefault="007666A4" w:rsidP="007B1094">
      <w:pPr>
        <w:pStyle w:val="SingleTxtG"/>
      </w:pPr>
      <w:bookmarkStart w:id="1" w:name="_Hlk96002312"/>
      <w:r w:rsidRPr="007666A4">
        <w:t>104.</w:t>
      </w:r>
      <w:r w:rsidR="00A34845">
        <w:tab/>
      </w:r>
      <w:r w:rsidR="007B1094" w:rsidRPr="007B1094">
        <w:t>Aun cuando la legislación vigente no contraviene las normas internacionales de derechos humanos, se constituyó, en el seno del Consejo Superior de la Magistratura, un comité integrado por jueces retirados con experiencia, para revisar toda la legislación nacional con objeto de mejorarla, ajustándola a las obligaciones internacionales de derechos humanos</w:t>
      </w:r>
      <w:r w:rsidRPr="007666A4">
        <w:t xml:space="preserve">. </w:t>
      </w:r>
    </w:p>
    <w:bookmarkEnd w:id="1"/>
    <w:p w14:paraId="57B64FF4" w14:textId="14DEA2E4" w:rsidR="007666A4" w:rsidRPr="007666A4" w:rsidRDefault="007666A4" w:rsidP="007666A4">
      <w:pPr>
        <w:pStyle w:val="SingleTxtG"/>
      </w:pPr>
      <w:r w:rsidRPr="007666A4">
        <w:t>105.</w:t>
      </w:r>
      <w:r w:rsidR="00A34845">
        <w:tab/>
      </w:r>
      <w:r w:rsidRPr="007666A4">
        <w:t xml:space="preserve">En la región del Kurdistán se aprobaron varias leyes que se inscriben en el marco de la lucha contra la discriminación, entre ellas las siguientes: </w:t>
      </w:r>
    </w:p>
    <w:p w14:paraId="08263815" w14:textId="790FC26D" w:rsidR="007666A4" w:rsidRPr="00A34845" w:rsidRDefault="007666A4" w:rsidP="001577D2">
      <w:pPr>
        <w:pStyle w:val="Bullet1G"/>
        <w:numPr>
          <w:ilvl w:val="0"/>
          <w:numId w:val="5"/>
        </w:numPr>
        <w:tabs>
          <w:tab w:val="clear" w:pos="2268"/>
          <w:tab w:val="num" w:pos="1701"/>
        </w:tabs>
        <w:ind w:left="1701"/>
        <w:rPr>
          <w:rFonts w:eastAsiaTheme="minorEastAsia"/>
        </w:rPr>
      </w:pPr>
      <w:r w:rsidRPr="00A34845">
        <w:rPr>
          <w:rFonts w:eastAsiaTheme="minorEastAsia"/>
        </w:rPr>
        <w:t xml:space="preserve">La Ley núm. 7/2001, por la que se hace excepción de la esposa en lo que respecta a las disposiciones del artículo 41, párrafo 1, del Código Penal (Ley núm. 111/1969). </w:t>
      </w:r>
    </w:p>
    <w:p w14:paraId="3D423B72" w14:textId="766650D4" w:rsidR="007666A4" w:rsidRPr="00A34845" w:rsidRDefault="007666A4" w:rsidP="001577D2">
      <w:pPr>
        <w:pStyle w:val="Bullet1G"/>
        <w:numPr>
          <w:ilvl w:val="0"/>
          <w:numId w:val="5"/>
        </w:numPr>
        <w:tabs>
          <w:tab w:val="clear" w:pos="2268"/>
          <w:tab w:val="num" w:pos="1701"/>
        </w:tabs>
        <w:ind w:left="1701"/>
        <w:rPr>
          <w:rFonts w:eastAsiaTheme="minorEastAsia"/>
        </w:rPr>
      </w:pPr>
      <w:r w:rsidRPr="00A34845">
        <w:rPr>
          <w:rFonts w:eastAsiaTheme="minorEastAsia"/>
        </w:rPr>
        <w:t xml:space="preserve">La Ley núm. 14/2002, por la que los motivos de honor ya no se consideran una circunstancia atenuante de un delito cometido contra una mujer a los efectos de la aplicación de los artículos 128, 130 y 131 del Código Penal. </w:t>
      </w:r>
    </w:p>
    <w:p w14:paraId="30EF58A2" w14:textId="3730F9CF" w:rsidR="007666A4" w:rsidRPr="00A34845" w:rsidRDefault="007666A4" w:rsidP="001577D2">
      <w:pPr>
        <w:pStyle w:val="Bullet1G"/>
        <w:numPr>
          <w:ilvl w:val="0"/>
          <w:numId w:val="5"/>
        </w:numPr>
        <w:tabs>
          <w:tab w:val="clear" w:pos="2268"/>
          <w:tab w:val="num" w:pos="1701"/>
        </w:tabs>
        <w:ind w:left="1701"/>
        <w:rPr>
          <w:rFonts w:eastAsiaTheme="minorEastAsia"/>
        </w:rPr>
      </w:pPr>
      <w:r w:rsidRPr="00A34845">
        <w:rPr>
          <w:rFonts w:eastAsiaTheme="minorEastAsia"/>
        </w:rPr>
        <w:t>La Ley núm. 18/2007, por la que se suspende la aplicación de la condición de contraer</w:t>
      </w:r>
      <w:r w:rsidR="00436499">
        <w:rPr>
          <w:rFonts w:eastAsiaTheme="minorEastAsia"/>
        </w:rPr>
        <w:t xml:space="preserve"> </w:t>
      </w:r>
      <w:r w:rsidRPr="00A34845">
        <w:rPr>
          <w:rFonts w:eastAsiaTheme="minorEastAsia"/>
        </w:rPr>
        <w:t>matrimonio que figuraba en la primera versión del artículo 41 de la Ley núm.</w:t>
      </w:r>
      <w:r w:rsidR="00436499">
        <w:rPr>
          <w:rFonts w:eastAsiaTheme="minorEastAsia"/>
        </w:rPr>
        <w:t> </w:t>
      </w:r>
      <w:r w:rsidRPr="00A34845">
        <w:rPr>
          <w:rFonts w:eastAsiaTheme="minorEastAsia"/>
        </w:rPr>
        <w:t>159/1979, del Ministerio Público, en vigor en la región del Kurdistán.</w:t>
      </w:r>
    </w:p>
    <w:p w14:paraId="69281EFB" w14:textId="23E29C47" w:rsidR="007666A4" w:rsidRPr="007666A4" w:rsidRDefault="00A34845" w:rsidP="00A34845">
      <w:pPr>
        <w:pStyle w:val="H23G"/>
      </w:pPr>
      <w:r>
        <w:tab/>
      </w:r>
      <w:r>
        <w:tab/>
      </w:r>
      <w:r w:rsidR="007666A4" w:rsidRPr="007666A4">
        <w:t>Recomendación que figura</w:t>
      </w:r>
      <w:r w:rsidR="007666A4" w:rsidRPr="007666A4" w:rsidDel="00D35640">
        <w:t xml:space="preserve"> </w:t>
      </w:r>
      <w:r w:rsidR="007666A4" w:rsidRPr="007666A4">
        <w:t>en el párrafo 30</w:t>
      </w:r>
    </w:p>
    <w:p w14:paraId="4339851C" w14:textId="5302A3F5" w:rsidR="007666A4" w:rsidRPr="007666A4" w:rsidRDefault="007666A4" w:rsidP="007666A4">
      <w:pPr>
        <w:pStyle w:val="SingleTxtG"/>
      </w:pPr>
      <w:r w:rsidRPr="007666A4">
        <w:t>106.</w:t>
      </w:r>
      <w:r w:rsidR="00A34845">
        <w:tab/>
      </w:r>
      <w:r w:rsidRPr="007666A4">
        <w:t>El Iraq aprobó la Estrategia Nacional para el Adelanto de la Mujer Iraquí mediante la Decisión núm. 164/2014 del Consejo de Ministros, de 2 de abril de 2014, y se trabaja para llevar a la práctica varias de sus conclusiones. El Departamento de Empoderamiento de la Mujer Iraquí, adscrito a la Secretaría General del Consejo de Ministros, se ha hecho cargo ahora de su nueva aplicación.</w:t>
      </w:r>
    </w:p>
    <w:p w14:paraId="10B45BAA" w14:textId="209D04CF" w:rsidR="007666A4" w:rsidRPr="007666A4" w:rsidRDefault="007666A4" w:rsidP="007666A4">
      <w:pPr>
        <w:pStyle w:val="SingleTxtG"/>
      </w:pPr>
      <w:r w:rsidRPr="007666A4">
        <w:t>107.</w:t>
      </w:r>
      <w:r w:rsidR="00A34845">
        <w:tab/>
      </w:r>
      <w:r w:rsidRPr="007666A4">
        <w:t xml:space="preserve">Como parte de las reformas llevadas a cabo por el Primer Ministro con el mandato de la Cámara de Representantes, algunos ministerios se fusionaron y otros se abolieron, uno de ellos el Ministerio de Estado para Asuntos de la Mujer. Sin embargo, la supresión de este ministerio no quiere decir que el Gobierno no preste atención a las cuestiones de la mujer, ya que se ha establecido un Departamento de Empoderamiento de la Mujer Iraquí al más alto nivel gubernamental, a saber, la Secretaría General del Consejo de Ministros, para llevar a cabo muchas de las tareas que el [suprimido] Ministerio estaba ejecutando. También se han reconstituido dos importantes comisiones especializadas en cuestiones de la mujer, a saber, el Comité Superior para el Adelanto de la Mujer y el Comité Superior para el Adelanto de la Mujer Rural. Ambos </w:t>
      </w:r>
      <w:r w:rsidR="000503F1" w:rsidRPr="007666A4">
        <w:t xml:space="preserve">Comités </w:t>
      </w:r>
      <w:r w:rsidRPr="007666A4">
        <w:t>incluyeron a funcionarios del más alto nivel procedentes de ministerios relacionados con el empoderamiento de la mujer, como los de Salud, Educación y Trabajo. También integraron a miembros de la Cámara de Representantes y a organizaciones de la sociedad civil.</w:t>
      </w:r>
    </w:p>
    <w:p w14:paraId="722D5016" w14:textId="7E9CAC17" w:rsidR="007666A4" w:rsidRPr="007666A4" w:rsidRDefault="007666A4" w:rsidP="007666A4">
      <w:pPr>
        <w:pStyle w:val="SingleTxtG"/>
      </w:pPr>
      <w:r w:rsidRPr="007666A4">
        <w:t>108.</w:t>
      </w:r>
      <w:r w:rsidR="00A34845">
        <w:tab/>
      </w:r>
      <w:r w:rsidRPr="007666A4">
        <w:t xml:space="preserve">El Departamento de Empoderamiento de la Mujer Iraquí ha comenzado a establecer su estrategia y a elaborar la metodología de trabajo adecuada para los dos </w:t>
      </w:r>
      <w:r w:rsidR="000503F1" w:rsidRPr="007666A4">
        <w:t xml:space="preserve">Comités </w:t>
      </w:r>
      <w:r w:rsidRPr="007666A4">
        <w:t>superiores (el Comité Superior para el Adelanto de la Mujer y el Comité Superior para el Adelanto de la Mujer Rural) a fin de comenzar a promover el adelanto de la mujer iraquí y a trabajar en la siguiente esfera:</w:t>
      </w:r>
    </w:p>
    <w:p w14:paraId="4F665932" w14:textId="32CCC114" w:rsidR="007666A4" w:rsidRPr="00436499" w:rsidRDefault="001577D2" w:rsidP="00436499">
      <w:pPr>
        <w:pStyle w:val="Bullet1G"/>
        <w:numPr>
          <w:ilvl w:val="0"/>
          <w:numId w:val="5"/>
        </w:numPr>
        <w:tabs>
          <w:tab w:val="clear" w:pos="2268"/>
          <w:tab w:val="num" w:pos="1701"/>
        </w:tabs>
        <w:ind w:left="1701"/>
        <w:rPr>
          <w:rFonts w:eastAsiaTheme="minorEastAsia"/>
        </w:rPr>
      </w:pPr>
      <w:r w:rsidRPr="00436499">
        <w:rPr>
          <w:rFonts w:eastAsiaTheme="minorEastAsia"/>
        </w:rPr>
        <w:lastRenderedPageBreak/>
        <w:tab/>
      </w:r>
      <w:r w:rsidR="007666A4" w:rsidRPr="00436499">
        <w:rPr>
          <w:rFonts w:eastAsiaTheme="minorEastAsia"/>
        </w:rPr>
        <w:t>La creación de estructuras administrativas en todos los órganos e instituciones estatales y las provincias que se denominarán dependencias de empoderamiento de la mujer, que se ocupan de todos los expedientes relacionados con la mujer (el Equipo [relativo a la resolución] 1325, la Declaración conjunta sobre violencia sexual y cualesquiera expedientes que se pongan sobre la mesa posteriormente), presentan sus planes y actividades al Departamento de Empoderamiento de la Mujer Iraquí, y trabajan para integrar el concepto de género en los planes anuales de sus instituciones y reducir la brecha de género, así como para reactivar los subcomités que apoyan la labor del Comité Superior para el Adelanto de la Mujer Rural en las provincias y fortalecer las capacidades de los equipos sectoriales que dan atención a las mujeres mediante la celebración de talleres de capacitación con los que fomentar la capacidad de estos equipos, en cooperación con los asociados.</w:t>
      </w:r>
    </w:p>
    <w:p w14:paraId="2478C116" w14:textId="771E551F" w:rsidR="007666A4" w:rsidRPr="007666A4" w:rsidRDefault="007666A4" w:rsidP="007666A4">
      <w:pPr>
        <w:pStyle w:val="SingleTxtG"/>
      </w:pPr>
      <w:r w:rsidRPr="007666A4">
        <w:t>109.</w:t>
      </w:r>
      <w:r w:rsidR="00A34845">
        <w:tab/>
      </w:r>
      <w:r w:rsidRPr="007666A4">
        <w:t>Se han llevado a cabo campañas de concienciación tituladas “Mujeres unidas contra la corrupción”, en cooperación con la Comisión de Integridad para dar a conocer la importancia del papel de las mujeres iraquíes en la lucha contra la corrupción, y otra campaña para combatir la violencia contra las mujeres titulada “La Ley contra la Violencia Doméstica, garantía de una familia cohesionada”, realizada en cooperación con organizaciones locales e internacionales.</w:t>
      </w:r>
    </w:p>
    <w:p w14:paraId="47942E60" w14:textId="0E7B569A" w:rsidR="007666A4" w:rsidRPr="007666A4" w:rsidRDefault="007666A4" w:rsidP="007666A4">
      <w:pPr>
        <w:pStyle w:val="SingleTxtG"/>
      </w:pPr>
      <w:r w:rsidRPr="007666A4">
        <w:t>110.</w:t>
      </w:r>
      <w:r w:rsidR="00A34845">
        <w:tab/>
      </w:r>
      <w:r w:rsidRPr="007666A4">
        <w:t>La participación de la mujer en el anterior Gobierno fue de dos ministras, a saber, la Ministra de Salud y la Ministra de Reconstrucción y Vivienda; además, se designó a una mujer para ocupar el puesto de alcaldesa de Bagdad, un cargo que tiene rango de ministro, y jefa del Consejo de Estado, también con rango ministerial. Una mujer fue nombrada para ocupar el puesto de Ministra de Educación en el actual Gobierno. Hay además otros cargos ocupados por mujeres. En lo que respecta a los altos cargos universitarios en Educación Superior, la participación de las mujeres en el renacer científico sigue aumentando; muestra de ello es que el número de decanas de facultad ha aumentado, pasando de 10 en 2010 a 40 en 2019.</w:t>
      </w:r>
    </w:p>
    <w:p w14:paraId="1AC3FA5C" w14:textId="4160D54E" w:rsidR="007666A4" w:rsidRPr="007666A4" w:rsidRDefault="007666A4" w:rsidP="007666A4">
      <w:pPr>
        <w:pStyle w:val="SingleTxtG"/>
      </w:pPr>
      <w:r w:rsidRPr="007666A4">
        <w:t>111.</w:t>
      </w:r>
      <w:r w:rsidR="00A34845">
        <w:tab/>
      </w:r>
      <w:r w:rsidRPr="007666A4">
        <w:t>La Ley de Partidos Políticos ampara la representación de las mujeres en el órgano fundador y en la Autoridad General de Partidos y Organizaciones Políticas, según el artículo</w:t>
      </w:r>
      <w:r w:rsidR="00436499">
        <w:t> </w:t>
      </w:r>
      <w:r w:rsidRPr="007666A4">
        <w:t>11.1.a, que establece que “la solicitud de incorporación debe presentarse por escrito con la firma del representante del partido a los efectos del registro ante el Departamento de Asuntos de Partidos y Organizaciones Políticas, acompañada de una lista con los nombres de los miembros del órgano fundador, que deberán ser al menos siete, acompañada a su vez de una lista con los nombres de los afiliados, que deberán ser 2.000, pertenecientes a las distintas provincias, teniéndose siempre en cuenta la debida representación femenina</w:t>
      </w:r>
      <w:r w:rsidR="000438F4">
        <w:t>”</w:t>
      </w:r>
      <w:r w:rsidRPr="007666A4">
        <w:t>.</w:t>
      </w:r>
    </w:p>
    <w:p w14:paraId="6B685AF5" w14:textId="4A67F447" w:rsidR="007666A4" w:rsidRPr="007666A4" w:rsidRDefault="007666A4" w:rsidP="007666A4">
      <w:pPr>
        <w:pStyle w:val="SingleTxtG"/>
      </w:pPr>
      <w:r w:rsidRPr="007666A4">
        <w:t>112.</w:t>
      </w:r>
      <w:r w:rsidR="00A34845">
        <w:tab/>
      </w:r>
      <w:r w:rsidRPr="007666A4">
        <w:t xml:space="preserve">La Alta Comisión Electoral Independiente trabaja para crear conciencia sobre la necesidad de la participación de la mujer en todas las esferas y hace hincapié en la necesidad de que las mujeres formen parte de las instituciones legislativas para garantizar la equidad de la legislación, así como la aplicación de las leyes relativas a la participación de la mujer en las elecciones y la labor política y partidista, lo que contribuye eficazmente al desarrollo positivo de la perspectiva de género y a eliminar el comportamiento estereotipado impuesto a la representación de la mujer, para que asuma con naturalidad su papel en todas las esferas. </w:t>
      </w:r>
    </w:p>
    <w:p w14:paraId="1D766A68" w14:textId="2477271D" w:rsidR="007666A4" w:rsidRPr="007666A4" w:rsidRDefault="007666A4" w:rsidP="007666A4">
      <w:pPr>
        <w:pStyle w:val="SingleTxtG"/>
      </w:pPr>
      <w:r w:rsidRPr="007666A4">
        <w:t>113.</w:t>
      </w:r>
      <w:r w:rsidR="00A34845">
        <w:tab/>
      </w:r>
      <w:r w:rsidRPr="007666A4">
        <w:t>Las mujeres contribuyeron a la fundación de numerosos partidos, y estos partidos fueron los primeros que obtuvieron de la Alta Comisión Electoral Independiente la autorización para constituirse. La cuota reservada a mujeres, que es de al menos el 25 % del total de escaños en la Cámara de Representantes, permite una contribución efectiva de las mujeres a la vida política. Ello ha quedado reflejado en el poder ejecutivo y en puestos de liderazgo en el Estado a nivel de subsecretarios de ministerios y categorías especiales de la administración.</w:t>
      </w:r>
    </w:p>
    <w:p w14:paraId="62DCE5EE" w14:textId="2DCED830" w:rsidR="007666A4" w:rsidRPr="007666A4" w:rsidRDefault="007666A4" w:rsidP="007666A4">
      <w:pPr>
        <w:pStyle w:val="SingleTxtG"/>
        <w:rPr>
          <w:u w:val="single"/>
        </w:rPr>
      </w:pPr>
      <w:r w:rsidRPr="007666A4">
        <w:t>114.</w:t>
      </w:r>
      <w:r w:rsidR="00A34845">
        <w:tab/>
      </w:r>
      <w:r w:rsidRPr="007666A4">
        <w:t xml:space="preserve">El poder judicial prestó gran atención a la labor de la mujer en la esfera de la administración de justicia. Hay ahora 118 juezas. </w:t>
      </w:r>
    </w:p>
    <w:p w14:paraId="4F6DC69C" w14:textId="408D84B5" w:rsidR="007666A4" w:rsidRPr="007666A4" w:rsidRDefault="007666A4" w:rsidP="007666A4">
      <w:pPr>
        <w:pStyle w:val="SingleTxtG"/>
      </w:pPr>
      <w:r w:rsidRPr="007666A4">
        <w:t>115.</w:t>
      </w:r>
      <w:r w:rsidR="00A34845">
        <w:tab/>
      </w:r>
      <w:r w:rsidRPr="007666A4">
        <w:t xml:space="preserve">El Gobierno del Iraq se ha esforzado por promover la participación de las mujeres en los foros internacionales y ha garantizado el equilibrio de género entre quienes asisten a actividades y foros internacionales como conferencias, talleres de capacitación y cursos de mejora de la cualificación. Las misiones permanentes del Iraq acreditadas ante los diferentes Estados cuentan con personal femenino y se tiene en cuenta el equilibrio de géneros a este </w:t>
      </w:r>
      <w:r w:rsidRPr="007666A4">
        <w:lastRenderedPageBreak/>
        <w:t xml:space="preserve">respecto. Mujeres iraquíes ocupan cargos en todas las oficinas de las Naciones Unidas cuyos programas se centran en el Iraq y no existen restricciones impuestas por el Estado que prohíban a las mujeres iraquíes tomar parte en labores internacionales. Las mujeres han sido embajadoras y muchas de ellas se desempeñan en tareas políticas en embajadas, representaciones y consulados iraquíes en el extranjero, ocupando diferentes puestos (como consejeras, primeras secretarias, segundas secretarias o cónsules). </w:t>
      </w:r>
    </w:p>
    <w:p w14:paraId="41691EC5" w14:textId="0A94CFE6" w:rsidR="007666A4" w:rsidRPr="007666A4" w:rsidRDefault="007666A4" w:rsidP="007666A4">
      <w:pPr>
        <w:pStyle w:val="SingleTxtG"/>
      </w:pPr>
      <w:r w:rsidRPr="007666A4">
        <w:t>116.</w:t>
      </w:r>
      <w:r w:rsidR="00A34845">
        <w:tab/>
      </w:r>
      <w:r w:rsidRPr="007666A4">
        <w:t xml:space="preserve">El Ministerio del Interior contaba en 2019 con un total de 10.218 empleadas, entre oficiales, suboficiales, cadetes y personal contratado. </w:t>
      </w:r>
    </w:p>
    <w:p w14:paraId="78CE4C12" w14:textId="17B7F088" w:rsidR="007666A4" w:rsidRPr="007666A4" w:rsidRDefault="007666A4" w:rsidP="007666A4">
      <w:pPr>
        <w:pStyle w:val="SingleTxtG"/>
      </w:pPr>
      <w:r w:rsidRPr="007666A4">
        <w:t>117.</w:t>
      </w:r>
      <w:r w:rsidR="00A34845">
        <w:tab/>
      </w:r>
      <w:r w:rsidRPr="007666A4">
        <w:t xml:space="preserve">En la región del Kurdistán hay 882 mujeres en las direcciones generales de la policía provincial, entre oficiales, personal contratado y funcionarias. En otras direcciones generales, el total de mujeres es de 485. </w:t>
      </w:r>
    </w:p>
    <w:p w14:paraId="1D494CF2" w14:textId="1F0528F4" w:rsidR="007666A4" w:rsidRPr="007666A4" w:rsidRDefault="007666A4" w:rsidP="007666A4">
      <w:pPr>
        <w:pStyle w:val="SingleTxtG"/>
      </w:pPr>
      <w:r w:rsidRPr="007666A4">
        <w:t>118.</w:t>
      </w:r>
      <w:r w:rsidR="00A34845">
        <w:tab/>
      </w:r>
      <w:r w:rsidRPr="007666A4">
        <w:t xml:space="preserve">La </w:t>
      </w:r>
      <w:r w:rsidR="00436499" w:rsidRPr="007666A4">
        <w:t xml:space="preserve">Ley </w:t>
      </w:r>
      <w:r w:rsidRPr="007666A4">
        <w:t xml:space="preserve">por la que se enmienda la Ley núm. 31/2009 (Ley de la Alta Comisión Electoral Independiente) se aprobó en respuesta a la demanda popular, para que hubiera representación de los jueces en el consejo de la Alta Comisión y para acabar con el establecimiento de cuotas. </w:t>
      </w:r>
    </w:p>
    <w:p w14:paraId="2019A3E0" w14:textId="2400D064" w:rsidR="007666A4" w:rsidRPr="007666A4" w:rsidRDefault="007666A4" w:rsidP="007666A4">
      <w:pPr>
        <w:pStyle w:val="SingleTxtG"/>
      </w:pPr>
      <w:r w:rsidRPr="007666A4">
        <w:t>119.</w:t>
      </w:r>
      <w:r w:rsidR="00A34845">
        <w:tab/>
      </w:r>
      <w:r w:rsidRPr="007666A4">
        <w:t>El Tribunal Federal dictó una resolución en el caso 8/Federal/2019, que preservó el derecho de las mujeres que ganaron las elecciones sin beneficiarse de la cuota y autorizó a que pudiese haber más de una mujer en la lista electoral, incluso si la lista no contenía hombres, disponiendo que el estatuto jurídico de la diputada es exactamente igual al del diputado varón. El mismo tribunal decidió, en la demanda 217/Federal/2018, el derecho de la candidata a hacerse con un escaño según el sistema de cuotas.</w:t>
      </w:r>
    </w:p>
    <w:p w14:paraId="12B0988D" w14:textId="0AAE3CA1" w:rsidR="007666A4" w:rsidRPr="007666A4" w:rsidRDefault="00A34845" w:rsidP="00A34845">
      <w:pPr>
        <w:pStyle w:val="H23G"/>
      </w:pPr>
      <w:r>
        <w:tab/>
      </w:r>
      <w:r w:rsidR="007666A4" w:rsidRPr="007666A4">
        <w:tab/>
        <w:t>Leyes sobre la participación política de las mujeres en la región del Kurdistán</w:t>
      </w:r>
    </w:p>
    <w:p w14:paraId="1BD91A56" w14:textId="0A6083BF" w:rsidR="007666A4" w:rsidRPr="007666A4" w:rsidRDefault="007666A4" w:rsidP="007666A4">
      <w:pPr>
        <w:pStyle w:val="SingleTxtG"/>
      </w:pPr>
      <w:r w:rsidRPr="007666A4">
        <w:t>120.</w:t>
      </w:r>
      <w:r w:rsidR="00A34845">
        <w:tab/>
      </w:r>
      <w:r w:rsidRPr="007666A4">
        <w:t>La Ley núm. 2/2009, o Ley de Cuarta Enmienda a la Ley de Elecciones del Consejo Nacional del Kurdistán, establece las condiciones relativas a la candidatura de mujeres en las entidades políticas. Las candidatas no deben ser menos del 30 % de la lista y sus nombres deben estar secuenciados de forma que aseguren la participación de las mujeres, disponiendo que el número de candidatas en cada lista no debe ser inferior a tres</w:t>
      </w:r>
      <w:r w:rsidR="00436499">
        <w:t>:</w:t>
      </w:r>
    </w:p>
    <w:p w14:paraId="72D42929" w14:textId="45E6BF0D" w:rsidR="007666A4" w:rsidRPr="001577D2" w:rsidRDefault="007666A4" w:rsidP="001577D2">
      <w:pPr>
        <w:pStyle w:val="Bullet1G"/>
        <w:numPr>
          <w:ilvl w:val="0"/>
          <w:numId w:val="5"/>
        </w:numPr>
        <w:tabs>
          <w:tab w:val="clear" w:pos="2268"/>
          <w:tab w:val="num" w:pos="1701"/>
        </w:tabs>
        <w:ind w:left="1701"/>
        <w:rPr>
          <w:rFonts w:eastAsiaTheme="minorEastAsia"/>
        </w:rPr>
      </w:pPr>
      <w:r w:rsidRPr="001577D2">
        <w:rPr>
          <w:rFonts w:eastAsiaTheme="minorEastAsia"/>
        </w:rPr>
        <w:t xml:space="preserve">La Ley de Elecciones a los Consejos Provinciales, de Distrito y de Subdistrito del Kurdistán, de 2009, establece que la lista de candidatos debe organizarse de manera que el porcentaje de mujeres candidatas no sea inferior al 30 % del total de candidatos. </w:t>
      </w:r>
    </w:p>
    <w:p w14:paraId="503BF484" w14:textId="30FA8B14" w:rsidR="007666A4" w:rsidRPr="001577D2" w:rsidRDefault="007666A4" w:rsidP="001577D2">
      <w:pPr>
        <w:pStyle w:val="Bullet1G"/>
        <w:numPr>
          <w:ilvl w:val="0"/>
          <w:numId w:val="5"/>
        </w:numPr>
        <w:tabs>
          <w:tab w:val="clear" w:pos="2268"/>
          <w:tab w:val="num" w:pos="1701"/>
        </w:tabs>
        <w:ind w:left="1701"/>
        <w:rPr>
          <w:rFonts w:eastAsiaTheme="minorEastAsia"/>
        </w:rPr>
      </w:pPr>
      <w:r w:rsidRPr="001577D2">
        <w:rPr>
          <w:rFonts w:eastAsiaTheme="minorEastAsia"/>
        </w:rPr>
        <w:t>Las mujeres en el actual Consejo de Ministros ocupan tres carteras ministeriales: las de Trabajo y Asuntos Sociales; Agricultura y Recursos Hídricos, y Asuntos del Territorio. El Parlamento Regional, en su reglamento aprobado en 2018, dispuso que la Mesa del Parlamento debía incluir entre sus tres miembros al menos a una mujer. Tras ello, en 2019 se eligió a la primera Presidenta del Parlamento regional, y otra parlamentaria fue elegida secretaria del Parlamento en representación de la comunidad turcomana.</w:t>
      </w:r>
    </w:p>
    <w:p w14:paraId="27205814" w14:textId="24121BCF" w:rsidR="007666A4" w:rsidRPr="001577D2" w:rsidRDefault="007666A4" w:rsidP="001577D2">
      <w:pPr>
        <w:pStyle w:val="Bullet1G"/>
        <w:numPr>
          <w:ilvl w:val="0"/>
          <w:numId w:val="5"/>
        </w:numPr>
        <w:tabs>
          <w:tab w:val="clear" w:pos="2268"/>
          <w:tab w:val="num" w:pos="1701"/>
        </w:tabs>
        <w:ind w:left="1701"/>
        <w:rPr>
          <w:rFonts w:eastAsiaTheme="minorEastAsia"/>
        </w:rPr>
      </w:pPr>
      <w:r w:rsidRPr="001577D2">
        <w:rPr>
          <w:rFonts w:eastAsiaTheme="minorEastAsia"/>
        </w:rPr>
        <w:t xml:space="preserve">La Ley del Instituto Judicial de la región del Kurdistán, de 2009, habilita a la mujer para ser jueza. En virtud de dicha </w:t>
      </w:r>
      <w:r w:rsidR="006D15A3" w:rsidRPr="001577D2">
        <w:rPr>
          <w:rFonts w:eastAsiaTheme="minorEastAsia"/>
        </w:rPr>
        <w:t>Ley</w:t>
      </w:r>
      <w:r w:rsidRPr="001577D2">
        <w:rPr>
          <w:rFonts w:eastAsiaTheme="minorEastAsia"/>
        </w:rPr>
        <w:t>, hay un gran número de juezas y fiscales</w:t>
      </w:r>
      <w:r w:rsidR="006D15A3">
        <w:rPr>
          <w:rFonts w:eastAsiaTheme="minorEastAsia"/>
        </w:rPr>
        <w:t> </w:t>
      </w:r>
      <w:r w:rsidRPr="001577D2">
        <w:rPr>
          <w:rFonts w:eastAsiaTheme="minorEastAsia"/>
        </w:rPr>
        <w:t>públicas que prestan servicios en los tribunales regionales, a saber: de un total de 333 jueces de tribunales de primera instancia, 30 son mujeres, y entre los 303 jueces adscritos a la Fiscalía Pública hay 56 mujeres. En la tercera promoción del Instituto Judicial entraron 28 mujeres, de un total de 60 admitidos; hay 31 juezas en los Tribunales de Apelación, y en los tribunales regionales trabajan 94 investigadoras judiciales y 289 auxiliares de investigación judicial.</w:t>
      </w:r>
    </w:p>
    <w:p w14:paraId="1EDFAEDD" w14:textId="77777777" w:rsidR="007666A4" w:rsidRPr="007666A4" w:rsidRDefault="007666A4" w:rsidP="007666A4">
      <w:pPr>
        <w:pStyle w:val="SingleTxtG"/>
      </w:pPr>
      <w:r w:rsidRPr="007666A4">
        <w:t xml:space="preserve">En la región del Kurdistán, y concretamente en las provincias de Erbil, Sulaymaniya y Dehok y en el distrito de Kalar, hay cuatro refugios para mujeres amenazadas y víctimas de la violencia, así como dos centros que aceptan ingresos solo por un período de 72 horas. </w:t>
      </w:r>
    </w:p>
    <w:p w14:paraId="06442596" w14:textId="12CAD038" w:rsidR="007666A4" w:rsidRPr="007666A4" w:rsidRDefault="007666A4" w:rsidP="007666A4">
      <w:pPr>
        <w:pStyle w:val="SingleTxtG"/>
      </w:pPr>
      <w:r w:rsidRPr="007666A4">
        <w:t>121.</w:t>
      </w:r>
      <w:r w:rsidR="00A34845">
        <w:tab/>
      </w:r>
      <w:r w:rsidRPr="007666A4">
        <w:t>Las direcciones y oficinas de erradicación de la violencia contra la mujer en la región del Kurdistán están aplicando un conjunto de leyes relacionadas con las causas que desencadenan la violencia contra la mujer.</w:t>
      </w:r>
    </w:p>
    <w:p w14:paraId="7F62A209" w14:textId="09A2BEC0" w:rsidR="007666A4" w:rsidRPr="007666A4" w:rsidRDefault="00A34845" w:rsidP="00A34845">
      <w:pPr>
        <w:pStyle w:val="H23G"/>
      </w:pPr>
      <w:r>
        <w:lastRenderedPageBreak/>
        <w:tab/>
      </w:r>
      <w:r w:rsidR="007666A4" w:rsidRPr="007666A4">
        <w:tab/>
        <w:t>Sobre la igualdad en el empleo</w:t>
      </w:r>
    </w:p>
    <w:p w14:paraId="05EF3C78" w14:textId="1C48ED4D" w:rsidR="007666A4" w:rsidRPr="007666A4" w:rsidRDefault="007666A4" w:rsidP="007666A4">
      <w:pPr>
        <w:pStyle w:val="SingleTxtG"/>
      </w:pPr>
      <w:r w:rsidRPr="007666A4">
        <w:t>122.</w:t>
      </w:r>
      <w:r w:rsidR="00A34845">
        <w:tab/>
      </w:r>
      <w:r w:rsidRPr="007666A4">
        <w:t xml:space="preserve">De acuerdo con las disposiciones del Código del Trabajo, el Estado sigue una política de promoción del pleno empleo y respeta los principios y derechos básicos, incluida la eliminación de la discriminación en el empleo y la profesión, la prohibición de cualquier vulneración o transgresión del principio de igualdad de oportunidades e igualdad de trato, cualquiera que sea el motivo, y, en particular, la discriminación entre trabajadores, ya sea directa o indirecta, en todo lo relativo a la formación profesional o al empleo, a las condiciones de trabajo y a la igualdad de remuneración entre mujeres y hombres. También castiga a quien vulnere las disposiciones relativas al trabajo infantil, la discriminación, el trabajo forzoso y el acoso sexual, según cada caso. </w:t>
      </w:r>
    </w:p>
    <w:p w14:paraId="45EF6B2F" w14:textId="6F263E0E" w:rsidR="007666A4" w:rsidRPr="007666A4" w:rsidRDefault="007666A4" w:rsidP="007666A4">
      <w:pPr>
        <w:pStyle w:val="SingleTxtG"/>
      </w:pPr>
      <w:r w:rsidRPr="007666A4">
        <w:t>123.</w:t>
      </w:r>
      <w:r w:rsidR="00A34845">
        <w:tab/>
      </w:r>
      <w:r w:rsidRPr="007666A4">
        <w:t>En cuanto a los derechos políticos de las minorías, el Tribunal Federal dictó sentencia en el caso núm. 7/Federal/2010 respecto a la representación de la comunidad sabea y el resto de las minorías, y también emitió su fallo en el caso núm. 11/Federal/2010 en relación con los derechos de representación de la comunidad yazidí al amparo de la Ley Electoral, o Ley núm. 16/2005. Esta representación específica de las minorías y las mujeres quedó reflejada en su presencia numérica en el poder ejecutivo y en puestos de liderazgo en el Estado a nivel de ministros, viceministros, categorías especiales y directores generales.</w:t>
      </w:r>
    </w:p>
    <w:p w14:paraId="0CEFCEA2" w14:textId="6BF7BB04" w:rsidR="007666A4" w:rsidRPr="007666A4" w:rsidRDefault="007666A4" w:rsidP="007666A4">
      <w:pPr>
        <w:pStyle w:val="SingleTxtG"/>
      </w:pPr>
      <w:r w:rsidRPr="007666A4">
        <w:t>124.</w:t>
      </w:r>
      <w:r w:rsidR="00A34845">
        <w:tab/>
      </w:r>
      <w:r w:rsidRPr="007666A4">
        <w:t>En cuanto a la igualdad de oportunidades, el Tribunal Federal decidió en el caso 42/Federal/2012 garantizar una representación justa de la mujer, de conformidad con la Ley núm. 53/2008, en la Alta Comisión Independiente de Derechos Humanos.</w:t>
      </w:r>
    </w:p>
    <w:p w14:paraId="66D6C72F" w14:textId="1FFC2DC8" w:rsidR="007666A4" w:rsidRPr="007666A4" w:rsidRDefault="007666A4" w:rsidP="007666A4">
      <w:pPr>
        <w:pStyle w:val="SingleTxtG"/>
      </w:pPr>
      <w:r w:rsidRPr="007666A4">
        <w:t>125.</w:t>
      </w:r>
      <w:r w:rsidR="00A34845">
        <w:tab/>
      </w:r>
      <w:r w:rsidRPr="007666A4">
        <w:t xml:space="preserve">Aunque hay una disposición del artículo 14 de la Constitución iraquí que establece expresamente los principios de igualdad y no discriminación en el disfrute de los derechos y libertades en el país, el Iraq se adhirió tempranamente a la Convención sobre la Eliminación de Todas las Formas de Discriminación Racial y otras convenciones internacionales de derechos humanos y no hay ninguna disposición legal en la legislación iraquí que consagre la discriminación en cualquiera de sus formas. </w:t>
      </w:r>
    </w:p>
    <w:p w14:paraId="58A447F7" w14:textId="50A379CC" w:rsidR="007666A4" w:rsidRPr="007666A4" w:rsidRDefault="007666A4" w:rsidP="007666A4">
      <w:pPr>
        <w:pStyle w:val="SingleTxtG"/>
      </w:pPr>
      <w:r w:rsidRPr="007666A4">
        <w:t>126.</w:t>
      </w:r>
      <w:r w:rsidR="00A34845">
        <w:tab/>
      </w:r>
      <w:r w:rsidRPr="007666A4">
        <w:t>El Iraq ha tratado de adoptar una serie de medidas para garantizar la igualdad efectiva y combatir todas las formas de discriminación en lo que respecta a legislación, procedimientos, políticas y estereotipos que puedan existir como resultado de costumbres y tradiciones sociales no amparadas legalmente. Ejemplo de estas medidas es la capacitación de mujeres desplazadas y sus cónyuges para que colaboren en las diversas etapas de la gestión y solución de conflictos, y la formación de equipos llamados “Mujeres por la Paz” como parte del apoyo al esfuerzo de reconciliación nacional. Las personas condenadas por violación no se beneficiaron de la Ley núm. 27/2016, de Amnistía</w:t>
      </w:r>
      <w:r w:rsidR="006D15A3">
        <w:t>:</w:t>
      </w:r>
    </w:p>
    <w:p w14:paraId="3169AC2B" w14:textId="1DA7D0D0" w:rsidR="007666A4" w:rsidRPr="002435E8" w:rsidRDefault="007666A4" w:rsidP="002435E8">
      <w:pPr>
        <w:pStyle w:val="Bullet1G"/>
        <w:numPr>
          <w:ilvl w:val="0"/>
          <w:numId w:val="5"/>
        </w:numPr>
        <w:tabs>
          <w:tab w:val="clear" w:pos="2268"/>
          <w:tab w:val="num" w:pos="1701"/>
        </w:tabs>
        <w:ind w:left="1701"/>
        <w:rPr>
          <w:rFonts w:eastAsiaTheme="minorEastAsia"/>
        </w:rPr>
      </w:pPr>
      <w:r w:rsidRPr="002435E8">
        <w:rPr>
          <w:rFonts w:eastAsiaTheme="minorEastAsia"/>
        </w:rPr>
        <w:t xml:space="preserve">El poder judicial del Iraq ha juzgado 5.000 casos de violencia contra mujeres yazidíes como resultado de la guerra terrorista desencadenada por el Estado Islámico del Iraq y el Levante (EIIL). </w:t>
      </w:r>
    </w:p>
    <w:p w14:paraId="3DFEB481" w14:textId="05D6C0BE" w:rsidR="007666A4" w:rsidRPr="002435E8" w:rsidRDefault="007666A4" w:rsidP="002435E8">
      <w:pPr>
        <w:pStyle w:val="Bullet1G"/>
        <w:numPr>
          <w:ilvl w:val="0"/>
          <w:numId w:val="5"/>
        </w:numPr>
        <w:tabs>
          <w:tab w:val="clear" w:pos="2268"/>
          <w:tab w:val="num" w:pos="1701"/>
        </w:tabs>
        <w:ind w:left="1701"/>
        <w:rPr>
          <w:rFonts w:eastAsiaTheme="minorEastAsia"/>
        </w:rPr>
      </w:pPr>
      <w:r w:rsidRPr="002435E8">
        <w:rPr>
          <w:rFonts w:eastAsiaTheme="minorEastAsia"/>
        </w:rPr>
        <w:t>Se celebraron 300 talleres para dar a conocer la resolución 1325 (2000) del Consejo de Seguridad en el Iraq, a través de los ministerios sectoriales, y la concienciación de más de 17.000 miembros del personal de seguridad sobre la resolución 1325 (2000) de las Naciones Unidas.</w:t>
      </w:r>
    </w:p>
    <w:p w14:paraId="6F5F8C42" w14:textId="28C6F239" w:rsidR="007666A4" w:rsidRPr="002435E8" w:rsidRDefault="007666A4" w:rsidP="002435E8">
      <w:pPr>
        <w:pStyle w:val="Bullet1G"/>
        <w:numPr>
          <w:ilvl w:val="0"/>
          <w:numId w:val="5"/>
        </w:numPr>
        <w:tabs>
          <w:tab w:val="clear" w:pos="2268"/>
          <w:tab w:val="num" w:pos="1701"/>
        </w:tabs>
        <w:ind w:left="1701"/>
        <w:rPr>
          <w:rFonts w:eastAsiaTheme="minorEastAsia"/>
        </w:rPr>
      </w:pPr>
      <w:r w:rsidRPr="002435E8">
        <w:rPr>
          <w:rFonts w:eastAsiaTheme="minorEastAsia"/>
        </w:rPr>
        <w:t xml:space="preserve">Se destinó </w:t>
      </w:r>
      <w:r w:rsidR="00E03125">
        <w:rPr>
          <w:rFonts w:eastAsiaTheme="minorEastAsia"/>
        </w:rPr>
        <w:t>1</w:t>
      </w:r>
      <w:r w:rsidRPr="002435E8">
        <w:rPr>
          <w:rFonts w:eastAsiaTheme="minorEastAsia"/>
        </w:rPr>
        <w:t xml:space="preserve"> millón de dinares en forma de subsidio a toda mujer que fuera agredida durante los conflictos armados, y se estima que se dedicará la cantidad de aproximadamente 74.000 millones de dinares a indemnizaciones para los afectados por los conflictos de 2015.</w:t>
      </w:r>
    </w:p>
    <w:p w14:paraId="3F94A02F" w14:textId="77DFB1D3" w:rsidR="007666A4" w:rsidRPr="002435E8" w:rsidRDefault="007666A4" w:rsidP="002435E8">
      <w:pPr>
        <w:pStyle w:val="Bullet1G"/>
        <w:numPr>
          <w:ilvl w:val="0"/>
          <w:numId w:val="5"/>
        </w:numPr>
        <w:tabs>
          <w:tab w:val="clear" w:pos="2268"/>
          <w:tab w:val="num" w:pos="1701"/>
        </w:tabs>
        <w:ind w:left="1701"/>
        <w:rPr>
          <w:rFonts w:eastAsiaTheme="minorEastAsia"/>
        </w:rPr>
      </w:pPr>
      <w:r w:rsidRPr="002435E8">
        <w:rPr>
          <w:rFonts w:eastAsiaTheme="minorEastAsia"/>
        </w:rPr>
        <w:t xml:space="preserve">El establecimiento de dependencias especializadas para vigilar y documentar las violaciones de los derechos humanos, y la creación de una sala de operaciones conjunta, en la Secretaría General del Consejo de Ministros, para socorrer a las personas desplazadas en Al-Anbar y Mosul, mediante campañas de promoción organizadas con el Parlamento, las instituciones gubernamentales y las organizaciones de la sociedad civil con el fin de acelerar la tramitación de la Ley contra la Violencia Doméstica. Para ello se han establecido medidas de tratamiento médico para las supervivientes de la violencia sexual a través de las instituciones del Ministerio de Salud. También se organizó la Conferencia Internacional sobre Educación y Educación Superior tras la guerra contra el EIIL y se abrieron 28 oficinas de </w:t>
      </w:r>
      <w:r w:rsidRPr="002435E8">
        <w:rPr>
          <w:rFonts w:eastAsiaTheme="minorEastAsia"/>
        </w:rPr>
        <w:lastRenderedPageBreak/>
        <w:t>asesoramiento legal especializadas en todo el Iraq, que prestan servicios jurídicos gratuitos.</w:t>
      </w:r>
    </w:p>
    <w:p w14:paraId="43D20D9B" w14:textId="116B5D7F" w:rsidR="007666A4" w:rsidRPr="007666A4" w:rsidRDefault="00A34845" w:rsidP="00A34845">
      <w:pPr>
        <w:pStyle w:val="H1G"/>
      </w:pPr>
      <w:r>
        <w:tab/>
      </w:r>
      <w:r w:rsidR="007666A4" w:rsidRPr="007666A4">
        <w:tab/>
        <w:t>Artículo 4</w:t>
      </w:r>
    </w:p>
    <w:p w14:paraId="6C60C7AD" w14:textId="38B577F9" w:rsidR="007666A4" w:rsidRPr="007666A4" w:rsidRDefault="007666A4" w:rsidP="007666A4">
      <w:pPr>
        <w:pStyle w:val="SingleTxtG"/>
      </w:pPr>
      <w:r w:rsidRPr="007666A4">
        <w:rPr>
          <w:rtl/>
        </w:rPr>
        <w:t>127</w:t>
      </w:r>
      <w:r w:rsidRPr="007666A4">
        <w:t>.</w:t>
      </w:r>
      <w:r w:rsidR="00A34845">
        <w:tab/>
      </w:r>
      <w:r w:rsidRPr="007666A4">
        <w:t>Los Estados partes en este Pacto reconocen que el Estado no puede restringir el goce de los derechos que garantiza el Pacto sino en los límites establecidos por la ley, y solo en la medida en que ello sea compatible con la naturaleza de estos derechos y cuando el único objetivo de dicha limitación sea promover el bienestar general en una sociedad democrática</w:t>
      </w:r>
      <w:r w:rsidRPr="007666A4">
        <w:rPr>
          <w:rtl/>
        </w:rPr>
        <w:t>.</w:t>
      </w:r>
    </w:p>
    <w:p w14:paraId="57D925EB" w14:textId="24C869A5" w:rsidR="007666A4" w:rsidRPr="007666A4" w:rsidRDefault="00A34845" w:rsidP="00A34845">
      <w:pPr>
        <w:pStyle w:val="H1G"/>
      </w:pPr>
      <w:r>
        <w:tab/>
      </w:r>
      <w:r w:rsidR="007666A4" w:rsidRPr="007666A4">
        <w:rPr>
          <w:rtl/>
        </w:rPr>
        <w:tab/>
      </w:r>
      <w:r w:rsidR="007666A4" w:rsidRPr="007666A4">
        <w:t>Artículo 5</w:t>
      </w:r>
    </w:p>
    <w:p w14:paraId="40907BC4" w14:textId="359D2F35" w:rsidR="007666A4" w:rsidRPr="007666A4" w:rsidRDefault="007666A4" w:rsidP="007666A4">
      <w:pPr>
        <w:pStyle w:val="SingleTxtG"/>
      </w:pPr>
      <w:r w:rsidRPr="007666A4">
        <w:t>128.</w:t>
      </w:r>
      <w:r w:rsidR="00A34845">
        <w:tab/>
      </w:r>
      <w:r w:rsidRPr="007666A4">
        <w:t>El artículo 2.1.c de la Constitución establece que “no se puede promulgar una ley que sea contraria a los derechos y libertades fundamentales amparados en esta Constitución”; por su parte, el artículo 14 de la Constitución establece que “los iraquíes son iguales ante la ley, sin discriminación por motivos de género, raza, etnia, nacionalidad, origen, color, religión, rito, creencia u opinión, o condición económica o social”.</w:t>
      </w:r>
    </w:p>
    <w:p w14:paraId="01E8EE6A" w14:textId="38A16126" w:rsidR="007666A4" w:rsidRPr="007666A4" w:rsidRDefault="007666A4" w:rsidP="007666A4">
      <w:pPr>
        <w:pStyle w:val="SingleTxtG"/>
      </w:pPr>
      <w:r w:rsidRPr="007666A4">
        <w:t>129.</w:t>
      </w:r>
      <w:r w:rsidR="00A34845">
        <w:tab/>
      </w:r>
      <w:r w:rsidRPr="007666A4">
        <w:t>El artículo 46 de la Constitución también dispone que “el ejercicio de cualquiera de los derechos y libertades previstos en esta Constitución no se restringirá o limitará sino en virtud de una ley o sobre la base de una ley, siempre que dicha limitación o restricción no conculque el derecho o la libertad en su esencia”.</w:t>
      </w:r>
    </w:p>
    <w:p w14:paraId="600F14AC" w14:textId="28E235A1" w:rsidR="007666A4" w:rsidRPr="007666A4" w:rsidRDefault="00A34845" w:rsidP="00A34845">
      <w:pPr>
        <w:pStyle w:val="H1G"/>
      </w:pPr>
      <w:r>
        <w:tab/>
      </w:r>
      <w:r>
        <w:tab/>
      </w:r>
      <w:r w:rsidR="007666A4" w:rsidRPr="007666A4">
        <w:t>Artículo 6 y recomendación que figura</w:t>
      </w:r>
      <w:r w:rsidR="007666A4" w:rsidRPr="007666A4" w:rsidDel="00D35640">
        <w:t xml:space="preserve"> </w:t>
      </w:r>
      <w:r w:rsidR="007666A4" w:rsidRPr="007666A4">
        <w:t>en el párrafo 32</w:t>
      </w:r>
    </w:p>
    <w:p w14:paraId="3D990538" w14:textId="1602A980" w:rsidR="007666A4" w:rsidRPr="007666A4" w:rsidRDefault="007666A4" w:rsidP="007666A4">
      <w:pPr>
        <w:pStyle w:val="SingleTxtG"/>
      </w:pPr>
      <w:r w:rsidRPr="007666A4">
        <w:t>130.</w:t>
      </w:r>
      <w:r w:rsidR="00A34845">
        <w:tab/>
      </w:r>
      <w:r w:rsidRPr="007666A4">
        <w:t>El derecho al trabajo es un derecho garantizado por la Constitución a todos los ciudadanos, sin discriminación por cualquier motivo. El artículo 22 establece que “el trabajo es un derecho de todos los iraquíes, que les garantiza una vida digna”. La ley regula la relación entre trabajadores y empleadores sobre una base económica, teniendo en cuenta las normas de justicia social. El Estado ampara el derecho a establecer sindicatos y asociaciones profesionales y a afiliarse a ellos, y se trata de un derecho regulado por ley.</w:t>
      </w:r>
    </w:p>
    <w:p w14:paraId="326A140E" w14:textId="05BE255E" w:rsidR="007666A4" w:rsidRPr="007666A4" w:rsidRDefault="007666A4" w:rsidP="007666A4">
      <w:pPr>
        <w:pStyle w:val="SingleTxtG"/>
      </w:pPr>
      <w:r w:rsidRPr="007666A4">
        <w:t>131.</w:t>
      </w:r>
      <w:r w:rsidR="00A34845">
        <w:tab/>
      </w:r>
      <w:r w:rsidRPr="007666A4">
        <w:t>Para aplicar este texto y hacer efectivo el derecho al trabajo se han promulgado las siguientes leyes:</w:t>
      </w:r>
    </w:p>
    <w:p w14:paraId="2A902757" w14:textId="6C1F8141" w:rsidR="007666A4" w:rsidRPr="007666A4" w:rsidRDefault="00A34845" w:rsidP="007666A4">
      <w:pPr>
        <w:pStyle w:val="SingleTxtG"/>
      </w:pPr>
      <w:r>
        <w:tab/>
      </w:r>
      <w:r w:rsidR="007666A4" w:rsidRPr="007666A4">
        <w:t>1.</w:t>
      </w:r>
      <w:r>
        <w:tab/>
      </w:r>
      <w:r w:rsidR="007666A4" w:rsidRPr="007666A4">
        <w:t>El Código del Trabajo, o Ley núm. 37/2015, que incluye las disposiciones más importantes a las que se hace referencia en la recomendación, entre ellas las siguientes:</w:t>
      </w:r>
    </w:p>
    <w:p w14:paraId="77420EAB" w14:textId="184E866D" w:rsidR="007666A4" w:rsidRPr="002435E8" w:rsidRDefault="007666A4" w:rsidP="002435E8">
      <w:pPr>
        <w:pStyle w:val="Bullet1G"/>
        <w:numPr>
          <w:ilvl w:val="0"/>
          <w:numId w:val="5"/>
        </w:numPr>
        <w:tabs>
          <w:tab w:val="clear" w:pos="2268"/>
          <w:tab w:val="num" w:pos="1701"/>
        </w:tabs>
        <w:ind w:left="1701"/>
        <w:rPr>
          <w:rFonts w:eastAsiaTheme="minorEastAsia"/>
        </w:rPr>
      </w:pPr>
      <w:r w:rsidRPr="002435E8">
        <w:rPr>
          <w:rFonts w:eastAsiaTheme="minorEastAsia"/>
        </w:rPr>
        <w:t xml:space="preserve">Esta </w:t>
      </w:r>
      <w:r w:rsidR="008818B5" w:rsidRPr="002435E8">
        <w:rPr>
          <w:rFonts w:eastAsiaTheme="minorEastAsia"/>
        </w:rPr>
        <w:t xml:space="preserve">Ley </w:t>
      </w:r>
      <w:r w:rsidRPr="002435E8">
        <w:rPr>
          <w:rFonts w:eastAsiaTheme="minorEastAsia"/>
        </w:rPr>
        <w:t xml:space="preserve">tiene como objetivo poner el trabajo al servicio del proceso de construcción de la economía nacional en aras del bienestar y la mejora de las condiciones de vida. La </w:t>
      </w:r>
      <w:r w:rsidR="008818B5" w:rsidRPr="002435E8">
        <w:rPr>
          <w:rFonts w:eastAsiaTheme="minorEastAsia"/>
        </w:rPr>
        <w:t xml:space="preserve">Ley </w:t>
      </w:r>
      <w:r w:rsidRPr="002435E8">
        <w:rPr>
          <w:rFonts w:eastAsiaTheme="minorEastAsia"/>
        </w:rPr>
        <w:t xml:space="preserve">garantiza el derecho al trabajo de todo ciudadano que pueda trabajar, en igualdad de condiciones y de oportunidades entre todos los ciudadanos sin discriminación por razón de género, raza, idioma o religión. Ello implica dar la oportunidad a todo ciudadano de formarse para ejercer una actividad profesional, dentro de los límites marcados por el Estado en cuanto al tamaño y el tipo de trabajo propios de cada sector productivo. El trabajo se considera un deber sagrado, dictado por el honor y obligatorio en tanto que permite participar en la construcción, desarrollo y prosperidad de la sociedad. El salario del trabajador está garantizado pues, como establece la </w:t>
      </w:r>
      <w:r w:rsidR="00554ACD" w:rsidRPr="002435E8">
        <w:rPr>
          <w:rFonts w:eastAsiaTheme="minorEastAsia"/>
        </w:rPr>
        <w:t>Ley</w:t>
      </w:r>
      <w:r w:rsidRPr="002435E8">
        <w:rPr>
          <w:rFonts w:eastAsiaTheme="minorEastAsia"/>
        </w:rPr>
        <w:t>, “se garantiza al trabajador la percepción de un salario suficiente para satisfacer sus necesidades básicas, que le permita mantener a su familia y que le ofrezca la oportunidad de beneficiarse de los frutos del progreso económico alcanzado”.</w:t>
      </w:r>
    </w:p>
    <w:p w14:paraId="3C399CB3" w14:textId="49DB132B" w:rsidR="007666A4" w:rsidRPr="002435E8" w:rsidRDefault="007666A4" w:rsidP="002435E8">
      <w:pPr>
        <w:pStyle w:val="Bullet1G"/>
        <w:numPr>
          <w:ilvl w:val="0"/>
          <w:numId w:val="5"/>
        </w:numPr>
        <w:tabs>
          <w:tab w:val="clear" w:pos="2268"/>
          <w:tab w:val="num" w:pos="1701"/>
        </w:tabs>
        <w:ind w:left="1701"/>
        <w:rPr>
          <w:rFonts w:eastAsiaTheme="minorEastAsia"/>
        </w:rPr>
      </w:pPr>
      <w:r w:rsidRPr="002435E8">
        <w:rPr>
          <w:rFonts w:eastAsiaTheme="minorEastAsia"/>
        </w:rPr>
        <w:t>La Ley contiene disposiciones sobre el principio relativo al salario mínimo, que garantiza una vida digna al trabajador, quien depende de dicho salario para gestionar sus asuntos privados y proveer por su manutención.</w:t>
      </w:r>
    </w:p>
    <w:p w14:paraId="093D4C22" w14:textId="747B22A6" w:rsidR="007666A4" w:rsidRPr="002435E8" w:rsidRDefault="007666A4" w:rsidP="002435E8">
      <w:pPr>
        <w:pStyle w:val="Bullet1G"/>
        <w:numPr>
          <w:ilvl w:val="0"/>
          <w:numId w:val="5"/>
        </w:numPr>
        <w:tabs>
          <w:tab w:val="clear" w:pos="2268"/>
          <w:tab w:val="num" w:pos="1701"/>
        </w:tabs>
        <w:ind w:left="1701"/>
        <w:rPr>
          <w:rFonts w:eastAsiaTheme="minorEastAsia"/>
        </w:rPr>
      </w:pPr>
      <w:r w:rsidRPr="002435E8">
        <w:rPr>
          <w:rFonts w:eastAsiaTheme="minorEastAsia"/>
        </w:rPr>
        <w:t>La Ley establece “relaciones laborales sobre la base de la solidaridad social entre las partes, con lo que ello requiere de cooperación mutua y responsabilidad compartida”.</w:t>
      </w:r>
    </w:p>
    <w:p w14:paraId="0F9E644F" w14:textId="1F3D2B29" w:rsidR="007666A4" w:rsidRPr="007666A4" w:rsidRDefault="00A34845" w:rsidP="007666A4">
      <w:pPr>
        <w:pStyle w:val="SingleTxtG"/>
      </w:pPr>
      <w:r>
        <w:lastRenderedPageBreak/>
        <w:tab/>
      </w:r>
      <w:r w:rsidR="007666A4" w:rsidRPr="007666A4">
        <w:t>2.</w:t>
      </w:r>
      <w:r>
        <w:tab/>
      </w:r>
      <w:r w:rsidR="007666A4" w:rsidRPr="007666A4">
        <w:t>“La organización sindical se considera una parte efectiva en la regulación de las relaciones laborales, la protección de los derechos de los trabajadores y el desarrollo de la personalidad y aptitudes de estos”. A tal efecto, se promulgó la Ley de Organización Sindical de los Trabajadores, núm. 52/1987, que regula el mecanismo de organización sindical de los trabajadores en el Iraq, y que tiene por objetivo el logro de:</w:t>
      </w:r>
    </w:p>
    <w:p w14:paraId="4A7AE7C4" w14:textId="57B74648" w:rsidR="007666A4" w:rsidRPr="007666A4" w:rsidRDefault="00A34845" w:rsidP="007666A4">
      <w:pPr>
        <w:pStyle w:val="SingleTxtG"/>
      </w:pPr>
      <w:r>
        <w:tab/>
      </w:r>
      <w:r w:rsidR="007666A4" w:rsidRPr="007666A4">
        <w:t>a)</w:t>
      </w:r>
      <w:r>
        <w:tab/>
      </w:r>
      <w:r w:rsidR="007666A4" w:rsidRPr="007666A4">
        <w:t>La protección y el desarrollo de la producción y los derechos de los trabajadores;</w:t>
      </w:r>
    </w:p>
    <w:p w14:paraId="681A2577" w14:textId="5B58C346" w:rsidR="007666A4" w:rsidRPr="007666A4" w:rsidRDefault="00A34845" w:rsidP="007666A4">
      <w:pPr>
        <w:pStyle w:val="SingleTxtG"/>
      </w:pPr>
      <w:r>
        <w:tab/>
      </w:r>
      <w:r w:rsidR="007666A4" w:rsidRPr="007666A4">
        <w:t>b)</w:t>
      </w:r>
      <w:r>
        <w:tab/>
      </w:r>
      <w:r w:rsidR="007666A4" w:rsidRPr="007666A4">
        <w:t>El desarrollo de la conciencia política, cultural y profesional de los trabajadores;</w:t>
      </w:r>
    </w:p>
    <w:p w14:paraId="4E1C2936" w14:textId="2A87F7AF" w:rsidR="007666A4" w:rsidRPr="007666A4" w:rsidRDefault="00A34845" w:rsidP="007666A4">
      <w:pPr>
        <w:pStyle w:val="SingleTxtG"/>
      </w:pPr>
      <w:r>
        <w:tab/>
      </w:r>
      <w:r w:rsidR="007666A4" w:rsidRPr="007666A4">
        <w:t>c)</w:t>
      </w:r>
      <w:r>
        <w:tab/>
      </w:r>
      <w:r w:rsidR="007666A4" w:rsidRPr="007666A4">
        <w:t>La consolidación del espíritu de respeto hacia el ordenamiento laboral y el esfuerzo por cumplirlo de forma consciente, voluntaria y sincera.</w:t>
      </w:r>
    </w:p>
    <w:p w14:paraId="2965D46F" w14:textId="309C073A" w:rsidR="007666A4" w:rsidRPr="007666A4" w:rsidRDefault="007666A4" w:rsidP="007666A4">
      <w:pPr>
        <w:pStyle w:val="SingleTxtG"/>
      </w:pPr>
      <w:r w:rsidRPr="007666A4">
        <w:t>132.</w:t>
      </w:r>
      <w:r w:rsidR="00A34845">
        <w:tab/>
      </w:r>
      <w:r w:rsidRPr="007666A4">
        <w:t xml:space="preserve">Con el fin de garantizar el derecho al trabajo de las personas con necesidades especiales, la Ley de Atención a las Personas con Discapacidad </w:t>
      </w:r>
      <w:r w:rsidR="00D95708">
        <w:t>y</w:t>
      </w:r>
      <w:r w:rsidRPr="007666A4">
        <w:t xml:space="preserve"> con Necesidades Especiales, núm. 38/2013, les garantiza este derecho; la </w:t>
      </w:r>
      <w:r w:rsidR="00554ACD" w:rsidRPr="007666A4">
        <w:t xml:space="preserve">Ley </w:t>
      </w:r>
      <w:r w:rsidRPr="007666A4">
        <w:t>tiene como objetivo lograr lo siguiente:</w:t>
      </w:r>
    </w:p>
    <w:p w14:paraId="42937BAB" w14:textId="37F4EB49" w:rsidR="007666A4" w:rsidRPr="007666A4" w:rsidRDefault="00A34845" w:rsidP="007666A4">
      <w:pPr>
        <w:pStyle w:val="SingleTxtG"/>
      </w:pPr>
      <w:r>
        <w:tab/>
      </w:r>
      <w:r w:rsidR="007666A4" w:rsidRPr="007666A4">
        <w:t>a)</w:t>
      </w:r>
      <w:r>
        <w:tab/>
      </w:r>
      <w:r w:rsidR="007666A4" w:rsidRPr="007666A4">
        <w:t xml:space="preserve">Atender a las personas con discapacidad </w:t>
      </w:r>
      <w:r w:rsidR="00D95708">
        <w:t>y</w:t>
      </w:r>
      <w:r w:rsidR="007666A4" w:rsidRPr="007666A4">
        <w:t xml:space="preserve"> con necesidades especiales y eliminar la discriminación por motivo de discapacidad o debido a una necesidad especial;</w:t>
      </w:r>
    </w:p>
    <w:p w14:paraId="2EFC24B1" w14:textId="0E309AFF" w:rsidR="007666A4" w:rsidRPr="007666A4" w:rsidRDefault="00A34845" w:rsidP="007666A4">
      <w:pPr>
        <w:pStyle w:val="SingleTxtG"/>
      </w:pPr>
      <w:r>
        <w:tab/>
      </w:r>
      <w:r w:rsidR="007666A4" w:rsidRPr="007666A4">
        <w:t>b)</w:t>
      </w:r>
      <w:r>
        <w:tab/>
      </w:r>
      <w:r w:rsidR="007666A4" w:rsidRPr="007666A4">
        <w:t xml:space="preserve">Proporcionar las condiciones necesarias para la integración de las personas con discapacidad </w:t>
      </w:r>
      <w:r w:rsidR="00D95708">
        <w:t>y</w:t>
      </w:r>
      <w:r w:rsidR="007666A4" w:rsidRPr="007666A4">
        <w:t xml:space="preserve"> con necesidades especiales en la sociedad;</w:t>
      </w:r>
    </w:p>
    <w:p w14:paraId="1A185E6A" w14:textId="790FC038" w:rsidR="007666A4" w:rsidRPr="007666A4" w:rsidRDefault="00A34845" w:rsidP="007666A4">
      <w:pPr>
        <w:pStyle w:val="SingleTxtG"/>
      </w:pPr>
      <w:r>
        <w:tab/>
      </w:r>
      <w:r w:rsidR="007666A4" w:rsidRPr="007666A4">
        <w:t>c)</w:t>
      </w:r>
      <w:r>
        <w:tab/>
      </w:r>
      <w:r w:rsidR="007666A4" w:rsidRPr="007666A4">
        <w:t xml:space="preserve">Garantizar una vida digna a las personas con discapacidad </w:t>
      </w:r>
      <w:r w:rsidR="00D95708">
        <w:t>y</w:t>
      </w:r>
      <w:r w:rsidR="007666A4" w:rsidRPr="007666A4">
        <w:t xml:space="preserve"> con necesidades especiales.</w:t>
      </w:r>
    </w:p>
    <w:p w14:paraId="33EAC041" w14:textId="7D07A311" w:rsidR="007666A4" w:rsidRPr="007666A4" w:rsidRDefault="00A34845" w:rsidP="007666A4">
      <w:pPr>
        <w:pStyle w:val="SingleTxtG"/>
      </w:pPr>
      <w:r>
        <w:tab/>
      </w:r>
      <w:r w:rsidR="007666A4" w:rsidRPr="007666A4">
        <w:t>d)</w:t>
      </w:r>
      <w:r>
        <w:tab/>
      </w:r>
      <w:r w:rsidR="007666A4" w:rsidRPr="007666A4">
        <w:t>Respetar la discapacidad y aceptarla como parte de la diversidad y la naturaleza humanas;</w:t>
      </w:r>
    </w:p>
    <w:p w14:paraId="4FDE5CD9" w14:textId="0B4A72B7" w:rsidR="007666A4" w:rsidRPr="007666A4" w:rsidRDefault="00A34845" w:rsidP="007666A4">
      <w:pPr>
        <w:pStyle w:val="SingleTxtG"/>
      </w:pPr>
      <w:r>
        <w:tab/>
      </w:r>
      <w:r w:rsidR="007666A4" w:rsidRPr="007666A4">
        <w:t>e)</w:t>
      </w:r>
      <w:r>
        <w:tab/>
      </w:r>
      <w:r w:rsidR="007666A4" w:rsidRPr="007666A4">
        <w:t xml:space="preserve">Crear oportunidades laborales para personas con discapacidad </w:t>
      </w:r>
      <w:r w:rsidR="00D95708">
        <w:t>y</w:t>
      </w:r>
      <w:r w:rsidR="007666A4" w:rsidRPr="007666A4">
        <w:t xml:space="preserve"> con necesidades especiales en la administración del Estado y los sectores público, mixto y privado.</w:t>
      </w:r>
    </w:p>
    <w:p w14:paraId="209CC581" w14:textId="70492F2E" w:rsidR="007666A4" w:rsidRPr="007666A4" w:rsidRDefault="007666A4" w:rsidP="007666A4">
      <w:pPr>
        <w:pStyle w:val="SingleTxtG"/>
      </w:pPr>
      <w:r w:rsidRPr="007666A4">
        <w:t>133.</w:t>
      </w:r>
      <w:r w:rsidR="00A34845">
        <w:tab/>
      </w:r>
      <w:r w:rsidRPr="007666A4">
        <w:t>La Ley garantiza el derecho al trabajo de las personas con discapacidad obligando al sector público y privado a proporcionarles empleo, y lo hace de la siguiente manera:</w:t>
      </w:r>
    </w:p>
    <w:p w14:paraId="3951A315" w14:textId="5032BFB5" w:rsidR="007666A4" w:rsidRPr="007666A4" w:rsidRDefault="00A34845" w:rsidP="007666A4">
      <w:pPr>
        <w:pStyle w:val="SingleTxtG"/>
      </w:pPr>
      <w:r>
        <w:tab/>
      </w:r>
      <w:r w:rsidR="007666A4" w:rsidRPr="007666A4">
        <w:t>a)</w:t>
      </w:r>
      <w:r>
        <w:tab/>
      </w:r>
      <w:r w:rsidR="007666A4" w:rsidRPr="007666A4">
        <w:t xml:space="preserve">Los ministerios, las entidades no adscritas a un ministerio y las empresas del sector público asignan puestos de trabajo para personas con discapacidad </w:t>
      </w:r>
      <w:r w:rsidR="00D95708">
        <w:t>y</w:t>
      </w:r>
      <w:r w:rsidR="007666A4" w:rsidRPr="007666A4">
        <w:t xml:space="preserve"> con necesidades especiales; el número de estas plazas no debe ser inferior al 5 % del total de plantilla;</w:t>
      </w:r>
    </w:p>
    <w:p w14:paraId="0BEA1F78" w14:textId="39305FB2" w:rsidR="007666A4" w:rsidRPr="007666A4" w:rsidRDefault="00A34845" w:rsidP="007666A4">
      <w:pPr>
        <w:pStyle w:val="SingleTxtG"/>
      </w:pPr>
      <w:r>
        <w:tab/>
      </w:r>
      <w:r w:rsidR="007666A4" w:rsidRPr="007666A4">
        <w:t>b)</w:t>
      </w:r>
      <w:r>
        <w:tab/>
      </w:r>
      <w:r w:rsidR="007666A4" w:rsidRPr="007666A4">
        <w:t>En el caso de que emplee a entre 30 y 60 trabajadores, el empleador del sector mixto está obligado a contratar a un trabajador con discapacidad o con necesidades especiales que cumpla con las cualificaciones mínimas requeridas, y a un 3 % como mínimo del total de trabajadores si emplea a más de 60 personas.</w:t>
      </w:r>
    </w:p>
    <w:p w14:paraId="2FC5F2F8" w14:textId="55A57E37" w:rsidR="007666A4" w:rsidRPr="007666A4" w:rsidRDefault="007666A4" w:rsidP="007666A4">
      <w:pPr>
        <w:pStyle w:val="SingleTxtG"/>
      </w:pPr>
      <w:r w:rsidRPr="007666A4">
        <w:t>134.</w:t>
      </w:r>
      <w:r w:rsidR="00A34845">
        <w:tab/>
      </w:r>
      <w:r w:rsidRPr="007666A4">
        <w:t>Se ha aprobado la Directiva núm. 4/2018, que contiene instrucciones sobre la designación para cubrir puestos vacantes derivados de la movilidad del personal. Con arreglo a esta directiva se formaron comités especializados para examinar las solicitudes de nombramiento o de nueva designación tras anunciarse la disponibilidad de dichas vacantes. La directiva tiene en cuenta los derechos de los familiares de las víctimas, de los titulares de diplomas universitarios y de las personas con discapacidad. Igualmente, contiene una disposición que promueve el respeto de los derechos de los hijos de la comunidad cristiana.</w:t>
      </w:r>
    </w:p>
    <w:p w14:paraId="5806ECA8" w14:textId="137668CD" w:rsidR="007666A4" w:rsidRPr="00A34845" w:rsidRDefault="007666A4" w:rsidP="007666A4">
      <w:pPr>
        <w:pStyle w:val="SingleTxtG"/>
      </w:pPr>
      <w:r w:rsidRPr="007666A4">
        <w:t>135.</w:t>
      </w:r>
      <w:r w:rsidR="00A34845">
        <w:tab/>
      </w:r>
      <w:r w:rsidRPr="00A34845">
        <w:t>Los siguientes cuadros contienen datos estadísticos sobre presencia de personas con discapacidad y necesidades especiales en el mercado laboral, de la siguiente manera</w:t>
      </w:r>
      <w:r w:rsidR="00A34845">
        <w:t>.</w:t>
      </w:r>
    </w:p>
    <w:p w14:paraId="1CB1DDB2" w14:textId="182A6C6C" w:rsidR="007666A4" w:rsidRPr="007666A4" w:rsidRDefault="00A34845" w:rsidP="00A34845">
      <w:pPr>
        <w:pStyle w:val="H23G"/>
      </w:pPr>
      <w:r>
        <w:tab/>
      </w:r>
      <w:r>
        <w:tab/>
      </w:r>
      <w:r w:rsidR="007666A4" w:rsidRPr="007666A4">
        <w:t>Distribución relativa de personas con discapacidad por sector laboral</w:t>
      </w:r>
    </w:p>
    <w:p w14:paraId="6E92C862" w14:textId="4314082A" w:rsidR="007666A4" w:rsidRPr="007666A4" w:rsidRDefault="00A34845" w:rsidP="007666A4">
      <w:pPr>
        <w:pStyle w:val="SingleTxtG"/>
      </w:pPr>
      <w:r>
        <w:tab/>
      </w:r>
      <w:r w:rsidR="007666A4" w:rsidRPr="007666A4">
        <w:t xml:space="preserve">Los resultados de la encuesta mostraron que las personas con discapacidad (de 10 años o más) que más trabajaban lo hacían en el sector privado, con un porcentaje del 72,8 %, seguidos por las personas con discapacidad que lo hacen en el sector público, cuyo porcentaje era del 22,4 %; las personas con discapacidad que trabajan en el sector privado extranjero son las menos, con un 0,5 %, en tanto que en el sector cooperativo no había contratadas personas con discapacidad. </w:t>
      </w:r>
    </w:p>
    <w:p w14:paraId="101E45D3" w14:textId="33C3B9A9" w:rsidR="007666A4" w:rsidRPr="007666A4" w:rsidRDefault="00A34845" w:rsidP="00A34845">
      <w:pPr>
        <w:pStyle w:val="H23G"/>
      </w:pPr>
      <w:r>
        <w:lastRenderedPageBreak/>
        <w:tab/>
      </w:r>
      <w:r>
        <w:tab/>
      </w:r>
      <w:r w:rsidR="007666A4" w:rsidRPr="007666A4">
        <w:t>Cuadro que refleja la distribución relativa de las personas con discapacidad por principales sectores laborales, género y entorno.</w:t>
      </w:r>
    </w:p>
    <w:tbl>
      <w:tblPr>
        <w:tblW w:w="8505"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276"/>
        <w:gridCol w:w="1273"/>
        <w:gridCol w:w="972"/>
        <w:gridCol w:w="729"/>
        <w:gridCol w:w="1093"/>
        <w:gridCol w:w="851"/>
        <w:gridCol w:w="972"/>
        <w:gridCol w:w="609"/>
        <w:gridCol w:w="730"/>
      </w:tblGrid>
      <w:tr w:rsidR="00A34845" w:rsidRPr="00A34845" w14:paraId="2B36648C" w14:textId="77777777" w:rsidTr="00A34845">
        <w:trPr>
          <w:trHeight w:val="240"/>
          <w:tblHeader/>
        </w:trPr>
        <w:tc>
          <w:tcPr>
            <w:tcW w:w="1276" w:type="dxa"/>
            <w:tcBorders>
              <w:top w:val="single" w:sz="4" w:space="0" w:color="auto"/>
              <w:bottom w:val="single" w:sz="12" w:space="0" w:color="auto"/>
            </w:tcBorders>
            <w:shd w:val="clear" w:color="auto" w:fill="auto"/>
            <w:vAlign w:val="bottom"/>
          </w:tcPr>
          <w:p w14:paraId="74696A9E" w14:textId="7760EE37" w:rsidR="007666A4" w:rsidRPr="00A34845" w:rsidRDefault="007666A4" w:rsidP="008818B5">
            <w:pPr>
              <w:pStyle w:val="SingleTxtG"/>
              <w:tabs>
                <w:tab w:val="clear" w:pos="1701"/>
                <w:tab w:val="clear" w:pos="2268"/>
                <w:tab w:val="clear" w:pos="2835"/>
              </w:tabs>
              <w:spacing w:before="80" w:after="80" w:line="200" w:lineRule="exact"/>
              <w:ind w:left="0" w:right="28"/>
              <w:jc w:val="left"/>
              <w:rPr>
                <w:bCs/>
                <w:i/>
                <w:sz w:val="16"/>
                <w:rtl/>
                <w:lang w:bidi="ar-IQ"/>
              </w:rPr>
            </w:pPr>
            <w:r w:rsidRPr="00A34845">
              <w:rPr>
                <w:bCs/>
                <w:i/>
                <w:sz w:val="16"/>
              </w:rPr>
              <w:t>Género/entorn</w:t>
            </w:r>
            <w:r w:rsidR="00A34845">
              <w:rPr>
                <w:bCs/>
                <w:i/>
                <w:sz w:val="16"/>
              </w:rPr>
              <w:t>o</w:t>
            </w:r>
          </w:p>
        </w:tc>
        <w:tc>
          <w:tcPr>
            <w:tcW w:w="1273" w:type="dxa"/>
            <w:tcBorders>
              <w:top w:val="single" w:sz="4" w:space="0" w:color="auto"/>
              <w:bottom w:val="single" w:sz="12" w:space="0" w:color="auto"/>
            </w:tcBorders>
            <w:shd w:val="clear" w:color="auto" w:fill="auto"/>
            <w:vAlign w:val="bottom"/>
          </w:tcPr>
          <w:p w14:paraId="0B2C2DBB" w14:textId="5C9FB093" w:rsidR="007666A4" w:rsidRPr="00A34845" w:rsidRDefault="007666A4" w:rsidP="00A34845">
            <w:pPr>
              <w:pStyle w:val="SingleTxtG"/>
              <w:tabs>
                <w:tab w:val="clear" w:pos="1701"/>
                <w:tab w:val="clear" w:pos="2268"/>
                <w:tab w:val="clear" w:pos="2835"/>
              </w:tabs>
              <w:spacing w:before="80" w:after="80" w:line="200" w:lineRule="exact"/>
              <w:ind w:left="57" w:right="28"/>
              <w:jc w:val="right"/>
              <w:rPr>
                <w:bCs/>
                <w:i/>
                <w:sz w:val="16"/>
                <w:rtl/>
                <w:lang w:bidi="ar-IQ"/>
              </w:rPr>
            </w:pPr>
            <w:r w:rsidRPr="00A34845">
              <w:rPr>
                <w:bCs/>
                <w:i/>
                <w:sz w:val="16"/>
              </w:rPr>
              <w:t>Gubernamental</w:t>
            </w:r>
          </w:p>
        </w:tc>
        <w:tc>
          <w:tcPr>
            <w:tcW w:w="972" w:type="dxa"/>
            <w:tcBorders>
              <w:top w:val="single" w:sz="4" w:space="0" w:color="auto"/>
              <w:bottom w:val="single" w:sz="12" w:space="0" w:color="auto"/>
            </w:tcBorders>
            <w:shd w:val="clear" w:color="auto" w:fill="auto"/>
            <w:vAlign w:val="bottom"/>
          </w:tcPr>
          <w:p w14:paraId="38E31C00" w14:textId="7545EB04" w:rsidR="007666A4" w:rsidRPr="00A34845" w:rsidRDefault="007666A4" w:rsidP="00A34845">
            <w:pPr>
              <w:pStyle w:val="SingleTxtG"/>
              <w:tabs>
                <w:tab w:val="clear" w:pos="1701"/>
                <w:tab w:val="clear" w:pos="2268"/>
                <w:tab w:val="clear" w:pos="2835"/>
              </w:tabs>
              <w:spacing w:before="80" w:after="80" w:line="200" w:lineRule="exact"/>
              <w:ind w:left="57" w:right="28"/>
              <w:jc w:val="right"/>
              <w:rPr>
                <w:bCs/>
                <w:i/>
                <w:sz w:val="16"/>
                <w:rtl/>
                <w:lang w:bidi="ar-IQ"/>
              </w:rPr>
            </w:pPr>
            <w:r w:rsidRPr="00A34845">
              <w:rPr>
                <w:bCs/>
                <w:i/>
                <w:sz w:val="16"/>
              </w:rPr>
              <w:t>Público</w:t>
            </w:r>
          </w:p>
        </w:tc>
        <w:tc>
          <w:tcPr>
            <w:tcW w:w="729" w:type="dxa"/>
            <w:tcBorders>
              <w:top w:val="single" w:sz="4" w:space="0" w:color="auto"/>
              <w:bottom w:val="single" w:sz="12" w:space="0" w:color="auto"/>
            </w:tcBorders>
            <w:shd w:val="clear" w:color="auto" w:fill="auto"/>
            <w:vAlign w:val="bottom"/>
          </w:tcPr>
          <w:p w14:paraId="7BB60742" w14:textId="77777777" w:rsidR="007666A4" w:rsidRPr="00A34845" w:rsidRDefault="007666A4" w:rsidP="00A34845">
            <w:pPr>
              <w:pStyle w:val="SingleTxtG"/>
              <w:tabs>
                <w:tab w:val="clear" w:pos="1701"/>
                <w:tab w:val="clear" w:pos="2268"/>
                <w:tab w:val="clear" w:pos="2835"/>
              </w:tabs>
              <w:spacing w:before="80" w:after="80" w:line="200" w:lineRule="exact"/>
              <w:ind w:left="57" w:right="28"/>
              <w:jc w:val="right"/>
              <w:rPr>
                <w:bCs/>
                <w:i/>
                <w:sz w:val="16"/>
                <w:rtl/>
                <w:lang w:bidi="ar-IQ"/>
              </w:rPr>
            </w:pPr>
            <w:r w:rsidRPr="00A34845">
              <w:rPr>
                <w:bCs/>
                <w:i/>
                <w:sz w:val="16"/>
              </w:rPr>
              <w:t>Mixto</w:t>
            </w:r>
          </w:p>
        </w:tc>
        <w:tc>
          <w:tcPr>
            <w:tcW w:w="1093" w:type="dxa"/>
            <w:tcBorders>
              <w:top w:val="single" w:sz="4" w:space="0" w:color="auto"/>
              <w:bottom w:val="single" w:sz="12" w:space="0" w:color="auto"/>
            </w:tcBorders>
            <w:shd w:val="clear" w:color="auto" w:fill="auto"/>
            <w:vAlign w:val="bottom"/>
          </w:tcPr>
          <w:p w14:paraId="11417853" w14:textId="1655DCB6" w:rsidR="007666A4" w:rsidRPr="00A34845" w:rsidRDefault="007666A4" w:rsidP="00A34845">
            <w:pPr>
              <w:pStyle w:val="SingleTxtG"/>
              <w:tabs>
                <w:tab w:val="clear" w:pos="1701"/>
                <w:tab w:val="clear" w:pos="2268"/>
                <w:tab w:val="clear" w:pos="2835"/>
              </w:tabs>
              <w:spacing w:before="80" w:after="80" w:line="200" w:lineRule="exact"/>
              <w:ind w:left="57" w:right="28"/>
              <w:jc w:val="right"/>
              <w:rPr>
                <w:bCs/>
                <w:i/>
                <w:sz w:val="16"/>
                <w:rtl/>
                <w:lang w:bidi="ar-IQ"/>
              </w:rPr>
            </w:pPr>
            <w:r w:rsidRPr="00A34845">
              <w:rPr>
                <w:bCs/>
                <w:i/>
                <w:sz w:val="16"/>
              </w:rPr>
              <w:t>Cooperativo</w:t>
            </w:r>
          </w:p>
        </w:tc>
        <w:tc>
          <w:tcPr>
            <w:tcW w:w="851" w:type="dxa"/>
            <w:tcBorders>
              <w:top w:val="single" w:sz="4" w:space="0" w:color="auto"/>
              <w:bottom w:val="single" w:sz="12" w:space="0" w:color="auto"/>
            </w:tcBorders>
            <w:shd w:val="clear" w:color="auto" w:fill="auto"/>
            <w:vAlign w:val="bottom"/>
          </w:tcPr>
          <w:p w14:paraId="17B1B9AF" w14:textId="77777777" w:rsidR="007666A4" w:rsidRPr="00A34845" w:rsidRDefault="007666A4" w:rsidP="00A34845">
            <w:pPr>
              <w:pStyle w:val="SingleTxtG"/>
              <w:tabs>
                <w:tab w:val="clear" w:pos="1701"/>
                <w:tab w:val="clear" w:pos="2268"/>
                <w:tab w:val="clear" w:pos="2835"/>
              </w:tabs>
              <w:spacing w:before="80" w:after="80" w:line="200" w:lineRule="exact"/>
              <w:ind w:left="57" w:right="28"/>
              <w:jc w:val="right"/>
              <w:rPr>
                <w:bCs/>
                <w:i/>
                <w:sz w:val="16"/>
                <w:rtl/>
                <w:lang w:bidi="ar-IQ"/>
              </w:rPr>
            </w:pPr>
            <w:r w:rsidRPr="00A34845">
              <w:rPr>
                <w:bCs/>
                <w:i/>
                <w:sz w:val="16"/>
              </w:rPr>
              <w:t>Nacional privado</w:t>
            </w:r>
          </w:p>
        </w:tc>
        <w:tc>
          <w:tcPr>
            <w:tcW w:w="972" w:type="dxa"/>
            <w:tcBorders>
              <w:top w:val="single" w:sz="4" w:space="0" w:color="auto"/>
              <w:bottom w:val="single" w:sz="12" w:space="0" w:color="auto"/>
            </w:tcBorders>
            <w:shd w:val="clear" w:color="auto" w:fill="auto"/>
            <w:vAlign w:val="bottom"/>
          </w:tcPr>
          <w:p w14:paraId="182D2486" w14:textId="77777777" w:rsidR="007666A4" w:rsidRPr="00A34845" w:rsidRDefault="007666A4" w:rsidP="00A34845">
            <w:pPr>
              <w:pStyle w:val="SingleTxtG"/>
              <w:tabs>
                <w:tab w:val="clear" w:pos="1701"/>
                <w:tab w:val="clear" w:pos="2268"/>
                <w:tab w:val="clear" w:pos="2835"/>
              </w:tabs>
              <w:spacing w:before="80" w:after="80" w:line="200" w:lineRule="exact"/>
              <w:ind w:left="57" w:right="28"/>
              <w:jc w:val="right"/>
              <w:rPr>
                <w:bCs/>
                <w:i/>
                <w:sz w:val="16"/>
                <w:rtl/>
                <w:lang w:bidi="ar-IQ"/>
              </w:rPr>
            </w:pPr>
            <w:r w:rsidRPr="00A34845">
              <w:rPr>
                <w:bCs/>
                <w:i/>
                <w:sz w:val="16"/>
              </w:rPr>
              <w:t>Extranjero privado</w:t>
            </w:r>
          </w:p>
        </w:tc>
        <w:tc>
          <w:tcPr>
            <w:tcW w:w="609" w:type="dxa"/>
            <w:tcBorders>
              <w:top w:val="single" w:sz="4" w:space="0" w:color="auto"/>
              <w:bottom w:val="single" w:sz="12" w:space="0" w:color="auto"/>
            </w:tcBorders>
            <w:shd w:val="clear" w:color="auto" w:fill="auto"/>
            <w:vAlign w:val="bottom"/>
          </w:tcPr>
          <w:p w14:paraId="16DEFA21" w14:textId="7700E717" w:rsidR="007666A4" w:rsidRPr="00A34845" w:rsidRDefault="007666A4" w:rsidP="00A34845">
            <w:pPr>
              <w:pStyle w:val="SingleTxtG"/>
              <w:tabs>
                <w:tab w:val="clear" w:pos="1701"/>
                <w:tab w:val="clear" w:pos="2268"/>
                <w:tab w:val="clear" w:pos="2835"/>
              </w:tabs>
              <w:spacing w:before="80" w:after="80" w:line="200" w:lineRule="exact"/>
              <w:ind w:left="57" w:right="28"/>
              <w:jc w:val="right"/>
              <w:rPr>
                <w:bCs/>
                <w:i/>
                <w:sz w:val="16"/>
                <w:rtl/>
                <w:lang w:bidi="ar-IQ"/>
              </w:rPr>
            </w:pPr>
            <w:r w:rsidRPr="00A34845">
              <w:rPr>
                <w:bCs/>
                <w:i/>
                <w:sz w:val="16"/>
              </w:rPr>
              <w:t>Otros</w:t>
            </w:r>
          </w:p>
        </w:tc>
        <w:tc>
          <w:tcPr>
            <w:tcW w:w="730" w:type="dxa"/>
            <w:tcBorders>
              <w:top w:val="single" w:sz="4" w:space="0" w:color="auto"/>
              <w:bottom w:val="single" w:sz="12" w:space="0" w:color="auto"/>
            </w:tcBorders>
            <w:shd w:val="clear" w:color="auto" w:fill="auto"/>
            <w:vAlign w:val="bottom"/>
          </w:tcPr>
          <w:p w14:paraId="032E887A" w14:textId="78AE474D" w:rsidR="007666A4" w:rsidRPr="00A34845" w:rsidRDefault="007666A4" w:rsidP="00A34845">
            <w:pPr>
              <w:pStyle w:val="SingleTxtG"/>
              <w:tabs>
                <w:tab w:val="clear" w:pos="1701"/>
                <w:tab w:val="clear" w:pos="2268"/>
                <w:tab w:val="clear" w:pos="2835"/>
              </w:tabs>
              <w:spacing w:before="80" w:after="80" w:line="200" w:lineRule="exact"/>
              <w:ind w:left="57" w:right="28"/>
              <w:jc w:val="right"/>
              <w:rPr>
                <w:bCs/>
                <w:i/>
                <w:sz w:val="16"/>
                <w:rtl/>
                <w:lang w:bidi="ar-IQ"/>
              </w:rPr>
            </w:pPr>
            <w:r w:rsidRPr="00A34845">
              <w:rPr>
                <w:bCs/>
                <w:i/>
                <w:sz w:val="16"/>
              </w:rPr>
              <w:t>Total</w:t>
            </w:r>
          </w:p>
        </w:tc>
      </w:tr>
      <w:tr w:rsidR="00A34845" w:rsidRPr="00A34845" w14:paraId="0B35F71F" w14:textId="77777777" w:rsidTr="00A34845">
        <w:trPr>
          <w:trHeight w:val="240"/>
        </w:trPr>
        <w:tc>
          <w:tcPr>
            <w:tcW w:w="1276" w:type="dxa"/>
            <w:tcBorders>
              <w:top w:val="single" w:sz="12" w:space="0" w:color="auto"/>
            </w:tcBorders>
            <w:shd w:val="clear" w:color="auto" w:fill="auto"/>
          </w:tcPr>
          <w:p w14:paraId="60BC197D" w14:textId="77777777" w:rsidR="007666A4" w:rsidRPr="00A34845" w:rsidRDefault="007666A4" w:rsidP="008818B5">
            <w:pPr>
              <w:pStyle w:val="SingleTxtG"/>
              <w:tabs>
                <w:tab w:val="clear" w:pos="1701"/>
                <w:tab w:val="clear" w:pos="2268"/>
                <w:tab w:val="clear" w:pos="2835"/>
              </w:tabs>
              <w:spacing w:before="40" w:after="40" w:line="220" w:lineRule="exact"/>
              <w:ind w:left="0" w:right="28"/>
              <w:jc w:val="left"/>
              <w:rPr>
                <w:sz w:val="18"/>
                <w:rtl/>
                <w:lang w:bidi="ar-IQ"/>
              </w:rPr>
            </w:pPr>
            <w:r w:rsidRPr="00A34845">
              <w:rPr>
                <w:sz w:val="18"/>
              </w:rPr>
              <w:t>Hombre</w:t>
            </w:r>
          </w:p>
        </w:tc>
        <w:tc>
          <w:tcPr>
            <w:tcW w:w="1273" w:type="dxa"/>
            <w:tcBorders>
              <w:top w:val="single" w:sz="12" w:space="0" w:color="auto"/>
            </w:tcBorders>
            <w:shd w:val="clear" w:color="auto" w:fill="auto"/>
            <w:vAlign w:val="bottom"/>
          </w:tcPr>
          <w:p w14:paraId="2B2ABDF5" w14:textId="619CA07F" w:rsidR="007666A4" w:rsidRPr="00A34845" w:rsidRDefault="007666A4" w:rsidP="00A34845">
            <w:pPr>
              <w:pStyle w:val="SingleTxtG"/>
              <w:tabs>
                <w:tab w:val="clear" w:pos="1701"/>
                <w:tab w:val="clear" w:pos="2268"/>
                <w:tab w:val="clear" w:pos="2835"/>
              </w:tabs>
              <w:spacing w:before="40" w:after="40" w:line="220" w:lineRule="exact"/>
              <w:ind w:left="57" w:right="28"/>
              <w:jc w:val="right"/>
              <w:rPr>
                <w:sz w:val="18"/>
              </w:rPr>
            </w:pPr>
            <w:r w:rsidRPr="00A34845">
              <w:rPr>
                <w:sz w:val="18"/>
              </w:rPr>
              <w:t>21</w:t>
            </w:r>
            <w:r w:rsidR="00A34845">
              <w:rPr>
                <w:sz w:val="18"/>
              </w:rPr>
              <w:t>,</w:t>
            </w:r>
            <w:r w:rsidRPr="00A34845">
              <w:rPr>
                <w:sz w:val="18"/>
              </w:rPr>
              <w:t>5</w:t>
            </w:r>
          </w:p>
        </w:tc>
        <w:tc>
          <w:tcPr>
            <w:tcW w:w="972" w:type="dxa"/>
            <w:tcBorders>
              <w:top w:val="single" w:sz="12" w:space="0" w:color="auto"/>
            </w:tcBorders>
            <w:shd w:val="clear" w:color="auto" w:fill="auto"/>
            <w:vAlign w:val="bottom"/>
          </w:tcPr>
          <w:p w14:paraId="21C628E9" w14:textId="598E2B3D" w:rsidR="007666A4" w:rsidRPr="00A34845" w:rsidRDefault="007666A4" w:rsidP="00A34845">
            <w:pPr>
              <w:pStyle w:val="SingleTxtG"/>
              <w:tabs>
                <w:tab w:val="clear" w:pos="1701"/>
                <w:tab w:val="clear" w:pos="2268"/>
                <w:tab w:val="clear" w:pos="2835"/>
              </w:tabs>
              <w:spacing w:before="40" w:after="40" w:line="220" w:lineRule="exact"/>
              <w:ind w:left="57" w:right="28"/>
              <w:jc w:val="right"/>
              <w:rPr>
                <w:sz w:val="18"/>
              </w:rPr>
            </w:pPr>
            <w:r w:rsidRPr="00A34845">
              <w:rPr>
                <w:sz w:val="18"/>
              </w:rPr>
              <w:t>2</w:t>
            </w:r>
            <w:r w:rsidR="00A34845">
              <w:rPr>
                <w:sz w:val="18"/>
              </w:rPr>
              <w:t>,</w:t>
            </w:r>
            <w:r w:rsidRPr="00A34845">
              <w:rPr>
                <w:sz w:val="18"/>
              </w:rPr>
              <w:t xml:space="preserve">4 </w:t>
            </w:r>
          </w:p>
        </w:tc>
        <w:tc>
          <w:tcPr>
            <w:tcW w:w="729" w:type="dxa"/>
            <w:tcBorders>
              <w:top w:val="single" w:sz="12" w:space="0" w:color="auto"/>
            </w:tcBorders>
            <w:shd w:val="clear" w:color="auto" w:fill="auto"/>
            <w:vAlign w:val="bottom"/>
          </w:tcPr>
          <w:p w14:paraId="4A1C425E" w14:textId="12282EA6" w:rsidR="007666A4" w:rsidRPr="00A34845" w:rsidRDefault="007666A4" w:rsidP="00A34845">
            <w:pPr>
              <w:pStyle w:val="SingleTxtG"/>
              <w:tabs>
                <w:tab w:val="clear" w:pos="1701"/>
                <w:tab w:val="clear" w:pos="2268"/>
                <w:tab w:val="clear" w:pos="2835"/>
              </w:tabs>
              <w:spacing w:before="40" w:after="40" w:line="220" w:lineRule="exact"/>
              <w:ind w:left="57" w:right="28"/>
              <w:jc w:val="right"/>
              <w:rPr>
                <w:sz w:val="18"/>
              </w:rPr>
            </w:pPr>
            <w:r w:rsidRPr="00A34845">
              <w:rPr>
                <w:sz w:val="18"/>
              </w:rPr>
              <w:t>0</w:t>
            </w:r>
            <w:r w:rsidR="00A34845">
              <w:rPr>
                <w:sz w:val="18"/>
              </w:rPr>
              <w:t>,</w:t>
            </w:r>
            <w:r w:rsidRPr="00A34845">
              <w:rPr>
                <w:sz w:val="18"/>
              </w:rPr>
              <w:t>5</w:t>
            </w:r>
          </w:p>
        </w:tc>
        <w:tc>
          <w:tcPr>
            <w:tcW w:w="1093" w:type="dxa"/>
            <w:tcBorders>
              <w:top w:val="single" w:sz="12" w:space="0" w:color="auto"/>
            </w:tcBorders>
            <w:shd w:val="clear" w:color="auto" w:fill="auto"/>
            <w:vAlign w:val="bottom"/>
          </w:tcPr>
          <w:p w14:paraId="392AF42E" w14:textId="49226F75" w:rsidR="007666A4" w:rsidRPr="00A34845" w:rsidRDefault="007666A4" w:rsidP="00A34845">
            <w:pPr>
              <w:pStyle w:val="SingleTxtG"/>
              <w:tabs>
                <w:tab w:val="clear" w:pos="1701"/>
                <w:tab w:val="clear" w:pos="2268"/>
                <w:tab w:val="clear" w:pos="2835"/>
              </w:tabs>
              <w:spacing w:before="40" w:after="40" w:line="220" w:lineRule="exact"/>
              <w:ind w:left="57" w:right="28"/>
              <w:jc w:val="right"/>
              <w:rPr>
                <w:sz w:val="18"/>
              </w:rPr>
            </w:pPr>
            <w:r w:rsidRPr="00A34845">
              <w:rPr>
                <w:sz w:val="18"/>
              </w:rPr>
              <w:t>0</w:t>
            </w:r>
            <w:r w:rsidR="00A34845">
              <w:rPr>
                <w:sz w:val="18"/>
              </w:rPr>
              <w:t>,</w:t>
            </w:r>
            <w:r w:rsidRPr="00A34845">
              <w:rPr>
                <w:sz w:val="18"/>
              </w:rPr>
              <w:t>0</w:t>
            </w:r>
          </w:p>
        </w:tc>
        <w:tc>
          <w:tcPr>
            <w:tcW w:w="851" w:type="dxa"/>
            <w:tcBorders>
              <w:top w:val="single" w:sz="12" w:space="0" w:color="auto"/>
            </w:tcBorders>
            <w:shd w:val="clear" w:color="auto" w:fill="auto"/>
            <w:vAlign w:val="bottom"/>
          </w:tcPr>
          <w:p w14:paraId="3FE64EFE" w14:textId="21389C4E" w:rsidR="007666A4" w:rsidRPr="00A34845" w:rsidRDefault="007666A4" w:rsidP="00A34845">
            <w:pPr>
              <w:pStyle w:val="SingleTxtG"/>
              <w:tabs>
                <w:tab w:val="clear" w:pos="1701"/>
                <w:tab w:val="clear" w:pos="2268"/>
                <w:tab w:val="clear" w:pos="2835"/>
              </w:tabs>
              <w:spacing w:before="40" w:after="40" w:line="220" w:lineRule="exact"/>
              <w:ind w:left="57" w:right="28"/>
              <w:jc w:val="right"/>
              <w:rPr>
                <w:sz w:val="18"/>
              </w:rPr>
            </w:pPr>
            <w:r w:rsidRPr="00A34845">
              <w:rPr>
                <w:sz w:val="18"/>
              </w:rPr>
              <w:t>73</w:t>
            </w:r>
            <w:r w:rsidR="00A34845">
              <w:rPr>
                <w:sz w:val="18"/>
              </w:rPr>
              <w:t>,</w:t>
            </w:r>
            <w:r w:rsidRPr="00A34845">
              <w:rPr>
                <w:sz w:val="18"/>
              </w:rPr>
              <w:t>8</w:t>
            </w:r>
          </w:p>
        </w:tc>
        <w:tc>
          <w:tcPr>
            <w:tcW w:w="972" w:type="dxa"/>
            <w:tcBorders>
              <w:top w:val="single" w:sz="12" w:space="0" w:color="auto"/>
            </w:tcBorders>
            <w:shd w:val="clear" w:color="auto" w:fill="auto"/>
            <w:vAlign w:val="bottom"/>
          </w:tcPr>
          <w:p w14:paraId="01714EA7" w14:textId="5A82E041" w:rsidR="007666A4" w:rsidRPr="00A34845" w:rsidRDefault="007666A4" w:rsidP="00A34845">
            <w:pPr>
              <w:pStyle w:val="SingleTxtG"/>
              <w:tabs>
                <w:tab w:val="clear" w:pos="1701"/>
                <w:tab w:val="clear" w:pos="2268"/>
                <w:tab w:val="clear" w:pos="2835"/>
              </w:tabs>
              <w:spacing w:before="40" w:after="40" w:line="220" w:lineRule="exact"/>
              <w:ind w:left="57" w:right="28"/>
              <w:jc w:val="right"/>
              <w:rPr>
                <w:sz w:val="18"/>
              </w:rPr>
            </w:pPr>
            <w:r w:rsidRPr="00A34845">
              <w:rPr>
                <w:sz w:val="18"/>
              </w:rPr>
              <w:t>0</w:t>
            </w:r>
            <w:r w:rsidR="00A34845">
              <w:rPr>
                <w:sz w:val="18"/>
              </w:rPr>
              <w:t>,</w:t>
            </w:r>
            <w:r w:rsidRPr="00A34845">
              <w:rPr>
                <w:sz w:val="18"/>
              </w:rPr>
              <w:t>5</w:t>
            </w:r>
          </w:p>
        </w:tc>
        <w:tc>
          <w:tcPr>
            <w:tcW w:w="609" w:type="dxa"/>
            <w:tcBorders>
              <w:top w:val="single" w:sz="12" w:space="0" w:color="auto"/>
            </w:tcBorders>
            <w:shd w:val="clear" w:color="auto" w:fill="auto"/>
            <w:vAlign w:val="bottom"/>
          </w:tcPr>
          <w:p w14:paraId="72E3111D" w14:textId="5E6E1D12" w:rsidR="007666A4" w:rsidRPr="00A34845" w:rsidRDefault="007666A4" w:rsidP="00A34845">
            <w:pPr>
              <w:pStyle w:val="SingleTxtG"/>
              <w:tabs>
                <w:tab w:val="clear" w:pos="1701"/>
                <w:tab w:val="clear" w:pos="2268"/>
                <w:tab w:val="clear" w:pos="2835"/>
              </w:tabs>
              <w:spacing w:before="40" w:after="40" w:line="220" w:lineRule="exact"/>
              <w:ind w:left="57" w:right="28"/>
              <w:jc w:val="right"/>
              <w:rPr>
                <w:sz w:val="18"/>
                <w:rtl/>
                <w:lang w:bidi="ar-IQ"/>
              </w:rPr>
            </w:pPr>
            <w:r w:rsidRPr="00A34845">
              <w:rPr>
                <w:sz w:val="18"/>
              </w:rPr>
              <w:t>1</w:t>
            </w:r>
            <w:r w:rsidR="00A34845">
              <w:rPr>
                <w:sz w:val="18"/>
              </w:rPr>
              <w:t>,2</w:t>
            </w:r>
          </w:p>
        </w:tc>
        <w:tc>
          <w:tcPr>
            <w:tcW w:w="730" w:type="dxa"/>
            <w:tcBorders>
              <w:top w:val="single" w:sz="12" w:space="0" w:color="auto"/>
            </w:tcBorders>
            <w:shd w:val="clear" w:color="auto" w:fill="auto"/>
            <w:vAlign w:val="bottom"/>
          </w:tcPr>
          <w:p w14:paraId="0C148B70" w14:textId="39174EDB" w:rsidR="007666A4" w:rsidRPr="00A34845" w:rsidRDefault="007666A4" w:rsidP="00A34845">
            <w:pPr>
              <w:pStyle w:val="SingleTxtG"/>
              <w:tabs>
                <w:tab w:val="clear" w:pos="1701"/>
                <w:tab w:val="clear" w:pos="2268"/>
                <w:tab w:val="clear" w:pos="2835"/>
              </w:tabs>
              <w:spacing w:before="40" w:after="40" w:line="220" w:lineRule="exact"/>
              <w:ind w:left="57" w:right="28"/>
              <w:jc w:val="right"/>
              <w:rPr>
                <w:sz w:val="18"/>
              </w:rPr>
            </w:pPr>
            <w:r w:rsidRPr="00A34845">
              <w:rPr>
                <w:sz w:val="18"/>
              </w:rPr>
              <w:t>100</w:t>
            </w:r>
            <w:r w:rsidR="00A34845">
              <w:rPr>
                <w:sz w:val="18"/>
              </w:rPr>
              <w:t>,</w:t>
            </w:r>
            <w:r w:rsidRPr="00A34845">
              <w:rPr>
                <w:sz w:val="18"/>
              </w:rPr>
              <w:t xml:space="preserve">0 </w:t>
            </w:r>
          </w:p>
        </w:tc>
      </w:tr>
      <w:tr w:rsidR="00A34845" w:rsidRPr="00A34845" w14:paraId="7D0A8100" w14:textId="77777777" w:rsidTr="00A34845">
        <w:trPr>
          <w:trHeight w:val="240"/>
        </w:trPr>
        <w:tc>
          <w:tcPr>
            <w:tcW w:w="1276" w:type="dxa"/>
            <w:shd w:val="clear" w:color="auto" w:fill="auto"/>
          </w:tcPr>
          <w:p w14:paraId="305612EA" w14:textId="77777777" w:rsidR="007666A4" w:rsidRPr="00A34845" w:rsidRDefault="007666A4" w:rsidP="008818B5">
            <w:pPr>
              <w:pStyle w:val="SingleTxtG"/>
              <w:tabs>
                <w:tab w:val="clear" w:pos="1701"/>
                <w:tab w:val="clear" w:pos="2268"/>
                <w:tab w:val="clear" w:pos="2835"/>
              </w:tabs>
              <w:spacing w:before="40" w:after="40" w:line="220" w:lineRule="exact"/>
              <w:ind w:left="0" w:right="28"/>
              <w:jc w:val="left"/>
              <w:rPr>
                <w:sz w:val="18"/>
                <w:rtl/>
                <w:lang w:bidi="ar-IQ"/>
              </w:rPr>
            </w:pPr>
            <w:r w:rsidRPr="00A34845">
              <w:rPr>
                <w:sz w:val="18"/>
              </w:rPr>
              <w:t>Mujer</w:t>
            </w:r>
          </w:p>
        </w:tc>
        <w:tc>
          <w:tcPr>
            <w:tcW w:w="1273" w:type="dxa"/>
            <w:shd w:val="clear" w:color="auto" w:fill="auto"/>
            <w:vAlign w:val="bottom"/>
          </w:tcPr>
          <w:p w14:paraId="71206CC0" w14:textId="7DAF43F0" w:rsidR="007666A4" w:rsidRPr="00A34845" w:rsidRDefault="007666A4" w:rsidP="00A34845">
            <w:pPr>
              <w:pStyle w:val="SingleTxtG"/>
              <w:tabs>
                <w:tab w:val="clear" w:pos="1701"/>
                <w:tab w:val="clear" w:pos="2268"/>
                <w:tab w:val="clear" w:pos="2835"/>
              </w:tabs>
              <w:spacing w:before="40" w:after="40" w:line="220" w:lineRule="exact"/>
              <w:ind w:left="57" w:right="28"/>
              <w:jc w:val="right"/>
              <w:rPr>
                <w:sz w:val="18"/>
              </w:rPr>
            </w:pPr>
            <w:r w:rsidRPr="00A34845">
              <w:rPr>
                <w:sz w:val="18"/>
              </w:rPr>
              <w:t>51</w:t>
            </w:r>
            <w:r w:rsidR="00A34845">
              <w:rPr>
                <w:sz w:val="18"/>
              </w:rPr>
              <w:t>,</w:t>
            </w:r>
            <w:r w:rsidRPr="00A34845">
              <w:rPr>
                <w:sz w:val="18"/>
              </w:rPr>
              <w:t>1</w:t>
            </w:r>
          </w:p>
        </w:tc>
        <w:tc>
          <w:tcPr>
            <w:tcW w:w="972" w:type="dxa"/>
            <w:shd w:val="clear" w:color="auto" w:fill="auto"/>
            <w:vAlign w:val="bottom"/>
          </w:tcPr>
          <w:p w14:paraId="03F9087A" w14:textId="4E0FE1C4" w:rsidR="007666A4" w:rsidRPr="00A34845" w:rsidRDefault="007666A4" w:rsidP="00A34845">
            <w:pPr>
              <w:pStyle w:val="SingleTxtG"/>
              <w:tabs>
                <w:tab w:val="clear" w:pos="1701"/>
                <w:tab w:val="clear" w:pos="2268"/>
                <w:tab w:val="clear" w:pos="2835"/>
              </w:tabs>
              <w:spacing w:before="40" w:after="40" w:line="220" w:lineRule="exact"/>
              <w:ind w:left="57" w:right="28"/>
              <w:jc w:val="right"/>
              <w:rPr>
                <w:sz w:val="18"/>
              </w:rPr>
            </w:pPr>
            <w:r w:rsidRPr="00A34845">
              <w:rPr>
                <w:sz w:val="18"/>
              </w:rPr>
              <w:t>0</w:t>
            </w:r>
            <w:r w:rsidR="00A34845">
              <w:rPr>
                <w:sz w:val="18"/>
              </w:rPr>
              <w:t>,</w:t>
            </w:r>
            <w:r w:rsidRPr="00A34845">
              <w:rPr>
                <w:sz w:val="18"/>
              </w:rPr>
              <w:t>0</w:t>
            </w:r>
          </w:p>
        </w:tc>
        <w:tc>
          <w:tcPr>
            <w:tcW w:w="729" w:type="dxa"/>
            <w:shd w:val="clear" w:color="auto" w:fill="auto"/>
            <w:vAlign w:val="bottom"/>
          </w:tcPr>
          <w:p w14:paraId="03C6D437" w14:textId="2027F8E7" w:rsidR="007666A4" w:rsidRPr="00A34845" w:rsidRDefault="007666A4" w:rsidP="00A34845">
            <w:pPr>
              <w:pStyle w:val="SingleTxtG"/>
              <w:tabs>
                <w:tab w:val="clear" w:pos="1701"/>
                <w:tab w:val="clear" w:pos="2268"/>
                <w:tab w:val="clear" w:pos="2835"/>
              </w:tabs>
              <w:spacing w:before="40" w:after="40" w:line="220" w:lineRule="exact"/>
              <w:ind w:left="57" w:right="28"/>
              <w:jc w:val="right"/>
              <w:rPr>
                <w:sz w:val="18"/>
              </w:rPr>
            </w:pPr>
            <w:r w:rsidRPr="00A34845">
              <w:rPr>
                <w:sz w:val="18"/>
              </w:rPr>
              <w:t>1</w:t>
            </w:r>
            <w:r w:rsidR="00A34845">
              <w:rPr>
                <w:sz w:val="18"/>
              </w:rPr>
              <w:t>,</w:t>
            </w:r>
            <w:r w:rsidRPr="00A34845">
              <w:rPr>
                <w:sz w:val="18"/>
              </w:rPr>
              <w:t>8</w:t>
            </w:r>
          </w:p>
        </w:tc>
        <w:tc>
          <w:tcPr>
            <w:tcW w:w="1093" w:type="dxa"/>
            <w:shd w:val="clear" w:color="auto" w:fill="auto"/>
            <w:vAlign w:val="bottom"/>
          </w:tcPr>
          <w:p w14:paraId="7DC7F5AD" w14:textId="4EABCCBF" w:rsidR="007666A4" w:rsidRPr="00A34845" w:rsidRDefault="007666A4" w:rsidP="00A34845">
            <w:pPr>
              <w:pStyle w:val="SingleTxtG"/>
              <w:tabs>
                <w:tab w:val="clear" w:pos="1701"/>
                <w:tab w:val="clear" w:pos="2268"/>
                <w:tab w:val="clear" w:pos="2835"/>
              </w:tabs>
              <w:spacing w:before="40" w:after="40" w:line="220" w:lineRule="exact"/>
              <w:ind w:left="57" w:right="28"/>
              <w:jc w:val="right"/>
              <w:rPr>
                <w:sz w:val="18"/>
              </w:rPr>
            </w:pPr>
            <w:r w:rsidRPr="00A34845">
              <w:rPr>
                <w:sz w:val="18"/>
              </w:rPr>
              <w:t>0</w:t>
            </w:r>
            <w:r w:rsidR="00A34845">
              <w:rPr>
                <w:sz w:val="18"/>
              </w:rPr>
              <w:t>,</w:t>
            </w:r>
            <w:r w:rsidRPr="00A34845">
              <w:rPr>
                <w:sz w:val="18"/>
              </w:rPr>
              <w:t>0</w:t>
            </w:r>
          </w:p>
        </w:tc>
        <w:tc>
          <w:tcPr>
            <w:tcW w:w="851" w:type="dxa"/>
            <w:shd w:val="clear" w:color="auto" w:fill="auto"/>
            <w:vAlign w:val="bottom"/>
          </w:tcPr>
          <w:p w14:paraId="7B28FAC9" w14:textId="6F314886" w:rsidR="007666A4" w:rsidRPr="00A34845" w:rsidRDefault="007666A4" w:rsidP="00A34845">
            <w:pPr>
              <w:pStyle w:val="SingleTxtG"/>
              <w:tabs>
                <w:tab w:val="clear" w:pos="1701"/>
                <w:tab w:val="clear" w:pos="2268"/>
                <w:tab w:val="clear" w:pos="2835"/>
              </w:tabs>
              <w:spacing w:before="40" w:after="40" w:line="220" w:lineRule="exact"/>
              <w:ind w:left="57" w:right="28"/>
              <w:jc w:val="right"/>
              <w:rPr>
                <w:sz w:val="18"/>
              </w:rPr>
            </w:pPr>
            <w:r w:rsidRPr="00A34845">
              <w:rPr>
                <w:sz w:val="18"/>
              </w:rPr>
              <w:t>43</w:t>
            </w:r>
            <w:r w:rsidR="00A34845">
              <w:rPr>
                <w:sz w:val="18"/>
              </w:rPr>
              <w:t>,</w:t>
            </w:r>
            <w:r w:rsidRPr="00A34845">
              <w:rPr>
                <w:sz w:val="18"/>
              </w:rPr>
              <w:t>2</w:t>
            </w:r>
          </w:p>
        </w:tc>
        <w:tc>
          <w:tcPr>
            <w:tcW w:w="972" w:type="dxa"/>
            <w:shd w:val="clear" w:color="auto" w:fill="auto"/>
            <w:vAlign w:val="bottom"/>
          </w:tcPr>
          <w:p w14:paraId="6E29E47B" w14:textId="46CDDE3B" w:rsidR="007666A4" w:rsidRPr="00A34845" w:rsidRDefault="007666A4" w:rsidP="00A34845">
            <w:pPr>
              <w:pStyle w:val="SingleTxtG"/>
              <w:tabs>
                <w:tab w:val="clear" w:pos="1701"/>
                <w:tab w:val="clear" w:pos="2268"/>
                <w:tab w:val="clear" w:pos="2835"/>
              </w:tabs>
              <w:spacing w:before="40" w:after="40" w:line="220" w:lineRule="exact"/>
              <w:ind w:left="57" w:right="28"/>
              <w:jc w:val="right"/>
              <w:rPr>
                <w:sz w:val="18"/>
              </w:rPr>
            </w:pPr>
            <w:r w:rsidRPr="00A34845">
              <w:rPr>
                <w:sz w:val="18"/>
              </w:rPr>
              <w:t>0</w:t>
            </w:r>
            <w:r w:rsidR="00A34845">
              <w:rPr>
                <w:sz w:val="18"/>
              </w:rPr>
              <w:t>,</w:t>
            </w:r>
            <w:r w:rsidRPr="00A34845">
              <w:rPr>
                <w:sz w:val="18"/>
              </w:rPr>
              <w:t>0</w:t>
            </w:r>
          </w:p>
        </w:tc>
        <w:tc>
          <w:tcPr>
            <w:tcW w:w="609" w:type="dxa"/>
            <w:shd w:val="clear" w:color="auto" w:fill="auto"/>
            <w:vAlign w:val="bottom"/>
          </w:tcPr>
          <w:p w14:paraId="582F3F70" w14:textId="60F30829" w:rsidR="007666A4" w:rsidRPr="00A34845" w:rsidRDefault="007666A4" w:rsidP="00A34845">
            <w:pPr>
              <w:pStyle w:val="SingleTxtG"/>
              <w:tabs>
                <w:tab w:val="clear" w:pos="1701"/>
                <w:tab w:val="clear" w:pos="2268"/>
                <w:tab w:val="clear" w:pos="2835"/>
              </w:tabs>
              <w:spacing w:before="40" w:after="40" w:line="220" w:lineRule="exact"/>
              <w:ind w:left="57" w:right="28"/>
              <w:jc w:val="right"/>
              <w:rPr>
                <w:sz w:val="18"/>
              </w:rPr>
            </w:pPr>
            <w:r w:rsidRPr="00A34845">
              <w:rPr>
                <w:sz w:val="18"/>
              </w:rPr>
              <w:t>3</w:t>
            </w:r>
            <w:r w:rsidR="00A34845">
              <w:rPr>
                <w:sz w:val="18"/>
              </w:rPr>
              <w:t>,</w:t>
            </w:r>
            <w:r w:rsidRPr="00A34845">
              <w:rPr>
                <w:sz w:val="18"/>
              </w:rPr>
              <w:t>9</w:t>
            </w:r>
          </w:p>
        </w:tc>
        <w:tc>
          <w:tcPr>
            <w:tcW w:w="730" w:type="dxa"/>
            <w:shd w:val="clear" w:color="auto" w:fill="auto"/>
            <w:vAlign w:val="bottom"/>
          </w:tcPr>
          <w:p w14:paraId="27A1962A" w14:textId="48A75302" w:rsidR="007666A4" w:rsidRPr="00A34845" w:rsidRDefault="007666A4" w:rsidP="00A34845">
            <w:pPr>
              <w:pStyle w:val="SingleTxtG"/>
              <w:tabs>
                <w:tab w:val="clear" w:pos="1701"/>
                <w:tab w:val="clear" w:pos="2268"/>
                <w:tab w:val="clear" w:pos="2835"/>
              </w:tabs>
              <w:spacing w:before="40" w:after="40" w:line="220" w:lineRule="exact"/>
              <w:ind w:left="57" w:right="28"/>
              <w:jc w:val="right"/>
              <w:rPr>
                <w:sz w:val="18"/>
              </w:rPr>
            </w:pPr>
            <w:r w:rsidRPr="00A34845">
              <w:rPr>
                <w:sz w:val="18"/>
              </w:rPr>
              <w:t>100</w:t>
            </w:r>
            <w:r w:rsidR="00A34845">
              <w:rPr>
                <w:sz w:val="18"/>
              </w:rPr>
              <w:t>,</w:t>
            </w:r>
            <w:r w:rsidRPr="00A34845">
              <w:rPr>
                <w:sz w:val="18"/>
              </w:rPr>
              <w:t xml:space="preserve">0 </w:t>
            </w:r>
          </w:p>
        </w:tc>
      </w:tr>
      <w:tr w:rsidR="00A34845" w:rsidRPr="00A34845" w14:paraId="52555956" w14:textId="77777777" w:rsidTr="00A34845">
        <w:trPr>
          <w:trHeight w:val="240"/>
        </w:trPr>
        <w:tc>
          <w:tcPr>
            <w:tcW w:w="1276" w:type="dxa"/>
            <w:shd w:val="clear" w:color="auto" w:fill="auto"/>
          </w:tcPr>
          <w:p w14:paraId="1703E29A" w14:textId="77777777" w:rsidR="007666A4" w:rsidRPr="00A34845" w:rsidRDefault="007666A4" w:rsidP="008818B5">
            <w:pPr>
              <w:pStyle w:val="SingleTxtG"/>
              <w:tabs>
                <w:tab w:val="clear" w:pos="1701"/>
                <w:tab w:val="clear" w:pos="2268"/>
                <w:tab w:val="clear" w:pos="2835"/>
              </w:tabs>
              <w:spacing w:before="40" w:after="40" w:line="220" w:lineRule="exact"/>
              <w:ind w:left="0" w:right="28"/>
              <w:jc w:val="left"/>
              <w:rPr>
                <w:sz w:val="18"/>
                <w:rtl/>
                <w:lang w:bidi="ar-IQ"/>
              </w:rPr>
            </w:pPr>
            <w:r w:rsidRPr="00A34845">
              <w:rPr>
                <w:sz w:val="18"/>
              </w:rPr>
              <w:t>Urbano</w:t>
            </w:r>
            <w:r w:rsidRPr="00A34845">
              <w:rPr>
                <w:sz w:val="18"/>
                <w:rtl/>
                <w:lang w:bidi="ar-IQ"/>
              </w:rPr>
              <w:t xml:space="preserve"> </w:t>
            </w:r>
          </w:p>
        </w:tc>
        <w:tc>
          <w:tcPr>
            <w:tcW w:w="1273" w:type="dxa"/>
            <w:shd w:val="clear" w:color="auto" w:fill="auto"/>
            <w:vAlign w:val="bottom"/>
          </w:tcPr>
          <w:p w14:paraId="0B18DC54" w14:textId="64AD1467" w:rsidR="007666A4" w:rsidRPr="00A34845" w:rsidRDefault="007666A4" w:rsidP="00A34845">
            <w:pPr>
              <w:pStyle w:val="SingleTxtG"/>
              <w:tabs>
                <w:tab w:val="clear" w:pos="1701"/>
                <w:tab w:val="clear" w:pos="2268"/>
                <w:tab w:val="clear" w:pos="2835"/>
              </w:tabs>
              <w:spacing w:before="40" w:after="40" w:line="220" w:lineRule="exact"/>
              <w:ind w:left="57" w:right="28"/>
              <w:jc w:val="right"/>
              <w:rPr>
                <w:sz w:val="18"/>
              </w:rPr>
            </w:pPr>
            <w:r w:rsidRPr="00A34845">
              <w:rPr>
                <w:sz w:val="18"/>
              </w:rPr>
              <w:t>20</w:t>
            </w:r>
            <w:r w:rsidR="00A34845">
              <w:rPr>
                <w:sz w:val="18"/>
              </w:rPr>
              <w:t>,</w:t>
            </w:r>
            <w:r w:rsidRPr="00A34845">
              <w:rPr>
                <w:sz w:val="18"/>
              </w:rPr>
              <w:t>9</w:t>
            </w:r>
          </w:p>
        </w:tc>
        <w:tc>
          <w:tcPr>
            <w:tcW w:w="972" w:type="dxa"/>
            <w:shd w:val="clear" w:color="auto" w:fill="auto"/>
            <w:vAlign w:val="bottom"/>
          </w:tcPr>
          <w:p w14:paraId="53C946B3" w14:textId="6C2011FE" w:rsidR="007666A4" w:rsidRPr="00A34845" w:rsidRDefault="007666A4" w:rsidP="00A34845">
            <w:pPr>
              <w:pStyle w:val="SingleTxtG"/>
              <w:tabs>
                <w:tab w:val="clear" w:pos="1701"/>
                <w:tab w:val="clear" w:pos="2268"/>
                <w:tab w:val="clear" w:pos="2835"/>
              </w:tabs>
              <w:spacing w:before="40" w:after="40" w:line="220" w:lineRule="exact"/>
              <w:ind w:left="57" w:right="28"/>
              <w:jc w:val="right"/>
              <w:rPr>
                <w:sz w:val="18"/>
              </w:rPr>
            </w:pPr>
            <w:r w:rsidRPr="00A34845">
              <w:rPr>
                <w:sz w:val="18"/>
              </w:rPr>
              <w:t>1</w:t>
            </w:r>
            <w:r w:rsidR="00A34845">
              <w:rPr>
                <w:sz w:val="18"/>
              </w:rPr>
              <w:t>,</w:t>
            </w:r>
            <w:r w:rsidRPr="00A34845">
              <w:rPr>
                <w:sz w:val="18"/>
              </w:rPr>
              <w:t>6</w:t>
            </w:r>
          </w:p>
        </w:tc>
        <w:tc>
          <w:tcPr>
            <w:tcW w:w="729" w:type="dxa"/>
            <w:shd w:val="clear" w:color="auto" w:fill="auto"/>
            <w:vAlign w:val="bottom"/>
          </w:tcPr>
          <w:p w14:paraId="6BAA261A" w14:textId="4F847D23" w:rsidR="007666A4" w:rsidRPr="00A34845" w:rsidRDefault="007666A4" w:rsidP="00A34845">
            <w:pPr>
              <w:pStyle w:val="SingleTxtG"/>
              <w:tabs>
                <w:tab w:val="clear" w:pos="1701"/>
                <w:tab w:val="clear" w:pos="2268"/>
                <w:tab w:val="clear" w:pos="2835"/>
              </w:tabs>
              <w:spacing w:before="40" w:after="40" w:line="220" w:lineRule="exact"/>
              <w:ind w:left="57" w:right="28"/>
              <w:jc w:val="right"/>
              <w:rPr>
                <w:sz w:val="18"/>
              </w:rPr>
            </w:pPr>
            <w:r w:rsidRPr="00A34845">
              <w:rPr>
                <w:sz w:val="18"/>
              </w:rPr>
              <w:t>0</w:t>
            </w:r>
            <w:r w:rsidR="00A34845">
              <w:rPr>
                <w:sz w:val="18"/>
              </w:rPr>
              <w:t>,</w:t>
            </w:r>
            <w:r w:rsidRPr="00A34845">
              <w:rPr>
                <w:sz w:val="18"/>
              </w:rPr>
              <w:t>5</w:t>
            </w:r>
          </w:p>
        </w:tc>
        <w:tc>
          <w:tcPr>
            <w:tcW w:w="1093" w:type="dxa"/>
            <w:shd w:val="clear" w:color="auto" w:fill="auto"/>
            <w:vAlign w:val="bottom"/>
          </w:tcPr>
          <w:p w14:paraId="7984B4EB" w14:textId="22409A03" w:rsidR="007666A4" w:rsidRPr="00A34845" w:rsidRDefault="007666A4" w:rsidP="00A34845">
            <w:pPr>
              <w:pStyle w:val="SingleTxtG"/>
              <w:tabs>
                <w:tab w:val="clear" w:pos="1701"/>
                <w:tab w:val="clear" w:pos="2268"/>
                <w:tab w:val="clear" w:pos="2835"/>
              </w:tabs>
              <w:spacing w:before="40" w:after="40" w:line="220" w:lineRule="exact"/>
              <w:ind w:left="57" w:right="28"/>
              <w:jc w:val="right"/>
              <w:rPr>
                <w:sz w:val="18"/>
              </w:rPr>
            </w:pPr>
            <w:r w:rsidRPr="00A34845">
              <w:rPr>
                <w:sz w:val="18"/>
              </w:rPr>
              <w:t>0</w:t>
            </w:r>
            <w:r w:rsidR="00A34845">
              <w:rPr>
                <w:sz w:val="18"/>
              </w:rPr>
              <w:t>,</w:t>
            </w:r>
            <w:r w:rsidRPr="00A34845">
              <w:rPr>
                <w:sz w:val="18"/>
              </w:rPr>
              <w:t xml:space="preserve">0 </w:t>
            </w:r>
          </w:p>
        </w:tc>
        <w:tc>
          <w:tcPr>
            <w:tcW w:w="851" w:type="dxa"/>
            <w:shd w:val="clear" w:color="auto" w:fill="auto"/>
            <w:vAlign w:val="bottom"/>
          </w:tcPr>
          <w:p w14:paraId="731D96C6" w14:textId="5F909D7E" w:rsidR="007666A4" w:rsidRPr="00A34845" w:rsidRDefault="007666A4" w:rsidP="00A34845">
            <w:pPr>
              <w:pStyle w:val="SingleTxtG"/>
              <w:tabs>
                <w:tab w:val="clear" w:pos="1701"/>
                <w:tab w:val="clear" w:pos="2268"/>
                <w:tab w:val="clear" w:pos="2835"/>
              </w:tabs>
              <w:spacing w:before="40" w:after="40" w:line="220" w:lineRule="exact"/>
              <w:ind w:left="57" w:right="28"/>
              <w:jc w:val="right"/>
              <w:rPr>
                <w:sz w:val="18"/>
              </w:rPr>
            </w:pPr>
            <w:r w:rsidRPr="00A34845">
              <w:rPr>
                <w:sz w:val="18"/>
              </w:rPr>
              <w:t>75</w:t>
            </w:r>
            <w:r w:rsidR="00A34845">
              <w:rPr>
                <w:sz w:val="18"/>
              </w:rPr>
              <w:t>,</w:t>
            </w:r>
            <w:r w:rsidRPr="00A34845">
              <w:rPr>
                <w:sz w:val="18"/>
              </w:rPr>
              <w:t>4</w:t>
            </w:r>
          </w:p>
        </w:tc>
        <w:tc>
          <w:tcPr>
            <w:tcW w:w="972" w:type="dxa"/>
            <w:shd w:val="clear" w:color="auto" w:fill="auto"/>
            <w:vAlign w:val="bottom"/>
          </w:tcPr>
          <w:p w14:paraId="512E306D" w14:textId="1C93992E" w:rsidR="007666A4" w:rsidRPr="00A34845" w:rsidRDefault="007666A4" w:rsidP="00A34845">
            <w:pPr>
              <w:pStyle w:val="SingleTxtG"/>
              <w:tabs>
                <w:tab w:val="clear" w:pos="1701"/>
                <w:tab w:val="clear" w:pos="2268"/>
                <w:tab w:val="clear" w:pos="2835"/>
              </w:tabs>
              <w:spacing w:before="40" w:after="40" w:line="220" w:lineRule="exact"/>
              <w:ind w:left="57" w:right="28"/>
              <w:jc w:val="right"/>
              <w:rPr>
                <w:sz w:val="18"/>
              </w:rPr>
            </w:pPr>
            <w:r w:rsidRPr="00A34845">
              <w:rPr>
                <w:sz w:val="18"/>
              </w:rPr>
              <w:t>0</w:t>
            </w:r>
            <w:r w:rsidR="00A34845">
              <w:rPr>
                <w:sz w:val="18"/>
              </w:rPr>
              <w:t>,</w:t>
            </w:r>
            <w:r w:rsidRPr="00A34845">
              <w:rPr>
                <w:sz w:val="18"/>
              </w:rPr>
              <w:t>5</w:t>
            </w:r>
          </w:p>
        </w:tc>
        <w:tc>
          <w:tcPr>
            <w:tcW w:w="609" w:type="dxa"/>
            <w:shd w:val="clear" w:color="auto" w:fill="auto"/>
            <w:vAlign w:val="bottom"/>
          </w:tcPr>
          <w:p w14:paraId="7404A13B" w14:textId="6D040948" w:rsidR="007666A4" w:rsidRPr="00A34845" w:rsidRDefault="007666A4" w:rsidP="00A34845">
            <w:pPr>
              <w:pStyle w:val="SingleTxtG"/>
              <w:tabs>
                <w:tab w:val="clear" w:pos="1701"/>
                <w:tab w:val="clear" w:pos="2268"/>
                <w:tab w:val="clear" w:pos="2835"/>
              </w:tabs>
              <w:spacing w:before="40" w:after="40" w:line="220" w:lineRule="exact"/>
              <w:ind w:left="57" w:right="28"/>
              <w:jc w:val="right"/>
              <w:rPr>
                <w:sz w:val="18"/>
              </w:rPr>
            </w:pPr>
            <w:r w:rsidRPr="00A34845">
              <w:rPr>
                <w:sz w:val="18"/>
              </w:rPr>
              <w:t>1</w:t>
            </w:r>
            <w:r w:rsidR="00A34845">
              <w:rPr>
                <w:sz w:val="18"/>
              </w:rPr>
              <w:t>,</w:t>
            </w:r>
            <w:r w:rsidRPr="00A34845">
              <w:rPr>
                <w:sz w:val="18"/>
              </w:rPr>
              <w:t>1</w:t>
            </w:r>
          </w:p>
        </w:tc>
        <w:tc>
          <w:tcPr>
            <w:tcW w:w="730" w:type="dxa"/>
            <w:shd w:val="clear" w:color="auto" w:fill="auto"/>
            <w:vAlign w:val="bottom"/>
          </w:tcPr>
          <w:p w14:paraId="70AA5A41" w14:textId="433ABD60" w:rsidR="007666A4" w:rsidRPr="00A34845" w:rsidRDefault="007666A4" w:rsidP="00A34845">
            <w:pPr>
              <w:pStyle w:val="SingleTxtG"/>
              <w:tabs>
                <w:tab w:val="clear" w:pos="1701"/>
                <w:tab w:val="clear" w:pos="2268"/>
                <w:tab w:val="clear" w:pos="2835"/>
              </w:tabs>
              <w:spacing w:before="40" w:after="40" w:line="220" w:lineRule="exact"/>
              <w:ind w:left="57" w:right="28"/>
              <w:jc w:val="right"/>
              <w:rPr>
                <w:sz w:val="18"/>
              </w:rPr>
            </w:pPr>
            <w:r w:rsidRPr="00A34845">
              <w:rPr>
                <w:sz w:val="18"/>
              </w:rPr>
              <w:t>100</w:t>
            </w:r>
            <w:r w:rsidR="00A34845">
              <w:rPr>
                <w:sz w:val="18"/>
              </w:rPr>
              <w:t>,</w:t>
            </w:r>
            <w:r w:rsidRPr="00A34845">
              <w:rPr>
                <w:sz w:val="18"/>
              </w:rPr>
              <w:t>0</w:t>
            </w:r>
          </w:p>
        </w:tc>
      </w:tr>
      <w:tr w:rsidR="00A34845" w:rsidRPr="00A34845" w14:paraId="4039E090" w14:textId="77777777" w:rsidTr="008818B5">
        <w:trPr>
          <w:trHeight w:val="240"/>
        </w:trPr>
        <w:tc>
          <w:tcPr>
            <w:tcW w:w="1276" w:type="dxa"/>
            <w:tcBorders>
              <w:bottom w:val="single" w:sz="4" w:space="0" w:color="auto"/>
            </w:tcBorders>
            <w:shd w:val="clear" w:color="auto" w:fill="auto"/>
          </w:tcPr>
          <w:p w14:paraId="2F511D79" w14:textId="77777777" w:rsidR="007666A4" w:rsidRPr="00A34845" w:rsidRDefault="007666A4" w:rsidP="008818B5">
            <w:pPr>
              <w:pStyle w:val="SingleTxtG"/>
              <w:tabs>
                <w:tab w:val="clear" w:pos="1701"/>
                <w:tab w:val="clear" w:pos="2268"/>
                <w:tab w:val="clear" w:pos="2835"/>
              </w:tabs>
              <w:spacing w:before="40" w:after="40" w:line="220" w:lineRule="exact"/>
              <w:ind w:left="0" w:right="28"/>
              <w:jc w:val="left"/>
              <w:rPr>
                <w:sz w:val="18"/>
                <w:rtl/>
                <w:lang w:bidi="ar-IQ"/>
              </w:rPr>
            </w:pPr>
            <w:r w:rsidRPr="00A34845">
              <w:rPr>
                <w:sz w:val="18"/>
              </w:rPr>
              <w:t>Rural</w:t>
            </w:r>
            <w:r w:rsidRPr="00A34845">
              <w:rPr>
                <w:sz w:val="18"/>
                <w:rtl/>
                <w:lang w:bidi="ar-IQ"/>
              </w:rPr>
              <w:t xml:space="preserve"> </w:t>
            </w:r>
          </w:p>
        </w:tc>
        <w:tc>
          <w:tcPr>
            <w:tcW w:w="1273" w:type="dxa"/>
            <w:tcBorders>
              <w:bottom w:val="single" w:sz="4" w:space="0" w:color="auto"/>
            </w:tcBorders>
            <w:shd w:val="clear" w:color="auto" w:fill="auto"/>
            <w:vAlign w:val="bottom"/>
          </w:tcPr>
          <w:p w14:paraId="55E46DA4" w14:textId="28269475" w:rsidR="007666A4" w:rsidRPr="00A34845" w:rsidRDefault="007666A4" w:rsidP="00A34845">
            <w:pPr>
              <w:pStyle w:val="SingleTxtG"/>
              <w:tabs>
                <w:tab w:val="clear" w:pos="1701"/>
                <w:tab w:val="clear" w:pos="2268"/>
                <w:tab w:val="clear" w:pos="2835"/>
              </w:tabs>
              <w:spacing w:before="40" w:after="40" w:line="220" w:lineRule="exact"/>
              <w:ind w:left="57" w:right="28"/>
              <w:jc w:val="right"/>
              <w:rPr>
                <w:sz w:val="18"/>
              </w:rPr>
            </w:pPr>
            <w:r w:rsidRPr="00A34845">
              <w:rPr>
                <w:sz w:val="18"/>
              </w:rPr>
              <w:t>28</w:t>
            </w:r>
            <w:r w:rsidR="00A34845">
              <w:rPr>
                <w:sz w:val="18"/>
              </w:rPr>
              <w:t>,</w:t>
            </w:r>
            <w:r w:rsidRPr="00A34845">
              <w:rPr>
                <w:sz w:val="18"/>
              </w:rPr>
              <w:t>6</w:t>
            </w:r>
          </w:p>
        </w:tc>
        <w:tc>
          <w:tcPr>
            <w:tcW w:w="972" w:type="dxa"/>
            <w:tcBorders>
              <w:bottom w:val="single" w:sz="4" w:space="0" w:color="auto"/>
            </w:tcBorders>
            <w:shd w:val="clear" w:color="auto" w:fill="auto"/>
            <w:vAlign w:val="bottom"/>
          </w:tcPr>
          <w:p w14:paraId="374F1FBE" w14:textId="61BFD7DC" w:rsidR="007666A4" w:rsidRPr="00A34845" w:rsidRDefault="007666A4" w:rsidP="00A34845">
            <w:pPr>
              <w:pStyle w:val="SingleTxtG"/>
              <w:tabs>
                <w:tab w:val="clear" w:pos="1701"/>
                <w:tab w:val="clear" w:pos="2268"/>
                <w:tab w:val="clear" w:pos="2835"/>
              </w:tabs>
              <w:spacing w:before="40" w:after="40" w:line="220" w:lineRule="exact"/>
              <w:ind w:left="57" w:right="28"/>
              <w:jc w:val="right"/>
              <w:rPr>
                <w:sz w:val="18"/>
              </w:rPr>
            </w:pPr>
            <w:r w:rsidRPr="00A34845">
              <w:rPr>
                <w:sz w:val="18"/>
              </w:rPr>
              <w:t>5</w:t>
            </w:r>
            <w:r w:rsidR="00A34845">
              <w:rPr>
                <w:sz w:val="18"/>
              </w:rPr>
              <w:t>,</w:t>
            </w:r>
            <w:r w:rsidRPr="00A34845">
              <w:rPr>
                <w:sz w:val="18"/>
              </w:rPr>
              <w:t>5</w:t>
            </w:r>
          </w:p>
        </w:tc>
        <w:tc>
          <w:tcPr>
            <w:tcW w:w="729" w:type="dxa"/>
            <w:tcBorders>
              <w:bottom w:val="single" w:sz="4" w:space="0" w:color="auto"/>
            </w:tcBorders>
            <w:shd w:val="clear" w:color="auto" w:fill="auto"/>
            <w:vAlign w:val="bottom"/>
          </w:tcPr>
          <w:p w14:paraId="71819CD4" w14:textId="147A2C22" w:rsidR="007666A4" w:rsidRPr="00A34845" w:rsidRDefault="007666A4" w:rsidP="00A34845">
            <w:pPr>
              <w:pStyle w:val="SingleTxtG"/>
              <w:tabs>
                <w:tab w:val="clear" w:pos="1701"/>
                <w:tab w:val="clear" w:pos="2268"/>
                <w:tab w:val="clear" w:pos="2835"/>
              </w:tabs>
              <w:spacing w:before="40" w:after="40" w:line="220" w:lineRule="exact"/>
              <w:ind w:left="57" w:right="28"/>
              <w:jc w:val="right"/>
              <w:rPr>
                <w:sz w:val="18"/>
              </w:rPr>
            </w:pPr>
            <w:r w:rsidRPr="00A34845">
              <w:rPr>
                <w:sz w:val="18"/>
              </w:rPr>
              <w:t>0</w:t>
            </w:r>
            <w:r w:rsidR="00A34845">
              <w:rPr>
                <w:sz w:val="18"/>
              </w:rPr>
              <w:t>,</w:t>
            </w:r>
            <w:r w:rsidRPr="00A34845">
              <w:rPr>
                <w:sz w:val="18"/>
              </w:rPr>
              <w:t>7</w:t>
            </w:r>
          </w:p>
        </w:tc>
        <w:tc>
          <w:tcPr>
            <w:tcW w:w="1093" w:type="dxa"/>
            <w:tcBorders>
              <w:bottom w:val="single" w:sz="4" w:space="0" w:color="auto"/>
            </w:tcBorders>
            <w:shd w:val="clear" w:color="auto" w:fill="auto"/>
            <w:vAlign w:val="bottom"/>
          </w:tcPr>
          <w:p w14:paraId="146A64EF" w14:textId="2F9B1CC6" w:rsidR="007666A4" w:rsidRPr="00A34845" w:rsidRDefault="007666A4" w:rsidP="00A34845">
            <w:pPr>
              <w:pStyle w:val="SingleTxtG"/>
              <w:tabs>
                <w:tab w:val="clear" w:pos="1701"/>
                <w:tab w:val="clear" w:pos="2268"/>
                <w:tab w:val="clear" w:pos="2835"/>
              </w:tabs>
              <w:spacing w:before="40" w:after="40" w:line="220" w:lineRule="exact"/>
              <w:ind w:left="57" w:right="28"/>
              <w:jc w:val="right"/>
              <w:rPr>
                <w:sz w:val="18"/>
              </w:rPr>
            </w:pPr>
            <w:r w:rsidRPr="00A34845">
              <w:rPr>
                <w:sz w:val="18"/>
              </w:rPr>
              <w:t>0</w:t>
            </w:r>
            <w:r w:rsidR="00A34845">
              <w:rPr>
                <w:sz w:val="18"/>
              </w:rPr>
              <w:t>,</w:t>
            </w:r>
            <w:r w:rsidRPr="00A34845">
              <w:rPr>
                <w:sz w:val="18"/>
              </w:rPr>
              <w:t>0</w:t>
            </w:r>
          </w:p>
        </w:tc>
        <w:tc>
          <w:tcPr>
            <w:tcW w:w="851" w:type="dxa"/>
            <w:tcBorders>
              <w:bottom w:val="single" w:sz="4" w:space="0" w:color="auto"/>
            </w:tcBorders>
            <w:shd w:val="clear" w:color="auto" w:fill="auto"/>
            <w:vAlign w:val="bottom"/>
          </w:tcPr>
          <w:p w14:paraId="50AED84D" w14:textId="1145AA73" w:rsidR="007666A4" w:rsidRPr="00A34845" w:rsidRDefault="007666A4" w:rsidP="00A34845">
            <w:pPr>
              <w:pStyle w:val="SingleTxtG"/>
              <w:tabs>
                <w:tab w:val="clear" w:pos="1701"/>
                <w:tab w:val="clear" w:pos="2268"/>
                <w:tab w:val="clear" w:pos="2835"/>
              </w:tabs>
              <w:spacing w:before="40" w:after="40" w:line="220" w:lineRule="exact"/>
              <w:ind w:left="57" w:right="28"/>
              <w:jc w:val="right"/>
              <w:rPr>
                <w:sz w:val="18"/>
              </w:rPr>
            </w:pPr>
            <w:r w:rsidRPr="00A34845">
              <w:rPr>
                <w:sz w:val="18"/>
              </w:rPr>
              <w:t>62</w:t>
            </w:r>
            <w:r w:rsidR="00A34845">
              <w:rPr>
                <w:sz w:val="18"/>
              </w:rPr>
              <w:t>,</w:t>
            </w:r>
            <w:r w:rsidRPr="00A34845">
              <w:rPr>
                <w:sz w:val="18"/>
              </w:rPr>
              <w:t>5</w:t>
            </w:r>
          </w:p>
        </w:tc>
        <w:tc>
          <w:tcPr>
            <w:tcW w:w="972" w:type="dxa"/>
            <w:tcBorders>
              <w:bottom w:val="single" w:sz="4" w:space="0" w:color="auto"/>
            </w:tcBorders>
            <w:shd w:val="clear" w:color="auto" w:fill="auto"/>
            <w:vAlign w:val="bottom"/>
          </w:tcPr>
          <w:p w14:paraId="5EACD3A5" w14:textId="3B7F5275" w:rsidR="007666A4" w:rsidRPr="00A34845" w:rsidRDefault="007666A4" w:rsidP="00A34845">
            <w:pPr>
              <w:pStyle w:val="SingleTxtG"/>
              <w:tabs>
                <w:tab w:val="clear" w:pos="1701"/>
                <w:tab w:val="clear" w:pos="2268"/>
                <w:tab w:val="clear" w:pos="2835"/>
              </w:tabs>
              <w:spacing w:before="40" w:after="40" w:line="220" w:lineRule="exact"/>
              <w:ind w:left="57" w:right="28"/>
              <w:jc w:val="right"/>
              <w:rPr>
                <w:sz w:val="18"/>
              </w:rPr>
            </w:pPr>
            <w:r w:rsidRPr="00A34845">
              <w:rPr>
                <w:sz w:val="18"/>
              </w:rPr>
              <w:t>0</w:t>
            </w:r>
            <w:r w:rsidR="00A34845">
              <w:rPr>
                <w:sz w:val="18"/>
              </w:rPr>
              <w:t>,</w:t>
            </w:r>
            <w:r w:rsidRPr="00A34845">
              <w:rPr>
                <w:sz w:val="18"/>
              </w:rPr>
              <w:t>5</w:t>
            </w:r>
          </w:p>
        </w:tc>
        <w:tc>
          <w:tcPr>
            <w:tcW w:w="609" w:type="dxa"/>
            <w:tcBorders>
              <w:bottom w:val="single" w:sz="4" w:space="0" w:color="auto"/>
            </w:tcBorders>
            <w:shd w:val="clear" w:color="auto" w:fill="auto"/>
            <w:vAlign w:val="bottom"/>
          </w:tcPr>
          <w:p w14:paraId="27403A55" w14:textId="5B2E4947" w:rsidR="007666A4" w:rsidRPr="00A34845" w:rsidRDefault="007666A4" w:rsidP="00A34845">
            <w:pPr>
              <w:pStyle w:val="SingleTxtG"/>
              <w:tabs>
                <w:tab w:val="clear" w:pos="1701"/>
                <w:tab w:val="clear" w:pos="2268"/>
                <w:tab w:val="clear" w:pos="2835"/>
              </w:tabs>
              <w:spacing w:before="40" w:after="40" w:line="220" w:lineRule="exact"/>
              <w:ind w:left="57" w:right="28"/>
              <w:jc w:val="right"/>
              <w:rPr>
                <w:sz w:val="18"/>
              </w:rPr>
            </w:pPr>
            <w:r w:rsidRPr="00A34845">
              <w:rPr>
                <w:sz w:val="18"/>
              </w:rPr>
              <w:t>2</w:t>
            </w:r>
            <w:r w:rsidR="00A34845">
              <w:rPr>
                <w:sz w:val="18"/>
              </w:rPr>
              <w:t>,</w:t>
            </w:r>
            <w:r w:rsidRPr="00A34845">
              <w:rPr>
                <w:sz w:val="18"/>
              </w:rPr>
              <w:t>1</w:t>
            </w:r>
          </w:p>
        </w:tc>
        <w:tc>
          <w:tcPr>
            <w:tcW w:w="730" w:type="dxa"/>
            <w:tcBorders>
              <w:bottom w:val="single" w:sz="4" w:space="0" w:color="auto"/>
            </w:tcBorders>
            <w:shd w:val="clear" w:color="auto" w:fill="auto"/>
            <w:vAlign w:val="bottom"/>
          </w:tcPr>
          <w:p w14:paraId="660A9D1A" w14:textId="2D3DA712" w:rsidR="007666A4" w:rsidRPr="00A34845" w:rsidRDefault="007666A4" w:rsidP="00A34845">
            <w:pPr>
              <w:pStyle w:val="SingleTxtG"/>
              <w:tabs>
                <w:tab w:val="clear" w:pos="1701"/>
                <w:tab w:val="clear" w:pos="2268"/>
                <w:tab w:val="clear" w:pos="2835"/>
              </w:tabs>
              <w:spacing w:before="40" w:after="40" w:line="220" w:lineRule="exact"/>
              <w:ind w:left="57" w:right="28"/>
              <w:jc w:val="right"/>
              <w:rPr>
                <w:sz w:val="18"/>
                <w:rtl/>
                <w:lang w:bidi="ar-IQ"/>
              </w:rPr>
            </w:pPr>
            <w:r w:rsidRPr="00A34845">
              <w:rPr>
                <w:sz w:val="18"/>
              </w:rPr>
              <w:t>100</w:t>
            </w:r>
            <w:r w:rsidR="00A34845">
              <w:rPr>
                <w:sz w:val="18"/>
              </w:rPr>
              <w:t>,</w:t>
            </w:r>
            <w:r w:rsidRPr="00A34845">
              <w:rPr>
                <w:sz w:val="18"/>
              </w:rPr>
              <w:t>0</w:t>
            </w:r>
          </w:p>
        </w:tc>
      </w:tr>
      <w:tr w:rsidR="00A34845" w:rsidRPr="008818B5" w14:paraId="44C861C5" w14:textId="77777777" w:rsidTr="008818B5">
        <w:trPr>
          <w:trHeight w:val="240"/>
        </w:trPr>
        <w:tc>
          <w:tcPr>
            <w:tcW w:w="1276" w:type="dxa"/>
            <w:tcBorders>
              <w:top w:val="single" w:sz="4" w:space="0" w:color="auto"/>
              <w:bottom w:val="single" w:sz="12" w:space="0" w:color="auto"/>
            </w:tcBorders>
            <w:shd w:val="clear" w:color="auto" w:fill="auto"/>
          </w:tcPr>
          <w:p w14:paraId="0768C04B" w14:textId="77777777" w:rsidR="007666A4" w:rsidRPr="008818B5" w:rsidRDefault="007666A4" w:rsidP="008818B5">
            <w:pPr>
              <w:pStyle w:val="SingleTxtG"/>
              <w:tabs>
                <w:tab w:val="clear" w:pos="1701"/>
                <w:tab w:val="clear" w:pos="2268"/>
                <w:tab w:val="clear" w:pos="2835"/>
              </w:tabs>
              <w:spacing w:before="80" w:after="80" w:line="220" w:lineRule="exact"/>
              <w:ind w:left="283" w:right="0"/>
              <w:jc w:val="left"/>
              <w:rPr>
                <w:b/>
                <w:bCs/>
                <w:sz w:val="18"/>
                <w:rtl/>
                <w:lang w:bidi="ar-IQ"/>
              </w:rPr>
            </w:pPr>
            <w:r w:rsidRPr="008818B5">
              <w:rPr>
                <w:b/>
                <w:bCs/>
                <w:sz w:val="18"/>
              </w:rPr>
              <w:t>Total</w:t>
            </w:r>
          </w:p>
        </w:tc>
        <w:tc>
          <w:tcPr>
            <w:tcW w:w="1273" w:type="dxa"/>
            <w:tcBorders>
              <w:top w:val="single" w:sz="4" w:space="0" w:color="auto"/>
              <w:bottom w:val="single" w:sz="12" w:space="0" w:color="auto"/>
            </w:tcBorders>
            <w:shd w:val="clear" w:color="auto" w:fill="auto"/>
            <w:vAlign w:val="bottom"/>
          </w:tcPr>
          <w:p w14:paraId="58A5B7C4" w14:textId="60A11CE4" w:rsidR="007666A4" w:rsidRPr="008818B5" w:rsidRDefault="007666A4" w:rsidP="008818B5">
            <w:pPr>
              <w:pStyle w:val="SingleTxtG"/>
              <w:tabs>
                <w:tab w:val="clear" w:pos="1701"/>
                <w:tab w:val="clear" w:pos="2268"/>
                <w:tab w:val="clear" w:pos="2835"/>
              </w:tabs>
              <w:spacing w:before="80" w:after="80" w:line="220" w:lineRule="exact"/>
              <w:ind w:left="0" w:right="28"/>
              <w:jc w:val="right"/>
              <w:rPr>
                <w:b/>
                <w:bCs/>
                <w:sz w:val="18"/>
              </w:rPr>
            </w:pPr>
            <w:r w:rsidRPr="008818B5">
              <w:rPr>
                <w:b/>
                <w:bCs/>
                <w:sz w:val="18"/>
              </w:rPr>
              <w:t>22</w:t>
            </w:r>
            <w:r w:rsidR="00A34845" w:rsidRPr="008818B5">
              <w:rPr>
                <w:b/>
                <w:bCs/>
                <w:sz w:val="18"/>
              </w:rPr>
              <w:t>,</w:t>
            </w:r>
            <w:r w:rsidRPr="008818B5">
              <w:rPr>
                <w:b/>
                <w:bCs/>
                <w:sz w:val="18"/>
              </w:rPr>
              <w:t>4</w:t>
            </w:r>
          </w:p>
        </w:tc>
        <w:tc>
          <w:tcPr>
            <w:tcW w:w="972" w:type="dxa"/>
            <w:tcBorders>
              <w:top w:val="single" w:sz="4" w:space="0" w:color="auto"/>
              <w:bottom w:val="single" w:sz="12" w:space="0" w:color="auto"/>
            </w:tcBorders>
            <w:shd w:val="clear" w:color="auto" w:fill="auto"/>
            <w:vAlign w:val="bottom"/>
          </w:tcPr>
          <w:p w14:paraId="6887AEB8" w14:textId="2E872D8C" w:rsidR="007666A4" w:rsidRPr="008818B5" w:rsidRDefault="007666A4" w:rsidP="008818B5">
            <w:pPr>
              <w:pStyle w:val="SingleTxtG"/>
              <w:tabs>
                <w:tab w:val="clear" w:pos="1701"/>
                <w:tab w:val="clear" w:pos="2268"/>
                <w:tab w:val="clear" w:pos="2835"/>
              </w:tabs>
              <w:spacing w:before="80" w:after="80" w:line="220" w:lineRule="exact"/>
              <w:ind w:left="0" w:right="28"/>
              <w:jc w:val="right"/>
              <w:rPr>
                <w:b/>
                <w:bCs/>
                <w:sz w:val="18"/>
              </w:rPr>
            </w:pPr>
            <w:r w:rsidRPr="008818B5">
              <w:rPr>
                <w:b/>
                <w:bCs/>
                <w:sz w:val="18"/>
              </w:rPr>
              <w:t>2</w:t>
            </w:r>
            <w:r w:rsidR="00A34845" w:rsidRPr="008818B5">
              <w:rPr>
                <w:b/>
                <w:bCs/>
                <w:sz w:val="18"/>
              </w:rPr>
              <w:t>,</w:t>
            </w:r>
            <w:r w:rsidRPr="008818B5">
              <w:rPr>
                <w:b/>
                <w:bCs/>
                <w:sz w:val="18"/>
              </w:rPr>
              <w:t xml:space="preserve">4 </w:t>
            </w:r>
          </w:p>
        </w:tc>
        <w:tc>
          <w:tcPr>
            <w:tcW w:w="729" w:type="dxa"/>
            <w:tcBorders>
              <w:top w:val="single" w:sz="4" w:space="0" w:color="auto"/>
              <w:bottom w:val="single" w:sz="12" w:space="0" w:color="auto"/>
            </w:tcBorders>
            <w:shd w:val="clear" w:color="auto" w:fill="auto"/>
            <w:vAlign w:val="bottom"/>
          </w:tcPr>
          <w:p w14:paraId="3846C4DA" w14:textId="60E958DB" w:rsidR="007666A4" w:rsidRPr="008818B5" w:rsidRDefault="007666A4" w:rsidP="008818B5">
            <w:pPr>
              <w:pStyle w:val="SingleTxtG"/>
              <w:tabs>
                <w:tab w:val="clear" w:pos="1701"/>
                <w:tab w:val="clear" w:pos="2268"/>
                <w:tab w:val="clear" w:pos="2835"/>
              </w:tabs>
              <w:spacing w:before="80" w:after="80" w:line="220" w:lineRule="exact"/>
              <w:ind w:left="0" w:right="28"/>
              <w:jc w:val="right"/>
              <w:rPr>
                <w:b/>
                <w:bCs/>
                <w:sz w:val="18"/>
              </w:rPr>
            </w:pPr>
            <w:r w:rsidRPr="008818B5">
              <w:rPr>
                <w:b/>
                <w:bCs/>
                <w:sz w:val="18"/>
              </w:rPr>
              <w:t>0</w:t>
            </w:r>
            <w:r w:rsidR="00A34845" w:rsidRPr="008818B5">
              <w:rPr>
                <w:b/>
                <w:bCs/>
                <w:sz w:val="18"/>
              </w:rPr>
              <w:t>,</w:t>
            </w:r>
            <w:r w:rsidRPr="008818B5">
              <w:rPr>
                <w:b/>
                <w:bCs/>
                <w:sz w:val="18"/>
              </w:rPr>
              <w:t>6</w:t>
            </w:r>
          </w:p>
        </w:tc>
        <w:tc>
          <w:tcPr>
            <w:tcW w:w="1093" w:type="dxa"/>
            <w:tcBorders>
              <w:top w:val="single" w:sz="4" w:space="0" w:color="auto"/>
              <w:bottom w:val="single" w:sz="12" w:space="0" w:color="auto"/>
            </w:tcBorders>
            <w:shd w:val="clear" w:color="auto" w:fill="auto"/>
            <w:vAlign w:val="bottom"/>
          </w:tcPr>
          <w:p w14:paraId="0DFAAA47" w14:textId="4A682D84" w:rsidR="007666A4" w:rsidRPr="008818B5" w:rsidRDefault="007666A4" w:rsidP="008818B5">
            <w:pPr>
              <w:pStyle w:val="SingleTxtG"/>
              <w:tabs>
                <w:tab w:val="clear" w:pos="1701"/>
                <w:tab w:val="clear" w:pos="2268"/>
                <w:tab w:val="clear" w:pos="2835"/>
              </w:tabs>
              <w:spacing w:before="80" w:after="80" w:line="220" w:lineRule="exact"/>
              <w:ind w:left="0" w:right="28"/>
              <w:jc w:val="right"/>
              <w:rPr>
                <w:b/>
                <w:bCs/>
                <w:sz w:val="18"/>
              </w:rPr>
            </w:pPr>
            <w:r w:rsidRPr="008818B5">
              <w:rPr>
                <w:b/>
                <w:bCs/>
                <w:sz w:val="18"/>
              </w:rPr>
              <w:t>0</w:t>
            </w:r>
            <w:r w:rsidR="00A34845" w:rsidRPr="008818B5">
              <w:rPr>
                <w:b/>
                <w:bCs/>
                <w:sz w:val="18"/>
              </w:rPr>
              <w:t>,</w:t>
            </w:r>
            <w:r w:rsidRPr="008818B5">
              <w:rPr>
                <w:b/>
                <w:bCs/>
                <w:sz w:val="18"/>
              </w:rPr>
              <w:t>0</w:t>
            </w:r>
          </w:p>
        </w:tc>
        <w:tc>
          <w:tcPr>
            <w:tcW w:w="851" w:type="dxa"/>
            <w:tcBorders>
              <w:top w:val="single" w:sz="4" w:space="0" w:color="auto"/>
              <w:bottom w:val="single" w:sz="12" w:space="0" w:color="auto"/>
            </w:tcBorders>
            <w:shd w:val="clear" w:color="auto" w:fill="auto"/>
            <w:vAlign w:val="bottom"/>
          </w:tcPr>
          <w:p w14:paraId="6463196B" w14:textId="3571951C" w:rsidR="007666A4" w:rsidRPr="008818B5" w:rsidRDefault="007666A4" w:rsidP="008818B5">
            <w:pPr>
              <w:pStyle w:val="SingleTxtG"/>
              <w:tabs>
                <w:tab w:val="clear" w:pos="1701"/>
                <w:tab w:val="clear" w:pos="2268"/>
                <w:tab w:val="clear" w:pos="2835"/>
              </w:tabs>
              <w:spacing w:before="80" w:after="80" w:line="220" w:lineRule="exact"/>
              <w:ind w:left="0" w:right="28"/>
              <w:jc w:val="right"/>
              <w:rPr>
                <w:b/>
                <w:bCs/>
                <w:sz w:val="18"/>
              </w:rPr>
            </w:pPr>
            <w:r w:rsidRPr="008818B5">
              <w:rPr>
                <w:b/>
                <w:bCs/>
                <w:sz w:val="18"/>
              </w:rPr>
              <w:t>72</w:t>
            </w:r>
            <w:r w:rsidR="00A34845" w:rsidRPr="008818B5">
              <w:rPr>
                <w:b/>
                <w:bCs/>
                <w:sz w:val="18"/>
              </w:rPr>
              <w:t>,</w:t>
            </w:r>
            <w:r w:rsidRPr="008818B5">
              <w:rPr>
                <w:b/>
                <w:bCs/>
                <w:sz w:val="18"/>
              </w:rPr>
              <w:t>8</w:t>
            </w:r>
          </w:p>
        </w:tc>
        <w:tc>
          <w:tcPr>
            <w:tcW w:w="972" w:type="dxa"/>
            <w:tcBorders>
              <w:top w:val="single" w:sz="4" w:space="0" w:color="auto"/>
              <w:bottom w:val="single" w:sz="12" w:space="0" w:color="auto"/>
            </w:tcBorders>
            <w:shd w:val="clear" w:color="auto" w:fill="auto"/>
            <w:vAlign w:val="bottom"/>
          </w:tcPr>
          <w:p w14:paraId="48D2FD7B" w14:textId="7291F0A4" w:rsidR="007666A4" w:rsidRPr="008818B5" w:rsidRDefault="007666A4" w:rsidP="008818B5">
            <w:pPr>
              <w:pStyle w:val="SingleTxtG"/>
              <w:tabs>
                <w:tab w:val="clear" w:pos="1701"/>
                <w:tab w:val="clear" w:pos="2268"/>
                <w:tab w:val="clear" w:pos="2835"/>
              </w:tabs>
              <w:spacing w:before="80" w:after="80" w:line="220" w:lineRule="exact"/>
              <w:ind w:left="0" w:right="28"/>
              <w:jc w:val="right"/>
              <w:rPr>
                <w:b/>
                <w:bCs/>
                <w:sz w:val="18"/>
              </w:rPr>
            </w:pPr>
            <w:r w:rsidRPr="008818B5">
              <w:rPr>
                <w:b/>
                <w:bCs/>
                <w:sz w:val="18"/>
              </w:rPr>
              <w:t>0</w:t>
            </w:r>
            <w:r w:rsidR="00A34845" w:rsidRPr="008818B5">
              <w:rPr>
                <w:b/>
                <w:bCs/>
                <w:sz w:val="18"/>
              </w:rPr>
              <w:t>,</w:t>
            </w:r>
            <w:r w:rsidRPr="008818B5">
              <w:rPr>
                <w:b/>
                <w:bCs/>
                <w:sz w:val="18"/>
              </w:rPr>
              <w:t>5</w:t>
            </w:r>
          </w:p>
        </w:tc>
        <w:tc>
          <w:tcPr>
            <w:tcW w:w="609" w:type="dxa"/>
            <w:tcBorders>
              <w:top w:val="single" w:sz="4" w:space="0" w:color="auto"/>
              <w:bottom w:val="single" w:sz="12" w:space="0" w:color="auto"/>
            </w:tcBorders>
            <w:shd w:val="clear" w:color="auto" w:fill="auto"/>
            <w:vAlign w:val="bottom"/>
          </w:tcPr>
          <w:p w14:paraId="615328D4" w14:textId="4C85B721" w:rsidR="007666A4" w:rsidRPr="008818B5" w:rsidRDefault="007666A4" w:rsidP="008818B5">
            <w:pPr>
              <w:pStyle w:val="SingleTxtG"/>
              <w:tabs>
                <w:tab w:val="clear" w:pos="1701"/>
                <w:tab w:val="clear" w:pos="2268"/>
                <w:tab w:val="clear" w:pos="2835"/>
              </w:tabs>
              <w:spacing w:before="80" w:after="80" w:line="220" w:lineRule="exact"/>
              <w:ind w:left="0" w:right="28"/>
              <w:jc w:val="right"/>
              <w:rPr>
                <w:b/>
                <w:bCs/>
                <w:sz w:val="18"/>
              </w:rPr>
            </w:pPr>
            <w:r w:rsidRPr="008818B5">
              <w:rPr>
                <w:b/>
                <w:bCs/>
                <w:sz w:val="18"/>
              </w:rPr>
              <w:t>1</w:t>
            </w:r>
            <w:r w:rsidR="00A34845" w:rsidRPr="008818B5">
              <w:rPr>
                <w:b/>
                <w:bCs/>
                <w:sz w:val="18"/>
              </w:rPr>
              <w:t>,</w:t>
            </w:r>
            <w:r w:rsidRPr="008818B5">
              <w:rPr>
                <w:b/>
                <w:bCs/>
                <w:sz w:val="18"/>
              </w:rPr>
              <w:t xml:space="preserve">3 </w:t>
            </w:r>
          </w:p>
        </w:tc>
        <w:tc>
          <w:tcPr>
            <w:tcW w:w="730" w:type="dxa"/>
            <w:tcBorders>
              <w:top w:val="single" w:sz="4" w:space="0" w:color="auto"/>
              <w:bottom w:val="single" w:sz="12" w:space="0" w:color="auto"/>
            </w:tcBorders>
            <w:shd w:val="clear" w:color="auto" w:fill="auto"/>
            <w:vAlign w:val="bottom"/>
          </w:tcPr>
          <w:p w14:paraId="4E52425A" w14:textId="6C1C1654" w:rsidR="007666A4" w:rsidRPr="008818B5" w:rsidRDefault="007666A4" w:rsidP="008818B5">
            <w:pPr>
              <w:pStyle w:val="SingleTxtG"/>
              <w:tabs>
                <w:tab w:val="clear" w:pos="1701"/>
                <w:tab w:val="clear" w:pos="2268"/>
                <w:tab w:val="clear" w:pos="2835"/>
              </w:tabs>
              <w:spacing w:before="80" w:after="80" w:line="220" w:lineRule="exact"/>
              <w:ind w:left="0" w:right="28"/>
              <w:jc w:val="right"/>
              <w:rPr>
                <w:b/>
                <w:bCs/>
                <w:sz w:val="18"/>
              </w:rPr>
            </w:pPr>
            <w:r w:rsidRPr="008818B5">
              <w:rPr>
                <w:b/>
                <w:bCs/>
                <w:sz w:val="18"/>
              </w:rPr>
              <w:t>100</w:t>
            </w:r>
            <w:r w:rsidR="00A34845" w:rsidRPr="008818B5">
              <w:rPr>
                <w:b/>
                <w:bCs/>
                <w:sz w:val="18"/>
              </w:rPr>
              <w:t>,</w:t>
            </w:r>
            <w:r w:rsidRPr="008818B5">
              <w:rPr>
                <w:b/>
                <w:bCs/>
                <w:sz w:val="18"/>
              </w:rPr>
              <w:t>0</w:t>
            </w:r>
          </w:p>
        </w:tc>
      </w:tr>
    </w:tbl>
    <w:p w14:paraId="110B104C" w14:textId="54F3530B" w:rsidR="007666A4" w:rsidRPr="007666A4" w:rsidRDefault="007666A4" w:rsidP="00A34845">
      <w:pPr>
        <w:pStyle w:val="H23G"/>
      </w:pPr>
      <w:r w:rsidRPr="007666A4">
        <w:tab/>
      </w:r>
      <w:r w:rsidRPr="007666A4">
        <w:tab/>
        <w:t>Distribución relativa de las personas con discapacidad por fuente principal de</w:t>
      </w:r>
      <w:r w:rsidR="00A34845">
        <w:t> </w:t>
      </w:r>
      <w:r w:rsidRPr="007666A4">
        <w:t>ingresos</w:t>
      </w:r>
    </w:p>
    <w:p w14:paraId="707CE4E9" w14:textId="15C5A87D" w:rsidR="007666A4" w:rsidRPr="007666A4" w:rsidRDefault="00A34845" w:rsidP="007666A4">
      <w:pPr>
        <w:pStyle w:val="SingleTxtG"/>
      </w:pPr>
      <w:r>
        <w:tab/>
      </w:r>
      <w:r w:rsidR="007666A4" w:rsidRPr="007666A4">
        <w:t>Los resultados de la encuesta entre las personas con discapacidad de 10 años o más mostraron que, para el 36,9 % de las personas con discapacidad, la principal fuente de ingresos es la ayuda de la familia y los parientes; para el 27,1 %, un sueldo o salario, mientras que el 22,3 % trabaja por cuenta propia. Una pequeña proporción de personas con discapacidad tenía otras fuentes de ingresos o no tenía ningún ingreso (1,8 % y 1,5 % respectivamente).</w:t>
      </w:r>
    </w:p>
    <w:p w14:paraId="0266AC6B" w14:textId="7BE7A27D" w:rsidR="007666A4" w:rsidRPr="007666A4" w:rsidRDefault="007666A4" w:rsidP="007666A4">
      <w:pPr>
        <w:pStyle w:val="SingleTxtG"/>
      </w:pPr>
      <w:r w:rsidRPr="007666A4">
        <w:t>136.</w:t>
      </w:r>
      <w:r w:rsidR="00A34845">
        <w:tab/>
      </w:r>
      <w:r w:rsidRPr="007666A4">
        <w:t>El desempleo en el Iraq es acumulativo; no es un fenómeno reciente. Tiene un impacto económico y social negativo y repercute en las tasas de crecimiento de la población.</w:t>
      </w:r>
    </w:p>
    <w:p w14:paraId="37F13C65" w14:textId="54641FAD" w:rsidR="007666A4" w:rsidRPr="007666A4" w:rsidRDefault="007666A4" w:rsidP="007666A4">
      <w:pPr>
        <w:pStyle w:val="SingleTxtG"/>
      </w:pPr>
      <w:r w:rsidRPr="007666A4">
        <w:t>137.</w:t>
      </w:r>
      <w:r w:rsidR="00A34845">
        <w:tab/>
      </w:r>
      <w:r w:rsidRPr="007666A4">
        <w:t>El Gobierno trata de promover, regular y proteger el sector privado, en particular las pequeñas y medianas empresas, permitiendo que absorban la mano de obra en todo el país mediante la concesión de préstamos y la revisión de la legislación de apoyo al sector privado, aumentando así la tasa de crecimiento.</w:t>
      </w:r>
    </w:p>
    <w:p w14:paraId="3CA6B906" w14:textId="093198B7" w:rsidR="007666A4" w:rsidRPr="007666A4" w:rsidRDefault="007666A4" w:rsidP="007666A4">
      <w:pPr>
        <w:pStyle w:val="SingleTxtG"/>
      </w:pPr>
      <w:r w:rsidRPr="007666A4">
        <w:t>138.</w:t>
      </w:r>
      <w:r w:rsidR="00A34845">
        <w:tab/>
      </w:r>
      <w:r w:rsidRPr="007666A4">
        <w:t>La Decisión del Consejo de Ministros núm. 364/2019, sobre la revisión y mejora de la red de distribución de electricidad, se adoptó a fin de crear puestos de trabajo para un gran número de desempleados. Se ofrecen programas de formación de tres meses en centros de formación profesional, durante los cuales los aprendices reciben un subsidio mensual. Una vez finalizado el curso, se asigna a cada grupo un terreno para montar su propio taller y se le concede un préstamo para que pueda adquirir los materiales y equipos básicos. Cada joven que termina con éxito el curso de formación recibe un salario mensual durante seis meses hasta que haya desarrollado sus capacidades. Los desempleados que no pueden trabajar reciben un subsidio durante tres meses. A los que pueden trabajar se les ofrece un programa de formación y cualificación, así como un subsidio durante los tres meses de formación, con el fin de que los que superen el curso puedan ser contratados por las empresas de inversión que operan en el Iraq. Los que superan los mencionados cursos de formación pueden optar a un préstamo en condiciones favorables para la creación de pequeñas o medianas empresas con cargo al Fondo de Préstamos para Iniciativas con Ánimo de Lucro, del Ministerio de Trabajo y Asuntos Sociales, o a préstamos a través de la iniciativa del Banco Central para jóvenes y desempleados que participan en el programa de formación mencionado, de forma que pueden acogerse a las disposiciones de la Ley de Servicios Industriales, en virtud de la cual se les concede una parcela con equipamientos para montar un proyecto industrial, así como las prestaciones correspondientes.</w:t>
      </w:r>
    </w:p>
    <w:p w14:paraId="6314ECDA" w14:textId="28901A4F" w:rsidR="007666A4" w:rsidRPr="007666A4" w:rsidRDefault="007666A4" w:rsidP="007666A4">
      <w:pPr>
        <w:pStyle w:val="SingleTxtG"/>
      </w:pPr>
      <w:r w:rsidRPr="007666A4">
        <w:t>El Ministerio de Comercio ha simplificado los procedimientos para que los jóvenes de entre 18 y 35 años puedan registrar pequeñas empresas. También ha eximido a los jóvenes de las nuevas tasas introducidas, a fin de permitirles que accedan a oportunidades laborales.</w:t>
      </w:r>
    </w:p>
    <w:p w14:paraId="34CF4096" w14:textId="41251605" w:rsidR="007666A4" w:rsidRPr="007666A4" w:rsidRDefault="007666A4" w:rsidP="007666A4">
      <w:pPr>
        <w:pStyle w:val="SingleTxtG"/>
      </w:pPr>
      <w:r w:rsidRPr="007666A4">
        <w:t>139.</w:t>
      </w:r>
      <w:r w:rsidR="00A34845">
        <w:tab/>
      </w:r>
      <w:r w:rsidRPr="007666A4">
        <w:t xml:space="preserve">El Ministerio de Trabajo se encarga de que los jóvenes desempleados inscritos en la base de datos del Ministerio reciban furgonetas especialmente equipadas para la venta de comida preparada, refrescos y bebidas calientes, así como vehículos especiales de mantenimiento y limpieza de diferentes tipos. La financiación procede del Fondo de Préstamos para Iniciativas con Ánimo de Lucro, gestionado por el Ministerio; para los que no están registrados en la base de datos del Ministerio, hay préstamos blandos a interés nominal del Banco Al-Rafidayn y del Banco Al-Rashid. El Ayuntamiento de Bagdad y los </w:t>
      </w:r>
      <w:r w:rsidRPr="007666A4">
        <w:lastRenderedPageBreak/>
        <w:t>gobiernos provinciales han simplificado los trámites para expedir el carné de desempeño profesional a los jóvenes desempleados y obtener plazas de aparcamiento en zonas comerciales. Los tipos de vehículos mencionados más arriba están exentos de tasas aduaneras. El Ministerio de Electricidad contrata a jóvenes desempleados de entre 18 y</w:t>
      </w:r>
      <w:r w:rsidR="00C9406D">
        <w:t> </w:t>
      </w:r>
      <w:r w:rsidRPr="007666A4">
        <w:t>35</w:t>
      </w:r>
      <w:r w:rsidR="00C9406D">
        <w:t> </w:t>
      </w:r>
      <w:r w:rsidRPr="007666A4">
        <w:t>años para que cobren las facturas de la luz de las zonas donde viven emitidas por el Ministerio. El Ministerio de Industria y Minerales se ofrece a formar a licenciados en paro y a otras personas que deseen crear empresas de manufactura de productos locales, dependiendo de la experiencia con que cuenten.</w:t>
      </w:r>
    </w:p>
    <w:p w14:paraId="0DED88B9" w14:textId="11EF9232" w:rsidR="007666A4" w:rsidRPr="007666A4" w:rsidRDefault="007666A4" w:rsidP="007666A4">
      <w:pPr>
        <w:pStyle w:val="SingleTxtG"/>
      </w:pPr>
      <w:r w:rsidRPr="007666A4">
        <w:t>140.</w:t>
      </w:r>
      <w:r w:rsidR="00A34845">
        <w:tab/>
      </w:r>
      <w:r w:rsidRPr="007666A4">
        <w:t>Los siguientes cuadros muestran los indicadores de población, desempleo y contabilidad nacional sobre la base de la información disponible:</w:t>
      </w:r>
    </w:p>
    <w:p w14:paraId="6CA2C698" w14:textId="7FBF1552" w:rsidR="007666A4" w:rsidRPr="007666A4" w:rsidRDefault="005F3D54" w:rsidP="005F3D54">
      <w:pPr>
        <w:pStyle w:val="H23G"/>
      </w:pPr>
      <w:r>
        <w:tab/>
      </w:r>
      <w:r w:rsidR="007666A4" w:rsidRPr="007666A4">
        <w:tab/>
        <w:t>Tasa de desempleo en 2016</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841"/>
        <w:gridCol w:w="3529"/>
      </w:tblGrid>
      <w:tr w:rsidR="005F3D54" w:rsidRPr="005F3D54" w14:paraId="0E0462D2" w14:textId="77777777" w:rsidTr="005F3D54">
        <w:trPr>
          <w:trHeight w:val="240"/>
        </w:trPr>
        <w:tc>
          <w:tcPr>
            <w:tcW w:w="3841" w:type="dxa"/>
            <w:tcBorders>
              <w:top w:val="single" w:sz="4" w:space="0" w:color="auto"/>
              <w:bottom w:val="nil"/>
            </w:tcBorders>
            <w:shd w:val="clear" w:color="auto" w:fill="auto"/>
            <w:vAlign w:val="bottom"/>
          </w:tcPr>
          <w:p w14:paraId="28A50521" w14:textId="0A64E2BB" w:rsidR="005F3D54" w:rsidRPr="005F3D54" w:rsidRDefault="005F3D54" w:rsidP="005F3D54">
            <w:pPr>
              <w:pStyle w:val="SingleTxtG"/>
              <w:tabs>
                <w:tab w:val="clear" w:pos="1701"/>
                <w:tab w:val="clear" w:pos="2268"/>
                <w:tab w:val="clear" w:pos="2835"/>
              </w:tabs>
              <w:spacing w:before="40" w:after="40" w:line="220" w:lineRule="exact"/>
              <w:ind w:left="0" w:right="0"/>
              <w:jc w:val="left"/>
              <w:rPr>
                <w:sz w:val="18"/>
              </w:rPr>
            </w:pPr>
            <w:r w:rsidRPr="005F3D54">
              <w:rPr>
                <w:sz w:val="18"/>
              </w:rPr>
              <w:t>Hombres</w:t>
            </w:r>
          </w:p>
        </w:tc>
        <w:tc>
          <w:tcPr>
            <w:tcW w:w="3529" w:type="dxa"/>
            <w:tcBorders>
              <w:top w:val="single" w:sz="4" w:space="0" w:color="auto"/>
              <w:bottom w:val="nil"/>
            </w:tcBorders>
            <w:shd w:val="clear" w:color="auto" w:fill="auto"/>
            <w:vAlign w:val="bottom"/>
          </w:tcPr>
          <w:p w14:paraId="5DC29CC0" w14:textId="56B1D652" w:rsidR="005F3D54" w:rsidRPr="005F3D54" w:rsidRDefault="005F3D54" w:rsidP="005F3D54">
            <w:pPr>
              <w:pStyle w:val="SingleTxtG"/>
              <w:tabs>
                <w:tab w:val="clear" w:pos="1701"/>
                <w:tab w:val="clear" w:pos="2268"/>
                <w:tab w:val="clear" w:pos="2835"/>
              </w:tabs>
              <w:spacing w:before="40" w:after="40" w:line="220" w:lineRule="exact"/>
              <w:ind w:left="113" w:right="0"/>
              <w:jc w:val="right"/>
              <w:rPr>
                <w:sz w:val="18"/>
              </w:rPr>
            </w:pPr>
            <w:r w:rsidRPr="005F3D54">
              <w:rPr>
                <w:sz w:val="18"/>
              </w:rPr>
              <w:t>5</w:t>
            </w:r>
            <w:r>
              <w:rPr>
                <w:sz w:val="18"/>
              </w:rPr>
              <w:t>,</w:t>
            </w:r>
            <w:r w:rsidRPr="005F3D54">
              <w:rPr>
                <w:sz w:val="18"/>
              </w:rPr>
              <w:t>8</w:t>
            </w:r>
          </w:p>
        </w:tc>
      </w:tr>
      <w:tr w:rsidR="005F3D54" w:rsidRPr="005F3D54" w14:paraId="5519E699" w14:textId="77777777" w:rsidTr="005F3D54">
        <w:trPr>
          <w:trHeight w:val="240"/>
        </w:trPr>
        <w:tc>
          <w:tcPr>
            <w:tcW w:w="3841" w:type="dxa"/>
            <w:tcBorders>
              <w:top w:val="nil"/>
            </w:tcBorders>
            <w:shd w:val="clear" w:color="auto" w:fill="auto"/>
          </w:tcPr>
          <w:p w14:paraId="751C9FA8" w14:textId="32249411" w:rsidR="005F3D54" w:rsidRPr="005F3D54" w:rsidRDefault="005F3D54" w:rsidP="005F3D54">
            <w:pPr>
              <w:pStyle w:val="SingleTxtG"/>
              <w:tabs>
                <w:tab w:val="clear" w:pos="1701"/>
                <w:tab w:val="clear" w:pos="2268"/>
                <w:tab w:val="clear" w:pos="2835"/>
              </w:tabs>
              <w:spacing w:before="40" w:after="40" w:line="220" w:lineRule="exact"/>
              <w:ind w:left="0" w:right="0"/>
              <w:jc w:val="left"/>
              <w:rPr>
                <w:sz w:val="18"/>
              </w:rPr>
            </w:pPr>
            <w:r w:rsidRPr="005F3D54">
              <w:rPr>
                <w:sz w:val="18"/>
              </w:rPr>
              <w:t>Mujeres</w:t>
            </w:r>
          </w:p>
        </w:tc>
        <w:tc>
          <w:tcPr>
            <w:tcW w:w="3529" w:type="dxa"/>
            <w:tcBorders>
              <w:top w:val="nil"/>
            </w:tcBorders>
            <w:shd w:val="clear" w:color="auto" w:fill="auto"/>
            <w:vAlign w:val="bottom"/>
          </w:tcPr>
          <w:p w14:paraId="6625D99A" w14:textId="378A52F8" w:rsidR="005F3D54" w:rsidRPr="005F3D54" w:rsidRDefault="005F3D54" w:rsidP="005F3D54">
            <w:pPr>
              <w:pStyle w:val="SingleTxtG"/>
              <w:tabs>
                <w:tab w:val="clear" w:pos="1701"/>
                <w:tab w:val="clear" w:pos="2268"/>
                <w:tab w:val="clear" w:pos="2835"/>
              </w:tabs>
              <w:spacing w:before="40" w:after="40" w:line="220" w:lineRule="exact"/>
              <w:ind w:left="113" w:right="0"/>
              <w:jc w:val="right"/>
              <w:rPr>
                <w:sz w:val="18"/>
              </w:rPr>
            </w:pPr>
            <w:r w:rsidRPr="005F3D54">
              <w:rPr>
                <w:sz w:val="18"/>
              </w:rPr>
              <w:t>22</w:t>
            </w:r>
            <w:r>
              <w:rPr>
                <w:sz w:val="18"/>
              </w:rPr>
              <w:t>,</w:t>
            </w:r>
            <w:r w:rsidRPr="005F3D54">
              <w:rPr>
                <w:sz w:val="18"/>
              </w:rPr>
              <w:t>2</w:t>
            </w:r>
          </w:p>
        </w:tc>
      </w:tr>
      <w:tr w:rsidR="007666A4" w:rsidRPr="005F3D54" w14:paraId="572ECC68" w14:textId="77777777" w:rsidTr="005F3D54">
        <w:trPr>
          <w:trHeight w:val="240"/>
        </w:trPr>
        <w:tc>
          <w:tcPr>
            <w:tcW w:w="3841" w:type="dxa"/>
            <w:tcBorders>
              <w:bottom w:val="single" w:sz="12" w:space="0" w:color="auto"/>
            </w:tcBorders>
            <w:shd w:val="clear" w:color="auto" w:fill="auto"/>
          </w:tcPr>
          <w:p w14:paraId="594FC96F" w14:textId="77777777" w:rsidR="007666A4" w:rsidRPr="005F3D54" w:rsidRDefault="007666A4" w:rsidP="005F3D54">
            <w:pPr>
              <w:pStyle w:val="SingleTxtG"/>
              <w:tabs>
                <w:tab w:val="clear" w:pos="1701"/>
                <w:tab w:val="clear" w:pos="2268"/>
                <w:tab w:val="clear" w:pos="2835"/>
              </w:tabs>
              <w:spacing w:before="40" w:after="40" w:line="220" w:lineRule="exact"/>
              <w:ind w:left="0" w:right="0"/>
              <w:jc w:val="left"/>
              <w:rPr>
                <w:sz w:val="18"/>
              </w:rPr>
            </w:pPr>
            <w:r w:rsidRPr="005F3D54">
              <w:rPr>
                <w:sz w:val="18"/>
              </w:rPr>
              <w:t>Tasa global</w:t>
            </w:r>
          </w:p>
        </w:tc>
        <w:tc>
          <w:tcPr>
            <w:tcW w:w="3529" w:type="dxa"/>
            <w:tcBorders>
              <w:bottom w:val="single" w:sz="12" w:space="0" w:color="auto"/>
            </w:tcBorders>
            <w:shd w:val="clear" w:color="auto" w:fill="auto"/>
            <w:vAlign w:val="bottom"/>
          </w:tcPr>
          <w:p w14:paraId="64EF9B89" w14:textId="4E79B7F2" w:rsidR="007666A4" w:rsidRPr="005F3D54" w:rsidRDefault="007666A4" w:rsidP="005F3D54">
            <w:pPr>
              <w:pStyle w:val="SingleTxtG"/>
              <w:tabs>
                <w:tab w:val="clear" w:pos="1701"/>
                <w:tab w:val="clear" w:pos="2268"/>
                <w:tab w:val="clear" w:pos="2835"/>
              </w:tabs>
              <w:spacing w:before="40" w:after="40" w:line="220" w:lineRule="exact"/>
              <w:ind w:left="113" w:right="0"/>
              <w:jc w:val="right"/>
              <w:rPr>
                <w:sz w:val="18"/>
              </w:rPr>
            </w:pPr>
            <w:r w:rsidRPr="005F3D54">
              <w:rPr>
                <w:sz w:val="18"/>
              </w:rPr>
              <w:t>10</w:t>
            </w:r>
            <w:r w:rsidR="005F3D54">
              <w:rPr>
                <w:sz w:val="18"/>
              </w:rPr>
              <w:t>,</w:t>
            </w:r>
            <w:r w:rsidRPr="005F3D54">
              <w:rPr>
                <w:sz w:val="18"/>
              </w:rPr>
              <w:t>8</w:t>
            </w:r>
          </w:p>
        </w:tc>
      </w:tr>
    </w:tbl>
    <w:p w14:paraId="624FD8CB" w14:textId="77777777" w:rsidR="007666A4" w:rsidRPr="007666A4" w:rsidRDefault="007666A4" w:rsidP="005F3D54">
      <w:pPr>
        <w:pStyle w:val="H23G"/>
      </w:pPr>
      <w:r w:rsidRPr="007666A4">
        <w:tab/>
      </w:r>
      <w:r w:rsidRPr="007666A4">
        <w:tab/>
        <w:t>Tasa de desempleo entre las personas de 15 años o más en 2016</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1843"/>
        <w:gridCol w:w="2693"/>
        <w:gridCol w:w="2834"/>
      </w:tblGrid>
      <w:tr w:rsidR="007666A4" w:rsidRPr="005F3D54" w14:paraId="0EFF80C9" w14:textId="77777777" w:rsidTr="005F3D54">
        <w:trPr>
          <w:trHeight w:val="240"/>
          <w:tblHeader/>
        </w:trPr>
        <w:tc>
          <w:tcPr>
            <w:tcW w:w="1843" w:type="dxa"/>
            <w:shd w:val="clear" w:color="auto" w:fill="auto"/>
            <w:vAlign w:val="bottom"/>
          </w:tcPr>
          <w:p w14:paraId="2C3CC9E0" w14:textId="77777777" w:rsidR="007666A4" w:rsidRPr="005F3D54" w:rsidRDefault="007666A4" w:rsidP="005F3D54">
            <w:pPr>
              <w:pStyle w:val="SingleTxtG"/>
              <w:tabs>
                <w:tab w:val="clear" w:pos="1701"/>
                <w:tab w:val="clear" w:pos="2268"/>
                <w:tab w:val="clear" w:pos="2835"/>
              </w:tabs>
              <w:spacing w:before="80" w:after="80" w:line="200" w:lineRule="exact"/>
              <w:ind w:left="57" w:right="28"/>
              <w:jc w:val="right"/>
              <w:rPr>
                <w:i/>
                <w:sz w:val="16"/>
              </w:rPr>
            </w:pPr>
            <w:r w:rsidRPr="005F3D54">
              <w:rPr>
                <w:i/>
                <w:sz w:val="16"/>
              </w:rPr>
              <w:t>Hombres</w:t>
            </w:r>
          </w:p>
        </w:tc>
        <w:tc>
          <w:tcPr>
            <w:tcW w:w="2693" w:type="dxa"/>
            <w:shd w:val="clear" w:color="auto" w:fill="auto"/>
            <w:vAlign w:val="bottom"/>
          </w:tcPr>
          <w:p w14:paraId="33195FF5" w14:textId="77777777" w:rsidR="007666A4" w:rsidRPr="005F3D54" w:rsidRDefault="007666A4" w:rsidP="005F3D54">
            <w:pPr>
              <w:pStyle w:val="SingleTxtG"/>
              <w:tabs>
                <w:tab w:val="clear" w:pos="1701"/>
                <w:tab w:val="clear" w:pos="2268"/>
                <w:tab w:val="clear" w:pos="2835"/>
              </w:tabs>
              <w:spacing w:before="80" w:after="80" w:line="200" w:lineRule="exact"/>
              <w:ind w:left="57" w:right="28"/>
              <w:jc w:val="right"/>
              <w:rPr>
                <w:i/>
                <w:sz w:val="16"/>
              </w:rPr>
            </w:pPr>
            <w:r w:rsidRPr="005F3D54">
              <w:rPr>
                <w:i/>
                <w:sz w:val="16"/>
              </w:rPr>
              <w:t>Mujeres</w:t>
            </w:r>
          </w:p>
        </w:tc>
        <w:tc>
          <w:tcPr>
            <w:tcW w:w="2834" w:type="dxa"/>
            <w:shd w:val="clear" w:color="auto" w:fill="auto"/>
            <w:vAlign w:val="bottom"/>
          </w:tcPr>
          <w:p w14:paraId="6F82FBB7" w14:textId="77777777" w:rsidR="007666A4" w:rsidRPr="005F3D54" w:rsidRDefault="007666A4" w:rsidP="005F3D54">
            <w:pPr>
              <w:pStyle w:val="SingleTxtG"/>
              <w:tabs>
                <w:tab w:val="clear" w:pos="1701"/>
                <w:tab w:val="clear" w:pos="2268"/>
                <w:tab w:val="clear" w:pos="2835"/>
              </w:tabs>
              <w:spacing w:before="80" w:after="80" w:line="200" w:lineRule="exact"/>
              <w:ind w:left="57" w:right="28"/>
              <w:jc w:val="right"/>
              <w:rPr>
                <w:i/>
                <w:sz w:val="16"/>
              </w:rPr>
            </w:pPr>
            <w:r w:rsidRPr="005F3D54">
              <w:rPr>
                <w:i/>
                <w:sz w:val="16"/>
              </w:rPr>
              <w:t>Total</w:t>
            </w:r>
          </w:p>
        </w:tc>
      </w:tr>
      <w:tr w:rsidR="007666A4" w:rsidRPr="005F3D54" w14:paraId="207D8BD8" w14:textId="77777777" w:rsidTr="005F3D54">
        <w:trPr>
          <w:trHeight w:val="240"/>
        </w:trPr>
        <w:tc>
          <w:tcPr>
            <w:tcW w:w="1843" w:type="dxa"/>
            <w:shd w:val="clear" w:color="auto" w:fill="auto"/>
          </w:tcPr>
          <w:p w14:paraId="7AFC68AC" w14:textId="667637ED" w:rsidR="007666A4" w:rsidRPr="005F3D54" w:rsidRDefault="007666A4" w:rsidP="005F3D54">
            <w:pPr>
              <w:pStyle w:val="SingleTxtG"/>
              <w:tabs>
                <w:tab w:val="clear" w:pos="1701"/>
                <w:tab w:val="clear" w:pos="2268"/>
                <w:tab w:val="clear" w:pos="2835"/>
              </w:tabs>
              <w:spacing w:before="40" w:after="40" w:line="220" w:lineRule="exact"/>
              <w:ind w:left="57" w:right="28"/>
              <w:jc w:val="right"/>
              <w:rPr>
                <w:sz w:val="18"/>
              </w:rPr>
            </w:pPr>
            <w:r w:rsidRPr="005F3D54">
              <w:rPr>
                <w:sz w:val="18"/>
              </w:rPr>
              <w:t>8</w:t>
            </w:r>
            <w:r w:rsidR="005F3D54">
              <w:rPr>
                <w:sz w:val="18"/>
              </w:rPr>
              <w:t>,</w:t>
            </w:r>
            <w:r w:rsidRPr="005F3D54">
              <w:rPr>
                <w:sz w:val="18"/>
              </w:rPr>
              <w:t>5</w:t>
            </w:r>
          </w:p>
        </w:tc>
        <w:tc>
          <w:tcPr>
            <w:tcW w:w="2693" w:type="dxa"/>
            <w:shd w:val="clear" w:color="auto" w:fill="auto"/>
            <w:vAlign w:val="bottom"/>
          </w:tcPr>
          <w:p w14:paraId="40487D87" w14:textId="4C8D0CA9" w:rsidR="007666A4" w:rsidRPr="005F3D54" w:rsidRDefault="007666A4" w:rsidP="005F3D54">
            <w:pPr>
              <w:pStyle w:val="SingleTxtG"/>
              <w:tabs>
                <w:tab w:val="clear" w:pos="1701"/>
                <w:tab w:val="clear" w:pos="2268"/>
                <w:tab w:val="clear" w:pos="2835"/>
              </w:tabs>
              <w:spacing w:before="40" w:after="40" w:line="220" w:lineRule="exact"/>
              <w:ind w:left="57" w:right="28"/>
              <w:jc w:val="right"/>
              <w:rPr>
                <w:sz w:val="18"/>
              </w:rPr>
            </w:pPr>
            <w:r w:rsidRPr="005F3D54">
              <w:rPr>
                <w:sz w:val="18"/>
              </w:rPr>
              <w:t>22</w:t>
            </w:r>
            <w:r w:rsidR="005F3D54">
              <w:rPr>
                <w:sz w:val="18"/>
              </w:rPr>
              <w:t>,</w:t>
            </w:r>
            <w:r w:rsidRPr="005F3D54">
              <w:rPr>
                <w:sz w:val="18"/>
              </w:rPr>
              <w:t>2</w:t>
            </w:r>
          </w:p>
        </w:tc>
        <w:tc>
          <w:tcPr>
            <w:tcW w:w="2834" w:type="dxa"/>
            <w:shd w:val="clear" w:color="auto" w:fill="auto"/>
            <w:vAlign w:val="bottom"/>
          </w:tcPr>
          <w:p w14:paraId="38048560" w14:textId="523F9FD9" w:rsidR="007666A4" w:rsidRPr="005F3D54" w:rsidRDefault="007666A4" w:rsidP="005F3D54">
            <w:pPr>
              <w:pStyle w:val="SingleTxtG"/>
              <w:tabs>
                <w:tab w:val="clear" w:pos="1701"/>
                <w:tab w:val="clear" w:pos="2268"/>
                <w:tab w:val="clear" w:pos="2835"/>
              </w:tabs>
              <w:spacing w:before="40" w:after="40" w:line="220" w:lineRule="exact"/>
              <w:ind w:left="57" w:right="28"/>
              <w:jc w:val="right"/>
              <w:rPr>
                <w:sz w:val="18"/>
              </w:rPr>
            </w:pPr>
            <w:r w:rsidRPr="005F3D54">
              <w:rPr>
                <w:sz w:val="18"/>
              </w:rPr>
              <w:t>10</w:t>
            </w:r>
            <w:r w:rsidR="005F3D54">
              <w:rPr>
                <w:sz w:val="18"/>
              </w:rPr>
              <w:t>,</w:t>
            </w:r>
            <w:r w:rsidRPr="005F3D54">
              <w:rPr>
                <w:sz w:val="18"/>
              </w:rPr>
              <w:t>8</w:t>
            </w:r>
          </w:p>
        </w:tc>
      </w:tr>
    </w:tbl>
    <w:p w14:paraId="13B1954B" w14:textId="77777777" w:rsidR="007666A4" w:rsidRPr="007666A4" w:rsidRDefault="007666A4" w:rsidP="005F3D54">
      <w:pPr>
        <w:pStyle w:val="H23G"/>
      </w:pPr>
      <w:r w:rsidRPr="007666A4">
        <w:tab/>
      </w:r>
      <w:r w:rsidRPr="007666A4">
        <w:tab/>
        <w:t>Tasa de desempleo entre los jóvenes de 15 a 24 años en 2016</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1843"/>
        <w:gridCol w:w="2693"/>
        <w:gridCol w:w="2834"/>
      </w:tblGrid>
      <w:tr w:rsidR="007666A4" w:rsidRPr="005F3D54" w14:paraId="4A46CB41" w14:textId="77777777" w:rsidTr="005F3D54">
        <w:trPr>
          <w:trHeight w:val="240"/>
          <w:tblHeader/>
        </w:trPr>
        <w:tc>
          <w:tcPr>
            <w:tcW w:w="1843" w:type="dxa"/>
            <w:shd w:val="clear" w:color="auto" w:fill="auto"/>
            <w:vAlign w:val="bottom"/>
          </w:tcPr>
          <w:p w14:paraId="1EB9231C" w14:textId="77777777" w:rsidR="007666A4" w:rsidRPr="005F3D54" w:rsidRDefault="007666A4" w:rsidP="005F3D54">
            <w:pPr>
              <w:pStyle w:val="SingleTxtG"/>
              <w:tabs>
                <w:tab w:val="clear" w:pos="1701"/>
                <w:tab w:val="clear" w:pos="2268"/>
                <w:tab w:val="clear" w:pos="2835"/>
              </w:tabs>
              <w:spacing w:before="80" w:after="80" w:line="200" w:lineRule="exact"/>
              <w:ind w:left="57" w:right="28"/>
              <w:jc w:val="right"/>
              <w:rPr>
                <w:i/>
                <w:sz w:val="16"/>
              </w:rPr>
            </w:pPr>
            <w:r w:rsidRPr="005F3D54">
              <w:rPr>
                <w:i/>
                <w:sz w:val="16"/>
              </w:rPr>
              <w:t>Hombres</w:t>
            </w:r>
          </w:p>
        </w:tc>
        <w:tc>
          <w:tcPr>
            <w:tcW w:w="2693" w:type="dxa"/>
            <w:shd w:val="clear" w:color="auto" w:fill="auto"/>
            <w:vAlign w:val="bottom"/>
          </w:tcPr>
          <w:p w14:paraId="3F8499E0" w14:textId="77777777" w:rsidR="007666A4" w:rsidRPr="005F3D54" w:rsidRDefault="007666A4" w:rsidP="005F3D54">
            <w:pPr>
              <w:pStyle w:val="SingleTxtG"/>
              <w:tabs>
                <w:tab w:val="clear" w:pos="1701"/>
                <w:tab w:val="clear" w:pos="2268"/>
                <w:tab w:val="clear" w:pos="2835"/>
              </w:tabs>
              <w:spacing w:before="80" w:after="80" w:line="200" w:lineRule="exact"/>
              <w:ind w:left="57" w:right="28"/>
              <w:jc w:val="right"/>
              <w:rPr>
                <w:i/>
                <w:sz w:val="16"/>
              </w:rPr>
            </w:pPr>
            <w:r w:rsidRPr="005F3D54">
              <w:rPr>
                <w:i/>
                <w:sz w:val="16"/>
              </w:rPr>
              <w:t>Mujeres</w:t>
            </w:r>
          </w:p>
        </w:tc>
        <w:tc>
          <w:tcPr>
            <w:tcW w:w="2834" w:type="dxa"/>
            <w:shd w:val="clear" w:color="auto" w:fill="auto"/>
            <w:vAlign w:val="bottom"/>
          </w:tcPr>
          <w:p w14:paraId="5D1002C3" w14:textId="77777777" w:rsidR="007666A4" w:rsidRPr="005F3D54" w:rsidRDefault="007666A4" w:rsidP="005F3D54">
            <w:pPr>
              <w:pStyle w:val="SingleTxtG"/>
              <w:tabs>
                <w:tab w:val="clear" w:pos="1701"/>
                <w:tab w:val="clear" w:pos="2268"/>
                <w:tab w:val="clear" w:pos="2835"/>
              </w:tabs>
              <w:spacing w:before="80" w:after="80" w:line="200" w:lineRule="exact"/>
              <w:ind w:left="57" w:right="28"/>
              <w:jc w:val="right"/>
              <w:rPr>
                <w:i/>
                <w:sz w:val="16"/>
              </w:rPr>
            </w:pPr>
            <w:r w:rsidRPr="005F3D54">
              <w:rPr>
                <w:i/>
                <w:sz w:val="16"/>
              </w:rPr>
              <w:t>Total</w:t>
            </w:r>
          </w:p>
        </w:tc>
      </w:tr>
      <w:tr w:rsidR="007666A4" w:rsidRPr="005F3D54" w14:paraId="7F4B6EBD" w14:textId="77777777" w:rsidTr="005F3D54">
        <w:trPr>
          <w:trHeight w:val="240"/>
        </w:trPr>
        <w:tc>
          <w:tcPr>
            <w:tcW w:w="1843" w:type="dxa"/>
            <w:shd w:val="clear" w:color="auto" w:fill="auto"/>
          </w:tcPr>
          <w:p w14:paraId="18F06358" w14:textId="62602611" w:rsidR="007666A4" w:rsidRPr="005F3D54" w:rsidRDefault="007666A4" w:rsidP="005F3D54">
            <w:pPr>
              <w:pStyle w:val="SingleTxtG"/>
              <w:tabs>
                <w:tab w:val="clear" w:pos="1701"/>
                <w:tab w:val="clear" w:pos="2268"/>
                <w:tab w:val="clear" w:pos="2835"/>
              </w:tabs>
              <w:spacing w:before="40" w:after="40" w:line="220" w:lineRule="exact"/>
              <w:ind w:left="57" w:right="28"/>
              <w:jc w:val="right"/>
              <w:rPr>
                <w:sz w:val="18"/>
              </w:rPr>
            </w:pPr>
            <w:r w:rsidRPr="005F3D54">
              <w:rPr>
                <w:sz w:val="18"/>
              </w:rPr>
              <w:t>20</w:t>
            </w:r>
            <w:r w:rsidR="005F3D54">
              <w:rPr>
                <w:sz w:val="18"/>
              </w:rPr>
              <w:t>,</w:t>
            </w:r>
            <w:r w:rsidRPr="005F3D54">
              <w:rPr>
                <w:sz w:val="18"/>
              </w:rPr>
              <w:t>1</w:t>
            </w:r>
          </w:p>
        </w:tc>
        <w:tc>
          <w:tcPr>
            <w:tcW w:w="2693" w:type="dxa"/>
            <w:shd w:val="clear" w:color="auto" w:fill="auto"/>
            <w:vAlign w:val="bottom"/>
          </w:tcPr>
          <w:p w14:paraId="591FDB91" w14:textId="4E85D5E8" w:rsidR="007666A4" w:rsidRPr="005F3D54" w:rsidRDefault="007666A4" w:rsidP="005F3D54">
            <w:pPr>
              <w:pStyle w:val="SingleTxtG"/>
              <w:tabs>
                <w:tab w:val="clear" w:pos="1701"/>
                <w:tab w:val="clear" w:pos="2268"/>
                <w:tab w:val="clear" w:pos="2835"/>
              </w:tabs>
              <w:spacing w:before="40" w:after="40" w:line="220" w:lineRule="exact"/>
              <w:ind w:left="57" w:right="28"/>
              <w:jc w:val="right"/>
              <w:rPr>
                <w:sz w:val="18"/>
              </w:rPr>
            </w:pPr>
            <w:r w:rsidRPr="005F3D54">
              <w:rPr>
                <w:sz w:val="18"/>
              </w:rPr>
              <w:t>38</w:t>
            </w:r>
            <w:r w:rsidR="005F3D54">
              <w:rPr>
                <w:sz w:val="18"/>
              </w:rPr>
              <w:t>,</w:t>
            </w:r>
            <w:r w:rsidRPr="005F3D54">
              <w:rPr>
                <w:sz w:val="18"/>
              </w:rPr>
              <w:t>0</w:t>
            </w:r>
          </w:p>
        </w:tc>
        <w:tc>
          <w:tcPr>
            <w:tcW w:w="2834" w:type="dxa"/>
            <w:shd w:val="clear" w:color="auto" w:fill="auto"/>
            <w:vAlign w:val="bottom"/>
          </w:tcPr>
          <w:p w14:paraId="36373726" w14:textId="6D637737" w:rsidR="007666A4" w:rsidRPr="005F3D54" w:rsidRDefault="007666A4" w:rsidP="005F3D54">
            <w:pPr>
              <w:pStyle w:val="SingleTxtG"/>
              <w:tabs>
                <w:tab w:val="clear" w:pos="1701"/>
                <w:tab w:val="clear" w:pos="2268"/>
                <w:tab w:val="clear" w:pos="2835"/>
              </w:tabs>
              <w:spacing w:before="40" w:after="40" w:line="220" w:lineRule="exact"/>
              <w:ind w:left="57" w:right="28"/>
              <w:jc w:val="right"/>
              <w:rPr>
                <w:sz w:val="18"/>
              </w:rPr>
            </w:pPr>
            <w:r w:rsidRPr="005F3D54">
              <w:rPr>
                <w:sz w:val="18"/>
              </w:rPr>
              <w:t>22</w:t>
            </w:r>
            <w:r w:rsidR="005F3D54">
              <w:rPr>
                <w:sz w:val="18"/>
              </w:rPr>
              <w:t>,</w:t>
            </w:r>
            <w:r w:rsidRPr="005F3D54">
              <w:rPr>
                <w:sz w:val="18"/>
              </w:rPr>
              <w:t>7</w:t>
            </w:r>
          </w:p>
        </w:tc>
      </w:tr>
    </w:tbl>
    <w:p w14:paraId="4EE62261" w14:textId="77777777" w:rsidR="007666A4" w:rsidRPr="007666A4" w:rsidRDefault="007666A4" w:rsidP="005F3D54">
      <w:pPr>
        <w:pStyle w:val="H23G"/>
      </w:pPr>
      <w:r w:rsidRPr="007666A4">
        <w:tab/>
      </w:r>
      <w:r w:rsidRPr="007666A4">
        <w:tab/>
        <w:t>Tasa de desempleo en 2018</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4188"/>
        <w:gridCol w:w="3182"/>
      </w:tblGrid>
      <w:tr w:rsidR="005F3D54" w:rsidRPr="005F3D54" w14:paraId="57339748" w14:textId="77777777" w:rsidTr="005F3D54">
        <w:trPr>
          <w:trHeight w:val="240"/>
          <w:tblHeader/>
        </w:trPr>
        <w:tc>
          <w:tcPr>
            <w:tcW w:w="4188" w:type="dxa"/>
            <w:tcBorders>
              <w:top w:val="single" w:sz="4" w:space="0" w:color="auto"/>
            </w:tcBorders>
            <w:shd w:val="clear" w:color="auto" w:fill="auto"/>
          </w:tcPr>
          <w:p w14:paraId="19BDBAC7" w14:textId="4014C7C4" w:rsidR="005F3D54" w:rsidRPr="005F3D54" w:rsidRDefault="005F3D54" w:rsidP="005F3D54">
            <w:pPr>
              <w:pStyle w:val="SingleTxtG"/>
              <w:tabs>
                <w:tab w:val="clear" w:pos="1701"/>
                <w:tab w:val="clear" w:pos="2268"/>
                <w:tab w:val="clear" w:pos="2835"/>
              </w:tabs>
              <w:spacing w:before="40" w:after="40" w:line="220" w:lineRule="exact"/>
              <w:ind w:left="0" w:right="0"/>
              <w:jc w:val="left"/>
              <w:rPr>
                <w:iCs/>
                <w:sz w:val="18"/>
              </w:rPr>
            </w:pPr>
            <w:r w:rsidRPr="005F3D54">
              <w:rPr>
                <w:iCs/>
                <w:sz w:val="18"/>
              </w:rPr>
              <w:t>Tasa de desempleo</w:t>
            </w:r>
          </w:p>
        </w:tc>
        <w:tc>
          <w:tcPr>
            <w:tcW w:w="3182" w:type="dxa"/>
            <w:tcBorders>
              <w:top w:val="single" w:sz="4" w:space="0" w:color="auto"/>
            </w:tcBorders>
            <w:shd w:val="clear" w:color="auto" w:fill="auto"/>
            <w:vAlign w:val="bottom"/>
          </w:tcPr>
          <w:p w14:paraId="1EB314D9" w14:textId="342C41EA" w:rsidR="005F3D54" w:rsidRPr="005F3D54" w:rsidRDefault="005F3D54" w:rsidP="005F3D54">
            <w:pPr>
              <w:pStyle w:val="SingleTxtG"/>
              <w:tabs>
                <w:tab w:val="clear" w:pos="1701"/>
                <w:tab w:val="clear" w:pos="2268"/>
                <w:tab w:val="clear" w:pos="2835"/>
              </w:tabs>
              <w:spacing w:before="40" w:after="40" w:line="220" w:lineRule="exact"/>
              <w:ind w:left="113" w:right="0"/>
              <w:jc w:val="right"/>
              <w:rPr>
                <w:iCs/>
                <w:sz w:val="18"/>
              </w:rPr>
            </w:pPr>
            <w:r>
              <w:rPr>
                <w:iCs/>
                <w:sz w:val="18"/>
              </w:rPr>
              <w:t>13,8</w:t>
            </w:r>
          </w:p>
        </w:tc>
      </w:tr>
      <w:tr w:rsidR="007666A4" w:rsidRPr="005F3D54" w14:paraId="2321610C" w14:textId="77777777" w:rsidTr="005F3D54">
        <w:trPr>
          <w:trHeight w:val="240"/>
        </w:trPr>
        <w:tc>
          <w:tcPr>
            <w:tcW w:w="4188" w:type="dxa"/>
            <w:tcBorders>
              <w:bottom w:val="single" w:sz="12" w:space="0" w:color="auto"/>
            </w:tcBorders>
            <w:shd w:val="clear" w:color="auto" w:fill="auto"/>
          </w:tcPr>
          <w:p w14:paraId="0F1A8454" w14:textId="77777777" w:rsidR="007666A4" w:rsidRPr="005F3D54" w:rsidRDefault="007666A4" w:rsidP="005F3D54">
            <w:pPr>
              <w:pStyle w:val="SingleTxtG"/>
              <w:tabs>
                <w:tab w:val="clear" w:pos="1701"/>
                <w:tab w:val="clear" w:pos="2268"/>
                <w:tab w:val="clear" w:pos="2835"/>
              </w:tabs>
              <w:spacing w:before="40" w:after="40" w:line="220" w:lineRule="exact"/>
              <w:ind w:left="0" w:right="0"/>
              <w:jc w:val="left"/>
              <w:rPr>
                <w:sz w:val="18"/>
              </w:rPr>
            </w:pPr>
            <w:r w:rsidRPr="005F3D54">
              <w:rPr>
                <w:sz w:val="18"/>
              </w:rPr>
              <w:t>Tasa de actividad económica</w:t>
            </w:r>
          </w:p>
        </w:tc>
        <w:tc>
          <w:tcPr>
            <w:tcW w:w="3182" w:type="dxa"/>
            <w:tcBorders>
              <w:bottom w:val="single" w:sz="12" w:space="0" w:color="auto"/>
            </w:tcBorders>
            <w:shd w:val="clear" w:color="auto" w:fill="auto"/>
            <w:vAlign w:val="bottom"/>
          </w:tcPr>
          <w:p w14:paraId="07535646" w14:textId="3B215517" w:rsidR="007666A4" w:rsidRPr="005F3D54" w:rsidRDefault="007666A4" w:rsidP="005F3D54">
            <w:pPr>
              <w:pStyle w:val="SingleTxtG"/>
              <w:tabs>
                <w:tab w:val="clear" w:pos="1701"/>
                <w:tab w:val="clear" w:pos="2268"/>
                <w:tab w:val="clear" w:pos="2835"/>
              </w:tabs>
              <w:spacing w:before="40" w:after="40" w:line="220" w:lineRule="exact"/>
              <w:ind w:left="113" w:right="0"/>
              <w:jc w:val="right"/>
              <w:rPr>
                <w:sz w:val="18"/>
              </w:rPr>
            </w:pPr>
            <w:r w:rsidRPr="005F3D54">
              <w:rPr>
                <w:sz w:val="18"/>
              </w:rPr>
              <w:t>42</w:t>
            </w:r>
            <w:r w:rsidR="005F3D54">
              <w:rPr>
                <w:sz w:val="18"/>
              </w:rPr>
              <w:t>,</w:t>
            </w:r>
            <w:r w:rsidRPr="005F3D54">
              <w:rPr>
                <w:sz w:val="18"/>
              </w:rPr>
              <w:t>8</w:t>
            </w:r>
          </w:p>
        </w:tc>
      </w:tr>
    </w:tbl>
    <w:p w14:paraId="302B6342" w14:textId="46CA8A05" w:rsidR="007666A4" w:rsidRPr="007666A4" w:rsidRDefault="005F3D54" w:rsidP="005F3D54">
      <w:pPr>
        <w:pStyle w:val="H1G"/>
      </w:pPr>
      <w:r>
        <w:tab/>
      </w:r>
      <w:r>
        <w:tab/>
      </w:r>
      <w:r w:rsidR="007666A4" w:rsidRPr="007666A4">
        <w:t>Artículo 7 y recomendación que figura</w:t>
      </w:r>
      <w:r w:rsidR="007666A4" w:rsidRPr="007666A4" w:rsidDel="00D35640">
        <w:t xml:space="preserve"> </w:t>
      </w:r>
      <w:r w:rsidR="007666A4" w:rsidRPr="007666A4">
        <w:t>en el párrafo 34</w:t>
      </w:r>
    </w:p>
    <w:p w14:paraId="0B8BB0A0" w14:textId="631DB13D" w:rsidR="007666A4" w:rsidRPr="007666A4" w:rsidRDefault="007666A4" w:rsidP="007666A4">
      <w:pPr>
        <w:pStyle w:val="SingleTxtG"/>
      </w:pPr>
      <w:r w:rsidRPr="007666A4">
        <w:t>141.</w:t>
      </w:r>
      <w:r w:rsidR="005F3D54">
        <w:tab/>
      </w:r>
      <w:r w:rsidRPr="007666A4">
        <w:t>Se promulgó el Código del Trabajo (2015) que garantiza lo siguiente:</w:t>
      </w:r>
    </w:p>
    <w:p w14:paraId="09038ED8" w14:textId="05D46CFB" w:rsidR="007666A4" w:rsidRPr="007666A4" w:rsidRDefault="007666A4" w:rsidP="007666A4">
      <w:pPr>
        <w:pStyle w:val="SingleTxtG"/>
      </w:pPr>
      <w:r w:rsidRPr="007666A4">
        <w:tab/>
        <w:t>a)</w:t>
      </w:r>
      <w:r w:rsidR="005F3D54">
        <w:tab/>
      </w:r>
      <w:r w:rsidRPr="007666A4">
        <w:t>El derecho del trabajador a recibir un salario adecuado y justo que le asegure una vida digna, determinado sobre bases científicas, económicas y humanitarias. El artículo</w:t>
      </w:r>
      <w:r w:rsidR="00C9406D">
        <w:t> </w:t>
      </w:r>
      <w:r w:rsidRPr="007666A4">
        <w:t>4 de la ley establece que “se garantiza al trabajador la percepción de un salario suficiente para satisfacer sus necesidades básicas, que le permita mantener a su familia y que le ofrezca la oportunidad de beneficiarse de los frutos del progreso económico alcanzado”. En consecuencia, para determinar el salario se tendrá en cuenta lo siguiente:</w:t>
      </w:r>
    </w:p>
    <w:p w14:paraId="688BA818" w14:textId="416599B2" w:rsidR="007666A4" w:rsidRPr="007666A4" w:rsidRDefault="007666A4" w:rsidP="005F3D54">
      <w:pPr>
        <w:pStyle w:val="SingleTxtG"/>
        <w:ind w:left="1701"/>
      </w:pPr>
      <w:r w:rsidRPr="007666A4">
        <w:t>1.</w:t>
      </w:r>
      <w:r w:rsidR="005F3D54">
        <w:tab/>
      </w:r>
      <w:r w:rsidRPr="007666A4">
        <w:t>El tipo y la cantidad de trabajo realizado por el trabajador, vinculando así los salarios a la productividad;</w:t>
      </w:r>
    </w:p>
    <w:p w14:paraId="50BC8054" w14:textId="71C62A90" w:rsidR="007666A4" w:rsidRPr="007666A4" w:rsidRDefault="007666A4" w:rsidP="005F3D54">
      <w:pPr>
        <w:pStyle w:val="SingleTxtG"/>
        <w:ind w:left="1701"/>
      </w:pPr>
      <w:r w:rsidRPr="007666A4">
        <w:t>2.</w:t>
      </w:r>
      <w:r w:rsidR="005F3D54">
        <w:tab/>
      </w:r>
      <w:r w:rsidRPr="007666A4">
        <w:t>El principio de igualdad de remuneración por el mismo tipo y cantidad de trabajo realizado en las mismas circunstancias;</w:t>
      </w:r>
    </w:p>
    <w:p w14:paraId="6A93E7A9" w14:textId="5A5BBB8A" w:rsidR="007666A4" w:rsidRPr="007666A4" w:rsidRDefault="007666A4" w:rsidP="005F3D54">
      <w:pPr>
        <w:pStyle w:val="SingleTxtG"/>
        <w:ind w:left="1701"/>
      </w:pPr>
      <w:r w:rsidRPr="007666A4">
        <w:t>3.</w:t>
      </w:r>
      <w:r w:rsidR="005F3D54">
        <w:tab/>
      </w:r>
      <w:r w:rsidRPr="007666A4">
        <w:t>Una protección salarial garantizada, de forma que no se pueda deducir ninguna parte del salario del trabajador, salvo en aplicación de la ley y a condición de que el trabajador conserve siempre una parte de este que le permita a él y a su familia disfrutar de un nivel de vida aceptable de acuerdo con esta ley.</w:t>
      </w:r>
    </w:p>
    <w:p w14:paraId="472B33BB" w14:textId="5F078D93" w:rsidR="007666A4" w:rsidRPr="007666A4" w:rsidRDefault="007666A4" w:rsidP="007666A4">
      <w:pPr>
        <w:pStyle w:val="SingleTxtG"/>
      </w:pPr>
      <w:r w:rsidRPr="007666A4">
        <w:t>142.</w:t>
      </w:r>
      <w:r w:rsidR="005F3D54">
        <w:tab/>
      </w:r>
      <w:r w:rsidRPr="007666A4">
        <w:t>La legislación iraquí prohíbe el trabajo forzoso y defiende el derecho del trabajador a elegir libremente su trabajo. La Constitución prohíbe el trabajo forzoso o lo que se conoce como “servidumbre”.</w:t>
      </w:r>
    </w:p>
    <w:p w14:paraId="5F6C7801" w14:textId="0C393422" w:rsidR="007666A4" w:rsidRPr="007666A4" w:rsidRDefault="007666A4" w:rsidP="007666A4">
      <w:pPr>
        <w:pStyle w:val="SingleTxtG"/>
      </w:pPr>
      <w:r w:rsidRPr="007666A4">
        <w:lastRenderedPageBreak/>
        <w:t>143.</w:t>
      </w:r>
      <w:r w:rsidR="005F3D54">
        <w:tab/>
      </w:r>
      <w:r w:rsidRPr="007666A4">
        <w:t>Igualdad entre hombres y mujeres en materia de salarios, primas y subsidios, sin perjuicio de ciertos beneficios preferenciales de los que gozan las mujeres. La ley se refiere a la libertad de trabajo, la libertad de asociación, el reconocimiento del derecho a la negociación colectiva, la eliminación de todas las formas de trabajo forzoso u obligatorio, la erradicación efectiva del trabajo infantil y la eliminación de la discriminación en el empleo y la ocupación. La ley también hace referencia al disfrute del trabajador del descanso en las fiestas y los días festivos oficiales previstos por la ley, con el salario íntegro, así como a un descanso semanal de al menos un día con sueldo completo. Se puede pedir a un trabajador que trabaje en las fiestas y los días festivos oficiales con doble salario, pero no que trabaje en el periodo de descanso semanal. La ley deja claro que un trabajador tiene derecho a un mínimo de 21 días de vacaciones anuales con sueldo completo. La ley prohíbe obligar a las mujeres embarazadas o en período de lactancia a realizar horas extras o un trabajo perjudicial para la salud de la madre o el niño, o en los casos en que el examen médico demuestre que existe un riesgo importante para la salud de la madre o el niño.</w:t>
      </w:r>
    </w:p>
    <w:p w14:paraId="5F44ADDB" w14:textId="33ABD9DB" w:rsidR="007666A4" w:rsidRPr="007666A4" w:rsidRDefault="007666A4" w:rsidP="007666A4">
      <w:pPr>
        <w:pStyle w:val="SingleTxtG"/>
      </w:pPr>
      <w:r w:rsidRPr="007666A4">
        <w:t>144.</w:t>
      </w:r>
      <w:r w:rsidR="005F3D54">
        <w:tab/>
      </w:r>
      <w:r w:rsidRPr="007666A4">
        <w:t>La ley prohíbe igualmente emplear a mujeres para realizar trabajos extenuantes o perjudiciales para la salud. También prohíbe el empleo de menores (y su presencia en el lugar) en trabajos en los que la naturaleza de la actividad o las condiciones laborales puedan perjudicar su salud, su seguridad o su moral.</w:t>
      </w:r>
    </w:p>
    <w:p w14:paraId="68CE8F2F" w14:textId="62D169FE" w:rsidR="007666A4" w:rsidRPr="007666A4" w:rsidRDefault="005F3D54" w:rsidP="005F3D54">
      <w:pPr>
        <w:pStyle w:val="H1G"/>
      </w:pPr>
      <w:r>
        <w:tab/>
      </w:r>
      <w:r w:rsidR="007666A4" w:rsidRPr="007666A4">
        <w:tab/>
        <w:t>Artículo 8 y recomendación que figura</w:t>
      </w:r>
      <w:r w:rsidR="007666A4" w:rsidRPr="007666A4" w:rsidDel="00D35640">
        <w:t xml:space="preserve"> </w:t>
      </w:r>
      <w:r w:rsidR="007666A4" w:rsidRPr="007666A4">
        <w:t xml:space="preserve">en el párrafo 36 </w:t>
      </w:r>
    </w:p>
    <w:p w14:paraId="5757FC1A" w14:textId="15F9FDA8" w:rsidR="007666A4" w:rsidRPr="007666A4" w:rsidRDefault="007666A4" w:rsidP="007666A4">
      <w:pPr>
        <w:pStyle w:val="SingleTxtG"/>
      </w:pPr>
      <w:r w:rsidRPr="007666A4">
        <w:t>145.</w:t>
      </w:r>
      <w:r w:rsidR="005F3D54">
        <w:tab/>
      </w:r>
      <w:r w:rsidRPr="007666A4">
        <w:t>La legislación iraquí garantiza el derecho del trabajador a organizarse en un sindicato y los derechos subsiguientes y concomitantes a ese derecho, tal y como estipula la ley:</w:t>
      </w:r>
    </w:p>
    <w:p w14:paraId="656F5F37" w14:textId="14CC8CAC" w:rsidR="007666A4" w:rsidRPr="002435E8" w:rsidRDefault="007666A4" w:rsidP="002435E8">
      <w:pPr>
        <w:pStyle w:val="Bullet1G"/>
        <w:numPr>
          <w:ilvl w:val="0"/>
          <w:numId w:val="5"/>
        </w:numPr>
        <w:tabs>
          <w:tab w:val="clear" w:pos="2268"/>
          <w:tab w:val="num" w:pos="1701"/>
        </w:tabs>
        <w:ind w:left="1701"/>
        <w:rPr>
          <w:rFonts w:eastAsiaTheme="minorEastAsia"/>
        </w:rPr>
      </w:pPr>
      <w:r w:rsidRPr="002435E8">
        <w:rPr>
          <w:rFonts w:eastAsiaTheme="minorEastAsia"/>
        </w:rPr>
        <w:t>El artículo 6 del Código del Trabajo estipula que los sindicatos deben desempeñar un papel eficaz en la regulación de las relaciones laborales, la protección de los derechos de los trabajadores y el desarrollo de su personalidad y talentos.</w:t>
      </w:r>
    </w:p>
    <w:p w14:paraId="7CA49ECA" w14:textId="36306050" w:rsidR="007666A4" w:rsidRPr="002435E8" w:rsidRDefault="007666A4" w:rsidP="002435E8">
      <w:pPr>
        <w:pStyle w:val="Bullet1G"/>
        <w:numPr>
          <w:ilvl w:val="0"/>
          <w:numId w:val="5"/>
        </w:numPr>
        <w:tabs>
          <w:tab w:val="clear" w:pos="2268"/>
          <w:tab w:val="num" w:pos="1701"/>
        </w:tabs>
        <w:ind w:left="1701"/>
        <w:rPr>
          <w:rFonts w:eastAsiaTheme="minorEastAsia"/>
        </w:rPr>
      </w:pPr>
      <w:r w:rsidRPr="002435E8">
        <w:rPr>
          <w:rFonts w:eastAsiaTheme="minorEastAsia"/>
        </w:rPr>
        <w:t xml:space="preserve">La Ley núm. 52/1987, de la Organización Sindical de los Trabajadores, regula el derecho de los trabajadores a organizarse en sindicatos, garantizando que la actividad sindical tenga por objeto aumentar la productividad, promover una gestión informada del sistema laboral, garantizar los derechos de los trabajadores y mejorar su nivel material, cultural y social. La </w:t>
      </w:r>
      <w:r w:rsidR="007A05D1" w:rsidRPr="002435E8">
        <w:rPr>
          <w:rFonts w:eastAsiaTheme="minorEastAsia"/>
        </w:rPr>
        <w:t xml:space="preserve">Ley </w:t>
      </w:r>
      <w:r w:rsidRPr="002435E8">
        <w:rPr>
          <w:rFonts w:eastAsiaTheme="minorEastAsia"/>
        </w:rPr>
        <w:t>establece los objetivos generales de los sindicatos y a ella se pueden acoger los trabajadores de los sectores privado, mixto y cooperativo, identificando todos los órganos sindicales a partir del comité de empresa, la unidad más pequeña y la piedra angular de la organización sindical; la Ley también contempla otros aspectos más particulares.</w:t>
      </w:r>
    </w:p>
    <w:p w14:paraId="526C951B" w14:textId="7C3C14A6" w:rsidR="007666A4" w:rsidRPr="002435E8" w:rsidRDefault="007666A4" w:rsidP="002435E8">
      <w:pPr>
        <w:pStyle w:val="Bullet1G"/>
        <w:numPr>
          <w:ilvl w:val="0"/>
          <w:numId w:val="5"/>
        </w:numPr>
        <w:tabs>
          <w:tab w:val="clear" w:pos="2268"/>
          <w:tab w:val="num" w:pos="1701"/>
        </w:tabs>
        <w:ind w:left="1701"/>
        <w:rPr>
          <w:rFonts w:eastAsiaTheme="minorEastAsia"/>
        </w:rPr>
      </w:pPr>
      <w:r w:rsidRPr="002435E8">
        <w:rPr>
          <w:rFonts w:eastAsiaTheme="minorEastAsia"/>
        </w:rPr>
        <w:t>El Ministerio de Trabajo ha redactado un nuevo proyecto de ley sobre organización sindical, que ha sido enviado al Consejo de Ministros para que inicie el proceso de promulgación.</w:t>
      </w:r>
    </w:p>
    <w:p w14:paraId="2AA1120A" w14:textId="29EBA0A5" w:rsidR="007666A4" w:rsidRPr="007666A4" w:rsidRDefault="007666A4" w:rsidP="007666A4">
      <w:pPr>
        <w:pStyle w:val="SingleTxtG"/>
      </w:pPr>
      <w:r w:rsidRPr="007666A4">
        <w:t>146.</w:t>
      </w:r>
      <w:r w:rsidR="005F3D54">
        <w:tab/>
      </w:r>
      <w:r w:rsidRPr="007666A4">
        <w:t>El artículo 162 del Código del Trabajo regula el derecho de huelga, que considera un derecho del trabajador. Establece las condiciones y consecuencias de la huelga, señalando que el preaviso debe ser dado por el sindicato o los representantes elegidos por los trabajadores. Además, el Código establece que no se puede rescindir la relación laboral durante la huelga ni penalizar a los trabajadores por convocar una huelga o cerrar la empresa total o parcialmente. El Código determina el papel del Ministerio de Trabajo en la resolución de conflictos.</w:t>
      </w:r>
    </w:p>
    <w:p w14:paraId="003DCC53" w14:textId="465D0406" w:rsidR="007666A4" w:rsidRPr="007666A4" w:rsidRDefault="007666A4" w:rsidP="007666A4">
      <w:pPr>
        <w:pStyle w:val="SingleTxtG"/>
      </w:pPr>
      <w:r w:rsidRPr="007666A4">
        <w:t>147.</w:t>
      </w:r>
      <w:r w:rsidR="005F3D54">
        <w:tab/>
      </w:r>
      <w:r w:rsidRPr="007666A4">
        <w:t>El Iraq se adhirió, en virtud de la Ley núm. 87/2017, al Convenio sobre la Libertad Sindical y la Protección del Derecho de Sindicación, de 1948 (núm. 87), de la Organización Internacional del Trabajo.</w:t>
      </w:r>
    </w:p>
    <w:p w14:paraId="5DD43297" w14:textId="78EBBB18" w:rsidR="007666A4" w:rsidRPr="007666A4" w:rsidRDefault="005F3D54" w:rsidP="005F3D54">
      <w:pPr>
        <w:pStyle w:val="H1G"/>
      </w:pPr>
      <w:r>
        <w:tab/>
      </w:r>
      <w:r w:rsidR="007666A4" w:rsidRPr="007666A4">
        <w:tab/>
        <w:t>Artículo 9 y recomendación que figura</w:t>
      </w:r>
      <w:r w:rsidR="007666A4" w:rsidRPr="007666A4" w:rsidDel="00D35640">
        <w:t xml:space="preserve"> </w:t>
      </w:r>
      <w:r w:rsidR="007666A4" w:rsidRPr="007666A4">
        <w:t>en el párrafo 38</w:t>
      </w:r>
    </w:p>
    <w:p w14:paraId="30A5ABAA" w14:textId="77D0C454" w:rsidR="007666A4" w:rsidRPr="007666A4" w:rsidRDefault="007666A4" w:rsidP="007666A4">
      <w:pPr>
        <w:pStyle w:val="SingleTxtG"/>
      </w:pPr>
      <w:r w:rsidRPr="007666A4">
        <w:t>148.</w:t>
      </w:r>
      <w:r w:rsidR="005F3D54">
        <w:tab/>
      </w:r>
      <w:r w:rsidRPr="007666A4">
        <w:t xml:space="preserve">El artículo 30 de la Constitución establece que “el Estado garantizará a los iraquíes un seguro social y sanitario en caso de vejez, enfermedad, invalidez, indigencia, orfandad o desempleo y se esforzará por protegerlos de la ignorancia, el miedo y la pobreza. </w:t>
      </w:r>
      <w:r w:rsidRPr="007666A4">
        <w:lastRenderedPageBreak/>
        <w:t>Proporcionará a los iraquíes viviendas y programas especiales de rehabilitación y bienestar; todo ello estará regulado por ley”.</w:t>
      </w:r>
    </w:p>
    <w:p w14:paraId="5EB774B1" w14:textId="3066DA61" w:rsidR="007666A4" w:rsidRPr="007666A4" w:rsidRDefault="007666A4" w:rsidP="007666A4">
      <w:pPr>
        <w:pStyle w:val="SingleTxtG"/>
      </w:pPr>
      <w:r w:rsidRPr="007666A4">
        <w:t>149.</w:t>
      </w:r>
      <w:r w:rsidR="005F3D54">
        <w:tab/>
      </w:r>
      <w:r w:rsidRPr="007666A4">
        <w:t>La Ley de Pensiones y Seguridad Social de los Trabajadores, núm. 39/1971, regula los asuntos de seguridad social de los trabajadores y tiene por objeto garantizar la salud, la seguridad y el sustento futuro de todos los miembros de la clase trabajadora en el Iraq. Además, pretende crear mejores condiciones laborales y prestar servicios que contribuyan al desarrollo social y profesional de la clase trabajadora.</w:t>
      </w:r>
    </w:p>
    <w:p w14:paraId="3F04A5A2" w14:textId="002A7C1E" w:rsidR="007666A4" w:rsidRPr="007666A4" w:rsidRDefault="007666A4" w:rsidP="007666A4">
      <w:pPr>
        <w:pStyle w:val="SingleTxtG"/>
      </w:pPr>
      <w:r w:rsidRPr="007666A4">
        <w:t>150.</w:t>
      </w:r>
      <w:r w:rsidR="005F3D54">
        <w:tab/>
      </w:r>
      <w:r w:rsidRPr="007666A4">
        <w:t xml:space="preserve">La </w:t>
      </w:r>
      <w:r w:rsidR="00554ACD" w:rsidRPr="007666A4">
        <w:t xml:space="preserve">Ley </w:t>
      </w:r>
      <w:r w:rsidRPr="007666A4">
        <w:t>hace realidad sus objetivos a través de las sucursales de la Seguridad Social, el seguro de enfermedad, el seguro de accidentes laborales, el seguro de jubilación y el seguro de servicios, lo que constituye el nivel mínimo de previsión social estipulado por la ley.</w:t>
      </w:r>
    </w:p>
    <w:p w14:paraId="16A52BA8" w14:textId="79A62411" w:rsidR="007666A4" w:rsidRPr="007666A4" w:rsidRDefault="007666A4" w:rsidP="007666A4">
      <w:pPr>
        <w:pStyle w:val="SingleTxtG"/>
      </w:pPr>
      <w:r w:rsidRPr="007666A4">
        <w:t>151.</w:t>
      </w:r>
      <w:r w:rsidR="005F3D54">
        <w:tab/>
      </w:r>
      <w:r w:rsidRPr="007666A4">
        <w:t>El Gobierno ha aprobado el proyecto de ley de seguridad social para trabajadores y empleados.</w:t>
      </w:r>
    </w:p>
    <w:p w14:paraId="59888CFE" w14:textId="46D1DA19" w:rsidR="007666A4" w:rsidRPr="007666A4" w:rsidRDefault="005F3D54" w:rsidP="005F3D54">
      <w:pPr>
        <w:pStyle w:val="H1G"/>
      </w:pPr>
      <w:r>
        <w:tab/>
      </w:r>
      <w:r w:rsidR="007666A4" w:rsidRPr="007666A4">
        <w:tab/>
        <w:t>Artículo 10 y recomendaciones que figuran</w:t>
      </w:r>
      <w:r w:rsidR="007666A4" w:rsidRPr="007666A4" w:rsidDel="00D35640">
        <w:t xml:space="preserve"> </w:t>
      </w:r>
      <w:r w:rsidR="007666A4" w:rsidRPr="007666A4">
        <w:t>en los párrafos 40,</w:t>
      </w:r>
      <w:r>
        <w:br/>
      </w:r>
      <w:r w:rsidR="007666A4" w:rsidRPr="007666A4">
        <w:t>42 y 44</w:t>
      </w:r>
    </w:p>
    <w:p w14:paraId="6695D89E" w14:textId="777782BB" w:rsidR="007666A4" w:rsidRPr="007666A4" w:rsidRDefault="007666A4" w:rsidP="007666A4">
      <w:pPr>
        <w:pStyle w:val="SingleTxtG"/>
      </w:pPr>
      <w:r w:rsidRPr="007666A4">
        <w:t>152.</w:t>
      </w:r>
      <w:r w:rsidR="005F3D54">
        <w:tab/>
      </w:r>
      <w:r w:rsidRPr="007666A4">
        <w:t>El artículo 29.1 de la Constitución establece que: a) La familia es la base de la sociedad; el Estado la preservará, así como sus valores religiosos, morales y nacionales; b)</w:t>
      </w:r>
      <w:r w:rsidR="007A05D1">
        <w:t> </w:t>
      </w:r>
      <w:r w:rsidRPr="007666A4">
        <w:t>El Estado garantiza la protección de la maternidad, la infancia y la vejez; cuidará de los niños y los jóvenes y les proporcionará las condiciones adecuadas para desarrollar sus capacidades y talentos. El artículo 29.2 dispone que los niños tienen derecho a una crianza, cuidado y educación adecuados por parte de sus padres. Los padres tienen derecho a recibir respeto y cuidados de sus hijos, especialmente en caso de necesidad, discapacidad y vejez. El artículo</w:t>
      </w:r>
      <w:r w:rsidR="007A05D1">
        <w:t> </w:t>
      </w:r>
      <w:r w:rsidRPr="007666A4">
        <w:t>30.1 dispone que el Estado garantizará a la persona y a la familia, especialmente a los niños y a las mujeres, un seguro social y sanitario, así como los requisitos básicos para llevar una vida libre y decente y les asegurará unos ingresos y una vivienda apropiados. El artículo 41 establece que “los iraquíes son libres para adscribirse al estatuto personal acorde con su religión, escuela jurídica, creencia u opción preferida; esto se regulará por ley”.</w:t>
      </w:r>
    </w:p>
    <w:p w14:paraId="1DA41844" w14:textId="27F00069" w:rsidR="007666A4" w:rsidRPr="007666A4" w:rsidRDefault="00C26013" w:rsidP="00C26013">
      <w:pPr>
        <w:pStyle w:val="H23G"/>
      </w:pPr>
      <w:r>
        <w:tab/>
      </w:r>
      <w:r w:rsidR="007666A4" w:rsidRPr="007666A4">
        <w:tab/>
        <w:t>Recomendación que figura</w:t>
      </w:r>
      <w:r w:rsidR="007666A4" w:rsidRPr="007666A4" w:rsidDel="00D35640">
        <w:t xml:space="preserve"> </w:t>
      </w:r>
      <w:r w:rsidR="007666A4" w:rsidRPr="007666A4">
        <w:t>en el párrafo 40</w:t>
      </w:r>
    </w:p>
    <w:p w14:paraId="3B43ADA3" w14:textId="3CAA2729" w:rsidR="007666A4" w:rsidRPr="007666A4" w:rsidRDefault="007666A4" w:rsidP="007666A4">
      <w:pPr>
        <w:pStyle w:val="SingleTxtG"/>
      </w:pPr>
      <w:r w:rsidRPr="007666A4">
        <w:t>153.</w:t>
      </w:r>
      <w:r w:rsidR="00C26013">
        <w:tab/>
      </w:r>
      <w:r w:rsidRPr="007666A4">
        <w:t>El Consejo de Estado ha examinado un grupo de proyectos de ley:</w:t>
      </w:r>
    </w:p>
    <w:p w14:paraId="2E692440" w14:textId="3EDF3007" w:rsidR="007666A4" w:rsidRPr="002435E8" w:rsidRDefault="007666A4" w:rsidP="002435E8">
      <w:pPr>
        <w:pStyle w:val="Bullet1G"/>
        <w:numPr>
          <w:ilvl w:val="0"/>
          <w:numId w:val="5"/>
        </w:numPr>
        <w:tabs>
          <w:tab w:val="clear" w:pos="2268"/>
          <w:tab w:val="num" w:pos="1701"/>
        </w:tabs>
        <w:ind w:left="1701"/>
        <w:rPr>
          <w:rFonts w:eastAsiaTheme="minorEastAsia"/>
        </w:rPr>
      </w:pPr>
      <w:r w:rsidRPr="002435E8">
        <w:rPr>
          <w:rFonts w:eastAsiaTheme="minorEastAsia"/>
        </w:rPr>
        <w:t>Proyecto de ley de protección contra el abuso doméstico</w:t>
      </w:r>
    </w:p>
    <w:p w14:paraId="12A08385" w14:textId="13424C32" w:rsidR="007666A4" w:rsidRPr="002435E8" w:rsidRDefault="007666A4" w:rsidP="002435E8">
      <w:pPr>
        <w:pStyle w:val="Bullet1G"/>
        <w:numPr>
          <w:ilvl w:val="0"/>
          <w:numId w:val="5"/>
        </w:numPr>
        <w:tabs>
          <w:tab w:val="clear" w:pos="2268"/>
          <w:tab w:val="num" w:pos="1701"/>
        </w:tabs>
        <w:ind w:left="1701"/>
        <w:rPr>
          <w:rFonts w:eastAsiaTheme="minorEastAsia"/>
        </w:rPr>
      </w:pPr>
      <w:r w:rsidRPr="002435E8">
        <w:rPr>
          <w:rFonts w:eastAsiaTheme="minorEastAsia"/>
        </w:rPr>
        <w:t>Proyecto de ley de protección de los derechos del niño</w:t>
      </w:r>
    </w:p>
    <w:p w14:paraId="32E237BF" w14:textId="1C7FFEF6" w:rsidR="007666A4" w:rsidRPr="007666A4" w:rsidRDefault="007666A4" w:rsidP="007666A4">
      <w:pPr>
        <w:pStyle w:val="SingleTxtG"/>
      </w:pPr>
      <w:r w:rsidRPr="007666A4">
        <w:t>154.</w:t>
      </w:r>
      <w:r w:rsidR="00C26013">
        <w:tab/>
      </w:r>
      <w:r w:rsidRPr="007666A4">
        <w:t>La Ley núm. 11/2014, que adopta la norma relativa al umbral de pobreza, se promulgó como alternativa a la Ley de Bienestar Social núm. 126/1980. En 2018 se abrió en Bagdad una casa de acogida para mujeres maltratadas, en colaboración con el Fondo de Población de las Naciones Unidas (FNUAP).</w:t>
      </w:r>
    </w:p>
    <w:p w14:paraId="2B81573B" w14:textId="3C5BA28F" w:rsidR="007666A4" w:rsidRPr="007666A4" w:rsidRDefault="007666A4" w:rsidP="007666A4">
      <w:pPr>
        <w:pStyle w:val="SingleTxtG"/>
      </w:pPr>
      <w:r w:rsidRPr="007666A4">
        <w:t>155.</w:t>
      </w:r>
      <w:r w:rsidR="00C26013">
        <w:tab/>
      </w:r>
      <w:r w:rsidRPr="007666A4">
        <w:t>Los artículos 128, 130 y 131 del Código Penal permiten a los delincuentes invocar la defensa del honor como circunstancia atenuante. Se trata de disposiciones generales que entran en la categoría de “excusas legales y circunstancias judiciales atenuantes” y son aplicables a todos los delitos, no a un tipo específico de delito. El legislador ha dejado en manos del juez de primera instancia la decisión de admitir o no dichas circunstancias atenuantes en función de los hechos de cada caso. En la región del Kurdistán, estos artículos han sido modificados para garantizar que el “crimen de honor” no pueda servir como justificación para atenuar la pena. El Gobierno iraquí está estudiando una modificación similar de estos artículos.</w:t>
      </w:r>
    </w:p>
    <w:p w14:paraId="1BFC38CB" w14:textId="747EA205" w:rsidR="007666A4" w:rsidRPr="007666A4" w:rsidRDefault="007666A4" w:rsidP="007666A4">
      <w:pPr>
        <w:pStyle w:val="SingleTxtG"/>
      </w:pPr>
      <w:r w:rsidRPr="007666A4">
        <w:t>156.</w:t>
      </w:r>
      <w:r w:rsidR="00C26013">
        <w:tab/>
      </w:r>
      <w:r w:rsidRPr="007666A4">
        <w:t xml:space="preserve">Al tener en cuenta la motivación del honor como atenuante se entiende que incluye todas motivaciones honorables, pero en ningún caso el “asesinato por motivos de honor”. Además, esta motivación no se considera discriminación contra la mujer basada en el género. Es un concepto sacado de la tolerante </w:t>
      </w:r>
      <w:r w:rsidRPr="007666A4">
        <w:rPr>
          <w:i/>
          <w:iCs/>
        </w:rPr>
        <w:t>sharia</w:t>
      </w:r>
      <w:r w:rsidRPr="007666A4">
        <w:t xml:space="preserve"> islámica y no entra en conflicto con la Constitución. El artículo 409 del Código Penal considera que existen circunstancias atenuantes en el caso de que un hombre sorprenda a su esposa o pariente femenina en el acto de adulterio o la encuentre yaciendo con otro hombre y mate a una u otro.</w:t>
      </w:r>
    </w:p>
    <w:p w14:paraId="361B8CBA" w14:textId="4A37DEB9" w:rsidR="007666A4" w:rsidRPr="007666A4" w:rsidRDefault="007666A4" w:rsidP="005540C9">
      <w:pPr>
        <w:pStyle w:val="SingleTxtG"/>
        <w:spacing w:after="130"/>
      </w:pPr>
      <w:r w:rsidRPr="007666A4">
        <w:lastRenderedPageBreak/>
        <w:t>157.</w:t>
      </w:r>
      <w:r w:rsidR="00C26013">
        <w:tab/>
      </w:r>
      <w:r w:rsidRPr="007666A4">
        <w:t>El gobierno regional del Kurdistán ha promulgado varias leyes y procedimientos, entre ellos:</w:t>
      </w:r>
    </w:p>
    <w:p w14:paraId="59F29243" w14:textId="5D5CC2E2" w:rsidR="007666A4" w:rsidRPr="002435E8" w:rsidRDefault="007666A4" w:rsidP="005540C9">
      <w:pPr>
        <w:pStyle w:val="Bullet1G"/>
        <w:numPr>
          <w:ilvl w:val="0"/>
          <w:numId w:val="5"/>
        </w:numPr>
        <w:tabs>
          <w:tab w:val="clear" w:pos="2268"/>
          <w:tab w:val="num" w:pos="1701"/>
        </w:tabs>
        <w:spacing w:after="130"/>
        <w:ind w:left="1701"/>
        <w:rPr>
          <w:rFonts w:eastAsiaTheme="minorEastAsia"/>
        </w:rPr>
      </w:pPr>
      <w:r w:rsidRPr="002435E8">
        <w:rPr>
          <w:rFonts w:eastAsiaTheme="minorEastAsia"/>
        </w:rPr>
        <w:t>La modificación del artículo 377.2 del Código Penal, que ahora dispone que “los adúlteros y las adúlteras recibirán la misma pena”</w:t>
      </w:r>
      <w:r w:rsidR="002435E8">
        <w:rPr>
          <w:rFonts w:eastAsiaTheme="minorEastAsia"/>
        </w:rPr>
        <w:t>.</w:t>
      </w:r>
    </w:p>
    <w:p w14:paraId="49E1F43F" w14:textId="74EE135A" w:rsidR="007666A4" w:rsidRPr="002435E8" w:rsidRDefault="007666A4" w:rsidP="005540C9">
      <w:pPr>
        <w:pStyle w:val="Bullet1G"/>
        <w:numPr>
          <w:ilvl w:val="0"/>
          <w:numId w:val="5"/>
        </w:numPr>
        <w:tabs>
          <w:tab w:val="clear" w:pos="2268"/>
          <w:tab w:val="num" w:pos="1701"/>
        </w:tabs>
        <w:spacing w:after="130"/>
        <w:ind w:left="1701"/>
        <w:rPr>
          <w:rFonts w:eastAsiaTheme="minorEastAsia"/>
        </w:rPr>
      </w:pPr>
      <w:r w:rsidRPr="002435E8">
        <w:rPr>
          <w:rFonts w:eastAsiaTheme="minorEastAsia"/>
        </w:rPr>
        <w:t>La modificación de los artículos 128, 130, 131 del Código Penal, según la cual “el asesinato por honor no se considerará una circunstancia atenuante que permita rebajar la pena”</w:t>
      </w:r>
      <w:r w:rsidR="002435E8">
        <w:rPr>
          <w:rFonts w:eastAsiaTheme="minorEastAsia"/>
        </w:rPr>
        <w:t>.</w:t>
      </w:r>
    </w:p>
    <w:p w14:paraId="7C6401E7" w14:textId="22697D75" w:rsidR="007666A4" w:rsidRPr="002435E8" w:rsidRDefault="007666A4" w:rsidP="005540C9">
      <w:pPr>
        <w:pStyle w:val="Bullet1G"/>
        <w:numPr>
          <w:ilvl w:val="0"/>
          <w:numId w:val="5"/>
        </w:numPr>
        <w:tabs>
          <w:tab w:val="clear" w:pos="2268"/>
          <w:tab w:val="num" w:pos="1701"/>
        </w:tabs>
        <w:spacing w:after="130"/>
        <w:ind w:left="1701"/>
        <w:rPr>
          <w:rFonts w:eastAsiaTheme="minorEastAsia"/>
        </w:rPr>
      </w:pPr>
      <w:r w:rsidRPr="002435E8">
        <w:rPr>
          <w:rFonts w:eastAsiaTheme="minorEastAsia"/>
        </w:rPr>
        <w:t>La modificación del artículo 41.1 del Código Penal: “la facultad del hombre para disciplinar no incluye a la mujer”</w:t>
      </w:r>
      <w:r w:rsidR="002435E8">
        <w:rPr>
          <w:rFonts w:eastAsiaTheme="minorEastAsia"/>
        </w:rPr>
        <w:t>.</w:t>
      </w:r>
    </w:p>
    <w:p w14:paraId="23AA0623" w14:textId="1FB20D51" w:rsidR="007666A4" w:rsidRPr="002435E8" w:rsidRDefault="007666A4" w:rsidP="005540C9">
      <w:pPr>
        <w:pStyle w:val="Bullet1G"/>
        <w:numPr>
          <w:ilvl w:val="0"/>
          <w:numId w:val="5"/>
        </w:numPr>
        <w:tabs>
          <w:tab w:val="clear" w:pos="2268"/>
          <w:tab w:val="num" w:pos="1701"/>
        </w:tabs>
        <w:spacing w:after="130"/>
        <w:ind w:left="1701"/>
        <w:rPr>
          <w:rFonts w:eastAsiaTheme="minorEastAsia"/>
        </w:rPr>
      </w:pPr>
      <w:r w:rsidRPr="002435E8">
        <w:rPr>
          <w:rFonts w:eastAsiaTheme="minorEastAsia"/>
        </w:rPr>
        <w:t>El delito de asesinato por honor no está cubierto por las disposiciones de la Ley de Amnistía en la región del Kurdistán</w:t>
      </w:r>
      <w:r w:rsidR="002435E8">
        <w:rPr>
          <w:rFonts w:eastAsiaTheme="minorEastAsia"/>
        </w:rPr>
        <w:t>.</w:t>
      </w:r>
    </w:p>
    <w:p w14:paraId="4CBA3312" w14:textId="2F554073" w:rsidR="007666A4" w:rsidRPr="002435E8" w:rsidRDefault="007666A4" w:rsidP="005540C9">
      <w:pPr>
        <w:pStyle w:val="Bullet1G"/>
        <w:numPr>
          <w:ilvl w:val="0"/>
          <w:numId w:val="5"/>
        </w:numPr>
        <w:tabs>
          <w:tab w:val="clear" w:pos="2268"/>
          <w:tab w:val="num" w:pos="1701"/>
        </w:tabs>
        <w:spacing w:after="130"/>
        <w:ind w:left="1701"/>
        <w:rPr>
          <w:rFonts w:eastAsiaTheme="minorEastAsia"/>
        </w:rPr>
      </w:pPr>
      <w:r w:rsidRPr="002435E8">
        <w:rPr>
          <w:rFonts w:eastAsiaTheme="minorEastAsia"/>
        </w:rPr>
        <w:t>La Estrategia para Combatir la Violencia contra la Mujer se adoptó en la región del Kurdistán en 2012</w:t>
      </w:r>
      <w:r w:rsidR="002435E8">
        <w:rPr>
          <w:rFonts w:eastAsiaTheme="minorEastAsia"/>
        </w:rPr>
        <w:t>.</w:t>
      </w:r>
    </w:p>
    <w:p w14:paraId="1E4628E3" w14:textId="0A4E2E8F" w:rsidR="007666A4" w:rsidRPr="002435E8" w:rsidRDefault="007666A4" w:rsidP="005540C9">
      <w:pPr>
        <w:pStyle w:val="Bullet1G"/>
        <w:numPr>
          <w:ilvl w:val="0"/>
          <w:numId w:val="5"/>
        </w:numPr>
        <w:tabs>
          <w:tab w:val="clear" w:pos="2268"/>
          <w:tab w:val="num" w:pos="1701"/>
        </w:tabs>
        <w:spacing w:after="130"/>
        <w:ind w:left="1701"/>
        <w:rPr>
          <w:rFonts w:eastAsiaTheme="minorEastAsia"/>
        </w:rPr>
      </w:pPr>
      <w:r w:rsidRPr="002435E8">
        <w:rPr>
          <w:rFonts w:eastAsiaTheme="minorEastAsia"/>
        </w:rPr>
        <w:t>La Ley núm. 8/2011, de Erradicación de la Violencia contra la Mujer, aborda todas las formas de maltrato doméstico y trata de proteger a las mujeres y a los niños en particular. El Ministerio de Trabajo de la región del Kurdistán está obligado a proporcionar refugios para las víctimas del maltrato doméstico, que también reciben asistencia de la red de atención social. Los centros de acogida admiten casos por orden del juez y el Ministerio del Interior es responsable de dar protección a las víctimas.</w:t>
      </w:r>
    </w:p>
    <w:p w14:paraId="049B3CCC" w14:textId="23D1C502" w:rsidR="007666A4" w:rsidRPr="007666A4" w:rsidRDefault="007666A4" w:rsidP="005540C9">
      <w:pPr>
        <w:pStyle w:val="SingleTxtG"/>
        <w:spacing w:after="130"/>
      </w:pPr>
      <w:r w:rsidRPr="007666A4">
        <w:t>158.</w:t>
      </w:r>
      <w:r w:rsidR="00C26013">
        <w:tab/>
      </w:r>
      <w:r w:rsidRPr="007666A4">
        <w:t>El Ministerio de Trabajo de la región del Kurdistán ha abierto cuatro centros de acogida para mujeres vulnerables y maltratadas en Erbil, Sulaymaniya, Dehok y Kalar.</w:t>
      </w:r>
    </w:p>
    <w:p w14:paraId="527817A7" w14:textId="5B3C2CA6" w:rsidR="007666A4" w:rsidRPr="007666A4" w:rsidRDefault="007666A4" w:rsidP="005540C9">
      <w:pPr>
        <w:pStyle w:val="SingleTxtG"/>
        <w:spacing w:after="130"/>
      </w:pPr>
      <w:r w:rsidRPr="007666A4">
        <w:t>159.</w:t>
      </w:r>
      <w:r w:rsidR="00C26013">
        <w:tab/>
      </w:r>
      <w:r w:rsidRPr="007666A4">
        <w:t>El proyecto de ley contra el maltrato doméstico define el delito de maltrato doméstico como el “abuso físico, sexual, psicológico, mental o económico cometido, o que se amenaza con cometer, por un miembro de la familia contra otro, y que puede constituir delito grave, delito menos grave o infracción, según determine la ley”. El proyecto de ley crea un mecanismo adecuado para la apertura de centros de acogida para la protección de las víctimas. También pone en marcha un mecanismo para denunciar los delitos de maltrato doméstico e interponer demandas, como excepción al principio de jurisdicción territorial. El proyecto de ley está siendo examinado de nuevo.</w:t>
      </w:r>
    </w:p>
    <w:p w14:paraId="64304EB0" w14:textId="765F411E" w:rsidR="007666A4" w:rsidRPr="007666A4" w:rsidRDefault="007666A4" w:rsidP="005540C9">
      <w:pPr>
        <w:pStyle w:val="SingleTxtG"/>
        <w:spacing w:after="130"/>
      </w:pPr>
      <w:r w:rsidRPr="007666A4">
        <w:t>160.</w:t>
      </w:r>
      <w:r w:rsidR="00C26013">
        <w:tab/>
      </w:r>
      <w:r w:rsidRPr="007666A4">
        <w:t>En 2013, la Ley de Bienestar Social se modificó pasando a disponer que el Departamento de Bienestar Social del Ministerio debe establecer y gestionar hogares de atención social totalmente equipados y con personal adecuado en todos los gobiernos provinciales. Otra enmienda, adoptada por el Consejo de Ministros en 2017 y que prevé la creación de casas de acogida para las víctimas de abusos domésticos y otros grupos, está siendo revisada actualmente.</w:t>
      </w:r>
    </w:p>
    <w:p w14:paraId="2C479ACB" w14:textId="3F5204F3" w:rsidR="007666A4" w:rsidRPr="007666A4" w:rsidRDefault="00C26013" w:rsidP="00C26013">
      <w:pPr>
        <w:pStyle w:val="H23G"/>
      </w:pPr>
      <w:r>
        <w:tab/>
      </w:r>
      <w:r w:rsidR="007666A4" w:rsidRPr="007666A4">
        <w:tab/>
        <w:t>Estrategia Nacional para Combatir la Violencia contra la Mujer</w:t>
      </w:r>
    </w:p>
    <w:p w14:paraId="520A23F4" w14:textId="116E8345" w:rsidR="007666A4" w:rsidRPr="007666A4" w:rsidRDefault="007666A4" w:rsidP="005540C9">
      <w:pPr>
        <w:pStyle w:val="SingleTxtG"/>
        <w:spacing w:after="130"/>
      </w:pPr>
      <w:r w:rsidRPr="007666A4">
        <w:t>161.</w:t>
      </w:r>
      <w:r w:rsidR="00C26013">
        <w:tab/>
      </w:r>
      <w:r w:rsidRPr="007666A4">
        <w:t xml:space="preserve">En 2013, el Consejo de Ministros adoptó la Estrategia Nacional para Combatir la Violencia contra la Mujer, que busca promover los derechos de las mujeres iraquíes de todas las edades, ofrecerles protección contra todas las formas de discriminación y violencia y limitar el impacto asociado a esa violencia. La </w:t>
      </w:r>
      <w:r w:rsidR="005540C9" w:rsidRPr="007666A4">
        <w:t xml:space="preserve">Estrategia </w:t>
      </w:r>
      <w:r w:rsidRPr="007666A4">
        <w:t>tiene su origen en el deseo del Gobierno de eliminar en la sociedad el malestar causado por las políticas anteriores y la inestable situación de seguridad, que dio lugar a las ideologías extremistas que incidieron negativamente en la condición de la mujer en el Iraq.</w:t>
      </w:r>
    </w:p>
    <w:p w14:paraId="6A12290C" w14:textId="62D6D363" w:rsidR="007666A4" w:rsidRPr="007666A4" w:rsidRDefault="007666A4" w:rsidP="005540C9">
      <w:pPr>
        <w:pStyle w:val="SingleTxtG"/>
        <w:spacing w:after="130"/>
      </w:pPr>
      <w:r w:rsidRPr="007666A4">
        <w:t>162.</w:t>
      </w:r>
      <w:r w:rsidR="00C26013">
        <w:tab/>
      </w:r>
      <w:r w:rsidRPr="007666A4">
        <w:t xml:space="preserve">La Estrategia Nacional para el Adelanto de la Mujer Iraquí (2014-2018) se adoptó para desarrollar las capacidades de las mujeres y elevar su condición para que puedan participar en la elaboración de políticas y en la toma de decisiones en todos los ámbitos. Dicha </w:t>
      </w:r>
      <w:r w:rsidR="005540C9" w:rsidRPr="007666A4">
        <w:t xml:space="preserve">Estrategia </w:t>
      </w:r>
      <w:r w:rsidRPr="007666A4">
        <w:t>pretende crear un entorno legislativo coherente con la Constitución y las obligaciones internacionales del Iraq, aumentar la escolarización de las niñas en educación secundaria, desarrollar una política de salud reproductiva y promover la participación de las mujeres en el mercado laboral y en los puestos de decisión en tiempos de paz y de conflicto.</w:t>
      </w:r>
    </w:p>
    <w:p w14:paraId="55BD904B" w14:textId="34806672" w:rsidR="007666A4" w:rsidRPr="007666A4" w:rsidRDefault="007666A4" w:rsidP="005540C9">
      <w:pPr>
        <w:pStyle w:val="SingleTxtG"/>
        <w:keepNext/>
        <w:keepLines/>
      </w:pPr>
      <w:r w:rsidRPr="007666A4">
        <w:lastRenderedPageBreak/>
        <w:t>163.</w:t>
      </w:r>
      <w:r w:rsidR="00C26013">
        <w:tab/>
      </w:r>
      <w:r w:rsidRPr="007666A4">
        <w:t>En 2018, el Ministerio de Trabajo, en colaboración con varios organismos internacionales, abrió un refugio para víctimas de abusos domésticos. El refugio contiene 80</w:t>
      </w:r>
      <w:r w:rsidR="005540C9">
        <w:t> </w:t>
      </w:r>
      <w:r w:rsidRPr="007666A4">
        <w:t>camas y salas de terapia de salud mental y física, instalaciones deportivas, instalaciones de formación y rehabilitación, una biblioteca, oficinas administrativas y salas de estar, así como habitaciones y aulas para niños.</w:t>
      </w:r>
    </w:p>
    <w:p w14:paraId="64556C67" w14:textId="216C5B18" w:rsidR="007666A4" w:rsidRPr="007666A4" w:rsidRDefault="007666A4" w:rsidP="007666A4">
      <w:pPr>
        <w:pStyle w:val="SingleTxtG"/>
      </w:pPr>
      <w:r w:rsidRPr="007666A4">
        <w:t>164.</w:t>
      </w:r>
      <w:r w:rsidR="00C26013">
        <w:tab/>
      </w:r>
      <w:r w:rsidRPr="007666A4">
        <w:t>En virtud de la Ley núm. 11/2014, el Departamento de Protección Social del Ministerio de Trabajo proporciona ayuda a los grupos vulnerables de las regiones más pobres del sur del Iraq y de las zonas anteriormente ocupadas por los terroristas del EIIL; también ayuda a las personas que carecen de ingresos.</w:t>
      </w:r>
    </w:p>
    <w:p w14:paraId="3C2C9F7C" w14:textId="022AA98F" w:rsidR="007666A4" w:rsidRPr="007666A4" w:rsidRDefault="007666A4" w:rsidP="007666A4">
      <w:pPr>
        <w:pStyle w:val="SingleTxtG"/>
      </w:pPr>
      <w:r w:rsidRPr="007666A4">
        <w:t>165.</w:t>
      </w:r>
      <w:r w:rsidR="00C26013">
        <w:tab/>
      </w:r>
      <w:r w:rsidRPr="007666A4">
        <w:t>Para preservar la dignidad y la seguridad de las mujeres, el proyecto de ley de lucha contra el maltrato doméstico tipifica como delito los actos de violencia y castiga a los autores. Las sanciones incluyen multas y penas de prisión para los actos tipificados como delito en el proyecto de ley.</w:t>
      </w:r>
    </w:p>
    <w:p w14:paraId="16EF1963" w14:textId="4F20271E" w:rsidR="007666A4" w:rsidRPr="007666A4" w:rsidRDefault="007666A4" w:rsidP="007666A4">
      <w:pPr>
        <w:pStyle w:val="SingleTxtG"/>
      </w:pPr>
      <w:r w:rsidRPr="007666A4">
        <w:t>166.</w:t>
      </w:r>
      <w:r w:rsidR="00C26013">
        <w:tab/>
      </w:r>
      <w:r w:rsidRPr="007666A4">
        <w:t>Se ha intensificado la contratación de mujeres en los servicios de seguridad, incluida la policía comunitaria, la policía de protección de la familia y el Instituto de Formación de la Mujer (Ministerio del Interior). Se ha creado una sección especial de seguridad para mujeres en el Servicio de Seguridad Nacional y se han abierto unidades de género en los ministerios relacionados con la seguridad. Estos organismos se esfuerzan por incorporar el concepto de género en los cuerpos de seguridad. La policía ha creado una Dirección de Protección de la Familia y el Niño. Además, los principios de protección contra el maltrato doméstico se han incluido en el plan de estudios de educación familiar del quinto curso, mientras que los temas de derechos humanos y la lucha contra el maltrato doméstico se abordan en los cursos de la Academia de Policía.</w:t>
      </w:r>
    </w:p>
    <w:p w14:paraId="6DADAD6C" w14:textId="7BEE400A" w:rsidR="007666A4" w:rsidRPr="007666A4" w:rsidRDefault="007666A4" w:rsidP="007666A4">
      <w:pPr>
        <w:pStyle w:val="SingleTxtG"/>
      </w:pPr>
      <w:r w:rsidRPr="007666A4">
        <w:t>167.</w:t>
      </w:r>
      <w:r w:rsidR="00C26013">
        <w:tab/>
      </w:r>
      <w:r w:rsidRPr="007666A4">
        <w:t>El género fue un tema particular del Plan Nacional de Desarrollo (2010-2014), así como de las estrategias específicas de género, como la Estrategia Nacional para Combatir la Violencia contra la Mujer (2013-2017), la Estrategia Nacional para el Adelanto de la Mujer Iraquí (2014-2018) y el Plan de Acción Nacional para la aplicación de la resolución 1325 del Consejo de Seguridad de las Naciones Unidas.</w:t>
      </w:r>
    </w:p>
    <w:p w14:paraId="3AE30CDC" w14:textId="0B759114" w:rsidR="007666A4" w:rsidRPr="007666A4" w:rsidRDefault="007666A4" w:rsidP="007666A4">
      <w:pPr>
        <w:pStyle w:val="SingleTxtG"/>
      </w:pPr>
      <w:r w:rsidRPr="007666A4">
        <w:t>168.</w:t>
      </w:r>
      <w:r w:rsidR="00C26013">
        <w:tab/>
      </w:r>
      <w:r w:rsidRPr="007666A4">
        <w:t>En aplicación de la resolución 1325 (2000) (Mujeres, paz y seguridad) del Consejo de Seguridad de las Naciones Unidas, el Iraq adoptó un plan de acción nacional en abril de 2014, convirtiéndose en el primer país de Oriente Medio en hacerlo. El plan fue redactado y desarrollado en colaboración con organizaciones de la sociedad civil y responsables de la toma de decisiones por un equipo de acción nacional, entre cuyos miembros se encontraban funcionarios del Gobierno federal y del gobierno regional del Kurdistán, representantes de varios ministerios, miembros del Consejo de Representantes federal, expertos jurídicos y miembros de la iniciativa relativa a la resolución 1325 (2000).</w:t>
      </w:r>
    </w:p>
    <w:p w14:paraId="33711AE1" w14:textId="0119201F" w:rsidR="007666A4" w:rsidRPr="007666A4" w:rsidRDefault="007666A4" w:rsidP="007666A4">
      <w:pPr>
        <w:pStyle w:val="SingleTxtG"/>
      </w:pPr>
      <w:r w:rsidRPr="007666A4">
        <w:t>169.</w:t>
      </w:r>
      <w:r w:rsidR="00C26013">
        <w:tab/>
      </w:r>
      <w:r w:rsidRPr="007666A4">
        <w:t xml:space="preserve">En vista de las repercusiones de la situación política y de seguridad después de que el EIIL se hiciera con el control de la provincia de Nínive, el Ministerio de Estado para Asuntos de la Mujer (suprimido ulteriormente) trabajó en cooperación con una coalición de organizaciones de la sociedad civil para formular un Plan de Acción Nacional para la resolución 1325, basado en el plan matriz. El </w:t>
      </w:r>
      <w:r w:rsidR="005540C9" w:rsidRPr="007666A4">
        <w:t xml:space="preserve">Plan </w:t>
      </w:r>
      <w:r w:rsidRPr="007666A4">
        <w:t>adoptó un enfoque inclusivo para identificar las prioridades y abordar las necesidades con vistas a la aplicación de la resolución y fue adoptado en 2015. Nos remitimos al párrafo 124 para más detalles.</w:t>
      </w:r>
    </w:p>
    <w:p w14:paraId="1521041B" w14:textId="649725E3" w:rsidR="007666A4" w:rsidRPr="007666A4" w:rsidRDefault="007666A4" w:rsidP="007666A4">
      <w:pPr>
        <w:pStyle w:val="SingleTxtG"/>
      </w:pPr>
      <w:r w:rsidRPr="007666A4">
        <w:t>170.</w:t>
      </w:r>
      <w:r w:rsidR="00C26013">
        <w:tab/>
      </w:r>
      <w:r w:rsidRPr="007666A4">
        <w:t>El Departamento de Empoderamiento de la Mujer Iraquí, de la Secretaría General del Consejo de Ministros, organiza campañas anuales en los medios de comunicación, entre ellas una de 16 días sobre la lucha contra la violencia contra la mujer, con carteles y folletos, programas de televisión y seminarios educativos y culturales. La campaña se centra en:</w:t>
      </w:r>
    </w:p>
    <w:p w14:paraId="2EA73589" w14:textId="73715D45" w:rsidR="007666A4" w:rsidRPr="002435E8" w:rsidRDefault="007666A4" w:rsidP="002435E8">
      <w:pPr>
        <w:pStyle w:val="Bullet1G"/>
        <w:numPr>
          <w:ilvl w:val="0"/>
          <w:numId w:val="5"/>
        </w:numPr>
        <w:tabs>
          <w:tab w:val="clear" w:pos="2268"/>
          <w:tab w:val="num" w:pos="1701"/>
        </w:tabs>
        <w:ind w:left="1701"/>
        <w:rPr>
          <w:rFonts w:eastAsiaTheme="minorEastAsia"/>
        </w:rPr>
      </w:pPr>
      <w:r w:rsidRPr="002435E8">
        <w:rPr>
          <w:rFonts w:eastAsiaTheme="minorEastAsia"/>
        </w:rPr>
        <w:t>Sensibilizar y formar a las mujeres rurales y concederles préstamos</w:t>
      </w:r>
      <w:r w:rsidR="002435E8">
        <w:rPr>
          <w:rFonts w:eastAsiaTheme="minorEastAsia"/>
        </w:rPr>
        <w:t>.</w:t>
      </w:r>
    </w:p>
    <w:p w14:paraId="5FBD854F" w14:textId="1696D12A" w:rsidR="007666A4" w:rsidRPr="002435E8" w:rsidRDefault="007666A4" w:rsidP="002435E8">
      <w:pPr>
        <w:pStyle w:val="Bullet1G"/>
        <w:numPr>
          <w:ilvl w:val="0"/>
          <w:numId w:val="5"/>
        </w:numPr>
        <w:tabs>
          <w:tab w:val="clear" w:pos="2268"/>
          <w:tab w:val="num" w:pos="1701"/>
        </w:tabs>
        <w:ind w:left="1701"/>
        <w:rPr>
          <w:rFonts w:eastAsiaTheme="minorEastAsia"/>
        </w:rPr>
      </w:pPr>
      <w:r w:rsidRPr="002435E8">
        <w:rPr>
          <w:rFonts w:eastAsiaTheme="minorEastAsia"/>
        </w:rPr>
        <w:t>Reabrir las delegaciones de protección de la familia y la infancia en las provincias de Salah al-Din, Al-Anbar y Nínive, para que puedan seguir recibiendo denuncias de maltrato doméstico.</w:t>
      </w:r>
    </w:p>
    <w:p w14:paraId="04B01EEA" w14:textId="1CEAAB2E" w:rsidR="007666A4" w:rsidRPr="007666A4" w:rsidRDefault="007666A4" w:rsidP="007666A4">
      <w:pPr>
        <w:pStyle w:val="SingleTxtG"/>
      </w:pPr>
      <w:r w:rsidRPr="007666A4">
        <w:t>171.</w:t>
      </w:r>
      <w:r w:rsidR="00C26013">
        <w:tab/>
      </w:r>
      <w:r w:rsidRPr="007666A4">
        <w:t>Los departamentos de protección de la familia y del niño en las zonas liberadas organizan conferencias, foros y reuniones con grupos de niños y jóvenes para concienciar, educar y advertir de los peligros que plantea la ideología extremista.</w:t>
      </w:r>
    </w:p>
    <w:p w14:paraId="739EAA1B" w14:textId="67FE8788" w:rsidR="007666A4" w:rsidRPr="007666A4" w:rsidRDefault="007666A4" w:rsidP="007666A4">
      <w:pPr>
        <w:pStyle w:val="SingleTxtG"/>
      </w:pPr>
      <w:r w:rsidRPr="007666A4">
        <w:lastRenderedPageBreak/>
        <w:t>172.</w:t>
      </w:r>
      <w:r w:rsidR="00C26013">
        <w:tab/>
      </w:r>
      <w:r w:rsidRPr="007666A4">
        <w:t>Los departamentos de protección de la familia y del niño organizaron visitas sobre el terreno a los jardines de infancia, las escuelas primarias y los centros de enseñanza media para sensibilizar sobre los peligros derivados de la ideología extremista.</w:t>
      </w:r>
    </w:p>
    <w:p w14:paraId="28F0C95E" w14:textId="3233851B" w:rsidR="007666A4" w:rsidRPr="007666A4" w:rsidRDefault="007666A4" w:rsidP="007666A4">
      <w:pPr>
        <w:pStyle w:val="SingleTxtG"/>
      </w:pPr>
      <w:r w:rsidRPr="007666A4">
        <w:t>173.</w:t>
      </w:r>
      <w:r w:rsidR="00C26013">
        <w:tab/>
      </w:r>
      <w:r w:rsidRPr="007666A4">
        <w:t>En coordinación con las organizaciones de la sociedad civil se han diseñado e impreso folletos y carteles dirigidos a los niños y los jóvenes de las provincias liberadas para advertirles de los peligros que plantea la ideología extremista.</w:t>
      </w:r>
    </w:p>
    <w:p w14:paraId="3869E2DB" w14:textId="205016F6" w:rsidR="007666A4" w:rsidRPr="007666A4" w:rsidRDefault="007666A4" w:rsidP="007666A4">
      <w:pPr>
        <w:pStyle w:val="SingleTxtG"/>
      </w:pPr>
      <w:r w:rsidRPr="007666A4">
        <w:t>174.</w:t>
      </w:r>
      <w:r w:rsidR="00C26013">
        <w:tab/>
      </w:r>
      <w:r w:rsidRPr="007666A4">
        <w:t>Las mujeres y los niños están informados de la línea telefónica de denuncias por maltrato doméstico.</w:t>
      </w:r>
    </w:p>
    <w:p w14:paraId="5130BEE1" w14:textId="4D4D776B" w:rsidR="007666A4" w:rsidRPr="007666A4" w:rsidRDefault="00C26013" w:rsidP="00C26013">
      <w:pPr>
        <w:pStyle w:val="H23G"/>
      </w:pPr>
      <w:r>
        <w:tab/>
      </w:r>
      <w:r w:rsidR="007666A4" w:rsidRPr="007666A4">
        <w:tab/>
        <w:t>Papel del gobierno regional del Kurdistán en la asistencia para la liberación de</w:t>
      </w:r>
      <w:r w:rsidR="005540C9">
        <w:t> </w:t>
      </w:r>
      <w:r w:rsidR="007666A4" w:rsidRPr="007666A4">
        <w:t>yazidíes secuestrados</w:t>
      </w:r>
    </w:p>
    <w:p w14:paraId="561796FA" w14:textId="363448D3" w:rsidR="007666A4" w:rsidRPr="002435E8" w:rsidRDefault="007666A4" w:rsidP="002435E8">
      <w:pPr>
        <w:pStyle w:val="Bullet1G"/>
        <w:numPr>
          <w:ilvl w:val="0"/>
          <w:numId w:val="5"/>
        </w:numPr>
        <w:tabs>
          <w:tab w:val="clear" w:pos="2268"/>
          <w:tab w:val="num" w:pos="1701"/>
        </w:tabs>
        <w:ind w:left="1701"/>
        <w:rPr>
          <w:rFonts w:eastAsiaTheme="minorEastAsia"/>
        </w:rPr>
      </w:pPr>
      <w:r w:rsidRPr="002435E8">
        <w:rPr>
          <w:rFonts w:eastAsiaTheme="minorEastAsia"/>
        </w:rPr>
        <w:t>El gobierno regional del Kurdistán formó un comité para recoger información y hacer un seguimiento del secuestro de yazidíes. Se ha asignado un presupuesto para ayudar a su puesta en libertad y proporcionarles refugio y rehabilitación tras ser liberados. El 21 de agosto de 2014, el Consejo de Ministros de la región del Kurdistán adoptó la decisión de formar un comité superior, presidido por el ministro de Mártires y Asuntos de Al-Anfal, para calificar los crímenes de genocidio cometidos contra los yazidíes.</w:t>
      </w:r>
    </w:p>
    <w:p w14:paraId="6207DB78" w14:textId="50EA8157" w:rsidR="007666A4" w:rsidRPr="002435E8" w:rsidRDefault="007666A4" w:rsidP="002435E8">
      <w:pPr>
        <w:pStyle w:val="Bullet1G"/>
        <w:numPr>
          <w:ilvl w:val="0"/>
          <w:numId w:val="5"/>
        </w:numPr>
        <w:tabs>
          <w:tab w:val="clear" w:pos="2268"/>
          <w:tab w:val="num" w:pos="1701"/>
        </w:tabs>
        <w:ind w:left="1701"/>
        <w:rPr>
          <w:rFonts w:eastAsiaTheme="minorEastAsia"/>
        </w:rPr>
      </w:pPr>
      <w:r w:rsidRPr="002435E8">
        <w:rPr>
          <w:rFonts w:eastAsiaTheme="minorEastAsia"/>
        </w:rPr>
        <w:t>Se han presentado unas 4.206 demandas ante los tribunales por delitos cometidos por el EIIL durante la ocupación de los distritos de Sinyar y Mosul, incluidos 1.191 casos de delitos contra mujeres; se han presentado también 2.036 demandas ante los tribunales de Dehok. El 7 de septiembre de 2014, el consejo judicial de la región tomó la decisión de formar una junta judicial, presidida por un juez y compuesta por dos jueces de instrucción, para investigar los delitos cometidos contra los yazidíes.</w:t>
      </w:r>
    </w:p>
    <w:p w14:paraId="627B84F3" w14:textId="4F1A34E9" w:rsidR="007666A4" w:rsidRPr="002435E8" w:rsidRDefault="007666A4" w:rsidP="002435E8">
      <w:pPr>
        <w:pStyle w:val="Bullet1G"/>
        <w:numPr>
          <w:ilvl w:val="0"/>
          <w:numId w:val="5"/>
        </w:numPr>
        <w:tabs>
          <w:tab w:val="clear" w:pos="2268"/>
          <w:tab w:val="num" w:pos="1701"/>
        </w:tabs>
        <w:ind w:left="1701"/>
        <w:rPr>
          <w:rFonts w:eastAsiaTheme="minorEastAsia"/>
        </w:rPr>
      </w:pPr>
      <w:r w:rsidRPr="002435E8">
        <w:rPr>
          <w:rFonts w:eastAsiaTheme="minorEastAsia"/>
        </w:rPr>
        <w:t>Al 16 de febrero de 2020, el número de supervivientes yazidíes (hombres y mujeres) ascendía a:</w:t>
      </w:r>
    </w:p>
    <w:p w14:paraId="37A84FDF" w14:textId="3929B145" w:rsidR="007666A4" w:rsidRPr="002435E8" w:rsidRDefault="007666A4" w:rsidP="002435E8">
      <w:pPr>
        <w:pStyle w:val="Bullet1G"/>
        <w:numPr>
          <w:ilvl w:val="0"/>
          <w:numId w:val="5"/>
        </w:numPr>
        <w:tabs>
          <w:tab w:val="clear" w:pos="2268"/>
          <w:tab w:val="num" w:pos="1701"/>
        </w:tabs>
        <w:rPr>
          <w:rFonts w:eastAsiaTheme="minorEastAsia"/>
        </w:rPr>
      </w:pPr>
      <w:r w:rsidRPr="002435E8">
        <w:rPr>
          <w:rFonts w:eastAsiaTheme="minorEastAsia"/>
        </w:rPr>
        <w:t>6.417 secuestrados, entre ellos 3.548 mujeres</w:t>
      </w:r>
    </w:p>
    <w:p w14:paraId="4F0CDF93" w14:textId="0F8264BC" w:rsidR="007666A4" w:rsidRPr="002435E8" w:rsidRDefault="007666A4" w:rsidP="002435E8">
      <w:pPr>
        <w:pStyle w:val="Bullet1G"/>
        <w:numPr>
          <w:ilvl w:val="0"/>
          <w:numId w:val="5"/>
        </w:numPr>
        <w:tabs>
          <w:tab w:val="clear" w:pos="2268"/>
          <w:tab w:val="num" w:pos="1701"/>
        </w:tabs>
        <w:rPr>
          <w:rFonts w:eastAsiaTheme="minorEastAsia"/>
        </w:rPr>
      </w:pPr>
      <w:r w:rsidRPr="002435E8">
        <w:rPr>
          <w:rFonts w:eastAsiaTheme="minorEastAsia"/>
        </w:rPr>
        <w:t>3.530 supervivientes, entre ellos 1.199 mujeres y 1.041 niñas</w:t>
      </w:r>
    </w:p>
    <w:p w14:paraId="3BE9E1C5" w14:textId="2505CC56" w:rsidR="007666A4" w:rsidRPr="002435E8" w:rsidRDefault="007666A4" w:rsidP="002435E8">
      <w:pPr>
        <w:pStyle w:val="Bullet1G"/>
        <w:numPr>
          <w:ilvl w:val="0"/>
          <w:numId w:val="5"/>
        </w:numPr>
        <w:tabs>
          <w:tab w:val="clear" w:pos="2268"/>
          <w:tab w:val="num" w:pos="1701"/>
        </w:tabs>
        <w:ind w:left="1701"/>
        <w:rPr>
          <w:rFonts w:eastAsiaTheme="minorEastAsia"/>
        </w:rPr>
      </w:pPr>
      <w:r w:rsidRPr="002435E8">
        <w:rPr>
          <w:rFonts w:eastAsiaTheme="minorEastAsia"/>
        </w:rPr>
        <w:t>Se ha creado un centro que reúne a expertos jurídicos, psicólogos y trabajadores sociales para investigar los crímenes de genocidio y ayudar a las supervivientes yazidíes; unas 2.000 mujeres, la mitad de ellas mayores de 18 años, han recibido ayuda médica y psicológica. Además, se han abierto cursos y talleres especiales para ayudar a su manutención y reintegración en la sociedad.</w:t>
      </w:r>
    </w:p>
    <w:p w14:paraId="16871477" w14:textId="6CB6484B" w:rsidR="007666A4" w:rsidRPr="007666A4" w:rsidRDefault="00C26013" w:rsidP="00C26013">
      <w:pPr>
        <w:pStyle w:val="H23G"/>
      </w:pPr>
      <w:r>
        <w:tab/>
      </w:r>
      <w:r>
        <w:tab/>
      </w:r>
      <w:r w:rsidR="007666A4" w:rsidRPr="007666A4">
        <w:t>Recomendación que figura</w:t>
      </w:r>
      <w:r w:rsidR="007666A4" w:rsidRPr="007666A4" w:rsidDel="00D35640">
        <w:t xml:space="preserve"> </w:t>
      </w:r>
      <w:r w:rsidR="007666A4" w:rsidRPr="007666A4">
        <w:t>en el párrafo 42</w:t>
      </w:r>
    </w:p>
    <w:p w14:paraId="5728E129" w14:textId="3160B334" w:rsidR="007666A4" w:rsidRPr="007666A4" w:rsidRDefault="007666A4" w:rsidP="007666A4">
      <w:pPr>
        <w:pStyle w:val="SingleTxtG"/>
      </w:pPr>
      <w:r w:rsidRPr="007666A4">
        <w:t>175.</w:t>
      </w:r>
      <w:r w:rsidR="00C26013">
        <w:tab/>
      </w:r>
      <w:r w:rsidRPr="007666A4">
        <w:t xml:space="preserve">La Ley sobre el Estatuto Personal (1959) dispone que coaccionar a cualquier persona, hombre o mujer, para que contraiga matrimonio contra su voluntad es un delito y contempla penas para las personas que celebran un contrato de matrimonio al margen de los tribunales. La </w:t>
      </w:r>
      <w:r w:rsidR="00085449" w:rsidRPr="007666A4">
        <w:t xml:space="preserve">Ley </w:t>
      </w:r>
      <w:r w:rsidRPr="007666A4">
        <w:t xml:space="preserve">permite la separación de la pareja si el contrato matrimonial se celebró sin la aprobación de un juez siendo uno de los cónyuges menor de 18 años. También se permite la separación si el matrimonio se celebra sin recurrir a los tribunales y se consuma. El matrimonio forzado se considera nulo si no se ha consumado. Además, la </w:t>
      </w:r>
      <w:r w:rsidR="00085449" w:rsidRPr="007666A4">
        <w:t xml:space="preserve">Ley </w:t>
      </w:r>
      <w:r w:rsidRPr="007666A4">
        <w:t>reconoce la igualdad entre los géneros, y la mujer puede obtener de su herencia la misma parte que él obtiene de la suya al heredar de su padre o su madre.</w:t>
      </w:r>
    </w:p>
    <w:p w14:paraId="5652CA1E" w14:textId="369887AD" w:rsidR="007666A4" w:rsidRPr="007666A4" w:rsidRDefault="007666A4" w:rsidP="007666A4">
      <w:pPr>
        <w:pStyle w:val="SingleTxtG"/>
      </w:pPr>
      <w:r w:rsidRPr="007666A4">
        <w:t>176.</w:t>
      </w:r>
      <w:r w:rsidR="00C26013">
        <w:tab/>
      </w:r>
      <w:r w:rsidRPr="007666A4">
        <w:t>El artículo 2.3 de la Ley del Maltrato Doméstico de la región del Kurdistán se refiere al matrimonio precoz de las niñas como un delito intrafamiliar. En 2016, el Consejo Superior de la Mujer publicó un plan de cambio de conducta (plan COMBI), destinado a reducir los casos de matrimonio infantil y de menores en la región. A partir de principios de 2017, el plan continuó en funcionamiento durante tres años. La Ley núm. 3/2015 suspendió el artículo</w:t>
      </w:r>
      <w:r w:rsidR="00085449">
        <w:t> </w:t>
      </w:r>
      <w:r w:rsidRPr="007666A4">
        <w:t>409 del Código Penal, que preveía la atenuación de la pena para el hombre que matare o agrediere a su esposa, o a una pariente femenina, si la sorprendiere en acto de adulterio o compartiendo un mismo lecho con otra persona. También se promulgó en la región la Ley núm. 15/2008, que prohíbe la poligamia salvo en casos contados y concretos contemplados por la ley.</w:t>
      </w:r>
    </w:p>
    <w:p w14:paraId="4120D423" w14:textId="164A8098" w:rsidR="007666A4" w:rsidRPr="007666A4" w:rsidRDefault="007666A4" w:rsidP="007666A4">
      <w:pPr>
        <w:pStyle w:val="SingleTxtG"/>
      </w:pPr>
      <w:r w:rsidRPr="007666A4">
        <w:lastRenderedPageBreak/>
        <w:t>177.</w:t>
      </w:r>
      <w:r w:rsidR="00C26013">
        <w:tab/>
      </w:r>
      <w:r w:rsidRPr="007666A4">
        <w:t>En cuanto al recurso a la justicia, muchas mujeres no iraquíes han sido juzgadas por delitos relacionados con el terrorismo. Algunas, entre ellas varias jóvenes y mujeres acompañadas de niños, han sido puestas en libertad y repatriadas tras cumplir sus condenas. La mayoría proceden de un entorno urbano y ninguna tiene discapacidad. La mayoría son musulmanas de diversas nacionalidades, aunque algunas tienen la nacionalidad iraquí. Las mujeres y niñas acusadas de delitos de terrorismo gozan de las garantías legales previstas en la legislación iraquí, como el derecho a solicitar asistencia letrada, un juicio transparente, el derecho a designar un abogado defensor en las fases de investigación y juicio y el derecho a recurrir las decisiones del tribunal de instrucción y del tribunal de delitos graves.</w:t>
      </w:r>
    </w:p>
    <w:p w14:paraId="23772A7E" w14:textId="3D925FE9" w:rsidR="007666A4" w:rsidRPr="007666A4" w:rsidRDefault="007666A4" w:rsidP="007666A4">
      <w:pPr>
        <w:pStyle w:val="SingleTxtG"/>
      </w:pPr>
      <w:r w:rsidRPr="007666A4">
        <w:t>178.</w:t>
      </w:r>
      <w:r w:rsidR="00C26013">
        <w:tab/>
      </w:r>
      <w:r w:rsidRPr="007666A4">
        <w:t>La legislación iraquí trata por igual a los iraquíes y a los no iraquíes y, por lo que respecta a las mujeres y niñas de nacionalidad extranjera acusadas en virtud de la ley antiterrorista, se adoptan medidas para garantizar su derecho a la asistencia letrada, a una investigación exhaustiva y a un juicio justo y transparente.</w:t>
      </w:r>
    </w:p>
    <w:p w14:paraId="2DA5ED34" w14:textId="5D9DFAD4" w:rsidR="007666A4" w:rsidRPr="007666A4" w:rsidRDefault="007666A4" w:rsidP="007666A4">
      <w:pPr>
        <w:pStyle w:val="SingleTxtG"/>
      </w:pPr>
      <w:r w:rsidRPr="007666A4">
        <w:t>179.</w:t>
      </w:r>
      <w:r w:rsidR="00C26013">
        <w:tab/>
      </w:r>
      <w:r w:rsidRPr="007666A4">
        <w:t>En cuanto al matrimonio forzado y el matrimonio infantil, el matrimonio es un contrato entre dos partes, lo que significa que debe necesariamente ser firmado por las dos partes, sin cuyo acuerdo y consentimiento el matrimonio no puede tener lugar. Nadie tiene derecho a forzar a ninguna de las partes y el matrimonio no puede celebrarse en ausencia de consentimiento. Un contrato matrimonial celebrado bajo coacción es nulo. El artículo 5 estipula que los cónyuges deben ser plenamente capaces desde el punto de vista legal. “Legalmente capaz para casarse” significa que ambos cónyuges (el hombre y la mujer) son capaces de celebrar el contrato de matrimonio por sí mismos.</w:t>
      </w:r>
    </w:p>
    <w:p w14:paraId="5189BE07" w14:textId="424CF4E9" w:rsidR="007666A4" w:rsidRPr="007666A4" w:rsidRDefault="007666A4" w:rsidP="007666A4">
      <w:pPr>
        <w:pStyle w:val="SingleTxtG"/>
      </w:pPr>
      <w:r w:rsidRPr="007666A4">
        <w:t>180.</w:t>
      </w:r>
      <w:r w:rsidR="00C26013">
        <w:tab/>
      </w:r>
      <w:r w:rsidRPr="007666A4">
        <w:t>En lo que respecta al matrimonio infantil, el artículo 7, párrafo 1, de la Ley sobre el Estatuto Personal se refiere a la capacidad legal para contraer matrimonio: es condición para la plena capacidad para contraer matrimonio que los contrayentes estén en pleno uso de sus facultades mentales y hayan cumplido los 18 años. Por lo tanto, una mujer mayor de edad y en pleno uso de sus facultades mentales puede casarse con quien desee por su propia voluntad. Del mismo modo, un hombre mayor de edad y en pleno uso de sus facultades mentales puede casarse con la mujer que desee, siempre que ella esté lícitamente autorizada a casarse con él, si nadie se opone. La Ley sobre el Estatuto Personal no discrimina entre el hombre y la mujer en tal situación y ella no está obligada a tener un tutor masculino. La elección de esposo es sólo suya.</w:t>
      </w:r>
    </w:p>
    <w:p w14:paraId="2C4C0017" w14:textId="7F57753D" w:rsidR="007666A4" w:rsidRPr="007666A4" w:rsidRDefault="007666A4" w:rsidP="007666A4">
      <w:pPr>
        <w:pStyle w:val="SingleTxtG"/>
      </w:pPr>
      <w:r w:rsidRPr="007666A4">
        <w:t>181.</w:t>
      </w:r>
      <w:r w:rsidR="00C26013">
        <w:tab/>
      </w:r>
      <w:r w:rsidRPr="007666A4">
        <w:t>Para minimizar y eliminar los casos de matrimonio celebrados al margen de los tribunales, la Ley sobre el Estatuto Personal fue modificada por la Ley núm. 21/1978, que contiene una nueva excepción que permite a una persona que haya cumplido 15 años obtener el permiso de su padre/tutor legal para contraer matrimonio, con el acuerdo del juez.</w:t>
      </w:r>
    </w:p>
    <w:p w14:paraId="7AAC3B42" w14:textId="1289DE1F" w:rsidR="007666A4" w:rsidRPr="007666A4" w:rsidRDefault="007666A4" w:rsidP="007666A4">
      <w:pPr>
        <w:pStyle w:val="SingleTxtG"/>
      </w:pPr>
      <w:r w:rsidRPr="007666A4">
        <w:t>182.</w:t>
      </w:r>
      <w:r w:rsidR="00C26013">
        <w:tab/>
      </w:r>
      <w:r w:rsidRPr="007666A4">
        <w:t>En virtud de la Ley del Maltrato Doméstico de la región del Kurdistán, el matrimonio precoz se considera un delito doméstico y se castiga adecuadamente.</w:t>
      </w:r>
    </w:p>
    <w:p w14:paraId="3C6A4910" w14:textId="7C2A1026" w:rsidR="007666A4" w:rsidRPr="007666A4" w:rsidRDefault="007666A4" w:rsidP="007666A4">
      <w:pPr>
        <w:pStyle w:val="SingleTxtG"/>
      </w:pPr>
      <w:r w:rsidRPr="007666A4">
        <w:t>183.</w:t>
      </w:r>
      <w:r w:rsidR="00C26013">
        <w:tab/>
      </w:r>
      <w:r w:rsidRPr="007666A4">
        <w:t>El Gobierno iraquí está muy interesado en promover leyes que apoyen a las mujeres y ha emitido varias resoluciones. Además, se han adoptado planes nacionales que promueven las cuestiones de la mujer, siendo los más significativos los siguientes.</w:t>
      </w:r>
    </w:p>
    <w:p w14:paraId="5481CED7" w14:textId="3114C42B" w:rsidR="007666A4" w:rsidRPr="007666A4" w:rsidRDefault="007666A4" w:rsidP="007666A4">
      <w:pPr>
        <w:pStyle w:val="SingleTxtG"/>
      </w:pPr>
      <w:r w:rsidRPr="007666A4">
        <w:t>184.</w:t>
      </w:r>
      <w:r w:rsidR="00C26013">
        <w:tab/>
      </w:r>
      <w:r w:rsidRPr="007666A4">
        <w:t>Se ha adoptado una Estrategia Nacional para el Adelanto de la Mujer y un Plan de Acción Nacional para la aplicación de la resolución 1325 del Consejo de Seguridad.</w:t>
      </w:r>
    </w:p>
    <w:p w14:paraId="12E8FAC1" w14:textId="66EBB30E" w:rsidR="007666A4" w:rsidRPr="007666A4" w:rsidRDefault="007666A4" w:rsidP="007666A4">
      <w:pPr>
        <w:pStyle w:val="SingleTxtG"/>
      </w:pPr>
      <w:r w:rsidRPr="007666A4">
        <w:t>185.</w:t>
      </w:r>
      <w:r w:rsidR="00C26013">
        <w:tab/>
      </w:r>
      <w:r w:rsidRPr="007666A4">
        <w:t>La Decisión del Consejo de Ministros núm. 175/2015 “exime al colectivo de viudas de las medidas de reducción de plantilla por excedentes de plantilla”.</w:t>
      </w:r>
    </w:p>
    <w:p w14:paraId="0EE88021" w14:textId="0BCE5094" w:rsidR="007666A4" w:rsidRPr="007666A4" w:rsidRDefault="007666A4" w:rsidP="007666A4">
      <w:pPr>
        <w:pStyle w:val="SingleTxtG"/>
      </w:pPr>
      <w:r w:rsidRPr="007666A4">
        <w:t>186.</w:t>
      </w:r>
      <w:r w:rsidR="00C26013">
        <w:tab/>
      </w:r>
      <w:r w:rsidRPr="007666A4">
        <w:t>La Decisión del Consejo de Ministros núm. 429/2012 extingue las obligaciones derivadas de una deuda, así como de los intereses de esta, de las personas que fueron asesinadas después del 9 de abril de 2003 a resultas de operaciones terroristas, incluidos los empleados de ministerios, organismos no adscritos a un ministerio, gobiernos provinciales e instituciones de seguridad, titulares de nombramientos en entidades especiales, los empleados de las tres oficinas presidenciales y todo su personal.</w:t>
      </w:r>
    </w:p>
    <w:p w14:paraId="08882671" w14:textId="682F4079" w:rsidR="007666A4" w:rsidRPr="007666A4" w:rsidRDefault="007666A4" w:rsidP="007666A4">
      <w:pPr>
        <w:pStyle w:val="SingleTxtG"/>
      </w:pPr>
      <w:r w:rsidRPr="007666A4">
        <w:t>187.</w:t>
      </w:r>
      <w:r w:rsidR="00C26013">
        <w:tab/>
      </w:r>
      <w:r w:rsidRPr="007666A4">
        <w:t>El Consejo Nacional de la Vivienda redujo en un 75 % el precio del alojamiento para los necesitados, incluidas las viudas, en las promociones de vivienda pública que se han adjudicado o se adjudicarán en el futuro, en virtud de una decisión de la Secretaría General del Consejo de Ministros.</w:t>
      </w:r>
    </w:p>
    <w:p w14:paraId="6A377638" w14:textId="7FE4FD4F" w:rsidR="007666A4" w:rsidRPr="007666A4" w:rsidRDefault="007666A4" w:rsidP="007666A4">
      <w:pPr>
        <w:pStyle w:val="SingleTxtG"/>
      </w:pPr>
      <w:r w:rsidRPr="007666A4">
        <w:lastRenderedPageBreak/>
        <w:t>188.</w:t>
      </w:r>
      <w:r w:rsidR="00C26013">
        <w:tab/>
      </w:r>
      <w:r w:rsidRPr="007666A4">
        <w:t>El 10 de julio de 2013, el Primer Ministro ordenó a todas las instituciones gubernamentales que nombraran funcionarias a viudas, les concedieran anticipos salariales y les asignaran viviendas con un descuento del 75 % de su precio, y que el resto se devolviera en cómodos plazos.</w:t>
      </w:r>
    </w:p>
    <w:p w14:paraId="6CBF32E2" w14:textId="6072C851" w:rsidR="007666A4" w:rsidRPr="007666A4" w:rsidRDefault="007666A4" w:rsidP="007666A4">
      <w:pPr>
        <w:pStyle w:val="SingleTxtG"/>
      </w:pPr>
      <w:r w:rsidRPr="007666A4">
        <w:t>189.</w:t>
      </w:r>
      <w:r w:rsidR="00C26013">
        <w:tab/>
      </w:r>
      <w:r w:rsidRPr="007666A4">
        <w:t>El Departamento de Empoderamiento de la Mujer Iraquí está trabajando en coordinación con el Ministerio de Planificación para abordar los problemas, las necesidades y el empoderamiento de la mujer en el Plan Nacional de Desarrollo que pronto pondrá en marcha el Iraq.</w:t>
      </w:r>
    </w:p>
    <w:p w14:paraId="7E10018F" w14:textId="5BCFED39" w:rsidR="007666A4" w:rsidRPr="007666A4" w:rsidRDefault="007666A4" w:rsidP="007666A4">
      <w:pPr>
        <w:pStyle w:val="SingleTxtG"/>
      </w:pPr>
      <w:r w:rsidRPr="007666A4">
        <w:t>190.</w:t>
      </w:r>
      <w:r w:rsidR="00C26013">
        <w:tab/>
      </w:r>
      <w:r w:rsidRPr="007666A4">
        <w:t>Los planes nacionales de desarrollo, las estrategias sectoriales y las políticas adoptadas por el Ministerio de Planificación dan forma concreta a las disposiciones de la Constitución sobre la no discriminación en la educación, el empleo y los servicios de salud para lograr la igualdad de género, que es un derecho de todos, centrándose en los grupos vulnerables, como las viudas, los divorciados y los huérfanos.</w:t>
      </w:r>
    </w:p>
    <w:p w14:paraId="4718B5B9" w14:textId="0BB101BF" w:rsidR="007666A4" w:rsidRPr="007666A4" w:rsidRDefault="007666A4" w:rsidP="007666A4">
      <w:pPr>
        <w:pStyle w:val="SingleTxtG"/>
      </w:pPr>
      <w:r w:rsidRPr="007666A4">
        <w:t>191.</w:t>
      </w:r>
      <w:r w:rsidR="00C26013">
        <w:tab/>
      </w:r>
      <w:r w:rsidRPr="007666A4">
        <w:t>En el marco de la Estrategia para la Reducción de la Pobreza, el Ministerio de Trabajo y Asuntos Sociales concedió 11.090 préstamos entre el 1 de diciembre de 2012 y el 27 de diciembre de 2016; se concedieron 24.033 préstamos a pequeñas empresas generadoras de ingresos entre el 24 de noviembre de 2013 y el 30 de junio de 2017 y otros 370 préstamos en el marco del sistema de servicios industriales entre el 1 de octubre de 2015 y el 30 de junio de 2017. Hasta el 30 de junio de 2017 se concedieron unos 388 préstamos para proyectos de rehabilitación comunitaria.</w:t>
      </w:r>
    </w:p>
    <w:p w14:paraId="1A004DE8" w14:textId="38138F24" w:rsidR="007666A4" w:rsidRPr="007666A4" w:rsidRDefault="006018B2" w:rsidP="006018B2">
      <w:pPr>
        <w:pStyle w:val="H23G"/>
      </w:pPr>
      <w:r>
        <w:tab/>
      </w:r>
      <w:r>
        <w:tab/>
      </w:r>
      <w:r w:rsidR="007666A4" w:rsidRPr="007666A4">
        <w:t>Préstamos concedidos en 2019</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2017"/>
        <w:gridCol w:w="1852"/>
        <w:gridCol w:w="1655"/>
        <w:gridCol w:w="1846"/>
      </w:tblGrid>
      <w:tr w:rsidR="007666A4" w:rsidRPr="00C26013" w14:paraId="28C925CA" w14:textId="77777777" w:rsidTr="00C26013">
        <w:trPr>
          <w:trHeight w:val="240"/>
          <w:tblHeader/>
        </w:trPr>
        <w:tc>
          <w:tcPr>
            <w:tcW w:w="2017" w:type="dxa"/>
            <w:shd w:val="clear" w:color="auto" w:fill="auto"/>
            <w:vAlign w:val="bottom"/>
          </w:tcPr>
          <w:p w14:paraId="18B96CA3" w14:textId="77777777" w:rsidR="007666A4" w:rsidRPr="00C26013" w:rsidRDefault="007666A4" w:rsidP="00C26013">
            <w:pPr>
              <w:pStyle w:val="SingleTxtG"/>
              <w:tabs>
                <w:tab w:val="clear" w:pos="1701"/>
                <w:tab w:val="clear" w:pos="2268"/>
                <w:tab w:val="clear" w:pos="2835"/>
              </w:tabs>
              <w:spacing w:before="80" w:after="80" w:line="200" w:lineRule="exact"/>
              <w:ind w:left="57" w:right="28"/>
              <w:jc w:val="right"/>
              <w:rPr>
                <w:i/>
                <w:sz w:val="16"/>
              </w:rPr>
            </w:pPr>
            <w:r w:rsidRPr="00C26013">
              <w:rPr>
                <w:i/>
                <w:sz w:val="16"/>
              </w:rPr>
              <w:t>Rehabilitación comunitaria</w:t>
            </w:r>
          </w:p>
        </w:tc>
        <w:tc>
          <w:tcPr>
            <w:tcW w:w="1852" w:type="dxa"/>
            <w:shd w:val="clear" w:color="auto" w:fill="auto"/>
            <w:vAlign w:val="bottom"/>
          </w:tcPr>
          <w:p w14:paraId="1C897B44" w14:textId="77777777" w:rsidR="007666A4" w:rsidRPr="00C26013" w:rsidRDefault="007666A4" w:rsidP="00C26013">
            <w:pPr>
              <w:pStyle w:val="SingleTxtG"/>
              <w:tabs>
                <w:tab w:val="clear" w:pos="1701"/>
                <w:tab w:val="clear" w:pos="2268"/>
                <w:tab w:val="clear" w:pos="2835"/>
              </w:tabs>
              <w:spacing w:before="80" w:after="80" w:line="200" w:lineRule="exact"/>
              <w:ind w:left="57" w:right="28"/>
              <w:jc w:val="right"/>
              <w:rPr>
                <w:i/>
                <w:sz w:val="16"/>
              </w:rPr>
            </w:pPr>
            <w:r w:rsidRPr="00C26013">
              <w:rPr>
                <w:i/>
                <w:sz w:val="16"/>
              </w:rPr>
              <w:t>Servicios industriales</w:t>
            </w:r>
          </w:p>
        </w:tc>
        <w:tc>
          <w:tcPr>
            <w:tcW w:w="1655" w:type="dxa"/>
            <w:shd w:val="clear" w:color="auto" w:fill="auto"/>
            <w:vAlign w:val="bottom"/>
          </w:tcPr>
          <w:p w14:paraId="614A8F35" w14:textId="77777777" w:rsidR="007666A4" w:rsidRPr="00C26013" w:rsidRDefault="007666A4" w:rsidP="00C26013">
            <w:pPr>
              <w:pStyle w:val="SingleTxtG"/>
              <w:tabs>
                <w:tab w:val="clear" w:pos="1701"/>
                <w:tab w:val="clear" w:pos="2268"/>
                <w:tab w:val="clear" w:pos="2835"/>
              </w:tabs>
              <w:spacing w:before="80" w:after="80" w:line="200" w:lineRule="exact"/>
              <w:ind w:left="57" w:right="28"/>
              <w:jc w:val="right"/>
              <w:rPr>
                <w:i/>
                <w:sz w:val="16"/>
              </w:rPr>
            </w:pPr>
            <w:r w:rsidRPr="00C26013">
              <w:rPr>
                <w:i/>
                <w:sz w:val="16"/>
              </w:rPr>
              <w:t>Fondo</w:t>
            </w:r>
          </w:p>
        </w:tc>
        <w:tc>
          <w:tcPr>
            <w:tcW w:w="1846" w:type="dxa"/>
            <w:shd w:val="clear" w:color="auto" w:fill="auto"/>
            <w:vAlign w:val="bottom"/>
          </w:tcPr>
          <w:p w14:paraId="0464C43E" w14:textId="77777777" w:rsidR="007666A4" w:rsidRPr="00C26013" w:rsidRDefault="007666A4" w:rsidP="00C26013">
            <w:pPr>
              <w:pStyle w:val="SingleTxtG"/>
              <w:tabs>
                <w:tab w:val="clear" w:pos="1701"/>
                <w:tab w:val="clear" w:pos="2268"/>
                <w:tab w:val="clear" w:pos="2835"/>
              </w:tabs>
              <w:spacing w:before="80" w:after="80" w:line="200" w:lineRule="exact"/>
              <w:ind w:left="57" w:right="28"/>
              <w:jc w:val="right"/>
              <w:rPr>
                <w:i/>
                <w:sz w:val="16"/>
              </w:rPr>
            </w:pPr>
            <w:r w:rsidRPr="00C26013">
              <w:rPr>
                <w:i/>
                <w:sz w:val="16"/>
              </w:rPr>
              <w:t>Reducción de la pobreza</w:t>
            </w:r>
          </w:p>
        </w:tc>
      </w:tr>
      <w:tr w:rsidR="007666A4" w:rsidRPr="00C26013" w14:paraId="433D8533" w14:textId="77777777" w:rsidTr="00C26013">
        <w:trPr>
          <w:trHeight w:val="240"/>
        </w:trPr>
        <w:tc>
          <w:tcPr>
            <w:tcW w:w="2017" w:type="dxa"/>
            <w:shd w:val="clear" w:color="auto" w:fill="auto"/>
          </w:tcPr>
          <w:p w14:paraId="47BB70C0" w14:textId="77777777" w:rsidR="007666A4" w:rsidRPr="00C26013" w:rsidRDefault="007666A4" w:rsidP="00C26013">
            <w:pPr>
              <w:pStyle w:val="SingleTxtG"/>
              <w:tabs>
                <w:tab w:val="clear" w:pos="1701"/>
                <w:tab w:val="clear" w:pos="2268"/>
                <w:tab w:val="clear" w:pos="2835"/>
              </w:tabs>
              <w:spacing w:before="40" w:after="40" w:line="220" w:lineRule="exact"/>
              <w:ind w:left="57" w:right="28"/>
              <w:jc w:val="right"/>
              <w:rPr>
                <w:sz w:val="18"/>
              </w:rPr>
            </w:pPr>
            <w:r w:rsidRPr="00C26013">
              <w:rPr>
                <w:sz w:val="18"/>
              </w:rPr>
              <w:t>462</w:t>
            </w:r>
          </w:p>
        </w:tc>
        <w:tc>
          <w:tcPr>
            <w:tcW w:w="1852" w:type="dxa"/>
            <w:shd w:val="clear" w:color="auto" w:fill="auto"/>
            <w:vAlign w:val="bottom"/>
          </w:tcPr>
          <w:p w14:paraId="7CE162B1" w14:textId="77777777" w:rsidR="007666A4" w:rsidRPr="00C26013" w:rsidRDefault="007666A4" w:rsidP="00C26013">
            <w:pPr>
              <w:pStyle w:val="SingleTxtG"/>
              <w:tabs>
                <w:tab w:val="clear" w:pos="1701"/>
                <w:tab w:val="clear" w:pos="2268"/>
                <w:tab w:val="clear" w:pos="2835"/>
              </w:tabs>
              <w:spacing w:before="40" w:after="40" w:line="220" w:lineRule="exact"/>
              <w:ind w:left="57" w:right="28"/>
              <w:jc w:val="right"/>
              <w:rPr>
                <w:sz w:val="18"/>
              </w:rPr>
            </w:pPr>
            <w:r w:rsidRPr="00C26013">
              <w:rPr>
                <w:sz w:val="18"/>
              </w:rPr>
              <w:t>380</w:t>
            </w:r>
          </w:p>
        </w:tc>
        <w:tc>
          <w:tcPr>
            <w:tcW w:w="1655" w:type="dxa"/>
            <w:shd w:val="clear" w:color="auto" w:fill="auto"/>
            <w:vAlign w:val="bottom"/>
          </w:tcPr>
          <w:p w14:paraId="6D94248C" w14:textId="77777777" w:rsidR="007666A4" w:rsidRPr="00C26013" w:rsidRDefault="007666A4" w:rsidP="00C26013">
            <w:pPr>
              <w:pStyle w:val="SingleTxtG"/>
              <w:tabs>
                <w:tab w:val="clear" w:pos="1701"/>
                <w:tab w:val="clear" w:pos="2268"/>
                <w:tab w:val="clear" w:pos="2835"/>
              </w:tabs>
              <w:spacing w:before="40" w:after="40" w:line="220" w:lineRule="exact"/>
              <w:ind w:left="57" w:right="28"/>
              <w:jc w:val="right"/>
              <w:rPr>
                <w:sz w:val="18"/>
              </w:rPr>
            </w:pPr>
            <w:r w:rsidRPr="00C26013">
              <w:rPr>
                <w:sz w:val="18"/>
              </w:rPr>
              <w:t>41 499</w:t>
            </w:r>
          </w:p>
        </w:tc>
        <w:tc>
          <w:tcPr>
            <w:tcW w:w="1846" w:type="dxa"/>
            <w:shd w:val="clear" w:color="auto" w:fill="auto"/>
            <w:vAlign w:val="bottom"/>
          </w:tcPr>
          <w:p w14:paraId="674AFFA0" w14:textId="77777777" w:rsidR="007666A4" w:rsidRPr="00C26013" w:rsidRDefault="007666A4" w:rsidP="00C26013">
            <w:pPr>
              <w:pStyle w:val="SingleTxtG"/>
              <w:tabs>
                <w:tab w:val="clear" w:pos="1701"/>
                <w:tab w:val="clear" w:pos="2268"/>
                <w:tab w:val="clear" w:pos="2835"/>
              </w:tabs>
              <w:spacing w:before="40" w:after="40" w:line="220" w:lineRule="exact"/>
              <w:ind w:left="57" w:right="28"/>
              <w:jc w:val="right"/>
              <w:rPr>
                <w:sz w:val="18"/>
              </w:rPr>
            </w:pPr>
            <w:r w:rsidRPr="00C26013">
              <w:rPr>
                <w:sz w:val="18"/>
              </w:rPr>
              <w:t>11 120</w:t>
            </w:r>
          </w:p>
        </w:tc>
      </w:tr>
    </w:tbl>
    <w:p w14:paraId="6F76E708" w14:textId="28AC732C" w:rsidR="007666A4" w:rsidRPr="007666A4" w:rsidRDefault="007666A4" w:rsidP="00C26013">
      <w:pPr>
        <w:pStyle w:val="SingleTxtG"/>
        <w:spacing w:before="240"/>
      </w:pPr>
      <w:r w:rsidRPr="007666A4">
        <w:t>192.</w:t>
      </w:r>
      <w:r w:rsidR="00C26013">
        <w:tab/>
      </w:r>
      <w:r w:rsidRPr="007666A4">
        <w:t>El 30 de octubre de 2019 se emitió una orden administrativa por la que se constituyó el Consejo Superior de la Mujer, presidido por el Primer Ministro y compuesto por mujeres representantes de los organismos gubernamentales pertinentes. El Consejo se encarga de aplicar los compromisos, formular la política, estudiar los informes sobre los derechos de la mujer, regular la relación entre los sectores nacionales e internacionales en este ámbito y hacer un seguimiento de la situación de las mujeres iraquíes.</w:t>
      </w:r>
    </w:p>
    <w:p w14:paraId="3F8A0CF3" w14:textId="7ACB3200" w:rsidR="007666A4" w:rsidRPr="007666A4" w:rsidRDefault="00C26013" w:rsidP="00C26013">
      <w:pPr>
        <w:pStyle w:val="H23G"/>
      </w:pPr>
      <w:r>
        <w:tab/>
      </w:r>
      <w:r w:rsidR="007666A4" w:rsidRPr="007666A4">
        <w:tab/>
        <w:t>Recomendación que figura</w:t>
      </w:r>
      <w:r w:rsidR="007666A4" w:rsidRPr="007666A4" w:rsidDel="00D35640">
        <w:t xml:space="preserve"> </w:t>
      </w:r>
      <w:r w:rsidR="007666A4" w:rsidRPr="007666A4">
        <w:t>en el párrafo 44</w:t>
      </w:r>
    </w:p>
    <w:p w14:paraId="2E1FA79C" w14:textId="19BD4D92" w:rsidR="007666A4" w:rsidRPr="007666A4" w:rsidRDefault="007666A4" w:rsidP="007666A4">
      <w:pPr>
        <w:pStyle w:val="SingleTxtG"/>
      </w:pPr>
      <w:r w:rsidRPr="007666A4">
        <w:t>193.</w:t>
      </w:r>
      <w:r w:rsidR="00C26013">
        <w:tab/>
      </w:r>
      <w:r w:rsidRPr="007666A4">
        <w:t>El Iraq es parte en la Convención sobre los Derechos del Niño (1989), en el Protocolo Facultativo de la Convención relativo a la participación de los niños en los conflictos armados (2000) y en los Convenios de Ginebra (1949), así como en el Convenio sobre la Eliminación de las Peores Formas de Trabajo Infantil, de 1999 (núm. 182), que considera el reclutamiento de niños una de las peores formas de trabajo infantil. El Iraq debe impedir el reclutamiento de niños en las fuerzas armadas regulares, así como su reclutamiento por parte de grupos armados u organizaciones terroristas, y castigar a los autores. El artículo 30 de la Ley del Servicio y la Reserva Militares, o Ley núm. 3/2010, establece la edad mínima para alistarse en las Fuerzas Armadas en 18 años, mientras que el artículo 66 del Código Penal Militar estipula que quien escriba o presente un informe, declaración o documento oficial relativo al servicio o al cargo, a sabiendas de que es falso, será condenado a una pena de prisión.</w:t>
      </w:r>
    </w:p>
    <w:p w14:paraId="0F6DE3A4" w14:textId="03147347" w:rsidR="007666A4" w:rsidRPr="007666A4" w:rsidRDefault="007666A4" w:rsidP="007666A4">
      <w:pPr>
        <w:pStyle w:val="SingleTxtG"/>
      </w:pPr>
      <w:r w:rsidRPr="007666A4">
        <w:t>194.</w:t>
      </w:r>
      <w:r w:rsidR="00C26013">
        <w:tab/>
      </w:r>
      <w:r w:rsidRPr="007666A4">
        <w:t>En virtud de la Orden Administrativa núm. 35/2018, se constituyó un comité nacional de alto nivel, presidido por el Ministro de Trabajo, para supervisar el abuso al que están expuestos los niños y la denegación de sus derechos en tiempos de conflicto armado.</w:t>
      </w:r>
    </w:p>
    <w:p w14:paraId="05C2C780" w14:textId="37B68E2B" w:rsidR="007666A4" w:rsidRPr="007666A4" w:rsidRDefault="007666A4" w:rsidP="007666A4">
      <w:pPr>
        <w:pStyle w:val="SingleTxtG"/>
      </w:pPr>
      <w:r w:rsidRPr="007666A4">
        <w:t>195.</w:t>
      </w:r>
      <w:r w:rsidR="00C26013">
        <w:tab/>
      </w:r>
      <w:r w:rsidRPr="007666A4">
        <w:t>Se creó la Comisión de Bienestar Infantil, presidida por el Ministro de Trabajo y adscrita al gabinete del Primer Ministro, y compuesta por representantes de nueve ministerios. Su tarea consiste en establecer una política general de bienestar infantil, determinar los órganos ejecutivos adecuados y supervisar la aplicación de los programas. La Comisión ha adoptado un proyecto para formular la política nacional de protección de la infancia en el Iraq, en colaboración con el</w:t>
      </w:r>
      <w:bookmarkStart w:id="2" w:name="_Hlk85795200"/>
      <w:r w:rsidRPr="007666A4">
        <w:t xml:space="preserve"> Fondo de las Naciones Unidas para la Infancia (UNICEF)</w:t>
      </w:r>
      <w:bookmarkEnd w:id="2"/>
      <w:r w:rsidRPr="007666A4">
        <w:t xml:space="preserve">. Una de las prioridades de este proyecto es identificar los problemas a los que se </w:t>
      </w:r>
      <w:r w:rsidRPr="007666A4">
        <w:lastRenderedPageBreak/>
        <w:t>enfrentan los niños iraquíes y que suponen graves violaciones de los derechos del niño reconocidos por la comunidad internacional. Uno de los resultados del proyecto, tal y como se recoge en el documento de políticas, ha sido un sistema integral de seguimiento, información y recogida de datos sobre cuestiones de protección infantil.</w:t>
      </w:r>
    </w:p>
    <w:p w14:paraId="1C6C2077" w14:textId="43A811F9" w:rsidR="007666A4" w:rsidRPr="007666A4" w:rsidRDefault="007666A4" w:rsidP="007666A4">
      <w:pPr>
        <w:pStyle w:val="SingleTxtG"/>
      </w:pPr>
      <w:r w:rsidRPr="007666A4">
        <w:t>196.</w:t>
      </w:r>
      <w:r w:rsidR="00C26013">
        <w:tab/>
      </w:r>
      <w:r w:rsidRPr="007666A4">
        <w:t>En virtud del Código del Trabajo, el departamento de inspección es responsable de controlar y supervisar el empleo de niños menores de 15 años y de garantizar la aplicación del Código en el caso de los empleadores que lo infrinjan. Una medida disuasoria inmediata es una campaña mediática en la prensa, la radio y la televisión, en coordinación con el UNICEF, para acabar con las peores formas de trabajo infantil.</w:t>
      </w:r>
    </w:p>
    <w:p w14:paraId="7B263A16" w14:textId="013B6738" w:rsidR="007666A4" w:rsidRPr="007666A4" w:rsidRDefault="007666A4" w:rsidP="007666A4">
      <w:pPr>
        <w:pStyle w:val="SingleTxtG"/>
      </w:pPr>
      <w:r w:rsidRPr="007666A4">
        <w:t>197.</w:t>
      </w:r>
      <w:r w:rsidR="00C26013">
        <w:tab/>
      </w:r>
      <w:r w:rsidRPr="007666A4">
        <w:t xml:space="preserve">Se ha formado un comité </w:t>
      </w:r>
      <w:r w:rsidRPr="000154D4">
        <w:rPr>
          <w:i/>
          <w:iCs/>
        </w:rPr>
        <w:t>ad hoc</w:t>
      </w:r>
      <w:r w:rsidRPr="007666A4">
        <w:t xml:space="preserve"> dentro de la Comisión de Bienestar Infantil, la sección de lucha contra el trabajo infantil, adscrita al Departamento de Reforma Juvenil/Departamento de Bienestar Social. Además, el Departamento de Personas con Necesidades Especiales ha condicionado la entrega de asistencia social a uno de los padres a que los niños en edad escolar sean escolarizados. En virtud de la Ley de Educación Obligatoria, debe presentarse al departamento un compromiso por escrito en este sentido.</w:t>
      </w:r>
    </w:p>
    <w:p w14:paraId="048F5B6D" w14:textId="34EE0C08" w:rsidR="007666A4" w:rsidRPr="007666A4" w:rsidRDefault="007666A4" w:rsidP="007666A4">
      <w:pPr>
        <w:pStyle w:val="SingleTxtG"/>
      </w:pPr>
      <w:r w:rsidRPr="007666A4">
        <w:t>198.</w:t>
      </w:r>
      <w:r w:rsidR="00C26013">
        <w:tab/>
      </w:r>
      <w:r w:rsidRPr="007666A4">
        <w:t>El expediente de los niños llamados “Cachorros de león del Califato” en las provincias liberadas, que fueron utilizados y explotados por los terroristas del EIIL, está siendo supervisado con el fin de desarrollar una terapia que ayude a rehabilitar a los niños intelectual y psicológicamente. Ello incluye someterlos a programas psicológicos de inmunización ideológica para curarlos de la ideología que el EIIL inculcó en sus mentes. También se trata de diseñar cursos basados en los programas educativos especiales elaborados por el Ministerio de Educación, en colaboración con los ministerios de Juventud y del Interior, hacer un seguimiento de los casos de hijos de miembros de la organización terrorista EIIL y hacer un seguimiento con las autoridades competentes del fenómeno de los abusos a menores.</w:t>
      </w:r>
    </w:p>
    <w:p w14:paraId="0AB31AC6" w14:textId="43C15C3C" w:rsidR="007666A4" w:rsidRPr="007666A4" w:rsidRDefault="007666A4" w:rsidP="007666A4">
      <w:pPr>
        <w:pStyle w:val="SingleTxtG"/>
      </w:pPr>
      <w:r w:rsidRPr="007666A4">
        <w:t>199.</w:t>
      </w:r>
      <w:r w:rsidR="00C26013">
        <w:tab/>
      </w:r>
      <w:r w:rsidRPr="007666A4">
        <w:t>La Ley de Reforma de Presos y Preventivos, núm. 14/2018, hace que el departamento de reforma de menores dependa del Ministerio de Justicia. La Ley se ajusta a las normas internacionales de derechos humanos para las personas privadas de libertad y a las normas relativas a los derechos de grupos específicos de reclusos. Otros derechos y libertades se contemplan en la Ley de Bienestar Juvenil.</w:t>
      </w:r>
    </w:p>
    <w:p w14:paraId="1416DDEC" w14:textId="48EC482E" w:rsidR="007666A4" w:rsidRPr="007666A4" w:rsidRDefault="007666A4" w:rsidP="007666A4">
      <w:pPr>
        <w:pStyle w:val="SingleTxtG"/>
      </w:pPr>
      <w:r w:rsidRPr="007666A4">
        <w:t>200.</w:t>
      </w:r>
      <w:r w:rsidR="00C26013">
        <w:tab/>
      </w:r>
      <w:r w:rsidRPr="007666A4">
        <w:t>La Ley de Asistencia al Menor en Conflicto con la Ley, núm. 76/1983, tiene por objeto prestar atención a los menores y frenar el fenómeno de la delincuencia mediante la creación de un sistema integrado basado en principios científicos.</w:t>
      </w:r>
    </w:p>
    <w:p w14:paraId="4C4C5EDB" w14:textId="47E41B47" w:rsidR="007666A4" w:rsidRPr="007666A4" w:rsidRDefault="007666A4" w:rsidP="007666A4">
      <w:pPr>
        <w:pStyle w:val="SingleTxtG"/>
      </w:pPr>
      <w:r w:rsidRPr="007666A4">
        <w:t>201.</w:t>
      </w:r>
      <w:r w:rsidR="00C26013">
        <w:tab/>
      </w:r>
      <w:r w:rsidRPr="007666A4">
        <w:t>En virtud de la Orden Administrativa núm. 374/2016 (de 13 de octubre de 2016), se constituyó un comité para documentar los delitos cometidos por las bandas terroristas del EIIL, incluida la explotación de niños en el conflicto armado.</w:t>
      </w:r>
    </w:p>
    <w:p w14:paraId="28DFD346" w14:textId="6DB3FAFD" w:rsidR="007666A4" w:rsidRPr="007666A4" w:rsidRDefault="007666A4" w:rsidP="007666A4">
      <w:pPr>
        <w:pStyle w:val="SingleTxtG"/>
      </w:pPr>
      <w:r w:rsidRPr="007666A4">
        <w:t>202.</w:t>
      </w:r>
      <w:r w:rsidR="00C26013">
        <w:tab/>
      </w:r>
      <w:r w:rsidRPr="007666A4">
        <w:t>El documento sobre la política de protección de la infancia publicado en virtud de la Decisión del Consejo de Ministros núm. 146/2017 incluye programas destinados a rehabilitar a los niños de las zonas liberadas y a reintegrarlos en la sociedad. Además, se han desarrollado programas para rehabilitar a los niños, incluidos los huérfanos, y reintegrarlos en sus comunidades. También se han desarrollado programas para las viudas en las zonas liberadas del control de las bandas terroristas del EIIL. Además, se han destinado nuevos fondos al Ministerio de Trabajo en el presupuesto general de 2017. Estos programas, a los que han contribuido varios ministerios, la Autoridad para el Bienestar de la Infancia y organizaciones de la sociedad civil, tienen como objetivo promover los valores patrióticos entre los niños, erradicar la ideología extremista inculcada en sus mentes por el EIIL y reformular el plan de estudios siguiendo líneas modernas, repudiando la violencia y el extremismo y promoviendo la tolerancia y la paz.</w:t>
      </w:r>
    </w:p>
    <w:p w14:paraId="2DB8E47F" w14:textId="0F7EA0B4" w:rsidR="007666A4" w:rsidRPr="007666A4" w:rsidRDefault="007666A4" w:rsidP="007666A4">
      <w:pPr>
        <w:pStyle w:val="SingleTxtG"/>
      </w:pPr>
      <w:r w:rsidRPr="007666A4">
        <w:t>203.</w:t>
      </w:r>
      <w:r w:rsidR="00C26013">
        <w:tab/>
      </w:r>
      <w:r w:rsidRPr="007666A4">
        <w:t>En lo que respecta a la responsabilidad legal, a los niños implicados en conflictos armados se les aplican las disposiciones de la Ley de Atención al Menor en Conflicto con la Ley, núm. 76/1983, enmendada. La Ley discrimina a favor del delincuente juvenil en lo que respecta a los procedimientos de investigación y a las resoluciones judiciales posteriores. Además, se han creado tribunales de menores especiales que aplican las normas nacionales e internacionales relativas a los derechos del niño. Los delincuentes son internados en hogares de menores.</w:t>
      </w:r>
    </w:p>
    <w:p w14:paraId="29229B3A" w14:textId="64FE378C" w:rsidR="007666A4" w:rsidRPr="007666A4" w:rsidRDefault="007666A4" w:rsidP="007666A4">
      <w:pPr>
        <w:pStyle w:val="SingleTxtG"/>
      </w:pPr>
      <w:r w:rsidRPr="007666A4">
        <w:lastRenderedPageBreak/>
        <w:t>204.</w:t>
      </w:r>
      <w:r w:rsidR="00C26013">
        <w:tab/>
      </w:r>
      <w:r w:rsidRPr="007666A4">
        <w:t>Se formó una junta de investigación para examinar los casos de mujeres yazidíes cautivas, en virtud de una decisión de la 12ª sesión del Consejo Judicial Supremo (11 de junio de 2017), con sede en el Tribunal de Apelación de Nínive.</w:t>
      </w:r>
    </w:p>
    <w:p w14:paraId="2FA9D7AA" w14:textId="037085EA" w:rsidR="007666A4" w:rsidRPr="007666A4" w:rsidRDefault="007666A4" w:rsidP="007666A4">
      <w:pPr>
        <w:pStyle w:val="SingleTxtG"/>
      </w:pPr>
      <w:r w:rsidRPr="007666A4">
        <w:t>205.</w:t>
      </w:r>
      <w:r w:rsidR="00C26013">
        <w:tab/>
      </w:r>
      <w:r w:rsidRPr="007666A4">
        <w:t>Los desplazados en el Iraq se atendieron en el marco del Programa de Gobierno para 2014-2018. Sin embargo, dada la importancia de coordinar los esfuerzos de las partes implicadas en la administración y la prestación de los servicios y la asistencia que necesitan los desplazados en el Iraq, se formó un grupo de trabajo, compuesto por representantes de los organismos pertinentes, que trabaja en coordinación directa con el Asesor de Seguridad Nacional, con el objetivo de preparar una política nacional sobre la gestión de los desplazados en el Iraq. Esta política, que tiene una visión específica y un conjunto de objetivos y mecanismos, se basa en la legislación nacional y se guía por los principios de las Naciones Unidas. Los miembros del Consejo de Representantes, la Alta Comisión Independiente de Derechos Humanos, los gobiernos provinciales y las organizaciones no gubernamentales nacionales e internacionales participaron en la formulación de la política, que fue aprobada por la Decisión del Consejo de Ministros núm. 414/2015.</w:t>
      </w:r>
    </w:p>
    <w:p w14:paraId="21C35533" w14:textId="6BFCC059" w:rsidR="007666A4" w:rsidRPr="007666A4" w:rsidRDefault="007666A4" w:rsidP="007666A4">
      <w:pPr>
        <w:pStyle w:val="SingleTxtG"/>
      </w:pPr>
      <w:r w:rsidRPr="007666A4">
        <w:t>206.</w:t>
      </w:r>
      <w:r w:rsidR="00C26013">
        <w:tab/>
      </w:r>
      <w:r w:rsidRPr="007666A4">
        <w:t xml:space="preserve">En la región del Kurdistán se redactó un proyecto de ley de protección de la infancia en cooperación con el UNICEF, los ministerios de Trabajo y Asuntos Sociales, Educación, Sanidad, Cultura y Juventud, la Alta Comisión Independiente de Derechos Humanos, Save the Children Kurdistán y Save the Children International. Se celebraron varias reuniones y seminarios con organizaciones y organismos jurídicos durante los cuales se revisó y examinó el proyecto de ley. Redactada en colaboración con el UNICEF y el Ministerio de Trabajo, la política nacional de protección de los derechos del niño se firmó a finales de 2014, pero aún no ha entrado en vigor. Sin embargo, el </w:t>
      </w:r>
      <w:r w:rsidR="00481BF0" w:rsidRPr="007666A4">
        <w:t xml:space="preserve">Comité </w:t>
      </w:r>
      <w:r w:rsidRPr="007666A4">
        <w:t xml:space="preserve">para la </w:t>
      </w:r>
      <w:r w:rsidR="00481BF0" w:rsidRPr="007666A4">
        <w:t xml:space="preserve">Protección </w:t>
      </w:r>
      <w:r w:rsidRPr="007666A4">
        <w:t xml:space="preserve">de los </w:t>
      </w:r>
      <w:r w:rsidR="00481BF0" w:rsidRPr="007666A4">
        <w:t xml:space="preserve">Derechos </w:t>
      </w:r>
      <w:r w:rsidRPr="007666A4">
        <w:t xml:space="preserve">del </w:t>
      </w:r>
      <w:r w:rsidR="00481BF0" w:rsidRPr="007666A4">
        <w:t xml:space="preserve">Niño </w:t>
      </w:r>
      <w:r w:rsidRPr="007666A4">
        <w:t>está activo y se reúne regularmente, tras un periodo de suspensión de la actividad. El Comité está formado por representantes de los ministerios de Trabajo, Sanidad, Educación, Cultura, y Juventud, Justicia, y Habices y Asuntos Religiosos, la Alta Comisión Independiente de Derechos Humanos, el UNICEF y el Consejo Superior de la Mujer.</w:t>
      </w:r>
    </w:p>
    <w:p w14:paraId="5DA84118" w14:textId="36D950B3" w:rsidR="007666A4" w:rsidRPr="007666A4" w:rsidRDefault="007666A4" w:rsidP="007666A4">
      <w:pPr>
        <w:pStyle w:val="SingleTxtG"/>
      </w:pPr>
      <w:r w:rsidRPr="007666A4">
        <w:t>207.</w:t>
      </w:r>
      <w:r w:rsidR="00C26013">
        <w:tab/>
      </w:r>
      <w:r w:rsidRPr="007666A4">
        <w:t>Además de estas actividades, el Estado cuenta con varias instituciones en Erbil, Dehok y Sulaymaniya encargadas de prestar servicios pedagógicos, entre las que se incluyen hogares gestionados por el Ministerio de Trabajo para niños y niñas adolescentes y centros de acogida para niños que se han quedado sin hogar debido a problemas domésticos, sociales, educativos, mentales o económicos.</w:t>
      </w:r>
    </w:p>
    <w:p w14:paraId="1AD61F12" w14:textId="58E68A1C" w:rsidR="007666A4" w:rsidRPr="007666A4" w:rsidRDefault="007666A4" w:rsidP="007666A4">
      <w:pPr>
        <w:pStyle w:val="SingleTxtG"/>
      </w:pPr>
      <w:r w:rsidRPr="007666A4">
        <w:t>208.</w:t>
      </w:r>
      <w:r w:rsidR="00C26013">
        <w:tab/>
      </w:r>
      <w:r w:rsidRPr="007666A4">
        <w:t>Los niños y las personas con necesidades especiales (ciegos y sordos, personas con discapacidad y personas con autismo) pueden estudiar y recibir tratamiento físico y psicológico. Se ha formado a profesores y se han desarrollado programas especiales en estos ámbitos. Además, se han introducido cursos en las secciones de menores de los centros penitenciarios de Erbil, Dehok y Sulaymaniya para educar a los menores declarados culpables por los tribunales.</w:t>
      </w:r>
    </w:p>
    <w:p w14:paraId="2372B7DA" w14:textId="0CB5837D" w:rsidR="007666A4" w:rsidRPr="007666A4" w:rsidRDefault="007666A4" w:rsidP="007666A4">
      <w:pPr>
        <w:pStyle w:val="SingleTxtG"/>
      </w:pPr>
      <w:r w:rsidRPr="007666A4">
        <w:t>209.</w:t>
      </w:r>
      <w:r w:rsidR="00C26013">
        <w:tab/>
      </w:r>
      <w:r w:rsidRPr="007666A4">
        <w:t>Los niños acogidos en hogares de acogida son enviados a la escuela para que continúen su educación y completen sus estudios; hay instituciones especiales que atienden a los niños con discapacidad. Además, un programa de cooperación entre el Gobierno iraquí y el British Council se centra en el “desarrollo de capacidades en la educación primaria y secundaria: mejora de la calidad de la enseñanza e igualdad de oportunidades en la educación”.</w:t>
      </w:r>
    </w:p>
    <w:p w14:paraId="0303F686" w14:textId="5ECC9A03" w:rsidR="007666A4" w:rsidRPr="007666A4" w:rsidRDefault="00C26013" w:rsidP="00C26013">
      <w:pPr>
        <w:pStyle w:val="H1G"/>
      </w:pPr>
      <w:r>
        <w:tab/>
      </w:r>
      <w:r w:rsidR="007666A4" w:rsidRPr="007666A4">
        <w:tab/>
        <w:t>Artículo 11 y recomendaciones que figuran</w:t>
      </w:r>
      <w:r w:rsidR="007666A4" w:rsidRPr="007666A4" w:rsidDel="00D35640">
        <w:t xml:space="preserve"> </w:t>
      </w:r>
      <w:r w:rsidR="007666A4" w:rsidRPr="007666A4">
        <w:t>en los párrafos 46, 48, 50</w:t>
      </w:r>
      <w:r>
        <w:t> </w:t>
      </w:r>
      <w:r w:rsidR="007666A4" w:rsidRPr="007666A4">
        <w:t>y</w:t>
      </w:r>
      <w:r>
        <w:t> </w:t>
      </w:r>
      <w:r w:rsidR="007666A4" w:rsidRPr="007666A4">
        <w:t>52</w:t>
      </w:r>
    </w:p>
    <w:p w14:paraId="4A151B5E" w14:textId="0246188A" w:rsidR="007666A4" w:rsidRPr="007666A4" w:rsidRDefault="00C26013" w:rsidP="00C26013">
      <w:pPr>
        <w:pStyle w:val="H23G"/>
      </w:pPr>
      <w:r>
        <w:tab/>
      </w:r>
      <w:r>
        <w:tab/>
      </w:r>
      <w:r w:rsidR="007666A4" w:rsidRPr="007666A4">
        <w:t>Recomendación que figura</w:t>
      </w:r>
      <w:r w:rsidR="007666A4" w:rsidRPr="007666A4" w:rsidDel="00D35640">
        <w:t xml:space="preserve"> </w:t>
      </w:r>
      <w:r w:rsidR="007666A4" w:rsidRPr="007666A4">
        <w:t>en el párrafo 46</w:t>
      </w:r>
    </w:p>
    <w:p w14:paraId="26C7B0D5" w14:textId="4F278E25" w:rsidR="007666A4" w:rsidRPr="007666A4" w:rsidRDefault="007666A4" w:rsidP="007666A4">
      <w:pPr>
        <w:pStyle w:val="SingleTxtG"/>
      </w:pPr>
      <w:r w:rsidRPr="007666A4">
        <w:t>210.</w:t>
      </w:r>
      <w:r w:rsidR="00C26013">
        <w:tab/>
      </w:r>
      <w:r w:rsidRPr="007666A4">
        <w:t>El Ministerio de Trabajo de la región del Kurdistán presta servicios a las personas mayores que necesitan atención social, que no pueden valerse por sí mismas y que no tienen a nadie que las cuide. Hay residencias para ancianos en Erbil, Dehok y Sulaymaniya.</w:t>
      </w:r>
    </w:p>
    <w:p w14:paraId="55D79107" w14:textId="768957C2" w:rsidR="007666A4" w:rsidRPr="007666A4" w:rsidRDefault="007666A4" w:rsidP="007666A4">
      <w:pPr>
        <w:pStyle w:val="SingleTxtG"/>
      </w:pPr>
      <w:r w:rsidRPr="007666A4">
        <w:t>211.</w:t>
      </w:r>
      <w:r w:rsidR="00C26013">
        <w:tab/>
      </w:r>
      <w:r w:rsidRPr="007666A4">
        <w:t xml:space="preserve">En virtud de la Ley de Asistencia Social, el gobierno regional del Kurdistán apoya a las familias pobres con una ayuda de hasta 150.000 dinares, distribuida en función de las necesidades de los miembros de la familia. Los beneficiarios de esta ayuda son las viudas, </w:t>
      </w:r>
      <w:r w:rsidRPr="007666A4">
        <w:lastRenderedPageBreak/>
        <w:t>los divorciados, los niños y los huérfanos que no tienen a nadie que se ocupe de ellos y las familias cuyo cabeza de familia está en prisión o en paradero desconocido; la ayuda se presta a condición de que no tengan otra fuente de sustento.</w:t>
      </w:r>
    </w:p>
    <w:p w14:paraId="49E3957B" w14:textId="7C92DB01" w:rsidR="007666A4" w:rsidRPr="007666A4" w:rsidRDefault="007666A4" w:rsidP="007666A4">
      <w:pPr>
        <w:pStyle w:val="SingleTxtG"/>
      </w:pPr>
      <w:r w:rsidRPr="007666A4">
        <w:t>212.</w:t>
      </w:r>
      <w:r w:rsidR="00C26013">
        <w:tab/>
      </w:r>
      <w:r w:rsidRPr="007666A4">
        <w:t>En 2016, el gobierno regional del Kurdistán, en colaboración con el Banco Mundial, estableció un programa dentro del Marco Estratégico de Atención Social en la región hasta</w:t>
      </w:r>
      <w:r w:rsidR="00481BF0">
        <w:t> </w:t>
      </w:r>
      <w:r w:rsidRPr="007666A4">
        <w:t>2020, con el objetivo de elevar el nivel de vida, abordar los cambios económicos y sociales en la sociedad kurda y aplicar políticas sólidas para promover la reforma económica con el fin de sacar a la región de la crisis económica.</w:t>
      </w:r>
    </w:p>
    <w:p w14:paraId="3AEA64A7" w14:textId="7FD58CA9" w:rsidR="007666A4" w:rsidRPr="007666A4" w:rsidRDefault="007666A4" w:rsidP="007666A4">
      <w:pPr>
        <w:pStyle w:val="SingleTxtG"/>
      </w:pPr>
      <w:r w:rsidRPr="007666A4">
        <w:t>213.</w:t>
      </w:r>
      <w:r w:rsidR="00C26013">
        <w:tab/>
      </w:r>
      <w:r w:rsidRPr="007666A4">
        <w:t>El Ministerio de Trabajo creó un comité para formular nuevas instrucciones sobre la aplicación del programa de la Red de Atención Social, que dio asistencia a unas 95.000</w:t>
      </w:r>
      <w:r w:rsidR="00481BF0">
        <w:t> </w:t>
      </w:r>
      <w:r w:rsidRPr="007666A4">
        <w:t>familias. Cabe señalar que la Estrategia Nacional para Combatir la Violencia contra la Mujer ha contribuido a la reducción de la violencia debido a que ha empoderado económica y socialmente a las mujeres.</w:t>
      </w:r>
    </w:p>
    <w:p w14:paraId="4D2433C2" w14:textId="24CA6280" w:rsidR="007666A4" w:rsidRPr="007666A4" w:rsidRDefault="007666A4" w:rsidP="007666A4">
      <w:pPr>
        <w:pStyle w:val="SingleTxtG"/>
      </w:pPr>
      <w:r w:rsidRPr="007666A4">
        <w:t>214.</w:t>
      </w:r>
      <w:r w:rsidR="00C26013">
        <w:tab/>
      </w:r>
      <w:r w:rsidRPr="007666A4">
        <w:t xml:space="preserve">Se adoptó la Estrategia para la Reducción de la Pobreza (2018-2022) en virtud de la Decisión del Consejo de Ministros núm. 363/2017, por la que se aprueba la adopción de la base de datos sobre la pobreza diseñada por el Ministerio de Planificación en cooperación con el Ministerio de Trabajo para dar apoyo a la planificación y la aplicación de políticas y programas sociales dirigidos a los pobres. La </w:t>
      </w:r>
      <w:r w:rsidR="00481BF0" w:rsidRPr="007666A4">
        <w:t xml:space="preserve">Estrategia </w:t>
      </w:r>
      <w:r w:rsidRPr="007666A4">
        <w:t>busca reducir el nivel de pobreza en todo el país en un 25 % para 2020, transformar a los pobres en productores social y económicamente integrados y alcanzar los objetivos a largo plazo de acabar con la pobreza en todas sus formas y en todo el territorio, eliminar el hambre, lograr la seguridad alimentaria, mejorar la nutrición, promover el desarrollo sostenible, garantizar una educación de alta calidad y para toda la vida para todos, promover el crecimiento económico inclusivo y sostenible, el empleo productivo y el trabajo decente para todos, poner fin a la desigualdad y hacer que las comunidades humanas sean inclusivas, seguras y sostenibles.</w:t>
      </w:r>
    </w:p>
    <w:p w14:paraId="00E27232" w14:textId="6AEA4F4B" w:rsidR="007666A4" w:rsidRPr="007666A4" w:rsidRDefault="007666A4" w:rsidP="007666A4">
      <w:pPr>
        <w:pStyle w:val="SingleTxtG"/>
      </w:pPr>
      <w:r w:rsidRPr="007666A4">
        <w:t>215.</w:t>
      </w:r>
      <w:r w:rsidR="00C26013">
        <w:tab/>
      </w:r>
      <w:r w:rsidRPr="007666A4">
        <w:t xml:space="preserve">La </w:t>
      </w:r>
      <w:r w:rsidR="00481BF0" w:rsidRPr="007666A4">
        <w:t xml:space="preserve">Estrategia </w:t>
      </w:r>
      <w:r w:rsidRPr="007666A4">
        <w:t xml:space="preserve">pretende reducir la pobreza entre los “grupos más pobres de la sociedad con planes dirigidos a los desplazados y repatriados, las familias de los mártires, los desfavorecidos, las viudas sin recursos y los divorciados”. La </w:t>
      </w:r>
      <w:r w:rsidR="00481BF0" w:rsidRPr="007666A4">
        <w:t xml:space="preserve">Estrategia </w:t>
      </w:r>
      <w:r w:rsidRPr="007666A4">
        <w:t>logró reducir la pobreza del 22,4 % en 2007 al 18,9 % en 2012 (un descenso del 16 %). Sin embargo, la pobreza aumentó posteriormente al 22,4 % debido a la crisis financiera de principios de 2015.</w:t>
      </w:r>
    </w:p>
    <w:p w14:paraId="0A439E0B" w14:textId="2D15730C" w:rsidR="007666A4" w:rsidRPr="007666A4" w:rsidRDefault="00C26013" w:rsidP="00C26013">
      <w:pPr>
        <w:pStyle w:val="H23G"/>
      </w:pPr>
      <w:r>
        <w:tab/>
      </w:r>
      <w:r w:rsidR="007666A4" w:rsidRPr="007666A4">
        <w:tab/>
        <w:t>Recomendación que figura</w:t>
      </w:r>
      <w:r w:rsidR="007666A4" w:rsidRPr="007666A4" w:rsidDel="00D35640">
        <w:t xml:space="preserve"> </w:t>
      </w:r>
      <w:r w:rsidR="007666A4" w:rsidRPr="007666A4">
        <w:t>en el párrafo 48</w:t>
      </w:r>
    </w:p>
    <w:p w14:paraId="5F12B01C" w14:textId="231422DC" w:rsidR="007666A4" w:rsidRPr="007666A4" w:rsidRDefault="007666A4" w:rsidP="007666A4">
      <w:pPr>
        <w:pStyle w:val="SingleTxtG"/>
      </w:pPr>
      <w:r w:rsidRPr="007666A4">
        <w:t>216.</w:t>
      </w:r>
      <w:r w:rsidR="00C26013">
        <w:tab/>
      </w:r>
      <w:r w:rsidRPr="007666A4">
        <w:t>La Decisión del Consejo de Ministros núm. 340/2019 despejó el camino para la asignación de 17.000 viviendas a familias de bajos ingresos que reúnan las condiciones en la provincia de Basora. En virtud de la Decisión del Consejo de Ministros núm. 70/2019, se invitó a presentar solicitudes de terrenos para vivienda asignados a familias con ingresos limitados y a otros colectivos.</w:t>
      </w:r>
    </w:p>
    <w:p w14:paraId="6AFB1CA4" w14:textId="09CF96C8" w:rsidR="007666A4" w:rsidRPr="007666A4" w:rsidRDefault="007666A4" w:rsidP="007666A4">
      <w:pPr>
        <w:pStyle w:val="SingleTxtG"/>
      </w:pPr>
      <w:r w:rsidRPr="007666A4">
        <w:t>217.</w:t>
      </w:r>
      <w:r w:rsidR="00C26013">
        <w:tab/>
      </w:r>
      <w:r w:rsidRPr="007666A4">
        <w:t>Se ha elaborado y puesto en marcha un programa nacional de vivienda que prevé la construcción de 100.000 viviendas en todo el país, dando prioridad a las provincias y zonas más pobres. El Ministerio de Finanzas se encarga de reforzar el capital del Fondo de la Vivienda para aumentar el número de prestatarios y permitirles construir casas en parcelas destinadas a ser distribuidas entre los ciudadanos; los préstamos carecen de intereses.</w:t>
      </w:r>
    </w:p>
    <w:p w14:paraId="3E86A87A" w14:textId="6392A136" w:rsidR="007666A4" w:rsidRPr="007666A4" w:rsidRDefault="007666A4" w:rsidP="007666A4">
      <w:pPr>
        <w:pStyle w:val="SingleTxtG"/>
      </w:pPr>
      <w:r w:rsidRPr="007666A4">
        <w:t>218.</w:t>
      </w:r>
      <w:r w:rsidR="00C26013">
        <w:tab/>
      </w:r>
      <w:r w:rsidRPr="007666A4">
        <w:t xml:space="preserve">Se han fijado varios objetivos relacionados con la vivienda en el marco del Plan Nacional de Desarrollo (2018-2022) y del documento-marco general del Plan </w:t>
      </w:r>
      <w:r w:rsidR="00481BF0" w:rsidRPr="007666A4">
        <w:t xml:space="preserve">Nacional </w:t>
      </w:r>
      <w:r w:rsidRPr="007666A4">
        <w:t xml:space="preserve">de </w:t>
      </w:r>
      <w:r w:rsidR="00481BF0" w:rsidRPr="007666A4">
        <w:t xml:space="preserve">Reconstrucción </w:t>
      </w:r>
      <w:r w:rsidRPr="007666A4">
        <w:t xml:space="preserve">y </w:t>
      </w:r>
      <w:r w:rsidR="00481BF0" w:rsidRPr="007666A4">
        <w:t xml:space="preserve">Desarrollo </w:t>
      </w:r>
      <w:r w:rsidRPr="007666A4">
        <w:t xml:space="preserve">de las </w:t>
      </w:r>
      <w:r w:rsidR="00481BF0" w:rsidRPr="007666A4">
        <w:t xml:space="preserve">Provincias </w:t>
      </w:r>
      <w:r w:rsidRPr="007666A4">
        <w:t xml:space="preserve">afectadas por las </w:t>
      </w:r>
      <w:r w:rsidR="00481BF0" w:rsidRPr="007666A4">
        <w:t xml:space="preserve">Operaciones Terroristas </w:t>
      </w:r>
      <w:r w:rsidRPr="007666A4">
        <w:t xml:space="preserve">y </w:t>
      </w:r>
      <w:r w:rsidR="00481BF0" w:rsidRPr="007666A4">
        <w:t>Militares</w:t>
      </w:r>
      <w:r w:rsidRPr="007666A4">
        <w:t xml:space="preserve">. Estos objetivos incluyen la construcción de 700.000 viviendas en todo el país, excluyendo la región del Kurdistán, empleando la legislación adecuada y alentando a los bancos privados a financiar planes de vivienda; la construcción de 100.000 viviendas para compensar las destruidas durante las operaciones terroristas y militares; garantizar el regreso a sus tierras de origen de las familias desplazadas, fomentando la inversión y la prestación de servicios, incluido el suministro de agua potable; mejorar la calidad y aumentar el volumen del tratamiento de aguas residuales, ampliando la cobertura al 97 % en Bagdad y al 72,66 % en otras provincias; y el tratamiento adecuado de las aguas residuales antes de verterlas a los ríos. De conformidad con la Decisión del Consejo de Ministros núm. 355/2017, el Libro Blanco Nacional sobre la Vivienda (2018-2022) debe actualizarse en los ámbitos de la gestión del suelo, la construcción de viviendas, la financiación, las infraestructuras, la </w:t>
      </w:r>
      <w:r w:rsidRPr="007666A4">
        <w:lastRenderedPageBreak/>
        <w:t>gestión, el mantenimiento y los materiales de construcción. En coincidencia con la Estrategia para la Reducción de la Pobreza (2018-2022), el Programa Nacional de Rehabilitación y Regularización de los Asentamientos Informales se ha fijado el objetivo de lograr una vivienda digna y crear un entorno que responda a los desafíos que representa el fenómeno a lo largo de tres etapas: preparación y abordaje del fenómeno para resolverlo; ejecución de un plan para resolver su agravamiento, y tratamiento de las causas que han originado dicho fenómeno.</w:t>
      </w:r>
    </w:p>
    <w:p w14:paraId="4EFA358C" w14:textId="7429A000" w:rsidR="007666A4" w:rsidRPr="007666A4" w:rsidRDefault="00C26013" w:rsidP="00C26013">
      <w:pPr>
        <w:pStyle w:val="H23G"/>
      </w:pPr>
      <w:r>
        <w:tab/>
      </w:r>
      <w:r w:rsidR="007666A4" w:rsidRPr="007666A4">
        <w:tab/>
        <w:t>Cuadro que muestra la distribución de las familias según el régimen de tenencia de</w:t>
      </w:r>
      <w:r w:rsidR="002435E8">
        <w:t> </w:t>
      </w:r>
      <w:r w:rsidR="007666A4" w:rsidRPr="007666A4">
        <w:t>la</w:t>
      </w:r>
      <w:r w:rsidR="002435E8">
        <w:t> </w:t>
      </w:r>
      <w:r w:rsidR="007666A4" w:rsidRPr="007666A4">
        <w:t>vivienda (2016)</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199"/>
        <w:gridCol w:w="1180"/>
        <w:gridCol w:w="1291"/>
        <w:gridCol w:w="1291"/>
        <w:gridCol w:w="1166"/>
        <w:gridCol w:w="1243"/>
      </w:tblGrid>
      <w:tr w:rsidR="007666A4" w:rsidRPr="00765E73" w14:paraId="0BC19464" w14:textId="77777777" w:rsidTr="00765E73">
        <w:trPr>
          <w:trHeight w:val="240"/>
          <w:tblHeader/>
        </w:trPr>
        <w:tc>
          <w:tcPr>
            <w:tcW w:w="1199" w:type="dxa"/>
            <w:shd w:val="clear" w:color="auto" w:fill="auto"/>
            <w:vAlign w:val="bottom"/>
          </w:tcPr>
          <w:p w14:paraId="6FE524E8" w14:textId="77777777" w:rsidR="007666A4" w:rsidRPr="00765E73" w:rsidRDefault="007666A4" w:rsidP="00765E73">
            <w:pPr>
              <w:pStyle w:val="SingleTxtG"/>
              <w:tabs>
                <w:tab w:val="clear" w:pos="1701"/>
                <w:tab w:val="clear" w:pos="2268"/>
                <w:tab w:val="clear" w:pos="2835"/>
              </w:tabs>
              <w:spacing w:before="80" w:after="80" w:line="200" w:lineRule="exact"/>
              <w:ind w:left="57" w:right="28"/>
              <w:jc w:val="right"/>
              <w:rPr>
                <w:i/>
                <w:sz w:val="16"/>
              </w:rPr>
            </w:pPr>
            <w:r w:rsidRPr="00765E73">
              <w:rPr>
                <w:i/>
                <w:sz w:val="16"/>
              </w:rPr>
              <w:t>Propiedad de la familia</w:t>
            </w:r>
          </w:p>
        </w:tc>
        <w:tc>
          <w:tcPr>
            <w:tcW w:w="1180" w:type="dxa"/>
            <w:shd w:val="clear" w:color="auto" w:fill="auto"/>
            <w:vAlign w:val="bottom"/>
          </w:tcPr>
          <w:p w14:paraId="44C5CB72" w14:textId="77777777" w:rsidR="007666A4" w:rsidRPr="00765E73" w:rsidRDefault="007666A4" w:rsidP="00765E73">
            <w:pPr>
              <w:pStyle w:val="SingleTxtG"/>
              <w:tabs>
                <w:tab w:val="clear" w:pos="1701"/>
                <w:tab w:val="clear" w:pos="2268"/>
                <w:tab w:val="clear" w:pos="2835"/>
              </w:tabs>
              <w:spacing w:before="80" w:after="80" w:line="200" w:lineRule="exact"/>
              <w:ind w:left="57" w:right="28"/>
              <w:jc w:val="right"/>
              <w:rPr>
                <w:i/>
                <w:sz w:val="16"/>
              </w:rPr>
            </w:pPr>
            <w:r w:rsidRPr="00765E73">
              <w:rPr>
                <w:i/>
                <w:sz w:val="16"/>
              </w:rPr>
              <w:t>En alquiler</w:t>
            </w:r>
          </w:p>
        </w:tc>
        <w:tc>
          <w:tcPr>
            <w:tcW w:w="1292" w:type="dxa"/>
            <w:shd w:val="clear" w:color="auto" w:fill="auto"/>
            <w:vAlign w:val="bottom"/>
          </w:tcPr>
          <w:p w14:paraId="62A9F920" w14:textId="1C54E67B" w:rsidR="007666A4" w:rsidRPr="00765E73" w:rsidRDefault="007666A4" w:rsidP="00481BF0">
            <w:pPr>
              <w:pStyle w:val="SingleTxtG"/>
              <w:tabs>
                <w:tab w:val="clear" w:pos="1701"/>
                <w:tab w:val="clear" w:pos="2268"/>
                <w:tab w:val="clear" w:pos="2835"/>
              </w:tabs>
              <w:spacing w:before="80" w:after="80" w:line="200" w:lineRule="exact"/>
              <w:ind w:left="57" w:right="28"/>
              <w:jc w:val="right"/>
              <w:rPr>
                <w:i/>
                <w:sz w:val="16"/>
              </w:rPr>
            </w:pPr>
            <w:r w:rsidRPr="00765E73">
              <w:rPr>
                <w:i/>
                <w:sz w:val="16"/>
              </w:rPr>
              <w:t>Gratuita por acuerdo</w:t>
            </w:r>
            <w:r w:rsidR="00481BF0">
              <w:rPr>
                <w:i/>
                <w:sz w:val="16"/>
              </w:rPr>
              <w:t xml:space="preserve"> </w:t>
            </w:r>
            <w:r w:rsidRPr="00765E73">
              <w:rPr>
                <w:i/>
                <w:sz w:val="16"/>
              </w:rPr>
              <w:t>del propietario</w:t>
            </w:r>
          </w:p>
        </w:tc>
        <w:tc>
          <w:tcPr>
            <w:tcW w:w="1292" w:type="dxa"/>
            <w:shd w:val="clear" w:color="auto" w:fill="auto"/>
            <w:vAlign w:val="bottom"/>
          </w:tcPr>
          <w:p w14:paraId="2DC73CA2" w14:textId="77777777" w:rsidR="007666A4" w:rsidRPr="00765E73" w:rsidRDefault="007666A4" w:rsidP="00765E73">
            <w:pPr>
              <w:pStyle w:val="SingleTxtG"/>
              <w:tabs>
                <w:tab w:val="clear" w:pos="1701"/>
                <w:tab w:val="clear" w:pos="2268"/>
                <w:tab w:val="clear" w:pos="2835"/>
              </w:tabs>
              <w:spacing w:before="80" w:after="80" w:line="200" w:lineRule="exact"/>
              <w:ind w:left="57" w:right="28"/>
              <w:jc w:val="right"/>
              <w:rPr>
                <w:i/>
                <w:sz w:val="16"/>
              </w:rPr>
            </w:pPr>
            <w:r w:rsidRPr="00765E73">
              <w:rPr>
                <w:i/>
                <w:sz w:val="16"/>
              </w:rPr>
              <w:t>Gratuita sin acuerdo del propietario</w:t>
            </w:r>
          </w:p>
        </w:tc>
        <w:tc>
          <w:tcPr>
            <w:tcW w:w="1167" w:type="dxa"/>
            <w:shd w:val="clear" w:color="auto" w:fill="auto"/>
            <w:vAlign w:val="bottom"/>
          </w:tcPr>
          <w:p w14:paraId="4F6DDDEE" w14:textId="77777777" w:rsidR="007666A4" w:rsidRPr="00765E73" w:rsidRDefault="007666A4" w:rsidP="00765E73">
            <w:pPr>
              <w:pStyle w:val="SingleTxtG"/>
              <w:tabs>
                <w:tab w:val="clear" w:pos="1701"/>
                <w:tab w:val="clear" w:pos="2268"/>
                <w:tab w:val="clear" w:pos="2835"/>
              </w:tabs>
              <w:spacing w:before="80" w:after="80" w:line="200" w:lineRule="exact"/>
              <w:ind w:left="57" w:right="28"/>
              <w:jc w:val="right"/>
              <w:rPr>
                <w:i/>
                <w:sz w:val="16"/>
              </w:rPr>
            </w:pPr>
            <w:r w:rsidRPr="00765E73">
              <w:rPr>
                <w:i/>
                <w:sz w:val="16"/>
              </w:rPr>
              <w:t>Campamento</w:t>
            </w:r>
          </w:p>
        </w:tc>
        <w:tc>
          <w:tcPr>
            <w:tcW w:w="1244" w:type="dxa"/>
            <w:shd w:val="clear" w:color="auto" w:fill="auto"/>
            <w:vAlign w:val="bottom"/>
          </w:tcPr>
          <w:p w14:paraId="44E7CD73" w14:textId="77777777" w:rsidR="007666A4" w:rsidRPr="00765E73" w:rsidRDefault="007666A4" w:rsidP="00765E73">
            <w:pPr>
              <w:pStyle w:val="SingleTxtG"/>
              <w:tabs>
                <w:tab w:val="clear" w:pos="1701"/>
                <w:tab w:val="clear" w:pos="2268"/>
                <w:tab w:val="clear" w:pos="2835"/>
              </w:tabs>
              <w:spacing w:before="80" w:after="80" w:line="200" w:lineRule="exact"/>
              <w:ind w:left="57" w:right="28"/>
              <w:jc w:val="right"/>
              <w:rPr>
                <w:i/>
                <w:sz w:val="16"/>
              </w:rPr>
            </w:pPr>
            <w:r w:rsidRPr="00765E73">
              <w:rPr>
                <w:i/>
                <w:sz w:val="16"/>
              </w:rPr>
              <w:t xml:space="preserve">Infravivienda </w:t>
            </w:r>
          </w:p>
        </w:tc>
      </w:tr>
      <w:tr w:rsidR="007666A4" w:rsidRPr="00765E73" w14:paraId="3C8AA572" w14:textId="77777777" w:rsidTr="00765E73">
        <w:trPr>
          <w:trHeight w:val="240"/>
        </w:trPr>
        <w:tc>
          <w:tcPr>
            <w:tcW w:w="1199" w:type="dxa"/>
            <w:shd w:val="clear" w:color="auto" w:fill="auto"/>
          </w:tcPr>
          <w:p w14:paraId="1C666B1D" w14:textId="2879D5B1"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74</w:t>
            </w:r>
            <w:r w:rsidR="00765E73">
              <w:rPr>
                <w:sz w:val="18"/>
              </w:rPr>
              <w:t>,</w:t>
            </w:r>
            <w:r w:rsidRPr="00765E73">
              <w:rPr>
                <w:sz w:val="18"/>
              </w:rPr>
              <w:t>1</w:t>
            </w:r>
          </w:p>
        </w:tc>
        <w:tc>
          <w:tcPr>
            <w:tcW w:w="1180" w:type="dxa"/>
            <w:shd w:val="clear" w:color="auto" w:fill="auto"/>
            <w:vAlign w:val="bottom"/>
          </w:tcPr>
          <w:p w14:paraId="20280683" w14:textId="72C9136F"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13</w:t>
            </w:r>
            <w:r w:rsidR="00765E73">
              <w:rPr>
                <w:sz w:val="18"/>
              </w:rPr>
              <w:t>,</w:t>
            </w:r>
            <w:r w:rsidRPr="00765E73">
              <w:rPr>
                <w:sz w:val="18"/>
              </w:rPr>
              <w:t>0</w:t>
            </w:r>
          </w:p>
        </w:tc>
        <w:tc>
          <w:tcPr>
            <w:tcW w:w="1292" w:type="dxa"/>
            <w:shd w:val="clear" w:color="auto" w:fill="auto"/>
            <w:vAlign w:val="bottom"/>
          </w:tcPr>
          <w:p w14:paraId="3A8E944D" w14:textId="16DB5FA1"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9</w:t>
            </w:r>
            <w:r w:rsidR="00765E73">
              <w:rPr>
                <w:sz w:val="18"/>
              </w:rPr>
              <w:t>,</w:t>
            </w:r>
            <w:r w:rsidRPr="00765E73">
              <w:rPr>
                <w:sz w:val="18"/>
              </w:rPr>
              <w:t>1</w:t>
            </w:r>
          </w:p>
        </w:tc>
        <w:tc>
          <w:tcPr>
            <w:tcW w:w="1292" w:type="dxa"/>
            <w:shd w:val="clear" w:color="auto" w:fill="auto"/>
            <w:vAlign w:val="bottom"/>
          </w:tcPr>
          <w:p w14:paraId="0ADC171B" w14:textId="37FA2B41"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5</w:t>
            </w:r>
            <w:r w:rsidR="00765E73">
              <w:rPr>
                <w:sz w:val="18"/>
              </w:rPr>
              <w:t>,</w:t>
            </w:r>
            <w:r w:rsidRPr="00765E73">
              <w:rPr>
                <w:sz w:val="18"/>
              </w:rPr>
              <w:t>0</w:t>
            </w:r>
          </w:p>
        </w:tc>
        <w:tc>
          <w:tcPr>
            <w:tcW w:w="1167" w:type="dxa"/>
            <w:shd w:val="clear" w:color="auto" w:fill="auto"/>
            <w:vAlign w:val="bottom"/>
          </w:tcPr>
          <w:p w14:paraId="386F2513" w14:textId="082F8313"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0</w:t>
            </w:r>
            <w:r w:rsidR="00765E73">
              <w:rPr>
                <w:sz w:val="18"/>
              </w:rPr>
              <w:t>,</w:t>
            </w:r>
            <w:r w:rsidRPr="00765E73">
              <w:rPr>
                <w:sz w:val="18"/>
              </w:rPr>
              <w:t>0</w:t>
            </w:r>
          </w:p>
        </w:tc>
        <w:tc>
          <w:tcPr>
            <w:tcW w:w="1244" w:type="dxa"/>
            <w:shd w:val="clear" w:color="auto" w:fill="auto"/>
            <w:vAlign w:val="bottom"/>
          </w:tcPr>
          <w:p w14:paraId="1AEE2192" w14:textId="77777777"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w:t>
            </w:r>
          </w:p>
        </w:tc>
      </w:tr>
    </w:tbl>
    <w:p w14:paraId="66B5486E" w14:textId="72267959" w:rsidR="007666A4" w:rsidRPr="007666A4" w:rsidRDefault="007666A4" w:rsidP="00765E73">
      <w:pPr>
        <w:pStyle w:val="SingleTxtG"/>
        <w:spacing w:before="240"/>
      </w:pPr>
      <w:r w:rsidRPr="007666A4">
        <w:t>219.</w:t>
      </w:r>
      <w:r w:rsidR="00765E73">
        <w:tab/>
      </w:r>
      <w:r w:rsidRPr="007666A4">
        <w:t>La Decisión núm. 244 del Consejo de Ministros (de 25 de julio de 2017) encomienda a las fuerzas de seguridad y a los equipos de respuesta rápida que se ocupen de las invasiones de propiedades del Estado. Obsérvese que esta cuestión se aborda en numerosas leyes vigentes.</w:t>
      </w:r>
    </w:p>
    <w:p w14:paraId="53A8891D" w14:textId="7B12A2FA" w:rsidR="007666A4" w:rsidRPr="007666A4" w:rsidRDefault="007666A4" w:rsidP="007666A4">
      <w:pPr>
        <w:pStyle w:val="SingleTxtG"/>
      </w:pPr>
      <w:r w:rsidRPr="007666A4">
        <w:t>220.</w:t>
      </w:r>
      <w:r w:rsidR="00765E73">
        <w:tab/>
      </w:r>
      <w:r w:rsidRPr="007666A4">
        <w:t>El 12 de marzo de 2019, el Consejo de Ministros resolvió reservar zonas adecuadas en las provincias, los distritos y los subdistritos para la ampliación de los límites municipales y la aplicación de partes del plan original que no se habían ejecutado anteriormente. Además, resolvió preparar mapas y diseños de acuerdo con las modernas normas técnicas de construcción que tengan en cuenta la futura expansión y las necesidades de las instituciones del Estado, respetando la privacidad, empleando nuevos materiales de construcción y reduciendo el uso de energía. Se demarcará el suelo residencial y se distribuirá entre determinados grupos de ciudadanos, entre ellos los cubiertos por la red de asistencia social, las personas con discapacidad y otros colectivos. El Ministerio de Vivienda, Construcción, Municipios y Obras Públicas aportará la financiación necesaria para cubrir los servicios básicos hasta que los beneficiarios puedan cobrar. El Ministerio construirá 33.000 viviendas de bajo coste en todo el país, salvo en la región del Kurdistán.</w:t>
      </w:r>
    </w:p>
    <w:p w14:paraId="03A0FF9F" w14:textId="3C3F59CE" w:rsidR="007666A4" w:rsidRPr="007666A4" w:rsidRDefault="007666A4" w:rsidP="007666A4">
      <w:pPr>
        <w:pStyle w:val="SingleTxtG"/>
      </w:pPr>
      <w:r w:rsidRPr="007666A4">
        <w:t>221.</w:t>
      </w:r>
      <w:r w:rsidR="00765E73">
        <w:tab/>
      </w:r>
      <w:r w:rsidRPr="007666A4">
        <w:t>En 2017, se formó, bajo los auspicios del comité para la aplicación de las recomendaciones en materia de reconciliación nacional, un comité ministerial específicamente encargado de resolver la cuestión de la usurpación en Mosul de viviendas de desplazados. Se elaboraron soluciones con arreglo a la ley y bajo la supervisión de los órganos judiciales.</w:t>
      </w:r>
    </w:p>
    <w:p w14:paraId="527B2152" w14:textId="0EB78889" w:rsidR="007666A4" w:rsidRPr="007666A4" w:rsidRDefault="00765E73" w:rsidP="00765E73">
      <w:pPr>
        <w:pStyle w:val="H23G"/>
      </w:pPr>
      <w:r>
        <w:tab/>
      </w:r>
      <w:r w:rsidR="007666A4" w:rsidRPr="007666A4">
        <w:tab/>
        <w:t>Recomendación que figura</w:t>
      </w:r>
      <w:r w:rsidR="007666A4" w:rsidRPr="007666A4" w:rsidDel="00D35640">
        <w:t xml:space="preserve"> </w:t>
      </w:r>
      <w:r w:rsidR="007666A4" w:rsidRPr="007666A4">
        <w:t>en el párrafo 50</w:t>
      </w:r>
    </w:p>
    <w:p w14:paraId="58BA2738" w14:textId="6C7D61C3" w:rsidR="007666A4" w:rsidRPr="007666A4" w:rsidRDefault="007666A4" w:rsidP="007666A4">
      <w:pPr>
        <w:pStyle w:val="SingleTxtG"/>
      </w:pPr>
      <w:r w:rsidRPr="007666A4">
        <w:t>222.</w:t>
      </w:r>
      <w:r w:rsidR="00765E73">
        <w:tab/>
      </w:r>
      <w:r w:rsidRPr="007666A4">
        <w:t>El plan de tarjetas de racionamiento electrónicas se sometió a los órganos competentes antes de su adopción definitiva para que la sesión legislativa ordinaria pudiera examinar sus repercusiones en la seguridad alimentaria.</w:t>
      </w:r>
    </w:p>
    <w:p w14:paraId="787F86C7" w14:textId="57714937" w:rsidR="007666A4" w:rsidRPr="007666A4" w:rsidRDefault="007666A4" w:rsidP="007666A4">
      <w:pPr>
        <w:pStyle w:val="SingleTxtG"/>
      </w:pPr>
      <w:r w:rsidRPr="007666A4">
        <w:t>223.</w:t>
      </w:r>
      <w:r w:rsidR="00765E73">
        <w:tab/>
      </w:r>
      <w:r w:rsidRPr="007666A4">
        <w:t>Como parte de la Estrategia para la Reducción de la Pobreza y en aplicación de las recomendaciones del comité superior para la reforma del sistema de tarjetas de racionamiento, constituido en virtud de la Orden Administrativa núm. 39/2015, se introdujo el plan piloto de tarjetas de racionamiento.</w:t>
      </w:r>
    </w:p>
    <w:p w14:paraId="4F626EA9" w14:textId="54A6DB01" w:rsidR="007666A4" w:rsidRPr="007666A4" w:rsidRDefault="007666A4" w:rsidP="007666A4">
      <w:pPr>
        <w:pStyle w:val="SingleTxtG"/>
      </w:pPr>
      <w:r w:rsidRPr="007666A4">
        <w:t>224.</w:t>
      </w:r>
      <w:r w:rsidR="00765E73">
        <w:tab/>
      </w:r>
      <w:r w:rsidRPr="007666A4">
        <w:t>Como miembro del Alta Comisión de Socorro y Acogida a las Familias Desplazadas, el Ministerio de Comercio se encarga de dar prioridad a la distribución mensual regular de raciones, con arreglo al régimen de tarjetas de racionamiento. Se vigila la asignación de la financiación necesaria en los presupuestos generales.</w:t>
      </w:r>
    </w:p>
    <w:p w14:paraId="0E3C38AB" w14:textId="698423CB" w:rsidR="007666A4" w:rsidRPr="007666A4" w:rsidRDefault="00765E73" w:rsidP="00765E73">
      <w:pPr>
        <w:pStyle w:val="H23G"/>
      </w:pPr>
      <w:r>
        <w:tab/>
      </w:r>
      <w:r>
        <w:tab/>
      </w:r>
      <w:r w:rsidR="007666A4" w:rsidRPr="007666A4">
        <w:t>Recomendación que figura</w:t>
      </w:r>
      <w:r w:rsidR="007666A4" w:rsidRPr="007666A4" w:rsidDel="00D35640">
        <w:t xml:space="preserve"> </w:t>
      </w:r>
      <w:r w:rsidR="007666A4" w:rsidRPr="007666A4">
        <w:t>en el párrafo 52</w:t>
      </w:r>
    </w:p>
    <w:p w14:paraId="3756A17B" w14:textId="6AE92A11" w:rsidR="007666A4" w:rsidRPr="007666A4" w:rsidRDefault="007666A4" w:rsidP="007666A4">
      <w:pPr>
        <w:pStyle w:val="SingleTxtG"/>
      </w:pPr>
      <w:r w:rsidRPr="007666A4">
        <w:t>225.</w:t>
      </w:r>
      <w:r w:rsidR="00765E73">
        <w:tab/>
      </w:r>
      <w:r w:rsidRPr="007666A4">
        <w:t xml:space="preserve">La Ley de Presupuestos Federales recoge las asignaciones anuales que se indican a continuación, que representan las subvenciones públicas a numerosos colectivos que viven por debajo del umbral de la pobreza. De estas asignaciones, cabe mencionar las subvenciones </w:t>
      </w:r>
      <w:r w:rsidRPr="007666A4">
        <w:lastRenderedPageBreak/>
        <w:t>a los agricultores (451.749 millones de dinares) y las subvenciones a la producción de trigo y arroz (1.520.758 millones de dinares).</w:t>
      </w:r>
    </w:p>
    <w:p w14:paraId="117DCFB7" w14:textId="257880C8" w:rsidR="007666A4" w:rsidRPr="007666A4" w:rsidRDefault="007666A4" w:rsidP="007666A4">
      <w:pPr>
        <w:pStyle w:val="SingleTxtG"/>
      </w:pPr>
      <w:r w:rsidRPr="007666A4">
        <w:t>226.</w:t>
      </w:r>
      <w:r w:rsidR="00765E73">
        <w:tab/>
      </w:r>
      <w:r w:rsidRPr="007666A4">
        <w:t>La Decisión del Consejo de Ministros núm. 8/2012 establece medidas para compensar a los agricultores por los daños sufridos debido a la sequía y adopta la recomendación del comité de asuntos económicos de presentar por separado al Consejo de Ministros las solicitudes de indemnización por desastres naturales; el Ministerio de Finanzas aseguró entonces la compensación con cargo a la reserva de emergencia del ejercicio 2012. Esta asignación se ha hecho efectiva.</w:t>
      </w:r>
    </w:p>
    <w:p w14:paraId="229665C4" w14:textId="36E84475" w:rsidR="007666A4" w:rsidRPr="007666A4" w:rsidRDefault="007666A4" w:rsidP="007666A4">
      <w:pPr>
        <w:pStyle w:val="SingleTxtG"/>
      </w:pPr>
      <w:r w:rsidRPr="007666A4">
        <w:t>227.</w:t>
      </w:r>
      <w:r w:rsidR="00765E73">
        <w:tab/>
      </w:r>
      <w:r w:rsidRPr="007666A4">
        <w:t>Los casos de diarrea, incluyendo el cólera, se controlan con una serie de medidas y mediante el suministro de agua potabilizada.</w:t>
      </w:r>
    </w:p>
    <w:p w14:paraId="7ECAD236" w14:textId="6AD5C629" w:rsidR="007666A4" w:rsidRPr="007666A4" w:rsidRDefault="007666A4" w:rsidP="00CD5AAE">
      <w:pPr>
        <w:pStyle w:val="SingleTxtG"/>
      </w:pPr>
      <w:r w:rsidRPr="007666A4">
        <w:t>228.</w:t>
      </w:r>
      <w:r w:rsidR="00765E73">
        <w:tab/>
      </w:r>
      <w:r w:rsidRPr="007666A4">
        <w:t xml:space="preserve">Con el fin de que el Iraq se adhiera al Convenio sobre la Protección y Utilización de los Cursos de Agua Transfronterizos y los Lagos Internacionales (Helsinki, 1992) </w:t>
      </w:r>
      <w:r w:rsidR="00CD5AAE" w:rsidRPr="00CD5AAE">
        <w:t>—</w:t>
      </w:r>
      <w:r w:rsidRPr="007666A4">
        <w:t>cuya enmienda entró en vigor el 6 de febrero de 2013</w:t>
      </w:r>
      <w:r w:rsidR="00CD5AAE" w:rsidRPr="00CD5AAE">
        <w:t>—</w:t>
      </w:r>
      <w:r w:rsidRPr="007666A4">
        <w:t>, el Consejo de Ministros aprobó el 25 de julio de 2018 el proyecto de ley de adhesión, que ha sido remitido a la Cámara de Representantes.</w:t>
      </w:r>
    </w:p>
    <w:p w14:paraId="45EF62CB" w14:textId="6EAD4A0B" w:rsidR="007666A4" w:rsidRPr="007666A4" w:rsidRDefault="007666A4" w:rsidP="007666A4">
      <w:pPr>
        <w:pStyle w:val="SingleTxtG"/>
      </w:pPr>
      <w:r w:rsidRPr="007666A4">
        <w:t>229.</w:t>
      </w:r>
      <w:r w:rsidR="00765E73">
        <w:tab/>
      </w:r>
      <w:r w:rsidRPr="007666A4">
        <w:t>El Iraq se adhirió a la Convención de Ramsar sobre los Humedales (1971) en 2007; las marismas del Iraq han sido incluidas en la lista de dicha Convención.</w:t>
      </w:r>
    </w:p>
    <w:p w14:paraId="0BADE548" w14:textId="2762C236" w:rsidR="007666A4" w:rsidRPr="007666A4" w:rsidRDefault="007666A4" w:rsidP="007666A4">
      <w:pPr>
        <w:pStyle w:val="SingleTxtG"/>
      </w:pPr>
      <w:r w:rsidRPr="007666A4">
        <w:t>230.</w:t>
      </w:r>
      <w:r w:rsidR="00765E73">
        <w:tab/>
      </w:r>
      <w:r w:rsidRPr="007666A4">
        <w:t>En 2013, el Iraq se adhirió a la Convención sobre el Derecho de los Usos de los Cursos de Agua Internacionales para Fines Distintos de la Navegación (1997).</w:t>
      </w:r>
    </w:p>
    <w:p w14:paraId="2941C556" w14:textId="1D590650" w:rsidR="007666A4" w:rsidRPr="007666A4" w:rsidRDefault="007666A4" w:rsidP="007666A4">
      <w:pPr>
        <w:pStyle w:val="SingleTxtG"/>
      </w:pPr>
      <w:r w:rsidRPr="007666A4">
        <w:t>231.</w:t>
      </w:r>
      <w:r w:rsidR="00765E73">
        <w:tab/>
      </w:r>
      <w:r w:rsidRPr="007666A4">
        <w:t>El Ministerio de Agricultura, en coordinación con el Ministerio de Recursos Hídricos, se encarga de asignar tierras agrícolas, incluidas tierras desérticas con una cuota de riego, a los trabajadores agrícolas desempleados que trabajaban a tiempo completo y otras personas. También es responsable de la creación de sociedades cooperativas especializadas para la explotación de una gran parcela agrícola sin fragmentarla. Se ha activado el Fondo de Préstamos Agrícolas en condiciones favorables y las sumas revertidas al Fondo de Iniciativa Agrícola se destinan a la concesión de préstamos a desempleados y a personas a las que se han asignado tierras agrícolas.</w:t>
      </w:r>
    </w:p>
    <w:p w14:paraId="5B3C4756" w14:textId="7B53F0E4" w:rsidR="007666A4" w:rsidRPr="007666A4" w:rsidRDefault="00765E73" w:rsidP="00765E73">
      <w:pPr>
        <w:pStyle w:val="H1G"/>
      </w:pPr>
      <w:r>
        <w:tab/>
      </w:r>
      <w:r w:rsidR="007666A4" w:rsidRPr="007666A4">
        <w:tab/>
        <w:t>Artículo 12 y recomendación que figura</w:t>
      </w:r>
      <w:r w:rsidR="007666A4" w:rsidRPr="007666A4" w:rsidDel="00D35640">
        <w:t xml:space="preserve"> </w:t>
      </w:r>
      <w:r w:rsidR="007666A4" w:rsidRPr="007666A4">
        <w:t xml:space="preserve">en el párrafo 54 </w:t>
      </w:r>
    </w:p>
    <w:p w14:paraId="328998F1" w14:textId="5E4D661E" w:rsidR="007666A4" w:rsidRPr="007666A4" w:rsidRDefault="00765E73" w:rsidP="00765E73">
      <w:pPr>
        <w:pStyle w:val="H23G"/>
      </w:pPr>
      <w:r>
        <w:tab/>
      </w:r>
      <w:r w:rsidR="007666A4" w:rsidRPr="007666A4">
        <w:tab/>
        <w:t>Párrafo 54</w:t>
      </w:r>
    </w:p>
    <w:p w14:paraId="63BD2233" w14:textId="59B32B48" w:rsidR="007666A4" w:rsidRPr="007666A4" w:rsidRDefault="007666A4" w:rsidP="007666A4">
      <w:pPr>
        <w:pStyle w:val="SingleTxtG"/>
      </w:pPr>
      <w:r w:rsidRPr="007666A4">
        <w:t>232.</w:t>
      </w:r>
      <w:r w:rsidR="00765E73">
        <w:tab/>
      </w:r>
      <w:r w:rsidRPr="007666A4">
        <w:t xml:space="preserve">El artículo 31.1 de la Constitución establece que todo “iraquí tiene derecho a la asistencia sanitaria”. El Estado se ocupará de la salud pública y proporcionará medios de prevención y tratamiento mediante la construcción de diferentes tipos de hospitales e instituciones sanitarias. El artículo 32 estipula que el Estado se ocupará de las personas con discapacidad </w:t>
      </w:r>
      <w:r w:rsidR="00D95708">
        <w:t>y</w:t>
      </w:r>
      <w:r w:rsidRPr="007666A4">
        <w:t xml:space="preserve"> con necesidades especiales y garantizará su rehabilitación para reintegrarlas en la sociedad; esto se regulará por ley. La Ley núm. 38/2013 se promulgó en aplicación de las disposiciones constitucionales anteriores.</w:t>
      </w:r>
    </w:p>
    <w:p w14:paraId="69D5F7C2" w14:textId="3A64AB0B" w:rsidR="007666A4" w:rsidRPr="007666A4" w:rsidRDefault="007666A4" w:rsidP="007666A4">
      <w:pPr>
        <w:pStyle w:val="SingleTxtG"/>
      </w:pPr>
      <w:r w:rsidRPr="007666A4">
        <w:t>233.</w:t>
      </w:r>
      <w:r w:rsidR="00765E73">
        <w:tab/>
      </w:r>
      <w:r w:rsidRPr="007666A4">
        <w:t>El presupuesto sanitario total para 2017 ascendió a 3.834.515 millones de dinares, excluyendo la región del Kurdistán, lo que representa una cuota per cápita de 120.000 dinares, excluyendo la región del Kurdistán.</w:t>
      </w:r>
    </w:p>
    <w:p w14:paraId="508EC9A2" w14:textId="56E4C5CB" w:rsidR="007666A4" w:rsidRPr="007666A4" w:rsidRDefault="007666A4" w:rsidP="007666A4">
      <w:pPr>
        <w:pStyle w:val="SingleTxtG"/>
      </w:pPr>
      <w:r w:rsidRPr="007666A4">
        <w:t>234.</w:t>
      </w:r>
      <w:r w:rsidR="00765E73">
        <w:tab/>
      </w:r>
      <w:r w:rsidRPr="007666A4">
        <w:t>La situación sanitaria en el Iraq ha mejorado en las dos últimas décadas, y la esperanza media de vida al nacer ha pasado de 58,2 años en 2006 a 69,3 en 2014 y 70,3 en 2017. Esto es un reflejo del progreso en los niveles de atención sanitaria al ciudadano, pese a la situación de seguridad en el país. La tasa de crecimiento demográfico es del 2,2 %. El gasto en salud representó el 3,18 % del gasto público total en 2017. El gasto en salud en la región del Kurdistán fue del 5,77 % del presupuesto de la región.</w:t>
      </w:r>
    </w:p>
    <w:p w14:paraId="10DA24DF" w14:textId="000C4B76" w:rsidR="007666A4" w:rsidRPr="007666A4" w:rsidRDefault="007666A4" w:rsidP="007666A4">
      <w:pPr>
        <w:pStyle w:val="SingleTxtG"/>
      </w:pPr>
      <w:r w:rsidRPr="007666A4">
        <w:t>235.</w:t>
      </w:r>
      <w:r w:rsidR="00765E73">
        <w:tab/>
      </w:r>
      <w:r w:rsidRPr="007666A4">
        <w:t>El número de infecciones y muertes por VIH/sida, desglosadas por sexo y por provincia en todo el país se situó en 95 y 7, respectivamente, en 2017; los que más se infectaron fueron hombres, 85 en total, frente a 10 mujeres.</w:t>
      </w:r>
    </w:p>
    <w:p w14:paraId="1BC52A66" w14:textId="0A117A82" w:rsidR="007666A4" w:rsidRPr="007666A4" w:rsidRDefault="007666A4" w:rsidP="007666A4">
      <w:pPr>
        <w:pStyle w:val="SingleTxtG"/>
      </w:pPr>
      <w:r w:rsidRPr="007666A4">
        <w:t>236.</w:t>
      </w:r>
      <w:r w:rsidR="00765E73">
        <w:tab/>
      </w:r>
      <w:r w:rsidRPr="007666A4">
        <w:t>Las zonas liberadas de Al-Anbar, Salah al-Din, Kirkuk y Nínive han recibido pastillas para potabilizar el agua y se han tomado medidas para concienciar sobre los riesgos sanitarios y medioambientales.</w:t>
      </w:r>
    </w:p>
    <w:p w14:paraId="75F8450C" w14:textId="1B7BA262" w:rsidR="007666A4" w:rsidRPr="007666A4" w:rsidRDefault="007666A4" w:rsidP="007666A4">
      <w:pPr>
        <w:pStyle w:val="SingleTxtG"/>
      </w:pPr>
      <w:r w:rsidRPr="007666A4">
        <w:lastRenderedPageBreak/>
        <w:t>237.</w:t>
      </w:r>
      <w:r w:rsidR="00765E73">
        <w:tab/>
      </w:r>
      <w:r w:rsidRPr="007666A4">
        <w:t xml:space="preserve">El Ministerio de Sanidad formuló un plan estratégico para 2013-2017, centrado en la creación de un sistema de atención sanitaria basado en la atención primaria y la prestación de servicios sanitarios que satisfagan las necesidades del individuo y la sociedad de acuerdo, en la medida de lo posible, con las normas mundiales, garantizando la prestación sostenida de servicios sanitarios de alta calidad en todos los niveles (primario, secundario y terciario) y la integración de los servicios del sector público y privado. El presupuesto del Ministerio representa el 5 % del presupuesto total del Estado. Las asignaciones para el tratamiento de pacientes fuera del Iraq aumentaron en 30.262.801 dólares de los </w:t>
      </w:r>
      <w:r w:rsidR="00CD5AAE">
        <w:t>Estados Unidos</w:t>
      </w:r>
      <w:r w:rsidRPr="007666A4">
        <w:t xml:space="preserve"> para cubrir un mayor número de enfermos en 2015.</w:t>
      </w:r>
    </w:p>
    <w:p w14:paraId="507DCDD3" w14:textId="594AF5CA" w:rsidR="007666A4" w:rsidRPr="007666A4" w:rsidRDefault="007666A4" w:rsidP="007666A4">
      <w:pPr>
        <w:pStyle w:val="SingleTxtG"/>
      </w:pPr>
      <w:r w:rsidRPr="007666A4">
        <w:t>238.</w:t>
      </w:r>
      <w:r w:rsidR="00765E73">
        <w:tab/>
      </w:r>
      <w:r w:rsidRPr="007666A4">
        <w:t xml:space="preserve">El Ministerio de Finanzas asigna anualmente fondos a la cuenta de medicamentos, lo que permite al Ministerio de Salud y a las delegaciones del Ministerio en las provincias comprar medicamentos para cubrir al mayor número posible de personas, en particular a las familias de bajos ingresos, como se indica a continuación: </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638"/>
        <w:gridCol w:w="1433"/>
        <w:gridCol w:w="1433"/>
        <w:gridCol w:w="1433"/>
        <w:gridCol w:w="1433"/>
      </w:tblGrid>
      <w:tr w:rsidR="007666A4" w:rsidRPr="00765E73" w14:paraId="5517AEB9" w14:textId="77777777" w:rsidTr="00765E73">
        <w:trPr>
          <w:trHeight w:val="240"/>
          <w:tblHeader/>
        </w:trPr>
        <w:tc>
          <w:tcPr>
            <w:tcW w:w="2143" w:type="dxa"/>
            <w:vMerge w:val="restart"/>
            <w:tcBorders>
              <w:top w:val="single" w:sz="4" w:space="0" w:color="auto"/>
              <w:bottom w:val="single" w:sz="4" w:space="0" w:color="auto"/>
            </w:tcBorders>
            <w:shd w:val="clear" w:color="auto" w:fill="auto"/>
            <w:vAlign w:val="bottom"/>
          </w:tcPr>
          <w:p w14:paraId="054E0A39" w14:textId="77777777" w:rsidR="007666A4" w:rsidRPr="00765E73" w:rsidRDefault="007666A4" w:rsidP="00765E73">
            <w:pPr>
              <w:pStyle w:val="SingleTxtG"/>
              <w:tabs>
                <w:tab w:val="clear" w:pos="1701"/>
                <w:tab w:val="clear" w:pos="2268"/>
                <w:tab w:val="clear" w:pos="2835"/>
              </w:tabs>
              <w:spacing w:before="80" w:after="80" w:line="200" w:lineRule="exact"/>
              <w:ind w:left="0" w:right="0"/>
              <w:jc w:val="left"/>
              <w:rPr>
                <w:i/>
                <w:sz w:val="16"/>
              </w:rPr>
            </w:pPr>
            <w:r w:rsidRPr="00765E73">
              <w:rPr>
                <w:i/>
                <w:sz w:val="16"/>
              </w:rPr>
              <w:t>Nombre de la cuenta</w:t>
            </w:r>
          </w:p>
        </w:tc>
        <w:tc>
          <w:tcPr>
            <w:tcW w:w="7496" w:type="dxa"/>
            <w:gridSpan w:val="4"/>
            <w:tcBorders>
              <w:top w:val="single" w:sz="4" w:space="0" w:color="auto"/>
              <w:bottom w:val="single" w:sz="4" w:space="0" w:color="auto"/>
            </w:tcBorders>
            <w:shd w:val="clear" w:color="auto" w:fill="auto"/>
            <w:vAlign w:val="bottom"/>
          </w:tcPr>
          <w:p w14:paraId="1DEAD5C5" w14:textId="77777777" w:rsidR="007666A4" w:rsidRPr="00765E73" w:rsidRDefault="007666A4" w:rsidP="00765E73">
            <w:pPr>
              <w:pStyle w:val="SingleTxtG"/>
              <w:tabs>
                <w:tab w:val="clear" w:pos="1701"/>
                <w:tab w:val="clear" w:pos="2268"/>
                <w:tab w:val="clear" w:pos="2835"/>
              </w:tabs>
              <w:spacing w:before="80" w:after="80" w:line="200" w:lineRule="exact"/>
              <w:ind w:left="0" w:right="0"/>
              <w:jc w:val="center"/>
              <w:rPr>
                <w:i/>
                <w:sz w:val="16"/>
              </w:rPr>
            </w:pPr>
            <w:r w:rsidRPr="00765E73">
              <w:rPr>
                <w:i/>
                <w:sz w:val="16"/>
              </w:rPr>
              <w:t>Años</w:t>
            </w:r>
          </w:p>
        </w:tc>
      </w:tr>
      <w:tr w:rsidR="007666A4" w:rsidRPr="00765E73" w14:paraId="26630DD3" w14:textId="77777777" w:rsidTr="00765E73">
        <w:trPr>
          <w:trHeight w:val="240"/>
          <w:tblHeader/>
        </w:trPr>
        <w:tc>
          <w:tcPr>
            <w:tcW w:w="2143" w:type="dxa"/>
            <w:vMerge/>
            <w:tcBorders>
              <w:top w:val="single" w:sz="4" w:space="0" w:color="auto"/>
              <w:bottom w:val="single" w:sz="12" w:space="0" w:color="auto"/>
            </w:tcBorders>
            <w:shd w:val="clear" w:color="auto" w:fill="auto"/>
            <w:vAlign w:val="bottom"/>
          </w:tcPr>
          <w:p w14:paraId="0896C5FA" w14:textId="77777777" w:rsidR="007666A4" w:rsidRPr="00765E73" w:rsidRDefault="007666A4" w:rsidP="00765E73">
            <w:pPr>
              <w:pStyle w:val="SingleTxtG"/>
              <w:tabs>
                <w:tab w:val="clear" w:pos="1701"/>
                <w:tab w:val="clear" w:pos="2268"/>
                <w:tab w:val="clear" w:pos="2835"/>
              </w:tabs>
              <w:spacing w:before="40" w:after="40" w:line="220" w:lineRule="exact"/>
              <w:ind w:left="0" w:right="0"/>
              <w:jc w:val="left"/>
              <w:rPr>
                <w:sz w:val="18"/>
              </w:rPr>
            </w:pPr>
          </w:p>
        </w:tc>
        <w:tc>
          <w:tcPr>
            <w:tcW w:w="1874" w:type="dxa"/>
            <w:tcBorders>
              <w:top w:val="single" w:sz="4" w:space="0" w:color="auto"/>
              <w:bottom w:val="single" w:sz="12" w:space="0" w:color="auto"/>
            </w:tcBorders>
            <w:shd w:val="clear" w:color="auto" w:fill="auto"/>
            <w:vAlign w:val="bottom"/>
          </w:tcPr>
          <w:p w14:paraId="1B35C856" w14:textId="77777777" w:rsidR="007666A4" w:rsidRPr="00765E73" w:rsidRDefault="007666A4" w:rsidP="00765E73">
            <w:pPr>
              <w:pStyle w:val="SingleTxtG"/>
              <w:tabs>
                <w:tab w:val="clear" w:pos="1701"/>
                <w:tab w:val="clear" w:pos="2268"/>
                <w:tab w:val="clear" w:pos="2835"/>
              </w:tabs>
              <w:spacing w:before="80" w:after="80" w:line="200" w:lineRule="exact"/>
              <w:ind w:left="57" w:right="28"/>
              <w:jc w:val="right"/>
              <w:rPr>
                <w:i/>
                <w:sz w:val="16"/>
              </w:rPr>
            </w:pPr>
            <w:r w:rsidRPr="00765E73">
              <w:rPr>
                <w:i/>
                <w:sz w:val="16"/>
              </w:rPr>
              <w:t>2016</w:t>
            </w:r>
          </w:p>
        </w:tc>
        <w:tc>
          <w:tcPr>
            <w:tcW w:w="1874" w:type="dxa"/>
            <w:tcBorders>
              <w:top w:val="single" w:sz="4" w:space="0" w:color="auto"/>
              <w:bottom w:val="single" w:sz="12" w:space="0" w:color="auto"/>
            </w:tcBorders>
            <w:shd w:val="clear" w:color="auto" w:fill="auto"/>
            <w:vAlign w:val="bottom"/>
          </w:tcPr>
          <w:p w14:paraId="79534DC6" w14:textId="77777777" w:rsidR="007666A4" w:rsidRPr="00765E73" w:rsidRDefault="007666A4" w:rsidP="00765E73">
            <w:pPr>
              <w:pStyle w:val="SingleTxtG"/>
              <w:tabs>
                <w:tab w:val="clear" w:pos="1701"/>
                <w:tab w:val="clear" w:pos="2268"/>
                <w:tab w:val="clear" w:pos="2835"/>
              </w:tabs>
              <w:spacing w:before="80" w:after="80" w:line="200" w:lineRule="exact"/>
              <w:ind w:left="57" w:right="28"/>
              <w:jc w:val="right"/>
              <w:rPr>
                <w:i/>
                <w:sz w:val="16"/>
              </w:rPr>
            </w:pPr>
            <w:r w:rsidRPr="00765E73">
              <w:rPr>
                <w:i/>
                <w:sz w:val="16"/>
              </w:rPr>
              <w:t>2017</w:t>
            </w:r>
          </w:p>
        </w:tc>
        <w:tc>
          <w:tcPr>
            <w:tcW w:w="1874" w:type="dxa"/>
            <w:tcBorders>
              <w:top w:val="single" w:sz="4" w:space="0" w:color="auto"/>
              <w:bottom w:val="single" w:sz="12" w:space="0" w:color="auto"/>
            </w:tcBorders>
            <w:shd w:val="clear" w:color="auto" w:fill="auto"/>
            <w:vAlign w:val="bottom"/>
          </w:tcPr>
          <w:p w14:paraId="0BDBB086" w14:textId="77777777" w:rsidR="007666A4" w:rsidRPr="00765E73" w:rsidRDefault="007666A4" w:rsidP="00765E73">
            <w:pPr>
              <w:pStyle w:val="SingleTxtG"/>
              <w:tabs>
                <w:tab w:val="clear" w:pos="1701"/>
                <w:tab w:val="clear" w:pos="2268"/>
                <w:tab w:val="clear" w:pos="2835"/>
              </w:tabs>
              <w:spacing w:before="80" w:after="80" w:line="200" w:lineRule="exact"/>
              <w:ind w:left="57" w:right="28"/>
              <w:jc w:val="right"/>
              <w:rPr>
                <w:i/>
                <w:sz w:val="16"/>
              </w:rPr>
            </w:pPr>
            <w:r w:rsidRPr="00765E73">
              <w:rPr>
                <w:i/>
                <w:sz w:val="16"/>
              </w:rPr>
              <w:t>2018</w:t>
            </w:r>
          </w:p>
        </w:tc>
        <w:tc>
          <w:tcPr>
            <w:tcW w:w="1874" w:type="dxa"/>
            <w:tcBorders>
              <w:top w:val="single" w:sz="4" w:space="0" w:color="auto"/>
              <w:bottom w:val="single" w:sz="12" w:space="0" w:color="auto"/>
            </w:tcBorders>
            <w:shd w:val="clear" w:color="auto" w:fill="auto"/>
            <w:vAlign w:val="bottom"/>
          </w:tcPr>
          <w:p w14:paraId="060FC772" w14:textId="77777777" w:rsidR="007666A4" w:rsidRPr="00765E73" w:rsidRDefault="007666A4" w:rsidP="00765E73">
            <w:pPr>
              <w:pStyle w:val="SingleTxtG"/>
              <w:tabs>
                <w:tab w:val="clear" w:pos="1701"/>
                <w:tab w:val="clear" w:pos="2268"/>
                <w:tab w:val="clear" w:pos="2835"/>
              </w:tabs>
              <w:spacing w:before="80" w:after="80" w:line="200" w:lineRule="exact"/>
              <w:ind w:left="57" w:right="28"/>
              <w:jc w:val="right"/>
              <w:rPr>
                <w:i/>
                <w:sz w:val="16"/>
              </w:rPr>
            </w:pPr>
            <w:r w:rsidRPr="00765E73">
              <w:rPr>
                <w:i/>
                <w:sz w:val="16"/>
              </w:rPr>
              <w:t>2019</w:t>
            </w:r>
          </w:p>
        </w:tc>
      </w:tr>
      <w:tr w:rsidR="007666A4" w:rsidRPr="00765E73" w14:paraId="7F8C6CFF" w14:textId="77777777" w:rsidTr="00765E73">
        <w:trPr>
          <w:trHeight w:val="240"/>
        </w:trPr>
        <w:tc>
          <w:tcPr>
            <w:tcW w:w="2143" w:type="dxa"/>
            <w:tcBorders>
              <w:top w:val="single" w:sz="12" w:space="0" w:color="auto"/>
              <w:bottom w:val="single" w:sz="12" w:space="0" w:color="auto"/>
            </w:tcBorders>
            <w:shd w:val="clear" w:color="auto" w:fill="auto"/>
          </w:tcPr>
          <w:p w14:paraId="41160DFA" w14:textId="77777777" w:rsidR="007666A4" w:rsidRPr="00765E73" w:rsidRDefault="007666A4" w:rsidP="00765E73">
            <w:pPr>
              <w:pStyle w:val="SingleTxtG"/>
              <w:tabs>
                <w:tab w:val="clear" w:pos="1701"/>
                <w:tab w:val="clear" w:pos="2268"/>
                <w:tab w:val="clear" w:pos="2835"/>
              </w:tabs>
              <w:spacing w:before="40" w:after="40" w:line="220" w:lineRule="exact"/>
              <w:ind w:left="0" w:right="0"/>
              <w:jc w:val="left"/>
              <w:rPr>
                <w:sz w:val="18"/>
              </w:rPr>
            </w:pPr>
            <w:r w:rsidRPr="00765E73">
              <w:rPr>
                <w:sz w:val="18"/>
              </w:rPr>
              <w:t>Medicamentos</w:t>
            </w:r>
          </w:p>
        </w:tc>
        <w:tc>
          <w:tcPr>
            <w:tcW w:w="1874" w:type="dxa"/>
            <w:tcBorders>
              <w:top w:val="single" w:sz="12" w:space="0" w:color="auto"/>
              <w:bottom w:val="single" w:sz="12" w:space="0" w:color="auto"/>
            </w:tcBorders>
            <w:shd w:val="clear" w:color="auto" w:fill="auto"/>
            <w:vAlign w:val="bottom"/>
          </w:tcPr>
          <w:p w14:paraId="0622FDC0" w14:textId="77777777"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1 515 063</w:t>
            </w:r>
          </w:p>
        </w:tc>
        <w:tc>
          <w:tcPr>
            <w:tcW w:w="1874" w:type="dxa"/>
            <w:tcBorders>
              <w:top w:val="single" w:sz="12" w:space="0" w:color="auto"/>
              <w:bottom w:val="single" w:sz="12" w:space="0" w:color="auto"/>
            </w:tcBorders>
            <w:shd w:val="clear" w:color="auto" w:fill="auto"/>
            <w:vAlign w:val="bottom"/>
          </w:tcPr>
          <w:p w14:paraId="076D5EA2" w14:textId="77777777"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645 970</w:t>
            </w:r>
          </w:p>
        </w:tc>
        <w:tc>
          <w:tcPr>
            <w:tcW w:w="1874" w:type="dxa"/>
            <w:tcBorders>
              <w:top w:val="single" w:sz="12" w:space="0" w:color="auto"/>
              <w:bottom w:val="single" w:sz="12" w:space="0" w:color="auto"/>
            </w:tcBorders>
            <w:shd w:val="clear" w:color="auto" w:fill="auto"/>
            <w:vAlign w:val="bottom"/>
          </w:tcPr>
          <w:p w14:paraId="09D422F4" w14:textId="77777777"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900 000</w:t>
            </w:r>
          </w:p>
        </w:tc>
        <w:tc>
          <w:tcPr>
            <w:tcW w:w="1874" w:type="dxa"/>
            <w:tcBorders>
              <w:top w:val="single" w:sz="12" w:space="0" w:color="auto"/>
              <w:bottom w:val="single" w:sz="12" w:space="0" w:color="auto"/>
            </w:tcBorders>
            <w:shd w:val="clear" w:color="auto" w:fill="auto"/>
            <w:vAlign w:val="bottom"/>
          </w:tcPr>
          <w:p w14:paraId="2A4DA3AA" w14:textId="77777777"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1 500 000</w:t>
            </w:r>
          </w:p>
        </w:tc>
      </w:tr>
    </w:tbl>
    <w:p w14:paraId="7C01F143" w14:textId="2A70D5B4" w:rsidR="007666A4" w:rsidRPr="007666A4" w:rsidRDefault="00765E73" w:rsidP="00765E73">
      <w:pPr>
        <w:pStyle w:val="H1G"/>
      </w:pPr>
      <w:r>
        <w:tab/>
      </w:r>
      <w:r>
        <w:tab/>
      </w:r>
      <w:r w:rsidR="007666A4" w:rsidRPr="007666A4">
        <w:t>Artículos 13 y 14, y recomendación que figura en el párrafo 56</w:t>
      </w:r>
    </w:p>
    <w:p w14:paraId="7191985D" w14:textId="0D3F309B" w:rsidR="007666A4" w:rsidRPr="007666A4" w:rsidRDefault="007666A4" w:rsidP="007666A4">
      <w:pPr>
        <w:pStyle w:val="SingleTxtG"/>
      </w:pPr>
      <w:r w:rsidRPr="007666A4">
        <w:t>239.</w:t>
      </w:r>
      <w:r w:rsidR="00765E73">
        <w:tab/>
      </w:r>
      <w:r w:rsidRPr="007666A4">
        <w:t>Las instituciones del Iraq han adoptado una serie de medidas destinadas a aplicar esta recomendación, a saber:</w:t>
      </w:r>
    </w:p>
    <w:p w14:paraId="798F1FE4" w14:textId="2D122E57" w:rsidR="007666A4" w:rsidRPr="002435E8" w:rsidRDefault="007666A4" w:rsidP="002435E8">
      <w:pPr>
        <w:pStyle w:val="Bullet1G"/>
        <w:numPr>
          <w:ilvl w:val="0"/>
          <w:numId w:val="5"/>
        </w:numPr>
        <w:tabs>
          <w:tab w:val="clear" w:pos="2268"/>
          <w:tab w:val="num" w:pos="1701"/>
        </w:tabs>
        <w:ind w:left="1701"/>
        <w:rPr>
          <w:rFonts w:eastAsiaTheme="minorEastAsia"/>
        </w:rPr>
      </w:pPr>
      <w:r w:rsidRPr="002435E8">
        <w:rPr>
          <w:rFonts w:eastAsiaTheme="minorEastAsia"/>
        </w:rPr>
        <w:t>Transferir a los alumnos de las escuelas nocturnas a las matinales para que continúen sus estudios y no los abandonen.</w:t>
      </w:r>
    </w:p>
    <w:p w14:paraId="02C774A1" w14:textId="69C19B1F" w:rsidR="007666A4" w:rsidRPr="002435E8" w:rsidRDefault="007666A4" w:rsidP="002435E8">
      <w:pPr>
        <w:pStyle w:val="Bullet1G"/>
        <w:numPr>
          <w:ilvl w:val="0"/>
          <w:numId w:val="5"/>
        </w:numPr>
        <w:tabs>
          <w:tab w:val="clear" w:pos="2268"/>
          <w:tab w:val="num" w:pos="1701"/>
        </w:tabs>
        <w:ind w:left="1701"/>
        <w:rPr>
          <w:rFonts w:eastAsiaTheme="minorEastAsia"/>
        </w:rPr>
      </w:pPr>
      <w:r w:rsidRPr="002435E8">
        <w:rPr>
          <w:rFonts w:eastAsiaTheme="minorEastAsia"/>
        </w:rPr>
        <w:t>Admitir a los alumnos como externos, a distancia, para hacer frente a los casos de enfermedad, analfabetismo, etc.; hacer que los alumnos se presenten a los exámenes semestrales y de fin de curso; obtener la aprobación del Ministro de Educación para ampliar los periodos de matriculación y asistencia a distancia para todos los alumnos; ampliar el periodo de matriculación para los alumnos que no se hayan inscrito por motivos médicos o de seguridad o por amenazas tribales; reincorporar a todos los alumnos sin excepción; permitir que todos los alumnos que hayan superado la edad reglamentaria sigan estudiando en la escuela nocturna; y permitir que los alumnos que hayan terminado sus estudios vuelvan a las aulas.</w:t>
      </w:r>
    </w:p>
    <w:p w14:paraId="38D1EF46" w14:textId="29C05634" w:rsidR="007666A4" w:rsidRPr="007666A4" w:rsidRDefault="007666A4" w:rsidP="007666A4">
      <w:pPr>
        <w:pStyle w:val="SingleTxtG"/>
      </w:pPr>
      <w:r w:rsidRPr="007666A4">
        <w:t>240.</w:t>
      </w:r>
      <w:r w:rsidR="00765E73">
        <w:tab/>
      </w:r>
      <w:r w:rsidRPr="007666A4">
        <w:t>Inclusión de varias escuelas a fin de vincularlas a la región educativa de la UNESCO e inclusión de alumnos de primaria en el régimen de educación a distancia (por libre) en el año escolar 2017/18; reincorporación de alumnos a los que se les pasó el plazo de inscripción para el año en curso; cancelación de avisos de expulsión; y facilitación del traslado de alumnos entre las provincias y en el interior de una misma provincia.</w:t>
      </w:r>
    </w:p>
    <w:p w14:paraId="5322B47E" w14:textId="02D2A574" w:rsidR="007666A4" w:rsidRDefault="007666A4" w:rsidP="00765E73">
      <w:pPr>
        <w:pStyle w:val="SingleTxtG"/>
      </w:pPr>
      <w:r w:rsidRPr="007666A4">
        <w:t>241.</w:t>
      </w:r>
      <w:r w:rsidR="00765E73">
        <w:tab/>
      </w:r>
      <w:r w:rsidRPr="007666A4">
        <w:t>En 2016, se abrieron 322 escuelas y clases de aprendizaje acelerado en todo el país para atraer a los alumnos en el grupo de edad de 12 a 18 años que perdieron cursos o dejaron los estudios en primaria.</w:t>
      </w:r>
    </w:p>
    <w:p w14:paraId="6621F59B" w14:textId="5E73FD1E" w:rsidR="00AE63D7" w:rsidRPr="00AE63D7" w:rsidRDefault="00AE63D7" w:rsidP="00AE63D7">
      <w:pPr>
        <w:pStyle w:val="H23G"/>
        <w:rPr>
          <w:iCs/>
        </w:rPr>
      </w:pPr>
      <w:r w:rsidRPr="00AE63D7">
        <w:rPr>
          <w:iCs/>
        </w:rPr>
        <w:tab/>
      </w:r>
      <w:r w:rsidRPr="00AE63D7">
        <w:rPr>
          <w:iCs/>
        </w:rPr>
        <w:tab/>
        <w:t>Proporción de mujeres y hombres en la educación primaria, secundaria y universitaria (2014-2015-2016)</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830"/>
        <w:gridCol w:w="1744"/>
        <w:gridCol w:w="1887"/>
        <w:gridCol w:w="1909"/>
      </w:tblGrid>
      <w:tr w:rsidR="007666A4" w:rsidRPr="00765E73" w14:paraId="09317745" w14:textId="77777777" w:rsidTr="00AE63D7">
        <w:trPr>
          <w:trHeight w:val="240"/>
        </w:trPr>
        <w:tc>
          <w:tcPr>
            <w:tcW w:w="1830" w:type="dxa"/>
            <w:tcBorders>
              <w:top w:val="single" w:sz="4" w:space="0" w:color="auto"/>
              <w:bottom w:val="single" w:sz="12" w:space="0" w:color="auto"/>
            </w:tcBorders>
            <w:shd w:val="clear" w:color="auto" w:fill="auto"/>
          </w:tcPr>
          <w:p w14:paraId="10E7C5EE" w14:textId="77777777" w:rsidR="007666A4" w:rsidRPr="00765E73" w:rsidRDefault="007666A4" w:rsidP="00765E73">
            <w:pPr>
              <w:pStyle w:val="SingleTxtG"/>
              <w:tabs>
                <w:tab w:val="clear" w:pos="1701"/>
                <w:tab w:val="clear" w:pos="2268"/>
                <w:tab w:val="clear" w:pos="2835"/>
              </w:tabs>
              <w:spacing w:before="80" w:after="80" w:line="200" w:lineRule="exact"/>
              <w:ind w:left="0" w:right="0"/>
              <w:jc w:val="left"/>
              <w:rPr>
                <w:sz w:val="18"/>
              </w:rPr>
            </w:pPr>
            <w:r w:rsidRPr="00765E73">
              <w:rPr>
                <w:i/>
                <w:iCs/>
                <w:sz w:val="18"/>
              </w:rPr>
              <w:t xml:space="preserve">Año </w:t>
            </w:r>
            <w:r w:rsidRPr="00765E73">
              <w:rPr>
                <w:i/>
                <w:sz w:val="16"/>
              </w:rPr>
              <w:t>académico</w:t>
            </w:r>
          </w:p>
        </w:tc>
        <w:tc>
          <w:tcPr>
            <w:tcW w:w="1744" w:type="dxa"/>
            <w:tcBorders>
              <w:top w:val="single" w:sz="4" w:space="0" w:color="auto"/>
              <w:bottom w:val="single" w:sz="12" w:space="0" w:color="auto"/>
            </w:tcBorders>
            <w:shd w:val="clear" w:color="auto" w:fill="auto"/>
          </w:tcPr>
          <w:p w14:paraId="26A0E379" w14:textId="77777777" w:rsidR="007666A4" w:rsidRPr="00765E73" w:rsidRDefault="007666A4" w:rsidP="00765E73">
            <w:pPr>
              <w:pStyle w:val="SingleTxtG"/>
              <w:tabs>
                <w:tab w:val="clear" w:pos="1701"/>
                <w:tab w:val="clear" w:pos="2268"/>
                <w:tab w:val="clear" w:pos="2835"/>
              </w:tabs>
              <w:spacing w:before="80" w:after="80" w:line="200" w:lineRule="exact"/>
              <w:ind w:left="57" w:right="28"/>
              <w:jc w:val="right"/>
              <w:rPr>
                <w:i/>
                <w:sz w:val="16"/>
              </w:rPr>
            </w:pPr>
            <w:r w:rsidRPr="00765E73">
              <w:rPr>
                <w:i/>
                <w:sz w:val="16"/>
              </w:rPr>
              <w:t>Primaria</w:t>
            </w:r>
          </w:p>
        </w:tc>
        <w:tc>
          <w:tcPr>
            <w:tcW w:w="1887" w:type="dxa"/>
            <w:tcBorders>
              <w:top w:val="single" w:sz="4" w:space="0" w:color="auto"/>
              <w:bottom w:val="single" w:sz="12" w:space="0" w:color="auto"/>
            </w:tcBorders>
            <w:shd w:val="clear" w:color="auto" w:fill="auto"/>
          </w:tcPr>
          <w:p w14:paraId="054372A6" w14:textId="77777777" w:rsidR="007666A4" w:rsidRPr="00765E73" w:rsidRDefault="007666A4" w:rsidP="00765E73">
            <w:pPr>
              <w:pStyle w:val="SingleTxtG"/>
              <w:tabs>
                <w:tab w:val="clear" w:pos="1701"/>
                <w:tab w:val="clear" w:pos="2268"/>
                <w:tab w:val="clear" w:pos="2835"/>
              </w:tabs>
              <w:spacing w:before="80" w:after="80" w:line="200" w:lineRule="exact"/>
              <w:ind w:left="57" w:right="28"/>
              <w:jc w:val="right"/>
              <w:rPr>
                <w:i/>
                <w:sz w:val="16"/>
              </w:rPr>
            </w:pPr>
            <w:r w:rsidRPr="00765E73">
              <w:rPr>
                <w:i/>
                <w:sz w:val="16"/>
              </w:rPr>
              <w:t>Secundaria</w:t>
            </w:r>
          </w:p>
        </w:tc>
        <w:tc>
          <w:tcPr>
            <w:tcW w:w="1909" w:type="dxa"/>
            <w:tcBorders>
              <w:top w:val="single" w:sz="4" w:space="0" w:color="auto"/>
              <w:bottom w:val="single" w:sz="12" w:space="0" w:color="auto"/>
            </w:tcBorders>
            <w:shd w:val="clear" w:color="auto" w:fill="auto"/>
          </w:tcPr>
          <w:p w14:paraId="07920E0B" w14:textId="77777777" w:rsidR="007666A4" w:rsidRPr="00765E73" w:rsidRDefault="007666A4" w:rsidP="00765E73">
            <w:pPr>
              <w:pStyle w:val="SingleTxtG"/>
              <w:tabs>
                <w:tab w:val="clear" w:pos="1701"/>
                <w:tab w:val="clear" w:pos="2268"/>
                <w:tab w:val="clear" w:pos="2835"/>
              </w:tabs>
              <w:spacing w:before="80" w:after="80" w:line="200" w:lineRule="exact"/>
              <w:ind w:left="57" w:right="28"/>
              <w:jc w:val="right"/>
              <w:rPr>
                <w:i/>
                <w:sz w:val="16"/>
              </w:rPr>
            </w:pPr>
            <w:r w:rsidRPr="00765E73">
              <w:rPr>
                <w:i/>
                <w:sz w:val="16"/>
              </w:rPr>
              <w:t>Universidad</w:t>
            </w:r>
          </w:p>
        </w:tc>
      </w:tr>
      <w:tr w:rsidR="007666A4" w:rsidRPr="00765E73" w14:paraId="14C6324C" w14:textId="77777777" w:rsidTr="00AE63D7">
        <w:trPr>
          <w:trHeight w:val="240"/>
        </w:trPr>
        <w:tc>
          <w:tcPr>
            <w:tcW w:w="1830" w:type="dxa"/>
            <w:tcBorders>
              <w:top w:val="single" w:sz="12" w:space="0" w:color="auto"/>
            </w:tcBorders>
            <w:shd w:val="clear" w:color="auto" w:fill="auto"/>
          </w:tcPr>
          <w:p w14:paraId="49B9392E" w14:textId="77777777" w:rsidR="007666A4" w:rsidRPr="00765E73" w:rsidRDefault="007666A4" w:rsidP="00765E73">
            <w:pPr>
              <w:pStyle w:val="SingleTxtG"/>
              <w:tabs>
                <w:tab w:val="clear" w:pos="1701"/>
                <w:tab w:val="clear" w:pos="2268"/>
                <w:tab w:val="clear" w:pos="2835"/>
              </w:tabs>
              <w:spacing w:before="40" w:after="40" w:line="220" w:lineRule="exact"/>
              <w:ind w:left="0" w:right="0"/>
              <w:jc w:val="left"/>
              <w:rPr>
                <w:sz w:val="18"/>
              </w:rPr>
            </w:pPr>
            <w:r w:rsidRPr="00765E73">
              <w:rPr>
                <w:sz w:val="18"/>
              </w:rPr>
              <w:t>2014</w:t>
            </w:r>
          </w:p>
        </w:tc>
        <w:tc>
          <w:tcPr>
            <w:tcW w:w="1744" w:type="dxa"/>
            <w:tcBorders>
              <w:top w:val="single" w:sz="12" w:space="0" w:color="auto"/>
            </w:tcBorders>
            <w:shd w:val="clear" w:color="auto" w:fill="auto"/>
          </w:tcPr>
          <w:p w14:paraId="61D36C81" w14:textId="0BB0A581"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0</w:t>
            </w:r>
            <w:r w:rsidR="00765E73">
              <w:rPr>
                <w:sz w:val="18"/>
              </w:rPr>
              <w:t>,</w:t>
            </w:r>
            <w:r w:rsidRPr="00765E73">
              <w:rPr>
                <w:sz w:val="18"/>
              </w:rPr>
              <w:t>97</w:t>
            </w:r>
          </w:p>
        </w:tc>
        <w:tc>
          <w:tcPr>
            <w:tcW w:w="1887" w:type="dxa"/>
            <w:tcBorders>
              <w:top w:val="single" w:sz="12" w:space="0" w:color="auto"/>
            </w:tcBorders>
            <w:shd w:val="clear" w:color="auto" w:fill="auto"/>
          </w:tcPr>
          <w:p w14:paraId="06F6860E" w14:textId="3FEF5A8C"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0</w:t>
            </w:r>
            <w:r w:rsidR="00765E73">
              <w:rPr>
                <w:sz w:val="18"/>
              </w:rPr>
              <w:t>,</w:t>
            </w:r>
            <w:r w:rsidRPr="00765E73">
              <w:rPr>
                <w:sz w:val="18"/>
              </w:rPr>
              <w:t>84</w:t>
            </w:r>
          </w:p>
        </w:tc>
        <w:tc>
          <w:tcPr>
            <w:tcW w:w="1909" w:type="dxa"/>
            <w:tcBorders>
              <w:top w:val="single" w:sz="12" w:space="0" w:color="auto"/>
            </w:tcBorders>
            <w:shd w:val="clear" w:color="auto" w:fill="auto"/>
          </w:tcPr>
          <w:p w14:paraId="3A817DDC" w14:textId="0777D32A"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0</w:t>
            </w:r>
            <w:r w:rsidR="00765E73">
              <w:rPr>
                <w:sz w:val="18"/>
              </w:rPr>
              <w:t>,</w:t>
            </w:r>
            <w:r w:rsidRPr="00765E73">
              <w:rPr>
                <w:sz w:val="18"/>
              </w:rPr>
              <w:t>88</w:t>
            </w:r>
          </w:p>
        </w:tc>
      </w:tr>
      <w:tr w:rsidR="007666A4" w:rsidRPr="00765E73" w14:paraId="2A70E6FA" w14:textId="77777777" w:rsidTr="00AE63D7">
        <w:trPr>
          <w:trHeight w:val="240"/>
        </w:trPr>
        <w:tc>
          <w:tcPr>
            <w:tcW w:w="1830" w:type="dxa"/>
            <w:shd w:val="clear" w:color="auto" w:fill="auto"/>
          </w:tcPr>
          <w:p w14:paraId="12844B21" w14:textId="77777777" w:rsidR="007666A4" w:rsidRPr="00765E73" w:rsidRDefault="007666A4" w:rsidP="00765E73">
            <w:pPr>
              <w:pStyle w:val="SingleTxtG"/>
              <w:tabs>
                <w:tab w:val="clear" w:pos="1701"/>
                <w:tab w:val="clear" w:pos="2268"/>
                <w:tab w:val="clear" w:pos="2835"/>
              </w:tabs>
              <w:spacing w:before="40" w:after="40" w:line="220" w:lineRule="exact"/>
              <w:ind w:left="0" w:right="0"/>
              <w:jc w:val="left"/>
              <w:rPr>
                <w:sz w:val="18"/>
              </w:rPr>
            </w:pPr>
            <w:r w:rsidRPr="00765E73">
              <w:rPr>
                <w:sz w:val="18"/>
              </w:rPr>
              <w:t>2015</w:t>
            </w:r>
          </w:p>
        </w:tc>
        <w:tc>
          <w:tcPr>
            <w:tcW w:w="1744" w:type="dxa"/>
            <w:shd w:val="clear" w:color="auto" w:fill="auto"/>
          </w:tcPr>
          <w:p w14:paraId="7842E955" w14:textId="6795059D"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0</w:t>
            </w:r>
            <w:r w:rsidR="00765E73">
              <w:rPr>
                <w:sz w:val="18"/>
              </w:rPr>
              <w:t>,</w:t>
            </w:r>
            <w:r w:rsidRPr="00765E73">
              <w:rPr>
                <w:sz w:val="18"/>
              </w:rPr>
              <w:t>95</w:t>
            </w:r>
          </w:p>
        </w:tc>
        <w:tc>
          <w:tcPr>
            <w:tcW w:w="1887" w:type="dxa"/>
            <w:shd w:val="clear" w:color="auto" w:fill="auto"/>
          </w:tcPr>
          <w:p w14:paraId="39FE527F" w14:textId="4E68B9F5"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0</w:t>
            </w:r>
            <w:r w:rsidR="00765E73">
              <w:rPr>
                <w:sz w:val="18"/>
              </w:rPr>
              <w:t>,</w:t>
            </w:r>
            <w:r w:rsidRPr="00765E73">
              <w:rPr>
                <w:sz w:val="18"/>
              </w:rPr>
              <w:t>83</w:t>
            </w:r>
          </w:p>
        </w:tc>
        <w:tc>
          <w:tcPr>
            <w:tcW w:w="1909" w:type="dxa"/>
            <w:shd w:val="clear" w:color="auto" w:fill="auto"/>
          </w:tcPr>
          <w:p w14:paraId="6CAFAC46" w14:textId="03571235"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0</w:t>
            </w:r>
            <w:r w:rsidR="00765E73">
              <w:rPr>
                <w:sz w:val="18"/>
              </w:rPr>
              <w:t>,</w:t>
            </w:r>
            <w:r w:rsidRPr="00765E73">
              <w:rPr>
                <w:sz w:val="18"/>
              </w:rPr>
              <w:t>92</w:t>
            </w:r>
          </w:p>
        </w:tc>
      </w:tr>
      <w:tr w:rsidR="007666A4" w:rsidRPr="00765E73" w14:paraId="0F2CA305" w14:textId="77777777" w:rsidTr="00AE63D7">
        <w:trPr>
          <w:trHeight w:val="240"/>
        </w:trPr>
        <w:tc>
          <w:tcPr>
            <w:tcW w:w="1830" w:type="dxa"/>
            <w:tcBorders>
              <w:bottom w:val="single" w:sz="12" w:space="0" w:color="auto"/>
            </w:tcBorders>
            <w:shd w:val="clear" w:color="auto" w:fill="auto"/>
          </w:tcPr>
          <w:p w14:paraId="4859CDE0" w14:textId="77777777" w:rsidR="007666A4" w:rsidRPr="00765E73" w:rsidRDefault="007666A4" w:rsidP="00765E73">
            <w:pPr>
              <w:pStyle w:val="SingleTxtG"/>
              <w:tabs>
                <w:tab w:val="clear" w:pos="1701"/>
                <w:tab w:val="clear" w:pos="2268"/>
                <w:tab w:val="clear" w:pos="2835"/>
              </w:tabs>
              <w:spacing w:before="40" w:after="40" w:line="220" w:lineRule="exact"/>
              <w:ind w:left="0" w:right="0"/>
              <w:jc w:val="left"/>
              <w:rPr>
                <w:sz w:val="18"/>
              </w:rPr>
            </w:pPr>
            <w:r w:rsidRPr="00765E73">
              <w:rPr>
                <w:sz w:val="18"/>
              </w:rPr>
              <w:t>2016</w:t>
            </w:r>
          </w:p>
        </w:tc>
        <w:tc>
          <w:tcPr>
            <w:tcW w:w="1744" w:type="dxa"/>
            <w:tcBorders>
              <w:bottom w:val="single" w:sz="12" w:space="0" w:color="auto"/>
            </w:tcBorders>
            <w:shd w:val="clear" w:color="auto" w:fill="auto"/>
          </w:tcPr>
          <w:p w14:paraId="383BE809" w14:textId="757060D7"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0</w:t>
            </w:r>
            <w:r w:rsidR="00765E73">
              <w:rPr>
                <w:sz w:val="18"/>
              </w:rPr>
              <w:t>,</w:t>
            </w:r>
            <w:r w:rsidRPr="00765E73">
              <w:rPr>
                <w:sz w:val="18"/>
              </w:rPr>
              <w:t>98</w:t>
            </w:r>
          </w:p>
        </w:tc>
        <w:tc>
          <w:tcPr>
            <w:tcW w:w="1887" w:type="dxa"/>
            <w:tcBorders>
              <w:bottom w:val="single" w:sz="12" w:space="0" w:color="auto"/>
            </w:tcBorders>
            <w:shd w:val="clear" w:color="auto" w:fill="auto"/>
          </w:tcPr>
          <w:p w14:paraId="6D417D0E" w14:textId="7BAC8F22"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0</w:t>
            </w:r>
            <w:r w:rsidR="00765E73">
              <w:rPr>
                <w:sz w:val="18"/>
              </w:rPr>
              <w:t>,</w:t>
            </w:r>
            <w:r w:rsidRPr="00765E73">
              <w:rPr>
                <w:sz w:val="18"/>
              </w:rPr>
              <w:t>93</w:t>
            </w:r>
          </w:p>
        </w:tc>
        <w:tc>
          <w:tcPr>
            <w:tcW w:w="1909" w:type="dxa"/>
            <w:tcBorders>
              <w:bottom w:val="single" w:sz="12" w:space="0" w:color="auto"/>
            </w:tcBorders>
            <w:shd w:val="clear" w:color="auto" w:fill="auto"/>
          </w:tcPr>
          <w:p w14:paraId="04676F7C" w14:textId="77777777"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w:t>
            </w:r>
          </w:p>
        </w:tc>
      </w:tr>
    </w:tbl>
    <w:p w14:paraId="6927F426" w14:textId="2E4B3528" w:rsidR="007666A4" w:rsidRPr="007666A4" w:rsidRDefault="007666A4" w:rsidP="00765E73">
      <w:pPr>
        <w:pStyle w:val="SingleTxtG"/>
        <w:spacing w:before="240"/>
      </w:pPr>
      <w:r w:rsidRPr="007666A4">
        <w:t>242.</w:t>
      </w:r>
      <w:r w:rsidR="00765E73">
        <w:tab/>
      </w:r>
      <w:r w:rsidRPr="007666A4">
        <w:t>Se apoya la formación profesional y se han distribuido tierras agrícolas, dado formación a la mano de obra cualificada para la creación de pequeñas y medianas empresas y ofertado oportunidades de empleo en el sector agrícola.</w:t>
      </w:r>
    </w:p>
    <w:p w14:paraId="3CCE497F" w14:textId="2470E2DF" w:rsidR="007666A4" w:rsidRPr="007666A4" w:rsidRDefault="007666A4" w:rsidP="007666A4">
      <w:pPr>
        <w:pStyle w:val="SingleTxtG"/>
      </w:pPr>
      <w:r w:rsidRPr="007666A4">
        <w:lastRenderedPageBreak/>
        <w:t>243.</w:t>
      </w:r>
      <w:r w:rsidR="00765E73">
        <w:tab/>
      </w:r>
      <w:r w:rsidRPr="007666A4">
        <w:t>Se permite utilizar las capacidades técnicas y profesionales de las escuelas de formación profesional con fines productivos y de servicio.</w:t>
      </w:r>
    </w:p>
    <w:p w14:paraId="50E651FF" w14:textId="669330C7" w:rsidR="007666A4" w:rsidRPr="007666A4" w:rsidRDefault="007666A4" w:rsidP="007666A4">
      <w:pPr>
        <w:pStyle w:val="SingleTxtG"/>
      </w:pPr>
      <w:r w:rsidRPr="007666A4">
        <w:t>244.</w:t>
      </w:r>
      <w:r w:rsidR="00765E73">
        <w:tab/>
      </w:r>
      <w:r w:rsidRPr="007666A4">
        <w:t>De conformidad con la Ley núm. 24/2013, del trabajo agrícola a tiempo completo, el Ministerio de Agricultura puede asignar tierras agrícolas dotadas de una cuota financiera a los graduados de las escuelas preparatorias agrícolas, así como a los graduados de las escuelas e institutos agrícolas y veterinarios, con el fin de crear asociaciones cooperativas especiales y desarrollar las tierras.</w:t>
      </w:r>
    </w:p>
    <w:p w14:paraId="2EE47AB4" w14:textId="37C320DA" w:rsidR="007666A4" w:rsidRPr="007666A4" w:rsidRDefault="00765E73" w:rsidP="00765E73">
      <w:pPr>
        <w:pStyle w:val="H23G"/>
      </w:pPr>
      <w:r>
        <w:tab/>
      </w:r>
      <w:r w:rsidR="007666A4" w:rsidRPr="007666A4">
        <w:tab/>
        <w:t>Recomendación que figura</w:t>
      </w:r>
      <w:r w:rsidR="007666A4" w:rsidRPr="007666A4" w:rsidDel="00D35640">
        <w:t xml:space="preserve"> </w:t>
      </w:r>
      <w:r w:rsidR="007666A4" w:rsidRPr="007666A4">
        <w:t>en el párrafo 56</w:t>
      </w:r>
    </w:p>
    <w:p w14:paraId="0E4427C8" w14:textId="747CCCAE" w:rsidR="007666A4" w:rsidRPr="007666A4" w:rsidRDefault="007666A4" w:rsidP="007666A4">
      <w:pPr>
        <w:pStyle w:val="SingleTxtG"/>
      </w:pPr>
      <w:r w:rsidRPr="007666A4">
        <w:t>245.</w:t>
      </w:r>
      <w:r w:rsidR="00765E73">
        <w:tab/>
      </w:r>
      <w:r w:rsidRPr="007666A4">
        <w:t>La Estrategia de Educación Nacional (2012-2022) en el Iraq incluye numerosos proyectos relativos a la prestación de servicios básicos para los niños, tales como:</w:t>
      </w:r>
    </w:p>
    <w:p w14:paraId="67B6D5B5" w14:textId="203867ED" w:rsidR="007666A4" w:rsidRPr="002435E8" w:rsidRDefault="007666A4" w:rsidP="002435E8">
      <w:pPr>
        <w:pStyle w:val="Bullet1G"/>
        <w:numPr>
          <w:ilvl w:val="0"/>
          <w:numId w:val="5"/>
        </w:numPr>
        <w:tabs>
          <w:tab w:val="clear" w:pos="2268"/>
          <w:tab w:val="num" w:pos="1701"/>
        </w:tabs>
        <w:ind w:left="1701"/>
        <w:rPr>
          <w:rFonts w:eastAsiaTheme="minorEastAsia"/>
        </w:rPr>
      </w:pPr>
      <w:r w:rsidRPr="002435E8">
        <w:rPr>
          <w:rFonts w:eastAsiaTheme="minorEastAsia"/>
        </w:rPr>
        <w:t>Tratar de ampliar la enseñanza obligatoria hasta la etapa intermedia</w:t>
      </w:r>
      <w:r w:rsidR="002435E8">
        <w:rPr>
          <w:rFonts w:eastAsiaTheme="minorEastAsia"/>
        </w:rPr>
        <w:t>.</w:t>
      </w:r>
    </w:p>
    <w:p w14:paraId="6C31677A" w14:textId="763CB1CB" w:rsidR="007666A4" w:rsidRPr="002435E8" w:rsidRDefault="007666A4" w:rsidP="002435E8">
      <w:pPr>
        <w:pStyle w:val="Bullet1G"/>
        <w:numPr>
          <w:ilvl w:val="0"/>
          <w:numId w:val="5"/>
        </w:numPr>
        <w:tabs>
          <w:tab w:val="clear" w:pos="2268"/>
          <w:tab w:val="num" w:pos="1701"/>
        </w:tabs>
        <w:ind w:left="1701"/>
        <w:rPr>
          <w:rFonts w:eastAsiaTheme="minorEastAsia"/>
        </w:rPr>
      </w:pPr>
      <w:r w:rsidRPr="002435E8">
        <w:rPr>
          <w:rFonts w:eastAsiaTheme="minorEastAsia"/>
        </w:rPr>
        <w:t>Construir 15.366 escuelas para todas las etapas y cursos durante los años que abarca el plan para eliminar la escolarización en doble y triple turno en las escuelas existentes, minimizar la masificación y abordar el crecimiento anual del número de estudiantes</w:t>
      </w:r>
      <w:r w:rsidR="002435E8">
        <w:rPr>
          <w:rFonts w:eastAsiaTheme="minorEastAsia"/>
        </w:rPr>
        <w:t>.</w:t>
      </w:r>
    </w:p>
    <w:p w14:paraId="5F2E0B8F" w14:textId="39D2D3AE" w:rsidR="007666A4" w:rsidRPr="002435E8" w:rsidRDefault="007666A4" w:rsidP="002435E8">
      <w:pPr>
        <w:pStyle w:val="Bullet1G"/>
        <w:numPr>
          <w:ilvl w:val="0"/>
          <w:numId w:val="5"/>
        </w:numPr>
        <w:tabs>
          <w:tab w:val="clear" w:pos="2268"/>
          <w:tab w:val="num" w:pos="1701"/>
        </w:tabs>
        <w:ind w:left="1701"/>
        <w:rPr>
          <w:rFonts w:eastAsiaTheme="minorEastAsia"/>
        </w:rPr>
      </w:pPr>
      <w:r w:rsidRPr="002435E8">
        <w:rPr>
          <w:rFonts w:eastAsiaTheme="minorEastAsia"/>
        </w:rPr>
        <w:t>Proporcionar igualdad de oportunidades para todos y aumentar la matriculación de alumnos y estudiantes en el año meta de la siguiente manera: Jardín de infancia: 30</w:t>
      </w:r>
      <w:r w:rsidR="00371A19">
        <w:rPr>
          <w:rFonts w:eastAsiaTheme="minorEastAsia"/>
        </w:rPr>
        <w:t> </w:t>
      </w:r>
      <w:r w:rsidRPr="002435E8">
        <w:rPr>
          <w:rFonts w:eastAsiaTheme="minorEastAsia"/>
        </w:rPr>
        <w:t>%; primaria: 99 %; intermedia: 70 %; preparatoria: 60 %; y profesional: 10 %</w:t>
      </w:r>
      <w:r w:rsidR="002435E8">
        <w:rPr>
          <w:rFonts w:eastAsiaTheme="minorEastAsia"/>
        </w:rPr>
        <w:t>.</w:t>
      </w:r>
    </w:p>
    <w:p w14:paraId="047E6331" w14:textId="0EADADDF" w:rsidR="007666A4" w:rsidRPr="002435E8" w:rsidRDefault="007666A4" w:rsidP="002435E8">
      <w:pPr>
        <w:pStyle w:val="Bullet1G"/>
        <w:numPr>
          <w:ilvl w:val="0"/>
          <w:numId w:val="5"/>
        </w:numPr>
        <w:tabs>
          <w:tab w:val="clear" w:pos="2268"/>
          <w:tab w:val="num" w:pos="1701"/>
        </w:tabs>
        <w:ind w:left="1701"/>
        <w:rPr>
          <w:rFonts w:eastAsiaTheme="minorEastAsia"/>
        </w:rPr>
      </w:pPr>
      <w:r w:rsidRPr="002435E8">
        <w:rPr>
          <w:rFonts w:eastAsiaTheme="minorEastAsia"/>
        </w:rPr>
        <w:t>Reducir los índices de fracaso y abandono escolar en todas las etapas.</w:t>
      </w:r>
    </w:p>
    <w:p w14:paraId="7FAFF409" w14:textId="3A41F64A" w:rsidR="007666A4" w:rsidRPr="007666A4" w:rsidRDefault="007666A4" w:rsidP="007666A4">
      <w:pPr>
        <w:pStyle w:val="SingleTxtG"/>
      </w:pPr>
      <w:r w:rsidRPr="007666A4">
        <w:t>Los planes para mejorar el entorno escolar incluyen</w:t>
      </w:r>
      <w:r w:rsidR="00371A19">
        <w:t>.</w:t>
      </w:r>
    </w:p>
    <w:p w14:paraId="1C32080A" w14:textId="100E4272" w:rsidR="007666A4" w:rsidRPr="007666A4" w:rsidRDefault="007666A4" w:rsidP="007666A4">
      <w:pPr>
        <w:pStyle w:val="SingleTxtG"/>
      </w:pPr>
      <w:r w:rsidRPr="007666A4">
        <w:t>246.</w:t>
      </w:r>
      <w:r w:rsidR="00765E73">
        <w:tab/>
      </w:r>
      <w:r w:rsidRPr="007666A4">
        <w:t>Rehabilitación de 3.000 huertos escolares; la garantía de que todos los alumnos reciban una revisión ocular; la instalación de un sistema de agua potable y de saneamiento; el acondicionamiento de 3.500 pistas deportivas; la reparación de auditorios escolares y el suministro de raciones escolares a todos los alumnos de primaria.</w:t>
      </w:r>
    </w:p>
    <w:p w14:paraId="466B2A65" w14:textId="442BAD81" w:rsidR="007666A4" w:rsidRPr="007666A4" w:rsidRDefault="007666A4" w:rsidP="007666A4">
      <w:pPr>
        <w:pStyle w:val="SingleTxtG"/>
      </w:pPr>
      <w:r w:rsidRPr="007666A4">
        <w:t>247.</w:t>
      </w:r>
      <w:r w:rsidR="00765E73">
        <w:tab/>
      </w:r>
      <w:r w:rsidRPr="007666A4">
        <w:t>Aumentar el número de escuelas de educación especial a 6.000; aumentar el número de escuelas especiales para adolescentes a 600 y de escuelas para superdotados a 28; crear 12.000 bibliotecas y 1.900 laboratorios. Sin embargo, el progreso de la mayoría de estos proyectos se ha ralentizado o paralizado debido a la situación económica del país, que ha provocado un déficit en las partidas asignadas al Ministerio de Educación.</w:t>
      </w:r>
    </w:p>
    <w:p w14:paraId="18463877" w14:textId="14517A55" w:rsidR="007666A4" w:rsidRPr="007666A4" w:rsidRDefault="007666A4" w:rsidP="007666A4">
      <w:pPr>
        <w:pStyle w:val="SingleTxtG"/>
      </w:pPr>
      <w:r w:rsidRPr="007666A4">
        <w:t>248.</w:t>
      </w:r>
      <w:r w:rsidR="00765E73">
        <w:tab/>
      </w:r>
      <w:r w:rsidRPr="007666A4">
        <w:t>El artículo 14 de la Constitución garantiza el derecho a la igualdad de género en lo que respecta a la escolarización y no hay discriminación de ningún tipo a este respecto. Los organismos gubernamentales, en cooperación con la sociedad civil, organizan campañas de sensibilización en las zonas rurales para alentar a la población a inscribir a sus hijos (tanto hombres como mujeres) en la escuela para garantizar sus derechos básicos. El plan de estudios afirma igualmente la igualdad de género y garantiza el derecho de las niñas a ser escolarizadas y a acceder a las oportunidades de trabajo al igual que sus homólogos masculinos, alentando así a las niñas a comprometerse socialmente con confianza y a desempeñar su papel activo en la sociedad.</w:t>
      </w:r>
    </w:p>
    <w:p w14:paraId="58F0E38D" w14:textId="5E13AB6C" w:rsidR="007666A4" w:rsidRPr="007666A4" w:rsidRDefault="007666A4" w:rsidP="007666A4">
      <w:pPr>
        <w:pStyle w:val="SingleTxtG"/>
      </w:pPr>
      <w:r w:rsidRPr="007666A4">
        <w:t>249.</w:t>
      </w:r>
      <w:r w:rsidR="00765E73">
        <w:tab/>
      </w:r>
      <w:r w:rsidRPr="007666A4">
        <w:t>El proyecto de aprendizaje acelerado se ha llevado a cabo en cooperación con el UNICEF. Abarca el grupo de edad de 12 a 18 años y tiene por objeto absorber a los estudiantes que han abandonado la escuela, permitiéndoles completar su educación primaria en tres años en lugar de seis y ponerse a la par que sus compañeros en la etapa intermedia. Se han preparado planes de estudio especiales para ellos, así como una guía docente para el profesor. Estas escuelas se encuentran en todo el país y todos los profesores (hombres y mujeres) han recibido una formación especial en la escuela.</w:t>
      </w:r>
    </w:p>
    <w:p w14:paraId="2C568C83" w14:textId="7A98243D" w:rsidR="007666A4" w:rsidRPr="007666A4" w:rsidRDefault="007666A4" w:rsidP="007666A4">
      <w:pPr>
        <w:pStyle w:val="SingleTxtG"/>
      </w:pPr>
      <w:r w:rsidRPr="007666A4">
        <w:t>250.</w:t>
      </w:r>
      <w:r w:rsidR="00765E73">
        <w:tab/>
      </w:r>
      <w:r w:rsidRPr="007666A4">
        <w:t>Se ha puesto en marcha el programa “Tu derecho a la educación”, en cooperación con Mercy Corps International. Se trata de la segunda fase de un programa destinado a mejorar el futuro de la educación de los desplazados en el Iraq en el grupo de edad de 10 a 20 años y de las comunidades de acogida. El programa pretende animar a los alumnos y estudiantes a volver a las aulas proporcionándoles un entorno escolar adecuado. También se propone garantizar el regreso de 10.000 alumnos y estudiantes, centrándose en las mujeres de Rusafa</w:t>
      </w:r>
      <w:r w:rsidR="00371A19">
        <w:t> </w:t>
      </w:r>
      <w:r w:rsidRPr="007666A4">
        <w:t>1 y 2, Karj I y II, Diyala, Kirkuk y Salah al-Din.</w:t>
      </w:r>
    </w:p>
    <w:p w14:paraId="0A98DD5B" w14:textId="616810B5" w:rsidR="007666A4" w:rsidRPr="007666A4" w:rsidRDefault="007666A4" w:rsidP="007666A4">
      <w:pPr>
        <w:pStyle w:val="SingleTxtG"/>
      </w:pPr>
      <w:r w:rsidRPr="007666A4">
        <w:lastRenderedPageBreak/>
        <w:t>251.</w:t>
      </w:r>
      <w:r w:rsidR="00765E73">
        <w:tab/>
      </w:r>
      <w:r w:rsidRPr="007666A4">
        <w:t>De conformidad con la Estrategia Nacional de Educación, la Ley del Ministerio de Educación (2011) y la directiva sobre los adolescentes (1990), se ha intensificado la apertura de escuelas para niños y adolescentes de entre 10 y 15 años que han abandonado los estudios o carecen de ellos.</w:t>
      </w:r>
    </w:p>
    <w:p w14:paraId="25709E1D" w14:textId="16C3CE13" w:rsidR="007666A4" w:rsidRPr="007666A4" w:rsidRDefault="00765E73" w:rsidP="00765E73">
      <w:pPr>
        <w:pStyle w:val="H23G"/>
      </w:pPr>
      <w:r>
        <w:tab/>
      </w:r>
      <w:r w:rsidR="007666A4" w:rsidRPr="007666A4">
        <w:tab/>
        <w:t>Cuadro que muestra el número y el porcentaje de alumnos matriculados y</w:t>
      </w:r>
      <w:r w:rsidR="00371A19">
        <w:t> </w:t>
      </w:r>
      <w:r w:rsidR="007666A4" w:rsidRPr="007666A4">
        <w:t>de</w:t>
      </w:r>
      <w:r w:rsidR="00371A19">
        <w:t> </w:t>
      </w:r>
      <w:r w:rsidR="007666A4" w:rsidRPr="007666A4">
        <w:t>abandonos en todas las etapas (2015</w:t>
      </w:r>
      <w:r w:rsidR="00371A19">
        <w:t>/</w:t>
      </w:r>
      <w:r w:rsidR="007666A4" w:rsidRPr="007666A4">
        <w:t>16)</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553"/>
        <w:gridCol w:w="1460"/>
        <w:gridCol w:w="1469"/>
        <w:gridCol w:w="1390"/>
        <w:gridCol w:w="1498"/>
      </w:tblGrid>
      <w:tr w:rsidR="007666A4" w:rsidRPr="00765E73" w14:paraId="47AD4A18" w14:textId="77777777" w:rsidTr="00765E73">
        <w:trPr>
          <w:trHeight w:val="240"/>
          <w:tblHeader/>
        </w:trPr>
        <w:tc>
          <w:tcPr>
            <w:tcW w:w="1553" w:type="dxa"/>
            <w:tcBorders>
              <w:top w:val="single" w:sz="4" w:space="0" w:color="auto"/>
              <w:bottom w:val="single" w:sz="12" w:space="0" w:color="auto"/>
            </w:tcBorders>
            <w:shd w:val="clear" w:color="auto" w:fill="auto"/>
            <w:vAlign w:val="bottom"/>
          </w:tcPr>
          <w:p w14:paraId="6C6E7EE5" w14:textId="77777777" w:rsidR="007666A4" w:rsidRPr="00765E73" w:rsidRDefault="007666A4" w:rsidP="00765E73">
            <w:pPr>
              <w:pStyle w:val="SingleTxtG"/>
              <w:tabs>
                <w:tab w:val="clear" w:pos="1701"/>
                <w:tab w:val="clear" w:pos="2268"/>
                <w:tab w:val="clear" w:pos="2835"/>
              </w:tabs>
              <w:spacing w:before="80" w:after="80" w:line="200" w:lineRule="exact"/>
              <w:ind w:left="0" w:right="0"/>
              <w:jc w:val="left"/>
              <w:rPr>
                <w:i/>
                <w:sz w:val="16"/>
              </w:rPr>
            </w:pPr>
            <w:r w:rsidRPr="00765E73">
              <w:rPr>
                <w:i/>
                <w:sz w:val="16"/>
              </w:rPr>
              <w:t>Etapa</w:t>
            </w:r>
          </w:p>
        </w:tc>
        <w:tc>
          <w:tcPr>
            <w:tcW w:w="1460" w:type="dxa"/>
            <w:tcBorders>
              <w:top w:val="single" w:sz="4" w:space="0" w:color="auto"/>
              <w:bottom w:val="single" w:sz="12" w:space="0" w:color="auto"/>
            </w:tcBorders>
            <w:shd w:val="clear" w:color="auto" w:fill="auto"/>
            <w:vAlign w:val="bottom"/>
          </w:tcPr>
          <w:p w14:paraId="66071884" w14:textId="77777777" w:rsidR="007666A4" w:rsidRPr="00765E73" w:rsidRDefault="007666A4" w:rsidP="00765E73">
            <w:pPr>
              <w:pStyle w:val="SingleTxtG"/>
              <w:tabs>
                <w:tab w:val="clear" w:pos="1701"/>
                <w:tab w:val="clear" w:pos="2268"/>
                <w:tab w:val="clear" w:pos="2835"/>
              </w:tabs>
              <w:spacing w:before="80" w:after="80" w:line="200" w:lineRule="exact"/>
              <w:ind w:left="57" w:right="28"/>
              <w:jc w:val="right"/>
              <w:rPr>
                <w:i/>
                <w:sz w:val="16"/>
              </w:rPr>
            </w:pPr>
            <w:r w:rsidRPr="00765E73">
              <w:rPr>
                <w:i/>
                <w:sz w:val="16"/>
              </w:rPr>
              <w:t xml:space="preserve">Total de estudiantes inscritos </w:t>
            </w:r>
          </w:p>
        </w:tc>
        <w:tc>
          <w:tcPr>
            <w:tcW w:w="1469" w:type="dxa"/>
            <w:tcBorders>
              <w:top w:val="single" w:sz="4" w:space="0" w:color="auto"/>
              <w:bottom w:val="single" w:sz="12" w:space="0" w:color="auto"/>
            </w:tcBorders>
            <w:shd w:val="clear" w:color="auto" w:fill="auto"/>
            <w:vAlign w:val="bottom"/>
          </w:tcPr>
          <w:p w14:paraId="39446D93" w14:textId="77777777" w:rsidR="007666A4" w:rsidRPr="00765E73" w:rsidRDefault="007666A4" w:rsidP="00765E73">
            <w:pPr>
              <w:pStyle w:val="SingleTxtG"/>
              <w:tabs>
                <w:tab w:val="clear" w:pos="1701"/>
                <w:tab w:val="clear" w:pos="2268"/>
                <w:tab w:val="clear" w:pos="2835"/>
              </w:tabs>
              <w:spacing w:before="80" w:after="80" w:line="200" w:lineRule="exact"/>
              <w:ind w:left="57" w:right="28"/>
              <w:jc w:val="right"/>
              <w:rPr>
                <w:i/>
                <w:sz w:val="16"/>
              </w:rPr>
            </w:pPr>
            <w:r w:rsidRPr="00765E73">
              <w:rPr>
                <w:i/>
                <w:sz w:val="16"/>
              </w:rPr>
              <w:t>Porcentaje total de matrícula</w:t>
            </w:r>
          </w:p>
        </w:tc>
        <w:tc>
          <w:tcPr>
            <w:tcW w:w="1390" w:type="dxa"/>
            <w:tcBorders>
              <w:top w:val="single" w:sz="4" w:space="0" w:color="auto"/>
              <w:bottom w:val="single" w:sz="12" w:space="0" w:color="auto"/>
            </w:tcBorders>
            <w:shd w:val="clear" w:color="auto" w:fill="auto"/>
            <w:vAlign w:val="bottom"/>
          </w:tcPr>
          <w:p w14:paraId="112C7047" w14:textId="77777777" w:rsidR="007666A4" w:rsidRPr="00765E73" w:rsidRDefault="007666A4" w:rsidP="00765E73">
            <w:pPr>
              <w:pStyle w:val="SingleTxtG"/>
              <w:tabs>
                <w:tab w:val="clear" w:pos="1701"/>
                <w:tab w:val="clear" w:pos="2268"/>
                <w:tab w:val="clear" w:pos="2835"/>
              </w:tabs>
              <w:spacing w:before="80" w:after="80" w:line="200" w:lineRule="exact"/>
              <w:ind w:left="57" w:right="28"/>
              <w:jc w:val="right"/>
              <w:rPr>
                <w:i/>
                <w:sz w:val="16"/>
              </w:rPr>
            </w:pPr>
            <w:r w:rsidRPr="00765E73">
              <w:rPr>
                <w:i/>
                <w:sz w:val="16"/>
              </w:rPr>
              <w:t>Total de estudiantes que abandonan los estudios</w:t>
            </w:r>
          </w:p>
        </w:tc>
        <w:tc>
          <w:tcPr>
            <w:tcW w:w="1498" w:type="dxa"/>
            <w:tcBorders>
              <w:top w:val="single" w:sz="4" w:space="0" w:color="auto"/>
              <w:bottom w:val="single" w:sz="12" w:space="0" w:color="auto"/>
            </w:tcBorders>
            <w:shd w:val="clear" w:color="auto" w:fill="auto"/>
            <w:vAlign w:val="bottom"/>
          </w:tcPr>
          <w:p w14:paraId="70DC1F65" w14:textId="77777777" w:rsidR="007666A4" w:rsidRPr="00765E73" w:rsidRDefault="007666A4" w:rsidP="00765E73">
            <w:pPr>
              <w:pStyle w:val="SingleTxtG"/>
              <w:tabs>
                <w:tab w:val="clear" w:pos="1701"/>
                <w:tab w:val="clear" w:pos="2268"/>
                <w:tab w:val="clear" w:pos="2835"/>
              </w:tabs>
              <w:spacing w:before="80" w:after="80" w:line="200" w:lineRule="exact"/>
              <w:ind w:left="57" w:right="28"/>
              <w:jc w:val="right"/>
              <w:rPr>
                <w:i/>
                <w:sz w:val="16"/>
              </w:rPr>
            </w:pPr>
            <w:r w:rsidRPr="00765E73">
              <w:rPr>
                <w:i/>
                <w:sz w:val="16"/>
              </w:rPr>
              <w:t>Tasa de abandono escolar</w:t>
            </w:r>
          </w:p>
        </w:tc>
      </w:tr>
      <w:tr w:rsidR="007666A4" w:rsidRPr="00765E73" w14:paraId="1B729262" w14:textId="77777777" w:rsidTr="00765E73">
        <w:trPr>
          <w:trHeight w:val="240"/>
        </w:trPr>
        <w:tc>
          <w:tcPr>
            <w:tcW w:w="1553" w:type="dxa"/>
            <w:tcBorders>
              <w:top w:val="single" w:sz="12" w:space="0" w:color="auto"/>
            </w:tcBorders>
            <w:shd w:val="clear" w:color="auto" w:fill="auto"/>
          </w:tcPr>
          <w:p w14:paraId="5E0063D7" w14:textId="77777777" w:rsidR="007666A4" w:rsidRPr="00765E73" w:rsidRDefault="007666A4" w:rsidP="00765E73">
            <w:pPr>
              <w:pStyle w:val="SingleTxtG"/>
              <w:tabs>
                <w:tab w:val="clear" w:pos="1701"/>
                <w:tab w:val="clear" w:pos="2268"/>
                <w:tab w:val="clear" w:pos="2835"/>
              </w:tabs>
              <w:spacing w:before="40" w:after="40" w:line="220" w:lineRule="exact"/>
              <w:ind w:left="0" w:right="0"/>
              <w:jc w:val="left"/>
              <w:rPr>
                <w:sz w:val="18"/>
              </w:rPr>
            </w:pPr>
            <w:r w:rsidRPr="00765E73">
              <w:rPr>
                <w:sz w:val="18"/>
              </w:rPr>
              <w:t>Primaria</w:t>
            </w:r>
          </w:p>
        </w:tc>
        <w:tc>
          <w:tcPr>
            <w:tcW w:w="1460" w:type="dxa"/>
            <w:tcBorders>
              <w:top w:val="single" w:sz="12" w:space="0" w:color="auto"/>
            </w:tcBorders>
            <w:shd w:val="clear" w:color="auto" w:fill="auto"/>
            <w:vAlign w:val="bottom"/>
          </w:tcPr>
          <w:p w14:paraId="5003293D" w14:textId="77777777"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4 997 052</w:t>
            </w:r>
          </w:p>
        </w:tc>
        <w:tc>
          <w:tcPr>
            <w:tcW w:w="1469" w:type="dxa"/>
            <w:tcBorders>
              <w:top w:val="single" w:sz="12" w:space="0" w:color="auto"/>
            </w:tcBorders>
            <w:shd w:val="clear" w:color="auto" w:fill="auto"/>
            <w:vAlign w:val="bottom"/>
          </w:tcPr>
          <w:p w14:paraId="2451E5D9" w14:textId="1E3CE54B"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95</w:t>
            </w:r>
            <w:r w:rsidR="00765E73">
              <w:rPr>
                <w:sz w:val="18"/>
              </w:rPr>
              <w:t>,</w:t>
            </w:r>
            <w:r w:rsidRPr="00765E73">
              <w:rPr>
                <w:sz w:val="18"/>
              </w:rPr>
              <w:t>0</w:t>
            </w:r>
          </w:p>
        </w:tc>
        <w:tc>
          <w:tcPr>
            <w:tcW w:w="1390" w:type="dxa"/>
            <w:tcBorders>
              <w:top w:val="single" w:sz="12" w:space="0" w:color="auto"/>
            </w:tcBorders>
            <w:shd w:val="clear" w:color="auto" w:fill="auto"/>
            <w:vAlign w:val="bottom"/>
          </w:tcPr>
          <w:p w14:paraId="74EB83C1" w14:textId="77777777"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110 223</w:t>
            </w:r>
          </w:p>
        </w:tc>
        <w:tc>
          <w:tcPr>
            <w:tcW w:w="1498" w:type="dxa"/>
            <w:tcBorders>
              <w:top w:val="single" w:sz="12" w:space="0" w:color="auto"/>
            </w:tcBorders>
            <w:shd w:val="clear" w:color="auto" w:fill="auto"/>
            <w:vAlign w:val="bottom"/>
          </w:tcPr>
          <w:p w14:paraId="0A2A7FB9" w14:textId="0FBD17FA"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2</w:t>
            </w:r>
            <w:r w:rsidR="00765E73">
              <w:rPr>
                <w:sz w:val="18"/>
              </w:rPr>
              <w:t>,</w:t>
            </w:r>
            <w:r w:rsidRPr="00765E73">
              <w:rPr>
                <w:sz w:val="18"/>
              </w:rPr>
              <w:t>2</w:t>
            </w:r>
          </w:p>
        </w:tc>
      </w:tr>
      <w:tr w:rsidR="007666A4" w:rsidRPr="00765E73" w14:paraId="579A25C4" w14:textId="77777777" w:rsidTr="00765E73">
        <w:trPr>
          <w:trHeight w:val="240"/>
        </w:trPr>
        <w:tc>
          <w:tcPr>
            <w:tcW w:w="1553" w:type="dxa"/>
            <w:shd w:val="clear" w:color="auto" w:fill="auto"/>
          </w:tcPr>
          <w:p w14:paraId="15667998" w14:textId="77777777" w:rsidR="007666A4" w:rsidRPr="00765E73" w:rsidRDefault="007666A4" w:rsidP="00765E73">
            <w:pPr>
              <w:pStyle w:val="SingleTxtG"/>
              <w:tabs>
                <w:tab w:val="clear" w:pos="1701"/>
                <w:tab w:val="clear" w:pos="2268"/>
                <w:tab w:val="clear" w:pos="2835"/>
              </w:tabs>
              <w:spacing w:before="40" w:after="40" w:line="220" w:lineRule="exact"/>
              <w:ind w:left="0" w:right="0"/>
              <w:jc w:val="left"/>
              <w:rPr>
                <w:sz w:val="18"/>
              </w:rPr>
            </w:pPr>
            <w:r w:rsidRPr="00765E73">
              <w:rPr>
                <w:sz w:val="18"/>
              </w:rPr>
              <w:t>Intermedia</w:t>
            </w:r>
          </w:p>
        </w:tc>
        <w:tc>
          <w:tcPr>
            <w:tcW w:w="1460" w:type="dxa"/>
            <w:shd w:val="clear" w:color="auto" w:fill="auto"/>
            <w:vAlign w:val="bottom"/>
          </w:tcPr>
          <w:p w14:paraId="17537458" w14:textId="77777777"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1 630 121</w:t>
            </w:r>
          </w:p>
        </w:tc>
        <w:tc>
          <w:tcPr>
            <w:tcW w:w="1469" w:type="dxa"/>
            <w:shd w:val="clear" w:color="auto" w:fill="auto"/>
            <w:vAlign w:val="bottom"/>
          </w:tcPr>
          <w:p w14:paraId="77A30951" w14:textId="0BB4F528"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56</w:t>
            </w:r>
            <w:r w:rsidR="00765E73">
              <w:rPr>
                <w:sz w:val="18"/>
              </w:rPr>
              <w:t>,</w:t>
            </w:r>
            <w:r w:rsidRPr="00765E73">
              <w:rPr>
                <w:sz w:val="18"/>
              </w:rPr>
              <w:t>0</w:t>
            </w:r>
          </w:p>
        </w:tc>
        <w:tc>
          <w:tcPr>
            <w:tcW w:w="1390" w:type="dxa"/>
            <w:shd w:val="clear" w:color="auto" w:fill="auto"/>
            <w:vAlign w:val="bottom"/>
          </w:tcPr>
          <w:p w14:paraId="44A94EDA" w14:textId="77777777"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64 925</w:t>
            </w:r>
          </w:p>
        </w:tc>
        <w:tc>
          <w:tcPr>
            <w:tcW w:w="1498" w:type="dxa"/>
            <w:shd w:val="clear" w:color="auto" w:fill="auto"/>
            <w:vAlign w:val="bottom"/>
          </w:tcPr>
          <w:p w14:paraId="2E42E6B9" w14:textId="4E302EC4"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4</w:t>
            </w:r>
            <w:r w:rsidR="00765E73">
              <w:rPr>
                <w:sz w:val="18"/>
              </w:rPr>
              <w:t>,</w:t>
            </w:r>
            <w:r w:rsidRPr="00765E73">
              <w:rPr>
                <w:sz w:val="18"/>
              </w:rPr>
              <w:t>0</w:t>
            </w:r>
          </w:p>
        </w:tc>
      </w:tr>
      <w:tr w:rsidR="007666A4" w:rsidRPr="00765E73" w14:paraId="6857B609" w14:textId="77777777" w:rsidTr="00765E73">
        <w:trPr>
          <w:trHeight w:val="240"/>
        </w:trPr>
        <w:tc>
          <w:tcPr>
            <w:tcW w:w="1553" w:type="dxa"/>
            <w:shd w:val="clear" w:color="auto" w:fill="auto"/>
          </w:tcPr>
          <w:p w14:paraId="4FA7B2E2" w14:textId="77777777" w:rsidR="007666A4" w:rsidRPr="00765E73" w:rsidRDefault="007666A4" w:rsidP="00765E73">
            <w:pPr>
              <w:pStyle w:val="SingleTxtG"/>
              <w:tabs>
                <w:tab w:val="clear" w:pos="1701"/>
                <w:tab w:val="clear" w:pos="2268"/>
                <w:tab w:val="clear" w:pos="2835"/>
              </w:tabs>
              <w:spacing w:before="40" w:after="40" w:line="220" w:lineRule="exact"/>
              <w:ind w:left="0" w:right="0"/>
              <w:jc w:val="left"/>
              <w:rPr>
                <w:sz w:val="18"/>
              </w:rPr>
            </w:pPr>
            <w:r w:rsidRPr="00765E73">
              <w:rPr>
                <w:sz w:val="18"/>
              </w:rPr>
              <w:t>Preparatoria</w:t>
            </w:r>
          </w:p>
        </w:tc>
        <w:tc>
          <w:tcPr>
            <w:tcW w:w="1460" w:type="dxa"/>
            <w:shd w:val="clear" w:color="auto" w:fill="auto"/>
            <w:vAlign w:val="bottom"/>
          </w:tcPr>
          <w:p w14:paraId="6F866A68" w14:textId="77777777"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812 814</w:t>
            </w:r>
          </w:p>
        </w:tc>
        <w:tc>
          <w:tcPr>
            <w:tcW w:w="1469" w:type="dxa"/>
            <w:shd w:val="clear" w:color="auto" w:fill="auto"/>
            <w:vAlign w:val="bottom"/>
          </w:tcPr>
          <w:p w14:paraId="12ACFD9D" w14:textId="06BC1E21"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29</w:t>
            </w:r>
            <w:r w:rsidR="00765E73">
              <w:rPr>
                <w:sz w:val="18"/>
              </w:rPr>
              <w:t>,</w:t>
            </w:r>
            <w:r w:rsidRPr="00765E73">
              <w:rPr>
                <w:sz w:val="18"/>
              </w:rPr>
              <w:t>0</w:t>
            </w:r>
          </w:p>
        </w:tc>
        <w:tc>
          <w:tcPr>
            <w:tcW w:w="1390" w:type="dxa"/>
            <w:shd w:val="clear" w:color="auto" w:fill="auto"/>
            <w:vAlign w:val="bottom"/>
          </w:tcPr>
          <w:p w14:paraId="118A1DD2" w14:textId="77777777"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17 018</w:t>
            </w:r>
          </w:p>
        </w:tc>
        <w:tc>
          <w:tcPr>
            <w:tcW w:w="1498" w:type="dxa"/>
            <w:shd w:val="clear" w:color="auto" w:fill="auto"/>
            <w:vAlign w:val="bottom"/>
          </w:tcPr>
          <w:p w14:paraId="7AA6B416" w14:textId="1A63E27C"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2</w:t>
            </w:r>
            <w:r w:rsidR="00765E73">
              <w:rPr>
                <w:sz w:val="18"/>
              </w:rPr>
              <w:t>,</w:t>
            </w:r>
            <w:r w:rsidRPr="00765E73">
              <w:rPr>
                <w:sz w:val="18"/>
              </w:rPr>
              <w:t>1</w:t>
            </w:r>
          </w:p>
        </w:tc>
      </w:tr>
      <w:tr w:rsidR="007666A4" w:rsidRPr="00765E73" w14:paraId="463EAC28" w14:textId="77777777" w:rsidTr="00765E73">
        <w:trPr>
          <w:trHeight w:val="240"/>
        </w:trPr>
        <w:tc>
          <w:tcPr>
            <w:tcW w:w="1553" w:type="dxa"/>
            <w:shd w:val="clear" w:color="auto" w:fill="auto"/>
          </w:tcPr>
          <w:p w14:paraId="07EF75D4" w14:textId="77777777" w:rsidR="007666A4" w:rsidRPr="00765E73" w:rsidRDefault="007666A4" w:rsidP="00765E73">
            <w:pPr>
              <w:pStyle w:val="SingleTxtG"/>
              <w:tabs>
                <w:tab w:val="clear" w:pos="1701"/>
                <w:tab w:val="clear" w:pos="2268"/>
                <w:tab w:val="clear" w:pos="2835"/>
              </w:tabs>
              <w:spacing w:before="40" w:after="40" w:line="220" w:lineRule="exact"/>
              <w:ind w:left="0" w:right="0"/>
              <w:jc w:val="left"/>
              <w:rPr>
                <w:sz w:val="18"/>
              </w:rPr>
            </w:pPr>
            <w:r w:rsidRPr="00765E73">
              <w:rPr>
                <w:sz w:val="18"/>
              </w:rPr>
              <w:t>Secundaria</w:t>
            </w:r>
          </w:p>
        </w:tc>
        <w:tc>
          <w:tcPr>
            <w:tcW w:w="1460" w:type="dxa"/>
            <w:shd w:val="clear" w:color="auto" w:fill="auto"/>
            <w:vAlign w:val="bottom"/>
          </w:tcPr>
          <w:p w14:paraId="0887F17A" w14:textId="77777777"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2 442 935</w:t>
            </w:r>
          </w:p>
        </w:tc>
        <w:tc>
          <w:tcPr>
            <w:tcW w:w="1469" w:type="dxa"/>
            <w:shd w:val="clear" w:color="auto" w:fill="auto"/>
            <w:vAlign w:val="bottom"/>
          </w:tcPr>
          <w:p w14:paraId="62479648" w14:textId="32A78FFC"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58</w:t>
            </w:r>
            <w:r w:rsidR="00765E73">
              <w:rPr>
                <w:sz w:val="18"/>
              </w:rPr>
              <w:t>,</w:t>
            </w:r>
            <w:r w:rsidRPr="00765E73">
              <w:rPr>
                <w:sz w:val="18"/>
              </w:rPr>
              <w:t>0</w:t>
            </w:r>
          </w:p>
        </w:tc>
        <w:tc>
          <w:tcPr>
            <w:tcW w:w="1390" w:type="dxa"/>
            <w:shd w:val="clear" w:color="auto" w:fill="auto"/>
            <w:vAlign w:val="bottom"/>
          </w:tcPr>
          <w:p w14:paraId="6F5D3480" w14:textId="77777777"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81 943</w:t>
            </w:r>
          </w:p>
        </w:tc>
        <w:tc>
          <w:tcPr>
            <w:tcW w:w="1498" w:type="dxa"/>
            <w:shd w:val="clear" w:color="auto" w:fill="auto"/>
            <w:vAlign w:val="bottom"/>
          </w:tcPr>
          <w:p w14:paraId="65B4055D" w14:textId="29DB040E"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3</w:t>
            </w:r>
            <w:r w:rsidR="00765E73">
              <w:rPr>
                <w:sz w:val="18"/>
              </w:rPr>
              <w:t>,</w:t>
            </w:r>
            <w:r w:rsidRPr="00765E73">
              <w:rPr>
                <w:sz w:val="18"/>
              </w:rPr>
              <w:t>4</w:t>
            </w:r>
          </w:p>
        </w:tc>
      </w:tr>
      <w:tr w:rsidR="007666A4" w:rsidRPr="00765E73" w14:paraId="2D3C801C" w14:textId="77777777" w:rsidTr="00765E73">
        <w:trPr>
          <w:trHeight w:val="240"/>
        </w:trPr>
        <w:tc>
          <w:tcPr>
            <w:tcW w:w="1553" w:type="dxa"/>
            <w:tcBorders>
              <w:bottom w:val="single" w:sz="12" w:space="0" w:color="auto"/>
            </w:tcBorders>
            <w:shd w:val="clear" w:color="auto" w:fill="auto"/>
          </w:tcPr>
          <w:p w14:paraId="6D5F5F88" w14:textId="77777777" w:rsidR="007666A4" w:rsidRPr="00765E73" w:rsidRDefault="007666A4" w:rsidP="00765E73">
            <w:pPr>
              <w:pStyle w:val="SingleTxtG"/>
              <w:tabs>
                <w:tab w:val="clear" w:pos="1701"/>
                <w:tab w:val="clear" w:pos="2268"/>
                <w:tab w:val="clear" w:pos="2835"/>
              </w:tabs>
              <w:spacing w:before="40" w:after="40" w:line="220" w:lineRule="exact"/>
              <w:ind w:left="0" w:right="0"/>
              <w:jc w:val="left"/>
              <w:rPr>
                <w:sz w:val="18"/>
              </w:rPr>
            </w:pPr>
            <w:r w:rsidRPr="00765E73">
              <w:rPr>
                <w:sz w:val="18"/>
              </w:rPr>
              <w:t>F. Profesional</w:t>
            </w:r>
          </w:p>
        </w:tc>
        <w:tc>
          <w:tcPr>
            <w:tcW w:w="1460" w:type="dxa"/>
            <w:tcBorders>
              <w:bottom w:val="single" w:sz="12" w:space="0" w:color="auto"/>
            </w:tcBorders>
            <w:shd w:val="clear" w:color="auto" w:fill="auto"/>
            <w:vAlign w:val="bottom"/>
          </w:tcPr>
          <w:p w14:paraId="7EE0DEE9" w14:textId="77777777"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51 138</w:t>
            </w:r>
          </w:p>
        </w:tc>
        <w:tc>
          <w:tcPr>
            <w:tcW w:w="1469" w:type="dxa"/>
            <w:tcBorders>
              <w:bottom w:val="single" w:sz="12" w:space="0" w:color="auto"/>
            </w:tcBorders>
            <w:shd w:val="clear" w:color="auto" w:fill="auto"/>
            <w:vAlign w:val="bottom"/>
          </w:tcPr>
          <w:p w14:paraId="13D49040" w14:textId="2E6F5212"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1</w:t>
            </w:r>
            <w:r w:rsidR="00765E73">
              <w:rPr>
                <w:sz w:val="18"/>
              </w:rPr>
              <w:t>,</w:t>
            </w:r>
            <w:r w:rsidRPr="00765E73">
              <w:rPr>
                <w:sz w:val="18"/>
              </w:rPr>
              <w:t>1</w:t>
            </w:r>
          </w:p>
        </w:tc>
        <w:tc>
          <w:tcPr>
            <w:tcW w:w="1390" w:type="dxa"/>
            <w:tcBorders>
              <w:bottom w:val="single" w:sz="12" w:space="0" w:color="auto"/>
            </w:tcBorders>
            <w:shd w:val="clear" w:color="auto" w:fill="auto"/>
            <w:vAlign w:val="bottom"/>
          </w:tcPr>
          <w:p w14:paraId="5CAEA79D" w14:textId="77777777"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2 679</w:t>
            </w:r>
          </w:p>
        </w:tc>
        <w:tc>
          <w:tcPr>
            <w:tcW w:w="1498" w:type="dxa"/>
            <w:tcBorders>
              <w:bottom w:val="single" w:sz="12" w:space="0" w:color="auto"/>
            </w:tcBorders>
            <w:shd w:val="clear" w:color="auto" w:fill="auto"/>
            <w:vAlign w:val="bottom"/>
          </w:tcPr>
          <w:p w14:paraId="33610D00" w14:textId="0E4A3DA4"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5</w:t>
            </w:r>
            <w:r w:rsidR="00765E73">
              <w:rPr>
                <w:sz w:val="18"/>
              </w:rPr>
              <w:t>,</w:t>
            </w:r>
            <w:r w:rsidRPr="00765E73">
              <w:rPr>
                <w:sz w:val="18"/>
              </w:rPr>
              <w:t>2</w:t>
            </w:r>
          </w:p>
        </w:tc>
      </w:tr>
    </w:tbl>
    <w:p w14:paraId="050B741D" w14:textId="1C0F1A3A" w:rsidR="007666A4" w:rsidRPr="007666A4" w:rsidRDefault="007666A4" w:rsidP="00765E73">
      <w:pPr>
        <w:pStyle w:val="H23G"/>
      </w:pPr>
      <w:r w:rsidRPr="007666A4">
        <w:tab/>
      </w:r>
      <w:r w:rsidRPr="007666A4">
        <w:tab/>
        <w:t>Cuadro que muestra el número y porcentajes de estudiantes inscritos y</w:t>
      </w:r>
      <w:r w:rsidR="00371A19">
        <w:t> </w:t>
      </w:r>
      <w:r w:rsidRPr="007666A4">
        <w:t>de</w:t>
      </w:r>
      <w:r w:rsidR="00371A19">
        <w:t> </w:t>
      </w:r>
      <w:r w:rsidRPr="007666A4">
        <w:t>abandono</w:t>
      </w:r>
      <w:r w:rsidR="00371A19">
        <w:t> </w:t>
      </w:r>
      <w:r w:rsidRPr="007666A4">
        <w:t>escolar (2016</w:t>
      </w:r>
      <w:r w:rsidR="00371A19">
        <w:t>/</w:t>
      </w:r>
      <w:r w:rsidRPr="007666A4">
        <w:t>17)</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560"/>
        <w:gridCol w:w="1417"/>
        <w:gridCol w:w="1276"/>
        <w:gridCol w:w="1701"/>
        <w:gridCol w:w="1416"/>
      </w:tblGrid>
      <w:tr w:rsidR="007666A4" w:rsidRPr="00765E73" w14:paraId="3CB01D28" w14:textId="77777777" w:rsidTr="00371A19">
        <w:trPr>
          <w:trHeight w:val="240"/>
          <w:tblHeader/>
        </w:trPr>
        <w:tc>
          <w:tcPr>
            <w:tcW w:w="1560" w:type="dxa"/>
            <w:tcBorders>
              <w:top w:val="single" w:sz="4" w:space="0" w:color="auto"/>
              <w:bottom w:val="single" w:sz="12" w:space="0" w:color="auto"/>
            </w:tcBorders>
            <w:shd w:val="clear" w:color="auto" w:fill="auto"/>
            <w:vAlign w:val="bottom"/>
          </w:tcPr>
          <w:p w14:paraId="23722A05" w14:textId="77777777" w:rsidR="007666A4" w:rsidRPr="00765E73" w:rsidRDefault="007666A4" w:rsidP="00765E73">
            <w:pPr>
              <w:pStyle w:val="SingleTxtG"/>
              <w:tabs>
                <w:tab w:val="clear" w:pos="1701"/>
                <w:tab w:val="clear" w:pos="2268"/>
                <w:tab w:val="clear" w:pos="2835"/>
              </w:tabs>
              <w:spacing w:before="80" w:after="80" w:line="200" w:lineRule="exact"/>
              <w:ind w:left="0" w:right="0"/>
              <w:jc w:val="left"/>
              <w:rPr>
                <w:i/>
                <w:sz w:val="16"/>
              </w:rPr>
            </w:pPr>
            <w:r w:rsidRPr="00765E73">
              <w:rPr>
                <w:i/>
                <w:sz w:val="16"/>
              </w:rPr>
              <w:t>Etapa</w:t>
            </w:r>
          </w:p>
        </w:tc>
        <w:tc>
          <w:tcPr>
            <w:tcW w:w="1417" w:type="dxa"/>
            <w:tcBorders>
              <w:top w:val="single" w:sz="4" w:space="0" w:color="auto"/>
              <w:bottom w:val="single" w:sz="12" w:space="0" w:color="auto"/>
            </w:tcBorders>
            <w:shd w:val="clear" w:color="auto" w:fill="auto"/>
            <w:vAlign w:val="bottom"/>
          </w:tcPr>
          <w:p w14:paraId="6DC2BF1B" w14:textId="77777777" w:rsidR="007666A4" w:rsidRPr="00765E73" w:rsidRDefault="007666A4" w:rsidP="00765E73">
            <w:pPr>
              <w:pStyle w:val="SingleTxtG"/>
              <w:tabs>
                <w:tab w:val="clear" w:pos="1701"/>
                <w:tab w:val="clear" w:pos="2268"/>
                <w:tab w:val="clear" w:pos="2835"/>
              </w:tabs>
              <w:spacing w:before="80" w:after="80" w:line="200" w:lineRule="exact"/>
              <w:ind w:left="57" w:right="28"/>
              <w:jc w:val="right"/>
              <w:rPr>
                <w:i/>
                <w:sz w:val="16"/>
              </w:rPr>
            </w:pPr>
            <w:r w:rsidRPr="00765E73">
              <w:rPr>
                <w:i/>
                <w:sz w:val="16"/>
              </w:rPr>
              <w:t xml:space="preserve">Total de estudiantes inscritos </w:t>
            </w:r>
          </w:p>
        </w:tc>
        <w:tc>
          <w:tcPr>
            <w:tcW w:w="1276" w:type="dxa"/>
            <w:tcBorders>
              <w:top w:val="single" w:sz="4" w:space="0" w:color="auto"/>
              <w:bottom w:val="single" w:sz="12" w:space="0" w:color="auto"/>
            </w:tcBorders>
            <w:shd w:val="clear" w:color="auto" w:fill="auto"/>
            <w:vAlign w:val="bottom"/>
          </w:tcPr>
          <w:p w14:paraId="632A5EF9" w14:textId="77777777" w:rsidR="007666A4" w:rsidRPr="00765E73" w:rsidRDefault="007666A4" w:rsidP="00765E73">
            <w:pPr>
              <w:pStyle w:val="SingleTxtG"/>
              <w:tabs>
                <w:tab w:val="clear" w:pos="1701"/>
                <w:tab w:val="clear" w:pos="2268"/>
                <w:tab w:val="clear" w:pos="2835"/>
              </w:tabs>
              <w:spacing w:before="80" w:after="80" w:line="200" w:lineRule="exact"/>
              <w:ind w:left="57" w:right="28"/>
              <w:jc w:val="right"/>
              <w:rPr>
                <w:i/>
                <w:sz w:val="16"/>
              </w:rPr>
            </w:pPr>
            <w:r w:rsidRPr="00765E73">
              <w:rPr>
                <w:i/>
                <w:sz w:val="16"/>
              </w:rPr>
              <w:t>Porcentaje total de matrícula</w:t>
            </w:r>
          </w:p>
        </w:tc>
        <w:tc>
          <w:tcPr>
            <w:tcW w:w="1701" w:type="dxa"/>
            <w:tcBorders>
              <w:top w:val="single" w:sz="4" w:space="0" w:color="auto"/>
              <w:bottom w:val="single" w:sz="12" w:space="0" w:color="auto"/>
            </w:tcBorders>
            <w:shd w:val="clear" w:color="auto" w:fill="auto"/>
            <w:vAlign w:val="bottom"/>
          </w:tcPr>
          <w:p w14:paraId="6B8A7383" w14:textId="77777777" w:rsidR="007666A4" w:rsidRPr="00765E73" w:rsidRDefault="007666A4" w:rsidP="00765E73">
            <w:pPr>
              <w:pStyle w:val="SingleTxtG"/>
              <w:tabs>
                <w:tab w:val="clear" w:pos="1701"/>
                <w:tab w:val="clear" w:pos="2268"/>
                <w:tab w:val="clear" w:pos="2835"/>
              </w:tabs>
              <w:spacing w:before="80" w:after="80" w:line="200" w:lineRule="exact"/>
              <w:ind w:left="57" w:right="28"/>
              <w:jc w:val="right"/>
              <w:rPr>
                <w:i/>
                <w:sz w:val="16"/>
              </w:rPr>
            </w:pPr>
            <w:r w:rsidRPr="00765E73">
              <w:rPr>
                <w:i/>
                <w:sz w:val="16"/>
              </w:rPr>
              <w:t>Total de estudiantes que abandonan los estudios</w:t>
            </w:r>
          </w:p>
        </w:tc>
        <w:tc>
          <w:tcPr>
            <w:tcW w:w="1416" w:type="dxa"/>
            <w:tcBorders>
              <w:top w:val="single" w:sz="4" w:space="0" w:color="auto"/>
              <w:bottom w:val="single" w:sz="12" w:space="0" w:color="auto"/>
            </w:tcBorders>
            <w:shd w:val="clear" w:color="auto" w:fill="auto"/>
            <w:vAlign w:val="bottom"/>
          </w:tcPr>
          <w:p w14:paraId="397E4880" w14:textId="77777777" w:rsidR="007666A4" w:rsidRPr="00765E73" w:rsidRDefault="007666A4" w:rsidP="00765E73">
            <w:pPr>
              <w:pStyle w:val="SingleTxtG"/>
              <w:tabs>
                <w:tab w:val="clear" w:pos="1701"/>
                <w:tab w:val="clear" w:pos="2268"/>
                <w:tab w:val="clear" w:pos="2835"/>
              </w:tabs>
              <w:spacing w:before="80" w:after="80" w:line="200" w:lineRule="exact"/>
              <w:ind w:left="57" w:right="28"/>
              <w:jc w:val="right"/>
              <w:rPr>
                <w:i/>
                <w:sz w:val="16"/>
              </w:rPr>
            </w:pPr>
            <w:r w:rsidRPr="00765E73">
              <w:rPr>
                <w:i/>
                <w:sz w:val="16"/>
              </w:rPr>
              <w:t>Tasa de abandono escolar</w:t>
            </w:r>
          </w:p>
        </w:tc>
      </w:tr>
      <w:tr w:rsidR="007666A4" w:rsidRPr="00765E73" w14:paraId="1CC14934" w14:textId="77777777" w:rsidTr="00371A19">
        <w:trPr>
          <w:trHeight w:val="240"/>
        </w:trPr>
        <w:tc>
          <w:tcPr>
            <w:tcW w:w="1560" w:type="dxa"/>
            <w:tcBorders>
              <w:top w:val="single" w:sz="12" w:space="0" w:color="auto"/>
            </w:tcBorders>
            <w:shd w:val="clear" w:color="auto" w:fill="auto"/>
          </w:tcPr>
          <w:p w14:paraId="4B5B6C62" w14:textId="77777777" w:rsidR="007666A4" w:rsidRPr="00765E73" w:rsidRDefault="007666A4" w:rsidP="00765E73">
            <w:pPr>
              <w:pStyle w:val="SingleTxtG"/>
              <w:tabs>
                <w:tab w:val="clear" w:pos="1701"/>
                <w:tab w:val="clear" w:pos="2268"/>
                <w:tab w:val="clear" w:pos="2835"/>
              </w:tabs>
              <w:spacing w:before="40" w:after="40" w:line="220" w:lineRule="exact"/>
              <w:ind w:left="0" w:right="0"/>
              <w:jc w:val="left"/>
              <w:rPr>
                <w:sz w:val="18"/>
              </w:rPr>
            </w:pPr>
            <w:r w:rsidRPr="00765E73">
              <w:rPr>
                <w:sz w:val="18"/>
              </w:rPr>
              <w:t>Primaria</w:t>
            </w:r>
          </w:p>
        </w:tc>
        <w:tc>
          <w:tcPr>
            <w:tcW w:w="1417" w:type="dxa"/>
            <w:tcBorders>
              <w:top w:val="single" w:sz="12" w:space="0" w:color="auto"/>
            </w:tcBorders>
            <w:shd w:val="clear" w:color="auto" w:fill="auto"/>
            <w:vAlign w:val="bottom"/>
          </w:tcPr>
          <w:p w14:paraId="0D59D82D" w14:textId="77777777"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5 473 997</w:t>
            </w:r>
          </w:p>
        </w:tc>
        <w:tc>
          <w:tcPr>
            <w:tcW w:w="1276" w:type="dxa"/>
            <w:tcBorders>
              <w:top w:val="single" w:sz="12" w:space="0" w:color="auto"/>
            </w:tcBorders>
            <w:shd w:val="clear" w:color="auto" w:fill="auto"/>
            <w:vAlign w:val="bottom"/>
          </w:tcPr>
          <w:p w14:paraId="4AC6F164" w14:textId="6FC2D537"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93</w:t>
            </w:r>
            <w:r w:rsidR="00765E73">
              <w:rPr>
                <w:sz w:val="18"/>
              </w:rPr>
              <w:t>,</w:t>
            </w:r>
            <w:r w:rsidRPr="00765E73">
              <w:rPr>
                <w:sz w:val="18"/>
              </w:rPr>
              <w:t>0</w:t>
            </w:r>
          </w:p>
        </w:tc>
        <w:tc>
          <w:tcPr>
            <w:tcW w:w="1701" w:type="dxa"/>
            <w:tcBorders>
              <w:top w:val="single" w:sz="12" w:space="0" w:color="auto"/>
            </w:tcBorders>
            <w:shd w:val="clear" w:color="auto" w:fill="auto"/>
            <w:vAlign w:val="bottom"/>
          </w:tcPr>
          <w:p w14:paraId="4D276843" w14:textId="77777777"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127 050</w:t>
            </w:r>
          </w:p>
        </w:tc>
        <w:tc>
          <w:tcPr>
            <w:tcW w:w="1416" w:type="dxa"/>
            <w:tcBorders>
              <w:top w:val="single" w:sz="12" w:space="0" w:color="auto"/>
            </w:tcBorders>
            <w:shd w:val="clear" w:color="auto" w:fill="auto"/>
            <w:vAlign w:val="bottom"/>
          </w:tcPr>
          <w:p w14:paraId="7BD7B17F" w14:textId="185F80AC"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2</w:t>
            </w:r>
            <w:r w:rsidR="00765E73">
              <w:rPr>
                <w:sz w:val="18"/>
              </w:rPr>
              <w:t>,</w:t>
            </w:r>
            <w:r w:rsidRPr="00765E73">
              <w:rPr>
                <w:sz w:val="18"/>
              </w:rPr>
              <w:t>3</w:t>
            </w:r>
          </w:p>
        </w:tc>
      </w:tr>
      <w:tr w:rsidR="007666A4" w:rsidRPr="00765E73" w14:paraId="1F82B7A1" w14:textId="77777777" w:rsidTr="00371A19">
        <w:trPr>
          <w:trHeight w:val="240"/>
        </w:trPr>
        <w:tc>
          <w:tcPr>
            <w:tcW w:w="1560" w:type="dxa"/>
            <w:shd w:val="clear" w:color="auto" w:fill="auto"/>
          </w:tcPr>
          <w:p w14:paraId="3E22114E" w14:textId="77777777" w:rsidR="007666A4" w:rsidRPr="00765E73" w:rsidRDefault="007666A4" w:rsidP="00765E73">
            <w:pPr>
              <w:pStyle w:val="SingleTxtG"/>
              <w:tabs>
                <w:tab w:val="clear" w:pos="1701"/>
                <w:tab w:val="clear" w:pos="2268"/>
                <w:tab w:val="clear" w:pos="2835"/>
              </w:tabs>
              <w:spacing w:before="40" w:after="40" w:line="220" w:lineRule="exact"/>
              <w:ind w:left="0" w:right="0"/>
              <w:jc w:val="left"/>
              <w:rPr>
                <w:sz w:val="18"/>
              </w:rPr>
            </w:pPr>
            <w:r w:rsidRPr="00765E73">
              <w:rPr>
                <w:sz w:val="18"/>
              </w:rPr>
              <w:t>Intermedia</w:t>
            </w:r>
          </w:p>
        </w:tc>
        <w:tc>
          <w:tcPr>
            <w:tcW w:w="1417" w:type="dxa"/>
            <w:shd w:val="clear" w:color="auto" w:fill="auto"/>
            <w:vAlign w:val="bottom"/>
          </w:tcPr>
          <w:p w14:paraId="3BFEA6C4" w14:textId="77777777"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1 733 817</w:t>
            </w:r>
          </w:p>
        </w:tc>
        <w:tc>
          <w:tcPr>
            <w:tcW w:w="1276" w:type="dxa"/>
            <w:shd w:val="clear" w:color="auto" w:fill="auto"/>
            <w:vAlign w:val="bottom"/>
          </w:tcPr>
          <w:p w14:paraId="33508758" w14:textId="553AE5E8"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55</w:t>
            </w:r>
            <w:r w:rsidR="00765E73">
              <w:rPr>
                <w:sz w:val="18"/>
              </w:rPr>
              <w:t>,</w:t>
            </w:r>
            <w:r w:rsidRPr="00765E73">
              <w:rPr>
                <w:sz w:val="18"/>
              </w:rPr>
              <w:t>0</w:t>
            </w:r>
          </w:p>
        </w:tc>
        <w:tc>
          <w:tcPr>
            <w:tcW w:w="1701" w:type="dxa"/>
            <w:shd w:val="clear" w:color="auto" w:fill="auto"/>
            <w:vAlign w:val="bottom"/>
          </w:tcPr>
          <w:p w14:paraId="33650227" w14:textId="77777777"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55 437</w:t>
            </w:r>
          </w:p>
        </w:tc>
        <w:tc>
          <w:tcPr>
            <w:tcW w:w="1416" w:type="dxa"/>
            <w:shd w:val="clear" w:color="auto" w:fill="auto"/>
            <w:vAlign w:val="bottom"/>
          </w:tcPr>
          <w:p w14:paraId="45105B13" w14:textId="4DE44CA6"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3</w:t>
            </w:r>
            <w:r w:rsidR="00765E73">
              <w:rPr>
                <w:sz w:val="18"/>
              </w:rPr>
              <w:t>,</w:t>
            </w:r>
            <w:r w:rsidRPr="00765E73">
              <w:rPr>
                <w:sz w:val="18"/>
              </w:rPr>
              <w:t>2</w:t>
            </w:r>
          </w:p>
        </w:tc>
      </w:tr>
      <w:tr w:rsidR="007666A4" w:rsidRPr="00765E73" w14:paraId="2B655F19" w14:textId="77777777" w:rsidTr="00371A19">
        <w:trPr>
          <w:trHeight w:val="240"/>
        </w:trPr>
        <w:tc>
          <w:tcPr>
            <w:tcW w:w="1560" w:type="dxa"/>
            <w:shd w:val="clear" w:color="auto" w:fill="auto"/>
          </w:tcPr>
          <w:p w14:paraId="74CB5927" w14:textId="77777777" w:rsidR="007666A4" w:rsidRPr="00765E73" w:rsidRDefault="007666A4" w:rsidP="00765E73">
            <w:pPr>
              <w:pStyle w:val="SingleTxtG"/>
              <w:tabs>
                <w:tab w:val="clear" w:pos="1701"/>
                <w:tab w:val="clear" w:pos="2268"/>
                <w:tab w:val="clear" w:pos="2835"/>
              </w:tabs>
              <w:spacing w:before="40" w:after="40" w:line="220" w:lineRule="exact"/>
              <w:ind w:left="0" w:right="0"/>
              <w:jc w:val="left"/>
              <w:rPr>
                <w:sz w:val="18"/>
              </w:rPr>
            </w:pPr>
            <w:r w:rsidRPr="00765E73">
              <w:rPr>
                <w:sz w:val="18"/>
              </w:rPr>
              <w:t>Preparatoria</w:t>
            </w:r>
          </w:p>
        </w:tc>
        <w:tc>
          <w:tcPr>
            <w:tcW w:w="1417" w:type="dxa"/>
            <w:shd w:val="clear" w:color="auto" w:fill="auto"/>
            <w:vAlign w:val="bottom"/>
          </w:tcPr>
          <w:p w14:paraId="382819D1" w14:textId="77777777"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890 323</w:t>
            </w:r>
          </w:p>
        </w:tc>
        <w:tc>
          <w:tcPr>
            <w:tcW w:w="1276" w:type="dxa"/>
            <w:shd w:val="clear" w:color="auto" w:fill="auto"/>
            <w:vAlign w:val="bottom"/>
          </w:tcPr>
          <w:p w14:paraId="75732916" w14:textId="7B25EAF2"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30</w:t>
            </w:r>
            <w:r w:rsidR="00765E73">
              <w:rPr>
                <w:sz w:val="18"/>
              </w:rPr>
              <w:t>,</w:t>
            </w:r>
            <w:r w:rsidRPr="00765E73">
              <w:rPr>
                <w:sz w:val="18"/>
              </w:rPr>
              <w:t>0</w:t>
            </w:r>
          </w:p>
        </w:tc>
        <w:tc>
          <w:tcPr>
            <w:tcW w:w="1701" w:type="dxa"/>
            <w:shd w:val="clear" w:color="auto" w:fill="auto"/>
            <w:vAlign w:val="bottom"/>
          </w:tcPr>
          <w:p w14:paraId="5DFC19BE" w14:textId="77777777"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11 940</w:t>
            </w:r>
          </w:p>
        </w:tc>
        <w:tc>
          <w:tcPr>
            <w:tcW w:w="1416" w:type="dxa"/>
            <w:shd w:val="clear" w:color="auto" w:fill="auto"/>
            <w:vAlign w:val="bottom"/>
          </w:tcPr>
          <w:p w14:paraId="2B746577" w14:textId="0E0EFBD2"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1</w:t>
            </w:r>
            <w:r w:rsidR="00765E73">
              <w:rPr>
                <w:sz w:val="18"/>
              </w:rPr>
              <w:t>,</w:t>
            </w:r>
            <w:r w:rsidRPr="00765E73">
              <w:rPr>
                <w:sz w:val="18"/>
              </w:rPr>
              <w:t>3</w:t>
            </w:r>
          </w:p>
        </w:tc>
      </w:tr>
      <w:tr w:rsidR="007666A4" w:rsidRPr="00765E73" w14:paraId="481447FF" w14:textId="77777777" w:rsidTr="00371A19">
        <w:trPr>
          <w:trHeight w:val="240"/>
        </w:trPr>
        <w:tc>
          <w:tcPr>
            <w:tcW w:w="1560" w:type="dxa"/>
            <w:shd w:val="clear" w:color="auto" w:fill="auto"/>
          </w:tcPr>
          <w:p w14:paraId="6AFE05E4" w14:textId="77777777" w:rsidR="007666A4" w:rsidRPr="00765E73" w:rsidRDefault="007666A4" w:rsidP="00765E73">
            <w:pPr>
              <w:pStyle w:val="SingleTxtG"/>
              <w:tabs>
                <w:tab w:val="clear" w:pos="1701"/>
                <w:tab w:val="clear" w:pos="2268"/>
                <w:tab w:val="clear" w:pos="2835"/>
              </w:tabs>
              <w:spacing w:before="40" w:after="40" w:line="220" w:lineRule="exact"/>
              <w:ind w:left="0" w:right="0"/>
              <w:jc w:val="left"/>
              <w:rPr>
                <w:sz w:val="18"/>
              </w:rPr>
            </w:pPr>
            <w:r w:rsidRPr="00765E73">
              <w:rPr>
                <w:sz w:val="18"/>
              </w:rPr>
              <w:t>Secundaria</w:t>
            </w:r>
          </w:p>
        </w:tc>
        <w:tc>
          <w:tcPr>
            <w:tcW w:w="1417" w:type="dxa"/>
            <w:shd w:val="clear" w:color="auto" w:fill="auto"/>
            <w:vAlign w:val="bottom"/>
          </w:tcPr>
          <w:p w14:paraId="2E34E46E" w14:textId="77777777"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2 624 140</w:t>
            </w:r>
          </w:p>
        </w:tc>
        <w:tc>
          <w:tcPr>
            <w:tcW w:w="1276" w:type="dxa"/>
            <w:shd w:val="clear" w:color="auto" w:fill="auto"/>
            <w:vAlign w:val="bottom"/>
          </w:tcPr>
          <w:p w14:paraId="3E2C1951" w14:textId="69AC4037"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57</w:t>
            </w:r>
            <w:r w:rsidR="00765E73">
              <w:rPr>
                <w:sz w:val="18"/>
              </w:rPr>
              <w:t>,</w:t>
            </w:r>
            <w:r w:rsidRPr="00765E73">
              <w:rPr>
                <w:sz w:val="18"/>
              </w:rPr>
              <w:t>0</w:t>
            </w:r>
          </w:p>
        </w:tc>
        <w:tc>
          <w:tcPr>
            <w:tcW w:w="1701" w:type="dxa"/>
            <w:shd w:val="clear" w:color="auto" w:fill="auto"/>
            <w:vAlign w:val="bottom"/>
          </w:tcPr>
          <w:p w14:paraId="3CD40B99" w14:textId="77777777"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67 377</w:t>
            </w:r>
          </w:p>
        </w:tc>
        <w:tc>
          <w:tcPr>
            <w:tcW w:w="1416" w:type="dxa"/>
            <w:shd w:val="clear" w:color="auto" w:fill="auto"/>
            <w:vAlign w:val="bottom"/>
          </w:tcPr>
          <w:p w14:paraId="2DCDB7E3" w14:textId="77E8D782"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2</w:t>
            </w:r>
            <w:r w:rsidR="00765E73">
              <w:rPr>
                <w:sz w:val="18"/>
              </w:rPr>
              <w:t>,</w:t>
            </w:r>
            <w:r w:rsidRPr="00765E73">
              <w:rPr>
                <w:sz w:val="18"/>
              </w:rPr>
              <w:t>6</w:t>
            </w:r>
          </w:p>
        </w:tc>
      </w:tr>
      <w:tr w:rsidR="007666A4" w:rsidRPr="00765E73" w14:paraId="3C2BBD2F" w14:textId="77777777" w:rsidTr="00371A19">
        <w:trPr>
          <w:trHeight w:val="240"/>
        </w:trPr>
        <w:tc>
          <w:tcPr>
            <w:tcW w:w="1560" w:type="dxa"/>
            <w:tcBorders>
              <w:bottom w:val="single" w:sz="12" w:space="0" w:color="auto"/>
            </w:tcBorders>
            <w:shd w:val="clear" w:color="auto" w:fill="auto"/>
          </w:tcPr>
          <w:p w14:paraId="4D1AD4E2" w14:textId="77777777" w:rsidR="007666A4" w:rsidRPr="00765E73" w:rsidRDefault="007666A4" w:rsidP="00765E73">
            <w:pPr>
              <w:pStyle w:val="SingleTxtG"/>
              <w:tabs>
                <w:tab w:val="clear" w:pos="1701"/>
                <w:tab w:val="clear" w:pos="2268"/>
                <w:tab w:val="clear" w:pos="2835"/>
              </w:tabs>
              <w:spacing w:before="40" w:after="40" w:line="220" w:lineRule="exact"/>
              <w:ind w:left="0" w:right="0"/>
              <w:jc w:val="left"/>
              <w:rPr>
                <w:sz w:val="18"/>
              </w:rPr>
            </w:pPr>
            <w:r w:rsidRPr="00765E73">
              <w:rPr>
                <w:sz w:val="18"/>
              </w:rPr>
              <w:t>F. Profesional</w:t>
            </w:r>
          </w:p>
        </w:tc>
        <w:tc>
          <w:tcPr>
            <w:tcW w:w="1417" w:type="dxa"/>
            <w:tcBorders>
              <w:bottom w:val="single" w:sz="12" w:space="0" w:color="auto"/>
            </w:tcBorders>
            <w:shd w:val="clear" w:color="auto" w:fill="auto"/>
            <w:vAlign w:val="bottom"/>
          </w:tcPr>
          <w:p w14:paraId="1965B460" w14:textId="77777777"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53 003</w:t>
            </w:r>
          </w:p>
        </w:tc>
        <w:tc>
          <w:tcPr>
            <w:tcW w:w="1276" w:type="dxa"/>
            <w:tcBorders>
              <w:bottom w:val="single" w:sz="12" w:space="0" w:color="auto"/>
            </w:tcBorders>
            <w:shd w:val="clear" w:color="auto" w:fill="auto"/>
            <w:vAlign w:val="bottom"/>
          </w:tcPr>
          <w:p w14:paraId="6DC58B48" w14:textId="3CA997DD"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1</w:t>
            </w:r>
            <w:r w:rsidR="00765E73">
              <w:rPr>
                <w:sz w:val="18"/>
              </w:rPr>
              <w:t>,</w:t>
            </w:r>
            <w:r w:rsidRPr="00765E73">
              <w:rPr>
                <w:sz w:val="18"/>
              </w:rPr>
              <w:t>2</w:t>
            </w:r>
          </w:p>
        </w:tc>
        <w:tc>
          <w:tcPr>
            <w:tcW w:w="1701" w:type="dxa"/>
            <w:tcBorders>
              <w:bottom w:val="single" w:sz="12" w:space="0" w:color="auto"/>
            </w:tcBorders>
            <w:shd w:val="clear" w:color="auto" w:fill="auto"/>
            <w:vAlign w:val="bottom"/>
          </w:tcPr>
          <w:p w14:paraId="4E7D4324" w14:textId="77777777"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1 888</w:t>
            </w:r>
          </w:p>
        </w:tc>
        <w:tc>
          <w:tcPr>
            <w:tcW w:w="1416" w:type="dxa"/>
            <w:tcBorders>
              <w:bottom w:val="single" w:sz="12" w:space="0" w:color="auto"/>
            </w:tcBorders>
            <w:shd w:val="clear" w:color="auto" w:fill="auto"/>
            <w:vAlign w:val="bottom"/>
          </w:tcPr>
          <w:p w14:paraId="36858AD4" w14:textId="4DC11294" w:rsidR="007666A4" w:rsidRPr="00765E73" w:rsidRDefault="007666A4" w:rsidP="00765E73">
            <w:pPr>
              <w:pStyle w:val="SingleTxtG"/>
              <w:tabs>
                <w:tab w:val="clear" w:pos="1701"/>
                <w:tab w:val="clear" w:pos="2268"/>
                <w:tab w:val="clear" w:pos="2835"/>
              </w:tabs>
              <w:spacing w:before="40" w:after="40" w:line="220" w:lineRule="exact"/>
              <w:ind w:left="57" w:right="28"/>
              <w:jc w:val="right"/>
              <w:rPr>
                <w:sz w:val="18"/>
              </w:rPr>
            </w:pPr>
            <w:r w:rsidRPr="00765E73">
              <w:rPr>
                <w:sz w:val="18"/>
              </w:rPr>
              <w:t>3</w:t>
            </w:r>
            <w:r w:rsidR="00765E73">
              <w:rPr>
                <w:sz w:val="18"/>
              </w:rPr>
              <w:t>,</w:t>
            </w:r>
            <w:r w:rsidRPr="00765E73">
              <w:rPr>
                <w:sz w:val="18"/>
              </w:rPr>
              <w:t>6</w:t>
            </w:r>
          </w:p>
        </w:tc>
      </w:tr>
    </w:tbl>
    <w:p w14:paraId="707B632E" w14:textId="36AEE9BD" w:rsidR="007666A4" w:rsidRPr="007666A4" w:rsidRDefault="007666A4" w:rsidP="00765E73">
      <w:pPr>
        <w:pStyle w:val="SingleTxtG"/>
        <w:spacing w:before="240"/>
      </w:pPr>
      <w:r w:rsidRPr="007666A4">
        <w:t>252.</w:t>
      </w:r>
      <w:r>
        <w:tab/>
      </w:r>
      <w:r w:rsidRPr="007666A4">
        <w:t>Lo anterior pone de manifiesto el papel de la educación en la vida de las comunidades, las naciones y los pueblos. Es un pilar de su desarrollo social, económico, cultural y político y, debido a sus capacidades para afrontar los retos y nuevas realidades que afronta, constituye el principal medio de los pueblos y naciones para lograr su supervivencia y continuidad. El Departamento de Derechos Humanos del Ministerio de Educación tiene un papel clave en relación con las siguientes cuestiones.</w:t>
      </w:r>
    </w:p>
    <w:p w14:paraId="26BBA57D" w14:textId="180C7285" w:rsidR="007666A4" w:rsidRPr="002435E8" w:rsidRDefault="007666A4" w:rsidP="00371A19">
      <w:pPr>
        <w:pStyle w:val="SingleTxtG"/>
        <w:rPr>
          <w:rFonts w:eastAsiaTheme="minorEastAsia"/>
        </w:rPr>
      </w:pPr>
      <w:r w:rsidRPr="007666A4">
        <w:t>253.</w:t>
      </w:r>
      <w:r>
        <w:tab/>
      </w:r>
      <w:r w:rsidRPr="007666A4">
        <w:t xml:space="preserve">Incluir los conceptos de derechos humanos en los planes de estudio de todas las etapas, dado el papel que desempeñan los planes de estudio actualizados y avanzados en la construcción de la paz, el aseguramiento de la justicia social, la mejora del sistema de salud y la garantía de un desarrollo social estable, al tiempo que se afirman los conceptos de ciudadanía, tolerancia, repudio de la violencia y convivencia pacífica. Los planes de estudio se revisan y modifican anualmente con miras a eliminar todo lo que entre en conflicto con los principios de derechos humanos. </w:t>
      </w:r>
      <w:r w:rsidRPr="002435E8">
        <w:rPr>
          <w:rFonts w:eastAsiaTheme="minorEastAsia"/>
        </w:rPr>
        <w:t>Esto incluye también la difusión de la cultura de los derechos humanos a través de:</w:t>
      </w:r>
    </w:p>
    <w:p w14:paraId="07C86536" w14:textId="1F24EE52" w:rsidR="007666A4" w:rsidRPr="002435E8" w:rsidRDefault="002435E8" w:rsidP="002435E8">
      <w:pPr>
        <w:pStyle w:val="Bullet1G"/>
        <w:numPr>
          <w:ilvl w:val="0"/>
          <w:numId w:val="5"/>
        </w:numPr>
        <w:tabs>
          <w:tab w:val="clear" w:pos="2268"/>
          <w:tab w:val="num" w:pos="1701"/>
        </w:tabs>
        <w:ind w:left="1701"/>
        <w:rPr>
          <w:rFonts w:eastAsiaTheme="minorEastAsia"/>
        </w:rPr>
      </w:pPr>
      <w:r w:rsidRPr="002435E8">
        <w:rPr>
          <w:rFonts w:eastAsiaTheme="minorEastAsia"/>
        </w:rPr>
        <w:t xml:space="preserve">Foros </w:t>
      </w:r>
      <w:r w:rsidR="007666A4" w:rsidRPr="002435E8">
        <w:rPr>
          <w:rFonts w:eastAsiaTheme="minorEastAsia"/>
        </w:rPr>
        <w:t>y conferencias organizadas por el departamento</w:t>
      </w:r>
    </w:p>
    <w:p w14:paraId="2DDF6FF5" w14:textId="3BCC13EB" w:rsidR="007666A4" w:rsidRPr="002435E8" w:rsidRDefault="002435E8" w:rsidP="002435E8">
      <w:pPr>
        <w:pStyle w:val="Bullet1G"/>
        <w:numPr>
          <w:ilvl w:val="0"/>
          <w:numId w:val="5"/>
        </w:numPr>
        <w:tabs>
          <w:tab w:val="clear" w:pos="2268"/>
          <w:tab w:val="num" w:pos="1701"/>
        </w:tabs>
        <w:ind w:left="1701"/>
        <w:rPr>
          <w:rFonts w:eastAsiaTheme="minorEastAsia"/>
        </w:rPr>
      </w:pPr>
      <w:r w:rsidRPr="002435E8">
        <w:rPr>
          <w:rFonts w:eastAsiaTheme="minorEastAsia"/>
        </w:rPr>
        <w:t xml:space="preserve">El </w:t>
      </w:r>
      <w:r w:rsidR="007666A4" w:rsidRPr="002435E8">
        <w:rPr>
          <w:rFonts w:eastAsiaTheme="minorEastAsia"/>
        </w:rPr>
        <w:t>canal educativo por satélite iraquí</w:t>
      </w:r>
    </w:p>
    <w:p w14:paraId="6FD6CB57" w14:textId="4AF533AB" w:rsidR="007666A4" w:rsidRPr="002435E8" w:rsidRDefault="002435E8" w:rsidP="002435E8">
      <w:pPr>
        <w:pStyle w:val="Bullet1G"/>
        <w:numPr>
          <w:ilvl w:val="0"/>
          <w:numId w:val="5"/>
        </w:numPr>
        <w:tabs>
          <w:tab w:val="clear" w:pos="2268"/>
          <w:tab w:val="num" w:pos="1701"/>
        </w:tabs>
        <w:ind w:left="1701"/>
        <w:rPr>
          <w:rFonts w:eastAsiaTheme="minorEastAsia"/>
        </w:rPr>
      </w:pPr>
      <w:r w:rsidRPr="002435E8">
        <w:rPr>
          <w:rFonts w:eastAsiaTheme="minorEastAsia"/>
        </w:rPr>
        <w:t xml:space="preserve">Medios </w:t>
      </w:r>
      <w:r w:rsidR="007666A4" w:rsidRPr="002435E8">
        <w:rPr>
          <w:rFonts w:eastAsiaTheme="minorEastAsia"/>
        </w:rPr>
        <w:t>educativos, folletos y carteles murales</w:t>
      </w:r>
    </w:p>
    <w:p w14:paraId="1E43B16F" w14:textId="2C636390" w:rsidR="007666A4" w:rsidRPr="007666A4" w:rsidRDefault="007666A4" w:rsidP="007666A4">
      <w:pPr>
        <w:pStyle w:val="SingleTxtG"/>
      </w:pPr>
      <w:r w:rsidRPr="007666A4">
        <w:t>254.</w:t>
      </w:r>
      <w:r>
        <w:tab/>
      </w:r>
      <w:r w:rsidRPr="007666A4">
        <w:t>El plan de estudios de lengua inglesa abarca los conceptos de los derechos humanos en todas las etapas, desde el primer curso de primaria hasta el preparatorio. Los más importantes de estos conceptos son la ciudadanía, la tolerancia, la coexistencia pacífica, el respeto a las minorías y a otras religiones, el respeto a las opiniones de los demás, el reconocimiento de la civilización iraquí y de otras civilizaciones, el respeto a los reglamentos y las leyes, la ayuda a los demás y la preservación del medio ambiente.</w:t>
      </w:r>
    </w:p>
    <w:p w14:paraId="25FAA74C" w14:textId="357853E3" w:rsidR="007666A4" w:rsidRPr="007666A4" w:rsidRDefault="007666A4" w:rsidP="007666A4">
      <w:pPr>
        <w:pStyle w:val="SingleTxtG"/>
      </w:pPr>
      <w:r w:rsidRPr="007666A4">
        <w:t>255.</w:t>
      </w:r>
      <w:r>
        <w:tab/>
      </w:r>
      <w:r w:rsidRPr="007666A4">
        <w:t>Se han reconstruido unas 166 escuelas primarias, de las cuales 68 en Nínive, 55 en Kirkuk, 5 en Salah al-Din, 28 en las afueras de Bagdad y 40 en Al-Anbar.</w:t>
      </w:r>
    </w:p>
    <w:p w14:paraId="1BF0DC63" w14:textId="4DADBFE3" w:rsidR="007666A4" w:rsidRPr="007666A4" w:rsidRDefault="007666A4" w:rsidP="007666A4">
      <w:pPr>
        <w:pStyle w:val="SingleTxtG"/>
      </w:pPr>
      <w:r w:rsidRPr="007666A4">
        <w:lastRenderedPageBreak/>
        <w:t>256.</w:t>
      </w:r>
      <w:r>
        <w:tab/>
      </w:r>
      <w:r w:rsidRPr="007666A4">
        <w:t>La Universidad de Nínive y tres universidades de Al-Anbar han sido reconstruidas.</w:t>
      </w:r>
    </w:p>
    <w:p w14:paraId="02438A46" w14:textId="59B60CB9" w:rsidR="007666A4" w:rsidRPr="007666A4" w:rsidRDefault="007666A4" w:rsidP="002435E8">
      <w:pPr>
        <w:pStyle w:val="H23G"/>
      </w:pPr>
      <w:r>
        <w:tab/>
      </w:r>
      <w:r w:rsidRPr="007666A4">
        <w:tab/>
        <w:t>Paquete de medidas para combatir el analfabetismo</w:t>
      </w:r>
    </w:p>
    <w:p w14:paraId="741C5DC4" w14:textId="66D4A00A" w:rsidR="007666A4" w:rsidRPr="007666A4" w:rsidRDefault="007666A4" w:rsidP="005552B3">
      <w:pPr>
        <w:pStyle w:val="SingleTxtG"/>
        <w:spacing w:after="130"/>
      </w:pPr>
      <w:r w:rsidRPr="007666A4">
        <w:t>257.</w:t>
      </w:r>
      <w:r>
        <w:tab/>
      </w:r>
      <w:r w:rsidRPr="007666A4">
        <w:t xml:space="preserve">Dado que aprender a leer y escribir es una condición previa para el disfrute de los derechos humanos, el ejecutivo busca promover las oportunidades de aprendizaje a lo largo de la vida. La aplicación del principio del aprendizaje a lo largo de toda la vida y la mejora del nivel de vida tienen como premisa la alfabetización, que es uno de los objetivos de desarrollo sostenible que deben alcanzarse para 2030. Los esfuerzos del Gobierno en apoyo de la alfabetización y la educación de adultos pasaron a primer plano después de que la UNESCO estimara en 2010, sobre la base de las encuestas realizadas por la organización, el número de analfabetos en el Iraq en entre </w:t>
      </w:r>
      <w:r w:rsidR="005552B3">
        <w:t>5</w:t>
      </w:r>
      <w:r w:rsidRPr="007666A4">
        <w:t xml:space="preserve"> y </w:t>
      </w:r>
      <w:r w:rsidR="005552B3">
        <w:t>6</w:t>
      </w:r>
      <w:r w:rsidRPr="007666A4">
        <w:t xml:space="preserve"> millones. En vista de ello, el Gobierno adoptó la actual Ley de Alfabetización, núm. 23/2011, en virtud de la cual se creó una oficina ejecutiva con el objetivo de erradicar la alfabetización; este organismo comenzó a trabajar en agosto de 2012. Posteriormente, se abrieron centros de alfabetización y la enseñanza comenzó el 16 de noviembre de 2012. El artículo 1.4 de la citada </w:t>
      </w:r>
      <w:r w:rsidR="005552B3" w:rsidRPr="007666A4">
        <w:t xml:space="preserve">Ley </w:t>
      </w:r>
      <w:r w:rsidRPr="007666A4">
        <w:t>dispone cómo la Oficina Ejecutiva para la Alfabetización debe abordar los casos de todo ciudadano de 15 años o más que carezca de un certificado de persona alfabetizada:</w:t>
      </w:r>
    </w:p>
    <w:p w14:paraId="7F462D33" w14:textId="77777777" w:rsidR="007666A4" w:rsidRPr="007666A4" w:rsidRDefault="007666A4" w:rsidP="005552B3">
      <w:pPr>
        <w:pStyle w:val="SingleTxtG"/>
        <w:spacing w:after="130"/>
        <w:ind w:left="1701"/>
      </w:pPr>
      <w:r w:rsidRPr="007666A4">
        <w:t>1.</w:t>
      </w:r>
      <w:r w:rsidRPr="007666A4">
        <w:tab/>
        <w:t>Los ciudadanos que no saben leer, escribir y contar deben seguir un curso de alfabetización en dos etapas en un centro de alfabetización, tras el cual se otorga un certificado; el curso básico y el complementario tienen una duración de siete meses.</w:t>
      </w:r>
    </w:p>
    <w:p w14:paraId="4240FE2E" w14:textId="77777777" w:rsidR="007666A4" w:rsidRPr="007666A4" w:rsidRDefault="007666A4" w:rsidP="005552B3">
      <w:pPr>
        <w:pStyle w:val="SingleTxtG"/>
        <w:spacing w:after="130"/>
        <w:ind w:left="1701"/>
      </w:pPr>
      <w:r w:rsidRPr="007666A4">
        <w:t>2.</w:t>
      </w:r>
      <w:r w:rsidRPr="007666A4">
        <w:tab/>
        <w:t>Los ciudadanos que saben leer, escribir y contar (las personas de “instrucción media”) tienen que pasar unas pruebas preparadas por un comité especial de las secciones de lucha contra el analfabetismo, seguidas de un examen para personas de “instrucción media”, tras el cual se les otorga un certificado de alfabetización.</w:t>
      </w:r>
    </w:p>
    <w:p w14:paraId="5263FFE7" w14:textId="79A09F97" w:rsidR="007666A4" w:rsidRPr="007666A4" w:rsidRDefault="005552B3" w:rsidP="005552B3">
      <w:pPr>
        <w:pStyle w:val="SingleTxtG"/>
        <w:spacing w:after="130"/>
        <w:ind w:left="1701"/>
      </w:pPr>
      <w:r>
        <w:tab/>
      </w:r>
      <w:r w:rsidR="007666A4" w:rsidRPr="007666A4">
        <w:t xml:space="preserve">De acuerdo con esta </w:t>
      </w:r>
      <w:r w:rsidRPr="007666A4">
        <w:t>Ley</w:t>
      </w:r>
      <w:r w:rsidR="007666A4" w:rsidRPr="007666A4">
        <w:t xml:space="preserve">, la Oficina Ejecutiva ha trabajado incansablemente para abrir centros de alfabetización para los cursos </w:t>
      </w:r>
      <w:r>
        <w:t>5º</w:t>
      </w:r>
      <w:r w:rsidR="007666A4" w:rsidRPr="007666A4">
        <w:t xml:space="preserve"> y </w:t>
      </w:r>
      <w:r>
        <w:t>6º</w:t>
      </w:r>
      <w:r w:rsidR="007666A4" w:rsidRPr="007666A4">
        <w:t xml:space="preserve"> de primaria y permitir que los graduados del sexto curso de primaria completen sus estudios intermedios en escuelas nocturnas, eximiendo del requisito de edad para apoyar su educación continua según exige el aprendizaje a lo largo de la vida. Se trabaja en la erradicación del analfabetismo entre los funcionarios del Estado.</w:t>
      </w:r>
    </w:p>
    <w:p w14:paraId="615D2EE9" w14:textId="35253389" w:rsidR="007666A4" w:rsidRPr="007666A4" w:rsidRDefault="005552B3" w:rsidP="005552B3">
      <w:pPr>
        <w:pStyle w:val="SingleTxtG"/>
        <w:spacing w:after="130"/>
        <w:ind w:left="1701"/>
      </w:pPr>
      <w:r>
        <w:tab/>
      </w:r>
      <w:r w:rsidR="007666A4" w:rsidRPr="007666A4">
        <w:t>En el marco del Decenio Árabe de la Alfabetización (2015-2024), la Oficina Ejecutiva para la Alfabetización preparó una estrategia decenal de alfabetización y educación de adultos, lanzada por la Liga de Estados Árabes y presentada a la Secretaría General del Consejo de Ministros para su aprobación.</w:t>
      </w:r>
    </w:p>
    <w:p w14:paraId="4EDD935C" w14:textId="6F36F14C" w:rsidR="007666A4" w:rsidRPr="007666A4" w:rsidRDefault="005552B3" w:rsidP="005552B3">
      <w:pPr>
        <w:pStyle w:val="SingleTxtG"/>
        <w:spacing w:after="130"/>
        <w:ind w:left="1701"/>
      </w:pPr>
      <w:r>
        <w:tab/>
      </w:r>
      <w:r w:rsidR="007666A4" w:rsidRPr="007666A4">
        <w:t>Se está trabajando para incrementar el número de centros de educación para adultos (es decir, de alfabetización), que actualmente son 17.086. A partir del lanzamiento del proyecto de alfabetización, se han abierto centros con arreglo a cinco promociones (de la I a la V), una por cada curso escolar, a saber:</w:t>
      </w:r>
    </w:p>
    <w:p w14:paraId="256B0DC9" w14:textId="552F942D" w:rsidR="007666A4" w:rsidRPr="002435E8" w:rsidRDefault="007666A4" w:rsidP="005552B3">
      <w:pPr>
        <w:pStyle w:val="Bullet1G"/>
        <w:numPr>
          <w:ilvl w:val="0"/>
          <w:numId w:val="5"/>
        </w:numPr>
        <w:tabs>
          <w:tab w:val="clear" w:pos="2268"/>
          <w:tab w:val="num" w:pos="1701"/>
        </w:tabs>
        <w:spacing w:after="130"/>
        <w:rPr>
          <w:rFonts w:eastAsiaTheme="minorEastAsia"/>
        </w:rPr>
      </w:pPr>
      <w:r w:rsidRPr="002435E8">
        <w:rPr>
          <w:rFonts w:eastAsiaTheme="minorEastAsia"/>
        </w:rPr>
        <w:t>Primera promoción, curso escolar 2012/13: 5.699 centros</w:t>
      </w:r>
    </w:p>
    <w:p w14:paraId="16FC97F0" w14:textId="1D547298" w:rsidR="007666A4" w:rsidRPr="002435E8" w:rsidRDefault="007666A4" w:rsidP="005552B3">
      <w:pPr>
        <w:pStyle w:val="Bullet1G"/>
        <w:numPr>
          <w:ilvl w:val="0"/>
          <w:numId w:val="5"/>
        </w:numPr>
        <w:tabs>
          <w:tab w:val="clear" w:pos="2268"/>
          <w:tab w:val="num" w:pos="1701"/>
        </w:tabs>
        <w:spacing w:after="130"/>
        <w:rPr>
          <w:rFonts w:eastAsiaTheme="minorEastAsia"/>
        </w:rPr>
      </w:pPr>
      <w:r w:rsidRPr="002435E8">
        <w:rPr>
          <w:rFonts w:eastAsiaTheme="minorEastAsia"/>
        </w:rPr>
        <w:t>Segunda promoción, curso escolar 2013/14: 7.224 centros</w:t>
      </w:r>
    </w:p>
    <w:p w14:paraId="735D8356" w14:textId="75F92A1B" w:rsidR="007666A4" w:rsidRPr="002435E8" w:rsidRDefault="007666A4" w:rsidP="005552B3">
      <w:pPr>
        <w:pStyle w:val="Bullet1G"/>
        <w:numPr>
          <w:ilvl w:val="0"/>
          <w:numId w:val="5"/>
        </w:numPr>
        <w:tabs>
          <w:tab w:val="clear" w:pos="2268"/>
          <w:tab w:val="num" w:pos="1701"/>
        </w:tabs>
        <w:spacing w:after="130"/>
        <w:rPr>
          <w:rFonts w:eastAsiaTheme="minorEastAsia"/>
        </w:rPr>
      </w:pPr>
      <w:r w:rsidRPr="002435E8">
        <w:rPr>
          <w:rFonts w:eastAsiaTheme="minorEastAsia"/>
        </w:rPr>
        <w:t>Tercera promoción, curso escolar 2014/15: 3.</w:t>
      </w:r>
      <w:r w:rsidR="005552B3">
        <w:rPr>
          <w:rFonts w:eastAsiaTheme="minorEastAsia"/>
        </w:rPr>
        <w:t>0</w:t>
      </w:r>
      <w:r w:rsidRPr="002435E8">
        <w:rPr>
          <w:rFonts w:eastAsiaTheme="minorEastAsia"/>
        </w:rPr>
        <w:t>14 centros</w:t>
      </w:r>
    </w:p>
    <w:p w14:paraId="65848070" w14:textId="292E0BDF" w:rsidR="007666A4" w:rsidRPr="002435E8" w:rsidRDefault="007666A4" w:rsidP="005552B3">
      <w:pPr>
        <w:pStyle w:val="Bullet1G"/>
        <w:numPr>
          <w:ilvl w:val="0"/>
          <w:numId w:val="5"/>
        </w:numPr>
        <w:tabs>
          <w:tab w:val="clear" w:pos="2268"/>
          <w:tab w:val="num" w:pos="1701"/>
        </w:tabs>
        <w:spacing w:after="130"/>
        <w:rPr>
          <w:rFonts w:eastAsiaTheme="minorEastAsia"/>
        </w:rPr>
      </w:pPr>
      <w:r w:rsidRPr="002435E8">
        <w:rPr>
          <w:rFonts w:eastAsiaTheme="minorEastAsia"/>
        </w:rPr>
        <w:t>Cuarta promoción, curso escolar 2015/16: 1.149 centros</w:t>
      </w:r>
    </w:p>
    <w:p w14:paraId="27402ED1" w14:textId="668A352A" w:rsidR="007666A4" w:rsidRPr="002435E8" w:rsidRDefault="007666A4" w:rsidP="005552B3">
      <w:pPr>
        <w:pStyle w:val="Bullet1G"/>
        <w:numPr>
          <w:ilvl w:val="0"/>
          <w:numId w:val="5"/>
        </w:numPr>
        <w:tabs>
          <w:tab w:val="clear" w:pos="2268"/>
          <w:tab w:val="num" w:pos="1701"/>
        </w:tabs>
        <w:spacing w:after="130"/>
        <w:rPr>
          <w:rFonts w:eastAsiaTheme="minorEastAsia"/>
        </w:rPr>
      </w:pPr>
      <w:r w:rsidRPr="002435E8">
        <w:rPr>
          <w:rFonts w:eastAsiaTheme="minorEastAsia"/>
        </w:rPr>
        <w:t>Quinta promoción, curso escolar 2016/17: 744 centros</w:t>
      </w:r>
    </w:p>
    <w:p w14:paraId="6450D181" w14:textId="3EBCFCED" w:rsidR="007666A4" w:rsidRPr="007666A4" w:rsidRDefault="007666A4" w:rsidP="005552B3">
      <w:pPr>
        <w:pStyle w:val="SingleTxtG"/>
        <w:spacing w:after="130"/>
      </w:pPr>
      <w:r w:rsidRPr="007666A4">
        <w:t>258.</w:t>
      </w:r>
      <w:r>
        <w:tab/>
      </w:r>
      <w:r w:rsidRPr="007666A4">
        <w:t>Estas estadísticas no incluyen las promociones tercera, cuarta y quinta en las provincias de Nínive y Al-Anbar debido a la situación de seguridad en ellas y en vista del creciente número de analfabetos entre las familias desplazadas a la región del Kurdistán. En coordinación con los representantes del Ministerio de Educación en Erbil, Sulaymaniya y Dehok, un gran número de desplazados han acudido a los centros de alfabetización abiertos para ellos en los campos de desplazados. La información y los datos estadísticos (número de centros, alumnos, profesores, etc.) se han tenido en cuenta en la preparación de los programas de alfabetización adoptados por la Oficina Ejecutiva para la Alfabetización.</w:t>
      </w:r>
    </w:p>
    <w:p w14:paraId="0B8229F1" w14:textId="36FA2BB1" w:rsidR="007666A4" w:rsidRPr="007666A4" w:rsidRDefault="007666A4" w:rsidP="007666A4">
      <w:pPr>
        <w:pStyle w:val="SingleTxtG"/>
      </w:pPr>
      <w:r w:rsidRPr="007666A4">
        <w:lastRenderedPageBreak/>
        <w:t>259.</w:t>
      </w:r>
      <w:r>
        <w:tab/>
      </w:r>
      <w:r w:rsidRPr="007666A4">
        <w:t>Las principales medidas adoptadas para impulsar la matriculación en todos los niveles son las siguientes:</w:t>
      </w:r>
    </w:p>
    <w:p w14:paraId="1B8FC17E" w14:textId="65EE1066" w:rsidR="007666A4" w:rsidRPr="007666A4" w:rsidRDefault="007666A4" w:rsidP="007666A4">
      <w:pPr>
        <w:pStyle w:val="SingleTxtG"/>
      </w:pPr>
      <w:r w:rsidRPr="007666A4">
        <w:tab/>
        <w:t>1.</w:t>
      </w:r>
      <w:r w:rsidR="002435E8">
        <w:tab/>
      </w:r>
      <w:r w:rsidRPr="007666A4">
        <w:t xml:space="preserve">Aplicar la Ley de Educación Obligatoria, de forma que las comisiones de evaluación de las direcciones generales de educación determinen el número de personas que se benefician de la </w:t>
      </w:r>
      <w:r w:rsidR="004973F9" w:rsidRPr="007666A4">
        <w:t xml:space="preserve">Ley </w:t>
      </w:r>
      <w:r w:rsidRPr="007666A4">
        <w:t xml:space="preserve">cada año; hacer un seguimiento de la aplicación de la </w:t>
      </w:r>
      <w:r w:rsidR="004973F9" w:rsidRPr="007666A4">
        <w:t xml:space="preserve">Ley </w:t>
      </w:r>
      <w:r w:rsidRPr="007666A4">
        <w:t>tras la transferencia de competencias a las provincias en 2017/18 en virtud de la Ley de Provincias;</w:t>
      </w:r>
    </w:p>
    <w:p w14:paraId="74FEC86D" w14:textId="3D9D855A" w:rsidR="007666A4" w:rsidRPr="007666A4" w:rsidRDefault="007666A4" w:rsidP="007666A4">
      <w:pPr>
        <w:pStyle w:val="SingleTxtG"/>
      </w:pPr>
      <w:r w:rsidRPr="007666A4">
        <w:tab/>
        <w:t>2.</w:t>
      </w:r>
      <w:r w:rsidR="002435E8">
        <w:tab/>
      </w:r>
      <w:r w:rsidRPr="007666A4">
        <w:t>Abrir escuelas especiales para adolescentes y escuelas de aprendizaje acelerado para atraer a los niños de 10 a 15 años y de 12 a 18 años que abandonaron la educación primaria;</w:t>
      </w:r>
    </w:p>
    <w:p w14:paraId="6D5BECA4" w14:textId="5C0E42C6" w:rsidR="007666A4" w:rsidRPr="007666A4" w:rsidRDefault="007666A4" w:rsidP="007666A4">
      <w:pPr>
        <w:pStyle w:val="SingleTxtG"/>
      </w:pPr>
      <w:r w:rsidRPr="007666A4">
        <w:tab/>
        <w:t>3.</w:t>
      </w:r>
      <w:r w:rsidR="004973F9">
        <w:tab/>
      </w:r>
      <w:r w:rsidRPr="007666A4">
        <w:t>Inaugurar centros con arreglo a la iniciativa “Tu derecho a la educación” para atraer a niños de entre 10 y 15 años de los campamentos de desplazados y de las comunidades de acogida en los cursos escolares 2016/17 y 2017/18;</w:t>
      </w:r>
    </w:p>
    <w:p w14:paraId="7A9230E8" w14:textId="42D68A22" w:rsidR="007666A4" w:rsidRPr="007666A4" w:rsidRDefault="007666A4" w:rsidP="007666A4">
      <w:pPr>
        <w:pStyle w:val="SingleTxtG"/>
      </w:pPr>
      <w:r w:rsidRPr="007666A4">
        <w:tab/>
        <w:t>4.</w:t>
      </w:r>
      <w:r w:rsidR="002435E8">
        <w:tab/>
      </w:r>
      <w:r w:rsidRPr="007666A4">
        <w:t>Hacer un seguimiento de las medidas adoptadas por las direcciones generales de educación para aumentar los porcentajes de matrícula (reuniones de asociaciones de padres y profesores, carteles murales y campañas de concienciación, en cooperación con organizaciones de la sociedad civil);</w:t>
      </w:r>
    </w:p>
    <w:p w14:paraId="556B32AF" w14:textId="6D35C05A" w:rsidR="007666A4" w:rsidRPr="007666A4" w:rsidRDefault="007666A4" w:rsidP="007666A4">
      <w:pPr>
        <w:pStyle w:val="SingleTxtG"/>
      </w:pPr>
      <w:r w:rsidRPr="007666A4">
        <w:tab/>
        <w:t>5.</w:t>
      </w:r>
      <w:r w:rsidR="002435E8">
        <w:tab/>
      </w:r>
      <w:r w:rsidRPr="007666A4">
        <w:t>Admitir a alumnos a distancia;</w:t>
      </w:r>
    </w:p>
    <w:p w14:paraId="0C844DE7" w14:textId="0E472B08" w:rsidR="007666A4" w:rsidRPr="007666A4" w:rsidRDefault="007666A4" w:rsidP="007666A4">
      <w:pPr>
        <w:pStyle w:val="SingleTxtG"/>
      </w:pPr>
      <w:r w:rsidRPr="007666A4">
        <w:tab/>
        <w:t>6.</w:t>
      </w:r>
      <w:r w:rsidR="002435E8">
        <w:tab/>
      </w:r>
      <w:r w:rsidRPr="007666A4">
        <w:t>Dar autorización para asistir a clase a aquellos alumnos que no tuvieron la oportunidad de matricularse;</w:t>
      </w:r>
    </w:p>
    <w:p w14:paraId="4AAD40BA" w14:textId="562AE3EB" w:rsidR="007666A4" w:rsidRPr="007666A4" w:rsidRDefault="007666A4" w:rsidP="007666A4">
      <w:pPr>
        <w:pStyle w:val="SingleTxtG"/>
      </w:pPr>
      <w:r w:rsidRPr="007666A4">
        <w:tab/>
        <w:t>7.</w:t>
      </w:r>
      <w:r w:rsidR="002435E8">
        <w:tab/>
      </w:r>
      <w:r w:rsidRPr="007666A4">
        <w:t>Permitir que los alumnos mayores de 18 años se presenten al examen de reválida y que los alumnos de grado medio y preparatorio se presenten al examen externo, de acuerdo con las directivas que emite anualmente la Dirección General de Evaluación y Exámenes;</w:t>
      </w:r>
    </w:p>
    <w:p w14:paraId="7399070B" w14:textId="4CB32D05" w:rsidR="007666A4" w:rsidRPr="007666A4" w:rsidRDefault="007666A4" w:rsidP="007666A4">
      <w:pPr>
        <w:pStyle w:val="SingleTxtG"/>
      </w:pPr>
      <w:r w:rsidRPr="007666A4">
        <w:tab/>
        <w:t>8.</w:t>
      </w:r>
      <w:r w:rsidR="002435E8">
        <w:tab/>
      </w:r>
      <w:r w:rsidRPr="007666A4">
        <w:t>Permitir que los estudiantes de ambos sexos asistan a clases nocturnas.</w:t>
      </w:r>
    </w:p>
    <w:p w14:paraId="50B02B47" w14:textId="0BEB15C0" w:rsidR="007666A4" w:rsidRPr="007666A4" w:rsidRDefault="007666A4" w:rsidP="007666A4">
      <w:pPr>
        <w:pStyle w:val="SingleTxtG"/>
      </w:pPr>
      <w:r w:rsidRPr="007666A4">
        <w:t>260.</w:t>
      </w:r>
      <w:r>
        <w:tab/>
      </w:r>
      <w:r w:rsidRPr="007666A4">
        <w:t>En cuanto al aspecto institucional (eje 1) de la Estrategia de Educación Nacional, se han adoptado las siguientes leyes y disposiciones legislativas:</w:t>
      </w:r>
    </w:p>
    <w:p w14:paraId="11792D6B" w14:textId="1BE22D2E" w:rsidR="007666A4" w:rsidRPr="002435E8" w:rsidRDefault="007666A4" w:rsidP="002435E8">
      <w:pPr>
        <w:pStyle w:val="Bullet1G"/>
        <w:numPr>
          <w:ilvl w:val="0"/>
          <w:numId w:val="5"/>
        </w:numPr>
        <w:tabs>
          <w:tab w:val="clear" w:pos="2268"/>
          <w:tab w:val="num" w:pos="1701"/>
        </w:tabs>
        <w:ind w:left="1701"/>
        <w:rPr>
          <w:rFonts w:eastAsiaTheme="minorEastAsia"/>
        </w:rPr>
      </w:pPr>
      <w:r w:rsidRPr="002435E8">
        <w:rPr>
          <w:rFonts w:eastAsiaTheme="minorEastAsia"/>
        </w:rPr>
        <w:t>La Directiva núm. 3/2012, sobre la concesión de licencias a jardines de infancia privados; la Directiva sobre asesoramiento pedagógico</w:t>
      </w:r>
      <w:r w:rsidR="002435E8">
        <w:rPr>
          <w:rFonts w:eastAsiaTheme="minorEastAsia"/>
        </w:rPr>
        <w:t>.</w:t>
      </w:r>
    </w:p>
    <w:p w14:paraId="70D0278D" w14:textId="4BCD18E7" w:rsidR="007666A4" w:rsidRPr="002435E8" w:rsidRDefault="007666A4" w:rsidP="002435E8">
      <w:pPr>
        <w:pStyle w:val="Bullet1G"/>
        <w:numPr>
          <w:ilvl w:val="0"/>
          <w:numId w:val="5"/>
        </w:numPr>
        <w:tabs>
          <w:tab w:val="clear" w:pos="2268"/>
          <w:tab w:val="num" w:pos="1701"/>
        </w:tabs>
        <w:ind w:left="1701"/>
        <w:rPr>
          <w:rFonts w:eastAsiaTheme="minorEastAsia"/>
        </w:rPr>
      </w:pPr>
      <w:r w:rsidRPr="002435E8">
        <w:rPr>
          <w:rFonts w:eastAsiaTheme="minorEastAsia"/>
        </w:rPr>
        <w:t>La Ley de Retribución del Personal Docente</w:t>
      </w:r>
      <w:r w:rsidR="002435E8">
        <w:rPr>
          <w:rFonts w:eastAsiaTheme="minorEastAsia"/>
        </w:rPr>
        <w:t>.</w:t>
      </w:r>
    </w:p>
    <w:p w14:paraId="7C8A4993" w14:textId="58C751E3" w:rsidR="007666A4" w:rsidRPr="002435E8" w:rsidRDefault="007666A4" w:rsidP="002435E8">
      <w:pPr>
        <w:pStyle w:val="Bullet1G"/>
        <w:numPr>
          <w:ilvl w:val="0"/>
          <w:numId w:val="5"/>
        </w:numPr>
        <w:tabs>
          <w:tab w:val="clear" w:pos="2268"/>
          <w:tab w:val="num" w:pos="1701"/>
        </w:tabs>
        <w:ind w:left="1701"/>
        <w:rPr>
          <w:rFonts w:eastAsiaTheme="minorEastAsia"/>
        </w:rPr>
      </w:pPr>
      <w:r w:rsidRPr="002435E8">
        <w:rPr>
          <w:rFonts w:eastAsiaTheme="minorEastAsia"/>
        </w:rPr>
        <w:t>La Ley de Becas para Alumnos y Estudiantes de Escuelas Públicas y Privadas, núm.</w:t>
      </w:r>
      <w:r w:rsidR="004973F9">
        <w:rPr>
          <w:rFonts w:eastAsiaTheme="minorEastAsia"/>
        </w:rPr>
        <w:t> </w:t>
      </w:r>
      <w:r w:rsidRPr="002435E8">
        <w:rPr>
          <w:rFonts w:eastAsiaTheme="minorEastAsia"/>
        </w:rPr>
        <w:t>1/2014; la Directiva núm. 1/2017, sobre la facilitación de la aplicación de la Ley de Becas para Alumnos y Estudiantes de Escuelas Públicas y Privadas; y la cuarta modificación de la Directiva relativa al Fondo Central de Educación.</w:t>
      </w:r>
    </w:p>
    <w:p w14:paraId="60358842" w14:textId="3D1661B6" w:rsidR="007666A4" w:rsidRPr="007666A4" w:rsidRDefault="007666A4" w:rsidP="007666A4">
      <w:pPr>
        <w:pStyle w:val="SingleTxtG"/>
      </w:pPr>
      <w:r w:rsidRPr="007666A4">
        <w:t>261.</w:t>
      </w:r>
      <w:r>
        <w:tab/>
      </w:r>
      <w:r w:rsidRPr="007666A4">
        <w:t>El segundo eje de la estrategia gira en torno a las infraestructuras, con el objetivo de construir 18.740 escuelas de primaria, secundaria y jardín de infancia. Sin embargo, hasta</w:t>
      </w:r>
      <w:r w:rsidR="004973F9">
        <w:t> </w:t>
      </w:r>
      <w:r w:rsidRPr="007666A4">
        <w:t>2017 solo se habían construido 2.084 escuelas para las diferentes etapas educativas. Este reducido número se debe a las insuficientes partidas del presupuesto de inversión con posterioridad a 2014 y al hecho de que muchos proyectos se han paralizado. El Ministerio espera lograr un mayor nivel de finalización para 2022.</w:t>
      </w:r>
    </w:p>
    <w:p w14:paraId="00B92F8F" w14:textId="62C09CEF" w:rsidR="007666A4" w:rsidRPr="007666A4" w:rsidRDefault="007666A4" w:rsidP="007666A4">
      <w:pPr>
        <w:pStyle w:val="SingleTxtG"/>
      </w:pPr>
      <w:r w:rsidRPr="007666A4">
        <w:t>262.</w:t>
      </w:r>
      <w:r>
        <w:tab/>
      </w:r>
      <w:r w:rsidRPr="007666A4">
        <w:t>El tercer tema de la estrategia es la disponibilidad de oportunidades, con el objetivo de lograr una tasa neta de matriculación del 99 % en primaria para 2022. Hasta la fecha, se ha logrado una tasa del 94 %, frente al 91 % de 2012. En secundaria se ha logrado una tasa del 57 %, frente al 36 % en el año escolar 2009/10 y el 46 % en 2012; el objetivo es el 70 %. No se ha producido un aumento de la matrícula neta en formación profesional debido que en los últimos años ha decrecido el interés por cursar esta rama de la educación.</w:t>
      </w:r>
    </w:p>
    <w:p w14:paraId="5B6243C9" w14:textId="0FF3C8C1" w:rsidR="007666A4" w:rsidRPr="007666A4" w:rsidRDefault="007666A4" w:rsidP="007666A4">
      <w:pPr>
        <w:pStyle w:val="SingleTxtG"/>
      </w:pPr>
      <w:r w:rsidRPr="007666A4">
        <w:t>263.</w:t>
      </w:r>
      <w:r>
        <w:tab/>
      </w:r>
      <w:r w:rsidRPr="007666A4">
        <w:t>En cuanto al eje de la calidad de la educación, el resultado ha sido excelente: se han creado secciones y sucursales en las delegaciones de educación de las provincias y se han establecido altos niveles de exigencia para los estudiantes, los profesores y los jefes de estudios; también ha habido logros en otros aspectos del proceso educativo relacionados con la calidad.</w:t>
      </w:r>
    </w:p>
    <w:p w14:paraId="63CF50C2" w14:textId="3EFBB3DA" w:rsidR="007666A4" w:rsidRPr="007666A4" w:rsidRDefault="007666A4" w:rsidP="007666A4">
      <w:pPr>
        <w:pStyle w:val="SingleTxtG"/>
      </w:pPr>
      <w:r w:rsidRPr="007666A4">
        <w:lastRenderedPageBreak/>
        <w:t>264.</w:t>
      </w:r>
      <w:r>
        <w:tab/>
      </w:r>
      <w:r w:rsidRPr="007666A4">
        <w:t>El personal docente, los supervisores pedagógicos y los funcionarios participan en cursos de perfeccionamiento para mejorar sus habilidades y capacidades. Además, se diseñan, actualizan y desarrollan los planes de estudio para mantenerse al día de los avances científicos. Hay que tener en cuenta que la austeridad ha repercutido en la aplicación de estas medidas.</w:t>
      </w:r>
    </w:p>
    <w:p w14:paraId="235A0682" w14:textId="05A8CE4A" w:rsidR="007666A4" w:rsidRPr="007666A4" w:rsidRDefault="007666A4" w:rsidP="007666A4">
      <w:pPr>
        <w:pStyle w:val="SingleTxtG"/>
      </w:pPr>
      <w:r w:rsidRPr="007666A4">
        <w:t>265.</w:t>
      </w:r>
      <w:r>
        <w:tab/>
      </w:r>
      <w:r w:rsidRPr="007666A4">
        <w:t>La reducción de las asignaciones presupuestarias ha tenido un impacto negativo en la educación, causando problemas como:</w:t>
      </w:r>
    </w:p>
    <w:p w14:paraId="4FB86F82" w14:textId="32097AD3" w:rsidR="007666A4" w:rsidRPr="002435E8" w:rsidRDefault="007666A4" w:rsidP="002435E8">
      <w:pPr>
        <w:pStyle w:val="Bullet1G"/>
        <w:numPr>
          <w:ilvl w:val="0"/>
          <w:numId w:val="5"/>
        </w:numPr>
        <w:tabs>
          <w:tab w:val="clear" w:pos="2268"/>
          <w:tab w:val="num" w:pos="1701"/>
        </w:tabs>
        <w:ind w:left="1701"/>
        <w:rPr>
          <w:rFonts w:eastAsiaTheme="minorEastAsia"/>
        </w:rPr>
      </w:pPr>
      <w:r w:rsidRPr="002435E8">
        <w:rPr>
          <w:rFonts w:eastAsiaTheme="minorEastAsia"/>
        </w:rPr>
        <w:t>Doble y triple turno debido a la escasez de edificios escolares</w:t>
      </w:r>
      <w:r w:rsidR="002435E8">
        <w:rPr>
          <w:rFonts w:eastAsiaTheme="minorEastAsia"/>
        </w:rPr>
        <w:t>.</w:t>
      </w:r>
    </w:p>
    <w:p w14:paraId="719AB699" w14:textId="5E2D8866" w:rsidR="007666A4" w:rsidRPr="002435E8" w:rsidRDefault="007666A4" w:rsidP="002435E8">
      <w:pPr>
        <w:pStyle w:val="Bullet1G"/>
        <w:numPr>
          <w:ilvl w:val="0"/>
          <w:numId w:val="5"/>
        </w:numPr>
        <w:tabs>
          <w:tab w:val="clear" w:pos="2268"/>
          <w:tab w:val="num" w:pos="1701"/>
        </w:tabs>
        <w:ind w:left="1701"/>
        <w:rPr>
          <w:rFonts w:eastAsiaTheme="minorEastAsia"/>
        </w:rPr>
      </w:pPr>
      <w:r w:rsidRPr="002435E8">
        <w:rPr>
          <w:rFonts w:eastAsiaTheme="minorEastAsia"/>
        </w:rPr>
        <w:t>Destrucción total o parcial de escuelas en las provincias de Nínive, Salah al-Din, Diyala, Babil, Bagdad (Karj 2) y Al-Anbar como resultado de las operaciones antiterroristas contra el EIIL</w:t>
      </w:r>
      <w:r w:rsidR="002435E8">
        <w:rPr>
          <w:rFonts w:eastAsiaTheme="minorEastAsia"/>
        </w:rPr>
        <w:t>.</w:t>
      </w:r>
    </w:p>
    <w:p w14:paraId="575C0CC2" w14:textId="2A67302C" w:rsidR="007666A4" w:rsidRPr="002435E8" w:rsidRDefault="007666A4" w:rsidP="002435E8">
      <w:pPr>
        <w:pStyle w:val="Bullet1G"/>
        <w:numPr>
          <w:ilvl w:val="0"/>
          <w:numId w:val="5"/>
        </w:numPr>
        <w:tabs>
          <w:tab w:val="clear" w:pos="2268"/>
          <w:tab w:val="num" w:pos="1701"/>
        </w:tabs>
        <w:ind w:left="1701"/>
        <w:rPr>
          <w:rFonts w:eastAsiaTheme="minorEastAsia"/>
        </w:rPr>
      </w:pPr>
      <w:r w:rsidRPr="002435E8">
        <w:rPr>
          <w:rFonts w:eastAsiaTheme="minorEastAsia"/>
        </w:rPr>
        <w:t>Masificación de las aulas</w:t>
      </w:r>
      <w:r w:rsidR="002435E8">
        <w:rPr>
          <w:rFonts w:eastAsiaTheme="minorEastAsia"/>
        </w:rPr>
        <w:t>.</w:t>
      </w:r>
    </w:p>
    <w:p w14:paraId="01624E04" w14:textId="1C51FA85" w:rsidR="007666A4" w:rsidRPr="002435E8" w:rsidRDefault="007666A4" w:rsidP="002435E8">
      <w:pPr>
        <w:pStyle w:val="Bullet1G"/>
        <w:numPr>
          <w:ilvl w:val="0"/>
          <w:numId w:val="5"/>
        </w:numPr>
        <w:tabs>
          <w:tab w:val="clear" w:pos="2268"/>
          <w:tab w:val="num" w:pos="1701"/>
        </w:tabs>
        <w:ind w:left="1701"/>
        <w:rPr>
          <w:rFonts w:eastAsiaTheme="minorEastAsia"/>
        </w:rPr>
      </w:pPr>
      <w:r w:rsidRPr="002435E8">
        <w:rPr>
          <w:rFonts w:eastAsiaTheme="minorEastAsia"/>
        </w:rPr>
        <w:t>El hecho de que no se paguen las becas a los alumnos, unas becas que ayudarían a reducir el número de niños que abandonan la escuela para trabajar con el fin de ayudar a sus padres</w:t>
      </w:r>
      <w:r w:rsidR="002435E8">
        <w:rPr>
          <w:rFonts w:eastAsiaTheme="minorEastAsia"/>
        </w:rPr>
        <w:t>.</w:t>
      </w:r>
    </w:p>
    <w:p w14:paraId="33579345" w14:textId="158A880B" w:rsidR="007666A4" w:rsidRPr="002435E8" w:rsidRDefault="007666A4" w:rsidP="002435E8">
      <w:pPr>
        <w:pStyle w:val="Bullet1G"/>
        <w:numPr>
          <w:ilvl w:val="0"/>
          <w:numId w:val="5"/>
        </w:numPr>
        <w:tabs>
          <w:tab w:val="clear" w:pos="2268"/>
          <w:tab w:val="num" w:pos="1701"/>
        </w:tabs>
        <w:ind w:left="1701"/>
        <w:rPr>
          <w:rFonts w:eastAsiaTheme="minorEastAsia"/>
        </w:rPr>
      </w:pPr>
      <w:r w:rsidRPr="002435E8">
        <w:rPr>
          <w:rFonts w:eastAsiaTheme="minorEastAsia"/>
        </w:rPr>
        <w:t>Los profesores, los responsables de las asociaciones de padres y profesores y los directores de las escuelas de las zonas liberadas deben asistir a cursos de apoyo psicológico y social, lo que requiere la asignación de fondos a los departamentos de formación, de acuerdo con los planes de formación del profesorado y de desarrollo pedagógico de cada dirección general</w:t>
      </w:r>
      <w:r w:rsidR="002435E8">
        <w:rPr>
          <w:rFonts w:eastAsiaTheme="minorEastAsia"/>
        </w:rPr>
        <w:t>.</w:t>
      </w:r>
    </w:p>
    <w:p w14:paraId="41B9912A" w14:textId="38B250E3" w:rsidR="007666A4" w:rsidRPr="002435E8" w:rsidRDefault="007666A4" w:rsidP="002435E8">
      <w:pPr>
        <w:pStyle w:val="Bullet1G"/>
        <w:numPr>
          <w:ilvl w:val="0"/>
          <w:numId w:val="5"/>
        </w:numPr>
        <w:tabs>
          <w:tab w:val="clear" w:pos="2268"/>
          <w:tab w:val="num" w:pos="1701"/>
        </w:tabs>
        <w:ind w:left="1701"/>
        <w:rPr>
          <w:rFonts w:eastAsiaTheme="minorEastAsia"/>
        </w:rPr>
      </w:pPr>
      <w:r w:rsidRPr="002435E8">
        <w:rPr>
          <w:rFonts w:eastAsiaTheme="minorEastAsia"/>
        </w:rPr>
        <w:t>Hay que reintegrar a los alumnos de las zonas liberadas mediante la educación y la participación en actividades artísticas y deportivas para promover los valores de la ciudadanía y el repudio de la violencia; para ello es necesario asignar fondos a los departamentos de deportes</w:t>
      </w:r>
      <w:r w:rsidR="002435E8">
        <w:rPr>
          <w:rFonts w:eastAsiaTheme="minorEastAsia"/>
        </w:rPr>
        <w:t>.</w:t>
      </w:r>
    </w:p>
    <w:p w14:paraId="0702C819" w14:textId="4288D2B8" w:rsidR="007666A4" w:rsidRPr="002435E8" w:rsidRDefault="007666A4" w:rsidP="002435E8">
      <w:pPr>
        <w:pStyle w:val="Bullet1G"/>
        <w:numPr>
          <w:ilvl w:val="0"/>
          <w:numId w:val="5"/>
        </w:numPr>
        <w:tabs>
          <w:tab w:val="clear" w:pos="2268"/>
          <w:tab w:val="num" w:pos="1701"/>
        </w:tabs>
        <w:ind w:left="1701"/>
        <w:rPr>
          <w:rFonts w:eastAsiaTheme="minorEastAsia"/>
        </w:rPr>
      </w:pPr>
      <w:r w:rsidRPr="002435E8">
        <w:rPr>
          <w:rFonts w:eastAsiaTheme="minorEastAsia"/>
        </w:rPr>
        <w:t xml:space="preserve">Debe formarse un comité permanente para estudiar y supervisar las necesidades de las personas con discapacidad </w:t>
      </w:r>
      <w:r w:rsidR="00D95708">
        <w:rPr>
          <w:rFonts w:eastAsiaTheme="minorEastAsia"/>
        </w:rPr>
        <w:t>y</w:t>
      </w:r>
      <w:r w:rsidRPr="002435E8">
        <w:rPr>
          <w:rFonts w:eastAsiaTheme="minorEastAsia"/>
        </w:rPr>
        <w:t xml:space="preserve"> con necesidades especiales y establecer las bases adecuadas para tratar esta cuestión; en su plan anual, el Ministerio de Educación pretende difundir la cultura de la inclusión pedagógica e intensificar la apertura de escuelas integradas.</w:t>
      </w:r>
    </w:p>
    <w:p w14:paraId="10C31BFC" w14:textId="7D3ACB13" w:rsidR="007666A4" w:rsidRPr="007666A4" w:rsidRDefault="007666A4" w:rsidP="007666A4">
      <w:pPr>
        <w:pStyle w:val="SingleTxtG"/>
      </w:pPr>
      <w:r w:rsidRPr="007666A4">
        <w:t>266.</w:t>
      </w:r>
      <w:r>
        <w:tab/>
      </w:r>
      <w:r w:rsidRPr="007666A4">
        <w:t>Se ha salvado a miles de estudiantes desplazados de su tierra natal y obligados a dejar la escuela por la violencia, ya que:</w:t>
      </w:r>
    </w:p>
    <w:p w14:paraId="28154F2A" w14:textId="4A4EEA8F" w:rsidR="007666A4" w:rsidRPr="007666A4" w:rsidRDefault="007666A4" w:rsidP="007666A4">
      <w:pPr>
        <w:pStyle w:val="SingleTxtG"/>
      </w:pPr>
      <w:r w:rsidRPr="007666A4">
        <w:tab/>
        <w:t>1.</w:t>
      </w:r>
      <w:r w:rsidR="002435E8">
        <w:tab/>
      </w:r>
      <w:r w:rsidRPr="007666A4">
        <w:t>Se han abierto tres delegaciones del Ministerio en la región del Kurdistán;</w:t>
      </w:r>
    </w:p>
    <w:p w14:paraId="548AD613" w14:textId="3CD26836" w:rsidR="007666A4" w:rsidRPr="007666A4" w:rsidRDefault="007666A4" w:rsidP="007666A4">
      <w:pPr>
        <w:pStyle w:val="SingleTxtG"/>
      </w:pPr>
      <w:r w:rsidRPr="007666A4">
        <w:tab/>
        <w:t>2.</w:t>
      </w:r>
      <w:r w:rsidR="002435E8">
        <w:tab/>
      </w:r>
      <w:r w:rsidRPr="007666A4">
        <w:t>Se ha elaborado un plan de emergencia para atender la situación educativa de los alumnos desplazados por las acciones militares;</w:t>
      </w:r>
    </w:p>
    <w:p w14:paraId="6D436C3E" w14:textId="3DFA097C" w:rsidR="007666A4" w:rsidRPr="007666A4" w:rsidRDefault="007666A4" w:rsidP="007666A4">
      <w:pPr>
        <w:pStyle w:val="SingleTxtG"/>
      </w:pPr>
      <w:r w:rsidRPr="007666A4">
        <w:tab/>
        <w:t>3.</w:t>
      </w:r>
      <w:r w:rsidR="002435E8">
        <w:tab/>
      </w:r>
      <w:r w:rsidRPr="007666A4">
        <w:t>En colaboración con el Comité Superior de Ayuda y Acogida a las Familias Desplazadas, se ha elaborado un plan de estudios de emergencia para la enseñanza en las comunidades desplazadas con el fin de satisfacer las necesidades de los estudiantes de la región del Kurdistán y las delegaciones del ministerio;</w:t>
      </w:r>
    </w:p>
    <w:p w14:paraId="4E9C8274" w14:textId="48827531" w:rsidR="007666A4" w:rsidRPr="007666A4" w:rsidRDefault="007666A4" w:rsidP="007666A4">
      <w:pPr>
        <w:pStyle w:val="SingleTxtG"/>
      </w:pPr>
      <w:r w:rsidRPr="007666A4">
        <w:tab/>
        <w:t>4.</w:t>
      </w:r>
      <w:r w:rsidR="002435E8">
        <w:tab/>
      </w:r>
      <w:r w:rsidRPr="007666A4">
        <w:t>Se han abierto unas 473 escuelas en todo el país, que darán cobertura a 224.457</w:t>
      </w:r>
      <w:r w:rsidR="004973F9">
        <w:t> </w:t>
      </w:r>
      <w:r w:rsidRPr="007666A4">
        <w:t>estudiantes desplazados de ambos sexos;</w:t>
      </w:r>
    </w:p>
    <w:p w14:paraId="654586C3" w14:textId="08CFB29D" w:rsidR="007666A4" w:rsidRPr="007666A4" w:rsidRDefault="007666A4" w:rsidP="007666A4">
      <w:pPr>
        <w:pStyle w:val="SingleTxtG"/>
      </w:pPr>
      <w:r w:rsidRPr="007666A4">
        <w:tab/>
        <w:t>5.</w:t>
      </w:r>
      <w:r w:rsidR="002435E8">
        <w:tab/>
      </w:r>
      <w:r w:rsidRPr="007666A4">
        <w:t>Se han alquilado 61 edificios en la región del Kurdistán para los desplazados y se les ha suministrado caravanas; se han creado 14 escuelas-caravana en la carretera de Nayaf a Karbala, con capacidad para 12 aulas; se han distribuido a las escuelas 690 caravanas totalmente equipadas, para paliar el hacinamiento;</w:t>
      </w:r>
    </w:p>
    <w:p w14:paraId="374FD2E3" w14:textId="683CBD6E" w:rsidR="007666A4" w:rsidRPr="007666A4" w:rsidRDefault="007666A4" w:rsidP="007666A4">
      <w:pPr>
        <w:pStyle w:val="SingleTxtG"/>
      </w:pPr>
      <w:r w:rsidRPr="007666A4">
        <w:tab/>
        <w:t>6.</w:t>
      </w:r>
      <w:r w:rsidR="002435E8">
        <w:tab/>
      </w:r>
      <w:r w:rsidRPr="007666A4">
        <w:t>El personal docente recibe formación de apoyo psicológico y social en coordinación con las agencias humanitarias internacionales;</w:t>
      </w:r>
    </w:p>
    <w:p w14:paraId="0C5A2576" w14:textId="0667D993" w:rsidR="007666A4" w:rsidRPr="007666A4" w:rsidRDefault="007666A4" w:rsidP="007666A4">
      <w:pPr>
        <w:pStyle w:val="SingleTxtG"/>
      </w:pPr>
      <w:r w:rsidRPr="007666A4">
        <w:tab/>
        <w:t>7.</w:t>
      </w:r>
      <w:r w:rsidR="002435E8">
        <w:tab/>
      </w:r>
      <w:r w:rsidRPr="007666A4">
        <w:t>Se han simplificado los procedimientos de examen para los estudiantes desplazados y se han abierto centros de examen fuera del Iraq;</w:t>
      </w:r>
    </w:p>
    <w:p w14:paraId="795BCEEB" w14:textId="362C932C" w:rsidR="007666A4" w:rsidRPr="007666A4" w:rsidRDefault="007666A4" w:rsidP="007666A4">
      <w:pPr>
        <w:pStyle w:val="SingleTxtG"/>
      </w:pPr>
      <w:r w:rsidRPr="007666A4">
        <w:tab/>
        <w:t>8.</w:t>
      </w:r>
      <w:r w:rsidR="002435E8">
        <w:tab/>
      </w:r>
      <w:r w:rsidRPr="007666A4">
        <w:t>La televisión educativa y la Dirección General del Plan de Estudios desempeñan un papel importante a la hora de garantizar la entrega de contenidos educativos a los alumnos desplazados a través de los portales digitales.</w:t>
      </w:r>
    </w:p>
    <w:p w14:paraId="521E1045" w14:textId="44C7D335" w:rsidR="007666A4" w:rsidRPr="007666A4" w:rsidRDefault="007666A4" w:rsidP="007666A4">
      <w:pPr>
        <w:pStyle w:val="SingleTxtG"/>
      </w:pPr>
      <w:r w:rsidRPr="007666A4">
        <w:lastRenderedPageBreak/>
        <w:t>267.</w:t>
      </w:r>
      <w:r>
        <w:tab/>
      </w:r>
      <w:r w:rsidRPr="007666A4">
        <w:t>El Ministerio de Educación ha tomado algunas medidas en relación con el plan de estudios en las zonas liberadas:</w:t>
      </w:r>
    </w:p>
    <w:p w14:paraId="66630D7E" w14:textId="5A771EE8" w:rsidR="007666A4" w:rsidRPr="002435E8" w:rsidRDefault="007666A4" w:rsidP="002435E8">
      <w:pPr>
        <w:pStyle w:val="Bullet1G"/>
        <w:numPr>
          <w:ilvl w:val="0"/>
          <w:numId w:val="5"/>
        </w:numPr>
        <w:tabs>
          <w:tab w:val="clear" w:pos="2268"/>
          <w:tab w:val="num" w:pos="1701"/>
        </w:tabs>
        <w:ind w:left="1701"/>
        <w:rPr>
          <w:rFonts w:eastAsiaTheme="minorEastAsia"/>
        </w:rPr>
      </w:pPr>
      <w:r w:rsidRPr="002435E8">
        <w:rPr>
          <w:rFonts w:eastAsiaTheme="minorEastAsia"/>
        </w:rPr>
        <w:t>Se ha constituido un comité ministerial superior, presidido por el Ministro de Educación, para formular políticas, planes y programas que aborden la situación educativa, psicológica y social de los alumnos, estudiantes y profesores de las zonas liberadas</w:t>
      </w:r>
      <w:r w:rsidR="002435E8">
        <w:rPr>
          <w:rFonts w:eastAsiaTheme="minorEastAsia"/>
        </w:rPr>
        <w:t>.</w:t>
      </w:r>
    </w:p>
    <w:p w14:paraId="0109803B" w14:textId="6B865C81" w:rsidR="007666A4" w:rsidRPr="002435E8" w:rsidRDefault="007666A4" w:rsidP="002435E8">
      <w:pPr>
        <w:pStyle w:val="Bullet1G"/>
        <w:numPr>
          <w:ilvl w:val="0"/>
          <w:numId w:val="5"/>
        </w:numPr>
        <w:tabs>
          <w:tab w:val="clear" w:pos="2268"/>
          <w:tab w:val="num" w:pos="1701"/>
        </w:tabs>
        <w:ind w:left="1701"/>
        <w:rPr>
          <w:rFonts w:eastAsiaTheme="minorEastAsia"/>
        </w:rPr>
      </w:pPr>
      <w:r w:rsidRPr="002435E8">
        <w:rPr>
          <w:rFonts w:eastAsiaTheme="minorEastAsia"/>
        </w:rPr>
        <w:t>Se ha realizado un análisis del contenido de los libros de texto adoptados por los terroristas del EIIL para poder contrarrestar sus conceptos, su ideología y su propaganda; se ha elaborado una guía de formación para profesores y personal</w:t>
      </w:r>
      <w:r w:rsidR="002435E8">
        <w:rPr>
          <w:rFonts w:eastAsiaTheme="minorEastAsia"/>
        </w:rPr>
        <w:t>.</w:t>
      </w:r>
    </w:p>
    <w:p w14:paraId="648908A9" w14:textId="01868101" w:rsidR="007666A4" w:rsidRPr="002435E8" w:rsidRDefault="007666A4" w:rsidP="002435E8">
      <w:pPr>
        <w:pStyle w:val="Bullet1G"/>
        <w:numPr>
          <w:ilvl w:val="0"/>
          <w:numId w:val="5"/>
        </w:numPr>
        <w:tabs>
          <w:tab w:val="clear" w:pos="2268"/>
          <w:tab w:val="num" w:pos="1701"/>
        </w:tabs>
        <w:ind w:left="1701"/>
        <w:rPr>
          <w:rFonts w:eastAsiaTheme="minorEastAsia"/>
        </w:rPr>
      </w:pPr>
      <w:r w:rsidRPr="002435E8">
        <w:rPr>
          <w:rFonts w:eastAsiaTheme="minorEastAsia"/>
        </w:rPr>
        <w:t>Se ha introducido un proyecto de aprendizaje electrónico para los estudiantes desplazados y los que han abandonado los estudios</w:t>
      </w:r>
      <w:r w:rsidR="002435E8">
        <w:rPr>
          <w:rFonts w:eastAsiaTheme="minorEastAsia"/>
        </w:rPr>
        <w:t>.</w:t>
      </w:r>
    </w:p>
    <w:p w14:paraId="781E2232" w14:textId="140BDD1F" w:rsidR="007666A4" w:rsidRPr="002435E8" w:rsidRDefault="007666A4" w:rsidP="002435E8">
      <w:pPr>
        <w:pStyle w:val="Bullet1G"/>
        <w:numPr>
          <w:ilvl w:val="0"/>
          <w:numId w:val="5"/>
        </w:numPr>
        <w:tabs>
          <w:tab w:val="clear" w:pos="2268"/>
          <w:tab w:val="num" w:pos="1701"/>
        </w:tabs>
        <w:ind w:left="1701"/>
        <w:rPr>
          <w:rFonts w:eastAsiaTheme="minorEastAsia"/>
        </w:rPr>
      </w:pPr>
      <w:r w:rsidRPr="002435E8">
        <w:rPr>
          <w:rFonts w:eastAsiaTheme="minorEastAsia"/>
        </w:rPr>
        <w:t>Se ha trabajado en colaboración con UNICEF sobre la “educación en situaciones de crisis”</w:t>
      </w:r>
      <w:r w:rsidR="002435E8">
        <w:rPr>
          <w:rFonts w:eastAsiaTheme="minorEastAsia"/>
        </w:rPr>
        <w:t>.</w:t>
      </w:r>
    </w:p>
    <w:p w14:paraId="3712C58F" w14:textId="5A399ABD" w:rsidR="007666A4" w:rsidRPr="002435E8" w:rsidRDefault="007666A4" w:rsidP="002435E8">
      <w:pPr>
        <w:pStyle w:val="Bullet1G"/>
        <w:numPr>
          <w:ilvl w:val="0"/>
          <w:numId w:val="5"/>
        </w:numPr>
        <w:tabs>
          <w:tab w:val="clear" w:pos="2268"/>
          <w:tab w:val="num" w:pos="1701"/>
        </w:tabs>
        <w:ind w:left="1701"/>
        <w:rPr>
          <w:rFonts w:eastAsiaTheme="minorEastAsia"/>
        </w:rPr>
      </w:pPr>
      <w:r w:rsidRPr="002435E8">
        <w:rPr>
          <w:rFonts w:eastAsiaTheme="minorEastAsia"/>
        </w:rPr>
        <w:t>Se ha puesto en marcha un proyecto de aptitudes para la vida diaria y educación para la ciudadanía, así como una estrategia nacional de educación positiva y dos proyectos destinados a difundir el espíritu de paz, tolerancia, convivencia pacífica, sentido de pertenencia, ciudadanía y cooperación entre los alumnos.</w:t>
      </w:r>
    </w:p>
    <w:p w14:paraId="6631E047" w14:textId="30417531" w:rsidR="007666A4" w:rsidRPr="007666A4" w:rsidRDefault="007666A4" w:rsidP="00A503A9">
      <w:pPr>
        <w:pStyle w:val="H23G"/>
      </w:pPr>
      <w:r>
        <w:tab/>
      </w:r>
      <w:r>
        <w:tab/>
      </w:r>
      <w:r w:rsidRPr="007666A4">
        <w:t>Educación de las personas con discapacidad</w:t>
      </w:r>
    </w:p>
    <w:p w14:paraId="22760220" w14:textId="64360D32" w:rsidR="007666A4" w:rsidRPr="007666A4" w:rsidRDefault="007666A4" w:rsidP="007666A4">
      <w:pPr>
        <w:pStyle w:val="SingleTxtG"/>
      </w:pPr>
      <w:r w:rsidRPr="007666A4">
        <w:t>268.</w:t>
      </w:r>
      <w:r>
        <w:tab/>
      </w:r>
      <w:r w:rsidRPr="007666A4">
        <w:t xml:space="preserve">El artículo 32 de la Constitución establece que el Estado debe atender a las personas con discapacidad y a las que tienen necesidades especiales y garantizar su rehabilitación para reintegrarlas en la sociedad; esto se regulará por ley. El Iraq se adhirió a la Convención sobre los Derechos de las Personas con Discapacidad en 2012 y posteriormente se aprobó la Ley núm. 38/2013, de Atención a las Personas con Discapacidad </w:t>
      </w:r>
      <w:r w:rsidR="00D95708">
        <w:t>y</w:t>
      </w:r>
      <w:r w:rsidRPr="007666A4">
        <w:t xml:space="preserve"> con Necesidades Especiales. El artículo 2 de la </w:t>
      </w:r>
      <w:r w:rsidR="004973F9" w:rsidRPr="007666A4">
        <w:t xml:space="preserve">Ley </w:t>
      </w:r>
      <w:r w:rsidRPr="007666A4">
        <w:t>establece que su objetivo es:</w:t>
      </w:r>
    </w:p>
    <w:p w14:paraId="243C428B" w14:textId="446F6CA6" w:rsidR="007666A4" w:rsidRPr="007666A4" w:rsidRDefault="007666A4" w:rsidP="007666A4">
      <w:pPr>
        <w:pStyle w:val="SingleTxtG"/>
      </w:pPr>
      <w:r w:rsidRPr="007666A4">
        <w:tab/>
        <w:t>1.</w:t>
      </w:r>
      <w:r w:rsidR="00A503A9">
        <w:tab/>
      </w:r>
      <w:r w:rsidRPr="007666A4">
        <w:t xml:space="preserve">Atender a las personas con discapacidad </w:t>
      </w:r>
      <w:r w:rsidR="00D95708">
        <w:t>y</w:t>
      </w:r>
      <w:r w:rsidRPr="007666A4">
        <w:t xml:space="preserve"> con necesidades especiales y eliminar la discriminación por razón de una discapacidad o de una necesidad especial;</w:t>
      </w:r>
    </w:p>
    <w:p w14:paraId="36D19BD3" w14:textId="247AF107" w:rsidR="007666A4" w:rsidRPr="007666A4" w:rsidRDefault="007666A4" w:rsidP="007666A4">
      <w:pPr>
        <w:pStyle w:val="SingleTxtG"/>
      </w:pPr>
      <w:r w:rsidRPr="007666A4">
        <w:tab/>
        <w:t>2.</w:t>
      </w:r>
      <w:r w:rsidR="00A503A9">
        <w:tab/>
      </w:r>
      <w:r w:rsidRPr="007666A4">
        <w:t xml:space="preserve">Establecer los requisitos para la integración de las personas con discapacidad </w:t>
      </w:r>
      <w:r w:rsidR="00D95708">
        <w:t>y</w:t>
      </w:r>
      <w:r w:rsidRPr="007666A4">
        <w:t xml:space="preserve"> con necesidades especiales en la sociedad;</w:t>
      </w:r>
    </w:p>
    <w:p w14:paraId="2253B283" w14:textId="34816DA4" w:rsidR="007666A4" w:rsidRPr="007666A4" w:rsidRDefault="007666A4" w:rsidP="007666A4">
      <w:pPr>
        <w:pStyle w:val="SingleTxtG"/>
      </w:pPr>
      <w:r w:rsidRPr="007666A4">
        <w:tab/>
        <w:t>3.</w:t>
      </w:r>
      <w:r w:rsidR="00A503A9">
        <w:tab/>
      </w:r>
      <w:r w:rsidRPr="007666A4">
        <w:t xml:space="preserve">Garantizar una vida digna a las personas con discapacidad </w:t>
      </w:r>
      <w:r w:rsidR="00D95708">
        <w:t>y</w:t>
      </w:r>
      <w:r w:rsidRPr="007666A4">
        <w:t xml:space="preserve"> con necesidades especiales;</w:t>
      </w:r>
    </w:p>
    <w:p w14:paraId="7FF422A7" w14:textId="5C354F43" w:rsidR="007666A4" w:rsidRPr="007666A4" w:rsidRDefault="007666A4" w:rsidP="007666A4">
      <w:pPr>
        <w:pStyle w:val="SingleTxtG"/>
      </w:pPr>
      <w:r w:rsidRPr="007666A4">
        <w:tab/>
        <w:t>4.</w:t>
      </w:r>
      <w:r w:rsidR="00A503A9">
        <w:tab/>
      </w:r>
      <w:r w:rsidRPr="007666A4">
        <w:t>Respetar y aceptar la discapacidad como parte de la diversidad humana y del ser humano;</w:t>
      </w:r>
    </w:p>
    <w:p w14:paraId="53E2636B" w14:textId="1F24E22E" w:rsidR="007666A4" w:rsidRPr="007666A4" w:rsidRDefault="007666A4" w:rsidP="007666A4">
      <w:pPr>
        <w:pStyle w:val="SingleTxtG"/>
      </w:pPr>
      <w:r w:rsidRPr="007666A4">
        <w:tab/>
        <w:t>5.</w:t>
      </w:r>
      <w:r w:rsidR="00A503A9">
        <w:tab/>
      </w:r>
      <w:r w:rsidRPr="007666A4">
        <w:t xml:space="preserve">Crear oportunidades de empleo para las personas con discapacidad </w:t>
      </w:r>
      <w:r w:rsidR="00D95708">
        <w:t>y</w:t>
      </w:r>
      <w:r w:rsidRPr="007666A4">
        <w:t xml:space="preserve"> con necesidades especiales en los departamentos gubernamentales y en los sectores público, privado y mixto.</w:t>
      </w:r>
    </w:p>
    <w:p w14:paraId="2F0CD85D" w14:textId="29632CA6" w:rsidR="007666A4" w:rsidRPr="007666A4" w:rsidRDefault="007666A4" w:rsidP="007666A4">
      <w:pPr>
        <w:pStyle w:val="SingleTxtG"/>
      </w:pPr>
      <w:r w:rsidRPr="007666A4">
        <w:t>269.</w:t>
      </w:r>
      <w:r>
        <w:tab/>
      </w:r>
      <w:r w:rsidRPr="007666A4">
        <w:t xml:space="preserve">De conformidad con el artículo 4 de la citada </w:t>
      </w:r>
      <w:r w:rsidR="004973F9" w:rsidRPr="007666A4">
        <w:t>Ley</w:t>
      </w:r>
      <w:r w:rsidRPr="007666A4">
        <w:t xml:space="preserve">, se creó la Comisión de Personas con Discapacidad </w:t>
      </w:r>
      <w:r w:rsidR="00D95708">
        <w:t>y</w:t>
      </w:r>
      <w:r w:rsidRPr="007666A4">
        <w:t xml:space="preserve"> con Necesidades Especiales, adscrita al Ministerio de Trabajo y Asuntos Sociales y que goza de personalidad jurídica y autonomía financiera y administrativa. La Comisión está representada por su presidente.</w:t>
      </w:r>
    </w:p>
    <w:p w14:paraId="1AD52F1F" w14:textId="5536F0BF" w:rsidR="007666A4" w:rsidRPr="007666A4" w:rsidRDefault="007666A4" w:rsidP="007666A4">
      <w:pPr>
        <w:pStyle w:val="SingleTxtG"/>
      </w:pPr>
      <w:r w:rsidRPr="007666A4">
        <w:t>270.</w:t>
      </w:r>
      <w:r>
        <w:tab/>
      </w:r>
      <w:r w:rsidRPr="007666A4">
        <w:t xml:space="preserve">El artículo 4 de la Constitución garantiza el derecho a la educación. Una de las principales medidas legislativas destinadas a garantizar el acceso a la escolarización y a los materiales didácticos, así como a realizar los ajustes razonables y dar los apoyos necesarios para que las personas con discapacidad se integren plena y activamente, ha sido la Ley de Educación Obligatoria (1976). El artículo 1 de la </w:t>
      </w:r>
      <w:r w:rsidR="004973F9" w:rsidRPr="007666A4">
        <w:t xml:space="preserve">Ley </w:t>
      </w:r>
      <w:r w:rsidRPr="007666A4">
        <w:t>establece que la educación primaria será gratuita y obligatoria para todos los niños que hayan cumplido 6 años al inicio del curso escolar o antes del 31 de diciembre de ese año. El artículo 9 (enmendado) dispone que el Ministerio de Educación ampliará la apertura de clases de educación especial en el nivel primario en las escuelas ordinarias para los niños con dificultades de aprendizaje, los alumnos con deficiencias visuales y auditivas y otros alumnos que no estén clasificados como personas con discapacidad en virtud de la Ley de Bienestar Social, núm. 126/1980, enmendada en</w:t>
      </w:r>
      <w:r w:rsidR="00DD44E2">
        <w:t> </w:t>
      </w:r>
      <w:r w:rsidRPr="007666A4">
        <w:t>1987, para garantizar su educación, atención, orientación y desarrollo.</w:t>
      </w:r>
    </w:p>
    <w:p w14:paraId="7F7D68BD" w14:textId="2DD8958E" w:rsidR="007666A4" w:rsidRPr="007666A4" w:rsidRDefault="007666A4" w:rsidP="007666A4">
      <w:pPr>
        <w:pStyle w:val="SingleTxtG"/>
      </w:pPr>
      <w:r w:rsidRPr="007666A4">
        <w:lastRenderedPageBreak/>
        <w:t>271.</w:t>
      </w:r>
      <w:r>
        <w:tab/>
      </w:r>
      <w:r w:rsidRPr="007666A4">
        <w:t>De acuerdo con el reglamento del Ministerio de Educación de 1972, se abrió una sección especial para personas con discapacidad, adscrita a la Dirección General de Educación Pública y denominada Sección de Educación Especial.</w:t>
      </w:r>
    </w:p>
    <w:p w14:paraId="09280882" w14:textId="77777777" w:rsidR="007666A4" w:rsidRPr="007666A4" w:rsidRDefault="007666A4" w:rsidP="007666A4">
      <w:pPr>
        <w:pStyle w:val="SingleTxtG"/>
      </w:pPr>
      <w:r w:rsidRPr="007666A4">
        <w:t>El artículo 34 de la Constitución establece lo siguiente:</w:t>
      </w:r>
    </w:p>
    <w:p w14:paraId="5FDB21CA" w14:textId="77777777" w:rsidR="007666A4" w:rsidRPr="007666A4" w:rsidRDefault="007666A4" w:rsidP="00A503A9">
      <w:pPr>
        <w:pStyle w:val="SingleTxtG"/>
        <w:ind w:left="1701"/>
      </w:pPr>
      <w:r w:rsidRPr="007666A4">
        <w:t>Primero: La educación es un factor fundamental para el progreso de la sociedad y es un derecho garantizado por el Estado. La educación primaria es obligatoria y el Estado garantiza la lucha contra el analfabetismo.</w:t>
      </w:r>
    </w:p>
    <w:p w14:paraId="74AC35EB" w14:textId="77777777" w:rsidR="007666A4" w:rsidRPr="007666A4" w:rsidRDefault="007666A4" w:rsidP="00A503A9">
      <w:pPr>
        <w:pStyle w:val="SingleTxtG"/>
        <w:ind w:left="1701"/>
      </w:pPr>
      <w:r w:rsidRPr="007666A4">
        <w:t>Segundo: La educación gratuita en todas sus etapas es un derecho de todos los iraquíes.</w:t>
      </w:r>
    </w:p>
    <w:p w14:paraId="0D9D7C06" w14:textId="77777777" w:rsidR="007666A4" w:rsidRPr="007666A4" w:rsidRDefault="007666A4" w:rsidP="00A503A9">
      <w:pPr>
        <w:pStyle w:val="SingleTxtG"/>
        <w:ind w:left="1701"/>
      </w:pPr>
      <w:r w:rsidRPr="007666A4">
        <w:t>Tercero: El Estado fomentará la investigación científica con fines pacíficos que sirvan a la humanidad y apoyará la excelencia, la creatividad, la invención y todas las manifestaciones del talento.</w:t>
      </w:r>
    </w:p>
    <w:p w14:paraId="6DABAB33" w14:textId="50E9E0B3" w:rsidR="007666A4" w:rsidRPr="007666A4" w:rsidRDefault="007666A4" w:rsidP="00A503A9">
      <w:pPr>
        <w:pStyle w:val="H23G"/>
      </w:pPr>
      <w:r>
        <w:tab/>
      </w:r>
      <w:r w:rsidRPr="007666A4">
        <w:tab/>
        <w:t>Distribución relativa de las personas con discapacidad por nivel educativo</w:t>
      </w:r>
    </w:p>
    <w:p w14:paraId="6DD3A621" w14:textId="04BB576F" w:rsidR="007666A4" w:rsidRPr="007666A4" w:rsidRDefault="007666A4" w:rsidP="007666A4">
      <w:pPr>
        <w:pStyle w:val="SingleTxtG"/>
      </w:pPr>
      <w:r w:rsidRPr="007666A4">
        <w:t>272.</w:t>
      </w:r>
      <w:r>
        <w:tab/>
      </w:r>
      <w:r w:rsidRPr="007666A4">
        <w:t>Los resultados de la encuesta indican que el 62,2 % de las personas con discapacidad de 6 años o más no están matriculadas en ningún tipo de enseñanza, frente al 35,3 % que sí lo están; el 2,5 % está inscrito en un programa de rehabilitación</w:t>
      </w:r>
      <w:r w:rsidR="00DD44E2">
        <w:t>:</w:t>
      </w:r>
    </w:p>
    <w:p w14:paraId="6B9941B0" w14:textId="4D6F492C" w:rsidR="007666A4" w:rsidRPr="00DD44E2" w:rsidRDefault="007666A4" w:rsidP="00DD44E2">
      <w:pPr>
        <w:pStyle w:val="Bullet1G"/>
        <w:numPr>
          <w:ilvl w:val="0"/>
          <w:numId w:val="5"/>
        </w:numPr>
        <w:tabs>
          <w:tab w:val="clear" w:pos="2268"/>
          <w:tab w:val="num" w:pos="1701"/>
        </w:tabs>
        <w:ind w:left="1701"/>
        <w:rPr>
          <w:rFonts w:eastAsiaTheme="minorEastAsia"/>
        </w:rPr>
      </w:pPr>
      <w:r w:rsidRPr="00DD44E2">
        <w:rPr>
          <w:rFonts w:eastAsiaTheme="minorEastAsia"/>
        </w:rPr>
        <w:t>El porcentaje de mujeres no escolarizadas es del 17,1 %, frente al 55,2 % de los hombres; el 25,1 % de las mujeres están matriculadas en algún tipo de educación, frente al 42,8 % de los hombres; el menor porcentaje corresponde a las mujeres matriculadas en un programa de rehabilitación (3,2 % frente al 2 % de los hombres).</w:t>
      </w:r>
    </w:p>
    <w:p w14:paraId="7179E6F5" w14:textId="2623FB60" w:rsidR="007666A4" w:rsidRPr="007666A4" w:rsidRDefault="007666A4" w:rsidP="00A503A9">
      <w:pPr>
        <w:pStyle w:val="H23G"/>
      </w:pPr>
      <w:r>
        <w:tab/>
      </w:r>
      <w:r w:rsidRPr="007666A4">
        <w:tab/>
        <w:t>Distribución relativa de las personas con discapacidad por sector educativo</w:t>
      </w:r>
    </w:p>
    <w:p w14:paraId="6C9E461A" w14:textId="3C4E41F7" w:rsidR="007666A4" w:rsidRPr="007666A4" w:rsidRDefault="007666A4" w:rsidP="007666A4">
      <w:pPr>
        <w:pStyle w:val="SingleTxtG"/>
      </w:pPr>
      <w:r w:rsidRPr="007666A4">
        <w:t>273.</w:t>
      </w:r>
      <w:r>
        <w:tab/>
      </w:r>
      <w:r w:rsidRPr="007666A4">
        <w:t>Los resultados de la encuesta indican que la mayor proporción de personas con discapacidad a partir de los 6 años de edad inscritas en un sistema educativo o en un régimen de rehabilitación lo están en la educación pública (69,3 %), seguidas por las personas con discapacidad matriculadas en centros de rehabilitación públicos (25,8 %). En el sector privado de rehabilitación, la proporción es del 3 %. Los demás sectores constituyen una pequeña parte del número total de personas con discapacidad matriculadas en algún tipo de educación</w:t>
      </w:r>
      <w:r w:rsidR="00DD44E2">
        <w:t>:</w:t>
      </w:r>
    </w:p>
    <w:p w14:paraId="0EF45274" w14:textId="50F8FD32" w:rsidR="007666A4" w:rsidRPr="00DD44E2" w:rsidRDefault="007666A4" w:rsidP="00DD44E2">
      <w:pPr>
        <w:pStyle w:val="Bullet1G"/>
        <w:numPr>
          <w:ilvl w:val="0"/>
          <w:numId w:val="5"/>
        </w:numPr>
        <w:tabs>
          <w:tab w:val="clear" w:pos="2268"/>
          <w:tab w:val="num" w:pos="1701"/>
        </w:tabs>
        <w:ind w:left="1701"/>
        <w:rPr>
          <w:rFonts w:eastAsiaTheme="minorEastAsia"/>
        </w:rPr>
      </w:pPr>
      <w:r w:rsidRPr="00DD44E2">
        <w:rPr>
          <w:rFonts w:eastAsiaTheme="minorEastAsia"/>
        </w:rPr>
        <w:t>Los resultados indican que la proporción de varones matriculados en el sector de la enseñanza pública es del 73,3 % de todos los varones con discapacidad. Esta proporción es superior a la de las mujeres matriculadas en la enseñanza pública, que es del 64,7 % de todas las mujeres con discapacidad.</w:t>
      </w:r>
    </w:p>
    <w:p w14:paraId="4E0BDB1F" w14:textId="10184EC8" w:rsidR="007666A4" w:rsidRPr="007666A4" w:rsidRDefault="007666A4" w:rsidP="00A503A9">
      <w:pPr>
        <w:pStyle w:val="H23G"/>
      </w:pPr>
      <w:r>
        <w:tab/>
      </w:r>
      <w:r w:rsidRPr="007666A4">
        <w:tab/>
        <w:t>Distribución relativa por nivel de instrucción</w:t>
      </w:r>
    </w:p>
    <w:p w14:paraId="37E209D5" w14:textId="17ED8B32" w:rsidR="007666A4" w:rsidRPr="007666A4" w:rsidRDefault="007666A4" w:rsidP="007666A4">
      <w:pPr>
        <w:pStyle w:val="SingleTxtG"/>
      </w:pPr>
      <w:r w:rsidRPr="007666A4">
        <w:t>274.</w:t>
      </w:r>
      <w:r>
        <w:tab/>
      </w:r>
      <w:r w:rsidRPr="007666A4">
        <w:t>Los datos de la encuesta muestran que la mayor proporción de personas con discapacidad de 6 años o más son analfabetas (77,5 %), seguidas por las personas con discapacidad con certificado de estudios primarios (12,3 %). La menor proporción corresponde a las personas con discapacidad que poseen títulos de maestría (0,1 %). Los datos indican que la proporción de personas con discapacidad con títulos de máster y de doctorado es del 0,1 % y del 0,00004 % respectivamente, todas ellas hombres, sin que haya una sola mujer. El porcentaje de analfabetos es del 77,5 %, de los cuales el 53,3 % eran hombres y el 46,7 % mujeres.</w:t>
      </w:r>
    </w:p>
    <w:p w14:paraId="759FF47C" w14:textId="78E6335F" w:rsidR="007666A4" w:rsidRPr="007666A4" w:rsidRDefault="007666A4" w:rsidP="001577D2">
      <w:pPr>
        <w:pStyle w:val="H23G"/>
      </w:pPr>
      <w:r>
        <w:tab/>
      </w:r>
      <w:r w:rsidRPr="007666A4">
        <w:tab/>
        <w:t>Distribución relativa de la población con discapacidad por tipo de necesidad</w:t>
      </w:r>
      <w:r w:rsidR="001577D2">
        <w:br/>
      </w:r>
      <w:r w:rsidRPr="007666A4">
        <w:t>educativa</w:t>
      </w:r>
    </w:p>
    <w:p w14:paraId="14733D86" w14:textId="522E5973" w:rsidR="007666A4" w:rsidRPr="007666A4" w:rsidRDefault="007666A4" w:rsidP="007666A4">
      <w:pPr>
        <w:pStyle w:val="SingleTxtG"/>
      </w:pPr>
      <w:r w:rsidRPr="007666A4">
        <w:t>275.</w:t>
      </w:r>
      <w:r>
        <w:tab/>
      </w:r>
      <w:r w:rsidRPr="007666A4">
        <w:t>El número de personas con discapacidad en el grupo de edad de 6 a 30 años es de 132.654; puesto que existen 3 opciones de necesidades educativas por cada persona con discapacidad, las necesidades educativas de las personas con discapacidad son 273.907.</w:t>
      </w:r>
    </w:p>
    <w:p w14:paraId="240BF68D" w14:textId="4605491C" w:rsidR="007666A4" w:rsidRPr="007666A4" w:rsidRDefault="007666A4" w:rsidP="007666A4">
      <w:pPr>
        <w:pStyle w:val="SingleTxtG"/>
      </w:pPr>
      <w:r w:rsidRPr="007666A4">
        <w:t>276.</w:t>
      </w:r>
      <w:r>
        <w:tab/>
      </w:r>
      <w:r w:rsidRPr="007666A4">
        <w:t xml:space="preserve">Los resultados de la encuesta muestran que el 22,5 % de las personas con discapacidad en el grupo de edad de 6 a 30 años necesita transporte entre el hogar y la escuela; el 20,6 % necesita cursos especiales para personas con discapacidad, de acuerdo con el tipo de </w:t>
      </w:r>
      <w:r w:rsidRPr="007666A4">
        <w:lastRenderedPageBreak/>
        <w:t>discapacidad. Entre las personas con discapacidad, la prioridad a la que se asigna menos urgencia es la de un plan de estudios adecuado (1,6 %).</w:t>
      </w:r>
    </w:p>
    <w:p w14:paraId="79FE53E3" w14:textId="4BA74451" w:rsidR="007666A4" w:rsidRPr="007666A4" w:rsidRDefault="007666A4" w:rsidP="007666A4">
      <w:pPr>
        <w:pStyle w:val="SingleTxtG"/>
      </w:pPr>
      <w:r w:rsidRPr="007666A4">
        <w:t>277.</w:t>
      </w:r>
      <w:r>
        <w:tab/>
      </w:r>
      <w:r w:rsidRPr="007666A4">
        <w:t>Los resultados de la encuesta a nivel medioambiental muestran que la mayor necesidad entre las personas con discapacidad de 6 a 30 años en el área rural es el transporte entre el hogar y la escuela, que representa el 27,7 % de las necesidades relacionadas con la educación (que se reduce al 21 % entre las personas con discapacidad en las zonas urbanas), seguido de la necesidad de instalaciones especiales para personas con discapacidad (21,3 %, frente al 18,5 % en las zonas urbanas).</w:t>
      </w:r>
    </w:p>
    <w:p w14:paraId="2CE53569" w14:textId="77777777" w:rsidR="007666A4" w:rsidRPr="001577D2" w:rsidRDefault="007666A4" w:rsidP="007666A4">
      <w:pPr>
        <w:pStyle w:val="SingleTxtG"/>
      </w:pPr>
      <w:r w:rsidRPr="001577D2">
        <w:t>Véase el anexo núm. 4.</w:t>
      </w:r>
    </w:p>
    <w:p w14:paraId="703EC00E" w14:textId="215CD20A" w:rsidR="007666A4" w:rsidRPr="007666A4" w:rsidRDefault="007666A4" w:rsidP="001577D2">
      <w:pPr>
        <w:pStyle w:val="H23G"/>
      </w:pPr>
      <w:r>
        <w:tab/>
      </w:r>
      <w:r w:rsidRPr="007666A4">
        <w:tab/>
        <w:t>Datos sobre la educación en el Iraq (2017/18)</w:t>
      </w:r>
    </w:p>
    <w:p w14:paraId="325ABACB" w14:textId="6A1F4B0B" w:rsidR="007666A4" w:rsidRPr="007666A4" w:rsidRDefault="007666A4" w:rsidP="007666A4">
      <w:pPr>
        <w:pStyle w:val="SingleTxtG"/>
      </w:pPr>
      <w:r w:rsidRPr="007666A4">
        <w:t>278.</w:t>
      </w:r>
      <w:r>
        <w:tab/>
      </w:r>
      <w:r w:rsidRPr="007666A4">
        <w:t>En el año escolar 2017/18, el número de escuelas públicas en el Iraq, excluyendo la región del Kurdistán, se situó en 23.019, que se desglosan en 719 jardines de infancia, 16.051</w:t>
      </w:r>
      <w:r w:rsidR="00D04F31">
        <w:t>  </w:t>
      </w:r>
      <w:r w:rsidRPr="007666A4">
        <w:t>escuelas primarias (regulares, aceleradas y para adolescentes), 6.639 escuelas secundarias (regulares y preparatorias de estudios islámicos), 305 escuelas de formación profesional y 24 institutos. Además, había 2.321 escuelas privadas (476 jardines de infancia, 1.032 de primaria y 813 de secundaria).</w:t>
      </w:r>
    </w:p>
    <w:p w14:paraId="5DBCD230" w14:textId="6D3DCF27" w:rsidR="007666A4" w:rsidRPr="007666A4" w:rsidRDefault="007666A4" w:rsidP="007666A4">
      <w:pPr>
        <w:pStyle w:val="SingleTxtG"/>
      </w:pPr>
      <w:r w:rsidRPr="007666A4">
        <w:t>279.</w:t>
      </w:r>
      <w:r>
        <w:tab/>
      </w:r>
      <w:r w:rsidRPr="007666A4">
        <w:t>En el año escolar 2017/18, el número de alumnos y estudiantes en todos los tipos de educación pública en el Iraq, excluyendo la región del Kurdistán, se situó en 9.074.495, como sigue: jardín de infancia (172.376), primaria (regulares, aceleradas y para adolescentes) (6.033.301), secundaria (regulares y preparatorias de estudios islámicos) (2.809.059), formación profesional (50.039) e institutos (9.720). El número de alumnos y estudiantes de la enseñanza privada fue de 341.742, distribuidos del siguiente modo: jardín de infancia (30.561), primaria (198.498) y secundaria (112.683).</w:t>
      </w:r>
    </w:p>
    <w:p w14:paraId="2FD8707A" w14:textId="21C76B01" w:rsidR="007666A4" w:rsidRPr="007666A4" w:rsidRDefault="007666A4" w:rsidP="007666A4">
      <w:pPr>
        <w:pStyle w:val="SingleTxtG"/>
      </w:pPr>
      <w:r w:rsidRPr="007666A4">
        <w:t>280.</w:t>
      </w:r>
      <w:r>
        <w:tab/>
      </w:r>
      <w:r w:rsidRPr="007666A4">
        <w:t>En el año escolar 2017/18, el número de docentes en todos los tipos de educación pública en el Iraq, excluyendo la región del Kurdistán, fue de 153.589, de la siguiente manera: jardín de infancia (5.952), escuela primaria (regulares, aceleradas y para adolescentes) (274.290), secundaria (regulares y preparatorias de estudios islámicos) (153.589), formación profesional (11.245) e institutos (1.191). El personal educativo y docente de la enseñanza privada era de 26.327 personas, distribuidas del siguiente modo: jardín de infancia (2.352), primaria (13.998) y secundaria (9.977).</w:t>
      </w:r>
    </w:p>
    <w:p w14:paraId="1D5FC786" w14:textId="3616B639" w:rsidR="007666A4" w:rsidRPr="007666A4" w:rsidRDefault="007666A4" w:rsidP="007666A4">
      <w:pPr>
        <w:pStyle w:val="SingleTxtG"/>
      </w:pPr>
      <w:r w:rsidRPr="007666A4">
        <w:t>281.</w:t>
      </w:r>
      <w:r>
        <w:tab/>
      </w:r>
      <w:r w:rsidRPr="007666A4">
        <w:t>En el año escolar 2017/18, el número de aulas para todos los tipos de educación pública en el Iraq, excluyendo la región del Kurdistán, fue de 235.838, como sigue: jardín de infancia (2.754), primaria (158.902), secundaria (70.939), formación profesional (2.620) e institutos (623); hubo un total de 18.130 aulas en el sector de la educación privada, entre ellas de jardín de infancia (1.479), educación primaria (9.863) y educación secundaria (6.788).</w:t>
      </w:r>
    </w:p>
    <w:p w14:paraId="7E7612ED" w14:textId="2DA6DBF3" w:rsidR="007666A4" w:rsidRPr="007666A4" w:rsidRDefault="007666A4" w:rsidP="007666A4">
      <w:pPr>
        <w:pStyle w:val="SingleTxtG"/>
      </w:pPr>
      <w:r w:rsidRPr="007666A4">
        <w:t>282.</w:t>
      </w:r>
      <w:r>
        <w:tab/>
      </w:r>
      <w:r w:rsidRPr="007666A4">
        <w:t>El Consejo Consultivo ha creado un comité superior para preparar una Estrategia de Educación Nacional (2020-2030). Se espera que los trabajos concluyan y la estrategia se ponga en marcha a finales de este año. Entre las principales medidas para aplicar el programa gubernamental en este ámbito figuran las siguientes:</w:t>
      </w:r>
    </w:p>
    <w:p w14:paraId="12C11798" w14:textId="628D0294" w:rsidR="007666A4" w:rsidRPr="001577D2" w:rsidRDefault="007666A4" w:rsidP="001577D2">
      <w:pPr>
        <w:pStyle w:val="Bullet1G"/>
        <w:numPr>
          <w:ilvl w:val="0"/>
          <w:numId w:val="5"/>
        </w:numPr>
        <w:tabs>
          <w:tab w:val="clear" w:pos="2268"/>
          <w:tab w:val="num" w:pos="1701"/>
        </w:tabs>
        <w:ind w:left="1701"/>
        <w:rPr>
          <w:rFonts w:eastAsiaTheme="minorEastAsia"/>
        </w:rPr>
      </w:pPr>
      <w:r w:rsidRPr="001577D2">
        <w:rPr>
          <w:rFonts w:eastAsiaTheme="minorEastAsia"/>
        </w:rPr>
        <w:t>Garantizar el desarrollo continuo para ayudar a construir una generación bien informada y altamente educada ética, social y académicamente, portadora de buena voluntad hacia los demás y que repudie la violencia, el extremismo y el racismo; introducir programas informáticos avanzados para mejorar la calidad de la enseñanza</w:t>
      </w:r>
    </w:p>
    <w:p w14:paraId="14B2E1B0" w14:textId="18A2B466" w:rsidR="007666A4" w:rsidRPr="001577D2" w:rsidRDefault="007666A4" w:rsidP="001577D2">
      <w:pPr>
        <w:pStyle w:val="Bullet1G"/>
        <w:numPr>
          <w:ilvl w:val="0"/>
          <w:numId w:val="5"/>
        </w:numPr>
        <w:tabs>
          <w:tab w:val="clear" w:pos="2268"/>
          <w:tab w:val="num" w:pos="1701"/>
        </w:tabs>
        <w:ind w:left="1701"/>
        <w:rPr>
          <w:rFonts w:eastAsiaTheme="minorEastAsia"/>
        </w:rPr>
      </w:pPr>
      <w:r w:rsidRPr="001577D2">
        <w:rPr>
          <w:rFonts w:eastAsiaTheme="minorEastAsia"/>
        </w:rPr>
        <w:t>La celebración de cursos de apoyo al desarrollo continuo del personal docente para mantenerlo al tanto de las ideas modernas y las tendencias internacionales al respecto</w:t>
      </w:r>
      <w:r w:rsidR="00A503A9">
        <w:rPr>
          <w:rFonts w:eastAsiaTheme="minorEastAsia"/>
        </w:rPr>
        <w:t>.</w:t>
      </w:r>
    </w:p>
    <w:p w14:paraId="2D88CAA5" w14:textId="7F95BE62" w:rsidR="007666A4" w:rsidRPr="001577D2" w:rsidRDefault="007666A4" w:rsidP="001577D2">
      <w:pPr>
        <w:pStyle w:val="Bullet1G"/>
        <w:numPr>
          <w:ilvl w:val="0"/>
          <w:numId w:val="5"/>
        </w:numPr>
        <w:tabs>
          <w:tab w:val="clear" w:pos="2268"/>
          <w:tab w:val="num" w:pos="1701"/>
        </w:tabs>
        <w:ind w:left="1701"/>
        <w:rPr>
          <w:rFonts w:eastAsiaTheme="minorEastAsia"/>
        </w:rPr>
      </w:pPr>
      <w:r w:rsidRPr="001577D2">
        <w:rPr>
          <w:rFonts w:eastAsiaTheme="minorEastAsia"/>
        </w:rPr>
        <w:t>Continúa el Ministerio de Educación, en colaboración con el sector privado, haciendo reformas escolares para acabar con la crisis escolar especialmente en lo relativo al uso del mismo edificio por más de una escuela, las aulas superpobladas o la provisión de todas las instalaciones modernas y actualizadas que precisan las aulas hoy en día en general y en todas las etapas educativas.</w:t>
      </w:r>
    </w:p>
    <w:p w14:paraId="73D2EE23" w14:textId="49D1B2E2" w:rsidR="007666A4" w:rsidRPr="007666A4" w:rsidRDefault="007666A4" w:rsidP="007666A4">
      <w:pPr>
        <w:pStyle w:val="SingleTxtG"/>
      </w:pPr>
      <w:r w:rsidRPr="007666A4">
        <w:t>283.</w:t>
      </w:r>
      <w:r>
        <w:tab/>
      </w:r>
      <w:r w:rsidRPr="007666A4">
        <w:t xml:space="preserve">Se incentiva al sector privado para construir escuelas que cumplan las especificaciones de diseño pedagógico y científico inclusivo establecidas por el Ministerio de Educación. El Estado proporciona terrenos adecuados y ofrece facilidades bancarias a </w:t>
      </w:r>
      <w:r w:rsidRPr="007666A4">
        <w:lastRenderedPageBreak/>
        <w:t>largo plazo con generosos plazos de reembolso y bajos tipos de interés para ayudar a satisfacer las necesidades del sector.</w:t>
      </w:r>
    </w:p>
    <w:p w14:paraId="7E069884" w14:textId="6E9DA504" w:rsidR="007666A4" w:rsidRPr="007666A4" w:rsidRDefault="007666A4" w:rsidP="007666A4">
      <w:pPr>
        <w:pStyle w:val="SingleTxtG"/>
      </w:pPr>
      <w:r w:rsidRPr="007666A4">
        <w:t>284.</w:t>
      </w:r>
      <w:r>
        <w:tab/>
      </w:r>
      <w:r w:rsidRPr="007666A4">
        <w:t>El sector privado recibe subvenciones para abrir escuelas e institutos privados que cumplan las condiciones para garantizar la coordinación e integración entre los sectores público, privado y especial.</w:t>
      </w:r>
    </w:p>
    <w:p w14:paraId="5E15FE0E" w14:textId="0D1EB47F" w:rsidR="007666A4" w:rsidRPr="001577D2" w:rsidRDefault="007666A4" w:rsidP="007666A4">
      <w:pPr>
        <w:pStyle w:val="SingleTxtG"/>
      </w:pPr>
      <w:r w:rsidRPr="007666A4">
        <w:t>285.</w:t>
      </w:r>
      <w:r>
        <w:tab/>
      </w:r>
      <w:r w:rsidRPr="001577D2">
        <w:t>Iniciativas y medidas para facilitar el acceso a la educación de los niños con discapacidad y los niños desplazados internos:</w:t>
      </w:r>
    </w:p>
    <w:p w14:paraId="0CC053E7" w14:textId="3B47A5B6" w:rsidR="007666A4" w:rsidRPr="007666A4" w:rsidRDefault="001577D2" w:rsidP="001577D2">
      <w:pPr>
        <w:pStyle w:val="SingleTxtG"/>
        <w:ind w:left="1701"/>
      </w:pPr>
      <w:r>
        <w:tab/>
      </w:r>
      <w:r w:rsidR="007666A4" w:rsidRPr="007666A4">
        <w:t>El Ministerio de Educación trabaja para enmendar y hacer efectivos los textos y procedimientos gubernamentales aplicables al derecho a la educación para todos con el fin de incluir a los alumnos con discapacidad y necesidades educativas especiales. El Ministerio también trata de actualizar las leyes para adecuarlas a los tratados internacionales ratificados por el Iraq. Además, se esfuerza por sensibilizar a la sociedad sobre la discapacidad y las diferencias entre las personas con discapacidad para crear un entorno que apoye y acoja la cultura de la educación inclusiva en el marco del programa.</w:t>
      </w:r>
    </w:p>
    <w:p w14:paraId="495F7F36" w14:textId="234AFCAB" w:rsidR="007666A4" w:rsidRPr="007666A4" w:rsidRDefault="007666A4" w:rsidP="007666A4">
      <w:pPr>
        <w:pStyle w:val="SingleTxtG"/>
      </w:pPr>
      <w:r w:rsidRPr="007666A4">
        <w:t>286.</w:t>
      </w:r>
      <w:r>
        <w:tab/>
      </w:r>
      <w:r w:rsidRPr="007666A4">
        <w:t>Medidas clave adoptadas:</w:t>
      </w:r>
    </w:p>
    <w:p w14:paraId="6FA02098" w14:textId="1B2617C9" w:rsidR="007666A4" w:rsidRPr="001577D2" w:rsidRDefault="007666A4" w:rsidP="001577D2">
      <w:pPr>
        <w:pStyle w:val="Bullet1G"/>
        <w:numPr>
          <w:ilvl w:val="0"/>
          <w:numId w:val="5"/>
        </w:numPr>
        <w:tabs>
          <w:tab w:val="clear" w:pos="2268"/>
          <w:tab w:val="num" w:pos="1701"/>
        </w:tabs>
        <w:ind w:left="1701"/>
        <w:rPr>
          <w:rFonts w:eastAsiaTheme="minorEastAsia"/>
        </w:rPr>
      </w:pPr>
      <w:r w:rsidRPr="001577D2">
        <w:rPr>
          <w:rFonts w:eastAsiaTheme="minorEastAsia"/>
        </w:rPr>
        <w:t>Invitar a los alumnos desplazados con discapacidad a acudir a las delegaciones del Ministerio en Erbil, Sulaymaniya y Dehok (región del Kurdistán)</w:t>
      </w:r>
      <w:r w:rsidR="00A503A9">
        <w:rPr>
          <w:rFonts w:eastAsiaTheme="minorEastAsia"/>
        </w:rPr>
        <w:t>.</w:t>
      </w:r>
    </w:p>
    <w:p w14:paraId="6D0F4939" w14:textId="6F584050" w:rsidR="007666A4" w:rsidRPr="001577D2" w:rsidRDefault="007666A4" w:rsidP="001577D2">
      <w:pPr>
        <w:pStyle w:val="Bullet1G"/>
        <w:numPr>
          <w:ilvl w:val="0"/>
          <w:numId w:val="5"/>
        </w:numPr>
        <w:tabs>
          <w:tab w:val="clear" w:pos="2268"/>
          <w:tab w:val="num" w:pos="1701"/>
        </w:tabs>
        <w:ind w:left="1701"/>
        <w:rPr>
          <w:rFonts w:eastAsiaTheme="minorEastAsia"/>
        </w:rPr>
      </w:pPr>
      <w:r w:rsidRPr="001577D2">
        <w:rPr>
          <w:rFonts w:eastAsiaTheme="minorEastAsia"/>
        </w:rPr>
        <w:t>Formar a los profesores para que enseñen a las personas con discapacidad e inscribirlos en cursos enfocados hacia objetivos concretos que ayuden a su desarrollo</w:t>
      </w:r>
      <w:r w:rsidR="00A503A9">
        <w:rPr>
          <w:rFonts w:eastAsiaTheme="minorEastAsia"/>
        </w:rPr>
        <w:t>.</w:t>
      </w:r>
    </w:p>
    <w:p w14:paraId="7E790005" w14:textId="7A1E2413" w:rsidR="007666A4" w:rsidRPr="001577D2" w:rsidRDefault="007666A4" w:rsidP="001577D2">
      <w:pPr>
        <w:pStyle w:val="Bullet1G"/>
        <w:numPr>
          <w:ilvl w:val="0"/>
          <w:numId w:val="5"/>
        </w:numPr>
        <w:tabs>
          <w:tab w:val="clear" w:pos="2268"/>
          <w:tab w:val="num" w:pos="1701"/>
        </w:tabs>
        <w:ind w:left="1701"/>
        <w:rPr>
          <w:rFonts w:eastAsiaTheme="minorEastAsia"/>
        </w:rPr>
      </w:pPr>
      <w:r w:rsidRPr="001577D2">
        <w:rPr>
          <w:rFonts w:eastAsiaTheme="minorEastAsia"/>
        </w:rPr>
        <w:t>Que supervisores y supervisoras pedagógicos formados en educación especial para desplazados inspeccionen las escuelas que cuentan con alumnos con discapacidad</w:t>
      </w:r>
      <w:r w:rsidR="00A503A9">
        <w:rPr>
          <w:rFonts w:eastAsiaTheme="minorEastAsia"/>
        </w:rPr>
        <w:t>.</w:t>
      </w:r>
    </w:p>
    <w:p w14:paraId="0302CAD0" w14:textId="456FB75A" w:rsidR="007666A4" w:rsidRPr="001577D2" w:rsidRDefault="007666A4" w:rsidP="001577D2">
      <w:pPr>
        <w:pStyle w:val="Bullet1G"/>
        <w:numPr>
          <w:ilvl w:val="0"/>
          <w:numId w:val="5"/>
        </w:numPr>
        <w:tabs>
          <w:tab w:val="clear" w:pos="2268"/>
          <w:tab w:val="num" w:pos="1701"/>
        </w:tabs>
        <w:ind w:left="1701"/>
        <w:rPr>
          <w:rFonts w:eastAsiaTheme="minorEastAsia"/>
        </w:rPr>
      </w:pPr>
      <w:r w:rsidRPr="001577D2">
        <w:rPr>
          <w:rFonts w:eastAsiaTheme="minorEastAsia"/>
        </w:rPr>
        <w:t>Identificar y suministrar equipos esenciales para ayudar a los alumnos con discapacidad a acceder a la educación y la formación de forma gratuita</w:t>
      </w:r>
      <w:r w:rsidR="00A503A9">
        <w:rPr>
          <w:rFonts w:eastAsiaTheme="minorEastAsia"/>
        </w:rPr>
        <w:t>.</w:t>
      </w:r>
    </w:p>
    <w:p w14:paraId="1D2B3EF1" w14:textId="3EE53F04" w:rsidR="007666A4" w:rsidRPr="001577D2" w:rsidRDefault="007666A4" w:rsidP="001577D2">
      <w:pPr>
        <w:pStyle w:val="Bullet1G"/>
        <w:numPr>
          <w:ilvl w:val="0"/>
          <w:numId w:val="5"/>
        </w:numPr>
        <w:tabs>
          <w:tab w:val="clear" w:pos="2268"/>
          <w:tab w:val="num" w:pos="1701"/>
        </w:tabs>
        <w:ind w:left="1701"/>
        <w:rPr>
          <w:rFonts w:eastAsiaTheme="minorEastAsia"/>
        </w:rPr>
      </w:pPr>
      <w:r w:rsidRPr="001577D2">
        <w:rPr>
          <w:rFonts w:eastAsiaTheme="minorEastAsia"/>
        </w:rPr>
        <w:t>Aprovechar los consejos de padres y profesores para difundir la cultura de la educación de los niños con discapacidad, en colaboración con las administraciones escolares; llegar a los niños con discapacidad y tratar de convencer a las familias que no están dispuestas a escolarizar a sus hijos con discapacidad para que lo hagan.</w:t>
      </w:r>
    </w:p>
    <w:p w14:paraId="1F1A71EE" w14:textId="75A9BBF8" w:rsidR="007666A4" w:rsidRPr="007666A4" w:rsidRDefault="007666A4" w:rsidP="007666A4">
      <w:pPr>
        <w:pStyle w:val="SingleTxtG"/>
      </w:pPr>
      <w:r w:rsidRPr="007666A4">
        <w:t>287.</w:t>
      </w:r>
      <w:r>
        <w:tab/>
      </w:r>
      <w:r w:rsidRPr="007666A4">
        <w:t>Principales medidas adoptadas para reintegrar en el sistema educativo a los niños afectados por los conflictos armados:</w:t>
      </w:r>
    </w:p>
    <w:p w14:paraId="549181CA" w14:textId="6196657A" w:rsidR="007666A4" w:rsidRPr="001577D2" w:rsidRDefault="007666A4" w:rsidP="001577D2">
      <w:pPr>
        <w:pStyle w:val="Bullet1G"/>
        <w:numPr>
          <w:ilvl w:val="0"/>
          <w:numId w:val="5"/>
        </w:numPr>
        <w:tabs>
          <w:tab w:val="clear" w:pos="2268"/>
          <w:tab w:val="num" w:pos="1701"/>
        </w:tabs>
        <w:ind w:left="1701"/>
        <w:rPr>
          <w:rFonts w:eastAsiaTheme="minorEastAsia"/>
        </w:rPr>
      </w:pPr>
      <w:r w:rsidRPr="001577D2">
        <w:rPr>
          <w:rFonts w:eastAsiaTheme="minorEastAsia"/>
        </w:rPr>
        <w:t>Preparación de un plan de emergencia para hacer frente a la situación educativa en las zonas devastadas por la guerra</w:t>
      </w:r>
      <w:r w:rsidR="00A503A9">
        <w:rPr>
          <w:rFonts w:eastAsiaTheme="minorEastAsia"/>
        </w:rPr>
        <w:t>.</w:t>
      </w:r>
    </w:p>
    <w:p w14:paraId="6D2D036A" w14:textId="1B812A9D" w:rsidR="007666A4" w:rsidRPr="001577D2" w:rsidRDefault="007666A4" w:rsidP="001577D2">
      <w:pPr>
        <w:pStyle w:val="Bullet1G"/>
        <w:numPr>
          <w:ilvl w:val="0"/>
          <w:numId w:val="5"/>
        </w:numPr>
        <w:tabs>
          <w:tab w:val="clear" w:pos="2268"/>
          <w:tab w:val="num" w:pos="1701"/>
        </w:tabs>
        <w:ind w:left="1701"/>
        <w:rPr>
          <w:rFonts w:eastAsiaTheme="minorEastAsia"/>
        </w:rPr>
      </w:pPr>
      <w:r w:rsidRPr="001577D2">
        <w:rPr>
          <w:rFonts w:eastAsiaTheme="minorEastAsia"/>
        </w:rPr>
        <w:t>Apertura de tres oficinas de representación del Ministerio en la región del Kurdistán para hacer frente a la situación</w:t>
      </w:r>
      <w:r w:rsidR="00A503A9">
        <w:rPr>
          <w:rFonts w:eastAsiaTheme="minorEastAsia"/>
        </w:rPr>
        <w:t>.</w:t>
      </w:r>
    </w:p>
    <w:p w14:paraId="72E8DBF6" w14:textId="2622D34B" w:rsidR="007666A4" w:rsidRPr="001577D2" w:rsidRDefault="007666A4" w:rsidP="001577D2">
      <w:pPr>
        <w:pStyle w:val="Bullet1G"/>
        <w:numPr>
          <w:ilvl w:val="0"/>
          <w:numId w:val="5"/>
        </w:numPr>
        <w:tabs>
          <w:tab w:val="clear" w:pos="2268"/>
          <w:tab w:val="num" w:pos="1701"/>
        </w:tabs>
        <w:ind w:left="1701"/>
        <w:rPr>
          <w:rFonts w:eastAsiaTheme="minorEastAsia"/>
        </w:rPr>
      </w:pPr>
      <w:r w:rsidRPr="001577D2">
        <w:rPr>
          <w:rFonts w:eastAsiaTheme="minorEastAsia"/>
        </w:rPr>
        <w:t>Preparación de un plan de estudios de emergencia para ser utilizado en los campamentos, cuyos costes de impresión correrán a cargo del UNICEF</w:t>
      </w:r>
      <w:r w:rsidR="00A503A9">
        <w:rPr>
          <w:rFonts w:eastAsiaTheme="minorEastAsia"/>
        </w:rPr>
        <w:t>.</w:t>
      </w:r>
    </w:p>
    <w:p w14:paraId="6A4B6047" w14:textId="1745871A" w:rsidR="007666A4" w:rsidRPr="001577D2" w:rsidRDefault="007666A4" w:rsidP="001577D2">
      <w:pPr>
        <w:pStyle w:val="Bullet1G"/>
        <w:numPr>
          <w:ilvl w:val="0"/>
          <w:numId w:val="5"/>
        </w:numPr>
        <w:tabs>
          <w:tab w:val="clear" w:pos="2268"/>
          <w:tab w:val="num" w:pos="1701"/>
        </w:tabs>
        <w:ind w:left="1701"/>
        <w:rPr>
          <w:rFonts w:eastAsiaTheme="minorEastAsia"/>
        </w:rPr>
      </w:pPr>
      <w:r w:rsidRPr="001577D2">
        <w:rPr>
          <w:rFonts w:eastAsiaTheme="minorEastAsia"/>
        </w:rPr>
        <w:t>Apertura de varios centros de alfabetización en los campamentos de desplazados</w:t>
      </w:r>
      <w:r w:rsidR="00A503A9">
        <w:rPr>
          <w:rFonts w:eastAsiaTheme="minorEastAsia"/>
        </w:rPr>
        <w:t>.</w:t>
      </w:r>
    </w:p>
    <w:p w14:paraId="68B983FE" w14:textId="477466BF" w:rsidR="007666A4" w:rsidRPr="001577D2" w:rsidRDefault="007666A4" w:rsidP="001577D2">
      <w:pPr>
        <w:pStyle w:val="Bullet1G"/>
        <w:numPr>
          <w:ilvl w:val="0"/>
          <w:numId w:val="5"/>
        </w:numPr>
        <w:tabs>
          <w:tab w:val="clear" w:pos="2268"/>
          <w:tab w:val="num" w:pos="1701"/>
        </w:tabs>
        <w:ind w:left="1701"/>
        <w:rPr>
          <w:rFonts w:eastAsiaTheme="minorEastAsia"/>
        </w:rPr>
      </w:pPr>
      <w:r w:rsidRPr="001577D2">
        <w:rPr>
          <w:rFonts w:eastAsiaTheme="minorEastAsia"/>
        </w:rPr>
        <w:t>Alquiler de 101 edificios en la región del Kurdistán para personas desplazadas; suministro al gobierno provincial de Sulaymaniya de 31 caravanas y al de Erbil de 30</w:t>
      </w:r>
      <w:r w:rsidR="00EC4262">
        <w:rPr>
          <w:rFonts w:eastAsiaTheme="minorEastAsia"/>
        </w:rPr>
        <w:t> </w:t>
      </w:r>
      <w:r w:rsidRPr="001577D2">
        <w:rPr>
          <w:rFonts w:eastAsiaTheme="minorEastAsia"/>
        </w:rPr>
        <w:t>más</w:t>
      </w:r>
      <w:r w:rsidR="00A503A9">
        <w:rPr>
          <w:rFonts w:eastAsiaTheme="minorEastAsia"/>
        </w:rPr>
        <w:t>.</w:t>
      </w:r>
    </w:p>
    <w:p w14:paraId="30099F4F" w14:textId="10F47B03" w:rsidR="007666A4" w:rsidRPr="001577D2" w:rsidRDefault="007666A4" w:rsidP="001577D2">
      <w:pPr>
        <w:pStyle w:val="Bullet1G"/>
        <w:numPr>
          <w:ilvl w:val="0"/>
          <w:numId w:val="5"/>
        </w:numPr>
        <w:tabs>
          <w:tab w:val="clear" w:pos="2268"/>
          <w:tab w:val="num" w:pos="1701"/>
        </w:tabs>
        <w:ind w:left="1701"/>
        <w:rPr>
          <w:rFonts w:eastAsiaTheme="minorEastAsia"/>
        </w:rPr>
      </w:pPr>
      <w:r w:rsidRPr="001577D2">
        <w:rPr>
          <w:rFonts w:eastAsiaTheme="minorEastAsia"/>
        </w:rPr>
        <w:t>Creación de 84 escuelas-caravana</w:t>
      </w:r>
      <w:r w:rsidR="00A503A9">
        <w:rPr>
          <w:rFonts w:eastAsiaTheme="minorEastAsia"/>
        </w:rPr>
        <w:t>.</w:t>
      </w:r>
    </w:p>
    <w:p w14:paraId="7C317316" w14:textId="75317A47" w:rsidR="007666A4" w:rsidRPr="001577D2" w:rsidRDefault="007666A4" w:rsidP="001577D2">
      <w:pPr>
        <w:pStyle w:val="Bullet1G"/>
        <w:numPr>
          <w:ilvl w:val="0"/>
          <w:numId w:val="5"/>
        </w:numPr>
        <w:tabs>
          <w:tab w:val="clear" w:pos="2268"/>
          <w:tab w:val="num" w:pos="1701"/>
        </w:tabs>
        <w:ind w:left="1701"/>
        <w:rPr>
          <w:rFonts w:eastAsiaTheme="minorEastAsia"/>
        </w:rPr>
      </w:pPr>
      <w:r w:rsidRPr="001577D2">
        <w:rPr>
          <w:rFonts w:eastAsiaTheme="minorEastAsia"/>
        </w:rPr>
        <w:t>Coordinación con organizaciones de apoyo y facilitadores para establecer 18 escuelas totalmente equipadas desde el punto de vista lectivo, capaces de servir a las diferentes etapas</w:t>
      </w:r>
      <w:r w:rsidR="00A503A9">
        <w:rPr>
          <w:rFonts w:eastAsiaTheme="minorEastAsia"/>
        </w:rPr>
        <w:t>.</w:t>
      </w:r>
    </w:p>
    <w:p w14:paraId="10190795" w14:textId="04595B3C" w:rsidR="007666A4" w:rsidRPr="001577D2" w:rsidRDefault="007666A4" w:rsidP="001577D2">
      <w:pPr>
        <w:pStyle w:val="Bullet1G"/>
        <w:numPr>
          <w:ilvl w:val="0"/>
          <w:numId w:val="5"/>
        </w:numPr>
        <w:tabs>
          <w:tab w:val="clear" w:pos="2268"/>
          <w:tab w:val="num" w:pos="1701"/>
        </w:tabs>
        <w:ind w:left="1701"/>
        <w:rPr>
          <w:rFonts w:eastAsiaTheme="minorEastAsia"/>
        </w:rPr>
      </w:pPr>
      <w:r w:rsidRPr="001577D2">
        <w:rPr>
          <w:rFonts w:eastAsiaTheme="minorEastAsia"/>
        </w:rPr>
        <w:t>Formación del personal docente en la prestación de apoyo psicológico y social, en coordinación con organizaciones internacionales y basándose en las normativas del Consejo Noruego para los Refugiados</w:t>
      </w:r>
      <w:r w:rsidR="00A503A9">
        <w:rPr>
          <w:rFonts w:eastAsiaTheme="minorEastAsia"/>
        </w:rPr>
        <w:t>.</w:t>
      </w:r>
    </w:p>
    <w:p w14:paraId="2B44AAE2" w14:textId="718D6F7D" w:rsidR="007666A4" w:rsidRPr="001577D2" w:rsidRDefault="007666A4" w:rsidP="001577D2">
      <w:pPr>
        <w:pStyle w:val="Bullet1G"/>
        <w:numPr>
          <w:ilvl w:val="0"/>
          <w:numId w:val="5"/>
        </w:numPr>
        <w:tabs>
          <w:tab w:val="clear" w:pos="2268"/>
          <w:tab w:val="num" w:pos="1701"/>
        </w:tabs>
        <w:ind w:left="1701"/>
        <w:rPr>
          <w:rFonts w:eastAsiaTheme="minorEastAsia"/>
        </w:rPr>
      </w:pPr>
      <w:r w:rsidRPr="001577D2">
        <w:rPr>
          <w:rFonts w:eastAsiaTheme="minorEastAsia"/>
        </w:rPr>
        <w:t>Asegurar el acceso a la educación por los estudiantes afectados por el conflicto armado a través de portales electrónicos</w:t>
      </w:r>
      <w:r w:rsidR="00A503A9">
        <w:rPr>
          <w:rFonts w:eastAsiaTheme="minorEastAsia"/>
        </w:rPr>
        <w:t>.</w:t>
      </w:r>
    </w:p>
    <w:p w14:paraId="045C6C15" w14:textId="0B789C4F" w:rsidR="007666A4" w:rsidRPr="001577D2" w:rsidRDefault="007666A4" w:rsidP="001577D2">
      <w:pPr>
        <w:pStyle w:val="Bullet1G"/>
        <w:numPr>
          <w:ilvl w:val="0"/>
          <w:numId w:val="5"/>
        </w:numPr>
        <w:tabs>
          <w:tab w:val="clear" w:pos="2268"/>
          <w:tab w:val="num" w:pos="1701"/>
        </w:tabs>
        <w:ind w:left="1701"/>
        <w:rPr>
          <w:rFonts w:eastAsiaTheme="minorEastAsia"/>
        </w:rPr>
      </w:pPr>
      <w:r w:rsidRPr="001577D2">
        <w:rPr>
          <w:rFonts w:eastAsiaTheme="minorEastAsia"/>
        </w:rPr>
        <w:lastRenderedPageBreak/>
        <w:t>Simplificación de los procedimientos de examen para los estudiantes desplazados</w:t>
      </w:r>
      <w:r w:rsidR="00A503A9">
        <w:rPr>
          <w:rFonts w:eastAsiaTheme="minorEastAsia"/>
        </w:rPr>
        <w:t>.</w:t>
      </w:r>
    </w:p>
    <w:p w14:paraId="68AB1C25" w14:textId="083E4F30" w:rsidR="007666A4" w:rsidRPr="001577D2" w:rsidRDefault="007666A4" w:rsidP="001577D2">
      <w:pPr>
        <w:pStyle w:val="Bullet1G"/>
        <w:numPr>
          <w:ilvl w:val="0"/>
          <w:numId w:val="5"/>
        </w:numPr>
        <w:tabs>
          <w:tab w:val="clear" w:pos="2268"/>
          <w:tab w:val="num" w:pos="1701"/>
        </w:tabs>
        <w:ind w:left="1701"/>
        <w:rPr>
          <w:rFonts w:eastAsiaTheme="minorEastAsia"/>
        </w:rPr>
      </w:pPr>
      <w:r w:rsidRPr="001577D2">
        <w:rPr>
          <w:rFonts w:eastAsiaTheme="minorEastAsia"/>
        </w:rPr>
        <w:t>Centrarse en la función del personal docente a la hora de fomentar entre los niños la resistencia a la ideología extremista</w:t>
      </w:r>
      <w:r w:rsidR="00A503A9">
        <w:rPr>
          <w:rFonts w:eastAsiaTheme="minorEastAsia"/>
        </w:rPr>
        <w:t>.</w:t>
      </w:r>
    </w:p>
    <w:p w14:paraId="0763B254" w14:textId="4F3EA0A7" w:rsidR="007666A4" w:rsidRPr="001577D2" w:rsidRDefault="007666A4" w:rsidP="001577D2">
      <w:pPr>
        <w:pStyle w:val="Bullet1G"/>
        <w:numPr>
          <w:ilvl w:val="0"/>
          <w:numId w:val="5"/>
        </w:numPr>
        <w:tabs>
          <w:tab w:val="clear" w:pos="2268"/>
          <w:tab w:val="num" w:pos="1701"/>
        </w:tabs>
        <w:ind w:left="1701"/>
        <w:rPr>
          <w:rFonts w:eastAsiaTheme="minorEastAsia"/>
        </w:rPr>
      </w:pPr>
      <w:r w:rsidRPr="001577D2">
        <w:rPr>
          <w:rFonts w:eastAsiaTheme="minorEastAsia"/>
        </w:rPr>
        <w:t>Centrarse en la función de asesoramiento educativo para abordar la ideología extremista entre los niños</w:t>
      </w:r>
      <w:r w:rsidR="00A503A9">
        <w:rPr>
          <w:rFonts w:eastAsiaTheme="minorEastAsia"/>
        </w:rPr>
        <w:t>.</w:t>
      </w:r>
    </w:p>
    <w:p w14:paraId="16BCEFCC" w14:textId="3F51F3D8" w:rsidR="007666A4" w:rsidRPr="001577D2" w:rsidRDefault="007666A4" w:rsidP="001577D2">
      <w:pPr>
        <w:pStyle w:val="Bullet1G"/>
        <w:numPr>
          <w:ilvl w:val="0"/>
          <w:numId w:val="5"/>
        </w:numPr>
        <w:tabs>
          <w:tab w:val="clear" w:pos="2268"/>
          <w:tab w:val="num" w:pos="1701"/>
        </w:tabs>
        <w:ind w:left="1701"/>
        <w:rPr>
          <w:rFonts w:eastAsiaTheme="minorEastAsia"/>
        </w:rPr>
      </w:pPr>
      <w:r w:rsidRPr="001577D2">
        <w:rPr>
          <w:rFonts w:eastAsiaTheme="minorEastAsia"/>
        </w:rPr>
        <w:t>Servirse del canal educativo por satélite iraquí, así como de posters, folletos y carteles.</w:t>
      </w:r>
    </w:p>
    <w:p w14:paraId="6948302F" w14:textId="368C264F" w:rsidR="007666A4" w:rsidRPr="007666A4" w:rsidRDefault="007666A4" w:rsidP="007666A4">
      <w:pPr>
        <w:pStyle w:val="SingleTxtG"/>
      </w:pPr>
      <w:r w:rsidRPr="007666A4">
        <w:t>288.</w:t>
      </w:r>
      <w:r>
        <w:tab/>
      </w:r>
      <w:r w:rsidRPr="007666A4">
        <w:t>En cuanto a las medidas adoptadas para garantizar el acceso a la educación de los desplazados internos, los niños de las familias desplazadas son enviados a otros lugares para continuar su educación y completar sus estudios. Se han creado instituciones especiales para niños con discapacidad en virtud de un programa de cooperación entre el Gobierno del Iraq y el British Council (“Creación de capacidades en la educación primaria y secundaria, mejora de la calidad de la educación y garantía de la igualdad en materia de cooperación en la educación para permitir la integración de las personas con discapacidad y con necesidades especiales”).</w:t>
      </w:r>
    </w:p>
    <w:p w14:paraId="116D7B6E" w14:textId="5796801B" w:rsidR="007666A4" w:rsidRPr="007666A4" w:rsidRDefault="007666A4" w:rsidP="001577D2">
      <w:pPr>
        <w:pStyle w:val="H1G"/>
      </w:pPr>
      <w:r>
        <w:tab/>
      </w:r>
      <w:r w:rsidRPr="007666A4">
        <w:tab/>
        <w:t>Artículo 15 y recomendación que figura</w:t>
      </w:r>
      <w:r w:rsidRPr="007666A4" w:rsidDel="00D35640">
        <w:t xml:space="preserve"> </w:t>
      </w:r>
      <w:r w:rsidRPr="007666A4">
        <w:t>en el párrafo 58</w:t>
      </w:r>
    </w:p>
    <w:p w14:paraId="3024E435" w14:textId="5763F25D" w:rsidR="007666A4" w:rsidRPr="007666A4" w:rsidRDefault="007666A4" w:rsidP="007666A4">
      <w:pPr>
        <w:pStyle w:val="SingleTxtG"/>
      </w:pPr>
      <w:r w:rsidRPr="007666A4">
        <w:t>289.</w:t>
      </w:r>
      <w:r>
        <w:tab/>
      </w:r>
      <w:r w:rsidRPr="007666A4">
        <w:t>En este contexto, podríamos hacer referencia a las siguientes medidas gubernamentales:</w:t>
      </w:r>
    </w:p>
    <w:p w14:paraId="12539668" w14:textId="30A6121E" w:rsidR="007666A4" w:rsidRPr="00EC4262" w:rsidRDefault="00A503A9" w:rsidP="00EC4262">
      <w:pPr>
        <w:pStyle w:val="Bullet1G"/>
        <w:numPr>
          <w:ilvl w:val="0"/>
          <w:numId w:val="5"/>
        </w:numPr>
        <w:tabs>
          <w:tab w:val="clear" w:pos="2268"/>
          <w:tab w:val="num" w:pos="1701"/>
        </w:tabs>
        <w:ind w:left="1701"/>
        <w:rPr>
          <w:rFonts w:eastAsiaTheme="minorEastAsia"/>
        </w:rPr>
      </w:pPr>
      <w:r w:rsidRPr="00EC4262">
        <w:rPr>
          <w:rFonts w:eastAsiaTheme="minorEastAsia"/>
        </w:rPr>
        <w:tab/>
      </w:r>
      <w:r w:rsidR="007666A4" w:rsidRPr="00EC4262">
        <w:rPr>
          <w:rFonts w:eastAsiaTheme="minorEastAsia"/>
        </w:rPr>
        <w:t>El Iraq ha procurado activamente la inclusión de varios sitios en la Lista del Patrimonio Mundial de la UNESCO con el fin de que se beneficien de las medidas internacionales en materia de protección y promoción. El más reciente de estos sitios es el de las marismas (Al-Ahwar) del sur del Iraq. El Iraq sigue trabajando para que se incluyan otros emplazamientos.</w:t>
      </w:r>
    </w:p>
    <w:p w14:paraId="2BBDBC65" w14:textId="26BBEA55" w:rsidR="007666A4" w:rsidRPr="007666A4" w:rsidRDefault="007666A4" w:rsidP="007666A4">
      <w:pPr>
        <w:pStyle w:val="SingleTxtG"/>
      </w:pPr>
      <w:r w:rsidRPr="007666A4">
        <w:t>290.</w:t>
      </w:r>
      <w:r>
        <w:tab/>
      </w:r>
      <w:r w:rsidRPr="007666A4">
        <w:t>El Iraq se está coordinando con la UNESCO y otros organismos para proteger y restaurar las antigüedades y los sitios del patrimonio dañados por el EIIL durante su ocupación de varias regiones del Iraq. La UNESCO sostiene que los crímenes cometidos por el EIIL son crímenes de guerra que deben ser castigados.</w:t>
      </w:r>
    </w:p>
    <w:p w14:paraId="28F13367" w14:textId="65E51CD4" w:rsidR="007666A4" w:rsidRPr="007666A4" w:rsidRDefault="007666A4" w:rsidP="007666A4">
      <w:pPr>
        <w:pStyle w:val="SingleTxtG"/>
      </w:pPr>
      <w:r w:rsidRPr="007666A4">
        <w:t>291.</w:t>
      </w:r>
      <w:r>
        <w:tab/>
      </w:r>
      <w:r w:rsidRPr="007666A4">
        <w:t>El Iraq está trabajando en coordinación con varios organismos de lucha contra la delincuencia para recuperar las antigüedades de contrabando que actualmente se comercializan y circulan por algunos países.</w:t>
      </w:r>
    </w:p>
    <w:p w14:paraId="484DBF8C" w14:textId="3C7A90FC" w:rsidR="007666A4" w:rsidRPr="007666A4" w:rsidRDefault="007666A4" w:rsidP="007666A4">
      <w:pPr>
        <w:pStyle w:val="SingleTxtG"/>
      </w:pPr>
      <w:r w:rsidRPr="007666A4">
        <w:t>292.</w:t>
      </w:r>
      <w:r>
        <w:tab/>
      </w:r>
      <w:r w:rsidRPr="007666A4">
        <w:t>Los organismos responsables del Iraq siguen organizando seminarios y foros nacionales e internacionales sobre los delitos cometidos contra los yacimientos y sitios arqueológicos.</w:t>
      </w:r>
    </w:p>
    <w:p w14:paraId="69BA427C" w14:textId="3E99F123" w:rsidR="007666A4" w:rsidRPr="007666A4" w:rsidRDefault="007666A4" w:rsidP="007666A4">
      <w:pPr>
        <w:pStyle w:val="SingleTxtG"/>
      </w:pPr>
      <w:r w:rsidRPr="007666A4">
        <w:t>293.</w:t>
      </w:r>
      <w:r>
        <w:tab/>
      </w:r>
      <w:r w:rsidRPr="007666A4">
        <w:t>Está previsto concluir memorandos de entendimiento y acuerdos científicos con universidades e institutos internacionales, centrados en los aspectos científicos y arqueológicos, con el fin de promover las antigüedades y el patrimonio del país, concretamente en lo que respecta a la ciudad de Mosul, la mayoría de cuyos monumentos emblemáticos y yacimientos arqueológicos han sido dañados.</w:t>
      </w:r>
    </w:p>
    <w:p w14:paraId="29958D14" w14:textId="60CEF750" w:rsidR="007666A4" w:rsidRPr="007666A4" w:rsidRDefault="007666A4" w:rsidP="007666A4">
      <w:pPr>
        <w:pStyle w:val="SingleTxtG"/>
      </w:pPr>
      <w:r w:rsidRPr="007666A4">
        <w:t>294.</w:t>
      </w:r>
      <w:r>
        <w:tab/>
      </w:r>
      <w:r w:rsidRPr="007666A4">
        <w:t>El Iraq coopera con los departamentos e inspecciones de antigüedades, los gobiernos y las organizaciones internacionales para poner fin a la destrucción, destrucción y saqueo de yacimientos y para recuperar y devolver al Iraq las piezas objeto de contrabando. A través de sus canales académicos y culturales y su participación en foros internacionales, el Iraq trata de apoyar el acondicionamiento y la conservación de los yacimientos y monumentos arqueológicos y exigir la recuperación y restauración de los artefactos y adquisiciones sacados de contrabando del país y vendidos por las bandas terroristas del EIIL.</w:t>
      </w:r>
    </w:p>
    <w:p w14:paraId="6951FFAC" w14:textId="18685340" w:rsidR="007666A4" w:rsidRPr="007666A4" w:rsidRDefault="007666A4" w:rsidP="007666A4">
      <w:pPr>
        <w:pStyle w:val="SingleTxtG"/>
      </w:pPr>
      <w:r w:rsidRPr="007666A4">
        <w:t>295.</w:t>
      </w:r>
      <w:r>
        <w:tab/>
      </w:r>
      <w:r w:rsidRPr="007666A4">
        <w:t xml:space="preserve">Se han constituido comités especializados para revisar los planes de estudios y hacer de ellos otros tantos vectores del espíritu de tolerancia, solidaridad y cohesión social, difundiendo la cultura de la ciudadanía y las de todas las minorías de la sociedad iraquí, organizando charlas para estudiantes con el fin de profundizar y consolidar los principios y valores de la ciudadanía, fomentar la participación de todas las religiones, comunidades, confesiones y nacionalidades en la construcción del país, difundir la cultura ciudadana y el respeto a todos, contribuir al desarrollo y la promoción de la cultura de la coexistencia </w:t>
      </w:r>
      <w:r w:rsidRPr="007666A4">
        <w:lastRenderedPageBreak/>
        <w:t>pacífica y defender los derechos e intereses de todas las nacionalidades y comunidades de la genuina sociedad iraquí.</w:t>
      </w:r>
    </w:p>
    <w:p w14:paraId="09CA474C" w14:textId="071971F6" w:rsidR="007666A4" w:rsidRPr="007666A4" w:rsidRDefault="007666A4" w:rsidP="001577D2">
      <w:pPr>
        <w:pStyle w:val="H23G"/>
      </w:pPr>
      <w:r>
        <w:tab/>
      </w:r>
      <w:r w:rsidRPr="007666A4">
        <w:tab/>
        <w:t>Recomendación que figura</w:t>
      </w:r>
      <w:r w:rsidRPr="007666A4" w:rsidDel="00D35640">
        <w:t xml:space="preserve"> </w:t>
      </w:r>
      <w:r w:rsidRPr="007666A4">
        <w:t>en el párrafo 59</w:t>
      </w:r>
    </w:p>
    <w:p w14:paraId="301DF1F9" w14:textId="7F886093" w:rsidR="007666A4" w:rsidRPr="007666A4" w:rsidRDefault="007666A4" w:rsidP="007666A4">
      <w:pPr>
        <w:pStyle w:val="SingleTxtG"/>
      </w:pPr>
      <w:r w:rsidRPr="007666A4">
        <w:t>296.</w:t>
      </w:r>
      <w:r>
        <w:tab/>
      </w:r>
      <w:r w:rsidRPr="007666A4">
        <w:t>El Iraq estudia regularmente la adhesión a los tratados internacionales y tomará la decisión oportuna cuando se den las condiciones legales adecuadas. También señala a la atención los esfuerzos del Iraq por incluir un mecanismo de denuncia en la Ley de la Alta Comisión Independiente de Derechos Humanos.</w:t>
      </w:r>
    </w:p>
    <w:p w14:paraId="07D89C40" w14:textId="0135C6D4" w:rsidR="007666A4" w:rsidRPr="007666A4" w:rsidRDefault="007666A4" w:rsidP="001577D2">
      <w:pPr>
        <w:pStyle w:val="H23G"/>
      </w:pPr>
      <w:r>
        <w:tab/>
      </w:r>
      <w:r w:rsidRPr="007666A4">
        <w:tab/>
        <w:t>Recomendación que figura</w:t>
      </w:r>
      <w:r w:rsidRPr="007666A4" w:rsidDel="00D35640">
        <w:t xml:space="preserve"> </w:t>
      </w:r>
      <w:r w:rsidRPr="007666A4">
        <w:t>en el párrafo 60</w:t>
      </w:r>
    </w:p>
    <w:p w14:paraId="1BEEFEF8" w14:textId="68DCFF29" w:rsidR="007666A4" w:rsidRPr="007666A4" w:rsidRDefault="007666A4" w:rsidP="007666A4">
      <w:pPr>
        <w:pStyle w:val="SingleTxtG"/>
      </w:pPr>
      <w:r w:rsidRPr="007666A4">
        <w:t>297.</w:t>
      </w:r>
      <w:r>
        <w:tab/>
      </w:r>
      <w:r w:rsidRPr="007666A4">
        <w:t>En los informes que presenta en virtud de los tratados internacionales de derechos humanos, el Iraq se esfuerza por tener en cuenta los indicadores electrónicos emitidos por organismos fiables y especializados (por ejemplo, la Oficina Central de Estadísticas), así como por los organismos sectoriales pertinentes. Las estadísticas oficiales suministradas por estos organismos se han incluido en el presente informe.</w:t>
      </w:r>
    </w:p>
    <w:p w14:paraId="3AB84104" w14:textId="6C5E8DC7" w:rsidR="007666A4" w:rsidRPr="007666A4" w:rsidRDefault="007666A4" w:rsidP="007666A4">
      <w:pPr>
        <w:pStyle w:val="SingleTxtG"/>
      </w:pPr>
      <w:r w:rsidRPr="007666A4">
        <w:t>298.</w:t>
      </w:r>
      <w:r>
        <w:tab/>
      </w:r>
      <w:r w:rsidRPr="007666A4">
        <w:t>En 2019, el Consejo de Ministros decidió realizar un censo electrónico; con ello se dispondrá de una serie de estadísticas para su posible inclusión en futuros informes.</w:t>
      </w:r>
    </w:p>
    <w:p w14:paraId="49A316E3" w14:textId="12727FEB" w:rsidR="007666A4" w:rsidRPr="007666A4" w:rsidRDefault="007666A4" w:rsidP="001577D2">
      <w:pPr>
        <w:pStyle w:val="H23G"/>
      </w:pPr>
      <w:r>
        <w:tab/>
      </w:r>
      <w:r w:rsidRPr="007666A4">
        <w:tab/>
        <w:t>Recomendación que figura</w:t>
      </w:r>
      <w:r w:rsidRPr="007666A4" w:rsidDel="00D35640">
        <w:t xml:space="preserve"> </w:t>
      </w:r>
      <w:r w:rsidRPr="007666A4">
        <w:t>en el párrafo 61</w:t>
      </w:r>
    </w:p>
    <w:p w14:paraId="10B1D38A" w14:textId="60CB6388" w:rsidR="007666A4" w:rsidRPr="007666A4" w:rsidRDefault="007666A4" w:rsidP="007666A4">
      <w:pPr>
        <w:pStyle w:val="SingleTxtG"/>
        <w:rPr>
          <w:u w:val="single"/>
        </w:rPr>
      </w:pPr>
      <w:r w:rsidRPr="007666A4">
        <w:t>299.</w:t>
      </w:r>
      <w:r>
        <w:tab/>
      </w:r>
      <w:r w:rsidRPr="007666A4">
        <w:t>El Iraq y la Misión de Asistencia de las Naciones Unidas para el Iraq (UNAMI) han elaborado marcos de cooperación conjunta entre todas las instituciones iraquíes y los órganos y organismos de las Naciones Unidas para garantizar una cooperación eficaz al abordar las cuestiones pertinentes, entre ellas las relacionadas con los derechos económicos, sociales y culturales.</w:t>
      </w:r>
    </w:p>
    <w:p w14:paraId="4737A25D" w14:textId="50E8EA54" w:rsidR="00735A86" w:rsidRPr="007666A4" w:rsidRDefault="007666A4" w:rsidP="007666A4">
      <w:pPr>
        <w:pStyle w:val="SingleTxtG"/>
        <w:suppressAutoHyphens/>
        <w:spacing w:before="240" w:after="0"/>
        <w:jc w:val="center"/>
        <w:rPr>
          <w:u w:val="single"/>
        </w:rPr>
      </w:pPr>
      <w:r>
        <w:rPr>
          <w:u w:val="single"/>
        </w:rPr>
        <w:tab/>
      </w:r>
      <w:r>
        <w:rPr>
          <w:u w:val="single"/>
        </w:rPr>
        <w:tab/>
      </w:r>
      <w:r>
        <w:rPr>
          <w:u w:val="single"/>
        </w:rPr>
        <w:tab/>
      </w:r>
    </w:p>
    <w:sectPr w:rsidR="00735A86" w:rsidRPr="007666A4" w:rsidSect="00735A8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074E6" w14:textId="77777777" w:rsidR="00A42F88" w:rsidRPr="00093664" w:rsidRDefault="00A42F88" w:rsidP="00093664">
      <w:pPr>
        <w:pStyle w:val="Piedepgina"/>
      </w:pPr>
    </w:p>
  </w:endnote>
  <w:endnote w:type="continuationSeparator" w:id="0">
    <w:p w14:paraId="36EEBF41" w14:textId="77777777" w:rsidR="00A42F88" w:rsidRPr="00093664" w:rsidRDefault="00A42F88"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74B7" w14:textId="24D40749" w:rsidR="00735A86" w:rsidRPr="00735A86" w:rsidRDefault="00735A86" w:rsidP="00735A86">
    <w:pPr>
      <w:pStyle w:val="Piedepgina"/>
      <w:tabs>
        <w:tab w:val="right" w:pos="9638"/>
      </w:tabs>
    </w:pPr>
    <w:r w:rsidRPr="00735A86">
      <w:rPr>
        <w:b/>
        <w:sz w:val="18"/>
      </w:rPr>
      <w:fldChar w:fldCharType="begin"/>
    </w:r>
    <w:r w:rsidRPr="00735A86">
      <w:rPr>
        <w:b/>
        <w:sz w:val="18"/>
      </w:rPr>
      <w:instrText xml:space="preserve"> PAGE  \* MERGEFORMAT </w:instrText>
    </w:r>
    <w:r w:rsidRPr="00735A86">
      <w:rPr>
        <w:b/>
        <w:sz w:val="18"/>
      </w:rPr>
      <w:fldChar w:fldCharType="separate"/>
    </w:r>
    <w:r w:rsidRPr="00735A86">
      <w:rPr>
        <w:b/>
        <w:noProof/>
        <w:sz w:val="18"/>
      </w:rPr>
      <w:t>2</w:t>
    </w:r>
    <w:r w:rsidRPr="00735A86">
      <w:rPr>
        <w:b/>
        <w:sz w:val="18"/>
      </w:rPr>
      <w:fldChar w:fldCharType="end"/>
    </w:r>
    <w:r>
      <w:rPr>
        <w:b/>
        <w:sz w:val="18"/>
      </w:rPr>
      <w:tab/>
    </w:r>
    <w:r>
      <w:t>GE.21-11532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E904" w14:textId="719CBBAE" w:rsidR="00735A86" w:rsidRPr="00735A86" w:rsidRDefault="00735A86" w:rsidP="00735A86">
    <w:pPr>
      <w:pStyle w:val="Piedepgina"/>
      <w:tabs>
        <w:tab w:val="right" w:pos="9638"/>
      </w:tabs>
      <w:rPr>
        <w:b/>
        <w:sz w:val="18"/>
      </w:rPr>
    </w:pPr>
    <w:r>
      <w:t>GE.21-11532</w:t>
    </w:r>
    <w:r>
      <w:tab/>
    </w:r>
    <w:r w:rsidRPr="00735A86">
      <w:rPr>
        <w:b/>
        <w:sz w:val="18"/>
      </w:rPr>
      <w:fldChar w:fldCharType="begin"/>
    </w:r>
    <w:r w:rsidRPr="00735A86">
      <w:rPr>
        <w:b/>
        <w:sz w:val="18"/>
      </w:rPr>
      <w:instrText xml:space="preserve"> PAGE  \* MERGEFORMAT </w:instrText>
    </w:r>
    <w:r w:rsidRPr="00735A86">
      <w:rPr>
        <w:b/>
        <w:sz w:val="18"/>
      </w:rPr>
      <w:fldChar w:fldCharType="separate"/>
    </w:r>
    <w:r w:rsidRPr="00735A86">
      <w:rPr>
        <w:b/>
        <w:noProof/>
        <w:sz w:val="18"/>
      </w:rPr>
      <w:t>3</w:t>
    </w:r>
    <w:r w:rsidRPr="00735A8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C399A" w14:textId="16E2EF2B" w:rsidR="005016AF" w:rsidRPr="00735A86" w:rsidRDefault="00735A86" w:rsidP="00735A86">
    <w:pPr>
      <w:pStyle w:val="Piedepgina"/>
      <w:spacing w:before="120" w:line="240" w:lineRule="auto"/>
      <w:rPr>
        <w:sz w:val="20"/>
      </w:rPr>
    </w:pPr>
    <w:r>
      <w:rPr>
        <w:sz w:val="20"/>
      </w:rPr>
      <w:t>GE.</w:t>
    </w:r>
    <w:r w:rsidR="00DC6544">
      <w:rPr>
        <w:noProof/>
      </w:rPr>
      <w:drawing>
        <wp:anchor distT="0" distB="0" distL="114300" distR="114300" simplePos="0" relativeHeight="251657728" behindDoc="0" locked="1" layoutInCell="1" allowOverlap="1" wp14:anchorId="6A87A31D" wp14:editId="7E474BBB">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21-11532  (S)</w:t>
    </w:r>
    <w:r>
      <w:rPr>
        <w:noProof/>
        <w:sz w:val="20"/>
      </w:rPr>
      <w:drawing>
        <wp:anchor distT="0" distB="0" distL="114300" distR="114300" simplePos="0" relativeHeight="251658752" behindDoc="0" locked="0" layoutInCell="1" allowOverlap="1" wp14:anchorId="09E00871" wp14:editId="7080A6C7">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160222    170222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0885E" w14:textId="77777777" w:rsidR="00A42F88" w:rsidRPr="001075E9" w:rsidRDefault="00A42F88" w:rsidP="001075E9">
      <w:pPr>
        <w:tabs>
          <w:tab w:val="right" w:pos="2155"/>
        </w:tabs>
        <w:spacing w:after="80" w:line="240" w:lineRule="auto"/>
        <w:ind w:left="680"/>
        <w:rPr>
          <w:u w:val="single"/>
        </w:rPr>
      </w:pPr>
      <w:r>
        <w:rPr>
          <w:u w:val="single"/>
        </w:rPr>
        <w:tab/>
      </w:r>
    </w:p>
  </w:footnote>
  <w:footnote w:type="continuationSeparator" w:id="0">
    <w:p w14:paraId="79BE7DE5" w14:textId="77777777" w:rsidR="00A42F88" w:rsidRDefault="00A42F88" w:rsidP="00093664">
      <w:pPr>
        <w:tabs>
          <w:tab w:val="right" w:pos="2155"/>
        </w:tabs>
        <w:spacing w:after="80" w:line="240" w:lineRule="auto"/>
        <w:ind w:left="680"/>
        <w:rPr>
          <w:u w:val="single"/>
        </w:rPr>
      </w:pPr>
      <w:r>
        <w:rPr>
          <w:u w:val="single"/>
        </w:rPr>
        <w:tab/>
      </w:r>
    </w:p>
  </w:footnote>
  <w:footnote w:id="1">
    <w:p w14:paraId="57C2AD34" w14:textId="76E9C016" w:rsidR="00587808" w:rsidRPr="00587808" w:rsidRDefault="00587808" w:rsidP="00587808">
      <w:pPr>
        <w:pStyle w:val="Textonotapie"/>
        <w:rPr>
          <w:sz w:val="20"/>
        </w:rPr>
      </w:pPr>
      <w:r>
        <w:tab/>
      </w:r>
      <w:r w:rsidRPr="00587808">
        <w:rPr>
          <w:rStyle w:val="Refdenotaalpie"/>
          <w:sz w:val="20"/>
          <w:vertAlign w:val="baseline"/>
        </w:rPr>
        <w:t>*</w:t>
      </w:r>
      <w:r w:rsidRPr="00587808">
        <w:rPr>
          <w:rStyle w:val="Refdenotaalpie"/>
          <w:vertAlign w:val="baseline"/>
        </w:rPr>
        <w:tab/>
      </w:r>
      <w:r w:rsidRPr="00587808">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62D4" w14:textId="011CF42E" w:rsidR="00735A86" w:rsidRPr="00735A86" w:rsidRDefault="00DD44E2">
    <w:pPr>
      <w:pStyle w:val="Encabezado"/>
    </w:pPr>
    <w:r>
      <w:fldChar w:fldCharType="begin"/>
    </w:r>
    <w:r>
      <w:instrText xml:space="preserve"> TITLE  \* MERGEFORMAT </w:instrText>
    </w:r>
    <w:r>
      <w:fldChar w:fldCharType="separate"/>
    </w:r>
    <w:r w:rsidR="00AB500C">
      <w:t>E/</w:t>
    </w:r>
    <w:proofErr w:type="spellStart"/>
    <w:r w:rsidR="00AB500C">
      <w:t>C.12</w:t>
    </w:r>
    <w:proofErr w:type="spellEnd"/>
    <w:r w:rsidR="00AB500C">
      <w:t>/IRQ/5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09AA4" w14:textId="2382878E" w:rsidR="00735A86" w:rsidRPr="00735A86" w:rsidRDefault="00DD44E2" w:rsidP="00735A86">
    <w:pPr>
      <w:pStyle w:val="Encabezado"/>
      <w:jc w:val="right"/>
    </w:pPr>
    <w:r>
      <w:fldChar w:fldCharType="begin"/>
    </w:r>
    <w:r>
      <w:instrText xml:space="preserve"> TITLE  \* MERGEFORMAT </w:instrText>
    </w:r>
    <w:r>
      <w:fldChar w:fldCharType="separate"/>
    </w:r>
    <w:r w:rsidR="00AB500C">
      <w:t>E/</w:t>
    </w:r>
    <w:proofErr w:type="spellStart"/>
    <w:r w:rsidR="00AB500C">
      <w:t>C.12</w:t>
    </w:r>
    <w:proofErr w:type="spellEnd"/>
    <w:r w:rsidR="00AB500C">
      <w:t>/IRQ/5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5CBC5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851AF4"/>
    <w:multiLevelType w:val="hybridMultilevel"/>
    <w:tmpl w:val="AC74746E"/>
    <w:lvl w:ilvl="0" w:tplc="B80C57A6">
      <w:start w:val="1"/>
      <w:numFmt w:val="bullet"/>
      <w:pStyle w:val="Bullet1GA"/>
      <w:lvlText w:val=""/>
      <w:lvlJc w:val="left"/>
      <w:pPr>
        <w:tabs>
          <w:tab w:val="num" w:pos="2387"/>
        </w:tabs>
        <w:ind w:left="2387" w:hanging="545"/>
      </w:pPr>
      <w:rPr>
        <w:rFonts w:ascii="Symbol" w:hAnsi="Symbol" w:cs="Symbol" w:hint="default"/>
        <w:sz w:val="20"/>
        <w:lang w:bidi="ar-IQ"/>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FAE351D"/>
    <w:multiLevelType w:val="hybridMultilevel"/>
    <w:tmpl w:val="8E64167A"/>
    <w:lvl w:ilvl="0" w:tplc="F9062506">
      <w:numFmt w:val="bullet"/>
      <w:lvlText w:val=""/>
      <w:lvlJc w:val="left"/>
      <w:pPr>
        <w:ind w:left="2838" w:hanging="57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19DA6FE9"/>
    <w:multiLevelType w:val="hybridMultilevel"/>
    <w:tmpl w:val="218EA6C0"/>
    <w:lvl w:ilvl="0" w:tplc="F9062506">
      <w:numFmt w:val="bullet"/>
      <w:lvlText w:val=""/>
      <w:lvlJc w:val="left"/>
      <w:pPr>
        <w:ind w:left="3235" w:hanging="570"/>
      </w:pPr>
      <w:rPr>
        <w:rFonts w:ascii="Times New Roman" w:eastAsia="Times New Roman" w:hAnsi="Times New Roman" w:cs="Times New Roman" w:hint="default"/>
      </w:rPr>
    </w:lvl>
    <w:lvl w:ilvl="1" w:tplc="04090003" w:tentative="1">
      <w:start w:val="1"/>
      <w:numFmt w:val="bullet"/>
      <w:lvlText w:val="o"/>
      <w:lvlJc w:val="left"/>
      <w:pPr>
        <w:ind w:left="2971" w:hanging="360"/>
      </w:pPr>
      <w:rPr>
        <w:rFonts w:ascii="Courier New" w:hAnsi="Courier New" w:cs="Courier New" w:hint="default"/>
      </w:rPr>
    </w:lvl>
    <w:lvl w:ilvl="2" w:tplc="04090005">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16"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7" w15:restartNumberingAfterBreak="0">
    <w:nsid w:val="26570E7D"/>
    <w:multiLevelType w:val="hybridMultilevel"/>
    <w:tmpl w:val="530EBAC4"/>
    <w:lvl w:ilvl="0" w:tplc="F9062506">
      <w:numFmt w:val="bullet"/>
      <w:lvlText w:val=""/>
      <w:lvlJc w:val="left"/>
      <w:pPr>
        <w:ind w:left="1704" w:hanging="57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15:restartNumberingAfterBreak="0">
    <w:nsid w:val="2D9C6F59"/>
    <w:multiLevelType w:val="hybridMultilevel"/>
    <w:tmpl w:val="DD522062"/>
    <w:lvl w:ilvl="0" w:tplc="F9062506">
      <w:numFmt w:val="bullet"/>
      <w:lvlText w:val=""/>
      <w:lvlJc w:val="left"/>
      <w:pPr>
        <w:ind w:left="1704" w:hanging="57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9"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A7743B"/>
    <w:multiLevelType w:val="hybridMultilevel"/>
    <w:tmpl w:val="1778B7CA"/>
    <w:lvl w:ilvl="0" w:tplc="14C64E84">
      <w:start w:val="1"/>
      <w:numFmt w:val="bullet"/>
      <w:lvlText w:val="•"/>
      <w:lvlJc w:val="left"/>
      <w:pPr>
        <w:tabs>
          <w:tab w:val="num" w:pos="2268"/>
        </w:tabs>
        <w:ind w:left="2268" w:hanging="170"/>
      </w:pPr>
      <w:rPr>
        <w:rFonts w:ascii="Times New Roman" w:hAnsi="Times New Roman" w:cs="Times New Roman" w:hint="default"/>
      </w:rPr>
    </w:lvl>
    <w:lvl w:ilvl="1" w:tplc="CFE64A24">
      <w:numFmt w:val="bullet"/>
      <w:lvlText w:val=""/>
      <w:lvlJc w:val="left"/>
      <w:pPr>
        <w:ind w:left="1650" w:hanging="570"/>
      </w:pPr>
      <w:rPr>
        <w:rFonts w:ascii="Times New Roman" w:eastAsia="Times New Roman" w:hAnsi="Times New Roman"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1B0D71"/>
    <w:multiLevelType w:val="hybridMultilevel"/>
    <w:tmpl w:val="CB181722"/>
    <w:lvl w:ilvl="0" w:tplc="F9062506">
      <w:numFmt w:val="bullet"/>
      <w:lvlText w:val=""/>
      <w:lvlJc w:val="left"/>
      <w:pPr>
        <w:ind w:left="2838" w:hanging="57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03B6193"/>
    <w:multiLevelType w:val="hybridMultilevel"/>
    <w:tmpl w:val="1D7EEE9C"/>
    <w:lvl w:ilvl="0" w:tplc="6CE2BA00">
      <w:numFmt w:val="bullet"/>
      <w:lvlText w:val=""/>
      <w:lvlJc w:val="left"/>
      <w:pPr>
        <w:ind w:left="1704" w:hanging="57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4"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5" w15:restartNumberingAfterBreak="0">
    <w:nsid w:val="4A015C60"/>
    <w:multiLevelType w:val="hybridMultilevel"/>
    <w:tmpl w:val="575CEF54"/>
    <w:lvl w:ilvl="0" w:tplc="CA6057B6">
      <w:numFmt w:val="bullet"/>
      <w:lvlText w:val=""/>
      <w:lvlJc w:val="left"/>
      <w:pPr>
        <w:ind w:left="1891" w:hanging="360"/>
      </w:pPr>
      <w:rPr>
        <w:rFonts w:ascii="Times New Roman" w:eastAsiaTheme="minorEastAsia" w:hAnsi="Times New Roman" w:cs="Times New Roman" w:hint="default"/>
      </w:rPr>
    </w:lvl>
    <w:lvl w:ilvl="1" w:tplc="04090003" w:tentative="1">
      <w:start w:val="1"/>
      <w:numFmt w:val="bullet"/>
      <w:lvlText w:val="o"/>
      <w:lvlJc w:val="left"/>
      <w:pPr>
        <w:ind w:left="2611" w:hanging="360"/>
      </w:pPr>
      <w:rPr>
        <w:rFonts w:ascii="Courier New" w:hAnsi="Courier New" w:cs="Courier New" w:hint="default"/>
      </w:rPr>
    </w:lvl>
    <w:lvl w:ilvl="2" w:tplc="04090005" w:tentative="1">
      <w:start w:val="1"/>
      <w:numFmt w:val="bullet"/>
      <w:lvlText w:val=""/>
      <w:lvlJc w:val="left"/>
      <w:pPr>
        <w:ind w:left="3331" w:hanging="360"/>
      </w:pPr>
      <w:rPr>
        <w:rFonts w:ascii="Wingdings" w:hAnsi="Wingdings" w:hint="default"/>
      </w:rPr>
    </w:lvl>
    <w:lvl w:ilvl="3" w:tplc="04090001" w:tentative="1">
      <w:start w:val="1"/>
      <w:numFmt w:val="bullet"/>
      <w:lvlText w:val=""/>
      <w:lvlJc w:val="left"/>
      <w:pPr>
        <w:ind w:left="4051" w:hanging="360"/>
      </w:pPr>
      <w:rPr>
        <w:rFonts w:ascii="Symbol" w:hAnsi="Symbol" w:hint="default"/>
      </w:rPr>
    </w:lvl>
    <w:lvl w:ilvl="4" w:tplc="04090003" w:tentative="1">
      <w:start w:val="1"/>
      <w:numFmt w:val="bullet"/>
      <w:lvlText w:val="o"/>
      <w:lvlJc w:val="left"/>
      <w:pPr>
        <w:ind w:left="4771" w:hanging="360"/>
      </w:pPr>
      <w:rPr>
        <w:rFonts w:ascii="Courier New" w:hAnsi="Courier New" w:cs="Courier New" w:hint="default"/>
      </w:rPr>
    </w:lvl>
    <w:lvl w:ilvl="5" w:tplc="04090005" w:tentative="1">
      <w:start w:val="1"/>
      <w:numFmt w:val="bullet"/>
      <w:lvlText w:val=""/>
      <w:lvlJc w:val="left"/>
      <w:pPr>
        <w:ind w:left="5491" w:hanging="360"/>
      </w:pPr>
      <w:rPr>
        <w:rFonts w:ascii="Wingdings" w:hAnsi="Wingdings" w:hint="default"/>
      </w:rPr>
    </w:lvl>
    <w:lvl w:ilvl="6" w:tplc="04090001" w:tentative="1">
      <w:start w:val="1"/>
      <w:numFmt w:val="bullet"/>
      <w:lvlText w:val=""/>
      <w:lvlJc w:val="left"/>
      <w:pPr>
        <w:ind w:left="6211" w:hanging="360"/>
      </w:pPr>
      <w:rPr>
        <w:rFonts w:ascii="Symbol" w:hAnsi="Symbol" w:hint="default"/>
      </w:rPr>
    </w:lvl>
    <w:lvl w:ilvl="7" w:tplc="04090003" w:tentative="1">
      <w:start w:val="1"/>
      <w:numFmt w:val="bullet"/>
      <w:lvlText w:val="o"/>
      <w:lvlJc w:val="left"/>
      <w:pPr>
        <w:ind w:left="6931" w:hanging="360"/>
      </w:pPr>
      <w:rPr>
        <w:rFonts w:ascii="Courier New" w:hAnsi="Courier New" w:cs="Courier New" w:hint="default"/>
      </w:rPr>
    </w:lvl>
    <w:lvl w:ilvl="8" w:tplc="04090005" w:tentative="1">
      <w:start w:val="1"/>
      <w:numFmt w:val="bullet"/>
      <w:lvlText w:val=""/>
      <w:lvlJc w:val="left"/>
      <w:pPr>
        <w:ind w:left="7651" w:hanging="360"/>
      </w:pPr>
      <w:rPr>
        <w:rFonts w:ascii="Wingdings" w:hAnsi="Wingdings" w:hint="default"/>
      </w:rPr>
    </w:lvl>
  </w:abstractNum>
  <w:abstractNum w:abstractNumId="26"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7"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A13D57"/>
    <w:multiLevelType w:val="hybridMultilevel"/>
    <w:tmpl w:val="25A2FCB8"/>
    <w:lvl w:ilvl="0" w:tplc="F9062506">
      <w:numFmt w:val="bullet"/>
      <w:lvlText w:val=""/>
      <w:lvlJc w:val="left"/>
      <w:pPr>
        <w:ind w:left="1704" w:hanging="57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0"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4175682"/>
    <w:multiLevelType w:val="hybridMultilevel"/>
    <w:tmpl w:val="DFF6624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 w15:restartNumberingAfterBreak="0">
    <w:nsid w:val="74842EA5"/>
    <w:multiLevelType w:val="hybridMultilevel"/>
    <w:tmpl w:val="710682A0"/>
    <w:lvl w:ilvl="0" w:tplc="F9062506">
      <w:numFmt w:val="bullet"/>
      <w:lvlText w:val=""/>
      <w:lvlJc w:val="left"/>
      <w:pPr>
        <w:ind w:left="3235" w:hanging="570"/>
      </w:pPr>
      <w:rPr>
        <w:rFonts w:ascii="Times New Roman" w:eastAsia="Times New Roman" w:hAnsi="Times New Roman" w:cs="Times New Roman" w:hint="default"/>
      </w:rPr>
    </w:lvl>
    <w:lvl w:ilvl="1" w:tplc="04090003" w:tentative="1">
      <w:start w:val="1"/>
      <w:numFmt w:val="bullet"/>
      <w:lvlText w:val="o"/>
      <w:lvlJc w:val="left"/>
      <w:pPr>
        <w:ind w:left="2971" w:hanging="360"/>
      </w:pPr>
      <w:rPr>
        <w:rFonts w:ascii="Courier New" w:hAnsi="Courier New" w:cs="Courier New" w:hint="default"/>
      </w:rPr>
    </w:lvl>
    <w:lvl w:ilvl="2" w:tplc="04090005">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3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36" w15:restartNumberingAfterBreak="0">
    <w:nsid w:val="7D061683"/>
    <w:multiLevelType w:val="hybridMultilevel"/>
    <w:tmpl w:val="AA2A8002"/>
    <w:lvl w:ilvl="0" w:tplc="6CE2BA00">
      <w:numFmt w:val="bullet"/>
      <w:lvlText w:val=""/>
      <w:lvlJc w:val="left"/>
      <w:pPr>
        <w:ind w:left="3235" w:hanging="570"/>
      </w:pPr>
      <w:rPr>
        <w:rFonts w:ascii="Times New Roman" w:eastAsia="Times New Roman" w:hAnsi="Times New Roman" w:cs="Times New Roman" w:hint="default"/>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num w:numId="1">
    <w:abstractNumId w:val="34"/>
  </w:num>
  <w:num w:numId="2">
    <w:abstractNumId w:val="31"/>
  </w:num>
  <w:num w:numId="3">
    <w:abstractNumId w:val="27"/>
  </w:num>
  <w:num w:numId="4">
    <w:abstractNumId w:val="28"/>
  </w:num>
  <w:num w:numId="5">
    <w:abstractNumId w:val="20"/>
  </w:num>
  <w:num w:numId="6">
    <w:abstractNumId w:val="13"/>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24"/>
  </w:num>
  <w:num w:numId="20">
    <w:abstractNumId w:val="19"/>
  </w:num>
  <w:num w:numId="21">
    <w:abstractNumId w:val="16"/>
  </w:num>
  <w:num w:numId="22">
    <w:abstractNumId w:val="35"/>
  </w:num>
  <w:num w:numId="23">
    <w:abstractNumId w:val="12"/>
  </w:num>
  <w:num w:numId="24">
    <w:abstractNumId w:val="30"/>
  </w:num>
  <w:num w:numId="25">
    <w:abstractNumId w:val="26"/>
  </w:num>
  <w:num w:numId="26">
    <w:abstractNumId w:val="1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7">
    <w:abstractNumId w:val="10"/>
  </w:num>
  <w:num w:numId="28">
    <w:abstractNumId w:val="20"/>
    <w:lvlOverride w:ilvl="0">
      <w:startOverride w:val="1"/>
    </w:lvlOverride>
  </w:num>
  <w:num w:numId="29">
    <w:abstractNumId w:val="18"/>
  </w:num>
  <w:num w:numId="30">
    <w:abstractNumId w:val="15"/>
  </w:num>
  <w:num w:numId="31">
    <w:abstractNumId w:val="33"/>
  </w:num>
  <w:num w:numId="32">
    <w:abstractNumId w:val="21"/>
  </w:num>
  <w:num w:numId="33">
    <w:abstractNumId w:val="29"/>
  </w:num>
  <w:num w:numId="34">
    <w:abstractNumId w:val="14"/>
  </w:num>
  <w:num w:numId="35">
    <w:abstractNumId w:val="17"/>
  </w:num>
  <w:num w:numId="36">
    <w:abstractNumId w:val="32"/>
  </w:num>
  <w:num w:numId="37">
    <w:abstractNumId w:val="23"/>
  </w:num>
  <w:num w:numId="38">
    <w:abstractNumId w:val="36"/>
  </w:num>
  <w:num w:numId="39">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F88"/>
    <w:rsid w:val="0000345C"/>
    <w:rsid w:val="0001023A"/>
    <w:rsid w:val="00010F3B"/>
    <w:rsid w:val="000154D4"/>
    <w:rsid w:val="00032D03"/>
    <w:rsid w:val="000438F4"/>
    <w:rsid w:val="000503F1"/>
    <w:rsid w:val="00060246"/>
    <w:rsid w:val="00085449"/>
    <w:rsid w:val="0008650D"/>
    <w:rsid w:val="00093664"/>
    <w:rsid w:val="000B57E7"/>
    <w:rsid w:val="000D359E"/>
    <w:rsid w:val="000F09DF"/>
    <w:rsid w:val="000F61B2"/>
    <w:rsid w:val="001075E9"/>
    <w:rsid w:val="00143FE5"/>
    <w:rsid w:val="001577D2"/>
    <w:rsid w:val="00180183"/>
    <w:rsid w:val="00196389"/>
    <w:rsid w:val="001C4B93"/>
    <w:rsid w:val="001C7A89"/>
    <w:rsid w:val="001D465A"/>
    <w:rsid w:val="001F3EC3"/>
    <w:rsid w:val="00205748"/>
    <w:rsid w:val="00215B5D"/>
    <w:rsid w:val="002435E8"/>
    <w:rsid w:val="002967E3"/>
    <w:rsid w:val="002979FF"/>
    <w:rsid w:val="002A2EFC"/>
    <w:rsid w:val="002D16F0"/>
    <w:rsid w:val="002D5AAC"/>
    <w:rsid w:val="00301299"/>
    <w:rsid w:val="00313431"/>
    <w:rsid w:val="00322004"/>
    <w:rsid w:val="003402C2"/>
    <w:rsid w:val="003538EB"/>
    <w:rsid w:val="00371A19"/>
    <w:rsid w:val="003770A4"/>
    <w:rsid w:val="00381C24"/>
    <w:rsid w:val="003958D0"/>
    <w:rsid w:val="003D064D"/>
    <w:rsid w:val="0041031F"/>
    <w:rsid w:val="00436499"/>
    <w:rsid w:val="00447452"/>
    <w:rsid w:val="00454E07"/>
    <w:rsid w:val="00481BF0"/>
    <w:rsid w:val="004973F9"/>
    <w:rsid w:val="004A125A"/>
    <w:rsid w:val="004B19F2"/>
    <w:rsid w:val="004B6AEB"/>
    <w:rsid w:val="0050108D"/>
    <w:rsid w:val="005016AF"/>
    <w:rsid w:val="005076AF"/>
    <w:rsid w:val="0052159C"/>
    <w:rsid w:val="005540C9"/>
    <w:rsid w:val="00554ACD"/>
    <w:rsid w:val="005552B3"/>
    <w:rsid w:val="00572E19"/>
    <w:rsid w:val="0057661B"/>
    <w:rsid w:val="00581F67"/>
    <w:rsid w:val="00587808"/>
    <w:rsid w:val="005B0D41"/>
    <w:rsid w:val="005E2DFB"/>
    <w:rsid w:val="005E5B60"/>
    <w:rsid w:val="005F0B42"/>
    <w:rsid w:val="005F3D54"/>
    <w:rsid w:val="006018B2"/>
    <w:rsid w:val="00617410"/>
    <w:rsid w:val="00632A31"/>
    <w:rsid w:val="0064421C"/>
    <w:rsid w:val="00696E37"/>
    <w:rsid w:val="006D15A3"/>
    <w:rsid w:val="006E27AD"/>
    <w:rsid w:val="006F35EE"/>
    <w:rsid w:val="00710CF8"/>
    <w:rsid w:val="00716C6F"/>
    <w:rsid w:val="00735A86"/>
    <w:rsid w:val="007464CC"/>
    <w:rsid w:val="00765E73"/>
    <w:rsid w:val="007666A4"/>
    <w:rsid w:val="007A05D1"/>
    <w:rsid w:val="007B1094"/>
    <w:rsid w:val="007D6339"/>
    <w:rsid w:val="00802199"/>
    <w:rsid w:val="00830923"/>
    <w:rsid w:val="00834B71"/>
    <w:rsid w:val="0086445C"/>
    <w:rsid w:val="008818B5"/>
    <w:rsid w:val="008A08D7"/>
    <w:rsid w:val="008C4C58"/>
    <w:rsid w:val="00906890"/>
    <w:rsid w:val="009179A3"/>
    <w:rsid w:val="00951972"/>
    <w:rsid w:val="00987051"/>
    <w:rsid w:val="009E78C4"/>
    <w:rsid w:val="00A00CB2"/>
    <w:rsid w:val="00A013F5"/>
    <w:rsid w:val="00A33A12"/>
    <w:rsid w:val="00A34845"/>
    <w:rsid w:val="00A42F88"/>
    <w:rsid w:val="00A500CE"/>
    <w:rsid w:val="00A503A9"/>
    <w:rsid w:val="00A511EF"/>
    <w:rsid w:val="00A645FF"/>
    <w:rsid w:val="00A917B3"/>
    <w:rsid w:val="00AB4B51"/>
    <w:rsid w:val="00AB4EB2"/>
    <w:rsid w:val="00AB500C"/>
    <w:rsid w:val="00AC58DC"/>
    <w:rsid w:val="00AE63D7"/>
    <w:rsid w:val="00AF0918"/>
    <w:rsid w:val="00B044AC"/>
    <w:rsid w:val="00B05775"/>
    <w:rsid w:val="00B10CC7"/>
    <w:rsid w:val="00B62458"/>
    <w:rsid w:val="00B6350A"/>
    <w:rsid w:val="00B771DD"/>
    <w:rsid w:val="00B82270"/>
    <w:rsid w:val="00B92B62"/>
    <w:rsid w:val="00BA730F"/>
    <w:rsid w:val="00BC161C"/>
    <w:rsid w:val="00BD33EE"/>
    <w:rsid w:val="00C26013"/>
    <w:rsid w:val="00C30CAD"/>
    <w:rsid w:val="00C377E3"/>
    <w:rsid w:val="00C60F0C"/>
    <w:rsid w:val="00C805C9"/>
    <w:rsid w:val="00C9406D"/>
    <w:rsid w:val="00CA1679"/>
    <w:rsid w:val="00CB6F96"/>
    <w:rsid w:val="00CC6B66"/>
    <w:rsid w:val="00CD5AAE"/>
    <w:rsid w:val="00CE34F5"/>
    <w:rsid w:val="00D04F31"/>
    <w:rsid w:val="00D738F9"/>
    <w:rsid w:val="00D759B3"/>
    <w:rsid w:val="00D90138"/>
    <w:rsid w:val="00D95708"/>
    <w:rsid w:val="00D97076"/>
    <w:rsid w:val="00DC1E39"/>
    <w:rsid w:val="00DC6544"/>
    <w:rsid w:val="00DD44E2"/>
    <w:rsid w:val="00DF2A6E"/>
    <w:rsid w:val="00E03125"/>
    <w:rsid w:val="00E3587C"/>
    <w:rsid w:val="00E73F76"/>
    <w:rsid w:val="00EA5B02"/>
    <w:rsid w:val="00EC4262"/>
    <w:rsid w:val="00EF1360"/>
    <w:rsid w:val="00EF2578"/>
    <w:rsid w:val="00EF3220"/>
    <w:rsid w:val="00F33585"/>
    <w:rsid w:val="00F36872"/>
    <w:rsid w:val="00F979B6"/>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A18B288"/>
  <w15:docId w15:val="{B844C4EA-9640-4FB7-BD17-488ED628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696E37"/>
    <w:pPr>
      <w:spacing w:line="240" w:lineRule="atLeast"/>
    </w:pPr>
    <w:rPr>
      <w:lang w:val="es-ES" w:eastAsia="es-ES"/>
    </w:rPr>
  </w:style>
  <w:style w:type="paragraph" w:styleId="Ttulo1">
    <w:name w:val="heading 1"/>
    <w:aliases w:val="Cuadro_G,Table_GA,Table_G"/>
    <w:basedOn w:val="SingleTxtG"/>
    <w:next w:val="SingleTxtG"/>
    <w:link w:val="Ttulo1Car"/>
    <w:qFormat/>
    <w:rsid w:val="00696E3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qFormat/>
    <w:rsid w:val="00696E37"/>
    <w:pPr>
      <w:keepNext/>
      <w:outlineLvl w:val="1"/>
    </w:pPr>
    <w:rPr>
      <w:rFonts w:cs="Arial"/>
      <w:bCs/>
      <w:iCs/>
      <w:szCs w:val="28"/>
    </w:rPr>
  </w:style>
  <w:style w:type="paragraph" w:styleId="Ttulo3">
    <w:name w:val="heading 3"/>
    <w:basedOn w:val="Normal"/>
    <w:next w:val="Normal"/>
    <w:link w:val="Ttulo3Car"/>
    <w:qFormat/>
    <w:rsid w:val="00696E37"/>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96E37"/>
    <w:pPr>
      <w:keepNext/>
      <w:spacing w:before="240" w:after="60"/>
      <w:outlineLvl w:val="3"/>
    </w:pPr>
    <w:rPr>
      <w:b/>
      <w:bCs/>
      <w:sz w:val="28"/>
      <w:szCs w:val="28"/>
    </w:rPr>
  </w:style>
  <w:style w:type="paragraph" w:styleId="Ttulo5">
    <w:name w:val="heading 5"/>
    <w:basedOn w:val="Normal"/>
    <w:next w:val="Normal"/>
    <w:link w:val="Ttulo5Car"/>
    <w:qFormat/>
    <w:rsid w:val="00696E37"/>
    <w:pPr>
      <w:spacing w:before="240" w:after="60"/>
      <w:outlineLvl w:val="4"/>
    </w:pPr>
    <w:rPr>
      <w:b/>
      <w:bCs/>
      <w:i/>
      <w:iCs/>
      <w:sz w:val="26"/>
      <w:szCs w:val="26"/>
    </w:rPr>
  </w:style>
  <w:style w:type="paragraph" w:styleId="Ttulo6">
    <w:name w:val="heading 6"/>
    <w:basedOn w:val="Normal"/>
    <w:next w:val="Normal"/>
    <w:link w:val="Ttulo6Car"/>
    <w:qFormat/>
    <w:rsid w:val="00696E37"/>
    <w:pPr>
      <w:spacing w:before="240" w:after="60"/>
      <w:outlineLvl w:val="5"/>
    </w:pPr>
    <w:rPr>
      <w:b/>
      <w:bCs/>
      <w:sz w:val="22"/>
      <w:szCs w:val="22"/>
    </w:rPr>
  </w:style>
  <w:style w:type="paragraph" w:styleId="Ttulo7">
    <w:name w:val="heading 7"/>
    <w:basedOn w:val="Normal"/>
    <w:next w:val="Normal"/>
    <w:link w:val="Ttulo7Car"/>
    <w:qFormat/>
    <w:rsid w:val="00696E37"/>
    <w:pPr>
      <w:spacing w:before="240" w:after="60"/>
      <w:outlineLvl w:val="6"/>
    </w:pPr>
    <w:rPr>
      <w:sz w:val="24"/>
      <w:szCs w:val="24"/>
    </w:rPr>
  </w:style>
  <w:style w:type="paragraph" w:styleId="Ttulo8">
    <w:name w:val="heading 8"/>
    <w:basedOn w:val="Normal"/>
    <w:next w:val="Normal"/>
    <w:link w:val="Ttulo8Car"/>
    <w:qFormat/>
    <w:rsid w:val="00696E37"/>
    <w:pPr>
      <w:spacing w:before="240" w:after="60"/>
      <w:outlineLvl w:val="7"/>
    </w:pPr>
    <w:rPr>
      <w:i/>
      <w:iCs/>
      <w:sz w:val="24"/>
      <w:szCs w:val="24"/>
    </w:rPr>
  </w:style>
  <w:style w:type="paragraph" w:styleId="Ttulo9">
    <w:name w:val="heading 9"/>
    <w:basedOn w:val="Normal"/>
    <w:next w:val="Normal"/>
    <w:link w:val="Ttulo9Car"/>
    <w:qFormat/>
    <w:rsid w:val="00696E37"/>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4_GA,ftref,footnote ref,16 Point,Superscript 6 Point,Fußnotenzeichen DISS,fr,BVI fnr,(NECG) Footnote Reference,Char Char Char Char Car Char,ب"/>
    <w:link w:val="Char2"/>
    <w:qFormat/>
    <w:rsid w:val="00696E37"/>
    <w:rPr>
      <w:rFonts w:ascii="Times New Roman" w:hAnsi="Times New Roman"/>
      <w:sz w:val="18"/>
      <w:vertAlign w:val="superscript"/>
    </w:rPr>
  </w:style>
  <w:style w:type="paragraph" w:customStyle="1" w:styleId="HMG">
    <w:name w:val="_ H __M_G"/>
    <w:basedOn w:val="Normal"/>
    <w:next w:val="Normal"/>
    <w:qFormat/>
    <w:rsid w:val="00696E3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96E3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96E3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96E3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96E3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96E37"/>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6_GA"/>
    <w:basedOn w:val="Normal"/>
    <w:next w:val="Normal"/>
    <w:link w:val="EncabezadoCar"/>
    <w:qFormat/>
    <w:rsid w:val="00696E37"/>
    <w:pPr>
      <w:pBdr>
        <w:bottom w:val="single" w:sz="4" w:space="4" w:color="auto"/>
      </w:pBdr>
      <w:spacing w:line="240" w:lineRule="auto"/>
    </w:pPr>
    <w:rPr>
      <w:b/>
      <w:sz w:val="18"/>
    </w:rPr>
  </w:style>
  <w:style w:type="paragraph" w:customStyle="1" w:styleId="SingleTxtG">
    <w:name w:val="_ Single Txt_G"/>
    <w:basedOn w:val="Normal"/>
    <w:link w:val="SingleTxtGChar"/>
    <w:qFormat/>
    <w:rsid w:val="00696E37"/>
    <w:pPr>
      <w:tabs>
        <w:tab w:val="left" w:pos="1701"/>
        <w:tab w:val="left" w:pos="2268"/>
        <w:tab w:val="left" w:pos="2835"/>
      </w:tabs>
      <w:spacing w:after="120"/>
      <w:ind w:left="1134" w:right="1134"/>
      <w:jc w:val="both"/>
    </w:pPr>
  </w:style>
  <w:style w:type="paragraph" w:customStyle="1" w:styleId="SMG">
    <w:name w:val="__S_M_G"/>
    <w:basedOn w:val="Normal"/>
    <w:next w:val="Normal"/>
    <w:rsid w:val="00696E37"/>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96E37"/>
    <w:pPr>
      <w:keepNext/>
      <w:keepLines/>
      <w:spacing w:before="240" w:after="240" w:line="580" w:lineRule="exact"/>
      <w:ind w:left="1134" w:right="1134"/>
    </w:pPr>
    <w:rPr>
      <w:b/>
      <w:sz w:val="56"/>
    </w:rPr>
  </w:style>
  <w:style w:type="paragraph" w:customStyle="1" w:styleId="SSG">
    <w:name w:val="__S_S_G"/>
    <w:basedOn w:val="Normal"/>
    <w:next w:val="Normal"/>
    <w:rsid w:val="00696E37"/>
    <w:pPr>
      <w:keepNext/>
      <w:keepLines/>
      <w:spacing w:before="240" w:after="240" w:line="300" w:lineRule="exact"/>
      <w:ind w:left="1134" w:right="1134"/>
    </w:pPr>
    <w:rPr>
      <w:b/>
      <w:sz w:val="28"/>
    </w:rPr>
  </w:style>
  <w:style w:type="paragraph" w:styleId="Piedepgina">
    <w:name w:val="footer"/>
    <w:aliases w:val="3_G,3_GA"/>
    <w:basedOn w:val="Normal"/>
    <w:next w:val="Normal"/>
    <w:link w:val="PiedepginaCar"/>
    <w:qFormat/>
    <w:rsid w:val="00696E37"/>
    <w:rPr>
      <w:sz w:val="16"/>
    </w:rPr>
  </w:style>
  <w:style w:type="paragraph" w:customStyle="1" w:styleId="XLargeG">
    <w:name w:val="__XLarge_G"/>
    <w:basedOn w:val="Normal"/>
    <w:next w:val="Normal"/>
    <w:rsid w:val="00696E37"/>
    <w:pPr>
      <w:keepNext/>
      <w:keepLines/>
      <w:spacing w:before="240" w:after="240" w:line="420" w:lineRule="exact"/>
      <w:ind w:left="1134" w:right="1134"/>
    </w:pPr>
    <w:rPr>
      <w:b/>
      <w:sz w:val="40"/>
    </w:rPr>
  </w:style>
  <w:style w:type="paragraph" w:styleId="Textonotapie">
    <w:name w:val="footnote text"/>
    <w:aliases w:val="5_G,Footnote Quote,Footnote Quote1,Footnote Quote2,Footnote Quote3,Footnote Quote4,Footnote Quote5,Footnote Quote6,Footnote Quote7,Footnote Quote8,Footnote Quote9,Footnote Quote10,Footnote Quote11,Footnote Quote12,Footnote Quote13"/>
    <w:basedOn w:val="Normal"/>
    <w:link w:val="TextonotapieCar"/>
    <w:uiPriority w:val="99"/>
    <w:qFormat/>
    <w:rsid w:val="00696E37"/>
    <w:pPr>
      <w:tabs>
        <w:tab w:val="right" w:pos="1021"/>
      </w:tabs>
      <w:spacing w:line="220" w:lineRule="exact"/>
      <w:ind w:left="1134" w:right="1134" w:hanging="1134"/>
    </w:pPr>
    <w:rPr>
      <w:sz w:val="18"/>
    </w:rPr>
  </w:style>
  <w:style w:type="table" w:styleId="Tablaconcuadrcula">
    <w:name w:val="Table Grid"/>
    <w:basedOn w:val="Tablanormal"/>
    <w:uiPriority w:val="39"/>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96E37"/>
    <w:pPr>
      <w:numPr>
        <w:numId w:val="1"/>
      </w:numPr>
    </w:pPr>
  </w:style>
  <w:style w:type="numbering" w:styleId="1ai">
    <w:name w:val="Outline List 1"/>
    <w:basedOn w:val="Sinlista"/>
    <w:rsid w:val="00696E37"/>
    <w:pPr>
      <w:numPr>
        <w:numId w:val="2"/>
      </w:numPr>
    </w:pPr>
  </w:style>
  <w:style w:type="character" w:styleId="AcrnimoHTML">
    <w:name w:val="HTML Acronym"/>
    <w:basedOn w:val="Fuentedeprrafopredeter"/>
    <w:semiHidden/>
    <w:rsid w:val="00696E37"/>
  </w:style>
  <w:style w:type="numbering" w:styleId="ArtculoSeccin">
    <w:name w:val="Outline List 3"/>
    <w:basedOn w:val="Sinlista"/>
    <w:rsid w:val="00696E37"/>
    <w:pPr>
      <w:numPr>
        <w:numId w:val="3"/>
      </w:numPr>
    </w:pPr>
  </w:style>
  <w:style w:type="paragraph" w:styleId="Cierre">
    <w:name w:val="Closing"/>
    <w:basedOn w:val="Normal"/>
    <w:link w:val="CierreCar"/>
    <w:semiHidden/>
    <w:rsid w:val="00696E37"/>
    <w:pPr>
      <w:ind w:left="4252"/>
    </w:pPr>
  </w:style>
  <w:style w:type="character" w:styleId="CitaHTML">
    <w:name w:val="HTML Cite"/>
    <w:semiHidden/>
    <w:rsid w:val="00696E37"/>
    <w:rPr>
      <w:i/>
      <w:iCs/>
    </w:rPr>
  </w:style>
  <w:style w:type="character" w:styleId="CdigoHTML">
    <w:name w:val="HTML Code"/>
    <w:semiHidden/>
    <w:rsid w:val="00696E37"/>
    <w:rPr>
      <w:rFonts w:ascii="Courier New" w:hAnsi="Courier New" w:cs="Courier New"/>
      <w:sz w:val="20"/>
      <w:szCs w:val="20"/>
    </w:rPr>
  </w:style>
  <w:style w:type="paragraph" w:styleId="Continuarlista">
    <w:name w:val="List Continue"/>
    <w:basedOn w:val="Normal"/>
    <w:semiHidden/>
    <w:rsid w:val="00696E37"/>
    <w:pPr>
      <w:spacing w:after="120"/>
      <w:ind w:left="283"/>
    </w:pPr>
  </w:style>
  <w:style w:type="paragraph" w:styleId="Continuarlista2">
    <w:name w:val="List Continue 2"/>
    <w:basedOn w:val="Normal"/>
    <w:semiHidden/>
    <w:rsid w:val="00696E37"/>
    <w:pPr>
      <w:spacing w:after="120"/>
      <w:ind w:left="566"/>
    </w:pPr>
  </w:style>
  <w:style w:type="paragraph" w:styleId="Continuarlista3">
    <w:name w:val="List Continue 3"/>
    <w:basedOn w:val="Normal"/>
    <w:semiHidden/>
    <w:rsid w:val="00696E37"/>
    <w:pPr>
      <w:spacing w:after="120"/>
      <w:ind w:left="849"/>
    </w:pPr>
  </w:style>
  <w:style w:type="paragraph" w:styleId="Continuarlista4">
    <w:name w:val="List Continue 4"/>
    <w:basedOn w:val="Normal"/>
    <w:semiHidden/>
    <w:rsid w:val="00696E37"/>
    <w:pPr>
      <w:spacing w:after="120"/>
      <w:ind w:left="1132"/>
    </w:pPr>
  </w:style>
  <w:style w:type="paragraph" w:styleId="Continuarlista5">
    <w:name w:val="List Continue 5"/>
    <w:basedOn w:val="Normal"/>
    <w:semiHidden/>
    <w:rsid w:val="00696E37"/>
    <w:pPr>
      <w:spacing w:after="120"/>
      <w:ind w:left="1415"/>
    </w:pPr>
  </w:style>
  <w:style w:type="character" w:styleId="DefinicinHTML">
    <w:name w:val="HTML Definition"/>
    <w:semiHidden/>
    <w:rsid w:val="00696E37"/>
    <w:rPr>
      <w:i/>
      <w:iCs/>
    </w:rPr>
  </w:style>
  <w:style w:type="paragraph" w:styleId="DireccinHTML">
    <w:name w:val="HTML Address"/>
    <w:basedOn w:val="Normal"/>
    <w:link w:val="DireccinHTMLCar"/>
    <w:semiHidden/>
    <w:rsid w:val="00696E37"/>
    <w:rPr>
      <w:i/>
      <w:iCs/>
    </w:rPr>
  </w:style>
  <w:style w:type="paragraph" w:styleId="Direccinsobre">
    <w:name w:val="envelope address"/>
    <w:basedOn w:val="Normal"/>
    <w:semiHidden/>
    <w:rsid w:val="00696E3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696E37"/>
    <w:rPr>
      <w:rFonts w:ascii="Courier New" w:hAnsi="Courier New" w:cs="Courier New"/>
    </w:rPr>
  </w:style>
  <w:style w:type="paragraph" w:styleId="Encabezadodemensaje">
    <w:name w:val="Message Header"/>
    <w:basedOn w:val="Normal"/>
    <w:link w:val="EncabezadodemensajeCar"/>
    <w:semiHidden/>
    <w:rsid w:val="00696E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96E37"/>
  </w:style>
  <w:style w:type="character" w:styleId="nfasis">
    <w:name w:val="Emphasis"/>
    <w:uiPriority w:val="20"/>
    <w:rsid w:val="00696E37"/>
    <w:rPr>
      <w:i/>
      <w:iCs/>
    </w:rPr>
  </w:style>
  <w:style w:type="paragraph" w:styleId="Fecha">
    <w:name w:val="Date"/>
    <w:basedOn w:val="Normal"/>
    <w:next w:val="Normal"/>
    <w:link w:val="FechaCar"/>
    <w:semiHidden/>
    <w:rsid w:val="00696E37"/>
  </w:style>
  <w:style w:type="paragraph" w:styleId="Firma">
    <w:name w:val="Signature"/>
    <w:basedOn w:val="Normal"/>
    <w:link w:val="FirmaCar"/>
    <w:semiHidden/>
    <w:rsid w:val="00696E37"/>
    <w:pPr>
      <w:ind w:left="4252"/>
    </w:pPr>
  </w:style>
  <w:style w:type="paragraph" w:styleId="Firmadecorreoelectrnico">
    <w:name w:val="E-mail Signature"/>
    <w:basedOn w:val="Normal"/>
    <w:link w:val="FirmadecorreoelectrnicoCar"/>
    <w:semiHidden/>
    <w:rsid w:val="00696E37"/>
  </w:style>
  <w:style w:type="character" w:styleId="Hipervnculo">
    <w:name w:val="Hyperlink"/>
    <w:uiPriority w:val="99"/>
    <w:rsid w:val="00696E37"/>
    <w:rPr>
      <w:color w:val="0000FF"/>
      <w:u w:val="none"/>
    </w:rPr>
  </w:style>
  <w:style w:type="character" w:styleId="Hipervnculovisitado">
    <w:name w:val="FollowedHyperlink"/>
    <w:rsid w:val="00696E37"/>
    <w:rPr>
      <w:color w:val="0000FF"/>
      <w:u w:val="none"/>
    </w:rPr>
  </w:style>
  <w:style w:type="paragraph" w:styleId="HTMLconformatoprevio">
    <w:name w:val="HTML Preformatted"/>
    <w:basedOn w:val="Normal"/>
    <w:link w:val="HTMLconformatoprevioCar"/>
    <w:semiHidden/>
    <w:rsid w:val="00696E37"/>
    <w:rPr>
      <w:rFonts w:ascii="Courier New" w:hAnsi="Courier New" w:cs="Courier New"/>
    </w:rPr>
  </w:style>
  <w:style w:type="paragraph" w:styleId="Lista">
    <w:name w:val="List"/>
    <w:basedOn w:val="Normal"/>
    <w:semiHidden/>
    <w:rsid w:val="00696E37"/>
    <w:pPr>
      <w:ind w:left="283" w:hanging="283"/>
    </w:pPr>
  </w:style>
  <w:style w:type="paragraph" w:styleId="Lista2">
    <w:name w:val="List 2"/>
    <w:basedOn w:val="Normal"/>
    <w:semiHidden/>
    <w:rsid w:val="00696E37"/>
    <w:pPr>
      <w:ind w:left="566" w:hanging="283"/>
    </w:pPr>
  </w:style>
  <w:style w:type="paragraph" w:styleId="Lista3">
    <w:name w:val="List 3"/>
    <w:basedOn w:val="Normal"/>
    <w:semiHidden/>
    <w:rsid w:val="00696E37"/>
    <w:pPr>
      <w:ind w:left="849" w:hanging="283"/>
    </w:pPr>
  </w:style>
  <w:style w:type="paragraph" w:styleId="Lista4">
    <w:name w:val="List 4"/>
    <w:basedOn w:val="Normal"/>
    <w:semiHidden/>
    <w:rsid w:val="00696E37"/>
    <w:pPr>
      <w:ind w:left="1132" w:hanging="283"/>
    </w:pPr>
  </w:style>
  <w:style w:type="paragraph" w:styleId="Lista5">
    <w:name w:val="List 5"/>
    <w:basedOn w:val="Normal"/>
    <w:semiHidden/>
    <w:rsid w:val="00696E37"/>
    <w:pPr>
      <w:ind w:left="1415" w:hanging="283"/>
    </w:pPr>
  </w:style>
  <w:style w:type="paragraph" w:styleId="Listaconnmeros">
    <w:name w:val="List Number"/>
    <w:basedOn w:val="Normal"/>
    <w:semiHidden/>
    <w:rsid w:val="00696E37"/>
    <w:pPr>
      <w:numPr>
        <w:numId w:val="13"/>
      </w:numPr>
    </w:pPr>
  </w:style>
  <w:style w:type="paragraph" w:styleId="Listaconnmeros2">
    <w:name w:val="List Number 2"/>
    <w:basedOn w:val="Normal"/>
    <w:semiHidden/>
    <w:rsid w:val="00696E37"/>
    <w:pPr>
      <w:numPr>
        <w:numId w:val="14"/>
      </w:numPr>
    </w:pPr>
  </w:style>
  <w:style w:type="paragraph" w:styleId="Listaconnmeros3">
    <w:name w:val="List Number 3"/>
    <w:basedOn w:val="Normal"/>
    <w:semiHidden/>
    <w:rsid w:val="00696E37"/>
    <w:pPr>
      <w:numPr>
        <w:numId w:val="15"/>
      </w:numPr>
      <w:tabs>
        <w:tab w:val="clear" w:pos="926"/>
        <w:tab w:val="num" w:pos="2310"/>
      </w:tabs>
      <w:ind w:left="2310"/>
    </w:pPr>
  </w:style>
  <w:style w:type="paragraph" w:styleId="Listaconnmeros4">
    <w:name w:val="List Number 4"/>
    <w:basedOn w:val="Normal"/>
    <w:semiHidden/>
    <w:rsid w:val="00696E37"/>
    <w:pPr>
      <w:numPr>
        <w:numId w:val="16"/>
      </w:numPr>
      <w:tabs>
        <w:tab w:val="clear" w:pos="1209"/>
        <w:tab w:val="num" w:pos="2877"/>
      </w:tabs>
      <w:ind w:left="2877"/>
    </w:pPr>
  </w:style>
  <w:style w:type="paragraph" w:styleId="Listaconnmeros5">
    <w:name w:val="List Number 5"/>
    <w:basedOn w:val="Normal"/>
    <w:semiHidden/>
    <w:rsid w:val="00696E37"/>
    <w:pPr>
      <w:numPr>
        <w:numId w:val="17"/>
      </w:numPr>
      <w:tabs>
        <w:tab w:val="clear" w:pos="1492"/>
      </w:tabs>
      <w:ind w:left="1976"/>
    </w:pPr>
  </w:style>
  <w:style w:type="paragraph" w:styleId="Listaconvietas">
    <w:name w:val="List Bullet"/>
    <w:basedOn w:val="Normal"/>
    <w:semiHidden/>
    <w:rsid w:val="00696E37"/>
    <w:pPr>
      <w:numPr>
        <w:numId w:val="8"/>
      </w:numPr>
    </w:pPr>
  </w:style>
  <w:style w:type="paragraph" w:styleId="Listaconvietas2">
    <w:name w:val="List Bullet 2"/>
    <w:basedOn w:val="Normal"/>
    <w:semiHidden/>
    <w:rsid w:val="00696E37"/>
    <w:pPr>
      <w:numPr>
        <w:numId w:val="9"/>
      </w:numPr>
      <w:tabs>
        <w:tab w:val="clear" w:pos="643"/>
      </w:tabs>
      <w:ind w:left="1494"/>
    </w:pPr>
  </w:style>
  <w:style w:type="paragraph" w:styleId="Listaconvietas3">
    <w:name w:val="List Bullet 3"/>
    <w:basedOn w:val="Normal"/>
    <w:semiHidden/>
    <w:rsid w:val="00696E37"/>
    <w:pPr>
      <w:numPr>
        <w:numId w:val="10"/>
      </w:numPr>
      <w:tabs>
        <w:tab w:val="clear" w:pos="926"/>
        <w:tab w:val="num" w:pos="2387"/>
      </w:tabs>
      <w:ind w:left="2387" w:hanging="545"/>
    </w:pPr>
  </w:style>
  <w:style w:type="paragraph" w:styleId="Listaconvietas4">
    <w:name w:val="List Bullet 4"/>
    <w:basedOn w:val="Normal"/>
    <w:semiHidden/>
    <w:rsid w:val="00696E37"/>
    <w:pPr>
      <w:numPr>
        <w:numId w:val="11"/>
      </w:numPr>
      <w:tabs>
        <w:tab w:val="clear" w:pos="1209"/>
      </w:tabs>
      <w:ind w:left="1494"/>
    </w:pPr>
  </w:style>
  <w:style w:type="paragraph" w:styleId="Listaconvietas5">
    <w:name w:val="List Bullet 5"/>
    <w:basedOn w:val="Normal"/>
    <w:semiHidden/>
    <w:rsid w:val="00696E37"/>
    <w:pPr>
      <w:numPr>
        <w:numId w:val="12"/>
      </w:numPr>
      <w:tabs>
        <w:tab w:val="clear" w:pos="1492"/>
      </w:tabs>
      <w:ind w:left="1494"/>
    </w:pPr>
  </w:style>
  <w:style w:type="character" w:styleId="MquinadeescribirHTML">
    <w:name w:val="HTML Typewriter"/>
    <w:semiHidden/>
    <w:rsid w:val="00696E37"/>
    <w:rPr>
      <w:rFonts w:ascii="Courier New" w:hAnsi="Courier New" w:cs="Courier New"/>
      <w:sz w:val="20"/>
      <w:szCs w:val="20"/>
    </w:rPr>
  </w:style>
  <w:style w:type="paragraph" w:styleId="NormalWeb">
    <w:name w:val="Normal (Web)"/>
    <w:basedOn w:val="Normal"/>
    <w:uiPriority w:val="99"/>
    <w:rsid w:val="00696E37"/>
    <w:rPr>
      <w:sz w:val="24"/>
      <w:szCs w:val="24"/>
    </w:rPr>
  </w:style>
  <w:style w:type="character" w:styleId="Nmerodelnea">
    <w:name w:val="line number"/>
    <w:basedOn w:val="Fuentedeprrafopredeter"/>
    <w:qFormat/>
    <w:rsid w:val="00696E37"/>
  </w:style>
  <w:style w:type="character" w:styleId="Nmerodepgina">
    <w:name w:val="page number"/>
    <w:aliases w:val="7_G,7_GA"/>
    <w:qFormat/>
    <w:rsid w:val="00696E37"/>
    <w:rPr>
      <w:b/>
      <w:sz w:val="18"/>
    </w:rPr>
  </w:style>
  <w:style w:type="character" w:styleId="Refdenotaalfinal">
    <w:name w:val="endnote reference"/>
    <w:aliases w:val="1_G"/>
    <w:qFormat/>
    <w:rsid w:val="00696E37"/>
    <w:rPr>
      <w:rFonts w:ascii="Times New Roman" w:hAnsi="Times New Roman"/>
      <w:sz w:val="18"/>
      <w:vertAlign w:val="superscript"/>
    </w:rPr>
  </w:style>
  <w:style w:type="paragraph" w:styleId="Remitedesobre">
    <w:name w:val="envelope return"/>
    <w:basedOn w:val="Normal"/>
    <w:semiHidden/>
    <w:rsid w:val="00696E37"/>
    <w:rPr>
      <w:rFonts w:ascii="Arial" w:hAnsi="Arial" w:cs="Arial"/>
    </w:rPr>
  </w:style>
  <w:style w:type="paragraph" w:styleId="Saludo">
    <w:name w:val="Salutation"/>
    <w:basedOn w:val="Normal"/>
    <w:next w:val="Normal"/>
    <w:link w:val="SaludoCar"/>
    <w:semiHidden/>
    <w:rsid w:val="00696E37"/>
  </w:style>
  <w:style w:type="paragraph" w:styleId="Sangra2detindependiente">
    <w:name w:val="Body Text Indent 2"/>
    <w:basedOn w:val="Normal"/>
    <w:link w:val="Sangra2detindependienteCar"/>
    <w:semiHidden/>
    <w:rsid w:val="00696E37"/>
    <w:pPr>
      <w:spacing w:after="120" w:line="480" w:lineRule="auto"/>
      <w:ind w:left="283"/>
    </w:pPr>
  </w:style>
  <w:style w:type="paragraph" w:styleId="Sangra3detindependiente">
    <w:name w:val="Body Text Indent 3"/>
    <w:basedOn w:val="Normal"/>
    <w:link w:val="Sangra3detindependienteCar"/>
    <w:semiHidden/>
    <w:rsid w:val="00696E37"/>
    <w:pPr>
      <w:spacing w:after="120"/>
      <w:ind w:left="283"/>
    </w:pPr>
    <w:rPr>
      <w:sz w:val="16"/>
      <w:szCs w:val="16"/>
    </w:rPr>
  </w:style>
  <w:style w:type="paragraph" w:styleId="Sangradetextonormal">
    <w:name w:val="Body Text Indent"/>
    <w:basedOn w:val="Normal"/>
    <w:link w:val="SangradetextonormalCar"/>
    <w:semiHidden/>
    <w:rsid w:val="00696E37"/>
    <w:pPr>
      <w:spacing w:after="120"/>
      <w:ind w:left="283"/>
    </w:pPr>
  </w:style>
  <w:style w:type="paragraph" w:styleId="Sangranormal">
    <w:name w:val="Normal Indent"/>
    <w:basedOn w:val="Normal"/>
    <w:semiHidden/>
    <w:rsid w:val="00696E37"/>
    <w:pPr>
      <w:ind w:left="567"/>
    </w:pPr>
  </w:style>
  <w:style w:type="paragraph" w:styleId="Subttulo">
    <w:name w:val="Subtitle"/>
    <w:basedOn w:val="Normal"/>
    <w:link w:val="SubttuloCar"/>
    <w:uiPriority w:val="11"/>
    <w:rsid w:val="00696E37"/>
    <w:pPr>
      <w:spacing w:after="60"/>
      <w:jc w:val="center"/>
      <w:outlineLvl w:val="1"/>
    </w:pPr>
    <w:rPr>
      <w:rFonts w:ascii="Arial" w:hAnsi="Arial" w:cs="Arial"/>
      <w:sz w:val="24"/>
      <w:szCs w:val="24"/>
    </w:rPr>
  </w:style>
  <w:style w:type="table" w:styleId="Tablabsica1">
    <w:name w:val="Table Simple 1"/>
    <w:basedOn w:val="Tablanormal"/>
    <w:rsid w:val="00696E3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96E3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96E3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96E3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96E3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96E3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96E3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96E3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96E3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696E3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696E3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696E3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96E3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96E3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96E3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96E3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96E3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96E3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96E3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96E3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96E3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96E3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96E3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96E3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96E3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96E3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96E3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96E3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96E3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96E3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96E3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696E37"/>
    <w:rPr>
      <w:rFonts w:ascii="Courier New" w:hAnsi="Courier New" w:cs="Courier New"/>
      <w:sz w:val="20"/>
      <w:szCs w:val="20"/>
    </w:rPr>
  </w:style>
  <w:style w:type="paragraph" w:styleId="Textodebloque">
    <w:name w:val="Block Text"/>
    <w:basedOn w:val="Normal"/>
    <w:semiHidden/>
    <w:rsid w:val="00696E37"/>
    <w:pPr>
      <w:spacing w:after="120"/>
      <w:ind w:left="1440" w:right="1440"/>
    </w:pPr>
  </w:style>
  <w:style w:type="character" w:styleId="Textoennegrita">
    <w:name w:val="Strong"/>
    <w:uiPriority w:val="22"/>
    <w:rsid w:val="00696E37"/>
    <w:rPr>
      <w:b/>
      <w:bCs/>
    </w:rPr>
  </w:style>
  <w:style w:type="paragraph" w:styleId="Textoindependiente">
    <w:name w:val="Body Text"/>
    <w:basedOn w:val="Normal"/>
    <w:link w:val="TextoindependienteCar"/>
    <w:semiHidden/>
    <w:rsid w:val="00696E37"/>
    <w:pPr>
      <w:spacing w:after="120"/>
    </w:pPr>
  </w:style>
  <w:style w:type="paragraph" w:styleId="Textoindependiente2">
    <w:name w:val="Body Text 2"/>
    <w:basedOn w:val="Normal"/>
    <w:link w:val="Textoindependiente2Car"/>
    <w:semiHidden/>
    <w:rsid w:val="00696E37"/>
    <w:pPr>
      <w:spacing w:after="120" w:line="480" w:lineRule="auto"/>
    </w:pPr>
  </w:style>
  <w:style w:type="paragraph" w:styleId="Textoindependiente3">
    <w:name w:val="Body Text 3"/>
    <w:basedOn w:val="Normal"/>
    <w:link w:val="Textoindependiente3Car"/>
    <w:semiHidden/>
    <w:rsid w:val="00696E37"/>
    <w:pPr>
      <w:spacing w:after="120"/>
    </w:pPr>
    <w:rPr>
      <w:sz w:val="16"/>
      <w:szCs w:val="16"/>
    </w:rPr>
  </w:style>
  <w:style w:type="paragraph" w:styleId="Textoindependienteprimerasangra">
    <w:name w:val="Body Text First Indent"/>
    <w:basedOn w:val="Textoindependiente"/>
    <w:link w:val="TextoindependienteprimerasangraCar"/>
    <w:semiHidden/>
    <w:rsid w:val="00696E37"/>
    <w:pPr>
      <w:ind w:firstLine="210"/>
    </w:pPr>
  </w:style>
  <w:style w:type="paragraph" w:styleId="Textoindependienteprimerasangra2">
    <w:name w:val="Body Text First Indent 2"/>
    <w:basedOn w:val="Sangradetextonormal"/>
    <w:link w:val="Textoindependienteprimerasangra2Car"/>
    <w:semiHidden/>
    <w:rsid w:val="00696E37"/>
    <w:pPr>
      <w:ind w:firstLine="210"/>
    </w:pPr>
  </w:style>
  <w:style w:type="paragraph" w:styleId="Textonotaalfinal">
    <w:name w:val="endnote text"/>
    <w:aliases w:val="2_G,2_ GA"/>
    <w:basedOn w:val="Textonotapie"/>
    <w:link w:val="TextonotaalfinalCar"/>
    <w:qFormat/>
    <w:rsid w:val="00696E37"/>
  </w:style>
  <w:style w:type="paragraph" w:styleId="Textosinformato">
    <w:name w:val="Plain Text"/>
    <w:basedOn w:val="Normal"/>
    <w:link w:val="TextosinformatoCar"/>
    <w:semiHidden/>
    <w:rsid w:val="00696E37"/>
    <w:rPr>
      <w:rFonts w:ascii="Courier New" w:hAnsi="Courier New" w:cs="Courier New"/>
    </w:rPr>
  </w:style>
  <w:style w:type="paragraph" w:styleId="Ttulo">
    <w:name w:val="Title"/>
    <w:basedOn w:val="Normal"/>
    <w:link w:val="TtuloCar"/>
    <w:uiPriority w:val="10"/>
    <w:rsid w:val="00696E37"/>
    <w:pPr>
      <w:spacing w:before="240" w:after="60"/>
      <w:jc w:val="center"/>
      <w:outlineLvl w:val="0"/>
    </w:pPr>
    <w:rPr>
      <w:rFonts w:ascii="Arial" w:hAnsi="Arial" w:cs="Arial"/>
      <w:b/>
      <w:bCs/>
      <w:kern w:val="28"/>
      <w:sz w:val="32"/>
      <w:szCs w:val="32"/>
    </w:rPr>
  </w:style>
  <w:style w:type="character" w:styleId="VariableHTML">
    <w:name w:val="HTML Variable"/>
    <w:semiHidden/>
    <w:rsid w:val="00696E37"/>
    <w:rPr>
      <w:i/>
      <w:iCs/>
    </w:rPr>
  </w:style>
  <w:style w:type="paragraph" w:customStyle="1" w:styleId="Bullet1G">
    <w:name w:val="_Bullet 1_G"/>
    <w:basedOn w:val="Normal"/>
    <w:qFormat/>
    <w:rsid w:val="00696E37"/>
    <w:pPr>
      <w:spacing w:after="120"/>
      <w:ind w:right="1134"/>
      <w:jc w:val="both"/>
    </w:pPr>
    <w:rPr>
      <w:lang w:eastAsia="en-US"/>
    </w:rPr>
  </w:style>
  <w:style w:type="paragraph" w:customStyle="1" w:styleId="Bullet2G">
    <w:name w:val="_Bullet 2_G"/>
    <w:basedOn w:val="Normal"/>
    <w:qFormat/>
    <w:rsid w:val="00696E37"/>
    <w:pPr>
      <w:spacing w:after="120"/>
      <w:ind w:right="1134"/>
      <w:jc w:val="both"/>
    </w:pPr>
  </w:style>
  <w:style w:type="paragraph" w:styleId="Textodeglobo">
    <w:name w:val="Balloon Text"/>
    <w:basedOn w:val="Normal"/>
    <w:link w:val="TextodegloboCar"/>
    <w:uiPriority w:val="99"/>
    <w:semiHidden/>
    <w:unhideWhenUsed/>
    <w:rsid w:val="00696E3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6E37"/>
    <w:rPr>
      <w:rFonts w:ascii="Segoe UI" w:hAnsi="Segoe UI" w:cs="Segoe UI"/>
      <w:sz w:val="18"/>
      <w:szCs w:val="18"/>
      <w:lang w:val="es-ES" w:eastAsia="es-ES"/>
    </w:rPr>
  </w:style>
  <w:style w:type="paragraph" w:customStyle="1" w:styleId="ParNoG">
    <w:name w:val="_ParNo_G"/>
    <w:basedOn w:val="Normal"/>
    <w:qFormat/>
    <w:rsid w:val="00696E37"/>
    <w:pPr>
      <w:numPr>
        <w:numId w:val="6"/>
      </w:numPr>
      <w:tabs>
        <w:tab w:val="num" w:pos="360"/>
        <w:tab w:val="left" w:pos="1701"/>
        <w:tab w:val="left" w:pos="2268"/>
        <w:tab w:val="left" w:pos="2835"/>
      </w:tabs>
      <w:suppressAutoHyphens/>
      <w:kinsoku w:val="0"/>
      <w:overflowPunct w:val="0"/>
      <w:autoSpaceDE w:val="0"/>
      <w:autoSpaceDN w:val="0"/>
      <w:adjustRightInd w:val="0"/>
      <w:snapToGrid w:val="0"/>
      <w:spacing w:after="120"/>
      <w:ind w:left="360" w:right="1134" w:hanging="360"/>
      <w:jc w:val="both"/>
    </w:pPr>
    <w:rPr>
      <w:rFonts w:eastAsiaTheme="minorHAnsi"/>
      <w:lang w:eastAsia="en-US"/>
    </w:rPr>
  </w:style>
  <w:style w:type="character" w:customStyle="1" w:styleId="SingleTxtGChar">
    <w:name w:val="_ Single Txt_G Char"/>
    <w:link w:val="SingleTxtG"/>
    <w:rsid w:val="00696E37"/>
    <w:rPr>
      <w:lang w:val="es-ES" w:eastAsia="es-ES"/>
    </w:rPr>
  </w:style>
  <w:style w:type="paragraph" w:customStyle="1" w:styleId="1ParNoG">
    <w:name w:val="1 _ParNo_G"/>
    <w:basedOn w:val="Normal"/>
    <w:uiPriority w:val="1"/>
    <w:qFormat/>
    <w:rsid w:val="00696E37"/>
    <w:pPr>
      <w:numPr>
        <w:ilvl w:val="1"/>
        <w:numId w:val="7"/>
      </w:numPr>
      <w:tabs>
        <w:tab w:val="clear" w:pos="1701"/>
      </w:tabs>
      <w:spacing w:after="120"/>
      <w:ind w:left="720" w:hanging="360"/>
      <w:jc w:val="both"/>
    </w:pPr>
    <w:rPr>
      <w:rFonts w:eastAsiaTheme="minorHAnsi"/>
      <w:lang w:eastAsia="en-US"/>
    </w:rPr>
  </w:style>
  <w:style w:type="paragraph" w:customStyle="1" w:styleId="1ParNoG0">
    <w:name w:val="1_ParNo_G"/>
    <w:basedOn w:val="Normal"/>
    <w:uiPriority w:val="1"/>
    <w:qFormat/>
    <w:rsid w:val="00696E37"/>
    <w:pPr>
      <w:numPr>
        <w:ilvl w:val="2"/>
        <w:numId w:val="7"/>
      </w:numPr>
      <w:tabs>
        <w:tab w:val="clear" w:pos="1701"/>
      </w:tabs>
      <w:spacing w:after="120"/>
      <w:ind w:left="1080" w:hanging="360"/>
      <w:jc w:val="both"/>
    </w:pPr>
    <w:rPr>
      <w:rFonts w:eastAsiaTheme="minorHAnsi"/>
      <w:lang w:eastAsia="en-US"/>
    </w:rPr>
  </w:style>
  <w:style w:type="character" w:customStyle="1" w:styleId="TextoindependienteCar">
    <w:name w:val="Texto independiente Car"/>
    <w:basedOn w:val="Fuentedeprrafopredeter"/>
    <w:link w:val="Textoindependiente"/>
    <w:semiHidden/>
    <w:rsid w:val="00696E37"/>
    <w:rPr>
      <w:lang w:val="es-ES" w:eastAsia="es-ES"/>
    </w:rPr>
  </w:style>
  <w:style w:type="character" w:customStyle="1" w:styleId="Textoindependiente2Car">
    <w:name w:val="Texto independiente 2 Car"/>
    <w:basedOn w:val="Fuentedeprrafopredeter"/>
    <w:link w:val="Textoindependiente2"/>
    <w:semiHidden/>
    <w:rsid w:val="00696E37"/>
    <w:rPr>
      <w:lang w:val="es-ES" w:eastAsia="es-ES"/>
    </w:rPr>
  </w:style>
  <w:style w:type="character" w:customStyle="1" w:styleId="Textoindependiente3Car">
    <w:name w:val="Texto independiente 3 Car"/>
    <w:basedOn w:val="Fuentedeprrafopredeter"/>
    <w:link w:val="Textoindependiente3"/>
    <w:semiHidden/>
    <w:rsid w:val="00696E3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96E37"/>
    <w:rPr>
      <w:lang w:val="es-ES" w:eastAsia="es-ES"/>
    </w:rPr>
  </w:style>
  <w:style w:type="character" w:customStyle="1" w:styleId="SangradetextonormalCar">
    <w:name w:val="Sangría de texto normal Car"/>
    <w:basedOn w:val="Fuentedeprrafopredeter"/>
    <w:link w:val="Sangradetextonormal"/>
    <w:semiHidden/>
    <w:rsid w:val="00696E3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696E37"/>
    <w:rPr>
      <w:lang w:val="es-ES" w:eastAsia="es-ES"/>
    </w:rPr>
  </w:style>
  <w:style w:type="character" w:customStyle="1" w:styleId="Sangra2detindependienteCar">
    <w:name w:val="Sangría 2 de t. independiente Car"/>
    <w:basedOn w:val="Fuentedeprrafopredeter"/>
    <w:link w:val="Sangra2detindependiente"/>
    <w:semiHidden/>
    <w:rsid w:val="00696E37"/>
    <w:rPr>
      <w:lang w:val="es-ES" w:eastAsia="es-ES"/>
    </w:rPr>
  </w:style>
  <w:style w:type="character" w:customStyle="1" w:styleId="Sangra3detindependienteCar">
    <w:name w:val="Sangría 3 de t. independiente Car"/>
    <w:basedOn w:val="Fuentedeprrafopredeter"/>
    <w:link w:val="Sangra3detindependiente"/>
    <w:semiHidden/>
    <w:rsid w:val="00696E37"/>
    <w:rPr>
      <w:sz w:val="16"/>
      <w:szCs w:val="16"/>
      <w:lang w:val="es-ES" w:eastAsia="es-ES"/>
    </w:rPr>
  </w:style>
  <w:style w:type="character" w:customStyle="1" w:styleId="CierreCar">
    <w:name w:val="Cierre Car"/>
    <w:basedOn w:val="Fuentedeprrafopredeter"/>
    <w:link w:val="Cierre"/>
    <w:semiHidden/>
    <w:rsid w:val="00696E37"/>
    <w:rPr>
      <w:lang w:val="es-ES" w:eastAsia="es-ES"/>
    </w:rPr>
  </w:style>
  <w:style w:type="character" w:customStyle="1" w:styleId="FechaCar">
    <w:name w:val="Fecha Car"/>
    <w:basedOn w:val="Fuentedeprrafopredeter"/>
    <w:link w:val="Fecha"/>
    <w:semiHidden/>
    <w:rsid w:val="00696E37"/>
    <w:rPr>
      <w:lang w:val="es-ES" w:eastAsia="es-ES"/>
    </w:rPr>
  </w:style>
  <w:style w:type="character" w:customStyle="1" w:styleId="FirmadecorreoelectrnicoCar">
    <w:name w:val="Firma de correo electrónico Car"/>
    <w:basedOn w:val="Fuentedeprrafopredeter"/>
    <w:link w:val="Firmadecorreoelectrnico"/>
    <w:semiHidden/>
    <w:rsid w:val="00696E37"/>
    <w:rPr>
      <w:lang w:val="es-ES" w:eastAsia="es-ES"/>
    </w:rPr>
  </w:style>
  <w:style w:type="character" w:customStyle="1" w:styleId="TextonotapieCar">
    <w:name w:val="Texto nota pie Car"/>
    <w:aliases w:val="5_G Car,Footnote Quote Car,Footnote Quote1 Car,Footnote Quote2 Car,Footnote Quote3 Car,Footnote Quote4 Car,Footnote Quote5 Car,Footnote Quote6 Car,Footnote Quote7 Car,Footnote Quote8 Car,Footnote Quote9 Car,Footnote Quote10 Car"/>
    <w:basedOn w:val="Fuentedeprrafopredeter"/>
    <w:link w:val="Textonotapie"/>
    <w:uiPriority w:val="99"/>
    <w:rsid w:val="00696E37"/>
    <w:rPr>
      <w:sz w:val="18"/>
      <w:lang w:val="es-ES" w:eastAsia="es-ES"/>
    </w:rPr>
  </w:style>
  <w:style w:type="character" w:customStyle="1" w:styleId="TextonotaalfinalCar">
    <w:name w:val="Texto nota al final Car"/>
    <w:aliases w:val="2_G Car,2_ GA Car"/>
    <w:basedOn w:val="Fuentedeprrafopredeter"/>
    <w:link w:val="Textonotaalfinal"/>
    <w:rsid w:val="00696E37"/>
    <w:rPr>
      <w:sz w:val="18"/>
      <w:lang w:val="es-ES" w:eastAsia="es-ES"/>
    </w:rPr>
  </w:style>
  <w:style w:type="character" w:customStyle="1" w:styleId="PiedepginaCar">
    <w:name w:val="Pie de página Car"/>
    <w:aliases w:val="3_G Car,3_GA Car"/>
    <w:basedOn w:val="Fuentedeprrafopredeter"/>
    <w:link w:val="Piedepgina"/>
    <w:rsid w:val="00696E37"/>
    <w:rPr>
      <w:sz w:val="16"/>
      <w:lang w:val="es-ES" w:eastAsia="es-ES"/>
    </w:rPr>
  </w:style>
  <w:style w:type="character" w:customStyle="1" w:styleId="EncabezadoCar">
    <w:name w:val="Encabezado Car"/>
    <w:aliases w:val="6_G Car,6_GA Car"/>
    <w:basedOn w:val="Fuentedeprrafopredeter"/>
    <w:link w:val="Encabezado"/>
    <w:rsid w:val="00696E37"/>
    <w:rPr>
      <w:b/>
      <w:sz w:val="18"/>
      <w:lang w:val="es-ES" w:eastAsia="es-ES"/>
    </w:rPr>
  </w:style>
  <w:style w:type="character" w:customStyle="1" w:styleId="Ttulo1Car">
    <w:name w:val="Título 1 Car"/>
    <w:aliases w:val="Cuadro_G Car,Table_GA Car,Table_G Car"/>
    <w:basedOn w:val="Fuentedeprrafopredeter"/>
    <w:link w:val="Ttulo1"/>
    <w:rsid w:val="00696E37"/>
    <w:rPr>
      <w:lang w:val="fr-CH" w:eastAsia="en-US"/>
    </w:rPr>
  </w:style>
  <w:style w:type="character" w:customStyle="1" w:styleId="DireccinHTMLCar">
    <w:name w:val="Dirección HTML Car"/>
    <w:basedOn w:val="Fuentedeprrafopredeter"/>
    <w:link w:val="DireccinHTML"/>
    <w:semiHidden/>
    <w:rsid w:val="00696E37"/>
    <w:rPr>
      <w:i/>
      <w:iCs/>
      <w:lang w:val="es-ES" w:eastAsia="es-ES"/>
    </w:rPr>
  </w:style>
  <w:style w:type="character" w:customStyle="1" w:styleId="HTMLconformatoprevioCar">
    <w:name w:val="HTML con formato previo Car"/>
    <w:basedOn w:val="Fuentedeprrafopredeter"/>
    <w:link w:val="HTMLconformatoprevio"/>
    <w:semiHidden/>
    <w:rsid w:val="00696E37"/>
    <w:rPr>
      <w:rFonts w:ascii="Courier New" w:hAnsi="Courier New" w:cs="Courier New"/>
      <w:lang w:val="es-ES" w:eastAsia="es-ES"/>
    </w:rPr>
  </w:style>
  <w:style w:type="character" w:styleId="nfasisintenso">
    <w:name w:val="Intense Emphasis"/>
    <w:uiPriority w:val="21"/>
    <w:rsid w:val="00696E37"/>
    <w:rPr>
      <w:b/>
      <w:bCs/>
      <w:i/>
      <w:iCs/>
      <w:color w:val="4F81BD"/>
    </w:rPr>
  </w:style>
  <w:style w:type="paragraph" w:styleId="Citadestacada">
    <w:name w:val="Intense Quote"/>
    <w:basedOn w:val="Normal"/>
    <w:next w:val="Normal"/>
    <w:link w:val="CitadestacadaCar"/>
    <w:uiPriority w:val="30"/>
    <w:rsid w:val="00696E3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696E37"/>
    <w:rPr>
      <w:b/>
      <w:bCs/>
      <w:i/>
      <w:iCs/>
      <w:color w:val="4F81BD"/>
      <w:lang w:val="es-ES" w:eastAsia="es-ES"/>
    </w:rPr>
  </w:style>
  <w:style w:type="character" w:customStyle="1" w:styleId="EncabezadodemensajeCar">
    <w:name w:val="Encabezado de mensaje Car"/>
    <w:basedOn w:val="Fuentedeprrafopredeter"/>
    <w:link w:val="Encabezadodemensaje"/>
    <w:semiHidden/>
    <w:rsid w:val="00696E3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696E37"/>
    <w:rPr>
      <w:lang w:val="es-ES" w:eastAsia="es-ES"/>
    </w:rPr>
  </w:style>
  <w:style w:type="character" w:customStyle="1" w:styleId="TextosinformatoCar">
    <w:name w:val="Texto sin formato Car"/>
    <w:basedOn w:val="Fuentedeprrafopredeter"/>
    <w:link w:val="Textosinformato"/>
    <w:semiHidden/>
    <w:rsid w:val="00696E37"/>
    <w:rPr>
      <w:rFonts w:ascii="Courier New" w:hAnsi="Courier New" w:cs="Courier New"/>
      <w:lang w:val="es-ES" w:eastAsia="es-ES"/>
    </w:rPr>
  </w:style>
  <w:style w:type="character" w:customStyle="1" w:styleId="SaludoCar">
    <w:name w:val="Saludo Car"/>
    <w:basedOn w:val="Fuentedeprrafopredeter"/>
    <w:link w:val="Saludo"/>
    <w:semiHidden/>
    <w:rsid w:val="00696E37"/>
    <w:rPr>
      <w:lang w:val="es-ES" w:eastAsia="es-ES"/>
    </w:rPr>
  </w:style>
  <w:style w:type="character" w:customStyle="1" w:styleId="FirmaCar">
    <w:name w:val="Firma Car"/>
    <w:basedOn w:val="Fuentedeprrafopredeter"/>
    <w:link w:val="Firma"/>
    <w:semiHidden/>
    <w:rsid w:val="00696E37"/>
    <w:rPr>
      <w:lang w:val="es-ES" w:eastAsia="es-ES"/>
    </w:rPr>
  </w:style>
  <w:style w:type="character" w:customStyle="1" w:styleId="SubttuloCar">
    <w:name w:val="Subtítulo Car"/>
    <w:basedOn w:val="Fuentedeprrafopredeter"/>
    <w:link w:val="Subttulo"/>
    <w:uiPriority w:val="11"/>
    <w:rsid w:val="00696E37"/>
    <w:rPr>
      <w:rFonts w:ascii="Arial" w:hAnsi="Arial" w:cs="Arial"/>
      <w:sz w:val="24"/>
      <w:szCs w:val="24"/>
      <w:lang w:val="es-ES" w:eastAsia="es-ES"/>
    </w:rPr>
  </w:style>
  <w:style w:type="paragraph" w:customStyle="1" w:styleId="Table1G">
    <w:name w:val="Table_1_G"/>
    <w:basedOn w:val="Normal"/>
    <w:next w:val="Normal"/>
    <w:uiPriority w:val="2"/>
    <w:qFormat/>
    <w:rsid w:val="00696E3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696E37"/>
    <w:pPr>
      <w:spacing w:after="120"/>
    </w:pPr>
    <w:rPr>
      <w:b/>
    </w:rPr>
  </w:style>
  <w:style w:type="paragraph" w:customStyle="1" w:styleId="Table1Line3G">
    <w:name w:val="Table_1_Line3_G"/>
    <w:basedOn w:val="Table1line2G"/>
    <w:next w:val="Normal"/>
    <w:uiPriority w:val="2"/>
    <w:qFormat/>
    <w:rsid w:val="00696E37"/>
    <w:rPr>
      <w:b w:val="0"/>
      <w:sz w:val="16"/>
    </w:rPr>
  </w:style>
  <w:style w:type="paragraph" w:customStyle="1" w:styleId="TableH23G">
    <w:name w:val="Table_H2/3_G"/>
    <w:basedOn w:val="H23G"/>
    <w:uiPriority w:val="2"/>
    <w:qFormat/>
    <w:rsid w:val="00696E3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uiPriority w:val="10"/>
    <w:rsid w:val="00696E37"/>
    <w:rPr>
      <w:rFonts w:ascii="Arial" w:hAnsi="Arial" w:cs="Arial"/>
      <w:b/>
      <w:bCs/>
      <w:kern w:val="28"/>
      <w:sz w:val="32"/>
      <w:szCs w:val="32"/>
      <w:lang w:val="es-ES" w:eastAsia="es-ES"/>
    </w:rPr>
  </w:style>
  <w:style w:type="paragraph" w:styleId="TDC1">
    <w:name w:val="toc 1"/>
    <w:basedOn w:val="Normal"/>
    <w:next w:val="Normal"/>
    <w:link w:val="TDC1Car"/>
    <w:uiPriority w:val="39"/>
    <w:unhideWhenUsed/>
    <w:rsid w:val="00696E3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link w:val="TDC2Car"/>
    <w:uiPriority w:val="39"/>
    <w:unhideWhenUsed/>
    <w:rsid w:val="00696E37"/>
    <w:pPr>
      <w:tabs>
        <w:tab w:val="clear" w:pos="851"/>
      </w:tabs>
      <w:ind w:left="1559" w:hanging="425"/>
    </w:pPr>
  </w:style>
  <w:style w:type="paragraph" w:styleId="TDC3">
    <w:name w:val="toc 3"/>
    <w:basedOn w:val="TDC2"/>
    <w:next w:val="Normal"/>
    <w:link w:val="TDC3Car"/>
    <w:uiPriority w:val="39"/>
    <w:unhideWhenUsed/>
    <w:rsid w:val="00696E37"/>
    <w:pPr>
      <w:tabs>
        <w:tab w:val="left" w:pos="1985"/>
      </w:tabs>
      <w:ind w:left="1984"/>
    </w:pPr>
  </w:style>
  <w:style w:type="paragraph" w:styleId="TDC4">
    <w:name w:val="toc 4"/>
    <w:basedOn w:val="TDC1"/>
    <w:next w:val="Normal"/>
    <w:link w:val="TDC4Car"/>
    <w:uiPriority w:val="39"/>
    <w:unhideWhenUsed/>
    <w:rsid w:val="00696E37"/>
    <w:pPr>
      <w:tabs>
        <w:tab w:val="clear" w:pos="9072"/>
        <w:tab w:val="left" w:leader="dot" w:pos="7938"/>
        <w:tab w:val="right" w:pos="8930"/>
      </w:tabs>
      <w:ind w:right="1701"/>
    </w:pPr>
  </w:style>
  <w:style w:type="paragraph" w:styleId="TDC5">
    <w:name w:val="toc 5"/>
    <w:basedOn w:val="TDC4"/>
    <w:next w:val="Normal"/>
    <w:link w:val="TDC5Car"/>
    <w:uiPriority w:val="39"/>
    <w:unhideWhenUsed/>
    <w:rsid w:val="00696E37"/>
    <w:pPr>
      <w:tabs>
        <w:tab w:val="clear" w:pos="851"/>
      </w:tabs>
      <w:ind w:left="1559" w:hanging="425"/>
    </w:pPr>
  </w:style>
  <w:style w:type="paragraph" w:styleId="TDC6">
    <w:name w:val="toc 6"/>
    <w:basedOn w:val="TDC5"/>
    <w:next w:val="Normal"/>
    <w:link w:val="TDC6Car"/>
    <w:uiPriority w:val="39"/>
    <w:unhideWhenUsed/>
    <w:rsid w:val="00696E37"/>
    <w:pPr>
      <w:tabs>
        <w:tab w:val="left" w:pos="1985"/>
      </w:tabs>
      <w:ind w:left="1984"/>
    </w:pPr>
  </w:style>
  <w:style w:type="character" w:customStyle="1" w:styleId="Ttulo2Car">
    <w:name w:val="Título 2 Car"/>
    <w:basedOn w:val="Fuentedeprrafopredeter"/>
    <w:link w:val="Ttulo2"/>
    <w:rsid w:val="007666A4"/>
    <w:rPr>
      <w:rFonts w:cs="Arial"/>
      <w:bCs/>
      <w:iCs/>
      <w:szCs w:val="28"/>
      <w:lang w:val="es-ES" w:eastAsia="es-ES"/>
    </w:rPr>
  </w:style>
  <w:style w:type="character" w:customStyle="1" w:styleId="Ttulo3Car">
    <w:name w:val="Título 3 Car"/>
    <w:basedOn w:val="Fuentedeprrafopredeter"/>
    <w:link w:val="Ttulo3"/>
    <w:rsid w:val="007666A4"/>
    <w:rPr>
      <w:rFonts w:ascii="Arial" w:hAnsi="Arial" w:cs="Arial"/>
      <w:b/>
      <w:bCs/>
      <w:sz w:val="26"/>
      <w:szCs w:val="26"/>
      <w:lang w:val="es-ES" w:eastAsia="es-ES"/>
    </w:rPr>
  </w:style>
  <w:style w:type="character" w:customStyle="1" w:styleId="Ttulo4Car">
    <w:name w:val="Título 4 Car"/>
    <w:basedOn w:val="Fuentedeprrafopredeter"/>
    <w:link w:val="Ttulo4"/>
    <w:rsid w:val="007666A4"/>
    <w:rPr>
      <w:b/>
      <w:bCs/>
      <w:sz w:val="28"/>
      <w:szCs w:val="28"/>
      <w:lang w:val="es-ES" w:eastAsia="es-ES"/>
    </w:rPr>
  </w:style>
  <w:style w:type="character" w:customStyle="1" w:styleId="Ttulo5Car">
    <w:name w:val="Título 5 Car"/>
    <w:basedOn w:val="Fuentedeprrafopredeter"/>
    <w:link w:val="Ttulo5"/>
    <w:rsid w:val="007666A4"/>
    <w:rPr>
      <w:b/>
      <w:bCs/>
      <w:i/>
      <w:iCs/>
      <w:sz w:val="26"/>
      <w:szCs w:val="26"/>
      <w:lang w:val="es-ES" w:eastAsia="es-ES"/>
    </w:rPr>
  </w:style>
  <w:style w:type="character" w:customStyle="1" w:styleId="Ttulo6Car">
    <w:name w:val="Título 6 Car"/>
    <w:basedOn w:val="Fuentedeprrafopredeter"/>
    <w:link w:val="Ttulo6"/>
    <w:rsid w:val="007666A4"/>
    <w:rPr>
      <w:b/>
      <w:bCs/>
      <w:sz w:val="22"/>
      <w:szCs w:val="22"/>
      <w:lang w:val="es-ES" w:eastAsia="es-ES"/>
    </w:rPr>
  </w:style>
  <w:style w:type="character" w:customStyle="1" w:styleId="Ttulo7Car">
    <w:name w:val="Título 7 Car"/>
    <w:basedOn w:val="Fuentedeprrafopredeter"/>
    <w:link w:val="Ttulo7"/>
    <w:rsid w:val="007666A4"/>
    <w:rPr>
      <w:sz w:val="24"/>
      <w:szCs w:val="24"/>
      <w:lang w:val="es-ES" w:eastAsia="es-ES"/>
    </w:rPr>
  </w:style>
  <w:style w:type="character" w:customStyle="1" w:styleId="Ttulo8Car">
    <w:name w:val="Título 8 Car"/>
    <w:basedOn w:val="Fuentedeprrafopredeter"/>
    <w:link w:val="Ttulo8"/>
    <w:rsid w:val="007666A4"/>
    <w:rPr>
      <w:i/>
      <w:iCs/>
      <w:sz w:val="24"/>
      <w:szCs w:val="24"/>
      <w:lang w:val="es-ES" w:eastAsia="es-ES"/>
    </w:rPr>
  </w:style>
  <w:style w:type="character" w:customStyle="1" w:styleId="Ttulo9Car">
    <w:name w:val="Título 9 Car"/>
    <w:basedOn w:val="Fuentedeprrafopredeter"/>
    <w:link w:val="Ttulo9"/>
    <w:rsid w:val="007666A4"/>
    <w:rPr>
      <w:rFonts w:ascii="Arial" w:hAnsi="Arial" w:cs="Arial"/>
      <w:sz w:val="22"/>
      <w:szCs w:val="22"/>
      <w:lang w:val="es-ES" w:eastAsia="es-ES"/>
    </w:rPr>
  </w:style>
  <w:style w:type="paragraph" w:customStyle="1" w:styleId="FinalLine">
    <w:name w:val="Final Line"/>
    <w:basedOn w:val="SingleTxtG"/>
    <w:qFormat/>
    <w:rsid w:val="007666A4"/>
    <w:pPr>
      <w:jc w:val="center"/>
    </w:pPr>
    <w:rPr>
      <w:rFonts w:eastAsiaTheme="minorEastAsia"/>
      <w:u w:val="single"/>
    </w:rPr>
  </w:style>
  <w:style w:type="character" w:styleId="Mencinsinresolver">
    <w:name w:val="Unresolved Mention"/>
    <w:basedOn w:val="Fuentedeprrafopredeter"/>
    <w:uiPriority w:val="99"/>
    <w:semiHidden/>
    <w:unhideWhenUsed/>
    <w:rsid w:val="007666A4"/>
    <w:rPr>
      <w:color w:val="605E5C"/>
      <w:shd w:val="clear" w:color="auto" w:fill="E1DFDD"/>
    </w:rPr>
  </w:style>
  <w:style w:type="paragraph" w:customStyle="1" w:styleId="HChGA">
    <w:name w:val="_ H _Ch_GA"/>
    <w:basedOn w:val="Normal"/>
    <w:next w:val="SingleTxtGA"/>
    <w:qFormat/>
    <w:rsid w:val="007666A4"/>
    <w:pPr>
      <w:keepNext/>
      <w:keepLines/>
      <w:tabs>
        <w:tab w:val="right" w:pos="1021"/>
      </w:tabs>
      <w:suppressAutoHyphens/>
      <w:bidi/>
      <w:spacing w:before="360" w:after="240" w:line="440" w:lineRule="exact"/>
      <w:ind w:left="1247" w:right="1247" w:hanging="1247"/>
      <w:jc w:val="lowKashida"/>
      <w:outlineLvl w:val="1"/>
    </w:pPr>
    <w:rPr>
      <w:rFonts w:eastAsia="PMingLiU" w:cs="Simplified Arabic"/>
      <w:b/>
      <w:bCs/>
      <w:sz w:val="30"/>
      <w:szCs w:val="30"/>
      <w:lang w:val="en-GB" w:eastAsia="en-US"/>
    </w:rPr>
  </w:style>
  <w:style w:type="paragraph" w:customStyle="1" w:styleId="H1GA">
    <w:name w:val="_ H_1_GA"/>
    <w:basedOn w:val="Normal"/>
    <w:next w:val="SingleTxtGA"/>
    <w:qFormat/>
    <w:rsid w:val="007666A4"/>
    <w:pPr>
      <w:keepNext/>
      <w:keepLines/>
      <w:tabs>
        <w:tab w:val="right" w:pos="1021"/>
      </w:tabs>
      <w:suppressAutoHyphens/>
      <w:bidi/>
      <w:spacing w:before="240" w:after="240" w:line="400" w:lineRule="exact"/>
      <w:ind w:left="1247" w:right="1247" w:hanging="1247"/>
      <w:jc w:val="lowKashida"/>
      <w:outlineLvl w:val="2"/>
    </w:pPr>
    <w:rPr>
      <w:rFonts w:eastAsia="PMingLiU" w:cs="Simplified Arabic"/>
      <w:b/>
      <w:bCs/>
      <w:sz w:val="26"/>
      <w:szCs w:val="26"/>
      <w:lang w:val="en-GB" w:eastAsia="en-US"/>
    </w:rPr>
  </w:style>
  <w:style w:type="paragraph" w:customStyle="1" w:styleId="H23GA">
    <w:name w:val="_ H_2/3_GA"/>
    <w:basedOn w:val="Normal"/>
    <w:next w:val="SingleTxtGA"/>
    <w:qFormat/>
    <w:rsid w:val="007666A4"/>
    <w:pPr>
      <w:keepNext/>
      <w:keepLines/>
      <w:tabs>
        <w:tab w:val="right" w:pos="1021"/>
      </w:tabs>
      <w:suppressAutoHyphens/>
      <w:bidi/>
      <w:spacing w:before="240" w:after="120" w:line="380" w:lineRule="exact"/>
      <w:ind w:left="1247" w:right="1247" w:hanging="1247"/>
      <w:jc w:val="lowKashida"/>
      <w:outlineLvl w:val="3"/>
    </w:pPr>
    <w:rPr>
      <w:rFonts w:eastAsia="PMingLiU" w:cs="Simplified Arabic"/>
      <w:b/>
      <w:bCs/>
      <w:sz w:val="22"/>
      <w:szCs w:val="22"/>
      <w:lang w:val="en-GB" w:eastAsia="ar-SA"/>
    </w:rPr>
  </w:style>
  <w:style w:type="paragraph" w:customStyle="1" w:styleId="SingleTxtGA">
    <w:name w:val="_ Single Txt_GA"/>
    <w:basedOn w:val="Normal"/>
    <w:link w:val="SingleTxtGAChar"/>
    <w:qFormat/>
    <w:rsid w:val="007666A4"/>
    <w:pPr>
      <w:tabs>
        <w:tab w:val="left" w:pos="1928"/>
        <w:tab w:val="left" w:pos="2608"/>
        <w:tab w:val="left" w:pos="3289"/>
        <w:tab w:val="left" w:pos="3969"/>
        <w:tab w:val="left" w:pos="4649"/>
        <w:tab w:val="left" w:pos="5330"/>
      </w:tabs>
      <w:suppressAutoHyphens/>
      <w:bidi/>
      <w:spacing w:after="120" w:line="360" w:lineRule="exact"/>
      <w:ind w:left="1247" w:right="1247"/>
      <w:jc w:val="lowKashida"/>
    </w:pPr>
    <w:rPr>
      <w:rFonts w:eastAsia="PMingLiU" w:cs="Simplified Arabic"/>
      <w:sz w:val="22"/>
      <w:szCs w:val="22"/>
      <w:lang w:val="en-GB" w:eastAsia="en-US"/>
    </w:rPr>
  </w:style>
  <w:style w:type="character" w:customStyle="1" w:styleId="SingleTxtGAChar">
    <w:name w:val="_ Single Txt_GA Char"/>
    <w:basedOn w:val="Fuentedeprrafopredeter"/>
    <w:link w:val="SingleTxtGA"/>
    <w:locked/>
    <w:rsid w:val="007666A4"/>
    <w:rPr>
      <w:rFonts w:eastAsia="PMingLiU" w:cs="Simplified Arabic"/>
      <w:sz w:val="22"/>
      <w:szCs w:val="22"/>
      <w:lang w:val="en-GB" w:eastAsia="en-US"/>
    </w:rPr>
  </w:style>
  <w:style w:type="character" w:styleId="Refdecomentario">
    <w:name w:val="annotation reference"/>
    <w:basedOn w:val="Fuentedeprrafopredeter"/>
    <w:uiPriority w:val="99"/>
    <w:semiHidden/>
    <w:unhideWhenUsed/>
    <w:rsid w:val="007666A4"/>
    <w:rPr>
      <w:sz w:val="16"/>
      <w:szCs w:val="16"/>
    </w:rPr>
  </w:style>
  <w:style w:type="paragraph" w:styleId="Textocomentario">
    <w:name w:val="annotation text"/>
    <w:basedOn w:val="Normal"/>
    <w:link w:val="TextocomentarioCar"/>
    <w:uiPriority w:val="99"/>
    <w:semiHidden/>
    <w:unhideWhenUsed/>
    <w:rsid w:val="007666A4"/>
    <w:pPr>
      <w:spacing w:line="240" w:lineRule="auto"/>
    </w:pPr>
  </w:style>
  <w:style w:type="character" w:customStyle="1" w:styleId="TextocomentarioCar">
    <w:name w:val="Texto comentario Car"/>
    <w:basedOn w:val="Fuentedeprrafopredeter"/>
    <w:link w:val="Textocomentario"/>
    <w:uiPriority w:val="99"/>
    <w:semiHidden/>
    <w:rsid w:val="007666A4"/>
    <w:rPr>
      <w:lang w:val="es-ES" w:eastAsia="es-ES"/>
    </w:rPr>
  </w:style>
  <w:style w:type="paragraph" w:styleId="Asuntodelcomentario">
    <w:name w:val="annotation subject"/>
    <w:basedOn w:val="Textocomentario"/>
    <w:next w:val="Textocomentario"/>
    <w:link w:val="AsuntodelcomentarioCar"/>
    <w:uiPriority w:val="99"/>
    <w:semiHidden/>
    <w:unhideWhenUsed/>
    <w:rsid w:val="007666A4"/>
    <w:rPr>
      <w:b/>
      <w:bCs/>
    </w:rPr>
  </w:style>
  <w:style w:type="character" w:customStyle="1" w:styleId="AsuntodelcomentarioCar">
    <w:name w:val="Asunto del comentario Car"/>
    <w:basedOn w:val="TextocomentarioCar"/>
    <w:link w:val="Asuntodelcomentario"/>
    <w:uiPriority w:val="99"/>
    <w:semiHidden/>
    <w:rsid w:val="007666A4"/>
    <w:rPr>
      <w:b/>
      <w:bCs/>
      <w:lang w:val="es-ES" w:eastAsia="es-ES"/>
    </w:rPr>
  </w:style>
  <w:style w:type="paragraph" w:styleId="Sinespaciado">
    <w:name w:val="No Spacing"/>
    <w:link w:val="SinespaciadoCar"/>
    <w:uiPriority w:val="1"/>
    <w:qFormat/>
    <w:rsid w:val="007666A4"/>
    <w:pPr>
      <w:bidi/>
    </w:pPr>
    <w:rPr>
      <w:rFonts w:ascii="Calibri" w:eastAsia="Calibri" w:hAnsi="Calibri" w:cs="Arial"/>
      <w:sz w:val="22"/>
      <w:szCs w:val="22"/>
      <w:lang w:eastAsia="en-US"/>
    </w:rPr>
  </w:style>
  <w:style w:type="character" w:customStyle="1" w:styleId="SinespaciadoCar">
    <w:name w:val="Sin espaciado Car"/>
    <w:link w:val="Sinespaciado"/>
    <w:uiPriority w:val="1"/>
    <w:locked/>
    <w:rsid w:val="007666A4"/>
    <w:rPr>
      <w:rFonts w:ascii="Calibri" w:eastAsia="Calibri" w:hAnsi="Calibri" w:cs="Arial"/>
      <w:sz w:val="22"/>
      <w:szCs w:val="22"/>
      <w:lang w:eastAsia="en-US"/>
    </w:rPr>
  </w:style>
  <w:style w:type="paragraph" w:customStyle="1" w:styleId="Bullet1GA">
    <w:name w:val="_Bullet 1_GA"/>
    <w:basedOn w:val="Normal"/>
    <w:qFormat/>
    <w:rsid w:val="007666A4"/>
    <w:pPr>
      <w:numPr>
        <w:numId w:val="18"/>
      </w:numPr>
      <w:tabs>
        <w:tab w:val="clear" w:pos="2387"/>
      </w:tabs>
      <w:suppressAutoHyphens/>
      <w:bidi/>
      <w:spacing w:after="120" w:line="360" w:lineRule="exact"/>
      <w:ind w:left="1854" w:right="1247" w:hanging="360"/>
      <w:jc w:val="lowKashida"/>
    </w:pPr>
    <w:rPr>
      <w:rFonts w:eastAsia="PMingLiU" w:cs="Simplified Arabic"/>
      <w:sz w:val="22"/>
      <w:szCs w:val="22"/>
      <w:lang w:val="en-US" w:eastAsia="zh-TW"/>
    </w:rPr>
  </w:style>
  <w:style w:type="paragraph" w:customStyle="1" w:styleId="HMGA">
    <w:name w:val="_ H __M_GA"/>
    <w:basedOn w:val="Normal"/>
    <w:next w:val="SingleTxtGA"/>
    <w:qFormat/>
    <w:rsid w:val="007666A4"/>
    <w:pPr>
      <w:keepNext/>
      <w:keepLines/>
      <w:tabs>
        <w:tab w:val="right" w:pos="1021"/>
      </w:tabs>
      <w:suppressAutoHyphens/>
      <w:bidi/>
      <w:spacing w:before="360" w:after="240" w:line="480" w:lineRule="exact"/>
      <w:ind w:left="1247" w:right="1247" w:hanging="1247"/>
      <w:jc w:val="lowKashida"/>
      <w:outlineLvl w:val="0"/>
    </w:pPr>
    <w:rPr>
      <w:rFonts w:eastAsia="PMingLiU" w:cs="Simplified Arabic"/>
      <w:b/>
      <w:bCs/>
      <w:sz w:val="36"/>
      <w:szCs w:val="36"/>
      <w:lang w:val="en-GB" w:eastAsia="en-US"/>
    </w:rPr>
  </w:style>
  <w:style w:type="paragraph" w:customStyle="1" w:styleId="H4GA">
    <w:name w:val="_ H_4_GA"/>
    <w:basedOn w:val="Normal"/>
    <w:next w:val="SingleTxtGA"/>
    <w:qFormat/>
    <w:rsid w:val="007666A4"/>
    <w:pPr>
      <w:keepNext/>
      <w:keepLines/>
      <w:tabs>
        <w:tab w:val="right" w:pos="1021"/>
      </w:tabs>
      <w:suppressAutoHyphens/>
      <w:bidi/>
      <w:spacing w:before="240" w:after="120" w:line="380" w:lineRule="exact"/>
      <w:ind w:left="1247" w:right="1247" w:hanging="1247"/>
      <w:jc w:val="lowKashida"/>
      <w:outlineLvl w:val="4"/>
    </w:pPr>
    <w:rPr>
      <w:rFonts w:eastAsia="PMingLiU" w:cs="Simplified Arabic"/>
      <w:i/>
      <w:iCs/>
      <w:sz w:val="22"/>
      <w:szCs w:val="22"/>
      <w:lang w:val="en-GB" w:eastAsia="en-US"/>
    </w:rPr>
  </w:style>
  <w:style w:type="paragraph" w:customStyle="1" w:styleId="H56GA">
    <w:name w:val="_ H_5/6_GA"/>
    <w:basedOn w:val="Normal"/>
    <w:next w:val="SingleTxtGA"/>
    <w:qFormat/>
    <w:rsid w:val="007666A4"/>
    <w:pPr>
      <w:keepNext/>
      <w:keepLines/>
      <w:tabs>
        <w:tab w:val="right" w:pos="1021"/>
      </w:tabs>
      <w:suppressAutoHyphens/>
      <w:bidi/>
      <w:spacing w:before="240" w:after="120" w:line="380" w:lineRule="exact"/>
      <w:ind w:left="1247" w:right="1247" w:hanging="1247"/>
      <w:jc w:val="lowKashida"/>
      <w:outlineLvl w:val="5"/>
    </w:pPr>
    <w:rPr>
      <w:rFonts w:eastAsia="PMingLiU" w:cs="Simplified Arabic"/>
      <w:sz w:val="22"/>
      <w:szCs w:val="22"/>
      <w:lang w:val="en-GB" w:eastAsia="en-US"/>
    </w:rPr>
  </w:style>
  <w:style w:type="paragraph" w:customStyle="1" w:styleId="SLGA">
    <w:name w:val="__S_L_GA"/>
    <w:basedOn w:val="Normal"/>
    <w:next w:val="SingleTxtGA"/>
    <w:qFormat/>
    <w:rsid w:val="007666A4"/>
    <w:pPr>
      <w:keepNext/>
      <w:keepLines/>
      <w:suppressAutoHyphens/>
      <w:bidi/>
      <w:spacing w:before="240" w:after="240" w:line="800" w:lineRule="exact"/>
      <w:ind w:left="1247" w:right="1247"/>
      <w:jc w:val="lowKashida"/>
    </w:pPr>
    <w:rPr>
      <w:rFonts w:eastAsia="PMingLiU" w:cs="Simplified Arabic"/>
      <w:b/>
      <w:bCs/>
      <w:sz w:val="56"/>
      <w:szCs w:val="56"/>
      <w:lang w:val="en-GB" w:eastAsia="en-US"/>
    </w:rPr>
  </w:style>
  <w:style w:type="paragraph" w:customStyle="1" w:styleId="SMGA">
    <w:name w:val="__S_M_GA"/>
    <w:basedOn w:val="Normal"/>
    <w:next w:val="SingleTxtGA"/>
    <w:qFormat/>
    <w:rsid w:val="007666A4"/>
    <w:pPr>
      <w:keepNext/>
      <w:keepLines/>
      <w:suppressAutoHyphens/>
      <w:bidi/>
      <w:spacing w:before="240" w:after="240" w:line="560" w:lineRule="exact"/>
      <w:ind w:left="1247" w:right="1247"/>
      <w:jc w:val="lowKashida"/>
    </w:pPr>
    <w:rPr>
      <w:rFonts w:eastAsia="PMingLiU" w:cs="Simplified Arabic"/>
      <w:b/>
      <w:bCs/>
      <w:sz w:val="40"/>
      <w:szCs w:val="40"/>
      <w:lang w:val="en-GB" w:eastAsia="en-US"/>
    </w:rPr>
  </w:style>
  <w:style w:type="paragraph" w:customStyle="1" w:styleId="SSGA">
    <w:name w:val="__S_S_GA"/>
    <w:basedOn w:val="Normal"/>
    <w:next w:val="SingleTxtGA"/>
    <w:qFormat/>
    <w:rsid w:val="007666A4"/>
    <w:pPr>
      <w:keepNext/>
      <w:keepLines/>
      <w:suppressAutoHyphens/>
      <w:bidi/>
      <w:spacing w:before="240" w:after="240" w:line="440" w:lineRule="exact"/>
      <w:ind w:left="1134" w:right="1134"/>
      <w:jc w:val="lowKashida"/>
    </w:pPr>
    <w:rPr>
      <w:rFonts w:eastAsia="PMingLiU" w:cs="Simplified Arabic"/>
      <w:b/>
      <w:bCs/>
      <w:sz w:val="34"/>
      <w:szCs w:val="34"/>
      <w:lang w:val="en-GB" w:eastAsia="en-US"/>
    </w:rPr>
  </w:style>
  <w:style w:type="paragraph" w:customStyle="1" w:styleId="XLargeGA">
    <w:name w:val="__XLarge_GA"/>
    <w:basedOn w:val="Normal"/>
    <w:next w:val="SingleTxtGA"/>
    <w:qFormat/>
    <w:rsid w:val="007666A4"/>
    <w:pPr>
      <w:keepNext/>
      <w:keepLines/>
      <w:tabs>
        <w:tab w:val="right" w:leader="dot" w:pos="360"/>
      </w:tabs>
      <w:suppressAutoHyphens/>
      <w:bidi/>
      <w:spacing w:before="240" w:after="240" w:line="580" w:lineRule="exact"/>
      <w:ind w:left="1247" w:right="1247"/>
      <w:jc w:val="lowKashida"/>
    </w:pPr>
    <w:rPr>
      <w:rFonts w:eastAsia="PMingLiU" w:cs="Simplified Arabic"/>
      <w:b/>
      <w:bCs/>
      <w:sz w:val="40"/>
      <w:szCs w:val="40"/>
      <w:lang w:val="en-GB" w:eastAsia="en-US"/>
    </w:rPr>
  </w:style>
  <w:style w:type="paragraph" w:customStyle="1" w:styleId="Bullet2GA">
    <w:name w:val="_Bullet 2_GA"/>
    <w:basedOn w:val="Normal"/>
    <w:qFormat/>
    <w:rsid w:val="007666A4"/>
    <w:pPr>
      <w:numPr>
        <w:numId w:val="19"/>
      </w:numPr>
      <w:tabs>
        <w:tab w:val="clear" w:pos="3215"/>
        <w:tab w:val="left" w:pos="3062"/>
      </w:tabs>
      <w:suppressAutoHyphens/>
      <w:bidi/>
      <w:spacing w:after="120" w:line="360" w:lineRule="exact"/>
      <w:ind w:left="3062" w:right="1247" w:hanging="590"/>
      <w:jc w:val="lowKashida"/>
    </w:pPr>
    <w:rPr>
      <w:rFonts w:eastAsia="PMingLiU" w:cs="Simplified Arabic"/>
      <w:sz w:val="22"/>
      <w:szCs w:val="22"/>
      <w:lang w:val="en-US" w:eastAsia="zh-TW"/>
    </w:rPr>
  </w:style>
  <w:style w:type="paragraph" w:customStyle="1" w:styleId="ParaNoGA">
    <w:name w:val="_ParaNo._GA"/>
    <w:basedOn w:val="SingleTxtGA"/>
    <w:qFormat/>
    <w:rsid w:val="007666A4"/>
    <w:pPr>
      <w:numPr>
        <w:numId w:val="20"/>
      </w:numPr>
      <w:tabs>
        <w:tab w:val="clear" w:pos="1361"/>
        <w:tab w:val="num" w:pos="360"/>
        <w:tab w:val="num" w:pos="643"/>
      </w:tabs>
      <w:bidi w:val="0"/>
      <w:ind w:left="643" w:hanging="360"/>
    </w:pPr>
    <w:rPr>
      <w:lang w:val="en-US"/>
    </w:rPr>
  </w:style>
  <w:style w:type="paragraph" w:customStyle="1" w:styleId="Roman1GA">
    <w:name w:val="_Roman 1_GA"/>
    <w:basedOn w:val="Bullet1GA"/>
    <w:qFormat/>
    <w:rsid w:val="007666A4"/>
    <w:pPr>
      <w:numPr>
        <w:numId w:val="21"/>
      </w:numPr>
      <w:tabs>
        <w:tab w:val="clear" w:pos="2310"/>
        <w:tab w:val="left" w:pos="2486"/>
      </w:tabs>
      <w:ind w:left="2486" w:hanging="378"/>
    </w:pPr>
  </w:style>
  <w:style w:type="paragraph" w:customStyle="1" w:styleId="Roman2GA">
    <w:name w:val="_Roman 2_GA"/>
    <w:basedOn w:val="Bullet2GA"/>
    <w:qFormat/>
    <w:rsid w:val="007666A4"/>
    <w:pPr>
      <w:numPr>
        <w:numId w:val="22"/>
      </w:numPr>
      <w:tabs>
        <w:tab w:val="clear" w:pos="2877"/>
      </w:tabs>
      <w:ind w:left="3062" w:hanging="590"/>
    </w:pPr>
  </w:style>
  <w:style w:type="character" w:customStyle="1" w:styleId="EndtnoteReference">
    <w:name w:val="Endtnote Reference"/>
    <w:aliases w:val="1_GA"/>
    <w:qFormat/>
    <w:rsid w:val="007666A4"/>
    <w:rPr>
      <w:rFonts w:ascii="Times New Roman Bold" w:hAnsi="Times New Roman Bold" w:cs="Traditional Arabic"/>
      <w:b/>
      <w:i w:val="0"/>
      <w:kern w:val="0"/>
      <w:sz w:val="18"/>
      <w:szCs w:val="18"/>
      <w:vertAlign w:val="superscript"/>
    </w:rPr>
  </w:style>
  <w:style w:type="paragraph" w:customStyle="1" w:styleId="FootnoteText1">
    <w:name w:val="Footnote Text1"/>
    <w:aliases w:val="5_GA"/>
    <w:basedOn w:val="Normal"/>
    <w:qFormat/>
    <w:rsid w:val="007666A4"/>
    <w:pPr>
      <w:bidi/>
      <w:spacing w:after="60" w:line="280" w:lineRule="exact"/>
      <w:ind w:left="1247" w:right="1247" w:hanging="567"/>
      <w:jc w:val="lowKashida"/>
    </w:pPr>
    <w:rPr>
      <w:rFonts w:eastAsia="PMingLiU" w:cs="Simplified Arabic"/>
      <w:sz w:val="18"/>
      <w:szCs w:val="18"/>
      <w:lang w:val="en-US" w:eastAsia="en-US"/>
    </w:rPr>
  </w:style>
  <w:style w:type="paragraph" w:customStyle="1" w:styleId="XXLargeGA">
    <w:name w:val="XXLarge_GA"/>
    <w:basedOn w:val="Normal"/>
    <w:next w:val="SingleTxtGA"/>
    <w:qFormat/>
    <w:rsid w:val="007666A4"/>
    <w:pPr>
      <w:suppressAutoHyphens/>
      <w:bidi/>
      <w:spacing w:line="820" w:lineRule="exact"/>
      <w:jc w:val="lowKashida"/>
    </w:pPr>
    <w:rPr>
      <w:rFonts w:eastAsia="PMingLiU" w:cs="Simplified Arabic"/>
      <w:spacing w:val="-8"/>
      <w:w w:val="96"/>
      <w:sz w:val="57"/>
      <w:szCs w:val="86"/>
      <w:lang w:val="en-GB" w:eastAsia="en-US"/>
    </w:rPr>
  </w:style>
  <w:style w:type="character" w:styleId="Ttulodellibro">
    <w:name w:val="Book Title"/>
    <w:uiPriority w:val="33"/>
    <w:rsid w:val="007666A4"/>
    <w:rPr>
      <w:b/>
      <w:bCs/>
      <w:smallCaps/>
      <w:spacing w:val="5"/>
    </w:rPr>
  </w:style>
  <w:style w:type="character" w:styleId="nfasissutil">
    <w:name w:val="Subtle Emphasis"/>
    <w:uiPriority w:val="19"/>
    <w:rsid w:val="007666A4"/>
    <w:rPr>
      <w:i/>
      <w:iCs/>
      <w:color w:val="808080"/>
    </w:rPr>
  </w:style>
  <w:style w:type="table" w:styleId="Cuadrculavistosa-nfasis6">
    <w:name w:val="Colorful Grid Accent 6"/>
    <w:basedOn w:val="Tablanormal"/>
    <w:uiPriority w:val="73"/>
    <w:rsid w:val="007666A4"/>
    <w:rPr>
      <w:rFonts w:ascii="Calibri" w:eastAsia="PMingLiU" w:hAnsi="Calibri" w:cs="Arial"/>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Cita">
    <w:name w:val="Quote"/>
    <w:basedOn w:val="Normal"/>
    <w:next w:val="Normal"/>
    <w:link w:val="CitaCar"/>
    <w:uiPriority w:val="29"/>
    <w:rsid w:val="007666A4"/>
    <w:pPr>
      <w:bidi/>
      <w:jc w:val="lowKashida"/>
    </w:pPr>
    <w:rPr>
      <w:rFonts w:eastAsia="PMingLiU" w:cs="Simplified Arabic"/>
      <w:i/>
      <w:iCs/>
      <w:color w:val="000000"/>
      <w:szCs w:val="22"/>
      <w:lang w:val="en-US" w:eastAsia="en-US"/>
    </w:rPr>
  </w:style>
  <w:style w:type="character" w:customStyle="1" w:styleId="CitaCar">
    <w:name w:val="Cita Car"/>
    <w:basedOn w:val="Fuentedeprrafopredeter"/>
    <w:link w:val="Cita"/>
    <w:uiPriority w:val="29"/>
    <w:rsid w:val="007666A4"/>
    <w:rPr>
      <w:rFonts w:eastAsia="PMingLiU" w:cs="Simplified Arabic"/>
      <w:i/>
      <w:iCs/>
      <w:color w:val="000000"/>
      <w:szCs w:val="22"/>
      <w:lang w:eastAsia="en-US"/>
    </w:rPr>
  </w:style>
  <w:style w:type="character" w:styleId="Referenciasutil">
    <w:name w:val="Subtle Reference"/>
    <w:uiPriority w:val="31"/>
    <w:rsid w:val="007666A4"/>
    <w:rPr>
      <w:smallCaps/>
      <w:color w:val="C0504D"/>
      <w:u w:val="single"/>
    </w:rPr>
  </w:style>
  <w:style w:type="character" w:styleId="Referenciaintensa">
    <w:name w:val="Intense Reference"/>
    <w:uiPriority w:val="32"/>
    <w:rsid w:val="007666A4"/>
    <w:rPr>
      <w:b/>
      <w:bCs/>
      <w:smallCaps/>
      <w:color w:val="C0504D"/>
      <w:spacing w:val="5"/>
      <w:u w:val="single"/>
    </w:rPr>
  </w:style>
  <w:style w:type="paragraph" w:styleId="Prrafodelista">
    <w:name w:val="List Paragraph"/>
    <w:aliases w:val="YC Bulet"/>
    <w:basedOn w:val="Normal"/>
    <w:link w:val="PrrafodelistaCar"/>
    <w:qFormat/>
    <w:rsid w:val="007666A4"/>
    <w:pPr>
      <w:bidi/>
      <w:ind w:left="720"/>
      <w:contextualSpacing/>
      <w:jc w:val="lowKashida"/>
    </w:pPr>
    <w:rPr>
      <w:rFonts w:eastAsia="PMingLiU" w:cs="Simplified Arabic"/>
      <w:szCs w:val="22"/>
      <w:lang w:val="en-US" w:eastAsia="en-US"/>
    </w:rPr>
  </w:style>
  <w:style w:type="table" w:styleId="Sombreadomedio1-nfasis4">
    <w:name w:val="Medium Shading 1 Accent 4"/>
    <w:basedOn w:val="Tablanormal"/>
    <w:uiPriority w:val="63"/>
    <w:rsid w:val="007666A4"/>
    <w:rPr>
      <w:rFonts w:ascii="Calibri" w:eastAsia="PMingLiU" w:hAnsi="Calibri" w:cs="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customStyle="1" w:styleId="PagesNumbers">
    <w:name w:val="Pages Numbers"/>
    <w:uiPriority w:val="1"/>
    <w:qFormat/>
    <w:rsid w:val="007666A4"/>
    <w:rPr>
      <w:rFonts w:eastAsia="DengXian"/>
      <w:color w:val="auto"/>
      <w:sz w:val="20"/>
      <w:szCs w:val="20"/>
      <w:u w:val="none"/>
      <w:lang w:eastAsia="zh-CN" w:bidi="ar-EG"/>
    </w:rPr>
  </w:style>
  <w:style w:type="paragraph" w:customStyle="1" w:styleId="a">
    <w:name w:val="المحتويات_بلا_فقرات"/>
    <w:rsid w:val="007666A4"/>
    <w:pPr>
      <w:tabs>
        <w:tab w:val="left" w:pos="1928"/>
        <w:tab w:val="left" w:pos="2608"/>
        <w:tab w:val="left" w:pos="3289"/>
        <w:tab w:val="left" w:pos="3969"/>
        <w:tab w:val="left" w:pos="4649"/>
        <w:tab w:val="left" w:pos="5330"/>
      </w:tabs>
      <w:bidi/>
      <w:spacing w:after="120" w:line="360" w:lineRule="exact"/>
      <w:ind w:left="1247" w:right="1247"/>
      <w:jc w:val="lowKashida"/>
    </w:pPr>
    <w:rPr>
      <w:rFonts w:eastAsia="PMingLiU" w:cs="Simplified Arabic"/>
      <w:szCs w:val="28"/>
      <w:lang w:eastAsia="en-US"/>
    </w:rPr>
  </w:style>
  <w:style w:type="table" w:customStyle="1" w:styleId="TABLEA">
    <w:name w:val="TABLE_A"/>
    <w:basedOn w:val="Tablanormal"/>
    <w:uiPriority w:val="99"/>
    <w:rsid w:val="007666A4"/>
    <w:pPr>
      <w:bidi/>
      <w:spacing w:before="80" w:after="80" w:line="320" w:lineRule="exact"/>
      <w:ind w:left="113" w:right="113"/>
      <w:jc w:val="lowKashida"/>
    </w:pPr>
    <w:rPr>
      <w:rFonts w:eastAsiaTheme="minorEastAsia"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TDC1Car">
    <w:name w:val="TDC 1 Car"/>
    <w:basedOn w:val="Fuentedeprrafopredeter"/>
    <w:link w:val="TDC1"/>
    <w:uiPriority w:val="39"/>
    <w:rsid w:val="007666A4"/>
    <w:rPr>
      <w:rFonts w:eastAsiaTheme="minorHAnsi"/>
      <w:lang w:val="es-ES" w:eastAsia="en-US"/>
    </w:rPr>
  </w:style>
  <w:style w:type="character" w:customStyle="1" w:styleId="TDC2Car">
    <w:name w:val="TDC 2 Car"/>
    <w:basedOn w:val="Fuentedeprrafopredeter"/>
    <w:link w:val="TDC2"/>
    <w:uiPriority w:val="39"/>
    <w:rsid w:val="007666A4"/>
    <w:rPr>
      <w:rFonts w:eastAsiaTheme="minorHAnsi"/>
      <w:lang w:val="es-ES" w:eastAsia="en-US"/>
    </w:rPr>
  </w:style>
  <w:style w:type="character" w:customStyle="1" w:styleId="TDC3Car">
    <w:name w:val="TDC 3 Car"/>
    <w:basedOn w:val="TDC2Car"/>
    <w:link w:val="TDC3"/>
    <w:uiPriority w:val="39"/>
    <w:rsid w:val="007666A4"/>
    <w:rPr>
      <w:rFonts w:eastAsiaTheme="minorHAnsi"/>
      <w:lang w:val="es-ES" w:eastAsia="en-US"/>
    </w:rPr>
  </w:style>
  <w:style w:type="character" w:customStyle="1" w:styleId="TDC4Car">
    <w:name w:val="TDC 4 Car"/>
    <w:basedOn w:val="Fuentedeprrafopredeter"/>
    <w:link w:val="TDC4"/>
    <w:uiPriority w:val="39"/>
    <w:rsid w:val="007666A4"/>
    <w:rPr>
      <w:rFonts w:eastAsiaTheme="minorHAnsi"/>
      <w:lang w:val="es-ES" w:eastAsia="en-US"/>
    </w:rPr>
  </w:style>
  <w:style w:type="character" w:customStyle="1" w:styleId="TDC5Car">
    <w:name w:val="TDC 5 Car"/>
    <w:basedOn w:val="Fuentedeprrafopredeter"/>
    <w:link w:val="TDC5"/>
    <w:uiPriority w:val="39"/>
    <w:rsid w:val="007666A4"/>
    <w:rPr>
      <w:rFonts w:eastAsiaTheme="minorHAnsi"/>
      <w:lang w:val="es-ES" w:eastAsia="en-US"/>
    </w:rPr>
  </w:style>
  <w:style w:type="character" w:customStyle="1" w:styleId="TDC6Car">
    <w:name w:val="TDC 6 Car"/>
    <w:basedOn w:val="Fuentedeprrafopredeter"/>
    <w:link w:val="TDC6"/>
    <w:uiPriority w:val="39"/>
    <w:rsid w:val="007666A4"/>
    <w:rPr>
      <w:rFonts w:eastAsiaTheme="minorHAnsi"/>
      <w:lang w:val="es-ES" w:eastAsia="en-US"/>
    </w:rPr>
  </w:style>
  <w:style w:type="paragraph" w:customStyle="1" w:styleId="SessionDate">
    <w:name w:val="Session_Date"/>
    <w:basedOn w:val="Normal"/>
    <w:qFormat/>
    <w:rsid w:val="007666A4"/>
    <w:pPr>
      <w:bidi/>
      <w:spacing w:before="240" w:after="240" w:line="460" w:lineRule="exact"/>
      <w:ind w:left="1247"/>
      <w:jc w:val="lowKashida"/>
    </w:pPr>
    <w:rPr>
      <w:rFonts w:eastAsia="PMingLiU" w:cs="Simplified Arabic"/>
      <w:b/>
      <w:bCs/>
      <w:sz w:val="32"/>
      <w:szCs w:val="44"/>
      <w:lang w:val="en-US" w:eastAsia="en-US"/>
    </w:rPr>
  </w:style>
  <w:style w:type="paragraph" w:customStyle="1" w:styleId="SessionNumber">
    <w:name w:val="Session_Number"/>
    <w:basedOn w:val="Normal"/>
    <w:qFormat/>
    <w:rsid w:val="007666A4"/>
    <w:pPr>
      <w:bidi/>
      <w:spacing w:line="480" w:lineRule="exact"/>
      <w:ind w:left="1247"/>
      <w:jc w:val="lowKashida"/>
    </w:pPr>
    <w:rPr>
      <w:rFonts w:eastAsia="PMingLiU" w:cs="Simplified Arabic"/>
      <w:b/>
      <w:bCs/>
      <w:sz w:val="28"/>
      <w:szCs w:val="38"/>
      <w:lang w:val="en-US" w:eastAsia="en-US"/>
    </w:rPr>
  </w:style>
  <w:style w:type="paragraph" w:customStyle="1" w:styleId="CityandYear">
    <w:name w:val="City and Year"/>
    <w:basedOn w:val="SingleTxtGA"/>
    <w:qFormat/>
    <w:rsid w:val="007666A4"/>
    <w:pPr>
      <w:spacing w:line="480" w:lineRule="exact"/>
    </w:pPr>
    <w:rPr>
      <w:b/>
      <w:bCs/>
      <w:sz w:val="30"/>
      <w:szCs w:val="38"/>
      <w:lang w:eastAsia="ar-SA"/>
    </w:rPr>
  </w:style>
  <w:style w:type="paragraph" w:customStyle="1" w:styleId="NormalA">
    <w:name w:val="Normal_A"/>
    <w:basedOn w:val="Normal"/>
    <w:qFormat/>
    <w:rsid w:val="007666A4"/>
    <w:pPr>
      <w:bidi/>
      <w:jc w:val="lowKashida"/>
    </w:pPr>
    <w:rPr>
      <w:rFonts w:eastAsia="PMingLiU" w:cs="Simplified Arabic"/>
      <w:szCs w:val="22"/>
      <w:lang w:val="en-US" w:eastAsia="en-US"/>
    </w:rPr>
  </w:style>
  <w:style w:type="paragraph" w:customStyle="1" w:styleId="FootnoteGA">
    <w:name w:val="_Footnote_GA"/>
    <w:basedOn w:val="Normal"/>
    <w:qFormat/>
    <w:rsid w:val="007666A4"/>
    <w:pPr>
      <w:suppressAutoHyphens/>
      <w:bidi/>
      <w:spacing w:after="60" w:line="280" w:lineRule="exact"/>
      <w:ind w:left="1247" w:right="1247" w:hanging="567"/>
      <w:jc w:val="lowKashida"/>
    </w:pPr>
    <w:rPr>
      <w:rFonts w:eastAsia="PMingLiU" w:cs="Simplified Arabic"/>
      <w:sz w:val="18"/>
      <w:szCs w:val="18"/>
      <w:lang w:val="es-ES_tradnl" w:eastAsia="zh-TW"/>
    </w:rPr>
  </w:style>
  <w:style w:type="paragraph" w:customStyle="1" w:styleId="ReportCHGA">
    <w:name w:val="Report_CH_GA"/>
    <w:basedOn w:val="HChGA"/>
    <w:qFormat/>
    <w:rsid w:val="007666A4"/>
    <w:rPr>
      <w:sz w:val="44"/>
      <w:szCs w:val="44"/>
      <w:lang w:val="en-US" w:bidi="ar-DZ"/>
    </w:rPr>
  </w:style>
  <w:style w:type="paragraph" w:customStyle="1" w:styleId="FootnoteGA0">
    <w:name w:val="Footnote_GA"/>
    <w:basedOn w:val="Normal"/>
    <w:qFormat/>
    <w:rsid w:val="007666A4"/>
    <w:pPr>
      <w:bidi/>
      <w:spacing w:after="60" w:line="280" w:lineRule="exact"/>
      <w:ind w:left="1247" w:right="1247" w:hanging="567"/>
      <w:jc w:val="lowKashida"/>
    </w:pPr>
    <w:rPr>
      <w:rFonts w:eastAsia="PMingLiU" w:cs="Simplified Arabic"/>
      <w:sz w:val="18"/>
      <w:szCs w:val="18"/>
      <w:lang w:val="es-ES_tradnl" w:eastAsia="zh-TW"/>
    </w:rPr>
  </w:style>
  <w:style w:type="paragraph" w:customStyle="1" w:styleId="H1">
    <w:name w:val="_ H_1"/>
    <w:basedOn w:val="Normal"/>
    <w:next w:val="SingleTxt"/>
    <w:qFormat/>
    <w:rsid w:val="007666A4"/>
    <w:pPr>
      <w:keepNext/>
      <w:keepLines/>
      <w:bidi/>
      <w:spacing w:after="120" w:line="400" w:lineRule="exact"/>
      <w:jc w:val="lowKashida"/>
      <w:outlineLvl w:val="0"/>
    </w:pPr>
    <w:rPr>
      <w:rFonts w:eastAsia="PMingLiU" w:cs="Simplified Arabic"/>
      <w:b/>
      <w:bCs/>
      <w:kern w:val="14"/>
      <w:sz w:val="24"/>
      <w:szCs w:val="32"/>
      <w:lang w:val="en-US" w:eastAsia="en-US"/>
    </w:rPr>
  </w:style>
  <w:style w:type="paragraph" w:customStyle="1" w:styleId="HCh">
    <w:name w:val="_ H _Ch"/>
    <w:basedOn w:val="H1"/>
    <w:next w:val="SingleTxt"/>
    <w:qFormat/>
    <w:rsid w:val="007666A4"/>
    <w:pPr>
      <w:spacing w:line="440" w:lineRule="exact"/>
    </w:pPr>
    <w:rPr>
      <w:spacing w:val="-2"/>
      <w:sz w:val="28"/>
      <w:szCs w:val="36"/>
    </w:rPr>
  </w:style>
  <w:style w:type="paragraph" w:customStyle="1" w:styleId="HM">
    <w:name w:val="_ H __M"/>
    <w:basedOn w:val="HCh"/>
    <w:next w:val="Normal"/>
    <w:qFormat/>
    <w:rsid w:val="007666A4"/>
    <w:pPr>
      <w:suppressAutoHyphens/>
      <w:spacing w:line="520" w:lineRule="exact"/>
    </w:pPr>
    <w:rPr>
      <w:spacing w:val="-3"/>
      <w:sz w:val="34"/>
      <w:szCs w:val="48"/>
    </w:rPr>
  </w:style>
  <w:style w:type="paragraph" w:customStyle="1" w:styleId="SingleTxt">
    <w:name w:val="__Single Txt"/>
    <w:basedOn w:val="Normal"/>
    <w:qFormat/>
    <w:rsid w:val="007666A4"/>
    <w:pPr>
      <w:tabs>
        <w:tab w:val="left" w:pos="1930"/>
        <w:tab w:val="left" w:pos="2592"/>
        <w:tab w:val="left" w:pos="3254"/>
        <w:tab w:val="left" w:pos="3917"/>
        <w:tab w:val="left" w:pos="4579"/>
        <w:tab w:val="left" w:pos="5242"/>
        <w:tab w:val="left" w:pos="5904"/>
        <w:tab w:val="left" w:pos="6566"/>
      </w:tabs>
      <w:bidi/>
      <w:spacing w:after="120" w:line="360" w:lineRule="exact"/>
      <w:ind w:left="1264" w:right="1264"/>
      <w:jc w:val="lowKashida"/>
    </w:pPr>
    <w:rPr>
      <w:rFonts w:eastAsia="PMingLiU" w:cs="Simplified Arabic"/>
      <w:kern w:val="14"/>
      <w:szCs w:val="28"/>
      <w:lang w:val="en-US" w:eastAsia="en-US"/>
    </w:rPr>
  </w:style>
  <w:style w:type="paragraph" w:customStyle="1" w:styleId="H23">
    <w:name w:val="_ H_2/3"/>
    <w:basedOn w:val="H1"/>
    <w:next w:val="Normal"/>
    <w:qFormat/>
    <w:rsid w:val="007666A4"/>
    <w:pPr>
      <w:suppressAutoHyphens/>
      <w:spacing w:line="360" w:lineRule="exact"/>
      <w:outlineLvl w:val="1"/>
    </w:pPr>
    <w:rPr>
      <w:spacing w:val="2"/>
      <w:sz w:val="20"/>
      <w:szCs w:val="28"/>
    </w:rPr>
  </w:style>
  <w:style w:type="paragraph" w:customStyle="1" w:styleId="H4">
    <w:name w:val="_ H_4"/>
    <w:basedOn w:val="Normal"/>
    <w:next w:val="Normal"/>
    <w:qFormat/>
    <w:rsid w:val="007666A4"/>
    <w:pPr>
      <w:keepNext/>
      <w:keepLines/>
      <w:bidi/>
      <w:spacing w:after="120" w:line="360" w:lineRule="exact"/>
      <w:jc w:val="lowKashida"/>
      <w:outlineLvl w:val="3"/>
    </w:pPr>
    <w:rPr>
      <w:rFonts w:eastAsia="PMingLiU" w:cs="Simplified Arabic"/>
      <w:i/>
      <w:iCs/>
      <w:kern w:val="14"/>
      <w:szCs w:val="28"/>
      <w:lang w:val="en-US" w:eastAsia="en-US"/>
    </w:rPr>
  </w:style>
  <w:style w:type="paragraph" w:customStyle="1" w:styleId="H56">
    <w:name w:val="_ H_5/6"/>
    <w:basedOn w:val="Normal"/>
    <w:next w:val="Normal"/>
    <w:qFormat/>
    <w:rsid w:val="007666A4"/>
    <w:pPr>
      <w:keepNext/>
      <w:keepLines/>
      <w:bidi/>
      <w:spacing w:after="120" w:line="360" w:lineRule="exact"/>
      <w:jc w:val="lowKashida"/>
      <w:outlineLvl w:val="4"/>
    </w:pPr>
    <w:rPr>
      <w:rFonts w:eastAsia="PMingLiU" w:cs="Simplified Arabic"/>
      <w:kern w:val="14"/>
      <w:szCs w:val="28"/>
      <w:lang w:val="en-US" w:eastAsia="en-US"/>
    </w:rPr>
  </w:style>
  <w:style w:type="paragraph" w:customStyle="1" w:styleId="DualTxt">
    <w:name w:val="__Dual Txt"/>
    <w:basedOn w:val="Normal"/>
    <w:qFormat/>
    <w:rsid w:val="007666A4"/>
    <w:pPr>
      <w:tabs>
        <w:tab w:val="left" w:pos="662"/>
        <w:tab w:val="left" w:pos="1325"/>
        <w:tab w:val="left" w:pos="1987"/>
        <w:tab w:val="left" w:pos="2650"/>
        <w:tab w:val="left" w:pos="3312"/>
        <w:tab w:val="left" w:pos="3974"/>
        <w:tab w:val="left" w:pos="4637"/>
      </w:tabs>
      <w:bidi/>
      <w:spacing w:after="120" w:line="360" w:lineRule="exact"/>
      <w:jc w:val="lowKashida"/>
    </w:pPr>
    <w:rPr>
      <w:rFonts w:eastAsia="PMingLiU" w:cs="Simplified Arabic"/>
      <w:kern w:val="14"/>
      <w:szCs w:val="28"/>
      <w:lang w:val="en-US" w:eastAsia="en-US"/>
    </w:rPr>
  </w:style>
  <w:style w:type="paragraph" w:customStyle="1" w:styleId="JDualTxt">
    <w:name w:val="J__Dual Txt"/>
    <w:basedOn w:val="Normal"/>
    <w:qFormat/>
    <w:rsid w:val="007666A4"/>
    <w:pPr>
      <w:keepNext/>
      <w:tabs>
        <w:tab w:val="left" w:pos="475"/>
        <w:tab w:val="left" w:pos="950"/>
        <w:tab w:val="left" w:pos="1426"/>
        <w:tab w:val="left" w:pos="1901"/>
        <w:tab w:val="center" w:pos="2563"/>
        <w:tab w:val="right" w:pos="5040"/>
      </w:tabs>
      <w:bidi/>
      <w:spacing w:after="80" w:line="300" w:lineRule="exact"/>
      <w:jc w:val="lowKashida"/>
    </w:pPr>
    <w:rPr>
      <w:rFonts w:eastAsia="PMingLiU" w:cs="Simplified Arabic"/>
      <w:kern w:val="14"/>
      <w:sz w:val="17"/>
      <w:szCs w:val="26"/>
      <w:lang w:val="en-US" w:eastAsia="en-US"/>
    </w:rPr>
  </w:style>
  <w:style w:type="paragraph" w:customStyle="1" w:styleId="JSingleTxt">
    <w:name w:val="J__Single Txt"/>
    <w:basedOn w:val="Normal"/>
    <w:qFormat/>
    <w:rsid w:val="007666A4"/>
    <w:pPr>
      <w:keepNext/>
      <w:tabs>
        <w:tab w:val="left" w:pos="1843"/>
        <w:tab w:val="left" w:pos="2419"/>
        <w:tab w:val="left" w:pos="2995"/>
        <w:tab w:val="left" w:pos="3571"/>
        <w:tab w:val="left" w:pos="4147"/>
        <w:tab w:val="left" w:pos="4723"/>
        <w:tab w:val="center" w:pos="5486"/>
        <w:tab w:val="right" w:pos="9547"/>
      </w:tabs>
      <w:bidi/>
      <w:spacing w:after="80" w:line="300" w:lineRule="exact"/>
      <w:jc w:val="lowKashida"/>
    </w:pPr>
    <w:rPr>
      <w:rFonts w:eastAsia="PMingLiU" w:cs="Simplified Arabic"/>
      <w:kern w:val="14"/>
      <w:sz w:val="17"/>
      <w:szCs w:val="26"/>
      <w:lang w:val="en-US" w:eastAsia="en-US"/>
    </w:rPr>
  </w:style>
  <w:style w:type="paragraph" w:customStyle="1" w:styleId="JCH">
    <w:name w:val="J_C_H"/>
    <w:basedOn w:val="JSingleTxt"/>
    <w:qFormat/>
    <w:rsid w:val="007666A4"/>
    <w:pPr>
      <w:spacing w:after="120" w:line="440" w:lineRule="exact"/>
      <w:jc w:val="center"/>
    </w:pPr>
    <w:rPr>
      <w:b/>
      <w:bCs/>
      <w:sz w:val="25"/>
      <w:szCs w:val="38"/>
    </w:rPr>
  </w:style>
  <w:style w:type="paragraph" w:customStyle="1" w:styleId="JH1">
    <w:name w:val="J_H_1"/>
    <w:basedOn w:val="JCH"/>
    <w:qFormat/>
    <w:rsid w:val="007666A4"/>
    <w:pPr>
      <w:spacing w:line="420" w:lineRule="exact"/>
    </w:pPr>
    <w:rPr>
      <w:sz w:val="23"/>
      <w:szCs w:val="34"/>
    </w:rPr>
  </w:style>
  <w:style w:type="paragraph" w:customStyle="1" w:styleId="JH2">
    <w:name w:val="J_H_2"/>
    <w:basedOn w:val="JH1"/>
    <w:qFormat/>
    <w:rsid w:val="007666A4"/>
    <w:pPr>
      <w:spacing w:line="400" w:lineRule="exact"/>
    </w:pPr>
    <w:rPr>
      <w:sz w:val="20"/>
      <w:szCs w:val="30"/>
    </w:rPr>
  </w:style>
  <w:style w:type="paragraph" w:customStyle="1" w:styleId="JSmall">
    <w:name w:val="J_Small"/>
    <w:basedOn w:val="JSingleTxt"/>
    <w:next w:val="JSingleTxt"/>
    <w:qFormat/>
    <w:rsid w:val="007666A4"/>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7666A4"/>
    <w:pPr>
      <w:tabs>
        <w:tab w:val="right" w:leader="dot" w:pos="360"/>
      </w:tabs>
      <w:bidi/>
      <w:spacing w:line="310" w:lineRule="exact"/>
      <w:jc w:val="right"/>
    </w:pPr>
    <w:rPr>
      <w:rFonts w:eastAsia="PMingLiU" w:cs="Simplified Arabic"/>
      <w:spacing w:val="5"/>
      <w:w w:val="104"/>
      <w:kern w:val="14"/>
      <w:sz w:val="17"/>
      <w:szCs w:val="25"/>
      <w:lang w:val="en-US" w:eastAsia="en-US"/>
    </w:rPr>
  </w:style>
  <w:style w:type="paragraph" w:customStyle="1" w:styleId="SmallX">
    <w:name w:val="SmallX"/>
    <w:basedOn w:val="Small"/>
    <w:next w:val="Normal"/>
    <w:qFormat/>
    <w:rsid w:val="007666A4"/>
    <w:pPr>
      <w:spacing w:line="240" w:lineRule="exact"/>
    </w:pPr>
    <w:rPr>
      <w:spacing w:val="6"/>
      <w:w w:val="106"/>
      <w:sz w:val="14"/>
      <w:szCs w:val="21"/>
    </w:rPr>
  </w:style>
  <w:style w:type="paragraph" w:customStyle="1" w:styleId="XLarge">
    <w:name w:val="XLarge"/>
    <w:basedOn w:val="HM"/>
    <w:qFormat/>
    <w:rsid w:val="007666A4"/>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7666A4"/>
    <w:pPr>
      <w:spacing w:line="820" w:lineRule="exact"/>
    </w:pPr>
    <w:rPr>
      <w:spacing w:val="-8"/>
      <w:w w:val="96"/>
      <w:sz w:val="57"/>
      <w:szCs w:val="86"/>
    </w:rPr>
  </w:style>
  <w:style w:type="paragraph" w:customStyle="1" w:styleId="Distribution">
    <w:name w:val="Distribution"/>
    <w:basedOn w:val="Normal"/>
    <w:next w:val="Normal"/>
    <w:qFormat/>
    <w:rsid w:val="007666A4"/>
    <w:pPr>
      <w:tabs>
        <w:tab w:val="left" w:pos="662"/>
        <w:tab w:val="left" w:pos="1267"/>
        <w:tab w:val="left" w:pos="1987"/>
        <w:tab w:val="left" w:pos="2650"/>
      </w:tabs>
      <w:bidi/>
      <w:spacing w:line="240" w:lineRule="exact"/>
      <w:jc w:val="lowKashida"/>
    </w:pPr>
    <w:rPr>
      <w:rFonts w:eastAsia="PMingLiU" w:cs="Simplified Arabic"/>
      <w:kern w:val="14"/>
      <w:szCs w:val="28"/>
      <w:lang w:val="en-US" w:eastAsia="en-US"/>
    </w:rPr>
  </w:style>
  <w:style w:type="paragraph" w:customStyle="1" w:styleId="Publication">
    <w:name w:val="Publication"/>
    <w:basedOn w:val="Normal"/>
    <w:next w:val="Normal"/>
    <w:qFormat/>
    <w:rsid w:val="007666A4"/>
    <w:pPr>
      <w:tabs>
        <w:tab w:val="left" w:pos="662"/>
        <w:tab w:val="left" w:pos="1267"/>
        <w:tab w:val="left" w:pos="1987"/>
        <w:tab w:val="left" w:pos="2650"/>
      </w:tabs>
      <w:bidi/>
      <w:spacing w:line="240" w:lineRule="exact"/>
      <w:jc w:val="lowKashida"/>
    </w:pPr>
    <w:rPr>
      <w:rFonts w:eastAsia="PMingLiU" w:cs="Simplified Arabic"/>
      <w:kern w:val="14"/>
      <w:szCs w:val="28"/>
      <w:lang w:val="en-US" w:eastAsia="en-US"/>
    </w:rPr>
  </w:style>
  <w:style w:type="paragraph" w:customStyle="1" w:styleId="Original">
    <w:name w:val="Original"/>
    <w:basedOn w:val="Normal"/>
    <w:next w:val="Normal"/>
    <w:qFormat/>
    <w:rsid w:val="007666A4"/>
    <w:pPr>
      <w:tabs>
        <w:tab w:val="left" w:pos="662"/>
        <w:tab w:val="left" w:pos="1267"/>
        <w:tab w:val="left" w:pos="1987"/>
        <w:tab w:val="left" w:pos="2650"/>
      </w:tabs>
      <w:bidi/>
      <w:spacing w:line="240" w:lineRule="exact"/>
      <w:jc w:val="lowKashida"/>
    </w:pPr>
    <w:rPr>
      <w:rFonts w:eastAsia="PMingLiU" w:cs="Simplified Arabic"/>
      <w:kern w:val="14"/>
      <w:szCs w:val="28"/>
      <w:lang w:val="en-US" w:eastAsia="en-US"/>
    </w:rPr>
  </w:style>
  <w:style w:type="paragraph" w:customStyle="1" w:styleId="ReleaseDate">
    <w:name w:val="Release Date"/>
    <w:next w:val="Piedepgina"/>
    <w:qFormat/>
    <w:rsid w:val="007666A4"/>
    <w:pPr>
      <w:tabs>
        <w:tab w:val="center" w:pos="4320"/>
        <w:tab w:val="right" w:pos="8640"/>
      </w:tabs>
      <w:spacing w:line="210" w:lineRule="exact"/>
      <w:jc w:val="right"/>
    </w:pPr>
    <w:rPr>
      <w:rFonts w:eastAsia="PMingLiU" w:cs="Simplified Arabic"/>
      <w:w w:val="103"/>
      <w:kern w:val="14"/>
      <w:szCs w:val="30"/>
      <w:lang w:eastAsia="en-US"/>
    </w:rPr>
  </w:style>
  <w:style w:type="paragraph" w:customStyle="1" w:styleId="Session">
    <w:name w:val="Session"/>
    <w:basedOn w:val="H23"/>
    <w:qFormat/>
    <w:rsid w:val="007666A4"/>
    <w:pPr>
      <w:tabs>
        <w:tab w:val="left" w:pos="662"/>
        <w:tab w:val="left" w:pos="1267"/>
        <w:tab w:val="left" w:pos="1987"/>
        <w:tab w:val="left" w:pos="2650"/>
      </w:tabs>
      <w:spacing w:after="0"/>
      <w:ind w:left="662" w:hanging="662"/>
    </w:pPr>
  </w:style>
  <w:style w:type="paragraph" w:customStyle="1" w:styleId="Committee">
    <w:name w:val="Committee"/>
    <w:basedOn w:val="H1"/>
    <w:qFormat/>
    <w:rsid w:val="007666A4"/>
    <w:pPr>
      <w:tabs>
        <w:tab w:val="left" w:pos="662"/>
        <w:tab w:val="left" w:pos="1267"/>
        <w:tab w:val="left" w:pos="1987"/>
        <w:tab w:val="left" w:pos="2650"/>
      </w:tabs>
      <w:ind w:right="1264"/>
    </w:pPr>
  </w:style>
  <w:style w:type="paragraph" w:customStyle="1" w:styleId="AgendaItemNormal">
    <w:name w:val="Agenda_Item_Normal"/>
    <w:next w:val="Normal"/>
    <w:qFormat/>
    <w:rsid w:val="007666A4"/>
    <w:pPr>
      <w:spacing w:line="360" w:lineRule="exact"/>
      <w:jc w:val="both"/>
    </w:pPr>
    <w:rPr>
      <w:rFonts w:eastAsia="PMingLiU" w:cs="Simplified Arabic"/>
      <w:w w:val="103"/>
      <w:kern w:val="14"/>
      <w:szCs w:val="28"/>
      <w:lang w:eastAsia="en-US"/>
    </w:rPr>
  </w:style>
  <w:style w:type="paragraph" w:customStyle="1" w:styleId="Sponsors">
    <w:name w:val="Sponsors"/>
    <w:basedOn w:val="H23"/>
    <w:next w:val="Normal"/>
    <w:qFormat/>
    <w:rsid w:val="007666A4"/>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7666A4"/>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7666A4"/>
    <w:pPr>
      <w:keepNext/>
      <w:keepLines/>
      <w:tabs>
        <w:tab w:val="right" w:pos="1022"/>
        <w:tab w:val="left" w:pos="1267"/>
        <w:tab w:val="left" w:pos="1930"/>
        <w:tab w:val="left" w:pos="2592"/>
        <w:tab w:val="left" w:pos="3254"/>
        <w:tab w:val="left" w:pos="3917"/>
        <w:tab w:val="left" w:pos="4579"/>
        <w:tab w:val="left" w:pos="5242"/>
        <w:tab w:val="left" w:pos="5904"/>
        <w:tab w:val="left" w:pos="6566"/>
      </w:tabs>
      <w:bidi/>
      <w:spacing w:after="120" w:line="400" w:lineRule="exact"/>
      <w:ind w:left="1267" w:right="1267" w:hanging="1267"/>
      <w:jc w:val="lowKashida"/>
      <w:outlineLvl w:val="0"/>
    </w:pPr>
    <w:rPr>
      <w:rFonts w:eastAsia="PMingLiU" w:cs="Simplified Arabic"/>
      <w:bCs/>
      <w:kern w:val="14"/>
      <w:sz w:val="24"/>
      <w:szCs w:val="32"/>
      <w:lang w:val="en-US" w:eastAsia="en-US"/>
    </w:rPr>
  </w:style>
  <w:style w:type="paragraph" w:customStyle="1" w:styleId="TitleH2">
    <w:name w:val="Title_H2"/>
    <w:basedOn w:val="H1"/>
    <w:next w:val="Normal"/>
    <w:qFormat/>
    <w:rsid w:val="007666A4"/>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paragraph" w:customStyle="1" w:styleId="Bullet1">
    <w:name w:val="Bullet 1"/>
    <w:basedOn w:val="Normal"/>
    <w:qFormat/>
    <w:rsid w:val="007666A4"/>
    <w:pPr>
      <w:numPr>
        <w:numId w:val="23"/>
      </w:numPr>
      <w:tabs>
        <w:tab w:val="num" w:pos="1292"/>
      </w:tabs>
      <w:bidi/>
      <w:spacing w:after="120" w:line="360" w:lineRule="exact"/>
      <w:ind w:left="1292" w:right="1264" w:hanging="227"/>
      <w:jc w:val="lowKashida"/>
    </w:pPr>
    <w:rPr>
      <w:rFonts w:eastAsia="PMingLiU" w:cs="Simplified Arabic"/>
      <w:kern w:val="14"/>
      <w:szCs w:val="28"/>
      <w:lang w:val="en-US" w:eastAsia="en-US"/>
    </w:rPr>
  </w:style>
  <w:style w:type="paragraph" w:customStyle="1" w:styleId="Bullet2">
    <w:name w:val="Bullet 2"/>
    <w:basedOn w:val="Normal"/>
    <w:qFormat/>
    <w:rsid w:val="007666A4"/>
    <w:pPr>
      <w:numPr>
        <w:numId w:val="24"/>
      </w:numPr>
      <w:bidi/>
      <w:spacing w:after="120" w:line="360" w:lineRule="exact"/>
      <w:ind w:left="1854" w:right="1264"/>
      <w:jc w:val="lowKashida"/>
    </w:pPr>
    <w:rPr>
      <w:rFonts w:eastAsia="PMingLiU" w:cs="Simplified Arabic"/>
      <w:kern w:val="14"/>
      <w:szCs w:val="28"/>
      <w:lang w:val="en-US" w:eastAsia="en-US"/>
    </w:rPr>
  </w:style>
  <w:style w:type="paragraph" w:customStyle="1" w:styleId="Bullet3">
    <w:name w:val="Bullet 3"/>
    <w:basedOn w:val="SingleTxt"/>
    <w:qFormat/>
    <w:rsid w:val="007666A4"/>
    <w:pPr>
      <w:numPr>
        <w:numId w:val="2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7666A4"/>
    <w:pPr>
      <w:ind w:right="5760"/>
      <w:outlineLvl w:val="1"/>
    </w:pPr>
    <w:rPr>
      <w:spacing w:val="2"/>
      <w:sz w:val="20"/>
      <w:szCs w:val="28"/>
    </w:rPr>
  </w:style>
  <w:style w:type="paragraph" w:customStyle="1" w:styleId="STitleM">
    <w:name w:val="S_Title_M"/>
    <w:basedOn w:val="Normal"/>
    <w:next w:val="Normal"/>
    <w:qFormat/>
    <w:rsid w:val="007666A4"/>
    <w:pPr>
      <w:keepNext/>
      <w:keepLines/>
      <w:tabs>
        <w:tab w:val="left" w:leader="dot" w:pos="360"/>
      </w:tabs>
      <w:bidi/>
      <w:spacing w:line="600" w:lineRule="exact"/>
      <w:ind w:left="1267" w:right="1267"/>
      <w:jc w:val="lowKashida"/>
      <w:outlineLvl w:val="0"/>
    </w:pPr>
    <w:rPr>
      <w:rFonts w:eastAsia="PMingLiU" w:cs="Simplified Arabic"/>
      <w:b/>
      <w:bCs/>
      <w:spacing w:val="-4"/>
      <w:w w:val="98"/>
      <w:kern w:val="14"/>
      <w:sz w:val="60"/>
      <w:szCs w:val="60"/>
      <w:lang w:val="en-US" w:eastAsia="en-US"/>
    </w:rPr>
  </w:style>
  <w:style w:type="paragraph" w:customStyle="1" w:styleId="STitleS">
    <w:name w:val="S_Title_S"/>
    <w:basedOn w:val="HCh"/>
    <w:next w:val="Normal"/>
    <w:qFormat/>
    <w:rsid w:val="007666A4"/>
    <w:pPr>
      <w:spacing w:line="600" w:lineRule="exact"/>
      <w:ind w:left="1267" w:right="1267"/>
    </w:pPr>
    <w:rPr>
      <w:w w:val="103"/>
      <w:sz w:val="60"/>
      <w:szCs w:val="60"/>
    </w:rPr>
  </w:style>
  <w:style w:type="paragraph" w:customStyle="1" w:styleId="STitleL">
    <w:name w:val="S_Title_L"/>
    <w:basedOn w:val="XLarge"/>
    <w:next w:val="Normal"/>
    <w:qFormat/>
    <w:rsid w:val="007666A4"/>
    <w:rPr>
      <w:spacing w:val="-8"/>
      <w:w w:val="96"/>
      <w:sz w:val="57"/>
    </w:rPr>
  </w:style>
  <w:style w:type="paragraph" w:customStyle="1" w:styleId="Preparedby">
    <w:name w:val="Prepared by:"/>
    <w:basedOn w:val="H23GA"/>
    <w:qFormat/>
    <w:rsid w:val="007666A4"/>
    <w:rPr>
      <w:sz w:val="32"/>
      <w:szCs w:val="32"/>
    </w:rPr>
  </w:style>
  <w:style w:type="paragraph" w:customStyle="1" w:styleId="ParaNoG">
    <w:name w:val="_ParaNo._G"/>
    <w:basedOn w:val="SingleTxtG"/>
    <w:rsid w:val="007666A4"/>
    <w:pPr>
      <w:numPr>
        <w:numId w:val="26"/>
      </w:numPr>
      <w:tabs>
        <w:tab w:val="clear" w:pos="0"/>
        <w:tab w:val="num" w:pos="360"/>
        <w:tab w:val="left" w:pos="1134"/>
      </w:tabs>
      <w:ind w:left="1854" w:hanging="360"/>
    </w:pPr>
    <w:rPr>
      <w:rFonts w:eastAsia="PMingLiU" w:cs="Simplified Arabic" w:hint="cs"/>
      <w:szCs w:val="30"/>
      <w:lang w:val="fr-FR" w:eastAsia="fr-FR"/>
    </w:rPr>
  </w:style>
  <w:style w:type="paragraph" w:styleId="Revisin">
    <w:name w:val="Revision"/>
    <w:hidden/>
    <w:uiPriority w:val="99"/>
    <w:semiHidden/>
    <w:rsid w:val="007666A4"/>
    <w:rPr>
      <w:rFonts w:asciiTheme="minorHAnsi" w:eastAsiaTheme="minorEastAsia" w:hAnsiTheme="minorHAnsi" w:cstheme="minorBidi"/>
      <w:sz w:val="24"/>
      <w:szCs w:val="24"/>
      <w:lang w:val="fr-FR" w:eastAsia="fr-FR"/>
    </w:rPr>
  </w:style>
  <w:style w:type="paragraph" w:customStyle="1" w:styleId="Default">
    <w:name w:val="Default"/>
    <w:semiHidden/>
    <w:rsid w:val="007666A4"/>
    <w:pPr>
      <w:autoSpaceDE w:val="0"/>
      <w:autoSpaceDN w:val="0"/>
      <w:adjustRightInd w:val="0"/>
    </w:pPr>
    <w:rPr>
      <w:rFonts w:eastAsia="PMingLiU" w:cs="Simplified Arabic"/>
      <w:color w:val="000000"/>
      <w:sz w:val="24"/>
      <w:szCs w:val="24"/>
      <w:lang w:val="fr-FR" w:eastAsia="fr-FR"/>
    </w:rPr>
  </w:style>
  <w:style w:type="character" w:customStyle="1" w:styleId="terminologypart">
    <w:name w:val="terminologypart"/>
    <w:basedOn w:val="Fuentedeprrafopredeter"/>
    <w:rsid w:val="007666A4"/>
  </w:style>
  <w:style w:type="character" w:customStyle="1" w:styleId="preferred">
    <w:name w:val="preferred"/>
    <w:basedOn w:val="Fuentedeprrafopredeter"/>
    <w:rsid w:val="007666A4"/>
  </w:style>
  <w:style w:type="character" w:customStyle="1" w:styleId="admitted">
    <w:name w:val="admitted"/>
    <w:basedOn w:val="Fuentedeprrafopredeter"/>
    <w:rsid w:val="007666A4"/>
  </w:style>
  <w:style w:type="paragraph" w:styleId="TDC7">
    <w:name w:val="toc 7"/>
    <w:basedOn w:val="Normal"/>
    <w:next w:val="Normal"/>
    <w:autoRedefine/>
    <w:uiPriority w:val="39"/>
    <w:unhideWhenUsed/>
    <w:rsid w:val="007666A4"/>
    <w:pPr>
      <w:bidi/>
      <w:spacing w:after="100" w:line="259" w:lineRule="auto"/>
      <w:ind w:left="1320"/>
    </w:pPr>
    <w:rPr>
      <w:rFonts w:asciiTheme="minorHAnsi" w:eastAsiaTheme="minorEastAsia" w:hAnsiTheme="minorHAnsi" w:cstheme="minorBidi"/>
      <w:sz w:val="22"/>
      <w:szCs w:val="22"/>
      <w:lang w:val="en-US" w:eastAsia="zh-CN"/>
    </w:rPr>
  </w:style>
  <w:style w:type="paragraph" w:styleId="TDC8">
    <w:name w:val="toc 8"/>
    <w:basedOn w:val="Normal"/>
    <w:next w:val="Normal"/>
    <w:autoRedefine/>
    <w:uiPriority w:val="39"/>
    <w:unhideWhenUsed/>
    <w:rsid w:val="007666A4"/>
    <w:pPr>
      <w:bidi/>
      <w:spacing w:after="100" w:line="259" w:lineRule="auto"/>
      <w:ind w:left="1540"/>
    </w:pPr>
    <w:rPr>
      <w:rFonts w:asciiTheme="minorHAnsi" w:eastAsiaTheme="minorEastAsia" w:hAnsiTheme="minorHAnsi" w:cstheme="minorBidi"/>
      <w:sz w:val="22"/>
      <w:szCs w:val="22"/>
      <w:lang w:val="en-US" w:eastAsia="zh-CN"/>
    </w:rPr>
  </w:style>
  <w:style w:type="paragraph" w:styleId="TDC9">
    <w:name w:val="toc 9"/>
    <w:basedOn w:val="Normal"/>
    <w:next w:val="Normal"/>
    <w:autoRedefine/>
    <w:uiPriority w:val="39"/>
    <w:unhideWhenUsed/>
    <w:rsid w:val="007666A4"/>
    <w:pPr>
      <w:bidi/>
      <w:spacing w:after="100" w:line="259" w:lineRule="auto"/>
      <w:ind w:left="1760"/>
    </w:pPr>
    <w:rPr>
      <w:rFonts w:asciiTheme="minorHAnsi" w:eastAsiaTheme="minorEastAsia" w:hAnsiTheme="minorHAnsi" w:cstheme="minorBidi"/>
      <w:sz w:val="22"/>
      <w:szCs w:val="22"/>
      <w:lang w:val="en-US" w:eastAsia="zh-CN"/>
    </w:rPr>
  </w:style>
  <w:style w:type="paragraph" w:customStyle="1" w:styleId="Char2">
    <w:name w:val="Char2"/>
    <w:basedOn w:val="Normal"/>
    <w:link w:val="Refdenotaalpie"/>
    <w:rsid w:val="007666A4"/>
    <w:pPr>
      <w:spacing w:after="160" w:line="240" w:lineRule="exact"/>
      <w:jc w:val="both"/>
    </w:pPr>
    <w:rPr>
      <w:sz w:val="18"/>
      <w:vertAlign w:val="superscript"/>
      <w:lang w:val="en-US" w:eastAsia="zh-CN"/>
    </w:rPr>
  </w:style>
  <w:style w:type="character" w:customStyle="1" w:styleId="UnresolvedMention1">
    <w:name w:val="Unresolved Mention1"/>
    <w:basedOn w:val="Fuentedeprrafopredeter"/>
    <w:uiPriority w:val="99"/>
    <w:semiHidden/>
    <w:unhideWhenUsed/>
    <w:rsid w:val="007666A4"/>
    <w:rPr>
      <w:color w:val="605E5C"/>
      <w:shd w:val="clear" w:color="auto" w:fill="E1DFDD"/>
    </w:rPr>
  </w:style>
  <w:style w:type="table" w:customStyle="1" w:styleId="TableGrid1">
    <w:name w:val="Table Grid1"/>
    <w:basedOn w:val="Tablanormal"/>
    <w:rsid w:val="007666A4"/>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PrrafodelistaCar">
    <w:name w:val="Párrafo de lista Car"/>
    <w:aliases w:val="YC Bulet Car"/>
    <w:link w:val="Prrafodelista"/>
    <w:rsid w:val="007666A4"/>
    <w:rPr>
      <w:rFonts w:eastAsia="PMingLiU" w:cs="Simplified Arabic"/>
      <w:szCs w:val="22"/>
      <w:lang w:eastAsia="en-US"/>
    </w:rPr>
  </w:style>
  <w:style w:type="paragraph" w:customStyle="1" w:styleId="msolistparagraph0">
    <w:name w:val="msolistparagraph"/>
    <w:basedOn w:val="Normal"/>
    <w:rsid w:val="007666A4"/>
    <w:pPr>
      <w:bidi/>
      <w:spacing w:line="240" w:lineRule="auto"/>
      <w:ind w:left="720"/>
      <w:contextualSpacing/>
    </w:pPr>
    <w:rPr>
      <w:sz w:val="24"/>
      <w:szCs w:val="24"/>
      <w:lang w:val="en-US" w:eastAsia="en-US"/>
    </w:rPr>
  </w:style>
  <w:style w:type="character" w:customStyle="1" w:styleId="apple-converted-space">
    <w:name w:val="apple-converted-space"/>
    <w:rsid w:val="007666A4"/>
  </w:style>
  <w:style w:type="paragraph" w:customStyle="1" w:styleId="1">
    <w:name w:val="سرد الفقرات1"/>
    <w:basedOn w:val="Normal"/>
    <w:uiPriority w:val="34"/>
    <w:qFormat/>
    <w:rsid w:val="007666A4"/>
    <w:pPr>
      <w:widowControl w:val="0"/>
      <w:suppressAutoHyphens/>
      <w:bidi/>
      <w:spacing w:before="80" w:after="200" w:line="276" w:lineRule="auto"/>
      <w:ind w:left="720" w:firstLine="680"/>
      <w:contextualSpacing/>
      <w:jc w:val="lowKashida"/>
    </w:pPr>
    <w:rPr>
      <w:rFonts w:ascii="Calibri" w:eastAsia="Calibri" w:hAnsi="Calibri" w:cs="Arial"/>
      <w:b/>
      <w:bCs/>
      <w:spacing w:val="-6"/>
      <w:sz w:val="35"/>
      <w:szCs w:val="35"/>
      <w:lang w:val="en-US" w:eastAsia="en-US" w:bidi="ar-IQ"/>
    </w:rPr>
  </w:style>
  <w:style w:type="table" w:customStyle="1" w:styleId="21">
    <w:name w:val="جدول عادي 21"/>
    <w:basedOn w:val="Tablanormal"/>
    <w:uiPriority w:val="42"/>
    <w:rsid w:val="007666A4"/>
    <w:rPr>
      <w:rFonts w:ascii="Calibri" w:eastAsia="Calibri" w:hAnsi="Calibri" w:cs="Arial"/>
      <w:lang w:val="en-GB" w:eastAsia="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ghtShading-Accent11">
    <w:name w:val="Light Shading - Accent 11"/>
    <w:basedOn w:val="Tablanormal"/>
    <w:uiPriority w:val="60"/>
    <w:rsid w:val="007666A4"/>
    <w:rPr>
      <w:rFonts w:ascii="Calibri" w:hAnsi="Calibri" w:cs="Arial"/>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3</TotalTime>
  <Pages>52</Pages>
  <Words>31871</Words>
  <Characters>166302</Characters>
  <Application>Microsoft Office Word</Application>
  <DocSecurity>0</DocSecurity>
  <Lines>2897</Lines>
  <Paragraphs>971</Paragraphs>
  <ScaleCrop>false</ScaleCrop>
  <HeadingPairs>
    <vt:vector size="2" baseType="variant">
      <vt:variant>
        <vt:lpstr>Título</vt:lpstr>
      </vt:variant>
      <vt:variant>
        <vt:i4>1</vt:i4>
      </vt:variant>
    </vt:vector>
  </HeadingPairs>
  <TitlesOfParts>
    <vt:vector size="1" baseType="lpstr">
      <vt:lpstr>E/C.12/IRQ/5</vt:lpstr>
    </vt:vector>
  </TitlesOfParts>
  <Company/>
  <LinksUpToDate>false</LinksUpToDate>
  <CharactersWithSpaces>197645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E/C.12/IRQ/5</dc:title>
  <dc:subject/>
  <dc:creator>Angel ANGEL-MORENO-TORRES</dc:creator>
  <cp:keywords/>
  <dc:description/>
  <cp:lastModifiedBy>Angel Moreno Torres</cp:lastModifiedBy>
  <cp:revision>3</cp:revision>
  <cp:lastPrinted>2022-02-17T15:44:00Z</cp:lastPrinted>
  <dcterms:created xsi:type="dcterms:W3CDTF">2022-02-17T15:44:00Z</dcterms:created>
  <dcterms:modified xsi:type="dcterms:W3CDTF">2022-02-17T15:45:00Z</dcterms:modified>
</cp:coreProperties>
</file>