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12B12" w:rsidP="00F9080C">
            <w:pPr>
              <w:jc w:val="right"/>
            </w:pPr>
            <w:r w:rsidRPr="00D12B12">
              <w:rPr>
                <w:sz w:val="40"/>
              </w:rPr>
              <w:t>E</w:t>
            </w:r>
            <w:r>
              <w:t>/C.12/</w:t>
            </w:r>
            <w:r w:rsidR="00F9080C">
              <w:t>IRN</w:t>
            </w:r>
            <w:r>
              <w:t>/CO/</w:t>
            </w:r>
            <w:r w:rsidR="00F9080C">
              <w:t>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FB40C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12B12" w:rsidP="00D12B12">
            <w:pPr>
              <w:spacing w:before="240" w:line="240" w:lineRule="exact"/>
            </w:pPr>
            <w:r>
              <w:t xml:space="preserve">Distr.: </w:t>
            </w:r>
            <w:r w:rsidR="00DE6CB8">
              <w:t>General</w:t>
            </w:r>
          </w:p>
          <w:p w:rsidR="00D12B12" w:rsidRDefault="00E96E8B" w:rsidP="00D12B12">
            <w:pPr>
              <w:spacing w:line="240" w:lineRule="exact"/>
            </w:pPr>
            <w:r>
              <w:t>10</w:t>
            </w:r>
            <w:r w:rsidR="006B0001">
              <w:t xml:space="preserve"> June</w:t>
            </w:r>
            <w:r w:rsidR="00D12B12">
              <w:t xml:space="preserve"> 2013</w:t>
            </w:r>
          </w:p>
          <w:p w:rsidR="00D12B12" w:rsidRDefault="00D12B12" w:rsidP="00D12B12">
            <w:pPr>
              <w:spacing w:line="240" w:lineRule="exact"/>
            </w:pPr>
          </w:p>
          <w:p w:rsidR="00D12B12" w:rsidRDefault="00D12B12" w:rsidP="00D12B12">
            <w:pPr>
              <w:spacing w:line="240" w:lineRule="exact"/>
            </w:pPr>
            <w:r>
              <w:t xml:space="preserve">Original: </w:t>
            </w:r>
            <w:r w:rsidR="00E40FE1">
              <w:t>English</w:t>
            </w:r>
          </w:p>
          <w:p w:rsidR="005978F7" w:rsidRPr="003E0B8D" w:rsidRDefault="005978F7" w:rsidP="005978F7">
            <w:pPr>
              <w:spacing w:line="240" w:lineRule="exact"/>
              <w:jc w:val="center"/>
              <w:rPr>
                <w:b/>
              </w:rPr>
            </w:pPr>
          </w:p>
        </w:tc>
      </w:tr>
    </w:tbl>
    <w:p w:rsidR="00D12B12" w:rsidRDefault="00D12B12" w:rsidP="00D12B12">
      <w:pPr>
        <w:spacing w:before="120"/>
        <w:rPr>
          <w:rFonts w:eastAsia="SimHei"/>
          <w:b/>
          <w:sz w:val="24"/>
          <w:szCs w:val="24"/>
        </w:rPr>
      </w:pPr>
      <w:r>
        <w:rPr>
          <w:rFonts w:eastAsia="SimHei"/>
          <w:b/>
          <w:sz w:val="24"/>
          <w:szCs w:val="24"/>
        </w:rPr>
        <w:t>Committee on Economic, Social and Cultural Rights</w:t>
      </w:r>
    </w:p>
    <w:p w:rsidR="00D62407" w:rsidRPr="00D12B12" w:rsidRDefault="005978F7" w:rsidP="00D62407">
      <w:pPr>
        <w:pStyle w:val="HChG"/>
      </w:pPr>
      <w:r>
        <w:tab/>
      </w:r>
      <w:r>
        <w:tab/>
      </w:r>
      <w:r w:rsidR="00D12B12" w:rsidRPr="00D12B12">
        <w:t xml:space="preserve">Concluding observations on the </w:t>
      </w:r>
      <w:r w:rsidR="00F9080C">
        <w:t xml:space="preserve">second </w:t>
      </w:r>
      <w:r w:rsidR="00D12B12" w:rsidRPr="00D12B12">
        <w:t>periodic report of</w:t>
      </w:r>
      <w:r w:rsidR="00F9080C">
        <w:t xml:space="preserve"> the Islamic </w:t>
      </w:r>
      <w:smartTag w:uri="urn:schemas-microsoft-com:office:smarttags" w:element="place">
        <w:smartTag w:uri="urn:schemas-microsoft-com:office:smarttags" w:element="PlaceType">
          <w:r w:rsidR="00F9080C">
            <w:t>Republic</w:t>
          </w:r>
        </w:smartTag>
        <w:r w:rsidR="00F9080C">
          <w:t xml:space="preserve"> of </w:t>
        </w:r>
        <w:smartTag w:uri="urn:schemas-microsoft-com:office:smarttags" w:element="PlaceName">
          <w:r w:rsidR="00F9080C">
            <w:t>Iran</w:t>
          </w:r>
        </w:smartTag>
      </w:smartTag>
      <w:r w:rsidR="00D62407">
        <w:t>,</w:t>
      </w:r>
      <w:r w:rsidR="00D62407" w:rsidRPr="00D62407">
        <w:t xml:space="preserve"> </w:t>
      </w:r>
      <w:r w:rsidR="00D62407" w:rsidRPr="00B903F0">
        <w:t xml:space="preserve">adopted by the Committee at its </w:t>
      </w:r>
      <w:r w:rsidR="00D62407">
        <w:t>fiftieth</w:t>
      </w:r>
      <w:r w:rsidR="00D62407" w:rsidRPr="00B903F0">
        <w:t xml:space="preserve"> session (</w:t>
      </w:r>
      <w:r w:rsidR="00D62407">
        <w:t>29 April-17 May</w:t>
      </w:r>
      <w:r w:rsidR="00D62407" w:rsidRPr="00B903F0">
        <w:t xml:space="preserve"> 201</w:t>
      </w:r>
      <w:r w:rsidR="00D62407">
        <w:t>3</w:t>
      </w:r>
      <w:r w:rsidR="00D62407" w:rsidRPr="00B903F0">
        <w:t>)</w:t>
      </w:r>
    </w:p>
    <w:p w:rsidR="00F9080C" w:rsidRPr="006B0001" w:rsidRDefault="00B06971" w:rsidP="00B06971">
      <w:pPr>
        <w:pStyle w:val="SingleTxtG"/>
        <w:tabs>
          <w:tab w:val="left" w:pos="1701"/>
        </w:tabs>
        <w:rPr>
          <w:rFonts w:eastAsia="SimSun"/>
          <w:lang w:eastAsia="zh-CN"/>
        </w:rPr>
      </w:pPr>
      <w:r w:rsidRPr="006B0001">
        <w:rPr>
          <w:rFonts w:eastAsia="SimSun"/>
          <w:lang w:eastAsia="zh-CN"/>
        </w:rPr>
        <w:t>1.</w:t>
      </w:r>
      <w:r w:rsidRPr="006B0001">
        <w:rPr>
          <w:rFonts w:eastAsia="SimSun"/>
          <w:lang w:eastAsia="zh-CN"/>
        </w:rPr>
        <w:tab/>
      </w:r>
      <w:r w:rsidR="00F9080C" w:rsidRPr="00BF129D">
        <w:rPr>
          <w:rFonts w:eastAsia="SimSun"/>
          <w:lang w:val="en-US" w:eastAsia="zh-CN"/>
        </w:rPr>
        <w:t>The</w:t>
      </w:r>
      <w:r w:rsidR="00F9080C" w:rsidRPr="00BF129D">
        <w:rPr>
          <w:rFonts w:eastAsia="SimSun"/>
          <w:lang w:eastAsia="zh-CN"/>
        </w:rPr>
        <w:t xml:space="preserve"> Committee on Economic, Social and Cultural Rights considered the second periodic report of the Islamic Republic of </w:t>
      </w:r>
      <w:r w:rsidR="00F9080C" w:rsidRPr="0008217C">
        <w:rPr>
          <w:rFonts w:eastAsia="SimSun"/>
          <w:lang w:eastAsia="zh-CN"/>
        </w:rPr>
        <w:t>Iran on the implementation of the International Covenant on Economic, Social and Cultural Rights (E/C.12/IRN/2) at its</w:t>
      </w:r>
      <w:r w:rsidR="00F9080C" w:rsidRPr="006B0001">
        <w:rPr>
          <w:rFonts w:eastAsia="SimSun"/>
          <w:lang w:eastAsia="zh-CN"/>
        </w:rPr>
        <w:t xml:space="preserve"> </w:t>
      </w:r>
      <w:r w:rsidR="002B2CF9" w:rsidRPr="006B0001">
        <w:rPr>
          <w:rFonts w:eastAsia="SimSun"/>
          <w:lang w:eastAsia="zh-CN"/>
        </w:rPr>
        <w:t xml:space="preserve">5th </w:t>
      </w:r>
      <w:r w:rsidR="00F9080C" w:rsidRPr="006B0001">
        <w:rPr>
          <w:rFonts w:eastAsia="SimSun"/>
          <w:lang w:eastAsia="zh-CN"/>
        </w:rPr>
        <w:t xml:space="preserve">and </w:t>
      </w:r>
      <w:r w:rsidR="002B2CF9" w:rsidRPr="006B0001">
        <w:rPr>
          <w:rFonts w:eastAsia="SimSun"/>
          <w:lang w:eastAsia="zh-CN"/>
        </w:rPr>
        <w:t xml:space="preserve">6th </w:t>
      </w:r>
      <w:r w:rsidR="00F9080C" w:rsidRPr="006B0001">
        <w:rPr>
          <w:rFonts w:eastAsia="SimSun"/>
          <w:lang w:eastAsia="zh-CN"/>
        </w:rPr>
        <w:t xml:space="preserve">meetings, held on </w:t>
      </w:r>
      <w:r w:rsidR="002B2CF9" w:rsidRPr="006B0001">
        <w:rPr>
          <w:rFonts w:eastAsia="SimSun"/>
          <w:lang w:eastAsia="zh-CN"/>
        </w:rPr>
        <w:t>1 May 2013</w:t>
      </w:r>
      <w:r w:rsidR="00F9080C" w:rsidRPr="006B0001">
        <w:rPr>
          <w:rFonts w:eastAsia="SimSun"/>
          <w:lang w:eastAsia="zh-CN"/>
        </w:rPr>
        <w:t xml:space="preserve"> (E/C.12/201</w:t>
      </w:r>
      <w:r w:rsidR="0008217C" w:rsidRPr="006B0001">
        <w:rPr>
          <w:rFonts w:eastAsia="SimSun"/>
          <w:lang w:eastAsia="zh-CN"/>
        </w:rPr>
        <w:t>3</w:t>
      </w:r>
      <w:r w:rsidR="00F9080C" w:rsidRPr="006B0001">
        <w:rPr>
          <w:rFonts w:eastAsia="SimSun"/>
          <w:lang w:eastAsia="zh-CN"/>
        </w:rPr>
        <w:t>/SR.</w:t>
      </w:r>
      <w:r w:rsidR="002B2CF9" w:rsidRPr="006B0001">
        <w:rPr>
          <w:rFonts w:eastAsia="SimSun"/>
          <w:lang w:eastAsia="zh-CN"/>
        </w:rPr>
        <w:t>5</w:t>
      </w:r>
      <w:r w:rsidR="00F9080C" w:rsidRPr="006B0001">
        <w:rPr>
          <w:rFonts w:eastAsia="SimSun"/>
          <w:lang w:eastAsia="zh-CN"/>
        </w:rPr>
        <w:t>-</w:t>
      </w:r>
      <w:r w:rsidR="002B2CF9" w:rsidRPr="006B0001">
        <w:rPr>
          <w:rFonts w:eastAsia="SimSun"/>
          <w:lang w:eastAsia="zh-CN"/>
        </w:rPr>
        <w:t>6</w:t>
      </w:r>
      <w:r w:rsidR="00F9080C" w:rsidRPr="006B0001">
        <w:rPr>
          <w:rFonts w:eastAsia="SimSun"/>
          <w:lang w:eastAsia="zh-CN"/>
        </w:rPr>
        <w:t xml:space="preserve">), and adopted at its </w:t>
      </w:r>
      <w:r w:rsidR="00E40FE1" w:rsidRPr="006B0001">
        <w:rPr>
          <w:rFonts w:eastAsia="SimSun"/>
          <w:lang w:eastAsia="zh-CN"/>
        </w:rPr>
        <w:t xml:space="preserve">28th </w:t>
      </w:r>
      <w:r w:rsidR="00F9080C" w:rsidRPr="006B0001">
        <w:rPr>
          <w:rFonts w:eastAsia="SimSun"/>
          <w:lang w:eastAsia="zh-CN"/>
        </w:rPr>
        <w:t>meeting</w:t>
      </w:r>
      <w:r w:rsidR="006B0001">
        <w:rPr>
          <w:rFonts w:eastAsia="SimSun"/>
          <w:lang w:eastAsia="zh-CN"/>
        </w:rPr>
        <w:t>,</w:t>
      </w:r>
      <w:r w:rsidR="00F9080C" w:rsidRPr="006B0001">
        <w:rPr>
          <w:rFonts w:eastAsia="SimSun"/>
          <w:lang w:eastAsia="zh-CN"/>
        </w:rPr>
        <w:t xml:space="preserve"> held on</w:t>
      </w:r>
      <w:r w:rsidR="0008217C" w:rsidRPr="006B0001">
        <w:rPr>
          <w:rFonts w:eastAsia="SimSun"/>
          <w:lang w:eastAsia="zh-CN"/>
        </w:rPr>
        <w:t xml:space="preserve"> </w:t>
      </w:r>
      <w:r w:rsidR="00E40FE1" w:rsidRPr="006B0001">
        <w:rPr>
          <w:rFonts w:eastAsia="SimSun"/>
          <w:lang w:eastAsia="zh-CN"/>
        </w:rPr>
        <w:t>17 May 2013</w:t>
      </w:r>
      <w:r w:rsidR="00F9080C" w:rsidRPr="006B0001">
        <w:rPr>
          <w:rFonts w:eastAsia="SimSun"/>
          <w:lang w:eastAsia="zh-CN"/>
        </w:rPr>
        <w:t>, the following concluding observation</w:t>
      </w:r>
      <w:r w:rsidR="00F9080C" w:rsidRPr="006B0001">
        <w:rPr>
          <w:rFonts w:eastAsia="SimSun"/>
          <w:b/>
          <w:lang w:eastAsia="zh-CN"/>
        </w:rPr>
        <w:t>s</w:t>
      </w:r>
      <w:r w:rsidR="00F9080C" w:rsidRPr="006B0001">
        <w:rPr>
          <w:rFonts w:eastAsia="SimSun"/>
          <w:b/>
          <w:lang w:val="en-US" w:eastAsia="zh-CN"/>
        </w:rPr>
        <w:t>.</w:t>
      </w:r>
    </w:p>
    <w:p w:rsidR="00F9080C" w:rsidRPr="00D26C27" w:rsidRDefault="00F9080C" w:rsidP="00F9080C">
      <w:pPr>
        <w:pStyle w:val="H1G"/>
        <w:rPr>
          <w:rFonts w:eastAsia="SimSun"/>
          <w:lang w:eastAsia="zh-CN"/>
        </w:rPr>
      </w:pPr>
      <w:r w:rsidRPr="00C9198F">
        <w:rPr>
          <w:rFonts w:eastAsia="SimSun"/>
          <w:lang w:eastAsia="zh-CN"/>
        </w:rPr>
        <w:tab/>
        <w:t>A.</w:t>
      </w:r>
      <w:r w:rsidRPr="00C9198F">
        <w:rPr>
          <w:rFonts w:eastAsia="SimSun"/>
          <w:lang w:eastAsia="zh-CN"/>
        </w:rPr>
        <w:tab/>
      </w:r>
      <w:r w:rsidRPr="00D26C27">
        <w:rPr>
          <w:rFonts w:eastAsia="SimSun"/>
          <w:lang w:eastAsia="zh-CN"/>
        </w:rPr>
        <w:t>Introduction</w:t>
      </w:r>
    </w:p>
    <w:p w:rsidR="00F9080C" w:rsidRPr="00C9198F" w:rsidRDefault="00B06971" w:rsidP="00B06971">
      <w:pPr>
        <w:pStyle w:val="SingleTxtG"/>
        <w:tabs>
          <w:tab w:val="left" w:pos="1701"/>
        </w:tabs>
        <w:rPr>
          <w:rFonts w:eastAsia="SimSun"/>
          <w:lang w:val="en-US" w:eastAsia="zh-CN"/>
        </w:rPr>
      </w:pPr>
      <w:r w:rsidRPr="00C9198F">
        <w:rPr>
          <w:rFonts w:eastAsia="SimSun"/>
          <w:lang w:val="en-US" w:eastAsia="zh-CN"/>
        </w:rPr>
        <w:t>2.</w:t>
      </w:r>
      <w:r w:rsidRPr="00C9198F">
        <w:rPr>
          <w:rFonts w:eastAsia="SimSun"/>
          <w:lang w:val="en-US" w:eastAsia="zh-CN"/>
        </w:rPr>
        <w:tab/>
      </w:r>
      <w:r w:rsidR="00F9080C" w:rsidRPr="00D26C27">
        <w:rPr>
          <w:rFonts w:eastAsia="SimSun"/>
          <w:lang w:val="en-US" w:eastAsia="zh-CN"/>
        </w:rPr>
        <w:t xml:space="preserve">The </w:t>
      </w:r>
      <w:r w:rsidR="00F9080C" w:rsidRPr="00D26C27">
        <w:rPr>
          <w:rFonts w:eastAsia="SimSun"/>
          <w:lang w:eastAsia="zh-CN"/>
        </w:rPr>
        <w:t>Committee</w:t>
      </w:r>
      <w:r w:rsidR="00F9080C" w:rsidRPr="00D26C27">
        <w:rPr>
          <w:rFonts w:eastAsia="SimSun"/>
          <w:lang w:val="en-US" w:eastAsia="zh-CN"/>
        </w:rPr>
        <w:t xml:space="preserve"> welcomes the second periodic report of the Islamic</w:t>
      </w:r>
      <w:r w:rsidR="00F9080C" w:rsidRPr="00C9198F">
        <w:rPr>
          <w:rFonts w:eastAsia="SimSun"/>
          <w:lang w:val="en-US" w:eastAsia="zh-CN"/>
        </w:rPr>
        <w:t xml:space="preserve"> Republic of Iran (E/C.12/IRN/2)</w:t>
      </w:r>
      <w:r w:rsidR="002B2CF9">
        <w:rPr>
          <w:rFonts w:eastAsia="SimSun"/>
          <w:lang w:val="en-US" w:eastAsia="zh-CN"/>
        </w:rPr>
        <w:t xml:space="preserve">, </w:t>
      </w:r>
      <w:r w:rsidR="009A2C7F">
        <w:rPr>
          <w:rFonts w:eastAsia="SimSun"/>
          <w:lang w:val="en-US" w:eastAsia="zh-CN"/>
        </w:rPr>
        <w:t xml:space="preserve">noting, however, that the delay in its submission </w:t>
      </w:r>
      <w:r w:rsidR="003E2675" w:rsidRPr="00F463B4">
        <w:rPr>
          <w:rFonts w:eastAsia="SimSun"/>
          <w:lang w:val="en-US" w:eastAsia="zh-CN"/>
        </w:rPr>
        <w:t xml:space="preserve">following the report considered in 1993 </w:t>
      </w:r>
      <w:r w:rsidR="009A2C7F">
        <w:rPr>
          <w:rFonts w:eastAsia="SimSun"/>
          <w:lang w:val="en-US" w:eastAsia="zh-CN"/>
        </w:rPr>
        <w:t>had</w:t>
      </w:r>
      <w:r w:rsidR="009A2C7F" w:rsidRPr="00F463B4">
        <w:rPr>
          <w:rFonts w:eastAsia="SimSun"/>
          <w:lang w:val="en-US" w:eastAsia="zh-CN"/>
        </w:rPr>
        <w:t xml:space="preserve"> </w:t>
      </w:r>
      <w:r w:rsidR="003E2675" w:rsidRPr="00F463B4">
        <w:rPr>
          <w:rFonts w:eastAsia="SimSun"/>
          <w:lang w:val="en-US" w:eastAsia="zh-CN"/>
        </w:rPr>
        <w:t>prevented the Committee</w:t>
      </w:r>
      <w:r w:rsidR="00727A5D" w:rsidRPr="00F463B4">
        <w:rPr>
          <w:rFonts w:eastAsia="SimSun"/>
          <w:lang w:val="en-US" w:eastAsia="zh-CN"/>
        </w:rPr>
        <w:t xml:space="preserve"> </w:t>
      </w:r>
      <w:r w:rsidR="00D62407" w:rsidRPr="00F463B4">
        <w:rPr>
          <w:rFonts w:eastAsia="SimSun"/>
          <w:lang w:val="en-US" w:eastAsia="zh-CN"/>
        </w:rPr>
        <w:t xml:space="preserve">from </w:t>
      </w:r>
      <w:r w:rsidR="003E2675" w:rsidRPr="00F463B4">
        <w:rPr>
          <w:rFonts w:eastAsia="SimSun"/>
          <w:lang w:val="en-US" w:eastAsia="zh-CN"/>
        </w:rPr>
        <w:t>maintain</w:t>
      </w:r>
      <w:r w:rsidR="00727A5D" w:rsidRPr="00F463B4">
        <w:rPr>
          <w:rFonts w:eastAsia="SimSun"/>
          <w:lang w:val="en-US" w:eastAsia="zh-CN"/>
        </w:rPr>
        <w:t>ing</w:t>
      </w:r>
      <w:r w:rsidR="003E2675" w:rsidRPr="00F463B4">
        <w:rPr>
          <w:rFonts w:eastAsia="SimSun"/>
          <w:lang w:val="en-US" w:eastAsia="zh-CN"/>
        </w:rPr>
        <w:t xml:space="preserve"> </w:t>
      </w:r>
      <w:r w:rsidR="00727A5D" w:rsidRPr="00F463B4">
        <w:rPr>
          <w:rFonts w:eastAsia="SimSun"/>
          <w:lang w:val="en-US" w:eastAsia="zh-CN"/>
        </w:rPr>
        <w:t xml:space="preserve">a regular </w:t>
      </w:r>
      <w:r w:rsidR="003E2675" w:rsidRPr="00F463B4">
        <w:rPr>
          <w:rFonts w:eastAsia="SimSun"/>
          <w:lang w:val="en-US" w:eastAsia="zh-CN"/>
        </w:rPr>
        <w:t>dialogue with the State party</w:t>
      </w:r>
      <w:r w:rsidR="0001434F" w:rsidRPr="00F463B4">
        <w:rPr>
          <w:rFonts w:eastAsia="SimSun"/>
          <w:lang w:val="en-US" w:eastAsia="zh-CN"/>
        </w:rPr>
        <w:t>.</w:t>
      </w:r>
      <w:r w:rsidR="0001434F">
        <w:rPr>
          <w:rFonts w:eastAsia="SimSun"/>
          <w:lang w:val="en-US" w:eastAsia="zh-CN"/>
        </w:rPr>
        <w:t xml:space="preserve"> The Committee also welcomes</w:t>
      </w:r>
      <w:r w:rsidR="003E2675">
        <w:rPr>
          <w:rFonts w:eastAsia="SimSun"/>
          <w:lang w:val="en-US" w:eastAsia="zh-CN"/>
        </w:rPr>
        <w:t xml:space="preserve"> </w:t>
      </w:r>
      <w:r w:rsidR="00F9080C" w:rsidRPr="00C9198F">
        <w:rPr>
          <w:rFonts w:eastAsia="SimSun"/>
          <w:lang w:val="en-US" w:eastAsia="zh-CN"/>
        </w:rPr>
        <w:t xml:space="preserve">the replies to </w:t>
      </w:r>
      <w:r w:rsidR="0001434F">
        <w:rPr>
          <w:rFonts w:eastAsia="SimSun"/>
          <w:lang w:val="en-US" w:eastAsia="zh-CN"/>
        </w:rPr>
        <w:t>the</w:t>
      </w:r>
      <w:r w:rsidR="0001434F" w:rsidRPr="00C9198F">
        <w:rPr>
          <w:rFonts w:eastAsia="SimSun"/>
          <w:lang w:val="en-US" w:eastAsia="zh-CN"/>
        </w:rPr>
        <w:t xml:space="preserve"> </w:t>
      </w:r>
      <w:r w:rsidR="00F9080C" w:rsidRPr="00C9198F">
        <w:rPr>
          <w:rFonts w:eastAsia="SimSun"/>
          <w:lang w:val="en-US" w:eastAsia="zh-CN"/>
        </w:rPr>
        <w:t>list of issues (</w:t>
      </w:r>
      <w:r w:rsidR="00F9080C" w:rsidRPr="00C9198F">
        <w:t>E/C.12/IRN/Q/2/Add.1)</w:t>
      </w:r>
      <w:r w:rsidR="0001434F">
        <w:t>, but</w:t>
      </w:r>
      <w:r w:rsidR="002B2CF9">
        <w:t xml:space="preserve"> </w:t>
      </w:r>
      <w:r w:rsidR="003E2675">
        <w:t>regrets</w:t>
      </w:r>
      <w:r w:rsidR="00905795">
        <w:t xml:space="preserve"> </w:t>
      </w:r>
      <w:r w:rsidR="003E2675">
        <w:t xml:space="preserve">that the </w:t>
      </w:r>
      <w:r w:rsidR="00905795">
        <w:t>State party</w:t>
      </w:r>
      <w:r w:rsidR="003E2675">
        <w:t xml:space="preserve"> </w:t>
      </w:r>
      <w:r w:rsidR="00905795">
        <w:t xml:space="preserve">did not provide </w:t>
      </w:r>
      <w:r w:rsidR="003E2675">
        <w:t xml:space="preserve">adequate responses to some of </w:t>
      </w:r>
      <w:r w:rsidR="00905795">
        <w:t xml:space="preserve">the </w:t>
      </w:r>
      <w:r w:rsidR="003E2675">
        <w:t>questions</w:t>
      </w:r>
      <w:r w:rsidR="00905795">
        <w:t xml:space="preserve"> posed</w:t>
      </w:r>
      <w:r w:rsidR="003E2675">
        <w:t>.</w:t>
      </w:r>
      <w:r w:rsidR="00F55494">
        <w:t xml:space="preserve"> </w:t>
      </w:r>
    </w:p>
    <w:p w:rsidR="00F9080C" w:rsidRPr="00C9198F" w:rsidRDefault="00F9080C" w:rsidP="00F9080C">
      <w:pPr>
        <w:pStyle w:val="H1G"/>
        <w:rPr>
          <w:rFonts w:eastAsia="SimSun"/>
          <w:lang w:val="en-US" w:eastAsia="zh-CN"/>
        </w:rPr>
      </w:pPr>
      <w:r w:rsidRPr="00C9198F">
        <w:rPr>
          <w:rFonts w:eastAsia="SimSun"/>
          <w:b w:val="0"/>
          <w:lang w:val="en-US" w:eastAsia="zh-CN"/>
        </w:rPr>
        <w:tab/>
      </w:r>
      <w:r w:rsidRPr="00C9198F">
        <w:rPr>
          <w:rFonts w:eastAsia="SimSun"/>
          <w:lang w:val="en-US" w:eastAsia="zh-CN"/>
        </w:rPr>
        <w:t>B.</w:t>
      </w:r>
      <w:r w:rsidRPr="00C9198F">
        <w:rPr>
          <w:rFonts w:eastAsia="SimSun"/>
          <w:lang w:val="en-US" w:eastAsia="zh-CN"/>
        </w:rPr>
        <w:tab/>
        <w:t>Positive aspects</w:t>
      </w:r>
    </w:p>
    <w:p w:rsidR="00F9080C" w:rsidRPr="00C9198F" w:rsidRDefault="00B06971" w:rsidP="00B06971">
      <w:pPr>
        <w:pStyle w:val="SingleTxtG"/>
        <w:tabs>
          <w:tab w:val="left" w:pos="1701"/>
        </w:tabs>
        <w:rPr>
          <w:rFonts w:eastAsia="SimSun"/>
          <w:lang w:val="en-US" w:eastAsia="zh-CN"/>
        </w:rPr>
      </w:pPr>
      <w:r w:rsidRPr="00C9198F">
        <w:rPr>
          <w:rFonts w:eastAsia="SimSun"/>
          <w:lang w:val="en-US" w:eastAsia="zh-CN"/>
        </w:rPr>
        <w:t>3.</w:t>
      </w:r>
      <w:r w:rsidRPr="00C9198F">
        <w:rPr>
          <w:rFonts w:eastAsia="SimSun"/>
          <w:lang w:val="en-US" w:eastAsia="zh-CN"/>
        </w:rPr>
        <w:tab/>
      </w:r>
      <w:r w:rsidR="00F9080C" w:rsidRPr="00C9198F">
        <w:rPr>
          <w:rFonts w:eastAsia="SimSun"/>
          <w:lang w:val="en-US" w:eastAsia="zh-CN"/>
        </w:rPr>
        <w:t>The Committee notes with appreciation:</w:t>
      </w:r>
    </w:p>
    <w:p w:rsidR="00D22036" w:rsidRDefault="00F9080C" w:rsidP="00F9080C">
      <w:pPr>
        <w:pStyle w:val="SingleTxtG"/>
        <w:tabs>
          <w:tab w:val="left" w:pos="2268"/>
        </w:tabs>
        <w:ind w:firstLine="567"/>
      </w:pPr>
      <w:r w:rsidRPr="00C9198F">
        <w:t>(a)</w:t>
      </w:r>
      <w:r w:rsidRPr="00C9198F">
        <w:tab/>
      </w:r>
      <w:r w:rsidR="0001434F">
        <w:t>T</w:t>
      </w:r>
      <w:r w:rsidR="00D22036">
        <w:t>he significant improvement in narrowing the developmental gap, as reflected by the 67 per</w:t>
      </w:r>
      <w:r w:rsidR="0001434F">
        <w:t xml:space="preserve"> </w:t>
      </w:r>
      <w:r w:rsidR="00D22036">
        <w:t xml:space="preserve">cent increase in </w:t>
      </w:r>
      <w:r w:rsidR="0089500E">
        <w:t>the State party’s</w:t>
      </w:r>
      <w:r w:rsidR="00E77ADC">
        <w:t xml:space="preserve"> </w:t>
      </w:r>
      <w:r w:rsidR="00D22036">
        <w:t xml:space="preserve">human development index </w:t>
      </w:r>
      <w:r w:rsidR="00E77ADC">
        <w:t xml:space="preserve">value </w:t>
      </w:r>
      <w:r w:rsidR="00D22036">
        <w:t>between 1980 and 2012;</w:t>
      </w:r>
    </w:p>
    <w:p w:rsidR="00932173" w:rsidRDefault="00D22036" w:rsidP="00F9080C">
      <w:pPr>
        <w:pStyle w:val="SingleTxtG"/>
        <w:tabs>
          <w:tab w:val="left" w:pos="2268"/>
        </w:tabs>
        <w:ind w:firstLine="567"/>
      </w:pPr>
      <w:r>
        <w:t>(b)</w:t>
      </w:r>
      <w:r>
        <w:tab/>
      </w:r>
      <w:r w:rsidR="0001434F">
        <w:t>T</w:t>
      </w:r>
      <w:r w:rsidR="00932173">
        <w:t xml:space="preserve">he decrease in the ratio of the population with an income under </w:t>
      </w:r>
      <w:r w:rsidR="0001434F">
        <w:t>US$ </w:t>
      </w:r>
      <w:r w:rsidR="00932173">
        <w:t xml:space="preserve">1.25 </w:t>
      </w:r>
      <w:r w:rsidR="00E77ADC">
        <w:t>(</w:t>
      </w:r>
      <w:r w:rsidR="00932173">
        <w:t>purchasing power parity</w:t>
      </w:r>
      <w:r w:rsidR="00E77ADC">
        <w:t>) per day</w:t>
      </w:r>
      <w:r w:rsidR="00932173">
        <w:t>;</w:t>
      </w:r>
    </w:p>
    <w:p w:rsidR="00F9080C" w:rsidRDefault="00932173" w:rsidP="00F9080C">
      <w:pPr>
        <w:pStyle w:val="SingleTxtG"/>
        <w:tabs>
          <w:tab w:val="left" w:pos="2268"/>
        </w:tabs>
        <w:ind w:firstLine="567"/>
      </w:pPr>
      <w:r>
        <w:t>(c)</w:t>
      </w:r>
      <w:r>
        <w:tab/>
      </w:r>
      <w:r w:rsidR="00E77ADC">
        <w:t>T</w:t>
      </w:r>
      <w:r w:rsidR="00F9080C" w:rsidRPr="00C9198F">
        <w:t>he</w:t>
      </w:r>
      <w:r w:rsidR="006A7BF9">
        <w:t xml:space="preserve"> formulation in 2006 of the National Comprehensive Housing Plan and the adopt</w:t>
      </w:r>
      <w:r w:rsidR="00727A5D">
        <w:t>ion</w:t>
      </w:r>
      <w:r w:rsidR="006A7BF9">
        <w:t xml:space="preserve"> in 2007 of the Law on Regulating and Supporting Housing Production and Supply</w:t>
      </w:r>
      <w:r w:rsidR="00F9080C" w:rsidRPr="00C9198F">
        <w:t>;</w:t>
      </w:r>
    </w:p>
    <w:p w:rsidR="006A7BF9" w:rsidRPr="00C9198F" w:rsidRDefault="006A7BF9" w:rsidP="00F9080C">
      <w:pPr>
        <w:pStyle w:val="SingleTxtG"/>
        <w:tabs>
          <w:tab w:val="left" w:pos="2268"/>
        </w:tabs>
        <w:ind w:firstLine="567"/>
      </w:pPr>
      <w:r>
        <w:t>(</w:t>
      </w:r>
      <w:r w:rsidR="00932173">
        <w:t>d</w:t>
      </w:r>
      <w:r>
        <w:t>)</w:t>
      </w:r>
      <w:r>
        <w:tab/>
      </w:r>
      <w:r w:rsidR="00A73D0D">
        <w:t>T</w:t>
      </w:r>
      <w:r w:rsidR="00932173">
        <w:t>he significant increase in the number of women enrolled in the higher education system.</w:t>
      </w:r>
    </w:p>
    <w:p w:rsidR="00F9080C" w:rsidRPr="007902DF" w:rsidRDefault="00F9080C" w:rsidP="00F9080C">
      <w:pPr>
        <w:keepNext/>
        <w:keepLines/>
        <w:tabs>
          <w:tab w:val="right" w:pos="851"/>
        </w:tabs>
        <w:spacing w:before="360" w:after="240" w:line="270" w:lineRule="exact"/>
        <w:ind w:left="1134" w:right="1134" w:hanging="1134"/>
        <w:rPr>
          <w:rFonts w:eastAsia="SimSun"/>
          <w:b/>
          <w:sz w:val="24"/>
          <w:lang w:val="en-US" w:eastAsia="zh-CN"/>
        </w:rPr>
      </w:pPr>
      <w:r w:rsidRPr="00C9198F">
        <w:rPr>
          <w:rFonts w:eastAsia="SimSun"/>
          <w:b/>
          <w:sz w:val="24"/>
          <w:lang w:val="en-US" w:eastAsia="zh-CN"/>
        </w:rPr>
        <w:tab/>
        <w:t>C.</w:t>
      </w:r>
      <w:r w:rsidRPr="00C9198F">
        <w:rPr>
          <w:rFonts w:eastAsia="SimSun"/>
          <w:b/>
          <w:sz w:val="24"/>
          <w:lang w:val="en-US" w:eastAsia="zh-CN"/>
        </w:rPr>
        <w:tab/>
      </w:r>
      <w:r w:rsidRPr="007902DF">
        <w:rPr>
          <w:rFonts w:eastAsia="SimSun"/>
          <w:b/>
          <w:sz w:val="24"/>
          <w:lang w:val="en-US" w:eastAsia="zh-CN"/>
        </w:rPr>
        <w:t>Principal subjects of concern and recommendations</w:t>
      </w:r>
    </w:p>
    <w:p w:rsidR="00085D38" w:rsidRPr="003A2A49" w:rsidRDefault="00B06971" w:rsidP="00B06971">
      <w:pPr>
        <w:pStyle w:val="SingleTxtG"/>
        <w:tabs>
          <w:tab w:val="left" w:pos="1701"/>
        </w:tabs>
        <w:rPr>
          <w:rFonts w:eastAsia="SimSun"/>
          <w:lang w:val="en-US" w:eastAsia="zh-CN"/>
        </w:rPr>
      </w:pPr>
      <w:r w:rsidRPr="003A2A49">
        <w:rPr>
          <w:rFonts w:eastAsia="SimSun"/>
          <w:lang w:val="en-US" w:eastAsia="zh-CN"/>
        </w:rPr>
        <w:t>4.</w:t>
      </w:r>
      <w:r w:rsidRPr="003A2A49">
        <w:rPr>
          <w:rFonts w:eastAsia="SimSun"/>
          <w:lang w:val="en-US" w:eastAsia="zh-CN"/>
        </w:rPr>
        <w:tab/>
      </w:r>
      <w:r w:rsidR="00085D38" w:rsidRPr="00424E9A">
        <w:rPr>
          <w:rFonts w:eastAsia="SimSun"/>
          <w:lang w:val="en-GB" w:eastAsia="zh-CN"/>
        </w:rPr>
        <w:t>The</w:t>
      </w:r>
      <w:r w:rsidR="00085D38" w:rsidRPr="008A4332">
        <w:rPr>
          <w:rFonts w:eastAsia="SimSun"/>
          <w:lang w:val="en-US" w:eastAsia="zh-CN"/>
        </w:rPr>
        <w:t xml:space="preserve"> Committee is concerned that the</w:t>
      </w:r>
      <w:r w:rsidR="00085D38" w:rsidRPr="00085D38">
        <w:rPr>
          <w:rFonts w:eastAsia="SimSun"/>
          <w:lang w:val="en-US" w:eastAsia="zh-CN"/>
        </w:rPr>
        <w:t xml:space="preserve"> State party interprets articles 4 and 20 of its Constitution in a manne</w:t>
      </w:r>
      <w:r w:rsidR="003A2A49">
        <w:rPr>
          <w:rFonts w:eastAsia="SimSun"/>
          <w:lang w:val="en-US" w:eastAsia="zh-CN"/>
        </w:rPr>
        <w:t xml:space="preserve">r that is inconsistent with its obligations emanating from </w:t>
      </w:r>
      <w:r w:rsidR="00085D38" w:rsidRPr="00085D38">
        <w:rPr>
          <w:rFonts w:eastAsia="SimSun"/>
          <w:lang w:val="en-US" w:eastAsia="zh-CN"/>
        </w:rPr>
        <w:t xml:space="preserve">the Covenant, including </w:t>
      </w:r>
      <w:r w:rsidR="003A2A49">
        <w:rPr>
          <w:rFonts w:eastAsia="SimSun"/>
          <w:lang w:val="en-US" w:eastAsia="zh-CN"/>
        </w:rPr>
        <w:t xml:space="preserve">with regard to the issues </w:t>
      </w:r>
      <w:r w:rsidR="00085D38" w:rsidRPr="00085D38">
        <w:rPr>
          <w:rFonts w:eastAsia="SimSun"/>
          <w:lang w:val="en-US" w:eastAsia="zh-CN"/>
        </w:rPr>
        <w:t xml:space="preserve">covered </w:t>
      </w:r>
      <w:r w:rsidR="00085D38" w:rsidRPr="003A2A49">
        <w:rPr>
          <w:rFonts w:eastAsia="SimSun"/>
          <w:lang w:val="en-US" w:eastAsia="zh-CN"/>
        </w:rPr>
        <w:t xml:space="preserve">in paragraphs </w:t>
      </w:r>
      <w:r w:rsidR="003E4984">
        <w:rPr>
          <w:rFonts w:eastAsia="SimSun"/>
          <w:lang w:val="en-US" w:eastAsia="zh-CN"/>
        </w:rPr>
        <w:t xml:space="preserve">7, 9, 12 and 18 </w:t>
      </w:r>
      <w:r w:rsidR="003A2A49" w:rsidRPr="003A2A49">
        <w:rPr>
          <w:rFonts w:eastAsia="SimSun"/>
          <w:lang w:val="en-US" w:eastAsia="zh-CN"/>
        </w:rPr>
        <w:t>of the present concluding observations</w:t>
      </w:r>
      <w:r w:rsidR="00085D38" w:rsidRPr="003A2A49">
        <w:rPr>
          <w:rFonts w:eastAsia="SimSun"/>
          <w:lang w:val="en-US" w:eastAsia="zh-CN"/>
        </w:rPr>
        <w:t xml:space="preserve">. </w:t>
      </w:r>
    </w:p>
    <w:p w:rsidR="003A2A49" w:rsidRDefault="00A245A7" w:rsidP="00A245A7">
      <w:pPr>
        <w:pStyle w:val="SingleTxtG"/>
        <w:rPr>
          <w:b/>
        </w:rPr>
      </w:pPr>
      <w:r w:rsidRPr="003A2A49">
        <w:rPr>
          <w:b/>
        </w:rPr>
        <w:t>The Committee recommends that the State party ensure that all the obligations of the</w:t>
      </w:r>
      <w:r w:rsidRPr="00193193">
        <w:rPr>
          <w:b/>
        </w:rPr>
        <w:t xml:space="preserve"> Covenant are fully respected u</w:t>
      </w:r>
      <w:r w:rsidR="003A2A49">
        <w:rPr>
          <w:b/>
        </w:rPr>
        <w:t xml:space="preserve">nder all circumstances and that Constitutional provisions, in particular articles 4 and 20, </w:t>
      </w:r>
      <w:r w:rsidRPr="00193193">
        <w:rPr>
          <w:b/>
        </w:rPr>
        <w:t xml:space="preserve">are </w:t>
      </w:r>
      <w:r w:rsidR="008A4332">
        <w:rPr>
          <w:b/>
        </w:rPr>
        <w:t>applied in a manner consistent with the provisions of the Covenant</w:t>
      </w:r>
      <w:r w:rsidRPr="00193193">
        <w:rPr>
          <w:b/>
        </w:rPr>
        <w:t>.</w:t>
      </w:r>
      <w:r>
        <w:rPr>
          <w:b/>
        </w:rPr>
        <w:t xml:space="preserve"> The Committee draws the attention of the State party to its </w:t>
      </w:r>
      <w:r w:rsidR="00A73D0D">
        <w:rPr>
          <w:b/>
        </w:rPr>
        <w:t>g</w:t>
      </w:r>
      <w:r>
        <w:rPr>
          <w:b/>
        </w:rPr>
        <w:t xml:space="preserve">eneral </w:t>
      </w:r>
      <w:r w:rsidR="00A73D0D">
        <w:rPr>
          <w:b/>
        </w:rPr>
        <w:t>c</w:t>
      </w:r>
      <w:r>
        <w:rPr>
          <w:b/>
        </w:rPr>
        <w:t>omments No.</w:t>
      </w:r>
      <w:r w:rsidR="00A73D0D">
        <w:rPr>
          <w:b/>
        </w:rPr>
        <w:t xml:space="preserve"> </w:t>
      </w:r>
      <w:r>
        <w:rPr>
          <w:b/>
        </w:rPr>
        <w:t>3 (1990) on t</w:t>
      </w:r>
      <w:r w:rsidRPr="005976DF">
        <w:rPr>
          <w:b/>
        </w:rPr>
        <w:t>he nature of States parties</w:t>
      </w:r>
      <w:r w:rsidR="00A73D0D">
        <w:rPr>
          <w:b/>
        </w:rPr>
        <w:t>’</w:t>
      </w:r>
      <w:r w:rsidRPr="005976DF">
        <w:rPr>
          <w:b/>
        </w:rPr>
        <w:t xml:space="preserve"> obligations and No.</w:t>
      </w:r>
      <w:r w:rsidR="00A73D0D">
        <w:rPr>
          <w:b/>
        </w:rPr>
        <w:t> </w:t>
      </w:r>
      <w:r w:rsidRPr="005976DF">
        <w:rPr>
          <w:b/>
        </w:rPr>
        <w:t>9 (1998) on the domes</w:t>
      </w:r>
      <w:r w:rsidR="003A2A49">
        <w:rPr>
          <w:b/>
        </w:rPr>
        <w:t xml:space="preserve">tic application of the Covenant, and </w:t>
      </w:r>
      <w:r w:rsidR="000D0663">
        <w:rPr>
          <w:b/>
        </w:rPr>
        <w:t>refers to the</w:t>
      </w:r>
      <w:r w:rsidR="00A73D0D">
        <w:rPr>
          <w:b/>
        </w:rPr>
        <w:t xml:space="preserve"> duty of</w:t>
      </w:r>
      <w:r w:rsidR="000D0663">
        <w:rPr>
          <w:b/>
        </w:rPr>
        <w:t xml:space="preserve"> States parties</w:t>
      </w:r>
      <w:r w:rsidR="003A2A49">
        <w:rPr>
          <w:b/>
        </w:rPr>
        <w:t>, re</w:t>
      </w:r>
      <w:r w:rsidR="003A2A49" w:rsidRPr="003A2A49">
        <w:rPr>
          <w:b/>
        </w:rPr>
        <w:t xml:space="preserve">gardless of </w:t>
      </w:r>
      <w:r w:rsidR="000D0663">
        <w:rPr>
          <w:b/>
        </w:rPr>
        <w:t>their</w:t>
      </w:r>
      <w:r w:rsidR="003A2A49" w:rsidRPr="003A2A49">
        <w:rPr>
          <w:b/>
        </w:rPr>
        <w:t xml:space="preserve"> political, economic and cultural system</w:t>
      </w:r>
      <w:r w:rsidR="008A4332">
        <w:rPr>
          <w:b/>
        </w:rPr>
        <w:t>s</w:t>
      </w:r>
      <w:r w:rsidR="003A2A49" w:rsidRPr="003A2A49">
        <w:rPr>
          <w:b/>
        </w:rPr>
        <w:t>, to promote and protect all human rights and fundamental freedoms.</w:t>
      </w:r>
    </w:p>
    <w:p w:rsidR="00870724" w:rsidRDefault="00B06971" w:rsidP="00B06971">
      <w:pPr>
        <w:pStyle w:val="SingleTxtG"/>
        <w:tabs>
          <w:tab w:val="left" w:pos="1701"/>
        </w:tabs>
      </w:pPr>
      <w:r>
        <w:t>5.</w:t>
      </w:r>
      <w:r>
        <w:tab/>
      </w:r>
      <w:r w:rsidR="00870724">
        <w:t xml:space="preserve">The </w:t>
      </w:r>
      <w:r w:rsidR="00870724">
        <w:rPr>
          <w:rFonts w:eastAsia="SimSun"/>
          <w:lang w:eastAsia="zh-CN"/>
        </w:rPr>
        <w:t>Committee</w:t>
      </w:r>
      <w:r w:rsidR="00870724">
        <w:t xml:space="preserve"> is concerned that the State party has not yet established a</w:t>
      </w:r>
      <w:r w:rsidR="00BE08F5">
        <w:t xml:space="preserve">n independent </w:t>
      </w:r>
      <w:r w:rsidR="00870724">
        <w:rPr>
          <w:rFonts w:eastAsia="SimSun"/>
          <w:lang w:eastAsia="zh-CN"/>
        </w:rPr>
        <w:t>national</w:t>
      </w:r>
      <w:r w:rsidR="00870724">
        <w:t xml:space="preserve"> human rights institution, in accordance with the </w:t>
      </w:r>
      <w:r w:rsidR="00A73D0D" w:rsidRPr="00A73D0D">
        <w:t xml:space="preserve">principles relating to the status of national institutions for the promotion and protection of human rights </w:t>
      </w:r>
      <w:r w:rsidR="00A73D0D">
        <w:t>(</w:t>
      </w:r>
      <w:r w:rsidR="00870724">
        <w:t>Paris Principles</w:t>
      </w:r>
      <w:r w:rsidR="00A73D0D">
        <w:t>)</w:t>
      </w:r>
      <w:r w:rsidR="00870724">
        <w:t>.</w:t>
      </w:r>
    </w:p>
    <w:p w:rsidR="00870724" w:rsidRDefault="00870724" w:rsidP="00870724">
      <w:pPr>
        <w:pStyle w:val="SingleTxtG"/>
        <w:rPr>
          <w:b/>
        </w:rPr>
      </w:pPr>
      <w:r>
        <w:rPr>
          <w:b/>
        </w:rPr>
        <w:t>The Committee recommends that the State party take steps to establish a</w:t>
      </w:r>
      <w:r w:rsidR="00BE08F5">
        <w:rPr>
          <w:b/>
        </w:rPr>
        <w:t>n independent</w:t>
      </w:r>
      <w:r>
        <w:rPr>
          <w:b/>
        </w:rPr>
        <w:t xml:space="preserve"> national human rights institution with a broad human rights mandate, including </w:t>
      </w:r>
      <w:r w:rsidR="00B7670B">
        <w:rPr>
          <w:b/>
        </w:rPr>
        <w:t>for</w:t>
      </w:r>
      <w:r>
        <w:rPr>
          <w:b/>
        </w:rPr>
        <w:t xml:space="preserve"> economic, social and cultural rights, in line with the </w:t>
      </w:r>
      <w:smartTag w:uri="urn:schemas-microsoft-com:office:smarttags" w:element="City">
        <w:smartTag w:uri="urn:schemas-microsoft-com:office:smarttags" w:element="place">
          <w:r>
            <w:rPr>
              <w:b/>
            </w:rPr>
            <w:t>Paris</w:t>
          </w:r>
        </w:smartTag>
      </w:smartTag>
      <w:r>
        <w:rPr>
          <w:b/>
        </w:rPr>
        <w:t xml:space="preserve"> Principles, and provide it with adequate </w:t>
      </w:r>
      <w:r w:rsidR="00265C4E">
        <w:rPr>
          <w:b/>
        </w:rPr>
        <w:t xml:space="preserve">human and </w:t>
      </w:r>
      <w:r>
        <w:rPr>
          <w:b/>
        </w:rPr>
        <w:t xml:space="preserve">financial resources. </w:t>
      </w:r>
    </w:p>
    <w:p w:rsidR="00C274AF" w:rsidRPr="00727A5D" w:rsidRDefault="00B06971" w:rsidP="00B06971">
      <w:pPr>
        <w:pStyle w:val="SingleTxtG"/>
        <w:tabs>
          <w:tab w:val="left" w:pos="1701"/>
        </w:tabs>
      </w:pPr>
      <w:r w:rsidRPr="00727A5D">
        <w:t>6.</w:t>
      </w:r>
      <w:r w:rsidRPr="00727A5D">
        <w:tab/>
      </w:r>
      <w:r w:rsidR="00C274AF" w:rsidRPr="00727A5D">
        <w:t xml:space="preserve">The Committee is concerned that the State party </w:t>
      </w:r>
      <w:r w:rsidR="005B5B2F">
        <w:t xml:space="preserve">discriminates against religious communities other than those belonging to </w:t>
      </w:r>
      <w:r w:rsidR="00C274AF" w:rsidRPr="00727A5D">
        <w:t xml:space="preserve">Islam, Christianity, Judaism and Zoroastrianism, which seriously and negatively affects </w:t>
      </w:r>
      <w:r w:rsidR="00C274AF" w:rsidRPr="005575E1">
        <w:t>the people’s enjoyment</w:t>
      </w:r>
      <w:r w:rsidR="00C274AF" w:rsidRPr="00727A5D">
        <w:t xml:space="preserve"> of economic, social and cultural rights.</w:t>
      </w:r>
    </w:p>
    <w:p w:rsidR="00C274AF" w:rsidRPr="00C274AF" w:rsidRDefault="00C274AF" w:rsidP="00870724">
      <w:pPr>
        <w:pStyle w:val="SingleTxtG"/>
        <w:rPr>
          <w:b/>
        </w:rPr>
      </w:pPr>
      <w:r w:rsidRPr="00C274AF">
        <w:rPr>
          <w:b/>
        </w:rPr>
        <w:t>The Committee</w:t>
      </w:r>
      <w:r>
        <w:rPr>
          <w:b/>
        </w:rPr>
        <w:t xml:space="preserve"> </w:t>
      </w:r>
      <w:r w:rsidR="005B5B2F">
        <w:rPr>
          <w:b/>
        </w:rPr>
        <w:t>urges</w:t>
      </w:r>
      <w:r>
        <w:rPr>
          <w:b/>
        </w:rPr>
        <w:t xml:space="preserve"> that the State party take steps to ensure that people with</w:t>
      </w:r>
      <w:r w:rsidR="005B5B2F">
        <w:rPr>
          <w:b/>
        </w:rPr>
        <w:t xml:space="preserve"> </w:t>
      </w:r>
      <w:r>
        <w:rPr>
          <w:b/>
        </w:rPr>
        <w:t>beliefs other than the religions recognized by the State party can fully enjoy all aspects of economic, social and cultural rights</w:t>
      </w:r>
      <w:r w:rsidR="005B5B2F">
        <w:rPr>
          <w:b/>
        </w:rPr>
        <w:t>, without any discrimination</w:t>
      </w:r>
      <w:r>
        <w:rPr>
          <w:b/>
        </w:rPr>
        <w:t>.</w:t>
      </w:r>
    </w:p>
    <w:p w:rsidR="001B4C13" w:rsidRPr="007C237E" w:rsidRDefault="00B06971" w:rsidP="00B06971">
      <w:pPr>
        <w:pStyle w:val="SingleTxtG"/>
        <w:tabs>
          <w:tab w:val="left" w:pos="1701"/>
        </w:tabs>
        <w:rPr>
          <w:rFonts w:eastAsia="SimSun"/>
          <w:b/>
          <w:lang w:val="en-US" w:eastAsia="zh-CN"/>
        </w:rPr>
      </w:pPr>
      <w:r w:rsidRPr="007C237E">
        <w:rPr>
          <w:rFonts w:eastAsia="SimSun"/>
          <w:lang w:val="en-US" w:eastAsia="zh-CN"/>
        </w:rPr>
        <w:t>7.</w:t>
      </w:r>
      <w:r w:rsidRPr="007C237E">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755976">
        <w:rPr>
          <w:rFonts w:eastAsia="SimSun"/>
          <w:lang w:val="en-US" w:eastAsia="zh-CN"/>
        </w:rPr>
        <w:t xml:space="preserve"> that consensual same-sex s</w:t>
      </w:r>
      <w:r w:rsidR="001B4C13">
        <w:rPr>
          <w:rFonts w:eastAsia="SimSun"/>
          <w:lang w:val="en-US" w:eastAsia="zh-CN"/>
        </w:rPr>
        <w:t xml:space="preserve">exual activity is criminalized and that convicted persons may even receive the death penalty. It is also concerned </w:t>
      </w:r>
      <w:r w:rsidR="001B4C13" w:rsidRPr="007C237E">
        <w:rPr>
          <w:rFonts w:eastAsia="SimSun"/>
          <w:lang w:val="en-US" w:eastAsia="zh-CN"/>
        </w:rPr>
        <w:t xml:space="preserve">that </w:t>
      </w:r>
      <w:r w:rsidR="001B4C13">
        <w:rPr>
          <w:rFonts w:eastAsia="SimSun"/>
          <w:lang w:val="en-US" w:eastAsia="zh-CN"/>
        </w:rPr>
        <w:t xml:space="preserve">members of the </w:t>
      </w:r>
      <w:r w:rsidR="001B4C13" w:rsidRPr="00FE2D31">
        <w:rPr>
          <w:rFonts w:eastAsia="SimSun"/>
          <w:lang w:val="en-US" w:eastAsia="zh-CN"/>
        </w:rPr>
        <w:t>lesbian, gay, bisexual, and transgender community face discrimination with respect to access to employment, housing,</w:t>
      </w:r>
      <w:r w:rsidR="001B4C13">
        <w:rPr>
          <w:rFonts w:eastAsia="SimSun"/>
          <w:lang w:val="en-US" w:eastAsia="zh-CN"/>
        </w:rPr>
        <w:t xml:space="preserve"> </w:t>
      </w:r>
      <w:r w:rsidR="001B4C13" w:rsidRPr="00FE2D31">
        <w:rPr>
          <w:rFonts w:eastAsia="SimSun"/>
          <w:lang w:val="en-US" w:eastAsia="zh-CN"/>
        </w:rPr>
        <w:t xml:space="preserve">education and health care, as well as social </w:t>
      </w:r>
      <w:r w:rsidR="001B4C13">
        <w:rPr>
          <w:rFonts w:eastAsia="SimSun"/>
          <w:lang w:val="en-US" w:eastAsia="zh-CN"/>
        </w:rPr>
        <w:t xml:space="preserve">stigma and </w:t>
      </w:r>
      <w:r w:rsidR="001B4C13" w:rsidRPr="00FE2D31">
        <w:rPr>
          <w:rFonts w:eastAsia="SimSun"/>
          <w:lang w:val="en-US" w:eastAsia="zh-CN"/>
        </w:rPr>
        <w:t>marginalization</w:t>
      </w:r>
      <w:r w:rsidR="001B4C13" w:rsidRPr="007C237E">
        <w:rPr>
          <w:rFonts w:eastAsia="SimSun"/>
          <w:lang w:val="en-US" w:eastAsia="zh-CN"/>
        </w:rPr>
        <w:t xml:space="preserve"> (art.</w:t>
      </w:r>
      <w:r w:rsidR="00E343A5">
        <w:rPr>
          <w:rFonts w:eastAsia="SimSun"/>
          <w:lang w:val="en-US" w:eastAsia="zh-CN"/>
        </w:rPr>
        <w:t xml:space="preserve"> </w:t>
      </w:r>
      <w:r w:rsidR="001B4C13" w:rsidRPr="007C237E">
        <w:rPr>
          <w:rFonts w:eastAsia="SimSun"/>
          <w:lang w:val="en-US" w:eastAsia="zh-CN"/>
        </w:rPr>
        <w:t>2)</w:t>
      </w:r>
      <w:r w:rsidR="001B4C13">
        <w:rPr>
          <w:rFonts w:eastAsia="SimSun"/>
          <w:lang w:val="en-US" w:eastAsia="zh-CN"/>
        </w:rPr>
        <w:t>.</w:t>
      </w:r>
    </w:p>
    <w:p w:rsidR="00F9080C" w:rsidRDefault="00511AF5" w:rsidP="001B4C13">
      <w:pPr>
        <w:pStyle w:val="SingleTxtG"/>
        <w:tabs>
          <w:tab w:val="left" w:pos="1848"/>
        </w:tabs>
        <w:ind w:left="1152" w:hanging="6"/>
        <w:rPr>
          <w:rFonts w:eastAsia="SimSun"/>
          <w:b/>
          <w:lang w:val="en-US" w:eastAsia="zh-CN"/>
        </w:rPr>
      </w:pPr>
      <w:r>
        <w:rPr>
          <w:b/>
          <w:bCs/>
        </w:rPr>
        <w:t>The Committee recommends that t</w:t>
      </w:r>
      <w:r w:rsidR="001B4C13">
        <w:rPr>
          <w:b/>
          <w:bCs/>
        </w:rPr>
        <w:t xml:space="preserve">he State party repeal or amend all legislation </w:t>
      </w:r>
      <w:r w:rsidR="00DA6CB2">
        <w:rPr>
          <w:b/>
          <w:bCs/>
        </w:rPr>
        <w:t xml:space="preserve">that results </w:t>
      </w:r>
      <w:r w:rsidR="001B4C13">
        <w:rPr>
          <w:b/>
          <w:bCs/>
        </w:rPr>
        <w:t>or could result in discrimination, prosecution and punishment of</w:t>
      </w:r>
      <w:r w:rsidR="00E91AE5">
        <w:rPr>
          <w:b/>
          <w:bCs/>
        </w:rPr>
        <w:t xml:space="preserve"> </w:t>
      </w:r>
      <w:r w:rsidR="001B4C13">
        <w:rPr>
          <w:b/>
          <w:bCs/>
        </w:rPr>
        <w:t xml:space="preserve">people because of their sexual orientation or gender identity. </w:t>
      </w:r>
      <w:r w:rsidR="00F9080C" w:rsidRPr="007C237E">
        <w:rPr>
          <w:rFonts w:eastAsia="SimSun"/>
          <w:b/>
          <w:lang w:val="en-US" w:eastAsia="zh-CN"/>
        </w:rPr>
        <w:t xml:space="preserve">The Committee recommends that the State party take steps to combat </w:t>
      </w:r>
      <w:r w:rsidR="00F9080C" w:rsidRPr="004F451D">
        <w:rPr>
          <w:rFonts w:eastAsia="SimSun"/>
          <w:b/>
          <w:lang w:val="en-US" w:eastAsia="zh-CN"/>
        </w:rPr>
        <w:t xml:space="preserve">and prevent </w:t>
      </w:r>
      <w:r w:rsidR="00F9080C" w:rsidRPr="006135C1">
        <w:rPr>
          <w:rFonts w:eastAsia="SimSun"/>
          <w:b/>
          <w:lang w:val="en-US" w:eastAsia="zh-CN"/>
        </w:rPr>
        <w:t>discrimination and societal stigma</w:t>
      </w:r>
      <w:r w:rsidR="00F9080C">
        <w:rPr>
          <w:rFonts w:eastAsia="SimSun"/>
          <w:b/>
          <w:lang w:val="en-US" w:eastAsia="zh-CN"/>
        </w:rPr>
        <w:t xml:space="preserve"> </w:t>
      </w:r>
      <w:r w:rsidR="00F9080C" w:rsidRPr="00564648">
        <w:rPr>
          <w:rFonts w:eastAsia="SimSun"/>
          <w:b/>
          <w:lang w:val="en-US" w:eastAsia="zh-CN"/>
        </w:rPr>
        <w:t xml:space="preserve">against </w:t>
      </w:r>
      <w:r w:rsidR="00F9080C" w:rsidRPr="00FE2D31">
        <w:rPr>
          <w:rFonts w:eastAsia="SimSun"/>
          <w:b/>
          <w:lang w:val="en-US" w:eastAsia="zh-CN"/>
        </w:rPr>
        <w:t>members of the lesbian, gay, bisexual and transgender communit</w:t>
      </w:r>
      <w:r w:rsidR="00F9080C">
        <w:rPr>
          <w:rFonts w:eastAsia="SimSun"/>
          <w:b/>
          <w:lang w:val="en-US" w:eastAsia="zh-CN"/>
        </w:rPr>
        <w:t>y,</w:t>
      </w:r>
      <w:r w:rsidR="00F9080C" w:rsidRPr="008141A5">
        <w:rPr>
          <w:rFonts w:eastAsia="SimSun"/>
          <w:b/>
          <w:lang w:val="en-US" w:eastAsia="zh-CN"/>
        </w:rPr>
        <w:t xml:space="preserve"> and ensure their enjoyment of </w:t>
      </w:r>
      <w:r w:rsidR="00F9080C">
        <w:rPr>
          <w:rFonts w:eastAsia="SimSun"/>
          <w:b/>
          <w:lang w:val="en-US" w:eastAsia="zh-CN"/>
        </w:rPr>
        <w:t xml:space="preserve">all </w:t>
      </w:r>
      <w:r w:rsidR="00F9080C" w:rsidRPr="008141A5">
        <w:rPr>
          <w:rFonts w:eastAsia="SimSun"/>
          <w:b/>
          <w:lang w:val="en-US" w:eastAsia="zh-CN"/>
        </w:rPr>
        <w:t xml:space="preserve">the rights enshrined in the Covenant, </w:t>
      </w:r>
      <w:r w:rsidR="00F9080C">
        <w:rPr>
          <w:rFonts w:eastAsia="SimSun"/>
          <w:b/>
          <w:lang w:val="en-US" w:eastAsia="zh-CN"/>
        </w:rPr>
        <w:t xml:space="preserve">including unhindered </w:t>
      </w:r>
      <w:r w:rsidR="00F9080C" w:rsidRPr="008141A5">
        <w:rPr>
          <w:rFonts w:eastAsia="SimSun"/>
          <w:b/>
          <w:lang w:val="en-US" w:eastAsia="zh-CN"/>
        </w:rPr>
        <w:t xml:space="preserve">access to </w:t>
      </w:r>
      <w:r w:rsidR="00F9080C" w:rsidRPr="00FE2D31">
        <w:rPr>
          <w:rFonts w:eastAsia="SimSun"/>
          <w:b/>
          <w:lang w:val="en-US" w:eastAsia="zh-CN"/>
        </w:rPr>
        <w:t>employment, social services, health care and education</w:t>
      </w:r>
      <w:r w:rsidR="005B5B2F">
        <w:rPr>
          <w:rFonts w:eastAsia="SimSun"/>
          <w:b/>
          <w:lang w:val="en-US" w:eastAsia="zh-CN"/>
        </w:rPr>
        <w:t>, in line with article 2</w:t>
      </w:r>
      <w:r w:rsidR="00430AA8">
        <w:rPr>
          <w:rFonts w:eastAsia="SimSun"/>
          <w:b/>
          <w:lang w:val="en-US" w:eastAsia="zh-CN"/>
        </w:rPr>
        <w:t xml:space="preserve">, paragraph </w:t>
      </w:r>
      <w:r w:rsidR="005B5B2F">
        <w:rPr>
          <w:rFonts w:eastAsia="SimSun"/>
          <w:b/>
          <w:lang w:val="en-US" w:eastAsia="zh-CN"/>
        </w:rPr>
        <w:t>2</w:t>
      </w:r>
      <w:r w:rsidR="00430AA8">
        <w:rPr>
          <w:rFonts w:eastAsia="SimSun"/>
          <w:b/>
          <w:lang w:val="en-US" w:eastAsia="zh-CN"/>
        </w:rPr>
        <w:t>,</w:t>
      </w:r>
      <w:r w:rsidR="005B5B2F">
        <w:rPr>
          <w:rFonts w:eastAsia="SimSun"/>
          <w:b/>
          <w:lang w:val="en-US" w:eastAsia="zh-CN"/>
        </w:rPr>
        <w:t xml:space="preserve"> of the Covenant and the Committee’s </w:t>
      </w:r>
      <w:r w:rsidR="00430AA8">
        <w:rPr>
          <w:rFonts w:eastAsia="SimSun"/>
          <w:b/>
          <w:lang w:val="en-US" w:eastAsia="zh-CN"/>
        </w:rPr>
        <w:t>g</w:t>
      </w:r>
      <w:r w:rsidR="005B5B2F">
        <w:rPr>
          <w:rFonts w:eastAsia="SimSun"/>
          <w:b/>
          <w:lang w:val="en-US" w:eastAsia="zh-CN"/>
        </w:rPr>
        <w:t xml:space="preserve">eneral </w:t>
      </w:r>
      <w:r w:rsidR="00430AA8">
        <w:rPr>
          <w:rFonts w:eastAsia="SimSun"/>
          <w:b/>
          <w:lang w:val="en-US" w:eastAsia="zh-CN"/>
        </w:rPr>
        <w:t>c</w:t>
      </w:r>
      <w:r w:rsidR="005B5B2F">
        <w:rPr>
          <w:rFonts w:eastAsia="SimSun"/>
          <w:b/>
          <w:lang w:val="en-US" w:eastAsia="zh-CN"/>
        </w:rPr>
        <w:t>omment No.</w:t>
      </w:r>
      <w:r w:rsidR="00430AA8">
        <w:rPr>
          <w:rFonts w:eastAsia="SimSun"/>
          <w:b/>
          <w:lang w:val="en-US" w:eastAsia="zh-CN"/>
        </w:rPr>
        <w:t> </w:t>
      </w:r>
      <w:r w:rsidR="005B5B2F">
        <w:rPr>
          <w:rFonts w:eastAsia="SimSun"/>
          <w:b/>
          <w:lang w:val="en-US" w:eastAsia="zh-CN"/>
        </w:rPr>
        <w:t>20 (2009) on non-discrimination in economic, social and cultural rights</w:t>
      </w:r>
      <w:r w:rsidR="00F9080C" w:rsidRPr="008141A5">
        <w:rPr>
          <w:rFonts w:eastAsia="SimSun"/>
          <w:b/>
          <w:lang w:val="en-US" w:eastAsia="zh-CN"/>
        </w:rPr>
        <w:t xml:space="preserve">. </w:t>
      </w:r>
    </w:p>
    <w:p w:rsidR="00F9080C" w:rsidRDefault="00B06971" w:rsidP="00B06971">
      <w:pPr>
        <w:pStyle w:val="SingleTxtG"/>
        <w:tabs>
          <w:tab w:val="left" w:pos="1701"/>
        </w:tabs>
        <w:rPr>
          <w:rFonts w:eastAsia="SimSun"/>
          <w:lang w:val="en-US" w:eastAsia="zh-CN"/>
        </w:rPr>
      </w:pPr>
      <w:r>
        <w:rPr>
          <w:rFonts w:eastAsia="SimSun"/>
          <w:lang w:val="en-US" w:eastAsia="zh-CN"/>
        </w:rPr>
        <w:t>8.</w:t>
      </w:r>
      <w:r>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that</w:t>
      </w:r>
      <w:r w:rsidR="00F9080C">
        <w:rPr>
          <w:rFonts w:eastAsia="SimSun"/>
          <w:lang w:val="en-US" w:eastAsia="zh-CN"/>
        </w:rPr>
        <w:t xml:space="preserve"> members of the Baha’i community face widespread and entrenched discrimination, including denial of access to employment in the public sector</w:t>
      </w:r>
      <w:r w:rsidR="00430AA8">
        <w:rPr>
          <w:rFonts w:eastAsia="SimSun"/>
          <w:lang w:val="en-US" w:eastAsia="zh-CN"/>
        </w:rPr>
        <w:t xml:space="preserve"> and</w:t>
      </w:r>
      <w:r w:rsidR="00F9080C">
        <w:rPr>
          <w:rFonts w:eastAsia="SimSun"/>
          <w:lang w:val="en-US" w:eastAsia="zh-CN"/>
        </w:rPr>
        <w:t xml:space="preserve"> institutions of higher education</w:t>
      </w:r>
      <w:r w:rsidR="00E91AE5">
        <w:rPr>
          <w:rFonts w:eastAsia="SimSun"/>
          <w:lang w:val="en-US" w:eastAsia="zh-CN"/>
        </w:rPr>
        <w:t xml:space="preserve">, as well as </w:t>
      </w:r>
      <w:r w:rsidR="00DA6CB2">
        <w:rPr>
          <w:rFonts w:eastAsia="SimSun"/>
          <w:lang w:val="en-US" w:eastAsia="zh-CN"/>
        </w:rPr>
        <w:t xml:space="preserve">to </w:t>
      </w:r>
      <w:r w:rsidR="00E91AE5">
        <w:rPr>
          <w:rFonts w:eastAsia="SimSun"/>
          <w:lang w:val="en-US" w:eastAsia="zh-CN"/>
        </w:rPr>
        <w:t>benefits of the pension system</w:t>
      </w:r>
      <w:r w:rsidR="00F9080C" w:rsidRPr="007C237E">
        <w:rPr>
          <w:rFonts w:eastAsia="SimSun"/>
          <w:lang w:val="en-US" w:eastAsia="zh-CN"/>
        </w:rPr>
        <w:t xml:space="preserve"> (art.</w:t>
      </w:r>
      <w:r w:rsidR="00430AA8">
        <w:rPr>
          <w:rFonts w:eastAsia="SimSun"/>
          <w:lang w:val="en-US" w:eastAsia="zh-CN"/>
        </w:rPr>
        <w:t xml:space="preserve"> </w:t>
      </w:r>
      <w:r w:rsidR="00F9080C" w:rsidRPr="007C237E">
        <w:rPr>
          <w:rFonts w:eastAsia="SimSun"/>
          <w:lang w:val="en-US" w:eastAsia="zh-CN"/>
        </w:rPr>
        <w:t>2)</w:t>
      </w:r>
      <w:r w:rsidR="00F9080C">
        <w:rPr>
          <w:rFonts w:eastAsia="SimSun"/>
          <w:lang w:val="en-US" w:eastAsia="zh-CN"/>
        </w:rPr>
        <w:t>.</w:t>
      </w:r>
    </w:p>
    <w:p w:rsidR="00E91AE5" w:rsidRPr="00823F21" w:rsidRDefault="00F9080C" w:rsidP="00E91AE5">
      <w:pPr>
        <w:pStyle w:val="SingleTxtG"/>
        <w:ind w:left="1128"/>
      </w:pPr>
      <w:r w:rsidRPr="007C237E">
        <w:rPr>
          <w:rFonts w:eastAsia="SimSun"/>
          <w:b/>
          <w:lang w:val="en-US" w:eastAsia="zh-CN"/>
        </w:rPr>
        <w:t xml:space="preserve">The Committee recommends that the State party </w:t>
      </w:r>
      <w:r>
        <w:rPr>
          <w:rFonts w:eastAsia="SimSun"/>
          <w:b/>
          <w:lang w:val="en-US" w:eastAsia="zh-CN"/>
        </w:rPr>
        <w:t xml:space="preserve">take steps to ensure that </w:t>
      </w:r>
      <w:r w:rsidRPr="00FE34B4">
        <w:rPr>
          <w:rFonts w:eastAsia="SimSun"/>
          <w:b/>
          <w:lang w:val="en-US" w:eastAsia="zh-CN"/>
        </w:rPr>
        <w:t>members of the Baha’i community are protected against discrimination and exclusion in every field, including denial of employment and benefits</w:t>
      </w:r>
      <w:r w:rsidR="00E91AE5">
        <w:rPr>
          <w:rFonts w:eastAsia="SimSun"/>
          <w:b/>
          <w:lang w:val="en-US" w:eastAsia="zh-CN"/>
        </w:rPr>
        <w:t xml:space="preserve"> of the pension system. </w:t>
      </w:r>
      <w:r w:rsidR="00E91AE5" w:rsidRPr="00516422">
        <w:rPr>
          <w:b/>
        </w:rPr>
        <w:t xml:space="preserve">The Committee </w:t>
      </w:r>
      <w:r w:rsidR="00E91AE5">
        <w:rPr>
          <w:b/>
        </w:rPr>
        <w:t xml:space="preserve">also </w:t>
      </w:r>
      <w:r w:rsidR="00E91AE5" w:rsidRPr="00516422">
        <w:rPr>
          <w:b/>
        </w:rPr>
        <w:t>recommends that the State party</w:t>
      </w:r>
      <w:r w:rsidR="00E91AE5">
        <w:rPr>
          <w:b/>
        </w:rPr>
        <w:t xml:space="preserve"> take steps to guarantee, in law and practice, the </w:t>
      </w:r>
      <w:r w:rsidR="00E91AE5" w:rsidRPr="00E03D23">
        <w:rPr>
          <w:b/>
        </w:rPr>
        <w:t>unhindered access of Baha’i students to universities and vocational training institutions, and to prevent refusals of access and expulsions of students from such institutions based on their belonging to the Baha’i community.</w:t>
      </w:r>
      <w:r w:rsidR="00E91AE5">
        <w:t xml:space="preserve"> </w:t>
      </w:r>
    </w:p>
    <w:p w:rsidR="00F9080C" w:rsidRPr="00383A92" w:rsidRDefault="00B06971" w:rsidP="00B06971">
      <w:pPr>
        <w:pStyle w:val="SingleTxtG"/>
        <w:tabs>
          <w:tab w:val="left" w:pos="1701"/>
        </w:tabs>
        <w:rPr>
          <w:rFonts w:eastAsia="SimSun"/>
          <w:lang w:val="en-US" w:eastAsia="zh-CN"/>
        </w:rPr>
      </w:pPr>
      <w:r w:rsidRPr="00383A92">
        <w:rPr>
          <w:rFonts w:eastAsia="SimSun"/>
          <w:lang w:val="en-US" w:eastAsia="zh-CN"/>
        </w:rPr>
        <w:t>9.</w:t>
      </w:r>
      <w:r w:rsidRPr="00383A92">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w:t>
      </w:r>
      <w:r w:rsidR="000032D5">
        <w:rPr>
          <w:rFonts w:eastAsia="SimSun"/>
          <w:lang w:val="en-US" w:eastAsia="zh-CN"/>
        </w:rPr>
        <w:t xml:space="preserve">about the restrictions placed on access to university education, </w:t>
      </w:r>
      <w:r w:rsidR="00F9080C">
        <w:rPr>
          <w:rFonts w:eastAsia="SimSun"/>
          <w:lang w:val="en-US" w:eastAsia="zh-CN"/>
        </w:rPr>
        <w:t xml:space="preserve">in particular </w:t>
      </w:r>
      <w:r w:rsidR="00DA5C64">
        <w:rPr>
          <w:rFonts w:eastAsia="SimSun"/>
          <w:lang w:val="en-US" w:eastAsia="zh-CN"/>
        </w:rPr>
        <w:t xml:space="preserve">affecting </w:t>
      </w:r>
      <w:r w:rsidR="00F9080C">
        <w:rPr>
          <w:rFonts w:eastAsia="SimSun"/>
          <w:lang w:val="en-US" w:eastAsia="zh-CN"/>
        </w:rPr>
        <w:t>women (art.</w:t>
      </w:r>
      <w:r w:rsidR="00430AA8">
        <w:rPr>
          <w:rFonts w:eastAsia="SimSun"/>
          <w:lang w:val="en-US" w:eastAsia="zh-CN"/>
        </w:rPr>
        <w:t xml:space="preserve"> </w:t>
      </w:r>
      <w:r w:rsidR="00F9080C">
        <w:rPr>
          <w:rFonts w:eastAsia="SimSun"/>
          <w:lang w:val="en-US" w:eastAsia="zh-CN"/>
        </w:rPr>
        <w:t>2)</w:t>
      </w:r>
      <w:r w:rsidR="00F9080C" w:rsidRPr="00383A92">
        <w:rPr>
          <w:rFonts w:eastAsia="SimSun"/>
          <w:lang w:val="en-US" w:eastAsia="zh-CN"/>
        </w:rPr>
        <w:t>.</w:t>
      </w:r>
    </w:p>
    <w:p w:rsidR="00F9080C" w:rsidRPr="001970AA" w:rsidRDefault="00F9080C" w:rsidP="00F9080C">
      <w:pPr>
        <w:pStyle w:val="SingleTxtG"/>
        <w:ind w:left="1128"/>
        <w:rPr>
          <w:rFonts w:eastAsia="SimSun"/>
          <w:lang w:eastAsia="zh-CN"/>
        </w:rPr>
      </w:pPr>
      <w:r w:rsidRPr="00FE2E8E">
        <w:rPr>
          <w:rFonts w:eastAsia="SimSun"/>
          <w:b/>
          <w:lang w:val="en-US" w:eastAsia="zh-CN"/>
        </w:rPr>
        <w:t>The Committee recommends that the State party take</w:t>
      </w:r>
      <w:r>
        <w:rPr>
          <w:rFonts w:eastAsia="SimSun"/>
          <w:b/>
          <w:lang w:val="en-US" w:eastAsia="zh-CN"/>
        </w:rPr>
        <w:t xml:space="preserve"> steps to lift all restrictions </w:t>
      </w:r>
      <w:r w:rsidR="000032D5">
        <w:rPr>
          <w:rFonts w:eastAsia="SimSun"/>
          <w:b/>
          <w:lang w:val="en-US" w:eastAsia="zh-CN"/>
        </w:rPr>
        <w:t>on access to university education</w:t>
      </w:r>
      <w:r>
        <w:rPr>
          <w:rFonts w:eastAsia="SimSun"/>
          <w:b/>
          <w:lang w:val="en-US" w:eastAsia="zh-CN"/>
        </w:rPr>
        <w:t xml:space="preserve">, including bans on female and male enrolment, </w:t>
      </w:r>
      <w:r w:rsidR="00C274AF">
        <w:rPr>
          <w:rFonts w:eastAsia="SimSun"/>
          <w:b/>
          <w:lang w:val="en-US" w:eastAsia="zh-CN"/>
        </w:rPr>
        <w:t xml:space="preserve">limited </w:t>
      </w:r>
      <w:r>
        <w:rPr>
          <w:rFonts w:eastAsia="SimSun"/>
          <w:b/>
          <w:lang w:val="en-US" w:eastAsia="zh-CN"/>
        </w:rPr>
        <w:t>quotas for women in certain fields</w:t>
      </w:r>
      <w:r w:rsidR="000032D5">
        <w:rPr>
          <w:rFonts w:eastAsia="SimSun"/>
          <w:b/>
          <w:lang w:val="en-US" w:eastAsia="zh-CN"/>
        </w:rPr>
        <w:t>,</w:t>
      </w:r>
      <w:r>
        <w:rPr>
          <w:rFonts w:eastAsia="SimSun"/>
          <w:b/>
          <w:lang w:val="en-US" w:eastAsia="zh-CN"/>
        </w:rPr>
        <w:t xml:space="preserve"> </w:t>
      </w:r>
      <w:r w:rsidR="00430AA8">
        <w:rPr>
          <w:rFonts w:eastAsia="SimSun"/>
          <w:b/>
          <w:lang w:val="en-US" w:eastAsia="zh-CN"/>
        </w:rPr>
        <w:t>and</w:t>
      </w:r>
      <w:r w:rsidR="00511AF5">
        <w:rPr>
          <w:rFonts w:eastAsia="SimSun"/>
          <w:b/>
          <w:lang w:val="en-US" w:eastAsia="zh-CN"/>
        </w:rPr>
        <w:t xml:space="preserve"> gender</w:t>
      </w:r>
      <w:r>
        <w:rPr>
          <w:rFonts w:eastAsia="SimSun"/>
          <w:b/>
          <w:lang w:val="en-US" w:eastAsia="zh-CN"/>
        </w:rPr>
        <w:t xml:space="preserve"> segregation in classrooms and facilities. </w:t>
      </w:r>
    </w:p>
    <w:p w:rsidR="00F9080C" w:rsidRDefault="00B06971" w:rsidP="00B06971">
      <w:pPr>
        <w:pStyle w:val="SingleTxtG"/>
        <w:tabs>
          <w:tab w:val="left" w:pos="1701"/>
        </w:tabs>
        <w:rPr>
          <w:rFonts w:eastAsia="SimSun"/>
          <w:lang w:val="en-US" w:eastAsia="zh-CN"/>
        </w:rPr>
      </w:pPr>
      <w:r>
        <w:rPr>
          <w:rFonts w:eastAsia="SimSun"/>
          <w:lang w:val="en-US" w:eastAsia="zh-CN"/>
        </w:rPr>
        <w:t>10.</w:t>
      </w:r>
      <w:r>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that</w:t>
      </w:r>
      <w:r w:rsidR="00F9080C">
        <w:rPr>
          <w:rFonts w:eastAsia="SimSun"/>
          <w:lang w:val="en-US" w:eastAsia="zh-CN"/>
        </w:rPr>
        <w:t xml:space="preserve"> the participation of women in the labour force is low and </w:t>
      </w:r>
      <w:r w:rsidR="00A56000">
        <w:rPr>
          <w:rFonts w:eastAsia="SimSun"/>
          <w:lang w:val="en-US" w:eastAsia="zh-CN"/>
        </w:rPr>
        <w:t xml:space="preserve">is </w:t>
      </w:r>
      <w:r w:rsidR="00DA6CB2">
        <w:rPr>
          <w:rFonts w:eastAsia="SimSun"/>
          <w:lang w:val="en-US" w:eastAsia="zh-CN"/>
        </w:rPr>
        <w:t xml:space="preserve">further </w:t>
      </w:r>
      <w:r w:rsidR="00A56000">
        <w:rPr>
          <w:rFonts w:eastAsia="SimSun"/>
          <w:lang w:val="en-US" w:eastAsia="zh-CN"/>
        </w:rPr>
        <w:t>declining</w:t>
      </w:r>
      <w:r w:rsidR="00F9080C">
        <w:rPr>
          <w:rFonts w:eastAsia="SimSun"/>
          <w:lang w:val="en-US" w:eastAsia="zh-CN"/>
        </w:rPr>
        <w:t xml:space="preserve">. </w:t>
      </w:r>
      <w:r w:rsidR="00047E4D">
        <w:rPr>
          <w:rFonts w:eastAsia="SimSun"/>
          <w:lang w:val="en-US" w:eastAsia="zh-CN"/>
        </w:rPr>
        <w:t>It</w:t>
      </w:r>
      <w:r w:rsidR="00F9080C">
        <w:rPr>
          <w:rFonts w:eastAsia="SimSun"/>
          <w:lang w:val="en-US" w:eastAsia="zh-CN"/>
        </w:rPr>
        <w:t xml:space="preserve"> is </w:t>
      </w:r>
      <w:r w:rsidR="00047E4D">
        <w:rPr>
          <w:rFonts w:eastAsia="SimSun"/>
          <w:lang w:val="en-US" w:eastAsia="zh-CN"/>
        </w:rPr>
        <w:t xml:space="preserve">also </w:t>
      </w:r>
      <w:r w:rsidR="00F9080C">
        <w:rPr>
          <w:rFonts w:eastAsia="SimSun"/>
          <w:lang w:val="en-US" w:eastAsia="zh-CN"/>
        </w:rPr>
        <w:t xml:space="preserve">concerned about </w:t>
      </w:r>
      <w:r w:rsidR="00F9080C" w:rsidRPr="00870C12">
        <w:rPr>
          <w:rFonts w:eastAsia="SimSun"/>
          <w:lang w:val="en-US" w:eastAsia="zh-CN"/>
        </w:rPr>
        <w:t xml:space="preserve">the low number of women in decision-making positions in the public sector, and that women are excluded from certain public positions, </w:t>
      </w:r>
      <w:r w:rsidR="00F9080C" w:rsidRPr="00047E4D">
        <w:rPr>
          <w:rFonts w:eastAsia="SimSun"/>
          <w:lang w:val="en-US" w:eastAsia="zh-CN"/>
        </w:rPr>
        <w:t>such as</w:t>
      </w:r>
      <w:r w:rsidR="001367AA">
        <w:rPr>
          <w:rFonts w:eastAsia="SimSun"/>
          <w:lang w:val="en-US" w:eastAsia="zh-CN"/>
        </w:rPr>
        <w:t xml:space="preserve"> that of a</w:t>
      </w:r>
      <w:r w:rsidR="00F9080C" w:rsidRPr="00047E4D">
        <w:rPr>
          <w:rFonts w:eastAsia="SimSun"/>
          <w:lang w:val="en-US" w:eastAsia="zh-CN"/>
        </w:rPr>
        <w:t xml:space="preserve"> judge presiding over a court</w:t>
      </w:r>
      <w:r w:rsidR="00F9080C" w:rsidRPr="00870C12">
        <w:rPr>
          <w:rFonts w:eastAsia="SimSun"/>
          <w:lang w:val="en-US" w:eastAsia="zh-CN"/>
        </w:rPr>
        <w:t xml:space="preserve">. </w:t>
      </w:r>
      <w:r w:rsidR="00F9080C">
        <w:rPr>
          <w:rFonts w:eastAsia="SimSun"/>
          <w:lang w:val="en-US" w:eastAsia="zh-CN"/>
        </w:rPr>
        <w:t xml:space="preserve">The Committee is also concerned that the Family Protection Law provides for the possibility of a </w:t>
      </w:r>
      <w:r w:rsidR="00E6161E">
        <w:rPr>
          <w:rFonts w:eastAsia="SimSun"/>
          <w:lang w:val="en-US" w:eastAsia="zh-CN"/>
        </w:rPr>
        <w:t>spouse to prevent</w:t>
      </w:r>
      <w:r w:rsidR="00F9080C">
        <w:rPr>
          <w:rFonts w:eastAsia="SimSun"/>
          <w:lang w:val="en-US" w:eastAsia="zh-CN"/>
        </w:rPr>
        <w:t xml:space="preserve"> </w:t>
      </w:r>
      <w:r w:rsidR="00C274AF">
        <w:rPr>
          <w:rFonts w:eastAsia="SimSun"/>
          <w:lang w:val="en-US" w:eastAsia="zh-CN"/>
        </w:rPr>
        <w:t xml:space="preserve">the other </w:t>
      </w:r>
      <w:r w:rsidR="00E6161E">
        <w:rPr>
          <w:rFonts w:eastAsia="SimSun"/>
          <w:lang w:val="en-US" w:eastAsia="zh-CN"/>
        </w:rPr>
        <w:t xml:space="preserve">spouse </w:t>
      </w:r>
      <w:r w:rsidR="00F9080C">
        <w:rPr>
          <w:rFonts w:eastAsia="SimSun"/>
          <w:lang w:val="en-US" w:eastAsia="zh-CN"/>
        </w:rPr>
        <w:t xml:space="preserve">from </w:t>
      </w:r>
      <w:r w:rsidR="003C69C9">
        <w:rPr>
          <w:rFonts w:eastAsia="SimSun"/>
          <w:lang w:val="en-US" w:eastAsia="zh-CN"/>
        </w:rPr>
        <w:t xml:space="preserve">entering </w:t>
      </w:r>
      <w:r w:rsidR="00F9080C">
        <w:rPr>
          <w:rFonts w:eastAsia="SimSun"/>
          <w:lang w:val="en-US" w:eastAsia="zh-CN"/>
        </w:rPr>
        <w:t xml:space="preserve">employment upon the </w:t>
      </w:r>
      <w:r w:rsidR="00477213">
        <w:rPr>
          <w:rFonts w:eastAsia="SimSun"/>
          <w:lang w:val="en-US" w:eastAsia="zh-CN"/>
        </w:rPr>
        <w:t xml:space="preserve">receipt </w:t>
      </w:r>
      <w:r w:rsidR="00F9080C">
        <w:rPr>
          <w:rFonts w:eastAsia="SimSun"/>
          <w:lang w:val="en-US" w:eastAsia="zh-CN"/>
        </w:rPr>
        <w:t>of a court order</w:t>
      </w:r>
      <w:r w:rsidR="00F9080C" w:rsidRPr="007C237E">
        <w:rPr>
          <w:rFonts w:eastAsia="SimSun"/>
          <w:lang w:val="en-US" w:eastAsia="zh-CN"/>
        </w:rPr>
        <w:t xml:space="preserve"> (art.</w:t>
      </w:r>
      <w:r w:rsidR="00477213">
        <w:rPr>
          <w:rFonts w:eastAsia="SimSun"/>
          <w:lang w:val="en-US" w:eastAsia="zh-CN"/>
        </w:rPr>
        <w:t xml:space="preserve"> </w:t>
      </w:r>
      <w:r w:rsidR="00F9080C">
        <w:rPr>
          <w:rFonts w:eastAsia="SimSun"/>
          <w:lang w:val="en-US" w:eastAsia="zh-CN"/>
        </w:rPr>
        <w:t>3</w:t>
      </w:r>
      <w:r w:rsidR="00F9080C" w:rsidRPr="007C237E">
        <w:rPr>
          <w:rFonts w:eastAsia="SimSun"/>
          <w:lang w:val="en-US" w:eastAsia="zh-CN"/>
        </w:rPr>
        <w:t>)</w:t>
      </w:r>
      <w:r w:rsidR="00F9080C">
        <w:rPr>
          <w:rFonts w:eastAsia="SimSun"/>
          <w:lang w:val="en-US" w:eastAsia="zh-CN"/>
        </w:rPr>
        <w:t>.</w:t>
      </w:r>
    </w:p>
    <w:p w:rsidR="00F9080C" w:rsidRDefault="00F9080C" w:rsidP="00F9080C">
      <w:pPr>
        <w:pStyle w:val="SingleTxtG"/>
        <w:ind w:left="1128"/>
        <w:rPr>
          <w:rFonts w:eastAsia="SimSun"/>
          <w:b/>
          <w:lang w:val="en-US" w:eastAsia="zh-CN"/>
        </w:rPr>
      </w:pPr>
      <w:r w:rsidRPr="00FE2E8E">
        <w:rPr>
          <w:rFonts w:eastAsia="SimSun"/>
          <w:b/>
          <w:lang w:val="en-US" w:eastAsia="zh-CN"/>
        </w:rPr>
        <w:t>The Committee recommends that the State party take steps to address the declining participation of women in the labo</w:t>
      </w:r>
      <w:r>
        <w:rPr>
          <w:rFonts w:eastAsia="SimSun"/>
          <w:b/>
          <w:lang w:val="en-US" w:eastAsia="zh-CN"/>
        </w:rPr>
        <w:t>u</w:t>
      </w:r>
      <w:r w:rsidRPr="00FE2E8E">
        <w:rPr>
          <w:rFonts w:eastAsia="SimSun"/>
          <w:b/>
          <w:lang w:val="en-US" w:eastAsia="zh-CN"/>
        </w:rPr>
        <w:t xml:space="preserve">r force. The Committee recommends that the State party amend the Civil Code and the Family Protection </w:t>
      </w:r>
      <w:r w:rsidRPr="00E73601">
        <w:rPr>
          <w:rFonts w:eastAsia="SimSun"/>
          <w:b/>
          <w:lang w:val="en-US" w:eastAsia="zh-CN"/>
        </w:rPr>
        <w:t>Law</w:t>
      </w:r>
      <w:r w:rsidRPr="00FE2E8E">
        <w:rPr>
          <w:rFonts w:eastAsia="SimSun"/>
          <w:b/>
          <w:lang w:val="en-US" w:eastAsia="zh-CN"/>
        </w:rPr>
        <w:t xml:space="preserve"> with the aim to remove the power of </w:t>
      </w:r>
      <w:r w:rsidR="00E6161E">
        <w:rPr>
          <w:rFonts w:eastAsia="SimSun"/>
          <w:b/>
          <w:lang w:val="en-US" w:eastAsia="zh-CN"/>
        </w:rPr>
        <w:t>a spouse t</w:t>
      </w:r>
      <w:r w:rsidRPr="00FE2E8E">
        <w:rPr>
          <w:rFonts w:eastAsia="SimSun"/>
          <w:b/>
          <w:lang w:val="en-US" w:eastAsia="zh-CN"/>
        </w:rPr>
        <w:t xml:space="preserve">o prohibit </w:t>
      </w:r>
      <w:r w:rsidR="00C274AF">
        <w:rPr>
          <w:rFonts w:eastAsia="SimSun"/>
          <w:b/>
          <w:lang w:val="en-US" w:eastAsia="zh-CN"/>
        </w:rPr>
        <w:t xml:space="preserve">the other </w:t>
      </w:r>
      <w:r w:rsidR="00E6161E">
        <w:rPr>
          <w:rFonts w:eastAsia="SimSun"/>
          <w:b/>
          <w:lang w:val="en-US" w:eastAsia="zh-CN"/>
        </w:rPr>
        <w:t xml:space="preserve">spouse </w:t>
      </w:r>
      <w:r w:rsidRPr="00FE2E8E">
        <w:rPr>
          <w:rFonts w:eastAsia="SimSun"/>
          <w:b/>
          <w:lang w:val="en-US" w:eastAsia="zh-CN"/>
        </w:rPr>
        <w:t xml:space="preserve">from entering employment. The Committee also recommends that the State party take steps to increase the number of women in decision-making and judicial bodies at all levels and in all areas. </w:t>
      </w:r>
    </w:p>
    <w:p w:rsidR="00F9080C" w:rsidRDefault="00B06971" w:rsidP="00B06971">
      <w:pPr>
        <w:pStyle w:val="SingleTxtG"/>
        <w:tabs>
          <w:tab w:val="left" w:pos="1701"/>
        </w:tabs>
        <w:rPr>
          <w:rFonts w:eastAsia="SimSun"/>
          <w:lang w:val="en-US" w:eastAsia="zh-CN"/>
        </w:rPr>
      </w:pPr>
      <w:r>
        <w:rPr>
          <w:rFonts w:eastAsia="SimSun"/>
          <w:lang w:val="en-US" w:eastAsia="zh-CN"/>
        </w:rPr>
        <w:t>11.</w:t>
      </w:r>
      <w:r>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that</w:t>
      </w:r>
      <w:r w:rsidR="00F9080C">
        <w:rPr>
          <w:rFonts w:eastAsia="SimSun"/>
          <w:lang w:val="en-US" w:eastAsia="zh-CN"/>
        </w:rPr>
        <w:t xml:space="preserve"> the unemployment rate is high and continues to rise, despite</w:t>
      </w:r>
      <w:r w:rsidR="00AD4E2D">
        <w:rPr>
          <w:rFonts w:eastAsia="SimSun"/>
          <w:lang w:val="en-US" w:eastAsia="zh-CN"/>
        </w:rPr>
        <w:t xml:space="preserve"> the </w:t>
      </w:r>
      <w:r w:rsidR="00F9080C">
        <w:rPr>
          <w:rFonts w:eastAsia="SimSun"/>
          <w:lang w:val="en-US" w:eastAsia="zh-CN"/>
        </w:rPr>
        <w:t>measures taken by the State party to stimulate employment. It is particularly concerned about the high unemployment rate for women (20.9 per</w:t>
      </w:r>
      <w:r w:rsidR="00477213">
        <w:rPr>
          <w:rFonts w:eastAsia="SimSun"/>
          <w:lang w:val="en-US" w:eastAsia="zh-CN"/>
        </w:rPr>
        <w:t xml:space="preserve"> </w:t>
      </w:r>
      <w:r w:rsidR="00F9080C">
        <w:rPr>
          <w:rFonts w:eastAsia="SimSun"/>
          <w:lang w:val="en-US" w:eastAsia="zh-CN"/>
        </w:rPr>
        <w:t xml:space="preserve">cent in 2011) and youth, as well as the disproportionately high unemployment rate in areas with ethnic minorities, such as </w:t>
      </w:r>
      <w:r w:rsidR="001367AA">
        <w:rPr>
          <w:rFonts w:eastAsia="SimSun"/>
          <w:lang w:val="en-US" w:eastAsia="zh-CN"/>
        </w:rPr>
        <w:t xml:space="preserve">the province of </w:t>
      </w:r>
      <w:r w:rsidR="00F9080C">
        <w:rPr>
          <w:rFonts w:eastAsia="SimSun"/>
          <w:lang w:val="en-US" w:eastAsia="zh-CN"/>
        </w:rPr>
        <w:t>Sistan</w:t>
      </w:r>
      <w:r w:rsidR="008B21E5">
        <w:rPr>
          <w:rFonts w:eastAsia="SimSun"/>
          <w:lang w:val="en-US" w:eastAsia="zh-CN"/>
        </w:rPr>
        <w:t xml:space="preserve"> and </w:t>
      </w:r>
      <w:r w:rsidR="00F9080C">
        <w:rPr>
          <w:rFonts w:eastAsia="SimSun"/>
          <w:lang w:val="en-US" w:eastAsia="zh-CN"/>
        </w:rPr>
        <w:t>Bal</w:t>
      </w:r>
      <w:r w:rsidR="00B36955">
        <w:rPr>
          <w:rFonts w:eastAsia="SimSun"/>
          <w:lang w:val="en-US" w:eastAsia="zh-CN"/>
        </w:rPr>
        <w:t>u</w:t>
      </w:r>
      <w:r w:rsidR="00F9080C">
        <w:rPr>
          <w:rFonts w:eastAsia="SimSun"/>
          <w:lang w:val="en-US" w:eastAsia="zh-CN"/>
        </w:rPr>
        <w:t>ch</w:t>
      </w:r>
      <w:r w:rsidR="008B21E5">
        <w:rPr>
          <w:rFonts w:eastAsia="SimSun"/>
          <w:lang w:val="en-US" w:eastAsia="zh-CN"/>
        </w:rPr>
        <w:t>e</w:t>
      </w:r>
      <w:r w:rsidR="00F9080C">
        <w:rPr>
          <w:rFonts w:eastAsia="SimSun"/>
          <w:lang w:val="en-US" w:eastAsia="zh-CN"/>
        </w:rPr>
        <w:t>stan</w:t>
      </w:r>
      <w:r w:rsidR="001367AA">
        <w:rPr>
          <w:rFonts w:eastAsia="SimSun"/>
          <w:lang w:val="en-US" w:eastAsia="zh-CN"/>
        </w:rPr>
        <w:t xml:space="preserve"> </w:t>
      </w:r>
      <w:r w:rsidR="00F9080C">
        <w:rPr>
          <w:rFonts w:eastAsia="SimSun"/>
          <w:lang w:val="en-US" w:eastAsia="zh-CN"/>
        </w:rPr>
        <w:t xml:space="preserve">and </w:t>
      </w:r>
      <w:r w:rsidR="001367AA">
        <w:rPr>
          <w:rFonts w:eastAsia="SimSun"/>
          <w:lang w:val="en-US" w:eastAsia="zh-CN"/>
        </w:rPr>
        <w:t xml:space="preserve">the province of </w:t>
      </w:r>
      <w:r w:rsidR="00F9080C">
        <w:rPr>
          <w:rFonts w:eastAsia="SimSun"/>
          <w:lang w:val="en-US" w:eastAsia="zh-CN"/>
        </w:rPr>
        <w:t xml:space="preserve">Khuzestan </w:t>
      </w:r>
      <w:r w:rsidR="00F9080C" w:rsidRPr="007C237E">
        <w:rPr>
          <w:rFonts w:eastAsia="SimSun"/>
          <w:lang w:val="en-US" w:eastAsia="zh-CN"/>
        </w:rPr>
        <w:t>(art.</w:t>
      </w:r>
      <w:r w:rsidR="001367AA">
        <w:rPr>
          <w:rFonts w:eastAsia="SimSun"/>
          <w:lang w:val="en-US" w:eastAsia="zh-CN"/>
        </w:rPr>
        <w:t xml:space="preserve"> </w:t>
      </w:r>
      <w:r w:rsidR="00F9080C">
        <w:rPr>
          <w:rFonts w:eastAsia="SimSun"/>
          <w:lang w:val="en-US" w:eastAsia="zh-CN"/>
        </w:rPr>
        <w:t>6</w:t>
      </w:r>
      <w:r w:rsidR="00F9080C" w:rsidRPr="007C237E">
        <w:rPr>
          <w:rFonts w:eastAsia="SimSun"/>
          <w:lang w:val="en-US" w:eastAsia="zh-CN"/>
        </w:rPr>
        <w:t>)</w:t>
      </w:r>
      <w:r w:rsidR="00F9080C">
        <w:rPr>
          <w:rFonts w:eastAsia="SimSun"/>
          <w:lang w:val="en-US" w:eastAsia="zh-CN"/>
        </w:rPr>
        <w:t>.</w:t>
      </w:r>
    </w:p>
    <w:p w:rsidR="00F9080C" w:rsidRDefault="00F9080C" w:rsidP="004B61E7">
      <w:pPr>
        <w:pStyle w:val="SingleTxtG"/>
        <w:rPr>
          <w:rFonts w:eastAsia="SimSun"/>
          <w:b/>
          <w:lang w:val="en-US" w:eastAsia="zh-CN"/>
        </w:rPr>
      </w:pPr>
      <w:r w:rsidRPr="00FE2E8E">
        <w:rPr>
          <w:rFonts w:eastAsia="SimSun"/>
          <w:b/>
          <w:lang w:val="en-US" w:eastAsia="zh-CN"/>
        </w:rPr>
        <w:t>The Committee recommends that the State pa</w:t>
      </w:r>
      <w:r>
        <w:rPr>
          <w:rFonts w:eastAsia="SimSun"/>
          <w:b/>
          <w:lang w:val="en-US" w:eastAsia="zh-CN"/>
        </w:rPr>
        <w:t xml:space="preserve">rty </w:t>
      </w:r>
      <w:r w:rsidRPr="00555730">
        <w:rPr>
          <w:rFonts w:eastAsia="SimSun"/>
          <w:b/>
          <w:lang w:val="en-US" w:eastAsia="zh-CN"/>
        </w:rPr>
        <w:t xml:space="preserve">increase its efforts to combat unemployment through specifically targeted measures, in particular aimed at women and youth, </w:t>
      </w:r>
      <w:r w:rsidR="00773821">
        <w:rPr>
          <w:rFonts w:eastAsia="SimSun"/>
          <w:b/>
          <w:lang w:val="en-US" w:eastAsia="zh-CN"/>
        </w:rPr>
        <w:t xml:space="preserve">including by </w:t>
      </w:r>
      <w:r w:rsidR="00AB07A7">
        <w:rPr>
          <w:rFonts w:eastAsia="SimSun"/>
          <w:b/>
          <w:lang w:val="en-US" w:eastAsia="zh-CN"/>
        </w:rPr>
        <w:t xml:space="preserve">addressing mismatches between education and labour markets through </w:t>
      </w:r>
      <w:r w:rsidR="00477213">
        <w:rPr>
          <w:rFonts w:eastAsia="SimSun"/>
          <w:b/>
          <w:lang w:val="en-US" w:eastAsia="zh-CN"/>
        </w:rPr>
        <w:t xml:space="preserve">increases in </w:t>
      </w:r>
      <w:r w:rsidR="00773821">
        <w:rPr>
          <w:rFonts w:eastAsia="SimSun"/>
          <w:b/>
          <w:lang w:val="en-US" w:eastAsia="zh-CN"/>
        </w:rPr>
        <w:t>the quality of technical and vocational training and education.</w:t>
      </w:r>
      <w:r>
        <w:rPr>
          <w:rFonts w:eastAsia="SimSun"/>
          <w:b/>
          <w:lang w:val="en-US" w:eastAsia="zh-CN"/>
        </w:rPr>
        <w:t xml:space="preserve"> The Committee also urges the State party to adopt </w:t>
      </w:r>
      <w:r w:rsidR="00AE7E3D">
        <w:rPr>
          <w:rFonts w:eastAsia="SimSun"/>
          <w:b/>
          <w:lang w:val="en-US" w:eastAsia="zh-CN"/>
        </w:rPr>
        <w:t xml:space="preserve">temporary </w:t>
      </w:r>
      <w:r>
        <w:rPr>
          <w:rFonts w:eastAsia="SimSun"/>
          <w:b/>
          <w:lang w:val="en-US" w:eastAsia="zh-CN"/>
        </w:rPr>
        <w:t>special measures to address the very high unemployment rates in areas with ethnic minorities, and to include information in its next State party report on the progress achieved.</w:t>
      </w:r>
    </w:p>
    <w:p w:rsidR="00F9080C" w:rsidRDefault="00B06971" w:rsidP="00B06971">
      <w:pPr>
        <w:pStyle w:val="SingleTxtG"/>
        <w:tabs>
          <w:tab w:val="left" w:pos="1701"/>
        </w:tabs>
        <w:rPr>
          <w:rFonts w:eastAsia="SimSun"/>
          <w:lang w:val="en-US" w:eastAsia="zh-CN"/>
        </w:rPr>
      </w:pPr>
      <w:r>
        <w:rPr>
          <w:rFonts w:eastAsia="SimSun"/>
          <w:lang w:val="en-US" w:eastAsia="zh-CN"/>
        </w:rPr>
        <w:t>12.</w:t>
      </w:r>
      <w:r>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w:t>
      </w:r>
      <w:r w:rsidR="00F9080C">
        <w:rPr>
          <w:rFonts w:eastAsia="SimSun"/>
          <w:lang w:val="en-US" w:eastAsia="zh-CN"/>
        </w:rPr>
        <w:t xml:space="preserve">that the </w:t>
      </w:r>
      <w:r w:rsidR="00F9080C" w:rsidRPr="00B54B38">
        <w:rPr>
          <w:rFonts w:eastAsia="SimSun"/>
          <w:i/>
          <w:lang w:val="en-US" w:eastAsia="zh-CN"/>
        </w:rPr>
        <w:t>gozinesh</w:t>
      </w:r>
      <w:r w:rsidR="00F9080C">
        <w:rPr>
          <w:rFonts w:eastAsia="SimSun"/>
          <w:lang w:val="en-US" w:eastAsia="zh-CN"/>
        </w:rPr>
        <w:t xml:space="preserve"> process under the 1995 Selection Law based on Religious and Ethical Standards impairs equality of opportunity or treatment in employment or occupation for persons belonging to </w:t>
      </w:r>
      <w:r w:rsidR="00F9080C" w:rsidRPr="00AA3B57">
        <w:rPr>
          <w:rFonts w:eastAsia="SimSun"/>
          <w:lang w:val="en-US" w:eastAsia="zh-CN"/>
        </w:rPr>
        <w:t>ethnic and religious minorities, as well as laypersons</w:t>
      </w:r>
      <w:r w:rsidR="00F9080C">
        <w:rPr>
          <w:rFonts w:eastAsia="SimSun"/>
          <w:lang w:val="en-US" w:eastAsia="zh-CN"/>
        </w:rPr>
        <w:t xml:space="preserve">, seeking employment in the public sector and organizations receiving </w:t>
      </w:r>
      <w:r w:rsidR="00477213">
        <w:rPr>
          <w:rFonts w:eastAsia="SimSun"/>
          <w:lang w:val="en-US" w:eastAsia="zh-CN"/>
        </w:rPr>
        <w:t>S</w:t>
      </w:r>
      <w:r w:rsidR="00F9080C">
        <w:rPr>
          <w:rFonts w:eastAsia="SimSun"/>
          <w:lang w:val="en-US" w:eastAsia="zh-CN"/>
        </w:rPr>
        <w:t xml:space="preserve">tate funding </w:t>
      </w:r>
      <w:r w:rsidR="00F9080C" w:rsidRPr="007C237E">
        <w:rPr>
          <w:rFonts w:eastAsia="SimSun"/>
          <w:lang w:val="en-US" w:eastAsia="zh-CN"/>
        </w:rPr>
        <w:t>(art.</w:t>
      </w:r>
      <w:r w:rsidR="005575E1">
        <w:rPr>
          <w:rFonts w:eastAsia="SimSun"/>
          <w:lang w:val="en-US" w:eastAsia="zh-CN"/>
        </w:rPr>
        <w:t xml:space="preserve"> </w:t>
      </w:r>
      <w:r w:rsidR="00F9080C">
        <w:rPr>
          <w:rFonts w:eastAsia="SimSun"/>
          <w:lang w:val="en-US" w:eastAsia="zh-CN"/>
        </w:rPr>
        <w:t>6</w:t>
      </w:r>
      <w:r w:rsidR="00F9080C" w:rsidRPr="007C237E">
        <w:rPr>
          <w:rFonts w:eastAsia="SimSun"/>
          <w:lang w:val="en-US" w:eastAsia="zh-CN"/>
        </w:rPr>
        <w:t>)</w:t>
      </w:r>
      <w:r w:rsidR="00F9080C">
        <w:rPr>
          <w:rFonts w:eastAsia="SimSun"/>
          <w:lang w:val="en-US" w:eastAsia="zh-CN"/>
        </w:rPr>
        <w:t>.</w:t>
      </w:r>
    </w:p>
    <w:p w:rsidR="00F9080C" w:rsidRDefault="00F9080C" w:rsidP="004B61E7">
      <w:pPr>
        <w:pStyle w:val="SingleTxtG"/>
        <w:rPr>
          <w:rFonts w:eastAsia="SimSun"/>
          <w:b/>
          <w:lang w:val="en-US" w:eastAsia="zh-CN"/>
        </w:rPr>
      </w:pPr>
      <w:r w:rsidRPr="00FE2E8E">
        <w:rPr>
          <w:rFonts w:eastAsia="SimSun"/>
          <w:b/>
          <w:lang w:val="en-US" w:eastAsia="zh-CN"/>
        </w:rPr>
        <w:t>The Committee recommends that the State pa</w:t>
      </w:r>
      <w:r>
        <w:rPr>
          <w:rFonts w:eastAsia="SimSun"/>
          <w:b/>
          <w:lang w:val="en-US" w:eastAsia="zh-CN"/>
        </w:rPr>
        <w:t>rty</w:t>
      </w:r>
      <w:r w:rsidR="00E6161E">
        <w:rPr>
          <w:rFonts w:eastAsia="SimSun"/>
          <w:b/>
          <w:lang w:val="en-US" w:eastAsia="zh-CN"/>
        </w:rPr>
        <w:t xml:space="preserve"> ensure full compliance of </w:t>
      </w:r>
      <w:r>
        <w:rPr>
          <w:rFonts w:eastAsia="SimSun"/>
          <w:b/>
          <w:lang w:val="en-US" w:eastAsia="zh-CN"/>
        </w:rPr>
        <w:t xml:space="preserve">the </w:t>
      </w:r>
      <w:r w:rsidRPr="00477213">
        <w:rPr>
          <w:rFonts w:eastAsia="SimSun"/>
          <w:b/>
          <w:lang w:val="en-US" w:eastAsia="zh-CN"/>
        </w:rPr>
        <w:t>gozinesh</w:t>
      </w:r>
      <w:r>
        <w:rPr>
          <w:rFonts w:eastAsia="SimSun"/>
          <w:b/>
          <w:lang w:val="en-US" w:eastAsia="zh-CN"/>
        </w:rPr>
        <w:t xml:space="preserve"> process</w:t>
      </w:r>
      <w:r w:rsidR="00E6161E">
        <w:rPr>
          <w:rFonts w:eastAsia="SimSun"/>
          <w:b/>
          <w:lang w:val="en-US" w:eastAsia="zh-CN"/>
        </w:rPr>
        <w:t xml:space="preserve"> with the standards under the Covenant, and thus </w:t>
      </w:r>
      <w:r>
        <w:rPr>
          <w:rFonts w:eastAsia="SimSun"/>
          <w:b/>
          <w:lang w:val="en-US" w:eastAsia="zh-CN"/>
        </w:rPr>
        <w:t>ensure that employment is not made conditional upon political opinion, previous political affiliation or support, or religious affiliation</w:t>
      </w:r>
      <w:r w:rsidRPr="00456C65">
        <w:rPr>
          <w:rFonts w:eastAsia="SimSun"/>
          <w:b/>
          <w:lang w:val="en-US" w:eastAsia="zh-CN"/>
        </w:rPr>
        <w:t>.</w:t>
      </w:r>
    </w:p>
    <w:p w:rsidR="00F9080C" w:rsidRPr="00CA000A" w:rsidRDefault="00B06971" w:rsidP="00B06971">
      <w:pPr>
        <w:pStyle w:val="SingleTxtG"/>
        <w:tabs>
          <w:tab w:val="left" w:pos="1701"/>
        </w:tabs>
        <w:rPr>
          <w:rFonts w:eastAsia="SimSun"/>
          <w:lang w:val="en-US" w:eastAsia="zh-CN"/>
        </w:rPr>
      </w:pPr>
      <w:r w:rsidRPr="00CA000A">
        <w:rPr>
          <w:rFonts w:eastAsia="SimSun"/>
          <w:lang w:val="en-US" w:eastAsia="zh-CN"/>
        </w:rPr>
        <w:t>13.</w:t>
      </w:r>
      <w:r w:rsidRPr="00CA000A">
        <w:rPr>
          <w:rFonts w:eastAsia="SimSun"/>
          <w:lang w:val="en-US" w:eastAsia="zh-CN"/>
        </w:rPr>
        <w:tab/>
      </w:r>
      <w:r w:rsidR="00F9080C" w:rsidRPr="00CA000A">
        <w:rPr>
          <w:rFonts w:eastAsia="SimSun"/>
          <w:lang w:val="en-US" w:eastAsia="zh-CN"/>
        </w:rPr>
        <w:t>The Committee is concerned that labour laws do not apply to workplaces with fewer than five workers or in export processing zones, excluding an estimated 700,000 legal workers from its application (art.</w:t>
      </w:r>
      <w:r w:rsidR="005C5B0F">
        <w:rPr>
          <w:rFonts w:eastAsia="SimSun"/>
          <w:lang w:val="en-US" w:eastAsia="zh-CN"/>
        </w:rPr>
        <w:t xml:space="preserve"> </w:t>
      </w:r>
      <w:r w:rsidR="00F9080C" w:rsidRPr="00CA000A">
        <w:rPr>
          <w:rFonts w:eastAsia="SimSun"/>
          <w:lang w:val="en-US" w:eastAsia="zh-CN"/>
        </w:rPr>
        <w:t>7).</w:t>
      </w:r>
    </w:p>
    <w:p w:rsidR="00F9080C" w:rsidRPr="004B61E7" w:rsidRDefault="00F9080C" w:rsidP="004B61E7">
      <w:pPr>
        <w:pStyle w:val="SingleTxtG"/>
        <w:rPr>
          <w:rFonts w:eastAsia="SimSun"/>
          <w:b/>
          <w:lang w:val="en-US" w:eastAsia="zh-CN"/>
        </w:rPr>
      </w:pPr>
      <w:r w:rsidRPr="004B61E7">
        <w:rPr>
          <w:rFonts w:eastAsia="SimSun"/>
          <w:b/>
          <w:lang w:val="en-US" w:eastAsia="zh-CN"/>
        </w:rPr>
        <w:t>The Committee recommends that the State party take steps to extend the application</w:t>
      </w:r>
      <w:r w:rsidR="00F151B6" w:rsidRPr="004B61E7">
        <w:rPr>
          <w:rFonts w:eastAsia="SimSun"/>
          <w:b/>
          <w:lang w:val="en-US" w:eastAsia="zh-CN"/>
        </w:rPr>
        <w:t xml:space="preserve"> of </w:t>
      </w:r>
      <w:r w:rsidRPr="004B61E7">
        <w:rPr>
          <w:rFonts w:eastAsia="SimSun"/>
          <w:b/>
          <w:lang w:val="en-US" w:eastAsia="zh-CN"/>
        </w:rPr>
        <w:t xml:space="preserve">its labour </w:t>
      </w:r>
      <w:r w:rsidR="00F151B6" w:rsidRPr="004B61E7">
        <w:rPr>
          <w:rFonts w:eastAsia="SimSun"/>
          <w:b/>
          <w:lang w:val="en-US" w:eastAsia="zh-CN"/>
        </w:rPr>
        <w:t xml:space="preserve">law </w:t>
      </w:r>
      <w:r w:rsidRPr="004B61E7">
        <w:rPr>
          <w:rFonts w:eastAsia="SimSun"/>
          <w:b/>
          <w:lang w:val="en-US" w:eastAsia="zh-CN"/>
        </w:rPr>
        <w:t>to all workers, including to those working in places with fewer than five workers and those working in export processing zones.</w:t>
      </w:r>
    </w:p>
    <w:p w:rsidR="00F9080C" w:rsidRDefault="00B06971" w:rsidP="00B06971">
      <w:pPr>
        <w:pStyle w:val="SingleTxtG"/>
        <w:tabs>
          <w:tab w:val="left" w:pos="1701"/>
        </w:tabs>
        <w:rPr>
          <w:rFonts w:eastAsia="SimSun"/>
          <w:lang w:val="en-US" w:eastAsia="zh-CN"/>
        </w:rPr>
      </w:pPr>
      <w:r>
        <w:rPr>
          <w:rFonts w:eastAsia="SimSun"/>
          <w:lang w:val="en-US" w:eastAsia="zh-CN"/>
        </w:rPr>
        <w:t>14.</w:t>
      </w:r>
      <w:r>
        <w:rPr>
          <w:rFonts w:eastAsia="SimSun"/>
          <w:lang w:val="en-US"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w:t>
      </w:r>
      <w:r w:rsidR="00F9080C">
        <w:rPr>
          <w:rFonts w:eastAsia="SimSun"/>
          <w:lang w:val="en-US" w:eastAsia="zh-CN"/>
        </w:rPr>
        <w:t xml:space="preserve">that </w:t>
      </w:r>
      <w:r w:rsidR="00F9080C" w:rsidRPr="00F92631">
        <w:rPr>
          <w:rFonts w:eastAsia="SimSun"/>
          <w:lang w:val="en-US" w:eastAsia="zh-CN"/>
        </w:rPr>
        <w:t>the minimum wage level, as announced by the Supreme Labour Council, has been determined at a level insufficient to provide workers and their families with a decent living</w:t>
      </w:r>
      <w:r w:rsidR="00F9080C">
        <w:rPr>
          <w:rFonts w:eastAsia="SimSun"/>
          <w:lang w:val="en-US" w:eastAsia="zh-CN"/>
        </w:rPr>
        <w:t>. It is also concerned that Afghan workers are often paid less than the minimum wage, or are faced with non-payment of wages</w:t>
      </w:r>
      <w:r w:rsidR="00F9080C" w:rsidRPr="007C237E">
        <w:rPr>
          <w:rFonts w:eastAsia="SimSun"/>
          <w:lang w:val="en-US" w:eastAsia="zh-CN"/>
        </w:rPr>
        <w:t xml:space="preserve"> (art.</w:t>
      </w:r>
      <w:r w:rsidR="00BC733C">
        <w:rPr>
          <w:rFonts w:eastAsia="SimSun"/>
          <w:lang w:val="en-US" w:eastAsia="zh-CN"/>
        </w:rPr>
        <w:t> </w:t>
      </w:r>
      <w:r w:rsidR="00F9080C">
        <w:rPr>
          <w:rFonts w:eastAsia="SimSun"/>
          <w:lang w:val="en-US" w:eastAsia="zh-CN"/>
        </w:rPr>
        <w:t>7</w:t>
      </w:r>
      <w:r w:rsidR="00F9080C" w:rsidRPr="007C237E">
        <w:rPr>
          <w:rFonts w:eastAsia="SimSun"/>
          <w:lang w:val="en-US" w:eastAsia="zh-CN"/>
        </w:rPr>
        <w:t>)</w:t>
      </w:r>
      <w:r w:rsidR="00F9080C">
        <w:rPr>
          <w:rFonts w:eastAsia="SimSun"/>
          <w:lang w:val="en-US" w:eastAsia="zh-CN"/>
        </w:rPr>
        <w:t>.</w:t>
      </w:r>
    </w:p>
    <w:p w:rsidR="00F9080C" w:rsidRPr="00CC0513" w:rsidRDefault="00F9080C" w:rsidP="004B61E7">
      <w:pPr>
        <w:pStyle w:val="SingleTxtG"/>
        <w:rPr>
          <w:rFonts w:eastAsia="SimSun"/>
          <w:b/>
          <w:lang w:val="en-US" w:eastAsia="zh-CN"/>
        </w:rPr>
      </w:pPr>
      <w:r w:rsidRPr="00F1170B">
        <w:rPr>
          <w:rFonts w:eastAsia="SimSun"/>
          <w:b/>
          <w:lang w:val="en-US" w:eastAsia="zh-CN"/>
        </w:rPr>
        <w:t>The Committee recommends that the State party ensure that the national minimum wage is set at a level sufficient to provide all workers and their families w</w:t>
      </w:r>
      <w:r>
        <w:rPr>
          <w:rFonts w:eastAsia="SimSun"/>
          <w:b/>
          <w:lang w:val="en-US" w:eastAsia="zh-CN"/>
        </w:rPr>
        <w:t xml:space="preserve">ith a decent standard of living, and </w:t>
      </w:r>
      <w:r w:rsidRPr="00F1170B">
        <w:rPr>
          <w:rFonts w:eastAsia="SimSun"/>
          <w:b/>
          <w:lang w:val="en-US" w:eastAsia="zh-CN"/>
        </w:rPr>
        <w:t xml:space="preserve">strengthen its efforts towards the progressive increase of the </w:t>
      </w:r>
      <w:r w:rsidRPr="00CC0513">
        <w:rPr>
          <w:rFonts w:eastAsia="SimSun"/>
          <w:b/>
          <w:lang w:val="en-US" w:eastAsia="zh-CN"/>
        </w:rPr>
        <w:t>minimum wage in accordance with article 7 (a) (ii) of the Covenant. The Committee also recommends that the State party take steps to ensure that Afghan workers are not paid a wage below the level of the minimum wage.</w:t>
      </w:r>
    </w:p>
    <w:p w:rsidR="00F9080C" w:rsidRPr="0081130B" w:rsidRDefault="00B06971" w:rsidP="00B06971">
      <w:pPr>
        <w:pStyle w:val="SingleTxtG"/>
        <w:tabs>
          <w:tab w:val="left" w:pos="1701"/>
        </w:tabs>
        <w:rPr>
          <w:rFonts w:eastAsia="SimSun"/>
          <w:lang w:eastAsia="zh-CN"/>
        </w:rPr>
      </w:pPr>
      <w:r w:rsidRPr="0081130B">
        <w:rPr>
          <w:rFonts w:eastAsia="SimSun"/>
          <w:lang w:eastAsia="zh-CN"/>
        </w:rPr>
        <w:t>15.</w:t>
      </w:r>
      <w:r w:rsidRPr="0081130B">
        <w:rPr>
          <w:rFonts w:eastAsia="SimSun"/>
          <w:lang w:eastAsia="zh-CN"/>
        </w:rPr>
        <w:tab/>
      </w:r>
      <w:r w:rsidR="00F9080C" w:rsidRPr="00CC0513">
        <w:rPr>
          <w:rFonts w:eastAsia="SimSun"/>
          <w:lang w:val="en-US" w:eastAsia="zh-CN"/>
        </w:rPr>
        <w:t xml:space="preserve">The Committee is concerned that the State party </w:t>
      </w:r>
      <w:r w:rsidR="00F151B6">
        <w:rPr>
          <w:rFonts w:eastAsia="SimSun"/>
          <w:lang w:val="en-US" w:eastAsia="zh-CN"/>
        </w:rPr>
        <w:t xml:space="preserve">prevents </w:t>
      </w:r>
      <w:r w:rsidR="00F9080C" w:rsidRPr="00CC0513">
        <w:rPr>
          <w:rFonts w:eastAsia="SimSun"/>
          <w:lang w:val="en-US" w:eastAsia="zh-CN"/>
        </w:rPr>
        <w:t>the formation of independent trade unions. It is</w:t>
      </w:r>
      <w:r w:rsidR="00F9080C">
        <w:rPr>
          <w:rFonts w:eastAsia="SimSun"/>
          <w:lang w:val="en-US" w:eastAsia="zh-CN"/>
        </w:rPr>
        <w:t xml:space="preserve"> concerned that labour rights activists, such as members of the Committee to Pursue the Establishment of Workers</w:t>
      </w:r>
      <w:r w:rsidR="00DE4A62">
        <w:rPr>
          <w:rFonts w:eastAsia="SimSun"/>
          <w:lang w:val="en-US" w:eastAsia="zh-CN"/>
        </w:rPr>
        <w:t>’</w:t>
      </w:r>
      <w:r w:rsidR="00F9080C">
        <w:rPr>
          <w:rFonts w:eastAsia="SimSun"/>
          <w:lang w:val="en-US" w:eastAsia="zh-CN"/>
        </w:rPr>
        <w:t xml:space="preserve"> Organizations, the Iran Teachers’ Trade Association, the Iran Free Workers’ Union and members of unions of bus workers and sugar-cane workers have faced harassment, arrests and detention based on vaguely worded charges, such as “harming state security”, “acting against national security” or “spreading propaganda against the system”. The Committee is also concerned that workers who participated in strikes have faced reprisals from the State party’s authorities, including suspended prison terms and dismissals </w:t>
      </w:r>
      <w:r w:rsidR="00F9080C" w:rsidRPr="007C237E">
        <w:rPr>
          <w:rFonts w:eastAsia="SimSun"/>
          <w:lang w:val="en-US" w:eastAsia="zh-CN"/>
        </w:rPr>
        <w:t>(art.</w:t>
      </w:r>
      <w:r w:rsidR="00242E89">
        <w:rPr>
          <w:rFonts w:eastAsia="SimSun"/>
          <w:lang w:val="en-US" w:eastAsia="zh-CN"/>
        </w:rPr>
        <w:t xml:space="preserve"> </w:t>
      </w:r>
      <w:r w:rsidR="00F9080C">
        <w:rPr>
          <w:rFonts w:eastAsia="SimSun"/>
          <w:lang w:val="en-US" w:eastAsia="zh-CN"/>
        </w:rPr>
        <w:t>8</w:t>
      </w:r>
      <w:r w:rsidR="00F9080C" w:rsidRPr="007C237E">
        <w:rPr>
          <w:rFonts w:eastAsia="SimSun"/>
          <w:lang w:val="en-US" w:eastAsia="zh-CN"/>
        </w:rPr>
        <w:t>)</w:t>
      </w:r>
      <w:r w:rsidR="00F9080C">
        <w:rPr>
          <w:rFonts w:eastAsia="SimSun"/>
          <w:lang w:val="en-US" w:eastAsia="zh-CN"/>
        </w:rPr>
        <w:t>.</w:t>
      </w:r>
    </w:p>
    <w:p w:rsidR="00F9080C" w:rsidRPr="005978F7" w:rsidRDefault="00F9080C" w:rsidP="004B61E7">
      <w:pPr>
        <w:pStyle w:val="SingleTxtG"/>
        <w:rPr>
          <w:rFonts w:eastAsia="SimSun"/>
          <w:b/>
          <w:lang w:val="en-US" w:eastAsia="zh-CN"/>
        </w:rPr>
      </w:pPr>
      <w:r w:rsidRPr="00F1170B">
        <w:rPr>
          <w:rFonts w:eastAsia="SimSun"/>
          <w:b/>
          <w:lang w:val="en-US" w:eastAsia="zh-CN"/>
        </w:rPr>
        <w:t>The Committee recommends that the State party</w:t>
      </w:r>
      <w:r>
        <w:rPr>
          <w:rFonts w:eastAsia="SimSun"/>
          <w:b/>
          <w:lang w:val="en-US" w:eastAsia="zh-CN"/>
        </w:rPr>
        <w:t xml:space="preserve"> take steps to ensure that independent </w:t>
      </w:r>
      <w:r w:rsidRPr="00C36A2B">
        <w:rPr>
          <w:rFonts w:eastAsia="SimSun"/>
          <w:b/>
          <w:lang w:val="en-US" w:eastAsia="zh-CN"/>
        </w:rPr>
        <w:t xml:space="preserve">trade unions can be formed and </w:t>
      </w:r>
      <w:r w:rsidR="00F151B6">
        <w:rPr>
          <w:rFonts w:eastAsia="SimSun"/>
          <w:b/>
          <w:lang w:val="en-US" w:eastAsia="zh-CN"/>
        </w:rPr>
        <w:t>carry out</w:t>
      </w:r>
      <w:r w:rsidRPr="00C36A2B">
        <w:rPr>
          <w:rFonts w:eastAsia="SimSun"/>
          <w:b/>
          <w:lang w:val="en-US" w:eastAsia="zh-CN"/>
        </w:rPr>
        <w:t xml:space="preserve"> their activities without interference, </w:t>
      </w:r>
      <w:r w:rsidR="00F151B6">
        <w:rPr>
          <w:rFonts w:eastAsia="SimSun"/>
          <w:b/>
          <w:lang w:val="en-US" w:eastAsia="zh-CN"/>
        </w:rPr>
        <w:t>including</w:t>
      </w:r>
      <w:r w:rsidRPr="00C36A2B">
        <w:rPr>
          <w:rFonts w:eastAsia="SimSun"/>
          <w:b/>
          <w:lang w:val="en-US" w:eastAsia="zh-CN"/>
        </w:rPr>
        <w:t xml:space="preserve"> unions of teachers, bus workers and sugar-cane workers, as well as the Iran Free Workers’ Union. </w:t>
      </w:r>
      <w:r>
        <w:rPr>
          <w:rFonts w:eastAsia="SimSun"/>
          <w:b/>
          <w:lang w:val="en-US" w:eastAsia="zh-CN"/>
        </w:rPr>
        <w:t xml:space="preserve">It recommends that the State party ensure that </w:t>
      </w:r>
      <w:r w:rsidRPr="00AA1977">
        <w:rPr>
          <w:rFonts w:eastAsia="SimSun"/>
          <w:b/>
          <w:lang w:val="en-US" w:eastAsia="zh-CN"/>
        </w:rPr>
        <w:t xml:space="preserve">workers can participate in strikes without facing reprisals </w:t>
      </w:r>
      <w:r w:rsidRPr="00C36A2B">
        <w:rPr>
          <w:rFonts w:eastAsia="SimSun"/>
          <w:b/>
          <w:lang w:val="en-US" w:eastAsia="zh-CN"/>
        </w:rPr>
        <w:t xml:space="preserve">The Committee also calls upon </w:t>
      </w:r>
      <w:r w:rsidR="00F151B6">
        <w:rPr>
          <w:rFonts w:eastAsia="SimSun"/>
          <w:b/>
          <w:lang w:val="en-US" w:eastAsia="zh-CN"/>
        </w:rPr>
        <w:t xml:space="preserve">the State party to </w:t>
      </w:r>
      <w:r w:rsidRPr="00C36A2B">
        <w:rPr>
          <w:rFonts w:eastAsia="SimSun"/>
          <w:b/>
          <w:lang w:val="en-US" w:eastAsia="zh-CN"/>
        </w:rPr>
        <w:t>immediate</w:t>
      </w:r>
      <w:r w:rsidR="005C5C94">
        <w:rPr>
          <w:rFonts w:eastAsia="SimSun"/>
          <w:b/>
          <w:lang w:val="en-US" w:eastAsia="zh-CN"/>
        </w:rPr>
        <w:t>ly</w:t>
      </w:r>
      <w:r w:rsidRPr="00C36A2B">
        <w:rPr>
          <w:rFonts w:eastAsia="SimSun"/>
          <w:b/>
          <w:lang w:val="en-US" w:eastAsia="zh-CN"/>
        </w:rPr>
        <w:t xml:space="preserve"> release labour rights activists and members of independent trade unions </w:t>
      </w:r>
      <w:r w:rsidRPr="005978F7">
        <w:rPr>
          <w:rFonts w:eastAsia="SimSun"/>
          <w:b/>
          <w:lang w:val="en-US" w:eastAsia="zh-CN"/>
        </w:rPr>
        <w:t>currently serving prison sentences</w:t>
      </w:r>
      <w:r w:rsidR="00F151B6">
        <w:rPr>
          <w:rFonts w:eastAsia="SimSun"/>
          <w:b/>
          <w:lang w:val="en-US" w:eastAsia="zh-CN"/>
        </w:rPr>
        <w:t xml:space="preserve"> who acted in conformity with internationally recognized trade union standards</w:t>
      </w:r>
      <w:r w:rsidRPr="005978F7">
        <w:rPr>
          <w:rFonts w:eastAsia="SimSun"/>
          <w:b/>
          <w:lang w:val="en-US" w:eastAsia="zh-CN"/>
        </w:rPr>
        <w:t>.</w:t>
      </w:r>
    </w:p>
    <w:p w:rsidR="00F9080C" w:rsidRPr="005978F7" w:rsidRDefault="00B06971" w:rsidP="00B06971">
      <w:pPr>
        <w:pStyle w:val="SingleTxtG"/>
        <w:tabs>
          <w:tab w:val="left" w:pos="1701"/>
        </w:tabs>
        <w:rPr>
          <w:rFonts w:eastAsia="SimSun"/>
          <w:lang w:eastAsia="zh-CN"/>
        </w:rPr>
      </w:pPr>
      <w:r w:rsidRPr="005978F7">
        <w:rPr>
          <w:rFonts w:eastAsia="SimSun"/>
          <w:lang w:eastAsia="zh-CN"/>
        </w:rPr>
        <w:t>16.</w:t>
      </w:r>
      <w:r w:rsidRPr="005978F7">
        <w:rPr>
          <w:rFonts w:eastAsia="SimSun"/>
          <w:lang w:eastAsia="zh-CN"/>
        </w:rPr>
        <w:tab/>
      </w:r>
      <w:r w:rsidR="00F9080C" w:rsidRPr="005978F7">
        <w:rPr>
          <w:rFonts w:eastAsia="SimSun"/>
          <w:lang w:val="en-US" w:eastAsia="zh-CN"/>
        </w:rPr>
        <w:t>The Committee is concerned that a significant portion of the population is not covered by any health insurance scheme (art.</w:t>
      </w:r>
      <w:r w:rsidR="004E5F2E">
        <w:rPr>
          <w:rFonts w:eastAsia="SimSun"/>
          <w:lang w:val="en-US" w:eastAsia="zh-CN"/>
        </w:rPr>
        <w:t xml:space="preserve"> </w:t>
      </w:r>
      <w:r w:rsidR="00F9080C" w:rsidRPr="005978F7">
        <w:rPr>
          <w:rFonts w:eastAsia="SimSun"/>
          <w:lang w:val="en-US" w:eastAsia="zh-CN"/>
        </w:rPr>
        <w:t>9).</w:t>
      </w:r>
    </w:p>
    <w:p w:rsidR="0055272C" w:rsidRPr="00774E3B" w:rsidRDefault="00F9080C" w:rsidP="004B61E7">
      <w:pPr>
        <w:pStyle w:val="SingleTxtG"/>
        <w:rPr>
          <w:rFonts w:eastAsia="SimSun"/>
          <w:b/>
          <w:lang w:val="en-US" w:eastAsia="zh-CN"/>
        </w:rPr>
      </w:pPr>
      <w:r w:rsidRPr="005978F7">
        <w:rPr>
          <w:rFonts w:eastAsia="SimSun"/>
          <w:b/>
          <w:lang w:val="en-US" w:eastAsia="zh-CN"/>
        </w:rPr>
        <w:t xml:space="preserve">The Committee recommends that the State party take steps to ensure </w:t>
      </w:r>
      <w:r w:rsidR="00344105" w:rsidRPr="005978F7">
        <w:rPr>
          <w:rFonts w:eastAsia="SimSun"/>
          <w:b/>
          <w:lang w:val="en-US" w:eastAsia="zh-CN"/>
        </w:rPr>
        <w:t xml:space="preserve">universal access to health insurance, providing for coverage for </w:t>
      </w:r>
      <w:r w:rsidR="0055272C" w:rsidRPr="005978F7">
        <w:rPr>
          <w:rFonts w:eastAsia="SimSun"/>
          <w:b/>
          <w:lang w:val="en-US" w:eastAsia="zh-CN"/>
        </w:rPr>
        <w:t>a minimum essential level</w:t>
      </w:r>
      <w:r w:rsidR="00344105" w:rsidRPr="005978F7">
        <w:rPr>
          <w:rFonts w:eastAsia="SimSun"/>
          <w:b/>
          <w:lang w:val="en-US" w:eastAsia="zh-CN"/>
        </w:rPr>
        <w:t xml:space="preserve"> </w:t>
      </w:r>
      <w:r w:rsidR="0055272C" w:rsidRPr="005978F7">
        <w:rPr>
          <w:rFonts w:eastAsia="SimSun"/>
          <w:b/>
          <w:lang w:val="en-US" w:eastAsia="zh-CN"/>
        </w:rPr>
        <w:t>of benefits to all individuals and families</w:t>
      </w:r>
      <w:r w:rsidR="00344105" w:rsidRPr="005978F7">
        <w:rPr>
          <w:rFonts w:eastAsia="SimSun"/>
          <w:b/>
          <w:lang w:val="en-US" w:eastAsia="zh-CN"/>
        </w:rPr>
        <w:t>,</w:t>
      </w:r>
      <w:r w:rsidR="0055272C" w:rsidRPr="005978F7">
        <w:rPr>
          <w:rFonts w:eastAsia="SimSun"/>
          <w:b/>
          <w:lang w:val="en-US" w:eastAsia="zh-CN"/>
        </w:rPr>
        <w:t xml:space="preserve"> </w:t>
      </w:r>
      <w:r w:rsidR="00344105" w:rsidRPr="005978F7">
        <w:rPr>
          <w:rFonts w:eastAsia="SimSun"/>
          <w:b/>
          <w:lang w:val="en-US" w:eastAsia="zh-CN"/>
        </w:rPr>
        <w:t xml:space="preserve">including </w:t>
      </w:r>
      <w:r w:rsidR="0055272C" w:rsidRPr="005978F7">
        <w:rPr>
          <w:rFonts w:eastAsia="SimSun"/>
          <w:b/>
          <w:lang w:val="en-US" w:eastAsia="zh-CN"/>
        </w:rPr>
        <w:t>access to health facilities, goods</w:t>
      </w:r>
      <w:r w:rsidR="00344105" w:rsidRPr="005978F7">
        <w:rPr>
          <w:rFonts w:eastAsia="SimSun"/>
          <w:b/>
          <w:lang w:val="en-US" w:eastAsia="zh-CN"/>
        </w:rPr>
        <w:t xml:space="preserve"> </w:t>
      </w:r>
      <w:r w:rsidR="0055272C" w:rsidRPr="005978F7">
        <w:rPr>
          <w:rFonts w:eastAsia="SimSun"/>
          <w:b/>
          <w:lang w:val="en-US" w:eastAsia="zh-CN"/>
        </w:rPr>
        <w:t>and services on a non-discriminatory basis</w:t>
      </w:r>
      <w:r w:rsidR="005C5B0F">
        <w:rPr>
          <w:rFonts w:eastAsia="SimSun"/>
          <w:b/>
          <w:lang w:val="en-US" w:eastAsia="zh-CN"/>
        </w:rPr>
        <w:t>;</w:t>
      </w:r>
      <w:r w:rsidR="0055272C" w:rsidRPr="005978F7">
        <w:rPr>
          <w:rFonts w:eastAsia="SimSun"/>
          <w:b/>
          <w:lang w:val="en-US" w:eastAsia="zh-CN"/>
        </w:rPr>
        <w:t xml:space="preserve"> provision of essential drugs</w:t>
      </w:r>
      <w:r w:rsidR="005C5B0F">
        <w:rPr>
          <w:rFonts w:eastAsia="SimSun"/>
          <w:b/>
          <w:lang w:val="en-US" w:eastAsia="zh-CN"/>
        </w:rPr>
        <w:t>;</w:t>
      </w:r>
      <w:r w:rsidR="0055272C" w:rsidRPr="005978F7">
        <w:rPr>
          <w:rFonts w:eastAsia="SimSun"/>
          <w:b/>
          <w:lang w:val="en-US" w:eastAsia="zh-CN"/>
        </w:rPr>
        <w:t xml:space="preserve"> access to reproductive,</w:t>
      </w:r>
      <w:r w:rsidR="00344105" w:rsidRPr="005978F7">
        <w:rPr>
          <w:rFonts w:eastAsia="SimSun"/>
          <w:b/>
          <w:lang w:val="en-US" w:eastAsia="zh-CN"/>
        </w:rPr>
        <w:t xml:space="preserve"> </w:t>
      </w:r>
      <w:r w:rsidR="0055272C" w:rsidRPr="005978F7">
        <w:rPr>
          <w:rFonts w:eastAsia="SimSun"/>
          <w:b/>
          <w:lang w:val="en-US" w:eastAsia="zh-CN"/>
        </w:rPr>
        <w:t>maternal (prenatal as well as post-natal) and child health care</w:t>
      </w:r>
      <w:r w:rsidR="005C5B0F">
        <w:rPr>
          <w:rFonts w:eastAsia="SimSun"/>
          <w:b/>
          <w:lang w:val="en-US" w:eastAsia="zh-CN"/>
        </w:rPr>
        <w:t>;</w:t>
      </w:r>
      <w:r w:rsidR="0055272C" w:rsidRPr="005978F7">
        <w:rPr>
          <w:rFonts w:eastAsia="SimSun"/>
          <w:b/>
          <w:lang w:val="en-US" w:eastAsia="zh-CN"/>
        </w:rPr>
        <w:t xml:space="preserve"> and immunization against the</w:t>
      </w:r>
      <w:r w:rsidR="00344105" w:rsidRPr="005978F7">
        <w:rPr>
          <w:rFonts w:eastAsia="SimSun"/>
          <w:b/>
          <w:lang w:val="en-US" w:eastAsia="zh-CN"/>
        </w:rPr>
        <w:t xml:space="preserve"> </w:t>
      </w:r>
      <w:r w:rsidR="0055272C" w:rsidRPr="005978F7">
        <w:rPr>
          <w:rFonts w:eastAsia="SimSun"/>
          <w:b/>
          <w:lang w:val="en-US" w:eastAsia="zh-CN"/>
        </w:rPr>
        <w:t>major infectious</w:t>
      </w:r>
      <w:r w:rsidR="0055272C" w:rsidRPr="00344105">
        <w:rPr>
          <w:rFonts w:eastAsia="SimSun"/>
          <w:b/>
          <w:lang w:val="en-US" w:eastAsia="zh-CN"/>
        </w:rPr>
        <w:t xml:space="preserve"> diseases occurring in the community.</w:t>
      </w:r>
    </w:p>
    <w:p w:rsidR="00F9080C" w:rsidRPr="0081130B" w:rsidRDefault="00B06971" w:rsidP="00B06971">
      <w:pPr>
        <w:pStyle w:val="SingleTxtG"/>
        <w:tabs>
          <w:tab w:val="left" w:pos="1701"/>
        </w:tabs>
        <w:rPr>
          <w:rFonts w:eastAsia="SimSun"/>
          <w:lang w:eastAsia="zh-CN"/>
        </w:rPr>
      </w:pPr>
      <w:r w:rsidRPr="0081130B">
        <w:rPr>
          <w:rFonts w:eastAsia="SimSun"/>
          <w:lang w:eastAsia="zh-CN"/>
        </w:rPr>
        <w:t>17.</w:t>
      </w:r>
      <w:r w:rsidRPr="0081130B">
        <w:rPr>
          <w:rFonts w:eastAsia="SimSun"/>
          <w:lang w:eastAsia="zh-CN"/>
        </w:rPr>
        <w:tab/>
      </w:r>
      <w:r w:rsidR="00F9080C" w:rsidRPr="007C237E">
        <w:rPr>
          <w:rFonts w:eastAsia="SimSun"/>
          <w:lang w:val="en-US" w:eastAsia="zh-CN"/>
        </w:rPr>
        <w:t xml:space="preserve">The Committee </w:t>
      </w:r>
      <w:r w:rsidR="00F9080C">
        <w:rPr>
          <w:rFonts w:eastAsia="SimSun"/>
          <w:lang w:val="en-US" w:eastAsia="zh-CN"/>
        </w:rPr>
        <w:t>is concerned</w:t>
      </w:r>
      <w:r w:rsidR="00F9080C" w:rsidRPr="007C237E">
        <w:rPr>
          <w:rFonts w:eastAsia="SimSun"/>
          <w:lang w:val="en-US" w:eastAsia="zh-CN"/>
        </w:rPr>
        <w:t xml:space="preserve"> </w:t>
      </w:r>
      <w:r w:rsidR="00F9080C">
        <w:rPr>
          <w:rFonts w:eastAsia="SimSun"/>
          <w:lang w:val="en-US" w:eastAsia="zh-CN"/>
        </w:rPr>
        <w:t xml:space="preserve">that domestic violence, including marital rape, is not </w:t>
      </w:r>
      <w:r w:rsidR="00F151B6">
        <w:rPr>
          <w:rFonts w:eastAsia="SimSun"/>
          <w:lang w:val="en-US" w:eastAsia="zh-CN"/>
        </w:rPr>
        <w:t xml:space="preserve">specifically </w:t>
      </w:r>
      <w:r w:rsidR="00F9080C">
        <w:rPr>
          <w:rFonts w:eastAsia="SimSun"/>
          <w:lang w:val="en-US" w:eastAsia="zh-CN"/>
        </w:rPr>
        <w:t xml:space="preserve">criminalized in domestic legislation. It is also concerned that victims of domestic violence do not have adequate access to effective means of redress and immediate protection </w:t>
      </w:r>
      <w:r w:rsidR="00F9080C" w:rsidRPr="007C237E">
        <w:rPr>
          <w:rFonts w:eastAsia="SimSun"/>
          <w:lang w:val="en-US" w:eastAsia="zh-CN"/>
        </w:rPr>
        <w:t>(art.</w:t>
      </w:r>
      <w:r w:rsidR="004E5F2E">
        <w:rPr>
          <w:rFonts w:eastAsia="SimSun"/>
          <w:lang w:val="en-US" w:eastAsia="zh-CN"/>
        </w:rPr>
        <w:t xml:space="preserve"> </w:t>
      </w:r>
      <w:r w:rsidR="00F9080C">
        <w:rPr>
          <w:rFonts w:eastAsia="SimSun"/>
          <w:lang w:val="en-US" w:eastAsia="zh-CN"/>
        </w:rPr>
        <w:t>10</w:t>
      </w:r>
      <w:r w:rsidR="00F9080C" w:rsidRPr="007C237E">
        <w:rPr>
          <w:rFonts w:eastAsia="SimSun"/>
          <w:lang w:val="en-US" w:eastAsia="zh-CN"/>
        </w:rPr>
        <w:t>)</w:t>
      </w:r>
      <w:r w:rsidR="00F9080C">
        <w:rPr>
          <w:rFonts w:eastAsia="SimSun"/>
          <w:lang w:val="en-US" w:eastAsia="zh-CN"/>
        </w:rPr>
        <w:t>.</w:t>
      </w:r>
    </w:p>
    <w:p w:rsidR="00F9080C" w:rsidRDefault="00F9080C" w:rsidP="00F9080C">
      <w:pPr>
        <w:pStyle w:val="SingleTxtG"/>
        <w:ind w:left="1128"/>
        <w:rPr>
          <w:rFonts w:eastAsia="SimSun"/>
          <w:b/>
          <w:lang w:val="en-US" w:eastAsia="zh-CN"/>
        </w:rPr>
      </w:pPr>
      <w:r w:rsidRPr="00F1170B">
        <w:rPr>
          <w:rFonts w:eastAsia="SimSun"/>
          <w:b/>
          <w:lang w:val="en-US" w:eastAsia="zh-CN"/>
        </w:rPr>
        <w:t>The Committee recommends that the State party</w:t>
      </w:r>
      <w:r>
        <w:rPr>
          <w:rFonts w:eastAsia="SimSun"/>
          <w:b/>
          <w:lang w:val="en-US" w:eastAsia="zh-CN"/>
        </w:rPr>
        <w:t xml:space="preserve"> take urgent legislative steps to </w:t>
      </w:r>
      <w:r w:rsidR="00F151B6">
        <w:rPr>
          <w:rFonts w:eastAsia="SimSun"/>
          <w:b/>
          <w:lang w:val="en-US" w:eastAsia="zh-CN"/>
        </w:rPr>
        <w:t xml:space="preserve">specifically </w:t>
      </w:r>
      <w:r>
        <w:rPr>
          <w:rFonts w:eastAsia="SimSun"/>
          <w:b/>
          <w:lang w:val="en-US" w:eastAsia="zh-CN"/>
        </w:rPr>
        <w:t xml:space="preserve">criminalize domestic violence, including marital rape. It also recommends that the State party take steps to </w:t>
      </w:r>
      <w:r w:rsidRPr="00302398">
        <w:rPr>
          <w:rFonts w:eastAsia="SimSun"/>
          <w:b/>
          <w:lang w:val="en-US" w:eastAsia="zh-CN"/>
        </w:rPr>
        <w:t xml:space="preserve">ensure that victims of domestic violence have access to effective means of redress and immediate protection, including through a sufficient number of safe houses. </w:t>
      </w:r>
    </w:p>
    <w:p w:rsidR="00487369" w:rsidRDefault="00B06971" w:rsidP="00B06971">
      <w:pPr>
        <w:pStyle w:val="SingleTxtG"/>
        <w:tabs>
          <w:tab w:val="left" w:pos="1701"/>
        </w:tabs>
        <w:rPr>
          <w:b/>
          <w:bCs/>
          <w:iCs/>
        </w:rPr>
      </w:pPr>
      <w:r>
        <w:rPr>
          <w:bCs/>
          <w:iCs/>
        </w:rPr>
        <w:t>18.</w:t>
      </w:r>
      <w:r>
        <w:rPr>
          <w:bCs/>
          <w:iCs/>
        </w:rPr>
        <w:tab/>
      </w:r>
      <w:r w:rsidR="00487369">
        <w:rPr>
          <w:iCs/>
        </w:rPr>
        <w:t xml:space="preserve">The Committee is concerned that the minimum age for marriage, namely 13 years for girls and 15 years for boys, </w:t>
      </w:r>
      <w:r w:rsidR="0058138A">
        <w:rPr>
          <w:iCs/>
        </w:rPr>
        <w:t>is</w:t>
      </w:r>
      <w:r w:rsidR="00487369">
        <w:rPr>
          <w:iCs/>
        </w:rPr>
        <w:t xml:space="preserve"> inconsistent with the requirement under the Covenant that marriage be entered into only with </w:t>
      </w:r>
      <w:r w:rsidR="00E03240">
        <w:rPr>
          <w:iCs/>
        </w:rPr>
        <w:t xml:space="preserve">the </w:t>
      </w:r>
      <w:r w:rsidR="00487369">
        <w:rPr>
          <w:iCs/>
        </w:rPr>
        <w:t>free consent</w:t>
      </w:r>
      <w:r w:rsidR="00727A5D">
        <w:rPr>
          <w:iCs/>
        </w:rPr>
        <w:t xml:space="preserve"> of </w:t>
      </w:r>
      <w:r w:rsidR="00E73601">
        <w:rPr>
          <w:iCs/>
        </w:rPr>
        <w:t>the intending spouses</w:t>
      </w:r>
      <w:r w:rsidR="00487369">
        <w:rPr>
          <w:iCs/>
        </w:rPr>
        <w:t xml:space="preserve"> </w:t>
      </w:r>
      <w:r w:rsidR="00487369">
        <w:t>(art. 10).</w:t>
      </w:r>
    </w:p>
    <w:p w:rsidR="00487369" w:rsidRDefault="00487369" w:rsidP="00487369">
      <w:pPr>
        <w:pStyle w:val="SingleTxtG"/>
        <w:spacing w:line="240" w:lineRule="auto"/>
        <w:ind w:right="1138"/>
        <w:rPr>
          <w:iCs/>
        </w:rPr>
      </w:pPr>
      <w:r>
        <w:rPr>
          <w:b/>
          <w:bCs/>
          <w:iCs/>
        </w:rPr>
        <w:t xml:space="preserve">The Committee calls on the State party </w:t>
      </w:r>
      <w:r>
        <w:rPr>
          <w:rFonts w:eastAsia="SimSun"/>
          <w:b/>
          <w:bCs/>
          <w:lang w:val="en-US" w:eastAsia="zh-CN"/>
        </w:rPr>
        <w:t>to</w:t>
      </w:r>
      <w:r>
        <w:rPr>
          <w:b/>
          <w:bCs/>
          <w:iCs/>
          <w:lang w:val="en-US"/>
        </w:rPr>
        <w:t xml:space="preserve"> </w:t>
      </w:r>
      <w:r>
        <w:rPr>
          <w:b/>
          <w:bCs/>
          <w:iCs/>
        </w:rPr>
        <w:t>raise the minimum age of marriage to 18 years for both boys and girls</w:t>
      </w:r>
      <w:r w:rsidR="00E108EF">
        <w:rPr>
          <w:b/>
          <w:bCs/>
          <w:iCs/>
        </w:rPr>
        <w:t>, and to ensure that marriage can be entered into only with the free consent of the intending spouses</w:t>
      </w:r>
      <w:r>
        <w:rPr>
          <w:b/>
          <w:bCs/>
          <w:iCs/>
        </w:rPr>
        <w:t>.</w:t>
      </w:r>
    </w:p>
    <w:p w:rsidR="00F9080C" w:rsidRPr="00073E92" w:rsidRDefault="00B06971" w:rsidP="00B06971">
      <w:pPr>
        <w:pStyle w:val="SingleTxtG"/>
        <w:tabs>
          <w:tab w:val="left" w:pos="1701"/>
        </w:tabs>
        <w:rPr>
          <w:rFonts w:eastAsia="SimSun"/>
          <w:b/>
          <w:lang w:val="en-US" w:eastAsia="zh-CN"/>
        </w:rPr>
      </w:pPr>
      <w:r w:rsidRPr="00073E92">
        <w:rPr>
          <w:rFonts w:eastAsia="SimSun"/>
          <w:lang w:val="en-US" w:eastAsia="zh-CN"/>
        </w:rPr>
        <w:t>19.</w:t>
      </w:r>
      <w:r w:rsidRPr="00073E92">
        <w:rPr>
          <w:rFonts w:eastAsia="SimSun"/>
          <w:lang w:val="en-US" w:eastAsia="zh-CN"/>
        </w:rPr>
        <w:tab/>
      </w:r>
      <w:r w:rsidR="00F9080C" w:rsidRPr="00073E92">
        <w:rPr>
          <w:rFonts w:eastAsia="SimSun"/>
          <w:lang w:val="en-US" w:eastAsia="zh-CN"/>
        </w:rPr>
        <w:t xml:space="preserve">The Committee is concerned that a very high number of children are living and/or working in the street, in particular in </w:t>
      </w:r>
      <w:smartTag w:uri="urn:schemas-microsoft-com:office:smarttags" w:element="City">
        <w:r w:rsidR="00F9080C" w:rsidRPr="00073E92">
          <w:rPr>
            <w:rFonts w:eastAsia="SimSun"/>
            <w:lang w:val="en-US" w:eastAsia="zh-CN"/>
          </w:rPr>
          <w:t>Tehran</w:t>
        </w:r>
      </w:smartTag>
      <w:r w:rsidR="00F9080C" w:rsidRPr="00073E92">
        <w:rPr>
          <w:rFonts w:eastAsia="SimSun"/>
          <w:lang w:val="en-US" w:eastAsia="zh-CN"/>
        </w:rPr>
        <w:t xml:space="preserve">, </w:t>
      </w:r>
      <w:smartTag w:uri="urn:schemas-microsoft-com:office:smarttags" w:element="City">
        <w:r w:rsidR="00F9080C" w:rsidRPr="00073E92">
          <w:rPr>
            <w:rFonts w:eastAsia="SimSun"/>
            <w:lang w:val="en-US" w:eastAsia="zh-CN"/>
          </w:rPr>
          <w:t>Isfahan</w:t>
        </w:r>
      </w:smartTag>
      <w:r w:rsidR="00F9080C" w:rsidRPr="00073E92">
        <w:rPr>
          <w:rFonts w:eastAsia="SimSun"/>
          <w:lang w:val="en-US" w:eastAsia="zh-CN"/>
        </w:rPr>
        <w:t xml:space="preserve">, Mashdad and </w:t>
      </w:r>
      <w:smartTag w:uri="urn:schemas-microsoft-com:office:smarttags" w:element="City">
        <w:smartTag w:uri="urn:schemas-microsoft-com:office:smarttags" w:element="place">
          <w:r w:rsidR="00F9080C" w:rsidRPr="00073E92">
            <w:rPr>
              <w:rFonts w:eastAsia="SimSun"/>
              <w:lang w:val="en-US" w:eastAsia="zh-CN"/>
            </w:rPr>
            <w:t>Shiraz</w:t>
          </w:r>
        </w:smartTag>
      </w:smartTag>
      <w:r w:rsidR="00F9080C" w:rsidRPr="00073E92">
        <w:rPr>
          <w:rFonts w:eastAsia="SimSun"/>
          <w:lang w:val="en-US" w:eastAsia="zh-CN"/>
        </w:rPr>
        <w:t xml:space="preserve">, and that </w:t>
      </w:r>
      <w:r w:rsidR="00F9080C" w:rsidRPr="00073E92">
        <w:rPr>
          <w:lang w:val="en-US"/>
        </w:rPr>
        <w:t>these children have limited access to health services and education</w:t>
      </w:r>
      <w:r w:rsidR="00F9080C" w:rsidRPr="00073E92">
        <w:rPr>
          <w:rFonts w:eastAsia="SimSun"/>
          <w:lang w:val="en-US" w:eastAsia="zh-CN"/>
        </w:rPr>
        <w:t xml:space="preserve"> </w:t>
      </w:r>
      <w:r w:rsidR="00F9080C" w:rsidRPr="00073E92">
        <w:t>(art.</w:t>
      </w:r>
      <w:r w:rsidR="00E03240">
        <w:t xml:space="preserve"> </w:t>
      </w:r>
      <w:r w:rsidR="00F9080C" w:rsidRPr="00073E92">
        <w:t>10)</w:t>
      </w:r>
      <w:r w:rsidR="00E96E8B">
        <w:t>.</w:t>
      </w:r>
      <w:r w:rsidR="00F9080C" w:rsidRPr="00E96E8B">
        <w:rPr>
          <w:rStyle w:val="FootnoteReference"/>
          <w:rFonts w:eastAsia="SimSun"/>
          <w:vertAlign w:val="baseline"/>
          <w:lang w:val="en-US" w:eastAsia="zh-CN"/>
        </w:rPr>
        <w:t xml:space="preserve"> </w:t>
      </w:r>
    </w:p>
    <w:p w:rsidR="00F9080C" w:rsidRPr="00073E92" w:rsidRDefault="00F9080C" w:rsidP="00F9080C">
      <w:pPr>
        <w:pStyle w:val="SingleTxtG"/>
        <w:ind w:left="1128"/>
        <w:rPr>
          <w:b/>
        </w:rPr>
      </w:pPr>
      <w:r w:rsidRPr="00073E92">
        <w:rPr>
          <w:b/>
        </w:rPr>
        <w:t xml:space="preserve">The Committee recommends that the State party take </w:t>
      </w:r>
      <w:r w:rsidR="006A5F7D">
        <w:rPr>
          <w:b/>
        </w:rPr>
        <w:t xml:space="preserve">urgent and effective </w:t>
      </w:r>
      <w:r w:rsidRPr="00073E92">
        <w:rPr>
          <w:b/>
        </w:rPr>
        <w:t xml:space="preserve">steps to address the very high number of children living and/or working in the street, address the root causes of the phenomenon, and </w:t>
      </w:r>
      <w:r w:rsidR="005C5C94">
        <w:rPr>
          <w:b/>
        </w:rPr>
        <w:t>provide</w:t>
      </w:r>
      <w:r w:rsidRPr="00073E92">
        <w:rPr>
          <w:b/>
        </w:rPr>
        <w:t xml:space="preserve"> all street children </w:t>
      </w:r>
      <w:r w:rsidR="005C5C94">
        <w:rPr>
          <w:b/>
        </w:rPr>
        <w:t xml:space="preserve">with access </w:t>
      </w:r>
      <w:r w:rsidRPr="00073E92">
        <w:rPr>
          <w:b/>
        </w:rPr>
        <w:t>to health services and education.</w:t>
      </w:r>
    </w:p>
    <w:p w:rsidR="00F9080C" w:rsidRDefault="00B06971" w:rsidP="00B06971">
      <w:pPr>
        <w:pStyle w:val="SingleTxtG"/>
        <w:tabs>
          <w:tab w:val="left" w:pos="1701"/>
        </w:tabs>
      </w:pPr>
      <w:r>
        <w:t>20.</w:t>
      </w:r>
      <w:r>
        <w:tab/>
      </w:r>
      <w:r w:rsidR="00F9080C" w:rsidRPr="00073E92">
        <w:rPr>
          <w:rFonts w:eastAsia="SimSun"/>
          <w:lang w:val="en-US" w:eastAsia="zh-CN"/>
        </w:rPr>
        <w:t>The Committee is concerned that child labour is prevalent, in particular in rural areas, including in carpet</w:t>
      </w:r>
      <w:r w:rsidR="00F9080C">
        <w:rPr>
          <w:rFonts w:eastAsia="SimSun"/>
          <w:lang w:val="en-US" w:eastAsia="zh-CN"/>
        </w:rPr>
        <w:t xml:space="preserve"> weaving and other traditional family businesses</w:t>
      </w:r>
      <w:r w:rsidR="00F9080C" w:rsidRPr="00B76C89">
        <w:rPr>
          <w:rFonts w:eastAsia="SimSun"/>
          <w:lang w:val="en-US" w:eastAsia="zh-CN"/>
        </w:rPr>
        <w:t>.</w:t>
      </w:r>
      <w:r w:rsidR="00F9080C">
        <w:rPr>
          <w:rFonts w:eastAsia="SimSun"/>
          <w:lang w:val="en-US" w:eastAsia="zh-CN"/>
        </w:rPr>
        <w:t xml:space="preserve"> The Committee is concerned that </w:t>
      </w:r>
      <w:r w:rsidR="00F9080C" w:rsidRPr="002A1550">
        <w:rPr>
          <w:rFonts w:eastAsia="SimSun"/>
          <w:lang w:val="en-US" w:eastAsia="zh-CN"/>
        </w:rPr>
        <w:t xml:space="preserve">domestic legislation does not consistently determine the minimum age </w:t>
      </w:r>
      <w:r w:rsidR="005C5C94">
        <w:rPr>
          <w:rFonts w:eastAsia="SimSun"/>
          <w:lang w:val="en-US" w:eastAsia="zh-CN"/>
        </w:rPr>
        <w:t>for</w:t>
      </w:r>
      <w:r w:rsidR="00F9080C" w:rsidRPr="002A1550">
        <w:rPr>
          <w:rFonts w:eastAsia="SimSun"/>
          <w:lang w:val="en-US" w:eastAsia="zh-CN"/>
        </w:rPr>
        <w:t xml:space="preserve"> employment, and that</w:t>
      </w:r>
      <w:r w:rsidR="00F9080C">
        <w:rPr>
          <w:rFonts w:eastAsia="SimSun"/>
          <w:lang w:val="en-US" w:eastAsia="zh-CN"/>
        </w:rPr>
        <w:t xml:space="preserve"> child labour is permitted</w:t>
      </w:r>
      <w:r w:rsidR="00F9080C" w:rsidRPr="003475F0">
        <w:t xml:space="preserve"> in agriculture, domestic service,</w:t>
      </w:r>
      <w:r w:rsidR="00F9080C">
        <w:t xml:space="preserve"> </w:t>
      </w:r>
      <w:r w:rsidR="00F9080C" w:rsidRPr="003475F0">
        <w:t xml:space="preserve">and some small businesses. </w:t>
      </w:r>
      <w:r w:rsidR="00F9080C">
        <w:t>The Committee is also concerned that child labo</w:t>
      </w:r>
      <w:r w:rsidR="00EB4B05">
        <w:t>u</w:t>
      </w:r>
      <w:r w:rsidR="00F9080C">
        <w:t xml:space="preserve">r legislation is ineffectively and inadequately monitored and enforced </w:t>
      </w:r>
      <w:r w:rsidR="00F9080C" w:rsidRPr="00B76C89">
        <w:t>(a</w:t>
      </w:r>
      <w:r w:rsidR="00F9080C">
        <w:t>rt.</w:t>
      </w:r>
      <w:r w:rsidR="008B21E5">
        <w:t xml:space="preserve"> </w:t>
      </w:r>
      <w:r w:rsidR="00F9080C">
        <w:t>10).</w:t>
      </w:r>
    </w:p>
    <w:p w:rsidR="00F9080C" w:rsidRDefault="00F9080C" w:rsidP="00F9080C">
      <w:pPr>
        <w:pStyle w:val="SingleTxtG"/>
        <w:ind w:left="1128"/>
        <w:rPr>
          <w:b/>
        </w:rPr>
      </w:pPr>
      <w:r w:rsidRPr="00F024AA">
        <w:rPr>
          <w:b/>
        </w:rPr>
        <w:t xml:space="preserve">The Committee recommends that the State party take steps to strengthen its national legislation prohibiting child labour in accordance with international standards, in all sectors, including in agriculture, domestic service, and clay/brickmaking. The Committee also recommends that the State party ensure that </w:t>
      </w:r>
      <w:r w:rsidR="004F363B">
        <w:rPr>
          <w:b/>
        </w:rPr>
        <w:t xml:space="preserve">the implementation of </w:t>
      </w:r>
      <w:r w:rsidRPr="00F024AA">
        <w:rPr>
          <w:b/>
        </w:rPr>
        <w:t>legislation pertaining to child labour is effectively monitored and enforced, including through labour inspections in agriculture and the informal sector, ensuring that employers exploiting child labour are held accountable and that victims of child labour are rehabilitated</w:t>
      </w:r>
      <w:r>
        <w:rPr>
          <w:b/>
        </w:rPr>
        <w:t xml:space="preserve"> and are ensured access to education. </w:t>
      </w:r>
      <w:r w:rsidRPr="00F024AA">
        <w:rPr>
          <w:b/>
        </w:rPr>
        <w:t>The Committee recommends that the State party undertake awareness-raising campaigns with a view to eradicating child labour.</w:t>
      </w:r>
    </w:p>
    <w:p w:rsidR="00F9080C" w:rsidRDefault="00B06971" w:rsidP="00B06971">
      <w:pPr>
        <w:pStyle w:val="SingleTxtG"/>
        <w:tabs>
          <w:tab w:val="left" w:pos="1701"/>
        </w:tabs>
      </w:pPr>
      <w:r>
        <w:t>21.</w:t>
      </w:r>
      <w:r>
        <w:tab/>
      </w:r>
      <w:r w:rsidR="00F9080C" w:rsidRPr="007C237E">
        <w:rPr>
          <w:rFonts w:eastAsia="SimSun"/>
          <w:lang w:val="en-US" w:eastAsia="zh-CN"/>
        </w:rPr>
        <w:t xml:space="preserve">The Committee </w:t>
      </w:r>
      <w:r w:rsidR="00F9080C">
        <w:rPr>
          <w:rFonts w:eastAsia="SimSun"/>
          <w:lang w:val="en-US" w:eastAsia="zh-CN"/>
        </w:rPr>
        <w:t>is concerned that, despite significant progress achieved in reducing extreme poverty, certain underdeveloped regions, including Sistan</w:t>
      </w:r>
      <w:r w:rsidR="008B21E5">
        <w:rPr>
          <w:rFonts w:eastAsia="SimSun"/>
          <w:lang w:val="en-US" w:eastAsia="zh-CN"/>
        </w:rPr>
        <w:t xml:space="preserve"> and </w:t>
      </w:r>
      <w:r w:rsidR="00F9080C">
        <w:rPr>
          <w:rFonts w:eastAsia="SimSun"/>
          <w:lang w:val="en-US" w:eastAsia="zh-CN"/>
        </w:rPr>
        <w:t>Baluch</w:t>
      </w:r>
      <w:r w:rsidR="008B21E5">
        <w:rPr>
          <w:rFonts w:eastAsia="SimSun"/>
          <w:lang w:val="en-US" w:eastAsia="zh-CN"/>
        </w:rPr>
        <w:t>e</w:t>
      </w:r>
      <w:r w:rsidR="00F9080C">
        <w:rPr>
          <w:rFonts w:eastAsia="SimSun"/>
          <w:lang w:val="en-US" w:eastAsia="zh-CN"/>
        </w:rPr>
        <w:t xml:space="preserve">stan, Khuzestan and Kordestan, continue to show high levels of poverty </w:t>
      </w:r>
      <w:r w:rsidR="00F9080C" w:rsidRPr="00B76C89">
        <w:t>(a</w:t>
      </w:r>
      <w:r w:rsidR="00F9080C">
        <w:t>rt.</w:t>
      </w:r>
      <w:r w:rsidR="005C5B0F">
        <w:t xml:space="preserve"> </w:t>
      </w:r>
      <w:r w:rsidR="00F9080C">
        <w:t>11).</w:t>
      </w:r>
    </w:p>
    <w:p w:rsidR="00F9080C" w:rsidRPr="003D17B9" w:rsidRDefault="00F9080C" w:rsidP="00F9080C">
      <w:pPr>
        <w:pStyle w:val="SingleTxtG"/>
        <w:ind w:left="1128"/>
        <w:rPr>
          <w:b/>
        </w:rPr>
      </w:pPr>
      <w:r w:rsidRPr="00A159DF">
        <w:rPr>
          <w:b/>
        </w:rPr>
        <w:t>The Committee recommends that the State party take all necessary steps to further reduce poverty and extreme poverty, in particular in provinces populated by ethnic minorities, such as Sistan</w:t>
      </w:r>
      <w:r w:rsidR="008B21E5">
        <w:rPr>
          <w:b/>
        </w:rPr>
        <w:t xml:space="preserve"> and </w:t>
      </w:r>
      <w:r w:rsidRPr="00A159DF">
        <w:rPr>
          <w:b/>
        </w:rPr>
        <w:t xml:space="preserve">Baluchestan, Khuzestan and Kordestan. The Committee requests the State party to include in its next periodic report disaggregated and comparative data, by year and province, on the number of </w:t>
      </w:r>
      <w:r w:rsidR="005C5C94">
        <w:rPr>
          <w:b/>
        </w:rPr>
        <w:t>men and women</w:t>
      </w:r>
      <w:r w:rsidR="008B21E5">
        <w:rPr>
          <w:b/>
        </w:rPr>
        <w:t xml:space="preserve"> </w:t>
      </w:r>
      <w:r w:rsidRPr="00A159DF">
        <w:rPr>
          <w:b/>
        </w:rPr>
        <w:t xml:space="preserve">living in </w:t>
      </w:r>
      <w:r w:rsidRPr="003D17B9">
        <w:rPr>
          <w:b/>
        </w:rPr>
        <w:t xml:space="preserve">poverty and extreme poverty. </w:t>
      </w:r>
    </w:p>
    <w:p w:rsidR="00F9080C" w:rsidRPr="003D17B9" w:rsidRDefault="00B06971" w:rsidP="00B06971">
      <w:pPr>
        <w:pStyle w:val="SingleTxtG"/>
        <w:tabs>
          <w:tab w:val="left" w:pos="1701"/>
        </w:tabs>
      </w:pPr>
      <w:r w:rsidRPr="003D17B9">
        <w:t>22.</w:t>
      </w:r>
      <w:r w:rsidRPr="003D17B9">
        <w:tab/>
      </w:r>
      <w:r w:rsidR="00F9080C" w:rsidRPr="004222C7">
        <w:rPr>
          <w:rFonts w:eastAsia="SimSun"/>
          <w:lang w:val="en-US" w:eastAsia="zh-CN"/>
        </w:rPr>
        <w:t>The Committee is concerned</w:t>
      </w:r>
      <w:r w:rsidR="00F9080C" w:rsidRPr="003D17B9">
        <w:rPr>
          <w:rFonts w:eastAsia="SimSun"/>
          <w:lang w:val="en-US" w:eastAsia="zh-CN"/>
        </w:rPr>
        <w:t xml:space="preserve"> that </w:t>
      </w:r>
      <w:r w:rsidR="00AE7E3D" w:rsidRPr="003D17B9">
        <w:rPr>
          <w:rFonts w:eastAsia="SimSun"/>
          <w:lang w:val="en-US" w:eastAsia="zh-CN"/>
        </w:rPr>
        <w:t xml:space="preserve">many </w:t>
      </w:r>
      <w:r w:rsidR="00F9080C" w:rsidRPr="003D17B9">
        <w:rPr>
          <w:rFonts w:eastAsia="SimSun"/>
          <w:lang w:val="en-US" w:eastAsia="zh-CN"/>
        </w:rPr>
        <w:t xml:space="preserve">families </w:t>
      </w:r>
      <w:r w:rsidR="00E108EF" w:rsidRPr="003D17B9">
        <w:rPr>
          <w:rFonts w:eastAsia="SimSun"/>
          <w:lang w:val="en-US" w:eastAsia="zh-CN"/>
        </w:rPr>
        <w:t>remain without</w:t>
      </w:r>
      <w:r w:rsidR="00F9080C" w:rsidRPr="003D17B9">
        <w:rPr>
          <w:rFonts w:eastAsia="SimSun"/>
          <w:lang w:val="en-US" w:eastAsia="zh-CN"/>
        </w:rPr>
        <w:t xml:space="preserve"> </w:t>
      </w:r>
      <w:r w:rsidR="00E108EF" w:rsidRPr="003D17B9">
        <w:rPr>
          <w:rFonts w:eastAsia="SimSun"/>
          <w:lang w:val="en-US" w:eastAsia="zh-CN"/>
        </w:rPr>
        <w:t xml:space="preserve">a </w:t>
      </w:r>
      <w:r w:rsidR="00F9080C" w:rsidRPr="003D17B9">
        <w:rPr>
          <w:rFonts w:eastAsia="SimSun"/>
          <w:lang w:val="en-US" w:eastAsia="zh-CN"/>
        </w:rPr>
        <w:t xml:space="preserve">formal ownership title over their house and land, in particular in rural areas. It is </w:t>
      </w:r>
      <w:r w:rsidR="00E108EF" w:rsidRPr="003D17B9">
        <w:rPr>
          <w:rFonts w:eastAsia="SimSun"/>
          <w:lang w:val="en-US" w:eastAsia="zh-CN"/>
        </w:rPr>
        <w:t xml:space="preserve">also </w:t>
      </w:r>
      <w:r w:rsidR="00F9080C" w:rsidRPr="003D17B9">
        <w:rPr>
          <w:rFonts w:eastAsia="SimSun"/>
          <w:lang w:val="en-US" w:eastAsia="zh-CN"/>
        </w:rPr>
        <w:t xml:space="preserve">concerned that </w:t>
      </w:r>
      <w:r w:rsidR="004222C7">
        <w:rPr>
          <w:rFonts w:eastAsia="SimSun"/>
          <w:lang w:val="en-US" w:eastAsia="zh-CN"/>
        </w:rPr>
        <w:t xml:space="preserve">interpretations of </w:t>
      </w:r>
      <w:r w:rsidR="00F9080C" w:rsidRPr="003D17B9">
        <w:rPr>
          <w:rFonts w:eastAsia="SimSun"/>
          <w:lang w:val="en-US" w:eastAsia="zh-CN"/>
        </w:rPr>
        <w:t xml:space="preserve">article 49 of the Constitution </w:t>
      </w:r>
      <w:r w:rsidR="006C2020" w:rsidRPr="003D17B9">
        <w:rPr>
          <w:rFonts w:eastAsia="SimSun"/>
          <w:lang w:val="en-US" w:eastAsia="zh-CN"/>
        </w:rPr>
        <w:t>ha</w:t>
      </w:r>
      <w:r w:rsidR="004222C7">
        <w:rPr>
          <w:rFonts w:eastAsia="SimSun"/>
          <w:lang w:val="en-US" w:eastAsia="zh-CN"/>
        </w:rPr>
        <w:t>ve</w:t>
      </w:r>
      <w:r w:rsidR="006C2020" w:rsidRPr="003D17B9">
        <w:rPr>
          <w:rFonts w:eastAsia="SimSun"/>
          <w:lang w:val="en-US" w:eastAsia="zh-CN"/>
        </w:rPr>
        <w:t xml:space="preserve"> </w:t>
      </w:r>
      <w:r w:rsidR="00F9080C" w:rsidRPr="003D17B9">
        <w:rPr>
          <w:rFonts w:eastAsia="SimSun"/>
          <w:lang w:val="en-US" w:eastAsia="zh-CN"/>
        </w:rPr>
        <w:t xml:space="preserve">led to </w:t>
      </w:r>
      <w:r w:rsidR="004F363B" w:rsidRPr="003D17B9">
        <w:rPr>
          <w:rFonts w:eastAsia="SimSun"/>
          <w:lang w:val="en-US" w:eastAsia="zh-CN"/>
        </w:rPr>
        <w:t xml:space="preserve">cases of </w:t>
      </w:r>
      <w:r w:rsidR="004222C7">
        <w:rPr>
          <w:rFonts w:eastAsia="SimSun"/>
          <w:lang w:val="en-US" w:eastAsia="zh-CN"/>
        </w:rPr>
        <w:t>arbitrary</w:t>
      </w:r>
      <w:r w:rsidR="00F9080C" w:rsidRPr="003D17B9">
        <w:rPr>
          <w:rFonts w:eastAsia="SimSun"/>
          <w:lang w:val="en-US" w:eastAsia="zh-CN"/>
        </w:rPr>
        <w:t xml:space="preserve"> property confiscations </w:t>
      </w:r>
      <w:r w:rsidR="00F9080C" w:rsidRPr="003D17B9">
        <w:t>(art.</w:t>
      </w:r>
      <w:r w:rsidR="008B21E5">
        <w:t xml:space="preserve"> </w:t>
      </w:r>
      <w:r w:rsidR="00F9080C" w:rsidRPr="003D17B9">
        <w:t>11).</w:t>
      </w:r>
    </w:p>
    <w:p w:rsidR="00F9080C" w:rsidRPr="00227CAB" w:rsidRDefault="00F9080C" w:rsidP="00F9080C">
      <w:pPr>
        <w:pStyle w:val="SingleTxtG"/>
        <w:rPr>
          <w:b/>
        </w:rPr>
      </w:pPr>
      <w:r w:rsidRPr="003D17B9">
        <w:rPr>
          <w:b/>
        </w:rPr>
        <w:t xml:space="preserve">The Committee recommends that the State party take steps to ensure that ownership </w:t>
      </w:r>
      <w:r w:rsidR="00107059">
        <w:rPr>
          <w:b/>
        </w:rPr>
        <w:t>of</w:t>
      </w:r>
      <w:r w:rsidR="00107059" w:rsidRPr="003D17B9">
        <w:rPr>
          <w:b/>
        </w:rPr>
        <w:t xml:space="preserve"> </w:t>
      </w:r>
      <w:r w:rsidRPr="003D17B9">
        <w:rPr>
          <w:b/>
        </w:rPr>
        <w:t>houses and land</w:t>
      </w:r>
      <w:r>
        <w:rPr>
          <w:b/>
        </w:rPr>
        <w:t xml:space="preserve">, in particular in rural areas, is formally registered, </w:t>
      </w:r>
      <w:r w:rsidR="004222C7">
        <w:rPr>
          <w:b/>
        </w:rPr>
        <w:t xml:space="preserve">and that </w:t>
      </w:r>
      <w:r w:rsidR="00B03821">
        <w:rPr>
          <w:b/>
        </w:rPr>
        <w:t>the State party</w:t>
      </w:r>
      <w:r w:rsidR="004222C7">
        <w:rPr>
          <w:b/>
        </w:rPr>
        <w:t xml:space="preserve"> actively </w:t>
      </w:r>
      <w:r w:rsidR="00B03821">
        <w:rPr>
          <w:b/>
        </w:rPr>
        <w:t>raise awareness</w:t>
      </w:r>
      <w:r w:rsidR="002B202A">
        <w:rPr>
          <w:b/>
        </w:rPr>
        <w:t xml:space="preserve"> among affected groups of </w:t>
      </w:r>
      <w:r w:rsidR="00107059">
        <w:rPr>
          <w:b/>
        </w:rPr>
        <w:t xml:space="preserve">the </w:t>
      </w:r>
      <w:r w:rsidR="002B202A">
        <w:rPr>
          <w:b/>
        </w:rPr>
        <w:t>population</w:t>
      </w:r>
      <w:r w:rsidR="00B03821">
        <w:rPr>
          <w:b/>
        </w:rPr>
        <w:t xml:space="preserve">, including through the dissemination of </w:t>
      </w:r>
      <w:r w:rsidR="004222C7">
        <w:rPr>
          <w:b/>
        </w:rPr>
        <w:t>knowledge</w:t>
      </w:r>
      <w:r w:rsidR="00B03821">
        <w:rPr>
          <w:b/>
        </w:rPr>
        <w:t>,</w:t>
      </w:r>
      <w:r w:rsidR="004222C7">
        <w:rPr>
          <w:b/>
        </w:rPr>
        <w:t xml:space="preserve"> o</w:t>
      </w:r>
      <w:r w:rsidR="00B03821">
        <w:rPr>
          <w:b/>
        </w:rPr>
        <w:t>n</w:t>
      </w:r>
      <w:r>
        <w:rPr>
          <w:b/>
        </w:rPr>
        <w:t xml:space="preserve"> relevant legal provisions and registry procedures. </w:t>
      </w:r>
      <w:r w:rsidRPr="00087562">
        <w:rPr>
          <w:b/>
        </w:rPr>
        <w:t xml:space="preserve">It recommends that the State party take steps to prevent </w:t>
      </w:r>
      <w:r w:rsidR="004222C7">
        <w:rPr>
          <w:b/>
        </w:rPr>
        <w:t>arbitrary</w:t>
      </w:r>
      <w:r w:rsidRPr="00087562">
        <w:rPr>
          <w:b/>
        </w:rPr>
        <w:t xml:space="preserve"> interpretations of article 49 of the Constitution, and to ensure that persons </w:t>
      </w:r>
      <w:r w:rsidR="006C2020">
        <w:rPr>
          <w:b/>
        </w:rPr>
        <w:t xml:space="preserve">affected by such confiscations </w:t>
      </w:r>
      <w:r w:rsidRPr="00087562">
        <w:rPr>
          <w:b/>
        </w:rPr>
        <w:t>have access to an adequate remedy, restitution of their property</w:t>
      </w:r>
      <w:r>
        <w:rPr>
          <w:b/>
        </w:rPr>
        <w:t>,</w:t>
      </w:r>
      <w:r w:rsidRPr="00087562">
        <w:rPr>
          <w:b/>
        </w:rPr>
        <w:t xml:space="preserve"> and compensation</w:t>
      </w:r>
      <w:r w:rsidR="004222C7">
        <w:rPr>
          <w:b/>
        </w:rPr>
        <w:t>, as appropriate</w:t>
      </w:r>
      <w:r w:rsidR="00B03821">
        <w:rPr>
          <w:b/>
        </w:rPr>
        <w:t xml:space="preserve">, including in line with the Committee’s </w:t>
      </w:r>
      <w:r w:rsidR="00107059">
        <w:rPr>
          <w:b/>
        </w:rPr>
        <w:t>g</w:t>
      </w:r>
      <w:r w:rsidR="00B03821">
        <w:rPr>
          <w:b/>
        </w:rPr>
        <w:t xml:space="preserve">eneral </w:t>
      </w:r>
      <w:r w:rsidR="00107059">
        <w:rPr>
          <w:b/>
        </w:rPr>
        <w:t>c</w:t>
      </w:r>
      <w:r w:rsidR="00B03821">
        <w:rPr>
          <w:b/>
        </w:rPr>
        <w:t xml:space="preserve">omment </w:t>
      </w:r>
      <w:r w:rsidR="00107059">
        <w:rPr>
          <w:b/>
        </w:rPr>
        <w:t>N</w:t>
      </w:r>
      <w:r w:rsidR="00B03821">
        <w:rPr>
          <w:b/>
        </w:rPr>
        <w:t>o.</w:t>
      </w:r>
      <w:r w:rsidR="00107059">
        <w:rPr>
          <w:b/>
        </w:rPr>
        <w:t xml:space="preserve"> </w:t>
      </w:r>
      <w:r w:rsidR="00B03821">
        <w:rPr>
          <w:b/>
        </w:rPr>
        <w:t>7 (1997) on forced evictions</w:t>
      </w:r>
      <w:r w:rsidRPr="00087562">
        <w:rPr>
          <w:b/>
        </w:rPr>
        <w:t xml:space="preserve">. </w:t>
      </w:r>
      <w:r>
        <w:rPr>
          <w:b/>
        </w:rPr>
        <w:t xml:space="preserve">The Committee also </w:t>
      </w:r>
      <w:r w:rsidRPr="00227CAB">
        <w:rPr>
          <w:b/>
        </w:rPr>
        <w:t xml:space="preserve">requests the State party to include in its next periodic report information on the extent and the root causes of homelessness in the State party. The </w:t>
      </w:r>
      <w:r>
        <w:rPr>
          <w:b/>
        </w:rPr>
        <w:t>C</w:t>
      </w:r>
      <w:r w:rsidRPr="00227CAB">
        <w:rPr>
          <w:b/>
        </w:rPr>
        <w:t>ommittee draws the S</w:t>
      </w:r>
      <w:r>
        <w:rPr>
          <w:b/>
        </w:rPr>
        <w:t xml:space="preserve">tate party’s attention to its </w:t>
      </w:r>
      <w:r w:rsidR="003856B2">
        <w:rPr>
          <w:b/>
        </w:rPr>
        <w:t>g</w:t>
      </w:r>
      <w:r w:rsidRPr="00227CAB">
        <w:rPr>
          <w:b/>
        </w:rPr>
        <w:t xml:space="preserve">eneral </w:t>
      </w:r>
      <w:r w:rsidR="003856B2">
        <w:rPr>
          <w:b/>
        </w:rPr>
        <w:t>c</w:t>
      </w:r>
      <w:r w:rsidRPr="00227CAB">
        <w:rPr>
          <w:b/>
        </w:rPr>
        <w:t xml:space="preserve">omment </w:t>
      </w:r>
      <w:r w:rsidR="003856B2">
        <w:rPr>
          <w:b/>
        </w:rPr>
        <w:t>N</w:t>
      </w:r>
      <w:r w:rsidRPr="00227CAB">
        <w:rPr>
          <w:b/>
        </w:rPr>
        <w:t>o. 4 (1991) on the right to adequate housing.</w:t>
      </w:r>
    </w:p>
    <w:p w:rsidR="00F9080C" w:rsidRPr="003856B2" w:rsidRDefault="00B06971" w:rsidP="00B06971">
      <w:pPr>
        <w:pStyle w:val="SingleTxtG"/>
        <w:tabs>
          <w:tab w:val="left" w:pos="1701"/>
        </w:tabs>
        <w:rPr>
          <w:spacing w:val="-2"/>
        </w:rPr>
      </w:pPr>
      <w:r w:rsidRPr="003856B2">
        <w:rPr>
          <w:spacing w:val="-2"/>
        </w:rPr>
        <w:t>23.</w:t>
      </w:r>
      <w:r w:rsidRPr="003856B2">
        <w:rPr>
          <w:spacing w:val="-2"/>
        </w:rPr>
        <w:tab/>
      </w:r>
      <w:r w:rsidR="00F9080C" w:rsidRPr="003856B2">
        <w:rPr>
          <w:rFonts w:eastAsia="SimSun"/>
          <w:spacing w:val="-2"/>
          <w:lang w:val="en-US" w:eastAsia="zh-CN"/>
        </w:rPr>
        <w:t xml:space="preserve">The Committee is concerned about poor living conditions in regions traditionally inhabited by ethnic minorities, in </w:t>
      </w:r>
      <w:r w:rsidR="003856B2" w:rsidRPr="003856B2">
        <w:rPr>
          <w:rFonts w:eastAsia="SimSun"/>
          <w:spacing w:val="-2"/>
          <w:lang w:val="en-US" w:eastAsia="zh-CN"/>
        </w:rPr>
        <w:t xml:space="preserve">some </w:t>
      </w:r>
      <w:r w:rsidR="00F9080C" w:rsidRPr="003856B2">
        <w:rPr>
          <w:rFonts w:eastAsia="SimSun"/>
          <w:spacing w:val="-2"/>
          <w:lang w:val="en-US" w:eastAsia="zh-CN"/>
        </w:rPr>
        <w:t>cases completely lacking basic services such as electricity, plumbing, sewage systems, public transport, medical facilities or schools</w:t>
      </w:r>
      <w:r w:rsidR="00CE66EF" w:rsidRPr="003856B2">
        <w:rPr>
          <w:rFonts w:eastAsia="SimSun"/>
          <w:spacing w:val="-2"/>
          <w:lang w:val="en-US" w:eastAsia="zh-CN"/>
        </w:rPr>
        <w:t xml:space="preserve"> </w:t>
      </w:r>
      <w:r w:rsidR="00F9080C" w:rsidRPr="003856B2">
        <w:rPr>
          <w:spacing w:val="-2"/>
        </w:rPr>
        <w:t>(art.</w:t>
      </w:r>
      <w:r w:rsidR="003856B2" w:rsidRPr="003856B2">
        <w:rPr>
          <w:spacing w:val="-2"/>
        </w:rPr>
        <w:t> </w:t>
      </w:r>
      <w:r w:rsidR="00F9080C" w:rsidRPr="003856B2">
        <w:rPr>
          <w:spacing w:val="-2"/>
        </w:rPr>
        <w:t>11).</w:t>
      </w:r>
    </w:p>
    <w:p w:rsidR="00F9080C" w:rsidRDefault="00F9080C" w:rsidP="00F9080C">
      <w:pPr>
        <w:pStyle w:val="SingleTxtG"/>
        <w:rPr>
          <w:b/>
        </w:rPr>
      </w:pPr>
      <w:r w:rsidRPr="00F024AA">
        <w:rPr>
          <w:b/>
        </w:rPr>
        <w:t>The Committee recommends that the State party take</w:t>
      </w:r>
      <w:r>
        <w:rPr>
          <w:b/>
        </w:rPr>
        <w:t xml:space="preserve"> immediate steps, inter alia by increasing </w:t>
      </w:r>
      <w:r w:rsidR="00C317BC">
        <w:rPr>
          <w:b/>
        </w:rPr>
        <w:t xml:space="preserve">budgetary </w:t>
      </w:r>
      <w:r>
        <w:rPr>
          <w:b/>
        </w:rPr>
        <w:t xml:space="preserve">allocations, </w:t>
      </w:r>
      <w:r w:rsidRPr="00717963">
        <w:rPr>
          <w:b/>
        </w:rPr>
        <w:t xml:space="preserve">to improve housing and living conditions in </w:t>
      </w:r>
      <w:r>
        <w:rPr>
          <w:b/>
        </w:rPr>
        <w:t xml:space="preserve">regions traditionally </w:t>
      </w:r>
      <w:r w:rsidRPr="00717963">
        <w:rPr>
          <w:b/>
        </w:rPr>
        <w:t>inhabited by ethnic minor</w:t>
      </w:r>
      <w:r>
        <w:rPr>
          <w:b/>
        </w:rPr>
        <w:t xml:space="preserve">ities, including </w:t>
      </w:r>
      <w:r w:rsidRPr="0036270B">
        <w:rPr>
          <w:b/>
        </w:rPr>
        <w:t>access to safe drinking water, adequate sanitation, electricity, transportation facilities, schools and health</w:t>
      </w:r>
      <w:r w:rsidR="0011428B">
        <w:rPr>
          <w:b/>
        </w:rPr>
        <w:t>-</w:t>
      </w:r>
      <w:r w:rsidRPr="0036270B">
        <w:rPr>
          <w:b/>
        </w:rPr>
        <w:t>care centres.</w:t>
      </w:r>
      <w:r>
        <w:rPr>
          <w:b/>
        </w:rPr>
        <w:t xml:space="preserve"> </w:t>
      </w:r>
    </w:p>
    <w:p w:rsidR="00CE66EF" w:rsidRDefault="00B06971" w:rsidP="00B06971">
      <w:pPr>
        <w:pStyle w:val="SingleTxtG"/>
        <w:tabs>
          <w:tab w:val="left" w:pos="1701"/>
        </w:tabs>
      </w:pPr>
      <w:r>
        <w:t>24.</w:t>
      </w:r>
      <w:r>
        <w:tab/>
      </w:r>
      <w:r w:rsidR="00CE66EF" w:rsidRPr="003D17B9">
        <w:rPr>
          <w:rFonts w:eastAsia="SimSun"/>
          <w:lang w:val="en-US" w:eastAsia="zh-CN"/>
        </w:rPr>
        <w:t>The Committee is</w:t>
      </w:r>
      <w:r w:rsidR="00CE66EF" w:rsidRPr="0019203F">
        <w:rPr>
          <w:rFonts w:eastAsia="SimSun"/>
          <w:lang w:val="en-US" w:eastAsia="zh-CN"/>
        </w:rPr>
        <w:t xml:space="preserve"> concerned about land </w:t>
      </w:r>
      <w:r w:rsidR="00CE66EF">
        <w:rPr>
          <w:rFonts w:eastAsia="SimSun"/>
          <w:lang w:val="en-US" w:eastAsia="zh-CN"/>
        </w:rPr>
        <w:t>expropriation</w:t>
      </w:r>
      <w:r w:rsidR="00CE66EF" w:rsidRPr="0019203F">
        <w:rPr>
          <w:rFonts w:eastAsia="SimSun"/>
          <w:lang w:val="en-US" w:eastAsia="zh-CN"/>
        </w:rPr>
        <w:t xml:space="preserve"> and forced evictions caused by </w:t>
      </w:r>
      <w:r w:rsidR="00C317BC">
        <w:rPr>
          <w:rFonts w:eastAsia="SimSun"/>
          <w:lang w:val="en-US" w:eastAsia="zh-CN"/>
        </w:rPr>
        <w:t xml:space="preserve">some </w:t>
      </w:r>
      <w:r w:rsidR="00CE66EF" w:rsidRPr="0019203F">
        <w:rPr>
          <w:rFonts w:eastAsia="SimSun"/>
          <w:lang w:val="en-US" w:eastAsia="zh-CN"/>
        </w:rPr>
        <w:t xml:space="preserve">development projects and that this </w:t>
      </w:r>
      <w:r w:rsidR="00C317BC">
        <w:rPr>
          <w:rFonts w:eastAsia="SimSun"/>
          <w:lang w:val="en-US" w:eastAsia="zh-CN"/>
        </w:rPr>
        <w:t xml:space="preserve">has </w:t>
      </w:r>
      <w:r w:rsidR="00CE66EF" w:rsidRPr="0019203F">
        <w:rPr>
          <w:rFonts w:eastAsia="SimSun"/>
          <w:lang w:val="en-US" w:eastAsia="zh-CN"/>
        </w:rPr>
        <w:t>disproportionately affect</w:t>
      </w:r>
      <w:r w:rsidR="00C317BC">
        <w:rPr>
          <w:rFonts w:eastAsia="SimSun"/>
          <w:lang w:val="en-US" w:eastAsia="zh-CN"/>
        </w:rPr>
        <w:t>ed</w:t>
      </w:r>
      <w:r w:rsidR="00CE66EF" w:rsidRPr="0019203F">
        <w:rPr>
          <w:rFonts w:eastAsia="SimSun"/>
          <w:lang w:val="en-US" w:eastAsia="zh-CN"/>
        </w:rPr>
        <w:t xml:space="preserve"> minority groups</w:t>
      </w:r>
      <w:r w:rsidR="00CE66EF">
        <w:rPr>
          <w:rFonts w:eastAsia="SimSun"/>
          <w:lang w:val="en-US" w:eastAsia="zh-CN"/>
        </w:rPr>
        <w:t>, including the Kurdish and Baloch communities</w:t>
      </w:r>
      <w:r w:rsidR="00CE66EF" w:rsidRPr="0019203F">
        <w:rPr>
          <w:rFonts w:eastAsia="SimSun"/>
          <w:lang w:val="en-US" w:eastAsia="zh-CN"/>
        </w:rPr>
        <w:t xml:space="preserve"> </w:t>
      </w:r>
      <w:r w:rsidR="00CE66EF" w:rsidRPr="0019203F">
        <w:t>(art.</w:t>
      </w:r>
      <w:r w:rsidR="0011428B">
        <w:t xml:space="preserve"> </w:t>
      </w:r>
      <w:r w:rsidR="00CE66EF" w:rsidRPr="0019203F">
        <w:t>11</w:t>
      </w:r>
      <w:r w:rsidR="00CE66EF">
        <w:t>).</w:t>
      </w:r>
    </w:p>
    <w:p w:rsidR="00CE66EF" w:rsidRDefault="00CE66EF" w:rsidP="00CE66EF">
      <w:pPr>
        <w:pStyle w:val="SingleTxtG"/>
        <w:rPr>
          <w:b/>
        </w:rPr>
      </w:pPr>
      <w:r>
        <w:rPr>
          <w:b/>
        </w:rPr>
        <w:t>T</w:t>
      </w:r>
      <w:r w:rsidRPr="00BB314C">
        <w:rPr>
          <w:b/>
        </w:rPr>
        <w:t xml:space="preserve">he </w:t>
      </w:r>
      <w:r>
        <w:rPr>
          <w:b/>
        </w:rPr>
        <w:t>C</w:t>
      </w:r>
      <w:r w:rsidRPr="00BB314C">
        <w:rPr>
          <w:b/>
        </w:rPr>
        <w:t xml:space="preserve">ommittee urges the </w:t>
      </w:r>
      <w:r>
        <w:rPr>
          <w:b/>
        </w:rPr>
        <w:t>S</w:t>
      </w:r>
      <w:r w:rsidRPr="00BB314C">
        <w:rPr>
          <w:b/>
        </w:rPr>
        <w:t>tate party to refrain from forcibly evicting individuals</w:t>
      </w:r>
      <w:r>
        <w:rPr>
          <w:b/>
        </w:rPr>
        <w:t xml:space="preserve"> and expropriating land in the context of development projects, </w:t>
      </w:r>
      <w:r w:rsidR="00C317BC">
        <w:rPr>
          <w:b/>
        </w:rPr>
        <w:t>including</w:t>
      </w:r>
      <w:r>
        <w:rPr>
          <w:b/>
        </w:rPr>
        <w:t xml:space="preserve"> in regions traditionally inhabited by ethnic minorities</w:t>
      </w:r>
      <w:r w:rsidRPr="00BB314C">
        <w:rPr>
          <w:b/>
        </w:rPr>
        <w:t xml:space="preserve">. </w:t>
      </w:r>
      <w:r>
        <w:rPr>
          <w:b/>
        </w:rPr>
        <w:t xml:space="preserve">It </w:t>
      </w:r>
      <w:r w:rsidRPr="00BB314C">
        <w:rPr>
          <w:b/>
        </w:rPr>
        <w:t xml:space="preserve">recalls that in cases where eviction or relocation is considered to be justified, it should be carried out in strict compliance with the relevant provisions of international human rights law. </w:t>
      </w:r>
      <w:r>
        <w:rPr>
          <w:b/>
        </w:rPr>
        <w:t>I</w:t>
      </w:r>
      <w:r w:rsidRPr="00BB314C">
        <w:rPr>
          <w:b/>
        </w:rPr>
        <w:t xml:space="preserve">n this regard, the </w:t>
      </w:r>
      <w:r>
        <w:rPr>
          <w:b/>
        </w:rPr>
        <w:t>C</w:t>
      </w:r>
      <w:r w:rsidRPr="00BB314C">
        <w:rPr>
          <w:b/>
        </w:rPr>
        <w:t xml:space="preserve">ommittee draws </w:t>
      </w:r>
      <w:r w:rsidR="00C317BC">
        <w:rPr>
          <w:b/>
        </w:rPr>
        <w:t>the State party’s</w:t>
      </w:r>
      <w:r w:rsidRPr="00BB314C">
        <w:rPr>
          <w:b/>
        </w:rPr>
        <w:t xml:space="preserve"> attention to its </w:t>
      </w:r>
      <w:r w:rsidR="0011428B">
        <w:rPr>
          <w:b/>
        </w:rPr>
        <w:t>g</w:t>
      </w:r>
      <w:r w:rsidRPr="00BB314C">
        <w:rPr>
          <w:b/>
        </w:rPr>
        <w:t xml:space="preserve">eneral </w:t>
      </w:r>
      <w:r w:rsidR="0011428B">
        <w:rPr>
          <w:b/>
        </w:rPr>
        <w:t>c</w:t>
      </w:r>
      <w:r>
        <w:rPr>
          <w:b/>
        </w:rPr>
        <w:t>omment N</w:t>
      </w:r>
      <w:r w:rsidRPr="00BB314C">
        <w:rPr>
          <w:b/>
        </w:rPr>
        <w:t>o.</w:t>
      </w:r>
      <w:r w:rsidR="0011428B">
        <w:rPr>
          <w:b/>
        </w:rPr>
        <w:t xml:space="preserve"> </w:t>
      </w:r>
      <w:r w:rsidRPr="00BB314C">
        <w:rPr>
          <w:b/>
        </w:rPr>
        <w:t>7 (1997) on forced evictions</w:t>
      </w:r>
      <w:r w:rsidR="0011428B">
        <w:rPr>
          <w:b/>
        </w:rPr>
        <w:t>,</w:t>
      </w:r>
      <w:r w:rsidRPr="00BB314C">
        <w:rPr>
          <w:b/>
        </w:rPr>
        <w:t xml:space="preserve"> which includes guidance on, inter alia, adequate legal remedies, adequate compensation, and </w:t>
      </w:r>
      <w:r>
        <w:rPr>
          <w:b/>
        </w:rPr>
        <w:t xml:space="preserve">effective and meaningful </w:t>
      </w:r>
      <w:r w:rsidRPr="00BB314C">
        <w:rPr>
          <w:b/>
        </w:rPr>
        <w:t>consultation.</w:t>
      </w:r>
    </w:p>
    <w:p w:rsidR="00F9080C" w:rsidRDefault="00B06971" w:rsidP="00B06971">
      <w:pPr>
        <w:pStyle w:val="SingleTxtG"/>
        <w:tabs>
          <w:tab w:val="left" w:pos="1701"/>
        </w:tabs>
      </w:pPr>
      <w:r>
        <w:t>25.</w:t>
      </w:r>
      <w:r>
        <w:tab/>
      </w:r>
      <w:r w:rsidR="00F9080C" w:rsidRPr="007C237E">
        <w:rPr>
          <w:rFonts w:eastAsia="SimSun"/>
          <w:lang w:val="en-US" w:eastAsia="zh-CN"/>
        </w:rPr>
        <w:t xml:space="preserve">The </w:t>
      </w:r>
      <w:r w:rsidR="00F9080C" w:rsidRPr="00B6293A">
        <w:rPr>
          <w:rFonts w:eastAsia="SimSun"/>
          <w:lang w:val="en-US" w:eastAsia="zh-CN"/>
        </w:rPr>
        <w:t>Committee is concerned</w:t>
      </w:r>
      <w:r w:rsidR="00F9080C">
        <w:rPr>
          <w:rFonts w:eastAsia="SimSun"/>
          <w:lang w:val="en-US" w:eastAsia="zh-CN"/>
        </w:rPr>
        <w:t xml:space="preserve"> that </w:t>
      </w:r>
      <w:r w:rsidR="008B21E5">
        <w:rPr>
          <w:rFonts w:eastAsia="SimSun"/>
          <w:lang w:val="en-US" w:eastAsia="zh-CN"/>
        </w:rPr>
        <w:t xml:space="preserve">the </w:t>
      </w:r>
      <w:smartTag w:uri="urn:schemas-microsoft-com:office:smarttags" w:element="place">
        <w:smartTag w:uri="urn:schemas-microsoft-com:office:smarttags" w:element="PlaceType">
          <w:r w:rsidR="008B21E5">
            <w:rPr>
              <w:rFonts w:eastAsia="SimSun"/>
              <w:lang w:val="en-US" w:eastAsia="zh-CN"/>
            </w:rPr>
            <w:t>province</w:t>
          </w:r>
        </w:smartTag>
        <w:r w:rsidR="008B21E5">
          <w:rPr>
            <w:rFonts w:eastAsia="SimSun"/>
            <w:lang w:val="en-US" w:eastAsia="zh-CN"/>
          </w:rPr>
          <w:t xml:space="preserve"> of </w:t>
        </w:r>
        <w:smartTag w:uri="urn:schemas-microsoft-com:office:smarttags" w:element="PlaceName">
          <w:r w:rsidR="00F9080C">
            <w:rPr>
              <w:rFonts w:eastAsia="SimSun"/>
              <w:lang w:val="en-US" w:eastAsia="zh-CN"/>
            </w:rPr>
            <w:t>Sistan</w:t>
          </w:r>
        </w:smartTag>
      </w:smartTag>
      <w:r w:rsidR="008B21E5">
        <w:rPr>
          <w:rFonts w:eastAsia="SimSun"/>
          <w:lang w:val="en-US" w:eastAsia="zh-CN"/>
        </w:rPr>
        <w:t xml:space="preserve"> and </w:t>
      </w:r>
      <w:r w:rsidR="00F9080C">
        <w:rPr>
          <w:rFonts w:eastAsia="SimSun"/>
          <w:lang w:val="en-US" w:eastAsia="zh-CN"/>
        </w:rPr>
        <w:t>Bal</w:t>
      </w:r>
      <w:r w:rsidR="008B21E5">
        <w:rPr>
          <w:rFonts w:eastAsia="SimSun"/>
          <w:lang w:val="en-US" w:eastAsia="zh-CN"/>
        </w:rPr>
        <w:t>u</w:t>
      </w:r>
      <w:r w:rsidR="00F9080C">
        <w:rPr>
          <w:rFonts w:eastAsia="SimSun"/>
          <w:lang w:val="en-US" w:eastAsia="zh-CN"/>
        </w:rPr>
        <w:t>ch</w:t>
      </w:r>
      <w:r w:rsidR="008B21E5">
        <w:rPr>
          <w:rFonts w:eastAsia="SimSun"/>
          <w:lang w:val="en-US" w:eastAsia="zh-CN"/>
        </w:rPr>
        <w:t>e</w:t>
      </w:r>
      <w:r w:rsidR="00F9080C">
        <w:rPr>
          <w:rFonts w:eastAsia="SimSun"/>
          <w:lang w:val="en-US" w:eastAsia="zh-CN"/>
        </w:rPr>
        <w:t>stan is characterized by the State party’s worst indicators for life expectancy, access to water and sanitation, and infant and child mortality. It is also concerned that there has been insufficient investment by the State party in the province’s health clinics and other facilities in remote rural areas</w:t>
      </w:r>
      <w:r w:rsidR="00F9080C" w:rsidRPr="0019203F">
        <w:rPr>
          <w:rFonts w:eastAsia="SimSun"/>
          <w:lang w:val="en-US" w:eastAsia="zh-CN"/>
        </w:rPr>
        <w:t xml:space="preserve"> </w:t>
      </w:r>
      <w:r w:rsidR="00F9080C" w:rsidRPr="0019203F">
        <w:t>(art.</w:t>
      </w:r>
      <w:r w:rsidR="0011428B">
        <w:t xml:space="preserve"> </w:t>
      </w:r>
      <w:r w:rsidR="00F9080C" w:rsidRPr="0019203F">
        <w:t>1</w:t>
      </w:r>
      <w:r w:rsidR="00F9080C">
        <w:t>2).</w:t>
      </w:r>
    </w:p>
    <w:p w:rsidR="00F9080C" w:rsidRDefault="00F9080C" w:rsidP="00F9080C">
      <w:pPr>
        <w:pStyle w:val="SingleTxtG"/>
        <w:rPr>
          <w:rFonts w:ascii="Verdana" w:hAnsi="Verdana"/>
          <w:color w:val="333333"/>
          <w:szCs w:val="18"/>
        </w:rPr>
      </w:pPr>
      <w:r w:rsidRPr="00F024AA">
        <w:rPr>
          <w:b/>
        </w:rPr>
        <w:t>The Committee recommends that the State party</w:t>
      </w:r>
      <w:r>
        <w:rPr>
          <w:b/>
        </w:rPr>
        <w:t xml:space="preserve"> take urgent steps to increase the allocation of public funds to improve the health situation of inhabitants of the </w:t>
      </w:r>
      <w:r w:rsidR="008B21E5">
        <w:rPr>
          <w:b/>
        </w:rPr>
        <w:t xml:space="preserve">province of </w:t>
      </w:r>
      <w:r>
        <w:rPr>
          <w:b/>
        </w:rPr>
        <w:t>Sistan</w:t>
      </w:r>
      <w:r w:rsidR="008B21E5">
        <w:rPr>
          <w:b/>
        </w:rPr>
        <w:t xml:space="preserve"> and </w:t>
      </w:r>
      <w:r>
        <w:rPr>
          <w:b/>
        </w:rPr>
        <w:t>Bal</w:t>
      </w:r>
      <w:r w:rsidR="008B21E5">
        <w:rPr>
          <w:b/>
        </w:rPr>
        <w:t>u</w:t>
      </w:r>
      <w:r>
        <w:rPr>
          <w:b/>
        </w:rPr>
        <w:t>ch</w:t>
      </w:r>
      <w:r w:rsidR="008B21E5">
        <w:rPr>
          <w:b/>
        </w:rPr>
        <w:t>e</w:t>
      </w:r>
      <w:r>
        <w:rPr>
          <w:b/>
        </w:rPr>
        <w:t>stan, in particular focusing on the health infrastructure and the provision of adequate water and sanitation.</w:t>
      </w:r>
    </w:p>
    <w:p w:rsidR="00F9080C" w:rsidRDefault="00B06971" w:rsidP="00B06971">
      <w:pPr>
        <w:pStyle w:val="SingleTxtG"/>
        <w:tabs>
          <w:tab w:val="left" w:pos="1701"/>
        </w:tabs>
      </w:pPr>
      <w:r>
        <w:t>26.</w:t>
      </w:r>
      <w:r>
        <w:tab/>
      </w:r>
      <w:r w:rsidR="00F9080C" w:rsidRPr="00D122F8">
        <w:rPr>
          <w:rFonts w:eastAsia="SimSun"/>
          <w:lang w:eastAsia="zh-CN"/>
        </w:rPr>
        <w:t>The Committee is concerned about the adverse environmental effects of the river</w:t>
      </w:r>
      <w:r w:rsidR="00F9080C">
        <w:t xml:space="preserve"> diversion programme, sugar</w:t>
      </w:r>
      <w:r w:rsidR="003737A1">
        <w:t>-</w:t>
      </w:r>
      <w:r w:rsidR="00F9080C">
        <w:t xml:space="preserve">cane farming and industrial pollution in Khuzestan province and the negative impact this has on the enjoyment </w:t>
      </w:r>
      <w:r w:rsidR="003737A1">
        <w:t xml:space="preserve">by </w:t>
      </w:r>
      <w:r w:rsidR="00F9080C">
        <w:t>Ahwazi Arabs of their rights to an adequate standard of living and health (arts</w:t>
      </w:r>
      <w:r w:rsidR="003737A1">
        <w:t>.</w:t>
      </w:r>
      <w:r w:rsidR="00F9080C">
        <w:t xml:space="preserve"> 11 and 12)</w:t>
      </w:r>
      <w:r w:rsidR="003737A1">
        <w:t>.</w:t>
      </w:r>
    </w:p>
    <w:p w:rsidR="00F9080C" w:rsidRDefault="00F9080C" w:rsidP="00F9080C">
      <w:pPr>
        <w:pStyle w:val="SingleTxtG"/>
      </w:pPr>
      <w:r w:rsidRPr="00F024AA">
        <w:rPr>
          <w:b/>
        </w:rPr>
        <w:t>The Committee recommends that the State party</w:t>
      </w:r>
      <w:r>
        <w:rPr>
          <w:b/>
        </w:rPr>
        <w:t xml:space="preserve"> take urgent steps to counter the impact of river diversions and industrial activity in Khuzestan, including environmental pollution and water shortages, on agriculture and human health.</w:t>
      </w:r>
    </w:p>
    <w:p w:rsidR="00F9080C" w:rsidRDefault="00B06971" w:rsidP="00B06971">
      <w:pPr>
        <w:pStyle w:val="SingleTxtG"/>
        <w:tabs>
          <w:tab w:val="left" w:pos="1701"/>
        </w:tabs>
      </w:pPr>
      <w:r>
        <w:t>27.</w:t>
      </w:r>
      <w:r>
        <w:tab/>
      </w:r>
      <w:r w:rsidR="00F9080C" w:rsidRPr="007C237E">
        <w:rPr>
          <w:rFonts w:eastAsia="SimSun"/>
          <w:lang w:val="en-US" w:eastAsia="zh-CN"/>
        </w:rPr>
        <w:t xml:space="preserve">The </w:t>
      </w:r>
      <w:r w:rsidR="00F9080C" w:rsidRPr="00B6293A">
        <w:rPr>
          <w:rFonts w:eastAsia="SimSun"/>
          <w:lang w:val="en-US" w:eastAsia="zh-CN"/>
        </w:rPr>
        <w:t xml:space="preserve">Committee is </w:t>
      </w:r>
      <w:r w:rsidR="00F9080C" w:rsidRPr="007922E9">
        <w:rPr>
          <w:rFonts w:eastAsia="SimSun"/>
          <w:lang w:val="en-US" w:eastAsia="zh-CN"/>
        </w:rPr>
        <w:t>concerned</w:t>
      </w:r>
      <w:r w:rsidR="00F9080C">
        <w:rPr>
          <w:rFonts w:eastAsia="SimSun"/>
          <w:lang w:val="en-US" w:eastAsia="zh-CN"/>
        </w:rPr>
        <w:t xml:space="preserve"> about</w:t>
      </w:r>
      <w:r w:rsidR="003737A1">
        <w:rPr>
          <w:rFonts w:eastAsia="SimSun"/>
          <w:lang w:val="en-US" w:eastAsia="zh-CN"/>
        </w:rPr>
        <w:t>:</w:t>
      </w:r>
      <w:r w:rsidR="00F9080C">
        <w:rPr>
          <w:rFonts w:eastAsia="SimSun"/>
          <w:lang w:val="en-US" w:eastAsia="zh-CN"/>
        </w:rPr>
        <w:t xml:space="preserve"> </w:t>
      </w:r>
      <w:r w:rsidR="00F9080C" w:rsidRPr="007922E9">
        <w:rPr>
          <w:rFonts w:eastAsia="SimSun"/>
          <w:lang w:val="en-US" w:eastAsia="zh-CN"/>
        </w:rPr>
        <w:t>(a) the high drop</w:t>
      </w:r>
      <w:r w:rsidR="003737A1">
        <w:rPr>
          <w:rFonts w:eastAsia="SimSun"/>
          <w:lang w:val="en-US" w:eastAsia="zh-CN"/>
        </w:rPr>
        <w:t>-</w:t>
      </w:r>
      <w:r w:rsidR="00F9080C" w:rsidRPr="007922E9">
        <w:rPr>
          <w:rFonts w:eastAsia="SimSun"/>
          <w:lang w:val="en-US" w:eastAsia="zh-CN"/>
        </w:rPr>
        <w:t xml:space="preserve">out rates of girls in rural schools upon reaching puberty and of indigenous Arab children; </w:t>
      </w:r>
      <w:r w:rsidR="00F9080C">
        <w:rPr>
          <w:rFonts w:eastAsia="SimSun"/>
          <w:lang w:val="en-US" w:eastAsia="zh-CN"/>
        </w:rPr>
        <w:t xml:space="preserve">(b) the high illiteracy rates among Ahwazi Arabs </w:t>
      </w:r>
      <w:r w:rsidR="008169A9">
        <w:rPr>
          <w:rFonts w:eastAsia="SimSun"/>
          <w:lang w:val="en-US" w:eastAsia="zh-CN"/>
        </w:rPr>
        <w:t>as well as</w:t>
      </w:r>
      <w:r w:rsidR="00F9080C">
        <w:rPr>
          <w:rFonts w:eastAsia="SimSun"/>
          <w:lang w:val="en-US" w:eastAsia="zh-CN"/>
        </w:rPr>
        <w:t xml:space="preserve"> Azeris; </w:t>
      </w:r>
      <w:r w:rsidR="00F9080C" w:rsidRPr="007922E9">
        <w:rPr>
          <w:rFonts w:eastAsia="SimSun"/>
          <w:lang w:val="en-US" w:eastAsia="zh-CN"/>
        </w:rPr>
        <w:t>(</w:t>
      </w:r>
      <w:r w:rsidR="00F9080C">
        <w:rPr>
          <w:rFonts w:eastAsia="SimSun"/>
          <w:lang w:val="en-US" w:eastAsia="zh-CN"/>
        </w:rPr>
        <w:t>c</w:t>
      </w:r>
      <w:r w:rsidR="00F9080C" w:rsidRPr="007922E9">
        <w:rPr>
          <w:rFonts w:eastAsia="SimSun"/>
          <w:lang w:val="en-US" w:eastAsia="zh-CN"/>
        </w:rPr>
        <w:t>) the lack of female teachers in rural areas; and (</w:t>
      </w:r>
      <w:r w:rsidR="00F9080C">
        <w:rPr>
          <w:rFonts w:eastAsia="SimSun"/>
          <w:lang w:val="en-US" w:eastAsia="zh-CN"/>
        </w:rPr>
        <w:t>d</w:t>
      </w:r>
      <w:r w:rsidR="00F9080C" w:rsidRPr="007922E9">
        <w:rPr>
          <w:rFonts w:eastAsia="SimSun"/>
          <w:lang w:val="en-US" w:eastAsia="zh-CN"/>
        </w:rPr>
        <w:t>) the stark differences in teaching staff capacities and material equipment between schools in urban and rural areas</w:t>
      </w:r>
      <w:r w:rsidR="00F9080C" w:rsidRPr="0019203F">
        <w:rPr>
          <w:rFonts w:eastAsia="SimSun"/>
          <w:lang w:val="en-US" w:eastAsia="zh-CN"/>
        </w:rPr>
        <w:t xml:space="preserve"> </w:t>
      </w:r>
      <w:r w:rsidR="00F9080C" w:rsidRPr="007922E9">
        <w:rPr>
          <w:rFonts w:eastAsia="SimSun"/>
          <w:lang w:val="en-US" w:eastAsia="zh-CN"/>
        </w:rPr>
        <w:t>(arts</w:t>
      </w:r>
      <w:r w:rsidR="003737A1">
        <w:rPr>
          <w:rFonts w:eastAsia="SimSun"/>
          <w:lang w:val="en-US" w:eastAsia="zh-CN"/>
        </w:rPr>
        <w:t>.</w:t>
      </w:r>
      <w:r w:rsidR="00F9080C" w:rsidRPr="007922E9">
        <w:rPr>
          <w:rFonts w:eastAsia="SimSun"/>
          <w:lang w:val="en-US" w:eastAsia="zh-CN"/>
        </w:rPr>
        <w:t xml:space="preserve"> 13 and 14</w:t>
      </w:r>
      <w:r w:rsidR="00F9080C">
        <w:t>).</w:t>
      </w:r>
    </w:p>
    <w:p w:rsidR="00F9080C" w:rsidRPr="00A00905" w:rsidRDefault="00F9080C" w:rsidP="00F9080C">
      <w:pPr>
        <w:pStyle w:val="SingleTxtG"/>
        <w:ind w:left="1128"/>
        <w:rPr>
          <w:rFonts w:eastAsia="SimSun"/>
          <w:b/>
          <w:lang w:val="en-US" w:eastAsia="zh-CN"/>
        </w:rPr>
      </w:pPr>
      <w:r w:rsidRPr="00354CFF">
        <w:rPr>
          <w:b/>
        </w:rPr>
        <w:t>The Committee recommends that the</w:t>
      </w:r>
      <w:r w:rsidRPr="00D97314">
        <w:rPr>
          <w:b/>
        </w:rPr>
        <w:t xml:space="preserve"> State party</w:t>
      </w:r>
      <w:r>
        <w:rPr>
          <w:b/>
        </w:rPr>
        <w:t xml:space="preserve"> address the high drop-out rate of girls in rural areas </w:t>
      </w:r>
      <w:r w:rsidR="00E5593D">
        <w:rPr>
          <w:b/>
        </w:rPr>
        <w:t>and</w:t>
      </w:r>
      <w:r>
        <w:rPr>
          <w:b/>
        </w:rPr>
        <w:t xml:space="preserve"> of Ahwazi Arab children. The Committee recommends that the State party take measures to address the high illiteracy rates among Ahwazi Arabs and Azeris. It also recommends that the State party take steps to improve </w:t>
      </w:r>
      <w:r w:rsidRPr="00A00905">
        <w:rPr>
          <w:rFonts w:eastAsia="SimSun"/>
          <w:b/>
          <w:lang w:val="en-US" w:eastAsia="zh-CN"/>
        </w:rPr>
        <w:t>the quality of instruction in and physical infrastruc</w:t>
      </w:r>
      <w:r>
        <w:rPr>
          <w:rFonts w:eastAsia="SimSun"/>
          <w:b/>
          <w:lang w:val="en-US" w:eastAsia="zh-CN"/>
        </w:rPr>
        <w:t>ture of schools in rural areas, and to increase the number of female teachers in rural areas.</w:t>
      </w:r>
    </w:p>
    <w:p w:rsidR="00F9080C" w:rsidRPr="003737A1" w:rsidRDefault="00B06971" w:rsidP="00B06971">
      <w:pPr>
        <w:pStyle w:val="SingleTxtG"/>
        <w:tabs>
          <w:tab w:val="left" w:pos="1701"/>
        </w:tabs>
        <w:rPr>
          <w:spacing w:val="-2"/>
        </w:rPr>
      </w:pPr>
      <w:r w:rsidRPr="003737A1">
        <w:rPr>
          <w:spacing w:val="-2"/>
        </w:rPr>
        <w:t>28.</w:t>
      </w:r>
      <w:r w:rsidRPr="003737A1">
        <w:rPr>
          <w:spacing w:val="-2"/>
        </w:rPr>
        <w:tab/>
      </w:r>
      <w:r w:rsidR="00F9080C" w:rsidRPr="003737A1">
        <w:rPr>
          <w:rFonts w:eastAsia="SimSun"/>
          <w:spacing w:val="-2"/>
          <w:lang w:val="en-US" w:eastAsia="zh-CN"/>
        </w:rPr>
        <w:t xml:space="preserve">The Committee is concerned that many children, in particular those in rural areas, </w:t>
      </w:r>
      <w:r w:rsidR="00BF10A2" w:rsidRPr="003737A1">
        <w:rPr>
          <w:rFonts w:eastAsia="SimSun"/>
          <w:spacing w:val="-2"/>
          <w:lang w:val="en-US" w:eastAsia="zh-CN"/>
        </w:rPr>
        <w:t>are not registered at birth</w:t>
      </w:r>
      <w:r w:rsidR="00F9080C" w:rsidRPr="003737A1">
        <w:rPr>
          <w:rFonts w:eastAsia="SimSun"/>
          <w:spacing w:val="-2"/>
          <w:lang w:val="en-US" w:eastAsia="zh-CN"/>
        </w:rPr>
        <w:t xml:space="preserve">, </w:t>
      </w:r>
      <w:r w:rsidR="00C317BC" w:rsidRPr="003737A1">
        <w:rPr>
          <w:rFonts w:eastAsia="SimSun"/>
          <w:spacing w:val="-2"/>
          <w:lang w:val="en-US" w:eastAsia="zh-CN"/>
        </w:rPr>
        <w:t>creating an obstacle to</w:t>
      </w:r>
      <w:r w:rsidR="00F9080C" w:rsidRPr="003737A1">
        <w:rPr>
          <w:rFonts w:eastAsia="SimSun"/>
          <w:spacing w:val="-2"/>
          <w:lang w:val="en-US" w:eastAsia="zh-CN"/>
        </w:rPr>
        <w:t xml:space="preserve"> school enrolment. It is concerned that refugee children have reduced access to </w:t>
      </w:r>
      <w:r w:rsidR="00073E92" w:rsidRPr="003737A1">
        <w:rPr>
          <w:rFonts w:eastAsia="SimSun"/>
          <w:spacing w:val="-2"/>
          <w:lang w:val="en-US" w:eastAsia="zh-CN"/>
        </w:rPr>
        <w:t xml:space="preserve">primary </w:t>
      </w:r>
      <w:r w:rsidR="00F9080C" w:rsidRPr="003737A1">
        <w:rPr>
          <w:rFonts w:eastAsia="SimSun"/>
          <w:spacing w:val="-2"/>
          <w:lang w:val="en-US" w:eastAsia="zh-CN"/>
        </w:rPr>
        <w:t>education due to the lack of personal documents</w:t>
      </w:r>
      <w:r w:rsidR="003848F3">
        <w:rPr>
          <w:rFonts w:eastAsia="SimSun"/>
          <w:spacing w:val="-2"/>
          <w:lang w:val="en-US" w:eastAsia="zh-CN"/>
        </w:rPr>
        <w:t xml:space="preserve"> and</w:t>
      </w:r>
      <w:r w:rsidR="00F9080C" w:rsidRPr="003737A1">
        <w:rPr>
          <w:rFonts w:eastAsia="SimSun"/>
          <w:spacing w:val="-2"/>
          <w:lang w:val="en-US" w:eastAsia="zh-CN"/>
        </w:rPr>
        <w:t xml:space="preserve"> the non-registration of their parents with the authorities, as well as </w:t>
      </w:r>
      <w:r w:rsidR="003848F3">
        <w:rPr>
          <w:rFonts w:eastAsia="SimSun"/>
          <w:spacing w:val="-2"/>
          <w:lang w:val="en-US" w:eastAsia="zh-CN"/>
        </w:rPr>
        <w:t xml:space="preserve">the </w:t>
      </w:r>
      <w:r w:rsidR="00073E92" w:rsidRPr="003737A1">
        <w:rPr>
          <w:rFonts w:eastAsia="SimSun"/>
          <w:spacing w:val="-2"/>
          <w:lang w:val="en-US" w:eastAsia="zh-CN"/>
        </w:rPr>
        <w:t xml:space="preserve">imposition of </w:t>
      </w:r>
      <w:r w:rsidR="00F9080C" w:rsidRPr="003737A1">
        <w:rPr>
          <w:rFonts w:eastAsia="SimSun"/>
          <w:spacing w:val="-2"/>
          <w:lang w:val="en-US" w:eastAsia="zh-CN"/>
        </w:rPr>
        <w:t xml:space="preserve">enrolment fees. </w:t>
      </w:r>
      <w:r w:rsidR="00F9080C" w:rsidRPr="003737A1">
        <w:rPr>
          <w:rFonts w:eastAsia="SimSun"/>
          <w:spacing w:val="-2"/>
          <w:lang w:eastAsia="zh-CN"/>
        </w:rPr>
        <w:t>The Committee is also concerned about the lack of access to education of children with disabilities</w:t>
      </w:r>
      <w:r w:rsidR="00E5593D">
        <w:rPr>
          <w:rFonts w:eastAsia="SimSun"/>
          <w:spacing w:val="-2"/>
          <w:lang w:eastAsia="zh-CN"/>
        </w:rPr>
        <w:t xml:space="preserve"> and</w:t>
      </w:r>
      <w:r w:rsidR="00F9080C" w:rsidRPr="003737A1">
        <w:rPr>
          <w:rFonts w:eastAsia="SimSun"/>
          <w:spacing w:val="-2"/>
          <w:lang w:eastAsia="zh-CN"/>
        </w:rPr>
        <w:t xml:space="preserve"> children of nomadic communities </w:t>
      </w:r>
      <w:r w:rsidR="00F9080C" w:rsidRPr="003737A1">
        <w:rPr>
          <w:spacing w:val="-2"/>
        </w:rPr>
        <w:t>(arts</w:t>
      </w:r>
      <w:r w:rsidR="00B36955">
        <w:rPr>
          <w:spacing w:val="-2"/>
        </w:rPr>
        <w:t>.</w:t>
      </w:r>
      <w:r w:rsidR="00F9080C" w:rsidRPr="003737A1">
        <w:rPr>
          <w:spacing w:val="-2"/>
        </w:rPr>
        <w:t xml:space="preserve"> 13 and 14).</w:t>
      </w:r>
    </w:p>
    <w:p w:rsidR="00F9080C" w:rsidRPr="008561EB" w:rsidRDefault="00F9080C" w:rsidP="00F9080C">
      <w:pPr>
        <w:pStyle w:val="SingleTxtG"/>
        <w:rPr>
          <w:rFonts w:eastAsia="SimSun"/>
          <w:b/>
          <w:lang w:eastAsia="zh-CN"/>
        </w:rPr>
      </w:pPr>
      <w:r w:rsidRPr="00516422">
        <w:rPr>
          <w:b/>
        </w:rPr>
        <w:t>The Committee recommends that the State party intensify its efforts to ensure that all children receive birth certificates and that the lack of such a document is not an impediment for school enrolment</w:t>
      </w:r>
      <w:r>
        <w:rPr>
          <w:b/>
        </w:rPr>
        <w:t xml:space="preserve"> of a child</w:t>
      </w:r>
      <w:r w:rsidRPr="00516422">
        <w:rPr>
          <w:b/>
        </w:rPr>
        <w:t>.</w:t>
      </w:r>
      <w:r>
        <w:rPr>
          <w:b/>
        </w:rPr>
        <w:t xml:space="preserve"> It recommends that the State party take measures to ensure that </w:t>
      </w:r>
      <w:r w:rsidRPr="00CD3D9E">
        <w:rPr>
          <w:b/>
        </w:rPr>
        <w:t xml:space="preserve">refugee children have access to education, regardless of whether their parents have registered with the authorities, and that </w:t>
      </w:r>
      <w:r w:rsidR="00073E92">
        <w:rPr>
          <w:b/>
        </w:rPr>
        <w:t>primary education</w:t>
      </w:r>
      <w:r w:rsidR="00511AF5">
        <w:rPr>
          <w:b/>
        </w:rPr>
        <w:t>, including enrolment thereto,</w:t>
      </w:r>
      <w:r w:rsidR="00073E92">
        <w:rPr>
          <w:b/>
        </w:rPr>
        <w:t xml:space="preserve"> </w:t>
      </w:r>
      <w:r w:rsidRPr="00CD3D9E">
        <w:rPr>
          <w:b/>
        </w:rPr>
        <w:t xml:space="preserve">is offered free of charge. </w:t>
      </w:r>
      <w:r>
        <w:rPr>
          <w:b/>
        </w:rPr>
        <w:t xml:space="preserve">The Committee also recommends that </w:t>
      </w:r>
      <w:r w:rsidRPr="008561EB">
        <w:rPr>
          <w:rFonts w:eastAsia="SimSun"/>
          <w:b/>
          <w:lang w:eastAsia="zh-CN"/>
        </w:rPr>
        <w:t xml:space="preserve">the State party </w:t>
      </w:r>
      <w:r>
        <w:rPr>
          <w:rFonts w:eastAsia="SimSun"/>
          <w:b/>
          <w:lang w:eastAsia="zh-CN"/>
        </w:rPr>
        <w:t xml:space="preserve">intensify its measures </w:t>
      </w:r>
      <w:r w:rsidRPr="008561EB">
        <w:rPr>
          <w:rFonts w:eastAsia="SimSun"/>
          <w:b/>
          <w:lang w:eastAsia="zh-CN"/>
        </w:rPr>
        <w:t>to guarantee an inclusive education for children with disabilities,</w:t>
      </w:r>
      <w:r>
        <w:rPr>
          <w:rFonts w:eastAsia="SimSun"/>
          <w:b/>
          <w:lang w:eastAsia="zh-CN"/>
        </w:rPr>
        <w:t xml:space="preserve"> including through</w:t>
      </w:r>
      <w:r w:rsidRPr="008561EB">
        <w:rPr>
          <w:rFonts w:eastAsia="SimSun"/>
          <w:b/>
          <w:lang w:eastAsia="zh-CN"/>
        </w:rPr>
        <w:t xml:space="preserve"> </w:t>
      </w:r>
      <w:r>
        <w:rPr>
          <w:rFonts w:eastAsia="SimSun"/>
          <w:b/>
          <w:lang w:eastAsia="zh-CN"/>
        </w:rPr>
        <w:t>the Organization for Special Children and the Seven-Point Guideline for Universal and Consolidated Education for Children and Students with Special Needs, and</w:t>
      </w:r>
      <w:r w:rsidRPr="008561EB">
        <w:rPr>
          <w:rFonts w:eastAsia="SimSun"/>
          <w:b/>
          <w:lang w:eastAsia="zh-CN"/>
        </w:rPr>
        <w:t xml:space="preserve"> to ensure that all children of </w:t>
      </w:r>
      <w:r>
        <w:rPr>
          <w:rFonts w:eastAsia="SimSun"/>
          <w:b/>
          <w:lang w:eastAsia="zh-CN"/>
        </w:rPr>
        <w:t>nomadic</w:t>
      </w:r>
      <w:r w:rsidRPr="008561EB">
        <w:rPr>
          <w:rFonts w:eastAsia="SimSun"/>
          <w:b/>
          <w:lang w:eastAsia="zh-CN"/>
        </w:rPr>
        <w:t xml:space="preserve"> communities have access to primary education, including through the establishment of mobile schools.</w:t>
      </w:r>
    </w:p>
    <w:p w:rsidR="00F9080C" w:rsidRDefault="00B06971" w:rsidP="00B06971">
      <w:pPr>
        <w:pStyle w:val="SingleTxtG"/>
        <w:tabs>
          <w:tab w:val="left" w:pos="1701"/>
        </w:tabs>
      </w:pPr>
      <w:r>
        <w:t>29.</w:t>
      </w:r>
      <w:r>
        <w:tab/>
      </w:r>
      <w:r w:rsidR="00F9080C" w:rsidRPr="007C237E">
        <w:rPr>
          <w:rFonts w:eastAsia="SimSun"/>
          <w:lang w:val="en-US" w:eastAsia="zh-CN"/>
        </w:rPr>
        <w:t xml:space="preserve">The </w:t>
      </w:r>
      <w:r w:rsidR="00F9080C" w:rsidRPr="00E977D9">
        <w:rPr>
          <w:rFonts w:eastAsia="SimSun"/>
          <w:lang w:val="en-US" w:eastAsia="zh-CN"/>
        </w:rPr>
        <w:t>Committee is concerned</w:t>
      </w:r>
      <w:r w:rsidR="00F9080C">
        <w:rPr>
          <w:rFonts w:eastAsia="SimSun"/>
          <w:lang w:val="en-US" w:eastAsia="zh-CN"/>
        </w:rPr>
        <w:t xml:space="preserve"> that ethnic minorities face severe restrictions in practice with regard to education in their mother tongue, including Azeri, Kurdish, and Arabic, despite policies protecting the use of non-Persian languages </w:t>
      </w:r>
      <w:r w:rsidR="00F9080C" w:rsidRPr="00516422">
        <w:t>(art</w:t>
      </w:r>
      <w:r w:rsidR="00F9080C">
        <w:t>s</w:t>
      </w:r>
      <w:r w:rsidR="00B36955">
        <w:t>.</w:t>
      </w:r>
      <w:r w:rsidR="00F9080C">
        <w:t xml:space="preserve"> 13 and 14</w:t>
      </w:r>
      <w:r w:rsidR="00F9080C" w:rsidRPr="00516422">
        <w:t>).</w:t>
      </w:r>
    </w:p>
    <w:p w:rsidR="00F9080C" w:rsidRDefault="00F9080C" w:rsidP="00F9080C">
      <w:pPr>
        <w:pStyle w:val="SingleTxtG"/>
        <w:rPr>
          <w:b/>
        </w:rPr>
      </w:pPr>
      <w:r w:rsidRPr="00516422">
        <w:rPr>
          <w:b/>
        </w:rPr>
        <w:t xml:space="preserve">The Committee recommends that the State party </w:t>
      </w:r>
      <w:r>
        <w:rPr>
          <w:b/>
        </w:rPr>
        <w:t>take steps to ensure that ethnic minorities have the opportunity to receive education in their mother tongue, in addition to Farsi.</w:t>
      </w:r>
    </w:p>
    <w:p w:rsidR="00F9080C" w:rsidRDefault="00B06971" w:rsidP="00B06971">
      <w:pPr>
        <w:pStyle w:val="SingleTxtG"/>
        <w:tabs>
          <w:tab w:val="left" w:pos="1701"/>
        </w:tabs>
      </w:pPr>
      <w:r>
        <w:t>30.</w:t>
      </w:r>
      <w:r>
        <w:tab/>
      </w:r>
      <w:r w:rsidR="00F9080C" w:rsidRPr="007C237E">
        <w:rPr>
          <w:rFonts w:eastAsia="SimSun"/>
          <w:lang w:val="en-US" w:eastAsia="zh-CN"/>
        </w:rPr>
        <w:t xml:space="preserve">The </w:t>
      </w:r>
      <w:r w:rsidR="00F9080C" w:rsidRPr="00E977D9">
        <w:rPr>
          <w:rFonts w:eastAsia="SimSun"/>
          <w:lang w:val="en-US" w:eastAsia="zh-CN"/>
        </w:rPr>
        <w:t>Committee is concerned</w:t>
      </w:r>
      <w:r w:rsidR="00F9080C">
        <w:rPr>
          <w:rFonts w:eastAsia="SimSun"/>
          <w:lang w:val="en-US" w:eastAsia="zh-CN"/>
        </w:rPr>
        <w:t xml:space="preserve"> that ethnic </w:t>
      </w:r>
      <w:r w:rsidR="00F9080C" w:rsidRPr="00265980">
        <w:rPr>
          <w:rFonts w:eastAsia="SimSun"/>
          <w:lang w:val="en-US" w:eastAsia="zh-CN"/>
        </w:rPr>
        <w:t>minorities, including Kurds, Arabs, Azeris and Bal</w:t>
      </w:r>
      <w:r w:rsidR="00B36955">
        <w:rPr>
          <w:rFonts w:eastAsia="SimSun"/>
          <w:lang w:val="en-US" w:eastAsia="zh-CN"/>
        </w:rPr>
        <w:t>u</w:t>
      </w:r>
      <w:r w:rsidR="00F9080C" w:rsidRPr="00265980">
        <w:rPr>
          <w:rFonts w:eastAsia="SimSun"/>
          <w:lang w:val="en-US" w:eastAsia="zh-CN"/>
        </w:rPr>
        <w:t>ch, do not fully enjoy their right to take part in cultural life, including as a consequence of closures of publications and newspapers in minority languages (art.</w:t>
      </w:r>
      <w:r w:rsidR="00B36955">
        <w:rPr>
          <w:rFonts w:eastAsia="SimSun"/>
          <w:lang w:val="en-US" w:eastAsia="zh-CN"/>
        </w:rPr>
        <w:t xml:space="preserve"> </w:t>
      </w:r>
      <w:r w:rsidR="00F9080C">
        <w:t>15</w:t>
      </w:r>
      <w:r w:rsidR="00F9080C" w:rsidRPr="00516422">
        <w:t>).</w:t>
      </w:r>
    </w:p>
    <w:p w:rsidR="003E2675" w:rsidRDefault="00F9080C" w:rsidP="003E2675">
      <w:pPr>
        <w:pStyle w:val="SingleTxtG"/>
        <w:ind w:left="1128"/>
        <w:rPr>
          <w:b/>
        </w:rPr>
      </w:pPr>
      <w:r w:rsidRPr="00516422">
        <w:rPr>
          <w:b/>
        </w:rPr>
        <w:t>The Committee recommends that the State party</w:t>
      </w:r>
      <w:r>
        <w:rPr>
          <w:b/>
        </w:rPr>
        <w:t xml:space="preserve"> take steps to </w:t>
      </w:r>
      <w:r w:rsidRPr="00265980">
        <w:rPr>
          <w:b/>
        </w:rPr>
        <w:t>ensure the full and unrestricted enjoyment by ethnic minorities, including Kurds, Arabs, Azeris and Baluch, to their right to take part in cultural life, including through the protection of publications and newspapers in minority language</w:t>
      </w:r>
      <w:r w:rsidR="00B36955">
        <w:rPr>
          <w:b/>
        </w:rPr>
        <w:t>s</w:t>
      </w:r>
      <w:r w:rsidRPr="00265980">
        <w:rPr>
          <w:b/>
        </w:rPr>
        <w:t xml:space="preserve"> from </w:t>
      </w:r>
      <w:r w:rsidR="00C317BC">
        <w:rPr>
          <w:b/>
        </w:rPr>
        <w:t xml:space="preserve">imposed </w:t>
      </w:r>
      <w:r w:rsidRPr="00265980">
        <w:rPr>
          <w:b/>
        </w:rPr>
        <w:t xml:space="preserve">closure. The </w:t>
      </w:r>
      <w:r>
        <w:rPr>
          <w:b/>
        </w:rPr>
        <w:t>C</w:t>
      </w:r>
      <w:r w:rsidRPr="00265980">
        <w:rPr>
          <w:b/>
        </w:rPr>
        <w:t xml:space="preserve">ommittee also recommends that the </w:t>
      </w:r>
      <w:r>
        <w:rPr>
          <w:b/>
        </w:rPr>
        <w:t>S</w:t>
      </w:r>
      <w:r w:rsidRPr="00265980">
        <w:rPr>
          <w:b/>
        </w:rPr>
        <w:t xml:space="preserve">tate party take measures to protect cultural diversity, promote awareness of the cultural heritage of national and ethnic minorities, and ensure favourable conditions for members of those minorities to preserve, develop, express and disseminate their identity, history, culture, language, traditions and customs in line with the </w:t>
      </w:r>
      <w:r>
        <w:rPr>
          <w:b/>
        </w:rPr>
        <w:t>C</w:t>
      </w:r>
      <w:r w:rsidRPr="00265980">
        <w:rPr>
          <w:b/>
        </w:rPr>
        <w:t xml:space="preserve">ommittee’s </w:t>
      </w:r>
      <w:r w:rsidR="00B36955">
        <w:rPr>
          <w:b/>
        </w:rPr>
        <w:t>g</w:t>
      </w:r>
      <w:r w:rsidRPr="00265980">
        <w:rPr>
          <w:b/>
        </w:rPr>
        <w:t xml:space="preserve">eneral </w:t>
      </w:r>
      <w:r w:rsidR="00B36955">
        <w:rPr>
          <w:b/>
        </w:rPr>
        <w:t>c</w:t>
      </w:r>
      <w:r w:rsidRPr="00265980">
        <w:rPr>
          <w:b/>
        </w:rPr>
        <w:t xml:space="preserve">omment </w:t>
      </w:r>
      <w:r w:rsidR="00B36955">
        <w:rPr>
          <w:b/>
        </w:rPr>
        <w:t>N</w:t>
      </w:r>
      <w:r w:rsidRPr="00265980">
        <w:rPr>
          <w:b/>
        </w:rPr>
        <w:t>o. 21 (2009) on the right of everyone</w:t>
      </w:r>
      <w:r w:rsidR="003E2675">
        <w:rPr>
          <w:b/>
        </w:rPr>
        <w:t xml:space="preserve"> to take part in cultural life.</w:t>
      </w:r>
    </w:p>
    <w:p w:rsidR="003E2675" w:rsidRPr="003E2675" w:rsidRDefault="00B06971" w:rsidP="00B06971">
      <w:pPr>
        <w:pStyle w:val="SingleTxtG"/>
        <w:tabs>
          <w:tab w:val="left" w:pos="1701"/>
        </w:tabs>
        <w:rPr>
          <w:b/>
        </w:rPr>
      </w:pPr>
      <w:r w:rsidRPr="003E2675">
        <w:t>31.</w:t>
      </w:r>
      <w:r w:rsidRPr="003E2675">
        <w:tab/>
      </w:r>
      <w:r w:rsidR="003E2675" w:rsidRPr="007C237E">
        <w:rPr>
          <w:rFonts w:eastAsia="SimSun"/>
          <w:b/>
          <w:lang w:val="en-US" w:eastAsia="zh-CN"/>
        </w:rPr>
        <w:t xml:space="preserve">The Committee </w:t>
      </w:r>
      <w:r w:rsidR="003E2675" w:rsidRPr="00EE33B6">
        <w:rPr>
          <w:rFonts w:eastAsia="SimSun"/>
          <w:b/>
          <w:lang w:val="en-US" w:eastAsia="zh-CN"/>
        </w:rPr>
        <w:t>recommends that the State party adopt a comprehensive anti-discrimination bill</w:t>
      </w:r>
      <w:r w:rsidR="008169A9">
        <w:rPr>
          <w:rFonts w:eastAsia="SimSun"/>
          <w:b/>
          <w:lang w:val="en-US" w:eastAsia="zh-CN"/>
        </w:rPr>
        <w:t xml:space="preserve"> in compliance with article 2</w:t>
      </w:r>
      <w:r w:rsidR="00B36955">
        <w:rPr>
          <w:rFonts w:eastAsia="SimSun"/>
          <w:b/>
          <w:lang w:val="en-US" w:eastAsia="zh-CN"/>
        </w:rPr>
        <w:t xml:space="preserve">, paragraph </w:t>
      </w:r>
      <w:r w:rsidR="008169A9">
        <w:rPr>
          <w:rFonts w:eastAsia="SimSun"/>
          <w:b/>
          <w:lang w:val="en-US" w:eastAsia="zh-CN"/>
        </w:rPr>
        <w:t>2</w:t>
      </w:r>
      <w:r w:rsidR="00B36955">
        <w:rPr>
          <w:rFonts w:eastAsia="SimSun"/>
          <w:b/>
          <w:lang w:val="en-US" w:eastAsia="zh-CN"/>
        </w:rPr>
        <w:t>,</w:t>
      </w:r>
      <w:r w:rsidR="008169A9">
        <w:rPr>
          <w:rFonts w:eastAsia="SimSun"/>
          <w:b/>
          <w:lang w:val="en-US" w:eastAsia="zh-CN"/>
        </w:rPr>
        <w:t xml:space="preserve"> of the Covenant and </w:t>
      </w:r>
      <w:r w:rsidR="003E2675" w:rsidRPr="00EE33B6">
        <w:rPr>
          <w:rFonts w:eastAsia="SimSun"/>
          <w:b/>
          <w:lang w:val="en-US" w:eastAsia="zh-CN"/>
        </w:rPr>
        <w:t xml:space="preserve">taking into account the Committee’s </w:t>
      </w:r>
      <w:r w:rsidR="00B36955">
        <w:rPr>
          <w:rFonts w:eastAsia="SimSun"/>
          <w:b/>
          <w:lang w:val="en-US" w:eastAsia="zh-CN"/>
        </w:rPr>
        <w:t>g</w:t>
      </w:r>
      <w:r w:rsidR="003E2675" w:rsidRPr="00EE33B6">
        <w:rPr>
          <w:rFonts w:eastAsia="SimSun"/>
          <w:b/>
          <w:lang w:val="en-US" w:eastAsia="zh-CN"/>
        </w:rPr>
        <w:t xml:space="preserve">eneral </w:t>
      </w:r>
      <w:r w:rsidR="00B36955">
        <w:rPr>
          <w:rFonts w:eastAsia="SimSun"/>
          <w:b/>
          <w:lang w:val="en-US" w:eastAsia="zh-CN"/>
        </w:rPr>
        <w:t>c</w:t>
      </w:r>
      <w:r w:rsidR="003E2675" w:rsidRPr="00EE33B6">
        <w:rPr>
          <w:rFonts w:eastAsia="SimSun"/>
          <w:b/>
          <w:lang w:val="en-US" w:eastAsia="zh-CN"/>
        </w:rPr>
        <w:t xml:space="preserve">omment </w:t>
      </w:r>
      <w:r w:rsidR="00B36955">
        <w:rPr>
          <w:rFonts w:eastAsia="SimSun"/>
          <w:b/>
          <w:lang w:val="en-US" w:eastAsia="zh-CN"/>
        </w:rPr>
        <w:t>N</w:t>
      </w:r>
      <w:r w:rsidR="003E2675" w:rsidRPr="00EE33B6">
        <w:rPr>
          <w:rFonts w:eastAsia="SimSun"/>
          <w:b/>
          <w:lang w:val="en-US" w:eastAsia="zh-CN"/>
        </w:rPr>
        <w:t>o. 20 (2009) on non-discrimination in economic, social and cultural rights.</w:t>
      </w:r>
    </w:p>
    <w:p w:rsidR="00F9080C" w:rsidRPr="007C157C" w:rsidRDefault="00B06971" w:rsidP="00B06971">
      <w:pPr>
        <w:pStyle w:val="SingleTxtG"/>
        <w:tabs>
          <w:tab w:val="left" w:pos="1701"/>
        </w:tabs>
        <w:rPr>
          <w:rFonts w:eastAsia="SimSun"/>
          <w:lang w:eastAsia="zh-CN"/>
        </w:rPr>
      </w:pPr>
      <w:r w:rsidRPr="007C157C">
        <w:rPr>
          <w:rFonts w:eastAsia="SimSun"/>
          <w:lang w:eastAsia="zh-CN"/>
        </w:rPr>
        <w:t>32.</w:t>
      </w:r>
      <w:r w:rsidRPr="007C157C">
        <w:rPr>
          <w:rFonts w:eastAsia="SimSun"/>
          <w:lang w:eastAsia="zh-CN"/>
        </w:rPr>
        <w:tab/>
      </w:r>
      <w:r w:rsidR="00F9080C" w:rsidRPr="00E108EF">
        <w:rPr>
          <w:rFonts w:eastAsia="SimSun"/>
          <w:b/>
          <w:lang w:eastAsia="zh-CN"/>
        </w:rPr>
        <w:t>The Committee encourages the State party to consider signing and ratifying the</w:t>
      </w:r>
      <w:r w:rsidR="00F9080C" w:rsidRPr="007902DF">
        <w:rPr>
          <w:rFonts w:eastAsia="SimSun"/>
          <w:b/>
          <w:lang w:eastAsia="zh-CN"/>
        </w:rPr>
        <w:t xml:space="preserve"> Optional Protocol to the International Covenant on Economic, Social and Cultural Rights</w:t>
      </w:r>
      <w:r w:rsidR="00F9080C" w:rsidRPr="007902DF">
        <w:rPr>
          <w:b/>
          <w:lang w:val="en-US"/>
        </w:rPr>
        <w:t>.</w:t>
      </w:r>
    </w:p>
    <w:p w:rsidR="00F9080C" w:rsidRPr="001C4867" w:rsidRDefault="00B06971" w:rsidP="00B06971">
      <w:pPr>
        <w:pStyle w:val="SingleTxtG"/>
        <w:tabs>
          <w:tab w:val="left" w:pos="1701"/>
        </w:tabs>
        <w:rPr>
          <w:rFonts w:eastAsia="SimSun"/>
          <w:b/>
          <w:lang w:eastAsia="zh-CN"/>
        </w:rPr>
      </w:pPr>
      <w:r w:rsidRPr="001C4867">
        <w:rPr>
          <w:rFonts w:eastAsia="SimSun"/>
          <w:lang w:eastAsia="zh-CN"/>
        </w:rPr>
        <w:t>33.</w:t>
      </w:r>
      <w:r w:rsidRPr="001C4867">
        <w:rPr>
          <w:rFonts w:eastAsia="SimSun"/>
          <w:lang w:eastAsia="zh-CN"/>
        </w:rPr>
        <w:tab/>
      </w:r>
      <w:r w:rsidR="00F9080C" w:rsidRPr="007902DF">
        <w:rPr>
          <w:rFonts w:eastAsia="SimSun"/>
          <w:b/>
          <w:lang w:eastAsia="zh-CN"/>
        </w:rPr>
        <w:t xml:space="preserve">The Committee </w:t>
      </w:r>
      <w:r w:rsidR="00F9080C" w:rsidRPr="001C4867">
        <w:rPr>
          <w:rFonts w:eastAsia="SimSun"/>
          <w:b/>
          <w:lang w:eastAsia="zh-CN"/>
        </w:rPr>
        <w:t xml:space="preserve">encourages the State party to sign and ratify the </w:t>
      </w:r>
      <w:r w:rsidR="00F9080C" w:rsidRPr="001C4867">
        <w:rPr>
          <w:b/>
          <w:bCs/>
        </w:rPr>
        <w:t>Convention on the Elimination of All Forms of Discrimination against Women, the Convention against Torture and Other Cruel, Inhuman or Degrading Treatment or Punishment,</w:t>
      </w:r>
      <w:r w:rsidR="00F9080C">
        <w:rPr>
          <w:b/>
          <w:bCs/>
        </w:rPr>
        <w:t xml:space="preserve"> </w:t>
      </w:r>
      <w:r w:rsidR="00F9080C" w:rsidRPr="001C4867">
        <w:rPr>
          <w:rFonts w:eastAsia="SimSun"/>
          <w:b/>
          <w:lang w:eastAsia="zh-CN"/>
        </w:rPr>
        <w:t>the International Convention on the Protection of the Rights of All Migrant Workers and Members of Their Families</w:t>
      </w:r>
      <w:r w:rsidR="00F9080C">
        <w:rPr>
          <w:rFonts w:eastAsia="SimSun"/>
          <w:b/>
          <w:lang w:eastAsia="zh-CN"/>
        </w:rPr>
        <w:t xml:space="preserve">, </w:t>
      </w:r>
      <w:r w:rsidR="00631BA5">
        <w:rPr>
          <w:rFonts w:eastAsia="SimSun"/>
          <w:b/>
          <w:lang w:eastAsia="zh-CN"/>
        </w:rPr>
        <w:t>and</w:t>
      </w:r>
      <w:r w:rsidR="00F9080C">
        <w:rPr>
          <w:rFonts w:eastAsia="SimSun"/>
          <w:b/>
          <w:lang w:eastAsia="zh-CN"/>
        </w:rPr>
        <w:t xml:space="preserve"> </w:t>
      </w:r>
      <w:r w:rsidR="00F9080C" w:rsidRPr="001C4867">
        <w:rPr>
          <w:rFonts w:eastAsia="SimSun"/>
          <w:b/>
          <w:lang w:eastAsia="zh-CN"/>
        </w:rPr>
        <w:t>the International Convention for the Protection of All Persons from Enforced Disappearance</w:t>
      </w:r>
      <w:r w:rsidR="006A5F7D">
        <w:rPr>
          <w:rFonts w:eastAsia="SimSun"/>
          <w:b/>
          <w:lang w:eastAsia="zh-CN"/>
        </w:rPr>
        <w:t>, and withdraw its reservation to the Convention on the Rights of Persons with Disabilities</w:t>
      </w:r>
      <w:r w:rsidR="00F9080C">
        <w:rPr>
          <w:rFonts w:eastAsia="SimSun"/>
          <w:b/>
          <w:lang w:eastAsia="zh-CN"/>
        </w:rPr>
        <w:t>.</w:t>
      </w:r>
      <w:r w:rsidR="00F9080C" w:rsidRPr="001C4867">
        <w:rPr>
          <w:rFonts w:eastAsia="SimSun"/>
          <w:b/>
          <w:lang w:eastAsia="zh-CN"/>
        </w:rPr>
        <w:t xml:space="preserve"> </w:t>
      </w:r>
    </w:p>
    <w:p w:rsidR="00E108EF" w:rsidRDefault="00B06971" w:rsidP="00B06971">
      <w:pPr>
        <w:pStyle w:val="SingleTxtG"/>
        <w:tabs>
          <w:tab w:val="left" w:pos="1701"/>
        </w:tabs>
        <w:rPr>
          <w:rFonts w:eastAsia="SimSun"/>
          <w:b/>
          <w:lang w:eastAsia="zh-CN"/>
        </w:rPr>
      </w:pPr>
      <w:r>
        <w:rPr>
          <w:rFonts w:eastAsia="SimSun"/>
          <w:lang w:eastAsia="zh-CN"/>
        </w:rPr>
        <w:t>34.</w:t>
      </w:r>
      <w:r>
        <w:rPr>
          <w:rFonts w:eastAsia="SimSun"/>
          <w:lang w:eastAsia="zh-CN"/>
        </w:rPr>
        <w:tab/>
      </w:r>
      <w:r w:rsidR="00F9080C" w:rsidRPr="001C4867">
        <w:rPr>
          <w:rFonts w:eastAsia="SimSun"/>
          <w:b/>
          <w:lang w:eastAsia="zh-CN"/>
        </w:rPr>
        <w:t>The Committee requests the State party to disseminate the present concluding observations widely among all levels of society, in particular among State officials, the</w:t>
      </w:r>
      <w:r w:rsidR="00F9080C" w:rsidRPr="007902DF">
        <w:rPr>
          <w:rFonts w:eastAsia="SimSun"/>
          <w:b/>
          <w:lang w:eastAsia="zh-CN"/>
        </w:rPr>
        <w:t xml:space="preserve"> judiciary and civil society organizations, translate and publicize them as far as possible and inform the Committee of the steps taken to implement them in its next periodic report. </w:t>
      </w:r>
    </w:p>
    <w:p w:rsidR="00F9080C" w:rsidRPr="007902DF" w:rsidRDefault="00B06971" w:rsidP="00B06971">
      <w:pPr>
        <w:pStyle w:val="SingleTxtG"/>
        <w:tabs>
          <w:tab w:val="left" w:pos="1701"/>
        </w:tabs>
        <w:rPr>
          <w:rFonts w:eastAsia="SimSun"/>
          <w:b/>
          <w:lang w:eastAsia="zh-CN"/>
        </w:rPr>
      </w:pPr>
      <w:r w:rsidRPr="007902DF">
        <w:rPr>
          <w:rFonts w:eastAsia="SimSun"/>
          <w:lang w:eastAsia="zh-CN"/>
        </w:rPr>
        <w:t>35.</w:t>
      </w:r>
      <w:r w:rsidRPr="007902DF">
        <w:rPr>
          <w:rFonts w:eastAsia="SimSun"/>
          <w:lang w:eastAsia="zh-CN"/>
        </w:rPr>
        <w:tab/>
      </w:r>
      <w:r w:rsidR="00E108EF">
        <w:rPr>
          <w:rFonts w:eastAsia="SimSun"/>
          <w:b/>
          <w:lang w:eastAsia="zh-CN"/>
        </w:rPr>
        <w:t xml:space="preserve">The Committee </w:t>
      </w:r>
      <w:r w:rsidR="00F9080C" w:rsidRPr="007902DF">
        <w:rPr>
          <w:rFonts w:eastAsia="SimSun"/>
          <w:b/>
          <w:lang w:eastAsia="zh-CN"/>
        </w:rPr>
        <w:t xml:space="preserve">encourages the State party to engage all the relevant actors, including non-governmental organizations and other members of civil society, in the process of discussion </w:t>
      </w:r>
      <w:r w:rsidR="008E11F9">
        <w:rPr>
          <w:rFonts w:eastAsia="SimSun"/>
          <w:b/>
          <w:lang w:eastAsia="zh-CN"/>
        </w:rPr>
        <w:t xml:space="preserve">of the present concluding observations </w:t>
      </w:r>
      <w:r w:rsidR="00F9080C" w:rsidRPr="007902DF">
        <w:rPr>
          <w:rFonts w:eastAsia="SimSun"/>
          <w:b/>
          <w:lang w:eastAsia="zh-CN"/>
        </w:rPr>
        <w:t>at the national level</w:t>
      </w:r>
      <w:r w:rsidR="008E11F9">
        <w:rPr>
          <w:rFonts w:eastAsia="SimSun"/>
          <w:b/>
          <w:lang w:eastAsia="zh-CN"/>
        </w:rPr>
        <w:t xml:space="preserve"> and facilitate their participation</w:t>
      </w:r>
      <w:r w:rsidR="00F9080C" w:rsidRPr="007902DF">
        <w:rPr>
          <w:rFonts w:eastAsia="SimSun"/>
          <w:b/>
          <w:lang w:eastAsia="zh-CN"/>
        </w:rPr>
        <w:t xml:space="preserve"> prior to the submission of its next periodic report. </w:t>
      </w:r>
    </w:p>
    <w:p w:rsidR="00F9080C" w:rsidRPr="007902DF" w:rsidRDefault="00B06971" w:rsidP="00B06971">
      <w:pPr>
        <w:pStyle w:val="SingleTxtG"/>
        <w:tabs>
          <w:tab w:val="left" w:pos="1701"/>
        </w:tabs>
      </w:pPr>
      <w:r w:rsidRPr="007902DF">
        <w:t>36.</w:t>
      </w:r>
      <w:r w:rsidRPr="007902DF">
        <w:tab/>
      </w:r>
      <w:r w:rsidR="00F9080C" w:rsidRPr="007902DF">
        <w:rPr>
          <w:rFonts w:eastAsia="SimSun"/>
          <w:b/>
          <w:lang w:eastAsia="zh-CN"/>
        </w:rPr>
        <w:t>The Committee requests the State party to submit</w:t>
      </w:r>
      <w:r w:rsidR="009B6BF7">
        <w:rPr>
          <w:rFonts w:eastAsia="SimSun"/>
          <w:b/>
          <w:lang w:eastAsia="zh-CN"/>
        </w:rPr>
        <w:t xml:space="preserve"> in a timely manner</w:t>
      </w:r>
      <w:r w:rsidR="00F9080C" w:rsidRPr="007902DF">
        <w:rPr>
          <w:rFonts w:eastAsia="SimSun"/>
          <w:b/>
          <w:lang w:eastAsia="zh-CN"/>
        </w:rPr>
        <w:t xml:space="preserve"> its third periodic report, prepared in accordance with the revised reporting guidelines of the Committee, adopted in 2008 (E/C.12/2008/2), by </w:t>
      </w:r>
      <w:r w:rsidR="008340E6">
        <w:rPr>
          <w:rFonts w:eastAsia="SimSun"/>
          <w:b/>
          <w:lang w:eastAsia="zh-CN"/>
        </w:rPr>
        <w:t>31</w:t>
      </w:r>
      <w:r w:rsidR="00F9080C" w:rsidRPr="007902DF">
        <w:rPr>
          <w:rFonts w:eastAsia="SimSun"/>
          <w:b/>
          <w:lang w:eastAsia="zh-CN"/>
        </w:rPr>
        <w:t xml:space="preserve"> May 2018.</w:t>
      </w:r>
    </w:p>
    <w:p w:rsidR="00004226" w:rsidRDefault="00DD0AAA" w:rsidP="0036009D">
      <w:pPr>
        <w:pStyle w:val="SingleTxtG"/>
        <w:spacing w:before="240" w:after="0"/>
        <w:jc w:val="center"/>
      </w:pPr>
      <w:r>
        <w:rPr>
          <w:u w:val="single"/>
        </w:rPr>
        <w:tab/>
      </w:r>
      <w:r>
        <w:rPr>
          <w:u w:val="single"/>
        </w:rPr>
        <w:tab/>
      </w:r>
      <w:r>
        <w:rPr>
          <w:u w:val="single"/>
        </w:rPr>
        <w:tab/>
      </w:r>
    </w:p>
    <w:sectPr w:rsidR="00004226" w:rsidSect="00D12B1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6A" w:rsidRDefault="0047606A"/>
  </w:endnote>
  <w:endnote w:type="continuationSeparator" w:id="0">
    <w:p w:rsidR="0047606A" w:rsidRDefault="0047606A"/>
  </w:endnote>
  <w:endnote w:type="continuationNotice" w:id="1">
    <w:p w:rsidR="0047606A" w:rsidRDefault="004760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38" w:rsidRPr="00D12B12" w:rsidRDefault="00E61D38" w:rsidP="00D12B12">
    <w:pPr>
      <w:pStyle w:val="Footer"/>
      <w:tabs>
        <w:tab w:val="right" w:pos="9638"/>
      </w:tabs>
    </w:pPr>
    <w:r w:rsidRPr="00D12B12">
      <w:rPr>
        <w:b/>
        <w:sz w:val="18"/>
      </w:rPr>
      <w:fldChar w:fldCharType="begin"/>
    </w:r>
    <w:r w:rsidRPr="00D12B12">
      <w:rPr>
        <w:b/>
        <w:sz w:val="18"/>
      </w:rPr>
      <w:instrText xml:space="preserve"> PAGE  \* MERGEFORMAT </w:instrText>
    </w:r>
    <w:r w:rsidRPr="00D12B12">
      <w:rPr>
        <w:b/>
        <w:sz w:val="18"/>
      </w:rPr>
      <w:fldChar w:fldCharType="separate"/>
    </w:r>
    <w:r w:rsidR="006960A8">
      <w:rPr>
        <w:b/>
        <w:noProof/>
        <w:sz w:val="18"/>
      </w:rPr>
      <w:t>2</w:t>
    </w:r>
    <w:r w:rsidRPr="00D12B1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38" w:rsidRPr="00D12B12" w:rsidRDefault="00E61D38" w:rsidP="00D12B12">
    <w:pPr>
      <w:pStyle w:val="Footer"/>
      <w:tabs>
        <w:tab w:val="right" w:pos="9638"/>
      </w:tabs>
      <w:rPr>
        <w:b/>
        <w:sz w:val="18"/>
      </w:rPr>
    </w:pPr>
    <w:r>
      <w:tab/>
    </w:r>
    <w:r w:rsidRPr="00D12B12">
      <w:rPr>
        <w:b/>
        <w:sz w:val="18"/>
      </w:rPr>
      <w:fldChar w:fldCharType="begin"/>
    </w:r>
    <w:r w:rsidRPr="00D12B12">
      <w:rPr>
        <w:b/>
        <w:sz w:val="18"/>
      </w:rPr>
      <w:instrText xml:space="preserve"> PAGE  \* MERGEFORMAT </w:instrText>
    </w:r>
    <w:r w:rsidRPr="00D12B12">
      <w:rPr>
        <w:b/>
        <w:sz w:val="18"/>
      </w:rPr>
      <w:fldChar w:fldCharType="separate"/>
    </w:r>
    <w:r w:rsidR="006960A8">
      <w:rPr>
        <w:b/>
        <w:noProof/>
        <w:sz w:val="18"/>
      </w:rPr>
      <w:t>7</w:t>
    </w:r>
    <w:r w:rsidRPr="00D12B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38" w:rsidRPr="00D12B12" w:rsidRDefault="00E61D3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AF0920">
      <w:rPr>
        <w:sz w:val="20"/>
      </w:rPr>
      <w:t>-</w:t>
    </w:r>
    <w:r w:rsidR="006960A8">
      <w:rPr>
        <w:sz w:val="20"/>
      </w:rPr>
      <w:t>44434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6A" w:rsidRPr="000B175B" w:rsidRDefault="0047606A" w:rsidP="000B175B">
      <w:pPr>
        <w:tabs>
          <w:tab w:val="right" w:pos="2155"/>
        </w:tabs>
        <w:spacing w:after="80"/>
        <w:ind w:left="680"/>
        <w:rPr>
          <w:u w:val="single"/>
        </w:rPr>
      </w:pPr>
      <w:r>
        <w:rPr>
          <w:u w:val="single"/>
        </w:rPr>
        <w:tab/>
      </w:r>
    </w:p>
  </w:footnote>
  <w:footnote w:type="continuationSeparator" w:id="0">
    <w:p w:rsidR="0047606A" w:rsidRPr="00FC68B7" w:rsidRDefault="0047606A" w:rsidP="00FC68B7">
      <w:pPr>
        <w:tabs>
          <w:tab w:val="left" w:pos="2155"/>
        </w:tabs>
        <w:spacing w:after="80"/>
        <w:ind w:left="680"/>
        <w:rPr>
          <w:u w:val="single"/>
        </w:rPr>
      </w:pPr>
      <w:r>
        <w:rPr>
          <w:u w:val="single"/>
        </w:rPr>
        <w:tab/>
      </w:r>
    </w:p>
  </w:footnote>
  <w:footnote w:type="continuationNotice" w:id="1">
    <w:p w:rsidR="0047606A" w:rsidRDefault="004760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38" w:rsidRPr="00D12B12" w:rsidRDefault="00E61D38">
    <w:pPr>
      <w:pStyle w:val="Header"/>
    </w:pPr>
    <w:r w:rsidRPr="00F9080C">
      <w:t>E</w:t>
    </w:r>
    <w:r>
      <w:t>/C.12/IRN/CO/2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38" w:rsidRPr="0077009D" w:rsidRDefault="00E61D38" w:rsidP="0077009D">
    <w:pPr>
      <w:pStyle w:val="Header"/>
      <w:jc w:val="right"/>
    </w:pPr>
    <w:r w:rsidRPr="0077009D">
      <w:t>E/C.12/IRN/CO/2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A8" w:rsidRDefault="00696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140F75"/>
    <w:multiLevelType w:val="hybridMultilevel"/>
    <w:tmpl w:val="76C875BE"/>
    <w:lvl w:ilvl="0" w:tplc="882CA94C">
      <w:start w:val="1"/>
      <w:numFmt w:val="decimal"/>
      <w:lvlText w:val="%1."/>
      <w:lvlJc w:val="left"/>
      <w:pPr>
        <w:ind w:left="1698" w:hanging="552"/>
      </w:pPr>
      <w:rPr>
        <w:rFonts w:hint="default"/>
        <w:b w:val="0"/>
        <w:i w:val="0"/>
        <w:sz w:val="20"/>
        <w:szCs w:val="2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227747"/>
    <w:multiLevelType w:val="hybridMultilevel"/>
    <w:tmpl w:val="561269CA"/>
    <w:lvl w:ilvl="0" w:tplc="0809000F">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9"/>
  </w:num>
  <w:num w:numId="19">
    <w:abstractNumId w:val="18"/>
  </w:num>
  <w:num w:numId="20">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B12"/>
    <w:rsid w:val="00000880"/>
    <w:rsid w:val="00002A7D"/>
    <w:rsid w:val="000032D5"/>
    <w:rsid w:val="000038A8"/>
    <w:rsid w:val="00003CD5"/>
    <w:rsid w:val="00004226"/>
    <w:rsid w:val="0000470F"/>
    <w:rsid w:val="00006790"/>
    <w:rsid w:val="00012E83"/>
    <w:rsid w:val="0001434F"/>
    <w:rsid w:val="00027624"/>
    <w:rsid w:val="00034A62"/>
    <w:rsid w:val="00047E4D"/>
    <w:rsid w:val="00050F6B"/>
    <w:rsid w:val="000678CD"/>
    <w:rsid w:val="00072C8C"/>
    <w:rsid w:val="00073E92"/>
    <w:rsid w:val="00081CE0"/>
    <w:rsid w:val="0008217C"/>
    <w:rsid w:val="00084D30"/>
    <w:rsid w:val="00085D38"/>
    <w:rsid w:val="00090320"/>
    <w:rsid w:val="000931C0"/>
    <w:rsid w:val="000A2E09"/>
    <w:rsid w:val="000A351F"/>
    <w:rsid w:val="000A7DA9"/>
    <w:rsid w:val="000B175B"/>
    <w:rsid w:val="000B3A0F"/>
    <w:rsid w:val="000B63C1"/>
    <w:rsid w:val="000D0663"/>
    <w:rsid w:val="000E0415"/>
    <w:rsid w:val="000E4538"/>
    <w:rsid w:val="000F3B82"/>
    <w:rsid w:val="000F7715"/>
    <w:rsid w:val="00107059"/>
    <w:rsid w:val="0011428B"/>
    <w:rsid w:val="00127A0F"/>
    <w:rsid w:val="001367AA"/>
    <w:rsid w:val="00155F18"/>
    <w:rsid w:val="00156B99"/>
    <w:rsid w:val="00166124"/>
    <w:rsid w:val="001809B0"/>
    <w:rsid w:val="00184DDA"/>
    <w:rsid w:val="00187A0C"/>
    <w:rsid w:val="001900CD"/>
    <w:rsid w:val="001A0452"/>
    <w:rsid w:val="001B4B04"/>
    <w:rsid w:val="001B4C13"/>
    <w:rsid w:val="001B5875"/>
    <w:rsid w:val="001B7F27"/>
    <w:rsid w:val="001C4B9C"/>
    <w:rsid w:val="001C6663"/>
    <w:rsid w:val="001C7895"/>
    <w:rsid w:val="001D26DF"/>
    <w:rsid w:val="001F1599"/>
    <w:rsid w:val="001F19C4"/>
    <w:rsid w:val="001F7281"/>
    <w:rsid w:val="00200472"/>
    <w:rsid w:val="002043F0"/>
    <w:rsid w:val="00210482"/>
    <w:rsid w:val="00211E0B"/>
    <w:rsid w:val="00214DC5"/>
    <w:rsid w:val="00232575"/>
    <w:rsid w:val="00242E89"/>
    <w:rsid w:val="00243ED6"/>
    <w:rsid w:val="00247258"/>
    <w:rsid w:val="002474CC"/>
    <w:rsid w:val="00257CAC"/>
    <w:rsid w:val="00265C4E"/>
    <w:rsid w:val="002709A7"/>
    <w:rsid w:val="0027237A"/>
    <w:rsid w:val="002974E9"/>
    <w:rsid w:val="002A7F94"/>
    <w:rsid w:val="002B109A"/>
    <w:rsid w:val="002B202A"/>
    <w:rsid w:val="002B2CF9"/>
    <w:rsid w:val="002C6D45"/>
    <w:rsid w:val="002D6E53"/>
    <w:rsid w:val="002E173F"/>
    <w:rsid w:val="002F0171"/>
    <w:rsid w:val="002F046D"/>
    <w:rsid w:val="00301764"/>
    <w:rsid w:val="003065F8"/>
    <w:rsid w:val="00321447"/>
    <w:rsid w:val="003229D8"/>
    <w:rsid w:val="00336C97"/>
    <w:rsid w:val="00337F88"/>
    <w:rsid w:val="00342432"/>
    <w:rsid w:val="00344105"/>
    <w:rsid w:val="00344ACC"/>
    <w:rsid w:val="0035223F"/>
    <w:rsid w:val="00352D4B"/>
    <w:rsid w:val="0035638C"/>
    <w:rsid w:val="00356BF1"/>
    <w:rsid w:val="0036009D"/>
    <w:rsid w:val="00361D6D"/>
    <w:rsid w:val="003737A1"/>
    <w:rsid w:val="0037384A"/>
    <w:rsid w:val="0038377C"/>
    <w:rsid w:val="00383CAE"/>
    <w:rsid w:val="003848F3"/>
    <w:rsid w:val="00384C9C"/>
    <w:rsid w:val="003856B2"/>
    <w:rsid w:val="003A2A49"/>
    <w:rsid w:val="003A46BB"/>
    <w:rsid w:val="003A4EC7"/>
    <w:rsid w:val="003A7295"/>
    <w:rsid w:val="003B1F60"/>
    <w:rsid w:val="003B7CC0"/>
    <w:rsid w:val="003C2CC4"/>
    <w:rsid w:val="003C69C9"/>
    <w:rsid w:val="003D0887"/>
    <w:rsid w:val="003D0AAE"/>
    <w:rsid w:val="003D17B9"/>
    <w:rsid w:val="003D4B23"/>
    <w:rsid w:val="003E0B8D"/>
    <w:rsid w:val="003E2675"/>
    <w:rsid w:val="003E278A"/>
    <w:rsid w:val="003E4984"/>
    <w:rsid w:val="00413520"/>
    <w:rsid w:val="004222C7"/>
    <w:rsid w:val="00424E9A"/>
    <w:rsid w:val="00427CA5"/>
    <w:rsid w:val="00430AA8"/>
    <w:rsid w:val="004325CB"/>
    <w:rsid w:val="00440A07"/>
    <w:rsid w:val="00450ACF"/>
    <w:rsid w:val="00453A4F"/>
    <w:rsid w:val="00462880"/>
    <w:rsid w:val="0047606A"/>
    <w:rsid w:val="00476F24"/>
    <w:rsid w:val="00477213"/>
    <w:rsid w:val="00487369"/>
    <w:rsid w:val="004B61E7"/>
    <w:rsid w:val="004B66B9"/>
    <w:rsid w:val="004C55B0"/>
    <w:rsid w:val="004C6544"/>
    <w:rsid w:val="004E5F2E"/>
    <w:rsid w:val="004F363B"/>
    <w:rsid w:val="004F3C4B"/>
    <w:rsid w:val="004F6BA0"/>
    <w:rsid w:val="00503BEA"/>
    <w:rsid w:val="00511AF5"/>
    <w:rsid w:val="00512B22"/>
    <w:rsid w:val="00522490"/>
    <w:rsid w:val="00533616"/>
    <w:rsid w:val="00535ABA"/>
    <w:rsid w:val="0053768B"/>
    <w:rsid w:val="005420F2"/>
    <w:rsid w:val="0054285C"/>
    <w:rsid w:val="00551A26"/>
    <w:rsid w:val="0055272C"/>
    <w:rsid w:val="00555ED2"/>
    <w:rsid w:val="005575E1"/>
    <w:rsid w:val="00560CE4"/>
    <w:rsid w:val="0058138A"/>
    <w:rsid w:val="00584173"/>
    <w:rsid w:val="00593F0F"/>
    <w:rsid w:val="00595520"/>
    <w:rsid w:val="005976DF"/>
    <w:rsid w:val="005978F7"/>
    <w:rsid w:val="005A0788"/>
    <w:rsid w:val="005A44B9"/>
    <w:rsid w:val="005B1BA0"/>
    <w:rsid w:val="005B2A9A"/>
    <w:rsid w:val="005B3DB3"/>
    <w:rsid w:val="005B5B2F"/>
    <w:rsid w:val="005C5B0F"/>
    <w:rsid w:val="005C5C94"/>
    <w:rsid w:val="005D15CA"/>
    <w:rsid w:val="005E02CD"/>
    <w:rsid w:val="005F08DF"/>
    <w:rsid w:val="005F3066"/>
    <w:rsid w:val="005F3E61"/>
    <w:rsid w:val="00604DDD"/>
    <w:rsid w:val="006114AB"/>
    <w:rsid w:val="006115CC"/>
    <w:rsid w:val="00611FC4"/>
    <w:rsid w:val="006176FB"/>
    <w:rsid w:val="00630FCB"/>
    <w:rsid w:val="00631BA5"/>
    <w:rsid w:val="00640B26"/>
    <w:rsid w:val="006420A5"/>
    <w:rsid w:val="00653C08"/>
    <w:rsid w:val="006770B2"/>
    <w:rsid w:val="006830A4"/>
    <w:rsid w:val="00683598"/>
    <w:rsid w:val="006940E1"/>
    <w:rsid w:val="006960A8"/>
    <w:rsid w:val="006A3C72"/>
    <w:rsid w:val="006A5F7D"/>
    <w:rsid w:val="006A7392"/>
    <w:rsid w:val="006A7BF9"/>
    <w:rsid w:val="006B0001"/>
    <w:rsid w:val="006B03A1"/>
    <w:rsid w:val="006B67D9"/>
    <w:rsid w:val="006C1E39"/>
    <w:rsid w:val="006C2020"/>
    <w:rsid w:val="006C43E3"/>
    <w:rsid w:val="006C5535"/>
    <w:rsid w:val="006D0589"/>
    <w:rsid w:val="006E331A"/>
    <w:rsid w:val="006E564B"/>
    <w:rsid w:val="006E6135"/>
    <w:rsid w:val="006E7154"/>
    <w:rsid w:val="007003CD"/>
    <w:rsid w:val="0070701E"/>
    <w:rsid w:val="0072632A"/>
    <w:rsid w:val="00727A5D"/>
    <w:rsid w:val="007358E8"/>
    <w:rsid w:val="00736ECE"/>
    <w:rsid w:val="00742F64"/>
    <w:rsid w:val="00743068"/>
    <w:rsid w:val="0074533B"/>
    <w:rsid w:val="00755976"/>
    <w:rsid w:val="007643BC"/>
    <w:rsid w:val="00765431"/>
    <w:rsid w:val="0077009D"/>
    <w:rsid w:val="00773821"/>
    <w:rsid w:val="00780A91"/>
    <w:rsid w:val="007814E4"/>
    <w:rsid w:val="007959FE"/>
    <w:rsid w:val="007A0CF1"/>
    <w:rsid w:val="007A6FC0"/>
    <w:rsid w:val="007B6BA5"/>
    <w:rsid w:val="007C157C"/>
    <w:rsid w:val="007C3390"/>
    <w:rsid w:val="007C42D8"/>
    <w:rsid w:val="007C4F4B"/>
    <w:rsid w:val="007D53A4"/>
    <w:rsid w:val="007D7362"/>
    <w:rsid w:val="007F5CE2"/>
    <w:rsid w:val="007F6611"/>
    <w:rsid w:val="00802B65"/>
    <w:rsid w:val="00810BAC"/>
    <w:rsid w:val="008169A9"/>
    <w:rsid w:val="008175E9"/>
    <w:rsid w:val="008242D7"/>
    <w:rsid w:val="0082577B"/>
    <w:rsid w:val="008340E6"/>
    <w:rsid w:val="00866893"/>
    <w:rsid w:val="00866F02"/>
    <w:rsid w:val="00867D18"/>
    <w:rsid w:val="00870724"/>
    <w:rsid w:val="00871F9A"/>
    <w:rsid w:val="00871FD5"/>
    <w:rsid w:val="00876F73"/>
    <w:rsid w:val="0088172E"/>
    <w:rsid w:val="00881EFA"/>
    <w:rsid w:val="008879CB"/>
    <w:rsid w:val="0089500E"/>
    <w:rsid w:val="008979B1"/>
    <w:rsid w:val="008A4332"/>
    <w:rsid w:val="008A6B25"/>
    <w:rsid w:val="008A6C4F"/>
    <w:rsid w:val="008B21E5"/>
    <w:rsid w:val="008B389E"/>
    <w:rsid w:val="008D045E"/>
    <w:rsid w:val="008D3F25"/>
    <w:rsid w:val="008D4D82"/>
    <w:rsid w:val="008E0E46"/>
    <w:rsid w:val="008E11F9"/>
    <w:rsid w:val="008E7116"/>
    <w:rsid w:val="008F143B"/>
    <w:rsid w:val="008F3882"/>
    <w:rsid w:val="008F4B7C"/>
    <w:rsid w:val="00905795"/>
    <w:rsid w:val="00926E47"/>
    <w:rsid w:val="00932173"/>
    <w:rsid w:val="00947162"/>
    <w:rsid w:val="009610D0"/>
    <w:rsid w:val="0096375C"/>
    <w:rsid w:val="009662E6"/>
    <w:rsid w:val="0097095E"/>
    <w:rsid w:val="0098592B"/>
    <w:rsid w:val="00985FC4"/>
    <w:rsid w:val="00990766"/>
    <w:rsid w:val="00991261"/>
    <w:rsid w:val="0099247A"/>
    <w:rsid w:val="009964C4"/>
    <w:rsid w:val="009A2C7F"/>
    <w:rsid w:val="009A5D98"/>
    <w:rsid w:val="009A7B81"/>
    <w:rsid w:val="009B6BF7"/>
    <w:rsid w:val="009C1549"/>
    <w:rsid w:val="009D01C0"/>
    <w:rsid w:val="009D6A08"/>
    <w:rsid w:val="009E0A16"/>
    <w:rsid w:val="009E6CB7"/>
    <w:rsid w:val="009E7970"/>
    <w:rsid w:val="009F177B"/>
    <w:rsid w:val="009F1AE3"/>
    <w:rsid w:val="009F2EAC"/>
    <w:rsid w:val="009F57E3"/>
    <w:rsid w:val="00A10F4F"/>
    <w:rsid w:val="00A11067"/>
    <w:rsid w:val="00A1704A"/>
    <w:rsid w:val="00A242AB"/>
    <w:rsid w:val="00A245A7"/>
    <w:rsid w:val="00A41A8A"/>
    <w:rsid w:val="00A425EB"/>
    <w:rsid w:val="00A435D1"/>
    <w:rsid w:val="00A4566B"/>
    <w:rsid w:val="00A54CEC"/>
    <w:rsid w:val="00A56000"/>
    <w:rsid w:val="00A64381"/>
    <w:rsid w:val="00A72F22"/>
    <w:rsid w:val="00A733BC"/>
    <w:rsid w:val="00A73D0D"/>
    <w:rsid w:val="00A748A6"/>
    <w:rsid w:val="00A76A69"/>
    <w:rsid w:val="00A879A4"/>
    <w:rsid w:val="00AA0FF8"/>
    <w:rsid w:val="00AA4C50"/>
    <w:rsid w:val="00AB07A7"/>
    <w:rsid w:val="00AC0F2C"/>
    <w:rsid w:val="00AC2A23"/>
    <w:rsid w:val="00AC502A"/>
    <w:rsid w:val="00AD4744"/>
    <w:rsid w:val="00AD4E2D"/>
    <w:rsid w:val="00AE4C77"/>
    <w:rsid w:val="00AE7E3D"/>
    <w:rsid w:val="00AF0920"/>
    <w:rsid w:val="00AF2890"/>
    <w:rsid w:val="00AF58C1"/>
    <w:rsid w:val="00B02A1A"/>
    <w:rsid w:val="00B03821"/>
    <w:rsid w:val="00B04A3F"/>
    <w:rsid w:val="00B06643"/>
    <w:rsid w:val="00B06971"/>
    <w:rsid w:val="00B15055"/>
    <w:rsid w:val="00B21096"/>
    <w:rsid w:val="00B30179"/>
    <w:rsid w:val="00B32CCC"/>
    <w:rsid w:val="00B36955"/>
    <w:rsid w:val="00B37B15"/>
    <w:rsid w:val="00B4037B"/>
    <w:rsid w:val="00B45C02"/>
    <w:rsid w:val="00B70B63"/>
    <w:rsid w:val="00B723B4"/>
    <w:rsid w:val="00B72A1E"/>
    <w:rsid w:val="00B7670B"/>
    <w:rsid w:val="00B81E12"/>
    <w:rsid w:val="00B86A9B"/>
    <w:rsid w:val="00BA339B"/>
    <w:rsid w:val="00BA603D"/>
    <w:rsid w:val="00BC185B"/>
    <w:rsid w:val="00BC1E7E"/>
    <w:rsid w:val="00BC733C"/>
    <w:rsid w:val="00BC74E9"/>
    <w:rsid w:val="00BD762B"/>
    <w:rsid w:val="00BE08F5"/>
    <w:rsid w:val="00BE36A9"/>
    <w:rsid w:val="00BE618E"/>
    <w:rsid w:val="00BE7BEC"/>
    <w:rsid w:val="00BF0A5A"/>
    <w:rsid w:val="00BF0E63"/>
    <w:rsid w:val="00BF10A2"/>
    <w:rsid w:val="00BF12A3"/>
    <w:rsid w:val="00BF16D7"/>
    <w:rsid w:val="00BF2373"/>
    <w:rsid w:val="00C044E2"/>
    <w:rsid w:val="00C048CB"/>
    <w:rsid w:val="00C066F3"/>
    <w:rsid w:val="00C1696A"/>
    <w:rsid w:val="00C205CD"/>
    <w:rsid w:val="00C274AF"/>
    <w:rsid w:val="00C3082B"/>
    <w:rsid w:val="00C317BC"/>
    <w:rsid w:val="00C34B1B"/>
    <w:rsid w:val="00C463DD"/>
    <w:rsid w:val="00C62218"/>
    <w:rsid w:val="00C63469"/>
    <w:rsid w:val="00C745C3"/>
    <w:rsid w:val="00C90679"/>
    <w:rsid w:val="00CA000A"/>
    <w:rsid w:val="00CA24A4"/>
    <w:rsid w:val="00CB0910"/>
    <w:rsid w:val="00CB1E19"/>
    <w:rsid w:val="00CB348D"/>
    <w:rsid w:val="00CC0513"/>
    <w:rsid w:val="00CC4AFC"/>
    <w:rsid w:val="00CC4B67"/>
    <w:rsid w:val="00CD46F5"/>
    <w:rsid w:val="00CE3284"/>
    <w:rsid w:val="00CE4A8F"/>
    <w:rsid w:val="00CE66EF"/>
    <w:rsid w:val="00CF071D"/>
    <w:rsid w:val="00D03AB1"/>
    <w:rsid w:val="00D122F8"/>
    <w:rsid w:val="00D12B12"/>
    <w:rsid w:val="00D15B04"/>
    <w:rsid w:val="00D2031B"/>
    <w:rsid w:val="00D21267"/>
    <w:rsid w:val="00D22036"/>
    <w:rsid w:val="00D25FE2"/>
    <w:rsid w:val="00D26C27"/>
    <w:rsid w:val="00D34D98"/>
    <w:rsid w:val="00D37DA9"/>
    <w:rsid w:val="00D406A7"/>
    <w:rsid w:val="00D43252"/>
    <w:rsid w:val="00D44D86"/>
    <w:rsid w:val="00D50B7D"/>
    <w:rsid w:val="00D52012"/>
    <w:rsid w:val="00D62407"/>
    <w:rsid w:val="00D704E5"/>
    <w:rsid w:val="00D72727"/>
    <w:rsid w:val="00D8538E"/>
    <w:rsid w:val="00D964E7"/>
    <w:rsid w:val="00D96CE9"/>
    <w:rsid w:val="00D978C6"/>
    <w:rsid w:val="00DA0956"/>
    <w:rsid w:val="00DA357F"/>
    <w:rsid w:val="00DA3E12"/>
    <w:rsid w:val="00DA5C64"/>
    <w:rsid w:val="00DA6CB2"/>
    <w:rsid w:val="00DC18AD"/>
    <w:rsid w:val="00DD0AAA"/>
    <w:rsid w:val="00DE4A62"/>
    <w:rsid w:val="00DE6CB8"/>
    <w:rsid w:val="00DF25FE"/>
    <w:rsid w:val="00DF7CAE"/>
    <w:rsid w:val="00E03240"/>
    <w:rsid w:val="00E108EF"/>
    <w:rsid w:val="00E32AE4"/>
    <w:rsid w:val="00E343A5"/>
    <w:rsid w:val="00E358AB"/>
    <w:rsid w:val="00E375B1"/>
    <w:rsid w:val="00E40FE1"/>
    <w:rsid w:val="00E423C0"/>
    <w:rsid w:val="00E5593D"/>
    <w:rsid w:val="00E6161E"/>
    <w:rsid w:val="00E61D38"/>
    <w:rsid w:val="00E6414C"/>
    <w:rsid w:val="00E7260F"/>
    <w:rsid w:val="00E73601"/>
    <w:rsid w:val="00E7797E"/>
    <w:rsid w:val="00E77ADC"/>
    <w:rsid w:val="00E8702D"/>
    <w:rsid w:val="00E916A9"/>
    <w:rsid w:val="00E916DE"/>
    <w:rsid w:val="00E91AE5"/>
    <w:rsid w:val="00E925AD"/>
    <w:rsid w:val="00E95B7B"/>
    <w:rsid w:val="00E96630"/>
    <w:rsid w:val="00E96E8B"/>
    <w:rsid w:val="00EB363E"/>
    <w:rsid w:val="00EB4B05"/>
    <w:rsid w:val="00EB65FC"/>
    <w:rsid w:val="00EC6140"/>
    <w:rsid w:val="00ED18DC"/>
    <w:rsid w:val="00ED295C"/>
    <w:rsid w:val="00ED58B6"/>
    <w:rsid w:val="00ED6201"/>
    <w:rsid w:val="00ED7A2A"/>
    <w:rsid w:val="00EF1D7F"/>
    <w:rsid w:val="00F0137E"/>
    <w:rsid w:val="00F119D4"/>
    <w:rsid w:val="00F151B6"/>
    <w:rsid w:val="00F21786"/>
    <w:rsid w:val="00F32491"/>
    <w:rsid w:val="00F3742B"/>
    <w:rsid w:val="00F41FDB"/>
    <w:rsid w:val="00F463B4"/>
    <w:rsid w:val="00F55494"/>
    <w:rsid w:val="00F56D63"/>
    <w:rsid w:val="00F609A9"/>
    <w:rsid w:val="00F7497F"/>
    <w:rsid w:val="00F80C99"/>
    <w:rsid w:val="00F81D74"/>
    <w:rsid w:val="00F867EC"/>
    <w:rsid w:val="00F86B9D"/>
    <w:rsid w:val="00F9080C"/>
    <w:rsid w:val="00F91B2B"/>
    <w:rsid w:val="00FA0499"/>
    <w:rsid w:val="00FB30DD"/>
    <w:rsid w:val="00FB40C7"/>
    <w:rsid w:val="00FC03CD"/>
    <w:rsid w:val="00FC0646"/>
    <w:rsid w:val="00FC68B7"/>
    <w:rsid w:val="00FD78C1"/>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ootnote Refernece,Footnote Reference Number,Fußnotenzeichen_Raxen,BVI fnr"/>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Footnote Text Char1, Char, Char Char Char, Char Char Char Char,Note de bas de page2,Текст сноски Знак,footnot"/>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F9080C"/>
    <w:rPr>
      <w:b/>
      <w:sz w:val="24"/>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Char Char, Char Char Char Char1"/>
    <w:link w:val="FootnoteText"/>
    <w:uiPriority w:val="99"/>
    <w:locked/>
    <w:rsid w:val="00F9080C"/>
    <w:rPr>
      <w:sz w:val="18"/>
      <w:lang w:eastAsia="en-US"/>
    </w:rPr>
  </w:style>
  <w:style w:type="character" w:customStyle="1" w:styleId="SingleTxtGChar">
    <w:name w:val="_ Single Txt_G Char"/>
    <w:link w:val="SingleTxtG"/>
    <w:locked/>
    <w:rsid w:val="00F9080C"/>
    <w:rPr>
      <w:lang w:eastAsia="en-US"/>
    </w:rPr>
  </w:style>
  <w:style w:type="paragraph" w:customStyle="1" w:styleId="Default">
    <w:name w:val="Default"/>
    <w:rsid w:val="001B4C13"/>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5976DF"/>
    <w:pPr>
      <w:suppressAutoHyphens w:val="0"/>
      <w:spacing w:before="100" w:beforeAutospacing="1" w:after="100" w:afterAutospacing="1" w:line="240" w:lineRule="auto"/>
    </w:pPr>
    <w:rPr>
      <w:rFonts w:ascii="Verdana" w:hAnsi="Verdana"/>
      <w:color w:val="555555"/>
      <w:sz w:val="17"/>
      <w:szCs w:val="17"/>
      <w:lang w:eastAsia="en-GB"/>
    </w:rPr>
  </w:style>
  <w:style w:type="character" w:styleId="CommentReference">
    <w:name w:val="annotation reference"/>
    <w:rsid w:val="00B86A9B"/>
    <w:rPr>
      <w:sz w:val="16"/>
      <w:szCs w:val="16"/>
    </w:rPr>
  </w:style>
  <w:style w:type="paragraph" w:styleId="CommentText">
    <w:name w:val="annotation text"/>
    <w:basedOn w:val="Normal"/>
    <w:link w:val="CommentTextChar"/>
    <w:rsid w:val="00B86A9B"/>
  </w:style>
  <w:style w:type="character" w:customStyle="1" w:styleId="CommentTextChar">
    <w:name w:val="Comment Text Char"/>
    <w:link w:val="CommentText"/>
    <w:rsid w:val="00B86A9B"/>
    <w:rPr>
      <w:lang w:val="en-GB" w:eastAsia="en-US"/>
    </w:rPr>
  </w:style>
  <w:style w:type="paragraph" w:styleId="CommentSubject">
    <w:name w:val="annotation subject"/>
    <w:basedOn w:val="CommentText"/>
    <w:next w:val="CommentText"/>
    <w:link w:val="CommentSubjectChar"/>
    <w:rsid w:val="00B86A9B"/>
    <w:rPr>
      <w:b/>
      <w:bCs/>
    </w:rPr>
  </w:style>
  <w:style w:type="character" w:customStyle="1" w:styleId="CommentSubjectChar">
    <w:name w:val="Comment Subject Char"/>
    <w:link w:val="CommentSubject"/>
    <w:rsid w:val="00B86A9B"/>
    <w:rPr>
      <w:b/>
      <w:bCs/>
      <w:lang w:val="en-GB" w:eastAsia="en-US"/>
    </w:rPr>
  </w:style>
  <w:style w:type="paragraph" w:styleId="BalloonText">
    <w:name w:val="Balloon Text"/>
    <w:basedOn w:val="Normal"/>
    <w:link w:val="BalloonTextChar"/>
    <w:rsid w:val="00B86A9B"/>
    <w:pPr>
      <w:spacing w:line="240" w:lineRule="auto"/>
    </w:pPr>
    <w:rPr>
      <w:rFonts w:ascii="Tahoma" w:hAnsi="Tahoma"/>
      <w:sz w:val="16"/>
      <w:szCs w:val="16"/>
    </w:rPr>
  </w:style>
  <w:style w:type="character" w:customStyle="1" w:styleId="BalloonTextChar">
    <w:name w:val="Balloon Text Char"/>
    <w:link w:val="BalloonText"/>
    <w:rsid w:val="00B86A9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452290731">
      <w:bodyDiv w:val="1"/>
      <w:marLeft w:val="0"/>
      <w:marRight w:val="0"/>
      <w:marTop w:val="0"/>
      <w:marBottom w:val="0"/>
      <w:divBdr>
        <w:top w:val="none" w:sz="0" w:space="0" w:color="auto"/>
        <w:left w:val="none" w:sz="0" w:space="0" w:color="auto"/>
        <w:bottom w:val="none" w:sz="0" w:space="0" w:color="auto"/>
        <w:right w:val="none" w:sz="0" w:space="0" w:color="auto"/>
      </w:divBdr>
    </w:div>
    <w:div w:id="748771523">
      <w:bodyDiv w:val="1"/>
      <w:marLeft w:val="0"/>
      <w:marRight w:val="0"/>
      <w:marTop w:val="0"/>
      <w:marBottom w:val="0"/>
      <w:divBdr>
        <w:top w:val="none" w:sz="0" w:space="0" w:color="auto"/>
        <w:left w:val="none" w:sz="0" w:space="0" w:color="auto"/>
        <w:bottom w:val="none" w:sz="0" w:space="0" w:color="auto"/>
        <w:right w:val="none" w:sz="0" w:space="0" w:color="auto"/>
      </w:divBdr>
    </w:div>
    <w:div w:id="1034617892">
      <w:bodyDiv w:val="1"/>
      <w:marLeft w:val="0"/>
      <w:marRight w:val="0"/>
      <w:marTop w:val="0"/>
      <w:marBottom w:val="0"/>
      <w:divBdr>
        <w:top w:val="none" w:sz="0" w:space="0" w:color="auto"/>
        <w:left w:val="none" w:sz="0" w:space="0" w:color="auto"/>
        <w:bottom w:val="none" w:sz="0" w:space="0" w:color="auto"/>
        <w:right w:val="none" w:sz="0" w:space="0" w:color="auto"/>
      </w:divBdr>
    </w:div>
    <w:div w:id="1967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Pages>
  <Words>3995</Words>
  <Characters>21614</Characters>
  <Application>Microsoft Office Outlook</Application>
  <DocSecurity>4</DocSecurity>
  <Lines>337</Lines>
  <Paragraphs>99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2013-06-10T07:37:00Z</cp:lastPrinted>
  <dcterms:created xsi:type="dcterms:W3CDTF">2013-06-11T14:07:00Z</dcterms:created>
  <dcterms:modified xsi:type="dcterms:W3CDTF">2013-06-11T14:07:00Z</dcterms:modified>
</cp:coreProperties>
</file>