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14:paraId="01C20E84" w14:textId="77777777" w:rsidTr="00EE2AFF">
        <w:trPr>
          <w:trHeight w:hRule="exact" w:val="851"/>
        </w:trPr>
        <w:tc>
          <w:tcPr>
            <w:tcW w:w="1274" w:type="dxa"/>
            <w:tcBorders>
              <w:bottom w:val="single" w:sz="4" w:space="0" w:color="auto"/>
            </w:tcBorders>
          </w:tcPr>
          <w:p w14:paraId="2FE67281" w14:textId="77777777" w:rsidR="006B3E27" w:rsidRPr="00236F77" w:rsidRDefault="006B3E27" w:rsidP="00A26CAC">
            <w:pPr>
              <w:pStyle w:val="H4GA"/>
              <w:kinsoku w:val="0"/>
              <w:overflowPunct w:val="0"/>
              <w:autoSpaceDE w:val="0"/>
              <w:autoSpaceDN w:val="0"/>
              <w:adjustRightInd w:val="0"/>
              <w:snapToGrid w:val="0"/>
              <w:rPr>
                <w:rFonts w:asciiTheme="minorHAnsi" w:hAnsiTheme="minorHAnsi" w:hint="cs"/>
                <w:rtl/>
                <w:lang w:val="en-US"/>
              </w:rPr>
            </w:pPr>
          </w:p>
        </w:tc>
        <w:tc>
          <w:tcPr>
            <w:tcW w:w="4963" w:type="dxa"/>
            <w:tcBorders>
              <w:bottom w:val="single" w:sz="4" w:space="0" w:color="auto"/>
            </w:tcBorders>
            <w:vAlign w:val="bottom"/>
          </w:tcPr>
          <w:p w14:paraId="36C39496" w14:textId="77777777" w:rsidR="006B3E27" w:rsidRPr="009E0EDE" w:rsidRDefault="006B3E27" w:rsidP="009E0EDE">
            <w:pPr>
              <w:spacing w:after="80" w:line="480" w:lineRule="exact"/>
              <w:ind w:left="57"/>
              <w:jc w:val="left"/>
              <w:rPr>
                <w:sz w:val="30"/>
                <w:szCs w:val="30"/>
                <w:rtl/>
              </w:rPr>
            </w:pPr>
            <w:r w:rsidRPr="009E0EDE">
              <w:rPr>
                <w:rFonts w:hint="cs"/>
                <w:sz w:val="30"/>
                <w:szCs w:val="30"/>
                <w:rtl/>
              </w:rPr>
              <w:t>الأمم المتحدة</w:t>
            </w:r>
          </w:p>
        </w:tc>
        <w:tc>
          <w:tcPr>
            <w:tcW w:w="3402" w:type="dxa"/>
            <w:tcBorders>
              <w:bottom w:val="single" w:sz="4" w:space="0" w:color="auto"/>
            </w:tcBorders>
            <w:vAlign w:val="bottom"/>
          </w:tcPr>
          <w:p w14:paraId="0828012F" w14:textId="21C4BEFA" w:rsidR="006B3E27" w:rsidRPr="005F15D7" w:rsidRDefault="005F15D7" w:rsidP="005F15D7">
            <w:pPr>
              <w:bidi w:val="0"/>
              <w:jc w:val="left"/>
            </w:pPr>
            <w:r w:rsidRPr="005F15D7">
              <w:rPr>
                <w:sz w:val="40"/>
              </w:rPr>
              <w:t>E</w:t>
            </w:r>
            <w:r>
              <w:t>/C.</w:t>
            </w:r>
            <w:r w:rsidRPr="00236F77">
              <w:t>12</w:t>
            </w:r>
            <w:r>
              <w:t>/BIH/CO/</w:t>
            </w:r>
            <w:r w:rsidRPr="00236F77">
              <w:t>3</w:t>
            </w:r>
          </w:p>
        </w:tc>
      </w:tr>
      <w:tr w:rsidR="006B3E27" w:rsidRPr="00ED7442" w14:paraId="1B2241E5" w14:textId="77777777" w:rsidTr="00EE2AFF">
        <w:trPr>
          <w:trHeight w:hRule="exact" w:val="2835"/>
        </w:trPr>
        <w:tc>
          <w:tcPr>
            <w:tcW w:w="1274" w:type="dxa"/>
            <w:tcBorders>
              <w:top w:val="single" w:sz="4" w:space="0" w:color="auto"/>
              <w:bottom w:val="single" w:sz="12" w:space="0" w:color="auto"/>
            </w:tcBorders>
          </w:tcPr>
          <w:p w14:paraId="0CB39867" w14:textId="77777777" w:rsidR="006B3E27" w:rsidRPr="00ED7442" w:rsidRDefault="0059622A" w:rsidP="00EE2AFF">
            <w:pPr>
              <w:jc w:val="center"/>
              <w:rPr>
                <w:sz w:val="56"/>
                <w:szCs w:val="56"/>
                <w:rtl/>
              </w:rPr>
            </w:pPr>
            <w:r w:rsidRPr="00ED7442">
              <w:rPr>
                <w:noProof/>
                <w:sz w:val="56"/>
                <w:szCs w:val="56"/>
              </w:rPr>
              <w:drawing>
                <wp:inline distT="0" distB="0" distL="0" distR="0" wp14:anchorId="0D10EAA8" wp14:editId="5D06F7A3">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14:paraId="60EA4E9B" w14:textId="77777777" w:rsidR="006B3E27" w:rsidRPr="00236F77" w:rsidRDefault="00606EDF" w:rsidP="009E0EDE">
            <w:pPr>
              <w:spacing w:before="120" w:after="40" w:line="640" w:lineRule="exact"/>
              <w:ind w:left="57"/>
              <w:jc w:val="left"/>
              <w:rPr>
                <w:rFonts w:ascii="Times New Roman Bold" w:hAnsi="Times New Roman Bold" w:hint="eastAsia"/>
                <w:b/>
                <w:bCs/>
                <w:spacing w:val="-4"/>
                <w:sz w:val="48"/>
                <w:szCs w:val="48"/>
              </w:rPr>
            </w:pPr>
            <w:r w:rsidRPr="00236F77">
              <w:rPr>
                <w:rFonts w:ascii="Times New Roman Bold" w:hAnsi="Times New Roman Bold" w:hint="cs"/>
                <w:b/>
                <w:bCs/>
                <w:spacing w:val="-4"/>
                <w:sz w:val="48"/>
                <w:szCs w:val="48"/>
                <w:rtl/>
              </w:rPr>
              <w:t>ا</w:t>
            </w:r>
            <w:r w:rsidR="008930DB" w:rsidRPr="00236F77">
              <w:rPr>
                <w:rFonts w:ascii="Times New Roman Bold" w:hAnsi="Times New Roman Bold" w:hint="cs"/>
                <w:b/>
                <w:bCs/>
                <w:spacing w:val="-4"/>
                <w:sz w:val="48"/>
                <w:szCs w:val="48"/>
                <w:rtl/>
              </w:rPr>
              <w:t>لمجلس الاقتصادي والاجتماعي</w:t>
            </w:r>
          </w:p>
        </w:tc>
        <w:tc>
          <w:tcPr>
            <w:tcW w:w="3402" w:type="dxa"/>
            <w:tcBorders>
              <w:top w:val="single" w:sz="4" w:space="0" w:color="auto"/>
              <w:bottom w:val="single" w:sz="12" w:space="0" w:color="auto"/>
            </w:tcBorders>
          </w:tcPr>
          <w:p w14:paraId="34AAD2E5" w14:textId="77777777" w:rsidR="007E78CF" w:rsidRPr="007E78CF" w:rsidRDefault="007E78CF" w:rsidP="007E78CF">
            <w:pPr>
              <w:suppressAutoHyphens/>
              <w:bidi w:val="0"/>
              <w:spacing w:before="240"/>
              <w:jc w:val="left"/>
              <w:rPr>
                <w:rFonts w:eastAsia="Times New Roman" w:cs="Times New Roman"/>
                <w:lang w:val="en-GB"/>
              </w:rPr>
            </w:pPr>
            <w:r w:rsidRPr="007E78CF">
              <w:rPr>
                <w:rFonts w:eastAsia="Times New Roman" w:cs="Times New Roman"/>
                <w:lang w:val="en-GB"/>
              </w:rPr>
              <w:t>Distr.: General</w:t>
            </w:r>
          </w:p>
          <w:p w14:paraId="186959AF" w14:textId="77777777" w:rsidR="007E78CF" w:rsidRPr="007E78CF" w:rsidRDefault="007E78CF" w:rsidP="007E78CF">
            <w:pPr>
              <w:bidi w:val="0"/>
              <w:jc w:val="left"/>
              <w:rPr>
                <w:rFonts w:eastAsia="Times New Roman" w:cs="Times New Roman"/>
                <w:lang w:val="en-GB"/>
              </w:rPr>
            </w:pPr>
            <w:r w:rsidRPr="00236F77">
              <w:rPr>
                <w:rFonts w:eastAsia="Times New Roman" w:cs="Times New Roman"/>
                <w:lang w:val="en-GB"/>
              </w:rPr>
              <w:t>11</w:t>
            </w:r>
            <w:r w:rsidRPr="007E78CF">
              <w:rPr>
                <w:rFonts w:eastAsia="Times New Roman" w:cs="Times New Roman"/>
                <w:lang w:val="en-GB"/>
              </w:rPr>
              <w:t xml:space="preserve"> November </w:t>
            </w:r>
            <w:r w:rsidRPr="00236F77">
              <w:rPr>
                <w:rFonts w:eastAsia="Times New Roman" w:cs="Times New Roman"/>
                <w:lang w:val="en-GB"/>
              </w:rPr>
              <w:t>2021</w:t>
            </w:r>
          </w:p>
          <w:p w14:paraId="1CA254C9" w14:textId="5125D33F" w:rsidR="007E78CF" w:rsidRPr="007E78CF" w:rsidRDefault="007E78CF" w:rsidP="007E78CF">
            <w:pPr>
              <w:bidi w:val="0"/>
              <w:jc w:val="left"/>
              <w:rPr>
                <w:rFonts w:eastAsia="Times New Roman" w:cs="Times New Roman"/>
                <w:lang w:val="en-GB"/>
              </w:rPr>
            </w:pPr>
            <w:r>
              <w:rPr>
                <w:rFonts w:eastAsia="Times New Roman" w:cs="Times New Roman"/>
                <w:lang w:val="en-GB"/>
              </w:rPr>
              <w:t>Arabic</w:t>
            </w:r>
          </w:p>
          <w:p w14:paraId="17D68112" w14:textId="1A9B5E11" w:rsidR="005F15D7" w:rsidRPr="007E78CF" w:rsidRDefault="007E78CF" w:rsidP="007E78CF">
            <w:pPr>
              <w:bidi w:val="0"/>
              <w:spacing w:line="240" w:lineRule="exact"/>
              <w:jc w:val="left"/>
              <w:rPr>
                <w:lang w:val="en-GB"/>
              </w:rPr>
            </w:pPr>
            <w:r w:rsidRPr="007E78CF">
              <w:rPr>
                <w:rFonts w:eastAsia="Times New Roman" w:cs="Times New Roman"/>
                <w:lang w:val="en-GB" w:eastAsia="en-US"/>
              </w:rPr>
              <w:t>Original: English</w:t>
            </w:r>
          </w:p>
        </w:tc>
      </w:tr>
    </w:tbl>
    <w:p w14:paraId="1B39574C" w14:textId="77777777" w:rsidR="00AA0AD5" w:rsidRPr="00236F77" w:rsidRDefault="00AA0AD5" w:rsidP="007E78CF">
      <w:pPr>
        <w:pStyle w:val="SingleTxtGA"/>
        <w:spacing w:before="120"/>
        <w:ind w:left="0"/>
        <w:rPr>
          <w:b/>
          <w:bCs/>
          <w:sz w:val="26"/>
          <w:szCs w:val="26"/>
          <w:lang w:val="en-US"/>
        </w:rPr>
      </w:pPr>
      <w:r w:rsidRPr="00236F77">
        <w:rPr>
          <w:b/>
          <w:bCs/>
          <w:sz w:val="26"/>
          <w:szCs w:val="26"/>
          <w:rtl/>
          <w:lang w:val="en-US"/>
        </w:rPr>
        <w:t>اللجنة المعنية بالحقوق الاقتصادية والاجتماعية والثقافية</w:t>
      </w:r>
    </w:p>
    <w:p w14:paraId="01D6C412" w14:textId="6D800DD4" w:rsidR="00AA0AD5" w:rsidRPr="00236F77" w:rsidRDefault="00AA0AD5" w:rsidP="007E78CF">
      <w:pPr>
        <w:pStyle w:val="HChGA"/>
      </w:pPr>
      <w:r w:rsidRPr="00236F77">
        <w:rPr>
          <w:rtl/>
        </w:rPr>
        <w:tab/>
      </w:r>
      <w:r w:rsidRPr="00236F77">
        <w:rPr>
          <w:rtl/>
        </w:rPr>
        <w:tab/>
        <w:t>الملاحظات الختامية بشأن التقرير الدوري الثالث للبوسنة والهرسك</w:t>
      </w:r>
      <w:r w:rsidR="007E78CF" w:rsidRPr="00236F77">
        <w:rPr>
          <w:rStyle w:val="FootnoteReference"/>
          <w:sz w:val="22"/>
          <w:szCs w:val="22"/>
          <w:vertAlign w:val="baseline"/>
          <w:rtl/>
        </w:rPr>
        <w:footnoteReference w:customMarkFollows="1" w:id="1"/>
        <w:t>*</w:t>
      </w:r>
    </w:p>
    <w:p w14:paraId="272CA8A1" w14:textId="4FD17377" w:rsidR="007E78CF" w:rsidRPr="00AA0AD5" w:rsidRDefault="00AA0AD5" w:rsidP="00AA0AD5">
      <w:pPr>
        <w:pStyle w:val="SingleTxtGA"/>
        <w:rPr>
          <w:lang w:val="en-US"/>
        </w:rPr>
      </w:pPr>
      <w:r w:rsidRPr="00236F77">
        <w:rPr>
          <w:rtl/>
          <w:lang w:val="en-US"/>
        </w:rPr>
        <w:t>1</w:t>
      </w:r>
      <w:r w:rsidRPr="00AA0AD5">
        <w:rPr>
          <w:rtl/>
          <w:lang w:val="en-US"/>
        </w:rPr>
        <w:t>-</w:t>
      </w:r>
      <w:r w:rsidRPr="00AA0AD5">
        <w:rPr>
          <w:rtl/>
          <w:lang w:val="en-US"/>
        </w:rPr>
        <w:tab/>
        <w:t xml:space="preserve">نظرت اللجنة في التقرير الدوري الثالث للبوسنة </w:t>
      </w:r>
      <w:proofErr w:type="gramStart"/>
      <w:r w:rsidRPr="00AA0AD5">
        <w:rPr>
          <w:rtl/>
          <w:lang w:val="en-US"/>
        </w:rPr>
        <w:t>والهرسك</w:t>
      </w:r>
      <w:r w:rsidRPr="007E78CF">
        <w:rPr>
          <w:vertAlign w:val="superscript"/>
          <w:rtl/>
          <w:lang w:val="en-US"/>
        </w:rPr>
        <w:t>(</w:t>
      </w:r>
      <w:proofErr w:type="gramEnd"/>
      <w:r w:rsidR="007E78CF" w:rsidRPr="00236F77">
        <w:rPr>
          <w:rStyle w:val="FootnoteReference"/>
          <w:szCs w:val="22"/>
          <w:lang w:val="en-US"/>
        </w:rPr>
        <w:footnoteReference w:id="2"/>
      </w:r>
      <w:r w:rsidR="007E78CF" w:rsidRPr="007E78CF">
        <w:rPr>
          <w:vertAlign w:val="superscript"/>
          <w:rtl/>
          <w:lang w:val="en-US"/>
        </w:rPr>
        <w:t>)</w:t>
      </w:r>
      <w:r w:rsidR="007E78CF" w:rsidRPr="00AA0AD5">
        <w:rPr>
          <w:rtl/>
          <w:lang w:val="en-US"/>
        </w:rPr>
        <w:t xml:space="preserve"> في جلستيها </w:t>
      </w:r>
      <w:r w:rsidR="007E78CF" w:rsidRPr="00236F77">
        <w:rPr>
          <w:rtl/>
          <w:lang w:val="en-US"/>
        </w:rPr>
        <w:t>35</w:t>
      </w:r>
      <w:r w:rsidR="007E78CF" w:rsidRPr="00AA0AD5">
        <w:rPr>
          <w:rtl/>
          <w:lang w:val="en-US"/>
        </w:rPr>
        <w:t xml:space="preserve"> و</w:t>
      </w:r>
      <w:r w:rsidR="007E78CF" w:rsidRPr="00236F77">
        <w:rPr>
          <w:rtl/>
          <w:lang w:val="en-US"/>
        </w:rPr>
        <w:t>37</w:t>
      </w:r>
      <w:r w:rsidR="007E78CF" w:rsidRPr="007E78CF">
        <w:rPr>
          <w:vertAlign w:val="superscript"/>
          <w:rtl/>
          <w:lang w:val="en-US"/>
        </w:rPr>
        <w:t>(</w:t>
      </w:r>
      <w:r w:rsidR="007E78CF" w:rsidRPr="00236F77">
        <w:rPr>
          <w:rStyle w:val="FootnoteReference"/>
          <w:szCs w:val="22"/>
          <w:lang w:val="en-US"/>
        </w:rPr>
        <w:footnoteReference w:id="3"/>
      </w:r>
      <w:r w:rsidR="007E78CF" w:rsidRPr="007E78CF">
        <w:rPr>
          <w:vertAlign w:val="superscript"/>
          <w:rtl/>
          <w:lang w:val="en-US"/>
        </w:rPr>
        <w:t>)</w:t>
      </w:r>
      <w:r w:rsidR="007E78CF" w:rsidRPr="00AA0AD5">
        <w:rPr>
          <w:rtl/>
          <w:lang w:val="en-US"/>
        </w:rPr>
        <w:t xml:space="preserve">، المعقودتين في </w:t>
      </w:r>
      <w:r w:rsidR="007E78CF" w:rsidRPr="00236F77">
        <w:rPr>
          <w:rtl/>
          <w:lang w:val="en-US"/>
        </w:rPr>
        <w:t>30</w:t>
      </w:r>
      <w:r w:rsidR="007E78CF" w:rsidRPr="00AA0AD5">
        <w:rPr>
          <w:rtl/>
          <w:lang w:val="en-US"/>
        </w:rPr>
        <w:t xml:space="preserve"> أيلول/سبتم</w:t>
      </w:r>
      <w:r w:rsidR="007E78CF">
        <w:rPr>
          <w:rFonts w:hint="cs"/>
          <w:rtl/>
          <w:lang w:val="en-US"/>
        </w:rPr>
        <w:t>ب</w:t>
      </w:r>
      <w:r w:rsidR="007E78CF" w:rsidRPr="00AA0AD5">
        <w:rPr>
          <w:rtl/>
          <w:lang w:val="en-US"/>
        </w:rPr>
        <w:t>ر و</w:t>
      </w:r>
      <w:r w:rsidR="007E78CF" w:rsidRPr="00236F77">
        <w:rPr>
          <w:rtl/>
          <w:lang w:val="en-US"/>
        </w:rPr>
        <w:t>1</w:t>
      </w:r>
      <w:r w:rsidR="007E78CF" w:rsidRPr="00AA0AD5">
        <w:rPr>
          <w:rtl/>
          <w:lang w:val="en-US"/>
        </w:rPr>
        <w:t xml:space="preserve"> تشرين الأول/أكتوبر </w:t>
      </w:r>
      <w:r w:rsidR="007E78CF" w:rsidRPr="00236F77">
        <w:rPr>
          <w:rtl/>
          <w:lang w:val="en-US"/>
        </w:rPr>
        <w:t>2021</w:t>
      </w:r>
      <w:r w:rsidR="007E78CF" w:rsidRPr="00AA0AD5">
        <w:rPr>
          <w:rtl/>
          <w:lang w:val="en-US"/>
        </w:rPr>
        <w:t xml:space="preserve">، واعتمدت في جلستها </w:t>
      </w:r>
      <w:r w:rsidR="007E78CF" w:rsidRPr="00236F77">
        <w:rPr>
          <w:rtl/>
          <w:lang w:val="en-US"/>
        </w:rPr>
        <w:t>57</w:t>
      </w:r>
      <w:r w:rsidR="007E78CF" w:rsidRPr="00AA0AD5">
        <w:rPr>
          <w:rtl/>
          <w:lang w:val="en-US"/>
        </w:rPr>
        <w:t xml:space="preserve">، المعقودة في </w:t>
      </w:r>
      <w:r w:rsidR="007E78CF" w:rsidRPr="00236F77">
        <w:rPr>
          <w:rtl/>
          <w:lang w:val="en-US"/>
        </w:rPr>
        <w:t>15</w:t>
      </w:r>
      <w:r w:rsidR="007E78CF" w:rsidRPr="00AA0AD5">
        <w:rPr>
          <w:rtl/>
          <w:lang w:val="en-US"/>
        </w:rPr>
        <w:t xml:space="preserve"> تشرين الأول/أكتوبر </w:t>
      </w:r>
      <w:r w:rsidR="007E78CF" w:rsidRPr="00236F77">
        <w:rPr>
          <w:rtl/>
          <w:lang w:val="en-US"/>
        </w:rPr>
        <w:t>2021</w:t>
      </w:r>
      <w:r w:rsidR="007E78CF" w:rsidRPr="00AA0AD5">
        <w:rPr>
          <w:rtl/>
          <w:lang w:val="en-US"/>
        </w:rPr>
        <w:t xml:space="preserve">، هذه الملاحظات الختامية. </w:t>
      </w:r>
    </w:p>
    <w:p w14:paraId="774DE3E8" w14:textId="15E3BF3F" w:rsidR="007E78CF" w:rsidRPr="00AA0AD5" w:rsidRDefault="007E78CF" w:rsidP="007E78CF">
      <w:pPr>
        <w:pStyle w:val="H1GA"/>
      </w:pPr>
      <w:r>
        <w:rPr>
          <w:rtl/>
        </w:rPr>
        <w:tab/>
      </w:r>
      <w:r w:rsidRPr="00AA0AD5">
        <w:rPr>
          <w:rtl/>
        </w:rPr>
        <w:t>ألف-</w:t>
      </w:r>
      <w:r w:rsidRPr="00AA0AD5">
        <w:rPr>
          <w:rtl/>
        </w:rPr>
        <w:tab/>
        <w:t>مقدمة</w:t>
      </w:r>
    </w:p>
    <w:p w14:paraId="022D2DB3" w14:textId="3EE55A79" w:rsidR="007E78CF" w:rsidRPr="00EB2635" w:rsidRDefault="007E78CF" w:rsidP="00AA0AD5">
      <w:pPr>
        <w:pStyle w:val="SingleTxtGA"/>
        <w:rPr>
          <w:lang w:val="en-US"/>
        </w:rPr>
      </w:pPr>
      <w:r w:rsidRPr="00236F77">
        <w:rPr>
          <w:rtl/>
          <w:lang w:val="en-US"/>
        </w:rPr>
        <w:t>2</w:t>
      </w:r>
      <w:r w:rsidRPr="00AA0AD5">
        <w:rPr>
          <w:rtl/>
          <w:lang w:val="en-US"/>
        </w:rPr>
        <w:t>-</w:t>
      </w:r>
      <w:r w:rsidRPr="00AA0AD5">
        <w:rPr>
          <w:rtl/>
          <w:lang w:val="en-US"/>
        </w:rPr>
        <w:tab/>
      </w:r>
      <w:r w:rsidRPr="00EB2635">
        <w:rPr>
          <w:spacing w:val="-4"/>
          <w:rtl/>
          <w:lang w:val="en-US"/>
        </w:rPr>
        <w:t xml:space="preserve">تُرحِّب اللجنة بتقديم الدولة الطرف تقريرها الدوري الثالث، وبما قدمته من معلومات إضافية في ردودها </w:t>
      </w:r>
      <w:r w:rsidRPr="00EB2635">
        <w:rPr>
          <w:rtl/>
          <w:lang w:val="en-US"/>
        </w:rPr>
        <w:t xml:space="preserve">على قائمة </w:t>
      </w:r>
      <w:proofErr w:type="gramStart"/>
      <w:r w:rsidRPr="00EB2635">
        <w:rPr>
          <w:rtl/>
          <w:lang w:val="en-US"/>
        </w:rPr>
        <w:t>المسائل</w:t>
      </w:r>
      <w:r w:rsidRPr="00EB2635">
        <w:rPr>
          <w:vertAlign w:val="superscript"/>
          <w:rtl/>
          <w:lang w:val="en-US"/>
        </w:rPr>
        <w:t>(</w:t>
      </w:r>
      <w:proofErr w:type="gramEnd"/>
      <w:r w:rsidRPr="00236F77">
        <w:rPr>
          <w:rStyle w:val="FootnoteReference"/>
          <w:szCs w:val="22"/>
          <w:lang w:val="en-US"/>
        </w:rPr>
        <w:footnoteReference w:id="4"/>
      </w:r>
      <w:r w:rsidRPr="00EB2635">
        <w:rPr>
          <w:vertAlign w:val="superscript"/>
          <w:rtl/>
          <w:lang w:val="en-US"/>
        </w:rPr>
        <w:t>)</w:t>
      </w:r>
      <w:r w:rsidRPr="00EB2635">
        <w:rPr>
          <w:rtl/>
          <w:lang w:val="en-US"/>
        </w:rPr>
        <w:t>. وتعرب اللجنة عن تقديرها أيضاً للحوار البناء مع الوفد الوزاري للدولة الطرف.</w:t>
      </w:r>
    </w:p>
    <w:p w14:paraId="1A3EED98" w14:textId="5D2CA0D6" w:rsidR="007E78CF" w:rsidRPr="00AA0AD5" w:rsidRDefault="007E78CF" w:rsidP="007E78CF">
      <w:pPr>
        <w:pStyle w:val="H1GA"/>
      </w:pPr>
      <w:r>
        <w:rPr>
          <w:rtl/>
        </w:rPr>
        <w:tab/>
      </w:r>
      <w:r w:rsidRPr="00AA0AD5">
        <w:rPr>
          <w:rtl/>
        </w:rPr>
        <w:t>باء-</w:t>
      </w:r>
      <w:r w:rsidRPr="00AA0AD5">
        <w:rPr>
          <w:rtl/>
        </w:rPr>
        <w:tab/>
        <w:t>الجوانب الإيجابية</w:t>
      </w:r>
    </w:p>
    <w:p w14:paraId="7B2D9139" w14:textId="12F12FAE" w:rsidR="007E78CF" w:rsidRPr="00AA0AD5" w:rsidRDefault="007E78CF" w:rsidP="00AA0AD5">
      <w:pPr>
        <w:pStyle w:val="SingleTxtGA"/>
        <w:rPr>
          <w:rtl/>
          <w:lang w:val="en-US"/>
        </w:rPr>
      </w:pPr>
      <w:r w:rsidRPr="00236F77">
        <w:rPr>
          <w:rtl/>
          <w:lang w:val="en-US"/>
        </w:rPr>
        <w:t>3</w:t>
      </w:r>
      <w:r w:rsidRPr="00AA0AD5">
        <w:rPr>
          <w:rtl/>
          <w:lang w:val="en-US"/>
        </w:rPr>
        <w:t>-</w:t>
      </w:r>
      <w:r w:rsidRPr="00AA0AD5">
        <w:rPr>
          <w:rtl/>
          <w:lang w:val="en-US"/>
        </w:rPr>
        <w:tab/>
      </w:r>
      <w:r w:rsidRPr="00EB2635">
        <w:rPr>
          <w:spacing w:val="-2"/>
          <w:rtl/>
          <w:lang w:val="en-US"/>
        </w:rPr>
        <w:t xml:space="preserve">ترحب اللجنة بالتدابير التشريعية والمؤسسية </w:t>
      </w:r>
      <w:proofErr w:type="spellStart"/>
      <w:r w:rsidRPr="00EB2635">
        <w:rPr>
          <w:spacing w:val="-2"/>
          <w:rtl/>
          <w:lang w:val="en-US"/>
        </w:rPr>
        <w:t>والسياساتية</w:t>
      </w:r>
      <w:proofErr w:type="spellEnd"/>
      <w:r w:rsidRPr="00EB2635">
        <w:rPr>
          <w:spacing w:val="-2"/>
          <w:rtl/>
          <w:lang w:val="en-US"/>
        </w:rPr>
        <w:t xml:space="preserve"> المتخذة لضمان حماية الحقوق الاقتصادية</w:t>
      </w:r>
      <w:r w:rsidRPr="00AA0AD5">
        <w:rPr>
          <w:rtl/>
          <w:lang w:val="en-US"/>
        </w:rPr>
        <w:t xml:space="preserve"> والاجتماعية والثقافية في الدولة الطرف، مثل اعتماد تعديلات على قانون حظر التمييز، وقانون اللجوء، وقانون الأجانب، وجميعها في عام </w:t>
      </w:r>
      <w:r w:rsidRPr="00236F77">
        <w:rPr>
          <w:rtl/>
          <w:lang w:val="en-US"/>
        </w:rPr>
        <w:t>2016</w:t>
      </w:r>
      <w:r w:rsidRPr="00AA0AD5">
        <w:rPr>
          <w:rtl/>
          <w:lang w:val="en-US"/>
        </w:rPr>
        <w:t xml:space="preserve">، والتدابير المذكورة في هذه الملاحظات الختامية. </w:t>
      </w:r>
    </w:p>
    <w:p w14:paraId="1E29209C" w14:textId="22A220B9" w:rsidR="007E78CF" w:rsidRPr="00AA0AD5" w:rsidRDefault="007E78CF" w:rsidP="007E78CF">
      <w:pPr>
        <w:pStyle w:val="H1GA"/>
      </w:pPr>
      <w:r>
        <w:rPr>
          <w:rtl/>
        </w:rPr>
        <w:tab/>
      </w:r>
      <w:r w:rsidRPr="00AA0AD5">
        <w:rPr>
          <w:rtl/>
        </w:rPr>
        <w:t>جيم-</w:t>
      </w:r>
      <w:r w:rsidRPr="00AA0AD5">
        <w:rPr>
          <w:rtl/>
        </w:rPr>
        <w:tab/>
        <w:t>دواعي القلق الرئيسية والتوصيات</w:t>
      </w:r>
    </w:p>
    <w:p w14:paraId="2AD4BF8A" w14:textId="77777777" w:rsidR="007E78CF" w:rsidRPr="00AA0AD5" w:rsidRDefault="007E78CF" w:rsidP="007E78CF">
      <w:pPr>
        <w:pStyle w:val="H23GA"/>
      </w:pPr>
      <w:r w:rsidRPr="00AA0AD5">
        <w:rPr>
          <w:rtl/>
        </w:rPr>
        <w:tab/>
      </w:r>
      <w:r w:rsidRPr="00AA0AD5">
        <w:rPr>
          <w:rtl/>
        </w:rPr>
        <w:tab/>
        <w:t>التطبيق المحلي للعهد</w:t>
      </w:r>
    </w:p>
    <w:p w14:paraId="3EC4D3D2" w14:textId="7D12A53A" w:rsidR="007E78CF" w:rsidRPr="00AA0AD5" w:rsidRDefault="007E78CF" w:rsidP="00AA0AD5">
      <w:pPr>
        <w:pStyle w:val="SingleTxtGA"/>
        <w:rPr>
          <w:lang w:val="en-US"/>
        </w:rPr>
      </w:pPr>
      <w:r w:rsidRPr="00236F77">
        <w:rPr>
          <w:rtl/>
          <w:lang w:val="en-US"/>
        </w:rPr>
        <w:t>4</w:t>
      </w:r>
      <w:r w:rsidRPr="00AA0AD5">
        <w:rPr>
          <w:rtl/>
          <w:lang w:val="en-US"/>
        </w:rPr>
        <w:t>-</w:t>
      </w:r>
      <w:r w:rsidRPr="00AA0AD5">
        <w:rPr>
          <w:rtl/>
          <w:lang w:val="en-US"/>
        </w:rPr>
        <w:tab/>
        <w:t xml:space="preserve">يساور اللجنة القلق لكون الحقوق المنصوص عليها في العهد غير مدرجة بالكامل في القانون المحلي، ولكون الحقوق الاقتصادية والاجتماعية والثقافية لا تتمتع بنفس الرتبة الدستورية التي تتمتع بها الحقوق المدنية والسياسية. كما يساورها القلق إزاء عدم توفر معلومات عن القرارات التي تتخذها المحاكم المحلية التي تستند إلى العهد. ويساورها القلق كذلك إزاء عدم وجود تدريب متخصص على أحكام العهد وإمكانية التقاضي بموجبه في أوساط القضاة والمدعين العامين والمحامين (المادة </w:t>
      </w:r>
      <w:r w:rsidRPr="00236F77">
        <w:rPr>
          <w:rtl/>
          <w:lang w:val="en-US"/>
        </w:rPr>
        <w:t>2</w:t>
      </w:r>
      <w:r w:rsidRPr="00AA0AD5">
        <w:rPr>
          <w:rtl/>
          <w:lang w:val="en-US"/>
        </w:rPr>
        <w:t>(</w:t>
      </w:r>
      <w:r w:rsidRPr="00236F77">
        <w:rPr>
          <w:rtl/>
          <w:lang w:val="en-US"/>
        </w:rPr>
        <w:t>1</w:t>
      </w:r>
      <w:r w:rsidRPr="00AA0AD5">
        <w:rPr>
          <w:rtl/>
          <w:lang w:val="en-US"/>
        </w:rPr>
        <w:t xml:space="preserve">)). </w:t>
      </w:r>
    </w:p>
    <w:p w14:paraId="1FFEEC18" w14:textId="77777777" w:rsidR="007E78CF" w:rsidRPr="00EB2635" w:rsidRDefault="007E78CF" w:rsidP="00EB2635">
      <w:pPr>
        <w:pStyle w:val="SingleTxtGA"/>
        <w:spacing w:line="350" w:lineRule="exact"/>
        <w:rPr>
          <w:b/>
          <w:bCs/>
          <w:lang w:val="en-US"/>
        </w:rPr>
      </w:pPr>
      <w:r w:rsidRPr="00236F77">
        <w:rPr>
          <w:rtl/>
          <w:lang w:val="en-US"/>
        </w:rPr>
        <w:lastRenderedPageBreak/>
        <w:t>5</w:t>
      </w:r>
      <w:r w:rsidRPr="00AA0AD5">
        <w:rPr>
          <w:rtl/>
          <w:lang w:val="en-US"/>
        </w:rPr>
        <w:t>-</w:t>
      </w:r>
      <w:r w:rsidRPr="00AA0AD5">
        <w:rPr>
          <w:rtl/>
          <w:lang w:val="en-US"/>
        </w:rPr>
        <w:tab/>
      </w:r>
      <w:r w:rsidRPr="00EB2635">
        <w:rPr>
          <w:b/>
          <w:bCs/>
          <w:rtl/>
          <w:lang w:val="en-US"/>
        </w:rPr>
        <w:t xml:space="preserve">توصي اللجنة الدولة الطرف بما يلي: </w:t>
      </w:r>
    </w:p>
    <w:p w14:paraId="11B40F2A" w14:textId="5F40423B" w:rsidR="007E78CF" w:rsidRPr="00EB2635" w:rsidRDefault="007E78CF" w:rsidP="00EB2635">
      <w:pPr>
        <w:pStyle w:val="SingleTxtGA"/>
        <w:spacing w:line="350" w:lineRule="exact"/>
        <w:rPr>
          <w:b/>
          <w:bCs/>
          <w:lang w:val="en-US"/>
        </w:rPr>
      </w:pPr>
      <w:r>
        <w:rPr>
          <w:rtl/>
          <w:lang w:val="en-US"/>
        </w:rPr>
        <w:tab/>
      </w:r>
      <w:r w:rsidRPr="00AA0AD5">
        <w:rPr>
          <w:rtl/>
          <w:lang w:val="en-US"/>
        </w:rPr>
        <w:t>(أ)</w:t>
      </w:r>
      <w:r w:rsidRPr="00AA0AD5">
        <w:rPr>
          <w:rtl/>
          <w:lang w:val="en-US"/>
        </w:rPr>
        <w:tab/>
      </w:r>
      <w:r w:rsidRPr="00EB2635">
        <w:rPr>
          <w:b/>
          <w:bCs/>
          <w:rtl/>
          <w:lang w:val="en-US"/>
        </w:rPr>
        <w:t>مراجعة قانونها الداخلي بهدف إدماج الحقوق الواردة في العهد فيه إدماج</w:t>
      </w:r>
      <w:r w:rsidR="00AB408B">
        <w:rPr>
          <w:b/>
          <w:bCs/>
          <w:rtl/>
          <w:lang w:val="en-US"/>
        </w:rPr>
        <w:t xml:space="preserve">اً </w:t>
      </w:r>
      <w:r w:rsidRPr="00EB2635">
        <w:rPr>
          <w:b/>
          <w:bCs/>
          <w:rtl/>
          <w:lang w:val="en-US"/>
        </w:rPr>
        <w:t>كامل</w:t>
      </w:r>
      <w:r w:rsidR="00AB408B">
        <w:rPr>
          <w:b/>
          <w:bCs/>
          <w:rtl/>
          <w:lang w:val="en-US"/>
        </w:rPr>
        <w:t xml:space="preserve">اً </w:t>
      </w:r>
      <w:r w:rsidRPr="00EB2635">
        <w:rPr>
          <w:b/>
          <w:bCs/>
          <w:rtl/>
          <w:lang w:val="en-US"/>
        </w:rPr>
        <w:t>وضمان منح هذه الحقوق مرتبة دستورية مساوية لحقوق الإنسان والحريات الأساسية الأخرى؛</w:t>
      </w:r>
    </w:p>
    <w:p w14:paraId="43B68BCF" w14:textId="3BE34615" w:rsidR="007E78CF" w:rsidRPr="00EB2635" w:rsidRDefault="007E78CF" w:rsidP="00EB2635">
      <w:pPr>
        <w:pStyle w:val="SingleTxtGA"/>
        <w:spacing w:line="350" w:lineRule="exact"/>
        <w:rPr>
          <w:b/>
          <w:bCs/>
          <w:lang w:val="en-US"/>
        </w:rPr>
      </w:pPr>
      <w:r>
        <w:rPr>
          <w:rtl/>
          <w:lang w:val="en-US"/>
        </w:rPr>
        <w:tab/>
      </w:r>
      <w:r w:rsidRPr="00AA0AD5">
        <w:rPr>
          <w:rtl/>
          <w:lang w:val="en-US"/>
        </w:rPr>
        <w:t>(ب)</w:t>
      </w:r>
      <w:r w:rsidRPr="00AA0AD5">
        <w:rPr>
          <w:rtl/>
          <w:lang w:val="en-US"/>
        </w:rPr>
        <w:tab/>
      </w:r>
      <w:r w:rsidRPr="00762800">
        <w:rPr>
          <w:rFonts w:ascii="Times New Roman Bold" w:hAnsi="Times New Roman Bold"/>
          <w:b/>
          <w:bCs/>
          <w:spacing w:val="-4"/>
          <w:rtl/>
          <w:lang w:val="en-US"/>
        </w:rPr>
        <w:t>توفير تدريب متخصص على أحكام العهد وإمكانية التقاضي بشأنها في أوساط القضاة</w:t>
      </w:r>
      <w:r w:rsidRPr="00EB2635">
        <w:rPr>
          <w:b/>
          <w:bCs/>
          <w:rtl/>
          <w:lang w:val="en-US"/>
        </w:rPr>
        <w:t xml:space="preserve"> والمدعين العامين والمحامين؛ </w:t>
      </w:r>
    </w:p>
    <w:p w14:paraId="4D1E5DF6" w14:textId="19046E4B" w:rsidR="007E78CF" w:rsidRPr="00EB2635" w:rsidRDefault="007E78CF" w:rsidP="00EB2635">
      <w:pPr>
        <w:pStyle w:val="SingleTxtGA"/>
        <w:spacing w:line="350" w:lineRule="exact"/>
        <w:rPr>
          <w:b/>
          <w:bCs/>
          <w:lang w:val="en-US"/>
        </w:rPr>
      </w:pPr>
      <w:r w:rsidRPr="00AB408B">
        <w:rPr>
          <w:spacing w:val="-4"/>
          <w:rtl/>
          <w:lang w:val="en-US"/>
        </w:rPr>
        <w:tab/>
        <w:t>(ج)</w:t>
      </w:r>
      <w:r w:rsidRPr="00AB408B">
        <w:rPr>
          <w:spacing w:val="-4"/>
          <w:rtl/>
          <w:lang w:val="en-US"/>
        </w:rPr>
        <w:tab/>
      </w:r>
      <w:r w:rsidRPr="00AB408B">
        <w:rPr>
          <w:b/>
          <w:bCs/>
          <w:spacing w:val="-4"/>
          <w:rtl/>
          <w:lang w:val="en-US"/>
        </w:rPr>
        <w:t>تعزيز الوعي بالحقوق الاقتصادية والاجتماعية والثقافية بين الدول الأخرى، وكذا غير</w:t>
      </w:r>
      <w:r w:rsidRPr="00EB2635">
        <w:rPr>
          <w:b/>
          <w:bCs/>
          <w:rtl/>
          <w:lang w:val="en-US"/>
        </w:rPr>
        <w:t xml:space="preserve"> </w:t>
      </w:r>
      <w:r w:rsidRPr="00AB408B">
        <w:rPr>
          <w:b/>
          <w:bCs/>
          <w:spacing w:val="-4"/>
          <w:rtl/>
          <w:lang w:val="en-US"/>
        </w:rPr>
        <w:t>الدول، والجهات الفاعلة المسؤولة عن تنفيذ العهد، مثل مفتشي العمل والأخصائيين الاجتماعيين والعاملين</w:t>
      </w:r>
      <w:r w:rsidRPr="00EB2635">
        <w:rPr>
          <w:b/>
          <w:bCs/>
          <w:rtl/>
          <w:lang w:val="en-US"/>
        </w:rPr>
        <w:t xml:space="preserve"> الصحيين والمدرسين، وبين أصحاب الحقوق؛ </w:t>
      </w:r>
    </w:p>
    <w:p w14:paraId="21079770" w14:textId="4F599C47" w:rsidR="007E78CF" w:rsidRPr="00EB2635" w:rsidRDefault="007E78CF" w:rsidP="00EB2635">
      <w:pPr>
        <w:pStyle w:val="SingleTxtGA"/>
        <w:spacing w:line="350" w:lineRule="exact"/>
        <w:rPr>
          <w:b/>
          <w:bCs/>
          <w:lang w:val="en-US"/>
        </w:rPr>
      </w:pPr>
      <w:r>
        <w:rPr>
          <w:rtl/>
          <w:lang w:val="en-US"/>
        </w:rPr>
        <w:tab/>
      </w:r>
      <w:r w:rsidRPr="00AA0AD5">
        <w:rPr>
          <w:rtl/>
          <w:lang w:val="en-US"/>
        </w:rPr>
        <w:t>(د)</w:t>
      </w:r>
      <w:r w:rsidRPr="00AA0AD5">
        <w:rPr>
          <w:rtl/>
          <w:lang w:val="en-US"/>
        </w:rPr>
        <w:tab/>
      </w:r>
      <w:r w:rsidRPr="00EB2635">
        <w:rPr>
          <w:b/>
          <w:bCs/>
          <w:rtl/>
          <w:lang w:val="en-US"/>
        </w:rPr>
        <w:t xml:space="preserve">مراعاة تعليق اللجنة العام رقم </w:t>
      </w:r>
      <w:r w:rsidRPr="00236F77">
        <w:rPr>
          <w:b/>
          <w:bCs/>
          <w:rtl/>
          <w:lang w:val="en-US"/>
        </w:rPr>
        <w:t>9</w:t>
      </w:r>
      <w:r w:rsidRPr="00EB2635">
        <w:rPr>
          <w:b/>
          <w:bCs/>
          <w:rtl/>
          <w:lang w:val="en-US"/>
        </w:rPr>
        <w:t>(</w:t>
      </w:r>
      <w:r w:rsidRPr="00236F77">
        <w:rPr>
          <w:b/>
          <w:bCs/>
          <w:rtl/>
          <w:lang w:val="en-US"/>
        </w:rPr>
        <w:t>1998</w:t>
      </w:r>
      <w:r w:rsidRPr="00EB2635">
        <w:rPr>
          <w:b/>
          <w:bCs/>
          <w:rtl/>
          <w:lang w:val="en-US"/>
        </w:rPr>
        <w:t>) بشأن التطبيق المحلي للعهد.</w:t>
      </w:r>
    </w:p>
    <w:p w14:paraId="3B495AD6" w14:textId="77777777" w:rsidR="007E78CF" w:rsidRPr="00AA0AD5" w:rsidRDefault="007E78CF" w:rsidP="007E78CF">
      <w:pPr>
        <w:pStyle w:val="H23GA"/>
      </w:pPr>
      <w:r w:rsidRPr="00AA0AD5">
        <w:rPr>
          <w:rtl/>
        </w:rPr>
        <w:tab/>
      </w:r>
      <w:r w:rsidRPr="00AA0AD5">
        <w:rPr>
          <w:rtl/>
        </w:rPr>
        <w:tab/>
        <w:t xml:space="preserve">التزامات الدولة الطرف </w:t>
      </w:r>
    </w:p>
    <w:p w14:paraId="082E9199" w14:textId="3BCD3386" w:rsidR="007E78CF" w:rsidRPr="00AA0AD5" w:rsidRDefault="007E78CF" w:rsidP="00EB2635">
      <w:pPr>
        <w:pStyle w:val="SingleTxtGA"/>
        <w:spacing w:line="350" w:lineRule="exact"/>
        <w:rPr>
          <w:lang w:val="en-US"/>
        </w:rPr>
      </w:pPr>
      <w:r w:rsidRPr="00236F77">
        <w:rPr>
          <w:rtl/>
          <w:lang w:val="en-US"/>
        </w:rPr>
        <w:t>6</w:t>
      </w:r>
      <w:r w:rsidRPr="00AA0AD5">
        <w:rPr>
          <w:rtl/>
          <w:lang w:val="en-US"/>
        </w:rPr>
        <w:t>-</w:t>
      </w:r>
      <w:r w:rsidRPr="00AA0AD5">
        <w:rPr>
          <w:rtl/>
          <w:lang w:val="en-US"/>
        </w:rPr>
        <w:tab/>
        <w:t xml:space="preserve">تلاحظ اللجنة نظام الحكم المعقد للدولة الطرف، ولا مركزية السلطات والمسؤوليات في المجالات </w:t>
      </w:r>
      <w:r w:rsidRPr="00114D77">
        <w:rPr>
          <w:spacing w:val="-4"/>
          <w:rtl/>
          <w:lang w:val="en-US"/>
        </w:rPr>
        <w:t>المتصلة بالحقوق الاقتصادية والاجتماعية والثقافية، بما في ذلك الحماية الاجتماعية والرعاية الصحية والتعليم.</w:t>
      </w:r>
      <w:r w:rsidRPr="00AA0AD5">
        <w:rPr>
          <w:rtl/>
          <w:lang w:val="en-US"/>
        </w:rPr>
        <w:t xml:space="preserve"> غير أن اللجنة تشعر بالقلق إزاء التباين الكبير في التدابير التشريعية </w:t>
      </w:r>
      <w:proofErr w:type="spellStart"/>
      <w:r w:rsidRPr="00AA0AD5">
        <w:rPr>
          <w:rtl/>
          <w:lang w:val="en-US"/>
        </w:rPr>
        <w:t>والسياساتية</w:t>
      </w:r>
      <w:proofErr w:type="spellEnd"/>
      <w:r w:rsidRPr="00AA0AD5">
        <w:rPr>
          <w:rtl/>
          <w:lang w:val="en-US"/>
        </w:rPr>
        <w:t xml:space="preserve"> المتخذة على مختلف مستويات الحكومة في تلك المجالات، وما يترتب على ذلك من تباينات إقليمية كبيرة في مستوى </w:t>
      </w:r>
      <w:r w:rsidRPr="00F572AF">
        <w:rPr>
          <w:spacing w:val="-2"/>
          <w:rtl/>
          <w:lang w:val="en-US"/>
        </w:rPr>
        <w:t xml:space="preserve">التمتع </w:t>
      </w:r>
      <w:r w:rsidRPr="00114D77">
        <w:rPr>
          <w:spacing w:val="-4"/>
          <w:rtl/>
          <w:lang w:val="en-US"/>
        </w:rPr>
        <w:t>بالحقوق الاقتصادية والاجتماعية والثقافية. كما يساورها القلق إزاء عدم رصد وتنسيق التدابير المتخذة والأنشطة</w:t>
      </w:r>
      <w:r w:rsidRPr="00AA0AD5">
        <w:rPr>
          <w:rtl/>
          <w:lang w:val="en-US"/>
        </w:rPr>
        <w:t xml:space="preserve"> التي تقوم بها الكيانات ومقاطعة </w:t>
      </w:r>
      <w:proofErr w:type="spellStart"/>
      <w:r w:rsidRPr="00AA0AD5">
        <w:rPr>
          <w:rtl/>
          <w:lang w:val="en-US"/>
        </w:rPr>
        <w:t>برتشكو</w:t>
      </w:r>
      <w:proofErr w:type="spellEnd"/>
      <w:r w:rsidRPr="00AA0AD5">
        <w:rPr>
          <w:rtl/>
          <w:lang w:val="en-US"/>
        </w:rPr>
        <w:t xml:space="preserve"> </w:t>
      </w:r>
      <w:proofErr w:type="spellStart"/>
      <w:r w:rsidRPr="00AA0AD5">
        <w:rPr>
          <w:rtl/>
          <w:lang w:val="en-US"/>
        </w:rPr>
        <w:t>وكانتونات</w:t>
      </w:r>
      <w:proofErr w:type="spellEnd"/>
      <w:r w:rsidRPr="00AA0AD5">
        <w:rPr>
          <w:rtl/>
          <w:lang w:val="en-US"/>
        </w:rPr>
        <w:t xml:space="preserve"> اتحاد البوسنة والهرسك، على مستوى الدولة، والتي تديم أوجه التباين وعدم المساواة (المادة </w:t>
      </w:r>
      <w:r w:rsidRPr="00236F77">
        <w:rPr>
          <w:rtl/>
          <w:lang w:val="en-US"/>
        </w:rPr>
        <w:t>2</w:t>
      </w:r>
      <w:r w:rsidRPr="00AA0AD5">
        <w:rPr>
          <w:rtl/>
          <w:lang w:val="en-US"/>
        </w:rPr>
        <w:t>(</w:t>
      </w:r>
      <w:r w:rsidRPr="00236F77">
        <w:rPr>
          <w:rtl/>
          <w:lang w:val="en-US"/>
        </w:rPr>
        <w:t>1</w:t>
      </w:r>
      <w:r w:rsidRPr="00AA0AD5">
        <w:rPr>
          <w:rtl/>
          <w:lang w:val="en-US"/>
        </w:rPr>
        <w:t xml:space="preserve">)). </w:t>
      </w:r>
    </w:p>
    <w:p w14:paraId="7D94437D" w14:textId="77777777" w:rsidR="007E78CF" w:rsidRPr="00EB2635" w:rsidRDefault="007E78CF" w:rsidP="00EB2635">
      <w:pPr>
        <w:pStyle w:val="SingleTxtGA"/>
        <w:spacing w:line="350" w:lineRule="exact"/>
        <w:rPr>
          <w:b/>
          <w:bCs/>
          <w:lang w:val="en-US"/>
        </w:rPr>
      </w:pPr>
      <w:r w:rsidRPr="00236F77">
        <w:rPr>
          <w:rtl/>
          <w:lang w:val="en-US"/>
        </w:rPr>
        <w:t>7</w:t>
      </w:r>
      <w:r w:rsidRPr="00AA0AD5">
        <w:rPr>
          <w:rtl/>
          <w:lang w:val="en-US"/>
        </w:rPr>
        <w:t>-</w:t>
      </w:r>
      <w:r w:rsidRPr="00AA0AD5">
        <w:rPr>
          <w:rtl/>
          <w:lang w:val="en-US"/>
        </w:rPr>
        <w:tab/>
      </w:r>
      <w:r w:rsidRPr="00EB2635">
        <w:rPr>
          <w:b/>
          <w:bCs/>
          <w:rtl/>
          <w:lang w:val="en-US"/>
        </w:rPr>
        <w:t xml:space="preserve">تذكر اللجنة الدولة الطرف بأنها تتحمل المسؤولية النهائية عن تنفيذ العهد على جميع </w:t>
      </w:r>
      <w:r w:rsidRPr="00F572AF">
        <w:rPr>
          <w:rFonts w:ascii="Times New Roman Bold" w:hAnsi="Times New Roman Bold"/>
          <w:b/>
          <w:bCs/>
          <w:spacing w:val="-2"/>
          <w:rtl/>
          <w:lang w:val="en-US"/>
        </w:rPr>
        <w:t xml:space="preserve">مستويات الحكومة، بما في ذلك </w:t>
      </w:r>
      <w:proofErr w:type="spellStart"/>
      <w:r w:rsidRPr="00F572AF">
        <w:rPr>
          <w:rFonts w:ascii="Times New Roman Bold" w:hAnsi="Times New Roman Bold"/>
          <w:b/>
          <w:bCs/>
          <w:spacing w:val="-2"/>
          <w:rtl/>
          <w:lang w:val="en-US"/>
        </w:rPr>
        <w:t>الكانتونات</w:t>
      </w:r>
      <w:proofErr w:type="spellEnd"/>
      <w:r w:rsidRPr="00F572AF">
        <w:rPr>
          <w:rFonts w:ascii="Times New Roman Bold" w:hAnsi="Times New Roman Bold"/>
          <w:b/>
          <w:bCs/>
          <w:spacing w:val="-2"/>
          <w:rtl/>
          <w:lang w:val="en-US"/>
        </w:rPr>
        <w:t xml:space="preserve"> والبلديات. وتوصي الدولة الطرف باتخاذ جميع التدابير اللازمة</w:t>
      </w:r>
      <w:r w:rsidRPr="00EB2635">
        <w:rPr>
          <w:b/>
          <w:bCs/>
          <w:rtl/>
          <w:lang w:val="en-US"/>
        </w:rPr>
        <w:t xml:space="preserve"> لضمان التمتع بالحقوق المكفولة في العهد بصرف النظر عن مكان الإقامة في البلد. وتوصي اللجنة الدولة الطرف، على وجه الخصوص، بما يلي:</w:t>
      </w:r>
    </w:p>
    <w:p w14:paraId="3BEE195B" w14:textId="00AEA4E5" w:rsidR="007E78CF" w:rsidRPr="00EB2635" w:rsidRDefault="007E78CF" w:rsidP="00EB2635">
      <w:pPr>
        <w:pStyle w:val="SingleTxtGA"/>
        <w:spacing w:line="350" w:lineRule="exact"/>
        <w:rPr>
          <w:b/>
          <w:bCs/>
          <w:lang w:val="en-US"/>
        </w:rPr>
      </w:pPr>
      <w:r>
        <w:rPr>
          <w:rtl/>
          <w:lang w:val="en-US"/>
        </w:rPr>
        <w:tab/>
      </w:r>
      <w:r w:rsidRPr="00AA0AD5">
        <w:rPr>
          <w:rtl/>
          <w:lang w:val="en-US"/>
        </w:rPr>
        <w:t>(أ)</w:t>
      </w:r>
      <w:r w:rsidRPr="00AA0AD5">
        <w:rPr>
          <w:rtl/>
          <w:lang w:val="en-US"/>
        </w:rPr>
        <w:tab/>
      </w:r>
      <w:r w:rsidRPr="00EB2635">
        <w:rPr>
          <w:b/>
          <w:bCs/>
          <w:rtl/>
          <w:lang w:val="en-US"/>
        </w:rPr>
        <w:t xml:space="preserve">مواءمة التدابير التشريعية </w:t>
      </w:r>
      <w:proofErr w:type="spellStart"/>
      <w:r w:rsidRPr="00EB2635">
        <w:rPr>
          <w:b/>
          <w:bCs/>
          <w:rtl/>
          <w:lang w:val="en-US"/>
        </w:rPr>
        <w:t>والسياساتية</w:t>
      </w:r>
      <w:proofErr w:type="spellEnd"/>
      <w:r w:rsidRPr="00EB2635">
        <w:rPr>
          <w:b/>
          <w:bCs/>
          <w:rtl/>
          <w:lang w:val="en-US"/>
        </w:rPr>
        <w:t xml:space="preserve"> المتخذة أو المتوخاة؛ </w:t>
      </w:r>
    </w:p>
    <w:p w14:paraId="384F9725" w14:textId="46F8912D" w:rsidR="007E78CF" w:rsidRPr="00EB2635" w:rsidRDefault="007E78CF" w:rsidP="00EB2635">
      <w:pPr>
        <w:pStyle w:val="SingleTxtGA"/>
        <w:spacing w:line="350" w:lineRule="exact"/>
        <w:rPr>
          <w:b/>
          <w:bCs/>
          <w:lang w:val="en-US"/>
        </w:rPr>
      </w:pPr>
      <w:r>
        <w:rPr>
          <w:rtl/>
          <w:lang w:val="en-US"/>
        </w:rPr>
        <w:tab/>
      </w:r>
      <w:r w:rsidRPr="00AA0AD5">
        <w:rPr>
          <w:rtl/>
          <w:lang w:val="en-US"/>
        </w:rPr>
        <w:t>(ب)</w:t>
      </w:r>
      <w:r w:rsidRPr="00AA0AD5">
        <w:rPr>
          <w:rtl/>
          <w:lang w:val="en-US"/>
        </w:rPr>
        <w:tab/>
      </w:r>
      <w:r w:rsidRPr="00EB2635">
        <w:rPr>
          <w:b/>
          <w:bCs/>
          <w:rtl/>
          <w:lang w:val="en-US"/>
        </w:rPr>
        <w:t xml:space="preserve">تحسين رصد وتنسيق الأنشطة </w:t>
      </w:r>
      <w:proofErr w:type="spellStart"/>
      <w:r w:rsidRPr="00EB2635">
        <w:rPr>
          <w:b/>
          <w:bCs/>
          <w:rtl/>
          <w:lang w:val="en-US"/>
        </w:rPr>
        <w:t>المضطلع</w:t>
      </w:r>
      <w:proofErr w:type="spellEnd"/>
      <w:r w:rsidRPr="00EB2635">
        <w:rPr>
          <w:b/>
          <w:bCs/>
          <w:rtl/>
          <w:lang w:val="en-US"/>
        </w:rPr>
        <w:t xml:space="preserve"> بها على جميع مستويات الحكومة؛ </w:t>
      </w:r>
    </w:p>
    <w:p w14:paraId="60662D2C" w14:textId="48E636BA" w:rsidR="007E78CF" w:rsidRPr="00EB2635" w:rsidRDefault="007E78CF" w:rsidP="00EB2635">
      <w:pPr>
        <w:pStyle w:val="SingleTxtGA"/>
        <w:spacing w:line="350" w:lineRule="exact"/>
        <w:rPr>
          <w:b/>
          <w:bCs/>
          <w:lang w:val="en-US"/>
        </w:rPr>
      </w:pPr>
      <w:r>
        <w:rPr>
          <w:rtl/>
          <w:lang w:val="en-US"/>
        </w:rPr>
        <w:tab/>
      </w:r>
      <w:r w:rsidRPr="00AA0AD5">
        <w:rPr>
          <w:rtl/>
          <w:lang w:val="en-US"/>
        </w:rPr>
        <w:t>(ج)</w:t>
      </w:r>
      <w:r w:rsidRPr="00AA0AD5">
        <w:rPr>
          <w:rtl/>
          <w:lang w:val="en-US"/>
        </w:rPr>
        <w:tab/>
      </w:r>
      <w:r w:rsidRPr="00EB2635">
        <w:rPr>
          <w:b/>
          <w:bCs/>
          <w:rtl/>
          <w:lang w:val="en-US"/>
        </w:rPr>
        <w:t xml:space="preserve">تعزيز القدرة الإدارية والمالية للحكومات المحلية. </w:t>
      </w:r>
    </w:p>
    <w:p w14:paraId="4ADFDCCE" w14:textId="77777777" w:rsidR="007E78CF" w:rsidRPr="00AA0AD5" w:rsidRDefault="007E78CF" w:rsidP="007E78CF">
      <w:pPr>
        <w:pStyle w:val="H23GA"/>
      </w:pPr>
      <w:r w:rsidRPr="00AA0AD5">
        <w:rPr>
          <w:rtl/>
        </w:rPr>
        <w:tab/>
      </w:r>
      <w:r w:rsidRPr="00AA0AD5">
        <w:rPr>
          <w:rtl/>
        </w:rPr>
        <w:tab/>
        <w:t>جمع البيانات</w:t>
      </w:r>
    </w:p>
    <w:p w14:paraId="0926B34A" w14:textId="4A3E6C74" w:rsidR="007E78CF" w:rsidRPr="00AA0AD5" w:rsidRDefault="007E78CF" w:rsidP="00EB2635">
      <w:pPr>
        <w:pStyle w:val="SingleTxtGA"/>
        <w:spacing w:line="350" w:lineRule="exact"/>
        <w:rPr>
          <w:lang w:val="en-US"/>
        </w:rPr>
      </w:pPr>
      <w:r w:rsidRPr="00236F77">
        <w:rPr>
          <w:rtl/>
          <w:lang w:val="en-US"/>
        </w:rPr>
        <w:t>8</w:t>
      </w:r>
      <w:r w:rsidRPr="00AA0AD5">
        <w:rPr>
          <w:rtl/>
          <w:lang w:val="en-US"/>
        </w:rPr>
        <w:t>-</w:t>
      </w:r>
      <w:r w:rsidRPr="00AA0AD5">
        <w:rPr>
          <w:rtl/>
          <w:lang w:val="en-US"/>
        </w:rPr>
        <w:tab/>
        <w:t xml:space="preserve">يساور اللجنة القلق إزاء عدم وجود جمع منهجي للبيانات المصنفة على أساس أسباب محظورة، مما يعوق تقييم مستوى إعمال الحقوق الواردة في العهد. كما تأسف لعدم كفاية البيانات التي قدمتها الدولة الطرف (المادة </w:t>
      </w:r>
      <w:r w:rsidRPr="00236F77">
        <w:rPr>
          <w:rtl/>
          <w:lang w:val="en-US"/>
        </w:rPr>
        <w:t>2</w:t>
      </w:r>
      <w:r w:rsidRPr="00AA0AD5">
        <w:rPr>
          <w:rtl/>
          <w:lang w:val="en-US"/>
        </w:rPr>
        <w:t>(</w:t>
      </w:r>
      <w:r w:rsidRPr="00236F77">
        <w:rPr>
          <w:rtl/>
          <w:lang w:val="en-US"/>
        </w:rPr>
        <w:t>1</w:t>
      </w:r>
      <w:r w:rsidRPr="00AA0AD5">
        <w:rPr>
          <w:rtl/>
          <w:lang w:val="en-US"/>
        </w:rPr>
        <w:t>)).</w:t>
      </w:r>
    </w:p>
    <w:p w14:paraId="2CB8D94D" w14:textId="34F40789" w:rsidR="007E78CF" w:rsidRPr="00EB2635" w:rsidRDefault="007E78CF" w:rsidP="00EB2635">
      <w:pPr>
        <w:pStyle w:val="SingleTxtGA"/>
        <w:spacing w:line="350" w:lineRule="exact"/>
        <w:rPr>
          <w:b/>
          <w:bCs/>
          <w:lang w:val="en-US"/>
        </w:rPr>
      </w:pPr>
      <w:r w:rsidRPr="00236F77">
        <w:rPr>
          <w:rtl/>
          <w:lang w:val="en-US"/>
        </w:rPr>
        <w:t>9</w:t>
      </w:r>
      <w:r w:rsidRPr="00AA0AD5">
        <w:rPr>
          <w:rtl/>
          <w:lang w:val="en-US"/>
        </w:rPr>
        <w:t>-</w:t>
      </w:r>
      <w:r w:rsidRPr="00AA0AD5">
        <w:rPr>
          <w:rtl/>
          <w:lang w:val="en-US"/>
        </w:rPr>
        <w:tab/>
      </w:r>
      <w:r w:rsidRPr="00EB2635">
        <w:rPr>
          <w:b/>
          <w:bCs/>
          <w:rtl/>
          <w:lang w:val="en-US"/>
        </w:rPr>
        <w:t xml:space="preserve">توصي اللجنة الدولة الطرف بتحسين نظامها لجمع البيانات، بما في ذلك التعداد، من أجل جمع بيانات مصنفة على أساس أسباب الحظر، بما في ذلك الجنس والعمر والإعاقة والأصل الإثني والمنطقة، بغية تتبع التقدم المحرز في إعمال الحقوق المنصوص عليها في العهد وصياغة تدابير فعالة ومحددة الهدف، لا سيما لفائدة الأفراد والفئات المحرومين والمهمشين. وتطلب إلى الدولة الطرف </w:t>
      </w:r>
      <w:r w:rsidRPr="00EB2635">
        <w:rPr>
          <w:rFonts w:ascii="Times New Roman Bold" w:hAnsi="Times New Roman Bold"/>
          <w:b/>
          <w:bCs/>
          <w:spacing w:val="-2"/>
          <w:rtl/>
          <w:lang w:val="en-US"/>
        </w:rPr>
        <w:t>أيض</w:t>
      </w:r>
      <w:r w:rsidR="00AB408B">
        <w:rPr>
          <w:rFonts w:ascii="Times New Roman Bold" w:hAnsi="Times New Roman Bold"/>
          <w:b/>
          <w:bCs/>
          <w:spacing w:val="-2"/>
          <w:rtl/>
          <w:lang w:val="en-US"/>
        </w:rPr>
        <w:t xml:space="preserve">اً </w:t>
      </w:r>
      <w:r w:rsidRPr="00EB2635">
        <w:rPr>
          <w:rFonts w:ascii="Times New Roman Bold" w:hAnsi="Times New Roman Bold"/>
          <w:b/>
          <w:bCs/>
          <w:spacing w:val="-2"/>
          <w:rtl/>
          <w:lang w:val="en-US"/>
        </w:rPr>
        <w:t>أن تدرج في تقريرها الدوري المقبل بيانات إحصائية سنوية مقارنة مصنفة حسب الأسباب المذكورة</w:t>
      </w:r>
      <w:r w:rsidRPr="00EB2635">
        <w:rPr>
          <w:b/>
          <w:bCs/>
          <w:rtl/>
          <w:lang w:val="en-US"/>
        </w:rPr>
        <w:t xml:space="preserve"> أعلاه وغيرها من الأسباب ذات الصلة، مما هو ضروري لقياس التقدم المحرز في إعمال الحقوق الواردة في العهد.</w:t>
      </w:r>
    </w:p>
    <w:p w14:paraId="4A753A63" w14:textId="77777777" w:rsidR="007E78CF" w:rsidRPr="00AA0AD5" w:rsidRDefault="007E78CF" w:rsidP="007E78CF">
      <w:pPr>
        <w:pStyle w:val="H23GA"/>
      </w:pPr>
      <w:r w:rsidRPr="00AA0AD5">
        <w:rPr>
          <w:rtl/>
        </w:rPr>
        <w:lastRenderedPageBreak/>
        <w:tab/>
      </w:r>
      <w:r w:rsidRPr="00AA0AD5">
        <w:rPr>
          <w:rtl/>
        </w:rPr>
        <w:tab/>
        <w:t>مؤسسة وطنية لحقوق الإنسان</w:t>
      </w:r>
    </w:p>
    <w:p w14:paraId="0E4DB286" w14:textId="3B4083A7" w:rsidR="007E78CF" w:rsidRPr="00AA0AD5" w:rsidRDefault="007E78CF" w:rsidP="00EB2635">
      <w:pPr>
        <w:pStyle w:val="SingleTxtGA"/>
        <w:spacing w:line="346" w:lineRule="exact"/>
        <w:rPr>
          <w:lang w:val="en-US"/>
        </w:rPr>
      </w:pPr>
      <w:r w:rsidRPr="00236F77">
        <w:rPr>
          <w:rtl/>
          <w:lang w:val="en-US"/>
        </w:rPr>
        <w:t>10</w:t>
      </w:r>
      <w:r w:rsidRPr="00AA0AD5">
        <w:rPr>
          <w:rtl/>
          <w:lang w:val="en-US"/>
        </w:rPr>
        <w:t>-</w:t>
      </w:r>
      <w:r w:rsidRPr="00AA0AD5">
        <w:rPr>
          <w:rtl/>
          <w:lang w:val="en-US"/>
        </w:rPr>
        <w:tab/>
        <w:t>يساور اللجنة القلق إزاء التقارير التي تفيد بأن مؤسسة أمين مظالم حقوق الإنسان ليست مستقلة تمام</w:t>
      </w:r>
      <w:r w:rsidR="00AB408B">
        <w:rPr>
          <w:rtl/>
          <w:lang w:val="en-US"/>
        </w:rPr>
        <w:t xml:space="preserve">اً </w:t>
      </w:r>
      <w:r w:rsidRPr="00AA0AD5">
        <w:rPr>
          <w:rtl/>
          <w:lang w:val="en-US"/>
        </w:rPr>
        <w:t>وأن كفاءة وظائفها اليومية وفعاليتها تتأثر بهيكلها المعقد. كما يساورها القلق إزاء عدم متابعة السلطات المختصة لقرارات المؤسسة. وتلاحظ اللجنة أن المؤسسة لم تنشر تقرير</w:t>
      </w:r>
      <w:r w:rsidR="00AB408B">
        <w:rPr>
          <w:rtl/>
          <w:lang w:val="en-US"/>
        </w:rPr>
        <w:t xml:space="preserve">اً </w:t>
      </w:r>
      <w:r w:rsidRPr="00AA0AD5">
        <w:rPr>
          <w:rtl/>
          <w:lang w:val="en-US"/>
        </w:rPr>
        <w:t>سنوي</w:t>
      </w:r>
      <w:r w:rsidR="00AB408B">
        <w:rPr>
          <w:rtl/>
          <w:lang w:val="en-US"/>
        </w:rPr>
        <w:t xml:space="preserve">اً </w:t>
      </w:r>
      <w:r w:rsidRPr="00AA0AD5">
        <w:rPr>
          <w:rtl/>
          <w:lang w:val="en-US"/>
        </w:rPr>
        <w:t xml:space="preserve">عن التمييز، على النحو المنصوص عليه في قانون حظر التمييز، منذ عام </w:t>
      </w:r>
      <w:r w:rsidRPr="00236F77">
        <w:rPr>
          <w:rtl/>
          <w:lang w:val="en-US"/>
        </w:rPr>
        <w:t>2013</w:t>
      </w:r>
      <w:r w:rsidRPr="00AA0AD5">
        <w:rPr>
          <w:rtl/>
          <w:lang w:val="en-US"/>
        </w:rPr>
        <w:t xml:space="preserve"> (المادة </w:t>
      </w:r>
      <w:r w:rsidRPr="00236F77">
        <w:rPr>
          <w:rtl/>
          <w:lang w:val="en-US"/>
        </w:rPr>
        <w:t>2</w:t>
      </w:r>
      <w:r w:rsidRPr="00AA0AD5">
        <w:rPr>
          <w:rtl/>
          <w:lang w:val="en-US"/>
        </w:rPr>
        <w:t>(</w:t>
      </w:r>
      <w:r w:rsidRPr="00236F77">
        <w:rPr>
          <w:rtl/>
          <w:lang w:val="en-US"/>
        </w:rPr>
        <w:t>1</w:t>
      </w:r>
      <w:r w:rsidRPr="00AA0AD5">
        <w:rPr>
          <w:rtl/>
          <w:lang w:val="en-US"/>
        </w:rPr>
        <w:t>)).</w:t>
      </w:r>
    </w:p>
    <w:p w14:paraId="55C667E4" w14:textId="77777777" w:rsidR="007E78CF" w:rsidRPr="00EB2635" w:rsidRDefault="007E78CF" w:rsidP="00EB2635">
      <w:pPr>
        <w:pStyle w:val="SingleTxtGA"/>
        <w:spacing w:line="346" w:lineRule="exact"/>
        <w:rPr>
          <w:b/>
          <w:bCs/>
          <w:lang w:val="en-US"/>
        </w:rPr>
      </w:pPr>
      <w:r w:rsidRPr="00236F77">
        <w:rPr>
          <w:rtl/>
          <w:lang w:val="en-US"/>
        </w:rPr>
        <w:t>11</w:t>
      </w:r>
      <w:r w:rsidRPr="00AA0AD5">
        <w:rPr>
          <w:rtl/>
          <w:lang w:val="en-US"/>
        </w:rPr>
        <w:t>-</w:t>
      </w:r>
      <w:r w:rsidRPr="00AA0AD5">
        <w:rPr>
          <w:rtl/>
          <w:lang w:val="en-US"/>
        </w:rPr>
        <w:tab/>
      </w:r>
      <w:r w:rsidRPr="00EB2635">
        <w:rPr>
          <w:b/>
          <w:bCs/>
          <w:rtl/>
          <w:lang w:val="en-US"/>
        </w:rPr>
        <w:t>توصي اللجنة الدولة الطرف باتخاذ التدابير التالية:</w:t>
      </w:r>
    </w:p>
    <w:p w14:paraId="378C6BEC" w14:textId="21F60E81" w:rsidR="007E78CF" w:rsidRPr="00EB2635" w:rsidRDefault="007E78CF" w:rsidP="00EB2635">
      <w:pPr>
        <w:pStyle w:val="SingleTxtGA"/>
        <w:spacing w:line="346" w:lineRule="exact"/>
        <w:rPr>
          <w:b/>
          <w:bCs/>
          <w:lang w:val="en-US"/>
        </w:rPr>
      </w:pPr>
      <w:r>
        <w:rPr>
          <w:rtl/>
          <w:lang w:val="en-US"/>
        </w:rPr>
        <w:tab/>
      </w:r>
      <w:r w:rsidRPr="00AA0AD5">
        <w:rPr>
          <w:rtl/>
          <w:lang w:val="en-US"/>
        </w:rPr>
        <w:t>(أ)</w:t>
      </w:r>
      <w:r w:rsidRPr="00AA0AD5">
        <w:rPr>
          <w:rtl/>
          <w:lang w:val="en-US"/>
        </w:rPr>
        <w:tab/>
      </w:r>
      <w:r w:rsidRPr="00EB2635">
        <w:rPr>
          <w:b/>
          <w:bCs/>
          <w:rtl/>
          <w:lang w:val="en-US"/>
        </w:rPr>
        <w:t>ضمان أن يكون مشروع القانون المتعلق بالتعديلات على قانون أمين مظالم حقوق الإنسان في البوسنة والهرسك متوافق</w:t>
      </w:r>
      <w:r w:rsidR="00AB408B">
        <w:rPr>
          <w:b/>
          <w:bCs/>
          <w:rtl/>
          <w:lang w:val="en-US"/>
        </w:rPr>
        <w:t xml:space="preserve">اً </w:t>
      </w:r>
      <w:r w:rsidRPr="00EB2635">
        <w:rPr>
          <w:b/>
          <w:bCs/>
          <w:rtl/>
          <w:lang w:val="en-US"/>
        </w:rPr>
        <w:t>تمام</w:t>
      </w:r>
      <w:r w:rsidR="00AB408B">
        <w:rPr>
          <w:b/>
          <w:bCs/>
          <w:rtl/>
          <w:lang w:val="en-US"/>
        </w:rPr>
        <w:t xml:space="preserve">اً </w:t>
      </w:r>
      <w:r w:rsidRPr="00EB2635">
        <w:rPr>
          <w:b/>
          <w:bCs/>
          <w:rtl/>
          <w:lang w:val="en-US"/>
        </w:rPr>
        <w:t>مع المبادئ المتعلقة بمركز المؤسسات الوطنية لتعزيز وحماية حقوق الإنسان (مبادئ باريس)، بما في ذلك عن طريق إدراج التوصيات التي قدمتها اللجنة الفرعية المعنية بالاعتماد التابعة للتحالف العالمي للمؤسسات الوطنية لحقوق الإنسان؛ وتسريع اعتماد مشروع القانون؛</w:t>
      </w:r>
    </w:p>
    <w:p w14:paraId="21150B43" w14:textId="012746E1" w:rsidR="007E78CF" w:rsidRPr="00EB2635" w:rsidRDefault="007E78CF" w:rsidP="00EB2635">
      <w:pPr>
        <w:pStyle w:val="SingleTxtGA"/>
        <w:spacing w:line="346" w:lineRule="exact"/>
        <w:rPr>
          <w:b/>
          <w:bCs/>
          <w:lang w:val="en-US"/>
        </w:rPr>
      </w:pPr>
      <w:r>
        <w:rPr>
          <w:rtl/>
          <w:lang w:val="en-US"/>
        </w:rPr>
        <w:tab/>
      </w:r>
      <w:r w:rsidRPr="00AA0AD5">
        <w:rPr>
          <w:rtl/>
          <w:lang w:val="en-US"/>
        </w:rPr>
        <w:t>(ب)</w:t>
      </w:r>
      <w:r w:rsidRPr="00AA0AD5">
        <w:rPr>
          <w:rtl/>
          <w:lang w:val="en-US"/>
        </w:rPr>
        <w:tab/>
      </w:r>
      <w:r w:rsidRPr="00EB2635">
        <w:rPr>
          <w:b/>
          <w:bCs/>
          <w:rtl/>
          <w:lang w:val="en-US"/>
        </w:rPr>
        <w:t>تعزيز كفاءة مهام المؤسسة، بما في ذلك عن طريق تبسيط عملية صنع القرار؛</w:t>
      </w:r>
    </w:p>
    <w:p w14:paraId="3F5DCA9A" w14:textId="5AD6E7AD" w:rsidR="007E78CF" w:rsidRPr="00EB2635" w:rsidRDefault="007E78CF" w:rsidP="00EB2635">
      <w:pPr>
        <w:pStyle w:val="SingleTxtGA"/>
        <w:spacing w:line="346" w:lineRule="exact"/>
        <w:rPr>
          <w:b/>
          <w:bCs/>
          <w:lang w:val="en-US"/>
        </w:rPr>
      </w:pPr>
      <w:r>
        <w:rPr>
          <w:rtl/>
          <w:lang w:val="en-US"/>
        </w:rPr>
        <w:tab/>
      </w:r>
      <w:r w:rsidRPr="00AA0AD5">
        <w:rPr>
          <w:rtl/>
          <w:lang w:val="en-US"/>
        </w:rPr>
        <w:t>(ج)</w:t>
      </w:r>
      <w:r w:rsidRPr="00AA0AD5">
        <w:rPr>
          <w:rtl/>
          <w:lang w:val="en-US"/>
        </w:rPr>
        <w:tab/>
      </w:r>
      <w:r w:rsidRPr="00EB2635">
        <w:rPr>
          <w:b/>
          <w:bCs/>
          <w:rtl/>
          <w:lang w:val="en-US"/>
        </w:rPr>
        <w:t>ضمان متابعة السلطات المختصة للقرارات والتوصيات التي تقدمها المؤسسة؛</w:t>
      </w:r>
    </w:p>
    <w:p w14:paraId="0C3257CE" w14:textId="0182ABB3" w:rsidR="007E78CF" w:rsidRPr="00EB2635" w:rsidRDefault="007E78CF" w:rsidP="00EB2635">
      <w:pPr>
        <w:pStyle w:val="SingleTxtGA"/>
        <w:spacing w:line="346" w:lineRule="exact"/>
        <w:rPr>
          <w:b/>
          <w:bCs/>
          <w:lang w:val="en-US"/>
        </w:rPr>
      </w:pPr>
      <w:r>
        <w:rPr>
          <w:rtl/>
          <w:lang w:val="en-US"/>
        </w:rPr>
        <w:tab/>
      </w:r>
      <w:r w:rsidRPr="00AA0AD5">
        <w:rPr>
          <w:rtl/>
          <w:lang w:val="en-US"/>
        </w:rPr>
        <w:t>(د)</w:t>
      </w:r>
      <w:r w:rsidRPr="00AA0AD5">
        <w:rPr>
          <w:rtl/>
          <w:lang w:val="en-US"/>
        </w:rPr>
        <w:tab/>
      </w:r>
      <w:r w:rsidRPr="00EB2635">
        <w:rPr>
          <w:b/>
          <w:bCs/>
          <w:rtl/>
          <w:lang w:val="en-US"/>
        </w:rPr>
        <w:t>تعزيز ولاية المؤسسة في حماية وتعزيز الحقوق الاقتصادية والاجتماعية والثقافية؛</w:t>
      </w:r>
    </w:p>
    <w:p w14:paraId="025F35DC" w14:textId="0D01946C" w:rsidR="007E78CF" w:rsidRPr="00EB2635" w:rsidRDefault="007E78CF" w:rsidP="00EB2635">
      <w:pPr>
        <w:pStyle w:val="SingleTxtGA"/>
        <w:spacing w:line="346" w:lineRule="exact"/>
        <w:rPr>
          <w:b/>
          <w:bCs/>
          <w:lang w:val="en-US"/>
        </w:rPr>
      </w:pPr>
      <w:r>
        <w:rPr>
          <w:rtl/>
          <w:lang w:val="en-US"/>
        </w:rPr>
        <w:tab/>
      </w:r>
      <w:r w:rsidRPr="00AA0AD5">
        <w:rPr>
          <w:rtl/>
          <w:lang w:val="en-US"/>
        </w:rPr>
        <w:t>(هـ)</w:t>
      </w:r>
      <w:r w:rsidRPr="00AA0AD5">
        <w:rPr>
          <w:rtl/>
          <w:lang w:val="en-US"/>
        </w:rPr>
        <w:tab/>
      </w:r>
      <w:r w:rsidRPr="00EB2635">
        <w:rPr>
          <w:b/>
          <w:bCs/>
          <w:rtl/>
          <w:lang w:val="en-US"/>
        </w:rPr>
        <w:t xml:space="preserve">نشر تقرير سنوي عن التمييز. </w:t>
      </w:r>
    </w:p>
    <w:p w14:paraId="19A1D8FE" w14:textId="77777777" w:rsidR="007E78CF" w:rsidRPr="00AA0AD5" w:rsidRDefault="007E78CF" w:rsidP="007E78CF">
      <w:pPr>
        <w:pStyle w:val="H23GA"/>
      </w:pPr>
      <w:r w:rsidRPr="00AA0AD5">
        <w:rPr>
          <w:rtl/>
        </w:rPr>
        <w:tab/>
      </w:r>
      <w:r w:rsidRPr="00AA0AD5">
        <w:rPr>
          <w:rtl/>
        </w:rPr>
        <w:tab/>
        <w:t>الحد الأقصى للموارد المتاحة</w:t>
      </w:r>
    </w:p>
    <w:p w14:paraId="710E5839" w14:textId="0033AA94" w:rsidR="007E78CF" w:rsidRPr="00AA0AD5" w:rsidRDefault="007E78CF" w:rsidP="00EB2635">
      <w:pPr>
        <w:pStyle w:val="SingleTxtGA"/>
        <w:spacing w:line="346" w:lineRule="exact"/>
        <w:rPr>
          <w:lang w:val="en-US"/>
        </w:rPr>
      </w:pPr>
      <w:r w:rsidRPr="00236F77">
        <w:rPr>
          <w:rtl/>
          <w:lang w:val="en-US"/>
        </w:rPr>
        <w:t>12</w:t>
      </w:r>
      <w:r w:rsidRPr="00AA0AD5">
        <w:rPr>
          <w:rtl/>
          <w:lang w:val="en-US"/>
        </w:rPr>
        <w:t>-</w:t>
      </w:r>
      <w:r w:rsidRPr="00AA0AD5">
        <w:rPr>
          <w:rtl/>
          <w:lang w:val="en-US"/>
        </w:rPr>
        <w:tab/>
      </w:r>
      <w:r w:rsidRPr="00114D77">
        <w:rPr>
          <w:spacing w:val="-2"/>
          <w:rtl/>
          <w:lang w:val="en-US"/>
        </w:rPr>
        <w:t>يساور اللجنة القلق إزاء المستوى المنخفض عموم</w:t>
      </w:r>
      <w:r w:rsidR="00AB408B" w:rsidRPr="00114D77">
        <w:rPr>
          <w:spacing w:val="-2"/>
          <w:rtl/>
          <w:lang w:val="en-US"/>
        </w:rPr>
        <w:t xml:space="preserve">اً </w:t>
      </w:r>
      <w:r w:rsidRPr="00114D77">
        <w:rPr>
          <w:spacing w:val="-2"/>
          <w:rtl/>
          <w:lang w:val="en-US"/>
        </w:rPr>
        <w:t>لمخصصات الميزانية للصحة والتعليم ومجالات</w:t>
      </w:r>
      <w:r w:rsidRPr="00AA0AD5">
        <w:rPr>
          <w:rtl/>
          <w:lang w:val="en-US"/>
        </w:rPr>
        <w:t xml:space="preserve"> </w:t>
      </w:r>
      <w:r w:rsidRPr="00114D77">
        <w:rPr>
          <w:spacing w:val="2"/>
          <w:rtl/>
          <w:lang w:val="en-US"/>
        </w:rPr>
        <w:t>أخرى متصلة بالحقوق الاقتصادية والاجتماعية والثقافية والتفاوت الكبير بين الكيانات في هذا الصدد</w:t>
      </w:r>
      <w:r w:rsidRPr="00AA0AD5">
        <w:rPr>
          <w:rtl/>
          <w:lang w:val="en-US"/>
        </w:rPr>
        <w:t>. كما يساورها القلق إزاء النظام الضريبي للدولة الطرف، التي لها قاعدة ضريبية محدودة وغير تصاعدية، بمعدل ضريبي ثابت (</w:t>
      </w:r>
      <w:r w:rsidRPr="00236F77">
        <w:rPr>
          <w:rtl/>
          <w:lang w:val="en-US"/>
        </w:rPr>
        <w:t>10</w:t>
      </w:r>
      <w:r w:rsidRPr="00AA0AD5">
        <w:rPr>
          <w:rtl/>
          <w:lang w:val="en-US"/>
        </w:rPr>
        <w:t xml:space="preserve"> في المائة) على أرباح الشركات والدخل الشخصي كليهما ومعدل ضريبي أعلى على الاستهلاك (على سبيل المثال، الضريبة على القيمة المضافة المحددة بنسبة </w:t>
      </w:r>
      <w:r w:rsidRPr="00236F77">
        <w:rPr>
          <w:rtl/>
          <w:lang w:val="en-US"/>
        </w:rPr>
        <w:t>17</w:t>
      </w:r>
      <w:r w:rsidRPr="00AA0AD5">
        <w:rPr>
          <w:rtl/>
          <w:lang w:val="en-US"/>
        </w:rPr>
        <w:t xml:space="preserve"> في المائة)، وآثاره الضارة على الأفراد والفئات المحرومة والمهمشة (المادة </w:t>
      </w:r>
      <w:r w:rsidRPr="00236F77">
        <w:rPr>
          <w:rtl/>
          <w:lang w:val="en-US"/>
        </w:rPr>
        <w:t>2</w:t>
      </w:r>
      <w:r w:rsidRPr="00AA0AD5">
        <w:rPr>
          <w:rtl/>
          <w:lang w:val="en-US"/>
        </w:rPr>
        <w:t>(</w:t>
      </w:r>
      <w:r w:rsidRPr="00236F77">
        <w:rPr>
          <w:rtl/>
          <w:lang w:val="en-US"/>
        </w:rPr>
        <w:t>1</w:t>
      </w:r>
      <w:r w:rsidRPr="00AA0AD5">
        <w:rPr>
          <w:rtl/>
          <w:lang w:val="en-US"/>
        </w:rPr>
        <w:t xml:space="preserve">)). </w:t>
      </w:r>
    </w:p>
    <w:p w14:paraId="4E5B6C48" w14:textId="77777777" w:rsidR="007E78CF" w:rsidRPr="00EB2635" w:rsidRDefault="007E78CF" w:rsidP="00EB2635">
      <w:pPr>
        <w:pStyle w:val="SingleTxtGA"/>
        <w:spacing w:line="346" w:lineRule="exact"/>
        <w:rPr>
          <w:b/>
          <w:bCs/>
          <w:lang w:val="en-US"/>
        </w:rPr>
      </w:pPr>
      <w:r w:rsidRPr="00236F77">
        <w:rPr>
          <w:rtl/>
          <w:lang w:val="en-US"/>
        </w:rPr>
        <w:t>13</w:t>
      </w:r>
      <w:r w:rsidRPr="00AA0AD5">
        <w:rPr>
          <w:rtl/>
          <w:lang w:val="en-US"/>
        </w:rPr>
        <w:t>-</w:t>
      </w:r>
      <w:r w:rsidRPr="00AA0AD5">
        <w:rPr>
          <w:rtl/>
          <w:lang w:val="en-US"/>
        </w:rPr>
        <w:tab/>
      </w:r>
      <w:r w:rsidRPr="00EB2635">
        <w:rPr>
          <w:b/>
          <w:bCs/>
          <w:rtl/>
          <w:lang w:val="en-US"/>
        </w:rPr>
        <w:t>توصي اللجنة الدولة الطرف بما يلي:</w:t>
      </w:r>
    </w:p>
    <w:p w14:paraId="2455DD73" w14:textId="10A7B507" w:rsidR="007E78CF" w:rsidRPr="00EB2635" w:rsidRDefault="007E78CF" w:rsidP="00EB2635">
      <w:pPr>
        <w:pStyle w:val="SingleTxtGA"/>
        <w:spacing w:line="346" w:lineRule="exact"/>
        <w:rPr>
          <w:b/>
          <w:bCs/>
          <w:lang w:val="en-US"/>
        </w:rPr>
      </w:pPr>
      <w:r>
        <w:rPr>
          <w:rtl/>
          <w:lang w:val="en-US"/>
        </w:rPr>
        <w:tab/>
      </w:r>
      <w:r w:rsidRPr="00AA0AD5">
        <w:rPr>
          <w:rtl/>
          <w:lang w:val="en-US"/>
        </w:rPr>
        <w:t>(أ)</w:t>
      </w:r>
      <w:r w:rsidRPr="00AA0AD5">
        <w:rPr>
          <w:rtl/>
          <w:lang w:val="en-US"/>
        </w:rPr>
        <w:tab/>
      </w:r>
      <w:r w:rsidRPr="00EB2635">
        <w:rPr>
          <w:b/>
          <w:bCs/>
          <w:rtl/>
          <w:lang w:val="en-US"/>
        </w:rPr>
        <w:t xml:space="preserve">زيادة مستوى الإنفاق الاجتماعي، مع إيلاء اهتمام خاص للأشخاص المحرومين والمهمشين والمناطق التي فيها مستويات مرتفعة من البطالة والفقر؛ </w:t>
      </w:r>
    </w:p>
    <w:p w14:paraId="0D1D4FB6" w14:textId="0CD87898" w:rsidR="007E78CF" w:rsidRPr="00EB2635" w:rsidRDefault="007E78CF" w:rsidP="00EB2635">
      <w:pPr>
        <w:pStyle w:val="SingleTxtGA"/>
        <w:spacing w:line="346" w:lineRule="exact"/>
        <w:rPr>
          <w:b/>
          <w:bCs/>
          <w:lang w:val="en-US"/>
        </w:rPr>
      </w:pPr>
      <w:r>
        <w:rPr>
          <w:rtl/>
          <w:lang w:val="en-US"/>
        </w:rPr>
        <w:tab/>
      </w:r>
      <w:r w:rsidRPr="00AA0AD5">
        <w:rPr>
          <w:rtl/>
          <w:lang w:val="en-US"/>
        </w:rPr>
        <w:t>(ب)</w:t>
      </w:r>
      <w:r w:rsidRPr="00AA0AD5">
        <w:rPr>
          <w:rtl/>
          <w:lang w:val="en-US"/>
        </w:rPr>
        <w:tab/>
      </w:r>
      <w:r w:rsidRPr="00EB2635">
        <w:rPr>
          <w:b/>
          <w:bCs/>
          <w:rtl/>
          <w:lang w:val="en-US"/>
        </w:rPr>
        <w:t>إعادة النظر في سياستها المالية بغية تحسين قدرتها على تعبئة الموارد المحلية اللازمة وجعلها تصاعدية وغير تمييزية لزيادة أثرها من حيث إعادة التوزيع؛</w:t>
      </w:r>
    </w:p>
    <w:p w14:paraId="38879ECF" w14:textId="1B9B42F4" w:rsidR="007E78CF" w:rsidRPr="00EB2635" w:rsidRDefault="007E78CF" w:rsidP="00EB2635">
      <w:pPr>
        <w:pStyle w:val="SingleTxtGA"/>
        <w:spacing w:line="346" w:lineRule="exact"/>
        <w:rPr>
          <w:b/>
          <w:bCs/>
          <w:lang w:val="en-US"/>
        </w:rPr>
      </w:pPr>
      <w:r>
        <w:rPr>
          <w:rtl/>
          <w:lang w:val="en-US"/>
        </w:rPr>
        <w:tab/>
      </w:r>
      <w:r w:rsidRPr="00AA0AD5">
        <w:rPr>
          <w:rtl/>
          <w:lang w:val="en-US"/>
        </w:rPr>
        <w:t>(ج)</w:t>
      </w:r>
      <w:r w:rsidRPr="00AA0AD5">
        <w:rPr>
          <w:rtl/>
          <w:lang w:val="en-US"/>
        </w:rPr>
        <w:tab/>
      </w:r>
      <w:r w:rsidRPr="00EB2635">
        <w:rPr>
          <w:rFonts w:ascii="Times New Roman Bold" w:hAnsi="Times New Roman Bold"/>
          <w:b/>
          <w:bCs/>
          <w:spacing w:val="-4"/>
          <w:rtl/>
          <w:lang w:val="en-US"/>
        </w:rPr>
        <w:t>تقييم أثر زيادة ضرائب الاستهلاك، بما فيها الضريبة على القيمة المضافة، ولا سيما</w:t>
      </w:r>
      <w:r w:rsidRPr="00EB2635">
        <w:rPr>
          <w:b/>
          <w:bCs/>
          <w:rtl/>
          <w:lang w:val="en-US"/>
        </w:rPr>
        <w:t xml:space="preserve"> على الأسر المعيشية المنخفضة الدخل، واتخاذ إجراءات تصحيحية حسب الاقتضاء</w:t>
      </w:r>
      <w:r w:rsidR="00EB2635">
        <w:rPr>
          <w:rFonts w:hint="cs"/>
          <w:b/>
          <w:bCs/>
          <w:rtl/>
          <w:lang w:val="en-US"/>
        </w:rPr>
        <w:t>.</w:t>
      </w:r>
    </w:p>
    <w:p w14:paraId="45E42CB0" w14:textId="77777777" w:rsidR="007E78CF" w:rsidRPr="00AA0AD5" w:rsidRDefault="007E78CF" w:rsidP="007E78CF">
      <w:pPr>
        <w:pStyle w:val="H23GA"/>
      </w:pPr>
      <w:r w:rsidRPr="00AA0AD5">
        <w:rPr>
          <w:rtl/>
        </w:rPr>
        <w:tab/>
      </w:r>
      <w:r w:rsidRPr="00AA0AD5">
        <w:rPr>
          <w:rtl/>
        </w:rPr>
        <w:tab/>
        <w:t>الفساد</w:t>
      </w:r>
    </w:p>
    <w:p w14:paraId="5D932C56" w14:textId="44A530F1" w:rsidR="007E78CF" w:rsidRPr="00AA0AD5" w:rsidRDefault="007E78CF" w:rsidP="00EB2635">
      <w:pPr>
        <w:pStyle w:val="SingleTxtGA"/>
        <w:spacing w:line="346" w:lineRule="exact"/>
        <w:rPr>
          <w:lang w:val="en-US"/>
        </w:rPr>
      </w:pPr>
      <w:r w:rsidRPr="00236F77">
        <w:rPr>
          <w:rtl/>
          <w:lang w:val="en-US"/>
        </w:rPr>
        <w:t>14</w:t>
      </w:r>
      <w:r w:rsidRPr="00AA0AD5">
        <w:rPr>
          <w:rtl/>
          <w:lang w:val="en-US"/>
        </w:rPr>
        <w:t>-</w:t>
      </w:r>
      <w:r w:rsidRPr="00AA0AD5">
        <w:rPr>
          <w:rtl/>
          <w:lang w:val="en-US"/>
        </w:rPr>
        <w:tab/>
        <w:t>يساور اللجنة القلق إزاء استمرار ارتفاع مستوى الفساد في الدولة الطرف، وهو ما يعوق فعلي</w:t>
      </w:r>
      <w:r w:rsidR="00AB408B">
        <w:rPr>
          <w:rtl/>
          <w:lang w:val="en-US"/>
        </w:rPr>
        <w:t xml:space="preserve">اً </w:t>
      </w:r>
      <w:r w:rsidRPr="00AA0AD5">
        <w:rPr>
          <w:rtl/>
          <w:lang w:val="en-US"/>
        </w:rPr>
        <w:t xml:space="preserve">الحصول على الرعاية الصحية والتعليم والخدمات العامة الأخرى، ولا سيما من جانب الأفراد والفئات المحرومين والمهمشين. وبينما ترحب اللجنة بالتدابير التشريعية والمؤسسية التي اتخذها كانتونا سراييفو </w:t>
      </w:r>
      <w:proofErr w:type="spellStart"/>
      <w:r w:rsidRPr="00EB2635">
        <w:rPr>
          <w:spacing w:val="2"/>
          <w:rtl/>
          <w:lang w:val="en-US"/>
        </w:rPr>
        <w:t>وتوزلا</w:t>
      </w:r>
      <w:proofErr w:type="spellEnd"/>
      <w:r w:rsidRPr="00EB2635">
        <w:rPr>
          <w:spacing w:val="2"/>
          <w:rtl/>
          <w:lang w:val="en-US"/>
        </w:rPr>
        <w:t xml:space="preserve"> ومقاطعة </w:t>
      </w:r>
      <w:proofErr w:type="spellStart"/>
      <w:r w:rsidRPr="00EB2635">
        <w:rPr>
          <w:spacing w:val="2"/>
          <w:rtl/>
          <w:lang w:val="en-US"/>
        </w:rPr>
        <w:t>برتشكو</w:t>
      </w:r>
      <w:proofErr w:type="spellEnd"/>
      <w:r w:rsidRPr="00EB2635">
        <w:rPr>
          <w:spacing w:val="2"/>
          <w:rtl/>
          <w:lang w:val="en-US"/>
        </w:rPr>
        <w:t xml:space="preserve">، فإنها لا تزال قلقة لعدم اعتماد إطار تشريعي لمكافحة الفساد على صعيدي الوطن والكيانات، ولم يتم اعتماد استراتيجية جديدة لمكافحة الفساد للفترة </w:t>
      </w:r>
      <w:r w:rsidRPr="00236F77">
        <w:rPr>
          <w:spacing w:val="2"/>
          <w:rtl/>
          <w:lang w:val="en-US"/>
        </w:rPr>
        <w:t>2020</w:t>
      </w:r>
      <w:r w:rsidRPr="00EB2635">
        <w:rPr>
          <w:spacing w:val="2"/>
          <w:rtl/>
          <w:lang w:val="en-US"/>
        </w:rPr>
        <w:t>-</w:t>
      </w:r>
      <w:r w:rsidRPr="00236F77">
        <w:rPr>
          <w:spacing w:val="2"/>
          <w:rtl/>
          <w:lang w:val="en-US"/>
        </w:rPr>
        <w:t>2024</w:t>
      </w:r>
      <w:r w:rsidRPr="00EB2635">
        <w:rPr>
          <w:spacing w:val="2"/>
          <w:rtl/>
          <w:lang w:val="en-US"/>
        </w:rPr>
        <w:t xml:space="preserve"> (المادة </w:t>
      </w:r>
      <w:r w:rsidRPr="00236F77">
        <w:rPr>
          <w:spacing w:val="2"/>
          <w:rtl/>
          <w:lang w:val="en-US"/>
        </w:rPr>
        <w:t>2</w:t>
      </w:r>
      <w:r w:rsidRPr="00EB2635">
        <w:rPr>
          <w:spacing w:val="2"/>
          <w:rtl/>
          <w:lang w:val="en-US"/>
        </w:rPr>
        <w:t>(</w:t>
      </w:r>
      <w:r w:rsidRPr="00236F77">
        <w:rPr>
          <w:spacing w:val="2"/>
          <w:rtl/>
          <w:lang w:val="en-US"/>
        </w:rPr>
        <w:t>1</w:t>
      </w:r>
      <w:r w:rsidRPr="00EB2635">
        <w:rPr>
          <w:spacing w:val="2"/>
          <w:rtl/>
          <w:lang w:val="en-US"/>
        </w:rPr>
        <w:t>)).</w:t>
      </w:r>
    </w:p>
    <w:p w14:paraId="7218B542" w14:textId="77777777" w:rsidR="007E78CF" w:rsidRPr="00EB2635" w:rsidRDefault="007E78CF" w:rsidP="00F20C79">
      <w:pPr>
        <w:pStyle w:val="SingleTxtGA"/>
        <w:spacing w:line="346" w:lineRule="exact"/>
        <w:rPr>
          <w:b/>
          <w:bCs/>
          <w:lang w:val="en-US"/>
        </w:rPr>
      </w:pPr>
      <w:r w:rsidRPr="00236F77">
        <w:rPr>
          <w:rtl/>
          <w:lang w:val="en-US"/>
        </w:rPr>
        <w:lastRenderedPageBreak/>
        <w:t>15</w:t>
      </w:r>
      <w:r w:rsidRPr="00AA0AD5">
        <w:rPr>
          <w:rtl/>
          <w:lang w:val="en-US"/>
        </w:rPr>
        <w:t>-</w:t>
      </w:r>
      <w:r w:rsidRPr="00AA0AD5">
        <w:rPr>
          <w:rtl/>
          <w:lang w:val="en-US"/>
        </w:rPr>
        <w:tab/>
      </w:r>
      <w:r w:rsidRPr="00EB2635">
        <w:rPr>
          <w:b/>
          <w:bCs/>
          <w:rtl/>
          <w:lang w:val="en-US"/>
        </w:rPr>
        <w:t>توصي اللجنة الدولة الطرف بتكثيف جهودها على جميع مستويات الحكومة لمكافحة الفساد في القطاعين العام والخاص كليهما؛ وتوصي اللجنة الدولة الطرف، على وجه الخصوص، بما يلي:</w:t>
      </w:r>
    </w:p>
    <w:p w14:paraId="38EE92E6" w14:textId="28DC021A" w:rsidR="007E78CF" w:rsidRPr="00EB2635" w:rsidRDefault="007E78CF" w:rsidP="00F20C79">
      <w:pPr>
        <w:pStyle w:val="SingleTxtGA"/>
        <w:spacing w:line="346" w:lineRule="exact"/>
        <w:rPr>
          <w:b/>
          <w:bCs/>
          <w:lang w:val="en-US"/>
        </w:rPr>
      </w:pPr>
      <w:r>
        <w:rPr>
          <w:rtl/>
          <w:lang w:val="en-US"/>
        </w:rPr>
        <w:tab/>
      </w:r>
      <w:r w:rsidRPr="00AA0AD5">
        <w:rPr>
          <w:rtl/>
          <w:lang w:val="en-US"/>
        </w:rPr>
        <w:t>(أ)</w:t>
      </w:r>
      <w:r w:rsidRPr="00AA0AD5">
        <w:rPr>
          <w:rtl/>
          <w:lang w:val="en-US"/>
        </w:rPr>
        <w:tab/>
      </w:r>
      <w:r w:rsidRPr="00EB2635">
        <w:rPr>
          <w:b/>
          <w:bCs/>
          <w:rtl/>
          <w:lang w:val="en-US"/>
        </w:rPr>
        <w:t xml:space="preserve">تسريع اعتماد استراتيجية جديدة لمكافحة الفساد، مع إيلاء اهتمام خاص للتأثير السلبي للفساد على تمتع الفئات المحرومة والمهمشة بالحقوق الاقتصادية والاجتماعية والثقافية؛ </w:t>
      </w:r>
    </w:p>
    <w:p w14:paraId="33864704" w14:textId="1B4969ED" w:rsidR="007E78CF" w:rsidRPr="00EB2635" w:rsidRDefault="007E78CF" w:rsidP="00F20C79">
      <w:pPr>
        <w:pStyle w:val="SingleTxtGA"/>
        <w:spacing w:line="346" w:lineRule="exact"/>
        <w:rPr>
          <w:b/>
          <w:bCs/>
          <w:lang w:val="en-US"/>
        </w:rPr>
      </w:pPr>
      <w:r>
        <w:rPr>
          <w:rtl/>
          <w:lang w:val="en-US"/>
        </w:rPr>
        <w:tab/>
      </w:r>
      <w:r w:rsidRPr="00AA0AD5">
        <w:rPr>
          <w:rtl/>
          <w:lang w:val="en-US"/>
        </w:rPr>
        <w:t>(ب)</w:t>
      </w:r>
      <w:r w:rsidRPr="00AA0AD5">
        <w:rPr>
          <w:rtl/>
          <w:lang w:val="en-US"/>
        </w:rPr>
        <w:tab/>
      </w:r>
      <w:r w:rsidRPr="00EB2635">
        <w:rPr>
          <w:b/>
          <w:bCs/>
          <w:rtl/>
          <w:lang w:val="en-US"/>
        </w:rPr>
        <w:t>اعتماد إطار تشريعي شامل لمكافحة الفساد لجميع مستويات الحكومة ينص على منع الفساد في القطاعين العام والخاص كليهما، ومنع تضارب المصالح؛</w:t>
      </w:r>
    </w:p>
    <w:p w14:paraId="415F268A" w14:textId="6A7171B3" w:rsidR="007E78CF" w:rsidRPr="00EB2635" w:rsidRDefault="007E78CF" w:rsidP="00F20C79">
      <w:pPr>
        <w:pStyle w:val="SingleTxtGA"/>
        <w:spacing w:line="346" w:lineRule="exact"/>
        <w:rPr>
          <w:b/>
          <w:bCs/>
          <w:lang w:val="en-US"/>
        </w:rPr>
      </w:pPr>
      <w:r>
        <w:rPr>
          <w:rtl/>
          <w:lang w:val="en-US"/>
        </w:rPr>
        <w:tab/>
      </w:r>
      <w:r w:rsidRPr="00AA0AD5">
        <w:rPr>
          <w:rtl/>
          <w:lang w:val="en-US"/>
        </w:rPr>
        <w:t>(ج)</w:t>
      </w:r>
      <w:r w:rsidRPr="00AA0AD5">
        <w:rPr>
          <w:rtl/>
          <w:lang w:val="en-US"/>
        </w:rPr>
        <w:tab/>
      </w:r>
      <w:r w:rsidRPr="00EB2635">
        <w:rPr>
          <w:rFonts w:ascii="Times New Roman Bold" w:hAnsi="Times New Roman Bold"/>
          <w:b/>
          <w:bCs/>
          <w:spacing w:val="-2"/>
          <w:rtl/>
          <w:lang w:val="en-US"/>
        </w:rPr>
        <w:t>تعزيز إنفاذ أحكام مكافحة الفساد، بما في ذلك من خلال التحقيق والملاحقة القضائية</w:t>
      </w:r>
      <w:r w:rsidRPr="00EB2635">
        <w:rPr>
          <w:b/>
          <w:bCs/>
          <w:rtl/>
          <w:lang w:val="en-US"/>
        </w:rPr>
        <w:t xml:space="preserve"> الفوريين والشاملين، ومعاقبة من تثبت إدانتهم بعقوبات متناسبة؛</w:t>
      </w:r>
    </w:p>
    <w:p w14:paraId="7A565DE9" w14:textId="1D23E09B" w:rsidR="007E78CF" w:rsidRPr="00EB2635" w:rsidRDefault="007E78CF" w:rsidP="00F20C79">
      <w:pPr>
        <w:pStyle w:val="SingleTxtGA"/>
        <w:spacing w:line="346" w:lineRule="exact"/>
        <w:rPr>
          <w:b/>
          <w:bCs/>
          <w:lang w:val="en-US"/>
        </w:rPr>
      </w:pPr>
      <w:r>
        <w:rPr>
          <w:rtl/>
          <w:lang w:val="en-US"/>
        </w:rPr>
        <w:tab/>
      </w:r>
      <w:r w:rsidRPr="00AA0AD5">
        <w:rPr>
          <w:rtl/>
          <w:lang w:val="en-US"/>
        </w:rPr>
        <w:t>(د)</w:t>
      </w:r>
      <w:r w:rsidRPr="00AA0AD5">
        <w:rPr>
          <w:rtl/>
          <w:lang w:val="en-US"/>
        </w:rPr>
        <w:tab/>
      </w:r>
      <w:r w:rsidRPr="00EB2635">
        <w:rPr>
          <w:b/>
          <w:bCs/>
          <w:rtl/>
          <w:lang w:val="en-US"/>
        </w:rPr>
        <w:t>اتخاذ تدابير لتوفير حماية فعالة لضحايا الفساد، ومحاميهم، والناشطين في مجال مكافحة الفساد، والمبلّغين عن وقوع مخالفات، والشهود.</w:t>
      </w:r>
    </w:p>
    <w:p w14:paraId="5E5DB56B" w14:textId="77777777" w:rsidR="007E78CF" w:rsidRPr="00AA0AD5" w:rsidRDefault="007E78CF" w:rsidP="00F20C79">
      <w:pPr>
        <w:pStyle w:val="H23GA"/>
        <w:spacing w:line="346" w:lineRule="exact"/>
      </w:pPr>
      <w:r w:rsidRPr="00AA0AD5">
        <w:rPr>
          <w:rtl/>
        </w:rPr>
        <w:tab/>
      </w:r>
      <w:r w:rsidRPr="00AA0AD5">
        <w:rPr>
          <w:rtl/>
        </w:rPr>
        <w:tab/>
        <w:t>عدم التمييز</w:t>
      </w:r>
    </w:p>
    <w:p w14:paraId="4C05BACA" w14:textId="27B4F7A2" w:rsidR="007E78CF" w:rsidRPr="00AA0AD5" w:rsidRDefault="007E78CF" w:rsidP="00F20C79">
      <w:pPr>
        <w:pStyle w:val="SingleTxtGA"/>
        <w:spacing w:line="346" w:lineRule="exact"/>
        <w:rPr>
          <w:lang w:val="en-US"/>
        </w:rPr>
      </w:pPr>
      <w:r w:rsidRPr="00236F77">
        <w:rPr>
          <w:rtl/>
          <w:lang w:val="en-US"/>
        </w:rPr>
        <w:t>16</w:t>
      </w:r>
      <w:r w:rsidRPr="00AA0AD5">
        <w:rPr>
          <w:rtl/>
          <w:lang w:val="en-US"/>
        </w:rPr>
        <w:t>-</w:t>
      </w:r>
      <w:r w:rsidRPr="00AA0AD5">
        <w:rPr>
          <w:rtl/>
          <w:lang w:val="en-US"/>
        </w:rPr>
        <w:tab/>
        <w:t xml:space="preserve">تشير اللجنة بقلق إلى أن الدولة الطرف لم تقم بعد بمواءمة تشريعاتها المناهضة للتمييز مع قانون حظر التمييز ولم تعتمد استراتيجية لحقوق الإنسان ومناهضة التمييز. كما يساورها القلق إزاء عدم وجود نظام موحد لجمع البيانات عن حالات التمييز مشترك بين مؤسسات أمين مظالم حقوق الإنسان والسلطة القضائية ووزارة حقوق الإنسان واللاجئين، مما يؤدي إلى نقص المعلومات والبيانات الإحصائية الموثوقة عن التمييز، وأعاق وضع تدابير فعالة للقضاء على التمييز (المادة </w:t>
      </w:r>
      <w:r w:rsidRPr="00236F77">
        <w:rPr>
          <w:rtl/>
          <w:lang w:val="en-US"/>
        </w:rPr>
        <w:t>2</w:t>
      </w:r>
      <w:r w:rsidRPr="00AA0AD5">
        <w:rPr>
          <w:rtl/>
          <w:lang w:val="en-US"/>
        </w:rPr>
        <w:t>(</w:t>
      </w:r>
      <w:r w:rsidRPr="00236F77">
        <w:rPr>
          <w:rtl/>
          <w:lang w:val="en-US"/>
        </w:rPr>
        <w:t>2</w:t>
      </w:r>
      <w:r w:rsidRPr="00AA0AD5">
        <w:rPr>
          <w:rtl/>
          <w:lang w:val="en-US"/>
        </w:rPr>
        <w:t xml:space="preserve">)). </w:t>
      </w:r>
    </w:p>
    <w:p w14:paraId="12DBA6F6" w14:textId="011FEF1C" w:rsidR="007E78CF" w:rsidRPr="00EB2635" w:rsidRDefault="007E78CF" w:rsidP="00F20C79">
      <w:pPr>
        <w:pStyle w:val="SingleTxtGA"/>
        <w:spacing w:line="346" w:lineRule="exact"/>
        <w:rPr>
          <w:b/>
          <w:bCs/>
          <w:lang w:val="en-US"/>
        </w:rPr>
      </w:pPr>
      <w:r w:rsidRPr="00236F77">
        <w:rPr>
          <w:rtl/>
          <w:lang w:val="en-US"/>
        </w:rPr>
        <w:t>17</w:t>
      </w:r>
      <w:r w:rsidRPr="00AA0AD5">
        <w:rPr>
          <w:rtl/>
          <w:lang w:val="en-US"/>
        </w:rPr>
        <w:t>-</w:t>
      </w:r>
      <w:r w:rsidRPr="00AA0AD5">
        <w:rPr>
          <w:rtl/>
          <w:lang w:val="en-US"/>
        </w:rPr>
        <w:tab/>
      </w:r>
      <w:r w:rsidRPr="00EB2635">
        <w:rPr>
          <w:b/>
          <w:bCs/>
          <w:rtl/>
          <w:lang w:val="en-US"/>
        </w:rPr>
        <w:t xml:space="preserve">توصي اللجنة الدولة الطرف بتسريع اعتماد استراتيجية لحقوق الإنسان ومناهضة التمييز، واستعراض الأحكام القائمة لمكافحة التمييز بغية مواءمتها مع المادة </w:t>
      </w:r>
      <w:r w:rsidRPr="00236F77">
        <w:rPr>
          <w:b/>
          <w:bCs/>
          <w:rtl/>
          <w:lang w:val="en-US"/>
        </w:rPr>
        <w:t>2</w:t>
      </w:r>
      <w:r w:rsidRPr="00EB2635">
        <w:rPr>
          <w:b/>
          <w:bCs/>
          <w:rtl/>
          <w:lang w:val="en-US"/>
        </w:rPr>
        <w:t>(</w:t>
      </w:r>
      <w:r w:rsidRPr="00236F77">
        <w:rPr>
          <w:b/>
          <w:bCs/>
          <w:rtl/>
          <w:lang w:val="en-US"/>
        </w:rPr>
        <w:t>2</w:t>
      </w:r>
      <w:r w:rsidRPr="00EB2635">
        <w:rPr>
          <w:b/>
          <w:bCs/>
          <w:rtl/>
          <w:lang w:val="en-US"/>
        </w:rPr>
        <w:t>) من العهد. وتوصي أيض</w:t>
      </w:r>
      <w:r w:rsidR="00AB408B">
        <w:rPr>
          <w:b/>
          <w:bCs/>
          <w:rtl/>
          <w:lang w:val="en-US"/>
        </w:rPr>
        <w:t xml:space="preserve">اً </w:t>
      </w:r>
      <w:r w:rsidRPr="00EB2635">
        <w:rPr>
          <w:b/>
          <w:bCs/>
          <w:rtl/>
          <w:lang w:val="en-US"/>
        </w:rPr>
        <w:t>بأن تنشئ الدولة الطرف نظام</w:t>
      </w:r>
      <w:r w:rsidR="00AB408B">
        <w:rPr>
          <w:b/>
          <w:bCs/>
          <w:rtl/>
          <w:lang w:val="en-US"/>
        </w:rPr>
        <w:t xml:space="preserve">اً </w:t>
      </w:r>
      <w:r w:rsidRPr="00EB2635">
        <w:rPr>
          <w:b/>
          <w:bCs/>
          <w:rtl/>
          <w:lang w:val="en-US"/>
        </w:rPr>
        <w:t>موحد</w:t>
      </w:r>
      <w:r w:rsidR="00AB408B">
        <w:rPr>
          <w:b/>
          <w:bCs/>
          <w:rtl/>
          <w:lang w:val="en-US"/>
        </w:rPr>
        <w:t xml:space="preserve">اً </w:t>
      </w:r>
      <w:r w:rsidRPr="00EB2635">
        <w:rPr>
          <w:b/>
          <w:bCs/>
          <w:rtl/>
          <w:lang w:val="en-US"/>
        </w:rPr>
        <w:t>لجمع البيانات عن حالات التمييز لجميع الأجهزة العامة ذات</w:t>
      </w:r>
      <w:r w:rsidR="00EB2635">
        <w:rPr>
          <w:rFonts w:hint="cs"/>
          <w:b/>
          <w:bCs/>
          <w:rtl/>
          <w:lang w:val="en-US"/>
        </w:rPr>
        <w:t> </w:t>
      </w:r>
      <w:r w:rsidRPr="00EB2635">
        <w:rPr>
          <w:b/>
          <w:bCs/>
          <w:rtl/>
          <w:lang w:val="en-US"/>
        </w:rPr>
        <w:t xml:space="preserve">الصلة التي لها ولاية مناهضة للتمييز، وأن تضع سياسات وبرامج لمكافحة التمييز تستند إلى المعلومات والبيانات التي تجمع من خلال النظام. وتوجه اللجنة انتباه الدولة الطرف إلى تعليقها العام رقم </w:t>
      </w:r>
      <w:r w:rsidRPr="00236F77">
        <w:rPr>
          <w:b/>
          <w:bCs/>
          <w:rtl/>
          <w:lang w:val="en-US"/>
        </w:rPr>
        <w:t>20</w:t>
      </w:r>
      <w:r w:rsidRPr="00EB2635">
        <w:rPr>
          <w:b/>
          <w:bCs/>
          <w:rtl/>
          <w:lang w:val="en-US"/>
        </w:rPr>
        <w:t>(</w:t>
      </w:r>
      <w:r w:rsidRPr="00236F77">
        <w:rPr>
          <w:b/>
          <w:bCs/>
          <w:rtl/>
          <w:lang w:val="en-US"/>
        </w:rPr>
        <w:t>2009</w:t>
      </w:r>
      <w:r w:rsidRPr="00EB2635">
        <w:rPr>
          <w:b/>
          <w:bCs/>
          <w:rtl/>
          <w:lang w:val="en-US"/>
        </w:rPr>
        <w:t>) بشأن عدم التمييز في الحقوق الاقتصادية والاجتماعية والثقافية.</w:t>
      </w:r>
    </w:p>
    <w:p w14:paraId="0FA0DB1A" w14:textId="77777777" w:rsidR="007E78CF" w:rsidRPr="00AA0AD5" w:rsidRDefault="007E78CF" w:rsidP="00F20C79">
      <w:pPr>
        <w:pStyle w:val="H23GA"/>
        <w:spacing w:line="346" w:lineRule="exact"/>
      </w:pPr>
      <w:r w:rsidRPr="00AA0AD5">
        <w:rPr>
          <w:rtl/>
        </w:rPr>
        <w:tab/>
      </w:r>
      <w:r w:rsidRPr="00AA0AD5">
        <w:rPr>
          <w:rtl/>
        </w:rPr>
        <w:tab/>
        <w:t>التمييز ضد الروما والأشخاص المنتمين إلى أقليات قومية</w:t>
      </w:r>
    </w:p>
    <w:p w14:paraId="29021C9C" w14:textId="38878D15" w:rsidR="007E78CF" w:rsidRPr="00AA0AD5" w:rsidRDefault="007E78CF" w:rsidP="00F20C79">
      <w:pPr>
        <w:pStyle w:val="SingleTxtGA"/>
        <w:spacing w:line="346" w:lineRule="exact"/>
        <w:rPr>
          <w:lang w:val="en-US"/>
        </w:rPr>
      </w:pPr>
      <w:r w:rsidRPr="00236F77">
        <w:rPr>
          <w:rtl/>
          <w:lang w:val="en-US"/>
        </w:rPr>
        <w:t>18</w:t>
      </w:r>
      <w:r w:rsidRPr="00AA0AD5">
        <w:rPr>
          <w:rtl/>
          <w:lang w:val="en-US"/>
        </w:rPr>
        <w:t>-</w:t>
      </w:r>
      <w:r w:rsidRPr="00AA0AD5">
        <w:rPr>
          <w:rtl/>
          <w:lang w:val="en-US"/>
        </w:rPr>
        <w:tab/>
        <w:t>يساور اللجنة القلق إزاء استمرار وتفشي وصم الروما والأشخاص المنتمين إلى أقليات قومية والتمييز ضدهم. كما يساورها القلق إزاء تزايد خطاب الكراهية وجرائم الكراهية التي تستهدفهم، مما أدى إلى تفاقم وضع الحرمان والتهميش الذي يعيشون فيه فعل</w:t>
      </w:r>
      <w:r w:rsidR="00AB408B">
        <w:rPr>
          <w:rtl/>
          <w:lang w:val="en-US"/>
        </w:rPr>
        <w:t xml:space="preserve">اً </w:t>
      </w:r>
      <w:r w:rsidRPr="00AA0AD5">
        <w:rPr>
          <w:rtl/>
          <w:lang w:val="en-US"/>
        </w:rPr>
        <w:t xml:space="preserve">في جميع المجالات المتصلة بالحقوق المنصوص عليها في العهد. ويساورها القلق كذلك لعدم إحراز سوى القليل من التقدم في تحسين تمثيلهم في الهيئتين التنفيذية والتشريعية ومشاركتهم في عمليات صنع القرار لمعالجة شواغلهم (المادة </w:t>
      </w:r>
      <w:r w:rsidRPr="00236F77">
        <w:rPr>
          <w:rtl/>
          <w:lang w:val="en-US"/>
        </w:rPr>
        <w:t>2</w:t>
      </w:r>
      <w:r w:rsidRPr="00AA0AD5">
        <w:rPr>
          <w:rtl/>
          <w:lang w:val="en-US"/>
        </w:rPr>
        <w:t>(</w:t>
      </w:r>
      <w:r w:rsidRPr="00236F77">
        <w:rPr>
          <w:rtl/>
          <w:lang w:val="en-US"/>
        </w:rPr>
        <w:t>2</w:t>
      </w:r>
      <w:r w:rsidRPr="00AA0AD5">
        <w:rPr>
          <w:rtl/>
          <w:lang w:val="en-US"/>
        </w:rPr>
        <w:t>)).</w:t>
      </w:r>
    </w:p>
    <w:p w14:paraId="51104DEF" w14:textId="77777777" w:rsidR="007E78CF" w:rsidRPr="00F20C79" w:rsidRDefault="007E78CF" w:rsidP="00F20C79">
      <w:pPr>
        <w:pStyle w:val="SingleTxtGA"/>
        <w:spacing w:line="346" w:lineRule="exact"/>
        <w:rPr>
          <w:b/>
          <w:bCs/>
          <w:lang w:val="en-US"/>
        </w:rPr>
      </w:pPr>
      <w:r w:rsidRPr="00236F77">
        <w:rPr>
          <w:rtl/>
          <w:lang w:val="en-US"/>
        </w:rPr>
        <w:t>19</w:t>
      </w:r>
      <w:r w:rsidRPr="00AA0AD5">
        <w:rPr>
          <w:rtl/>
          <w:lang w:val="en-US"/>
        </w:rPr>
        <w:t>-</w:t>
      </w:r>
      <w:r w:rsidRPr="00AA0AD5">
        <w:rPr>
          <w:rtl/>
          <w:lang w:val="en-US"/>
        </w:rPr>
        <w:tab/>
      </w:r>
      <w:r w:rsidRPr="00F20C79">
        <w:rPr>
          <w:b/>
          <w:bCs/>
          <w:rtl/>
          <w:lang w:val="en-US"/>
        </w:rPr>
        <w:t>توصي اللجنة الدولة الطرف بما يلي:</w:t>
      </w:r>
    </w:p>
    <w:p w14:paraId="798AABAD" w14:textId="046C6876" w:rsidR="007E78CF" w:rsidRPr="00F20C79" w:rsidRDefault="007E78CF" w:rsidP="00F20C79">
      <w:pPr>
        <w:pStyle w:val="SingleTxtGA"/>
        <w:spacing w:line="346" w:lineRule="exact"/>
        <w:rPr>
          <w:b/>
          <w:bCs/>
          <w:lang w:val="en-US"/>
        </w:rPr>
      </w:pPr>
      <w:r>
        <w:rPr>
          <w:rtl/>
          <w:lang w:val="en-US"/>
        </w:rPr>
        <w:tab/>
      </w:r>
      <w:r w:rsidRPr="00AA0AD5">
        <w:rPr>
          <w:rtl/>
          <w:lang w:val="en-US"/>
        </w:rPr>
        <w:t>(أ)</w:t>
      </w:r>
      <w:r w:rsidRPr="00AA0AD5">
        <w:rPr>
          <w:rtl/>
          <w:lang w:val="en-US"/>
        </w:rPr>
        <w:tab/>
      </w:r>
      <w:r w:rsidRPr="00F20C79">
        <w:rPr>
          <w:b/>
          <w:bCs/>
          <w:rtl/>
          <w:lang w:val="en-US"/>
        </w:rPr>
        <w:t xml:space="preserve">التصدي بشكل استباقي للوصم والتمييز ضد الروما والأشخاص المنتمين إلى جماعات الأقليات العرقية، وزيادة الوعي بين هؤلاء الأشخاص بحقوقهم، والإجراءات القضائية وغيرها من الإجراءات التي يمكن الاستفادة منها للمطالبة بحقوقهم؛ </w:t>
      </w:r>
    </w:p>
    <w:p w14:paraId="57E91497" w14:textId="4DF03BA7" w:rsidR="007E78CF" w:rsidRPr="00F20C79" w:rsidRDefault="007E78CF" w:rsidP="00F20C79">
      <w:pPr>
        <w:pStyle w:val="SingleTxtGA"/>
        <w:spacing w:line="346" w:lineRule="exact"/>
        <w:rPr>
          <w:b/>
          <w:bCs/>
          <w:lang w:val="en-US"/>
        </w:rPr>
      </w:pPr>
      <w:r>
        <w:rPr>
          <w:rtl/>
          <w:lang w:val="en-US"/>
        </w:rPr>
        <w:tab/>
      </w:r>
      <w:r w:rsidRPr="00AA0AD5">
        <w:rPr>
          <w:rtl/>
          <w:lang w:val="en-US"/>
        </w:rPr>
        <w:t>(ب)</w:t>
      </w:r>
      <w:r w:rsidRPr="00AA0AD5">
        <w:rPr>
          <w:rtl/>
          <w:lang w:val="en-US"/>
        </w:rPr>
        <w:tab/>
      </w:r>
      <w:r w:rsidRPr="00AB408B">
        <w:rPr>
          <w:rFonts w:ascii="Times New Roman Bold" w:hAnsi="Times New Roman Bold"/>
          <w:b/>
          <w:bCs/>
          <w:spacing w:val="-2"/>
          <w:rtl/>
          <w:lang w:val="en-US"/>
        </w:rPr>
        <w:t xml:space="preserve">كفالة التحقيق في أعمال التمييز وخطاب الكراهية بسرعة وبشكل مستفيض ومقاضاة </w:t>
      </w:r>
      <w:r w:rsidRPr="00F20C79">
        <w:rPr>
          <w:b/>
          <w:bCs/>
          <w:rtl/>
          <w:lang w:val="en-US"/>
        </w:rPr>
        <w:t>المسؤولين عنها ومعاقبتهم؛</w:t>
      </w:r>
    </w:p>
    <w:p w14:paraId="23C7D1BA" w14:textId="142D45C5" w:rsidR="007E78CF" w:rsidRPr="00F20C79" w:rsidRDefault="007E78CF" w:rsidP="00F20C79">
      <w:pPr>
        <w:pStyle w:val="SingleTxtGA"/>
        <w:spacing w:line="346" w:lineRule="exact"/>
        <w:rPr>
          <w:b/>
          <w:bCs/>
          <w:lang w:val="en-US"/>
        </w:rPr>
      </w:pPr>
      <w:r>
        <w:rPr>
          <w:rtl/>
          <w:lang w:val="en-US"/>
        </w:rPr>
        <w:tab/>
      </w:r>
      <w:r w:rsidRPr="00AA0AD5">
        <w:rPr>
          <w:rtl/>
          <w:lang w:val="en-US"/>
        </w:rPr>
        <w:t>(ج)</w:t>
      </w:r>
      <w:r w:rsidRPr="00AA0AD5">
        <w:rPr>
          <w:rtl/>
          <w:lang w:val="en-US"/>
        </w:rPr>
        <w:tab/>
      </w:r>
      <w:r w:rsidRPr="00F20C79">
        <w:rPr>
          <w:b/>
          <w:bCs/>
          <w:rtl/>
          <w:lang w:val="en-US"/>
        </w:rPr>
        <w:t>تسريع اعتماد خطة عمل جديدة لمعالجة قضايا الروما في مجالات العمالة والإسكان والرعاية الصحية، وتنفيذها بفعالية بتمويل كاف بمجرد اعتمادها.</w:t>
      </w:r>
    </w:p>
    <w:p w14:paraId="43C5A37D" w14:textId="77777777" w:rsidR="007E78CF" w:rsidRPr="00AA0AD5" w:rsidRDefault="007E78CF" w:rsidP="007E78CF">
      <w:pPr>
        <w:pStyle w:val="H23GA"/>
      </w:pPr>
      <w:r w:rsidRPr="00AA0AD5">
        <w:rPr>
          <w:rtl/>
        </w:rPr>
        <w:lastRenderedPageBreak/>
        <w:tab/>
      </w:r>
      <w:r w:rsidRPr="00AA0AD5">
        <w:rPr>
          <w:rtl/>
        </w:rPr>
        <w:tab/>
        <w:t>اللاجئون وطالبو اللجوء والمهاجرون</w:t>
      </w:r>
    </w:p>
    <w:p w14:paraId="101DC0DD" w14:textId="57E22803" w:rsidR="007E78CF" w:rsidRPr="00AA0AD5" w:rsidRDefault="007E78CF" w:rsidP="00AA0AD5">
      <w:pPr>
        <w:pStyle w:val="SingleTxtGA"/>
        <w:rPr>
          <w:lang w:val="en-US"/>
        </w:rPr>
      </w:pPr>
      <w:r w:rsidRPr="00236F77">
        <w:rPr>
          <w:rtl/>
          <w:lang w:val="en-US"/>
        </w:rPr>
        <w:t>20</w:t>
      </w:r>
      <w:r w:rsidRPr="00AA0AD5">
        <w:rPr>
          <w:rtl/>
          <w:lang w:val="en-US"/>
        </w:rPr>
        <w:t>-</w:t>
      </w:r>
      <w:r w:rsidRPr="00AA0AD5">
        <w:rPr>
          <w:rtl/>
          <w:lang w:val="en-US"/>
        </w:rPr>
        <w:tab/>
      </w:r>
      <w:r w:rsidRPr="00F20C79">
        <w:rPr>
          <w:spacing w:val="-2"/>
          <w:rtl/>
          <w:lang w:val="en-US"/>
        </w:rPr>
        <w:t>بينما تشير اللجنة إلى الجهود التي تبذلها الدولة الطرف بالتعاون مع المنظمات الدولية والمنظمات</w:t>
      </w:r>
      <w:r w:rsidRPr="00AA0AD5">
        <w:rPr>
          <w:rtl/>
          <w:lang w:val="en-US"/>
        </w:rPr>
        <w:t xml:space="preserve"> غير الحكومية للاستجابة لتدفق اللاجئين وطالبي اللجوء والمهاجرين، لا تزال تشعر بالقلق إزاء عدم كفاية قدرات مرافق الاستقبال وسوء الأحوال المعيشية فيها، ولا سيما في سياق جائحة مرض فيروس كورونا (كوفيد-</w:t>
      </w:r>
      <w:r w:rsidRPr="00236F77">
        <w:rPr>
          <w:rtl/>
          <w:lang w:val="en-US"/>
        </w:rPr>
        <w:t>19</w:t>
      </w:r>
      <w:r w:rsidRPr="00AA0AD5">
        <w:rPr>
          <w:rtl/>
          <w:lang w:val="en-US"/>
        </w:rPr>
        <w:t xml:space="preserve">). كما يساورها القلق إزاء محدودية فرص الحصول على الرعاية الصحية والتعليم والخدمات الأساسية الأخرى، ولا سيما من محتجزين خارج مرافق الاستقبال المعينة (المادة </w:t>
      </w:r>
      <w:r w:rsidRPr="00236F77">
        <w:rPr>
          <w:rtl/>
          <w:lang w:val="en-US"/>
        </w:rPr>
        <w:t>2</w:t>
      </w:r>
      <w:r w:rsidRPr="00AA0AD5">
        <w:rPr>
          <w:rtl/>
          <w:lang w:val="en-US"/>
        </w:rPr>
        <w:t>(</w:t>
      </w:r>
      <w:r w:rsidRPr="00236F77">
        <w:rPr>
          <w:rtl/>
          <w:lang w:val="en-US"/>
        </w:rPr>
        <w:t>2</w:t>
      </w:r>
      <w:r w:rsidRPr="00AA0AD5">
        <w:rPr>
          <w:rtl/>
          <w:lang w:val="en-US"/>
        </w:rPr>
        <w:t>)).</w:t>
      </w:r>
    </w:p>
    <w:p w14:paraId="607C9894" w14:textId="77777777" w:rsidR="007E78CF" w:rsidRPr="00F20C79" w:rsidRDefault="007E78CF" w:rsidP="00AA0AD5">
      <w:pPr>
        <w:pStyle w:val="SingleTxtGA"/>
        <w:rPr>
          <w:b/>
          <w:bCs/>
          <w:lang w:val="en-US"/>
        </w:rPr>
      </w:pPr>
      <w:r w:rsidRPr="00236F77">
        <w:rPr>
          <w:rtl/>
          <w:lang w:val="en-US"/>
        </w:rPr>
        <w:t>21</w:t>
      </w:r>
      <w:r w:rsidRPr="00AA0AD5">
        <w:rPr>
          <w:rtl/>
          <w:lang w:val="en-US"/>
        </w:rPr>
        <w:t>-</w:t>
      </w:r>
      <w:r w:rsidRPr="00AA0AD5">
        <w:rPr>
          <w:rtl/>
          <w:lang w:val="en-US"/>
        </w:rPr>
        <w:tab/>
      </w:r>
      <w:r w:rsidRPr="00F20C79">
        <w:rPr>
          <w:b/>
          <w:bCs/>
          <w:rtl/>
          <w:lang w:val="en-US"/>
        </w:rPr>
        <w:t>توصي اللجنة الدولة الطرف بما يلي:</w:t>
      </w:r>
    </w:p>
    <w:p w14:paraId="26F64BBF" w14:textId="27DA50B6" w:rsidR="007E78CF" w:rsidRPr="00F20C79" w:rsidRDefault="007E78CF" w:rsidP="00AA0AD5">
      <w:pPr>
        <w:pStyle w:val="SingleTxtGA"/>
        <w:rPr>
          <w:b/>
          <w:bCs/>
          <w:lang w:val="en-US"/>
        </w:rPr>
      </w:pPr>
      <w:r>
        <w:rPr>
          <w:rtl/>
          <w:lang w:val="en-US"/>
        </w:rPr>
        <w:tab/>
      </w:r>
      <w:r w:rsidRPr="00AA0AD5">
        <w:rPr>
          <w:rtl/>
          <w:lang w:val="en-US"/>
        </w:rPr>
        <w:t>(أ)</w:t>
      </w:r>
      <w:r w:rsidRPr="00AA0AD5">
        <w:rPr>
          <w:rtl/>
          <w:lang w:val="en-US"/>
        </w:rPr>
        <w:tab/>
      </w:r>
      <w:r w:rsidRPr="00F20C79">
        <w:rPr>
          <w:b/>
          <w:bCs/>
          <w:spacing w:val="-2"/>
          <w:rtl/>
          <w:lang w:val="en-US"/>
        </w:rPr>
        <w:t>زيادة الطاقة الاستيعابية وتحسين الظروف المعيشية لمرافق الاستقبال وإمكانية الحصول على الغذاء الكافي، ومستلزمات النظافة الصحية، والرعاية الصحية، والتعليم، والنقل العام، وغيرها من الخدمات</w:t>
      </w:r>
      <w:r w:rsidRPr="00F20C79">
        <w:rPr>
          <w:b/>
          <w:bCs/>
          <w:rtl/>
          <w:lang w:val="en-US"/>
        </w:rPr>
        <w:t xml:space="preserve"> الأساسية؛</w:t>
      </w:r>
    </w:p>
    <w:p w14:paraId="51C49A07" w14:textId="7D572E28" w:rsidR="007E78CF" w:rsidRPr="00F20C79" w:rsidRDefault="007E78CF" w:rsidP="00AA0AD5">
      <w:pPr>
        <w:pStyle w:val="SingleTxtGA"/>
        <w:rPr>
          <w:b/>
          <w:bCs/>
          <w:lang w:val="en-US"/>
        </w:rPr>
      </w:pPr>
      <w:r>
        <w:rPr>
          <w:rtl/>
          <w:lang w:val="en-US"/>
        </w:rPr>
        <w:tab/>
      </w:r>
      <w:r w:rsidRPr="00AA0AD5">
        <w:rPr>
          <w:rtl/>
          <w:lang w:val="en-US"/>
        </w:rPr>
        <w:t>(ب)</w:t>
      </w:r>
      <w:r w:rsidRPr="00AA0AD5">
        <w:rPr>
          <w:rtl/>
          <w:lang w:val="en-US"/>
        </w:rPr>
        <w:tab/>
      </w:r>
      <w:r w:rsidRPr="00F20C79">
        <w:rPr>
          <w:b/>
          <w:bCs/>
          <w:rtl/>
          <w:lang w:val="en-US"/>
        </w:rPr>
        <w:t>ضمان أن يكون وصول اللاجئين وطالبي اللجوء والمهاجرين الذين يعيشون خارج مرافق الاستقبال المعيّنة إلى الرعاية الصحية والتعليم على قدم المساواة مع من يعيشون في المرافق؛</w:t>
      </w:r>
    </w:p>
    <w:p w14:paraId="7E55EEDB" w14:textId="14929EC8" w:rsidR="007E78CF" w:rsidRPr="00F20C79" w:rsidRDefault="007E78CF" w:rsidP="00AA0AD5">
      <w:pPr>
        <w:pStyle w:val="SingleTxtGA"/>
        <w:rPr>
          <w:b/>
          <w:bCs/>
          <w:lang w:val="en-US"/>
        </w:rPr>
      </w:pPr>
      <w:r>
        <w:rPr>
          <w:rtl/>
          <w:lang w:val="en-US"/>
        </w:rPr>
        <w:tab/>
      </w:r>
      <w:r w:rsidRPr="00AA0AD5">
        <w:rPr>
          <w:rtl/>
          <w:lang w:val="en-US"/>
        </w:rPr>
        <w:t>(ج)</w:t>
      </w:r>
      <w:r w:rsidRPr="00AA0AD5">
        <w:rPr>
          <w:rtl/>
          <w:lang w:val="en-US"/>
        </w:rPr>
        <w:tab/>
      </w:r>
      <w:r w:rsidRPr="00F20C79">
        <w:rPr>
          <w:b/>
          <w:bCs/>
          <w:rtl/>
          <w:lang w:val="en-US"/>
        </w:rPr>
        <w:t>وضع تدابير فعالة على وجه السرعة لاحتواء كوفيد-</w:t>
      </w:r>
      <w:r w:rsidRPr="00236F77">
        <w:rPr>
          <w:b/>
          <w:bCs/>
          <w:rtl/>
          <w:lang w:val="en-US"/>
        </w:rPr>
        <w:t>19</w:t>
      </w:r>
      <w:r w:rsidRPr="00F20C79">
        <w:rPr>
          <w:b/>
          <w:bCs/>
          <w:rtl/>
          <w:lang w:val="en-US"/>
        </w:rPr>
        <w:t xml:space="preserve"> في مرافق الاستقبال وتقديم خدمات الرعاية الصحية فيما يتعلق بالفحص والعلاج والتطعيم. </w:t>
      </w:r>
    </w:p>
    <w:p w14:paraId="41B9527A" w14:textId="3766ABA5" w:rsidR="007E78CF" w:rsidRPr="00AA0AD5" w:rsidRDefault="007E78CF" w:rsidP="007E78CF">
      <w:pPr>
        <w:pStyle w:val="H23GA"/>
      </w:pPr>
      <w:r w:rsidRPr="00AA0AD5">
        <w:rPr>
          <w:rtl/>
        </w:rPr>
        <w:tab/>
      </w:r>
      <w:r w:rsidRPr="00AA0AD5">
        <w:rPr>
          <w:rtl/>
        </w:rPr>
        <w:tab/>
        <w:t xml:space="preserve">عدم </w:t>
      </w:r>
      <w:r w:rsidRPr="00AA0AD5">
        <w:rPr>
          <w:rFonts w:hint="cs"/>
          <w:rtl/>
        </w:rPr>
        <w:t>المساواة</w:t>
      </w:r>
      <w:r w:rsidRPr="00AA0AD5">
        <w:rPr>
          <w:rtl/>
        </w:rPr>
        <w:t xml:space="preserve"> في حماية الحقوق بين قدامى المحاربين والمدنيين </w:t>
      </w:r>
    </w:p>
    <w:p w14:paraId="7D9DE32A" w14:textId="08A11AD8" w:rsidR="007E78CF" w:rsidRPr="00AA0AD5" w:rsidRDefault="007E78CF" w:rsidP="00AA0AD5">
      <w:pPr>
        <w:pStyle w:val="SingleTxtGA"/>
        <w:rPr>
          <w:lang w:val="en-US"/>
        </w:rPr>
      </w:pPr>
      <w:r w:rsidRPr="00236F77">
        <w:rPr>
          <w:rtl/>
          <w:lang w:val="en-US"/>
        </w:rPr>
        <w:t>22</w:t>
      </w:r>
      <w:r w:rsidRPr="00AA0AD5">
        <w:rPr>
          <w:rtl/>
          <w:lang w:val="en-US"/>
        </w:rPr>
        <w:t>-</w:t>
      </w:r>
      <w:r w:rsidRPr="00AA0AD5">
        <w:rPr>
          <w:rtl/>
          <w:lang w:val="en-US"/>
        </w:rPr>
        <w:tab/>
        <w:t>بينما تحيط اللجنة علم</w:t>
      </w:r>
      <w:r w:rsidR="00AB408B">
        <w:rPr>
          <w:rtl/>
          <w:lang w:val="en-US"/>
        </w:rPr>
        <w:t xml:space="preserve">اً </w:t>
      </w:r>
      <w:r w:rsidRPr="00AA0AD5">
        <w:rPr>
          <w:rtl/>
          <w:lang w:val="en-US"/>
        </w:rPr>
        <w:t>بتفسير الوفد، تعرب عن أسفها لكون الدولة الطرف لم تحرز تقدم</w:t>
      </w:r>
      <w:r w:rsidR="00AB408B">
        <w:rPr>
          <w:rtl/>
          <w:lang w:val="en-US"/>
        </w:rPr>
        <w:t xml:space="preserve">اً </w:t>
      </w:r>
      <w:r w:rsidRPr="00AA0AD5">
        <w:rPr>
          <w:rtl/>
          <w:lang w:val="en-US"/>
        </w:rPr>
        <w:t xml:space="preserve">يذكر فيما يتعلق بتوصيتها السابقة بشأن عدم المساواة في حماية الحقوق بين قدامى المحاربين </w:t>
      </w:r>
      <w:proofErr w:type="gramStart"/>
      <w:r w:rsidRPr="00AA0AD5">
        <w:rPr>
          <w:rtl/>
          <w:lang w:val="en-US"/>
        </w:rPr>
        <w:t>والمدنيين</w:t>
      </w:r>
      <w:r w:rsidRPr="007E78CF">
        <w:rPr>
          <w:vertAlign w:val="superscript"/>
          <w:rtl/>
          <w:lang w:val="en-US"/>
        </w:rPr>
        <w:t>(</w:t>
      </w:r>
      <w:proofErr w:type="gramEnd"/>
      <w:r w:rsidRPr="00236F77">
        <w:rPr>
          <w:rStyle w:val="FootnoteReference"/>
          <w:szCs w:val="22"/>
          <w:lang w:val="en-US"/>
        </w:rPr>
        <w:footnoteReference w:id="5"/>
      </w:r>
      <w:r w:rsidRPr="007E78CF">
        <w:rPr>
          <w:vertAlign w:val="superscript"/>
          <w:rtl/>
          <w:lang w:val="en-US"/>
        </w:rPr>
        <w:t>)</w:t>
      </w:r>
      <w:r w:rsidRPr="00AA0AD5">
        <w:rPr>
          <w:rtl/>
          <w:lang w:val="en-US"/>
        </w:rPr>
        <w:t xml:space="preserve">. وتكرر اللجنة الإعراب عن قلقها لكون الحق في المساعدة الاجتماعية لفئات معينة من الأشخاص، مثل قدامى المحاربين، منصوص عليه في قوانين مخصصة لا تدخل ضمن مجموعة القوانين العامة المتعلقة بالحماية الاجتماعية. ويؤدي ذلك إلى تفاوتات كبيرة فيما يتعلق بمستوى الحماية والتمييز ضد فئات أخرى </w:t>
      </w:r>
      <w:r w:rsidRPr="00762800">
        <w:rPr>
          <w:spacing w:val="-4"/>
          <w:rtl/>
          <w:lang w:val="en-US"/>
        </w:rPr>
        <w:t>من الضحايا، مثل ضحايا الحرب المدنيين. واللجنة، وإن كانت تشير إلى التدابير التي اتخذتها الدولة الطرف،</w:t>
      </w:r>
      <w:r w:rsidRPr="00AA0AD5">
        <w:rPr>
          <w:rtl/>
          <w:lang w:val="en-US"/>
        </w:rPr>
        <w:t xml:space="preserve"> لا تزال تشعر بالقلق لكون ضحايا العنف الجنسي أثناء الحرب، ولا سيما النساء وأطفالهن، لا</w:t>
      </w:r>
      <w:r w:rsidR="00AB408B">
        <w:rPr>
          <w:rFonts w:hint="cs"/>
          <w:rtl/>
          <w:lang w:val="en-US"/>
        </w:rPr>
        <w:t> </w:t>
      </w:r>
      <w:r w:rsidRPr="00AA0AD5">
        <w:rPr>
          <w:rtl/>
          <w:lang w:val="en-US"/>
        </w:rPr>
        <w:t>يزالون يواجهون الوصم والتحيز الاجتماعي والتمييز، مما يحول فعلي</w:t>
      </w:r>
      <w:r w:rsidR="00AB408B">
        <w:rPr>
          <w:rtl/>
          <w:lang w:val="en-US"/>
        </w:rPr>
        <w:t xml:space="preserve">اً </w:t>
      </w:r>
      <w:r w:rsidRPr="00AA0AD5">
        <w:rPr>
          <w:rtl/>
          <w:lang w:val="en-US"/>
        </w:rPr>
        <w:t xml:space="preserve">دونهم والوصول إلى سبل العيش ورعاية الصحة العقلية والبدنية والتعليم والخدمات الاجتماعية الأخرى لتيسير التمتع بحقوقهم المنصوص عليها في العهد (المواد </w:t>
      </w:r>
      <w:r w:rsidRPr="00236F77">
        <w:rPr>
          <w:rtl/>
          <w:lang w:val="en-US"/>
        </w:rPr>
        <w:t>2</w:t>
      </w:r>
      <w:r w:rsidRPr="00AA0AD5">
        <w:rPr>
          <w:rtl/>
          <w:lang w:val="en-US"/>
        </w:rPr>
        <w:t>(</w:t>
      </w:r>
      <w:r w:rsidRPr="00236F77">
        <w:rPr>
          <w:rtl/>
          <w:lang w:val="en-US"/>
        </w:rPr>
        <w:t>2</w:t>
      </w:r>
      <w:r w:rsidRPr="00AA0AD5">
        <w:rPr>
          <w:rtl/>
          <w:lang w:val="en-US"/>
        </w:rPr>
        <w:t>)، و</w:t>
      </w:r>
      <w:r w:rsidRPr="00236F77">
        <w:rPr>
          <w:rtl/>
          <w:lang w:val="en-US"/>
        </w:rPr>
        <w:t>3</w:t>
      </w:r>
      <w:r w:rsidRPr="00AA0AD5">
        <w:rPr>
          <w:rtl/>
          <w:lang w:val="en-US"/>
        </w:rPr>
        <w:t>، و</w:t>
      </w:r>
      <w:r w:rsidRPr="00236F77">
        <w:rPr>
          <w:rtl/>
          <w:lang w:val="en-US"/>
        </w:rPr>
        <w:t>9</w:t>
      </w:r>
      <w:r w:rsidRPr="00AA0AD5">
        <w:rPr>
          <w:rtl/>
          <w:lang w:val="en-US"/>
        </w:rPr>
        <w:t>-</w:t>
      </w:r>
      <w:r w:rsidRPr="00236F77">
        <w:rPr>
          <w:rtl/>
          <w:lang w:val="en-US"/>
        </w:rPr>
        <w:t>14</w:t>
      </w:r>
      <w:r w:rsidRPr="00AA0AD5">
        <w:rPr>
          <w:rtl/>
          <w:lang w:val="en-US"/>
        </w:rPr>
        <w:t>).</w:t>
      </w:r>
    </w:p>
    <w:p w14:paraId="2D20C216" w14:textId="0226E0E2" w:rsidR="007E78CF" w:rsidRPr="00F20C79" w:rsidRDefault="007E78CF" w:rsidP="00AA0AD5">
      <w:pPr>
        <w:pStyle w:val="SingleTxtGA"/>
        <w:rPr>
          <w:rFonts w:ascii="Times New Roman Bold" w:hAnsi="Times New Roman Bold" w:hint="eastAsia"/>
          <w:b/>
          <w:bCs/>
          <w:spacing w:val="2"/>
          <w:lang w:val="en-US"/>
        </w:rPr>
      </w:pPr>
      <w:r w:rsidRPr="00236F77">
        <w:rPr>
          <w:rtl/>
          <w:lang w:val="en-US"/>
        </w:rPr>
        <w:t>23</w:t>
      </w:r>
      <w:r w:rsidRPr="00AA0AD5">
        <w:rPr>
          <w:rtl/>
          <w:lang w:val="en-US"/>
        </w:rPr>
        <w:t>-</w:t>
      </w:r>
      <w:r w:rsidRPr="00AA0AD5">
        <w:rPr>
          <w:rtl/>
          <w:lang w:val="en-US"/>
        </w:rPr>
        <w:tab/>
      </w:r>
      <w:r w:rsidRPr="00F20C79">
        <w:rPr>
          <w:rFonts w:ascii="Times New Roman Bold" w:hAnsi="Times New Roman Bold"/>
          <w:b/>
          <w:bCs/>
          <w:spacing w:val="2"/>
          <w:rtl/>
          <w:lang w:val="en-US"/>
        </w:rPr>
        <w:t>تكرر اللجنة تأكيد توصياتها السابقة بأن تكفل الدولة الطرف توزيع</w:t>
      </w:r>
      <w:r w:rsidR="00AB408B">
        <w:rPr>
          <w:rFonts w:ascii="Times New Roman Bold" w:hAnsi="Times New Roman Bold"/>
          <w:b/>
          <w:bCs/>
          <w:spacing w:val="2"/>
          <w:rtl/>
          <w:lang w:val="en-US"/>
        </w:rPr>
        <w:t xml:space="preserve">اً </w:t>
      </w:r>
      <w:r w:rsidRPr="00F20C79">
        <w:rPr>
          <w:rFonts w:ascii="Times New Roman Bold" w:hAnsi="Times New Roman Bold"/>
          <w:b/>
          <w:bCs/>
          <w:spacing w:val="2"/>
          <w:rtl/>
          <w:lang w:val="en-US"/>
        </w:rPr>
        <w:t>أكثر إنصاف</w:t>
      </w:r>
      <w:r w:rsidR="00AB408B">
        <w:rPr>
          <w:rFonts w:ascii="Times New Roman Bold" w:hAnsi="Times New Roman Bold"/>
          <w:b/>
          <w:bCs/>
          <w:spacing w:val="2"/>
          <w:rtl/>
          <w:lang w:val="en-US"/>
        </w:rPr>
        <w:t xml:space="preserve">اً </w:t>
      </w:r>
      <w:r w:rsidRPr="00F20C79">
        <w:rPr>
          <w:rFonts w:ascii="Times New Roman Bold" w:hAnsi="Times New Roman Bold"/>
          <w:b/>
          <w:bCs/>
          <w:spacing w:val="2"/>
          <w:rtl/>
          <w:lang w:val="en-US"/>
        </w:rPr>
        <w:t>لما يوجد من أموال للحماية الاجتماعية، ولا سيما لقدماء المحاربين ذوي الإعاقات وضحايا الحرب المدنيين والأشخاص ذوي الإعاقة عموم</w:t>
      </w:r>
      <w:r w:rsidR="00AB408B">
        <w:rPr>
          <w:rFonts w:ascii="Times New Roman Bold" w:hAnsi="Times New Roman Bold"/>
          <w:b/>
          <w:bCs/>
          <w:spacing w:val="2"/>
          <w:rtl/>
          <w:lang w:val="en-US"/>
        </w:rPr>
        <w:t>اً،</w:t>
      </w:r>
      <w:r w:rsidRPr="00F20C79">
        <w:rPr>
          <w:rFonts w:ascii="Times New Roman Bold" w:hAnsi="Times New Roman Bold"/>
          <w:b/>
          <w:bCs/>
          <w:spacing w:val="2"/>
          <w:rtl/>
          <w:lang w:val="en-US"/>
        </w:rPr>
        <w:t xml:space="preserve"> بغية الحد من أوجه التباين بين الميزانيات المخصصة لكل فئة من</w:t>
      </w:r>
      <w:r w:rsidR="00037FA0">
        <w:rPr>
          <w:rFonts w:ascii="Times New Roman Bold" w:hAnsi="Times New Roman Bold" w:hint="eastAsia"/>
          <w:b/>
          <w:bCs/>
          <w:spacing w:val="2"/>
          <w:rtl/>
          <w:lang w:val="en-US"/>
        </w:rPr>
        <w:t> </w:t>
      </w:r>
      <w:r w:rsidRPr="00F20C79">
        <w:rPr>
          <w:rFonts w:ascii="Times New Roman Bold" w:hAnsi="Times New Roman Bold"/>
          <w:b/>
          <w:bCs/>
          <w:spacing w:val="2"/>
          <w:rtl/>
          <w:lang w:val="en-US"/>
        </w:rPr>
        <w:t>الفئات المذكورة. وتوصي أيض</w:t>
      </w:r>
      <w:r w:rsidR="00AB408B">
        <w:rPr>
          <w:rFonts w:ascii="Times New Roman Bold" w:hAnsi="Times New Roman Bold"/>
          <w:b/>
          <w:bCs/>
          <w:spacing w:val="2"/>
          <w:rtl/>
          <w:lang w:val="en-US"/>
        </w:rPr>
        <w:t xml:space="preserve">اً </w:t>
      </w:r>
      <w:r w:rsidRPr="00F20C79">
        <w:rPr>
          <w:rFonts w:ascii="Times New Roman Bold" w:hAnsi="Times New Roman Bold"/>
          <w:b/>
          <w:bCs/>
          <w:spacing w:val="2"/>
          <w:rtl/>
          <w:lang w:val="en-US"/>
        </w:rPr>
        <w:t>بأن تكثف الدولة الطرف جهودها لمكافحة وصم ضحايا الحرب المدنيين، ولا سيما النساء والأطفال، والتحيز الاجتماعيين والتمييز ضدهم، وذلك على أساس نهج يركز على الضحايا؛ وتزويدهم بتعويض يتناسب مع خطورة آلامهم وتعزيز الدعم والخدمات التأهيلية؛ واستعادة كرامتهم.</w:t>
      </w:r>
    </w:p>
    <w:p w14:paraId="5CC29B56" w14:textId="77777777" w:rsidR="007E78CF" w:rsidRPr="00AA0AD5" w:rsidRDefault="007E78CF" w:rsidP="007E78CF">
      <w:pPr>
        <w:pStyle w:val="H23GA"/>
      </w:pPr>
      <w:r w:rsidRPr="00AA0AD5">
        <w:rPr>
          <w:rtl/>
        </w:rPr>
        <w:lastRenderedPageBreak/>
        <w:tab/>
      </w:r>
      <w:r w:rsidRPr="00AA0AD5">
        <w:rPr>
          <w:rtl/>
        </w:rPr>
        <w:tab/>
        <w:t>المساواة بين الرجل والمرأة</w:t>
      </w:r>
    </w:p>
    <w:p w14:paraId="30CE07D0" w14:textId="36D08819" w:rsidR="007E78CF" w:rsidRPr="00AA0AD5" w:rsidRDefault="007E78CF" w:rsidP="00AA0AD5">
      <w:pPr>
        <w:pStyle w:val="SingleTxtGA"/>
        <w:rPr>
          <w:lang w:val="en-US"/>
        </w:rPr>
      </w:pPr>
      <w:r w:rsidRPr="00236F77">
        <w:rPr>
          <w:rtl/>
          <w:lang w:val="en-US"/>
        </w:rPr>
        <w:t>24</w:t>
      </w:r>
      <w:r w:rsidRPr="00AA0AD5">
        <w:rPr>
          <w:rtl/>
          <w:lang w:val="en-US"/>
        </w:rPr>
        <w:t>-</w:t>
      </w:r>
      <w:r w:rsidRPr="00AA0AD5">
        <w:rPr>
          <w:rtl/>
          <w:lang w:val="en-US"/>
        </w:rPr>
        <w:tab/>
        <w:t>يساور اللجنة القلق لكون تمثيل المرأة لا يزال منخفض</w:t>
      </w:r>
      <w:r w:rsidR="00AB408B">
        <w:rPr>
          <w:rtl/>
          <w:lang w:val="en-US"/>
        </w:rPr>
        <w:t xml:space="preserve">اً </w:t>
      </w:r>
      <w:r w:rsidRPr="00AA0AD5">
        <w:rPr>
          <w:rtl/>
          <w:lang w:val="en-US"/>
        </w:rPr>
        <w:t xml:space="preserve">في الهيئة التشريعية على جميع مستويات الحكومة، على الرغم من التدابير المتخذة، بما في ذلك قانون الانتخابات في البوسنة والهرسك، وقانون المساواة بين الجنسين في البوسنة والهرسك. كما يساورها القلق إزاء التفاوتات الكبيرة بين الرجل والمرأة من حيث المشاركة في سوق العمل والعمالة (المادتان </w:t>
      </w:r>
      <w:r w:rsidRPr="00236F77">
        <w:rPr>
          <w:rtl/>
          <w:lang w:val="en-US"/>
        </w:rPr>
        <w:t>3</w:t>
      </w:r>
      <w:r w:rsidRPr="00AA0AD5">
        <w:rPr>
          <w:rtl/>
          <w:lang w:val="en-US"/>
        </w:rPr>
        <w:t xml:space="preserve"> و</w:t>
      </w:r>
      <w:r w:rsidRPr="00236F77">
        <w:rPr>
          <w:rtl/>
          <w:lang w:val="en-US"/>
        </w:rPr>
        <w:t>6</w:t>
      </w:r>
      <w:r w:rsidRPr="00AA0AD5">
        <w:rPr>
          <w:rtl/>
          <w:lang w:val="en-US"/>
        </w:rPr>
        <w:t xml:space="preserve">). </w:t>
      </w:r>
    </w:p>
    <w:p w14:paraId="6B0E7AAC" w14:textId="77777777" w:rsidR="007E78CF" w:rsidRPr="00F20C79" w:rsidRDefault="007E78CF" w:rsidP="00AA0AD5">
      <w:pPr>
        <w:pStyle w:val="SingleTxtGA"/>
        <w:rPr>
          <w:b/>
          <w:bCs/>
          <w:lang w:val="en-US"/>
        </w:rPr>
      </w:pPr>
      <w:r w:rsidRPr="00236F77">
        <w:rPr>
          <w:rtl/>
          <w:lang w:val="en-US"/>
        </w:rPr>
        <w:t>25</w:t>
      </w:r>
      <w:r w:rsidRPr="00AA0AD5">
        <w:rPr>
          <w:rtl/>
          <w:lang w:val="en-US"/>
        </w:rPr>
        <w:t>-</w:t>
      </w:r>
      <w:r w:rsidRPr="00AA0AD5">
        <w:rPr>
          <w:rtl/>
          <w:lang w:val="en-US"/>
        </w:rPr>
        <w:tab/>
      </w:r>
      <w:r w:rsidRPr="00F20C79">
        <w:rPr>
          <w:b/>
          <w:bCs/>
          <w:rtl/>
          <w:lang w:val="en-US"/>
        </w:rPr>
        <w:t>توصي اللجنة الدولة الطرف بما يلي:</w:t>
      </w:r>
    </w:p>
    <w:p w14:paraId="2584F699" w14:textId="78D3A178" w:rsidR="007E78CF" w:rsidRPr="00F20C79" w:rsidRDefault="007E78CF" w:rsidP="00AA0AD5">
      <w:pPr>
        <w:pStyle w:val="SingleTxtGA"/>
        <w:rPr>
          <w:b/>
          <w:bCs/>
          <w:lang w:val="en-US"/>
        </w:rPr>
      </w:pPr>
      <w:r>
        <w:rPr>
          <w:rtl/>
          <w:lang w:val="en-US"/>
        </w:rPr>
        <w:tab/>
      </w:r>
      <w:r w:rsidRPr="00AA0AD5">
        <w:rPr>
          <w:rtl/>
          <w:lang w:val="en-US"/>
        </w:rPr>
        <w:t>(أ)</w:t>
      </w:r>
      <w:r w:rsidRPr="00AA0AD5">
        <w:rPr>
          <w:rtl/>
          <w:lang w:val="en-US"/>
        </w:rPr>
        <w:tab/>
      </w:r>
      <w:r w:rsidRPr="00F20C79">
        <w:rPr>
          <w:b/>
          <w:bCs/>
          <w:rtl/>
          <w:lang w:val="en-US"/>
        </w:rPr>
        <w:t>تحسين تمثيل المرأة في مناصب صنع القرار في القطاع العام، بما في ذلك الهيئات التشريعية والتنفيذية والقضائية، وكذلك في القطاع الخاص؛</w:t>
      </w:r>
    </w:p>
    <w:p w14:paraId="78F50473" w14:textId="5D96A7A5" w:rsidR="007E78CF" w:rsidRPr="00F20C79" w:rsidRDefault="007E78CF" w:rsidP="00AA0AD5">
      <w:pPr>
        <w:pStyle w:val="SingleTxtGA"/>
        <w:rPr>
          <w:b/>
          <w:bCs/>
          <w:lang w:val="en-US"/>
        </w:rPr>
      </w:pPr>
      <w:r>
        <w:rPr>
          <w:rtl/>
          <w:lang w:val="en-US"/>
        </w:rPr>
        <w:tab/>
      </w:r>
      <w:r w:rsidRPr="00AA0AD5">
        <w:rPr>
          <w:rtl/>
          <w:lang w:val="en-US"/>
        </w:rPr>
        <w:t>(ب)</w:t>
      </w:r>
      <w:r w:rsidRPr="00AA0AD5">
        <w:rPr>
          <w:rtl/>
          <w:lang w:val="en-US"/>
        </w:rPr>
        <w:tab/>
      </w:r>
      <w:r w:rsidRPr="00F20C79">
        <w:rPr>
          <w:b/>
          <w:bCs/>
          <w:rtl/>
          <w:lang w:val="en-US"/>
        </w:rPr>
        <w:t xml:space="preserve">تشجيع تدريب المرأة في مجالات العمل غير التقليدية وفي المجالات التي تتيح لها </w:t>
      </w:r>
      <w:r w:rsidRPr="00F20C79">
        <w:rPr>
          <w:rFonts w:ascii="Times New Roman Bold" w:hAnsi="Times New Roman Bold"/>
          <w:b/>
          <w:bCs/>
          <w:spacing w:val="-2"/>
          <w:rtl/>
          <w:lang w:val="en-US"/>
        </w:rPr>
        <w:t>فرص</w:t>
      </w:r>
      <w:r w:rsidR="00AB408B">
        <w:rPr>
          <w:rFonts w:ascii="Times New Roman Bold" w:hAnsi="Times New Roman Bold"/>
          <w:b/>
          <w:bCs/>
          <w:spacing w:val="-2"/>
          <w:rtl/>
          <w:lang w:val="en-US"/>
        </w:rPr>
        <w:t xml:space="preserve">اً </w:t>
      </w:r>
      <w:r w:rsidRPr="00F20C79">
        <w:rPr>
          <w:rFonts w:ascii="Times New Roman Bold" w:hAnsi="Times New Roman Bold"/>
          <w:b/>
          <w:bCs/>
          <w:spacing w:val="-2"/>
          <w:rtl/>
          <w:lang w:val="en-US"/>
        </w:rPr>
        <w:t>وظيفية متساوية، وتوفير فرص العمل والخدمات الاجتماعية اللازمة لتمكين المرأة من دخول سوق</w:t>
      </w:r>
      <w:r w:rsidRPr="00F20C79">
        <w:rPr>
          <w:b/>
          <w:bCs/>
          <w:rtl/>
          <w:lang w:val="en-US"/>
        </w:rPr>
        <w:t xml:space="preserve"> العمل أو العودة إليه.</w:t>
      </w:r>
    </w:p>
    <w:p w14:paraId="6AB8AACF" w14:textId="77777777" w:rsidR="007E78CF" w:rsidRPr="00AA0AD5" w:rsidRDefault="007E78CF" w:rsidP="007E78CF">
      <w:pPr>
        <w:pStyle w:val="H23GA"/>
      </w:pPr>
      <w:r w:rsidRPr="00AA0AD5">
        <w:rPr>
          <w:rtl/>
        </w:rPr>
        <w:tab/>
      </w:r>
      <w:r w:rsidRPr="00AA0AD5">
        <w:rPr>
          <w:rtl/>
        </w:rPr>
        <w:tab/>
        <w:t>الحق في العمل</w:t>
      </w:r>
    </w:p>
    <w:p w14:paraId="497DAAEE" w14:textId="67E22E05" w:rsidR="007E78CF" w:rsidRPr="00AA0AD5" w:rsidRDefault="007E78CF" w:rsidP="00AA0AD5">
      <w:pPr>
        <w:pStyle w:val="SingleTxtGA"/>
        <w:rPr>
          <w:lang w:val="en-US"/>
        </w:rPr>
      </w:pPr>
      <w:r w:rsidRPr="00236F77">
        <w:rPr>
          <w:rtl/>
          <w:lang w:val="en-US"/>
        </w:rPr>
        <w:t>26</w:t>
      </w:r>
      <w:r w:rsidRPr="00AA0AD5">
        <w:rPr>
          <w:rtl/>
          <w:lang w:val="en-US"/>
        </w:rPr>
        <w:t>-</w:t>
      </w:r>
      <w:r w:rsidRPr="00AA0AD5">
        <w:rPr>
          <w:rtl/>
          <w:lang w:val="en-US"/>
        </w:rPr>
        <w:tab/>
        <w:t>يساور اللجنة القلق إزاء استمرار ارتفاع معدلات البطالة، ولا سيما بين الشباب والأشخاص ذوي التعليم العالي والمهارات الرفيعة المستوى، وعدم وجود فرص عمل لائقة لتلك الفئات، مما دفع عدد</w:t>
      </w:r>
      <w:r w:rsidR="00AB408B">
        <w:rPr>
          <w:rtl/>
          <w:lang w:val="en-US"/>
        </w:rPr>
        <w:t xml:space="preserve">اً </w:t>
      </w:r>
      <w:r w:rsidRPr="00AA0AD5">
        <w:rPr>
          <w:rtl/>
          <w:lang w:val="en-US"/>
        </w:rPr>
        <w:t>كبير</w:t>
      </w:r>
      <w:r w:rsidR="00AB408B">
        <w:rPr>
          <w:rtl/>
          <w:lang w:val="en-US"/>
        </w:rPr>
        <w:t xml:space="preserve">اً </w:t>
      </w:r>
      <w:r w:rsidRPr="00AA0AD5">
        <w:rPr>
          <w:rtl/>
          <w:lang w:val="en-US"/>
        </w:rPr>
        <w:t xml:space="preserve">من الشباب والعمال ذوي المؤهلات العالية إلى مغادرة البلد. كما يساورها القلق إزاء التقارير التي تتحدث عن التمييز في عملية التوظيف على أساس الأصل الإثني والرأي السياسي (المادتان </w:t>
      </w:r>
      <w:r w:rsidRPr="00236F77">
        <w:rPr>
          <w:rtl/>
          <w:lang w:val="en-US"/>
        </w:rPr>
        <w:t>2</w:t>
      </w:r>
      <w:r w:rsidRPr="00AA0AD5">
        <w:rPr>
          <w:rtl/>
          <w:lang w:val="en-US"/>
        </w:rPr>
        <w:t>(</w:t>
      </w:r>
      <w:r w:rsidRPr="00236F77">
        <w:rPr>
          <w:rtl/>
          <w:lang w:val="en-US"/>
        </w:rPr>
        <w:t>2</w:t>
      </w:r>
      <w:r w:rsidRPr="00AA0AD5">
        <w:rPr>
          <w:rtl/>
          <w:lang w:val="en-US"/>
        </w:rPr>
        <w:t>)) و</w:t>
      </w:r>
      <w:r w:rsidRPr="00236F77">
        <w:rPr>
          <w:rtl/>
          <w:lang w:val="en-US"/>
        </w:rPr>
        <w:t>6</w:t>
      </w:r>
      <w:r w:rsidRPr="00AA0AD5">
        <w:rPr>
          <w:rtl/>
          <w:lang w:val="en-US"/>
        </w:rPr>
        <w:t>).</w:t>
      </w:r>
    </w:p>
    <w:p w14:paraId="75133D3B" w14:textId="77777777" w:rsidR="007E78CF" w:rsidRPr="00F20C79" w:rsidRDefault="007E78CF" w:rsidP="00AA0AD5">
      <w:pPr>
        <w:pStyle w:val="SingleTxtGA"/>
        <w:rPr>
          <w:b/>
          <w:bCs/>
          <w:lang w:val="en-US"/>
        </w:rPr>
      </w:pPr>
      <w:r w:rsidRPr="00236F77">
        <w:rPr>
          <w:rtl/>
          <w:lang w:val="en-US"/>
        </w:rPr>
        <w:t>27</w:t>
      </w:r>
      <w:r w:rsidRPr="00AA0AD5">
        <w:rPr>
          <w:rtl/>
          <w:lang w:val="en-US"/>
        </w:rPr>
        <w:t>-</w:t>
      </w:r>
      <w:r w:rsidRPr="00AA0AD5">
        <w:rPr>
          <w:rtl/>
          <w:lang w:val="en-US"/>
        </w:rPr>
        <w:tab/>
      </w:r>
      <w:r w:rsidRPr="00F20C79">
        <w:rPr>
          <w:b/>
          <w:bCs/>
          <w:rtl/>
          <w:lang w:val="en-US"/>
        </w:rPr>
        <w:t xml:space="preserve">توصي اللجنة الدولة الطرف باتخاذ التدابير التالية: </w:t>
      </w:r>
    </w:p>
    <w:p w14:paraId="7E20F94A" w14:textId="48B8073D" w:rsidR="007E78CF" w:rsidRPr="00F20C79" w:rsidRDefault="007E78CF" w:rsidP="00AA0AD5">
      <w:pPr>
        <w:pStyle w:val="SingleTxtGA"/>
        <w:rPr>
          <w:b/>
          <w:bCs/>
          <w:lang w:val="en-US"/>
        </w:rPr>
      </w:pPr>
      <w:r>
        <w:rPr>
          <w:rtl/>
          <w:lang w:val="en-US"/>
        </w:rPr>
        <w:tab/>
      </w:r>
      <w:r w:rsidRPr="00AA0AD5">
        <w:rPr>
          <w:rtl/>
          <w:lang w:val="en-US"/>
        </w:rPr>
        <w:t>(أ)</w:t>
      </w:r>
      <w:r w:rsidRPr="00AA0AD5">
        <w:rPr>
          <w:rtl/>
          <w:lang w:val="en-US"/>
        </w:rPr>
        <w:tab/>
      </w:r>
      <w:r w:rsidRPr="00F20C79">
        <w:rPr>
          <w:b/>
          <w:bCs/>
          <w:rtl/>
          <w:lang w:val="en-US"/>
        </w:rPr>
        <w:t>تحسين برامجها للتعليم المهني والتدريب من أجل تزويد القوى العاملة، ولا سيما الشباب، بالمهارات والمعارف اللازمة لمواكبة المتطلبات المتغيرة لسوق العمل؛</w:t>
      </w:r>
    </w:p>
    <w:p w14:paraId="52088BA3" w14:textId="56FA7A89" w:rsidR="007E78CF" w:rsidRPr="00F20C79" w:rsidRDefault="007E78CF" w:rsidP="00AA0AD5">
      <w:pPr>
        <w:pStyle w:val="SingleTxtGA"/>
        <w:rPr>
          <w:b/>
          <w:bCs/>
          <w:lang w:val="en-US"/>
        </w:rPr>
      </w:pPr>
      <w:r>
        <w:rPr>
          <w:rtl/>
          <w:lang w:val="en-US"/>
        </w:rPr>
        <w:tab/>
      </w:r>
      <w:r w:rsidRPr="00AA0AD5">
        <w:rPr>
          <w:rtl/>
          <w:lang w:val="en-US"/>
        </w:rPr>
        <w:t>(ب)</w:t>
      </w:r>
      <w:r w:rsidRPr="00AA0AD5">
        <w:rPr>
          <w:rtl/>
          <w:lang w:val="en-US"/>
        </w:rPr>
        <w:tab/>
      </w:r>
      <w:r w:rsidRPr="00F20C79">
        <w:rPr>
          <w:b/>
          <w:bCs/>
          <w:rtl/>
          <w:lang w:val="en-US"/>
        </w:rPr>
        <w:t>خلق فرص عمل لائقة للجميع، ولا سيما أولئك للعمال الذين لهم مستوى عال من التعليم والمهارات المهنية؛</w:t>
      </w:r>
    </w:p>
    <w:p w14:paraId="2CE1BA84" w14:textId="623BCFA1" w:rsidR="007E78CF" w:rsidRPr="00F20C79" w:rsidRDefault="007E78CF" w:rsidP="00AA0AD5">
      <w:pPr>
        <w:pStyle w:val="SingleTxtGA"/>
        <w:rPr>
          <w:b/>
          <w:bCs/>
          <w:lang w:val="en-US"/>
        </w:rPr>
      </w:pPr>
      <w:r>
        <w:rPr>
          <w:rtl/>
          <w:lang w:val="en-US"/>
        </w:rPr>
        <w:tab/>
      </w:r>
      <w:r w:rsidRPr="00AA0AD5">
        <w:rPr>
          <w:rtl/>
          <w:lang w:val="en-US"/>
        </w:rPr>
        <w:t>(ج)</w:t>
      </w:r>
      <w:r w:rsidRPr="00AA0AD5">
        <w:rPr>
          <w:rtl/>
          <w:lang w:val="en-US"/>
        </w:rPr>
        <w:tab/>
      </w:r>
      <w:r w:rsidRPr="00AB408B">
        <w:rPr>
          <w:rFonts w:ascii="Times New Roman Bold" w:hAnsi="Times New Roman Bold"/>
          <w:b/>
          <w:bCs/>
          <w:spacing w:val="-2"/>
          <w:rtl/>
          <w:lang w:val="en-US"/>
        </w:rPr>
        <w:t>ضمان شفافية عملية التوظيف واستنادها إلى الجدارة، ومكافحة التمييز في التوظيف</w:t>
      </w:r>
      <w:r w:rsidRPr="00F20C79">
        <w:rPr>
          <w:b/>
          <w:bCs/>
          <w:rtl/>
          <w:lang w:val="en-US"/>
        </w:rPr>
        <w:t xml:space="preserve"> على أساس الأصل الإثني والانتماءات السياسية.</w:t>
      </w:r>
    </w:p>
    <w:p w14:paraId="6ABD2CAC" w14:textId="77777777" w:rsidR="007E78CF" w:rsidRPr="00AA0AD5" w:rsidRDefault="007E78CF" w:rsidP="007E78CF">
      <w:pPr>
        <w:pStyle w:val="H23GA"/>
      </w:pPr>
      <w:r w:rsidRPr="00AA0AD5">
        <w:rPr>
          <w:rtl/>
        </w:rPr>
        <w:tab/>
      </w:r>
      <w:r w:rsidRPr="00AA0AD5">
        <w:rPr>
          <w:rtl/>
        </w:rPr>
        <w:tab/>
        <w:t>عمالة الأشخاص ذوي الإعاقة</w:t>
      </w:r>
    </w:p>
    <w:p w14:paraId="7667B0B3" w14:textId="5AB2082F" w:rsidR="007E78CF" w:rsidRPr="00AA0AD5" w:rsidRDefault="007E78CF" w:rsidP="00AA0AD5">
      <w:pPr>
        <w:pStyle w:val="SingleTxtGA"/>
        <w:rPr>
          <w:lang w:val="en-US"/>
        </w:rPr>
      </w:pPr>
      <w:r w:rsidRPr="00236F77">
        <w:rPr>
          <w:rtl/>
          <w:lang w:val="en-US"/>
        </w:rPr>
        <w:t>28</w:t>
      </w:r>
      <w:r w:rsidRPr="00AA0AD5">
        <w:rPr>
          <w:rtl/>
          <w:lang w:val="en-US"/>
        </w:rPr>
        <w:t>-</w:t>
      </w:r>
      <w:r w:rsidRPr="00AA0AD5">
        <w:rPr>
          <w:rtl/>
          <w:lang w:val="en-US"/>
        </w:rPr>
        <w:tab/>
        <w:t xml:space="preserve">يساور اللجنة القلق إزاء استمرار ارتفاع مستوى البطالة في صفوف الأشخاص ذوي الإعاقة. </w:t>
      </w:r>
      <w:r w:rsidRPr="00AB408B">
        <w:rPr>
          <w:spacing w:val="4"/>
          <w:rtl/>
          <w:lang w:val="en-US"/>
        </w:rPr>
        <w:t>كما يساورها القلق إزاء سوء تنفيذ الحصص المخصصة لتشغيل الأشخاص ذوي الإعاقة وفعاليتها. ويشمل ذلك:</w:t>
      </w:r>
      <w:r w:rsidRPr="00AA0AD5">
        <w:rPr>
          <w:rtl/>
          <w:lang w:val="en-US"/>
        </w:rPr>
        <w:t xml:space="preserve"> التطبيق المتفاوت للحصص بين الكيانات؛ وارتفاع معدل عدم امتثال أصحاب العمل، ولا</w:t>
      </w:r>
      <w:r w:rsidR="00AB408B">
        <w:rPr>
          <w:rFonts w:hint="cs"/>
          <w:rtl/>
          <w:lang w:val="en-US"/>
        </w:rPr>
        <w:t> </w:t>
      </w:r>
      <w:r w:rsidRPr="00AA0AD5">
        <w:rPr>
          <w:rtl/>
          <w:lang w:val="en-US"/>
        </w:rPr>
        <w:t xml:space="preserve">سيما المؤسسات الحكومية، حسبما ذُكر؛ وعدم وجود آليات لجمع المساهمات الخاصة لأرباب العمل الذين لا يمتثلون للحصص؛ وعدم وجود بيانات عن تنفيذ الحصص (المادتان </w:t>
      </w:r>
      <w:r w:rsidRPr="00236F77">
        <w:rPr>
          <w:rtl/>
          <w:lang w:val="en-US"/>
        </w:rPr>
        <w:t>2</w:t>
      </w:r>
      <w:r w:rsidRPr="00AA0AD5">
        <w:rPr>
          <w:rtl/>
          <w:lang w:val="en-US"/>
        </w:rPr>
        <w:t>(</w:t>
      </w:r>
      <w:r w:rsidRPr="00236F77">
        <w:rPr>
          <w:rtl/>
          <w:lang w:val="en-US"/>
        </w:rPr>
        <w:t>2</w:t>
      </w:r>
      <w:r w:rsidRPr="00AA0AD5">
        <w:rPr>
          <w:rtl/>
          <w:lang w:val="en-US"/>
        </w:rPr>
        <w:t>)) و</w:t>
      </w:r>
      <w:r w:rsidRPr="00236F77">
        <w:rPr>
          <w:rtl/>
          <w:lang w:val="en-US"/>
        </w:rPr>
        <w:t>6</w:t>
      </w:r>
      <w:r w:rsidRPr="00AA0AD5">
        <w:rPr>
          <w:rtl/>
          <w:lang w:val="en-US"/>
        </w:rPr>
        <w:t>).</w:t>
      </w:r>
    </w:p>
    <w:p w14:paraId="02F2CAA7" w14:textId="77777777" w:rsidR="007E78CF" w:rsidRPr="00F20C79" w:rsidRDefault="007E78CF" w:rsidP="00AA0AD5">
      <w:pPr>
        <w:pStyle w:val="SingleTxtGA"/>
        <w:rPr>
          <w:b/>
          <w:bCs/>
          <w:lang w:val="en-US"/>
        </w:rPr>
      </w:pPr>
      <w:r w:rsidRPr="00236F77">
        <w:rPr>
          <w:rtl/>
          <w:lang w:val="en-US"/>
        </w:rPr>
        <w:t>29</w:t>
      </w:r>
      <w:r w:rsidRPr="00AA0AD5">
        <w:rPr>
          <w:rtl/>
          <w:lang w:val="en-US"/>
        </w:rPr>
        <w:t>-</w:t>
      </w:r>
      <w:r w:rsidRPr="00AA0AD5">
        <w:rPr>
          <w:rtl/>
          <w:lang w:val="en-US"/>
        </w:rPr>
        <w:tab/>
      </w:r>
      <w:r w:rsidRPr="00F20C79">
        <w:rPr>
          <w:b/>
          <w:bCs/>
          <w:rtl/>
          <w:lang w:val="en-US"/>
        </w:rPr>
        <w:t xml:space="preserve">توصي اللجنة الدولة الطرف بما يلي: </w:t>
      </w:r>
    </w:p>
    <w:p w14:paraId="37551374" w14:textId="2B9948FA" w:rsidR="007E78CF" w:rsidRPr="00F20C79" w:rsidRDefault="007E78CF" w:rsidP="00AA0AD5">
      <w:pPr>
        <w:pStyle w:val="SingleTxtGA"/>
        <w:rPr>
          <w:b/>
          <w:bCs/>
          <w:lang w:val="en-US"/>
        </w:rPr>
      </w:pPr>
      <w:r>
        <w:rPr>
          <w:rtl/>
          <w:lang w:val="en-US"/>
        </w:rPr>
        <w:tab/>
      </w:r>
      <w:r w:rsidRPr="00AA0AD5">
        <w:rPr>
          <w:rtl/>
          <w:lang w:val="en-US"/>
        </w:rPr>
        <w:t>(أ)</w:t>
      </w:r>
      <w:r w:rsidRPr="00AA0AD5">
        <w:rPr>
          <w:rtl/>
          <w:lang w:val="en-US"/>
        </w:rPr>
        <w:tab/>
      </w:r>
      <w:r w:rsidRPr="00F20C79">
        <w:rPr>
          <w:b/>
          <w:bCs/>
          <w:rtl/>
          <w:lang w:val="en-US"/>
        </w:rPr>
        <w:t xml:space="preserve">تعزيز التدريب المهني والتعليم وخدمات التوظيف لفائدة الأشخاص ذوي الإعاقة وتوفير ترتيبات </w:t>
      </w:r>
      <w:proofErr w:type="spellStart"/>
      <w:r w:rsidRPr="00F20C79">
        <w:rPr>
          <w:b/>
          <w:bCs/>
          <w:rtl/>
          <w:lang w:val="en-US"/>
        </w:rPr>
        <w:t>تيسيرية</w:t>
      </w:r>
      <w:proofErr w:type="spellEnd"/>
      <w:r w:rsidRPr="00F20C79">
        <w:rPr>
          <w:b/>
          <w:bCs/>
          <w:rtl/>
          <w:lang w:val="en-US"/>
        </w:rPr>
        <w:t xml:space="preserve"> معقولة لهم للبقاء نشطين في سوق العمل؛</w:t>
      </w:r>
    </w:p>
    <w:p w14:paraId="55D8181E" w14:textId="32917178" w:rsidR="007E78CF" w:rsidRPr="00F20C79" w:rsidRDefault="007E78CF" w:rsidP="00AA0AD5">
      <w:pPr>
        <w:pStyle w:val="SingleTxtGA"/>
        <w:rPr>
          <w:b/>
          <w:bCs/>
          <w:spacing w:val="-4"/>
          <w:lang w:val="en-US"/>
        </w:rPr>
      </w:pPr>
      <w:r w:rsidRPr="00F20C79">
        <w:rPr>
          <w:spacing w:val="-4"/>
          <w:rtl/>
          <w:lang w:val="en-US"/>
        </w:rPr>
        <w:lastRenderedPageBreak/>
        <w:tab/>
        <w:t>(ب)</w:t>
      </w:r>
      <w:r w:rsidRPr="00F20C79">
        <w:rPr>
          <w:spacing w:val="-4"/>
          <w:rtl/>
          <w:lang w:val="en-US"/>
        </w:rPr>
        <w:tab/>
      </w:r>
      <w:r w:rsidRPr="00F20C79">
        <w:rPr>
          <w:b/>
          <w:bCs/>
          <w:spacing w:val="-4"/>
          <w:rtl/>
          <w:lang w:val="en-US"/>
        </w:rPr>
        <w:t>تحسين فعالية الحصص المخصصة لتشغيل الأشخاص ذوي الإعاقة، بما في ذلك عن طريق توسيع نطاق تطبيق الحصص على جميع الهيئات الحكومية والمؤسسات العامة والمملوكة للدولة وعلى القطاع الخاص؛ وزيادة العقوبات في حالة عدم الامتثال؛ وجمع البيانات عن تنفيذ الحصص؛</w:t>
      </w:r>
    </w:p>
    <w:p w14:paraId="5E22129C" w14:textId="10BAC97C" w:rsidR="007E78CF" w:rsidRPr="00F20C79" w:rsidRDefault="007E78CF" w:rsidP="00AA0AD5">
      <w:pPr>
        <w:pStyle w:val="SingleTxtGA"/>
        <w:rPr>
          <w:b/>
          <w:bCs/>
          <w:lang w:val="en-US"/>
        </w:rPr>
      </w:pPr>
      <w:r>
        <w:rPr>
          <w:rtl/>
          <w:lang w:val="en-US"/>
        </w:rPr>
        <w:tab/>
      </w:r>
      <w:r w:rsidRPr="00AA0AD5">
        <w:rPr>
          <w:rtl/>
          <w:lang w:val="en-US"/>
        </w:rPr>
        <w:t>(ج)</w:t>
      </w:r>
      <w:r w:rsidRPr="00AA0AD5">
        <w:rPr>
          <w:rtl/>
          <w:lang w:val="en-US"/>
        </w:rPr>
        <w:tab/>
      </w:r>
      <w:r w:rsidRPr="00F20C79">
        <w:rPr>
          <w:b/>
          <w:bCs/>
          <w:spacing w:val="-4"/>
          <w:rtl/>
          <w:lang w:val="en-US"/>
        </w:rPr>
        <w:t>اتخاذ تدابير فعالة لضمان عدم تعرض العمال ذوي الإعاقة للتمييز ضدهم أو لمعاملة تتسم بالفصل</w:t>
      </w:r>
      <w:r w:rsidRPr="00F20C79">
        <w:rPr>
          <w:b/>
          <w:bCs/>
          <w:rtl/>
          <w:lang w:val="en-US"/>
        </w:rPr>
        <w:t xml:space="preserve"> في مكان العمل.</w:t>
      </w:r>
    </w:p>
    <w:p w14:paraId="5C30D119" w14:textId="77777777" w:rsidR="007E78CF" w:rsidRPr="00AA0AD5" w:rsidRDefault="007E78CF" w:rsidP="007E78CF">
      <w:pPr>
        <w:pStyle w:val="H23GA"/>
      </w:pPr>
      <w:r w:rsidRPr="00AA0AD5">
        <w:rPr>
          <w:rtl/>
        </w:rPr>
        <w:tab/>
      </w:r>
      <w:r w:rsidRPr="00AA0AD5">
        <w:rPr>
          <w:rtl/>
        </w:rPr>
        <w:tab/>
        <w:t>العاملون في الاقتصاد غير الرسمي</w:t>
      </w:r>
    </w:p>
    <w:p w14:paraId="57D29189" w14:textId="1CF80288" w:rsidR="007E78CF" w:rsidRPr="00AA0AD5" w:rsidRDefault="007E78CF" w:rsidP="00AA0AD5">
      <w:pPr>
        <w:pStyle w:val="SingleTxtGA"/>
        <w:rPr>
          <w:lang w:val="en-US"/>
        </w:rPr>
      </w:pPr>
      <w:r w:rsidRPr="00236F77">
        <w:rPr>
          <w:rtl/>
          <w:lang w:val="en-US"/>
        </w:rPr>
        <w:t>30</w:t>
      </w:r>
      <w:r w:rsidRPr="00AA0AD5">
        <w:rPr>
          <w:rtl/>
          <w:lang w:val="en-US"/>
        </w:rPr>
        <w:t>-</w:t>
      </w:r>
      <w:r w:rsidRPr="00AA0AD5">
        <w:rPr>
          <w:rtl/>
          <w:lang w:val="en-US"/>
        </w:rPr>
        <w:tab/>
        <w:t>يساور اللجنة القلق إزاء الحماية المحدودة للعمال والحقوق الاجتماعية الممنوحة للعمال في الاقتصاد غير الرسمي، حيث الغلبة للمرأة. فقد تأثروا بشكل غير متناسب خلال جائحة كوفيد-</w:t>
      </w:r>
      <w:r w:rsidRPr="00236F77">
        <w:rPr>
          <w:rtl/>
          <w:lang w:val="en-US"/>
        </w:rPr>
        <w:t>19</w:t>
      </w:r>
      <w:r w:rsidRPr="00AA0AD5">
        <w:rPr>
          <w:rtl/>
          <w:lang w:val="en-US"/>
        </w:rPr>
        <w:t>، إذ</w:t>
      </w:r>
      <w:r w:rsidR="00114D77">
        <w:rPr>
          <w:rFonts w:hint="cs"/>
          <w:rtl/>
          <w:lang w:val="en-US"/>
        </w:rPr>
        <w:t> </w:t>
      </w:r>
      <w:r w:rsidRPr="00AA0AD5">
        <w:rPr>
          <w:rtl/>
          <w:lang w:val="en-US"/>
        </w:rPr>
        <w:t>إنهم مستبعدون من الدعم الاجتماعي المقدم استجابة لهذا الجائحة. ويساور اللجنة القلق أيض</w:t>
      </w:r>
      <w:r w:rsidR="00AB408B">
        <w:rPr>
          <w:rtl/>
          <w:lang w:val="en-US"/>
        </w:rPr>
        <w:t xml:space="preserve">اً </w:t>
      </w:r>
      <w:r w:rsidRPr="00AA0AD5">
        <w:rPr>
          <w:rtl/>
          <w:lang w:val="en-US"/>
        </w:rPr>
        <w:t xml:space="preserve">إزاء عدم كفاية التقدم الذي أحرزته الدولة الطرف في الانتقال من الاقتصاد غير الرسمي إلى الاقتصاد الرسمي (المواد </w:t>
      </w:r>
      <w:r w:rsidRPr="00236F77">
        <w:rPr>
          <w:rtl/>
          <w:lang w:val="en-US"/>
        </w:rPr>
        <w:t>6</w:t>
      </w:r>
      <w:r w:rsidRPr="00AA0AD5">
        <w:rPr>
          <w:rtl/>
          <w:lang w:val="en-US"/>
        </w:rPr>
        <w:t xml:space="preserve"> و</w:t>
      </w:r>
      <w:r w:rsidRPr="00236F77">
        <w:rPr>
          <w:rtl/>
          <w:lang w:val="en-US"/>
        </w:rPr>
        <w:t>7</w:t>
      </w:r>
      <w:r w:rsidRPr="00AA0AD5">
        <w:rPr>
          <w:rtl/>
          <w:lang w:val="en-US"/>
        </w:rPr>
        <w:t xml:space="preserve"> و</w:t>
      </w:r>
      <w:r w:rsidRPr="00236F77">
        <w:rPr>
          <w:rtl/>
          <w:lang w:val="en-US"/>
        </w:rPr>
        <w:t>9</w:t>
      </w:r>
      <w:r w:rsidRPr="00AA0AD5">
        <w:rPr>
          <w:rtl/>
          <w:lang w:val="en-US"/>
        </w:rPr>
        <w:t>).</w:t>
      </w:r>
    </w:p>
    <w:p w14:paraId="44260C5C" w14:textId="63788EDD" w:rsidR="007E78CF" w:rsidRPr="00F20C79" w:rsidRDefault="007E78CF" w:rsidP="00AA0AD5">
      <w:pPr>
        <w:pStyle w:val="SingleTxtGA"/>
        <w:rPr>
          <w:b/>
          <w:bCs/>
          <w:lang w:val="en-US"/>
        </w:rPr>
      </w:pPr>
      <w:r w:rsidRPr="00236F77">
        <w:rPr>
          <w:rtl/>
          <w:lang w:val="en-US"/>
        </w:rPr>
        <w:t>31</w:t>
      </w:r>
      <w:r w:rsidRPr="00AA0AD5">
        <w:rPr>
          <w:rtl/>
          <w:lang w:val="en-US"/>
        </w:rPr>
        <w:t>-</w:t>
      </w:r>
      <w:r w:rsidRPr="00AA0AD5">
        <w:rPr>
          <w:rtl/>
          <w:lang w:val="en-US"/>
        </w:rPr>
        <w:tab/>
      </w:r>
      <w:r w:rsidRPr="00F20C79">
        <w:rPr>
          <w:b/>
          <w:bCs/>
          <w:rtl/>
          <w:lang w:val="en-US"/>
        </w:rPr>
        <w:t xml:space="preserve">توصي اللجنة الدولة الطرف بأن تكثف جهودها الرامية إلى الانتقال من الاقتصاد غير الرسمي إلى الاقتصاد الرسمي وتسوية وضعية العمال في القطاع غير الرسمي. وفي غضون ذلك، تحث اللجنة الدولة الطرف على توسيع نطاق حماية الحقوق المنصوص عليها في العهد، ولا سيما الحقوق المكفولة في المواد من </w:t>
      </w:r>
      <w:r w:rsidRPr="00236F77">
        <w:rPr>
          <w:b/>
          <w:bCs/>
          <w:rtl/>
          <w:lang w:val="en-US"/>
        </w:rPr>
        <w:t>6</w:t>
      </w:r>
      <w:r w:rsidRPr="00F20C79">
        <w:rPr>
          <w:b/>
          <w:bCs/>
          <w:rtl/>
          <w:lang w:val="en-US"/>
        </w:rPr>
        <w:t xml:space="preserve"> إلى </w:t>
      </w:r>
      <w:r w:rsidRPr="00236F77">
        <w:rPr>
          <w:b/>
          <w:bCs/>
          <w:rtl/>
          <w:lang w:val="en-US"/>
        </w:rPr>
        <w:t>9</w:t>
      </w:r>
      <w:r w:rsidRPr="00F20C79">
        <w:rPr>
          <w:b/>
          <w:bCs/>
          <w:rtl/>
          <w:lang w:val="en-US"/>
        </w:rPr>
        <w:t>، لتشمل هؤلاء العمال، وكفالة أن يكونوا مشمولين أيض</w:t>
      </w:r>
      <w:r w:rsidR="00AB408B">
        <w:rPr>
          <w:b/>
          <w:bCs/>
          <w:rtl/>
          <w:lang w:val="en-US"/>
        </w:rPr>
        <w:t xml:space="preserve">اً </w:t>
      </w:r>
      <w:r w:rsidRPr="00F20C79">
        <w:rPr>
          <w:b/>
          <w:bCs/>
          <w:rtl/>
          <w:lang w:val="en-US"/>
        </w:rPr>
        <w:t>بتدابير الاستجابة الاجتماعية الاقتصادية المتخذة في سياق جائحة كوفيد-</w:t>
      </w:r>
      <w:r w:rsidRPr="00236F77">
        <w:rPr>
          <w:b/>
          <w:bCs/>
          <w:rtl/>
          <w:lang w:val="en-US"/>
        </w:rPr>
        <w:t>19</w:t>
      </w:r>
      <w:r w:rsidRPr="00F20C79">
        <w:rPr>
          <w:b/>
          <w:bCs/>
          <w:rtl/>
          <w:lang w:val="en-US"/>
        </w:rPr>
        <w:t>.</w:t>
      </w:r>
    </w:p>
    <w:p w14:paraId="02B50C3A" w14:textId="77777777" w:rsidR="007E78CF" w:rsidRPr="00AA0AD5" w:rsidRDefault="007E78CF" w:rsidP="007E78CF">
      <w:pPr>
        <w:pStyle w:val="H23GA"/>
      </w:pPr>
      <w:r w:rsidRPr="00AA0AD5">
        <w:rPr>
          <w:rtl/>
        </w:rPr>
        <w:tab/>
      </w:r>
      <w:r w:rsidRPr="00AA0AD5">
        <w:rPr>
          <w:rtl/>
        </w:rPr>
        <w:tab/>
        <w:t>الأجر</w:t>
      </w:r>
    </w:p>
    <w:p w14:paraId="76A2C8A3" w14:textId="3A100FB7" w:rsidR="007E78CF" w:rsidRPr="00F20C79" w:rsidRDefault="007E78CF" w:rsidP="00AA0AD5">
      <w:pPr>
        <w:pStyle w:val="SingleTxtGA"/>
        <w:rPr>
          <w:spacing w:val="-2"/>
          <w:lang w:val="en-US"/>
        </w:rPr>
      </w:pPr>
      <w:r w:rsidRPr="00236F77">
        <w:rPr>
          <w:spacing w:val="-2"/>
          <w:rtl/>
          <w:lang w:val="en-US"/>
        </w:rPr>
        <w:t>32</w:t>
      </w:r>
      <w:r w:rsidRPr="00F20C79">
        <w:rPr>
          <w:spacing w:val="-2"/>
          <w:rtl/>
          <w:lang w:val="en-US"/>
        </w:rPr>
        <w:t>-</w:t>
      </w:r>
      <w:r w:rsidRPr="00F20C79">
        <w:rPr>
          <w:spacing w:val="-2"/>
          <w:rtl/>
          <w:lang w:val="en-US"/>
        </w:rPr>
        <w:tab/>
        <w:t>يساور اللجنة القلق إزاء المستوى المنخفض جد</w:t>
      </w:r>
      <w:r w:rsidR="00AB408B">
        <w:rPr>
          <w:spacing w:val="-2"/>
          <w:rtl/>
          <w:lang w:val="en-US"/>
        </w:rPr>
        <w:t xml:space="preserve">اً </w:t>
      </w:r>
      <w:r w:rsidRPr="00F20C79">
        <w:rPr>
          <w:spacing w:val="-2"/>
          <w:rtl/>
          <w:lang w:val="en-US"/>
        </w:rPr>
        <w:t xml:space="preserve">للأجور في الدولة الطرف، ولا سيما في قطاعات الرعاية الصحية والتعليم وغيرها من قطاعات الخدمة العامة الأساسية التي يغلب فيها عدد النساء، حيث يلبي متوسط المرتب أقل من </w:t>
      </w:r>
      <w:r w:rsidRPr="00236F77">
        <w:rPr>
          <w:spacing w:val="-2"/>
          <w:rtl/>
          <w:lang w:val="en-US"/>
        </w:rPr>
        <w:t>50</w:t>
      </w:r>
      <w:r w:rsidRPr="00F20C79">
        <w:rPr>
          <w:spacing w:val="-2"/>
          <w:rtl/>
          <w:lang w:val="en-US"/>
        </w:rPr>
        <w:t xml:space="preserve"> في المائة من سلة المستهلك. وإضافة إلى ذلك، فإن الحد الأدنى للأجور، الذي</w:t>
      </w:r>
      <w:r w:rsidR="00114D77">
        <w:rPr>
          <w:rFonts w:hint="cs"/>
          <w:spacing w:val="-2"/>
          <w:rtl/>
          <w:lang w:val="en-US"/>
        </w:rPr>
        <w:t> </w:t>
      </w:r>
      <w:r w:rsidRPr="00F20C79">
        <w:rPr>
          <w:spacing w:val="-2"/>
          <w:rtl/>
          <w:lang w:val="en-US"/>
        </w:rPr>
        <w:t xml:space="preserve">لا يكاد يصل إلى نصف متوسط المرتب، لا يوفر للعمال وأسرهم معيشة كريمة (المادة </w:t>
      </w:r>
      <w:r w:rsidRPr="00236F77">
        <w:rPr>
          <w:spacing w:val="-2"/>
          <w:rtl/>
          <w:lang w:val="en-US"/>
        </w:rPr>
        <w:t>7</w:t>
      </w:r>
      <w:r w:rsidRPr="00F20C79">
        <w:rPr>
          <w:spacing w:val="-2"/>
          <w:rtl/>
          <w:lang w:val="en-US"/>
        </w:rPr>
        <w:t xml:space="preserve">). </w:t>
      </w:r>
    </w:p>
    <w:p w14:paraId="5DF7FE91" w14:textId="77777777" w:rsidR="007E78CF" w:rsidRPr="00BD17E3" w:rsidRDefault="007E78CF" w:rsidP="00AA0AD5">
      <w:pPr>
        <w:pStyle w:val="SingleTxtGA"/>
        <w:rPr>
          <w:b/>
          <w:bCs/>
          <w:lang w:val="en-US"/>
        </w:rPr>
      </w:pPr>
      <w:r w:rsidRPr="00236F77">
        <w:rPr>
          <w:rtl/>
          <w:lang w:val="en-US"/>
        </w:rPr>
        <w:t>33</w:t>
      </w:r>
      <w:r w:rsidRPr="00AA0AD5">
        <w:rPr>
          <w:rtl/>
          <w:lang w:val="en-US"/>
        </w:rPr>
        <w:t>-</w:t>
      </w:r>
      <w:r w:rsidRPr="00AA0AD5">
        <w:rPr>
          <w:rtl/>
          <w:lang w:val="en-US"/>
        </w:rPr>
        <w:tab/>
      </w:r>
      <w:r w:rsidRPr="00BD17E3">
        <w:rPr>
          <w:b/>
          <w:bCs/>
          <w:rtl/>
          <w:lang w:val="en-US"/>
        </w:rPr>
        <w:t>توصي اللجنة الدولة الطرف بما يلي:</w:t>
      </w:r>
    </w:p>
    <w:p w14:paraId="0DEDDA12" w14:textId="68D0590F" w:rsidR="007E78CF" w:rsidRPr="00BD17E3" w:rsidRDefault="007E78CF" w:rsidP="00AA0AD5">
      <w:pPr>
        <w:pStyle w:val="SingleTxtGA"/>
        <w:rPr>
          <w:b/>
          <w:bCs/>
          <w:lang w:val="en-US"/>
        </w:rPr>
      </w:pPr>
      <w:r>
        <w:rPr>
          <w:rtl/>
          <w:lang w:val="en-US"/>
        </w:rPr>
        <w:tab/>
      </w:r>
      <w:r w:rsidRPr="00AA0AD5">
        <w:rPr>
          <w:rtl/>
          <w:lang w:val="en-US"/>
        </w:rPr>
        <w:t>(أ)</w:t>
      </w:r>
      <w:r w:rsidRPr="00AA0AD5">
        <w:rPr>
          <w:rtl/>
          <w:lang w:val="en-US"/>
        </w:rPr>
        <w:tab/>
      </w:r>
      <w:r w:rsidRPr="00BD17E3">
        <w:rPr>
          <w:b/>
          <w:bCs/>
          <w:rtl/>
          <w:lang w:val="en-US"/>
        </w:rPr>
        <w:t>مضاعفة جهودها الرامية إلى زيادة الحد الأدنى للأجور إلى مستوى كاف لتوفير مستوى معيشي لائق للعمال وأسرهم، ووضع حد أدنى وطني للأجور ينطبق على جميع العمال؛</w:t>
      </w:r>
    </w:p>
    <w:p w14:paraId="78D38C66" w14:textId="1BF58B70" w:rsidR="007E78CF" w:rsidRPr="00BD17E3" w:rsidRDefault="007E78CF" w:rsidP="00AA0AD5">
      <w:pPr>
        <w:pStyle w:val="SingleTxtGA"/>
        <w:rPr>
          <w:b/>
          <w:bCs/>
          <w:lang w:val="en-US"/>
        </w:rPr>
      </w:pPr>
      <w:r>
        <w:rPr>
          <w:rtl/>
          <w:lang w:val="en-US"/>
        </w:rPr>
        <w:tab/>
      </w:r>
      <w:r w:rsidRPr="00AA0AD5">
        <w:rPr>
          <w:rtl/>
          <w:lang w:val="en-US"/>
        </w:rPr>
        <w:t>(ب)</w:t>
      </w:r>
      <w:r w:rsidRPr="00AA0AD5">
        <w:rPr>
          <w:rtl/>
          <w:lang w:val="en-US"/>
        </w:rPr>
        <w:tab/>
      </w:r>
      <w:r w:rsidRPr="00AB408B">
        <w:rPr>
          <w:rFonts w:ascii="Times New Roman Bold" w:hAnsi="Times New Roman Bold"/>
          <w:b/>
          <w:bCs/>
          <w:spacing w:val="-2"/>
          <w:rtl/>
          <w:lang w:val="en-US"/>
        </w:rPr>
        <w:t>مراجعة قوانين العمل وسياسات الأجور بها بالشراكة مع ممثلي أرباب العمل والعاملين</w:t>
      </w:r>
      <w:r w:rsidRPr="00BD17E3">
        <w:rPr>
          <w:b/>
          <w:bCs/>
          <w:rtl/>
          <w:lang w:val="en-US"/>
        </w:rPr>
        <w:t xml:space="preserve"> بهدف ضمان أن يوفر مستوى الأجور معيشة لائقة لجميع العمال وأسرهم؛</w:t>
      </w:r>
    </w:p>
    <w:p w14:paraId="66BE172B" w14:textId="35F30C3F" w:rsidR="007E78CF" w:rsidRPr="00BD17E3" w:rsidRDefault="007E78CF" w:rsidP="00AA0AD5">
      <w:pPr>
        <w:pStyle w:val="SingleTxtGA"/>
        <w:rPr>
          <w:b/>
          <w:bCs/>
          <w:lang w:val="en-US"/>
        </w:rPr>
      </w:pPr>
      <w:r>
        <w:rPr>
          <w:rtl/>
          <w:lang w:val="en-US"/>
        </w:rPr>
        <w:tab/>
      </w:r>
      <w:r w:rsidRPr="00AA0AD5">
        <w:rPr>
          <w:rtl/>
          <w:lang w:val="en-US"/>
        </w:rPr>
        <w:t>(ج)</w:t>
      </w:r>
      <w:r w:rsidRPr="00AA0AD5">
        <w:rPr>
          <w:rtl/>
          <w:lang w:val="en-US"/>
        </w:rPr>
        <w:tab/>
      </w:r>
      <w:r w:rsidRPr="00BD17E3">
        <w:rPr>
          <w:b/>
          <w:bCs/>
          <w:rtl/>
          <w:lang w:val="en-US"/>
        </w:rPr>
        <w:t xml:space="preserve">أن تراعي، في هذا السياق، تعليق اللجنة العام رقم </w:t>
      </w:r>
      <w:r w:rsidRPr="00236F77">
        <w:rPr>
          <w:b/>
          <w:bCs/>
          <w:rtl/>
          <w:lang w:val="en-US"/>
        </w:rPr>
        <w:t>23</w:t>
      </w:r>
      <w:r w:rsidRPr="00BD17E3">
        <w:rPr>
          <w:b/>
          <w:bCs/>
          <w:rtl/>
          <w:lang w:val="en-US"/>
        </w:rPr>
        <w:t>(</w:t>
      </w:r>
      <w:r w:rsidRPr="00236F77">
        <w:rPr>
          <w:b/>
          <w:bCs/>
          <w:rtl/>
          <w:lang w:val="en-US"/>
        </w:rPr>
        <w:t>2016</w:t>
      </w:r>
      <w:r w:rsidRPr="00BD17E3">
        <w:rPr>
          <w:b/>
          <w:bCs/>
          <w:rtl/>
          <w:lang w:val="en-US"/>
        </w:rPr>
        <w:t xml:space="preserve">) بشأن الحق في التمتع بشروط عمل عادلة ومرضية (الفقرات </w:t>
      </w:r>
      <w:r w:rsidRPr="00236F77">
        <w:rPr>
          <w:b/>
          <w:bCs/>
          <w:rtl/>
          <w:lang w:val="en-US"/>
        </w:rPr>
        <w:t>7</w:t>
      </w:r>
      <w:r w:rsidRPr="00BD17E3">
        <w:rPr>
          <w:b/>
          <w:bCs/>
          <w:rtl/>
          <w:lang w:val="en-US"/>
        </w:rPr>
        <w:t>-</w:t>
      </w:r>
      <w:r w:rsidRPr="00236F77">
        <w:rPr>
          <w:b/>
          <w:bCs/>
          <w:rtl/>
          <w:lang w:val="en-US"/>
        </w:rPr>
        <w:t>10</w:t>
      </w:r>
      <w:r w:rsidRPr="00BD17E3">
        <w:rPr>
          <w:b/>
          <w:bCs/>
          <w:rtl/>
          <w:lang w:val="en-US"/>
        </w:rPr>
        <w:t xml:space="preserve">). </w:t>
      </w:r>
    </w:p>
    <w:p w14:paraId="258BBF0A" w14:textId="77777777" w:rsidR="007E78CF" w:rsidRPr="00AA0AD5" w:rsidRDefault="007E78CF" w:rsidP="007E78CF">
      <w:pPr>
        <w:pStyle w:val="H23GA"/>
      </w:pPr>
      <w:r w:rsidRPr="00AA0AD5">
        <w:rPr>
          <w:rtl/>
        </w:rPr>
        <w:tab/>
      </w:r>
      <w:r w:rsidRPr="00AA0AD5">
        <w:rPr>
          <w:rtl/>
        </w:rPr>
        <w:tab/>
        <w:t>الحق في الضمان الاجتماعي</w:t>
      </w:r>
    </w:p>
    <w:p w14:paraId="7D2CA41E" w14:textId="1537BC9F" w:rsidR="007E78CF" w:rsidRPr="00AA0AD5" w:rsidRDefault="007E78CF" w:rsidP="00AA0AD5">
      <w:pPr>
        <w:pStyle w:val="SingleTxtGA"/>
        <w:rPr>
          <w:lang w:val="en-US"/>
        </w:rPr>
      </w:pPr>
      <w:r w:rsidRPr="00236F77">
        <w:rPr>
          <w:rtl/>
          <w:lang w:val="en-US"/>
        </w:rPr>
        <w:t>34</w:t>
      </w:r>
      <w:r w:rsidRPr="00AA0AD5">
        <w:rPr>
          <w:rtl/>
          <w:lang w:val="en-US"/>
        </w:rPr>
        <w:t>-</w:t>
      </w:r>
      <w:r w:rsidRPr="00AA0AD5">
        <w:rPr>
          <w:rtl/>
          <w:lang w:val="en-US"/>
        </w:rPr>
        <w:tab/>
        <w:t>يساور اللجنة القلق إزاء التباينات الكبيرة في الجوانب العامة لنظام الحماية الاجتماعية</w:t>
      </w:r>
      <w:r w:rsidR="00114D77">
        <w:rPr>
          <w:rFonts w:hint="cs"/>
          <w:rtl/>
          <w:lang w:val="en-US"/>
        </w:rPr>
        <w:t xml:space="preserve"> </w:t>
      </w:r>
      <w:r w:rsidRPr="00AA0AD5">
        <w:rPr>
          <w:rtl/>
          <w:lang w:val="en-US"/>
        </w:rPr>
        <w:t>- القائمة على الاشتراكات وغير القائمة على الاشتراكات كلتيهما</w:t>
      </w:r>
      <w:r w:rsidR="00AB408B">
        <w:rPr>
          <w:rFonts w:hint="cs"/>
          <w:rtl/>
          <w:lang w:val="en-US"/>
        </w:rPr>
        <w:t xml:space="preserve"> </w:t>
      </w:r>
      <w:r w:rsidRPr="00AA0AD5">
        <w:rPr>
          <w:rtl/>
          <w:lang w:val="en-US"/>
        </w:rPr>
        <w:t xml:space="preserve">- فيما بين الكيانات ومقاطعة </w:t>
      </w:r>
      <w:proofErr w:type="spellStart"/>
      <w:r w:rsidRPr="00AA0AD5">
        <w:rPr>
          <w:rtl/>
          <w:lang w:val="en-US"/>
        </w:rPr>
        <w:t>برتشكو</w:t>
      </w:r>
      <w:proofErr w:type="spellEnd"/>
      <w:r w:rsidRPr="00AA0AD5">
        <w:rPr>
          <w:rtl/>
          <w:lang w:val="en-US"/>
        </w:rPr>
        <w:t xml:space="preserve"> </w:t>
      </w:r>
      <w:proofErr w:type="spellStart"/>
      <w:r w:rsidRPr="00AA0AD5">
        <w:rPr>
          <w:rtl/>
          <w:lang w:val="en-US"/>
        </w:rPr>
        <w:t>وكانتونات</w:t>
      </w:r>
      <w:proofErr w:type="spellEnd"/>
      <w:r w:rsidRPr="00AA0AD5">
        <w:rPr>
          <w:rtl/>
          <w:lang w:val="en-US"/>
        </w:rPr>
        <w:t xml:space="preserve"> اتحاد البوسنة والهرسك. وهي تشمل تباينات في معايير الأهلية، والتغطية، ومدة الاستحقاقات ومقدارها، ومستوى الاشتراكات التي يقدمها المؤمَّن، ومستوى الميزانية العامة المخصص لنظام الحماية الاجتماعية. وقد جعل ذلك خطط الحماية الاجتماعية غير متوافقة </w:t>
      </w:r>
      <w:proofErr w:type="spellStart"/>
      <w:r w:rsidRPr="00AA0AD5">
        <w:rPr>
          <w:rtl/>
          <w:lang w:val="en-US"/>
        </w:rPr>
        <w:t>ومتشرذمة</w:t>
      </w:r>
      <w:proofErr w:type="spellEnd"/>
      <w:r w:rsidRPr="00AA0AD5">
        <w:rPr>
          <w:rtl/>
          <w:lang w:val="en-US"/>
        </w:rPr>
        <w:t xml:space="preserve"> وغير فعالة، وأدى إلى تفاوتات كبيرة </w:t>
      </w:r>
      <w:r w:rsidRPr="00AA0AD5">
        <w:rPr>
          <w:rtl/>
          <w:lang w:val="en-US"/>
        </w:rPr>
        <w:lastRenderedPageBreak/>
        <w:t>بين</w:t>
      </w:r>
      <w:r w:rsidR="00F572AF">
        <w:rPr>
          <w:rFonts w:hint="cs"/>
          <w:rtl/>
          <w:lang w:val="en-US"/>
        </w:rPr>
        <w:t> </w:t>
      </w:r>
      <w:r w:rsidRPr="00AB408B">
        <w:rPr>
          <w:spacing w:val="-2"/>
          <w:rtl/>
          <w:lang w:val="en-US"/>
        </w:rPr>
        <w:t>مختلف المناطق في التمتع بالحق في الضمان الاجتماعي. ويساورها القلق أيض</w:t>
      </w:r>
      <w:r w:rsidR="00AB408B" w:rsidRPr="00AB408B">
        <w:rPr>
          <w:spacing w:val="-2"/>
          <w:rtl/>
          <w:lang w:val="en-US"/>
        </w:rPr>
        <w:t xml:space="preserve">اً </w:t>
      </w:r>
      <w:r w:rsidRPr="00AB408B">
        <w:rPr>
          <w:spacing w:val="-2"/>
          <w:rtl/>
          <w:lang w:val="en-US"/>
        </w:rPr>
        <w:t xml:space="preserve">من عدم كفاية استحقاقات الضمان الاجتماعي لتوفير معيشة لائقة للمستفيدين وأسرهم. وعلاوة على ذلك، يساورها القلق لعدم قدرة عدد كبير من العمال الحصول على استحقاقات الضمان الاجتماعي، بما في ذلك التأمين الصحي، على الرغم </w:t>
      </w:r>
      <w:r w:rsidRPr="00AB408B">
        <w:rPr>
          <w:spacing w:val="-5"/>
          <w:rtl/>
          <w:lang w:val="en-US"/>
        </w:rPr>
        <w:t>من التدابير التي اتخذتها الدولة الطرف، وذلك بسبب عدم تسجيلهم من أرباب عملهم في نظام الحماية الاجتماعية</w:t>
      </w:r>
      <w:r w:rsidRPr="00AA0AD5">
        <w:rPr>
          <w:rtl/>
          <w:lang w:val="en-US"/>
        </w:rPr>
        <w:t xml:space="preserve"> أو عدم دفعهم اشتراكاتهم في الصناديق (المادتان </w:t>
      </w:r>
      <w:r w:rsidRPr="00236F77">
        <w:rPr>
          <w:rtl/>
          <w:lang w:val="en-US"/>
        </w:rPr>
        <w:t>7</w:t>
      </w:r>
      <w:r w:rsidRPr="00AA0AD5">
        <w:rPr>
          <w:rtl/>
          <w:lang w:val="en-US"/>
        </w:rPr>
        <w:t xml:space="preserve"> و</w:t>
      </w:r>
      <w:r w:rsidRPr="00236F77">
        <w:rPr>
          <w:rtl/>
          <w:lang w:val="en-US"/>
        </w:rPr>
        <w:t>9</w:t>
      </w:r>
      <w:r w:rsidRPr="00AA0AD5">
        <w:rPr>
          <w:rtl/>
          <w:lang w:val="en-US"/>
        </w:rPr>
        <w:t>).</w:t>
      </w:r>
    </w:p>
    <w:p w14:paraId="34A109A9" w14:textId="77777777" w:rsidR="007E78CF" w:rsidRPr="00BD17E3" w:rsidRDefault="007E78CF" w:rsidP="00AA0AD5">
      <w:pPr>
        <w:pStyle w:val="SingleTxtGA"/>
        <w:rPr>
          <w:b/>
          <w:bCs/>
          <w:lang w:val="en-US"/>
        </w:rPr>
      </w:pPr>
      <w:r w:rsidRPr="00236F77">
        <w:rPr>
          <w:rtl/>
          <w:lang w:val="en-US"/>
        </w:rPr>
        <w:t>35</w:t>
      </w:r>
      <w:r w:rsidRPr="00AA0AD5">
        <w:rPr>
          <w:rtl/>
          <w:lang w:val="en-US"/>
        </w:rPr>
        <w:t>-</w:t>
      </w:r>
      <w:r w:rsidRPr="00AA0AD5">
        <w:rPr>
          <w:rtl/>
          <w:lang w:val="en-US"/>
        </w:rPr>
        <w:tab/>
      </w:r>
      <w:r w:rsidRPr="00BD17E3">
        <w:rPr>
          <w:b/>
          <w:bCs/>
          <w:rtl/>
          <w:lang w:val="en-US"/>
        </w:rPr>
        <w:t xml:space="preserve">توصي اللجنة الدولة الطرف بما يلي: </w:t>
      </w:r>
    </w:p>
    <w:p w14:paraId="20FC6E7D" w14:textId="4829AE71" w:rsidR="007E78CF" w:rsidRPr="00BD17E3" w:rsidRDefault="007E78CF" w:rsidP="00AA0AD5">
      <w:pPr>
        <w:pStyle w:val="SingleTxtGA"/>
        <w:rPr>
          <w:b/>
          <w:bCs/>
          <w:lang w:val="en-US"/>
        </w:rPr>
      </w:pPr>
      <w:r>
        <w:rPr>
          <w:rtl/>
          <w:lang w:val="en-US"/>
        </w:rPr>
        <w:tab/>
      </w:r>
      <w:r w:rsidRPr="00AA0AD5">
        <w:rPr>
          <w:rtl/>
          <w:lang w:val="en-US"/>
        </w:rPr>
        <w:t>(أ)</w:t>
      </w:r>
      <w:r w:rsidRPr="00AA0AD5">
        <w:rPr>
          <w:rtl/>
          <w:lang w:val="en-US"/>
        </w:rPr>
        <w:tab/>
      </w:r>
      <w:r w:rsidRPr="00BD17E3">
        <w:rPr>
          <w:b/>
          <w:bCs/>
          <w:rtl/>
          <w:lang w:val="en-US"/>
        </w:rPr>
        <w:t>إصلاح نظامها للحماية الاجتماعية، بغية تخفيف التباينات الإقليمية والقضاء على الآثار التمييزية للنظام على الأفراد والجماعات المحرومين والمهمشين، بما في ذلك عن طريق توحيد و/أو تنسيق مختلف استحقاقات الضمان الاجتماعي على المستوى المحلي وضمان تخصيص مستوى منصف وكافي من التمويل العام لنظام الحماية الاجتماعية؛</w:t>
      </w:r>
    </w:p>
    <w:p w14:paraId="0F277FF0" w14:textId="021611ED" w:rsidR="007E78CF" w:rsidRPr="00BD17E3" w:rsidRDefault="007E78CF" w:rsidP="00AA0AD5">
      <w:pPr>
        <w:pStyle w:val="SingleTxtGA"/>
        <w:rPr>
          <w:b/>
          <w:bCs/>
          <w:lang w:val="en-US"/>
        </w:rPr>
      </w:pPr>
      <w:r>
        <w:rPr>
          <w:rtl/>
          <w:lang w:val="en-US"/>
        </w:rPr>
        <w:tab/>
      </w:r>
      <w:r w:rsidRPr="00AA0AD5">
        <w:rPr>
          <w:rtl/>
          <w:lang w:val="en-US"/>
        </w:rPr>
        <w:t>(ب)</w:t>
      </w:r>
      <w:r w:rsidRPr="00AA0AD5">
        <w:rPr>
          <w:rtl/>
          <w:lang w:val="en-US"/>
        </w:rPr>
        <w:tab/>
      </w:r>
      <w:r w:rsidRPr="00BD17E3">
        <w:rPr>
          <w:b/>
          <w:bCs/>
          <w:rtl/>
          <w:lang w:val="en-US"/>
        </w:rPr>
        <w:t>توسيع نطاق تغطية استحقاقات الضمان الاجتماعي، لا سيما للعاملين لحسابهم الخاص والعاملين في القطاع الزراعي والقطاع غير الرسمي، وزيادة مستوى هذه الاستحقاقات من أجل توفير معيشة لائقة للعمال وأسرهم؛</w:t>
      </w:r>
    </w:p>
    <w:p w14:paraId="7963DB72" w14:textId="23BA61A7" w:rsidR="007E78CF" w:rsidRPr="00BD17E3" w:rsidRDefault="007E78CF" w:rsidP="00AA0AD5">
      <w:pPr>
        <w:pStyle w:val="SingleTxtGA"/>
        <w:rPr>
          <w:b/>
          <w:bCs/>
          <w:spacing w:val="-4"/>
          <w:lang w:val="en-US"/>
        </w:rPr>
      </w:pPr>
      <w:r w:rsidRPr="00BD17E3">
        <w:rPr>
          <w:spacing w:val="-4"/>
          <w:rtl/>
          <w:lang w:val="en-US"/>
        </w:rPr>
        <w:tab/>
        <w:t>(ج)</w:t>
      </w:r>
      <w:r w:rsidRPr="00BD17E3">
        <w:rPr>
          <w:spacing w:val="-4"/>
          <w:rtl/>
          <w:lang w:val="en-US"/>
        </w:rPr>
        <w:tab/>
      </w:r>
      <w:r w:rsidRPr="00BD17E3">
        <w:rPr>
          <w:b/>
          <w:bCs/>
          <w:spacing w:val="-4"/>
          <w:rtl/>
          <w:lang w:val="en-US"/>
        </w:rPr>
        <w:t>ضمان تسجيل أرباب العمل لموظفيهم في نظام الحماية الاجتماعية ودفع اشتراكاتهم؛</w:t>
      </w:r>
    </w:p>
    <w:p w14:paraId="06E6ACA3" w14:textId="4041121F" w:rsidR="007E78CF" w:rsidRPr="00BD17E3" w:rsidRDefault="007E78CF" w:rsidP="00AA0AD5">
      <w:pPr>
        <w:pStyle w:val="SingleTxtGA"/>
        <w:rPr>
          <w:b/>
          <w:bCs/>
          <w:lang w:val="en-US"/>
        </w:rPr>
      </w:pPr>
      <w:r>
        <w:rPr>
          <w:rtl/>
          <w:lang w:val="en-US"/>
        </w:rPr>
        <w:tab/>
      </w:r>
      <w:r w:rsidRPr="00AA0AD5">
        <w:rPr>
          <w:rtl/>
          <w:lang w:val="en-US"/>
        </w:rPr>
        <w:t>(د)</w:t>
      </w:r>
      <w:r w:rsidRPr="00AA0AD5">
        <w:rPr>
          <w:rtl/>
          <w:lang w:val="en-US"/>
        </w:rPr>
        <w:tab/>
      </w:r>
      <w:r w:rsidRPr="00BD17E3">
        <w:rPr>
          <w:b/>
          <w:bCs/>
          <w:rtl/>
          <w:lang w:val="en-US"/>
        </w:rPr>
        <w:t xml:space="preserve">مراعاة تعليق اللجنة العام رقم </w:t>
      </w:r>
      <w:r w:rsidRPr="00236F77">
        <w:rPr>
          <w:b/>
          <w:bCs/>
          <w:rtl/>
          <w:lang w:val="en-US"/>
        </w:rPr>
        <w:t>19</w:t>
      </w:r>
      <w:r w:rsidRPr="00BD17E3">
        <w:rPr>
          <w:b/>
          <w:bCs/>
          <w:rtl/>
          <w:lang w:val="en-US"/>
        </w:rPr>
        <w:t>(</w:t>
      </w:r>
      <w:r w:rsidRPr="00236F77">
        <w:rPr>
          <w:b/>
          <w:bCs/>
          <w:rtl/>
          <w:lang w:val="en-US"/>
        </w:rPr>
        <w:t>2007</w:t>
      </w:r>
      <w:r w:rsidRPr="00BD17E3">
        <w:rPr>
          <w:b/>
          <w:bCs/>
          <w:rtl/>
          <w:lang w:val="en-US"/>
        </w:rPr>
        <w:t xml:space="preserve">) بشأن الحق في الضمان الاجتماعي. </w:t>
      </w:r>
    </w:p>
    <w:p w14:paraId="5A79A562" w14:textId="77777777" w:rsidR="007E78CF" w:rsidRPr="00AA0AD5" w:rsidRDefault="007E78CF" w:rsidP="007E78CF">
      <w:pPr>
        <w:pStyle w:val="H23GA"/>
      </w:pPr>
      <w:r w:rsidRPr="00AA0AD5">
        <w:rPr>
          <w:rtl/>
        </w:rPr>
        <w:tab/>
      </w:r>
      <w:r w:rsidRPr="00AA0AD5">
        <w:rPr>
          <w:rtl/>
        </w:rPr>
        <w:tab/>
        <w:t>حماية الأسرة والأطفال</w:t>
      </w:r>
    </w:p>
    <w:p w14:paraId="07CA74F9" w14:textId="77777777" w:rsidR="007E78CF" w:rsidRPr="00AA0AD5" w:rsidRDefault="007E78CF" w:rsidP="00AA0AD5">
      <w:pPr>
        <w:pStyle w:val="SingleTxtGA"/>
        <w:rPr>
          <w:lang w:val="en-US"/>
        </w:rPr>
      </w:pPr>
      <w:r w:rsidRPr="00236F77">
        <w:rPr>
          <w:rtl/>
          <w:lang w:val="en-US"/>
        </w:rPr>
        <w:t>36</w:t>
      </w:r>
      <w:r w:rsidRPr="00AA0AD5">
        <w:rPr>
          <w:rtl/>
          <w:lang w:val="en-US"/>
        </w:rPr>
        <w:t>-</w:t>
      </w:r>
      <w:r w:rsidRPr="00AA0AD5">
        <w:rPr>
          <w:rtl/>
          <w:lang w:val="en-US"/>
        </w:rPr>
        <w:tab/>
        <w:t xml:space="preserve">يساور اللجنة القلق إزاء ما يلي: </w:t>
      </w:r>
    </w:p>
    <w:p w14:paraId="7CF63C29" w14:textId="1B610090" w:rsidR="007E78CF" w:rsidRPr="00AA0AD5" w:rsidRDefault="007E78CF" w:rsidP="00AA0AD5">
      <w:pPr>
        <w:pStyle w:val="SingleTxtGA"/>
        <w:rPr>
          <w:lang w:val="en-US"/>
        </w:rPr>
      </w:pPr>
      <w:r>
        <w:rPr>
          <w:rtl/>
          <w:lang w:val="en-US"/>
        </w:rPr>
        <w:tab/>
      </w:r>
      <w:r w:rsidRPr="00AA0AD5">
        <w:rPr>
          <w:rtl/>
          <w:lang w:val="en-US"/>
        </w:rPr>
        <w:t>(أ)</w:t>
      </w:r>
      <w:r w:rsidRPr="00AA0AD5">
        <w:rPr>
          <w:rtl/>
          <w:lang w:val="en-US"/>
        </w:rPr>
        <w:tab/>
        <w:t>التوزيع غير المتكافئ للغاية للمسؤوليات عن الأعمال المنزلية والرعاية، غير المدفوعة الأجر، بين النساء والرجال، وعدم كفاية الدعم الاجتماعي لرعاية الأطفال والمسنين وذوي الإعاقة؛</w:t>
      </w:r>
    </w:p>
    <w:p w14:paraId="0D6EEA95" w14:textId="735F4ADC" w:rsidR="007E78CF" w:rsidRPr="00AA0AD5" w:rsidRDefault="007E78CF" w:rsidP="00AA0AD5">
      <w:pPr>
        <w:pStyle w:val="SingleTxtGA"/>
        <w:rPr>
          <w:lang w:val="en-US"/>
        </w:rPr>
      </w:pPr>
      <w:r>
        <w:rPr>
          <w:rtl/>
          <w:lang w:val="en-US"/>
        </w:rPr>
        <w:tab/>
      </w:r>
      <w:r w:rsidRPr="00AA0AD5">
        <w:rPr>
          <w:rtl/>
          <w:lang w:val="en-US"/>
        </w:rPr>
        <w:t>(ب)</w:t>
      </w:r>
      <w:r w:rsidRPr="00AA0AD5">
        <w:rPr>
          <w:rtl/>
          <w:lang w:val="en-US"/>
        </w:rPr>
        <w:tab/>
        <w:t xml:space="preserve">انخفاض مستوى تغطية إجازة وبدل الأمومة ومختلف مبالغ بدل الأمومة بين الكيانات </w:t>
      </w:r>
      <w:proofErr w:type="spellStart"/>
      <w:r w:rsidRPr="00AA0AD5">
        <w:rPr>
          <w:rtl/>
          <w:lang w:val="en-US"/>
        </w:rPr>
        <w:t>والكانتونات</w:t>
      </w:r>
      <w:proofErr w:type="spellEnd"/>
      <w:r w:rsidRPr="00AA0AD5">
        <w:rPr>
          <w:rtl/>
          <w:lang w:val="en-US"/>
        </w:rPr>
        <w:t xml:space="preserve">، مع عدم دفع بعض </w:t>
      </w:r>
      <w:proofErr w:type="spellStart"/>
      <w:r w:rsidRPr="00AA0AD5">
        <w:rPr>
          <w:rtl/>
          <w:lang w:val="en-US"/>
        </w:rPr>
        <w:t>الكانتونات</w:t>
      </w:r>
      <w:proofErr w:type="spellEnd"/>
      <w:r w:rsidRPr="00AA0AD5">
        <w:rPr>
          <w:rtl/>
          <w:lang w:val="en-US"/>
        </w:rPr>
        <w:t xml:space="preserve"> لهذا البدل على الإطلاق؛</w:t>
      </w:r>
    </w:p>
    <w:p w14:paraId="732A0901" w14:textId="0B0F30A2" w:rsidR="007E78CF" w:rsidRPr="00AA0AD5" w:rsidRDefault="007E78CF" w:rsidP="00AA0AD5">
      <w:pPr>
        <w:pStyle w:val="SingleTxtGA"/>
        <w:rPr>
          <w:lang w:val="en-US"/>
        </w:rPr>
      </w:pPr>
      <w:r>
        <w:rPr>
          <w:rtl/>
          <w:lang w:val="en-US"/>
        </w:rPr>
        <w:tab/>
      </w:r>
      <w:r w:rsidRPr="00AA0AD5">
        <w:rPr>
          <w:rtl/>
          <w:lang w:val="en-US"/>
        </w:rPr>
        <w:t>(ج)</w:t>
      </w:r>
      <w:r w:rsidRPr="00AA0AD5">
        <w:rPr>
          <w:rtl/>
          <w:lang w:val="en-US"/>
        </w:rPr>
        <w:tab/>
        <w:t xml:space="preserve">محدودية الشروط المنصوص عليها في التشريع والتي يمكن بموجبها للوالد الآخر أن يأخذ إجازة الوالدية، بما في ذلك المادة </w:t>
      </w:r>
      <w:r w:rsidRPr="00236F77">
        <w:rPr>
          <w:rtl/>
          <w:lang w:val="en-US"/>
        </w:rPr>
        <w:t>62</w:t>
      </w:r>
      <w:r w:rsidRPr="00AA0AD5">
        <w:rPr>
          <w:rtl/>
          <w:lang w:val="en-US"/>
        </w:rPr>
        <w:t>(</w:t>
      </w:r>
      <w:r w:rsidRPr="00236F77">
        <w:rPr>
          <w:rtl/>
          <w:lang w:val="en-US"/>
        </w:rPr>
        <w:t>5</w:t>
      </w:r>
      <w:r w:rsidRPr="00AA0AD5">
        <w:rPr>
          <w:rtl/>
          <w:lang w:val="en-US"/>
        </w:rPr>
        <w:t>) من قانون العمل لاتحاد البوسنة والهرسك، والنسبة الضئيلة جد</w:t>
      </w:r>
      <w:r w:rsidR="00AB408B">
        <w:rPr>
          <w:rtl/>
          <w:lang w:val="en-US"/>
        </w:rPr>
        <w:t xml:space="preserve">اً </w:t>
      </w:r>
      <w:r w:rsidRPr="00AA0AD5">
        <w:rPr>
          <w:rtl/>
          <w:lang w:val="en-US"/>
        </w:rPr>
        <w:t xml:space="preserve">للرجال الذين يأخذون إجازة الوالدية (المادتان </w:t>
      </w:r>
      <w:r w:rsidRPr="00236F77">
        <w:rPr>
          <w:rtl/>
          <w:lang w:val="en-US"/>
        </w:rPr>
        <w:t>9</w:t>
      </w:r>
      <w:r w:rsidRPr="00AA0AD5">
        <w:rPr>
          <w:rtl/>
          <w:lang w:val="en-US"/>
        </w:rPr>
        <w:t>-</w:t>
      </w:r>
      <w:r w:rsidRPr="00236F77">
        <w:rPr>
          <w:rtl/>
          <w:lang w:val="en-US"/>
        </w:rPr>
        <w:t>10</w:t>
      </w:r>
      <w:r w:rsidRPr="00AA0AD5">
        <w:rPr>
          <w:rtl/>
          <w:lang w:val="en-US"/>
        </w:rPr>
        <w:t>).</w:t>
      </w:r>
    </w:p>
    <w:p w14:paraId="2EA85204" w14:textId="77777777" w:rsidR="007E78CF" w:rsidRPr="00383081" w:rsidRDefault="007E78CF" w:rsidP="00AA0AD5">
      <w:pPr>
        <w:pStyle w:val="SingleTxtGA"/>
        <w:rPr>
          <w:b/>
          <w:bCs/>
          <w:lang w:val="en-US"/>
        </w:rPr>
      </w:pPr>
      <w:r w:rsidRPr="00236F77">
        <w:rPr>
          <w:rtl/>
          <w:lang w:val="en-US"/>
        </w:rPr>
        <w:t>37</w:t>
      </w:r>
      <w:r w:rsidRPr="00AA0AD5">
        <w:rPr>
          <w:rtl/>
          <w:lang w:val="en-US"/>
        </w:rPr>
        <w:t>-</w:t>
      </w:r>
      <w:r w:rsidRPr="00AA0AD5">
        <w:rPr>
          <w:rtl/>
          <w:lang w:val="en-US"/>
        </w:rPr>
        <w:tab/>
      </w:r>
      <w:r w:rsidRPr="00383081">
        <w:rPr>
          <w:b/>
          <w:bCs/>
          <w:rtl/>
          <w:lang w:val="en-US"/>
        </w:rPr>
        <w:t>توصي اللجنة الدولة الطرف بما يلي:</w:t>
      </w:r>
    </w:p>
    <w:p w14:paraId="0A5F379A" w14:textId="6EA10211" w:rsidR="007E78CF" w:rsidRPr="00383081" w:rsidRDefault="007E78CF" w:rsidP="00AA0AD5">
      <w:pPr>
        <w:pStyle w:val="SingleTxtGA"/>
        <w:rPr>
          <w:b/>
          <w:bCs/>
          <w:lang w:val="en-US"/>
        </w:rPr>
      </w:pPr>
      <w:r>
        <w:rPr>
          <w:rtl/>
          <w:lang w:val="en-US"/>
        </w:rPr>
        <w:tab/>
      </w:r>
      <w:r w:rsidRPr="00AA0AD5">
        <w:rPr>
          <w:rtl/>
          <w:lang w:val="en-US"/>
        </w:rPr>
        <w:t>(أ)</w:t>
      </w:r>
      <w:r w:rsidRPr="00AA0AD5">
        <w:rPr>
          <w:rtl/>
          <w:lang w:val="en-US"/>
        </w:rPr>
        <w:tab/>
      </w:r>
      <w:r w:rsidRPr="00383081">
        <w:rPr>
          <w:b/>
          <w:bCs/>
          <w:rtl/>
          <w:lang w:val="en-US"/>
        </w:rPr>
        <w:t xml:space="preserve">تشجيع تقاسم الرجل والمرأة للمسؤوليات المنزلية ولمسؤوليات الرعاية على قدم </w:t>
      </w:r>
      <w:r w:rsidRPr="00F572AF">
        <w:rPr>
          <w:rFonts w:ascii="Times New Roman Bold" w:hAnsi="Times New Roman Bold"/>
          <w:b/>
          <w:bCs/>
          <w:spacing w:val="-2"/>
          <w:rtl/>
          <w:lang w:val="en-US"/>
        </w:rPr>
        <w:t>المساواة، بطرق منها أنشطة إذكاء الوعي؛ وتحسين توافر دعم وخدمات الرعاية الجيدة وإمكانية الوصول</w:t>
      </w:r>
      <w:r w:rsidRPr="00383081">
        <w:rPr>
          <w:b/>
          <w:bCs/>
          <w:rtl/>
          <w:lang w:val="en-US"/>
        </w:rPr>
        <w:t xml:space="preserve"> إليها والقدرة على تحمل تكاليفها؛</w:t>
      </w:r>
    </w:p>
    <w:p w14:paraId="01E4C1C0" w14:textId="31D92ABB" w:rsidR="007E78CF" w:rsidRPr="00383081" w:rsidRDefault="007E78CF" w:rsidP="00AA0AD5">
      <w:pPr>
        <w:pStyle w:val="SingleTxtGA"/>
        <w:rPr>
          <w:b/>
          <w:bCs/>
          <w:lang w:val="en-US"/>
        </w:rPr>
      </w:pPr>
      <w:r>
        <w:rPr>
          <w:rtl/>
          <w:lang w:val="en-US"/>
        </w:rPr>
        <w:tab/>
      </w:r>
      <w:r w:rsidRPr="00AA0AD5">
        <w:rPr>
          <w:rtl/>
          <w:lang w:val="en-US"/>
        </w:rPr>
        <w:t>(ب)</w:t>
      </w:r>
      <w:r w:rsidRPr="00AA0AD5">
        <w:rPr>
          <w:rtl/>
          <w:lang w:val="en-US"/>
        </w:rPr>
        <w:tab/>
      </w:r>
      <w:r w:rsidRPr="00383081">
        <w:rPr>
          <w:b/>
          <w:bCs/>
          <w:rtl/>
          <w:lang w:val="en-US"/>
        </w:rPr>
        <w:t xml:space="preserve">توسيع نطاق تغطية إجازة وبدل الأمومة ووضع بدل أمومة موحد بمستوى كاف ينطبق على كيانات </w:t>
      </w:r>
      <w:proofErr w:type="spellStart"/>
      <w:r w:rsidRPr="00383081">
        <w:rPr>
          <w:b/>
          <w:bCs/>
          <w:rtl/>
          <w:lang w:val="en-US"/>
        </w:rPr>
        <w:t>وكانتونات</w:t>
      </w:r>
      <w:proofErr w:type="spellEnd"/>
      <w:r w:rsidRPr="00383081">
        <w:rPr>
          <w:b/>
          <w:bCs/>
          <w:rtl/>
          <w:lang w:val="en-US"/>
        </w:rPr>
        <w:t xml:space="preserve"> الاتحاد؛</w:t>
      </w:r>
    </w:p>
    <w:p w14:paraId="3FE99C12" w14:textId="2BAA570C" w:rsidR="007E78CF" w:rsidRPr="00383081" w:rsidRDefault="007E78CF" w:rsidP="00AA0AD5">
      <w:pPr>
        <w:pStyle w:val="SingleTxtGA"/>
        <w:rPr>
          <w:b/>
          <w:bCs/>
          <w:lang w:val="en-US"/>
        </w:rPr>
      </w:pPr>
      <w:r>
        <w:rPr>
          <w:rtl/>
          <w:lang w:val="en-US"/>
        </w:rPr>
        <w:tab/>
      </w:r>
      <w:r w:rsidRPr="00AA0AD5">
        <w:rPr>
          <w:rtl/>
          <w:lang w:val="en-US"/>
        </w:rPr>
        <w:t>(ج)</w:t>
      </w:r>
      <w:r w:rsidRPr="00AA0AD5">
        <w:rPr>
          <w:rtl/>
          <w:lang w:val="en-US"/>
        </w:rPr>
        <w:tab/>
      </w:r>
      <w:r w:rsidRPr="00383081">
        <w:rPr>
          <w:b/>
          <w:bCs/>
          <w:rtl/>
          <w:lang w:val="en-US"/>
        </w:rPr>
        <w:t>إلغاء الأحكام التي تقيد الآباء من أخذ إجازة الوالدية، بما في ذلك على نحو ما</w:t>
      </w:r>
      <w:r w:rsidR="00AB408B">
        <w:rPr>
          <w:rFonts w:hint="cs"/>
          <w:b/>
          <w:bCs/>
          <w:rtl/>
          <w:lang w:val="en-US"/>
        </w:rPr>
        <w:t> </w:t>
      </w:r>
      <w:r w:rsidRPr="00383081">
        <w:rPr>
          <w:b/>
          <w:bCs/>
          <w:rtl/>
          <w:lang w:val="en-US"/>
        </w:rPr>
        <w:t xml:space="preserve">تنص عليه المادة </w:t>
      </w:r>
      <w:r w:rsidRPr="00236F77">
        <w:rPr>
          <w:b/>
          <w:bCs/>
          <w:rtl/>
          <w:lang w:val="en-US"/>
        </w:rPr>
        <w:t>62</w:t>
      </w:r>
      <w:r w:rsidRPr="00383081">
        <w:rPr>
          <w:b/>
          <w:bCs/>
          <w:rtl/>
          <w:lang w:val="en-US"/>
        </w:rPr>
        <w:t>(</w:t>
      </w:r>
      <w:r w:rsidRPr="00236F77">
        <w:rPr>
          <w:b/>
          <w:bCs/>
          <w:rtl/>
          <w:lang w:val="en-US"/>
        </w:rPr>
        <w:t>5</w:t>
      </w:r>
      <w:r w:rsidRPr="00383081">
        <w:rPr>
          <w:b/>
          <w:bCs/>
          <w:rtl/>
          <w:lang w:val="en-US"/>
        </w:rPr>
        <w:t>) من قانون العمل في الاتحاد، واتخاذ تدابير فعالة لزيادة معدلات الحصول على الإجازة الوالدية في أوساط الآباء.</w:t>
      </w:r>
    </w:p>
    <w:p w14:paraId="001536A9" w14:textId="77777777" w:rsidR="007E78CF" w:rsidRPr="00AA0AD5" w:rsidRDefault="007E78CF" w:rsidP="007E78CF">
      <w:pPr>
        <w:pStyle w:val="H23GA"/>
      </w:pPr>
      <w:r w:rsidRPr="00AA0AD5">
        <w:rPr>
          <w:rtl/>
        </w:rPr>
        <w:lastRenderedPageBreak/>
        <w:tab/>
      </w:r>
      <w:r w:rsidRPr="00AA0AD5">
        <w:rPr>
          <w:rtl/>
        </w:rPr>
        <w:tab/>
        <w:t>الفقر</w:t>
      </w:r>
    </w:p>
    <w:p w14:paraId="48DEACE3" w14:textId="561FC2EC" w:rsidR="007E78CF" w:rsidRPr="00383081" w:rsidRDefault="007E78CF" w:rsidP="00523757">
      <w:pPr>
        <w:pStyle w:val="SingleTxtGA"/>
        <w:spacing w:line="350" w:lineRule="exact"/>
        <w:rPr>
          <w:spacing w:val="-4"/>
          <w:lang w:val="en-US"/>
        </w:rPr>
      </w:pPr>
      <w:r w:rsidRPr="00236F77">
        <w:rPr>
          <w:spacing w:val="-4"/>
          <w:rtl/>
          <w:lang w:val="en-US"/>
        </w:rPr>
        <w:t>38</w:t>
      </w:r>
      <w:r w:rsidRPr="00383081">
        <w:rPr>
          <w:spacing w:val="-4"/>
          <w:rtl/>
          <w:lang w:val="en-US"/>
        </w:rPr>
        <w:t>-</w:t>
      </w:r>
      <w:r w:rsidRPr="00383081">
        <w:rPr>
          <w:spacing w:val="-4"/>
          <w:rtl/>
          <w:lang w:val="en-US"/>
        </w:rPr>
        <w:tab/>
        <w:t>تعرب اللجنة عن أسفها لعدم تحديد الدولة الطرف بعد خط</w:t>
      </w:r>
      <w:r w:rsidR="00AB408B">
        <w:rPr>
          <w:spacing w:val="-4"/>
          <w:rtl/>
          <w:lang w:val="en-US"/>
        </w:rPr>
        <w:t xml:space="preserve">اً </w:t>
      </w:r>
      <w:r w:rsidRPr="00383081">
        <w:rPr>
          <w:spacing w:val="-4"/>
          <w:rtl/>
          <w:lang w:val="en-US"/>
        </w:rPr>
        <w:t>وطني</w:t>
      </w:r>
      <w:r w:rsidR="00AB408B">
        <w:rPr>
          <w:spacing w:val="-4"/>
          <w:rtl/>
          <w:lang w:val="en-US"/>
        </w:rPr>
        <w:t xml:space="preserve">اً </w:t>
      </w:r>
      <w:r w:rsidRPr="00383081">
        <w:rPr>
          <w:spacing w:val="-4"/>
          <w:rtl/>
          <w:lang w:val="en-US"/>
        </w:rPr>
        <w:t>للفقر. كما تعرب عن أسفها لعدم وجود معلومات عن أثر الضرائب والتحويلات الاجتماعية في الحد من الفقر. ويساورها القلق إزاء ارتفاع معدل الفقر في الدولة الطرف، حيث ينتشر بشكل غير متناسب في أوساط الروما والعائدين والمشردين وذوي الإعاقة والأسر التي لديها طفلان أو أكثر، وهو ما تفاقم خلال جائحة كوفيد-</w:t>
      </w:r>
      <w:r w:rsidRPr="00236F77">
        <w:rPr>
          <w:spacing w:val="-4"/>
          <w:rtl/>
          <w:lang w:val="en-US"/>
        </w:rPr>
        <w:t>19</w:t>
      </w:r>
      <w:r w:rsidRPr="00383081">
        <w:rPr>
          <w:spacing w:val="-4"/>
          <w:rtl/>
          <w:lang w:val="en-US"/>
        </w:rPr>
        <w:t xml:space="preserve"> (الفقرتان </w:t>
      </w:r>
      <w:r w:rsidRPr="00236F77">
        <w:rPr>
          <w:spacing w:val="-4"/>
          <w:rtl/>
          <w:lang w:val="en-US"/>
        </w:rPr>
        <w:t>9</w:t>
      </w:r>
      <w:r w:rsidRPr="00383081">
        <w:rPr>
          <w:spacing w:val="-4"/>
          <w:rtl/>
          <w:lang w:val="en-US"/>
        </w:rPr>
        <w:t xml:space="preserve"> و</w:t>
      </w:r>
      <w:r w:rsidRPr="00236F77">
        <w:rPr>
          <w:spacing w:val="-4"/>
          <w:rtl/>
          <w:lang w:val="en-US"/>
        </w:rPr>
        <w:t>11</w:t>
      </w:r>
      <w:r w:rsidRPr="00383081">
        <w:rPr>
          <w:spacing w:val="-4"/>
          <w:rtl/>
          <w:lang w:val="en-US"/>
        </w:rPr>
        <w:t xml:space="preserve">). </w:t>
      </w:r>
    </w:p>
    <w:p w14:paraId="219B62D9" w14:textId="77777777" w:rsidR="007E78CF" w:rsidRPr="00383081" w:rsidRDefault="007E78CF" w:rsidP="00523757">
      <w:pPr>
        <w:pStyle w:val="SingleTxtGA"/>
        <w:spacing w:line="350" w:lineRule="exact"/>
        <w:rPr>
          <w:b/>
          <w:bCs/>
          <w:lang w:val="en-US"/>
        </w:rPr>
      </w:pPr>
      <w:r w:rsidRPr="00236F77">
        <w:rPr>
          <w:rtl/>
          <w:lang w:val="en-US"/>
        </w:rPr>
        <w:t>39</w:t>
      </w:r>
      <w:r w:rsidRPr="00AA0AD5">
        <w:rPr>
          <w:rtl/>
          <w:lang w:val="en-US"/>
        </w:rPr>
        <w:t>-</w:t>
      </w:r>
      <w:r w:rsidRPr="00AA0AD5">
        <w:rPr>
          <w:rtl/>
          <w:lang w:val="en-US"/>
        </w:rPr>
        <w:tab/>
      </w:r>
      <w:r w:rsidRPr="00383081">
        <w:rPr>
          <w:b/>
          <w:bCs/>
          <w:rtl/>
          <w:lang w:val="en-US"/>
        </w:rPr>
        <w:t xml:space="preserve">توصي اللجنة الدولة الطرف بما يلي: </w:t>
      </w:r>
    </w:p>
    <w:p w14:paraId="612BF2E6" w14:textId="47082E74" w:rsidR="007E78CF" w:rsidRPr="00383081" w:rsidRDefault="007E78CF" w:rsidP="00523757">
      <w:pPr>
        <w:pStyle w:val="SingleTxtGA"/>
        <w:spacing w:line="350" w:lineRule="exact"/>
        <w:rPr>
          <w:b/>
          <w:bCs/>
          <w:lang w:val="en-US"/>
        </w:rPr>
      </w:pPr>
      <w:r>
        <w:rPr>
          <w:rtl/>
          <w:lang w:val="en-US"/>
        </w:rPr>
        <w:tab/>
      </w:r>
      <w:r w:rsidRPr="00AA0AD5">
        <w:rPr>
          <w:rtl/>
          <w:lang w:val="en-US"/>
        </w:rPr>
        <w:t>(أ)</w:t>
      </w:r>
      <w:r w:rsidRPr="00AA0AD5">
        <w:rPr>
          <w:rtl/>
          <w:lang w:val="en-US"/>
        </w:rPr>
        <w:tab/>
      </w:r>
      <w:r w:rsidRPr="00383081">
        <w:rPr>
          <w:b/>
          <w:bCs/>
          <w:rtl/>
          <w:lang w:val="en-US"/>
        </w:rPr>
        <w:t>وضع خط وطني للفقر، وتعديله سنوي</w:t>
      </w:r>
      <w:r w:rsidR="00AB408B">
        <w:rPr>
          <w:b/>
          <w:bCs/>
          <w:rtl/>
          <w:lang w:val="en-US"/>
        </w:rPr>
        <w:t>اً،</w:t>
      </w:r>
      <w:r w:rsidRPr="00383081">
        <w:rPr>
          <w:b/>
          <w:bCs/>
          <w:rtl/>
          <w:lang w:val="en-US"/>
        </w:rPr>
        <w:t xml:space="preserve"> بعد وضعه؛</w:t>
      </w:r>
    </w:p>
    <w:p w14:paraId="6E125A1D" w14:textId="37E79C9B" w:rsidR="007E78CF" w:rsidRPr="00383081" w:rsidRDefault="007E78CF" w:rsidP="00523757">
      <w:pPr>
        <w:pStyle w:val="SingleTxtGA"/>
        <w:spacing w:line="350" w:lineRule="exact"/>
        <w:rPr>
          <w:b/>
          <w:bCs/>
          <w:lang w:val="en-US"/>
        </w:rPr>
      </w:pPr>
      <w:r>
        <w:rPr>
          <w:rtl/>
          <w:lang w:val="en-US"/>
        </w:rPr>
        <w:tab/>
      </w:r>
      <w:r w:rsidRPr="00AA0AD5">
        <w:rPr>
          <w:rtl/>
          <w:lang w:val="en-US"/>
        </w:rPr>
        <w:t>(ب)</w:t>
      </w:r>
      <w:r w:rsidRPr="00AA0AD5">
        <w:rPr>
          <w:rtl/>
          <w:lang w:val="en-US"/>
        </w:rPr>
        <w:tab/>
      </w:r>
      <w:r w:rsidRPr="00383081">
        <w:rPr>
          <w:b/>
          <w:bCs/>
          <w:rtl/>
          <w:lang w:val="en-US"/>
        </w:rPr>
        <w:t>تقييم أثر الضرائب والتحويلات الاجتماعية على الحد من الفقر واستعراض سياستها المالية والتحويلات الاجتماعية بغية تعزيز أثرها على الحد من الفقر؛</w:t>
      </w:r>
    </w:p>
    <w:p w14:paraId="5117EE57" w14:textId="7555CAEA" w:rsidR="007E78CF" w:rsidRPr="00383081" w:rsidRDefault="007E78CF" w:rsidP="00523757">
      <w:pPr>
        <w:pStyle w:val="SingleTxtGA"/>
        <w:spacing w:line="350" w:lineRule="exact"/>
        <w:rPr>
          <w:b/>
          <w:bCs/>
          <w:lang w:val="en-US"/>
        </w:rPr>
      </w:pPr>
      <w:r>
        <w:rPr>
          <w:rtl/>
          <w:lang w:val="en-US"/>
        </w:rPr>
        <w:tab/>
      </w:r>
      <w:r w:rsidRPr="00AA0AD5">
        <w:rPr>
          <w:rtl/>
          <w:lang w:val="en-US"/>
        </w:rPr>
        <w:t>(ج)</w:t>
      </w:r>
      <w:r w:rsidRPr="00AA0AD5">
        <w:rPr>
          <w:rtl/>
          <w:lang w:val="en-US"/>
        </w:rPr>
        <w:tab/>
      </w:r>
      <w:r w:rsidRPr="00383081">
        <w:rPr>
          <w:rFonts w:ascii="Times New Roman Bold" w:hAnsi="Times New Roman Bold"/>
          <w:b/>
          <w:bCs/>
          <w:spacing w:val="-4"/>
          <w:rtl/>
          <w:lang w:val="en-US"/>
        </w:rPr>
        <w:t>اعتماد تدابير فعالة للحد من الفقر تستهدف الروما والعائدين والمشردين وذوي الإعاقة</w:t>
      </w:r>
      <w:r w:rsidRPr="00383081">
        <w:rPr>
          <w:b/>
          <w:bCs/>
          <w:rtl/>
          <w:lang w:val="en-US"/>
        </w:rPr>
        <w:t xml:space="preserve"> والأسر التي لديها طفلان أو أكثر، استناد</w:t>
      </w:r>
      <w:r w:rsidR="00AB408B">
        <w:rPr>
          <w:b/>
          <w:bCs/>
          <w:rtl/>
          <w:lang w:val="en-US"/>
        </w:rPr>
        <w:t xml:space="preserve">اً </w:t>
      </w:r>
      <w:r w:rsidRPr="00383081">
        <w:rPr>
          <w:b/>
          <w:bCs/>
          <w:rtl/>
          <w:lang w:val="en-US"/>
        </w:rPr>
        <w:t xml:space="preserve">إلى تقييم فعالية السياسات والبرامج القائمة؛ </w:t>
      </w:r>
    </w:p>
    <w:p w14:paraId="1E1F5759" w14:textId="18876ADA" w:rsidR="007E78CF" w:rsidRPr="00383081" w:rsidRDefault="007E78CF" w:rsidP="00523757">
      <w:pPr>
        <w:pStyle w:val="SingleTxtGA"/>
        <w:spacing w:line="350" w:lineRule="exact"/>
        <w:rPr>
          <w:b/>
          <w:bCs/>
          <w:lang w:val="en-US"/>
        </w:rPr>
      </w:pPr>
      <w:r>
        <w:rPr>
          <w:rtl/>
          <w:lang w:val="en-US"/>
        </w:rPr>
        <w:tab/>
      </w:r>
      <w:r w:rsidRPr="00AA0AD5">
        <w:rPr>
          <w:rtl/>
          <w:lang w:val="en-US"/>
        </w:rPr>
        <w:t>(د)</w:t>
      </w:r>
      <w:r w:rsidRPr="00AA0AD5">
        <w:rPr>
          <w:rtl/>
          <w:lang w:val="en-US"/>
        </w:rPr>
        <w:tab/>
      </w:r>
      <w:r w:rsidRPr="00383081">
        <w:rPr>
          <w:b/>
          <w:bCs/>
          <w:rtl/>
          <w:lang w:val="en-US"/>
        </w:rPr>
        <w:t>رصد أثر ما اعتمدته الدولة الطرف من استجابات اجتماعية اقتصادية لكوفيد-</w:t>
      </w:r>
      <w:r w:rsidRPr="00236F77">
        <w:rPr>
          <w:b/>
          <w:bCs/>
          <w:rtl/>
          <w:lang w:val="en-US"/>
        </w:rPr>
        <w:t>19</w:t>
      </w:r>
      <w:r w:rsidRPr="00383081">
        <w:rPr>
          <w:b/>
          <w:bCs/>
          <w:rtl/>
          <w:lang w:val="en-US"/>
        </w:rPr>
        <w:t>، ومواصلة اتخاذ تدابير للتخفيف من الآثار الاجتماعية الاقتصادية السلبية لجائحة كوفيد-</w:t>
      </w:r>
      <w:r w:rsidRPr="00236F77">
        <w:rPr>
          <w:b/>
          <w:bCs/>
          <w:rtl/>
          <w:lang w:val="en-US"/>
        </w:rPr>
        <w:t>19</w:t>
      </w:r>
      <w:r w:rsidRPr="00383081">
        <w:rPr>
          <w:b/>
          <w:bCs/>
          <w:rtl/>
          <w:lang w:val="en-US"/>
        </w:rPr>
        <w:t xml:space="preserve"> على سبل عيش الناس ولحماية الناس من الفقر.</w:t>
      </w:r>
    </w:p>
    <w:p w14:paraId="3366BFB5" w14:textId="77777777" w:rsidR="007E78CF" w:rsidRPr="00AA0AD5" w:rsidRDefault="007E78CF" w:rsidP="007E78CF">
      <w:pPr>
        <w:pStyle w:val="H23GA"/>
      </w:pPr>
      <w:r w:rsidRPr="00AA0AD5">
        <w:rPr>
          <w:rtl/>
        </w:rPr>
        <w:tab/>
      </w:r>
      <w:r w:rsidRPr="00AA0AD5">
        <w:rPr>
          <w:rtl/>
        </w:rPr>
        <w:tab/>
        <w:t>الحق في سكن لائق</w:t>
      </w:r>
    </w:p>
    <w:p w14:paraId="07D55C72" w14:textId="382F105A" w:rsidR="007E78CF" w:rsidRPr="00AA0AD5" w:rsidRDefault="007E78CF" w:rsidP="00523757">
      <w:pPr>
        <w:pStyle w:val="SingleTxtGA"/>
        <w:spacing w:line="350" w:lineRule="exact"/>
        <w:rPr>
          <w:lang w:val="en-US"/>
        </w:rPr>
      </w:pPr>
      <w:r w:rsidRPr="00236F77">
        <w:rPr>
          <w:rtl/>
          <w:lang w:val="en-US"/>
        </w:rPr>
        <w:t>40</w:t>
      </w:r>
      <w:r w:rsidRPr="00AA0AD5">
        <w:rPr>
          <w:rtl/>
          <w:lang w:val="en-US"/>
        </w:rPr>
        <w:t>-</w:t>
      </w:r>
      <w:r w:rsidRPr="00AA0AD5">
        <w:rPr>
          <w:rtl/>
          <w:lang w:val="en-US"/>
        </w:rPr>
        <w:tab/>
        <w:t>يساور اللجنة القلق لكون الدولة الطرف لم تعتمد بعد تشريع</w:t>
      </w:r>
      <w:r w:rsidR="00AB408B">
        <w:rPr>
          <w:rtl/>
          <w:lang w:val="en-US"/>
        </w:rPr>
        <w:t xml:space="preserve">اً </w:t>
      </w:r>
      <w:proofErr w:type="spellStart"/>
      <w:r w:rsidRPr="00AA0AD5">
        <w:rPr>
          <w:rtl/>
          <w:lang w:val="en-US"/>
        </w:rPr>
        <w:t>إطاري</w:t>
      </w:r>
      <w:r w:rsidR="00AB408B">
        <w:rPr>
          <w:rtl/>
          <w:lang w:val="en-US"/>
        </w:rPr>
        <w:t>اً</w:t>
      </w:r>
      <w:proofErr w:type="spellEnd"/>
      <w:r w:rsidR="00AB408B">
        <w:rPr>
          <w:rtl/>
          <w:lang w:val="en-US"/>
        </w:rPr>
        <w:t xml:space="preserve"> </w:t>
      </w:r>
      <w:r w:rsidRPr="00AA0AD5">
        <w:rPr>
          <w:rtl/>
          <w:lang w:val="en-US"/>
        </w:rPr>
        <w:t>وسياسة بشأن الإسكان. وفي حين تحيط اللجنة علم</w:t>
      </w:r>
      <w:r w:rsidR="00AB408B">
        <w:rPr>
          <w:rtl/>
          <w:lang w:val="en-US"/>
        </w:rPr>
        <w:t xml:space="preserve">اً </w:t>
      </w:r>
      <w:r w:rsidRPr="00AA0AD5">
        <w:rPr>
          <w:rtl/>
          <w:lang w:val="en-US"/>
        </w:rPr>
        <w:t>بالتدابير المتخذة لمعالجة وضعية سكن العائدين والمشردين، فإنها لا تزال تشعر بالقلق إزاء التأخر في إغلاق المراكز الجماعية وتوفير سكن لائق لمن يوجدون حالي</w:t>
      </w:r>
      <w:r w:rsidR="00AB408B">
        <w:rPr>
          <w:rtl/>
          <w:lang w:val="en-US"/>
        </w:rPr>
        <w:t xml:space="preserve">اً </w:t>
      </w:r>
      <w:r w:rsidRPr="00AA0AD5">
        <w:rPr>
          <w:rtl/>
          <w:lang w:val="en-US"/>
        </w:rPr>
        <w:t xml:space="preserve">فيها. ويساورها القلق كذلك لكون عدد كبير من أسر الروما تعيش في مساكن غير قانونية أو في مستوطنات غير رسمية من دون ضمان الحيازة، ولكون معظم هذه الأسر ليست لها إمكانية الحصول على الخدمات أو المرافق الأساسية (المادة </w:t>
      </w:r>
      <w:r w:rsidRPr="00236F77">
        <w:rPr>
          <w:rtl/>
          <w:lang w:val="en-US"/>
        </w:rPr>
        <w:t>11</w:t>
      </w:r>
      <w:r w:rsidRPr="00AA0AD5">
        <w:rPr>
          <w:rtl/>
          <w:lang w:val="en-US"/>
        </w:rPr>
        <w:t>).</w:t>
      </w:r>
    </w:p>
    <w:p w14:paraId="1F484527" w14:textId="77777777" w:rsidR="007E78CF" w:rsidRPr="00383081" w:rsidRDefault="007E78CF" w:rsidP="00523757">
      <w:pPr>
        <w:pStyle w:val="SingleTxtGA"/>
        <w:spacing w:line="350" w:lineRule="exact"/>
        <w:rPr>
          <w:b/>
          <w:bCs/>
          <w:lang w:val="en-US"/>
        </w:rPr>
      </w:pPr>
      <w:r w:rsidRPr="00236F77">
        <w:rPr>
          <w:rtl/>
          <w:lang w:val="en-US"/>
        </w:rPr>
        <w:t>41</w:t>
      </w:r>
      <w:r w:rsidRPr="00AA0AD5">
        <w:rPr>
          <w:rtl/>
          <w:lang w:val="en-US"/>
        </w:rPr>
        <w:t>-</w:t>
      </w:r>
      <w:r w:rsidRPr="00AA0AD5">
        <w:rPr>
          <w:rtl/>
          <w:lang w:val="en-US"/>
        </w:rPr>
        <w:tab/>
      </w:r>
      <w:r w:rsidRPr="00383081">
        <w:rPr>
          <w:b/>
          <w:bCs/>
          <w:rtl/>
          <w:lang w:val="en-US"/>
        </w:rPr>
        <w:t xml:space="preserve">توصي اللجنة الدولة الطرف بتكثيف جهودها لتوفير سكن لائق بأسعار معقولة، ولا سيما للأفراد والجماعات المحرومين والمهمشين، وأن تقوم، على وجه الخصوص، بما يلي: </w:t>
      </w:r>
    </w:p>
    <w:p w14:paraId="3291A470" w14:textId="1E1AE4F2" w:rsidR="007E78CF" w:rsidRPr="00383081" w:rsidRDefault="007E78CF" w:rsidP="00523757">
      <w:pPr>
        <w:pStyle w:val="SingleTxtGA"/>
        <w:spacing w:line="350" w:lineRule="exact"/>
        <w:rPr>
          <w:b/>
          <w:bCs/>
          <w:lang w:val="en-US"/>
        </w:rPr>
      </w:pPr>
      <w:r>
        <w:rPr>
          <w:rtl/>
          <w:lang w:val="en-US"/>
        </w:rPr>
        <w:tab/>
      </w:r>
      <w:r w:rsidRPr="00AA0AD5">
        <w:rPr>
          <w:rtl/>
          <w:lang w:val="en-US"/>
        </w:rPr>
        <w:t>(أ)</w:t>
      </w:r>
      <w:r w:rsidRPr="00AA0AD5">
        <w:rPr>
          <w:rtl/>
          <w:lang w:val="en-US"/>
        </w:rPr>
        <w:tab/>
      </w:r>
      <w:r w:rsidRPr="00383081">
        <w:rPr>
          <w:b/>
          <w:bCs/>
          <w:rtl/>
          <w:lang w:val="en-US"/>
        </w:rPr>
        <w:t>اعتماد تشريع إطارية وسياسة بشأن الإسكان تمتثل لالتزاماتها بموجب العهد؛</w:t>
      </w:r>
    </w:p>
    <w:p w14:paraId="185E2A2B" w14:textId="21538060" w:rsidR="007E78CF" w:rsidRPr="00383081" w:rsidRDefault="007E78CF" w:rsidP="00523757">
      <w:pPr>
        <w:pStyle w:val="SingleTxtGA"/>
        <w:spacing w:line="350" w:lineRule="exact"/>
        <w:rPr>
          <w:b/>
          <w:bCs/>
          <w:lang w:val="en-US"/>
        </w:rPr>
      </w:pPr>
      <w:r>
        <w:rPr>
          <w:rtl/>
          <w:lang w:val="en-US"/>
        </w:rPr>
        <w:tab/>
      </w:r>
      <w:r w:rsidRPr="00AA0AD5">
        <w:rPr>
          <w:rtl/>
          <w:lang w:val="en-US"/>
        </w:rPr>
        <w:t>(ب)</w:t>
      </w:r>
      <w:r w:rsidRPr="00AA0AD5">
        <w:rPr>
          <w:rtl/>
          <w:lang w:val="en-US"/>
        </w:rPr>
        <w:tab/>
      </w:r>
      <w:r w:rsidRPr="00383081">
        <w:rPr>
          <w:b/>
          <w:bCs/>
          <w:rtl/>
          <w:lang w:val="en-US"/>
        </w:rPr>
        <w:t>تسريع إغلاق المراكز الجماعية المتبقية وتوفير السكن اللائق للعائدين والمشردين</w:t>
      </w:r>
      <w:r w:rsidR="00F572AF">
        <w:rPr>
          <w:rFonts w:hint="cs"/>
          <w:b/>
          <w:bCs/>
          <w:rtl/>
          <w:lang w:val="en-US"/>
        </w:rPr>
        <w:t> </w:t>
      </w:r>
      <w:r w:rsidRPr="00383081">
        <w:rPr>
          <w:b/>
          <w:bCs/>
          <w:rtl/>
          <w:lang w:val="en-US"/>
        </w:rPr>
        <w:t>داخليا</w:t>
      </w:r>
      <w:r w:rsidR="00383081">
        <w:rPr>
          <w:rFonts w:hint="cs"/>
          <w:b/>
          <w:bCs/>
          <w:rtl/>
          <w:lang w:val="en-US"/>
        </w:rPr>
        <w:t>ً</w:t>
      </w:r>
      <w:r w:rsidRPr="00383081">
        <w:rPr>
          <w:b/>
          <w:bCs/>
          <w:rtl/>
          <w:lang w:val="en-US"/>
        </w:rPr>
        <w:t xml:space="preserve">؛ </w:t>
      </w:r>
    </w:p>
    <w:p w14:paraId="6F84600D" w14:textId="5ACF83B0" w:rsidR="007E78CF" w:rsidRPr="00383081" w:rsidRDefault="007E78CF" w:rsidP="00523757">
      <w:pPr>
        <w:pStyle w:val="SingleTxtGA"/>
        <w:spacing w:line="350" w:lineRule="exact"/>
        <w:rPr>
          <w:b/>
          <w:bCs/>
          <w:lang w:val="en-US"/>
        </w:rPr>
      </w:pPr>
      <w:r>
        <w:rPr>
          <w:rtl/>
          <w:lang w:val="en-US"/>
        </w:rPr>
        <w:tab/>
      </w:r>
      <w:r w:rsidRPr="00AA0AD5">
        <w:rPr>
          <w:rtl/>
          <w:lang w:val="en-US"/>
        </w:rPr>
        <w:t>(ج)</w:t>
      </w:r>
      <w:r w:rsidRPr="00AA0AD5">
        <w:rPr>
          <w:rtl/>
          <w:lang w:val="en-US"/>
        </w:rPr>
        <w:tab/>
      </w:r>
      <w:r w:rsidRPr="00383081">
        <w:rPr>
          <w:b/>
          <w:bCs/>
          <w:rtl/>
          <w:lang w:val="en-US"/>
        </w:rPr>
        <w:t>ضمان تأمين الحيازة لأسر الروما التي تعيش في مستوطنات غير رسمية؛ وتحسين الظروف المعيشية وإمكانية الوصول إلى المياه ومرافق الصرف الصحي والرعاية الصحية والتعليم والنقل العام والكهرباء وغيرها من الخدمات.</w:t>
      </w:r>
    </w:p>
    <w:p w14:paraId="4465C7E9" w14:textId="77777777" w:rsidR="007E78CF" w:rsidRPr="00AA0AD5" w:rsidRDefault="007E78CF" w:rsidP="007E78CF">
      <w:pPr>
        <w:pStyle w:val="H23GA"/>
      </w:pPr>
      <w:r w:rsidRPr="00AA0AD5">
        <w:rPr>
          <w:rtl/>
        </w:rPr>
        <w:tab/>
      </w:r>
      <w:r w:rsidRPr="00AA0AD5">
        <w:rPr>
          <w:rtl/>
        </w:rPr>
        <w:tab/>
        <w:t>الحق في التمتع بأعلى مستوى ممكن من الصحة البدنية والعقلية</w:t>
      </w:r>
    </w:p>
    <w:p w14:paraId="0FB312C9" w14:textId="44CF4788" w:rsidR="007E78CF" w:rsidRPr="00AA0AD5" w:rsidRDefault="007E78CF" w:rsidP="00523757">
      <w:pPr>
        <w:pStyle w:val="SingleTxtGA"/>
        <w:spacing w:line="350" w:lineRule="exact"/>
        <w:rPr>
          <w:lang w:val="en-US"/>
        </w:rPr>
      </w:pPr>
      <w:r w:rsidRPr="00236F77">
        <w:rPr>
          <w:rtl/>
          <w:lang w:val="en-US"/>
        </w:rPr>
        <w:t>42</w:t>
      </w:r>
      <w:r w:rsidRPr="00AA0AD5">
        <w:rPr>
          <w:rtl/>
          <w:lang w:val="en-US"/>
        </w:rPr>
        <w:t>-</w:t>
      </w:r>
      <w:r w:rsidRPr="00AA0AD5">
        <w:rPr>
          <w:rtl/>
          <w:lang w:val="en-US"/>
        </w:rPr>
        <w:tab/>
        <w:t xml:space="preserve">يساور اللجنة القلق لكون لامركزية وتجزؤ نظام التأمين الصحي وخدمات الرعاية الصحية، إضافة إلى تفاوت الموارد المالية بين كيانات </w:t>
      </w:r>
      <w:proofErr w:type="spellStart"/>
      <w:r w:rsidRPr="00AA0AD5">
        <w:rPr>
          <w:rtl/>
          <w:lang w:val="en-US"/>
        </w:rPr>
        <w:t>وكانتونات</w:t>
      </w:r>
      <w:proofErr w:type="spellEnd"/>
      <w:r w:rsidRPr="00AA0AD5">
        <w:rPr>
          <w:rtl/>
          <w:lang w:val="en-US"/>
        </w:rPr>
        <w:t xml:space="preserve"> اتحاد البوسنة والهرسك، قد أديا إلى تباينات إقليمية كبيرة في إمكانية الحصول على خدمات الرعاية الصحية ونوعيتها. كما يساورها القلق لعدم تغطية حوالي </w:t>
      </w:r>
      <w:r w:rsidRPr="00236F77">
        <w:rPr>
          <w:rtl/>
          <w:lang w:val="en-US"/>
        </w:rPr>
        <w:t>15</w:t>
      </w:r>
      <w:r w:rsidRPr="00AA0AD5">
        <w:rPr>
          <w:rtl/>
          <w:lang w:val="en-US"/>
        </w:rPr>
        <w:t xml:space="preserve"> في المائة من السكان، ومعظمهم من الروما والأشخاص العاملين لحسابهم الخاص والعاملين في القطاع غير الرسمي، بالتأمين الصحي ولمحدودية نطاق خدمات الرعاية الصحية التي يوفرها التأمين. </w:t>
      </w:r>
      <w:r w:rsidRPr="00AA0AD5">
        <w:rPr>
          <w:rtl/>
          <w:lang w:val="en-US"/>
        </w:rPr>
        <w:lastRenderedPageBreak/>
        <w:t xml:space="preserve">وعلاوة على ذلك، يساورها القلق إزاء النقص المزمن في المهنيين الطبيين والمعدات الطبية في مؤسسات الصحة العامة، وتواتر ممارسة تحميل المرضى مدفوعات من جيوبهم الخاصة (المادتان </w:t>
      </w:r>
      <w:r w:rsidRPr="00236F77">
        <w:rPr>
          <w:rtl/>
          <w:lang w:val="en-US"/>
        </w:rPr>
        <w:t>2</w:t>
      </w:r>
      <w:r w:rsidRPr="00AA0AD5">
        <w:rPr>
          <w:rtl/>
          <w:lang w:val="en-US"/>
        </w:rPr>
        <w:t>(</w:t>
      </w:r>
      <w:r w:rsidRPr="00236F77">
        <w:rPr>
          <w:rtl/>
          <w:lang w:val="en-US"/>
        </w:rPr>
        <w:t>2</w:t>
      </w:r>
      <w:r w:rsidRPr="00AA0AD5">
        <w:rPr>
          <w:rtl/>
          <w:lang w:val="en-US"/>
        </w:rPr>
        <w:t>) و</w:t>
      </w:r>
      <w:r w:rsidRPr="00236F77">
        <w:rPr>
          <w:rtl/>
          <w:lang w:val="en-US"/>
        </w:rPr>
        <w:t>12</w:t>
      </w:r>
      <w:r w:rsidRPr="00AA0AD5">
        <w:rPr>
          <w:rtl/>
          <w:lang w:val="en-US"/>
        </w:rPr>
        <w:t>).</w:t>
      </w:r>
    </w:p>
    <w:p w14:paraId="63E45407" w14:textId="77777777" w:rsidR="007E78CF" w:rsidRPr="00383081" w:rsidRDefault="007E78CF" w:rsidP="00523757">
      <w:pPr>
        <w:pStyle w:val="SingleTxtGA"/>
        <w:spacing w:line="354" w:lineRule="exact"/>
        <w:rPr>
          <w:b/>
          <w:bCs/>
          <w:lang w:val="en-US"/>
        </w:rPr>
      </w:pPr>
      <w:r w:rsidRPr="00236F77">
        <w:rPr>
          <w:rtl/>
          <w:lang w:val="en-US"/>
        </w:rPr>
        <w:t>43</w:t>
      </w:r>
      <w:r w:rsidRPr="00AA0AD5">
        <w:rPr>
          <w:rtl/>
          <w:lang w:val="en-US"/>
        </w:rPr>
        <w:t>-</w:t>
      </w:r>
      <w:r w:rsidRPr="00AA0AD5">
        <w:rPr>
          <w:rtl/>
          <w:lang w:val="en-US"/>
        </w:rPr>
        <w:tab/>
      </w:r>
      <w:r w:rsidRPr="00AB408B">
        <w:rPr>
          <w:rFonts w:ascii="Times New Roman Bold" w:hAnsi="Times New Roman Bold"/>
          <w:b/>
          <w:bCs/>
          <w:spacing w:val="-4"/>
          <w:rtl/>
          <w:lang w:val="en-US"/>
        </w:rPr>
        <w:t>توصي اللجنة الدولة الطرف بأن تكثف جهودها لتحسين توافر خدمات الرعاية الصحية وإمكانية</w:t>
      </w:r>
      <w:r w:rsidRPr="00383081">
        <w:rPr>
          <w:b/>
          <w:bCs/>
          <w:rtl/>
          <w:lang w:val="en-US"/>
        </w:rPr>
        <w:t xml:space="preserve"> الحصول عليها وجودتها، ولا سيما: </w:t>
      </w:r>
    </w:p>
    <w:p w14:paraId="4978746C" w14:textId="65FBDA84" w:rsidR="007E78CF" w:rsidRPr="00383081" w:rsidRDefault="007E78CF" w:rsidP="00523757">
      <w:pPr>
        <w:pStyle w:val="SingleTxtGA"/>
        <w:spacing w:line="354" w:lineRule="exact"/>
        <w:rPr>
          <w:b/>
          <w:bCs/>
          <w:lang w:val="en-US"/>
        </w:rPr>
      </w:pPr>
      <w:r>
        <w:rPr>
          <w:rtl/>
          <w:lang w:val="en-US"/>
        </w:rPr>
        <w:tab/>
      </w:r>
      <w:r w:rsidRPr="00AA0AD5">
        <w:rPr>
          <w:rtl/>
          <w:lang w:val="en-US"/>
        </w:rPr>
        <w:t>(أ)</w:t>
      </w:r>
      <w:r w:rsidRPr="00AA0AD5">
        <w:rPr>
          <w:rtl/>
          <w:lang w:val="en-US"/>
        </w:rPr>
        <w:tab/>
      </w:r>
      <w:r w:rsidRPr="00383081">
        <w:rPr>
          <w:b/>
          <w:bCs/>
          <w:rtl/>
          <w:lang w:val="en-US"/>
        </w:rPr>
        <w:t>إصلاح نظام التأمين الصحي المجزأ وزيادة مستوى التمويل العام المخصص لقطاع الرعاية الصحية بهدف توفير فرص متساوية للحصول على خدمات الرعاية الصحية الجيدة بغض النظر عن مكان الإقامة؛</w:t>
      </w:r>
    </w:p>
    <w:p w14:paraId="2D1731F2" w14:textId="09FAE328" w:rsidR="007E78CF" w:rsidRPr="00383081" w:rsidRDefault="007E78CF" w:rsidP="00523757">
      <w:pPr>
        <w:pStyle w:val="SingleTxtGA"/>
        <w:spacing w:line="354" w:lineRule="exact"/>
        <w:rPr>
          <w:b/>
          <w:bCs/>
          <w:lang w:val="en-US"/>
        </w:rPr>
      </w:pPr>
      <w:r>
        <w:rPr>
          <w:rtl/>
          <w:lang w:val="en-US"/>
        </w:rPr>
        <w:tab/>
      </w:r>
      <w:r w:rsidRPr="00AA0AD5">
        <w:rPr>
          <w:rtl/>
          <w:lang w:val="en-US"/>
        </w:rPr>
        <w:t>(ب)</w:t>
      </w:r>
      <w:r w:rsidRPr="00AA0AD5">
        <w:rPr>
          <w:rtl/>
          <w:lang w:val="en-US"/>
        </w:rPr>
        <w:tab/>
      </w:r>
      <w:r w:rsidRPr="00383081">
        <w:rPr>
          <w:b/>
          <w:bCs/>
          <w:rtl/>
          <w:lang w:val="en-US"/>
        </w:rPr>
        <w:t xml:space="preserve">توسيع نطاق تغطية التأمين الصحي، ولا سيما ليشمل الروما والأشخاص العاملين </w:t>
      </w:r>
      <w:r w:rsidRPr="00114D77">
        <w:rPr>
          <w:rFonts w:ascii="Times New Roman Bold" w:hAnsi="Times New Roman Bold"/>
          <w:b/>
          <w:bCs/>
          <w:spacing w:val="-4"/>
          <w:rtl/>
          <w:lang w:val="en-US"/>
        </w:rPr>
        <w:t>لحسابهم الخاص والعاملين في القطاع غير الرسمي، ونطاق خدمات الرعاية الصحية والأدوية التي يغطيها</w:t>
      </w:r>
      <w:r w:rsidRPr="00383081">
        <w:rPr>
          <w:b/>
          <w:bCs/>
          <w:rtl/>
          <w:lang w:val="en-US"/>
        </w:rPr>
        <w:t xml:space="preserve"> التأمين الصحي؛ </w:t>
      </w:r>
    </w:p>
    <w:p w14:paraId="6DE3DB2A" w14:textId="78E929E7" w:rsidR="007E78CF" w:rsidRPr="00383081" w:rsidRDefault="007E78CF" w:rsidP="00523757">
      <w:pPr>
        <w:pStyle w:val="SingleTxtGA"/>
        <w:spacing w:line="354" w:lineRule="exact"/>
        <w:rPr>
          <w:b/>
          <w:bCs/>
          <w:lang w:val="en-US"/>
        </w:rPr>
      </w:pPr>
      <w:r>
        <w:rPr>
          <w:rtl/>
          <w:lang w:val="en-US"/>
        </w:rPr>
        <w:tab/>
      </w:r>
      <w:r w:rsidRPr="00AA0AD5">
        <w:rPr>
          <w:rtl/>
          <w:lang w:val="en-US"/>
        </w:rPr>
        <w:t>(ج)</w:t>
      </w:r>
      <w:r w:rsidRPr="00AA0AD5">
        <w:rPr>
          <w:rtl/>
          <w:lang w:val="en-US"/>
        </w:rPr>
        <w:tab/>
      </w:r>
      <w:r w:rsidRPr="00114D77">
        <w:rPr>
          <w:rFonts w:ascii="Times New Roman Bold" w:hAnsi="Times New Roman Bold"/>
          <w:b/>
          <w:bCs/>
          <w:spacing w:val="-4"/>
          <w:rtl/>
          <w:lang w:val="en-US"/>
        </w:rPr>
        <w:t>اتخاذ تدابير فعالة للاحتفاظ بالمهنيين الطبيين المؤهلين وزيادة الاستثمار في المعدات</w:t>
      </w:r>
      <w:r w:rsidRPr="00383081">
        <w:rPr>
          <w:b/>
          <w:bCs/>
          <w:rtl/>
          <w:lang w:val="en-US"/>
        </w:rPr>
        <w:t xml:space="preserve"> الطبية في المؤسسات الطبية العامة. </w:t>
      </w:r>
    </w:p>
    <w:p w14:paraId="595BDAAF" w14:textId="77777777" w:rsidR="007E78CF" w:rsidRPr="00AA0AD5" w:rsidRDefault="007E78CF" w:rsidP="007E78CF">
      <w:pPr>
        <w:pStyle w:val="H23GA"/>
      </w:pPr>
      <w:r w:rsidRPr="00AA0AD5">
        <w:rPr>
          <w:rtl/>
        </w:rPr>
        <w:tab/>
      </w:r>
      <w:r w:rsidRPr="00AA0AD5">
        <w:rPr>
          <w:rtl/>
        </w:rPr>
        <w:tab/>
        <w:t>جائحة كوفيد-</w:t>
      </w:r>
      <w:r w:rsidRPr="00236F77">
        <w:rPr>
          <w:rtl/>
        </w:rPr>
        <w:t>19</w:t>
      </w:r>
    </w:p>
    <w:p w14:paraId="33E1524D" w14:textId="59B6D265" w:rsidR="007E78CF" w:rsidRPr="00AA0AD5" w:rsidRDefault="007E78CF" w:rsidP="00523757">
      <w:pPr>
        <w:pStyle w:val="SingleTxtGA"/>
        <w:spacing w:line="354" w:lineRule="exact"/>
        <w:rPr>
          <w:lang w:val="en-US"/>
        </w:rPr>
      </w:pPr>
      <w:r w:rsidRPr="00236F77">
        <w:rPr>
          <w:rtl/>
          <w:lang w:val="en-US"/>
        </w:rPr>
        <w:t>44</w:t>
      </w:r>
      <w:r w:rsidRPr="00AA0AD5">
        <w:rPr>
          <w:rtl/>
          <w:lang w:val="en-US"/>
        </w:rPr>
        <w:t>-</w:t>
      </w:r>
      <w:r w:rsidRPr="00AA0AD5">
        <w:rPr>
          <w:rtl/>
          <w:lang w:val="en-US"/>
        </w:rPr>
        <w:tab/>
        <w:t>يساور اللجنة القلق إزاء عدم اتخاذ تدابير فعالة لاحتواء انتشار الفيروس، والأعداد المتزايدة باستمرار من الأشخاص المصابين بفيروس كورونا، والارتفاع الكبير لمعدلات الوفيات بسبب الفيروس، وهي من بين أعلى المعدلات في العالم. ويساورها القلق أيض</w:t>
      </w:r>
      <w:r w:rsidR="00AB408B">
        <w:rPr>
          <w:rtl/>
          <w:lang w:val="en-US"/>
        </w:rPr>
        <w:t xml:space="preserve">اً </w:t>
      </w:r>
      <w:r w:rsidRPr="00AA0AD5">
        <w:rPr>
          <w:rtl/>
          <w:lang w:val="en-US"/>
        </w:rPr>
        <w:t>لكون معدل التطعيم لا يزال منخفض</w:t>
      </w:r>
      <w:r w:rsidR="00AB408B">
        <w:rPr>
          <w:rtl/>
          <w:lang w:val="en-US"/>
        </w:rPr>
        <w:t xml:space="preserve">اً </w:t>
      </w:r>
      <w:r w:rsidRPr="00AA0AD5">
        <w:rPr>
          <w:rtl/>
          <w:lang w:val="en-US"/>
        </w:rPr>
        <w:t>جد</w:t>
      </w:r>
      <w:r w:rsidR="00AB408B">
        <w:rPr>
          <w:rtl/>
          <w:lang w:val="en-US"/>
        </w:rPr>
        <w:t xml:space="preserve">اً </w:t>
      </w:r>
      <w:r w:rsidRPr="00AA0AD5">
        <w:rPr>
          <w:rtl/>
          <w:lang w:val="en-US"/>
        </w:rPr>
        <w:t xml:space="preserve">(حوالي </w:t>
      </w:r>
      <w:r w:rsidRPr="00236F77">
        <w:rPr>
          <w:rtl/>
          <w:lang w:val="en-US"/>
        </w:rPr>
        <w:t>12</w:t>
      </w:r>
      <w:r w:rsidRPr="00AA0AD5">
        <w:rPr>
          <w:rtl/>
          <w:lang w:val="en-US"/>
        </w:rPr>
        <w:t xml:space="preserve"> في المائة) في حين لا تستخدم كمية كبيرة من اللقاحات وتذهب إلى النفايات (المادة </w:t>
      </w:r>
      <w:r w:rsidRPr="00236F77">
        <w:rPr>
          <w:rtl/>
          <w:lang w:val="en-US"/>
        </w:rPr>
        <w:t>12</w:t>
      </w:r>
      <w:r w:rsidRPr="00AA0AD5">
        <w:rPr>
          <w:rtl/>
          <w:lang w:val="en-US"/>
        </w:rPr>
        <w:t>).</w:t>
      </w:r>
    </w:p>
    <w:p w14:paraId="661F2EEF" w14:textId="77777777" w:rsidR="007E78CF" w:rsidRPr="00383081" w:rsidRDefault="007E78CF" w:rsidP="00523757">
      <w:pPr>
        <w:pStyle w:val="SingleTxtGA"/>
        <w:spacing w:line="354" w:lineRule="exact"/>
        <w:rPr>
          <w:b/>
          <w:bCs/>
          <w:lang w:val="en-US"/>
        </w:rPr>
      </w:pPr>
      <w:r w:rsidRPr="00236F77">
        <w:rPr>
          <w:rtl/>
          <w:lang w:val="en-US"/>
        </w:rPr>
        <w:t>45</w:t>
      </w:r>
      <w:r w:rsidRPr="00AA0AD5">
        <w:rPr>
          <w:rtl/>
          <w:lang w:val="en-US"/>
        </w:rPr>
        <w:t>-</w:t>
      </w:r>
      <w:r w:rsidRPr="00AA0AD5">
        <w:rPr>
          <w:rtl/>
          <w:lang w:val="en-US"/>
        </w:rPr>
        <w:tab/>
      </w:r>
      <w:r w:rsidRPr="00383081">
        <w:rPr>
          <w:b/>
          <w:bCs/>
          <w:rtl/>
          <w:lang w:val="en-US"/>
        </w:rPr>
        <w:t>توصي اللجنة الدولة الطرف بتكثيف جهودها امنع انتشار فيروس كورونا واحتوائه، وبخاصة أن تقوم بما يلي:</w:t>
      </w:r>
    </w:p>
    <w:p w14:paraId="5558744B" w14:textId="23F981D9" w:rsidR="007E78CF" w:rsidRPr="00383081" w:rsidRDefault="007E78CF" w:rsidP="00523757">
      <w:pPr>
        <w:pStyle w:val="SingleTxtGA"/>
        <w:spacing w:line="354" w:lineRule="exact"/>
        <w:rPr>
          <w:b/>
          <w:bCs/>
          <w:lang w:val="en-US"/>
        </w:rPr>
      </w:pPr>
      <w:r>
        <w:rPr>
          <w:rtl/>
          <w:lang w:val="en-US"/>
        </w:rPr>
        <w:tab/>
      </w:r>
      <w:r w:rsidRPr="00AA0AD5">
        <w:rPr>
          <w:rtl/>
          <w:lang w:val="en-US"/>
        </w:rPr>
        <w:t>(أ)</w:t>
      </w:r>
      <w:r w:rsidRPr="00AA0AD5">
        <w:rPr>
          <w:rtl/>
          <w:lang w:val="en-US"/>
        </w:rPr>
        <w:tab/>
      </w:r>
      <w:r w:rsidRPr="00383081">
        <w:rPr>
          <w:b/>
          <w:bCs/>
          <w:rtl/>
          <w:lang w:val="en-US"/>
        </w:rPr>
        <w:t>تعزيز اتصالاتها العامة فيما يتعلق بالحالة الوبائية، والمعلومات المتعلقة بالوصول إلى اختبارات كوفيد-</w:t>
      </w:r>
      <w:r w:rsidRPr="00236F77">
        <w:rPr>
          <w:b/>
          <w:bCs/>
          <w:rtl/>
          <w:lang w:val="en-US"/>
        </w:rPr>
        <w:t>19</w:t>
      </w:r>
      <w:r w:rsidRPr="00383081">
        <w:rPr>
          <w:b/>
          <w:bCs/>
          <w:rtl/>
          <w:lang w:val="en-US"/>
        </w:rPr>
        <w:t xml:space="preserve"> وعلاجه وتطعيمه، وتدابير الاستجابة المتخذة، بهدف تعزيز الشفافية واستعادة ثقة الجمهور؛</w:t>
      </w:r>
    </w:p>
    <w:p w14:paraId="3D72498C" w14:textId="35F73048" w:rsidR="007E78CF" w:rsidRPr="00383081" w:rsidRDefault="007E78CF" w:rsidP="00523757">
      <w:pPr>
        <w:pStyle w:val="SingleTxtGA"/>
        <w:spacing w:line="354" w:lineRule="exact"/>
        <w:rPr>
          <w:b/>
          <w:bCs/>
          <w:lang w:val="en-US"/>
        </w:rPr>
      </w:pPr>
      <w:r>
        <w:rPr>
          <w:rtl/>
          <w:lang w:val="en-US"/>
        </w:rPr>
        <w:tab/>
      </w:r>
      <w:r w:rsidRPr="00AA0AD5">
        <w:rPr>
          <w:rtl/>
          <w:lang w:val="en-US"/>
        </w:rPr>
        <w:t>(ب)</w:t>
      </w:r>
      <w:r w:rsidRPr="00AA0AD5">
        <w:rPr>
          <w:rtl/>
          <w:lang w:val="en-US"/>
        </w:rPr>
        <w:tab/>
      </w:r>
      <w:r w:rsidRPr="00114D77">
        <w:rPr>
          <w:rFonts w:ascii="Times New Roman Bold" w:hAnsi="Times New Roman Bold"/>
          <w:b/>
          <w:bCs/>
          <w:spacing w:val="-4"/>
          <w:rtl/>
          <w:lang w:val="en-US"/>
        </w:rPr>
        <w:t>تعزيز جهودها لتيسير استفادة الجميع وبشكل منصف من اختبارات كوفيد-</w:t>
      </w:r>
      <w:r w:rsidRPr="00236F77">
        <w:rPr>
          <w:rFonts w:ascii="Times New Roman Bold" w:hAnsi="Times New Roman Bold"/>
          <w:b/>
          <w:bCs/>
          <w:spacing w:val="-4"/>
          <w:rtl/>
          <w:lang w:val="en-US"/>
        </w:rPr>
        <w:t>19</w:t>
      </w:r>
      <w:r w:rsidRPr="00114D77">
        <w:rPr>
          <w:rFonts w:ascii="Times New Roman Bold" w:hAnsi="Times New Roman Bold"/>
          <w:b/>
          <w:bCs/>
          <w:spacing w:val="-4"/>
          <w:rtl/>
          <w:lang w:val="en-US"/>
        </w:rPr>
        <w:t xml:space="preserve"> وعلاجاته</w:t>
      </w:r>
      <w:r w:rsidRPr="00383081">
        <w:rPr>
          <w:b/>
          <w:bCs/>
          <w:rtl/>
          <w:lang w:val="en-US"/>
        </w:rPr>
        <w:t xml:space="preserve"> ولقاحاته، وتبسيط الإجراءات الإدارية والطبية؛</w:t>
      </w:r>
    </w:p>
    <w:p w14:paraId="647C53B4" w14:textId="67041AD0" w:rsidR="007E78CF" w:rsidRPr="00383081" w:rsidRDefault="007E78CF" w:rsidP="00523757">
      <w:pPr>
        <w:pStyle w:val="SingleTxtGA"/>
        <w:spacing w:line="354" w:lineRule="exact"/>
        <w:rPr>
          <w:b/>
          <w:bCs/>
          <w:lang w:val="en-US"/>
        </w:rPr>
      </w:pPr>
      <w:r>
        <w:rPr>
          <w:rtl/>
          <w:lang w:val="en-US"/>
        </w:rPr>
        <w:tab/>
      </w:r>
      <w:r w:rsidRPr="00AA0AD5">
        <w:rPr>
          <w:rtl/>
          <w:lang w:val="en-US"/>
        </w:rPr>
        <w:t>(ج)</w:t>
      </w:r>
      <w:r w:rsidRPr="00AA0AD5">
        <w:rPr>
          <w:rtl/>
          <w:lang w:val="en-US"/>
        </w:rPr>
        <w:tab/>
      </w:r>
      <w:r w:rsidRPr="00383081">
        <w:rPr>
          <w:b/>
          <w:bCs/>
          <w:rtl/>
          <w:lang w:val="en-US"/>
        </w:rPr>
        <w:t>اتخاذ تدابير لضمان عدم إعاقة القيود المفروضة على موارد الرعاية الصحية بسبب جائحة كوفيد-</w:t>
      </w:r>
      <w:r w:rsidRPr="00236F77">
        <w:rPr>
          <w:b/>
          <w:bCs/>
          <w:rtl/>
          <w:lang w:val="en-US"/>
        </w:rPr>
        <w:t>19</w:t>
      </w:r>
      <w:r w:rsidRPr="00383081">
        <w:rPr>
          <w:b/>
          <w:bCs/>
          <w:rtl/>
          <w:lang w:val="en-US"/>
        </w:rPr>
        <w:t xml:space="preserve"> بشكل كبير لتوفير الرعاية والخدمات الصحية الأخرى؛ </w:t>
      </w:r>
    </w:p>
    <w:p w14:paraId="10A4040C" w14:textId="2385838B" w:rsidR="007E78CF" w:rsidRPr="00383081" w:rsidRDefault="007E78CF" w:rsidP="00523757">
      <w:pPr>
        <w:pStyle w:val="SingleTxtGA"/>
        <w:spacing w:line="354" w:lineRule="exact"/>
        <w:rPr>
          <w:b/>
          <w:bCs/>
          <w:lang w:val="en-US"/>
        </w:rPr>
      </w:pPr>
      <w:r>
        <w:rPr>
          <w:rtl/>
          <w:lang w:val="en-US"/>
        </w:rPr>
        <w:tab/>
      </w:r>
      <w:r w:rsidRPr="00AA0AD5">
        <w:rPr>
          <w:rtl/>
          <w:lang w:val="en-US"/>
        </w:rPr>
        <w:t>(د)</w:t>
      </w:r>
      <w:r w:rsidRPr="00AA0AD5">
        <w:rPr>
          <w:rtl/>
          <w:lang w:val="en-US"/>
        </w:rPr>
        <w:tab/>
      </w:r>
      <w:r w:rsidRPr="00383081">
        <w:rPr>
          <w:b/>
          <w:bCs/>
          <w:rtl/>
          <w:lang w:val="en-US"/>
        </w:rPr>
        <w:t>مراعاة بيانات اللجنة بشأن جائحة كوفيد-</w:t>
      </w:r>
      <w:r w:rsidRPr="00236F77">
        <w:rPr>
          <w:b/>
          <w:bCs/>
          <w:rtl/>
          <w:lang w:val="en-US"/>
        </w:rPr>
        <w:t>19</w:t>
      </w:r>
      <w:r w:rsidRPr="00383081">
        <w:rPr>
          <w:b/>
          <w:bCs/>
          <w:rtl/>
          <w:lang w:val="en-US"/>
        </w:rPr>
        <w:t xml:space="preserve"> والحقوق الاقتصادية والاجتماعية </w:t>
      </w:r>
      <w:proofErr w:type="gramStart"/>
      <w:r w:rsidRPr="00383081">
        <w:rPr>
          <w:b/>
          <w:bCs/>
          <w:rtl/>
          <w:lang w:val="en-US"/>
        </w:rPr>
        <w:t>والثقافية</w:t>
      </w:r>
      <w:r w:rsidRPr="00383081">
        <w:rPr>
          <w:b/>
          <w:bCs/>
          <w:vertAlign w:val="superscript"/>
          <w:rtl/>
          <w:lang w:val="en-US"/>
        </w:rPr>
        <w:t>(</w:t>
      </w:r>
      <w:proofErr w:type="gramEnd"/>
      <w:r w:rsidRPr="00236F77">
        <w:rPr>
          <w:rStyle w:val="FootnoteReference"/>
          <w:b/>
          <w:bCs/>
          <w:szCs w:val="22"/>
          <w:lang w:val="en-US"/>
        </w:rPr>
        <w:footnoteReference w:id="6"/>
      </w:r>
      <w:r w:rsidRPr="00383081">
        <w:rPr>
          <w:b/>
          <w:bCs/>
          <w:vertAlign w:val="superscript"/>
          <w:rtl/>
          <w:lang w:val="en-US"/>
        </w:rPr>
        <w:t>)</w:t>
      </w:r>
      <w:r w:rsidRPr="00383081">
        <w:rPr>
          <w:b/>
          <w:bCs/>
          <w:rtl/>
          <w:lang w:val="en-US"/>
        </w:rPr>
        <w:t>، وبشأن حصول الجميع وبشكل منصف على تطعيمات كوفيد-</w:t>
      </w:r>
      <w:r w:rsidRPr="00236F77">
        <w:rPr>
          <w:b/>
          <w:bCs/>
          <w:rtl/>
          <w:lang w:val="en-US"/>
        </w:rPr>
        <w:t>19</w:t>
      </w:r>
      <w:r w:rsidRPr="00383081">
        <w:rPr>
          <w:b/>
          <w:bCs/>
          <w:vertAlign w:val="superscript"/>
          <w:rtl/>
          <w:lang w:val="en-US"/>
        </w:rPr>
        <w:t>(</w:t>
      </w:r>
      <w:r w:rsidRPr="00236F77">
        <w:rPr>
          <w:rStyle w:val="FootnoteReference"/>
          <w:b/>
          <w:bCs/>
          <w:szCs w:val="22"/>
          <w:lang w:val="en-US"/>
        </w:rPr>
        <w:footnoteReference w:id="7"/>
      </w:r>
      <w:r w:rsidRPr="00383081">
        <w:rPr>
          <w:b/>
          <w:bCs/>
          <w:vertAlign w:val="superscript"/>
          <w:rtl/>
          <w:lang w:val="en-US"/>
        </w:rPr>
        <w:t>)</w:t>
      </w:r>
      <w:r w:rsidRPr="00383081">
        <w:rPr>
          <w:b/>
          <w:bCs/>
          <w:rtl/>
          <w:lang w:val="en-US"/>
        </w:rPr>
        <w:t>.</w:t>
      </w:r>
    </w:p>
    <w:p w14:paraId="7F3C0A29" w14:textId="77777777" w:rsidR="007E78CF" w:rsidRPr="00AA0AD5" w:rsidRDefault="007E78CF" w:rsidP="007E78CF">
      <w:pPr>
        <w:pStyle w:val="H23GA"/>
      </w:pPr>
      <w:r w:rsidRPr="00AA0AD5">
        <w:rPr>
          <w:rtl/>
        </w:rPr>
        <w:tab/>
      </w:r>
      <w:r w:rsidRPr="00AA0AD5">
        <w:rPr>
          <w:rtl/>
        </w:rPr>
        <w:tab/>
        <w:t>البيئة والحق في الصحة</w:t>
      </w:r>
    </w:p>
    <w:p w14:paraId="3D5EC3E0" w14:textId="77777777" w:rsidR="007E78CF" w:rsidRPr="00114D77" w:rsidRDefault="007E78CF" w:rsidP="00523757">
      <w:pPr>
        <w:pStyle w:val="SingleTxtGA"/>
        <w:spacing w:line="354" w:lineRule="exact"/>
        <w:rPr>
          <w:rFonts w:hint="cs"/>
          <w:rtl/>
          <w:lang w:val="fr-CH"/>
        </w:rPr>
      </w:pPr>
      <w:r w:rsidRPr="00236F77">
        <w:rPr>
          <w:rtl/>
          <w:lang w:val="en-US"/>
        </w:rPr>
        <w:t>46</w:t>
      </w:r>
      <w:r w:rsidRPr="00AA0AD5">
        <w:rPr>
          <w:rtl/>
          <w:lang w:val="en-US"/>
        </w:rPr>
        <w:t>-</w:t>
      </w:r>
      <w:r w:rsidRPr="00AA0AD5">
        <w:rPr>
          <w:rtl/>
          <w:lang w:val="en-US"/>
        </w:rPr>
        <w:tab/>
      </w:r>
      <w:r w:rsidRPr="00114D77">
        <w:rPr>
          <w:spacing w:val="-4"/>
          <w:rtl/>
          <w:lang w:val="en-US"/>
        </w:rPr>
        <w:t>يساور اللجنة القلق إزاء ارتفاع مستوى تلوث الهواء في الدولة الطرف وأثره الخطير على الأوضاع</w:t>
      </w:r>
      <w:r w:rsidRPr="00AA0AD5">
        <w:rPr>
          <w:rtl/>
          <w:lang w:val="en-US"/>
        </w:rPr>
        <w:t xml:space="preserve"> الصحية، كما يتضح من معدل الوفيات الذي يعزى إلى تلوث الهواء، وهو من أعلى المعدلات في أوروبا (المادة </w:t>
      </w:r>
      <w:r w:rsidRPr="00236F77">
        <w:rPr>
          <w:rtl/>
          <w:lang w:val="en-US"/>
        </w:rPr>
        <w:t>12</w:t>
      </w:r>
      <w:r w:rsidRPr="00AA0AD5">
        <w:rPr>
          <w:rtl/>
          <w:lang w:val="en-US"/>
        </w:rPr>
        <w:t>).</w:t>
      </w:r>
    </w:p>
    <w:p w14:paraId="778D4150" w14:textId="77777777" w:rsidR="007E78CF" w:rsidRPr="00383081" w:rsidRDefault="007E78CF" w:rsidP="00523757">
      <w:pPr>
        <w:pStyle w:val="SingleTxtGA"/>
        <w:spacing w:line="340" w:lineRule="exact"/>
        <w:rPr>
          <w:b/>
          <w:bCs/>
          <w:lang w:val="en-US"/>
        </w:rPr>
      </w:pPr>
      <w:r w:rsidRPr="00236F77">
        <w:rPr>
          <w:rtl/>
          <w:lang w:val="en-US"/>
        </w:rPr>
        <w:lastRenderedPageBreak/>
        <w:t>47</w:t>
      </w:r>
      <w:r w:rsidRPr="00AA0AD5">
        <w:rPr>
          <w:rtl/>
          <w:lang w:val="en-US"/>
        </w:rPr>
        <w:t>-</w:t>
      </w:r>
      <w:r w:rsidRPr="00AA0AD5">
        <w:rPr>
          <w:rtl/>
          <w:lang w:val="en-US"/>
        </w:rPr>
        <w:tab/>
      </w:r>
      <w:r w:rsidRPr="00383081">
        <w:rPr>
          <w:b/>
          <w:bCs/>
          <w:rtl/>
          <w:lang w:val="en-US"/>
        </w:rPr>
        <w:t>توصي اللجنة الدولة الطرف باتخاذ خطوات فورية من أجل ما يلي:</w:t>
      </w:r>
    </w:p>
    <w:p w14:paraId="010F8B35" w14:textId="54142723" w:rsidR="007E78CF" w:rsidRPr="00383081" w:rsidRDefault="007E78CF" w:rsidP="00523757">
      <w:pPr>
        <w:pStyle w:val="SingleTxtGA"/>
        <w:spacing w:line="340" w:lineRule="exact"/>
        <w:rPr>
          <w:b/>
          <w:bCs/>
          <w:lang w:val="en-US"/>
        </w:rPr>
      </w:pPr>
      <w:r>
        <w:rPr>
          <w:rtl/>
          <w:lang w:val="en-US"/>
        </w:rPr>
        <w:tab/>
      </w:r>
      <w:r w:rsidRPr="00AA0AD5">
        <w:rPr>
          <w:rtl/>
          <w:lang w:val="en-US"/>
        </w:rPr>
        <w:t>(أ)</w:t>
      </w:r>
      <w:r w:rsidRPr="00AA0AD5">
        <w:rPr>
          <w:rtl/>
          <w:lang w:val="en-US"/>
        </w:rPr>
        <w:tab/>
      </w:r>
      <w:r w:rsidRPr="00383081">
        <w:rPr>
          <w:b/>
          <w:bCs/>
          <w:rtl/>
          <w:lang w:val="en-US"/>
        </w:rPr>
        <w:t xml:space="preserve">اعتماد تدابير تشريعية </w:t>
      </w:r>
      <w:proofErr w:type="spellStart"/>
      <w:r w:rsidRPr="00383081">
        <w:rPr>
          <w:b/>
          <w:bCs/>
          <w:rtl/>
          <w:lang w:val="en-US"/>
        </w:rPr>
        <w:t>وسياساتية</w:t>
      </w:r>
      <w:proofErr w:type="spellEnd"/>
      <w:r w:rsidRPr="00383081">
        <w:rPr>
          <w:b/>
          <w:bCs/>
          <w:rtl/>
          <w:lang w:val="en-US"/>
        </w:rPr>
        <w:t xml:space="preserve"> لمنع تلوث الهواء والحد منه، ومعالجة الأسباب الرئيسية لهذا التلوث، بما في ذلك الاعتماد الشديد على الوقود الأحفوري، بما يتماشى مع التزاماته بموجب اتفاق باريس؛</w:t>
      </w:r>
    </w:p>
    <w:p w14:paraId="4C5C2E85" w14:textId="242E5A09" w:rsidR="007E78CF" w:rsidRPr="00383081" w:rsidRDefault="007E78CF" w:rsidP="00523757">
      <w:pPr>
        <w:pStyle w:val="SingleTxtGA"/>
        <w:spacing w:line="340" w:lineRule="exact"/>
        <w:rPr>
          <w:b/>
          <w:bCs/>
          <w:lang w:val="en-US"/>
        </w:rPr>
      </w:pPr>
      <w:r>
        <w:rPr>
          <w:rtl/>
          <w:lang w:val="en-US"/>
        </w:rPr>
        <w:tab/>
      </w:r>
      <w:r w:rsidRPr="00AA0AD5">
        <w:rPr>
          <w:rtl/>
          <w:lang w:val="en-US"/>
        </w:rPr>
        <w:t>(ب)</w:t>
      </w:r>
      <w:r w:rsidRPr="00AA0AD5">
        <w:rPr>
          <w:rtl/>
          <w:lang w:val="en-US"/>
        </w:rPr>
        <w:tab/>
      </w:r>
      <w:r w:rsidRPr="00383081">
        <w:rPr>
          <w:b/>
          <w:bCs/>
          <w:rtl/>
          <w:lang w:val="en-US"/>
        </w:rPr>
        <w:t>وضع تدابير التدخل لحماية الصحة العامة ومنح من تأثرت صحتهم بتلوث الهواء إمكانية الوصول الفوري والفعال إلى خدمات الرعاية الصحية الضرورية؛</w:t>
      </w:r>
    </w:p>
    <w:p w14:paraId="07717BFD" w14:textId="2140C976" w:rsidR="007E78CF" w:rsidRPr="00383081" w:rsidRDefault="007E78CF" w:rsidP="00523757">
      <w:pPr>
        <w:pStyle w:val="SingleTxtGA"/>
        <w:spacing w:line="340" w:lineRule="exact"/>
        <w:rPr>
          <w:b/>
          <w:bCs/>
          <w:lang w:val="en-US"/>
        </w:rPr>
      </w:pPr>
      <w:r>
        <w:rPr>
          <w:rtl/>
          <w:lang w:val="en-US"/>
        </w:rPr>
        <w:tab/>
      </w:r>
      <w:r w:rsidRPr="00AA0AD5">
        <w:rPr>
          <w:rtl/>
          <w:lang w:val="en-US"/>
        </w:rPr>
        <w:t>(ج)</w:t>
      </w:r>
      <w:r w:rsidRPr="00AA0AD5">
        <w:rPr>
          <w:rtl/>
          <w:lang w:val="en-US"/>
        </w:rPr>
        <w:tab/>
      </w:r>
      <w:r w:rsidRPr="00383081">
        <w:rPr>
          <w:b/>
          <w:bCs/>
          <w:rtl/>
          <w:lang w:val="en-US"/>
        </w:rPr>
        <w:t xml:space="preserve">زيادة وعي الجمهور بالمخاطر الصحية لتلوث الهواء وتزويده بمعلومات عن تدابير الحماية الشخصية. </w:t>
      </w:r>
    </w:p>
    <w:p w14:paraId="27AE456B" w14:textId="77777777" w:rsidR="007E78CF" w:rsidRPr="00AA0AD5" w:rsidRDefault="007E78CF" w:rsidP="007E78CF">
      <w:pPr>
        <w:pStyle w:val="H23GA"/>
      </w:pPr>
      <w:r w:rsidRPr="00AA0AD5">
        <w:rPr>
          <w:rtl/>
        </w:rPr>
        <w:tab/>
      </w:r>
      <w:r w:rsidRPr="00AA0AD5">
        <w:rPr>
          <w:rtl/>
        </w:rPr>
        <w:tab/>
        <w:t>الحق في التعليم</w:t>
      </w:r>
    </w:p>
    <w:p w14:paraId="63A9EFAA" w14:textId="3E979906" w:rsidR="007E78CF" w:rsidRPr="00EB2635" w:rsidRDefault="007E78CF" w:rsidP="00523757">
      <w:pPr>
        <w:pStyle w:val="SingleTxtGA"/>
        <w:spacing w:line="340" w:lineRule="exact"/>
        <w:rPr>
          <w:spacing w:val="-2"/>
          <w:lang w:val="en-US"/>
        </w:rPr>
      </w:pPr>
      <w:r w:rsidRPr="00236F77">
        <w:rPr>
          <w:spacing w:val="-2"/>
          <w:rtl/>
          <w:lang w:val="en-US"/>
        </w:rPr>
        <w:t>48</w:t>
      </w:r>
      <w:r w:rsidRPr="00EB2635">
        <w:rPr>
          <w:spacing w:val="-2"/>
          <w:rtl/>
          <w:lang w:val="en-US"/>
        </w:rPr>
        <w:t>-</w:t>
      </w:r>
      <w:r w:rsidRPr="00EB2635">
        <w:rPr>
          <w:spacing w:val="-2"/>
          <w:rtl/>
          <w:lang w:val="en-US"/>
        </w:rPr>
        <w:tab/>
        <w:t>يساور اللجنة القلق إزاء انخفاض معدلات الالتحاق بالتعليم الابتدائي والثانوي وإتمامه، ولا سيما في صفوف أطفال الروما والأطفال ذوي الإعاقة والطلاب الذين يعيشون في المناطق الريفية. وفي حين ترحب اللجنة بمشاركة الدولة الطرف في التقييمات الدولية للطلاب في السنوات الأخيرة، لا تزال تشعر بالقلق إزاء</w:t>
      </w:r>
      <w:r w:rsidR="00EB2635">
        <w:rPr>
          <w:rFonts w:hint="cs"/>
          <w:spacing w:val="-2"/>
          <w:rtl/>
          <w:lang w:val="en-US"/>
        </w:rPr>
        <w:t> </w:t>
      </w:r>
      <w:r w:rsidRPr="00EB2635">
        <w:rPr>
          <w:spacing w:val="-2"/>
          <w:rtl/>
          <w:lang w:val="en-US"/>
        </w:rPr>
        <w:t>تدني مستوى الأداء الأكاديمي وما ذكر من انخفاض جودة التعليم. كما يساورها القلق إزاء التقارير التي تفيد بأن الأطفال اللاجئين غير المصحوبين المنفصلين عن ذويهم وأطفال طالبي اللجوء الذين لم يسجلوا بعد</w:t>
      </w:r>
      <w:r w:rsidR="00EB2635">
        <w:rPr>
          <w:rFonts w:hint="cs"/>
          <w:spacing w:val="-2"/>
          <w:rtl/>
          <w:lang w:val="en-US"/>
        </w:rPr>
        <w:t> </w:t>
      </w:r>
      <w:r w:rsidRPr="00EB2635">
        <w:rPr>
          <w:spacing w:val="-2"/>
          <w:rtl/>
          <w:lang w:val="en-US"/>
        </w:rPr>
        <w:t>طلبات لجوئهم لا يحصلون على التعليم. وعلاوة على ذلك، يساورها القلق إزاء تأثير جائحة كوفيد-</w:t>
      </w:r>
      <w:r w:rsidRPr="00236F77">
        <w:rPr>
          <w:spacing w:val="-2"/>
          <w:rtl/>
          <w:lang w:val="en-US"/>
        </w:rPr>
        <w:t>19</w:t>
      </w:r>
      <w:r w:rsidRPr="00EB2635">
        <w:rPr>
          <w:spacing w:val="-2"/>
          <w:rtl/>
          <w:lang w:val="en-US"/>
        </w:rPr>
        <w:t xml:space="preserve"> على التعليم المدرسي، ولا سيما في صفوف الأطفال المحرومين والمهمشين (المواد </w:t>
      </w:r>
      <w:r w:rsidRPr="00236F77">
        <w:rPr>
          <w:spacing w:val="-2"/>
          <w:rtl/>
          <w:lang w:val="en-US"/>
        </w:rPr>
        <w:t>2</w:t>
      </w:r>
      <w:r w:rsidRPr="00EB2635">
        <w:rPr>
          <w:spacing w:val="-2"/>
          <w:rtl/>
          <w:lang w:val="en-US"/>
        </w:rPr>
        <w:t>(</w:t>
      </w:r>
      <w:r w:rsidRPr="00236F77">
        <w:rPr>
          <w:spacing w:val="-2"/>
          <w:rtl/>
          <w:lang w:val="en-US"/>
        </w:rPr>
        <w:t>2</w:t>
      </w:r>
      <w:r w:rsidRPr="00EB2635">
        <w:rPr>
          <w:spacing w:val="-2"/>
          <w:rtl/>
          <w:lang w:val="en-US"/>
        </w:rPr>
        <w:t>)، و</w:t>
      </w:r>
      <w:r w:rsidRPr="00236F77">
        <w:rPr>
          <w:spacing w:val="-2"/>
          <w:rtl/>
          <w:lang w:val="en-US"/>
        </w:rPr>
        <w:t>13</w:t>
      </w:r>
      <w:r w:rsidRPr="00EB2635">
        <w:rPr>
          <w:spacing w:val="-2"/>
          <w:rtl/>
          <w:lang w:val="en-US"/>
        </w:rPr>
        <w:t>، و</w:t>
      </w:r>
      <w:r w:rsidRPr="00236F77">
        <w:rPr>
          <w:spacing w:val="-2"/>
          <w:rtl/>
          <w:lang w:val="en-US"/>
        </w:rPr>
        <w:t>14</w:t>
      </w:r>
      <w:r w:rsidRPr="00EB2635">
        <w:rPr>
          <w:spacing w:val="-2"/>
          <w:rtl/>
          <w:lang w:val="en-US"/>
        </w:rPr>
        <w:t>).</w:t>
      </w:r>
    </w:p>
    <w:p w14:paraId="095C25C7" w14:textId="77777777" w:rsidR="007E78CF" w:rsidRPr="00383081" w:rsidRDefault="007E78CF" w:rsidP="00523757">
      <w:pPr>
        <w:pStyle w:val="SingleTxtGA"/>
        <w:spacing w:line="340" w:lineRule="exact"/>
        <w:rPr>
          <w:b/>
          <w:bCs/>
          <w:lang w:val="en-US"/>
        </w:rPr>
      </w:pPr>
      <w:r w:rsidRPr="00236F77">
        <w:rPr>
          <w:rtl/>
          <w:lang w:val="en-US"/>
        </w:rPr>
        <w:t>49</w:t>
      </w:r>
      <w:r w:rsidRPr="00AA0AD5">
        <w:rPr>
          <w:rtl/>
          <w:lang w:val="en-US"/>
        </w:rPr>
        <w:t>-</w:t>
      </w:r>
      <w:r w:rsidRPr="00AA0AD5">
        <w:rPr>
          <w:rtl/>
          <w:lang w:val="en-US"/>
        </w:rPr>
        <w:tab/>
      </w:r>
      <w:r w:rsidRPr="00383081">
        <w:rPr>
          <w:b/>
          <w:bCs/>
          <w:rtl/>
          <w:lang w:val="en-US"/>
        </w:rPr>
        <w:t>توصي اللجنة الدولة الطرف بمضاعفة جهودها من أجل ما يلي:</w:t>
      </w:r>
    </w:p>
    <w:p w14:paraId="2F21EEAE" w14:textId="13F32EFD" w:rsidR="007E78CF" w:rsidRPr="00383081" w:rsidRDefault="007E78CF" w:rsidP="00523757">
      <w:pPr>
        <w:pStyle w:val="SingleTxtGA"/>
        <w:spacing w:line="340" w:lineRule="exact"/>
        <w:rPr>
          <w:b/>
          <w:bCs/>
          <w:lang w:val="en-US"/>
        </w:rPr>
      </w:pPr>
      <w:r>
        <w:rPr>
          <w:rtl/>
          <w:lang w:val="en-US"/>
        </w:rPr>
        <w:tab/>
      </w:r>
      <w:r w:rsidRPr="00AA0AD5">
        <w:rPr>
          <w:rtl/>
          <w:lang w:val="en-US"/>
        </w:rPr>
        <w:t>(أ)</w:t>
      </w:r>
      <w:r w:rsidRPr="00AA0AD5">
        <w:rPr>
          <w:rtl/>
          <w:lang w:val="en-US"/>
        </w:rPr>
        <w:tab/>
      </w:r>
      <w:r w:rsidRPr="00383081">
        <w:rPr>
          <w:b/>
          <w:bCs/>
          <w:rtl/>
          <w:lang w:val="en-US"/>
        </w:rPr>
        <w:t>اتخاذ تدابير محددة الأهداف لتحسين معدلات الالتحاق بالمدارس وإتمام الدراسة بين أطفال الروما والأطفال ذوي الإعاقات والطلاب الذين يعيشون في مناطق ريفية؛</w:t>
      </w:r>
    </w:p>
    <w:p w14:paraId="43CE4335" w14:textId="118BD04B" w:rsidR="007E78CF" w:rsidRPr="00383081" w:rsidRDefault="007E78CF" w:rsidP="00523757">
      <w:pPr>
        <w:pStyle w:val="SingleTxtGA"/>
        <w:spacing w:line="340" w:lineRule="exact"/>
        <w:rPr>
          <w:b/>
          <w:bCs/>
          <w:lang w:val="en-US"/>
        </w:rPr>
      </w:pPr>
      <w:r>
        <w:rPr>
          <w:rtl/>
          <w:lang w:val="en-US"/>
        </w:rPr>
        <w:tab/>
      </w:r>
      <w:r w:rsidRPr="00AA0AD5">
        <w:rPr>
          <w:rtl/>
          <w:lang w:val="en-US"/>
        </w:rPr>
        <w:t>(ب)</w:t>
      </w:r>
      <w:r w:rsidRPr="00AA0AD5">
        <w:rPr>
          <w:rtl/>
          <w:lang w:val="en-US"/>
        </w:rPr>
        <w:tab/>
      </w:r>
      <w:r w:rsidRPr="00383081">
        <w:rPr>
          <w:b/>
          <w:bCs/>
          <w:rtl/>
          <w:lang w:val="en-US"/>
        </w:rPr>
        <w:t>تنفيذ نظام التعليم الشامل للجميع تنفيذ</w:t>
      </w:r>
      <w:r w:rsidR="00AB408B">
        <w:rPr>
          <w:b/>
          <w:bCs/>
          <w:rtl/>
          <w:lang w:val="en-US"/>
        </w:rPr>
        <w:t xml:space="preserve">اً </w:t>
      </w:r>
      <w:r w:rsidRPr="00383081">
        <w:rPr>
          <w:b/>
          <w:bCs/>
          <w:rtl/>
          <w:lang w:val="en-US"/>
        </w:rPr>
        <w:t>كامل</w:t>
      </w:r>
      <w:r w:rsidR="00AB408B">
        <w:rPr>
          <w:b/>
          <w:bCs/>
          <w:rtl/>
          <w:lang w:val="en-US"/>
        </w:rPr>
        <w:t>اً،</w:t>
      </w:r>
      <w:r w:rsidRPr="00383081">
        <w:rPr>
          <w:b/>
          <w:bCs/>
          <w:rtl/>
          <w:lang w:val="en-US"/>
        </w:rPr>
        <w:t xml:space="preserve"> وإدراج التعليم الشامل للجميع في</w:t>
      </w:r>
      <w:r w:rsidR="00383081">
        <w:rPr>
          <w:rFonts w:hint="cs"/>
          <w:b/>
          <w:bCs/>
          <w:rtl/>
          <w:lang w:val="en-US"/>
        </w:rPr>
        <w:t> </w:t>
      </w:r>
      <w:r w:rsidRPr="00383081">
        <w:rPr>
          <w:b/>
          <w:bCs/>
          <w:rtl/>
          <w:lang w:val="en-US"/>
        </w:rPr>
        <w:t>برامج التدريب الأكاديمي والمناهج الدراسية لهيئة التدريس، وتقديم أموال مخصصة لتنفيذ التعليم الشامل للجميع؛</w:t>
      </w:r>
    </w:p>
    <w:p w14:paraId="5AF5125B" w14:textId="05FF3FA4" w:rsidR="007E78CF" w:rsidRPr="00383081" w:rsidRDefault="007E78CF" w:rsidP="00523757">
      <w:pPr>
        <w:pStyle w:val="SingleTxtGA"/>
        <w:spacing w:line="340" w:lineRule="exact"/>
        <w:rPr>
          <w:b/>
          <w:bCs/>
          <w:lang w:val="en-US"/>
        </w:rPr>
      </w:pPr>
      <w:r>
        <w:rPr>
          <w:rtl/>
          <w:lang w:val="en-US"/>
        </w:rPr>
        <w:tab/>
      </w:r>
      <w:r w:rsidRPr="00AA0AD5">
        <w:rPr>
          <w:rtl/>
          <w:lang w:val="en-US"/>
        </w:rPr>
        <w:t>(ج)</w:t>
      </w:r>
      <w:r w:rsidRPr="00AA0AD5">
        <w:rPr>
          <w:rtl/>
          <w:lang w:val="en-US"/>
        </w:rPr>
        <w:tab/>
      </w:r>
      <w:r w:rsidRPr="00383081">
        <w:rPr>
          <w:rFonts w:ascii="Times New Roman Bold" w:hAnsi="Times New Roman Bold"/>
          <w:b/>
          <w:bCs/>
          <w:spacing w:val="-2"/>
          <w:rtl/>
          <w:lang w:val="en-US"/>
        </w:rPr>
        <w:t xml:space="preserve">ضمان وصول جميع الأطفال طالبي اللجوء إلى نظام التعليم الابتدائي والثانوي بغض </w:t>
      </w:r>
      <w:r w:rsidRPr="00383081">
        <w:rPr>
          <w:b/>
          <w:bCs/>
          <w:rtl/>
          <w:lang w:val="en-US"/>
        </w:rPr>
        <w:t>النظر عن وضعهم؛</w:t>
      </w:r>
    </w:p>
    <w:p w14:paraId="06CE1F8E" w14:textId="2C391813" w:rsidR="007E78CF" w:rsidRPr="00383081" w:rsidRDefault="007E78CF" w:rsidP="00523757">
      <w:pPr>
        <w:pStyle w:val="SingleTxtGA"/>
        <w:spacing w:line="340" w:lineRule="exact"/>
        <w:rPr>
          <w:b/>
          <w:bCs/>
          <w:lang w:val="en-US"/>
        </w:rPr>
      </w:pPr>
      <w:r>
        <w:rPr>
          <w:rtl/>
          <w:lang w:val="en-US"/>
        </w:rPr>
        <w:tab/>
      </w:r>
      <w:r w:rsidRPr="00AA0AD5">
        <w:rPr>
          <w:rtl/>
          <w:lang w:val="en-US"/>
        </w:rPr>
        <w:t>(د)</w:t>
      </w:r>
      <w:r w:rsidRPr="00AA0AD5">
        <w:rPr>
          <w:rtl/>
          <w:lang w:val="en-US"/>
        </w:rPr>
        <w:tab/>
      </w:r>
      <w:r w:rsidRPr="00383081">
        <w:rPr>
          <w:b/>
          <w:bCs/>
          <w:rtl/>
          <w:lang w:val="en-US"/>
        </w:rPr>
        <w:t>تعويض فرص التعلم التي ضاعت بسبب الجائحة، ولا سيما على الأطفال المحرومين والمهمشين، ومنع استمرار تعطل التعليم.</w:t>
      </w:r>
    </w:p>
    <w:p w14:paraId="2C9D2CAE" w14:textId="58D659AA" w:rsidR="007E78CF" w:rsidRPr="00AA0AD5" w:rsidRDefault="007E78CF" w:rsidP="00523757">
      <w:pPr>
        <w:pStyle w:val="SingleTxtGA"/>
        <w:spacing w:line="340" w:lineRule="exact"/>
        <w:rPr>
          <w:lang w:val="en-US"/>
        </w:rPr>
      </w:pPr>
      <w:r w:rsidRPr="00236F77">
        <w:rPr>
          <w:rtl/>
          <w:lang w:val="en-US"/>
        </w:rPr>
        <w:t>50</w:t>
      </w:r>
      <w:r w:rsidRPr="00AA0AD5">
        <w:rPr>
          <w:rtl/>
          <w:lang w:val="en-US"/>
        </w:rPr>
        <w:t>-</w:t>
      </w:r>
      <w:r w:rsidRPr="00AA0AD5">
        <w:rPr>
          <w:rtl/>
          <w:lang w:val="en-US"/>
        </w:rPr>
        <w:tab/>
        <w:t xml:space="preserve">تأسف اللجنة لعدم إحراز تقدم كاف في القضاء على الفصل والتمييز القائمين على أساس إثني في النظام الدراسي. ولا تزال تشعر بالقلق إزاء استمرار وجود المدارس التي تتبع نظام "مدرستين تحت سقف واحد" والمدارس أحادية الإثنية، وحالات التأخير في مواءمة المناهج الدراسية واعتماد منهج أساسي مشترك في جميع مستويات التعليم، وغير ذلك من التدابير التي تعزز الانقسام الإثني في النظام التعليمي (المواد </w:t>
      </w:r>
      <w:r w:rsidRPr="00236F77">
        <w:rPr>
          <w:rtl/>
          <w:lang w:val="en-US"/>
        </w:rPr>
        <w:t>2</w:t>
      </w:r>
      <w:r w:rsidRPr="00AA0AD5">
        <w:rPr>
          <w:rtl/>
          <w:lang w:val="en-US"/>
        </w:rPr>
        <w:t>(</w:t>
      </w:r>
      <w:r w:rsidRPr="00236F77">
        <w:rPr>
          <w:rtl/>
          <w:lang w:val="en-US"/>
        </w:rPr>
        <w:t>2</w:t>
      </w:r>
      <w:r w:rsidRPr="00AA0AD5">
        <w:rPr>
          <w:rtl/>
          <w:lang w:val="en-US"/>
        </w:rPr>
        <w:t>) و</w:t>
      </w:r>
      <w:r w:rsidRPr="00236F77">
        <w:rPr>
          <w:rtl/>
          <w:lang w:val="en-US"/>
        </w:rPr>
        <w:t>13</w:t>
      </w:r>
      <w:r w:rsidRPr="00AA0AD5">
        <w:rPr>
          <w:rtl/>
          <w:lang w:val="en-US"/>
        </w:rPr>
        <w:t>-</w:t>
      </w:r>
      <w:r w:rsidRPr="00236F77">
        <w:rPr>
          <w:rtl/>
          <w:lang w:val="en-US"/>
        </w:rPr>
        <w:t>15</w:t>
      </w:r>
      <w:r w:rsidRPr="00AA0AD5">
        <w:rPr>
          <w:rtl/>
          <w:lang w:val="en-US"/>
        </w:rPr>
        <w:t>).</w:t>
      </w:r>
    </w:p>
    <w:p w14:paraId="24C7DB7D" w14:textId="77777777" w:rsidR="007E78CF" w:rsidRPr="00383081" w:rsidRDefault="007E78CF" w:rsidP="00523757">
      <w:pPr>
        <w:pStyle w:val="SingleTxtGA"/>
        <w:spacing w:line="340" w:lineRule="exact"/>
        <w:rPr>
          <w:b/>
          <w:bCs/>
          <w:lang w:val="en-US"/>
        </w:rPr>
      </w:pPr>
      <w:r w:rsidRPr="00236F77">
        <w:rPr>
          <w:rtl/>
          <w:lang w:val="en-US"/>
        </w:rPr>
        <w:t>51</w:t>
      </w:r>
      <w:r w:rsidRPr="00AA0AD5">
        <w:rPr>
          <w:rtl/>
          <w:lang w:val="en-US"/>
        </w:rPr>
        <w:t>-</w:t>
      </w:r>
      <w:r w:rsidRPr="00AA0AD5">
        <w:rPr>
          <w:rtl/>
          <w:lang w:val="en-US"/>
        </w:rPr>
        <w:tab/>
      </w:r>
      <w:r w:rsidRPr="00383081">
        <w:rPr>
          <w:b/>
          <w:bCs/>
          <w:rtl/>
          <w:lang w:val="en-US"/>
        </w:rPr>
        <w:t xml:space="preserve">توصي اللجنة الدولة الطرف بمضاعفة جهودها من أجل ما يلي: </w:t>
      </w:r>
    </w:p>
    <w:p w14:paraId="223C20CE" w14:textId="255D4BCC" w:rsidR="007E78CF" w:rsidRPr="00383081" w:rsidRDefault="007E78CF" w:rsidP="00523757">
      <w:pPr>
        <w:pStyle w:val="SingleTxtGA"/>
        <w:spacing w:line="340" w:lineRule="exact"/>
        <w:rPr>
          <w:b/>
          <w:bCs/>
          <w:lang w:val="en-US"/>
        </w:rPr>
      </w:pPr>
      <w:r>
        <w:rPr>
          <w:rtl/>
          <w:lang w:val="en-US"/>
        </w:rPr>
        <w:tab/>
      </w:r>
      <w:r w:rsidRPr="00AA0AD5">
        <w:rPr>
          <w:rtl/>
          <w:lang w:val="en-US"/>
        </w:rPr>
        <w:t>(أ)</w:t>
      </w:r>
      <w:r w:rsidRPr="00AA0AD5">
        <w:rPr>
          <w:rtl/>
          <w:lang w:val="en-US"/>
        </w:rPr>
        <w:tab/>
      </w:r>
      <w:r w:rsidRPr="00383081">
        <w:rPr>
          <w:b/>
          <w:bCs/>
          <w:rtl/>
          <w:lang w:val="en-US"/>
        </w:rPr>
        <w:t xml:space="preserve">إلغاء نظام مدرستين تحت سقف واحد وتشجيع المدارس المتعددة </w:t>
      </w:r>
      <w:proofErr w:type="spellStart"/>
      <w:r w:rsidRPr="00383081">
        <w:rPr>
          <w:b/>
          <w:bCs/>
          <w:rtl/>
          <w:lang w:val="en-US"/>
        </w:rPr>
        <w:t>الإثنيات</w:t>
      </w:r>
      <w:proofErr w:type="spellEnd"/>
      <w:r w:rsidRPr="00383081">
        <w:rPr>
          <w:b/>
          <w:bCs/>
          <w:rtl/>
          <w:lang w:val="en-US"/>
        </w:rPr>
        <w:t xml:space="preserve"> واللغات؛</w:t>
      </w:r>
    </w:p>
    <w:p w14:paraId="77C342DE" w14:textId="50A241CC" w:rsidR="007E78CF" w:rsidRPr="00383081" w:rsidRDefault="007E78CF" w:rsidP="00523757">
      <w:pPr>
        <w:pStyle w:val="SingleTxtGA"/>
        <w:spacing w:line="340" w:lineRule="exact"/>
        <w:rPr>
          <w:b/>
          <w:bCs/>
          <w:lang w:val="en-US"/>
        </w:rPr>
      </w:pPr>
      <w:r>
        <w:rPr>
          <w:rtl/>
          <w:lang w:val="en-US"/>
        </w:rPr>
        <w:tab/>
      </w:r>
      <w:r w:rsidRPr="00AA0AD5">
        <w:rPr>
          <w:rtl/>
          <w:lang w:val="en-US"/>
        </w:rPr>
        <w:t>(ب)</w:t>
      </w:r>
      <w:r w:rsidRPr="00AA0AD5">
        <w:rPr>
          <w:rtl/>
          <w:lang w:val="en-US"/>
        </w:rPr>
        <w:tab/>
      </w:r>
      <w:r w:rsidRPr="00383081">
        <w:rPr>
          <w:b/>
          <w:bCs/>
          <w:rtl/>
          <w:lang w:val="en-US"/>
        </w:rPr>
        <w:t>إصلاح نظام التعليم بهدف أن يعزز التعليم التفاهم والتسامح والصداقة بين جميع الجماعات العرقية أو الإثنية أو الدينية؛ والإقدام،</w:t>
      </w:r>
      <w:r w:rsidR="00383081">
        <w:rPr>
          <w:rFonts w:hint="cs"/>
          <w:b/>
          <w:bCs/>
          <w:rtl/>
          <w:lang w:val="en-US"/>
        </w:rPr>
        <w:t xml:space="preserve"> </w:t>
      </w:r>
      <w:r w:rsidRPr="00383081">
        <w:rPr>
          <w:b/>
          <w:bCs/>
          <w:rtl/>
          <w:lang w:val="en-US"/>
        </w:rPr>
        <w:t>كتدبير مؤقت، على وضع برامج وأنشطة خارجة عن المناهج الدراسية لتحقيق هذه الغاية منذ المرحلة المبكرة من التعليم؛</w:t>
      </w:r>
    </w:p>
    <w:p w14:paraId="18E93C28" w14:textId="1624CD36" w:rsidR="007E78CF" w:rsidRPr="00383081" w:rsidRDefault="007E78CF" w:rsidP="00523757">
      <w:pPr>
        <w:pStyle w:val="SingleTxtGA"/>
        <w:spacing w:line="340" w:lineRule="exact"/>
        <w:rPr>
          <w:b/>
          <w:bCs/>
          <w:lang w:val="en-US"/>
        </w:rPr>
      </w:pPr>
      <w:r>
        <w:rPr>
          <w:rtl/>
          <w:lang w:val="en-US"/>
        </w:rPr>
        <w:lastRenderedPageBreak/>
        <w:tab/>
      </w:r>
      <w:r w:rsidRPr="00AA0AD5">
        <w:rPr>
          <w:rtl/>
          <w:lang w:val="en-US"/>
        </w:rPr>
        <w:t>(ج)</w:t>
      </w:r>
      <w:r w:rsidRPr="00AA0AD5">
        <w:rPr>
          <w:rtl/>
          <w:lang w:val="en-US"/>
        </w:rPr>
        <w:tab/>
      </w:r>
      <w:r w:rsidRPr="00383081">
        <w:rPr>
          <w:b/>
          <w:bCs/>
          <w:rtl/>
          <w:lang w:val="en-US"/>
        </w:rPr>
        <w:t xml:space="preserve">تسريع عملية مواءمة المناهج الدراسية واعتماد منهج أساسي مشترك في جميع مستويات التعليم؛ </w:t>
      </w:r>
    </w:p>
    <w:p w14:paraId="46B58799" w14:textId="1CE15D92" w:rsidR="007E78CF" w:rsidRPr="00523757" w:rsidRDefault="007E78CF" w:rsidP="00523757">
      <w:pPr>
        <w:pStyle w:val="SingleTxtGA"/>
        <w:spacing w:line="340" w:lineRule="exact"/>
        <w:rPr>
          <w:b/>
          <w:bCs/>
          <w:spacing w:val="-4"/>
          <w:lang w:val="en-US"/>
        </w:rPr>
      </w:pPr>
      <w:r w:rsidRPr="00523757">
        <w:rPr>
          <w:spacing w:val="-4"/>
          <w:rtl/>
          <w:lang w:val="en-US"/>
        </w:rPr>
        <w:tab/>
        <w:t>(د)</w:t>
      </w:r>
      <w:r w:rsidRPr="00523757">
        <w:rPr>
          <w:spacing w:val="-4"/>
          <w:rtl/>
          <w:lang w:val="en-US"/>
        </w:rPr>
        <w:tab/>
      </w:r>
      <w:r w:rsidRPr="00523757">
        <w:rPr>
          <w:b/>
          <w:bCs/>
          <w:spacing w:val="-4"/>
          <w:rtl/>
          <w:lang w:val="en-US"/>
        </w:rPr>
        <w:t>مراجعة كتب التاريخ المدرسية والمواد التعليمية بهدف المساهمة في التفاهم والمصالحة.</w:t>
      </w:r>
    </w:p>
    <w:p w14:paraId="3D1FD3D8" w14:textId="77777777" w:rsidR="007E78CF" w:rsidRPr="00AA0AD5" w:rsidRDefault="007E78CF" w:rsidP="007E78CF">
      <w:pPr>
        <w:pStyle w:val="H23GA"/>
      </w:pPr>
      <w:r w:rsidRPr="00AA0AD5">
        <w:rPr>
          <w:rtl/>
        </w:rPr>
        <w:tab/>
      </w:r>
      <w:r w:rsidRPr="00AA0AD5">
        <w:rPr>
          <w:rtl/>
        </w:rPr>
        <w:tab/>
        <w:t>الحقوق الثقافية</w:t>
      </w:r>
    </w:p>
    <w:p w14:paraId="090EE874" w14:textId="323AAA79" w:rsidR="007E78CF" w:rsidRPr="00AA0AD5" w:rsidRDefault="007E78CF" w:rsidP="00523757">
      <w:pPr>
        <w:pStyle w:val="SingleTxtGA"/>
        <w:spacing w:line="340" w:lineRule="exact"/>
        <w:rPr>
          <w:lang w:val="en-US"/>
        </w:rPr>
      </w:pPr>
      <w:r w:rsidRPr="00236F77">
        <w:rPr>
          <w:rtl/>
          <w:lang w:val="en-US"/>
        </w:rPr>
        <w:t>52</w:t>
      </w:r>
      <w:r w:rsidRPr="00AA0AD5">
        <w:rPr>
          <w:rtl/>
          <w:lang w:val="en-US"/>
        </w:rPr>
        <w:t>-</w:t>
      </w:r>
      <w:r w:rsidRPr="00AA0AD5">
        <w:rPr>
          <w:rtl/>
          <w:lang w:val="en-US"/>
        </w:rPr>
        <w:tab/>
        <w:t xml:space="preserve">يساور اللجنة القلق لعدم اعتراف جميع كيانات </w:t>
      </w:r>
      <w:proofErr w:type="spellStart"/>
      <w:r w:rsidRPr="00AA0AD5">
        <w:rPr>
          <w:rtl/>
          <w:lang w:val="en-US"/>
        </w:rPr>
        <w:t>وكانتونات</w:t>
      </w:r>
      <w:proofErr w:type="spellEnd"/>
      <w:r w:rsidRPr="00AA0AD5">
        <w:rPr>
          <w:rtl/>
          <w:lang w:val="en-US"/>
        </w:rPr>
        <w:t xml:space="preserve"> اتحاد البوسنة والهرسك باللغات الثلاث والأبجديتيْن الرسمية، مما أدى إلى ارتفاع معدلات التمييز القائم على اللغة وتعطيل التعليم. كما يساورها القلق بشأن التحديات التي </w:t>
      </w:r>
      <w:proofErr w:type="spellStart"/>
      <w:r w:rsidRPr="00AA0AD5">
        <w:rPr>
          <w:rtl/>
          <w:lang w:val="en-US"/>
        </w:rPr>
        <w:t>يواجهها</w:t>
      </w:r>
      <w:proofErr w:type="spellEnd"/>
      <w:r w:rsidRPr="00AA0AD5">
        <w:rPr>
          <w:rtl/>
          <w:lang w:val="en-US"/>
        </w:rPr>
        <w:t xml:space="preserve"> الأشخاص المنتمون إلى أقليات قومية، بمن فيهم الروما والعائدون، فيما يتعلق بالحفاظ على ثقافتهم ولغتهم ودينهم وتقاليدهم وتعزيزها وتطويرها. وعلاوة على ذلك، يساورها القلق إزاء نقص الدعم المالي المقدم للمؤسسات الثقافية، بما في ذلك المتحف الوطني للبوسنة والهرسك، </w:t>
      </w:r>
      <w:r w:rsidRPr="00AB408B">
        <w:rPr>
          <w:spacing w:val="-2"/>
          <w:rtl/>
          <w:lang w:val="en-US"/>
        </w:rPr>
        <w:t xml:space="preserve">ومكتبة المكفوفين وضعاف البصر، والمتحف التاريخي للبوسنة والهرسك، بسبب الافتقار إلى مركز </w:t>
      </w:r>
      <w:proofErr w:type="gramStart"/>
      <w:r w:rsidRPr="00AB408B">
        <w:rPr>
          <w:spacing w:val="-2"/>
          <w:rtl/>
          <w:lang w:val="en-US"/>
        </w:rPr>
        <w:t>قانوني</w:t>
      </w:r>
      <w:r w:rsidRPr="007E78CF">
        <w:rPr>
          <w:vertAlign w:val="superscript"/>
          <w:rtl/>
          <w:lang w:val="en-US"/>
        </w:rPr>
        <w:t>(</w:t>
      </w:r>
      <w:proofErr w:type="gramEnd"/>
      <w:r w:rsidRPr="00236F77">
        <w:rPr>
          <w:rStyle w:val="FootnoteReference"/>
          <w:szCs w:val="22"/>
          <w:lang w:val="en-US"/>
        </w:rPr>
        <w:footnoteReference w:id="8"/>
      </w:r>
      <w:r w:rsidRPr="007E78CF">
        <w:rPr>
          <w:vertAlign w:val="superscript"/>
          <w:rtl/>
          <w:lang w:val="en-US"/>
        </w:rPr>
        <w:t>)</w:t>
      </w:r>
      <w:r w:rsidRPr="00AA0AD5">
        <w:rPr>
          <w:rtl/>
          <w:lang w:val="en-US"/>
        </w:rPr>
        <w:t xml:space="preserve"> (المواد </w:t>
      </w:r>
      <w:r w:rsidRPr="00236F77">
        <w:rPr>
          <w:rtl/>
          <w:lang w:val="en-US"/>
        </w:rPr>
        <w:t>2</w:t>
      </w:r>
      <w:r w:rsidRPr="00AA0AD5">
        <w:rPr>
          <w:rtl/>
          <w:lang w:val="en-US"/>
        </w:rPr>
        <w:t>(</w:t>
      </w:r>
      <w:r w:rsidRPr="00236F77">
        <w:rPr>
          <w:rtl/>
          <w:lang w:val="en-US"/>
        </w:rPr>
        <w:t>2</w:t>
      </w:r>
      <w:r w:rsidRPr="00AA0AD5">
        <w:rPr>
          <w:rtl/>
          <w:lang w:val="en-US"/>
        </w:rPr>
        <w:t>) و</w:t>
      </w:r>
      <w:r w:rsidRPr="00236F77">
        <w:rPr>
          <w:rtl/>
          <w:lang w:val="en-US"/>
        </w:rPr>
        <w:t>13</w:t>
      </w:r>
      <w:r w:rsidRPr="00AA0AD5">
        <w:rPr>
          <w:rtl/>
          <w:lang w:val="en-US"/>
        </w:rPr>
        <w:t>-</w:t>
      </w:r>
      <w:r w:rsidRPr="00236F77">
        <w:rPr>
          <w:rtl/>
          <w:lang w:val="en-US"/>
        </w:rPr>
        <w:t>15</w:t>
      </w:r>
      <w:r w:rsidRPr="00AA0AD5">
        <w:rPr>
          <w:rtl/>
          <w:lang w:val="en-US"/>
        </w:rPr>
        <w:t>).</w:t>
      </w:r>
    </w:p>
    <w:p w14:paraId="1BF85B99" w14:textId="77777777" w:rsidR="007E78CF" w:rsidRPr="00383081" w:rsidRDefault="007E78CF" w:rsidP="00523757">
      <w:pPr>
        <w:pStyle w:val="SingleTxtGA"/>
        <w:spacing w:line="340" w:lineRule="exact"/>
        <w:rPr>
          <w:b/>
          <w:bCs/>
          <w:lang w:val="en-US"/>
        </w:rPr>
      </w:pPr>
      <w:r w:rsidRPr="00236F77">
        <w:rPr>
          <w:rtl/>
          <w:lang w:val="en-US"/>
        </w:rPr>
        <w:t>53</w:t>
      </w:r>
      <w:r w:rsidRPr="00AA0AD5">
        <w:rPr>
          <w:rtl/>
          <w:lang w:val="en-US"/>
        </w:rPr>
        <w:t>-</w:t>
      </w:r>
      <w:r w:rsidRPr="00AA0AD5">
        <w:rPr>
          <w:rtl/>
          <w:lang w:val="en-US"/>
        </w:rPr>
        <w:tab/>
      </w:r>
      <w:r w:rsidRPr="00383081">
        <w:rPr>
          <w:b/>
          <w:bCs/>
          <w:rtl/>
          <w:lang w:val="en-US"/>
        </w:rPr>
        <w:t xml:space="preserve">توصي اللجنة الدولة الطرف بما يلي: </w:t>
      </w:r>
    </w:p>
    <w:p w14:paraId="21DEAB90" w14:textId="0CCF726C" w:rsidR="007E78CF" w:rsidRPr="00383081" w:rsidRDefault="007E78CF" w:rsidP="00523757">
      <w:pPr>
        <w:pStyle w:val="SingleTxtGA"/>
        <w:spacing w:line="340" w:lineRule="exact"/>
        <w:rPr>
          <w:b/>
          <w:bCs/>
          <w:lang w:val="en-US"/>
        </w:rPr>
      </w:pPr>
      <w:r>
        <w:rPr>
          <w:rtl/>
          <w:lang w:val="en-US"/>
        </w:rPr>
        <w:tab/>
      </w:r>
      <w:r w:rsidRPr="00AA0AD5">
        <w:rPr>
          <w:rtl/>
          <w:lang w:val="en-US"/>
        </w:rPr>
        <w:t>(أ)</w:t>
      </w:r>
      <w:r w:rsidRPr="00AA0AD5">
        <w:rPr>
          <w:rtl/>
          <w:lang w:val="en-US"/>
        </w:rPr>
        <w:tab/>
      </w:r>
      <w:r w:rsidRPr="00AB408B">
        <w:rPr>
          <w:rFonts w:ascii="Times New Roman Bold" w:hAnsi="Times New Roman Bold"/>
          <w:b/>
          <w:bCs/>
          <w:spacing w:val="-4"/>
          <w:rtl/>
          <w:lang w:val="en-US"/>
        </w:rPr>
        <w:t xml:space="preserve">اتخاذ التدابير اللازمة لضمان اعتراف جميع كيانات </w:t>
      </w:r>
      <w:proofErr w:type="spellStart"/>
      <w:r w:rsidRPr="00AB408B">
        <w:rPr>
          <w:rFonts w:ascii="Times New Roman Bold" w:hAnsi="Times New Roman Bold"/>
          <w:b/>
          <w:bCs/>
          <w:spacing w:val="-4"/>
          <w:rtl/>
          <w:lang w:val="en-US"/>
        </w:rPr>
        <w:t>وكانتونات</w:t>
      </w:r>
      <w:proofErr w:type="spellEnd"/>
      <w:r w:rsidRPr="00AB408B">
        <w:rPr>
          <w:rFonts w:ascii="Times New Roman Bold" w:hAnsi="Times New Roman Bold"/>
          <w:b/>
          <w:bCs/>
          <w:spacing w:val="-4"/>
          <w:rtl/>
          <w:lang w:val="en-US"/>
        </w:rPr>
        <w:t xml:space="preserve"> اتحاد البوسنة والهرسك</w:t>
      </w:r>
      <w:r w:rsidRPr="00383081">
        <w:rPr>
          <w:b/>
          <w:bCs/>
          <w:rtl/>
          <w:lang w:val="en-US"/>
        </w:rPr>
        <w:t xml:space="preserve"> باللغات الثلاث والأبجديتيْن الرسمية، على النحو المنصوص عليه في الدستور، ومنع وحظر التمييز على أساس اللغة؛ </w:t>
      </w:r>
    </w:p>
    <w:p w14:paraId="766888E1" w14:textId="0D655E8C" w:rsidR="007E78CF" w:rsidRPr="00383081" w:rsidRDefault="007E78CF" w:rsidP="00523757">
      <w:pPr>
        <w:pStyle w:val="SingleTxtGA"/>
        <w:spacing w:line="340" w:lineRule="exact"/>
        <w:rPr>
          <w:b/>
          <w:bCs/>
          <w:spacing w:val="-2"/>
          <w:lang w:val="en-US"/>
        </w:rPr>
      </w:pPr>
      <w:r w:rsidRPr="00EB2635">
        <w:rPr>
          <w:spacing w:val="-2"/>
          <w:rtl/>
          <w:lang w:val="en-US"/>
        </w:rPr>
        <w:tab/>
        <w:t>(ب)</w:t>
      </w:r>
      <w:r w:rsidRPr="00EB2635">
        <w:rPr>
          <w:spacing w:val="-2"/>
          <w:rtl/>
          <w:lang w:val="en-US"/>
        </w:rPr>
        <w:tab/>
      </w:r>
      <w:r w:rsidRPr="00AB408B">
        <w:rPr>
          <w:rFonts w:ascii="Times New Roman Bold" w:hAnsi="Times New Roman Bold"/>
          <w:b/>
          <w:bCs/>
          <w:spacing w:val="-4"/>
          <w:rtl/>
          <w:lang w:val="en-US"/>
        </w:rPr>
        <w:t>اعتماد تدابير ملموسة للحفاظ على ثقافة الروما والأقليات القومية الأخرى ولغتها ودينها</w:t>
      </w:r>
      <w:r w:rsidRPr="00383081">
        <w:rPr>
          <w:b/>
          <w:bCs/>
          <w:spacing w:val="-2"/>
          <w:rtl/>
          <w:lang w:val="en-US"/>
        </w:rPr>
        <w:t xml:space="preserve"> وتقاليدها وتعزيزها وتطويرها؛ وتقديم الدعم المالي والإداري لهذا الغرض؛</w:t>
      </w:r>
    </w:p>
    <w:p w14:paraId="23580A37" w14:textId="04E8D503" w:rsidR="007E78CF" w:rsidRPr="00383081" w:rsidRDefault="007E78CF" w:rsidP="00523757">
      <w:pPr>
        <w:pStyle w:val="SingleTxtGA"/>
        <w:spacing w:line="340" w:lineRule="exact"/>
        <w:rPr>
          <w:b/>
          <w:bCs/>
          <w:lang w:val="en-US"/>
        </w:rPr>
      </w:pPr>
      <w:r w:rsidRPr="00EB2635">
        <w:rPr>
          <w:spacing w:val="-2"/>
          <w:rtl/>
          <w:lang w:val="en-US"/>
        </w:rPr>
        <w:tab/>
        <w:t>(ج)</w:t>
      </w:r>
      <w:r w:rsidRPr="00EB2635">
        <w:rPr>
          <w:spacing w:val="-2"/>
          <w:rtl/>
          <w:lang w:val="en-US"/>
        </w:rPr>
        <w:tab/>
      </w:r>
      <w:r w:rsidRPr="00AB408B">
        <w:rPr>
          <w:rFonts w:ascii="Times New Roman Bold" w:hAnsi="Times New Roman Bold"/>
          <w:b/>
          <w:bCs/>
          <w:spacing w:val="-4"/>
          <w:rtl/>
          <w:lang w:val="en-US"/>
        </w:rPr>
        <w:t>زيادة الدعم المالي للمؤسسات الثقافية وتوفير مركز قانوني مناسب للمؤسسات الثقافية</w:t>
      </w:r>
      <w:r w:rsidRPr="00383081">
        <w:rPr>
          <w:b/>
          <w:bCs/>
          <w:spacing w:val="-2"/>
          <w:rtl/>
          <w:lang w:val="en-US"/>
        </w:rPr>
        <w:t>،</w:t>
      </w:r>
      <w:r w:rsidRPr="00383081">
        <w:rPr>
          <w:b/>
          <w:bCs/>
          <w:rtl/>
          <w:lang w:val="en-US"/>
        </w:rPr>
        <w:t xml:space="preserve"> ولا سيما تلك المذكورة في تقرير الدولة </w:t>
      </w:r>
      <w:proofErr w:type="gramStart"/>
      <w:r w:rsidRPr="00383081">
        <w:rPr>
          <w:b/>
          <w:bCs/>
          <w:rtl/>
          <w:lang w:val="en-US"/>
        </w:rPr>
        <w:t>الطرف</w:t>
      </w:r>
      <w:r w:rsidRPr="00383081">
        <w:rPr>
          <w:b/>
          <w:bCs/>
          <w:vertAlign w:val="superscript"/>
          <w:rtl/>
          <w:lang w:val="en-US"/>
        </w:rPr>
        <w:t>(</w:t>
      </w:r>
      <w:proofErr w:type="gramEnd"/>
      <w:r w:rsidRPr="00236F77">
        <w:rPr>
          <w:rStyle w:val="FootnoteReference"/>
          <w:b/>
          <w:bCs/>
          <w:szCs w:val="22"/>
          <w:lang w:val="en-US"/>
        </w:rPr>
        <w:footnoteReference w:id="9"/>
      </w:r>
      <w:r w:rsidRPr="00383081">
        <w:rPr>
          <w:b/>
          <w:bCs/>
          <w:vertAlign w:val="superscript"/>
          <w:rtl/>
          <w:lang w:val="en-US"/>
        </w:rPr>
        <w:t>)</w:t>
      </w:r>
      <w:r w:rsidRPr="00383081">
        <w:rPr>
          <w:b/>
          <w:bCs/>
          <w:rtl/>
          <w:lang w:val="en-US"/>
        </w:rPr>
        <w:t>.</w:t>
      </w:r>
    </w:p>
    <w:p w14:paraId="038C97CE" w14:textId="734097BF" w:rsidR="007E78CF" w:rsidRPr="00AA0AD5" w:rsidRDefault="007E78CF" w:rsidP="007E78CF">
      <w:pPr>
        <w:pStyle w:val="H1GA"/>
      </w:pPr>
      <w:r>
        <w:rPr>
          <w:rtl/>
        </w:rPr>
        <w:tab/>
      </w:r>
      <w:r w:rsidRPr="00AA0AD5">
        <w:rPr>
          <w:rtl/>
        </w:rPr>
        <w:t>دال-</w:t>
      </w:r>
      <w:r w:rsidRPr="00AA0AD5">
        <w:rPr>
          <w:rtl/>
        </w:rPr>
        <w:tab/>
        <w:t>توصيات عامة</w:t>
      </w:r>
    </w:p>
    <w:p w14:paraId="43A879AD" w14:textId="43AC2E03" w:rsidR="007E78CF" w:rsidRPr="00383081" w:rsidRDefault="007E78CF" w:rsidP="00523757">
      <w:pPr>
        <w:pStyle w:val="SingleTxtGA"/>
        <w:spacing w:line="340" w:lineRule="exact"/>
        <w:rPr>
          <w:b/>
          <w:bCs/>
          <w:lang w:val="en-US"/>
        </w:rPr>
      </w:pPr>
      <w:r w:rsidRPr="00236F77">
        <w:rPr>
          <w:rtl/>
          <w:lang w:val="en-US"/>
        </w:rPr>
        <w:t>54</w:t>
      </w:r>
      <w:r w:rsidRPr="00AA0AD5">
        <w:rPr>
          <w:rtl/>
          <w:lang w:val="en-US"/>
        </w:rPr>
        <w:t>-</w:t>
      </w:r>
      <w:r w:rsidRPr="00AA0AD5">
        <w:rPr>
          <w:rtl/>
          <w:lang w:val="en-US"/>
        </w:rPr>
        <w:tab/>
      </w:r>
      <w:r w:rsidRPr="00383081">
        <w:rPr>
          <w:b/>
          <w:bCs/>
          <w:rtl/>
          <w:lang w:val="en-US"/>
        </w:rPr>
        <w:t xml:space="preserve">توصي اللجنة الدولة الطرف بأن تراعي التزاماتها بموجب العهد مراعاة تامة وبأن تكفل التمتع الكامل بالحقوق المكرّسة فيه عند تنفيذ خطة التنمية المستدامة لعام </w:t>
      </w:r>
      <w:r w:rsidRPr="00236F77">
        <w:rPr>
          <w:b/>
          <w:bCs/>
          <w:rtl/>
          <w:lang w:val="en-US"/>
        </w:rPr>
        <w:t>2030</w:t>
      </w:r>
      <w:r w:rsidRPr="00383081">
        <w:rPr>
          <w:b/>
          <w:bCs/>
          <w:rtl/>
          <w:lang w:val="en-US"/>
        </w:rPr>
        <w:t xml:space="preserve"> على الصعيد الوطني. وستيسّر الدولة الطرف تحقيق أهداف التنمية المستدامة إلى حدّ كبير إذا ما أنشأت آليات مستقلّة </w:t>
      </w:r>
      <w:r w:rsidRPr="004B37B6">
        <w:rPr>
          <w:rFonts w:ascii="Times New Roman Bold" w:hAnsi="Times New Roman Bold"/>
          <w:b/>
          <w:bCs/>
          <w:spacing w:val="-2"/>
          <w:rtl/>
          <w:lang w:val="en-US"/>
        </w:rPr>
        <w:t>لرصد التقدّم المحرز وعاملت المستفيدين من البرامج الحكومية بوصفهم أصحاب حقوق يمكنهم المطالبة</w:t>
      </w:r>
      <w:r w:rsidRPr="00383081">
        <w:rPr>
          <w:b/>
          <w:bCs/>
          <w:rtl/>
          <w:lang w:val="en-US"/>
        </w:rPr>
        <w:t xml:space="preserve"> باستحقاقات. ومن شأن تنفيذ الأهداف على أساس مبادئ المشاركة والمساءلة وعدم التمييز أن يضمن </w:t>
      </w:r>
      <w:r w:rsidRPr="004B37B6">
        <w:rPr>
          <w:rFonts w:ascii="Times New Roman Bold" w:hAnsi="Times New Roman Bold"/>
          <w:b/>
          <w:bCs/>
          <w:spacing w:val="-2"/>
          <w:rtl/>
          <w:lang w:val="en-US"/>
        </w:rPr>
        <w:t>عدم ترك أي أحد خلف الركب. وفي هذا الصدد، توجه اللجنة انتباه الدولة الطرف إلى بيانها بشأن التعهد</w:t>
      </w:r>
      <w:r w:rsidRPr="00383081">
        <w:rPr>
          <w:b/>
          <w:bCs/>
          <w:rtl/>
          <w:lang w:val="en-US"/>
        </w:rPr>
        <w:t xml:space="preserve"> بعدم ترك أي أحد خلف </w:t>
      </w:r>
      <w:proofErr w:type="gramStart"/>
      <w:r w:rsidRPr="00383081">
        <w:rPr>
          <w:b/>
          <w:bCs/>
          <w:rtl/>
          <w:lang w:val="en-US"/>
        </w:rPr>
        <w:t>الركب</w:t>
      </w:r>
      <w:r w:rsidRPr="00383081">
        <w:rPr>
          <w:b/>
          <w:bCs/>
          <w:vertAlign w:val="superscript"/>
          <w:rtl/>
          <w:lang w:val="en-US"/>
        </w:rPr>
        <w:t>(</w:t>
      </w:r>
      <w:proofErr w:type="gramEnd"/>
      <w:r w:rsidRPr="00236F77">
        <w:rPr>
          <w:rStyle w:val="FootnoteReference"/>
          <w:b/>
          <w:bCs/>
          <w:szCs w:val="22"/>
          <w:lang w:val="en-US"/>
        </w:rPr>
        <w:footnoteReference w:id="10"/>
      </w:r>
      <w:r w:rsidRPr="00383081">
        <w:rPr>
          <w:b/>
          <w:bCs/>
          <w:vertAlign w:val="superscript"/>
          <w:rtl/>
          <w:lang w:val="en-US"/>
        </w:rPr>
        <w:t>)</w:t>
      </w:r>
      <w:r w:rsidRPr="00383081">
        <w:rPr>
          <w:b/>
          <w:bCs/>
          <w:rtl/>
          <w:lang w:val="en-US"/>
        </w:rPr>
        <w:t>.</w:t>
      </w:r>
    </w:p>
    <w:p w14:paraId="3150B266" w14:textId="13399AC7" w:rsidR="00AA0AD5" w:rsidRPr="00383081" w:rsidRDefault="007E78CF" w:rsidP="00523757">
      <w:pPr>
        <w:pStyle w:val="SingleTxtGA"/>
        <w:spacing w:line="340" w:lineRule="exact"/>
        <w:rPr>
          <w:b/>
          <w:bCs/>
          <w:lang w:val="en-US"/>
        </w:rPr>
      </w:pPr>
      <w:r w:rsidRPr="00236F77">
        <w:rPr>
          <w:rtl/>
          <w:lang w:val="en-US"/>
        </w:rPr>
        <w:t>55</w:t>
      </w:r>
      <w:r w:rsidRPr="00AA0AD5">
        <w:rPr>
          <w:rtl/>
          <w:lang w:val="en-US"/>
        </w:rPr>
        <w:t>-</w:t>
      </w:r>
      <w:r w:rsidRPr="00AA0AD5">
        <w:rPr>
          <w:rtl/>
          <w:lang w:val="en-US"/>
        </w:rPr>
        <w:tab/>
      </w:r>
      <w:r w:rsidRPr="00383081">
        <w:rPr>
          <w:b/>
          <w:bCs/>
          <w:rtl/>
          <w:lang w:val="en-US"/>
        </w:rPr>
        <w:t xml:space="preserve">وتوصي اللجنة الدولة الطرف باتخاذ خطوات للعمل تدريجياً على وضع وتطبيق مؤشرات مناسبة بشأن إعمال الحقوق الاقتصادية والاجتماعية والثقافية بغية تيسير تقييم التقدم الذي تحرزه الدولة الطرف في الامتثال لالتزاماتها بموجب العهد تجاه مختلف شرائح السكّان. وفي ذلك السياق، تحيل اللجنة الدولة الطرف إلى جملة أمور منها الإطار المفاهيمي والمنهجي بشأن مؤشرات حقوق الإنسان الذي وضعته مفوّضية الأمم المتحدة السامية لحقوق </w:t>
      </w:r>
      <w:proofErr w:type="gramStart"/>
      <w:r w:rsidRPr="00383081">
        <w:rPr>
          <w:b/>
          <w:bCs/>
          <w:rtl/>
          <w:lang w:val="en-US"/>
        </w:rPr>
        <w:t>الإنسان</w:t>
      </w:r>
      <w:r w:rsidRPr="00383081">
        <w:rPr>
          <w:b/>
          <w:bCs/>
          <w:vertAlign w:val="superscript"/>
          <w:rtl/>
          <w:lang w:val="en-US"/>
        </w:rPr>
        <w:t>(</w:t>
      </w:r>
      <w:proofErr w:type="gramEnd"/>
      <w:r w:rsidRPr="00236F77">
        <w:rPr>
          <w:rStyle w:val="FootnoteReference"/>
          <w:b/>
          <w:bCs/>
          <w:szCs w:val="22"/>
          <w:lang w:val="en-US"/>
        </w:rPr>
        <w:footnoteReference w:id="11"/>
      </w:r>
      <w:r w:rsidRPr="00383081">
        <w:rPr>
          <w:b/>
          <w:bCs/>
          <w:vertAlign w:val="superscript"/>
          <w:rtl/>
          <w:lang w:val="en-US"/>
        </w:rPr>
        <w:t>)</w:t>
      </w:r>
      <w:r w:rsidR="00AA0AD5" w:rsidRPr="00383081">
        <w:rPr>
          <w:b/>
          <w:bCs/>
          <w:rtl/>
          <w:lang w:val="en-US"/>
        </w:rPr>
        <w:t>.</w:t>
      </w:r>
    </w:p>
    <w:p w14:paraId="7FD8B0A4" w14:textId="77777777" w:rsidR="00AA0AD5" w:rsidRPr="00383081" w:rsidRDefault="00AA0AD5" w:rsidP="00AA0AD5">
      <w:pPr>
        <w:pStyle w:val="SingleTxtGA"/>
        <w:rPr>
          <w:b/>
          <w:bCs/>
          <w:lang w:val="en-US"/>
        </w:rPr>
      </w:pPr>
      <w:r w:rsidRPr="00236F77">
        <w:rPr>
          <w:rtl/>
          <w:lang w:val="en-US"/>
        </w:rPr>
        <w:lastRenderedPageBreak/>
        <w:t>56</w:t>
      </w:r>
      <w:r w:rsidRPr="00AA0AD5">
        <w:rPr>
          <w:rtl/>
          <w:lang w:val="en-US"/>
        </w:rPr>
        <w:t>-</w:t>
      </w:r>
      <w:r w:rsidRPr="00AA0AD5">
        <w:rPr>
          <w:rtl/>
          <w:lang w:val="en-US"/>
        </w:rPr>
        <w:tab/>
      </w:r>
      <w:r w:rsidRPr="00383081">
        <w:rPr>
          <w:b/>
          <w:bCs/>
          <w:rtl/>
          <w:lang w:val="en-US"/>
        </w:rPr>
        <w:t xml:space="preserve">وتطلب اللجنة إلى الدولة الطرف أن تنشر هذه الملاحظات الختامية على نطاق واسع على جميع مستويات المجتمع، ولا سيما في صفوف البرلمانيين والموظفين العموميين والسلطات القضائية، وأن تُطلع اللجنة، في تقريرها الدوري المقبل، على الخطوات المتخذة لتنفيذ هذه الملاحظات. وتشجع اللجنة الدولة الطرف على إشراك أمين مظالم حقوق الإنسان، والمنظمات غير الحكومية، وغيرهما من أعضاء المجتمع المدني في متابعة هذه الملاحظات الختامية وفي عملية التشاور على الصعيد الوطني قبل تقديم تقريرها الدوري المقبل. </w:t>
      </w:r>
    </w:p>
    <w:p w14:paraId="36FD8F9F" w14:textId="1B7A677A" w:rsidR="00AA0AD5" w:rsidRPr="00383081" w:rsidRDefault="00AA0AD5" w:rsidP="00AA0AD5">
      <w:pPr>
        <w:pStyle w:val="SingleTxtGA"/>
        <w:rPr>
          <w:b/>
          <w:bCs/>
          <w:lang w:val="en-US"/>
        </w:rPr>
      </w:pPr>
      <w:r w:rsidRPr="00236F77">
        <w:rPr>
          <w:rtl/>
          <w:lang w:val="en-US"/>
        </w:rPr>
        <w:t>57</w:t>
      </w:r>
      <w:r w:rsidRPr="00AA0AD5">
        <w:rPr>
          <w:rtl/>
          <w:lang w:val="en-US"/>
        </w:rPr>
        <w:t>-</w:t>
      </w:r>
      <w:r w:rsidRPr="00AA0AD5">
        <w:rPr>
          <w:rtl/>
          <w:lang w:val="en-US"/>
        </w:rPr>
        <w:tab/>
      </w:r>
      <w:r w:rsidRPr="00383081">
        <w:rPr>
          <w:b/>
          <w:bCs/>
          <w:rtl/>
          <w:lang w:val="en-US"/>
        </w:rPr>
        <w:t xml:space="preserve">وتطلب اللجنة، وفقاً لإجراء متابعة الملاحظات الختامية الذي اعتمدته، إلى الدولة الطرف أن </w:t>
      </w:r>
      <w:r w:rsidRPr="0069509C">
        <w:rPr>
          <w:rFonts w:ascii="Times New Roman Bold" w:hAnsi="Times New Roman Bold"/>
          <w:b/>
          <w:bCs/>
          <w:spacing w:val="2"/>
          <w:rtl/>
          <w:lang w:val="en-US"/>
        </w:rPr>
        <w:t xml:space="preserve">تقدم، في غضون </w:t>
      </w:r>
      <w:r w:rsidRPr="00236F77">
        <w:rPr>
          <w:rFonts w:ascii="Times New Roman Bold" w:hAnsi="Times New Roman Bold"/>
          <w:b/>
          <w:bCs/>
          <w:spacing w:val="2"/>
          <w:rtl/>
          <w:lang w:val="en-US"/>
        </w:rPr>
        <w:t>24</w:t>
      </w:r>
      <w:r w:rsidRPr="0069509C">
        <w:rPr>
          <w:rFonts w:ascii="Times New Roman Bold" w:hAnsi="Times New Roman Bold"/>
          <w:b/>
          <w:bCs/>
          <w:spacing w:val="2"/>
          <w:rtl/>
          <w:lang w:val="en-US"/>
        </w:rPr>
        <w:t xml:space="preserve"> شهراً من اعتماد هذه الملاحظات الختامية، معلومات عن تنفيذ التوصيات الواردة</w:t>
      </w:r>
      <w:r w:rsidR="0069509C" w:rsidRPr="0069509C">
        <w:rPr>
          <w:rFonts w:ascii="Times New Roman Bold" w:hAnsi="Times New Roman Bold" w:hint="cs"/>
          <w:b/>
          <w:bCs/>
          <w:spacing w:val="2"/>
          <w:rtl/>
          <w:lang w:val="en-US"/>
        </w:rPr>
        <w:t> </w:t>
      </w:r>
      <w:r w:rsidRPr="0069509C">
        <w:rPr>
          <w:rFonts w:ascii="Times New Roman Bold" w:hAnsi="Times New Roman Bold"/>
          <w:b/>
          <w:bCs/>
          <w:spacing w:val="2"/>
          <w:rtl/>
          <w:lang w:val="en-US"/>
        </w:rPr>
        <w:t xml:space="preserve">في الفقرات </w:t>
      </w:r>
      <w:r w:rsidRPr="00236F77">
        <w:rPr>
          <w:rFonts w:ascii="Times New Roman Bold" w:hAnsi="Times New Roman Bold"/>
          <w:b/>
          <w:bCs/>
          <w:spacing w:val="2"/>
          <w:rtl/>
          <w:lang w:val="en-US"/>
        </w:rPr>
        <w:t>7</w:t>
      </w:r>
      <w:r w:rsidRPr="0069509C">
        <w:rPr>
          <w:rFonts w:ascii="Times New Roman Bold" w:hAnsi="Times New Roman Bold"/>
          <w:b/>
          <w:bCs/>
          <w:spacing w:val="2"/>
          <w:rtl/>
          <w:lang w:val="en-US"/>
        </w:rPr>
        <w:t>(أ) (التزامات الدولة الطرف)، و</w:t>
      </w:r>
      <w:r w:rsidRPr="00236F77">
        <w:rPr>
          <w:rFonts w:ascii="Times New Roman Bold" w:hAnsi="Times New Roman Bold"/>
          <w:b/>
          <w:bCs/>
          <w:spacing w:val="2"/>
          <w:rtl/>
          <w:lang w:val="en-US"/>
        </w:rPr>
        <w:t>35</w:t>
      </w:r>
      <w:r w:rsidRPr="0069509C">
        <w:rPr>
          <w:rFonts w:ascii="Times New Roman Bold" w:hAnsi="Times New Roman Bold"/>
          <w:b/>
          <w:bCs/>
          <w:spacing w:val="2"/>
          <w:rtl/>
          <w:lang w:val="en-US"/>
        </w:rPr>
        <w:t>(أ) (الحق في الضمان الاجتماعي)، و</w:t>
      </w:r>
      <w:r w:rsidRPr="00236F77">
        <w:rPr>
          <w:rFonts w:ascii="Times New Roman Bold" w:hAnsi="Times New Roman Bold"/>
          <w:b/>
          <w:bCs/>
          <w:spacing w:val="2"/>
          <w:rtl/>
          <w:lang w:val="en-US"/>
        </w:rPr>
        <w:t>45</w:t>
      </w:r>
      <w:r w:rsidRPr="0069509C">
        <w:rPr>
          <w:rFonts w:ascii="Times New Roman Bold" w:hAnsi="Times New Roman Bold"/>
          <w:b/>
          <w:bCs/>
          <w:spacing w:val="2"/>
          <w:rtl/>
          <w:lang w:val="en-US"/>
        </w:rPr>
        <w:t>(ب)</w:t>
      </w:r>
      <w:r w:rsidRPr="00383081">
        <w:rPr>
          <w:b/>
          <w:bCs/>
          <w:rtl/>
          <w:lang w:val="en-US"/>
        </w:rPr>
        <w:t xml:space="preserve"> (جائحة كوفيد-</w:t>
      </w:r>
      <w:r w:rsidRPr="00236F77">
        <w:rPr>
          <w:b/>
          <w:bCs/>
          <w:rtl/>
          <w:lang w:val="en-US"/>
        </w:rPr>
        <w:t>19</w:t>
      </w:r>
      <w:r w:rsidRPr="00383081">
        <w:rPr>
          <w:b/>
          <w:bCs/>
          <w:rtl/>
          <w:lang w:val="en-US"/>
        </w:rPr>
        <w:t>) أعلاه.</w:t>
      </w:r>
    </w:p>
    <w:p w14:paraId="387B8CF8" w14:textId="7BC31CA7" w:rsidR="00AA0AD5" w:rsidRPr="00383081" w:rsidRDefault="00AA0AD5" w:rsidP="00AA0AD5">
      <w:pPr>
        <w:pStyle w:val="SingleTxtGA"/>
        <w:rPr>
          <w:b/>
          <w:bCs/>
          <w:lang w:val="en-US"/>
        </w:rPr>
      </w:pPr>
      <w:r w:rsidRPr="00236F77">
        <w:rPr>
          <w:rtl/>
          <w:lang w:val="en-US"/>
        </w:rPr>
        <w:t>58</w:t>
      </w:r>
      <w:r w:rsidRPr="00AA0AD5">
        <w:rPr>
          <w:rtl/>
          <w:lang w:val="en-US"/>
        </w:rPr>
        <w:t>-</w:t>
      </w:r>
      <w:r w:rsidRPr="00AA0AD5">
        <w:rPr>
          <w:rtl/>
          <w:lang w:val="en-US"/>
        </w:rPr>
        <w:tab/>
      </w:r>
      <w:r w:rsidRPr="00383081">
        <w:rPr>
          <w:b/>
          <w:bCs/>
          <w:rtl/>
          <w:lang w:val="en-US"/>
        </w:rPr>
        <w:t xml:space="preserve">وتطلب اللجنة إلى الدولة الطرف أن تقدم تقريرها الدوري المقبل وفقا للمادة </w:t>
      </w:r>
      <w:r w:rsidRPr="00236F77">
        <w:rPr>
          <w:b/>
          <w:bCs/>
          <w:rtl/>
          <w:lang w:val="en-US"/>
        </w:rPr>
        <w:t>16</w:t>
      </w:r>
      <w:r w:rsidRPr="00383081">
        <w:rPr>
          <w:b/>
          <w:bCs/>
          <w:rtl/>
          <w:lang w:val="en-US"/>
        </w:rPr>
        <w:t xml:space="preserve"> من العهد، بحلول </w:t>
      </w:r>
      <w:r w:rsidRPr="00236F77">
        <w:rPr>
          <w:b/>
          <w:bCs/>
          <w:rtl/>
          <w:lang w:val="en-US"/>
        </w:rPr>
        <w:t>31</w:t>
      </w:r>
      <w:r w:rsidRPr="00383081">
        <w:rPr>
          <w:b/>
          <w:bCs/>
          <w:rtl/>
          <w:lang w:val="en-US"/>
        </w:rPr>
        <w:t xml:space="preserve"> تشرين الأول/أكتوبر </w:t>
      </w:r>
      <w:r w:rsidRPr="00236F77">
        <w:rPr>
          <w:b/>
          <w:bCs/>
          <w:rtl/>
          <w:lang w:val="en-US"/>
        </w:rPr>
        <w:t>2026</w:t>
      </w:r>
      <w:r w:rsidRPr="00383081">
        <w:rPr>
          <w:b/>
          <w:bCs/>
          <w:rtl/>
          <w:lang w:val="en-US"/>
        </w:rPr>
        <w:t xml:space="preserve">، ما لم تبلغ بخلاف ذلك نتيجة لتغيير في دورة الاستعراض. ووفقاً لقرار الجمعية العامة </w:t>
      </w:r>
      <w:r w:rsidRPr="00236F77">
        <w:rPr>
          <w:b/>
          <w:bCs/>
          <w:rtl/>
          <w:lang w:val="en-US"/>
        </w:rPr>
        <w:t>68</w:t>
      </w:r>
      <w:r w:rsidRPr="00383081">
        <w:rPr>
          <w:b/>
          <w:bCs/>
          <w:rtl/>
          <w:lang w:val="en-US"/>
        </w:rPr>
        <w:t>/</w:t>
      </w:r>
      <w:r w:rsidRPr="00236F77">
        <w:rPr>
          <w:b/>
          <w:bCs/>
          <w:rtl/>
          <w:lang w:val="en-US"/>
        </w:rPr>
        <w:t>268</w:t>
      </w:r>
      <w:r w:rsidRPr="00383081">
        <w:rPr>
          <w:b/>
          <w:bCs/>
          <w:rtl/>
          <w:lang w:val="en-US"/>
        </w:rPr>
        <w:t xml:space="preserve">، فإن الحد الأقصى لعدد كلمات التقرير هو </w:t>
      </w:r>
      <w:r w:rsidRPr="00236F77">
        <w:rPr>
          <w:b/>
          <w:bCs/>
          <w:rtl/>
          <w:lang w:val="en-US"/>
        </w:rPr>
        <w:t>200</w:t>
      </w:r>
      <w:r w:rsidRPr="00383081">
        <w:rPr>
          <w:b/>
          <w:bCs/>
          <w:rtl/>
          <w:lang w:val="en-US"/>
        </w:rPr>
        <w:t xml:space="preserve"> </w:t>
      </w:r>
      <w:r w:rsidRPr="00236F77">
        <w:rPr>
          <w:b/>
          <w:bCs/>
          <w:rtl/>
          <w:lang w:val="en-US"/>
        </w:rPr>
        <w:t>21</w:t>
      </w:r>
      <w:r w:rsidRPr="00383081">
        <w:rPr>
          <w:b/>
          <w:bCs/>
          <w:rtl/>
          <w:lang w:val="en-US"/>
        </w:rPr>
        <w:t xml:space="preserve"> كلمة.</w:t>
      </w:r>
    </w:p>
    <w:p w14:paraId="60CE9D8C" w14:textId="514594F8" w:rsidR="00B54045" w:rsidRPr="007E78CF" w:rsidRDefault="007E78CF" w:rsidP="007E78CF">
      <w:pPr>
        <w:pStyle w:val="SingleTxtGA"/>
        <w:jc w:val="center"/>
        <w:rPr>
          <w:u w:val="single"/>
        </w:rPr>
      </w:pPr>
      <w:r>
        <w:rPr>
          <w:u w:val="single"/>
          <w:rtl/>
        </w:rPr>
        <w:tab/>
      </w:r>
      <w:r>
        <w:rPr>
          <w:u w:val="single"/>
          <w:rtl/>
        </w:rPr>
        <w:tab/>
      </w:r>
      <w:r>
        <w:rPr>
          <w:u w:val="single"/>
          <w:rtl/>
        </w:rPr>
        <w:tab/>
      </w:r>
    </w:p>
    <w:sectPr w:rsidR="00B54045" w:rsidRPr="007E78CF" w:rsidSect="005F15D7">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907"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E1CCF" w14:textId="77777777" w:rsidR="00BD17E3" w:rsidRPr="002901D9" w:rsidRDefault="00BD17E3" w:rsidP="00485999">
      <w:pPr>
        <w:spacing w:after="60" w:line="240" w:lineRule="auto"/>
        <w:ind w:left="57"/>
        <w:rPr>
          <w:i/>
          <w:iCs/>
        </w:rPr>
      </w:pPr>
      <w:r>
        <w:rPr>
          <w:rFonts w:hint="cs"/>
          <w:i/>
          <w:iCs/>
          <w:rtl/>
        </w:rPr>
        <w:t>الحواشي</w:t>
      </w:r>
    </w:p>
  </w:endnote>
  <w:endnote w:type="continuationSeparator" w:id="0">
    <w:p w14:paraId="55DEEDD9" w14:textId="77777777" w:rsidR="00BD17E3" w:rsidRDefault="00BD17E3"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FED4E" w14:textId="62241D61" w:rsidR="00BD17E3" w:rsidRPr="00A26CAC" w:rsidRDefault="00BD17E3" w:rsidP="00A26CAC">
    <w:pPr>
      <w:pStyle w:val="Footer"/>
      <w:tabs>
        <w:tab w:val="right" w:pos="9638"/>
      </w:tabs>
      <w:rPr>
        <w:b/>
        <w:sz w:val="18"/>
        <w:lang w:val="en-US"/>
      </w:rPr>
    </w:pPr>
    <w:r>
      <w:rPr>
        <w:lang w:val="en-US"/>
      </w:rPr>
      <w:t>GE.21-16399</w:t>
    </w:r>
    <w:r>
      <w:rPr>
        <w:lang w:val="en-US"/>
      </w:rPr>
      <w:tab/>
    </w:r>
    <w:r w:rsidRPr="00A26CAC">
      <w:rPr>
        <w:b/>
        <w:sz w:val="18"/>
        <w:lang w:val="en-US"/>
      </w:rPr>
      <w:fldChar w:fldCharType="begin"/>
    </w:r>
    <w:r w:rsidRPr="00A26CAC">
      <w:rPr>
        <w:b/>
        <w:sz w:val="18"/>
        <w:lang w:val="en-US"/>
      </w:rPr>
      <w:instrText xml:space="preserve"> PAGE  \* MERGEFORMAT </w:instrText>
    </w:r>
    <w:r w:rsidRPr="00A26CAC">
      <w:rPr>
        <w:b/>
        <w:sz w:val="18"/>
        <w:lang w:val="en-US"/>
      </w:rPr>
      <w:fldChar w:fldCharType="separate"/>
    </w:r>
    <w:r w:rsidRPr="00A26CAC">
      <w:rPr>
        <w:b/>
        <w:noProof/>
        <w:sz w:val="18"/>
        <w:lang w:val="en-US"/>
      </w:rPr>
      <w:t>2</w:t>
    </w:r>
    <w:r w:rsidRPr="00A26CAC">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936A7" w14:textId="0A6208E8" w:rsidR="00BD17E3" w:rsidRPr="00A26CAC" w:rsidRDefault="00BD17E3" w:rsidP="00A26CAC">
    <w:pPr>
      <w:pStyle w:val="Footer"/>
      <w:tabs>
        <w:tab w:val="right" w:pos="9638"/>
      </w:tabs>
      <w:jc w:val="left"/>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GE.21-16399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700C3" w14:textId="58736851" w:rsidR="00BD17E3" w:rsidRPr="00A26CAC" w:rsidRDefault="00BD17E3" w:rsidP="00A26CAC">
    <w:pPr>
      <w:pStyle w:val="Footer"/>
      <w:spacing w:before="600"/>
      <w:ind w:left="567"/>
      <w:jc w:val="right"/>
      <w:rPr>
        <w:sz w:val="20"/>
        <w:lang w:val="en-US"/>
      </w:rPr>
    </w:pPr>
    <w:r>
      <w:rPr>
        <w:sz w:val="20"/>
        <w:lang w:val="en-US"/>
      </w:rPr>
      <w:t>GE.</w:t>
    </w:r>
    <w:r>
      <w:rPr>
        <w:noProof/>
      </w:rPr>
      <w:drawing>
        <wp:anchor distT="0" distB="0" distL="114300" distR="114300" simplePos="0" relativeHeight="251658240" behindDoc="1" locked="1" layoutInCell="0" allowOverlap="1" wp14:anchorId="214C54F3" wp14:editId="3EF1AA93">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21-16399 (A)</w:t>
    </w:r>
    <w:r>
      <w:rPr>
        <w:noProof/>
        <w:sz w:val="20"/>
        <w:lang w:val="en-US"/>
      </w:rPr>
      <w:drawing>
        <wp:anchor distT="0" distB="0" distL="114300" distR="114300" simplePos="0" relativeHeight="251659264" behindDoc="0" locked="0" layoutInCell="1" allowOverlap="1" wp14:anchorId="0355771C" wp14:editId="73974C41">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7026D" w14:textId="77777777" w:rsidR="00BD17E3" w:rsidRPr="00EE401A" w:rsidRDefault="00BD17E3" w:rsidP="00EE401A">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737B9164" w14:textId="77777777" w:rsidR="00BD17E3" w:rsidRDefault="00BD17E3" w:rsidP="00656392">
      <w:pPr>
        <w:spacing w:line="240" w:lineRule="auto"/>
      </w:pPr>
      <w:r>
        <w:continuationSeparator/>
      </w:r>
    </w:p>
  </w:footnote>
  <w:footnote w:id="1">
    <w:p w14:paraId="649F6E8E" w14:textId="12C42AF2" w:rsidR="00BD17E3" w:rsidRPr="007E78CF" w:rsidRDefault="00BD17E3" w:rsidP="007E78CF">
      <w:pPr>
        <w:pStyle w:val="FootnoteText1"/>
        <w:rPr>
          <w:rtl/>
        </w:rPr>
      </w:pPr>
      <w:r>
        <w:rPr>
          <w:rtl/>
        </w:rPr>
        <w:t>*</w:t>
      </w:r>
      <w:r>
        <w:rPr>
          <w:rtl/>
        </w:rPr>
        <w:tab/>
      </w:r>
      <w:r w:rsidRPr="007E78CF">
        <w:rPr>
          <w:rtl/>
        </w:rPr>
        <w:t>اعتمدتها اللجنة في دورتها السبعين (</w:t>
      </w:r>
      <w:r w:rsidRPr="00236F77">
        <w:rPr>
          <w:rtl/>
        </w:rPr>
        <w:t>27</w:t>
      </w:r>
      <w:r w:rsidRPr="007E78CF">
        <w:rPr>
          <w:rtl/>
        </w:rPr>
        <w:t xml:space="preserve"> أيلول/سبتمبر - </w:t>
      </w:r>
      <w:r w:rsidRPr="00236F77">
        <w:rPr>
          <w:rtl/>
        </w:rPr>
        <w:t>15</w:t>
      </w:r>
      <w:r w:rsidRPr="007E78CF">
        <w:rPr>
          <w:rtl/>
        </w:rPr>
        <w:t xml:space="preserve"> تشرين الأول/أكتوبر </w:t>
      </w:r>
      <w:r w:rsidRPr="00236F77">
        <w:rPr>
          <w:rtl/>
        </w:rPr>
        <w:t>2021</w:t>
      </w:r>
      <w:r w:rsidRPr="007E78CF">
        <w:rPr>
          <w:rtl/>
        </w:rPr>
        <w:t>).</w:t>
      </w:r>
    </w:p>
  </w:footnote>
  <w:footnote w:id="2">
    <w:p w14:paraId="22BA7C7F" w14:textId="4469EB18" w:rsidR="00BD17E3" w:rsidRPr="007E78CF" w:rsidRDefault="00BD17E3" w:rsidP="007E78CF">
      <w:pPr>
        <w:pStyle w:val="FootnoteText1"/>
        <w:textDirection w:val="tbRlV"/>
        <w:rPr>
          <w:rtl/>
        </w:rPr>
      </w:pPr>
      <w:r w:rsidRPr="007E78CF">
        <w:rPr>
          <w:rtl/>
        </w:rPr>
        <w:t>(</w:t>
      </w:r>
      <w:r w:rsidRPr="00236F77">
        <w:footnoteRef/>
      </w:r>
      <w:r w:rsidRPr="007E78CF">
        <w:rPr>
          <w:rtl/>
        </w:rPr>
        <w:t>)</w:t>
      </w:r>
      <w:r>
        <w:rPr>
          <w:rtl/>
        </w:rPr>
        <w:tab/>
      </w:r>
      <w:hyperlink r:id="rId1" w:history="1">
        <w:r w:rsidRPr="00ED4B8F">
          <w:rPr>
            <w:rStyle w:val="Hyperlink"/>
            <w:lang w:val="de-CH"/>
          </w:rPr>
          <w:t>E/C.</w:t>
        </w:r>
        <w:r w:rsidRPr="00236F77">
          <w:rPr>
            <w:rStyle w:val="Hyperlink"/>
            <w:lang w:val="de-CH"/>
          </w:rPr>
          <w:t>12</w:t>
        </w:r>
        <w:r w:rsidRPr="00ED4B8F">
          <w:rPr>
            <w:rStyle w:val="Hyperlink"/>
            <w:lang w:val="de-CH"/>
          </w:rPr>
          <w:t>/BIH/</w:t>
        </w:r>
        <w:r w:rsidRPr="00236F77">
          <w:rPr>
            <w:rStyle w:val="Hyperlink"/>
            <w:lang w:val="de-CH"/>
          </w:rPr>
          <w:t>3</w:t>
        </w:r>
      </w:hyperlink>
      <w:r>
        <w:rPr>
          <w:rFonts w:hint="cs"/>
          <w:rtl/>
        </w:rPr>
        <w:t>.</w:t>
      </w:r>
    </w:p>
  </w:footnote>
  <w:footnote w:id="3">
    <w:p w14:paraId="05715994" w14:textId="17F0FB3F" w:rsidR="00BD17E3" w:rsidRPr="007E78CF" w:rsidRDefault="00BD17E3" w:rsidP="007E78CF">
      <w:pPr>
        <w:pStyle w:val="FootnoteText1"/>
        <w:textDirection w:val="tbRlV"/>
        <w:rPr>
          <w:rtl/>
        </w:rPr>
      </w:pPr>
      <w:r w:rsidRPr="007E78CF">
        <w:rPr>
          <w:rtl/>
        </w:rPr>
        <w:t>(</w:t>
      </w:r>
      <w:r w:rsidRPr="00236F77">
        <w:rPr>
          <w:rStyle w:val="FootnoteReference"/>
          <w:vertAlign w:val="baseline"/>
        </w:rPr>
        <w:footnoteRef/>
      </w:r>
      <w:r w:rsidRPr="007E78CF">
        <w:rPr>
          <w:rtl/>
        </w:rPr>
        <w:t>)</w:t>
      </w:r>
      <w:r>
        <w:rPr>
          <w:rtl/>
        </w:rPr>
        <w:tab/>
        <w:t xml:space="preserve">انظر </w:t>
      </w:r>
      <w:hyperlink r:id="rId2" w:history="1">
        <w:r w:rsidRPr="00ED4B8F">
          <w:rPr>
            <w:rStyle w:val="Hyperlink"/>
            <w:lang w:val="de-CH"/>
          </w:rPr>
          <w:t>E/C.</w:t>
        </w:r>
        <w:r w:rsidRPr="00236F77">
          <w:rPr>
            <w:rStyle w:val="Hyperlink"/>
            <w:lang w:val="de-CH"/>
          </w:rPr>
          <w:t>12</w:t>
        </w:r>
        <w:r w:rsidRPr="00ED4B8F">
          <w:rPr>
            <w:rStyle w:val="Hyperlink"/>
            <w:lang w:val="de-CH"/>
          </w:rPr>
          <w:t>/</w:t>
        </w:r>
        <w:r w:rsidRPr="00236F77">
          <w:rPr>
            <w:rStyle w:val="Hyperlink"/>
            <w:lang w:val="de-CH"/>
          </w:rPr>
          <w:t>2021</w:t>
        </w:r>
        <w:r w:rsidRPr="00ED4B8F">
          <w:rPr>
            <w:rStyle w:val="Hyperlink"/>
            <w:lang w:val="de-CH"/>
          </w:rPr>
          <w:t>/SR.</w:t>
        </w:r>
        <w:r w:rsidRPr="00236F77">
          <w:rPr>
            <w:rStyle w:val="Hyperlink"/>
            <w:lang w:val="de-CH"/>
          </w:rPr>
          <w:t>35</w:t>
        </w:r>
      </w:hyperlink>
      <w:r>
        <w:rPr>
          <w:rFonts w:hint="cs"/>
          <w:rtl/>
        </w:rPr>
        <w:t xml:space="preserve"> </w:t>
      </w:r>
      <w:r>
        <w:rPr>
          <w:rtl/>
        </w:rPr>
        <w:t>و</w:t>
      </w:r>
      <w:hyperlink r:id="rId3" w:history="1">
        <w:r w:rsidRPr="00ED4B8F">
          <w:rPr>
            <w:rStyle w:val="Hyperlink"/>
            <w:lang w:val="de-CH"/>
          </w:rPr>
          <w:t>E/C.</w:t>
        </w:r>
        <w:r w:rsidRPr="00236F77">
          <w:rPr>
            <w:rStyle w:val="Hyperlink"/>
            <w:lang w:val="de-CH"/>
          </w:rPr>
          <w:t>12</w:t>
        </w:r>
        <w:r w:rsidRPr="00ED4B8F">
          <w:rPr>
            <w:rStyle w:val="Hyperlink"/>
            <w:lang w:val="de-CH"/>
          </w:rPr>
          <w:t>/</w:t>
        </w:r>
        <w:r w:rsidRPr="00236F77">
          <w:rPr>
            <w:rStyle w:val="Hyperlink"/>
            <w:lang w:val="de-CH"/>
          </w:rPr>
          <w:t>2021</w:t>
        </w:r>
        <w:r w:rsidRPr="00ED4B8F">
          <w:rPr>
            <w:rStyle w:val="Hyperlink"/>
            <w:lang w:val="de-CH"/>
          </w:rPr>
          <w:t>/SR.</w:t>
        </w:r>
        <w:r w:rsidRPr="00236F77">
          <w:rPr>
            <w:rStyle w:val="Hyperlink"/>
            <w:lang w:val="de-CH"/>
          </w:rPr>
          <w:t>37</w:t>
        </w:r>
      </w:hyperlink>
      <w:r w:rsidR="00762800">
        <w:rPr>
          <w:rStyle w:val="Hyperlink"/>
          <w:rFonts w:hint="cs"/>
          <w:rtl/>
          <w:lang w:val="de-CH"/>
        </w:rPr>
        <w:t xml:space="preserve">. </w:t>
      </w:r>
    </w:p>
  </w:footnote>
  <w:footnote w:id="4">
    <w:p w14:paraId="4F900A0D" w14:textId="5C1B4316" w:rsidR="00BD17E3" w:rsidRPr="007E78CF" w:rsidRDefault="00BD17E3" w:rsidP="007E78CF">
      <w:pPr>
        <w:pStyle w:val="FootnoteText1"/>
        <w:textDirection w:val="tbRlV"/>
      </w:pPr>
      <w:r w:rsidRPr="007E78CF">
        <w:rPr>
          <w:rtl/>
        </w:rPr>
        <w:t>(</w:t>
      </w:r>
      <w:r w:rsidRPr="00236F77">
        <w:rPr>
          <w:rStyle w:val="FootnoteReference"/>
          <w:vertAlign w:val="baseline"/>
        </w:rPr>
        <w:footnoteRef/>
      </w:r>
      <w:r w:rsidRPr="007E78CF">
        <w:rPr>
          <w:rtl/>
        </w:rPr>
        <w:t>)</w:t>
      </w:r>
      <w:r>
        <w:rPr>
          <w:rtl/>
        </w:rPr>
        <w:tab/>
      </w:r>
      <w:hyperlink r:id="rId4" w:history="1">
        <w:r w:rsidRPr="00ED4B8F">
          <w:rPr>
            <w:rStyle w:val="Hyperlink"/>
            <w:lang w:val="es-ES"/>
          </w:rPr>
          <w:t>E/C.</w:t>
        </w:r>
        <w:r w:rsidRPr="00236F77">
          <w:rPr>
            <w:rStyle w:val="Hyperlink"/>
            <w:lang w:val="es-ES"/>
          </w:rPr>
          <w:t>12</w:t>
        </w:r>
        <w:r w:rsidRPr="00ED4B8F">
          <w:rPr>
            <w:rStyle w:val="Hyperlink"/>
            <w:lang w:val="es-ES"/>
          </w:rPr>
          <w:t>/BIH/RQ/</w:t>
        </w:r>
        <w:r w:rsidRPr="00236F77">
          <w:rPr>
            <w:rStyle w:val="Hyperlink"/>
            <w:lang w:val="es-ES"/>
          </w:rPr>
          <w:t>3</w:t>
        </w:r>
      </w:hyperlink>
      <w:r>
        <w:rPr>
          <w:rtl/>
        </w:rPr>
        <w:t>.</w:t>
      </w:r>
    </w:p>
  </w:footnote>
  <w:footnote w:id="5">
    <w:p w14:paraId="07E452F6" w14:textId="3B06B956" w:rsidR="00BD17E3" w:rsidRPr="007E78CF" w:rsidRDefault="00BD17E3" w:rsidP="007E78CF">
      <w:pPr>
        <w:pStyle w:val="FootnoteText1"/>
        <w:textDirection w:val="tbRlV"/>
      </w:pPr>
      <w:r w:rsidRPr="007E78CF">
        <w:rPr>
          <w:rtl/>
        </w:rPr>
        <w:t>(</w:t>
      </w:r>
      <w:r w:rsidRPr="00236F77">
        <w:rPr>
          <w:rStyle w:val="FootnoteReference"/>
          <w:vertAlign w:val="baseline"/>
        </w:rPr>
        <w:footnoteRef/>
      </w:r>
      <w:r w:rsidRPr="007E78CF">
        <w:rPr>
          <w:rtl/>
        </w:rPr>
        <w:t>)</w:t>
      </w:r>
      <w:r>
        <w:rPr>
          <w:rtl/>
        </w:rPr>
        <w:tab/>
      </w:r>
      <w:hyperlink r:id="rId5" w:history="1">
        <w:bookmarkStart w:id="0" w:name="_Hlk88734828"/>
        <w:r w:rsidRPr="00ED4B8F">
          <w:rPr>
            <w:rStyle w:val="Hyperlink"/>
            <w:lang w:val="es-ES"/>
          </w:rPr>
          <w:t>E/C.</w:t>
        </w:r>
        <w:r w:rsidRPr="00236F77">
          <w:rPr>
            <w:rStyle w:val="Hyperlink"/>
            <w:lang w:val="es-ES"/>
          </w:rPr>
          <w:t>12</w:t>
        </w:r>
        <w:r w:rsidRPr="00ED4B8F">
          <w:rPr>
            <w:rStyle w:val="Hyperlink"/>
            <w:lang w:val="es-ES"/>
          </w:rPr>
          <w:t>/BIH/CO/</w:t>
        </w:r>
        <w:r w:rsidRPr="00236F77">
          <w:rPr>
            <w:rStyle w:val="Hyperlink"/>
            <w:lang w:val="es-ES"/>
          </w:rPr>
          <w:t>2</w:t>
        </w:r>
        <w:bookmarkEnd w:id="0"/>
      </w:hyperlink>
      <w:r>
        <w:rPr>
          <w:rtl/>
        </w:rPr>
        <w:t xml:space="preserve">، الفقرة </w:t>
      </w:r>
      <w:r w:rsidRPr="00236F77">
        <w:rPr>
          <w:rtl/>
        </w:rPr>
        <w:t>22</w:t>
      </w:r>
      <w:r>
        <w:rPr>
          <w:rtl/>
        </w:rPr>
        <w:t>.</w:t>
      </w:r>
    </w:p>
  </w:footnote>
  <w:footnote w:id="6">
    <w:p w14:paraId="2B339EF9" w14:textId="46E60AD2" w:rsidR="00BD17E3" w:rsidRPr="007E78CF" w:rsidRDefault="00BD17E3" w:rsidP="007E78CF">
      <w:pPr>
        <w:pStyle w:val="FootnoteText1"/>
        <w:textDirection w:val="tbRlV"/>
      </w:pPr>
      <w:r w:rsidRPr="007E78CF">
        <w:rPr>
          <w:rtl/>
        </w:rPr>
        <w:t>(</w:t>
      </w:r>
      <w:r w:rsidRPr="00236F77">
        <w:rPr>
          <w:rStyle w:val="FootnoteReference"/>
          <w:vertAlign w:val="baseline"/>
        </w:rPr>
        <w:footnoteRef/>
      </w:r>
      <w:r w:rsidRPr="007E78CF">
        <w:rPr>
          <w:rtl/>
        </w:rPr>
        <w:t>)</w:t>
      </w:r>
      <w:r>
        <w:rPr>
          <w:rtl/>
        </w:rPr>
        <w:tab/>
      </w:r>
      <w:hyperlink r:id="rId6" w:history="1">
        <w:r w:rsidRPr="00037FA0">
          <w:rPr>
            <w:rStyle w:val="Hyperlink"/>
          </w:rPr>
          <w:t>E/C.</w:t>
        </w:r>
        <w:r w:rsidRPr="00236F77">
          <w:rPr>
            <w:rStyle w:val="Hyperlink"/>
          </w:rPr>
          <w:t>12</w:t>
        </w:r>
        <w:r w:rsidRPr="00037FA0">
          <w:rPr>
            <w:rStyle w:val="Hyperlink"/>
          </w:rPr>
          <w:t>/</w:t>
        </w:r>
        <w:r w:rsidRPr="00236F77">
          <w:rPr>
            <w:rStyle w:val="Hyperlink"/>
          </w:rPr>
          <w:t>2020</w:t>
        </w:r>
        <w:r w:rsidRPr="00037FA0">
          <w:rPr>
            <w:rStyle w:val="Hyperlink"/>
          </w:rPr>
          <w:t>/</w:t>
        </w:r>
        <w:r w:rsidRPr="00236F77">
          <w:rPr>
            <w:rStyle w:val="Hyperlink"/>
          </w:rPr>
          <w:t>1</w:t>
        </w:r>
      </w:hyperlink>
      <w:r>
        <w:rPr>
          <w:rtl/>
        </w:rPr>
        <w:t>.</w:t>
      </w:r>
    </w:p>
  </w:footnote>
  <w:footnote w:id="7">
    <w:p w14:paraId="46B89D64" w14:textId="3FB56548" w:rsidR="00BD17E3" w:rsidRPr="007E78CF" w:rsidRDefault="00BD17E3" w:rsidP="007E78CF">
      <w:pPr>
        <w:pStyle w:val="FootnoteText1"/>
        <w:textDirection w:val="tbRlV"/>
      </w:pPr>
      <w:r w:rsidRPr="007E78CF">
        <w:rPr>
          <w:rtl/>
        </w:rPr>
        <w:t>(</w:t>
      </w:r>
      <w:r w:rsidRPr="00236F77">
        <w:rPr>
          <w:rStyle w:val="FootnoteReference"/>
          <w:vertAlign w:val="baseline"/>
        </w:rPr>
        <w:footnoteRef/>
      </w:r>
      <w:r w:rsidRPr="007E78CF">
        <w:rPr>
          <w:rtl/>
        </w:rPr>
        <w:t>)</w:t>
      </w:r>
      <w:r>
        <w:rPr>
          <w:rtl/>
        </w:rPr>
        <w:tab/>
      </w:r>
      <w:hyperlink r:id="rId7" w:history="1">
        <w:r w:rsidRPr="00037FA0">
          <w:rPr>
            <w:rStyle w:val="Hyperlink"/>
          </w:rPr>
          <w:t>E/C.</w:t>
        </w:r>
        <w:r w:rsidRPr="00236F77">
          <w:rPr>
            <w:rStyle w:val="Hyperlink"/>
          </w:rPr>
          <w:t>12</w:t>
        </w:r>
        <w:r w:rsidRPr="00037FA0">
          <w:rPr>
            <w:rStyle w:val="Hyperlink"/>
          </w:rPr>
          <w:t>/</w:t>
        </w:r>
        <w:r w:rsidRPr="00236F77">
          <w:rPr>
            <w:rStyle w:val="Hyperlink"/>
          </w:rPr>
          <w:t>2020</w:t>
        </w:r>
        <w:r w:rsidRPr="00037FA0">
          <w:rPr>
            <w:rStyle w:val="Hyperlink"/>
          </w:rPr>
          <w:t>/</w:t>
        </w:r>
        <w:r w:rsidRPr="00236F77">
          <w:rPr>
            <w:rStyle w:val="Hyperlink"/>
          </w:rPr>
          <w:t>2</w:t>
        </w:r>
      </w:hyperlink>
      <w:r>
        <w:rPr>
          <w:rtl/>
        </w:rPr>
        <w:t>.</w:t>
      </w:r>
    </w:p>
  </w:footnote>
  <w:footnote w:id="8">
    <w:p w14:paraId="1088F463" w14:textId="48BB5EA9" w:rsidR="00BD17E3" w:rsidRPr="007E78CF" w:rsidRDefault="00BD17E3" w:rsidP="00523757">
      <w:pPr>
        <w:pStyle w:val="FootnoteText1"/>
        <w:spacing w:line="260" w:lineRule="exact"/>
        <w:textDirection w:val="tbRlV"/>
      </w:pPr>
      <w:r w:rsidRPr="007E78CF">
        <w:rPr>
          <w:rtl/>
        </w:rPr>
        <w:t>(</w:t>
      </w:r>
      <w:r w:rsidRPr="00236F77">
        <w:rPr>
          <w:rStyle w:val="FootnoteReference"/>
          <w:vertAlign w:val="baseline"/>
        </w:rPr>
        <w:footnoteRef/>
      </w:r>
      <w:r w:rsidRPr="007E78CF">
        <w:rPr>
          <w:rtl/>
        </w:rPr>
        <w:t>)</w:t>
      </w:r>
      <w:r>
        <w:rPr>
          <w:rtl/>
        </w:rPr>
        <w:tab/>
      </w:r>
      <w:hyperlink r:id="rId8" w:history="1">
        <w:r w:rsidR="0069509C" w:rsidRPr="0069509C">
          <w:rPr>
            <w:rStyle w:val="Hyperlink"/>
          </w:rPr>
          <w:t>E/C.</w:t>
        </w:r>
        <w:r w:rsidR="0069509C" w:rsidRPr="00236F77">
          <w:rPr>
            <w:rStyle w:val="Hyperlink"/>
          </w:rPr>
          <w:t>12</w:t>
        </w:r>
        <w:r w:rsidR="0069509C" w:rsidRPr="0069509C">
          <w:rPr>
            <w:rStyle w:val="Hyperlink"/>
          </w:rPr>
          <w:t>/BIH/</w:t>
        </w:r>
        <w:r w:rsidR="0069509C" w:rsidRPr="00236F77">
          <w:rPr>
            <w:rStyle w:val="Hyperlink"/>
          </w:rPr>
          <w:t>3</w:t>
        </w:r>
      </w:hyperlink>
      <w:r>
        <w:rPr>
          <w:rtl/>
        </w:rPr>
        <w:t xml:space="preserve">، الفقرة </w:t>
      </w:r>
      <w:r w:rsidRPr="00236F77">
        <w:rPr>
          <w:rtl/>
        </w:rPr>
        <w:t>188</w:t>
      </w:r>
      <w:r>
        <w:rPr>
          <w:rtl/>
        </w:rPr>
        <w:t>.</w:t>
      </w:r>
    </w:p>
  </w:footnote>
  <w:footnote w:id="9">
    <w:p w14:paraId="26AB01B3" w14:textId="2D3FBA98" w:rsidR="00BD17E3" w:rsidRPr="007E78CF" w:rsidRDefault="00BD17E3" w:rsidP="00523757">
      <w:pPr>
        <w:pStyle w:val="FootnoteText1"/>
        <w:spacing w:line="260" w:lineRule="exact"/>
        <w:textDirection w:val="tbRlV"/>
        <w:rPr>
          <w:rtl/>
          <w:lang w:bidi="en-GB"/>
        </w:rPr>
      </w:pPr>
      <w:r w:rsidRPr="007E78CF">
        <w:rPr>
          <w:rtl/>
        </w:rPr>
        <w:t>(</w:t>
      </w:r>
      <w:r w:rsidRPr="00236F77">
        <w:rPr>
          <w:rStyle w:val="FootnoteReference"/>
          <w:vertAlign w:val="baseline"/>
        </w:rPr>
        <w:footnoteRef/>
      </w:r>
      <w:r w:rsidRPr="007E78CF">
        <w:rPr>
          <w:rtl/>
        </w:rPr>
        <w:t>)</w:t>
      </w:r>
      <w:r>
        <w:rPr>
          <w:rtl/>
        </w:rPr>
        <w:tab/>
        <w:t>المرجع نفسه</w:t>
      </w:r>
      <w:r w:rsidRPr="007E78CF">
        <w:rPr>
          <w:rtl/>
        </w:rPr>
        <w:t>.</w:t>
      </w:r>
    </w:p>
  </w:footnote>
  <w:footnote w:id="10">
    <w:p w14:paraId="3F6E0122" w14:textId="7E6477B5" w:rsidR="00BD17E3" w:rsidRPr="007E78CF" w:rsidRDefault="00BD17E3" w:rsidP="00523757">
      <w:pPr>
        <w:pStyle w:val="FootnoteText1"/>
        <w:spacing w:line="260" w:lineRule="exact"/>
        <w:textDirection w:val="tbRlV"/>
      </w:pPr>
      <w:r w:rsidRPr="007E78CF">
        <w:rPr>
          <w:rtl/>
        </w:rPr>
        <w:t>(</w:t>
      </w:r>
      <w:r w:rsidRPr="00236F77">
        <w:rPr>
          <w:rStyle w:val="FootnoteReference"/>
          <w:vertAlign w:val="baseline"/>
        </w:rPr>
        <w:footnoteRef/>
      </w:r>
      <w:r w:rsidRPr="007E78CF">
        <w:rPr>
          <w:rtl/>
        </w:rPr>
        <w:t>)</w:t>
      </w:r>
      <w:r>
        <w:rPr>
          <w:rtl/>
        </w:rPr>
        <w:tab/>
      </w:r>
      <w:hyperlink r:id="rId9" w:history="1">
        <w:r w:rsidRPr="0069509C">
          <w:rPr>
            <w:rStyle w:val="Hyperlink"/>
          </w:rPr>
          <w:t>E/C.</w:t>
        </w:r>
        <w:r w:rsidRPr="00236F77">
          <w:rPr>
            <w:rStyle w:val="Hyperlink"/>
          </w:rPr>
          <w:t>12</w:t>
        </w:r>
        <w:r w:rsidRPr="0069509C">
          <w:rPr>
            <w:rStyle w:val="Hyperlink"/>
          </w:rPr>
          <w:t>/</w:t>
        </w:r>
        <w:r w:rsidRPr="00236F77">
          <w:rPr>
            <w:rStyle w:val="Hyperlink"/>
          </w:rPr>
          <w:t>2019</w:t>
        </w:r>
        <w:r w:rsidRPr="0069509C">
          <w:rPr>
            <w:rStyle w:val="Hyperlink"/>
          </w:rPr>
          <w:t>/</w:t>
        </w:r>
        <w:r w:rsidRPr="00236F77">
          <w:rPr>
            <w:rStyle w:val="Hyperlink"/>
          </w:rPr>
          <w:t>1</w:t>
        </w:r>
      </w:hyperlink>
      <w:r>
        <w:rPr>
          <w:rtl/>
        </w:rPr>
        <w:t>.</w:t>
      </w:r>
    </w:p>
  </w:footnote>
  <w:footnote w:id="11">
    <w:p w14:paraId="23F39119" w14:textId="7E549DDA" w:rsidR="00BD17E3" w:rsidRPr="007E78CF" w:rsidRDefault="00BD17E3" w:rsidP="007E78CF">
      <w:pPr>
        <w:pStyle w:val="FootnoteText1"/>
        <w:textDirection w:val="tbRlV"/>
      </w:pPr>
      <w:r w:rsidRPr="007E78CF">
        <w:rPr>
          <w:rtl/>
        </w:rPr>
        <w:t>(</w:t>
      </w:r>
      <w:r w:rsidRPr="00236F77">
        <w:rPr>
          <w:rStyle w:val="FootnoteReference"/>
          <w:vertAlign w:val="baseline"/>
        </w:rPr>
        <w:footnoteRef/>
      </w:r>
      <w:r w:rsidRPr="007E78CF">
        <w:rPr>
          <w:rtl/>
        </w:rPr>
        <w:t>)</w:t>
      </w:r>
      <w:r>
        <w:rPr>
          <w:rtl/>
        </w:rPr>
        <w:tab/>
        <w:t xml:space="preserve">انظر </w:t>
      </w:r>
      <w:hyperlink r:id="rId10" w:history="1">
        <w:r w:rsidRPr="0069509C">
          <w:rPr>
            <w:rStyle w:val="Hyperlink"/>
          </w:rPr>
          <w:t>HRI/MC/</w:t>
        </w:r>
        <w:r w:rsidRPr="00236F77">
          <w:rPr>
            <w:rStyle w:val="Hyperlink"/>
          </w:rPr>
          <w:t>2008</w:t>
        </w:r>
        <w:r w:rsidRPr="0069509C">
          <w:rPr>
            <w:rStyle w:val="Hyperlink"/>
          </w:rPr>
          <w:t>/</w:t>
        </w:r>
        <w:r w:rsidRPr="00236F77">
          <w:rPr>
            <w:rStyle w:val="Hyperlink"/>
          </w:rPr>
          <w:t>3</w:t>
        </w:r>
      </w:hyperlink>
      <w:r>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023E0" w14:textId="0E195EC3" w:rsidR="00BD17E3" w:rsidRPr="00A26CAC" w:rsidRDefault="00BD17E3" w:rsidP="00A26CAC">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E/C.12/BIH/CO/3</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9C01F" w14:textId="13501ACC" w:rsidR="00BD17E3" w:rsidRPr="00A26CAC" w:rsidRDefault="00BD17E3" w:rsidP="00A26CAC">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E/C.12/BIH/CO/3</w:t>
    </w:r>
    <w:r>
      <w:rPr>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87C7B" w14:textId="77777777" w:rsidR="00BD17E3" w:rsidRDefault="00BD17E3" w:rsidP="000C038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4"/>
  </w:num>
  <w:num w:numId="13">
    <w:abstractNumId w:val="3"/>
  </w:num>
  <w:num w:numId="14">
    <w:abstractNumId w:val="16"/>
  </w:num>
  <w:num w:numId="15">
    <w:abstractNumId w:val="13"/>
  </w:num>
  <w:num w:numId="16">
    <w:abstractNumId w:val="1"/>
  </w:num>
  <w:num w:numId="17">
    <w:abstractNumId w:val="14"/>
  </w:num>
  <w:num w:numId="18">
    <w:abstractNumId w:val="0"/>
  </w:num>
  <w:num w:numId="19">
    <w:abstractNumId w:val="9"/>
  </w:num>
  <w:num w:numId="20">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4">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25">
    <w:abstractNumId w:val="7"/>
  </w:num>
  <w:num w:numId="26">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34C"/>
    <w:rsid w:val="000076D5"/>
    <w:rsid w:val="000148E3"/>
    <w:rsid w:val="00037FA0"/>
    <w:rsid w:val="00043663"/>
    <w:rsid w:val="000505CF"/>
    <w:rsid w:val="000C0380"/>
    <w:rsid w:val="000D63FC"/>
    <w:rsid w:val="000D701C"/>
    <w:rsid w:val="000E2A71"/>
    <w:rsid w:val="000E524A"/>
    <w:rsid w:val="00114D77"/>
    <w:rsid w:val="00147B99"/>
    <w:rsid w:val="00160263"/>
    <w:rsid w:val="00165FA4"/>
    <w:rsid w:val="0017461F"/>
    <w:rsid w:val="00181F96"/>
    <w:rsid w:val="001A1371"/>
    <w:rsid w:val="001A58AC"/>
    <w:rsid w:val="001B346A"/>
    <w:rsid w:val="001D1FE9"/>
    <w:rsid w:val="001E1CAD"/>
    <w:rsid w:val="001E290D"/>
    <w:rsid w:val="002144FA"/>
    <w:rsid w:val="0023469A"/>
    <w:rsid w:val="00236F77"/>
    <w:rsid w:val="00242AA9"/>
    <w:rsid w:val="00243C8A"/>
    <w:rsid w:val="00263FCF"/>
    <w:rsid w:val="00267A0E"/>
    <w:rsid w:val="002901D9"/>
    <w:rsid w:val="002976C2"/>
    <w:rsid w:val="00310E12"/>
    <w:rsid w:val="00325CC1"/>
    <w:rsid w:val="003260FF"/>
    <w:rsid w:val="00343D95"/>
    <w:rsid w:val="00360ABA"/>
    <w:rsid w:val="00374341"/>
    <w:rsid w:val="00383081"/>
    <w:rsid w:val="00391D66"/>
    <w:rsid w:val="003D1062"/>
    <w:rsid w:val="003E159A"/>
    <w:rsid w:val="003F4B0C"/>
    <w:rsid w:val="004205C7"/>
    <w:rsid w:val="00420D7B"/>
    <w:rsid w:val="00450B21"/>
    <w:rsid w:val="00453B63"/>
    <w:rsid w:val="00455780"/>
    <w:rsid w:val="00485999"/>
    <w:rsid w:val="00490677"/>
    <w:rsid w:val="004B0A1C"/>
    <w:rsid w:val="004B37B6"/>
    <w:rsid w:val="004C7897"/>
    <w:rsid w:val="004D298E"/>
    <w:rsid w:val="004E32F4"/>
    <w:rsid w:val="00501FD1"/>
    <w:rsid w:val="005174F0"/>
    <w:rsid w:val="00517BC9"/>
    <w:rsid w:val="00523757"/>
    <w:rsid w:val="00527E4C"/>
    <w:rsid w:val="0053172A"/>
    <w:rsid w:val="0054472E"/>
    <w:rsid w:val="0054762C"/>
    <w:rsid w:val="005662A9"/>
    <w:rsid w:val="005817D9"/>
    <w:rsid w:val="005827D4"/>
    <w:rsid w:val="0059622A"/>
    <w:rsid w:val="005A5A78"/>
    <w:rsid w:val="005A7535"/>
    <w:rsid w:val="005C5878"/>
    <w:rsid w:val="005C7CEA"/>
    <w:rsid w:val="005D3C0B"/>
    <w:rsid w:val="005D57FB"/>
    <w:rsid w:val="005E5217"/>
    <w:rsid w:val="005F0FA4"/>
    <w:rsid w:val="005F15D7"/>
    <w:rsid w:val="005F30EE"/>
    <w:rsid w:val="0060473A"/>
    <w:rsid w:val="00606EDF"/>
    <w:rsid w:val="0063034C"/>
    <w:rsid w:val="00634937"/>
    <w:rsid w:val="00656392"/>
    <w:rsid w:val="00682790"/>
    <w:rsid w:val="0068781D"/>
    <w:rsid w:val="0069509C"/>
    <w:rsid w:val="006959B0"/>
    <w:rsid w:val="006B3E27"/>
    <w:rsid w:val="006B6507"/>
    <w:rsid w:val="006C104C"/>
    <w:rsid w:val="006E1F50"/>
    <w:rsid w:val="006F5600"/>
    <w:rsid w:val="00733704"/>
    <w:rsid w:val="00740188"/>
    <w:rsid w:val="00762800"/>
    <w:rsid w:val="0078071A"/>
    <w:rsid w:val="007A70BB"/>
    <w:rsid w:val="007C1C49"/>
    <w:rsid w:val="007E78CF"/>
    <w:rsid w:val="00852A9A"/>
    <w:rsid w:val="00871544"/>
    <w:rsid w:val="008864E6"/>
    <w:rsid w:val="008930DB"/>
    <w:rsid w:val="00895D16"/>
    <w:rsid w:val="008F49E1"/>
    <w:rsid w:val="0090370F"/>
    <w:rsid w:val="00912FE7"/>
    <w:rsid w:val="009269D2"/>
    <w:rsid w:val="00942135"/>
    <w:rsid w:val="009521B0"/>
    <w:rsid w:val="009A7E9F"/>
    <w:rsid w:val="009E0EDE"/>
    <w:rsid w:val="009E5018"/>
    <w:rsid w:val="00A072C6"/>
    <w:rsid w:val="00A12B37"/>
    <w:rsid w:val="00A15998"/>
    <w:rsid w:val="00A26CAC"/>
    <w:rsid w:val="00A50EC0"/>
    <w:rsid w:val="00A74331"/>
    <w:rsid w:val="00A862CC"/>
    <w:rsid w:val="00AA0AD5"/>
    <w:rsid w:val="00AB408B"/>
    <w:rsid w:val="00AB6758"/>
    <w:rsid w:val="00B13763"/>
    <w:rsid w:val="00B24420"/>
    <w:rsid w:val="00B477A4"/>
    <w:rsid w:val="00B54045"/>
    <w:rsid w:val="00BA1F0F"/>
    <w:rsid w:val="00BA641F"/>
    <w:rsid w:val="00BD17E3"/>
    <w:rsid w:val="00C022F5"/>
    <w:rsid w:val="00C438D7"/>
    <w:rsid w:val="00C53FE8"/>
    <w:rsid w:val="00C81B50"/>
    <w:rsid w:val="00CA655B"/>
    <w:rsid w:val="00CB3C3C"/>
    <w:rsid w:val="00CD1801"/>
    <w:rsid w:val="00CE29BB"/>
    <w:rsid w:val="00D10EF1"/>
    <w:rsid w:val="00D42810"/>
    <w:rsid w:val="00D914A7"/>
    <w:rsid w:val="00DD13C3"/>
    <w:rsid w:val="00DD596E"/>
    <w:rsid w:val="00DD621E"/>
    <w:rsid w:val="00DF0575"/>
    <w:rsid w:val="00E049EC"/>
    <w:rsid w:val="00E3601B"/>
    <w:rsid w:val="00E70E04"/>
    <w:rsid w:val="00EB2635"/>
    <w:rsid w:val="00EC05A7"/>
    <w:rsid w:val="00EC4B6B"/>
    <w:rsid w:val="00EC7D11"/>
    <w:rsid w:val="00ED7442"/>
    <w:rsid w:val="00EE0B18"/>
    <w:rsid w:val="00EE2AFF"/>
    <w:rsid w:val="00EE401A"/>
    <w:rsid w:val="00EF1EE5"/>
    <w:rsid w:val="00F20C79"/>
    <w:rsid w:val="00F572AF"/>
    <w:rsid w:val="00F6423C"/>
    <w:rsid w:val="00F763B4"/>
    <w:rsid w:val="00F900C3"/>
    <w:rsid w:val="00FA0CD3"/>
    <w:rsid w:val="00FA57AB"/>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126128D"/>
  <w15:docId w15:val="{A6B0EFDC-7C71-4452-9B92-7B38EAEB9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FCF"/>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263FCF"/>
    <w:pPr>
      <w:bidi w:val="0"/>
      <w:outlineLvl w:val="0"/>
    </w:pPr>
  </w:style>
  <w:style w:type="paragraph" w:styleId="Heading2">
    <w:name w:val="heading 2"/>
    <w:basedOn w:val="Normal"/>
    <w:next w:val="Normal"/>
    <w:link w:val="Heading2Char"/>
    <w:uiPriority w:val="9"/>
    <w:unhideWhenUsed/>
    <w:rsid w:val="00263FCF"/>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263FCF"/>
    <w:pPr>
      <w:keepNext/>
      <w:keepLines/>
      <w:spacing w:before="200"/>
      <w:outlineLvl w:val="2"/>
    </w:pPr>
    <w:rPr>
      <w:b/>
      <w:bCs/>
      <w:color w:val="4F81BD"/>
    </w:rPr>
  </w:style>
  <w:style w:type="paragraph" w:styleId="Heading4">
    <w:name w:val="heading 4"/>
    <w:basedOn w:val="Normal"/>
    <w:next w:val="Normal"/>
    <w:link w:val="Heading4Char"/>
    <w:uiPriority w:val="9"/>
    <w:unhideWhenUsed/>
    <w:rsid w:val="00263FCF"/>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263FCF"/>
    <w:pPr>
      <w:keepNext/>
      <w:keepLines/>
      <w:spacing w:before="200"/>
      <w:outlineLvl w:val="4"/>
    </w:pPr>
    <w:rPr>
      <w:color w:val="243F60"/>
    </w:rPr>
  </w:style>
  <w:style w:type="paragraph" w:styleId="Heading6">
    <w:name w:val="heading 6"/>
    <w:basedOn w:val="Normal"/>
    <w:next w:val="Normal"/>
    <w:link w:val="Heading6Char"/>
    <w:uiPriority w:val="9"/>
    <w:unhideWhenUsed/>
    <w:rsid w:val="00263FCF"/>
    <w:pPr>
      <w:keepNext/>
      <w:keepLines/>
      <w:spacing w:before="200"/>
      <w:outlineLvl w:val="5"/>
    </w:pPr>
    <w:rPr>
      <w:i/>
      <w:iCs/>
      <w:color w:val="243F60"/>
    </w:rPr>
  </w:style>
  <w:style w:type="paragraph" w:styleId="Heading7">
    <w:name w:val="heading 7"/>
    <w:basedOn w:val="Normal"/>
    <w:next w:val="Normal"/>
    <w:link w:val="Heading7Char"/>
    <w:uiPriority w:val="9"/>
    <w:unhideWhenUsed/>
    <w:rsid w:val="00263FCF"/>
    <w:pPr>
      <w:keepNext/>
      <w:keepLines/>
      <w:spacing w:before="200"/>
      <w:outlineLvl w:val="6"/>
    </w:pPr>
    <w:rPr>
      <w:i/>
      <w:iCs/>
      <w:color w:val="404040"/>
    </w:rPr>
  </w:style>
  <w:style w:type="paragraph" w:styleId="Heading8">
    <w:name w:val="heading 8"/>
    <w:basedOn w:val="Normal"/>
    <w:next w:val="Normal"/>
    <w:link w:val="Heading8Char"/>
    <w:uiPriority w:val="9"/>
    <w:unhideWhenUsed/>
    <w:rsid w:val="00263FCF"/>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263FCF"/>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263FCF"/>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263FCF"/>
    <w:rPr>
      <w:rFonts w:ascii="Times New Roman" w:eastAsia="PMingLiU" w:hAnsi="Times New Roman" w:cs="Simplified Arabic"/>
      <w:sz w:val="18"/>
      <w:szCs w:val="20"/>
    </w:rPr>
  </w:style>
  <w:style w:type="character" w:styleId="FootnoteReference">
    <w:name w:val="footnote reference"/>
    <w:aliases w:val="4_GA,4_G,ftref,footnote ref,16 Point,Superscript 6 Point,Fußnotenzeichen DISS,fr,BVI fnr,(NECG) Footnote Reference,Char Char Char Char Car Char,ب"/>
    <w:link w:val="Char2"/>
    <w:qFormat/>
    <w:rsid w:val="00263FCF"/>
    <w:rPr>
      <w:szCs w:val="18"/>
      <w:vertAlign w:val="superscript"/>
    </w:rPr>
  </w:style>
  <w:style w:type="paragraph" w:customStyle="1" w:styleId="HMGA">
    <w:name w:val="_ H __M_GA"/>
    <w:basedOn w:val="Normal"/>
    <w:next w:val="SingleTxtGA"/>
    <w:qFormat/>
    <w:rsid w:val="00263FCF"/>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263FCF"/>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263FCF"/>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263FCF"/>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263FCF"/>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263FCF"/>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263FCF"/>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263FCF"/>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263FCF"/>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263FCF"/>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263FCF"/>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263FCF"/>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263FCF"/>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263FCF"/>
    <w:pPr>
      <w:numPr>
        <w:numId w:val="5"/>
      </w:numPr>
      <w:bidi w:val="0"/>
    </w:pPr>
    <w:rPr>
      <w:lang w:val="en-US"/>
    </w:rPr>
  </w:style>
  <w:style w:type="paragraph" w:customStyle="1" w:styleId="Roman1GA">
    <w:name w:val="_Roman 1_GA"/>
    <w:basedOn w:val="Bullet1GA"/>
    <w:qFormat/>
    <w:rsid w:val="00263FCF"/>
    <w:pPr>
      <w:numPr>
        <w:numId w:val="6"/>
      </w:numPr>
      <w:tabs>
        <w:tab w:val="clear" w:pos="2310"/>
        <w:tab w:val="left" w:pos="2486"/>
      </w:tabs>
      <w:ind w:left="2486" w:hanging="378"/>
    </w:pPr>
  </w:style>
  <w:style w:type="paragraph" w:customStyle="1" w:styleId="Roman2GA">
    <w:name w:val="_Roman 2_GA"/>
    <w:basedOn w:val="Bullet2GA"/>
    <w:qFormat/>
    <w:rsid w:val="00263FCF"/>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qFormat/>
    <w:rsid w:val="00263FCF"/>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rsid w:val="00263FCF"/>
    <w:rPr>
      <w:rFonts w:ascii="Times New Roman" w:eastAsia="PMingLiU" w:hAnsi="Times New Roman" w:cs="Simplified Arabic"/>
      <w:sz w:val="18"/>
      <w:szCs w:val="20"/>
      <w:lang w:val="en-GB"/>
    </w:rPr>
  </w:style>
  <w:style w:type="character" w:customStyle="1" w:styleId="EndtnoteReference">
    <w:name w:val="Endtnote Reference"/>
    <w:aliases w:val="1_GA"/>
    <w:qFormat/>
    <w:rsid w:val="00263FCF"/>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263FCF"/>
    <w:pPr>
      <w:suppressAutoHyphens/>
      <w:bidi w:val="0"/>
      <w:spacing w:line="240" w:lineRule="auto"/>
    </w:pPr>
    <w:rPr>
      <w:sz w:val="16"/>
      <w:lang w:val="en-GB"/>
    </w:rPr>
  </w:style>
  <w:style w:type="character" w:customStyle="1" w:styleId="FooterChar">
    <w:name w:val="Footer Char"/>
    <w:aliases w:val="3_GA Char,3_G Char"/>
    <w:link w:val="Footer"/>
    <w:rsid w:val="00263FCF"/>
    <w:rPr>
      <w:rFonts w:ascii="Times New Roman" w:eastAsia="PMingLiU" w:hAnsi="Times New Roman" w:cs="Simplified Arabic"/>
      <w:sz w:val="16"/>
      <w:lang w:val="en-GB"/>
    </w:rPr>
  </w:style>
  <w:style w:type="paragraph" w:customStyle="1" w:styleId="FootnoteText1">
    <w:name w:val="Footnote Text1"/>
    <w:aliases w:val="5_GA"/>
    <w:basedOn w:val="Normal"/>
    <w:qFormat/>
    <w:rsid w:val="00263FCF"/>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263FCF"/>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263FCF"/>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263FCF"/>
    <w:rPr>
      <w:rFonts w:ascii="Times New Roman" w:eastAsia="PMingLiU" w:hAnsi="Times New Roman" w:cs="Simplified Arabic"/>
      <w:lang w:val="en-GB"/>
    </w:rPr>
  </w:style>
  <w:style w:type="character" w:styleId="PageNumber">
    <w:name w:val="page number"/>
    <w:aliases w:val="7_GA,7_G"/>
    <w:qFormat/>
    <w:rsid w:val="00263FCF"/>
    <w:rPr>
      <w:rFonts w:ascii="Times New Roman Bold" w:hAnsi="Times New Roman Bold"/>
      <w:b/>
      <w:i w:val="0"/>
      <w:sz w:val="18"/>
      <w:szCs w:val="18"/>
    </w:rPr>
  </w:style>
  <w:style w:type="paragraph" w:customStyle="1" w:styleId="XXLargeGA">
    <w:name w:val="XXLarge_GA"/>
    <w:basedOn w:val="Normal"/>
    <w:next w:val="SingleTxtGA"/>
    <w:qFormat/>
    <w:rsid w:val="00263FCF"/>
    <w:pPr>
      <w:suppressAutoHyphens/>
      <w:spacing w:line="820" w:lineRule="exact"/>
    </w:pPr>
    <w:rPr>
      <w:spacing w:val="-8"/>
      <w:w w:val="96"/>
      <w:sz w:val="57"/>
      <w:szCs w:val="86"/>
      <w:lang w:val="en-GB"/>
    </w:rPr>
  </w:style>
  <w:style w:type="character" w:customStyle="1" w:styleId="Heading2Char">
    <w:name w:val="Heading 2 Char"/>
    <w:link w:val="Heading2"/>
    <w:uiPriority w:val="9"/>
    <w:rsid w:val="00263FCF"/>
    <w:rPr>
      <w:rFonts w:ascii="Times New Roman" w:eastAsia="PMingLiU" w:hAnsi="Times New Roman" w:cs="Simplified Arabic"/>
      <w:b/>
      <w:bCs/>
      <w:color w:val="4F81BD"/>
      <w:sz w:val="26"/>
      <w:szCs w:val="26"/>
    </w:rPr>
  </w:style>
  <w:style w:type="character" w:styleId="BookTitle">
    <w:name w:val="Book Title"/>
    <w:uiPriority w:val="33"/>
    <w:rsid w:val="00263FCF"/>
    <w:rPr>
      <w:b/>
      <w:bCs/>
      <w:smallCaps/>
      <w:spacing w:val="5"/>
    </w:rPr>
  </w:style>
  <w:style w:type="character" w:customStyle="1" w:styleId="Heading3Char">
    <w:name w:val="Heading 3 Char"/>
    <w:link w:val="Heading3"/>
    <w:uiPriority w:val="9"/>
    <w:rsid w:val="00263FCF"/>
    <w:rPr>
      <w:rFonts w:ascii="Times New Roman" w:eastAsia="PMingLiU" w:hAnsi="Times New Roman" w:cs="Simplified Arabic"/>
      <w:b/>
      <w:bCs/>
      <w:color w:val="4F81BD"/>
      <w:sz w:val="20"/>
    </w:rPr>
  </w:style>
  <w:style w:type="character" w:customStyle="1" w:styleId="Heading4Char">
    <w:name w:val="Heading 4 Char"/>
    <w:link w:val="Heading4"/>
    <w:uiPriority w:val="9"/>
    <w:rsid w:val="00263FCF"/>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263FCF"/>
    <w:rPr>
      <w:rFonts w:ascii="Times New Roman" w:eastAsia="PMingLiU" w:hAnsi="Times New Roman" w:cs="Simplified Arabic"/>
      <w:color w:val="243F60"/>
      <w:sz w:val="20"/>
    </w:rPr>
  </w:style>
  <w:style w:type="character" w:customStyle="1" w:styleId="Heading6Char">
    <w:name w:val="Heading 6 Char"/>
    <w:link w:val="Heading6"/>
    <w:uiPriority w:val="9"/>
    <w:rsid w:val="00263FCF"/>
    <w:rPr>
      <w:rFonts w:ascii="Times New Roman" w:eastAsia="PMingLiU" w:hAnsi="Times New Roman" w:cs="Simplified Arabic"/>
      <w:i/>
      <w:iCs/>
      <w:color w:val="243F60"/>
      <w:sz w:val="20"/>
    </w:rPr>
  </w:style>
  <w:style w:type="character" w:customStyle="1" w:styleId="Heading7Char">
    <w:name w:val="Heading 7 Char"/>
    <w:link w:val="Heading7"/>
    <w:uiPriority w:val="9"/>
    <w:rsid w:val="00263FCF"/>
    <w:rPr>
      <w:rFonts w:ascii="Times New Roman" w:eastAsia="PMingLiU" w:hAnsi="Times New Roman" w:cs="Simplified Arabic"/>
      <w:i/>
      <w:iCs/>
      <w:color w:val="404040"/>
      <w:sz w:val="20"/>
    </w:rPr>
  </w:style>
  <w:style w:type="character" w:customStyle="1" w:styleId="Heading8Char">
    <w:name w:val="Heading 8 Char"/>
    <w:link w:val="Heading8"/>
    <w:uiPriority w:val="9"/>
    <w:rsid w:val="00263FCF"/>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263FCF"/>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263FCF"/>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263FCF"/>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263FCF"/>
    <w:pPr>
      <w:numPr>
        <w:ilvl w:val="1"/>
      </w:numPr>
    </w:pPr>
    <w:rPr>
      <w:i/>
      <w:iCs/>
      <w:color w:val="4F81BD"/>
      <w:spacing w:val="15"/>
      <w:sz w:val="24"/>
      <w:szCs w:val="24"/>
    </w:rPr>
  </w:style>
  <w:style w:type="character" w:customStyle="1" w:styleId="SubtitleChar">
    <w:name w:val="Subtitle Char"/>
    <w:link w:val="Subtitle"/>
    <w:uiPriority w:val="11"/>
    <w:rsid w:val="00263FCF"/>
    <w:rPr>
      <w:rFonts w:ascii="Times New Roman" w:eastAsia="PMingLiU" w:hAnsi="Times New Roman" w:cs="Simplified Arabic"/>
      <w:i/>
      <w:iCs/>
      <w:color w:val="4F81BD"/>
      <w:spacing w:val="15"/>
      <w:sz w:val="24"/>
      <w:szCs w:val="24"/>
    </w:rPr>
  </w:style>
  <w:style w:type="character" w:styleId="SubtleEmphasis">
    <w:name w:val="Subtle Emphasis"/>
    <w:uiPriority w:val="19"/>
    <w:rsid w:val="00263FCF"/>
    <w:rPr>
      <w:i/>
      <w:iCs/>
      <w:color w:val="808080"/>
    </w:rPr>
  </w:style>
  <w:style w:type="table" w:styleId="ColorfulGrid-Accent6">
    <w:name w:val="Colorful Grid Accent 6"/>
    <w:basedOn w:val="TableNormal"/>
    <w:uiPriority w:val="73"/>
    <w:rsid w:val="00263FCF"/>
    <w:pPr>
      <w:spacing w:after="0" w:line="240" w:lineRule="auto"/>
    </w:pPr>
    <w:rPr>
      <w:rFonts w:ascii="Calibri" w:eastAsia="PMingLiU" w:hAnsi="Calibri"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263FCF"/>
    <w:rPr>
      <w:i/>
      <w:iCs/>
    </w:rPr>
  </w:style>
  <w:style w:type="character" w:styleId="IntenseEmphasis">
    <w:name w:val="Intense Emphasis"/>
    <w:uiPriority w:val="21"/>
    <w:rsid w:val="00263FCF"/>
    <w:rPr>
      <w:b/>
      <w:bCs/>
      <w:i/>
      <w:iCs/>
      <w:color w:val="4F81BD"/>
    </w:rPr>
  </w:style>
  <w:style w:type="character" w:styleId="Strong">
    <w:name w:val="Strong"/>
    <w:uiPriority w:val="22"/>
    <w:rsid w:val="00263FCF"/>
    <w:rPr>
      <w:b/>
      <w:bCs/>
    </w:rPr>
  </w:style>
  <w:style w:type="paragraph" w:styleId="Quote">
    <w:name w:val="Quote"/>
    <w:basedOn w:val="Normal"/>
    <w:next w:val="Normal"/>
    <w:link w:val="QuoteChar"/>
    <w:uiPriority w:val="29"/>
    <w:rsid w:val="00263FCF"/>
    <w:rPr>
      <w:i/>
      <w:iCs/>
      <w:color w:val="000000"/>
    </w:rPr>
  </w:style>
  <w:style w:type="character" w:customStyle="1" w:styleId="QuoteChar">
    <w:name w:val="Quote Char"/>
    <w:link w:val="Quote"/>
    <w:uiPriority w:val="29"/>
    <w:rsid w:val="00263FCF"/>
    <w:rPr>
      <w:rFonts w:ascii="Times New Roman" w:eastAsia="PMingLiU" w:hAnsi="Times New Roman" w:cs="Simplified Arabic"/>
      <w:i/>
      <w:iCs/>
      <w:color w:val="000000"/>
      <w:sz w:val="20"/>
    </w:rPr>
  </w:style>
  <w:style w:type="paragraph" w:styleId="IntenseQuote">
    <w:name w:val="Intense Quote"/>
    <w:basedOn w:val="Normal"/>
    <w:next w:val="Normal"/>
    <w:link w:val="IntenseQuoteChar"/>
    <w:uiPriority w:val="30"/>
    <w:rsid w:val="00263FC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63FCF"/>
    <w:rPr>
      <w:rFonts w:ascii="Times New Roman" w:eastAsia="PMingLiU" w:hAnsi="Times New Roman" w:cs="Simplified Arabic"/>
      <w:b/>
      <w:bCs/>
      <w:i/>
      <w:iCs/>
      <w:color w:val="4F81BD"/>
      <w:sz w:val="20"/>
    </w:rPr>
  </w:style>
  <w:style w:type="character" w:styleId="SubtleReference">
    <w:name w:val="Subtle Reference"/>
    <w:uiPriority w:val="31"/>
    <w:rsid w:val="00263FCF"/>
    <w:rPr>
      <w:smallCaps/>
      <w:color w:val="C0504D"/>
      <w:u w:val="single"/>
    </w:rPr>
  </w:style>
  <w:style w:type="character" w:styleId="IntenseReference">
    <w:name w:val="Intense Reference"/>
    <w:uiPriority w:val="32"/>
    <w:rsid w:val="00263FCF"/>
    <w:rPr>
      <w:b/>
      <w:bCs/>
      <w:smallCaps/>
      <w:color w:val="C0504D"/>
      <w:spacing w:val="5"/>
      <w:u w:val="single"/>
    </w:rPr>
  </w:style>
  <w:style w:type="paragraph" w:styleId="ListParagraph">
    <w:name w:val="List Paragraph"/>
    <w:basedOn w:val="Normal"/>
    <w:uiPriority w:val="34"/>
    <w:rsid w:val="00263FCF"/>
    <w:pPr>
      <w:ind w:left="720"/>
      <w:contextualSpacing/>
    </w:pPr>
  </w:style>
  <w:style w:type="table" w:styleId="MediumShading1-Accent4">
    <w:name w:val="Medium Shading 1 Accent 4"/>
    <w:basedOn w:val="TableNormal"/>
    <w:uiPriority w:val="63"/>
    <w:rsid w:val="00263FCF"/>
    <w:pPr>
      <w:spacing w:after="0" w:line="240" w:lineRule="auto"/>
    </w:pPr>
    <w:rPr>
      <w:rFonts w:ascii="Calibri" w:eastAsia="PMingLiU" w:hAnsi="Calibri"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263FCF"/>
    <w:rPr>
      <w:rFonts w:eastAsia="MS Mincho"/>
      <w:sz w:val="18"/>
      <w:vertAlign w:val="superscript"/>
    </w:rPr>
  </w:style>
  <w:style w:type="table" w:styleId="TableGrid">
    <w:name w:val="Table Grid"/>
    <w:basedOn w:val="TableNormal"/>
    <w:rsid w:val="00263FCF"/>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FCF"/>
    <w:pPr>
      <w:spacing w:line="240" w:lineRule="auto"/>
    </w:pPr>
    <w:rPr>
      <w:sz w:val="16"/>
      <w:szCs w:val="16"/>
    </w:rPr>
  </w:style>
  <w:style w:type="character" w:customStyle="1" w:styleId="BalloonTextChar">
    <w:name w:val="Balloon Text Char"/>
    <w:link w:val="BalloonText"/>
    <w:uiPriority w:val="99"/>
    <w:semiHidden/>
    <w:rsid w:val="00263FCF"/>
    <w:rPr>
      <w:rFonts w:ascii="Times New Roman" w:eastAsia="PMingLiU" w:hAnsi="Times New Roman" w:cs="Simplified Arabic"/>
      <w:sz w:val="16"/>
      <w:szCs w:val="16"/>
    </w:rPr>
  </w:style>
  <w:style w:type="character" w:styleId="Hyperlink">
    <w:name w:val="Hyperlink"/>
    <w:uiPriority w:val="99"/>
    <w:unhideWhenUsed/>
    <w:rsid w:val="00263FCF"/>
    <w:rPr>
      <w:color w:val="0000FF"/>
      <w:u w:val="none"/>
    </w:rPr>
  </w:style>
  <w:style w:type="paragraph" w:styleId="TOC1">
    <w:name w:val="toc 1"/>
    <w:basedOn w:val="Normal"/>
    <w:link w:val="TOC1Char"/>
    <w:autoRedefine/>
    <w:uiPriority w:val="39"/>
    <w:unhideWhenUsed/>
    <w:rsid w:val="00263FCF"/>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263FCF"/>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263FCF"/>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263FCF"/>
    <w:rPr>
      <w:rFonts w:eastAsia="DengXian"/>
      <w:color w:val="auto"/>
      <w:sz w:val="20"/>
      <w:szCs w:val="20"/>
      <w:u w:val="none"/>
      <w:lang w:eastAsia="zh-CN" w:bidi="ar-EG"/>
    </w:rPr>
  </w:style>
  <w:style w:type="paragraph" w:styleId="TOC4">
    <w:name w:val="toc 4"/>
    <w:basedOn w:val="Normal"/>
    <w:link w:val="TOC4Char"/>
    <w:autoRedefine/>
    <w:uiPriority w:val="39"/>
    <w:unhideWhenUsed/>
    <w:rsid w:val="00263FCF"/>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263FCF"/>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263FCF"/>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263FCF"/>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 w:val="20"/>
      <w:szCs w:val="28"/>
    </w:rPr>
  </w:style>
  <w:style w:type="table" w:customStyle="1" w:styleId="TABLEA">
    <w:name w:val="TABLE_A"/>
    <w:basedOn w:val="TableNormal"/>
    <w:uiPriority w:val="99"/>
    <w:rsid w:val="00263FCF"/>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263FCF"/>
    <w:rPr>
      <w:rFonts w:ascii="Times New Roman" w:eastAsia="PMingLiU" w:hAnsi="Times New Roman" w:cs="Simplified Arabic"/>
      <w:lang w:val="en-GB"/>
    </w:rPr>
  </w:style>
  <w:style w:type="character" w:styleId="UnresolvedMention">
    <w:name w:val="Unresolved Mention"/>
    <w:basedOn w:val="DefaultParagraphFont"/>
    <w:uiPriority w:val="99"/>
    <w:semiHidden/>
    <w:unhideWhenUsed/>
    <w:rsid w:val="00263FCF"/>
    <w:rPr>
      <w:color w:val="605E5C"/>
      <w:shd w:val="clear" w:color="auto" w:fill="E1DFDD"/>
    </w:rPr>
  </w:style>
  <w:style w:type="character" w:customStyle="1" w:styleId="TOC1Char">
    <w:name w:val="TOC 1 Char"/>
    <w:basedOn w:val="DefaultParagraphFont"/>
    <w:link w:val="TOC1"/>
    <w:uiPriority w:val="39"/>
    <w:rsid w:val="00263FCF"/>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263FCF"/>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263FCF"/>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263FCF"/>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263FCF"/>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263FCF"/>
    <w:rPr>
      <w:rFonts w:ascii="Times New Roman" w:eastAsia="PMingLiU" w:hAnsi="Times New Roman" w:cs="Simplified Arabic"/>
      <w:sz w:val="20"/>
      <w:szCs w:val="20"/>
      <w:lang w:val="en-GB"/>
    </w:rPr>
  </w:style>
  <w:style w:type="paragraph" w:customStyle="1" w:styleId="SessionDate">
    <w:name w:val="Session_Date"/>
    <w:basedOn w:val="Normal"/>
    <w:qFormat/>
    <w:rsid w:val="00263FCF"/>
    <w:pPr>
      <w:spacing w:before="240" w:after="240" w:line="460" w:lineRule="exact"/>
      <w:ind w:left="1247"/>
    </w:pPr>
    <w:rPr>
      <w:b/>
      <w:bCs/>
      <w:sz w:val="32"/>
      <w:szCs w:val="44"/>
    </w:rPr>
  </w:style>
  <w:style w:type="paragraph" w:customStyle="1" w:styleId="SessionNumber">
    <w:name w:val="Session_Number"/>
    <w:basedOn w:val="Normal"/>
    <w:qFormat/>
    <w:rsid w:val="00263FCF"/>
    <w:pPr>
      <w:spacing w:line="480" w:lineRule="exact"/>
      <w:ind w:left="1247"/>
    </w:pPr>
    <w:rPr>
      <w:b/>
      <w:bCs/>
      <w:sz w:val="28"/>
      <w:szCs w:val="38"/>
    </w:rPr>
  </w:style>
  <w:style w:type="paragraph" w:customStyle="1" w:styleId="CityandYear">
    <w:name w:val="City and Year"/>
    <w:basedOn w:val="SingleTxtGA"/>
    <w:qFormat/>
    <w:rsid w:val="00263FCF"/>
    <w:pPr>
      <w:spacing w:line="480" w:lineRule="exact"/>
    </w:pPr>
    <w:rPr>
      <w:b/>
      <w:bCs/>
      <w:sz w:val="30"/>
      <w:szCs w:val="38"/>
      <w:lang w:eastAsia="ar-SA"/>
    </w:rPr>
  </w:style>
  <w:style w:type="paragraph" w:customStyle="1" w:styleId="NormalA">
    <w:name w:val="Normal_A"/>
    <w:basedOn w:val="Normal"/>
    <w:qFormat/>
    <w:rsid w:val="00263FCF"/>
  </w:style>
  <w:style w:type="paragraph" w:customStyle="1" w:styleId="SingleTxtG">
    <w:name w:val="_ Single Txt_G"/>
    <w:basedOn w:val="Normal"/>
    <w:link w:val="SingleTxtGChar"/>
    <w:qFormat/>
    <w:rsid w:val="00263FCF"/>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263FCF"/>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1G">
    <w:name w:val="_ H_1_G"/>
    <w:basedOn w:val="Normal"/>
    <w:next w:val="Normal"/>
    <w:qFormat/>
    <w:rsid w:val="00263FCF"/>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H23G">
    <w:name w:val="_ H_2/3_G"/>
    <w:basedOn w:val="Normal"/>
    <w:next w:val="Normal"/>
    <w:qFormat/>
    <w:rsid w:val="00263FCF"/>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263FCF"/>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263FCF"/>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263FCF"/>
    <w:rPr>
      <w:sz w:val="44"/>
      <w:szCs w:val="44"/>
      <w:lang w:val="en-US" w:bidi="ar-DZ"/>
    </w:rPr>
  </w:style>
  <w:style w:type="paragraph" w:customStyle="1" w:styleId="FootnoteGA0">
    <w:name w:val="Footnote_GA"/>
    <w:basedOn w:val="Normal"/>
    <w:qFormat/>
    <w:rsid w:val="00263FCF"/>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263FCF"/>
    <w:pPr>
      <w:keepNext/>
      <w:keepLines/>
      <w:spacing w:after="120" w:line="400" w:lineRule="exact"/>
      <w:outlineLvl w:val="0"/>
    </w:pPr>
    <w:rPr>
      <w:b/>
      <w:bCs/>
      <w:kern w:val="14"/>
      <w:sz w:val="24"/>
      <w:szCs w:val="32"/>
    </w:rPr>
  </w:style>
  <w:style w:type="paragraph" w:customStyle="1" w:styleId="HCh">
    <w:name w:val="_ H _Ch"/>
    <w:basedOn w:val="H1"/>
    <w:next w:val="SingleTxt"/>
    <w:qFormat/>
    <w:rsid w:val="00263FCF"/>
    <w:pPr>
      <w:spacing w:line="440" w:lineRule="exact"/>
    </w:pPr>
    <w:rPr>
      <w:spacing w:val="-2"/>
      <w:sz w:val="28"/>
      <w:szCs w:val="36"/>
    </w:rPr>
  </w:style>
  <w:style w:type="character" w:styleId="CommentReference">
    <w:name w:val="annotation reference"/>
    <w:uiPriority w:val="99"/>
    <w:semiHidden/>
    <w:rsid w:val="00263FCF"/>
    <w:rPr>
      <w:sz w:val="6"/>
      <w:szCs w:val="9"/>
    </w:rPr>
  </w:style>
  <w:style w:type="paragraph" w:customStyle="1" w:styleId="HM">
    <w:name w:val="_ H __M"/>
    <w:basedOn w:val="HCh"/>
    <w:next w:val="Normal"/>
    <w:qFormat/>
    <w:rsid w:val="00263FCF"/>
    <w:pPr>
      <w:suppressAutoHyphens/>
      <w:spacing w:line="520" w:lineRule="exact"/>
    </w:pPr>
    <w:rPr>
      <w:spacing w:val="-3"/>
      <w:sz w:val="34"/>
      <w:szCs w:val="48"/>
    </w:rPr>
  </w:style>
  <w:style w:type="paragraph" w:customStyle="1" w:styleId="SingleTxt">
    <w:name w:val="__Single Txt"/>
    <w:basedOn w:val="Normal"/>
    <w:qFormat/>
    <w:rsid w:val="00263FCF"/>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263FCF"/>
    <w:pPr>
      <w:suppressAutoHyphens/>
      <w:spacing w:line="360" w:lineRule="exact"/>
      <w:outlineLvl w:val="1"/>
    </w:pPr>
    <w:rPr>
      <w:spacing w:val="2"/>
      <w:sz w:val="20"/>
      <w:szCs w:val="28"/>
    </w:rPr>
  </w:style>
  <w:style w:type="paragraph" w:customStyle="1" w:styleId="H4">
    <w:name w:val="_ H_4"/>
    <w:basedOn w:val="Normal"/>
    <w:next w:val="Normal"/>
    <w:qFormat/>
    <w:rsid w:val="00263FCF"/>
    <w:pPr>
      <w:keepNext/>
      <w:keepLines/>
      <w:spacing w:after="120" w:line="360" w:lineRule="exact"/>
      <w:outlineLvl w:val="3"/>
    </w:pPr>
    <w:rPr>
      <w:i/>
      <w:iCs/>
      <w:kern w:val="14"/>
      <w:szCs w:val="28"/>
    </w:rPr>
  </w:style>
  <w:style w:type="paragraph" w:customStyle="1" w:styleId="H56">
    <w:name w:val="_ H_5/6"/>
    <w:basedOn w:val="Normal"/>
    <w:next w:val="Normal"/>
    <w:qFormat/>
    <w:rsid w:val="00263FCF"/>
    <w:pPr>
      <w:keepNext/>
      <w:keepLines/>
      <w:spacing w:after="120" w:line="360" w:lineRule="exact"/>
      <w:outlineLvl w:val="4"/>
    </w:pPr>
    <w:rPr>
      <w:kern w:val="14"/>
      <w:szCs w:val="28"/>
    </w:rPr>
  </w:style>
  <w:style w:type="paragraph" w:customStyle="1" w:styleId="DualTxt">
    <w:name w:val="__Dual Txt"/>
    <w:basedOn w:val="Normal"/>
    <w:qFormat/>
    <w:rsid w:val="00263FCF"/>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263FCF"/>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263FCF"/>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263FCF"/>
    <w:pPr>
      <w:spacing w:after="120" w:line="440" w:lineRule="exact"/>
      <w:jc w:val="center"/>
    </w:pPr>
    <w:rPr>
      <w:b/>
      <w:bCs/>
      <w:sz w:val="25"/>
      <w:szCs w:val="38"/>
    </w:rPr>
  </w:style>
  <w:style w:type="paragraph" w:customStyle="1" w:styleId="JH1">
    <w:name w:val="J_H_1"/>
    <w:basedOn w:val="JCH"/>
    <w:qFormat/>
    <w:rsid w:val="00263FCF"/>
    <w:pPr>
      <w:spacing w:line="420" w:lineRule="exact"/>
    </w:pPr>
    <w:rPr>
      <w:sz w:val="23"/>
      <w:szCs w:val="34"/>
    </w:rPr>
  </w:style>
  <w:style w:type="paragraph" w:customStyle="1" w:styleId="JH2">
    <w:name w:val="J_H_2"/>
    <w:basedOn w:val="JH1"/>
    <w:qFormat/>
    <w:rsid w:val="00263FCF"/>
    <w:pPr>
      <w:spacing w:line="400" w:lineRule="exact"/>
    </w:pPr>
    <w:rPr>
      <w:sz w:val="20"/>
      <w:szCs w:val="30"/>
    </w:rPr>
  </w:style>
  <w:style w:type="paragraph" w:customStyle="1" w:styleId="JSmall">
    <w:name w:val="J_Small"/>
    <w:basedOn w:val="JSingleTxt"/>
    <w:next w:val="JSingleTxt"/>
    <w:qFormat/>
    <w:rsid w:val="00263FCF"/>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263FCF"/>
    <w:pPr>
      <w:tabs>
        <w:tab w:val="right" w:leader="dot" w:pos="360"/>
      </w:tabs>
      <w:spacing w:line="310" w:lineRule="exact"/>
      <w:jc w:val="right"/>
    </w:pPr>
    <w:rPr>
      <w:spacing w:val="5"/>
      <w:w w:val="104"/>
      <w:kern w:val="14"/>
      <w:sz w:val="17"/>
      <w:szCs w:val="25"/>
    </w:rPr>
  </w:style>
  <w:style w:type="character" w:styleId="LineNumber">
    <w:name w:val="line number"/>
    <w:qFormat/>
    <w:rsid w:val="00263FCF"/>
    <w:rPr>
      <w:sz w:val="14"/>
      <w:szCs w:val="16"/>
    </w:rPr>
  </w:style>
  <w:style w:type="paragraph" w:customStyle="1" w:styleId="SmallX">
    <w:name w:val="SmallX"/>
    <w:basedOn w:val="Small"/>
    <w:next w:val="Normal"/>
    <w:qFormat/>
    <w:rsid w:val="00263FCF"/>
    <w:pPr>
      <w:spacing w:line="240" w:lineRule="exact"/>
    </w:pPr>
    <w:rPr>
      <w:spacing w:val="6"/>
      <w:w w:val="106"/>
      <w:sz w:val="14"/>
      <w:szCs w:val="21"/>
    </w:rPr>
  </w:style>
  <w:style w:type="paragraph" w:customStyle="1" w:styleId="XLarge">
    <w:name w:val="XLarge"/>
    <w:basedOn w:val="HM"/>
    <w:qFormat/>
    <w:rsid w:val="00263FCF"/>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263FCF"/>
    <w:pPr>
      <w:spacing w:line="820" w:lineRule="exact"/>
    </w:pPr>
    <w:rPr>
      <w:spacing w:val="-8"/>
      <w:w w:val="96"/>
      <w:sz w:val="57"/>
      <w:szCs w:val="86"/>
    </w:rPr>
  </w:style>
  <w:style w:type="paragraph" w:customStyle="1" w:styleId="Distribution">
    <w:name w:val="Distribution"/>
    <w:basedOn w:val="Normal"/>
    <w:next w:val="Normal"/>
    <w:qFormat/>
    <w:rsid w:val="00263FCF"/>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263FCF"/>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263FCF"/>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263FCF"/>
    <w:pPr>
      <w:tabs>
        <w:tab w:val="center" w:pos="4320"/>
        <w:tab w:val="right" w:pos="8640"/>
      </w:tabs>
      <w:spacing w:after="0" w:line="210" w:lineRule="exact"/>
      <w:jc w:val="right"/>
    </w:pPr>
    <w:rPr>
      <w:rFonts w:ascii="Times New Roman" w:eastAsia="PMingLiU" w:hAnsi="Times New Roman" w:cs="Simplified Arabic"/>
      <w:w w:val="103"/>
      <w:kern w:val="14"/>
      <w:sz w:val="20"/>
      <w:szCs w:val="30"/>
    </w:rPr>
  </w:style>
  <w:style w:type="paragraph" w:customStyle="1" w:styleId="Session">
    <w:name w:val="Session"/>
    <w:basedOn w:val="H23"/>
    <w:qFormat/>
    <w:rsid w:val="00263FCF"/>
    <w:pPr>
      <w:tabs>
        <w:tab w:val="left" w:pos="662"/>
        <w:tab w:val="left" w:pos="1267"/>
        <w:tab w:val="left" w:pos="1987"/>
        <w:tab w:val="left" w:pos="2650"/>
      </w:tabs>
      <w:spacing w:after="0"/>
      <w:ind w:left="662" w:hanging="662"/>
    </w:pPr>
  </w:style>
  <w:style w:type="paragraph" w:customStyle="1" w:styleId="Committee">
    <w:name w:val="Committee"/>
    <w:basedOn w:val="H1"/>
    <w:qFormat/>
    <w:rsid w:val="00263FCF"/>
    <w:pPr>
      <w:tabs>
        <w:tab w:val="left" w:pos="662"/>
        <w:tab w:val="left" w:pos="1267"/>
        <w:tab w:val="left" w:pos="1987"/>
        <w:tab w:val="left" w:pos="2650"/>
      </w:tabs>
      <w:ind w:right="1264"/>
    </w:pPr>
  </w:style>
  <w:style w:type="paragraph" w:customStyle="1" w:styleId="AgendaItemNormal">
    <w:name w:val="Agenda_Item_Normal"/>
    <w:next w:val="Normal"/>
    <w:qFormat/>
    <w:rsid w:val="00263FCF"/>
    <w:pPr>
      <w:spacing w:after="0" w:line="360" w:lineRule="exact"/>
      <w:jc w:val="both"/>
    </w:pPr>
    <w:rPr>
      <w:rFonts w:ascii="Times New Roman" w:eastAsia="PMingLiU" w:hAnsi="Times New Roman" w:cs="Simplified Arabic"/>
      <w:w w:val="103"/>
      <w:kern w:val="14"/>
      <w:sz w:val="20"/>
      <w:szCs w:val="28"/>
    </w:rPr>
  </w:style>
  <w:style w:type="paragraph" w:customStyle="1" w:styleId="Sponsors">
    <w:name w:val="Sponsors"/>
    <w:basedOn w:val="H23"/>
    <w:next w:val="Normal"/>
    <w:qFormat/>
    <w:rsid w:val="00263FCF"/>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263FCF"/>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263FCF"/>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263FCF"/>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263FCF"/>
    <w:rPr>
      <w:i w:val="0"/>
      <w:color w:val="0000FF"/>
      <w:u w:val="none"/>
    </w:rPr>
  </w:style>
  <w:style w:type="paragraph" w:customStyle="1" w:styleId="Bullet1">
    <w:name w:val="Bullet 1"/>
    <w:basedOn w:val="Normal"/>
    <w:qFormat/>
    <w:rsid w:val="00263FCF"/>
    <w:pPr>
      <w:numPr>
        <w:numId w:val="13"/>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263FCF"/>
    <w:pPr>
      <w:numPr>
        <w:numId w:val="14"/>
      </w:numPr>
      <w:spacing w:after="120" w:line="360" w:lineRule="exact"/>
      <w:ind w:right="1264"/>
    </w:pPr>
    <w:rPr>
      <w:kern w:val="14"/>
      <w:szCs w:val="28"/>
    </w:rPr>
  </w:style>
  <w:style w:type="paragraph" w:customStyle="1" w:styleId="Bullet3">
    <w:name w:val="Bullet 3"/>
    <w:basedOn w:val="SingleTxt"/>
    <w:qFormat/>
    <w:rsid w:val="00263FCF"/>
    <w:pPr>
      <w:numPr>
        <w:numId w:val="15"/>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263FCF"/>
    <w:pPr>
      <w:ind w:right="5760"/>
      <w:outlineLvl w:val="1"/>
    </w:pPr>
    <w:rPr>
      <w:spacing w:val="2"/>
      <w:sz w:val="20"/>
      <w:szCs w:val="28"/>
    </w:rPr>
  </w:style>
  <w:style w:type="paragraph" w:customStyle="1" w:styleId="STitleM">
    <w:name w:val="S_Title_M"/>
    <w:basedOn w:val="Normal"/>
    <w:next w:val="Normal"/>
    <w:qFormat/>
    <w:rsid w:val="00263FCF"/>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263FCF"/>
    <w:pPr>
      <w:spacing w:line="600" w:lineRule="exact"/>
      <w:ind w:left="1267" w:right="1267"/>
    </w:pPr>
    <w:rPr>
      <w:w w:val="103"/>
      <w:sz w:val="60"/>
      <w:szCs w:val="60"/>
    </w:rPr>
  </w:style>
  <w:style w:type="paragraph" w:customStyle="1" w:styleId="STitleL">
    <w:name w:val="S_Title_L"/>
    <w:basedOn w:val="XLarge"/>
    <w:next w:val="Normal"/>
    <w:qFormat/>
    <w:rsid w:val="00263FCF"/>
    <w:rPr>
      <w:spacing w:val="-8"/>
      <w:w w:val="96"/>
      <w:sz w:val="57"/>
    </w:rPr>
  </w:style>
  <w:style w:type="paragraph" w:styleId="CommentText">
    <w:name w:val="annotation text"/>
    <w:basedOn w:val="Normal"/>
    <w:link w:val="CommentTextChar"/>
    <w:uiPriority w:val="99"/>
    <w:semiHidden/>
    <w:unhideWhenUsed/>
    <w:rsid w:val="00263FCF"/>
    <w:pPr>
      <w:spacing w:line="240" w:lineRule="auto"/>
    </w:pPr>
    <w:rPr>
      <w:kern w:val="14"/>
    </w:rPr>
  </w:style>
  <w:style w:type="character" w:customStyle="1" w:styleId="CommentTextChar">
    <w:name w:val="Comment Text Char"/>
    <w:basedOn w:val="DefaultParagraphFont"/>
    <w:link w:val="CommentText"/>
    <w:uiPriority w:val="99"/>
    <w:semiHidden/>
    <w:rsid w:val="00263FCF"/>
    <w:rPr>
      <w:rFonts w:ascii="Times New Roman" w:eastAsia="PMingLiU" w:hAnsi="Times New Roman" w:cs="Simplified Arabic"/>
      <w:kern w:val="14"/>
      <w:sz w:val="20"/>
    </w:rPr>
  </w:style>
  <w:style w:type="paragraph" w:styleId="CommentSubject">
    <w:name w:val="annotation subject"/>
    <w:basedOn w:val="CommentText"/>
    <w:next w:val="CommentText"/>
    <w:link w:val="CommentSubjectChar"/>
    <w:uiPriority w:val="99"/>
    <w:semiHidden/>
    <w:unhideWhenUsed/>
    <w:rsid w:val="00263FCF"/>
    <w:rPr>
      <w:b/>
      <w:bCs/>
    </w:rPr>
  </w:style>
  <w:style w:type="character" w:customStyle="1" w:styleId="CommentSubjectChar">
    <w:name w:val="Comment Subject Char"/>
    <w:basedOn w:val="CommentTextChar"/>
    <w:link w:val="CommentSubject"/>
    <w:uiPriority w:val="99"/>
    <w:semiHidden/>
    <w:rsid w:val="00263FCF"/>
    <w:rPr>
      <w:rFonts w:ascii="Times New Roman" w:eastAsia="PMingLiU" w:hAnsi="Times New Roman" w:cs="Simplified Arabic"/>
      <w:b/>
      <w:bCs/>
      <w:kern w:val="14"/>
      <w:sz w:val="20"/>
    </w:rPr>
  </w:style>
  <w:style w:type="paragraph" w:customStyle="1" w:styleId="Bullet1G">
    <w:name w:val="_Bullet 1_G"/>
    <w:basedOn w:val="Normal"/>
    <w:qFormat/>
    <w:rsid w:val="00263FCF"/>
    <w:pPr>
      <w:numPr>
        <w:numId w:val="16"/>
      </w:numPr>
      <w:bidi w:val="0"/>
      <w:spacing w:after="120"/>
      <w:ind w:right="1134"/>
      <w:jc w:val="both"/>
    </w:pPr>
    <w:rPr>
      <w:sz w:val="22"/>
    </w:rPr>
  </w:style>
  <w:style w:type="character" w:customStyle="1" w:styleId="SingleTxtGChar">
    <w:name w:val="_ Single Txt_G Char"/>
    <w:link w:val="SingleTxtG"/>
    <w:rsid w:val="00263FCF"/>
    <w:rPr>
      <w:rFonts w:ascii="Times New Roman" w:eastAsia="PMingLiU" w:hAnsi="Times New Roman" w:cs="Simplified Arabic"/>
      <w:sz w:val="20"/>
      <w:szCs w:val="20"/>
      <w:lang w:val="en-GB"/>
    </w:rPr>
  </w:style>
  <w:style w:type="paragraph" w:customStyle="1" w:styleId="Preparedby">
    <w:name w:val="Prepared by:"/>
    <w:basedOn w:val="H23GA"/>
    <w:qFormat/>
    <w:rsid w:val="00263FCF"/>
    <w:rPr>
      <w:sz w:val="32"/>
      <w:szCs w:val="32"/>
    </w:rPr>
  </w:style>
  <w:style w:type="paragraph" w:customStyle="1" w:styleId="ParaNoG">
    <w:name w:val="_ParaNo._G"/>
    <w:basedOn w:val="SingleTxtG"/>
    <w:rsid w:val="00263FCF"/>
    <w:pPr>
      <w:numPr>
        <w:numId w:val="23"/>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263FCF"/>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263FCF"/>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263FCF"/>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263FCF"/>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263FCF"/>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263FCF"/>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263FCF"/>
    <w:pPr>
      <w:numPr>
        <w:numId w:val="19"/>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263FCF"/>
    <w:pPr>
      <w:spacing w:after="0" w:line="240" w:lineRule="auto"/>
    </w:pPr>
    <w:rPr>
      <w:rFonts w:eastAsiaTheme="minorEastAsia"/>
      <w:sz w:val="24"/>
      <w:szCs w:val="24"/>
      <w:lang w:val="fr-FR" w:eastAsia="fr-FR"/>
    </w:rPr>
  </w:style>
  <w:style w:type="paragraph" w:customStyle="1" w:styleId="Default">
    <w:name w:val="Default"/>
    <w:semiHidden/>
    <w:rsid w:val="00263FCF"/>
    <w:pPr>
      <w:autoSpaceDE w:val="0"/>
      <w:autoSpaceDN w:val="0"/>
      <w:adjustRightInd w:val="0"/>
      <w:spacing w:after="0" w:line="240" w:lineRule="auto"/>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263FCF"/>
  </w:style>
  <w:style w:type="character" w:customStyle="1" w:styleId="preferred">
    <w:name w:val="preferred"/>
    <w:basedOn w:val="DefaultParagraphFont"/>
    <w:rsid w:val="00263FCF"/>
  </w:style>
  <w:style w:type="character" w:customStyle="1" w:styleId="admitted">
    <w:name w:val="admitted"/>
    <w:basedOn w:val="DefaultParagraphFont"/>
    <w:rsid w:val="00263FCF"/>
  </w:style>
  <w:style w:type="paragraph" w:styleId="TOC7">
    <w:name w:val="toc 7"/>
    <w:basedOn w:val="Normal"/>
    <w:next w:val="Normal"/>
    <w:autoRedefine/>
    <w:uiPriority w:val="39"/>
    <w:unhideWhenUsed/>
    <w:rsid w:val="00165FA4"/>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165FA4"/>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165FA4"/>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263FCF"/>
    <w:pPr>
      <w:bidi w:val="0"/>
      <w:spacing w:after="160" w:line="240" w:lineRule="exact"/>
      <w:jc w:val="both"/>
    </w:pPr>
    <w:rPr>
      <w:rFonts w:asciiTheme="minorHAnsi" w:eastAsia="Times New Roman" w:hAnsiTheme="minorHAnsi" w:cstheme="minorBidi"/>
      <w:sz w:val="22"/>
      <w:szCs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ar/E/C.12/BIH/3," TargetMode="External"/><Relationship Id="rId3" Type="http://schemas.openxmlformats.org/officeDocument/2006/relationships/hyperlink" Target="http://undocs.org/ar/E/C.12/2021/SR.37.%0d" TargetMode="External"/><Relationship Id="rId7" Type="http://schemas.openxmlformats.org/officeDocument/2006/relationships/hyperlink" Target="http://undocs.org/ar/E/C.12/2020/2.%0d" TargetMode="External"/><Relationship Id="rId2" Type="http://schemas.openxmlformats.org/officeDocument/2006/relationships/hyperlink" Target="http://undocs.org/ar/E/C.12/2021/SR.35" TargetMode="External"/><Relationship Id="rId1" Type="http://schemas.openxmlformats.org/officeDocument/2006/relationships/hyperlink" Target="http://undocs.org/ar/E/C.12/BIH/3.%0d" TargetMode="External"/><Relationship Id="rId6" Type="http://schemas.openxmlformats.org/officeDocument/2006/relationships/hyperlink" Target="http://undocs.org/ar/E/C.12/2020/1.%0d" TargetMode="External"/><Relationship Id="rId5" Type="http://schemas.openxmlformats.org/officeDocument/2006/relationships/hyperlink" Target="http://undocs.org/ar/E/C.12/BIH/CO/2," TargetMode="External"/><Relationship Id="rId10" Type="http://schemas.openxmlformats.org/officeDocument/2006/relationships/hyperlink" Target="http://undocs.org/ar/HRI/MC/2008/3." TargetMode="External"/><Relationship Id="rId4" Type="http://schemas.openxmlformats.org/officeDocument/2006/relationships/hyperlink" Target="http://undocs.org/ar/E/C.12/BIH/RQ/3.%0d" TargetMode="External"/><Relationship Id="rId9" Type="http://schemas.openxmlformats.org/officeDocument/2006/relationships/hyperlink" Target="http://undocs.org/ar/E/C.12/2019/1.%0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A83C7-E462-4473-A8D9-F9C19390A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4418</Words>
  <Characters>25184</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E/C.12/BIH/CO/3</vt:lpstr>
    </vt:vector>
  </TitlesOfParts>
  <Company>DCM</Company>
  <LinksUpToDate>false</LinksUpToDate>
  <CharactersWithSpaces>29543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E/C.12/BIH/CO/3</dc:title>
  <dc:subject>GE.2116399(A)</dc:subject>
  <dc:creator>Gamal MAHMOUD - AGHA85</dc:creator>
  <cp:keywords>GE.2132186(A)</cp:keywords>
  <dc:description>Distr.: General_x000d_
11 November 2021_x000d_
Original: English</dc:description>
  <cp:lastModifiedBy>Gamal MAHMOUD</cp:lastModifiedBy>
  <cp:revision>2</cp:revision>
  <dcterms:created xsi:type="dcterms:W3CDTF">2021-11-25T14:27:00Z</dcterms:created>
  <dcterms:modified xsi:type="dcterms:W3CDTF">2021-11-25T14:27:00Z</dcterms:modified>
  <cp:category>Final</cp:category>
</cp:coreProperties>
</file>