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F739AB" w:rsidRPr="00153A9C">
        <w:trPr>
          <w:trHeight w:hRule="exact" w:val="851"/>
        </w:trPr>
        <w:tc>
          <w:tcPr>
            <w:tcW w:w="1280" w:type="dxa"/>
            <w:tcBorders>
              <w:bottom w:val="single" w:sz="4" w:space="0" w:color="auto"/>
            </w:tcBorders>
            <w:shd w:val="clear" w:color="auto" w:fill="auto"/>
          </w:tcPr>
          <w:p w:rsidR="00F739AB" w:rsidRPr="00153A9C" w:rsidRDefault="00F739AB" w:rsidP="0098427B">
            <w:pPr>
              <w:suppressAutoHyphens w:val="0"/>
              <w:ind w:right="20"/>
              <w:rPr>
                <w:lang w:val="es-CO" w:eastAsia="es-ES"/>
              </w:rPr>
            </w:pPr>
          </w:p>
        </w:tc>
        <w:tc>
          <w:tcPr>
            <w:tcW w:w="2273" w:type="dxa"/>
            <w:tcBorders>
              <w:bottom w:val="single" w:sz="4" w:space="0" w:color="auto"/>
            </w:tcBorders>
            <w:shd w:val="clear" w:color="auto" w:fill="auto"/>
            <w:vAlign w:val="bottom"/>
          </w:tcPr>
          <w:p w:rsidR="00F739AB" w:rsidRPr="00153A9C" w:rsidRDefault="00FC1C26" w:rsidP="00FC1C26">
            <w:pPr>
              <w:suppressAutoHyphens w:val="0"/>
              <w:spacing w:after="80" w:line="300" w:lineRule="exact"/>
              <w:rPr>
                <w:sz w:val="28"/>
                <w:lang w:val="es-CO" w:eastAsia="es-ES"/>
              </w:rPr>
            </w:pPr>
            <w:r w:rsidRPr="00153A9C">
              <w:rPr>
                <w:sz w:val="28"/>
                <w:lang w:val="es-CO" w:eastAsia="es-ES"/>
              </w:rPr>
              <w:t>Naciones Unidas</w:t>
            </w:r>
          </w:p>
        </w:tc>
        <w:tc>
          <w:tcPr>
            <w:tcW w:w="6086" w:type="dxa"/>
            <w:gridSpan w:val="2"/>
            <w:tcBorders>
              <w:bottom w:val="single" w:sz="4" w:space="0" w:color="auto"/>
            </w:tcBorders>
            <w:shd w:val="clear" w:color="auto" w:fill="auto"/>
            <w:vAlign w:val="bottom"/>
          </w:tcPr>
          <w:p w:rsidR="00F739AB" w:rsidRPr="00153A9C" w:rsidRDefault="00F739AB" w:rsidP="00F739AB">
            <w:pPr>
              <w:suppressAutoHyphens w:val="0"/>
              <w:spacing w:after="20"/>
              <w:jc w:val="right"/>
              <w:rPr>
                <w:lang w:val="es-CO" w:eastAsia="es-ES"/>
              </w:rPr>
            </w:pPr>
            <w:r w:rsidRPr="00153A9C">
              <w:rPr>
                <w:sz w:val="40"/>
                <w:lang w:val="es-CO" w:eastAsia="es-ES"/>
              </w:rPr>
              <w:t>E</w:t>
            </w:r>
            <w:r w:rsidRPr="00153A9C">
              <w:rPr>
                <w:lang w:val="es-CO" w:eastAsia="es-ES"/>
              </w:rPr>
              <w:t>/C.12/BIH/2</w:t>
            </w:r>
          </w:p>
        </w:tc>
      </w:tr>
      <w:tr w:rsidR="00F739AB" w:rsidRPr="00153A9C">
        <w:trPr>
          <w:trHeight w:hRule="exact" w:val="2835"/>
        </w:trPr>
        <w:tc>
          <w:tcPr>
            <w:tcW w:w="1280" w:type="dxa"/>
            <w:tcBorders>
              <w:top w:val="single" w:sz="4" w:space="0" w:color="auto"/>
              <w:bottom w:val="single" w:sz="12" w:space="0" w:color="auto"/>
            </w:tcBorders>
            <w:shd w:val="clear" w:color="auto" w:fill="auto"/>
          </w:tcPr>
          <w:p w:rsidR="00F739AB" w:rsidRPr="00153A9C" w:rsidRDefault="00F739AB" w:rsidP="00F739AB">
            <w:pPr>
              <w:suppressAutoHyphens w:val="0"/>
              <w:spacing w:before="120"/>
              <w:jc w:val="center"/>
              <w:rPr>
                <w:lang w:val="es-CO" w:eastAsia="es-ES"/>
              </w:rPr>
            </w:pPr>
            <w:r w:rsidRPr="00153A9C">
              <w:rPr>
                <w:lang w:val="es-CO"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F739AB" w:rsidRPr="00153A9C" w:rsidRDefault="00FC1C26" w:rsidP="00FC1C26">
            <w:pPr>
              <w:suppressAutoHyphens w:val="0"/>
              <w:spacing w:before="120" w:line="420" w:lineRule="exact"/>
              <w:rPr>
                <w:b/>
                <w:sz w:val="40"/>
                <w:szCs w:val="40"/>
                <w:lang w:val="es-CO" w:eastAsia="es-ES"/>
              </w:rPr>
            </w:pPr>
            <w:r w:rsidRPr="00153A9C">
              <w:rPr>
                <w:b/>
                <w:sz w:val="40"/>
                <w:szCs w:val="40"/>
                <w:lang w:val="es-CO" w:eastAsia="es-ES"/>
              </w:rPr>
              <w:t>Consejo Económico y Social</w:t>
            </w:r>
          </w:p>
        </w:tc>
        <w:tc>
          <w:tcPr>
            <w:tcW w:w="2819" w:type="dxa"/>
            <w:tcBorders>
              <w:top w:val="single" w:sz="4" w:space="0" w:color="auto"/>
              <w:bottom w:val="single" w:sz="12" w:space="0" w:color="auto"/>
            </w:tcBorders>
            <w:shd w:val="clear" w:color="auto" w:fill="auto"/>
          </w:tcPr>
          <w:p w:rsidR="00F739AB" w:rsidRPr="00153A9C" w:rsidRDefault="00F739AB" w:rsidP="00F739AB">
            <w:pPr>
              <w:suppressAutoHyphens w:val="0"/>
              <w:spacing w:before="240"/>
              <w:rPr>
                <w:lang w:val="es-CO" w:eastAsia="es-ES"/>
              </w:rPr>
            </w:pPr>
            <w:r w:rsidRPr="00153A9C">
              <w:rPr>
                <w:lang w:val="es-CO" w:eastAsia="es-ES"/>
              </w:rPr>
              <w:t>Distr.</w:t>
            </w:r>
            <w:r w:rsidR="00FC1C26" w:rsidRPr="00153A9C">
              <w:rPr>
                <w:lang w:val="es-CO" w:eastAsia="es-ES"/>
              </w:rPr>
              <w:t xml:space="preserve"> g</w:t>
            </w:r>
            <w:r w:rsidRPr="00153A9C">
              <w:rPr>
                <w:lang w:val="es-CO" w:eastAsia="es-ES"/>
              </w:rPr>
              <w:t>eneral</w:t>
            </w:r>
          </w:p>
          <w:p w:rsidR="00F739AB" w:rsidRPr="00153A9C" w:rsidRDefault="007F5AEE" w:rsidP="00F739AB">
            <w:pPr>
              <w:suppressAutoHyphens w:val="0"/>
              <w:rPr>
                <w:lang w:val="es-CO" w:eastAsia="es-ES"/>
              </w:rPr>
            </w:pPr>
            <w:r w:rsidRPr="00153A9C">
              <w:rPr>
                <w:lang w:val="es-CO" w:eastAsia="es-ES"/>
              </w:rPr>
              <w:t>2</w:t>
            </w:r>
            <w:r w:rsidR="00485AFE" w:rsidRPr="00153A9C">
              <w:rPr>
                <w:lang w:val="es-CO" w:eastAsia="es-ES"/>
              </w:rPr>
              <w:t xml:space="preserve"> </w:t>
            </w:r>
            <w:r w:rsidR="00FC1C26" w:rsidRPr="00153A9C">
              <w:rPr>
                <w:lang w:val="es-CO" w:eastAsia="es-ES"/>
              </w:rPr>
              <w:t xml:space="preserve">de noviembre de </w:t>
            </w:r>
            <w:r w:rsidR="00F739AB" w:rsidRPr="00153A9C">
              <w:rPr>
                <w:lang w:val="es-CO" w:eastAsia="es-ES"/>
              </w:rPr>
              <w:t>2012</w:t>
            </w:r>
          </w:p>
          <w:p w:rsidR="00F739AB" w:rsidRPr="00153A9C" w:rsidRDefault="00FC1C26" w:rsidP="00F739AB">
            <w:pPr>
              <w:suppressAutoHyphens w:val="0"/>
              <w:rPr>
                <w:lang w:val="es-CO" w:eastAsia="es-ES"/>
              </w:rPr>
            </w:pPr>
            <w:r w:rsidRPr="00153A9C">
              <w:rPr>
                <w:lang w:val="es-CO" w:eastAsia="es-ES"/>
              </w:rPr>
              <w:t>Español</w:t>
            </w:r>
          </w:p>
          <w:p w:rsidR="00F739AB" w:rsidRPr="00153A9C" w:rsidRDefault="00F739AB" w:rsidP="00F739AB">
            <w:pPr>
              <w:suppressAutoHyphens w:val="0"/>
              <w:rPr>
                <w:lang w:val="es-CO" w:eastAsia="es-ES"/>
              </w:rPr>
            </w:pPr>
            <w:r w:rsidRPr="00153A9C">
              <w:rPr>
                <w:lang w:val="es-CO" w:eastAsia="es-ES"/>
              </w:rPr>
              <w:t xml:space="preserve">Original: </w:t>
            </w:r>
            <w:r w:rsidR="00FC1C26" w:rsidRPr="00153A9C">
              <w:rPr>
                <w:lang w:val="es-CO" w:eastAsia="es-ES"/>
              </w:rPr>
              <w:t>inglés</w:t>
            </w:r>
          </w:p>
          <w:p w:rsidR="00F739AB" w:rsidRPr="00153A9C" w:rsidRDefault="00F739AB" w:rsidP="00F739AB">
            <w:pPr>
              <w:suppressAutoHyphens w:val="0"/>
              <w:rPr>
                <w:lang w:val="es-CO" w:eastAsia="es-ES"/>
              </w:rPr>
            </w:pPr>
          </w:p>
        </w:tc>
      </w:tr>
    </w:tbl>
    <w:p w:rsidR="005203FB" w:rsidRPr="00153A9C" w:rsidRDefault="006320F5" w:rsidP="005203FB">
      <w:pPr>
        <w:suppressAutoHyphens w:val="0"/>
        <w:spacing w:before="120" w:line="240" w:lineRule="auto"/>
        <w:rPr>
          <w:rFonts w:eastAsia="SimSun"/>
          <w:b/>
          <w:sz w:val="24"/>
          <w:szCs w:val="24"/>
          <w:lang w:val="es-CO" w:eastAsia="zh-CN"/>
        </w:rPr>
      </w:pPr>
      <w:r w:rsidRPr="00153A9C">
        <w:rPr>
          <w:rFonts w:eastAsia="SimSun"/>
          <w:b/>
          <w:sz w:val="24"/>
          <w:szCs w:val="24"/>
          <w:lang w:val="es-CO" w:eastAsia="zh-CN"/>
        </w:rPr>
        <w:t>Comité de Derechos Económicos, Sociales y Culturales</w:t>
      </w:r>
    </w:p>
    <w:p w:rsidR="005203FB" w:rsidRPr="00153A9C" w:rsidRDefault="005203FB" w:rsidP="00C60430">
      <w:pPr>
        <w:pStyle w:val="HMG"/>
        <w:rPr>
          <w:lang w:val="es-CO"/>
        </w:rPr>
      </w:pPr>
      <w:r w:rsidRPr="00153A9C">
        <w:rPr>
          <w:lang w:val="es-CO"/>
        </w:rPr>
        <w:tab/>
      </w:r>
      <w:r w:rsidRPr="00153A9C">
        <w:rPr>
          <w:lang w:val="es-CO"/>
        </w:rPr>
        <w:tab/>
      </w:r>
      <w:r w:rsidR="00FC1C26" w:rsidRPr="00153A9C">
        <w:rPr>
          <w:lang w:val="es-CO"/>
        </w:rPr>
        <w:t>Aplicación del Pacto Internacional de Derechos Económicos, Sociales y Culturales</w:t>
      </w:r>
    </w:p>
    <w:p w:rsidR="005203FB" w:rsidRPr="00153A9C" w:rsidRDefault="005203FB" w:rsidP="00C60430">
      <w:pPr>
        <w:pStyle w:val="HChG"/>
        <w:rPr>
          <w:lang w:val="es-CO"/>
        </w:rPr>
      </w:pPr>
      <w:r w:rsidRPr="00153A9C">
        <w:rPr>
          <w:lang w:val="es-CO"/>
        </w:rPr>
        <w:tab/>
      </w:r>
      <w:r w:rsidRPr="00153A9C">
        <w:rPr>
          <w:lang w:val="es-CO"/>
        </w:rPr>
        <w:tab/>
      </w:r>
      <w:r w:rsidR="00D17D78" w:rsidRPr="00153A9C">
        <w:rPr>
          <w:lang w:val="es-CO"/>
        </w:rPr>
        <w:t xml:space="preserve">Segundo informe periódico </w:t>
      </w:r>
      <w:r w:rsidR="00FC1C26" w:rsidRPr="00153A9C">
        <w:rPr>
          <w:lang w:val="es-CO"/>
        </w:rPr>
        <w:t xml:space="preserve">presentado por los Estados </w:t>
      </w:r>
      <w:r w:rsidR="00F53C98">
        <w:rPr>
          <w:lang w:val="es-CO"/>
        </w:rPr>
        <w:br/>
      </w:r>
      <w:r w:rsidR="00FC1C26" w:rsidRPr="00153A9C">
        <w:rPr>
          <w:lang w:val="es-CO"/>
        </w:rPr>
        <w:t>partes en virtud de los artículos 16 y 17 del Pacto</w:t>
      </w:r>
    </w:p>
    <w:p w:rsidR="005203FB" w:rsidRPr="00153A9C" w:rsidRDefault="005203FB" w:rsidP="00C60430">
      <w:pPr>
        <w:pStyle w:val="HMG"/>
        <w:rPr>
          <w:rFonts w:eastAsia="SimSun"/>
          <w:bCs/>
          <w:sz w:val="24"/>
          <w:szCs w:val="24"/>
          <w:lang w:val="es-CO" w:eastAsia="zh-CN"/>
        </w:rPr>
      </w:pPr>
      <w:r w:rsidRPr="00153A9C">
        <w:rPr>
          <w:lang w:val="es-CO"/>
        </w:rPr>
        <w:tab/>
      </w:r>
      <w:r w:rsidRPr="00153A9C">
        <w:rPr>
          <w:lang w:val="es-CO"/>
        </w:rPr>
        <w:tab/>
        <w:t xml:space="preserve">Bosnia </w:t>
      </w:r>
      <w:r w:rsidR="00C729C0" w:rsidRPr="00153A9C">
        <w:rPr>
          <w:lang w:val="es-CO"/>
        </w:rPr>
        <w:t>y</w:t>
      </w:r>
      <w:r w:rsidRPr="00153A9C">
        <w:rPr>
          <w:lang w:val="es-CO"/>
        </w:rPr>
        <w:t xml:space="preserve"> Herzegovina</w:t>
      </w:r>
      <w:r w:rsidRPr="00C60430">
        <w:rPr>
          <w:rStyle w:val="FootnoteReference"/>
          <w:b w:val="0"/>
          <w:sz w:val="20"/>
          <w:vertAlign w:val="baseline"/>
        </w:rPr>
        <w:footnoteReference w:customMarkFollows="1" w:id="2"/>
        <w:t>*</w:t>
      </w:r>
    </w:p>
    <w:p w:rsidR="00403E9F" w:rsidRPr="00153A9C" w:rsidRDefault="003233BD" w:rsidP="003233BD">
      <w:pPr>
        <w:suppressAutoHyphens w:val="0"/>
        <w:spacing w:after="120"/>
        <w:ind w:left="1134" w:right="1134"/>
        <w:jc w:val="right"/>
        <w:rPr>
          <w:lang w:val="es-CO" w:eastAsia="es-ES"/>
        </w:rPr>
      </w:pPr>
      <w:r w:rsidRPr="00153A9C">
        <w:rPr>
          <w:lang w:val="es-CO" w:eastAsia="es-ES"/>
        </w:rPr>
        <w:t xml:space="preserve">[9 </w:t>
      </w:r>
      <w:r w:rsidR="00D17D78" w:rsidRPr="00153A9C">
        <w:rPr>
          <w:lang w:val="es-CO" w:eastAsia="es-ES"/>
        </w:rPr>
        <w:t xml:space="preserve">de agosto de </w:t>
      </w:r>
      <w:r w:rsidRPr="00153A9C">
        <w:rPr>
          <w:lang w:val="es-CO" w:eastAsia="es-ES"/>
        </w:rPr>
        <w:t>2010]</w:t>
      </w:r>
    </w:p>
    <w:p w:rsidR="005F517C" w:rsidRDefault="00947A77" w:rsidP="005F517C">
      <w:pPr>
        <w:tabs>
          <w:tab w:val="right" w:pos="8929"/>
          <w:tab w:val="right" w:pos="9638"/>
        </w:tabs>
        <w:suppressAutoHyphens w:val="0"/>
        <w:spacing w:after="120"/>
        <w:rPr>
          <w:sz w:val="28"/>
          <w:lang w:val="es-CO"/>
        </w:rPr>
      </w:pPr>
      <w:r w:rsidRPr="00153A9C">
        <w:rPr>
          <w:lang w:val="es-CO"/>
        </w:rPr>
        <w:br w:type="page"/>
      </w:r>
      <w:r w:rsidR="005F517C">
        <w:rPr>
          <w:sz w:val="28"/>
          <w:lang w:val="es-CO"/>
        </w:rPr>
        <w:t>Índice</w:t>
      </w:r>
    </w:p>
    <w:p w:rsidR="005F517C" w:rsidRDefault="005F517C" w:rsidP="005F517C">
      <w:pPr>
        <w:tabs>
          <w:tab w:val="right" w:pos="8929"/>
          <w:tab w:val="right" w:pos="9638"/>
        </w:tabs>
        <w:suppressAutoHyphens w:val="0"/>
        <w:spacing w:after="120"/>
        <w:ind w:left="283"/>
        <w:rPr>
          <w:sz w:val="18"/>
          <w:lang w:val="es-CO"/>
        </w:rPr>
      </w:pPr>
      <w:r>
        <w:rPr>
          <w:i/>
          <w:sz w:val="18"/>
          <w:lang w:val="es-CO"/>
        </w:rPr>
        <w:tab/>
        <w:t>Párrafos</w:t>
      </w:r>
      <w:r>
        <w:rPr>
          <w:i/>
          <w:sz w:val="18"/>
          <w:lang w:val="es-CO"/>
        </w:rPr>
        <w:tab/>
        <w:t>Página</w:t>
      </w:r>
    </w:p>
    <w:p w:rsidR="00AE5601" w:rsidRPr="00153A9C" w:rsidRDefault="00AE5601" w:rsidP="005F517C">
      <w:pPr>
        <w:tabs>
          <w:tab w:val="right" w:pos="850"/>
          <w:tab w:val="left" w:pos="1134"/>
          <w:tab w:val="left" w:pos="1559"/>
          <w:tab w:val="left" w:pos="1984"/>
          <w:tab w:val="left" w:leader="dot" w:pos="7654"/>
          <w:tab w:val="right" w:pos="8929"/>
          <w:tab w:val="right" w:pos="9638"/>
        </w:tabs>
        <w:suppressAutoHyphens w:val="0"/>
        <w:spacing w:after="120"/>
        <w:rPr>
          <w:lang w:val="es-CO"/>
        </w:rPr>
      </w:pPr>
      <w:r w:rsidRPr="00153A9C">
        <w:rPr>
          <w:lang w:val="es-CO"/>
        </w:rPr>
        <w:tab/>
        <w:t>I.</w:t>
      </w:r>
      <w:r w:rsidRPr="00153A9C">
        <w:rPr>
          <w:lang w:val="es-CO"/>
        </w:rPr>
        <w:tab/>
        <w:t>Introduc</w:t>
      </w:r>
      <w:r w:rsidR="00006D95" w:rsidRPr="00153A9C">
        <w:rPr>
          <w:lang w:val="es-CO"/>
        </w:rPr>
        <w:t>ción</w:t>
      </w:r>
      <w:r w:rsidRPr="00153A9C">
        <w:rPr>
          <w:lang w:val="es-CO"/>
        </w:rPr>
        <w:tab/>
      </w:r>
      <w:r w:rsidRPr="00153A9C">
        <w:rPr>
          <w:lang w:val="es-CO"/>
        </w:rPr>
        <w:tab/>
        <w:t>1–4</w:t>
      </w:r>
      <w:r w:rsidRPr="00153A9C">
        <w:rPr>
          <w:lang w:val="es-CO"/>
        </w:rPr>
        <w:tab/>
        <w:t>3</w:t>
      </w:r>
    </w:p>
    <w:p w:rsidR="00AE5601" w:rsidRPr="00153A9C" w:rsidRDefault="00AE5601" w:rsidP="005F517C">
      <w:pPr>
        <w:tabs>
          <w:tab w:val="right" w:pos="850"/>
          <w:tab w:val="left" w:pos="1134"/>
          <w:tab w:val="left" w:pos="1559"/>
          <w:tab w:val="left" w:pos="1984"/>
          <w:tab w:val="left" w:leader="dot" w:pos="7654"/>
          <w:tab w:val="right" w:pos="8929"/>
          <w:tab w:val="right" w:pos="9638"/>
        </w:tabs>
        <w:suppressAutoHyphens w:val="0"/>
        <w:spacing w:after="120"/>
        <w:ind w:left="1134" w:hanging="1134"/>
        <w:rPr>
          <w:lang w:val="es-CO"/>
        </w:rPr>
      </w:pPr>
      <w:r w:rsidRPr="00153A9C">
        <w:rPr>
          <w:lang w:val="es-CO"/>
        </w:rPr>
        <w:tab/>
        <w:t>II.</w:t>
      </w:r>
      <w:r w:rsidRPr="00153A9C">
        <w:rPr>
          <w:lang w:val="es-CO"/>
        </w:rPr>
        <w:tab/>
      </w:r>
      <w:r w:rsidR="00006D95" w:rsidRPr="005F517C">
        <w:rPr>
          <w:lang w:val="es-CO"/>
        </w:rPr>
        <w:t xml:space="preserve">Respuestas a las observaciones finales del Comité de Derechos Económicos, </w:t>
      </w:r>
      <w:r w:rsidR="005F517C">
        <w:rPr>
          <w:lang w:val="es-CO"/>
        </w:rPr>
        <w:br/>
      </w:r>
      <w:r w:rsidR="00006D95" w:rsidRPr="005F517C">
        <w:rPr>
          <w:lang w:val="es-CO"/>
        </w:rPr>
        <w:t>Sociales y Culturales</w:t>
      </w:r>
      <w:r w:rsidRPr="00153A9C">
        <w:rPr>
          <w:lang w:val="es-CO"/>
        </w:rPr>
        <w:tab/>
      </w:r>
      <w:r w:rsidRPr="00153A9C">
        <w:rPr>
          <w:lang w:val="es-CO"/>
        </w:rPr>
        <w:tab/>
        <w:t>5–</w:t>
      </w:r>
      <w:r w:rsidR="005F0908" w:rsidRPr="00153A9C">
        <w:rPr>
          <w:lang w:val="es-CO"/>
        </w:rPr>
        <w:t>21</w:t>
      </w:r>
      <w:r w:rsidR="00C94385">
        <w:rPr>
          <w:lang w:val="es-CO"/>
        </w:rPr>
        <w:t>7</w:t>
      </w:r>
      <w:r w:rsidRPr="00153A9C">
        <w:rPr>
          <w:lang w:val="es-CO"/>
        </w:rPr>
        <w:tab/>
      </w:r>
      <w:r w:rsidR="00356D6C" w:rsidRPr="00153A9C">
        <w:rPr>
          <w:lang w:val="es-CO"/>
        </w:rPr>
        <w:t>4</w:t>
      </w:r>
    </w:p>
    <w:p w:rsidR="00356D6C" w:rsidRPr="00153A9C" w:rsidRDefault="00356D6C" w:rsidP="005F517C">
      <w:pPr>
        <w:tabs>
          <w:tab w:val="right" w:pos="850"/>
          <w:tab w:val="left" w:pos="1134"/>
          <w:tab w:val="left" w:pos="1559"/>
          <w:tab w:val="left" w:pos="1984"/>
          <w:tab w:val="left" w:leader="dot" w:pos="7654"/>
          <w:tab w:val="right" w:pos="8929"/>
          <w:tab w:val="right" w:pos="9638"/>
        </w:tabs>
        <w:suppressAutoHyphens w:val="0"/>
        <w:spacing w:after="120"/>
        <w:rPr>
          <w:lang w:val="es-CO"/>
        </w:rPr>
      </w:pPr>
      <w:r w:rsidRPr="00153A9C">
        <w:rPr>
          <w:lang w:val="es-CO"/>
        </w:rPr>
        <w:tab/>
      </w:r>
      <w:r w:rsidRPr="00153A9C">
        <w:rPr>
          <w:lang w:val="es-CO"/>
        </w:rPr>
        <w:tab/>
      </w:r>
      <w:r w:rsidR="00006D95" w:rsidRPr="00153A9C">
        <w:rPr>
          <w:lang w:val="es-CO"/>
        </w:rPr>
        <w:t>Recomendación</w:t>
      </w:r>
      <w:r w:rsidRPr="00153A9C">
        <w:rPr>
          <w:lang w:val="es-CO"/>
        </w:rPr>
        <w:t xml:space="preserve"> 30</w:t>
      </w:r>
      <w:r w:rsidRPr="00153A9C">
        <w:rPr>
          <w:lang w:val="es-CO"/>
        </w:rPr>
        <w:tab/>
      </w:r>
      <w:r w:rsidRPr="00153A9C">
        <w:rPr>
          <w:lang w:val="es-CO"/>
        </w:rPr>
        <w:tab/>
        <w:t>5–</w:t>
      </w:r>
      <w:r w:rsidR="009809CB" w:rsidRPr="00153A9C">
        <w:rPr>
          <w:lang w:val="es-CO"/>
        </w:rPr>
        <w:t>7</w:t>
      </w:r>
      <w:r w:rsidR="009809CB" w:rsidRPr="00153A9C">
        <w:rPr>
          <w:lang w:val="es-CO"/>
        </w:rPr>
        <w:tab/>
        <w:t>4</w:t>
      </w:r>
    </w:p>
    <w:p w:rsidR="00356D6C" w:rsidRPr="00153A9C" w:rsidRDefault="00356D6C" w:rsidP="005F517C">
      <w:pPr>
        <w:tabs>
          <w:tab w:val="right" w:pos="850"/>
          <w:tab w:val="left" w:pos="1134"/>
          <w:tab w:val="left" w:pos="1559"/>
          <w:tab w:val="left" w:pos="1984"/>
          <w:tab w:val="left" w:leader="dot" w:pos="7654"/>
          <w:tab w:val="right" w:pos="8929"/>
          <w:tab w:val="right" w:pos="9638"/>
        </w:tabs>
        <w:suppressAutoHyphens w:val="0"/>
        <w:spacing w:after="120"/>
        <w:rPr>
          <w:lang w:val="es-CO"/>
        </w:rPr>
      </w:pPr>
      <w:r w:rsidRPr="00153A9C">
        <w:rPr>
          <w:lang w:val="es-CO"/>
        </w:rPr>
        <w:tab/>
      </w:r>
      <w:r w:rsidRPr="00153A9C">
        <w:rPr>
          <w:lang w:val="es-CO"/>
        </w:rPr>
        <w:tab/>
      </w:r>
      <w:r w:rsidR="00006D95" w:rsidRPr="00153A9C">
        <w:rPr>
          <w:lang w:val="es-CO"/>
        </w:rPr>
        <w:t>Recomendación</w:t>
      </w:r>
      <w:r w:rsidR="009809CB" w:rsidRPr="00153A9C">
        <w:rPr>
          <w:lang w:val="es-CO"/>
        </w:rPr>
        <w:t xml:space="preserve"> 31</w:t>
      </w:r>
      <w:r w:rsidRPr="00153A9C">
        <w:rPr>
          <w:lang w:val="es-CO"/>
        </w:rPr>
        <w:tab/>
      </w:r>
      <w:r w:rsidR="009809CB" w:rsidRPr="00153A9C">
        <w:rPr>
          <w:lang w:val="es-CO"/>
        </w:rPr>
        <w:tab/>
        <w:t>8–15</w:t>
      </w:r>
      <w:r w:rsidR="009809CB" w:rsidRPr="00153A9C">
        <w:rPr>
          <w:lang w:val="es-CO"/>
        </w:rPr>
        <w:tab/>
        <w:t>4</w:t>
      </w:r>
    </w:p>
    <w:p w:rsidR="00356D6C" w:rsidRPr="00153A9C" w:rsidRDefault="00356D6C" w:rsidP="005F517C">
      <w:pPr>
        <w:tabs>
          <w:tab w:val="right" w:pos="850"/>
          <w:tab w:val="left" w:pos="1134"/>
          <w:tab w:val="left" w:pos="1559"/>
          <w:tab w:val="left" w:pos="1984"/>
          <w:tab w:val="left" w:leader="dot" w:pos="7654"/>
          <w:tab w:val="right" w:pos="8929"/>
          <w:tab w:val="right" w:pos="9638"/>
        </w:tabs>
        <w:suppressAutoHyphens w:val="0"/>
        <w:spacing w:after="120"/>
        <w:rPr>
          <w:lang w:val="es-CO"/>
        </w:rPr>
      </w:pPr>
      <w:r w:rsidRPr="00153A9C">
        <w:rPr>
          <w:lang w:val="es-CO"/>
        </w:rPr>
        <w:tab/>
      </w:r>
      <w:r w:rsidRPr="00153A9C">
        <w:rPr>
          <w:lang w:val="es-CO"/>
        </w:rPr>
        <w:tab/>
      </w:r>
      <w:r w:rsidR="00006D95" w:rsidRPr="00153A9C">
        <w:rPr>
          <w:lang w:val="es-CO"/>
        </w:rPr>
        <w:t>Recomendación</w:t>
      </w:r>
      <w:r w:rsidR="002B3EBF" w:rsidRPr="00153A9C">
        <w:rPr>
          <w:lang w:val="es-CO"/>
        </w:rPr>
        <w:t xml:space="preserve"> 32</w:t>
      </w:r>
      <w:r w:rsidRPr="00153A9C">
        <w:rPr>
          <w:lang w:val="es-CO"/>
        </w:rPr>
        <w:tab/>
      </w:r>
      <w:r w:rsidR="009809CB" w:rsidRPr="00153A9C">
        <w:rPr>
          <w:lang w:val="es-CO"/>
        </w:rPr>
        <w:tab/>
        <w:t>16</w:t>
      </w:r>
      <w:r w:rsidR="002B3EBF" w:rsidRPr="00153A9C">
        <w:rPr>
          <w:lang w:val="es-CO"/>
        </w:rPr>
        <w:t>–21</w:t>
      </w:r>
      <w:r w:rsidR="002B3EBF" w:rsidRPr="00153A9C">
        <w:rPr>
          <w:lang w:val="es-CO"/>
        </w:rPr>
        <w:tab/>
        <w:t>6</w:t>
      </w:r>
    </w:p>
    <w:p w:rsidR="00356D6C" w:rsidRPr="00153A9C"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es-CO"/>
        </w:rPr>
      </w:pPr>
      <w:r>
        <w:rPr>
          <w:lang w:val="es-CO"/>
        </w:rPr>
        <w:tab/>
      </w:r>
      <w:r>
        <w:rPr>
          <w:lang w:val="es-CO"/>
        </w:rPr>
        <w:tab/>
      </w:r>
      <w:r w:rsidR="00006D95" w:rsidRPr="00153A9C">
        <w:rPr>
          <w:lang w:val="es-CO"/>
        </w:rPr>
        <w:t>Recomendación</w:t>
      </w:r>
      <w:r w:rsidR="002B3EBF" w:rsidRPr="00153A9C">
        <w:rPr>
          <w:lang w:val="es-CO"/>
        </w:rPr>
        <w:t xml:space="preserve"> 33</w:t>
      </w:r>
      <w:r w:rsidR="00356D6C" w:rsidRPr="00153A9C">
        <w:rPr>
          <w:lang w:val="es-CO"/>
        </w:rPr>
        <w:tab/>
      </w:r>
      <w:r w:rsidR="002B3EBF" w:rsidRPr="00153A9C">
        <w:rPr>
          <w:lang w:val="es-CO"/>
        </w:rPr>
        <w:tab/>
        <w:t>22–</w:t>
      </w:r>
      <w:r w:rsidR="002B7B30" w:rsidRPr="00153A9C">
        <w:rPr>
          <w:lang w:val="es-CO"/>
        </w:rPr>
        <w:t>37</w:t>
      </w:r>
      <w:r w:rsidR="002B3EBF" w:rsidRPr="00153A9C">
        <w:rPr>
          <w:lang w:val="es-CO"/>
        </w:rPr>
        <w:tab/>
        <w:t>7</w:t>
      </w:r>
    </w:p>
    <w:p w:rsidR="00356D6C" w:rsidRPr="00153A9C"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es-CO"/>
        </w:rPr>
      </w:pPr>
      <w:r>
        <w:rPr>
          <w:lang w:val="es-CO"/>
        </w:rPr>
        <w:tab/>
      </w:r>
      <w:r>
        <w:rPr>
          <w:lang w:val="es-CO"/>
        </w:rPr>
        <w:tab/>
      </w:r>
      <w:r w:rsidR="00006D95" w:rsidRPr="00153A9C">
        <w:rPr>
          <w:lang w:val="es-CO"/>
        </w:rPr>
        <w:t>Recomendación</w:t>
      </w:r>
      <w:r w:rsidR="002B7B30" w:rsidRPr="00153A9C">
        <w:rPr>
          <w:lang w:val="es-CO"/>
        </w:rPr>
        <w:t xml:space="preserve"> 34</w:t>
      </w:r>
      <w:r w:rsidR="00356D6C" w:rsidRPr="00153A9C">
        <w:rPr>
          <w:lang w:val="es-CO"/>
        </w:rPr>
        <w:tab/>
      </w:r>
      <w:r w:rsidR="002B7B30" w:rsidRPr="00153A9C">
        <w:rPr>
          <w:lang w:val="es-CO"/>
        </w:rPr>
        <w:tab/>
        <w:t>38–</w:t>
      </w:r>
      <w:r w:rsidR="0060083B" w:rsidRPr="00153A9C">
        <w:rPr>
          <w:lang w:val="es-CO"/>
        </w:rPr>
        <w:t>40</w:t>
      </w:r>
      <w:r w:rsidR="0060083B" w:rsidRPr="00153A9C">
        <w:rPr>
          <w:lang w:val="es-CO"/>
        </w:rPr>
        <w:tab/>
        <w:t>11</w:t>
      </w:r>
    </w:p>
    <w:p w:rsidR="00356D6C" w:rsidRPr="00153A9C"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es-CO"/>
        </w:rPr>
      </w:pPr>
      <w:r>
        <w:rPr>
          <w:lang w:val="es-CO"/>
        </w:rPr>
        <w:tab/>
      </w:r>
      <w:r>
        <w:rPr>
          <w:lang w:val="es-CO"/>
        </w:rPr>
        <w:tab/>
      </w:r>
      <w:r w:rsidR="00006D95" w:rsidRPr="00153A9C">
        <w:rPr>
          <w:lang w:val="es-CO"/>
        </w:rPr>
        <w:t>Recomendación</w:t>
      </w:r>
      <w:r w:rsidR="00293F6B" w:rsidRPr="00153A9C">
        <w:rPr>
          <w:lang w:val="es-CO"/>
        </w:rPr>
        <w:t xml:space="preserve"> 35</w:t>
      </w:r>
      <w:r w:rsidR="00356D6C" w:rsidRPr="00153A9C">
        <w:rPr>
          <w:lang w:val="es-CO"/>
        </w:rPr>
        <w:tab/>
      </w:r>
      <w:r w:rsidR="00293F6B" w:rsidRPr="00153A9C">
        <w:rPr>
          <w:lang w:val="es-CO"/>
        </w:rPr>
        <w:tab/>
        <w:t>41–69</w:t>
      </w:r>
      <w:r w:rsidR="005F0908" w:rsidRPr="00153A9C">
        <w:rPr>
          <w:lang w:val="es-CO"/>
        </w:rPr>
        <w:tab/>
        <w:t>12</w:t>
      </w:r>
    </w:p>
    <w:p w:rsidR="00356D6C" w:rsidRPr="00153A9C"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es-CO"/>
        </w:rPr>
      </w:pPr>
      <w:r>
        <w:rPr>
          <w:lang w:val="es-CO"/>
        </w:rPr>
        <w:tab/>
      </w:r>
      <w:r>
        <w:rPr>
          <w:lang w:val="es-CO"/>
        </w:rPr>
        <w:tab/>
      </w:r>
      <w:r w:rsidR="00006D95" w:rsidRPr="00153A9C">
        <w:rPr>
          <w:lang w:val="es-CO"/>
        </w:rPr>
        <w:t>Recomendación</w:t>
      </w:r>
      <w:r w:rsidR="00293F6B" w:rsidRPr="00153A9C">
        <w:rPr>
          <w:lang w:val="es-CO"/>
        </w:rPr>
        <w:t xml:space="preserve"> 36</w:t>
      </w:r>
      <w:r w:rsidR="00356D6C" w:rsidRPr="00153A9C">
        <w:rPr>
          <w:lang w:val="es-CO"/>
        </w:rPr>
        <w:tab/>
      </w:r>
      <w:r w:rsidR="00293F6B" w:rsidRPr="00153A9C">
        <w:rPr>
          <w:lang w:val="es-CO"/>
        </w:rPr>
        <w:tab/>
        <w:t>70–78</w:t>
      </w:r>
      <w:r w:rsidR="00293F6B" w:rsidRPr="00153A9C">
        <w:rPr>
          <w:lang w:val="es-CO"/>
        </w:rPr>
        <w:tab/>
      </w:r>
      <w:r w:rsidR="002B4F88">
        <w:rPr>
          <w:lang w:val="es-CO"/>
        </w:rPr>
        <w:t>17</w:t>
      </w:r>
    </w:p>
    <w:p w:rsidR="00356D6C" w:rsidRPr="00153A9C"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es-CO"/>
        </w:rPr>
      </w:pPr>
      <w:r>
        <w:rPr>
          <w:lang w:val="es-CO"/>
        </w:rPr>
        <w:tab/>
      </w:r>
      <w:r>
        <w:rPr>
          <w:lang w:val="es-CO"/>
        </w:rPr>
        <w:tab/>
      </w:r>
      <w:r w:rsidR="00006D95" w:rsidRPr="00153A9C">
        <w:rPr>
          <w:lang w:val="es-CO"/>
        </w:rPr>
        <w:t>Recomendación</w:t>
      </w:r>
      <w:r w:rsidR="00293F6B" w:rsidRPr="00153A9C">
        <w:rPr>
          <w:lang w:val="es-CO"/>
        </w:rPr>
        <w:t xml:space="preserve"> 37</w:t>
      </w:r>
      <w:r w:rsidR="00356D6C" w:rsidRPr="00153A9C">
        <w:rPr>
          <w:lang w:val="es-CO"/>
        </w:rPr>
        <w:tab/>
      </w:r>
      <w:r w:rsidR="002B4F88">
        <w:rPr>
          <w:lang w:val="es-CO"/>
        </w:rPr>
        <w:tab/>
        <w:t>79–81</w:t>
      </w:r>
      <w:r w:rsidR="002B4F88">
        <w:rPr>
          <w:lang w:val="es-CO"/>
        </w:rPr>
        <w:tab/>
        <w:t>19</w:t>
      </w:r>
    </w:p>
    <w:p w:rsidR="00356D6C" w:rsidRPr="00153A9C"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es-CO"/>
        </w:rPr>
      </w:pPr>
      <w:r>
        <w:rPr>
          <w:lang w:val="es-CO"/>
        </w:rPr>
        <w:tab/>
      </w:r>
      <w:r>
        <w:rPr>
          <w:lang w:val="es-CO"/>
        </w:rPr>
        <w:tab/>
      </w:r>
      <w:r w:rsidR="00006D95" w:rsidRPr="00153A9C">
        <w:rPr>
          <w:lang w:val="es-CO"/>
        </w:rPr>
        <w:t>Recomendación</w:t>
      </w:r>
      <w:r w:rsidR="00293F6B" w:rsidRPr="00153A9C">
        <w:rPr>
          <w:lang w:val="es-CO"/>
        </w:rPr>
        <w:t xml:space="preserve"> 38</w:t>
      </w:r>
      <w:r w:rsidR="00356D6C" w:rsidRPr="00153A9C">
        <w:rPr>
          <w:lang w:val="es-CO"/>
        </w:rPr>
        <w:tab/>
      </w:r>
      <w:r w:rsidR="00293F6B" w:rsidRPr="00153A9C">
        <w:rPr>
          <w:lang w:val="es-CO"/>
        </w:rPr>
        <w:tab/>
      </w:r>
      <w:r w:rsidR="00B45337" w:rsidRPr="00153A9C">
        <w:rPr>
          <w:lang w:val="es-CO"/>
        </w:rPr>
        <w:t>82–</w:t>
      </w:r>
      <w:r w:rsidR="00BF4181" w:rsidRPr="00153A9C">
        <w:rPr>
          <w:lang w:val="es-CO"/>
        </w:rPr>
        <w:t>87</w:t>
      </w:r>
      <w:r w:rsidR="002B4F88">
        <w:rPr>
          <w:lang w:val="es-CO"/>
        </w:rPr>
        <w:tab/>
        <w:t>19</w:t>
      </w:r>
    </w:p>
    <w:p w:rsidR="00356D6C" w:rsidRPr="00153A9C"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es-CO"/>
        </w:rPr>
      </w:pPr>
      <w:r>
        <w:rPr>
          <w:lang w:val="es-CO"/>
        </w:rPr>
        <w:tab/>
      </w:r>
      <w:r>
        <w:rPr>
          <w:lang w:val="es-CO"/>
        </w:rPr>
        <w:tab/>
      </w:r>
      <w:r w:rsidR="00006D95" w:rsidRPr="00153A9C">
        <w:rPr>
          <w:lang w:val="es-CO"/>
        </w:rPr>
        <w:t>Recomendación</w:t>
      </w:r>
      <w:r w:rsidR="00BF4181" w:rsidRPr="00153A9C">
        <w:rPr>
          <w:lang w:val="es-CO"/>
        </w:rPr>
        <w:t xml:space="preserve"> 39</w:t>
      </w:r>
      <w:r w:rsidR="00356D6C" w:rsidRPr="00153A9C">
        <w:rPr>
          <w:lang w:val="es-CO"/>
        </w:rPr>
        <w:tab/>
      </w:r>
      <w:r w:rsidR="002B4F88">
        <w:rPr>
          <w:lang w:val="es-CO"/>
        </w:rPr>
        <w:tab/>
        <w:t>88–94</w:t>
      </w:r>
      <w:r w:rsidR="002B4F88">
        <w:rPr>
          <w:lang w:val="es-CO"/>
        </w:rPr>
        <w:tab/>
        <w:t>20</w:t>
      </w:r>
    </w:p>
    <w:p w:rsidR="00356D6C" w:rsidRPr="00153A9C"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es-CO"/>
        </w:rPr>
      </w:pPr>
      <w:r>
        <w:rPr>
          <w:lang w:val="es-CO"/>
        </w:rPr>
        <w:tab/>
      </w:r>
      <w:r>
        <w:rPr>
          <w:lang w:val="es-CO"/>
        </w:rPr>
        <w:tab/>
      </w:r>
      <w:r w:rsidR="00006D95" w:rsidRPr="00153A9C">
        <w:rPr>
          <w:lang w:val="es-CO"/>
        </w:rPr>
        <w:t>Recomendación</w:t>
      </w:r>
      <w:r w:rsidR="00BF4181" w:rsidRPr="00153A9C">
        <w:rPr>
          <w:lang w:val="es-CO"/>
        </w:rPr>
        <w:t xml:space="preserve"> 40</w:t>
      </w:r>
      <w:r w:rsidR="00356D6C" w:rsidRPr="00153A9C">
        <w:rPr>
          <w:lang w:val="es-CO"/>
        </w:rPr>
        <w:tab/>
      </w:r>
      <w:r w:rsidR="002B4F88">
        <w:rPr>
          <w:lang w:val="es-CO"/>
        </w:rPr>
        <w:tab/>
        <w:t>95</w:t>
      </w:r>
      <w:r w:rsidR="002B4F88">
        <w:rPr>
          <w:lang w:val="es-CO"/>
        </w:rPr>
        <w:tab/>
        <w:t>20</w:t>
      </w:r>
    </w:p>
    <w:p w:rsidR="00356D6C" w:rsidRPr="00153A9C"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es-CO"/>
        </w:rPr>
      </w:pPr>
      <w:r>
        <w:rPr>
          <w:lang w:val="es-CO"/>
        </w:rPr>
        <w:tab/>
      </w:r>
      <w:r>
        <w:rPr>
          <w:lang w:val="es-CO"/>
        </w:rPr>
        <w:tab/>
      </w:r>
      <w:r w:rsidR="00006D95" w:rsidRPr="00153A9C">
        <w:rPr>
          <w:lang w:val="es-CO"/>
        </w:rPr>
        <w:t>Recomendación</w:t>
      </w:r>
      <w:r w:rsidR="00BF4181" w:rsidRPr="00153A9C">
        <w:rPr>
          <w:lang w:val="es-CO"/>
        </w:rPr>
        <w:t xml:space="preserve"> 41</w:t>
      </w:r>
      <w:r w:rsidR="00356D6C" w:rsidRPr="00153A9C">
        <w:rPr>
          <w:lang w:val="es-CO"/>
        </w:rPr>
        <w:tab/>
      </w:r>
      <w:r w:rsidR="002B4F88">
        <w:rPr>
          <w:lang w:val="es-CO"/>
        </w:rPr>
        <w:tab/>
        <w:t>96–100</w:t>
      </w:r>
      <w:r w:rsidR="002B4F88">
        <w:rPr>
          <w:lang w:val="es-CO"/>
        </w:rPr>
        <w:tab/>
        <w:t>21</w:t>
      </w:r>
    </w:p>
    <w:p w:rsidR="00356D6C" w:rsidRPr="00153A9C"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es-CO"/>
        </w:rPr>
      </w:pPr>
      <w:r>
        <w:rPr>
          <w:lang w:val="es-CO"/>
        </w:rPr>
        <w:tab/>
      </w:r>
      <w:r>
        <w:rPr>
          <w:lang w:val="es-CO"/>
        </w:rPr>
        <w:tab/>
      </w:r>
      <w:r w:rsidR="00006D95" w:rsidRPr="00153A9C">
        <w:rPr>
          <w:lang w:val="es-CO"/>
        </w:rPr>
        <w:t>Recomendación</w:t>
      </w:r>
      <w:r w:rsidR="00BF4181" w:rsidRPr="00153A9C">
        <w:rPr>
          <w:lang w:val="es-CO"/>
        </w:rPr>
        <w:t xml:space="preserve"> 42</w:t>
      </w:r>
      <w:r w:rsidR="00356D6C" w:rsidRPr="00153A9C">
        <w:rPr>
          <w:lang w:val="es-CO"/>
        </w:rPr>
        <w:tab/>
      </w:r>
      <w:r w:rsidR="002B4F88">
        <w:rPr>
          <w:lang w:val="es-CO"/>
        </w:rPr>
        <w:tab/>
        <w:t>101</w:t>
      </w:r>
      <w:r w:rsidR="002B4F88">
        <w:rPr>
          <w:lang w:val="es-CO"/>
        </w:rPr>
        <w:tab/>
        <w:t>22</w:t>
      </w:r>
    </w:p>
    <w:p w:rsidR="00356D6C" w:rsidRPr="00153A9C"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es-CO"/>
        </w:rPr>
      </w:pPr>
      <w:r>
        <w:rPr>
          <w:lang w:val="es-CO"/>
        </w:rPr>
        <w:tab/>
      </w:r>
      <w:r>
        <w:rPr>
          <w:lang w:val="es-CO"/>
        </w:rPr>
        <w:tab/>
      </w:r>
      <w:r w:rsidR="00006D95" w:rsidRPr="00153A9C">
        <w:rPr>
          <w:lang w:val="es-CO"/>
        </w:rPr>
        <w:t>Recomendación</w:t>
      </w:r>
      <w:r w:rsidR="005D02C0" w:rsidRPr="00153A9C">
        <w:rPr>
          <w:lang w:val="es-CO"/>
        </w:rPr>
        <w:t xml:space="preserve"> 43</w:t>
      </w:r>
      <w:r w:rsidR="00356D6C" w:rsidRPr="00153A9C">
        <w:rPr>
          <w:lang w:val="es-CO"/>
        </w:rPr>
        <w:tab/>
      </w:r>
      <w:r w:rsidR="00BF4181" w:rsidRPr="00153A9C">
        <w:rPr>
          <w:lang w:val="es-CO"/>
        </w:rPr>
        <w:tab/>
        <w:t>102–138</w:t>
      </w:r>
      <w:r w:rsidR="002B4F88">
        <w:rPr>
          <w:lang w:val="es-CO"/>
        </w:rPr>
        <w:tab/>
        <w:t>22</w:t>
      </w:r>
    </w:p>
    <w:p w:rsidR="00356D6C" w:rsidRPr="00153A9C"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es-CO"/>
        </w:rPr>
      </w:pPr>
      <w:r>
        <w:rPr>
          <w:lang w:val="es-CO"/>
        </w:rPr>
        <w:tab/>
      </w:r>
      <w:r>
        <w:rPr>
          <w:lang w:val="es-CO"/>
        </w:rPr>
        <w:tab/>
      </w:r>
      <w:r w:rsidR="00006D95" w:rsidRPr="00153A9C">
        <w:rPr>
          <w:lang w:val="es-CO"/>
        </w:rPr>
        <w:t>Recomendación</w:t>
      </w:r>
      <w:r w:rsidR="005D02C0" w:rsidRPr="00153A9C">
        <w:rPr>
          <w:lang w:val="es-CO"/>
        </w:rPr>
        <w:t xml:space="preserve"> 44</w:t>
      </w:r>
      <w:r w:rsidR="00356D6C" w:rsidRPr="00153A9C">
        <w:rPr>
          <w:lang w:val="es-CO"/>
        </w:rPr>
        <w:tab/>
      </w:r>
      <w:r w:rsidR="00BF4181" w:rsidRPr="00153A9C">
        <w:rPr>
          <w:lang w:val="es-CO"/>
        </w:rPr>
        <w:tab/>
        <w:t>139–</w:t>
      </w:r>
      <w:r w:rsidR="002B4F88">
        <w:rPr>
          <w:lang w:val="es-CO"/>
        </w:rPr>
        <w:t>157</w:t>
      </w:r>
      <w:r w:rsidR="002B4F88">
        <w:rPr>
          <w:lang w:val="es-CO"/>
        </w:rPr>
        <w:tab/>
        <w:t>31</w:t>
      </w:r>
    </w:p>
    <w:p w:rsidR="00356D6C" w:rsidRPr="00153A9C"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es-CO"/>
        </w:rPr>
      </w:pPr>
      <w:r>
        <w:rPr>
          <w:lang w:val="es-CO"/>
        </w:rPr>
        <w:tab/>
      </w:r>
      <w:r>
        <w:rPr>
          <w:lang w:val="es-CO"/>
        </w:rPr>
        <w:tab/>
      </w:r>
      <w:r w:rsidR="00006D95" w:rsidRPr="00153A9C">
        <w:rPr>
          <w:lang w:val="es-CO"/>
        </w:rPr>
        <w:t>Recomendación</w:t>
      </w:r>
      <w:r w:rsidR="00A90E7C" w:rsidRPr="00153A9C">
        <w:rPr>
          <w:lang w:val="es-CO"/>
        </w:rPr>
        <w:t xml:space="preserve"> 45</w:t>
      </w:r>
      <w:r w:rsidR="00356D6C" w:rsidRPr="00153A9C">
        <w:rPr>
          <w:lang w:val="es-CO"/>
        </w:rPr>
        <w:tab/>
      </w:r>
      <w:r w:rsidR="00E05356" w:rsidRPr="00153A9C">
        <w:rPr>
          <w:lang w:val="es-CO"/>
        </w:rPr>
        <w:tab/>
        <w:t>158–163</w:t>
      </w:r>
      <w:r w:rsidR="00E05356" w:rsidRPr="00153A9C">
        <w:rPr>
          <w:lang w:val="es-CO"/>
        </w:rPr>
        <w:tab/>
      </w:r>
      <w:r w:rsidR="002B4F88">
        <w:rPr>
          <w:lang w:val="es-CO"/>
        </w:rPr>
        <w:t>35</w:t>
      </w:r>
    </w:p>
    <w:p w:rsidR="00356D6C" w:rsidRPr="00153A9C"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es-CO"/>
        </w:rPr>
      </w:pPr>
      <w:r>
        <w:rPr>
          <w:lang w:val="es-CO"/>
        </w:rPr>
        <w:tab/>
      </w:r>
      <w:r>
        <w:rPr>
          <w:lang w:val="es-CO"/>
        </w:rPr>
        <w:tab/>
      </w:r>
      <w:r w:rsidR="00006D95" w:rsidRPr="00153A9C">
        <w:rPr>
          <w:lang w:val="es-CO"/>
        </w:rPr>
        <w:t>Recomendación</w:t>
      </w:r>
      <w:r w:rsidR="00A90E7C" w:rsidRPr="00153A9C">
        <w:rPr>
          <w:lang w:val="es-CO"/>
        </w:rPr>
        <w:t xml:space="preserve"> 46</w:t>
      </w:r>
      <w:r w:rsidR="00356D6C" w:rsidRPr="00153A9C">
        <w:rPr>
          <w:lang w:val="es-CO"/>
        </w:rPr>
        <w:tab/>
      </w:r>
      <w:r w:rsidR="002B4F88">
        <w:rPr>
          <w:lang w:val="es-CO"/>
        </w:rPr>
        <w:tab/>
        <w:t>164–167</w:t>
      </w:r>
      <w:r w:rsidR="002B4F88">
        <w:rPr>
          <w:lang w:val="es-CO"/>
        </w:rPr>
        <w:tab/>
        <w:t>36</w:t>
      </w:r>
    </w:p>
    <w:p w:rsidR="00356D6C" w:rsidRPr="00153A9C"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es-CO"/>
        </w:rPr>
      </w:pPr>
      <w:r>
        <w:rPr>
          <w:lang w:val="es-CO"/>
        </w:rPr>
        <w:tab/>
      </w:r>
      <w:r>
        <w:rPr>
          <w:lang w:val="es-CO"/>
        </w:rPr>
        <w:tab/>
      </w:r>
      <w:r w:rsidR="00006D95" w:rsidRPr="00153A9C">
        <w:rPr>
          <w:lang w:val="es-CO"/>
        </w:rPr>
        <w:t>Recomendación</w:t>
      </w:r>
      <w:r w:rsidR="000D4BFC" w:rsidRPr="00153A9C">
        <w:rPr>
          <w:lang w:val="es-CO"/>
        </w:rPr>
        <w:t xml:space="preserve"> 47</w:t>
      </w:r>
      <w:r w:rsidR="00356D6C" w:rsidRPr="00153A9C">
        <w:rPr>
          <w:lang w:val="es-CO"/>
        </w:rPr>
        <w:tab/>
      </w:r>
      <w:r w:rsidR="000D4BFC" w:rsidRPr="00153A9C">
        <w:rPr>
          <w:lang w:val="es-CO"/>
        </w:rPr>
        <w:tab/>
        <w:t>168–</w:t>
      </w:r>
      <w:r w:rsidR="003C7B14" w:rsidRPr="00153A9C">
        <w:rPr>
          <w:lang w:val="es-CO"/>
        </w:rPr>
        <w:t>171</w:t>
      </w:r>
      <w:r w:rsidR="003C7B14" w:rsidRPr="00153A9C">
        <w:rPr>
          <w:lang w:val="es-CO"/>
        </w:rPr>
        <w:tab/>
      </w:r>
      <w:r w:rsidR="002B4F88">
        <w:rPr>
          <w:lang w:val="es-CO"/>
        </w:rPr>
        <w:t>37</w:t>
      </w:r>
    </w:p>
    <w:p w:rsidR="003C7B14" w:rsidRPr="00153A9C"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es-CO"/>
        </w:rPr>
      </w:pPr>
      <w:r>
        <w:rPr>
          <w:lang w:val="es-CO"/>
        </w:rPr>
        <w:tab/>
      </w:r>
      <w:r>
        <w:rPr>
          <w:lang w:val="es-CO"/>
        </w:rPr>
        <w:tab/>
      </w:r>
      <w:r w:rsidR="00006D95" w:rsidRPr="00153A9C">
        <w:rPr>
          <w:lang w:val="es-CO"/>
        </w:rPr>
        <w:t>Recomendación</w:t>
      </w:r>
      <w:r w:rsidR="002B4F88">
        <w:rPr>
          <w:lang w:val="es-CO"/>
        </w:rPr>
        <w:t xml:space="preserve"> 48</w:t>
      </w:r>
      <w:r w:rsidR="002B4F88">
        <w:rPr>
          <w:lang w:val="es-CO"/>
        </w:rPr>
        <w:tab/>
      </w:r>
      <w:r w:rsidR="002B4F88">
        <w:rPr>
          <w:lang w:val="es-CO"/>
        </w:rPr>
        <w:tab/>
        <w:t>172–177</w:t>
      </w:r>
      <w:r w:rsidR="002B4F88">
        <w:rPr>
          <w:lang w:val="es-CO"/>
        </w:rPr>
        <w:tab/>
        <w:t>38</w:t>
      </w:r>
    </w:p>
    <w:p w:rsidR="00805EC9" w:rsidRPr="00153A9C"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es-CO"/>
        </w:rPr>
      </w:pPr>
      <w:r>
        <w:rPr>
          <w:lang w:val="es-CO"/>
        </w:rPr>
        <w:tab/>
      </w:r>
      <w:r>
        <w:rPr>
          <w:lang w:val="es-CO"/>
        </w:rPr>
        <w:tab/>
      </w:r>
      <w:r w:rsidR="00006D95" w:rsidRPr="00153A9C">
        <w:rPr>
          <w:lang w:val="es-CO"/>
        </w:rPr>
        <w:t>Recomendación</w:t>
      </w:r>
      <w:r w:rsidR="00805EC9" w:rsidRPr="00153A9C">
        <w:rPr>
          <w:lang w:val="es-CO"/>
        </w:rPr>
        <w:t xml:space="preserve"> 49</w:t>
      </w:r>
      <w:r w:rsidR="00805EC9" w:rsidRPr="00153A9C">
        <w:rPr>
          <w:lang w:val="es-CO"/>
        </w:rPr>
        <w:tab/>
      </w:r>
      <w:r w:rsidR="00805EC9" w:rsidRPr="00153A9C">
        <w:rPr>
          <w:lang w:val="es-CO"/>
        </w:rPr>
        <w:tab/>
        <w:t>178–</w:t>
      </w:r>
      <w:r w:rsidR="00F3379D" w:rsidRPr="00153A9C">
        <w:rPr>
          <w:lang w:val="es-CO"/>
        </w:rPr>
        <w:t>208</w:t>
      </w:r>
      <w:r w:rsidR="002B4F88">
        <w:rPr>
          <w:lang w:val="es-CO"/>
        </w:rPr>
        <w:tab/>
        <w:t>39</w:t>
      </w:r>
    </w:p>
    <w:p w:rsidR="00F3379D" w:rsidRPr="00153A9C"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es-CO"/>
        </w:rPr>
      </w:pPr>
      <w:r>
        <w:rPr>
          <w:lang w:val="es-CO"/>
        </w:rPr>
        <w:tab/>
      </w:r>
      <w:r>
        <w:rPr>
          <w:lang w:val="es-CO"/>
        </w:rPr>
        <w:tab/>
      </w:r>
      <w:r w:rsidR="00006D95" w:rsidRPr="00153A9C">
        <w:rPr>
          <w:lang w:val="es-CO"/>
        </w:rPr>
        <w:t>Recomendación</w:t>
      </w:r>
      <w:r w:rsidR="00BC02DB" w:rsidRPr="00153A9C">
        <w:rPr>
          <w:lang w:val="es-CO"/>
        </w:rPr>
        <w:t xml:space="preserve"> 50</w:t>
      </w:r>
      <w:r w:rsidR="00BC02DB" w:rsidRPr="00153A9C">
        <w:rPr>
          <w:lang w:val="es-CO"/>
        </w:rPr>
        <w:tab/>
      </w:r>
      <w:r w:rsidR="00BC02DB" w:rsidRPr="00153A9C">
        <w:rPr>
          <w:lang w:val="es-CO"/>
        </w:rPr>
        <w:tab/>
      </w:r>
      <w:r w:rsidR="00F93FA3" w:rsidRPr="00153A9C">
        <w:rPr>
          <w:lang w:val="es-CO"/>
        </w:rPr>
        <w:t>209–</w:t>
      </w:r>
      <w:r w:rsidR="006F1267" w:rsidRPr="00153A9C">
        <w:rPr>
          <w:lang w:val="es-CO"/>
        </w:rPr>
        <w:t>213</w:t>
      </w:r>
      <w:r w:rsidR="002B4F88">
        <w:rPr>
          <w:lang w:val="es-CO"/>
        </w:rPr>
        <w:tab/>
        <w:t>44</w:t>
      </w:r>
    </w:p>
    <w:p w:rsidR="00F31598" w:rsidRPr="00153A9C"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es-CO"/>
        </w:rPr>
      </w:pPr>
      <w:r>
        <w:rPr>
          <w:lang w:val="es-CO"/>
        </w:rPr>
        <w:tab/>
      </w:r>
      <w:r>
        <w:rPr>
          <w:lang w:val="es-CO"/>
        </w:rPr>
        <w:tab/>
      </w:r>
      <w:r w:rsidR="00006D95" w:rsidRPr="00153A9C">
        <w:rPr>
          <w:lang w:val="es-CO"/>
        </w:rPr>
        <w:t>Recomendación</w:t>
      </w:r>
      <w:r w:rsidR="00F31598" w:rsidRPr="00153A9C">
        <w:rPr>
          <w:lang w:val="es-CO"/>
        </w:rPr>
        <w:t xml:space="preserve"> 51</w:t>
      </w:r>
      <w:r w:rsidR="00F31598" w:rsidRPr="00153A9C">
        <w:rPr>
          <w:lang w:val="es-CO"/>
        </w:rPr>
        <w:tab/>
      </w:r>
      <w:r w:rsidR="00F31598" w:rsidRPr="00153A9C">
        <w:rPr>
          <w:lang w:val="es-CO"/>
        </w:rPr>
        <w:tab/>
        <w:t>214–</w:t>
      </w:r>
      <w:r w:rsidR="009B4C45" w:rsidRPr="00153A9C">
        <w:rPr>
          <w:lang w:val="es-CO"/>
        </w:rPr>
        <w:t>217</w:t>
      </w:r>
      <w:r w:rsidR="002B4F88">
        <w:rPr>
          <w:lang w:val="es-CO"/>
        </w:rPr>
        <w:tab/>
        <w:t>45</w:t>
      </w:r>
    </w:p>
    <w:p w:rsidR="00B509FD" w:rsidRPr="00153A9C" w:rsidRDefault="00AE5601" w:rsidP="005F517C">
      <w:pPr>
        <w:pStyle w:val="HChG"/>
        <w:rPr>
          <w:lang w:val="es-CO"/>
        </w:rPr>
      </w:pPr>
      <w:r w:rsidRPr="00153A9C">
        <w:rPr>
          <w:lang w:val="es-CO"/>
        </w:rPr>
        <w:br w:type="page"/>
      </w:r>
      <w:r w:rsidR="005F517C">
        <w:rPr>
          <w:lang w:val="es-CO"/>
        </w:rPr>
        <w:tab/>
      </w:r>
      <w:r w:rsidRPr="00153A9C">
        <w:rPr>
          <w:lang w:val="es-CO"/>
        </w:rPr>
        <w:t>I</w:t>
      </w:r>
      <w:bookmarkStart w:id="0" w:name="_Toc265062214"/>
      <w:r w:rsidRPr="00153A9C">
        <w:rPr>
          <w:lang w:val="es-CO"/>
        </w:rPr>
        <w:t>.</w:t>
      </w:r>
      <w:bookmarkStart w:id="1" w:name="_Toc286326337"/>
      <w:r w:rsidRPr="00153A9C">
        <w:rPr>
          <w:lang w:val="es-CO"/>
        </w:rPr>
        <w:tab/>
        <w:t>Introduc</w:t>
      </w:r>
      <w:r w:rsidR="00C729C0" w:rsidRPr="00153A9C">
        <w:rPr>
          <w:lang w:val="es-CO"/>
        </w:rPr>
        <w:t>ción</w:t>
      </w:r>
    </w:p>
    <w:bookmarkEnd w:id="0"/>
    <w:bookmarkEnd w:id="1"/>
    <w:p w:rsidR="00C53529" w:rsidRPr="00153A9C" w:rsidRDefault="00090EEF" w:rsidP="005F517C">
      <w:pPr>
        <w:pStyle w:val="SingleTxtG"/>
        <w:rPr>
          <w:lang w:val="es-CO"/>
        </w:rPr>
      </w:pPr>
      <w:r w:rsidRPr="00153A9C">
        <w:rPr>
          <w:lang w:val="es-CO"/>
        </w:rPr>
        <w:t>1.</w:t>
      </w:r>
      <w:r w:rsidR="00AC4069" w:rsidRPr="00153A9C">
        <w:rPr>
          <w:lang w:val="es-CO"/>
        </w:rPr>
        <w:tab/>
      </w:r>
      <w:r w:rsidR="00E275B9" w:rsidRPr="00153A9C">
        <w:rPr>
          <w:lang w:val="es-CO"/>
        </w:rPr>
        <w:t>El</w:t>
      </w:r>
      <w:r w:rsidR="00C53529" w:rsidRPr="00153A9C">
        <w:rPr>
          <w:lang w:val="es-CO"/>
        </w:rPr>
        <w:t xml:space="preserve"> </w:t>
      </w:r>
      <w:r w:rsidR="006320F5" w:rsidRPr="00153A9C">
        <w:rPr>
          <w:lang w:val="es-CO"/>
        </w:rPr>
        <w:t>Comité de Derechos Económicos, Sociales y Culturales</w:t>
      </w:r>
      <w:r w:rsidR="00C53529" w:rsidRPr="00153A9C">
        <w:rPr>
          <w:lang w:val="es-CO"/>
        </w:rPr>
        <w:t xml:space="preserve"> </w:t>
      </w:r>
      <w:r w:rsidR="00C729C0" w:rsidRPr="00153A9C">
        <w:rPr>
          <w:lang w:val="es-CO"/>
        </w:rPr>
        <w:t>examinó el i</w:t>
      </w:r>
      <w:r w:rsidR="00DE2E34" w:rsidRPr="00153A9C">
        <w:rPr>
          <w:lang w:val="es-CO"/>
        </w:rPr>
        <w:t>n</w:t>
      </w:r>
      <w:r w:rsidR="00C729C0" w:rsidRPr="00153A9C">
        <w:rPr>
          <w:lang w:val="es-CO"/>
        </w:rPr>
        <w:t xml:space="preserve">forme inicial de </w:t>
      </w:r>
      <w:r w:rsidR="00C53529" w:rsidRPr="00153A9C">
        <w:rPr>
          <w:lang w:val="es-CO"/>
        </w:rPr>
        <w:t xml:space="preserve">Bosnia </w:t>
      </w:r>
      <w:r w:rsidR="00DE2E34" w:rsidRPr="00153A9C">
        <w:rPr>
          <w:lang w:val="es-CO"/>
        </w:rPr>
        <w:t xml:space="preserve">y </w:t>
      </w:r>
      <w:r w:rsidR="00C53529" w:rsidRPr="00153A9C">
        <w:rPr>
          <w:lang w:val="es-CO"/>
        </w:rPr>
        <w:t xml:space="preserve">Herzegovina </w:t>
      </w:r>
      <w:r w:rsidR="00C729C0" w:rsidRPr="00153A9C">
        <w:rPr>
          <w:lang w:val="es-CO"/>
        </w:rPr>
        <w:t>sobre la ap</w:t>
      </w:r>
      <w:r w:rsidR="00AC4069" w:rsidRPr="00153A9C">
        <w:rPr>
          <w:lang w:val="es-CO"/>
        </w:rPr>
        <w:t>l</w:t>
      </w:r>
      <w:r w:rsidR="00C729C0" w:rsidRPr="00153A9C">
        <w:rPr>
          <w:lang w:val="es-CO"/>
        </w:rPr>
        <w:t xml:space="preserve">icación </w:t>
      </w:r>
      <w:r w:rsidR="00FC1C26" w:rsidRPr="00153A9C">
        <w:rPr>
          <w:lang w:val="es-CO"/>
        </w:rPr>
        <w:t>del Pacto Internacional de Derechos Económicos, Sociales y Culturales</w:t>
      </w:r>
      <w:r w:rsidR="00C53529" w:rsidRPr="00153A9C">
        <w:rPr>
          <w:lang w:val="es-CO"/>
        </w:rPr>
        <w:t xml:space="preserve"> (E/1990/5/Add.65) </w:t>
      </w:r>
      <w:r w:rsidR="00C729C0" w:rsidRPr="00153A9C">
        <w:rPr>
          <w:lang w:val="es-CO"/>
        </w:rPr>
        <w:t xml:space="preserve">en sus </w:t>
      </w:r>
      <w:r w:rsidR="00DE2E34" w:rsidRPr="00153A9C">
        <w:rPr>
          <w:lang w:val="es-CO"/>
        </w:rPr>
        <w:t xml:space="preserve">sesiones </w:t>
      </w:r>
      <w:r w:rsidR="00C729C0" w:rsidRPr="00153A9C">
        <w:rPr>
          <w:lang w:val="es-CO"/>
        </w:rPr>
        <w:t>41</w:t>
      </w:r>
      <w:r w:rsidR="005F517C">
        <w:rPr>
          <w:lang w:val="es-CO"/>
        </w:rPr>
        <w:t>ª</w:t>
      </w:r>
      <w:r w:rsidR="00C729C0" w:rsidRPr="00153A9C">
        <w:rPr>
          <w:lang w:val="es-CO"/>
        </w:rPr>
        <w:t xml:space="preserve"> a </w:t>
      </w:r>
      <w:r w:rsidR="00C53529" w:rsidRPr="00153A9C">
        <w:rPr>
          <w:lang w:val="es-CO"/>
        </w:rPr>
        <w:t>43</w:t>
      </w:r>
      <w:r w:rsidR="005F517C">
        <w:rPr>
          <w:lang w:val="es-CO"/>
        </w:rPr>
        <w:t>ª</w:t>
      </w:r>
      <w:r w:rsidR="00C53529" w:rsidRPr="00153A9C">
        <w:rPr>
          <w:lang w:val="es-CO"/>
        </w:rPr>
        <w:t xml:space="preserve">, </w:t>
      </w:r>
      <w:r w:rsidR="00C729C0" w:rsidRPr="00153A9C">
        <w:rPr>
          <w:lang w:val="es-CO"/>
        </w:rPr>
        <w:t>celebrad</w:t>
      </w:r>
      <w:r w:rsidR="00DE2E34" w:rsidRPr="00153A9C">
        <w:rPr>
          <w:lang w:val="es-CO"/>
        </w:rPr>
        <w:t>a</w:t>
      </w:r>
      <w:r w:rsidR="00C729C0" w:rsidRPr="00153A9C">
        <w:rPr>
          <w:lang w:val="es-CO"/>
        </w:rPr>
        <w:t xml:space="preserve">s el 14 y el </w:t>
      </w:r>
      <w:r w:rsidR="00DE2E34" w:rsidRPr="00153A9C">
        <w:rPr>
          <w:lang w:val="es-CO"/>
        </w:rPr>
        <w:t>15</w:t>
      </w:r>
      <w:r w:rsidR="00C729C0" w:rsidRPr="00153A9C">
        <w:rPr>
          <w:lang w:val="es-CO"/>
        </w:rPr>
        <w:t xml:space="preserve"> de noviembre de </w:t>
      </w:r>
      <w:r w:rsidR="00C53529" w:rsidRPr="00153A9C">
        <w:rPr>
          <w:lang w:val="es-CO"/>
        </w:rPr>
        <w:t xml:space="preserve">2005 (E/C.12/2005/SR.41-43), </w:t>
      </w:r>
      <w:r w:rsidR="00DE2E34" w:rsidRPr="00153A9C">
        <w:rPr>
          <w:lang w:val="es-CO"/>
        </w:rPr>
        <w:t>y aprobó, en su 58</w:t>
      </w:r>
      <w:r w:rsidR="005F517C">
        <w:rPr>
          <w:lang w:val="es-CO"/>
        </w:rPr>
        <w:t>ª</w:t>
      </w:r>
      <w:r w:rsidR="00DE2E34" w:rsidRPr="00153A9C">
        <w:rPr>
          <w:lang w:val="es-CO"/>
        </w:rPr>
        <w:t xml:space="preserve"> sesión de 25 de noviembre de </w:t>
      </w:r>
      <w:r w:rsidR="00C53529" w:rsidRPr="00153A9C">
        <w:rPr>
          <w:lang w:val="es-CO"/>
        </w:rPr>
        <w:t xml:space="preserve">2005, </w:t>
      </w:r>
      <w:r w:rsidR="00DE2E34" w:rsidRPr="00153A9C">
        <w:rPr>
          <w:lang w:val="es-CO"/>
        </w:rPr>
        <w:t xml:space="preserve">las observaciones finales </w:t>
      </w:r>
      <w:r w:rsidR="00795013" w:rsidRPr="00153A9C">
        <w:rPr>
          <w:lang w:val="es-CO"/>
        </w:rPr>
        <w:t>(E/C.12/BIH/CO/1)</w:t>
      </w:r>
      <w:r w:rsidR="00AC4069" w:rsidRPr="00153A9C">
        <w:rPr>
          <w:lang w:val="es-CO"/>
        </w:rPr>
        <w:t xml:space="preserve">, en las que se señalaban los aspectos positivos, los factores y dificultades que obstaculizaban la aplicación del </w:t>
      </w:r>
      <w:r w:rsidR="00FC1C26" w:rsidRPr="00153A9C">
        <w:rPr>
          <w:lang w:val="es-CO"/>
        </w:rPr>
        <w:t>Pacto</w:t>
      </w:r>
      <w:r w:rsidR="0062177F">
        <w:rPr>
          <w:lang w:val="es-CO"/>
        </w:rPr>
        <w:t xml:space="preserve"> y</w:t>
      </w:r>
      <w:r w:rsidR="003B050C">
        <w:rPr>
          <w:lang w:val="es-CO"/>
        </w:rPr>
        <w:t xml:space="preserve"> </w:t>
      </w:r>
      <w:r w:rsidR="00D92FF2" w:rsidRPr="00153A9C">
        <w:rPr>
          <w:lang w:val="es-CO"/>
        </w:rPr>
        <w:t xml:space="preserve">los </w:t>
      </w:r>
      <w:r w:rsidR="00683F9E">
        <w:rPr>
          <w:lang w:val="es-CO"/>
        </w:rPr>
        <w:t>principales</w:t>
      </w:r>
      <w:r w:rsidR="00683F9E" w:rsidRPr="00153A9C">
        <w:rPr>
          <w:lang w:val="es-CO"/>
        </w:rPr>
        <w:t xml:space="preserve"> </w:t>
      </w:r>
      <w:r w:rsidR="00D92FF2" w:rsidRPr="00153A9C">
        <w:rPr>
          <w:lang w:val="es-CO"/>
        </w:rPr>
        <w:t xml:space="preserve">motivos de preocupación y </w:t>
      </w:r>
      <w:r w:rsidR="00AC4069" w:rsidRPr="00153A9C">
        <w:rPr>
          <w:lang w:val="es-CO"/>
        </w:rPr>
        <w:t>se formulaban</w:t>
      </w:r>
      <w:r w:rsidR="00D92FF2" w:rsidRPr="00153A9C">
        <w:rPr>
          <w:lang w:val="es-CO"/>
        </w:rPr>
        <w:t xml:space="preserve"> sugerencias y recomendaciones que </w:t>
      </w:r>
      <w:r w:rsidR="00C53529" w:rsidRPr="00153A9C">
        <w:rPr>
          <w:lang w:val="es-CO"/>
        </w:rPr>
        <w:t xml:space="preserve">Bosnia </w:t>
      </w:r>
      <w:r w:rsidR="00D92FF2" w:rsidRPr="00153A9C">
        <w:rPr>
          <w:lang w:val="es-CO"/>
        </w:rPr>
        <w:t xml:space="preserve">y </w:t>
      </w:r>
      <w:r w:rsidR="00C53529" w:rsidRPr="00153A9C">
        <w:rPr>
          <w:lang w:val="es-CO"/>
        </w:rPr>
        <w:t>Herzegovina</w:t>
      </w:r>
      <w:r w:rsidR="00D92FF2" w:rsidRPr="00153A9C">
        <w:rPr>
          <w:lang w:val="es-CO"/>
        </w:rPr>
        <w:t xml:space="preserve">, en calidad de Estado Miembro de las Naciones Unidas y Estado parte en </w:t>
      </w:r>
      <w:r w:rsidR="00AC4069" w:rsidRPr="00153A9C">
        <w:rPr>
          <w:lang w:val="es-CO"/>
        </w:rPr>
        <w:t xml:space="preserve">dicho </w:t>
      </w:r>
      <w:r w:rsidR="00D92FF2" w:rsidRPr="00153A9C">
        <w:rPr>
          <w:lang w:val="es-CO"/>
        </w:rPr>
        <w:t>Pacto</w:t>
      </w:r>
      <w:r w:rsidR="00AC4069" w:rsidRPr="00153A9C">
        <w:rPr>
          <w:lang w:val="es-CO"/>
        </w:rPr>
        <w:t>,</w:t>
      </w:r>
      <w:r w:rsidR="00D92FF2" w:rsidRPr="00153A9C">
        <w:rPr>
          <w:lang w:val="es-CO"/>
        </w:rPr>
        <w:t xml:space="preserve"> está obligado a comentar, así como a presentar un informe periódi</w:t>
      </w:r>
      <w:r w:rsidR="00AC4069" w:rsidRPr="00153A9C">
        <w:rPr>
          <w:lang w:val="es-CO"/>
        </w:rPr>
        <w:t>c</w:t>
      </w:r>
      <w:r w:rsidR="00D92FF2" w:rsidRPr="00153A9C">
        <w:rPr>
          <w:lang w:val="es-CO"/>
        </w:rPr>
        <w:t xml:space="preserve">o en el que se dé respuesta a las cuestiones formuladas en las observaciones finales del Comité </w:t>
      </w:r>
      <w:r w:rsidR="00AC4069" w:rsidRPr="00153A9C">
        <w:rPr>
          <w:lang w:val="es-CO"/>
        </w:rPr>
        <w:t xml:space="preserve">y a </w:t>
      </w:r>
      <w:r w:rsidR="00D92FF2" w:rsidRPr="00153A9C">
        <w:rPr>
          <w:lang w:val="es-CO"/>
        </w:rPr>
        <w:t xml:space="preserve">informar al Comité al respecto </w:t>
      </w:r>
      <w:r w:rsidR="00683F9E">
        <w:rPr>
          <w:lang w:val="es-CO"/>
        </w:rPr>
        <w:t>a más tardar el</w:t>
      </w:r>
      <w:r w:rsidR="00D92FF2" w:rsidRPr="00153A9C">
        <w:rPr>
          <w:lang w:val="es-CO"/>
        </w:rPr>
        <w:t xml:space="preserve"> 30 de junio de 2010. </w:t>
      </w:r>
    </w:p>
    <w:p w:rsidR="000E24E0" w:rsidRPr="00153A9C" w:rsidRDefault="000E24E0" w:rsidP="00C60430">
      <w:pPr>
        <w:pStyle w:val="SingleTxtG"/>
        <w:rPr>
          <w:lang w:val="es-CO"/>
        </w:rPr>
      </w:pPr>
      <w:r w:rsidRPr="00153A9C">
        <w:rPr>
          <w:lang w:val="es-CO"/>
        </w:rPr>
        <w:t>2.</w:t>
      </w:r>
      <w:r w:rsidRPr="00153A9C">
        <w:rPr>
          <w:lang w:val="es-CO"/>
        </w:rPr>
        <w:tab/>
        <w:t xml:space="preserve">El </w:t>
      </w:r>
      <w:r w:rsidR="006320F5" w:rsidRPr="00153A9C">
        <w:rPr>
          <w:lang w:val="es-CO"/>
        </w:rPr>
        <w:t xml:space="preserve">Ministerio de Derechos Humanos y Refugiados </w:t>
      </w:r>
      <w:r w:rsidRPr="00153A9C">
        <w:rPr>
          <w:lang w:val="es-CO"/>
        </w:rPr>
        <w:t xml:space="preserve">de Bosnia y Herzegovina, en calidad de ministerio responsable, comenzó a cumplir </w:t>
      </w:r>
      <w:r w:rsidR="00E90C93" w:rsidRPr="00153A9C">
        <w:rPr>
          <w:lang w:val="es-CO"/>
        </w:rPr>
        <w:t xml:space="preserve">puntualmente </w:t>
      </w:r>
      <w:r w:rsidRPr="00153A9C">
        <w:rPr>
          <w:lang w:val="es-CO"/>
        </w:rPr>
        <w:t xml:space="preserve">sus obligaciones. Tras la presentación y adopción del informe inicial presentado al </w:t>
      </w:r>
      <w:r w:rsidR="006320F5" w:rsidRPr="00153A9C">
        <w:rPr>
          <w:lang w:val="es-CO"/>
        </w:rPr>
        <w:t>Comité de Derechos Económicos, Sociales y Culturales</w:t>
      </w:r>
      <w:r w:rsidRPr="00153A9C">
        <w:rPr>
          <w:lang w:val="es-CO"/>
        </w:rPr>
        <w:t xml:space="preserve">, el Ministerio informó al Consejo de Ministros de Bosnia y Herzegovina acerca del informe de su delegación relativo a la presentación del informe inicial y las observaciones finales formuladas por el Comité, que contenían también recomendaciones que obligaban al </w:t>
      </w:r>
      <w:r w:rsidR="00E90C93" w:rsidRPr="00153A9C">
        <w:rPr>
          <w:lang w:val="es-CO"/>
        </w:rPr>
        <w:t xml:space="preserve">Ministerio de Derechos Humanos y Refugiados </w:t>
      </w:r>
      <w:r w:rsidRPr="00153A9C">
        <w:rPr>
          <w:lang w:val="es-CO"/>
        </w:rPr>
        <w:t>de Bosnia y Herzegovina a informar a todas las autoridades e instituciones competentes acerca de las observaciones finales</w:t>
      </w:r>
      <w:r w:rsidR="006320F5" w:rsidRPr="00153A9C">
        <w:rPr>
          <w:lang w:val="es-CO"/>
        </w:rPr>
        <w:t>,</w:t>
      </w:r>
      <w:r w:rsidR="00006D95" w:rsidRPr="00153A9C">
        <w:rPr>
          <w:lang w:val="es-CO"/>
        </w:rPr>
        <w:t xml:space="preserve"> para que pudieran comenzar </w:t>
      </w:r>
      <w:r w:rsidRPr="00153A9C">
        <w:rPr>
          <w:lang w:val="es-CO"/>
        </w:rPr>
        <w:t xml:space="preserve">a aplicarlas </w:t>
      </w:r>
      <w:r w:rsidR="006320F5" w:rsidRPr="00153A9C">
        <w:rPr>
          <w:lang w:val="es-CO"/>
        </w:rPr>
        <w:t>puntualmente</w:t>
      </w:r>
      <w:r w:rsidRPr="00153A9C">
        <w:rPr>
          <w:lang w:val="es-CO"/>
        </w:rPr>
        <w:t xml:space="preserve">, especialmente las que señalaban algunos factores y dificultades que suscitaban preocupación y entorpecían la aplicación del Pacto Internacional de Derechos Económicos, Sociales y Culturales (el Pacto). En cumplimiento de las conclusiones del Consejo de Ministros de Bosnia y Herzegovina, el </w:t>
      </w:r>
      <w:r w:rsidR="00E90C93" w:rsidRPr="00153A9C">
        <w:rPr>
          <w:lang w:val="es-CO"/>
        </w:rPr>
        <w:t xml:space="preserve">Ministerio de Derechos Humanos y Refugiados </w:t>
      </w:r>
      <w:r w:rsidRPr="00153A9C">
        <w:rPr>
          <w:lang w:val="es-CO"/>
        </w:rPr>
        <w:t>envió los documentos</w:t>
      </w:r>
      <w:r w:rsidR="006320F5" w:rsidRPr="00153A9C">
        <w:rPr>
          <w:lang w:val="es-CO"/>
        </w:rPr>
        <w:t>,</w:t>
      </w:r>
      <w:r w:rsidRPr="00153A9C">
        <w:rPr>
          <w:lang w:val="es-CO"/>
        </w:rPr>
        <w:t xml:space="preserve"> junto con las orientaciones correspondientes</w:t>
      </w:r>
      <w:r w:rsidR="006320F5" w:rsidRPr="00153A9C">
        <w:rPr>
          <w:lang w:val="es-CO"/>
        </w:rPr>
        <w:t>,</w:t>
      </w:r>
      <w:r w:rsidRPr="00153A9C">
        <w:rPr>
          <w:lang w:val="es-CO"/>
        </w:rPr>
        <w:t xml:space="preserve"> a todas las autoridades e instituciones pertinentes</w:t>
      </w:r>
      <w:r w:rsidR="006320F5" w:rsidRPr="00153A9C">
        <w:rPr>
          <w:lang w:val="es-CO"/>
        </w:rPr>
        <w:t xml:space="preserve"> que, en virtud de su mandato, estaban</w:t>
      </w:r>
      <w:r w:rsidRPr="00153A9C">
        <w:rPr>
          <w:lang w:val="es-CO"/>
        </w:rPr>
        <w:t xml:space="preserve"> directamente implicadas en las cuestiones relacionadas con los derechos económicos, sociales y culturales. Asimismo, los documentos se publicaron en el sitio web del Ministerio para que las organizaciones no gubernamentales </w:t>
      </w:r>
      <w:r w:rsidR="00BF750C">
        <w:rPr>
          <w:lang w:val="es-CO"/>
        </w:rPr>
        <w:t xml:space="preserve">(ONG) </w:t>
      </w:r>
      <w:r w:rsidRPr="00153A9C">
        <w:rPr>
          <w:lang w:val="es-CO"/>
        </w:rPr>
        <w:t>y el público en general pudiera</w:t>
      </w:r>
      <w:r w:rsidR="006320F5" w:rsidRPr="00153A9C">
        <w:rPr>
          <w:lang w:val="es-CO"/>
        </w:rPr>
        <w:t>n</w:t>
      </w:r>
      <w:r w:rsidRPr="00153A9C">
        <w:rPr>
          <w:lang w:val="es-CO"/>
        </w:rPr>
        <w:t xml:space="preserve"> familiarizarse con su contenido. A finales de 2009 y comienzos de 2010 el Ministerio comenzó </w:t>
      </w:r>
      <w:r w:rsidR="0062177F">
        <w:rPr>
          <w:lang w:val="es-CO"/>
        </w:rPr>
        <w:t>la labor de establecimiento del</w:t>
      </w:r>
      <w:r w:rsidRPr="00153A9C">
        <w:rPr>
          <w:lang w:val="es-CO"/>
        </w:rPr>
        <w:t xml:space="preserve"> Grupo de Trabajo para la preparación del informe periódico </w:t>
      </w:r>
      <w:r w:rsidR="00AB158C">
        <w:rPr>
          <w:lang w:val="es-CO"/>
        </w:rPr>
        <w:t>que estaría integrado</w:t>
      </w:r>
      <w:r w:rsidR="00AB158C" w:rsidRPr="00153A9C">
        <w:rPr>
          <w:lang w:val="es-CO"/>
        </w:rPr>
        <w:t xml:space="preserve"> </w:t>
      </w:r>
      <w:r w:rsidRPr="00153A9C">
        <w:rPr>
          <w:lang w:val="es-CO"/>
        </w:rPr>
        <w:t xml:space="preserve">por los ministerios competentes de Bosnia y Herzegovina, los ministerios de las Entidades y los departamentos del Distrito de Brčko. Se incluyeron también en el Grupo de Trabajo las instituciones directamente implicadas en </w:t>
      </w:r>
      <w:r w:rsidR="006320F5" w:rsidRPr="00153A9C">
        <w:rPr>
          <w:lang w:val="es-CO"/>
        </w:rPr>
        <w:t xml:space="preserve">cada </w:t>
      </w:r>
      <w:r w:rsidRPr="00153A9C">
        <w:rPr>
          <w:lang w:val="es-CO"/>
        </w:rPr>
        <w:t>cuestión concreta.</w:t>
      </w:r>
    </w:p>
    <w:p w:rsidR="000E24E0" w:rsidRPr="00153A9C" w:rsidRDefault="000E24E0" w:rsidP="00C60430">
      <w:pPr>
        <w:pStyle w:val="SingleTxtG"/>
        <w:rPr>
          <w:lang w:val="es-CO"/>
        </w:rPr>
      </w:pPr>
      <w:r w:rsidRPr="00153A9C">
        <w:rPr>
          <w:lang w:val="es-CO"/>
        </w:rPr>
        <w:t>3.</w:t>
      </w:r>
      <w:r w:rsidRPr="00153A9C">
        <w:rPr>
          <w:lang w:val="es-CO"/>
        </w:rPr>
        <w:tab/>
        <w:t xml:space="preserve">En la primera reunión, los miembros del Grupo de Trabajo encargado de la preparación del segundo informe periódico sobre la situación de los derechos humanos en Bosnia y Herzegovina en el marco del Pacto fueron informados acerca de su mandato y luego, para su información y utilización en la preparación del informe periódico, </w:t>
      </w:r>
      <w:r w:rsidR="00B347B4" w:rsidRPr="00153A9C">
        <w:rPr>
          <w:lang w:val="es-CO"/>
        </w:rPr>
        <w:t xml:space="preserve">recibieron </w:t>
      </w:r>
      <w:r w:rsidRPr="00153A9C">
        <w:rPr>
          <w:lang w:val="es-CO"/>
        </w:rPr>
        <w:t xml:space="preserve">los siguientes documentos: el Pacto Internacional de Derechos Económicos, Sociales y Culturales, las observaciones finales del </w:t>
      </w:r>
      <w:r w:rsidR="006320F5" w:rsidRPr="00153A9C">
        <w:rPr>
          <w:lang w:val="es-CO"/>
        </w:rPr>
        <w:t>Comité de Derechos Económicos, Sociales y Culturales</w:t>
      </w:r>
      <w:r w:rsidRPr="00153A9C">
        <w:rPr>
          <w:lang w:val="es-CO"/>
        </w:rPr>
        <w:t xml:space="preserve"> y los temas para la preparación del informe periódico sobre la situación de los derechos humanos en Bosnia y Herzegovina en el marco del Pacto, elaborados por el Departamento de Derechos Humanos a partir de los citados documentos. Naturalmente, adoptamos medidas para que en la preparación del segundo informe periódico se incluyeran expertos y especialistas de todo el territorio de Bosnia y Herzegovina que estuvieran muy directamente implicados en la cuestión pertinente. </w:t>
      </w:r>
    </w:p>
    <w:p w:rsidR="000E24E0" w:rsidRPr="00153A9C" w:rsidRDefault="007062E7" w:rsidP="00C60430">
      <w:pPr>
        <w:pStyle w:val="SingleTxtG"/>
        <w:rPr>
          <w:lang w:val="es-CO"/>
        </w:rPr>
      </w:pPr>
      <w:r>
        <w:rPr>
          <w:lang w:val="es-CO"/>
        </w:rPr>
        <w:t>4.</w:t>
      </w:r>
      <w:r>
        <w:rPr>
          <w:lang w:val="es-CO"/>
        </w:rPr>
        <w:tab/>
      </w:r>
      <w:r w:rsidR="000E24E0" w:rsidRPr="00153A9C">
        <w:rPr>
          <w:lang w:val="es-CO"/>
        </w:rPr>
        <w:t xml:space="preserve">A continuación presentamos las respuestas elaboradas a partir de las observaciones finales del </w:t>
      </w:r>
      <w:r w:rsidR="006320F5" w:rsidRPr="00153A9C">
        <w:rPr>
          <w:lang w:val="es-CO"/>
        </w:rPr>
        <w:t>Comité de Derechos Económicos, Sociales y Culturales</w:t>
      </w:r>
      <w:r w:rsidR="000E24E0" w:rsidRPr="00153A9C">
        <w:rPr>
          <w:lang w:val="es-CO"/>
        </w:rPr>
        <w:t xml:space="preserve"> adoptadas el 25 de noviembre de 2005 y las actividades que Bosnia y Herzegovina ha realizado al respecto. </w:t>
      </w:r>
    </w:p>
    <w:p w:rsidR="000E24E0" w:rsidRPr="00153A9C" w:rsidRDefault="00C60430" w:rsidP="00C60430">
      <w:pPr>
        <w:pStyle w:val="HChG"/>
        <w:rPr>
          <w:lang w:val="es-CO"/>
        </w:rPr>
      </w:pPr>
      <w:r>
        <w:rPr>
          <w:lang w:val="es-CO"/>
        </w:rPr>
        <w:tab/>
      </w:r>
      <w:r w:rsidR="000E24E0" w:rsidRPr="00153A9C">
        <w:rPr>
          <w:lang w:val="es-CO"/>
        </w:rPr>
        <w:t>II.</w:t>
      </w:r>
      <w:r w:rsidR="000E24E0" w:rsidRPr="00153A9C">
        <w:rPr>
          <w:lang w:val="es-CO"/>
        </w:rPr>
        <w:tab/>
        <w:t xml:space="preserve">Respuestas a las observaciones finales del </w:t>
      </w:r>
      <w:r w:rsidR="006320F5" w:rsidRPr="00153A9C">
        <w:rPr>
          <w:lang w:val="es-CO"/>
        </w:rPr>
        <w:t>Comité de Derechos Económicos, Sociales y Culturales</w:t>
      </w:r>
    </w:p>
    <w:p w:rsidR="000E24E0" w:rsidRPr="00153A9C" w:rsidRDefault="00C60430" w:rsidP="00C60430">
      <w:pPr>
        <w:pStyle w:val="H1G"/>
        <w:rPr>
          <w:lang w:val="es-CO"/>
        </w:rPr>
      </w:pPr>
      <w:r>
        <w:rPr>
          <w:lang w:val="es-CO"/>
        </w:rPr>
        <w:tab/>
      </w:r>
      <w:r>
        <w:rPr>
          <w:lang w:val="es-CO"/>
        </w:rPr>
        <w:tab/>
      </w:r>
      <w:r w:rsidR="000E24E0" w:rsidRPr="00153A9C">
        <w:rPr>
          <w:lang w:val="es-CO"/>
        </w:rPr>
        <w:t>Recomendación 30</w:t>
      </w:r>
    </w:p>
    <w:p w:rsidR="000E24E0" w:rsidRPr="00153A9C" w:rsidRDefault="000E24E0" w:rsidP="00C60430">
      <w:pPr>
        <w:pStyle w:val="SingleTxtG"/>
        <w:rPr>
          <w:lang w:val="es-CO"/>
        </w:rPr>
      </w:pPr>
      <w:r w:rsidRPr="00153A9C">
        <w:rPr>
          <w:lang w:val="es-CO"/>
        </w:rPr>
        <w:t>5.</w:t>
      </w:r>
      <w:r w:rsidRPr="00153A9C">
        <w:rPr>
          <w:lang w:val="es-CO"/>
        </w:rPr>
        <w:tab/>
        <w:t xml:space="preserve">El </w:t>
      </w:r>
      <w:r w:rsidR="00FB370E" w:rsidRPr="00153A9C">
        <w:rPr>
          <w:lang w:val="es-CO"/>
        </w:rPr>
        <w:t xml:space="preserve">Ombudsman de los Derechos Humanos </w:t>
      </w:r>
      <w:r w:rsidRPr="00153A9C">
        <w:rPr>
          <w:lang w:val="es-CO"/>
        </w:rPr>
        <w:t>act</w:t>
      </w:r>
      <w:r w:rsidR="00FB370E" w:rsidRPr="00153A9C">
        <w:rPr>
          <w:lang w:val="es-CO"/>
        </w:rPr>
        <w:t xml:space="preserve">úa </w:t>
      </w:r>
      <w:r w:rsidRPr="00153A9C">
        <w:rPr>
          <w:lang w:val="es-CO"/>
        </w:rPr>
        <w:t>de conformidad con la L</w:t>
      </w:r>
      <w:r w:rsidR="00FB370E" w:rsidRPr="00153A9C">
        <w:rPr>
          <w:lang w:val="es-CO"/>
        </w:rPr>
        <w:t xml:space="preserve">ey </w:t>
      </w:r>
      <w:r w:rsidRPr="00153A9C">
        <w:rPr>
          <w:lang w:val="es-CO"/>
        </w:rPr>
        <w:t xml:space="preserve">sobre el </w:t>
      </w:r>
      <w:r w:rsidR="00FB370E" w:rsidRPr="00153A9C">
        <w:rPr>
          <w:lang w:val="es-CO"/>
        </w:rPr>
        <w:t>Ombudsman de los Derechos Humanos de Bosnia y Herzegovina</w:t>
      </w:r>
      <w:r w:rsidRPr="00153A9C">
        <w:rPr>
          <w:lang w:val="es-CO"/>
        </w:rPr>
        <w:t xml:space="preserve"> (</w:t>
      </w:r>
      <w:r w:rsidRPr="00C60430">
        <w:rPr>
          <w:i/>
          <w:lang w:val="es-CO"/>
        </w:rPr>
        <w:t>Boletín Oficial</w:t>
      </w:r>
      <w:r w:rsidRPr="00153A9C">
        <w:rPr>
          <w:lang w:val="es-CO"/>
        </w:rPr>
        <w:t xml:space="preserve"> de Bosnia y Herzegovina 19/02, 32/06). El Ombudsman tiene autoridad para examinar cualquier alegación de violación de los derechos humanos y formular recomendaciones para corregirla. </w:t>
      </w:r>
      <w:r w:rsidR="00FB370E" w:rsidRPr="00153A9C">
        <w:rPr>
          <w:lang w:val="es-CO"/>
        </w:rPr>
        <w:t>P</w:t>
      </w:r>
      <w:r w:rsidRPr="00153A9C">
        <w:rPr>
          <w:lang w:val="es-CO"/>
        </w:rPr>
        <w:t>uede intervenir ex oficio o tras la presentación de una denuncia, y</w:t>
      </w:r>
      <w:r w:rsidR="00FB370E" w:rsidRPr="00153A9C">
        <w:rPr>
          <w:lang w:val="es-CO"/>
        </w:rPr>
        <w:t xml:space="preserve"> </w:t>
      </w:r>
      <w:r w:rsidR="00AB158C">
        <w:rPr>
          <w:lang w:val="es-CO"/>
        </w:rPr>
        <w:t>procura</w:t>
      </w:r>
      <w:r w:rsidRPr="00153A9C">
        <w:rPr>
          <w:lang w:val="es-CO"/>
        </w:rPr>
        <w:t xml:space="preserve"> conseguir una solución pacífica de los conflictos, realiz</w:t>
      </w:r>
      <w:r w:rsidR="00FB370E" w:rsidRPr="00153A9C">
        <w:rPr>
          <w:lang w:val="es-CO"/>
        </w:rPr>
        <w:t>a</w:t>
      </w:r>
      <w:r w:rsidRPr="00153A9C">
        <w:rPr>
          <w:lang w:val="es-CO"/>
        </w:rPr>
        <w:t xml:space="preserve"> investigaciones sobre </w:t>
      </w:r>
      <w:r w:rsidR="00FB370E" w:rsidRPr="00153A9C">
        <w:rPr>
          <w:lang w:val="es-CO"/>
        </w:rPr>
        <w:t xml:space="preserve">las alegaciones de violación de los derechos </w:t>
      </w:r>
      <w:r w:rsidRPr="00153A9C">
        <w:rPr>
          <w:lang w:val="es-CO"/>
        </w:rPr>
        <w:t>humanos</w:t>
      </w:r>
      <w:r w:rsidR="00A23ABF" w:rsidRPr="00153A9C">
        <w:rPr>
          <w:lang w:val="es-CO"/>
        </w:rPr>
        <w:t xml:space="preserve"> y</w:t>
      </w:r>
      <w:r w:rsidRPr="00153A9C">
        <w:rPr>
          <w:lang w:val="es-CO"/>
        </w:rPr>
        <w:t xml:space="preserve"> publica</w:t>
      </w:r>
      <w:r w:rsidR="00FB370E" w:rsidRPr="00153A9C">
        <w:rPr>
          <w:lang w:val="es-CO"/>
        </w:rPr>
        <w:t xml:space="preserve"> </w:t>
      </w:r>
      <w:r w:rsidR="00A23ABF" w:rsidRPr="00153A9C">
        <w:rPr>
          <w:lang w:val="es-CO"/>
        </w:rPr>
        <w:t xml:space="preserve">y notifica </w:t>
      </w:r>
      <w:r w:rsidRPr="00153A9C">
        <w:rPr>
          <w:lang w:val="es-CO"/>
        </w:rPr>
        <w:t xml:space="preserve">sin demora </w:t>
      </w:r>
      <w:r w:rsidR="00A23ABF" w:rsidRPr="00153A9C">
        <w:rPr>
          <w:lang w:val="es-CO"/>
        </w:rPr>
        <w:t xml:space="preserve">a los </w:t>
      </w:r>
      <w:r w:rsidRPr="00153A9C">
        <w:rPr>
          <w:lang w:val="es-CO"/>
        </w:rPr>
        <w:t xml:space="preserve">funcionarios o instituciones competentes </w:t>
      </w:r>
      <w:r w:rsidR="00AB158C">
        <w:rPr>
          <w:lang w:val="es-CO"/>
        </w:rPr>
        <w:t>el resultado de su labor o cualquier solicitud que curse.</w:t>
      </w:r>
      <w:r w:rsidRPr="00153A9C">
        <w:rPr>
          <w:lang w:val="es-CO"/>
        </w:rPr>
        <w:t xml:space="preserve"> </w:t>
      </w:r>
      <w:r w:rsidR="00A23ABF" w:rsidRPr="00153A9C">
        <w:rPr>
          <w:lang w:val="es-CO"/>
        </w:rPr>
        <w:t xml:space="preserve">Asimismo, </w:t>
      </w:r>
      <w:r w:rsidRPr="00153A9C">
        <w:rPr>
          <w:lang w:val="es-CO"/>
        </w:rPr>
        <w:t>puede iniciar procedimientos ante el Tribunal de Derechos Humanos</w:t>
      </w:r>
      <w:r w:rsidR="00A23ABF" w:rsidRPr="00153A9C">
        <w:rPr>
          <w:lang w:val="es-CO"/>
        </w:rPr>
        <w:t xml:space="preserve"> y</w:t>
      </w:r>
      <w:r w:rsidRPr="00153A9C">
        <w:rPr>
          <w:lang w:val="es-CO"/>
        </w:rPr>
        <w:t xml:space="preserve"> </w:t>
      </w:r>
      <w:r w:rsidR="00A23ABF" w:rsidRPr="00153A9C">
        <w:rPr>
          <w:lang w:val="es-CO"/>
        </w:rPr>
        <w:t xml:space="preserve">acceder </w:t>
      </w:r>
      <w:r w:rsidRPr="00153A9C">
        <w:rPr>
          <w:lang w:val="es-CO"/>
        </w:rPr>
        <w:t xml:space="preserve">a los documentos oficiales y examinarlos. </w:t>
      </w:r>
      <w:r w:rsidR="00A23ABF" w:rsidRPr="00153A9C">
        <w:rPr>
          <w:lang w:val="es-CO"/>
        </w:rPr>
        <w:t xml:space="preserve">La institución del Ombudsman se </w:t>
      </w:r>
      <w:r w:rsidR="00006D95" w:rsidRPr="00153A9C">
        <w:rPr>
          <w:lang w:val="es-CO"/>
        </w:rPr>
        <w:t xml:space="preserve">ha </w:t>
      </w:r>
      <w:r w:rsidR="00A23ABF" w:rsidRPr="00153A9C">
        <w:rPr>
          <w:lang w:val="es-CO"/>
        </w:rPr>
        <w:t>reestructurado e</w:t>
      </w:r>
      <w:r w:rsidRPr="00153A9C">
        <w:rPr>
          <w:lang w:val="es-CO"/>
        </w:rPr>
        <w:t xml:space="preserve">n cumplimiento de la Ley sobre el </w:t>
      </w:r>
      <w:r w:rsidR="00FB370E" w:rsidRPr="00153A9C">
        <w:rPr>
          <w:lang w:val="es-CO"/>
        </w:rPr>
        <w:t>Ombudsman de los Derechos Humanos</w:t>
      </w:r>
      <w:r w:rsidR="003B050C">
        <w:rPr>
          <w:lang w:val="es-CO"/>
        </w:rPr>
        <w:t xml:space="preserve"> </w:t>
      </w:r>
      <w:r w:rsidRPr="00153A9C">
        <w:rPr>
          <w:lang w:val="es-CO"/>
        </w:rPr>
        <w:t xml:space="preserve">de Bosnia y Herzegovina y con el fin de agilizar y lograr una mayor eficiencia. En consecuencia, </w:t>
      </w:r>
      <w:r w:rsidR="00A23ABF" w:rsidRPr="00153A9C">
        <w:rPr>
          <w:lang w:val="es-CO"/>
        </w:rPr>
        <w:t xml:space="preserve">esta entidad dejó </w:t>
      </w:r>
      <w:r w:rsidRPr="00153A9C">
        <w:rPr>
          <w:lang w:val="es-CO"/>
        </w:rPr>
        <w:t>de funcionar</w:t>
      </w:r>
      <w:r w:rsidR="00A23ABF" w:rsidRPr="00153A9C">
        <w:rPr>
          <w:lang w:val="es-CO"/>
        </w:rPr>
        <w:t>. A</w:t>
      </w:r>
      <w:r w:rsidRPr="00153A9C">
        <w:rPr>
          <w:lang w:val="es-CO"/>
        </w:rPr>
        <w:t xml:space="preserve"> comienzos de </w:t>
      </w:r>
      <w:r w:rsidR="0017088C" w:rsidRPr="00153A9C">
        <w:rPr>
          <w:lang w:val="es-CO"/>
        </w:rPr>
        <w:t xml:space="preserve">diciembre de </w:t>
      </w:r>
      <w:r w:rsidRPr="00153A9C">
        <w:rPr>
          <w:lang w:val="es-CO"/>
        </w:rPr>
        <w:t xml:space="preserve">2008 se nombraron tres ombudsman para el conjunto de Bosnia y Herzegovina. Se establecieron </w:t>
      </w:r>
      <w:r w:rsidR="00A23ABF" w:rsidRPr="00153A9C">
        <w:rPr>
          <w:lang w:val="es-CO"/>
        </w:rPr>
        <w:t xml:space="preserve">los </w:t>
      </w:r>
      <w:r w:rsidRPr="00153A9C">
        <w:rPr>
          <w:lang w:val="es-CO"/>
        </w:rPr>
        <w:t>siete departamentos especializados</w:t>
      </w:r>
      <w:r w:rsidR="00A23ABF" w:rsidRPr="00153A9C">
        <w:rPr>
          <w:lang w:val="es-CO"/>
        </w:rPr>
        <w:t xml:space="preserve"> siguientes:</w:t>
      </w:r>
      <w:r w:rsidRPr="00153A9C">
        <w:rPr>
          <w:lang w:val="es-CO"/>
        </w:rPr>
        <w:t xml:space="preserve"> Departamento para la Protección de los Derechos del Niño, Departamento para la Protección de los Derechos de las Personas con Discapacidad, Departamento para la Protección de las Minorías Nacionales, Religiosas y de otra Índole, Departamento para la Protección de los Derechos Económicos, Sociales y Culturales, Departamento de Derechos Civiles y Políticos, Departamento para la Eliminación de todas las Formas de Discriminación y Departamento para la Protección de los Detenidos/Presos.</w:t>
      </w:r>
    </w:p>
    <w:p w:rsidR="000E24E0" w:rsidRPr="00153A9C" w:rsidRDefault="000E24E0" w:rsidP="00C60430">
      <w:pPr>
        <w:pStyle w:val="SingleTxtG"/>
        <w:rPr>
          <w:lang w:val="es-CO"/>
        </w:rPr>
      </w:pPr>
      <w:r w:rsidRPr="00153A9C">
        <w:rPr>
          <w:lang w:val="es-CO"/>
        </w:rPr>
        <w:t xml:space="preserve">6. </w:t>
      </w:r>
      <w:r w:rsidRPr="00153A9C">
        <w:rPr>
          <w:lang w:val="es-CO"/>
        </w:rPr>
        <w:tab/>
        <w:t xml:space="preserve">El </w:t>
      </w:r>
      <w:r w:rsidR="00FB370E" w:rsidRPr="00153A9C">
        <w:rPr>
          <w:lang w:val="es-CO"/>
        </w:rPr>
        <w:t xml:space="preserve">Ombudsman de los Derechos Humanos </w:t>
      </w:r>
      <w:r w:rsidR="003F32E0">
        <w:rPr>
          <w:lang w:val="es-CO"/>
        </w:rPr>
        <w:t>recibe</w:t>
      </w:r>
      <w:r w:rsidRPr="00153A9C">
        <w:rPr>
          <w:lang w:val="es-CO"/>
        </w:rPr>
        <w:t xml:space="preserve"> apoyo especial en </w:t>
      </w:r>
      <w:r w:rsidR="003F32E0">
        <w:rPr>
          <w:lang w:val="es-CO"/>
        </w:rPr>
        <w:t xml:space="preserve">virtud de </w:t>
      </w:r>
      <w:r w:rsidRPr="00153A9C">
        <w:rPr>
          <w:lang w:val="es-CO"/>
        </w:rPr>
        <w:t>la Ley sobre la prohibición de la discriminación (</w:t>
      </w:r>
      <w:r w:rsidRPr="002458C7">
        <w:rPr>
          <w:i/>
          <w:lang w:val="es-CO"/>
        </w:rPr>
        <w:t>Boletín Oficial</w:t>
      </w:r>
      <w:r w:rsidRPr="00153A9C">
        <w:rPr>
          <w:lang w:val="es-CO"/>
        </w:rPr>
        <w:t xml:space="preserve"> de Bosnia y Herzegovina 50/09), que lo considera como institución central para la protección contra </w:t>
      </w:r>
      <w:smartTag w:uri="urn:schemas-microsoft-com:office:smarttags" w:element="PersonName">
        <w:smartTagPr>
          <w:attr w:name="ProductID" w:val="la discriminaci￳n. En"/>
        </w:smartTagPr>
        <w:r w:rsidRPr="00153A9C">
          <w:rPr>
            <w:lang w:val="es-CO"/>
          </w:rPr>
          <w:t>la discriminación. En</w:t>
        </w:r>
      </w:smartTag>
      <w:r w:rsidRPr="00153A9C">
        <w:rPr>
          <w:lang w:val="es-CO"/>
        </w:rPr>
        <w:t xml:space="preserve"> el artículo </w:t>
      </w:r>
      <w:r w:rsidR="00A23ABF" w:rsidRPr="00153A9C">
        <w:rPr>
          <w:lang w:val="es-CO"/>
        </w:rPr>
        <w:t xml:space="preserve">7 </w:t>
      </w:r>
      <w:r w:rsidRPr="00153A9C">
        <w:rPr>
          <w:lang w:val="es-CO"/>
        </w:rPr>
        <w:t xml:space="preserve">de la </w:t>
      </w:r>
      <w:r w:rsidR="001352B1" w:rsidRPr="00153A9C">
        <w:rPr>
          <w:lang w:val="es-CO"/>
        </w:rPr>
        <w:t xml:space="preserve">ley </w:t>
      </w:r>
      <w:r w:rsidRPr="00153A9C">
        <w:rPr>
          <w:lang w:val="es-CO"/>
        </w:rPr>
        <w:t>se especifica que el Ombudsman es competente para recibir denuncias individuales y colectivas</w:t>
      </w:r>
      <w:r w:rsidR="003B050C">
        <w:rPr>
          <w:lang w:val="es-CO"/>
        </w:rPr>
        <w:t xml:space="preserve"> </w:t>
      </w:r>
      <w:r w:rsidR="0000594B">
        <w:rPr>
          <w:lang w:val="es-CO"/>
        </w:rPr>
        <w:t>por</w:t>
      </w:r>
      <w:r w:rsidRPr="00153A9C">
        <w:rPr>
          <w:lang w:val="es-CO"/>
        </w:rPr>
        <w:t xml:space="preserve"> discriminación. Además, debe ofrecer asesoramiento a las personas tanto físicas como jurídicas acerca de sus derechos y responsabilidades y </w:t>
      </w:r>
      <w:r w:rsidR="00A23ABF" w:rsidRPr="00153A9C">
        <w:rPr>
          <w:lang w:val="es-CO"/>
        </w:rPr>
        <w:t xml:space="preserve">las </w:t>
      </w:r>
      <w:r w:rsidRPr="00153A9C">
        <w:rPr>
          <w:lang w:val="es-CO"/>
        </w:rPr>
        <w:t xml:space="preserve">posibilidades de protección judicial. Tras una apelación, el Ombudsman decide sobre la aceptación de una denuncia o </w:t>
      </w:r>
      <w:r w:rsidR="00A23ABF" w:rsidRPr="00153A9C">
        <w:rPr>
          <w:lang w:val="es-CO"/>
        </w:rPr>
        <w:t xml:space="preserve">los </w:t>
      </w:r>
      <w:r w:rsidRPr="00153A9C">
        <w:rPr>
          <w:lang w:val="es-CO"/>
        </w:rPr>
        <w:t>procedimientos de investigación y propone procedimientos de mediación.</w:t>
      </w:r>
    </w:p>
    <w:p w:rsidR="000E24E0" w:rsidRPr="00153A9C" w:rsidRDefault="000E24E0" w:rsidP="00C60430">
      <w:pPr>
        <w:pStyle w:val="SingleTxtG"/>
        <w:rPr>
          <w:lang w:val="es-CO"/>
        </w:rPr>
      </w:pPr>
      <w:r w:rsidRPr="00153A9C">
        <w:rPr>
          <w:lang w:val="es-CO"/>
        </w:rPr>
        <w:t>7.</w:t>
      </w:r>
      <w:r w:rsidRPr="00153A9C">
        <w:rPr>
          <w:lang w:val="es-CO"/>
        </w:rPr>
        <w:tab/>
        <w:t xml:space="preserve">Por consiguiente, podemos decir que se han creado todas las condiciones necesarias para que el </w:t>
      </w:r>
      <w:r w:rsidR="00FB370E" w:rsidRPr="00153A9C">
        <w:rPr>
          <w:lang w:val="es-CO"/>
        </w:rPr>
        <w:t xml:space="preserve">Ombudsman de los Derechos Humanos </w:t>
      </w:r>
      <w:r w:rsidRPr="00153A9C">
        <w:rPr>
          <w:lang w:val="es-CO"/>
        </w:rPr>
        <w:t xml:space="preserve">de Bosnia y Herzegovina intervenga de forma eficaz, se ha garantizado su independencia e imparcialidad y se </w:t>
      </w:r>
      <w:r w:rsidR="0017088C" w:rsidRPr="00153A9C">
        <w:rPr>
          <w:lang w:val="es-CO"/>
        </w:rPr>
        <w:t xml:space="preserve">ha </w:t>
      </w:r>
      <w:r w:rsidRPr="00153A9C">
        <w:rPr>
          <w:lang w:val="es-CO"/>
        </w:rPr>
        <w:t xml:space="preserve">adoptado un enfoque </w:t>
      </w:r>
      <w:r w:rsidR="00A23ABF" w:rsidRPr="00153A9C">
        <w:rPr>
          <w:lang w:val="es-CO"/>
        </w:rPr>
        <w:t xml:space="preserve">singular </w:t>
      </w:r>
      <w:r w:rsidRPr="00153A9C">
        <w:rPr>
          <w:lang w:val="es-CO"/>
        </w:rPr>
        <w:t xml:space="preserve">de los derechos humanos en Bosnia y Herzegovina. </w:t>
      </w:r>
    </w:p>
    <w:p w:rsidR="000E24E0" w:rsidRPr="00153A9C" w:rsidRDefault="00C60430" w:rsidP="00C60430">
      <w:pPr>
        <w:pStyle w:val="H1G"/>
        <w:rPr>
          <w:lang w:val="es-CO"/>
        </w:rPr>
      </w:pPr>
      <w:r>
        <w:rPr>
          <w:lang w:val="es-CO"/>
        </w:rPr>
        <w:tab/>
      </w:r>
      <w:r>
        <w:rPr>
          <w:lang w:val="es-CO"/>
        </w:rPr>
        <w:tab/>
      </w:r>
      <w:r w:rsidR="000E24E0" w:rsidRPr="00153A9C">
        <w:rPr>
          <w:lang w:val="es-CO"/>
        </w:rPr>
        <w:t>Recomendación 31</w:t>
      </w:r>
    </w:p>
    <w:p w:rsidR="000E24E0" w:rsidRPr="00153A9C" w:rsidRDefault="007062E7" w:rsidP="00C60430">
      <w:pPr>
        <w:pStyle w:val="SingleTxtG"/>
        <w:rPr>
          <w:lang w:val="es-CO"/>
        </w:rPr>
      </w:pPr>
      <w:r>
        <w:rPr>
          <w:lang w:val="es-CO"/>
        </w:rPr>
        <w:t>8.</w:t>
      </w:r>
      <w:r>
        <w:rPr>
          <w:lang w:val="es-CO"/>
        </w:rPr>
        <w:tab/>
      </w:r>
      <w:r w:rsidR="008528B0" w:rsidRPr="00153A9C">
        <w:rPr>
          <w:lang w:val="es-CO"/>
        </w:rPr>
        <w:t xml:space="preserve">Con respecto a </w:t>
      </w:r>
      <w:r w:rsidR="000E24E0" w:rsidRPr="00153A9C">
        <w:rPr>
          <w:lang w:val="es-CO"/>
        </w:rPr>
        <w:t>esta recomendación, relativa a la aplicación interna del Pacto, es preciso destacar el hecho de que Bosnia y Herzegovina es un país</w:t>
      </w:r>
      <w:r w:rsidR="003B050C">
        <w:rPr>
          <w:lang w:val="es-CO"/>
        </w:rPr>
        <w:t xml:space="preserve"> </w:t>
      </w:r>
      <w:r w:rsidR="0062177F">
        <w:rPr>
          <w:lang w:val="es-CO"/>
        </w:rPr>
        <w:t>regido por</w:t>
      </w:r>
      <w:r w:rsidR="0000594B">
        <w:rPr>
          <w:lang w:val="es-CO"/>
        </w:rPr>
        <w:t xml:space="preserve"> el</w:t>
      </w:r>
      <w:r w:rsidR="000E24E0" w:rsidRPr="00153A9C">
        <w:rPr>
          <w:lang w:val="es-CO"/>
        </w:rPr>
        <w:t xml:space="preserve"> llamado derecho continental, en virtud del cual, de conformidad con la Constitución, los tribunales resuelven los casos de acuerdo con lo dispuesto en </w:t>
      </w:r>
      <w:smartTag w:uri="urn:schemas-microsoft-com:office:smarttags" w:element="PersonName">
        <w:smartTagPr>
          <w:attr w:name="ProductID" w:val="la legislaci￳n. Este"/>
        </w:smartTagPr>
        <w:r w:rsidR="000E24E0" w:rsidRPr="00153A9C">
          <w:rPr>
            <w:lang w:val="es-CO"/>
          </w:rPr>
          <w:t>la legislación. Este</w:t>
        </w:r>
      </w:smartTag>
      <w:r w:rsidR="000E24E0" w:rsidRPr="00153A9C">
        <w:rPr>
          <w:lang w:val="es-CO"/>
        </w:rPr>
        <w:t xml:space="preserve"> planteamiento de la legislación como fuente de derecho establece una distinción clara entre la jurisprudencia, en la que</w:t>
      </w:r>
      <w:r w:rsidR="008528B0" w:rsidRPr="00153A9C">
        <w:rPr>
          <w:lang w:val="es-CO"/>
        </w:rPr>
        <w:t xml:space="preserve"> esta </w:t>
      </w:r>
      <w:r w:rsidR="000E24E0" w:rsidRPr="00153A9C">
        <w:rPr>
          <w:lang w:val="es-CO"/>
        </w:rPr>
        <w:t xml:space="preserve">constituye una fuente de derecho y representa una obligación de trato diferente consistente en la armonización de la práctica judicial, que de ninguna manera minusvalora las </w:t>
      </w:r>
      <w:r w:rsidR="0000594B" w:rsidRPr="00153A9C">
        <w:rPr>
          <w:lang w:val="es-CO"/>
        </w:rPr>
        <w:t>obligaciones</w:t>
      </w:r>
      <w:r w:rsidR="0000594B">
        <w:rPr>
          <w:lang w:val="es-CO"/>
        </w:rPr>
        <w:t xml:space="preserve">, </w:t>
      </w:r>
      <w:r w:rsidR="000E24E0" w:rsidRPr="00153A9C">
        <w:rPr>
          <w:lang w:val="es-CO"/>
        </w:rPr>
        <w:t>y la necesidad de armonizar la práctica judicial en Bosnia y Herzegovina, por lo que no pone en tela de juicio la definición constitucional de las ley</w:t>
      </w:r>
      <w:r w:rsidR="008528B0" w:rsidRPr="00153A9C">
        <w:rPr>
          <w:lang w:val="es-CO"/>
        </w:rPr>
        <w:t>es como fuente de derecho</w:t>
      </w:r>
      <w:r w:rsidR="000E24E0" w:rsidRPr="00153A9C">
        <w:rPr>
          <w:lang w:val="es-CO"/>
        </w:rPr>
        <w:t>.</w:t>
      </w:r>
    </w:p>
    <w:p w:rsidR="000E24E0" w:rsidRPr="00153A9C" w:rsidRDefault="007062E7" w:rsidP="00C60430">
      <w:pPr>
        <w:pStyle w:val="SingleTxtG"/>
        <w:rPr>
          <w:lang w:val="es-CO"/>
        </w:rPr>
      </w:pPr>
      <w:r>
        <w:rPr>
          <w:lang w:val="es-CO"/>
        </w:rPr>
        <w:t>9.</w:t>
      </w:r>
      <w:r>
        <w:rPr>
          <w:lang w:val="es-CO"/>
        </w:rPr>
        <w:tab/>
      </w:r>
      <w:r w:rsidR="000E24E0" w:rsidRPr="00153A9C">
        <w:rPr>
          <w:lang w:val="es-CO"/>
        </w:rPr>
        <w:t xml:space="preserve">A continuación se presentan algunos ejemplos de jurisprudencia en </w:t>
      </w:r>
      <w:r w:rsidR="00C167D2" w:rsidRPr="00153A9C">
        <w:rPr>
          <w:lang w:val="es-CO"/>
        </w:rPr>
        <w:t>Bosnia y Herzegovina</w:t>
      </w:r>
      <w:r w:rsidR="003B050C">
        <w:rPr>
          <w:lang w:val="es-CO"/>
        </w:rPr>
        <w:t xml:space="preserve"> </w:t>
      </w:r>
      <w:r w:rsidR="000E24E0" w:rsidRPr="00153A9C">
        <w:rPr>
          <w:lang w:val="es-CO"/>
        </w:rPr>
        <w:t xml:space="preserve">en los que, debido a las prácticas contradictorias de los tribunales relacionados con cuestiones idénticas o semejantes al aplicar la misma ley, el </w:t>
      </w:r>
      <w:r w:rsidR="008528B0" w:rsidRPr="00153A9C">
        <w:rPr>
          <w:lang w:val="es-CO"/>
        </w:rPr>
        <w:t>Tribunal Constitucional</w:t>
      </w:r>
      <w:r w:rsidR="000E24E0" w:rsidRPr="00153A9C">
        <w:rPr>
          <w:lang w:val="es-CO"/>
        </w:rPr>
        <w:t xml:space="preserve"> de Bosnia y Herzegovina se niega a adoptar una medida temporal (requerimiento judicial) </w:t>
      </w:r>
      <w:r w:rsidR="008528B0" w:rsidRPr="00153A9C">
        <w:rPr>
          <w:lang w:val="es-CO"/>
        </w:rPr>
        <w:t xml:space="preserve">por </w:t>
      </w:r>
      <w:r w:rsidR="000E24E0" w:rsidRPr="00153A9C">
        <w:rPr>
          <w:lang w:val="es-CO"/>
        </w:rPr>
        <w:t xml:space="preserve">las posibles consecuencias negativas que pueden derivarse de la adopción de una medida temporal determinada. Así, </w:t>
      </w:r>
      <w:r w:rsidR="008528B0" w:rsidRPr="00153A9C">
        <w:rPr>
          <w:lang w:val="es-CO"/>
        </w:rPr>
        <w:t xml:space="preserve">en </w:t>
      </w:r>
      <w:r w:rsidR="000E24E0" w:rsidRPr="00153A9C">
        <w:rPr>
          <w:lang w:val="es-CO"/>
        </w:rPr>
        <w:t>las decisiones AP-2157/08 y AP-1274/08,</w:t>
      </w:r>
      <w:r w:rsidR="003B050C">
        <w:rPr>
          <w:lang w:val="es-CO"/>
        </w:rPr>
        <w:t xml:space="preserve"> </w:t>
      </w:r>
      <w:r w:rsidR="000E24E0" w:rsidRPr="00153A9C">
        <w:rPr>
          <w:lang w:val="es-CO"/>
        </w:rPr>
        <w:t xml:space="preserve">el </w:t>
      </w:r>
      <w:r w:rsidR="008528B0" w:rsidRPr="00153A9C">
        <w:rPr>
          <w:lang w:val="es-CO"/>
        </w:rPr>
        <w:t>Tribunal Constitucional</w:t>
      </w:r>
      <w:r w:rsidR="000E24E0" w:rsidRPr="00153A9C">
        <w:rPr>
          <w:lang w:val="es-CO"/>
        </w:rPr>
        <w:t xml:space="preserve"> establece lo siguiente: </w:t>
      </w:r>
    </w:p>
    <w:p w:rsidR="000E24E0" w:rsidRPr="00153A9C" w:rsidRDefault="000E24E0" w:rsidP="00C60430">
      <w:pPr>
        <w:pStyle w:val="SingleTxtG"/>
        <w:ind w:left="1701"/>
        <w:rPr>
          <w:lang w:val="es-CO"/>
        </w:rPr>
      </w:pPr>
      <w:r w:rsidRPr="00153A9C">
        <w:rPr>
          <w:lang w:val="es-CO"/>
        </w:rPr>
        <w:t>En esas circunstancias, antes de</w:t>
      </w:r>
      <w:r w:rsidR="0017088C" w:rsidRPr="00153A9C">
        <w:rPr>
          <w:lang w:val="es-CO"/>
        </w:rPr>
        <w:t>l</w:t>
      </w:r>
      <w:r w:rsidRPr="00153A9C">
        <w:rPr>
          <w:lang w:val="es-CO"/>
        </w:rPr>
        <w:t xml:space="preserve"> análisis detallado de los diferentes dictámenes jurídicos de los tribunales de primera instancia y los tribunales de dos niveles de apelación que apliquen la misma ley sustantiva que invoca esta solicitud, el </w:t>
      </w:r>
      <w:r w:rsidR="008528B0" w:rsidRPr="00153A9C">
        <w:rPr>
          <w:lang w:val="es-CO"/>
        </w:rPr>
        <w:t>Tribunal Constitucional</w:t>
      </w:r>
      <w:r w:rsidRPr="00153A9C">
        <w:rPr>
          <w:lang w:val="es-CO"/>
        </w:rPr>
        <w:t xml:space="preserve"> considera que la ejecución de las sentencias del Tribunal Supremo, que ordenó a los apelantes que concedieran al demandante la posesión de las propiedades comerciales libres de personas y bienes, podría causar efectos negativos imprevisibles a los apelantes si son expulsados de los locales, y que cuatro empleados perderían su empleo. Además, el </w:t>
      </w:r>
      <w:r w:rsidR="008528B0" w:rsidRPr="00153A9C">
        <w:rPr>
          <w:lang w:val="es-CO"/>
        </w:rPr>
        <w:t>Tribunal Constitucional</w:t>
      </w:r>
      <w:r w:rsidRPr="00153A9C">
        <w:rPr>
          <w:lang w:val="es-CO"/>
        </w:rPr>
        <w:t xml:space="preserve"> observa que la aplicación apunta</w:t>
      </w:r>
      <w:r w:rsidR="008528B0" w:rsidRPr="00153A9C">
        <w:rPr>
          <w:lang w:val="es-CO"/>
        </w:rPr>
        <w:t>b</w:t>
      </w:r>
      <w:r w:rsidRPr="00153A9C">
        <w:rPr>
          <w:lang w:val="es-CO"/>
        </w:rPr>
        <w:t xml:space="preserve">a a un trato diferente por parte de los tribunales en casos semejantes, lo que iba en contra del principio de legalidad y seguridad jurídica. A este respecto, el </w:t>
      </w:r>
      <w:r w:rsidR="008528B0" w:rsidRPr="00153A9C">
        <w:rPr>
          <w:lang w:val="es-CO"/>
        </w:rPr>
        <w:t>Tribunal Constitucional</w:t>
      </w:r>
      <w:r w:rsidRPr="00153A9C">
        <w:rPr>
          <w:lang w:val="es-CO"/>
        </w:rPr>
        <w:t xml:space="preserve"> considera que las diferentes prácticas de los tribunales son una razón importante que el </w:t>
      </w:r>
      <w:r w:rsidR="008528B0" w:rsidRPr="00153A9C">
        <w:rPr>
          <w:lang w:val="es-CO"/>
        </w:rPr>
        <w:t>Tribunal Constitucional</w:t>
      </w:r>
      <w:r w:rsidRPr="00153A9C">
        <w:rPr>
          <w:lang w:val="es-CO"/>
        </w:rPr>
        <w:t xml:space="preserve"> debe tener en cuenta en espera de una decisión final sobre la apelación.</w:t>
      </w:r>
    </w:p>
    <w:p w:rsidR="000E24E0" w:rsidRPr="00153A9C" w:rsidRDefault="000E24E0" w:rsidP="00C60430">
      <w:pPr>
        <w:pStyle w:val="SingleTxtG"/>
        <w:rPr>
          <w:lang w:val="es-CO"/>
        </w:rPr>
      </w:pPr>
      <w:r w:rsidRPr="00153A9C">
        <w:rPr>
          <w:lang w:val="es-CO"/>
        </w:rPr>
        <w:t>10.</w:t>
      </w:r>
      <w:r w:rsidRPr="00153A9C">
        <w:rPr>
          <w:lang w:val="es-CO"/>
        </w:rPr>
        <w:tab/>
        <w:t xml:space="preserve">Por ello, varias decisiones del Tribunal de </w:t>
      </w:r>
      <w:r w:rsidR="00C167D2" w:rsidRPr="00153A9C">
        <w:rPr>
          <w:lang w:val="es-CO"/>
        </w:rPr>
        <w:t>Bosnia y Herzegovina</w:t>
      </w:r>
      <w:r w:rsidR="003B050C">
        <w:rPr>
          <w:lang w:val="es-CO"/>
        </w:rPr>
        <w:t xml:space="preserve"> </w:t>
      </w:r>
      <w:r w:rsidRPr="00153A9C">
        <w:rPr>
          <w:lang w:val="es-CO"/>
        </w:rPr>
        <w:t xml:space="preserve">relativas a los derechos económicos, sociales y culturales, revelan la arbitrariedad de interpretación y aplicación de los reglamentos y las decisiones judiciales infundadas, como cuestión independiente para evaluar los fundamentos de las apelaciones. Así ocurre particularmente en las cuestiones relacionadas con la privatización, </w:t>
      </w:r>
      <w:r w:rsidR="008528B0" w:rsidRPr="00153A9C">
        <w:rPr>
          <w:lang w:val="es-CO"/>
        </w:rPr>
        <w:t xml:space="preserve">los temas </w:t>
      </w:r>
      <w:r w:rsidRPr="00153A9C">
        <w:rPr>
          <w:lang w:val="es-CO"/>
        </w:rPr>
        <w:t xml:space="preserve">laborales, la política social, las pensiones, la propiedad y otros derechos. </w:t>
      </w:r>
    </w:p>
    <w:p w:rsidR="000E24E0" w:rsidRPr="00153A9C" w:rsidRDefault="000E24E0" w:rsidP="00C60430">
      <w:pPr>
        <w:pStyle w:val="SingleTxtG"/>
        <w:rPr>
          <w:lang w:val="es-CO"/>
        </w:rPr>
      </w:pPr>
      <w:r w:rsidRPr="00153A9C">
        <w:rPr>
          <w:lang w:val="es-CO"/>
        </w:rPr>
        <w:t>11.</w:t>
      </w:r>
      <w:r w:rsidRPr="00153A9C">
        <w:rPr>
          <w:lang w:val="es-CO"/>
        </w:rPr>
        <w:tab/>
        <w:t>Estas y muchas otras prácticas del sistema judicial de Bosnia y Herzegovina revela</w:t>
      </w:r>
      <w:r w:rsidR="008528B0" w:rsidRPr="00153A9C">
        <w:rPr>
          <w:lang w:val="es-CO"/>
        </w:rPr>
        <w:t>n</w:t>
      </w:r>
      <w:r w:rsidRPr="00153A9C">
        <w:rPr>
          <w:lang w:val="es-CO"/>
        </w:rPr>
        <w:t xml:space="preserve"> la importancia de la armonización de las prácticas judiciales y la inaceptabilidad de puntos de vista jurídicos arbitrarios e infundados y</w:t>
      </w:r>
      <w:r w:rsidR="00EF3E2F">
        <w:rPr>
          <w:lang w:val="es-CO"/>
        </w:rPr>
        <w:t>, en particular,</w:t>
      </w:r>
      <w:r w:rsidR="003B050C">
        <w:rPr>
          <w:lang w:val="es-CO"/>
        </w:rPr>
        <w:t xml:space="preserve"> </w:t>
      </w:r>
      <w:r w:rsidRPr="00153A9C">
        <w:rPr>
          <w:lang w:val="es-CO"/>
        </w:rPr>
        <w:t xml:space="preserve">su aplicación. Sin duda, quienes más sufren los daños son los ciudadanos de Bosnia y Herzegovina, ya que en este contexto </w:t>
      </w:r>
      <w:r w:rsidR="008528B0" w:rsidRPr="00153A9C">
        <w:rPr>
          <w:lang w:val="es-CO"/>
        </w:rPr>
        <w:t xml:space="preserve">se pone en </w:t>
      </w:r>
      <w:r w:rsidRPr="00153A9C">
        <w:rPr>
          <w:lang w:val="es-CO"/>
        </w:rPr>
        <w:t xml:space="preserve">entredicho su seguridad jurídica, el principio de la legalidad y el principio del imperio de </w:t>
      </w:r>
      <w:smartTag w:uri="urn:schemas-microsoft-com:office:smarttags" w:element="PersonName">
        <w:smartTagPr>
          <w:attr w:name="ProductID" w:val="la ley. Por"/>
        </w:smartTagPr>
        <w:r w:rsidRPr="00153A9C">
          <w:rPr>
            <w:lang w:val="es-CO"/>
          </w:rPr>
          <w:t>la ley. Por</w:t>
        </w:r>
      </w:smartTag>
      <w:r w:rsidRPr="00153A9C">
        <w:rPr>
          <w:lang w:val="es-CO"/>
        </w:rPr>
        <w:t xml:space="preserve"> ello, </w:t>
      </w:r>
      <w:r w:rsidR="00962FE1" w:rsidRPr="00153A9C">
        <w:rPr>
          <w:lang w:val="es-CO"/>
        </w:rPr>
        <w:t xml:space="preserve">en </w:t>
      </w:r>
      <w:r w:rsidRPr="00153A9C">
        <w:rPr>
          <w:lang w:val="es-CO"/>
        </w:rPr>
        <w:t xml:space="preserve">el próximo período, la labor relativa </w:t>
      </w:r>
      <w:r w:rsidR="00EF3E2F">
        <w:rPr>
          <w:lang w:val="es-CO"/>
        </w:rPr>
        <w:t xml:space="preserve">a </w:t>
      </w:r>
      <w:r w:rsidRPr="00153A9C">
        <w:rPr>
          <w:lang w:val="es-CO"/>
        </w:rPr>
        <w:t xml:space="preserve">la armonización de la práctica judicial en Bosnia y Herzegovina debería estar más basada en el respeto y </w:t>
      </w:r>
      <w:r w:rsidR="00EF3E2F">
        <w:rPr>
          <w:lang w:val="es-CO"/>
        </w:rPr>
        <w:t xml:space="preserve">la </w:t>
      </w:r>
      <w:r w:rsidRPr="00153A9C">
        <w:rPr>
          <w:lang w:val="es-CO"/>
        </w:rPr>
        <w:t>aplicación del Reglamento sobre el funcionamiento interno de los tribunales, tanto dentro de las Entidades</w:t>
      </w:r>
      <w:r w:rsidR="00962FE1" w:rsidRPr="00153A9C">
        <w:rPr>
          <w:lang w:val="es-CO"/>
        </w:rPr>
        <w:t xml:space="preserve"> como </w:t>
      </w:r>
      <w:r w:rsidRPr="00153A9C">
        <w:rPr>
          <w:lang w:val="es-CO"/>
        </w:rPr>
        <w:t xml:space="preserve">entre los tribunales superiores de las Entidades </w:t>
      </w:r>
      <w:r w:rsidR="00962FE1" w:rsidRPr="00153A9C">
        <w:rPr>
          <w:lang w:val="es-CO"/>
        </w:rPr>
        <w:t xml:space="preserve">y </w:t>
      </w:r>
      <w:r w:rsidRPr="00153A9C">
        <w:rPr>
          <w:lang w:val="es-CO"/>
        </w:rPr>
        <w:t>el Distrito Brčko, con el fin de establecer una base para su aplicación sistemática y, de esa manera, acabar con las diferencias en el proceso de toma de decisiones judiciales sobre las mismas cuestiones.</w:t>
      </w:r>
    </w:p>
    <w:p w:rsidR="000E24E0" w:rsidRPr="00153A9C" w:rsidRDefault="000E24E0" w:rsidP="00C60430">
      <w:pPr>
        <w:pStyle w:val="SingleTxtG"/>
        <w:rPr>
          <w:lang w:val="es-CO"/>
        </w:rPr>
      </w:pPr>
      <w:r w:rsidRPr="00153A9C">
        <w:rPr>
          <w:lang w:val="es-CO"/>
        </w:rPr>
        <w:t>12.</w:t>
      </w:r>
      <w:r w:rsidRPr="00153A9C">
        <w:rPr>
          <w:lang w:val="es-CO"/>
        </w:rPr>
        <w:tab/>
        <w:t xml:space="preserve">Por ello, para que la práctica judicial de Bosnia y Herzegovina esté más equilibrada y tenga un planteamiento unificado de la toma de decisiones judiciales, se presentan cada vez más ideas acerca del establecimiento del Tribunal Supremo, que dictaría las decisiones de forma más justa y eficaz y </w:t>
      </w:r>
      <w:r w:rsidR="00EF3E2F">
        <w:rPr>
          <w:lang w:val="es-CO"/>
        </w:rPr>
        <w:t xml:space="preserve">las </w:t>
      </w:r>
      <w:r w:rsidR="00962FE1" w:rsidRPr="00153A9C">
        <w:rPr>
          <w:lang w:val="es-CO"/>
        </w:rPr>
        <w:t>haría aplicar con mayor eficacia y eficiencia.</w:t>
      </w:r>
    </w:p>
    <w:p w:rsidR="000E24E0" w:rsidRPr="00153A9C" w:rsidRDefault="000E24E0" w:rsidP="00C60430">
      <w:pPr>
        <w:pStyle w:val="SingleTxtG"/>
        <w:rPr>
          <w:lang w:val="es-CO"/>
        </w:rPr>
      </w:pPr>
      <w:r w:rsidRPr="00153A9C">
        <w:rPr>
          <w:lang w:val="es-CO"/>
        </w:rPr>
        <w:t>13.</w:t>
      </w:r>
      <w:r w:rsidRPr="00153A9C">
        <w:rPr>
          <w:lang w:val="es-CO"/>
        </w:rPr>
        <w:tab/>
        <w:t>E</w:t>
      </w:r>
      <w:r w:rsidR="00962FE1" w:rsidRPr="00153A9C">
        <w:rPr>
          <w:lang w:val="es-CO"/>
        </w:rPr>
        <w:t>n e</w:t>
      </w:r>
      <w:r w:rsidRPr="00153A9C">
        <w:rPr>
          <w:lang w:val="es-CO"/>
        </w:rPr>
        <w:t xml:space="preserve">l contexto de la reforma global del sistema judicial de Bosnia y Herzegovina, los centros de capacitación judicial y fiscal de las Entidades y </w:t>
      </w:r>
      <w:smartTag w:uri="urn:schemas-microsoft-com:office:smarttags" w:element="PersonName">
        <w:smartTagPr>
          <w:attr w:name="ProductID" w:val="la Comisi￳n Judicial"/>
        </w:smartTagPr>
        <w:r w:rsidRPr="00153A9C">
          <w:rPr>
            <w:lang w:val="es-CO"/>
          </w:rPr>
          <w:t xml:space="preserve">la </w:t>
        </w:r>
        <w:r w:rsidR="00962FE1" w:rsidRPr="00153A9C">
          <w:rPr>
            <w:lang w:val="es-CO"/>
          </w:rPr>
          <w:t>Comisión Judicial</w:t>
        </w:r>
      </w:smartTag>
      <w:r w:rsidRPr="00153A9C">
        <w:rPr>
          <w:lang w:val="es-CO"/>
        </w:rPr>
        <w:t xml:space="preserve"> del Distrito Brčko, bajo la supervisión del </w:t>
      </w:r>
      <w:r w:rsidR="00962FE1" w:rsidRPr="00153A9C">
        <w:rPr>
          <w:lang w:val="es-CO"/>
        </w:rPr>
        <w:t>Consejo Superior de Jueces y Fiscales</w:t>
      </w:r>
      <w:r w:rsidRPr="00153A9C">
        <w:rPr>
          <w:lang w:val="es-CO"/>
        </w:rPr>
        <w:t xml:space="preserve"> de Bosnia y Herzegovina, organizan periódicamente cursos de capacitación sobre las normas internacionales</w:t>
      </w:r>
      <w:r w:rsidR="00962FE1" w:rsidRPr="00153A9C">
        <w:rPr>
          <w:lang w:val="es-CO"/>
        </w:rPr>
        <w:t>.</w:t>
      </w:r>
    </w:p>
    <w:p w:rsidR="000E24E0" w:rsidRPr="00153A9C" w:rsidRDefault="000E24E0" w:rsidP="00C60430">
      <w:pPr>
        <w:pStyle w:val="SingleTxtG"/>
        <w:rPr>
          <w:lang w:val="es-CO"/>
        </w:rPr>
      </w:pPr>
      <w:r w:rsidRPr="00153A9C">
        <w:rPr>
          <w:lang w:val="es-CO"/>
        </w:rPr>
        <w:t>14.</w:t>
      </w:r>
      <w:r w:rsidRPr="00153A9C">
        <w:rPr>
          <w:lang w:val="es-CO"/>
        </w:rPr>
        <w:tab/>
        <w:t xml:space="preserve">En el programa se incluyen los siguientes temas: el Convenio Europeo de Derechos Humanos, la </w:t>
      </w:r>
      <w:r w:rsidR="00962FE1" w:rsidRPr="00153A9C">
        <w:rPr>
          <w:lang w:val="es-CO"/>
        </w:rPr>
        <w:t>j</w:t>
      </w:r>
      <w:r w:rsidRPr="00153A9C">
        <w:rPr>
          <w:lang w:val="es-CO"/>
        </w:rPr>
        <w:t>urisprudencia del Tribunal Europeo de Derechos Humanos de Estrasburgo, la asistencia judicial internacional en materia penal, el Convenio Europe</w:t>
      </w:r>
      <w:r w:rsidR="00962FE1" w:rsidRPr="00153A9C">
        <w:rPr>
          <w:lang w:val="es-CO"/>
        </w:rPr>
        <w:t>o</w:t>
      </w:r>
      <w:r w:rsidRPr="00153A9C">
        <w:rPr>
          <w:lang w:val="es-CO"/>
        </w:rPr>
        <w:t xml:space="preserve"> y la igualdad de género, el derecho humanitario internacional, las convenciones internacionales relacionadas con el trabajo, la familia y otros derechos, la igualdad de género </w:t>
      </w:r>
      <w:r w:rsidR="00962FE1" w:rsidRPr="00153A9C">
        <w:rPr>
          <w:lang w:val="es-CO"/>
        </w:rPr>
        <w:t xml:space="preserve">en Bosnia </w:t>
      </w:r>
      <w:r w:rsidRPr="00153A9C">
        <w:rPr>
          <w:lang w:val="es-CO"/>
        </w:rPr>
        <w:t>y Herzegovina en el contexto de la recomendaciones de los comités de las Naciones Unidas, y la asistencia judicial mutua en las cuestiones civiles.</w:t>
      </w:r>
    </w:p>
    <w:p w:rsidR="000E24E0" w:rsidRPr="00153A9C" w:rsidRDefault="000E24E0" w:rsidP="00C60430">
      <w:pPr>
        <w:pStyle w:val="SingleTxtG"/>
        <w:rPr>
          <w:lang w:val="es-CO"/>
        </w:rPr>
      </w:pPr>
      <w:r w:rsidRPr="00153A9C">
        <w:rPr>
          <w:lang w:val="es-CO"/>
        </w:rPr>
        <w:t>15.</w:t>
      </w:r>
      <w:r w:rsidRPr="00153A9C">
        <w:rPr>
          <w:lang w:val="es-CO"/>
        </w:rPr>
        <w:tab/>
        <w:t xml:space="preserve">La Estrategia de 2008-2012 para la reforma del sector de la justicia en Bosnia y Herzegovina prevé una mayor independencia </w:t>
      </w:r>
      <w:r w:rsidR="00762C1B">
        <w:rPr>
          <w:lang w:val="es-CO"/>
        </w:rPr>
        <w:t xml:space="preserve">y armonización </w:t>
      </w:r>
      <w:r w:rsidRPr="00153A9C">
        <w:rPr>
          <w:lang w:val="es-CO"/>
        </w:rPr>
        <w:t xml:space="preserve">del sistema judicial, lo que daría lugar al cumplimiento de los compromisos contraídos por Bosnia y Herzegovina en virtud de las asociaciones europeas. Asimismo, están previstas actividades relacionadas con la aplicación de las normas internacionales en el sistema de ejecución de las sanciones penales en Bosnia y Herzegovina y el establecimiento de mecanismos para la capacitación de los jueces y fiscales en la esfera de la asistencia y la cooperación judicial internacional. </w:t>
      </w:r>
    </w:p>
    <w:p w:rsidR="000E24E0" w:rsidRPr="00153A9C" w:rsidRDefault="00C60430" w:rsidP="00C60430">
      <w:pPr>
        <w:pStyle w:val="H1G"/>
        <w:rPr>
          <w:lang w:val="es-CO"/>
        </w:rPr>
      </w:pPr>
      <w:r>
        <w:rPr>
          <w:lang w:val="es-CO"/>
        </w:rPr>
        <w:tab/>
      </w:r>
      <w:r>
        <w:rPr>
          <w:lang w:val="es-CO"/>
        </w:rPr>
        <w:tab/>
      </w:r>
      <w:r w:rsidR="000E24E0" w:rsidRPr="00153A9C">
        <w:rPr>
          <w:lang w:val="es-CO"/>
        </w:rPr>
        <w:t>Recomendación 32</w:t>
      </w:r>
    </w:p>
    <w:p w:rsidR="000E24E0" w:rsidRPr="00153A9C" w:rsidRDefault="000E24E0" w:rsidP="00C60430">
      <w:pPr>
        <w:pStyle w:val="SingleTxtG"/>
        <w:rPr>
          <w:lang w:val="es-CO"/>
        </w:rPr>
      </w:pPr>
      <w:r w:rsidRPr="00153A9C">
        <w:rPr>
          <w:lang w:val="es-CO"/>
        </w:rPr>
        <w:t>16.</w:t>
      </w:r>
      <w:r w:rsidRPr="00153A9C">
        <w:rPr>
          <w:lang w:val="es-CO"/>
        </w:rPr>
        <w:tab/>
        <w:t xml:space="preserve">Desde hace varios años, Bosnia y Herzegovina </w:t>
      </w:r>
      <w:r w:rsidR="00684BA6" w:rsidRPr="00153A9C">
        <w:rPr>
          <w:lang w:val="es-CO"/>
        </w:rPr>
        <w:t>realiza</w:t>
      </w:r>
      <w:r w:rsidRPr="00153A9C">
        <w:rPr>
          <w:lang w:val="es-CO"/>
        </w:rPr>
        <w:t xml:space="preserve"> grandes esfuerzos para conseguir el retorno de los refugiados y personas desplazadas a </w:t>
      </w:r>
      <w:r w:rsidR="00962FE1" w:rsidRPr="00153A9C">
        <w:rPr>
          <w:lang w:val="es-CO"/>
        </w:rPr>
        <w:t xml:space="preserve">los </w:t>
      </w:r>
      <w:r w:rsidRPr="00153A9C">
        <w:rPr>
          <w:lang w:val="es-CO"/>
        </w:rPr>
        <w:t xml:space="preserve">hogares </w:t>
      </w:r>
      <w:r w:rsidR="00962FE1" w:rsidRPr="00153A9C">
        <w:rPr>
          <w:lang w:val="es-CO"/>
        </w:rPr>
        <w:t xml:space="preserve">que tuvieron que abandonar por </w:t>
      </w:r>
      <w:smartTag w:uri="urn:schemas-microsoft-com:office:smarttags" w:element="PersonName">
        <w:smartTagPr>
          <w:attr w:name="ProductID" w:val="la guerra. Con"/>
        </w:smartTagPr>
        <w:r w:rsidR="00962FE1" w:rsidRPr="00153A9C">
          <w:rPr>
            <w:lang w:val="es-CO"/>
          </w:rPr>
          <w:t>la guerra</w:t>
        </w:r>
        <w:r w:rsidRPr="00153A9C">
          <w:rPr>
            <w:lang w:val="es-CO"/>
          </w:rPr>
          <w:t>. Con</w:t>
        </w:r>
      </w:smartTag>
      <w:r w:rsidRPr="00153A9C">
        <w:rPr>
          <w:lang w:val="es-CO"/>
        </w:rPr>
        <w:t xml:space="preserve"> el fin de garantizar su regreso sostenible, además de la Ley sobre los refugiados de Bosnia y Herzegovina y las personas desplazadas en Bosnia y Herzegovina, se a</w:t>
      </w:r>
      <w:r w:rsidR="00962FE1" w:rsidRPr="00153A9C">
        <w:rPr>
          <w:lang w:val="es-CO"/>
        </w:rPr>
        <w:t>probaron leyes de las Entidades</w:t>
      </w:r>
      <w:r w:rsidRPr="00153A9C">
        <w:rPr>
          <w:lang w:val="es-CO"/>
        </w:rPr>
        <w:t xml:space="preserve"> que están plenamente armonizadas con la</w:t>
      </w:r>
      <w:r w:rsidR="003B050C">
        <w:rPr>
          <w:lang w:val="es-CO"/>
        </w:rPr>
        <w:t xml:space="preserve"> </w:t>
      </w:r>
      <w:r w:rsidR="00962FE1" w:rsidRPr="00153A9C">
        <w:rPr>
          <w:lang w:val="es-CO"/>
        </w:rPr>
        <w:t>Convención sobre el Estatuto de los Refugiados</w:t>
      </w:r>
      <w:r w:rsidRPr="00153A9C">
        <w:rPr>
          <w:lang w:val="es-CO"/>
        </w:rPr>
        <w:t xml:space="preserve"> de 1951 y el </w:t>
      </w:r>
      <w:r w:rsidR="00962FE1" w:rsidRPr="00153A9C">
        <w:rPr>
          <w:lang w:val="es-CO"/>
        </w:rPr>
        <w:t>Protocolo sobre el Estatuto de los Refugiado</w:t>
      </w:r>
      <w:r w:rsidRPr="00153A9C">
        <w:rPr>
          <w:lang w:val="es-CO"/>
        </w:rPr>
        <w:t xml:space="preserve"> de 1967, que Bosnia y Herzegovina aceptó por sucesión el 1 de septiembre de 1993, en las que se establece un mecanismo jurídico adecuado para garantizar la igualdad de derechos y la protección de las personas desplazadas, con inclusión de los refugiados y las personas desplazadas residentes en Bosnia y Herzegovina y los refugiados de otros países que se encontraran en </w:t>
      </w:r>
      <w:r w:rsidR="00962FE1" w:rsidRPr="00153A9C">
        <w:rPr>
          <w:lang w:val="es-CO"/>
        </w:rPr>
        <w:t>el país</w:t>
      </w:r>
      <w:r w:rsidRPr="00153A9C">
        <w:rPr>
          <w:lang w:val="es-CO"/>
        </w:rPr>
        <w:t xml:space="preserve">. </w:t>
      </w:r>
    </w:p>
    <w:p w:rsidR="000E24E0" w:rsidRPr="00153A9C" w:rsidRDefault="000E24E0" w:rsidP="00C60430">
      <w:pPr>
        <w:pStyle w:val="SingleTxtG"/>
        <w:rPr>
          <w:lang w:val="es-CO"/>
        </w:rPr>
      </w:pPr>
      <w:r w:rsidRPr="00153A9C">
        <w:rPr>
          <w:lang w:val="es-CO"/>
        </w:rPr>
        <w:t>17.</w:t>
      </w:r>
      <w:r w:rsidRPr="00153A9C">
        <w:rPr>
          <w:lang w:val="es-CO"/>
        </w:rPr>
        <w:tab/>
      </w:r>
      <w:r w:rsidR="00962FE1" w:rsidRPr="00153A9C">
        <w:rPr>
          <w:lang w:val="es-CO"/>
        </w:rPr>
        <w:t xml:space="preserve">Unos </w:t>
      </w:r>
      <w:r w:rsidRPr="00153A9C">
        <w:rPr>
          <w:lang w:val="es-CO"/>
        </w:rPr>
        <w:t xml:space="preserve">2,2 millones de personas de Bosnia y Herzegovina abandonaron sus hogares como consecuencia de la guerra, lo que representa más de la mitad de la población del período </w:t>
      </w:r>
      <w:r w:rsidR="00962FE1" w:rsidRPr="00153A9C">
        <w:rPr>
          <w:lang w:val="es-CO"/>
        </w:rPr>
        <w:t>prebélico</w:t>
      </w:r>
      <w:r w:rsidRPr="00153A9C">
        <w:rPr>
          <w:lang w:val="es-CO"/>
        </w:rPr>
        <w:t xml:space="preserve">. De esa cifra, aproximadamente 1,2 millones buscaron refugio en más de 100 países de todo el mundo, y al mismo tiempo 1 millón de personas </w:t>
      </w:r>
      <w:r w:rsidR="00762C1B">
        <w:rPr>
          <w:lang w:val="es-CO"/>
        </w:rPr>
        <w:t>quedaron</w:t>
      </w:r>
      <w:r w:rsidR="00762C1B" w:rsidRPr="00153A9C">
        <w:rPr>
          <w:lang w:val="es-CO"/>
        </w:rPr>
        <w:t xml:space="preserve"> </w:t>
      </w:r>
      <w:r w:rsidRPr="00153A9C">
        <w:rPr>
          <w:lang w:val="es-CO"/>
        </w:rPr>
        <w:t>desplazadas dentro de Bosnia y Herzegovina.</w:t>
      </w:r>
    </w:p>
    <w:p w:rsidR="000E24E0" w:rsidRPr="00153A9C" w:rsidRDefault="000E24E0" w:rsidP="00C60430">
      <w:pPr>
        <w:pStyle w:val="SingleTxtG"/>
        <w:rPr>
          <w:lang w:val="es-CO"/>
        </w:rPr>
      </w:pPr>
      <w:r w:rsidRPr="00153A9C">
        <w:rPr>
          <w:lang w:val="es-CO"/>
        </w:rPr>
        <w:t>18.</w:t>
      </w:r>
      <w:r w:rsidRPr="00153A9C">
        <w:rPr>
          <w:lang w:val="es-CO"/>
        </w:rPr>
        <w:tab/>
        <w:t>Según estimaciones actuales, más de medio millón de personas que abandonaron Bosnia y Herzegovina como consecuencia de la guerra viven todavía fuera de</w:t>
      </w:r>
      <w:r w:rsidR="00962FE1" w:rsidRPr="00153A9C">
        <w:rPr>
          <w:lang w:val="es-CO"/>
        </w:rPr>
        <w:t>l país</w:t>
      </w:r>
      <w:r w:rsidRPr="00153A9C">
        <w:rPr>
          <w:lang w:val="es-CO"/>
        </w:rPr>
        <w:t>. Más del 80</w:t>
      </w:r>
      <w:r w:rsidR="00962FE1" w:rsidRPr="00153A9C">
        <w:rPr>
          <w:lang w:val="es-CO"/>
        </w:rPr>
        <w:t>%</w:t>
      </w:r>
      <w:r w:rsidRPr="00153A9C">
        <w:rPr>
          <w:lang w:val="es-CO"/>
        </w:rPr>
        <w:t xml:space="preserve"> de ellas se han integrado en los países de acogida. </w:t>
      </w:r>
      <w:r w:rsidR="00962FE1" w:rsidRPr="00153A9C">
        <w:rPr>
          <w:lang w:val="es-CO"/>
        </w:rPr>
        <w:t>M</w:t>
      </w:r>
      <w:r w:rsidRPr="00153A9C">
        <w:rPr>
          <w:lang w:val="es-CO"/>
        </w:rPr>
        <w:t xml:space="preserve">ás de 80.000 refugiados de Bosnia y Herzegovina necesitan soluciones duraderas, entre ellas el retorno voluntario. Unas 39.000 familias, es decir, unas 117.000 personas, tienen el estatuto de personas desplazadas en Bosnia y Herzegovina. No obstante, conviene señalar que, desde la firma de los </w:t>
      </w:r>
      <w:r w:rsidR="00AB4C30" w:rsidRPr="00153A9C">
        <w:rPr>
          <w:lang w:val="es-CO"/>
        </w:rPr>
        <w:t>Acuerdos de Paz de Dayton</w:t>
      </w:r>
      <w:r w:rsidR="003B050C">
        <w:rPr>
          <w:lang w:val="es-CO"/>
        </w:rPr>
        <w:t xml:space="preserve"> </w:t>
      </w:r>
      <w:r w:rsidRPr="00153A9C">
        <w:rPr>
          <w:lang w:val="es-CO"/>
        </w:rPr>
        <w:t xml:space="preserve">hasta la fecha casi todos los bienes anteriores a la guerra se han devuelto a sus propietarios. Se han reconstruido 320.000 del total de 450.000 casas destruidas, la representación de las minorías ha aumentado en el sector público, la libertad de circulación se ha garantizado plenamente y ha mejorado </w:t>
      </w:r>
      <w:r w:rsidR="00AB4C30" w:rsidRPr="00153A9C">
        <w:rPr>
          <w:lang w:val="es-CO"/>
        </w:rPr>
        <w:t xml:space="preserve">de forma </w:t>
      </w:r>
      <w:r w:rsidRPr="00153A9C">
        <w:rPr>
          <w:lang w:val="es-CO"/>
        </w:rPr>
        <w:t>significativa</w:t>
      </w:r>
      <w:r w:rsidR="00AB4C30" w:rsidRPr="00153A9C">
        <w:rPr>
          <w:lang w:val="es-CO"/>
        </w:rPr>
        <w:t xml:space="preserve"> </w:t>
      </w:r>
      <w:r w:rsidRPr="00153A9C">
        <w:rPr>
          <w:lang w:val="es-CO"/>
        </w:rPr>
        <w:t>la seguridad de los repatriados.</w:t>
      </w:r>
    </w:p>
    <w:p w:rsidR="000E24E0" w:rsidRPr="00153A9C" w:rsidRDefault="000E24E0" w:rsidP="00C60430">
      <w:pPr>
        <w:pStyle w:val="SingleTxtG"/>
        <w:rPr>
          <w:lang w:val="es-CO"/>
        </w:rPr>
      </w:pPr>
      <w:r w:rsidRPr="00153A9C">
        <w:rPr>
          <w:lang w:val="es-CO"/>
        </w:rPr>
        <w:t>19.</w:t>
      </w:r>
      <w:r w:rsidRPr="00153A9C">
        <w:rPr>
          <w:lang w:val="es-CO"/>
        </w:rPr>
        <w:tab/>
        <w:t xml:space="preserve">Aunque se han conseguido resultados significativos en la aplicación del </w:t>
      </w:r>
      <w:r w:rsidR="00FF5EDF" w:rsidRPr="00153A9C">
        <w:rPr>
          <w:lang w:val="es-CO"/>
        </w:rPr>
        <w:t>anexo</w:t>
      </w:r>
      <w:r w:rsidR="00AB4C30" w:rsidRPr="00153A9C">
        <w:rPr>
          <w:lang w:val="es-CO"/>
        </w:rPr>
        <w:t xml:space="preserve"> 7 </w:t>
      </w:r>
      <w:r w:rsidRPr="00153A9C">
        <w:rPr>
          <w:lang w:val="es-CO"/>
        </w:rPr>
        <w:t xml:space="preserve">del Acuerdo de Paz de Dayton, más de la mitad de los refugiados y personas desplazadas no han regresado a sus hogares y un gran número de refugiados, personas desplazadas y otras personas afectadas por conflictos necesitan soluciones permanentes. Muchas de esas categorías son sumamente vulnerables debido a que viven en condiciones inadecuadas e inhumanas, como refugiados. </w:t>
      </w:r>
      <w:r w:rsidR="00AB4C30" w:rsidRPr="00153A9C">
        <w:rPr>
          <w:lang w:val="es-CO"/>
        </w:rPr>
        <w:t xml:space="preserve">La situación más difícil es la de unas </w:t>
      </w:r>
      <w:r w:rsidRPr="00153A9C">
        <w:rPr>
          <w:lang w:val="es-CO"/>
        </w:rPr>
        <w:t>2</w:t>
      </w:r>
      <w:r w:rsidR="00AB4C30" w:rsidRPr="00153A9C">
        <w:rPr>
          <w:lang w:val="es-CO"/>
        </w:rPr>
        <w:t>.</w:t>
      </w:r>
      <w:r w:rsidRPr="00153A9C">
        <w:rPr>
          <w:lang w:val="es-CO"/>
        </w:rPr>
        <w:t xml:space="preserve">700 familias que viven todavía en centros colectivos. </w:t>
      </w:r>
      <w:r w:rsidR="00AB4C30" w:rsidRPr="00153A9C">
        <w:rPr>
          <w:lang w:val="es-CO"/>
        </w:rPr>
        <w:t>Es también difícil la situación de l</w:t>
      </w:r>
      <w:r w:rsidRPr="00153A9C">
        <w:rPr>
          <w:lang w:val="es-CO"/>
        </w:rPr>
        <w:t>as personas y familias cuya propiedad anterior a la guerra se destruyó por completo. Naturalmente, están en la lista de l</w:t>
      </w:r>
      <w:r w:rsidR="00AB4C30" w:rsidRPr="00153A9C">
        <w:rPr>
          <w:lang w:val="es-CO"/>
        </w:rPr>
        <w:t>a</w:t>
      </w:r>
      <w:r w:rsidRPr="00153A9C">
        <w:rPr>
          <w:lang w:val="es-CO"/>
        </w:rPr>
        <w:t>s casi 45</w:t>
      </w:r>
      <w:r w:rsidR="007731DC" w:rsidRPr="00153A9C">
        <w:rPr>
          <w:lang w:val="es-CO"/>
        </w:rPr>
        <w:t>.000</w:t>
      </w:r>
      <w:r w:rsidRPr="00153A9C">
        <w:rPr>
          <w:lang w:val="es-CO"/>
        </w:rPr>
        <w:t xml:space="preserve"> viviendas de repatriados que esperan que</w:t>
      </w:r>
      <w:r w:rsidR="00AB4C30" w:rsidRPr="00153A9C">
        <w:rPr>
          <w:lang w:val="es-CO"/>
        </w:rPr>
        <w:t xml:space="preserve"> se reparen </w:t>
      </w:r>
      <w:r w:rsidRPr="00153A9C">
        <w:rPr>
          <w:lang w:val="es-CO"/>
        </w:rPr>
        <w:t xml:space="preserve">sus hogares destruidos. Al mismo tiempo, debemos hacer hincapié en la situación de muchos repatriados que </w:t>
      </w:r>
      <w:r w:rsidR="00411673">
        <w:rPr>
          <w:lang w:val="es-CO"/>
        </w:rPr>
        <w:t>a su regreso han encontrado</w:t>
      </w:r>
      <w:r w:rsidRPr="00153A9C">
        <w:rPr>
          <w:lang w:val="es-CO"/>
        </w:rPr>
        <w:t xml:space="preserve"> situaciones de supervivencia difíciles, en particular porque muchos lugares no se han desminado, las oportunidades económicas son escasas y </w:t>
      </w:r>
      <w:r w:rsidR="00AB4C30" w:rsidRPr="00153A9C">
        <w:rPr>
          <w:lang w:val="es-CO"/>
        </w:rPr>
        <w:t xml:space="preserve">la coyuntura </w:t>
      </w:r>
      <w:r w:rsidRPr="00153A9C">
        <w:rPr>
          <w:lang w:val="es-CO"/>
        </w:rPr>
        <w:t>económica es difícil debido a que carecen de empleos,</w:t>
      </w:r>
      <w:r w:rsidR="00411673">
        <w:rPr>
          <w:lang w:val="es-CO"/>
        </w:rPr>
        <w:t xml:space="preserve"> y</w:t>
      </w:r>
      <w:r w:rsidRPr="00153A9C">
        <w:rPr>
          <w:lang w:val="es-CO"/>
        </w:rPr>
        <w:t xml:space="preserve"> la infraestructura es deficiente, </w:t>
      </w:r>
      <w:r w:rsidR="00AB4C30" w:rsidRPr="00153A9C">
        <w:rPr>
          <w:lang w:val="es-CO"/>
        </w:rPr>
        <w:t xml:space="preserve">en </w:t>
      </w:r>
      <w:r w:rsidRPr="00153A9C">
        <w:rPr>
          <w:lang w:val="es-CO"/>
        </w:rPr>
        <w:t>particular las conexiones con los sistemas de electricidad y abastecimiento de agua, las carreteras</w:t>
      </w:r>
      <w:r w:rsidR="00AB4C30" w:rsidRPr="00153A9C">
        <w:rPr>
          <w:lang w:val="es-CO"/>
        </w:rPr>
        <w:t xml:space="preserve"> y</w:t>
      </w:r>
      <w:r w:rsidRPr="00153A9C">
        <w:rPr>
          <w:lang w:val="es-CO"/>
        </w:rPr>
        <w:t xml:space="preserve"> el acceso a los derechos y los servicios</w:t>
      </w:r>
      <w:r w:rsidR="00AB4C30" w:rsidRPr="00153A9C">
        <w:rPr>
          <w:lang w:val="es-CO"/>
        </w:rPr>
        <w:t>,</w:t>
      </w:r>
      <w:r w:rsidRPr="00153A9C">
        <w:rPr>
          <w:lang w:val="es-CO"/>
        </w:rPr>
        <w:t xml:space="preserve"> como la atención de salud </w:t>
      </w:r>
      <w:r w:rsidR="00AB4C30" w:rsidRPr="00153A9C">
        <w:rPr>
          <w:lang w:val="es-CO"/>
        </w:rPr>
        <w:t xml:space="preserve">y </w:t>
      </w:r>
      <w:r w:rsidRPr="00153A9C">
        <w:rPr>
          <w:lang w:val="es-CO"/>
        </w:rPr>
        <w:t xml:space="preserve">las pensiones, </w:t>
      </w:r>
      <w:r w:rsidR="00AB4C30" w:rsidRPr="00153A9C">
        <w:rPr>
          <w:lang w:val="es-CO"/>
        </w:rPr>
        <w:t xml:space="preserve">problemas </w:t>
      </w:r>
      <w:r w:rsidRPr="00153A9C">
        <w:rPr>
          <w:lang w:val="es-CO"/>
        </w:rPr>
        <w:t xml:space="preserve">que habrá que resolver en el futuro. </w:t>
      </w:r>
    </w:p>
    <w:p w:rsidR="000E24E0" w:rsidRPr="00153A9C" w:rsidRDefault="000E24E0" w:rsidP="00C60430">
      <w:pPr>
        <w:pStyle w:val="SingleTxtG"/>
        <w:rPr>
          <w:lang w:val="es-CO"/>
        </w:rPr>
      </w:pPr>
      <w:r w:rsidRPr="00153A9C">
        <w:rPr>
          <w:lang w:val="es-CO"/>
        </w:rPr>
        <w:t>20.</w:t>
      </w:r>
      <w:r w:rsidRPr="00153A9C">
        <w:rPr>
          <w:lang w:val="es-CO"/>
        </w:rPr>
        <w:tab/>
        <w:t xml:space="preserve">Los problemas </w:t>
      </w:r>
      <w:r w:rsidR="00AB4C30" w:rsidRPr="00153A9C">
        <w:rPr>
          <w:lang w:val="es-CO"/>
        </w:rPr>
        <w:t xml:space="preserve">son </w:t>
      </w:r>
      <w:r w:rsidRPr="00153A9C">
        <w:rPr>
          <w:lang w:val="es-CO"/>
        </w:rPr>
        <w:t xml:space="preserve">muchas veces </w:t>
      </w:r>
      <w:r w:rsidR="00AB4C30" w:rsidRPr="00153A9C">
        <w:rPr>
          <w:lang w:val="es-CO"/>
        </w:rPr>
        <w:t xml:space="preserve">resultado de </w:t>
      </w:r>
      <w:r w:rsidRPr="00153A9C">
        <w:rPr>
          <w:lang w:val="es-CO"/>
        </w:rPr>
        <w:t xml:space="preserve">la discriminación, que es contraria a los principios establecidos en el </w:t>
      </w:r>
      <w:r w:rsidR="00FF5EDF" w:rsidRPr="00153A9C">
        <w:rPr>
          <w:lang w:val="es-CO"/>
        </w:rPr>
        <w:t>anexo</w:t>
      </w:r>
      <w:r w:rsidRPr="00153A9C">
        <w:rPr>
          <w:lang w:val="es-CO"/>
        </w:rPr>
        <w:t xml:space="preserve"> VII de la Constitución de Bosnia y Herzegovina, la Ley sobre la discriminación y numerosos instrumentos internacionales, con inclusión</w:t>
      </w:r>
      <w:r w:rsidR="00922E86" w:rsidRPr="00153A9C">
        <w:rPr>
          <w:lang w:val="es-CO"/>
        </w:rPr>
        <w:t xml:space="preserve"> de la</w:t>
      </w:r>
      <w:r w:rsidR="003B050C">
        <w:rPr>
          <w:lang w:val="es-CO"/>
        </w:rPr>
        <w:t xml:space="preserve"> </w:t>
      </w:r>
      <w:r w:rsidR="00922E86" w:rsidRPr="00153A9C">
        <w:rPr>
          <w:lang w:val="es-CO"/>
        </w:rPr>
        <w:t>Convención europea para la protección de los derechos humanos y de las libertades fundamentales</w:t>
      </w:r>
      <w:r w:rsidRPr="00153A9C">
        <w:rPr>
          <w:lang w:val="es-CO"/>
        </w:rPr>
        <w:t>, que forma parte integrante de la Constitución de Bosnia y Herzegovina. En la mayoría de los casos, las dificultades con que se encuentra la población que regresa están relacionadas con el trastorno del entorno social en que se encuentra un gran número de personas, en particular los jóvenes que buscan oportunidades de educación superior y empleo en las grandes ciudades, no en las zonas rurales.</w:t>
      </w:r>
    </w:p>
    <w:p w:rsidR="000E24E0" w:rsidRPr="00153A9C" w:rsidRDefault="000E24E0" w:rsidP="00C60430">
      <w:pPr>
        <w:pStyle w:val="SingleTxtG"/>
        <w:rPr>
          <w:lang w:val="es-CO"/>
        </w:rPr>
      </w:pPr>
      <w:r w:rsidRPr="00153A9C">
        <w:rPr>
          <w:lang w:val="es-CO"/>
        </w:rPr>
        <w:t>21.</w:t>
      </w:r>
      <w:r w:rsidRPr="00153A9C">
        <w:rPr>
          <w:lang w:val="es-CO"/>
        </w:rPr>
        <w:tab/>
        <w:t xml:space="preserve">En esta esfera, Bosnia y Herzegovina debe hacer frente a numerosos desafíos que requieren solución inmediata para poder atender las necesidades de un gran número de refugiados y personas desplazadas, en particular los más vulnerables, que necesitan ayuda financiera y social adicional. A pesar de la difícil situación económica que </w:t>
      </w:r>
      <w:r w:rsidR="00411673">
        <w:rPr>
          <w:lang w:val="es-CO"/>
        </w:rPr>
        <w:t>crea</w:t>
      </w:r>
      <w:r w:rsidR="00411673" w:rsidRPr="00153A9C">
        <w:rPr>
          <w:lang w:val="es-CO"/>
        </w:rPr>
        <w:t xml:space="preserve"> </w:t>
      </w:r>
      <w:r w:rsidRPr="00153A9C">
        <w:rPr>
          <w:lang w:val="es-CO"/>
        </w:rPr>
        <w:t xml:space="preserve">el regreso de los refugiados y personas desplazadas, el presupuesto público aportó más de 100 millones de </w:t>
      </w:r>
      <w:r w:rsidR="005E2DB0" w:rsidRPr="00153A9C">
        <w:rPr>
          <w:lang w:val="es-CO"/>
        </w:rPr>
        <w:t xml:space="preserve">KM </w:t>
      </w:r>
      <w:r w:rsidRPr="00153A9C">
        <w:rPr>
          <w:lang w:val="es-CO"/>
        </w:rPr>
        <w:t xml:space="preserve">para la reconstrucción, la electrificación de las aldeas de los repatriados, la rehabilitación de la infraestructura y el retorno sostenible. Además de esas actividades, deberán realizarse esfuerzos adicionales para </w:t>
      </w:r>
      <w:r w:rsidR="008A5985">
        <w:rPr>
          <w:lang w:val="es-CO"/>
        </w:rPr>
        <w:t>seguir respaldando</w:t>
      </w:r>
      <w:r w:rsidRPr="00153A9C">
        <w:rPr>
          <w:lang w:val="es-CO"/>
        </w:rPr>
        <w:t xml:space="preserve"> los derechos a un regreso seguro y digno y a la plena reintegración de los repatriados. El Ministerio, en cooperación con otras partes interesadas pertinentes, </w:t>
      </w:r>
      <w:r w:rsidR="008A5985">
        <w:rPr>
          <w:lang w:val="es-CO"/>
        </w:rPr>
        <w:t>procura</w:t>
      </w:r>
      <w:r w:rsidRPr="00153A9C">
        <w:rPr>
          <w:lang w:val="es-CO"/>
        </w:rPr>
        <w:t xml:space="preserve"> aplicar plenamente el Acuerdo sobre el regreso de los refugiados y las personas internamente desplazadas (</w:t>
      </w:r>
      <w:r w:rsidR="00FF5EDF" w:rsidRPr="00153A9C">
        <w:rPr>
          <w:lang w:val="es-CO"/>
        </w:rPr>
        <w:t xml:space="preserve">anexo </w:t>
      </w:r>
      <w:r w:rsidRPr="00153A9C">
        <w:rPr>
          <w:lang w:val="es-CO"/>
        </w:rPr>
        <w:t xml:space="preserve">VII) del Acuerdo de </w:t>
      </w:r>
      <w:r w:rsidR="00445D1C" w:rsidRPr="00153A9C">
        <w:rPr>
          <w:lang w:val="es-CO"/>
        </w:rPr>
        <w:t xml:space="preserve">Paz </w:t>
      </w:r>
      <w:r w:rsidRPr="00153A9C">
        <w:rPr>
          <w:lang w:val="es-CO"/>
        </w:rPr>
        <w:t xml:space="preserve">de Dayton. Está firmemente decidido a no renunciar a esas actividades, y el proceso no debe darse por terminado mientras haya un solo refugiado </w:t>
      </w:r>
      <w:r w:rsidR="00922E86" w:rsidRPr="00153A9C">
        <w:rPr>
          <w:lang w:val="es-CO"/>
        </w:rPr>
        <w:t xml:space="preserve">o </w:t>
      </w:r>
      <w:r w:rsidRPr="00153A9C">
        <w:rPr>
          <w:lang w:val="es-CO"/>
        </w:rPr>
        <w:t>persona despl</w:t>
      </w:r>
      <w:r w:rsidR="00922E86" w:rsidRPr="00153A9C">
        <w:rPr>
          <w:lang w:val="es-CO"/>
        </w:rPr>
        <w:t>azada que necesite</w:t>
      </w:r>
      <w:r w:rsidRPr="00153A9C">
        <w:rPr>
          <w:lang w:val="es-CO"/>
        </w:rPr>
        <w:t xml:space="preserve"> ayuda.</w:t>
      </w:r>
    </w:p>
    <w:p w:rsidR="000E24E0" w:rsidRPr="00153A9C" w:rsidRDefault="00C60430" w:rsidP="00C60430">
      <w:pPr>
        <w:pStyle w:val="H1G"/>
        <w:rPr>
          <w:lang w:val="es-CO"/>
        </w:rPr>
      </w:pPr>
      <w:r>
        <w:rPr>
          <w:lang w:val="es-CO"/>
        </w:rPr>
        <w:tab/>
      </w:r>
      <w:r>
        <w:rPr>
          <w:lang w:val="es-CO"/>
        </w:rPr>
        <w:tab/>
      </w:r>
      <w:r w:rsidR="000E24E0" w:rsidRPr="00153A9C">
        <w:rPr>
          <w:lang w:val="es-CO"/>
        </w:rPr>
        <w:t>Recomendación 33</w:t>
      </w:r>
    </w:p>
    <w:p w:rsidR="000E24E0" w:rsidRPr="00153A9C" w:rsidRDefault="000E24E0" w:rsidP="00C60430">
      <w:pPr>
        <w:pStyle w:val="SingleTxtG"/>
        <w:rPr>
          <w:lang w:val="es-CO"/>
        </w:rPr>
      </w:pPr>
      <w:r w:rsidRPr="00153A9C">
        <w:rPr>
          <w:lang w:val="es-CO"/>
        </w:rPr>
        <w:t>22.</w:t>
      </w:r>
      <w:r w:rsidRPr="00153A9C">
        <w:rPr>
          <w:lang w:val="es-CO"/>
        </w:rPr>
        <w:tab/>
        <w:t xml:space="preserve">En Bosnia y Herzegovina hay una relación muy estrecha entre el papel social de la mujer, su educación, profesión y </w:t>
      </w:r>
      <w:r w:rsidR="008A5985">
        <w:rPr>
          <w:lang w:val="es-CO"/>
        </w:rPr>
        <w:t xml:space="preserve">su </w:t>
      </w:r>
      <w:r w:rsidRPr="00153A9C">
        <w:rPr>
          <w:lang w:val="es-CO"/>
        </w:rPr>
        <w:t xml:space="preserve">posición en el mercado de trabajo. Los datos disponibles de las investigaciones realizadas revelan que hay ocupaciones que son típicamente femeninas o masculinas. Los estereotipos acerca de las ocupaciones y profesiones deseables, preferidas por los hombres o por las mujeres, están todavía muy arraigados. La posibilidad de que las mujeres de Bosnia y Herzegovina respondan a las exigencias impuestas por el mercado de trabajo es bastante limitada. Ello se debe a numerosos factores, como la concepción patriarcal del papel de la mujer en la familia y la sociedad, </w:t>
      </w:r>
      <w:r w:rsidR="001D40E0" w:rsidRPr="00153A9C">
        <w:rPr>
          <w:lang w:val="es-CO"/>
        </w:rPr>
        <w:t xml:space="preserve">las escasas posibilidades </w:t>
      </w:r>
      <w:r w:rsidRPr="00153A9C">
        <w:rPr>
          <w:lang w:val="es-CO"/>
        </w:rPr>
        <w:t>de instrucción y formación a disposición de las mujeres en las zonas rurales, el favoritismo masculino en el empleo y la escasa capacidad crediticia (tipos de interés elevados, bajo porcentaje de mujeres que tienen títulos de propiedad inmobiliaria).</w:t>
      </w:r>
    </w:p>
    <w:p w:rsidR="000E24E0" w:rsidRPr="00153A9C" w:rsidRDefault="000E24E0" w:rsidP="00C60430">
      <w:pPr>
        <w:pStyle w:val="SingleTxtG"/>
        <w:rPr>
          <w:lang w:val="es-CO"/>
        </w:rPr>
      </w:pPr>
      <w:r w:rsidRPr="00153A9C">
        <w:rPr>
          <w:lang w:val="es-CO"/>
        </w:rPr>
        <w:t>23.</w:t>
      </w:r>
      <w:r w:rsidRPr="00153A9C">
        <w:rPr>
          <w:lang w:val="es-CO"/>
        </w:rPr>
        <w:tab/>
        <w:t xml:space="preserve">Los datos estadísticos que se presentan </w:t>
      </w:r>
      <w:r w:rsidR="001D40E0" w:rsidRPr="00153A9C">
        <w:rPr>
          <w:lang w:val="es-CO"/>
        </w:rPr>
        <w:t xml:space="preserve">más adelante </w:t>
      </w:r>
      <w:r w:rsidRPr="00153A9C">
        <w:rPr>
          <w:lang w:val="es-CO"/>
        </w:rPr>
        <w:t xml:space="preserve">permiten hacerse una idea de la situación real de la igualdad de género en el trabajo, el empleo y el acceso a todos los recursos económicos. El mayor problema para realizar un análisis exhaustivo es que no todas las autoridades competentes de Bosnia y Herzegovina cumplen la obligación prevista en la Ley sobre la igualdad de género de elaborar estadísticas desglosados por género y mantener registros estadísticos adecuados en función del sexo. </w:t>
      </w:r>
      <w:r w:rsidR="001D40E0" w:rsidRPr="00153A9C">
        <w:rPr>
          <w:lang w:val="es-CO"/>
        </w:rPr>
        <w:t>Por ejemplo, e</w:t>
      </w:r>
      <w:r w:rsidRPr="00153A9C">
        <w:rPr>
          <w:lang w:val="es-CO"/>
        </w:rPr>
        <w:t>l Centro de Género</w:t>
      </w:r>
      <w:r w:rsidR="001D40E0" w:rsidRPr="00153A9C">
        <w:rPr>
          <w:lang w:val="es-CO"/>
        </w:rPr>
        <w:t xml:space="preserve"> de </w:t>
      </w:r>
      <w:smartTag w:uri="urn:schemas-microsoft-com:office:smarttags" w:element="PersonName">
        <w:smartTagPr>
          <w:attr w:name="ProductID" w:val="portamientos.11kaǲČ퓐첔뺺峓䙢ㇳ䦙椶鶖壉⾛䋎뺑怘苸IdiomaǂĈ㺔瑭⣇ᇒက❚떙ꂠͮᓴᎇ࢜Ԝ"/>
        </w:smartTagPr>
        <w:r w:rsidR="001D40E0" w:rsidRPr="00153A9C">
          <w:rPr>
            <w:lang w:val="es-CO"/>
          </w:rPr>
          <w:t>la República Srpska</w:t>
        </w:r>
      </w:smartTag>
      <w:r w:rsidR="003B050C">
        <w:rPr>
          <w:lang w:val="es-CO"/>
        </w:rPr>
        <w:t xml:space="preserve"> </w:t>
      </w:r>
      <w:r w:rsidRPr="00153A9C">
        <w:rPr>
          <w:lang w:val="es-CO"/>
        </w:rPr>
        <w:t xml:space="preserve">recabó información sobre el acceso a los servicios financieros y los recursos de los bancos y organizaciones de ahorro y de microcrédito, pero el hecho es que no </w:t>
      </w:r>
      <w:r w:rsidR="005E54B6">
        <w:rPr>
          <w:lang w:val="es-CO"/>
        </w:rPr>
        <w:t>hay</w:t>
      </w:r>
      <w:r w:rsidRPr="00153A9C">
        <w:rPr>
          <w:lang w:val="es-CO"/>
        </w:rPr>
        <w:t xml:space="preserve"> estadísticas desglosadas o presentadas por sexo, a pesar de que es una obligación prevista en la Ley sobre la igualdad de género</w:t>
      </w:r>
      <w:r w:rsidR="00006885" w:rsidRPr="00153A9C">
        <w:rPr>
          <w:lang w:val="es-CO"/>
        </w:rPr>
        <w:t xml:space="preserve"> </w:t>
      </w:r>
      <w:r w:rsidR="0073188F" w:rsidRPr="00153A9C">
        <w:rPr>
          <w:lang w:val="es-CO"/>
        </w:rPr>
        <w:t>en Bosnia y Herzegovina</w:t>
      </w:r>
      <w:r w:rsidRPr="00153A9C">
        <w:rPr>
          <w:lang w:val="es-CO"/>
        </w:rPr>
        <w:t xml:space="preserve">. El Centro de Género de la Federación de Bosnia y Herzegovina tiene el mismo problema. El incumplimiento de la obligación de mantener y clasificar debidamente los datos estadísticos dificulta la labor del Organismo y el </w:t>
      </w:r>
      <w:r w:rsidR="001D40E0" w:rsidRPr="00153A9C">
        <w:rPr>
          <w:lang w:val="es-CO"/>
        </w:rPr>
        <w:t>Instituto de Estadística</w:t>
      </w:r>
      <w:r w:rsidRPr="00153A9C">
        <w:rPr>
          <w:lang w:val="es-CO"/>
        </w:rPr>
        <w:t xml:space="preserve"> de Bosnia y Herzegovina. No obstante, hay ejemplos positivos de estadísticas en el ámbito de la igualdad de género, en particular las llevadas a cabo por el Organismo de </w:t>
      </w:r>
      <w:r w:rsidR="001D40E0" w:rsidRPr="00153A9C">
        <w:rPr>
          <w:lang w:val="es-CO"/>
        </w:rPr>
        <w:t>E</w:t>
      </w:r>
      <w:r w:rsidRPr="00153A9C">
        <w:rPr>
          <w:lang w:val="es-CO"/>
        </w:rPr>
        <w:t>stadística, pero también por otras autoridades. Así, el Servicio Federal de Empleo y todas las oficinas cantonales declararon que las estadísticas estaban expresadas por sexo en los ámbitos incluidos, y en el apéndice a la respuesta presentaron sus boletines men</w:t>
      </w:r>
      <w:r w:rsidR="005E58CC" w:rsidRPr="00153A9C">
        <w:rPr>
          <w:lang w:val="es-CO"/>
        </w:rPr>
        <w:t>suales y extractos del boletín —</w:t>
      </w:r>
      <w:r w:rsidRPr="00153A9C">
        <w:rPr>
          <w:lang w:val="es-CO"/>
        </w:rPr>
        <w:t>sinopsis estadísticas en las que aparecen estadísticas desglosadas en función del género.</w:t>
      </w:r>
    </w:p>
    <w:p w:rsidR="000E24E0" w:rsidRPr="00153A9C" w:rsidRDefault="000E24E0" w:rsidP="00C60430">
      <w:pPr>
        <w:pStyle w:val="SingleTxtG"/>
        <w:rPr>
          <w:lang w:val="es-CO"/>
        </w:rPr>
      </w:pPr>
      <w:r w:rsidRPr="00153A9C">
        <w:rPr>
          <w:lang w:val="es-CO"/>
        </w:rPr>
        <w:t xml:space="preserve">24. </w:t>
      </w:r>
      <w:r w:rsidRPr="00153A9C">
        <w:rPr>
          <w:lang w:val="es-CO"/>
        </w:rPr>
        <w:tab/>
        <w:t xml:space="preserve">Según el Organismo de Estadística de </w:t>
      </w:r>
      <w:r w:rsidR="00C167D2" w:rsidRPr="00153A9C">
        <w:rPr>
          <w:lang w:val="es-CO"/>
        </w:rPr>
        <w:t>Bosnia y Herzegovina</w:t>
      </w:r>
      <w:r w:rsidRPr="00153A9C">
        <w:rPr>
          <w:lang w:val="es-CO"/>
        </w:rPr>
        <w:t>, la tasa de desempleo es del 23,4</w:t>
      </w:r>
      <w:r w:rsidR="00962FE1" w:rsidRPr="00153A9C">
        <w:rPr>
          <w:lang w:val="es-CO"/>
        </w:rPr>
        <w:t>%</w:t>
      </w:r>
      <w:r w:rsidRPr="00153A9C">
        <w:rPr>
          <w:lang w:val="es-CO"/>
        </w:rPr>
        <w:t xml:space="preserve"> (21,4</w:t>
      </w:r>
      <w:r w:rsidR="00962FE1" w:rsidRPr="00153A9C">
        <w:rPr>
          <w:lang w:val="es-CO"/>
        </w:rPr>
        <w:t>%</w:t>
      </w:r>
      <w:r w:rsidRPr="00153A9C">
        <w:rPr>
          <w:lang w:val="es-CO"/>
        </w:rPr>
        <w:t xml:space="preserve"> en los hombres y 26,8</w:t>
      </w:r>
      <w:r w:rsidR="00962FE1" w:rsidRPr="00153A9C">
        <w:rPr>
          <w:lang w:val="es-CO"/>
        </w:rPr>
        <w:t>%</w:t>
      </w:r>
      <w:r w:rsidRPr="00153A9C">
        <w:rPr>
          <w:lang w:val="es-CO"/>
        </w:rPr>
        <w:t xml:space="preserve"> en las mujeres), mientras que en el mismo </w:t>
      </w:r>
      <w:r w:rsidR="00527666" w:rsidRPr="00153A9C">
        <w:rPr>
          <w:lang w:val="es-CO"/>
        </w:rPr>
        <w:t>período</w:t>
      </w:r>
      <w:r w:rsidRPr="00153A9C">
        <w:rPr>
          <w:lang w:val="es-CO"/>
        </w:rPr>
        <w:t xml:space="preserve"> de 2007 e</w:t>
      </w:r>
      <w:r w:rsidR="00527666" w:rsidRPr="00153A9C">
        <w:rPr>
          <w:lang w:val="es-CO"/>
        </w:rPr>
        <w:t xml:space="preserve">ra </w:t>
      </w:r>
      <w:r w:rsidRPr="00153A9C">
        <w:rPr>
          <w:lang w:val="es-CO"/>
        </w:rPr>
        <w:t>del 29,0</w:t>
      </w:r>
      <w:r w:rsidR="00962FE1" w:rsidRPr="00153A9C">
        <w:rPr>
          <w:lang w:val="es-CO"/>
        </w:rPr>
        <w:t>%</w:t>
      </w:r>
      <w:r w:rsidRPr="00153A9C">
        <w:rPr>
          <w:lang w:val="es-CO"/>
        </w:rPr>
        <w:t xml:space="preserve"> (26,7</w:t>
      </w:r>
      <w:r w:rsidR="00962FE1" w:rsidRPr="00153A9C">
        <w:rPr>
          <w:lang w:val="es-CO"/>
        </w:rPr>
        <w:t>%</w:t>
      </w:r>
      <w:r w:rsidRPr="00153A9C">
        <w:rPr>
          <w:lang w:val="es-CO"/>
        </w:rPr>
        <w:t xml:space="preserve"> </w:t>
      </w:r>
      <w:r w:rsidR="00527666" w:rsidRPr="00153A9C">
        <w:rPr>
          <w:lang w:val="es-CO"/>
        </w:rPr>
        <w:t xml:space="preserve">en </w:t>
      </w:r>
      <w:r w:rsidRPr="00153A9C">
        <w:rPr>
          <w:lang w:val="es-CO"/>
        </w:rPr>
        <w:t>los hombres y 32,9</w:t>
      </w:r>
      <w:r w:rsidR="00962FE1" w:rsidRPr="00153A9C">
        <w:rPr>
          <w:lang w:val="es-CO"/>
        </w:rPr>
        <w:t>%</w:t>
      </w:r>
      <w:r w:rsidRPr="00153A9C">
        <w:rPr>
          <w:lang w:val="es-CO"/>
        </w:rPr>
        <w:t xml:space="preserve"> en las mujeres). La tasa de desempleo es especialmente elevada entre los jóvenes de </w:t>
      </w:r>
      <w:smartTag w:uri="urn:schemas-microsoft-com:office:smarttags" w:element="metricconverter">
        <w:smartTagPr>
          <w:attr w:name="ProductID" w:val="15 a"/>
        </w:smartTagPr>
        <w:r w:rsidRPr="00153A9C">
          <w:rPr>
            <w:lang w:val="es-CO"/>
          </w:rPr>
          <w:t>15 a</w:t>
        </w:r>
      </w:smartTag>
      <w:r w:rsidRPr="00153A9C">
        <w:rPr>
          <w:lang w:val="es-CO"/>
        </w:rPr>
        <w:t xml:space="preserve"> 24 años, y asciende al 47,5</w:t>
      </w:r>
      <w:r w:rsidR="00962FE1" w:rsidRPr="00153A9C">
        <w:rPr>
          <w:lang w:val="es-CO"/>
        </w:rPr>
        <w:t>%</w:t>
      </w:r>
      <w:r w:rsidRPr="00153A9C">
        <w:rPr>
          <w:lang w:val="es-CO"/>
        </w:rPr>
        <w:t xml:space="preserve"> (44,8</w:t>
      </w:r>
      <w:r w:rsidR="00962FE1" w:rsidRPr="00153A9C">
        <w:rPr>
          <w:lang w:val="es-CO"/>
        </w:rPr>
        <w:t>%</w:t>
      </w:r>
      <w:r w:rsidRPr="00153A9C">
        <w:rPr>
          <w:lang w:val="es-CO"/>
        </w:rPr>
        <w:t xml:space="preserve"> de los hombres y 52,3</w:t>
      </w:r>
      <w:r w:rsidR="00962FE1" w:rsidRPr="00153A9C">
        <w:rPr>
          <w:lang w:val="es-CO"/>
        </w:rPr>
        <w:t>%</w:t>
      </w:r>
      <w:r w:rsidRPr="00153A9C">
        <w:rPr>
          <w:lang w:val="es-CO"/>
        </w:rPr>
        <w:t xml:space="preserve"> de las mujeres). Según ALS</w:t>
      </w:r>
      <w:r w:rsidR="007B004E" w:rsidRPr="00153A9C">
        <w:rPr>
          <w:lang w:val="es-CO"/>
        </w:rPr>
        <w:t xml:space="preserve">, </w:t>
      </w:r>
      <w:r w:rsidRPr="00153A9C">
        <w:rPr>
          <w:lang w:val="es-CO"/>
        </w:rPr>
        <w:t>en 2008 las tasas de actividad y empleo eran del 43,9</w:t>
      </w:r>
      <w:r w:rsidR="00962FE1" w:rsidRPr="00153A9C">
        <w:rPr>
          <w:lang w:val="es-CO"/>
        </w:rPr>
        <w:t>%</w:t>
      </w:r>
      <w:r w:rsidRPr="00153A9C">
        <w:rPr>
          <w:lang w:val="es-CO"/>
        </w:rPr>
        <w:t xml:space="preserve"> y 33,6</w:t>
      </w:r>
      <w:r w:rsidR="00962FE1" w:rsidRPr="00153A9C">
        <w:rPr>
          <w:lang w:val="es-CO"/>
        </w:rPr>
        <w:t>%</w:t>
      </w:r>
      <w:r w:rsidRPr="00153A9C">
        <w:rPr>
          <w:lang w:val="es-CO"/>
        </w:rPr>
        <w:t>, mientras que en 2007 eran del 43,9</w:t>
      </w:r>
      <w:r w:rsidR="00962FE1" w:rsidRPr="00153A9C">
        <w:rPr>
          <w:lang w:val="es-CO"/>
        </w:rPr>
        <w:t>%</w:t>
      </w:r>
      <w:r w:rsidRPr="00153A9C">
        <w:rPr>
          <w:lang w:val="es-CO"/>
        </w:rPr>
        <w:t xml:space="preserve"> y el 31,2</w:t>
      </w:r>
      <w:r w:rsidR="00962FE1" w:rsidRPr="00153A9C">
        <w:rPr>
          <w:lang w:val="es-CO"/>
        </w:rPr>
        <w:t>%</w:t>
      </w:r>
      <w:r w:rsidRPr="00153A9C">
        <w:rPr>
          <w:lang w:val="es-CO"/>
        </w:rPr>
        <w:t xml:space="preserve">, siendo significativamente más elevadas en los hombres que </w:t>
      </w:r>
      <w:r w:rsidR="00527666" w:rsidRPr="00153A9C">
        <w:rPr>
          <w:lang w:val="es-CO"/>
        </w:rPr>
        <w:t xml:space="preserve">en </w:t>
      </w:r>
      <w:r w:rsidRPr="00153A9C">
        <w:rPr>
          <w:lang w:val="es-CO"/>
        </w:rPr>
        <w:t xml:space="preserve">las mujeres. Las tasas de actividad y empleo más elevadas correspondieron al grupo de edad de </w:t>
      </w:r>
      <w:smartTag w:uri="urn:schemas-microsoft-com:office:smarttags" w:element="metricconverter">
        <w:smartTagPr>
          <w:attr w:name="ProductID" w:val="25 a"/>
        </w:smartTagPr>
        <w:r w:rsidRPr="00153A9C">
          <w:rPr>
            <w:lang w:val="es-CO"/>
          </w:rPr>
          <w:t>25 a</w:t>
        </w:r>
      </w:smartTag>
      <w:r w:rsidRPr="00153A9C">
        <w:rPr>
          <w:lang w:val="es-CO"/>
        </w:rPr>
        <w:t xml:space="preserve"> 49 años (68,6</w:t>
      </w:r>
      <w:r w:rsidR="00962FE1" w:rsidRPr="00153A9C">
        <w:rPr>
          <w:lang w:val="es-CO"/>
        </w:rPr>
        <w:t>%</w:t>
      </w:r>
      <w:r w:rsidRPr="00153A9C">
        <w:rPr>
          <w:lang w:val="es-CO"/>
        </w:rPr>
        <w:t xml:space="preserve"> y 53,4</w:t>
      </w:r>
      <w:r w:rsidR="00962FE1" w:rsidRPr="00153A9C">
        <w:rPr>
          <w:lang w:val="es-CO"/>
        </w:rPr>
        <w:t>%</w:t>
      </w:r>
      <w:r w:rsidRPr="00153A9C">
        <w:rPr>
          <w:lang w:val="es-CO"/>
        </w:rPr>
        <w:t>). La estructura por situación en el empleo revela que las personas con empleo remunerado (empleadas) representan la proporción más elevada (72,5</w:t>
      </w:r>
      <w:r w:rsidR="00962FE1" w:rsidRPr="00153A9C">
        <w:rPr>
          <w:lang w:val="es-CO"/>
        </w:rPr>
        <w:t>%</w:t>
      </w:r>
      <w:r w:rsidRPr="00153A9C">
        <w:rPr>
          <w:lang w:val="es-CO"/>
        </w:rPr>
        <w:t>, de los cuales el 35,</w:t>
      </w:r>
      <w:r w:rsidR="00006885" w:rsidRPr="00153A9C">
        <w:rPr>
          <w:lang w:val="es-CO"/>
        </w:rPr>
        <w:t>6</w:t>
      </w:r>
      <w:r w:rsidR="00962FE1" w:rsidRPr="00153A9C">
        <w:rPr>
          <w:lang w:val="es-CO"/>
        </w:rPr>
        <w:t>%</w:t>
      </w:r>
      <w:r w:rsidRPr="00153A9C">
        <w:rPr>
          <w:lang w:val="es-CO"/>
        </w:rPr>
        <w:t xml:space="preserve"> </w:t>
      </w:r>
      <w:r w:rsidR="0037440B" w:rsidRPr="00153A9C">
        <w:rPr>
          <w:lang w:val="es-CO"/>
        </w:rPr>
        <w:t xml:space="preserve">serían </w:t>
      </w:r>
      <w:r w:rsidRPr="00153A9C">
        <w:rPr>
          <w:lang w:val="es-CO"/>
        </w:rPr>
        <w:t>mujeres). La participación de los trabajadores por cuenta propia era del 22,1</w:t>
      </w:r>
      <w:r w:rsidR="00962FE1" w:rsidRPr="00153A9C">
        <w:rPr>
          <w:lang w:val="es-CO"/>
        </w:rPr>
        <w:t>%</w:t>
      </w:r>
      <w:r w:rsidRPr="00153A9C">
        <w:rPr>
          <w:lang w:val="es-CO"/>
        </w:rPr>
        <w:t xml:space="preserve"> (con inclusión del 27,4</w:t>
      </w:r>
      <w:r w:rsidR="00962FE1" w:rsidRPr="00153A9C">
        <w:rPr>
          <w:lang w:val="es-CO"/>
        </w:rPr>
        <w:t>%</w:t>
      </w:r>
      <w:r w:rsidRPr="00153A9C">
        <w:rPr>
          <w:lang w:val="es-CO"/>
        </w:rPr>
        <w:t xml:space="preserve"> de las mujeres) y los miembros de la familia no remunerados eran el 5,4</w:t>
      </w:r>
      <w:r w:rsidR="00962FE1" w:rsidRPr="00153A9C">
        <w:rPr>
          <w:lang w:val="es-CO"/>
        </w:rPr>
        <w:t>%</w:t>
      </w:r>
      <w:r w:rsidRPr="00153A9C">
        <w:rPr>
          <w:lang w:val="es-CO"/>
        </w:rPr>
        <w:t xml:space="preserve"> (con inclusión de un</w:t>
      </w:r>
      <w:r w:rsidR="003B050C">
        <w:rPr>
          <w:lang w:val="es-CO"/>
        </w:rPr>
        <w:t xml:space="preserve"> </w:t>
      </w:r>
      <w:r w:rsidRPr="00153A9C">
        <w:rPr>
          <w:lang w:val="es-CO"/>
        </w:rPr>
        <w:t>68,9</w:t>
      </w:r>
      <w:r w:rsidR="00962FE1" w:rsidRPr="00153A9C">
        <w:rPr>
          <w:lang w:val="es-CO"/>
        </w:rPr>
        <w:t>%</w:t>
      </w:r>
      <w:r w:rsidRPr="00153A9C">
        <w:rPr>
          <w:lang w:val="es-CO"/>
        </w:rPr>
        <w:t xml:space="preserve"> de mujeres). Las cifras totales siguientes permiten hacerse una idea general de la participación de las mujeres en la mano de obra:</w:t>
      </w:r>
    </w:p>
    <w:p w:rsidR="000E24E0" w:rsidRPr="00153A9C" w:rsidRDefault="00C60430" w:rsidP="00C60430">
      <w:pPr>
        <w:pStyle w:val="SingleTxtG"/>
        <w:rPr>
          <w:lang w:val="es-CO"/>
        </w:rPr>
      </w:pPr>
      <w:r>
        <w:rPr>
          <w:lang w:val="es-CO"/>
        </w:rPr>
        <w:tab/>
      </w:r>
      <w:r w:rsidR="000E24E0" w:rsidRPr="00153A9C">
        <w:rPr>
          <w:lang w:val="es-CO"/>
        </w:rPr>
        <w:t>a)</w:t>
      </w:r>
      <w:r w:rsidR="000E24E0" w:rsidRPr="00153A9C">
        <w:rPr>
          <w:lang w:val="es-CO"/>
        </w:rPr>
        <w:tab/>
      </w:r>
      <w:r w:rsidR="000E24E0" w:rsidRPr="00C60430">
        <w:rPr>
          <w:b/>
          <w:lang w:val="es-CO"/>
        </w:rPr>
        <w:t>Mano de obra:</w:t>
      </w:r>
    </w:p>
    <w:p w:rsidR="000E24E0" w:rsidRPr="00153A9C" w:rsidRDefault="000E24E0" w:rsidP="00C60430">
      <w:pPr>
        <w:pStyle w:val="Bullet2G"/>
        <w:rPr>
          <w:lang w:val="es-CO"/>
        </w:rPr>
      </w:pPr>
      <w:r w:rsidRPr="00153A9C">
        <w:rPr>
          <w:lang w:val="es-CO"/>
        </w:rPr>
        <w:t>Total: 2.648.618</w:t>
      </w:r>
    </w:p>
    <w:p w:rsidR="000E24E0" w:rsidRPr="00153A9C" w:rsidRDefault="000E24E0" w:rsidP="00C60430">
      <w:pPr>
        <w:pStyle w:val="Bullet2G"/>
        <w:rPr>
          <w:lang w:val="es-CO"/>
        </w:rPr>
      </w:pPr>
      <w:r w:rsidRPr="00153A9C">
        <w:rPr>
          <w:lang w:val="es-CO"/>
        </w:rPr>
        <w:t>Mujeres: 1.371.638 (51,7%)</w:t>
      </w:r>
    </w:p>
    <w:p w:rsidR="000E24E0" w:rsidRPr="00153A9C" w:rsidRDefault="00C60430" w:rsidP="00C60430">
      <w:pPr>
        <w:pStyle w:val="SingleTxtG"/>
        <w:rPr>
          <w:lang w:val="es-CO"/>
        </w:rPr>
      </w:pPr>
      <w:r>
        <w:rPr>
          <w:lang w:val="es-CO"/>
        </w:rPr>
        <w:tab/>
      </w:r>
      <w:r w:rsidR="000E24E0" w:rsidRPr="00153A9C">
        <w:rPr>
          <w:lang w:val="es-CO"/>
        </w:rPr>
        <w:t>b)</w:t>
      </w:r>
      <w:r w:rsidR="000E24E0" w:rsidRPr="00153A9C">
        <w:rPr>
          <w:lang w:val="es-CO"/>
        </w:rPr>
        <w:tab/>
      </w:r>
      <w:r w:rsidR="000E24E0" w:rsidRPr="00C60430">
        <w:rPr>
          <w:b/>
          <w:lang w:val="es-CO"/>
        </w:rPr>
        <w:t>Personas empleadas:</w:t>
      </w:r>
    </w:p>
    <w:p w:rsidR="000E24E0" w:rsidRPr="00153A9C" w:rsidRDefault="000E24E0" w:rsidP="00C60430">
      <w:pPr>
        <w:pStyle w:val="Bullet2G"/>
        <w:rPr>
          <w:lang w:val="es-CO"/>
        </w:rPr>
      </w:pPr>
      <w:r w:rsidRPr="00153A9C">
        <w:rPr>
          <w:lang w:val="es-CO"/>
        </w:rPr>
        <w:t>Total: 890.239</w:t>
      </w:r>
    </w:p>
    <w:p w:rsidR="000E24E0" w:rsidRPr="00153A9C" w:rsidRDefault="000E24E0" w:rsidP="00C60430">
      <w:pPr>
        <w:pStyle w:val="Bullet2G"/>
        <w:rPr>
          <w:lang w:val="es-CO"/>
        </w:rPr>
      </w:pPr>
      <w:r w:rsidRPr="00153A9C">
        <w:rPr>
          <w:lang w:val="es-CO"/>
        </w:rPr>
        <w:t>Mujeres: 316.960 (35,6%)</w:t>
      </w:r>
    </w:p>
    <w:p w:rsidR="000E24E0" w:rsidRPr="00153A9C" w:rsidRDefault="00C60430" w:rsidP="00C60430">
      <w:pPr>
        <w:pStyle w:val="SingleTxtG"/>
        <w:rPr>
          <w:lang w:val="es-CO"/>
        </w:rPr>
      </w:pPr>
      <w:r>
        <w:rPr>
          <w:lang w:val="es-CO"/>
        </w:rPr>
        <w:tab/>
      </w:r>
      <w:r w:rsidR="000E24E0" w:rsidRPr="00153A9C">
        <w:rPr>
          <w:lang w:val="es-CO"/>
        </w:rPr>
        <w:t>c)</w:t>
      </w:r>
      <w:r w:rsidR="000E24E0" w:rsidRPr="00153A9C">
        <w:rPr>
          <w:lang w:val="es-CO"/>
        </w:rPr>
        <w:tab/>
      </w:r>
      <w:r w:rsidR="000E24E0" w:rsidRPr="00C60430">
        <w:rPr>
          <w:b/>
          <w:lang w:val="es-CO"/>
        </w:rPr>
        <w:t>Personas desempleadas:</w:t>
      </w:r>
    </w:p>
    <w:p w:rsidR="000E24E0" w:rsidRPr="00153A9C" w:rsidRDefault="000E24E0" w:rsidP="00C60430">
      <w:pPr>
        <w:pStyle w:val="Bullet2G"/>
        <w:rPr>
          <w:lang w:val="es-CO"/>
        </w:rPr>
      </w:pPr>
      <w:r w:rsidRPr="00153A9C">
        <w:rPr>
          <w:lang w:val="es-CO"/>
        </w:rPr>
        <w:t>Total: 272.034</w:t>
      </w:r>
    </w:p>
    <w:p w:rsidR="000E24E0" w:rsidRPr="00153A9C" w:rsidRDefault="000E24E0" w:rsidP="009B29CE">
      <w:pPr>
        <w:pStyle w:val="Bullet2G"/>
        <w:rPr>
          <w:lang w:val="es-CO"/>
        </w:rPr>
      </w:pPr>
      <w:r w:rsidRPr="00153A9C">
        <w:rPr>
          <w:lang w:val="es-CO"/>
        </w:rPr>
        <w:t>Mujeres: 115.953 (42,6%)</w:t>
      </w:r>
      <w:r w:rsidR="00C44432" w:rsidRPr="00326362">
        <w:rPr>
          <w:rStyle w:val="FootnoteReference"/>
        </w:rPr>
        <w:footnoteReference w:id="3"/>
      </w:r>
    </w:p>
    <w:p w:rsidR="000E24E0" w:rsidRPr="00153A9C" w:rsidRDefault="000E24E0" w:rsidP="009B29CE">
      <w:pPr>
        <w:pStyle w:val="SingleTxtG"/>
        <w:rPr>
          <w:lang w:val="es-CO"/>
        </w:rPr>
      </w:pPr>
      <w:r w:rsidRPr="00153A9C">
        <w:rPr>
          <w:lang w:val="es-CO"/>
        </w:rPr>
        <w:t>25.</w:t>
      </w:r>
      <w:r w:rsidRPr="00153A9C">
        <w:rPr>
          <w:lang w:val="es-CO"/>
        </w:rPr>
        <w:tab/>
        <w:t>De todo ello se desprende</w:t>
      </w:r>
      <w:r w:rsidR="007B004E" w:rsidRPr="00153A9C">
        <w:rPr>
          <w:lang w:val="es-CO"/>
        </w:rPr>
        <w:t xml:space="preserve">, </w:t>
      </w:r>
      <w:r w:rsidRPr="00153A9C">
        <w:rPr>
          <w:lang w:val="es-CO"/>
        </w:rPr>
        <w:t>entre otras cosas, que las mu</w:t>
      </w:r>
      <w:r w:rsidR="0037440B" w:rsidRPr="00153A9C">
        <w:rPr>
          <w:lang w:val="es-CO"/>
        </w:rPr>
        <w:t xml:space="preserve">jeres de </w:t>
      </w:r>
      <w:smartTag w:uri="urn:schemas-microsoft-com:office:smarttags" w:element="metricconverter">
        <w:smartTagPr>
          <w:attr w:name="ProductID" w:val="16 a"/>
        </w:smartTagPr>
        <w:r w:rsidR="0037440B" w:rsidRPr="00153A9C">
          <w:rPr>
            <w:lang w:val="es-CO"/>
          </w:rPr>
          <w:t>16 a</w:t>
        </w:r>
      </w:smartTag>
      <w:r w:rsidR="0037440B" w:rsidRPr="00153A9C">
        <w:rPr>
          <w:lang w:val="es-CO"/>
        </w:rPr>
        <w:t xml:space="preserve"> 64 años de edad </w:t>
      </w:r>
      <w:r w:rsidRPr="00153A9C">
        <w:rPr>
          <w:lang w:val="es-CO"/>
        </w:rPr>
        <w:t xml:space="preserve">representan solo </w:t>
      </w:r>
      <w:r w:rsidR="0037440B" w:rsidRPr="00153A9C">
        <w:rPr>
          <w:lang w:val="es-CO"/>
        </w:rPr>
        <w:t xml:space="preserve">el </w:t>
      </w:r>
      <w:r w:rsidRPr="00153A9C">
        <w:rPr>
          <w:lang w:val="es-CO"/>
        </w:rPr>
        <w:t>35</w:t>
      </w:r>
      <w:r w:rsidR="00962FE1" w:rsidRPr="00153A9C">
        <w:rPr>
          <w:lang w:val="es-CO"/>
        </w:rPr>
        <w:t>%</w:t>
      </w:r>
      <w:r w:rsidRPr="00153A9C">
        <w:rPr>
          <w:lang w:val="es-CO"/>
        </w:rPr>
        <w:t xml:space="preserve"> de la población activa en Bosnia y Herzegovina, que es el nivel más bajo en el mercado de trabajo de Europa sudoriental.</w:t>
      </w:r>
    </w:p>
    <w:p w:rsidR="000E24E0" w:rsidRPr="00153A9C" w:rsidRDefault="000E24E0" w:rsidP="009B29CE">
      <w:pPr>
        <w:pStyle w:val="SingleTxtG"/>
        <w:rPr>
          <w:lang w:val="es-CO"/>
        </w:rPr>
      </w:pPr>
      <w:r w:rsidRPr="00153A9C">
        <w:rPr>
          <w:lang w:val="es-CO"/>
        </w:rPr>
        <w:t>26.</w:t>
      </w:r>
      <w:r w:rsidRPr="00153A9C">
        <w:rPr>
          <w:lang w:val="es-CO"/>
        </w:rPr>
        <w:tab/>
        <w:t xml:space="preserve">En 2008 se promovió la publicación </w:t>
      </w:r>
      <w:r w:rsidR="00E738E3">
        <w:rPr>
          <w:lang w:val="es-CO"/>
        </w:rPr>
        <w:t>"</w:t>
      </w:r>
      <w:r w:rsidRPr="00153A9C">
        <w:rPr>
          <w:lang w:val="es-CO"/>
        </w:rPr>
        <w:t xml:space="preserve">Diferencia de género en </w:t>
      </w:r>
      <w:r w:rsidR="0037440B" w:rsidRPr="00153A9C">
        <w:rPr>
          <w:lang w:val="es-CO"/>
        </w:rPr>
        <w:t xml:space="preserve">el nivel de </w:t>
      </w:r>
      <w:r w:rsidRPr="00153A9C">
        <w:rPr>
          <w:lang w:val="es-CO"/>
        </w:rPr>
        <w:t>ingresos en Bosnia y Herzegovina</w:t>
      </w:r>
      <w:r w:rsidR="00E738E3">
        <w:rPr>
          <w:lang w:val="es-CO"/>
        </w:rPr>
        <w:t>"</w:t>
      </w:r>
      <w:r w:rsidRPr="00153A9C">
        <w:rPr>
          <w:lang w:val="es-CO"/>
        </w:rPr>
        <w:t xml:space="preserve">, que fue el primer estudio sobre las diferencias salariales entre hombres y mujeres en </w:t>
      </w:r>
      <w:r w:rsidR="0037440B" w:rsidRPr="00153A9C">
        <w:rPr>
          <w:lang w:val="es-CO"/>
        </w:rPr>
        <w:t>el país</w:t>
      </w:r>
      <w:r w:rsidRPr="00153A9C">
        <w:rPr>
          <w:lang w:val="es-CO"/>
        </w:rPr>
        <w:t>. La diferencia de género en los ingresos es la diferencia entre el ingreso mensual medio de los empleados de uno y otro sexo, expresada en forma de porcentaje del ingreso mensual de los empleados (varones). Se preparó un análisis de la diferencia de género en los ingresos en Bosnia y</w:t>
      </w:r>
      <w:r w:rsidR="0037440B" w:rsidRPr="00153A9C">
        <w:rPr>
          <w:lang w:val="es-CO"/>
        </w:rPr>
        <w:t xml:space="preserve"> Herzegovina tomando como base </w:t>
      </w:r>
      <w:r w:rsidRPr="00153A9C">
        <w:rPr>
          <w:lang w:val="es-CO"/>
        </w:rPr>
        <w:t xml:space="preserve">el </w:t>
      </w:r>
      <w:r w:rsidR="0073188F" w:rsidRPr="00153A9C">
        <w:rPr>
          <w:lang w:val="es-CO"/>
        </w:rPr>
        <w:t xml:space="preserve">examen </w:t>
      </w:r>
      <w:r w:rsidRPr="00153A9C">
        <w:rPr>
          <w:lang w:val="es-CO"/>
        </w:rPr>
        <w:t>de las conclusiones de la</w:t>
      </w:r>
      <w:r w:rsidR="0037440B" w:rsidRPr="00153A9C">
        <w:rPr>
          <w:lang w:val="es-CO"/>
        </w:rPr>
        <w:t>s e</w:t>
      </w:r>
      <w:r w:rsidRPr="00153A9C">
        <w:rPr>
          <w:lang w:val="es-CO"/>
        </w:rPr>
        <w:t>ncuesta</w:t>
      </w:r>
      <w:r w:rsidR="0037440B" w:rsidRPr="00153A9C">
        <w:rPr>
          <w:lang w:val="es-CO"/>
        </w:rPr>
        <w:t>s</w:t>
      </w:r>
      <w:r w:rsidRPr="00153A9C">
        <w:rPr>
          <w:lang w:val="es-CO"/>
        </w:rPr>
        <w:t xml:space="preserve"> </w:t>
      </w:r>
      <w:r w:rsidR="003B3A2B" w:rsidRPr="00153A9C">
        <w:rPr>
          <w:lang w:val="es-CO"/>
        </w:rPr>
        <w:t>de población activa</w:t>
      </w:r>
      <w:r w:rsidRPr="00153A9C">
        <w:rPr>
          <w:lang w:val="es-CO"/>
        </w:rPr>
        <w:t xml:space="preserve"> de 2006 </w:t>
      </w:r>
      <w:r w:rsidR="0037440B" w:rsidRPr="00153A9C">
        <w:rPr>
          <w:lang w:val="es-CO"/>
        </w:rPr>
        <w:t xml:space="preserve">y de </w:t>
      </w:r>
      <w:smartTag w:uri="urn:schemas-microsoft-com:office:smarttags" w:element="metricconverter">
        <w:smartTagPr>
          <w:attr w:name="ProductID" w:val="2001 a"/>
        </w:smartTagPr>
        <w:r w:rsidR="0037440B" w:rsidRPr="00153A9C">
          <w:rPr>
            <w:lang w:val="es-CO"/>
          </w:rPr>
          <w:t>2001 a</w:t>
        </w:r>
      </w:smartTag>
      <w:r w:rsidR="0037440B" w:rsidRPr="00153A9C">
        <w:rPr>
          <w:lang w:val="es-CO"/>
        </w:rPr>
        <w:t xml:space="preserve"> </w:t>
      </w:r>
      <w:r w:rsidRPr="00153A9C">
        <w:rPr>
          <w:lang w:val="es-CO"/>
        </w:rPr>
        <w:t xml:space="preserve">2004 y </w:t>
      </w:r>
      <w:r w:rsidR="0037440B" w:rsidRPr="00153A9C">
        <w:rPr>
          <w:lang w:val="es-CO"/>
        </w:rPr>
        <w:t xml:space="preserve">los </w:t>
      </w:r>
      <w:r w:rsidRPr="00153A9C">
        <w:rPr>
          <w:lang w:val="es-CO"/>
        </w:rPr>
        <w:t xml:space="preserve">datos disponibles del sistema de estadísticas de Bosnia y Herzegovina. La encuesta se elaboró en cooperación con el </w:t>
      </w:r>
      <w:r w:rsidR="0037440B" w:rsidRPr="00153A9C">
        <w:rPr>
          <w:lang w:val="es-CO"/>
        </w:rPr>
        <w:t>Organismo de Igualdad de Género</w:t>
      </w:r>
      <w:r w:rsidRPr="00153A9C">
        <w:rPr>
          <w:lang w:val="es-CO"/>
        </w:rPr>
        <w:t xml:space="preserve"> de Bosnia y Herzegovina y </w:t>
      </w:r>
      <w:smartTag w:uri="urn:schemas-microsoft-com:office:smarttags" w:element="PersonName">
        <w:smartTagPr>
          <w:attr w:name="ProductID" w:val="la Oficina Independiente"/>
        </w:smartTagPr>
        <w:r w:rsidRPr="00153A9C">
          <w:rPr>
            <w:lang w:val="es-CO"/>
          </w:rPr>
          <w:t xml:space="preserve">la </w:t>
        </w:r>
        <w:r w:rsidR="0037440B" w:rsidRPr="00153A9C">
          <w:rPr>
            <w:lang w:val="es-CO"/>
          </w:rPr>
          <w:t>Oficina Independiente</w:t>
        </w:r>
      </w:smartTag>
      <w:r w:rsidR="0037440B" w:rsidRPr="00153A9C">
        <w:rPr>
          <w:lang w:val="es-CO"/>
        </w:rPr>
        <w:t xml:space="preserve"> de Asuntos Humanitarios</w:t>
      </w:r>
      <w:r w:rsidRPr="00153A9C">
        <w:rPr>
          <w:lang w:val="es-CO"/>
        </w:rPr>
        <w:t>, y con apoyo del Organismo Canadiense de Desarrollo Internacional (CIDA) y el Programa de las Naciones Unidas para el Desarrollo (PNUD).</w:t>
      </w:r>
    </w:p>
    <w:p w:rsidR="000E24E0" w:rsidRPr="00153A9C" w:rsidRDefault="000E24E0" w:rsidP="009B29CE">
      <w:pPr>
        <w:pStyle w:val="SingleTxtG"/>
        <w:rPr>
          <w:lang w:val="es-CO"/>
        </w:rPr>
      </w:pPr>
      <w:r w:rsidRPr="00153A9C">
        <w:rPr>
          <w:lang w:val="es-CO"/>
        </w:rPr>
        <w:t>27.</w:t>
      </w:r>
      <w:r w:rsidRPr="00153A9C">
        <w:rPr>
          <w:lang w:val="es-CO"/>
        </w:rPr>
        <w:tab/>
        <w:t xml:space="preserve">Se llevó a cabo un análisis de los datos disponibles sobre los ingresos netos. </w:t>
      </w:r>
      <w:r w:rsidR="0073188F" w:rsidRPr="00153A9C">
        <w:rPr>
          <w:lang w:val="es-CO"/>
        </w:rPr>
        <w:t>Se observa que e</w:t>
      </w:r>
      <w:r w:rsidRPr="00153A9C">
        <w:rPr>
          <w:lang w:val="es-CO"/>
        </w:rPr>
        <w:t xml:space="preserve">l coeficiente entre los hombres y las mujeres con empleo es de 2:1. Los análisis indican que la estructura de edad de las personas empleadas en Bosnia y Herzegovina es igual en ambos sexos. Un estudio más detallado pone de relieve que la proporción porcentual de mujeres jóvenes es más elevada que la de sus colegas. Esta situación es resultado de múltiples </w:t>
      </w:r>
      <w:r w:rsidR="0037440B" w:rsidRPr="00153A9C">
        <w:rPr>
          <w:lang w:val="es-CO"/>
        </w:rPr>
        <w:t>causas</w:t>
      </w:r>
      <w:r w:rsidRPr="00153A9C">
        <w:rPr>
          <w:lang w:val="es-CO"/>
        </w:rPr>
        <w:t xml:space="preserve">, principalmente el abandono del trabajo para ocuparse de los hijos, una mayor demanda de mano de obra joven, la edad de jubilación más temprana de las mujeres, etc. </w:t>
      </w:r>
    </w:p>
    <w:p w:rsidR="000E24E0" w:rsidRPr="00153A9C" w:rsidRDefault="000E24E0" w:rsidP="009B29CE">
      <w:pPr>
        <w:pStyle w:val="SingleTxtG"/>
        <w:rPr>
          <w:lang w:val="es-CO"/>
        </w:rPr>
      </w:pPr>
      <w:r w:rsidRPr="00153A9C">
        <w:rPr>
          <w:lang w:val="es-CO"/>
        </w:rPr>
        <w:t>28.</w:t>
      </w:r>
      <w:r w:rsidRPr="00153A9C">
        <w:rPr>
          <w:lang w:val="es-CO"/>
        </w:rPr>
        <w:tab/>
        <w:t xml:space="preserve">El análisis </w:t>
      </w:r>
      <w:r w:rsidR="00B53C4E" w:rsidRPr="00153A9C">
        <w:rPr>
          <w:lang w:val="es-CO"/>
        </w:rPr>
        <w:t>de la diferencia de género en la</w:t>
      </w:r>
      <w:r w:rsidRPr="00153A9C">
        <w:rPr>
          <w:lang w:val="es-CO"/>
        </w:rPr>
        <w:t xml:space="preserve">s categorías </w:t>
      </w:r>
      <w:r w:rsidR="0037440B" w:rsidRPr="00153A9C">
        <w:rPr>
          <w:lang w:val="es-CO"/>
        </w:rPr>
        <w:t>s</w:t>
      </w:r>
      <w:r w:rsidRPr="00153A9C">
        <w:rPr>
          <w:lang w:val="es-CO"/>
        </w:rPr>
        <w:t xml:space="preserve">alariales revela que hay más hombres que mujeres en el mercado de trabajo de Bosnia y Herzegovina, es decir, que </w:t>
      </w:r>
      <w:r w:rsidR="0037440B" w:rsidRPr="00153A9C">
        <w:rPr>
          <w:lang w:val="es-CO"/>
        </w:rPr>
        <w:t xml:space="preserve">el </w:t>
      </w:r>
      <w:r w:rsidRPr="00153A9C">
        <w:rPr>
          <w:lang w:val="es-CO"/>
        </w:rPr>
        <w:t xml:space="preserve">mercado de trabajo </w:t>
      </w:r>
      <w:r w:rsidR="0037440B" w:rsidRPr="00153A9C">
        <w:rPr>
          <w:lang w:val="es-CO"/>
        </w:rPr>
        <w:t xml:space="preserve">está </w:t>
      </w:r>
      <w:r w:rsidRPr="00153A9C">
        <w:rPr>
          <w:lang w:val="es-CO"/>
        </w:rPr>
        <w:t xml:space="preserve">orientado a los hombres. Aunque hay aproximadamente el mismo número de hombres y de mujeres empleados en las categorías de remuneración más alta (más de </w:t>
      </w:r>
      <w:smartTag w:uri="urn:schemas-microsoft-com:office:smarttags" w:element="metricconverter">
        <w:smartTagPr>
          <w:attr w:name="ProductID" w:val="2.500 KM"/>
        </w:smartTagPr>
        <w:r w:rsidRPr="00153A9C">
          <w:rPr>
            <w:lang w:val="es-CO"/>
          </w:rPr>
          <w:t>2</w:t>
        </w:r>
        <w:r w:rsidR="00B53C4E" w:rsidRPr="00153A9C">
          <w:rPr>
            <w:lang w:val="es-CO"/>
          </w:rPr>
          <w:t>.</w:t>
        </w:r>
        <w:r w:rsidRPr="00153A9C">
          <w:rPr>
            <w:lang w:val="es-CO"/>
          </w:rPr>
          <w:t xml:space="preserve">500 </w:t>
        </w:r>
        <w:r w:rsidR="005E2DB0" w:rsidRPr="00153A9C">
          <w:rPr>
            <w:lang w:val="es-CO"/>
          </w:rPr>
          <w:t>KM</w:t>
        </w:r>
      </w:smartTag>
      <w:r w:rsidR="00C44432" w:rsidRPr="00153A9C">
        <w:rPr>
          <w:lang w:val="es-CO"/>
        </w:rPr>
        <w:t>)</w:t>
      </w:r>
      <w:r w:rsidR="005E2DB0" w:rsidRPr="00153A9C">
        <w:rPr>
          <w:lang w:val="es-CO"/>
        </w:rPr>
        <w:t xml:space="preserve"> </w:t>
      </w:r>
      <w:r w:rsidRPr="00153A9C">
        <w:rPr>
          <w:lang w:val="es-CO"/>
        </w:rPr>
        <w:t xml:space="preserve">y más baja (hasta </w:t>
      </w:r>
      <w:smartTag w:uri="urn:schemas-microsoft-com:office:smarttags" w:element="metricconverter">
        <w:smartTagPr>
          <w:attr w:name="ProductID" w:val="200 KM"/>
        </w:smartTagPr>
        <w:r w:rsidRPr="00153A9C">
          <w:rPr>
            <w:lang w:val="es-CO"/>
          </w:rPr>
          <w:t xml:space="preserve">200 </w:t>
        </w:r>
        <w:r w:rsidR="005E2DB0" w:rsidRPr="00153A9C">
          <w:rPr>
            <w:lang w:val="es-CO"/>
          </w:rPr>
          <w:t>KM</w:t>
        </w:r>
      </w:smartTag>
      <w:r w:rsidRPr="00153A9C">
        <w:rPr>
          <w:lang w:val="es-CO"/>
        </w:rPr>
        <w:t>), en todas las demás categorías salariales el número de hombres empleados es mayor que el de mujeres empleadas.</w:t>
      </w:r>
    </w:p>
    <w:p w:rsidR="000E24E0" w:rsidRPr="00153A9C" w:rsidRDefault="000E24E0" w:rsidP="009B29CE">
      <w:pPr>
        <w:pStyle w:val="SingleTxtG"/>
        <w:spacing w:after="240"/>
        <w:rPr>
          <w:lang w:val="es-CO"/>
        </w:rPr>
      </w:pPr>
      <w:r w:rsidRPr="00153A9C">
        <w:rPr>
          <w:lang w:val="es-CO"/>
        </w:rPr>
        <w:t xml:space="preserve">29. La mayor diferencia se encuentra en la categoría salarial de </w:t>
      </w:r>
      <w:smartTag w:uri="urn:schemas-microsoft-com:office:smarttags" w:element="metricconverter">
        <w:smartTagPr>
          <w:attr w:name="ProductID" w:val="401 a"/>
        </w:smartTagPr>
        <w:r w:rsidRPr="00153A9C">
          <w:rPr>
            <w:lang w:val="es-CO"/>
          </w:rPr>
          <w:t>401 a</w:t>
        </w:r>
      </w:smartTag>
      <w:r w:rsidRPr="00153A9C">
        <w:rPr>
          <w:lang w:val="es-CO"/>
        </w:rPr>
        <w:t xml:space="preserve"> </w:t>
      </w:r>
      <w:smartTag w:uri="urn:schemas-microsoft-com:office:smarttags" w:element="metricconverter">
        <w:smartTagPr>
          <w:attr w:name="ProductID" w:val="500 KM"/>
        </w:smartTagPr>
        <w:r w:rsidRPr="00153A9C">
          <w:rPr>
            <w:lang w:val="es-CO"/>
          </w:rPr>
          <w:t xml:space="preserve">500 </w:t>
        </w:r>
        <w:r w:rsidR="005E2DB0" w:rsidRPr="00153A9C">
          <w:rPr>
            <w:lang w:val="es-CO"/>
          </w:rPr>
          <w:t>KM</w:t>
        </w:r>
      </w:smartTag>
      <w:r w:rsidRPr="00153A9C">
        <w:rPr>
          <w:lang w:val="es-CO"/>
        </w:rPr>
        <w:t>, donde el coeficiente entre hombres y mujeres empleados es de 3:1.</w:t>
      </w:r>
    </w:p>
    <w:p w:rsidR="000E24E0" w:rsidRPr="00153A9C" w:rsidRDefault="000E24E0" w:rsidP="009B29CE">
      <w:pPr>
        <w:pStyle w:val="Heading1"/>
        <w:rPr>
          <w:lang w:val="es-CO"/>
        </w:rPr>
      </w:pPr>
      <w:r w:rsidRPr="00153A9C">
        <w:rPr>
          <w:lang w:val="es-CO"/>
        </w:rPr>
        <w:t>Gráfico 1</w:t>
      </w:r>
    </w:p>
    <w:p w:rsidR="000E24E0" w:rsidRPr="009B29CE" w:rsidRDefault="000E24E0" w:rsidP="009B29CE">
      <w:pPr>
        <w:pStyle w:val="SingleTxtG"/>
        <w:jc w:val="left"/>
        <w:rPr>
          <w:b/>
          <w:lang w:val="es-CO"/>
        </w:rPr>
      </w:pPr>
      <w:r w:rsidRPr="009B29CE">
        <w:rPr>
          <w:b/>
          <w:lang w:val="es-CO"/>
        </w:rPr>
        <w:t>Diferencia de género en las categorías salariales</w:t>
      </w:r>
    </w:p>
    <w:p w:rsidR="000E24E0" w:rsidRDefault="003A3F57" w:rsidP="009B29CE">
      <w:pPr>
        <w:pStyle w:val="SingleTxtG"/>
        <w:rPr>
          <w:lang w:val="es-CO"/>
        </w:rPr>
      </w:pPr>
      <w:r>
        <w:rPr>
          <w:noProof/>
          <w:lang w:val="es-ES" w:eastAsia="es-ES"/>
        </w:rPr>
      </w:r>
      <w:r w:rsidR="00597C9E" w:rsidRPr="003A3F57">
        <w:rPr>
          <w:lang w:val="es-CO"/>
        </w:rPr>
        <w:pict>
          <v:group id="_x0000_s1113" editas="canvas" style="width:365.35pt;height:171.95pt;mso-position-horizontal-relative:char;mso-position-vertical-relative:line" coordorigin="2268,10452" coordsize="7307,3439">
            <o:lock v:ext="edit" aspectratio="t"/>
            <v:shape id="_x0000_s1114" type="#_x0000_t75" style="position:absolute;left:2268;top:10452;width:7307;height:3439" o:preferrelative="f">
              <v:fill o:detectmouseclick="t"/>
              <v:path o:extrusionok="t" o:connecttype="none"/>
            </v:shape>
            <v:rect id="_x0000_s1115" style="position:absolute;left:3201;top:10604;width:4694;height:2137" fillcolor="silver" stroked="f"/>
            <v:line id="_x0000_s1116" style="position:absolute" from="3201,12391" to="7895,12392" strokeweight="0"/>
            <v:line id="_x0000_s1117" style="position:absolute" from="3201,12029" to="7895,12030" strokeweight="0"/>
            <v:line id="_x0000_s1118" style="position:absolute" from="3201,11679" to="7895,11680" strokeweight="0"/>
            <v:line id="_x0000_s1119" style="position:absolute" from="3201,11316" to="7895,11317" strokeweight="0"/>
            <v:line id="_x0000_s1120" style="position:absolute" from="3201,10966" to="7895,10967" strokeweight="0"/>
            <v:line id="_x0000_s1121" style="position:absolute" from="3201,10604" to="7895,10605" strokeweight="0"/>
            <v:rect id="_x0000_s1122" style="position:absolute;left:3236;top:10604;width:4693;height:2137" filled="f" strokecolor="gray" strokeweight=".65pt"/>
            <v:line id="_x0000_s1123" style="position:absolute" from="3201,10604" to="3203,12741" strokeweight="0"/>
            <v:line id="_x0000_s1124" style="position:absolute" from="3144,12741" to="3201,12742" strokeweight="0"/>
            <v:line id="_x0000_s1125" style="position:absolute" from="3144,12391" to="3201,12392" strokeweight="0"/>
            <v:line id="_x0000_s1126" style="position:absolute" from="3144,12029" to="3201,12030" strokeweight="0"/>
            <v:line id="_x0000_s1127" style="position:absolute" from="3144,11679" to="3201,11680" strokeweight="0"/>
            <v:line id="_x0000_s1128" style="position:absolute" from="3144,11316" to="3201,11317" strokeweight="0"/>
            <v:line id="_x0000_s1129" style="position:absolute" from="3144,10966" to="3201,10967" strokeweight="0"/>
            <v:line id="_x0000_s1130" style="position:absolute" from="3144,10604" to="3201,10605" strokeweight="0"/>
            <v:line id="_x0000_s1131" style="position:absolute" from="3201,12741" to="7895,12742" strokeweight="0"/>
            <v:line id="_x0000_s1132" style="position:absolute;flip:y" from="3201,12741" to="3203,12791" strokeweight="0"/>
            <v:line id="_x0000_s1133" style="position:absolute;flip:y" from="3730,12741" to="3731,12791" strokeweight="0"/>
            <v:line id="_x0000_s1134" style="position:absolute;flip:y" from="4243,12741" to="4244,12791" strokeweight="0"/>
            <v:line id="_x0000_s1135" style="position:absolute;flip:y" from="4771,12741" to="4772,12791" strokeweight="0"/>
            <v:line id="_x0000_s1136" style="position:absolute;flip:y" from="5285,12741" to="5286,12791" strokeweight="0"/>
            <v:line id="_x0000_s1137" style="position:absolute;flip:y" from="5813,12741" to="5814,12791" strokeweight="0"/>
            <v:line id="_x0000_s1138" style="position:absolute;flip:y" from="6326,12741" to="6327,12791" strokeweight="0"/>
            <v:line id="_x0000_s1139" style="position:absolute;flip:y" from="6853,12741" to="6854,12791" strokeweight="0"/>
            <v:line id="_x0000_s1140" style="position:absolute;flip:y" from="7367,12741" to="7368,12791" strokeweight="0"/>
            <v:line id="_x0000_s1141" style="position:absolute;flip:y" from="7895,12741" to="7896,12791" strokeweight="0"/>
            <v:shape id="_x0000_s1142" style="position:absolute;left:3459;top:11116;width:4180;height:1600" coordsize="293,128" path="m,108l37,29,73,r37,11l147,27r36,49l220,99r36,23l293,128e" filled="f" strokecolor="navy" strokeweight=".65pt">
              <v:path arrowok="t"/>
            </v:shape>
            <v:shape id="_x0000_s1143" style="position:absolute;left:3408;top:11029;width:4179;height:1699" coordsize="293,136" path="m,94l37,,73,1r37,34l147,45r36,54l220,118r36,17l293,136e" filled="f" strokecolor="fuchsia" strokeweight=".65pt">
              <v:path arrowok="t"/>
            </v:shape>
            <v:shape id="_x0000_s1144" style="position:absolute;left:3416;top:12428;width:85;height:75" coordsize="75,75" path="m38,l75,38,38,75,,38,38,xe" fillcolor="navy" strokecolor="navy" strokeweight=".65pt">
              <v:path arrowok="t"/>
            </v:shape>
            <v:shape id="_x0000_s1145" style="position:absolute;left:3943;top:11441;width:86;height:75" coordsize="75,75" path="m38,l75,38,38,75,,38,38,xe" fillcolor="navy" strokecolor="navy" strokeweight=".65pt">
              <v:path arrowok="t"/>
            </v:shape>
            <v:shape id="_x0000_s1146" style="position:absolute;left:4457;top:11079;width:86;height:75" coordsize="75,75" path="m37,l75,37,37,75,,37,37,xe" fillcolor="navy" strokecolor="navy" strokeweight=".65pt">
              <v:path arrowok="t"/>
            </v:shape>
            <v:shape id="_x0000_s1147" style="position:absolute;left:4985;top:11216;width:86;height:75" coordsize="75,75" path="m37,l75,38,37,75,,38,37,xe" fillcolor="navy" strokecolor="navy" strokeweight=".65pt">
              <v:path arrowok="t"/>
            </v:shape>
            <v:shape id="_x0000_s1148" style="position:absolute;left:5513;top:11416;width:85;height:75" coordsize="75,75" path="m37,l75,38,37,75,,38,37,xe" fillcolor="navy" strokecolor="navy" strokeweight=".65pt">
              <v:path arrowok="t"/>
            </v:shape>
            <v:shape id="_x0000_s1149" style="position:absolute;left:6026;top:12029;width:86;height:74" coordsize="76,74" path="m38,l76,37,38,74,,37,38,xe" fillcolor="navy" strokecolor="navy" strokeweight=".65pt">
              <v:path arrowok="t"/>
            </v:shape>
            <v:shape id="_x0000_s1150" style="position:absolute;left:6555;top:12316;width:85;height:75" coordsize="75,75" path="m37,l75,37,37,75,,37,37,xe" fillcolor="navy" strokecolor="navy" strokeweight=".65pt">
              <v:path arrowok="t"/>
            </v:shape>
            <v:shape id="_x0000_s1151" style="position:absolute;left:7068;top:12603;width:85;height:75" coordsize="75,75" path="m38,l75,38,38,75,,38,38,xe" fillcolor="navy" strokecolor="navy" strokeweight=".65pt">
              <v:path arrowok="t"/>
            </v:shape>
            <v:shape id="_x0000_s1152" style="position:absolute;left:7595;top:12678;width:86;height:75" coordsize="75,75" path="m38,l75,38,38,75,,38,38,xe" fillcolor="navy" strokecolor="navy" strokeweight=".65pt">
              <v:path arrowok="t"/>
            </v:shape>
            <v:rect id="_x0000_s1153" style="position:absolute;left:3416;top:12166;width:72;height:62" fillcolor="fuchsia" strokecolor="fuchsia" strokeweight=".65pt"/>
            <v:rect id="_x0000_s1154" style="position:absolute;left:3943;top:10991;width:72;height:63" fillcolor="fuchsia" strokecolor="fuchsia" strokeweight=".65pt"/>
            <v:rect id="_x0000_s1155" style="position:absolute;left:4457;top:11004;width:71;height:62" fillcolor="fuchsia" strokecolor="fuchsia" strokeweight=".65pt"/>
            <v:rect id="_x0000_s1156" style="position:absolute;left:4985;top:11429;width:71;height:62" fillcolor="fuchsia" strokecolor="fuchsia" strokeweight=".65pt"/>
            <v:rect id="_x0000_s1157" style="position:absolute;left:5513;top:11554;width:71;height:62" fillcolor="fuchsia" strokecolor="fuchsia" strokeweight=".65pt"/>
            <v:rect id="_x0000_s1158" style="position:absolute;left:6026;top:12228;width:72;height:63" fillcolor="fuchsia" strokecolor="fuchsia" strokeweight=".65pt"/>
            <v:rect id="_x0000_s1159" style="position:absolute;left:6555;top:12466;width:70;height:62" fillcolor="fuchsia" strokecolor="fuchsia" strokeweight=".65pt"/>
            <v:rect id="_x0000_s1160" style="position:absolute;left:7068;top:12678;width:71;height:63" fillcolor="fuchsia" strokecolor="fuchsia" strokeweight=".65pt"/>
            <v:rect id="_x0000_s1161" style="position:absolute;left:7595;top:12691;width:72;height:62" fillcolor="fuchsia" strokecolor="fuchsia" strokeweight=".65pt"/>
            <v:rect id="_x0000_s1162" style="position:absolute;left:2960;top:12641;width:92;height:240" filled="f" stroked="f">
              <v:textbox style="mso-next-textbox:#_x0000_s1162;mso-fit-shape-to-text:t" inset="0,0,0,0">
                <w:txbxContent>
                  <w:p w:rsidR="003A3F57" w:rsidRDefault="003A3F57" w:rsidP="003A3F57">
                    <w:r>
                      <w:rPr>
                        <w:rFonts w:cs="Arial"/>
                        <w:color w:val="000000"/>
                        <w:sz w:val="16"/>
                        <w:szCs w:val="16"/>
                        <w:lang w:val="en-US"/>
                      </w:rPr>
                      <w:t>0</w:t>
                    </w:r>
                  </w:p>
                </w:txbxContent>
              </v:textbox>
            </v:rect>
            <v:rect id="_x0000_s1163" style="position:absolute;left:2960;top:12291;width:92;height:240" filled="f" stroked="f">
              <v:textbox style="mso-next-textbox:#_x0000_s1163;mso-fit-shape-to-text:t" inset="0,0,0,0">
                <w:txbxContent>
                  <w:p w:rsidR="003A3F57" w:rsidRDefault="003A3F57" w:rsidP="003A3F57">
                    <w:r>
                      <w:rPr>
                        <w:rFonts w:cs="Arial"/>
                        <w:color w:val="000000"/>
                        <w:sz w:val="16"/>
                        <w:szCs w:val="16"/>
                        <w:lang w:val="en-US"/>
                      </w:rPr>
                      <w:t>5</w:t>
                    </w:r>
                  </w:p>
                </w:txbxContent>
              </v:textbox>
            </v:rect>
            <v:rect id="_x0000_s1164" style="position:absolute;left:2860;top:11929;width:183;height:240" filled="f" stroked="f">
              <v:textbox style="mso-next-textbox:#_x0000_s1164;mso-fit-shape-to-text:t" inset="0,0,0,0">
                <w:txbxContent>
                  <w:p w:rsidR="003A3F57" w:rsidRDefault="003A3F57" w:rsidP="003A3F57">
                    <w:r>
                      <w:rPr>
                        <w:rFonts w:cs="Arial"/>
                        <w:color w:val="000000"/>
                        <w:sz w:val="16"/>
                        <w:szCs w:val="16"/>
                        <w:lang w:val="en-US"/>
                      </w:rPr>
                      <w:t>10</w:t>
                    </w:r>
                  </w:p>
                </w:txbxContent>
              </v:textbox>
            </v:rect>
            <v:rect id="_x0000_s1165" style="position:absolute;left:2860;top:11579;width:183;height:240" filled="f" stroked="f">
              <v:textbox style="mso-next-textbox:#_x0000_s1165;mso-fit-shape-to-text:t" inset="0,0,0,0">
                <w:txbxContent>
                  <w:p w:rsidR="003A3F57" w:rsidRDefault="003A3F57" w:rsidP="003A3F57">
                    <w:r>
                      <w:rPr>
                        <w:rFonts w:cs="Arial"/>
                        <w:color w:val="000000"/>
                        <w:sz w:val="16"/>
                        <w:szCs w:val="16"/>
                        <w:lang w:val="en-US"/>
                      </w:rPr>
                      <w:t>15</w:t>
                    </w:r>
                  </w:p>
                </w:txbxContent>
              </v:textbox>
            </v:rect>
            <v:rect id="_x0000_s1166" style="position:absolute;left:2860;top:11216;width:183;height:240" filled="f" stroked="f">
              <v:textbox style="mso-next-textbox:#_x0000_s1166;mso-fit-shape-to-text:t" inset="0,0,0,0">
                <w:txbxContent>
                  <w:p w:rsidR="003A3F57" w:rsidRDefault="003A3F57" w:rsidP="003A3F57">
                    <w:r>
                      <w:rPr>
                        <w:rFonts w:cs="Arial"/>
                        <w:color w:val="000000"/>
                        <w:sz w:val="16"/>
                        <w:szCs w:val="16"/>
                        <w:lang w:val="en-US"/>
                      </w:rPr>
                      <w:t>20</w:t>
                    </w:r>
                  </w:p>
                </w:txbxContent>
              </v:textbox>
            </v:rect>
            <v:rect id="_x0000_s1167" style="position:absolute;left:2860;top:10866;width:183;height:240" filled="f" stroked="f">
              <v:textbox style="mso-next-textbox:#_x0000_s1167;mso-fit-shape-to-text:t" inset="0,0,0,0">
                <w:txbxContent>
                  <w:p w:rsidR="003A3F57" w:rsidRDefault="003A3F57" w:rsidP="003A3F57">
                    <w:r>
                      <w:rPr>
                        <w:rFonts w:cs="Arial"/>
                        <w:color w:val="000000"/>
                        <w:sz w:val="16"/>
                        <w:szCs w:val="16"/>
                        <w:lang w:val="en-US"/>
                      </w:rPr>
                      <w:t>25</w:t>
                    </w:r>
                  </w:p>
                </w:txbxContent>
              </v:textbox>
            </v:rect>
            <v:rect id="_x0000_s1168" style="position:absolute;left:2860;top:10504;width:183;height:240" filled="f" stroked="f">
              <v:textbox style="mso-next-textbox:#_x0000_s1168;mso-fit-shape-to-text:t" inset="0,0,0,0">
                <w:txbxContent>
                  <w:p w:rsidR="003A3F57" w:rsidRDefault="003A3F57" w:rsidP="003A3F57">
                    <w:r>
                      <w:rPr>
                        <w:rFonts w:cs="Arial"/>
                        <w:color w:val="000000"/>
                        <w:sz w:val="16"/>
                        <w:szCs w:val="16"/>
                        <w:lang w:val="en-US"/>
                      </w:rPr>
                      <w:t>30</w:t>
                    </w:r>
                  </w:p>
                </w:txbxContent>
              </v:textbox>
            </v:rect>
            <v:rect id="_x0000_s1169" style="position:absolute;left:3274;top:12850;width:375;height:240" filled="f" stroked="f">
              <v:textbox style="mso-next-textbox:#_x0000_s1169;mso-fit-shape-to-text:t" inset="0,0,0,0">
                <w:txbxContent>
                  <w:p w:rsidR="003A3F57" w:rsidRDefault="00B662AE" w:rsidP="003A3F57">
                    <w:r>
                      <w:rPr>
                        <w:rFonts w:cs="Arial"/>
                        <w:color w:val="000000"/>
                        <w:sz w:val="16"/>
                        <w:szCs w:val="16"/>
                        <w:lang w:val="en-US"/>
                      </w:rPr>
                      <w:t>Hasta</w:t>
                    </w:r>
                  </w:p>
                </w:txbxContent>
              </v:textbox>
            </v:rect>
            <v:rect id="_x0000_s1170" style="position:absolute;left:3317;top:13046;width:274;height:240" filled="f" stroked="f">
              <v:textbox style="mso-next-textbox:#_x0000_s1170;mso-fit-shape-to-text:t" inset="0,0,0,0">
                <w:txbxContent>
                  <w:p w:rsidR="003A3F57" w:rsidRDefault="003A3F57" w:rsidP="003A3F57">
                    <w:r>
                      <w:rPr>
                        <w:rFonts w:cs="Arial"/>
                        <w:color w:val="000000"/>
                        <w:sz w:val="16"/>
                        <w:szCs w:val="16"/>
                        <w:lang w:val="en-US"/>
                      </w:rPr>
                      <w:t>200</w:t>
                    </w:r>
                  </w:p>
                </w:txbxContent>
              </v:textbox>
            </v:rect>
            <v:rect id="_x0000_s1171" style="position:absolute;left:3816;top:12878;width:335;height:240" filled="f" stroked="f">
              <v:textbox style="mso-next-textbox:#_x0000_s1171;mso-fit-shape-to-text:t" inset="0,0,0,0">
                <w:txbxContent>
                  <w:p w:rsidR="003A3F57" w:rsidRDefault="003A3F57" w:rsidP="003A3F57">
                    <w:r>
                      <w:rPr>
                        <w:rFonts w:cs="Arial"/>
                        <w:color w:val="000000"/>
                        <w:sz w:val="16"/>
                        <w:szCs w:val="16"/>
                        <w:lang w:val="en-US"/>
                      </w:rPr>
                      <w:t>201-</w:t>
                    </w:r>
                  </w:p>
                </w:txbxContent>
              </v:textbox>
            </v:rect>
            <v:rect id="_x0000_s1172" style="position:absolute;left:3799;top:13046;width:275;height:240" filled="f" stroked="f">
              <v:textbox style="mso-next-textbox:#_x0000_s1172;mso-fit-shape-to-text:t" inset="0,0,0,0">
                <w:txbxContent>
                  <w:p w:rsidR="003A3F57" w:rsidRDefault="003A3F57" w:rsidP="003A3F57">
                    <w:r>
                      <w:rPr>
                        <w:rFonts w:cs="Arial"/>
                        <w:color w:val="000000"/>
                        <w:sz w:val="16"/>
                        <w:szCs w:val="16"/>
                        <w:lang w:val="en-US"/>
                      </w:rPr>
                      <w:t>300</w:t>
                    </w:r>
                  </w:p>
                </w:txbxContent>
              </v:textbox>
            </v:rect>
            <v:rect id="_x0000_s1173" style="position:absolute;left:4329;top:12878;width:335;height:240" filled="f" stroked="f">
              <v:textbox style="mso-next-textbox:#_x0000_s1173;mso-fit-shape-to-text:t" inset="0,0,0,0">
                <w:txbxContent>
                  <w:p w:rsidR="003A3F57" w:rsidRDefault="003A3F57" w:rsidP="003A3F57">
                    <w:r>
                      <w:rPr>
                        <w:rFonts w:cs="Arial"/>
                        <w:color w:val="000000"/>
                        <w:sz w:val="16"/>
                        <w:szCs w:val="16"/>
                        <w:lang w:val="en-US"/>
                      </w:rPr>
                      <w:t>301-</w:t>
                    </w:r>
                  </w:p>
                </w:txbxContent>
              </v:textbox>
            </v:rect>
            <v:rect id="_x0000_s1174" style="position:absolute;left:4312;top:13046;width:275;height:240" filled="f" stroked="f">
              <v:textbox style="mso-next-textbox:#_x0000_s1174;mso-fit-shape-to-text:t" inset="0,0,0,0">
                <w:txbxContent>
                  <w:p w:rsidR="003A3F57" w:rsidRDefault="003A3F57" w:rsidP="003A3F57">
                    <w:r>
                      <w:rPr>
                        <w:rFonts w:cs="Arial"/>
                        <w:color w:val="000000"/>
                        <w:sz w:val="16"/>
                        <w:szCs w:val="16"/>
                        <w:lang w:val="en-US"/>
                      </w:rPr>
                      <w:t>400</w:t>
                    </w:r>
                  </w:p>
                </w:txbxContent>
              </v:textbox>
            </v:rect>
            <v:rect id="_x0000_s1175" style="position:absolute;left:4856;top:12878;width:335;height:240" filled="f" stroked="f">
              <v:textbox style="mso-next-textbox:#_x0000_s1175;mso-fit-shape-to-text:t" inset="0,0,0,0">
                <w:txbxContent>
                  <w:p w:rsidR="003A3F57" w:rsidRDefault="003A3F57" w:rsidP="003A3F57">
                    <w:r>
                      <w:rPr>
                        <w:rFonts w:cs="Arial"/>
                        <w:color w:val="000000"/>
                        <w:sz w:val="16"/>
                        <w:szCs w:val="16"/>
                        <w:lang w:val="en-US"/>
                      </w:rPr>
                      <w:t>401-</w:t>
                    </w:r>
                  </w:p>
                </w:txbxContent>
              </v:textbox>
            </v:rect>
            <v:rect id="_x0000_s1176" style="position:absolute;left:4840;top:13046;width:275;height:240" filled="f" stroked="f">
              <v:textbox style="mso-next-textbox:#_x0000_s1176;mso-fit-shape-to-text:t" inset="0,0,0,0">
                <w:txbxContent>
                  <w:p w:rsidR="003A3F57" w:rsidRDefault="003A3F57" w:rsidP="003A3F57">
                    <w:r>
                      <w:rPr>
                        <w:rFonts w:cs="Arial"/>
                        <w:color w:val="000000"/>
                        <w:sz w:val="16"/>
                        <w:szCs w:val="16"/>
                        <w:lang w:val="en-US"/>
                      </w:rPr>
                      <w:t>500</w:t>
                    </w:r>
                  </w:p>
                </w:txbxContent>
              </v:textbox>
            </v:rect>
            <v:rect id="_x0000_s1177" style="position:absolute;left:5384;top:12878;width:335;height:240" filled="f" stroked="f">
              <v:textbox style="mso-next-textbox:#_x0000_s1177;mso-fit-shape-to-text:t" inset="0,0,0,0">
                <w:txbxContent>
                  <w:p w:rsidR="003A3F57" w:rsidRDefault="003A3F57" w:rsidP="003A3F57">
                    <w:r>
                      <w:rPr>
                        <w:rFonts w:cs="Arial"/>
                        <w:color w:val="000000"/>
                        <w:sz w:val="16"/>
                        <w:szCs w:val="16"/>
                        <w:lang w:val="en-US"/>
                      </w:rPr>
                      <w:t>501-</w:t>
                    </w:r>
                  </w:p>
                </w:txbxContent>
              </v:textbox>
            </v:rect>
            <v:rect id="_x0000_s1178" style="position:absolute;left:5383;top:13046;width:274;height:240" filled="f" stroked="f">
              <v:textbox style="mso-next-textbox:#_x0000_s1178;mso-fit-shape-to-text:t" inset="0,0,0,0">
                <w:txbxContent>
                  <w:p w:rsidR="003A3F57" w:rsidRDefault="003A3F57" w:rsidP="003A3F57">
                    <w:r>
                      <w:rPr>
                        <w:rFonts w:cs="Arial"/>
                        <w:color w:val="000000"/>
                        <w:sz w:val="16"/>
                        <w:szCs w:val="16"/>
                        <w:lang w:val="en-US"/>
                      </w:rPr>
                      <w:t>700</w:t>
                    </w:r>
                  </w:p>
                </w:txbxContent>
              </v:textbox>
            </v:rect>
            <v:rect id="_x0000_s1179" style="position:absolute;left:5898;top:12878;width:335;height:240" filled="f" stroked="f">
              <v:textbox style="mso-next-textbox:#_x0000_s1179;mso-fit-shape-to-text:t" inset="0,0,0,0">
                <w:txbxContent>
                  <w:p w:rsidR="003A3F57" w:rsidRDefault="003A3F57" w:rsidP="003A3F57">
                    <w:r>
                      <w:rPr>
                        <w:rFonts w:cs="Arial"/>
                        <w:color w:val="000000"/>
                        <w:sz w:val="16"/>
                        <w:szCs w:val="16"/>
                        <w:lang w:val="en-US"/>
                      </w:rPr>
                      <w:t>701-</w:t>
                    </w:r>
                  </w:p>
                </w:txbxContent>
              </v:textbox>
            </v:rect>
            <v:rect id="_x0000_s1180" style="position:absolute;left:5897;top:13046;width:274;height:240" filled="f" stroked="f">
              <v:textbox style="mso-next-textbox:#_x0000_s1180;mso-fit-shape-to-text:t" inset="0,0,0,0">
                <w:txbxContent>
                  <w:p w:rsidR="003A3F57" w:rsidRDefault="003A3F57" w:rsidP="003A3F57">
                    <w:r>
                      <w:rPr>
                        <w:rFonts w:cs="Arial"/>
                        <w:color w:val="000000"/>
                        <w:sz w:val="16"/>
                        <w:szCs w:val="16"/>
                        <w:lang w:val="en-US"/>
                      </w:rPr>
                      <w:t>900</w:t>
                    </w:r>
                  </w:p>
                </w:txbxContent>
              </v:textbox>
            </v:rect>
            <v:rect id="_x0000_s1181" style="position:absolute;left:6426;top:12878;width:335;height:240" filled="f" stroked="f">
              <v:textbox style="mso-next-textbox:#_x0000_s1181;mso-fit-shape-to-text:t" inset="0,0,0,0">
                <w:txbxContent>
                  <w:p w:rsidR="003A3F57" w:rsidRDefault="003A3F57" w:rsidP="003A3F57">
                    <w:r>
                      <w:rPr>
                        <w:rFonts w:cs="Arial"/>
                        <w:color w:val="000000"/>
                        <w:sz w:val="16"/>
                        <w:szCs w:val="16"/>
                        <w:lang w:val="en-US"/>
                      </w:rPr>
                      <w:t>901-</w:t>
                    </w:r>
                  </w:p>
                </w:txbxContent>
              </v:textbox>
            </v:rect>
            <v:rect id="_x0000_s1182" style="position:absolute;left:6307;top:13046;width:412;height:240" filled="f" stroked="f">
              <v:textbox style="mso-next-textbox:#_x0000_s1182;mso-fit-shape-to-text:t" inset="0,0,0,0">
                <w:txbxContent>
                  <w:p w:rsidR="003A3F57" w:rsidRDefault="003A3F57" w:rsidP="003A3F57">
                    <w:r>
                      <w:rPr>
                        <w:rFonts w:cs="Arial"/>
                        <w:color w:val="000000"/>
                        <w:sz w:val="16"/>
                        <w:szCs w:val="16"/>
                        <w:lang w:val="en-US"/>
                      </w:rPr>
                      <w:t>1</w:t>
                    </w:r>
                    <w:r w:rsidR="00597C9E">
                      <w:rPr>
                        <w:rFonts w:cs="Arial"/>
                        <w:color w:val="000000"/>
                        <w:sz w:val="16"/>
                        <w:szCs w:val="16"/>
                        <w:lang w:val="en-US"/>
                      </w:rPr>
                      <w:t xml:space="preserve"> </w:t>
                    </w:r>
                    <w:r>
                      <w:rPr>
                        <w:rFonts w:cs="Arial"/>
                        <w:color w:val="000000"/>
                        <w:sz w:val="16"/>
                        <w:szCs w:val="16"/>
                        <w:lang w:val="en-US"/>
                      </w:rPr>
                      <w:t>500</w:t>
                    </w:r>
                  </w:p>
                </w:txbxContent>
              </v:textbox>
            </v:rect>
            <v:rect id="_x0000_s1183" style="position:absolute;left:6882;top:12878;width:472;height:274" filled="f" stroked="f">
              <v:textbox style="mso-next-textbox:#_x0000_s1183" inset="0,0,0,0">
                <w:txbxContent>
                  <w:p w:rsidR="003A3F57" w:rsidRDefault="003A3F57" w:rsidP="003A3F57">
                    <w:r>
                      <w:rPr>
                        <w:rFonts w:cs="Arial"/>
                        <w:color w:val="000000"/>
                        <w:sz w:val="16"/>
                        <w:szCs w:val="16"/>
                        <w:lang w:val="en-US"/>
                      </w:rPr>
                      <w:t>1</w:t>
                    </w:r>
                    <w:r w:rsidR="00597C9E">
                      <w:rPr>
                        <w:rFonts w:cs="Arial"/>
                        <w:color w:val="000000"/>
                        <w:sz w:val="16"/>
                        <w:szCs w:val="16"/>
                        <w:lang w:val="en-US"/>
                      </w:rPr>
                      <w:t xml:space="preserve"> </w:t>
                    </w:r>
                    <w:r>
                      <w:rPr>
                        <w:rFonts w:cs="Arial"/>
                        <w:color w:val="000000"/>
                        <w:sz w:val="16"/>
                        <w:szCs w:val="16"/>
                        <w:lang w:val="en-US"/>
                      </w:rPr>
                      <w:t>501-</w:t>
                    </w:r>
                  </w:p>
                </w:txbxContent>
              </v:textbox>
            </v:rect>
            <v:rect id="_x0000_s1184" style="position:absolute;left:6880;top:13046;width:412;height:240" filled="f" stroked="f">
              <v:textbox style="mso-next-textbox:#_x0000_s1184;mso-fit-shape-to-text:t" inset="0,0,0,0">
                <w:txbxContent>
                  <w:p w:rsidR="003A3F57" w:rsidRDefault="003A3F57" w:rsidP="003A3F57">
                    <w:r>
                      <w:rPr>
                        <w:rFonts w:cs="Arial"/>
                        <w:color w:val="000000"/>
                        <w:sz w:val="16"/>
                        <w:szCs w:val="16"/>
                        <w:lang w:val="en-US"/>
                      </w:rPr>
                      <w:t>2</w:t>
                    </w:r>
                    <w:r w:rsidR="00597C9E">
                      <w:rPr>
                        <w:rFonts w:cs="Arial"/>
                        <w:color w:val="000000"/>
                        <w:sz w:val="16"/>
                        <w:szCs w:val="16"/>
                        <w:lang w:val="en-US"/>
                      </w:rPr>
                      <w:t xml:space="preserve"> </w:t>
                    </w:r>
                    <w:r>
                      <w:rPr>
                        <w:rFonts w:cs="Arial"/>
                        <w:color w:val="000000"/>
                        <w:sz w:val="16"/>
                        <w:szCs w:val="16"/>
                        <w:lang w:val="en-US"/>
                      </w:rPr>
                      <w:t>500</w:t>
                    </w:r>
                  </w:p>
                </w:txbxContent>
              </v:textbox>
            </v:rect>
            <v:rect id="_x0000_s1185" style="position:absolute;left:7453;top:12878;width:411;height:240" filled="f" stroked="f">
              <v:textbox style="mso-next-textbox:#_x0000_s1185" inset="0,0,0,0">
                <w:txbxContent>
                  <w:p w:rsidR="003A3F57" w:rsidRDefault="003A3F57" w:rsidP="003A3F57">
                    <w:r>
                      <w:rPr>
                        <w:rFonts w:cs="Arial"/>
                        <w:color w:val="000000"/>
                        <w:sz w:val="16"/>
                        <w:szCs w:val="16"/>
                        <w:lang w:val="en-US"/>
                      </w:rPr>
                      <w:t>2</w:t>
                    </w:r>
                    <w:r w:rsidR="00597C9E">
                      <w:rPr>
                        <w:rFonts w:cs="Arial"/>
                        <w:color w:val="000000"/>
                        <w:sz w:val="16"/>
                        <w:szCs w:val="16"/>
                        <w:lang w:val="en-US"/>
                      </w:rPr>
                      <w:t xml:space="preserve"> </w:t>
                    </w:r>
                    <w:r>
                      <w:rPr>
                        <w:rFonts w:cs="Arial"/>
                        <w:color w:val="000000"/>
                        <w:sz w:val="16"/>
                        <w:szCs w:val="16"/>
                        <w:lang w:val="en-US"/>
                      </w:rPr>
                      <w:t>501</w:t>
                    </w:r>
                  </w:p>
                </w:txbxContent>
              </v:textbox>
            </v:rect>
            <v:rect id="_x0000_s1186" style="position:absolute;left:7453;top:13031;width:431;height:240" filled="f" stroked="f">
              <v:textbox style="mso-next-textbox:#_x0000_s1186;mso-fit-shape-to-text:t" inset="0,0,0,0">
                <w:txbxContent>
                  <w:p w:rsidR="003A3F57" w:rsidRDefault="00597C9E" w:rsidP="003A3F57">
                    <w:r>
                      <w:rPr>
                        <w:rFonts w:cs="Arial"/>
                        <w:color w:val="000000"/>
                        <w:sz w:val="16"/>
                        <w:szCs w:val="16"/>
                        <w:lang w:val="en-US"/>
                      </w:rPr>
                      <w:t>y más</w:t>
                    </w:r>
                  </w:p>
                </w:txbxContent>
              </v:textbox>
            </v:rect>
            <v:rect id="_x0000_s1187" style="position:absolute;left:5399;top:13470;width:314;height:240" filled="f" stroked="f">
              <v:textbox style="mso-next-textbox:#_x0000_s1187;mso-fit-shape-to-text:t" inset="0,0,0,0">
                <w:txbxContent>
                  <w:p w:rsidR="003A3F57" w:rsidRDefault="00597C9E" w:rsidP="003A3F57">
                    <w:r>
                      <w:rPr>
                        <w:rFonts w:cs="Arial"/>
                        <w:b/>
                        <w:bCs/>
                        <w:color w:val="000000"/>
                        <w:sz w:val="16"/>
                        <w:szCs w:val="16"/>
                        <w:lang w:val="en-US"/>
                      </w:rPr>
                      <w:t>K</w:t>
                    </w:r>
                    <w:r w:rsidR="003A3F57">
                      <w:rPr>
                        <w:rFonts w:cs="Arial"/>
                        <w:b/>
                        <w:bCs/>
                        <w:color w:val="000000"/>
                        <w:sz w:val="16"/>
                        <w:szCs w:val="16"/>
                        <w:lang w:val="en-US"/>
                      </w:rPr>
                      <w:t>M</w:t>
                    </w:r>
                  </w:p>
                </w:txbxContent>
              </v:textbox>
            </v:rect>
            <v:rect id="_x0000_s1188" style="position:absolute;left:2005;top:11557;width:1232;height:345;rotation:270;mso-wrap-style:none" filled="f" stroked="f">
              <v:textbox style="layout-flow:vertical;mso-layout-flow-alt:bottom-to-top;mso-next-textbox:#_x0000_s1188" inset="0,0,0,0">
                <w:txbxContent>
                  <w:p w:rsidR="003A3F57" w:rsidRDefault="003A3F57" w:rsidP="003A3F57">
                    <w:r>
                      <w:rPr>
                        <w:rFonts w:cs="Arial"/>
                        <w:b/>
                        <w:bCs/>
                        <w:color w:val="000000"/>
                        <w:sz w:val="16"/>
                        <w:szCs w:val="16"/>
                        <w:lang w:val="en-US"/>
                      </w:rPr>
                      <w:t xml:space="preserve">% </w:t>
                    </w:r>
                    <w:r w:rsidR="00597C9E">
                      <w:rPr>
                        <w:rFonts w:cs="Arial"/>
                        <w:b/>
                        <w:bCs/>
                        <w:color w:val="000000"/>
                        <w:sz w:val="16"/>
                        <w:szCs w:val="16"/>
                        <w:lang w:val="en-US"/>
                      </w:rPr>
                      <w:t>de la población</w:t>
                    </w:r>
                  </w:p>
                </w:txbxContent>
              </v:textbox>
            </v:rect>
            <v:rect id="_x0000_s1189" style="position:absolute;left:8052;top:11404;width:1281;height:525" strokeweight="0"/>
            <v:line id="_x0000_s1190" style="position:absolute" from="8123,11554" to="8508,11555" strokecolor="navy" strokeweight=".65pt"/>
            <v:shape id="_x0000_s1191" style="position:absolute;left:8265;top:11516;width:86;height:75" coordsize="75,75" path="m38,l75,38,38,75,,38,38,xe" fillcolor="navy" strokecolor="navy" strokeweight=".65pt">
              <v:path arrowok="t"/>
            </v:shape>
            <v:rect id="_x0000_s1192" style="position:absolute;left:8586;top:11471;width:669;height:179" filled="f" stroked="f">
              <v:textbox style="mso-next-textbox:#_x0000_s1192" inset="0,0,0,0">
                <w:txbxContent>
                  <w:p w:rsidR="003A3F57" w:rsidRDefault="00597C9E" w:rsidP="00597C9E">
                    <w:pPr>
                      <w:spacing w:line="240" w:lineRule="auto"/>
                    </w:pPr>
                    <w:r>
                      <w:rPr>
                        <w:rFonts w:cs="Arial"/>
                        <w:color w:val="000000"/>
                        <w:sz w:val="16"/>
                        <w:szCs w:val="16"/>
                        <w:lang w:val="en-US"/>
                      </w:rPr>
                      <w:t>Hombres</w:t>
                    </w:r>
                  </w:p>
                </w:txbxContent>
              </v:textbox>
            </v:rect>
            <v:line id="_x0000_s1193" style="position:absolute" from="8123,11816" to="8508,11817" strokecolor="fuchsia" strokeweight=".65pt"/>
            <v:rect id="_x0000_s1194" style="position:absolute;left:8265;top:11779;width:72;height:62" fillcolor="fuchsia" strokecolor="fuchsia" strokeweight=".65pt"/>
            <v:rect id="_x0000_s1195" style="position:absolute;left:8586;top:11704;width:598;height:188" filled="f" stroked="f">
              <v:textbox style="mso-next-textbox:#_x0000_s1195" inset="0,0,0,0">
                <w:txbxContent>
                  <w:p w:rsidR="003A3F57" w:rsidRDefault="00597C9E" w:rsidP="00597C9E">
                    <w:pPr>
                      <w:spacing w:line="240" w:lineRule="auto"/>
                    </w:pPr>
                    <w:r>
                      <w:rPr>
                        <w:rFonts w:cs="Arial"/>
                        <w:color w:val="000000"/>
                        <w:sz w:val="16"/>
                        <w:szCs w:val="16"/>
                        <w:lang w:val="en-US"/>
                      </w:rPr>
                      <w:t>Mujeres</w:t>
                    </w:r>
                  </w:p>
                </w:txbxContent>
              </v:textbox>
            </v:rect>
            <v:rect id="_x0000_s1196" style="position:absolute;left:2275;top:10459;width:7293;height:3425" filled="f" strokeweight=".65pt"/>
            <w10:anchorlock/>
          </v:group>
        </w:pict>
      </w:r>
    </w:p>
    <w:p w:rsidR="000E24E0" w:rsidRPr="00153A9C" w:rsidRDefault="000E24E0" w:rsidP="00597C9E">
      <w:pPr>
        <w:pStyle w:val="SingleTxtG"/>
        <w:spacing w:before="240" w:after="240"/>
        <w:rPr>
          <w:lang w:val="es-CO"/>
        </w:rPr>
      </w:pPr>
      <w:r w:rsidRPr="00153A9C">
        <w:rPr>
          <w:lang w:val="es-CO"/>
        </w:rPr>
        <w:t>30.</w:t>
      </w:r>
      <w:r w:rsidRPr="00153A9C">
        <w:rPr>
          <w:lang w:val="es-CO"/>
        </w:rPr>
        <w:tab/>
        <w:t>En el mercado de trabajo de Bosnia y Herzegovina las mujeres tienen</w:t>
      </w:r>
      <w:r w:rsidR="00C44432" w:rsidRPr="00153A9C">
        <w:rPr>
          <w:lang w:val="es-CO"/>
        </w:rPr>
        <w:t xml:space="preserve"> </w:t>
      </w:r>
      <w:r w:rsidRPr="00153A9C">
        <w:rPr>
          <w:lang w:val="es-CO"/>
        </w:rPr>
        <w:t xml:space="preserve">un nivel </w:t>
      </w:r>
      <w:r w:rsidR="00C44432" w:rsidRPr="00153A9C">
        <w:rPr>
          <w:lang w:val="es-CO"/>
        </w:rPr>
        <w:t xml:space="preserve">medio </w:t>
      </w:r>
      <w:r w:rsidRPr="00153A9C">
        <w:rPr>
          <w:lang w:val="es-CO"/>
        </w:rPr>
        <w:t xml:space="preserve">de instrucción más elevado que los hombres. Si se compara la estructura de mujeres empleadas y hombres empleados, se observa que el porcentaje de mujeres </w:t>
      </w:r>
      <w:r w:rsidR="000C21CA">
        <w:rPr>
          <w:lang w:val="es-CO"/>
        </w:rPr>
        <w:t>con</w:t>
      </w:r>
      <w:r w:rsidR="00C44432" w:rsidRPr="00153A9C">
        <w:rPr>
          <w:lang w:val="es-CO"/>
        </w:rPr>
        <w:t xml:space="preserve"> cuatro o cinco años </w:t>
      </w:r>
      <w:r w:rsidR="00B53C4E" w:rsidRPr="00153A9C">
        <w:rPr>
          <w:lang w:val="es-CO"/>
        </w:rPr>
        <w:t xml:space="preserve">de </w:t>
      </w:r>
      <w:r w:rsidRPr="00153A9C">
        <w:rPr>
          <w:lang w:val="es-CO"/>
        </w:rPr>
        <w:t>enseñanza secundaria (</w:t>
      </w:r>
      <w:r w:rsidR="0073188F" w:rsidRPr="00153A9C">
        <w:rPr>
          <w:lang w:val="es-CO"/>
        </w:rPr>
        <w:t>segundo ciclo</w:t>
      </w:r>
      <w:r w:rsidRPr="00153A9C">
        <w:rPr>
          <w:lang w:val="es-CO"/>
        </w:rPr>
        <w:t>) y entre dos y cuatro años de enseñanza universitaria es más elevado que el de los hombres. A diferencia de las mujeres, dentro de las cuales las personas que terminaron cuat</w:t>
      </w:r>
      <w:r w:rsidR="00B53C4E" w:rsidRPr="00153A9C">
        <w:rPr>
          <w:lang w:val="es-CO"/>
        </w:rPr>
        <w:t>r</w:t>
      </w:r>
      <w:r w:rsidRPr="00153A9C">
        <w:rPr>
          <w:lang w:val="es-CO"/>
        </w:rPr>
        <w:t xml:space="preserve">o o </w:t>
      </w:r>
      <w:r w:rsidR="00C44432" w:rsidRPr="00153A9C">
        <w:rPr>
          <w:lang w:val="es-CO"/>
        </w:rPr>
        <w:t xml:space="preserve">cinco años </w:t>
      </w:r>
      <w:r w:rsidRPr="00153A9C">
        <w:rPr>
          <w:lang w:val="es-CO"/>
        </w:rPr>
        <w:t>de enseñanza secundaria (</w:t>
      </w:r>
      <w:r w:rsidR="0073188F" w:rsidRPr="00153A9C">
        <w:rPr>
          <w:lang w:val="es-CO"/>
        </w:rPr>
        <w:t>segundo ciclo</w:t>
      </w:r>
      <w:r w:rsidRPr="00153A9C">
        <w:rPr>
          <w:lang w:val="es-CO"/>
        </w:rPr>
        <w:t>) constituyen el grupo de empleados más habitual, los varones que terminaron el segundo o tercer curso de enseñanza secundaria (</w:t>
      </w:r>
      <w:r w:rsidR="0073188F" w:rsidRPr="00153A9C">
        <w:rPr>
          <w:lang w:val="es-CO"/>
        </w:rPr>
        <w:t>segundo ciclo</w:t>
      </w:r>
      <w:r w:rsidRPr="00153A9C">
        <w:rPr>
          <w:lang w:val="es-CO"/>
        </w:rPr>
        <w:t>) son el grupo de empleados más frecuente. Ello se debe al hecho de que las mujeres tradicionalmente no se dedican a las artesanías y no cursan este tipo de estudios secundarios en Bosnia y Herzegovina.</w:t>
      </w:r>
    </w:p>
    <w:p w:rsidR="000E24E0" w:rsidRPr="00153A9C" w:rsidRDefault="000E24E0" w:rsidP="009B29CE">
      <w:pPr>
        <w:pStyle w:val="Heading1"/>
        <w:rPr>
          <w:lang w:val="es-CO"/>
        </w:rPr>
      </w:pPr>
      <w:r w:rsidRPr="00153A9C">
        <w:rPr>
          <w:lang w:val="es-CO"/>
        </w:rPr>
        <w:t>Gráfico 2</w:t>
      </w:r>
    </w:p>
    <w:p w:rsidR="000E24E0" w:rsidRDefault="000E24E0" w:rsidP="009B29CE">
      <w:pPr>
        <w:pStyle w:val="SingleTxtG"/>
        <w:jc w:val="left"/>
        <w:rPr>
          <w:b/>
          <w:lang w:val="es-CO"/>
        </w:rPr>
      </w:pPr>
      <w:r w:rsidRPr="009B29CE">
        <w:rPr>
          <w:b/>
          <w:lang w:val="es-CO"/>
        </w:rPr>
        <w:t>Personas empleadas en Bosnia y Herzegovina, por nivel de instrucción</w:t>
      </w:r>
    </w:p>
    <w:p w:rsidR="009B29CE" w:rsidRDefault="00597C9E" w:rsidP="009B29CE">
      <w:pPr>
        <w:pStyle w:val="SingleTxtG"/>
        <w:jc w:val="left"/>
        <w:rPr>
          <w:lang w:val="es-CO"/>
        </w:rPr>
      </w:pPr>
      <w:r>
        <w:rPr>
          <w:noProof/>
          <w:lang w:val="es-ES" w:eastAsia="es-ES"/>
        </w:rPr>
      </w:r>
      <w:r w:rsidRPr="00597C9E">
        <w:rPr>
          <w:lang w:val="es-CO"/>
        </w:rPr>
        <w:pict>
          <v:group id="_x0000_s1198" editas="canvas" style="width:365.25pt;height:174.4pt;mso-position-horizontal-relative:char;mso-position-vertical-relative:line" coordorigin="2270,5172" coordsize="7305,3488">
            <o:lock v:ext="edit" aspectratio="t"/>
            <v:shape id="_x0000_s1199" type="#_x0000_t75" style="position:absolute;left:2270;top:5172;width:7305;height:3488" o:preferrelative="f">
              <v:fill o:detectmouseclick="t"/>
              <v:path o:extrusionok="t" o:connecttype="none"/>
            </v:shape>
            <v:rect id="_x0000_s1200" style="position:absolute;left:2276;top:5179;width:7291;height:3474" strokeweight=".65pt"/>
            <v:rect id="_x0000_s1201" style="position:absolute;left:3204;top:5569;width:4506;height:2167" fillcolor="silver" stroked="f"/>
            <v:line id="_x0000_s1202" style="position:absolute" from="3204,7381" to="7710,7382" strokeweight="0"/>
            <v:line id="_x0000_s1203" style="position:absolute" from="3204,7014" to="7710,7015" strokeweight="0"/>
            <v:line id="_x0000_s1204" style="position:absolute" from="3204,6659" to="7710,6660" strokeweight="0"/>
            <v:line id="_x0000_s1205" style="position:absolute" from="3204,6291" to="7710,6292" strokeweight="0"/>
            <v:line id="_x0000_s1206" style="position:absolute" from="3204,5936" to="7710,5937" strokeweight="0"/>
            <v:line id="_x0000_s1207" style="position:absolute" from="3204,5569" to="7710,5570" strokeweight="0"/>
            <v:rect id="_x0000_s1208" style="position:absolute;left:3204;top:5569;width:4506;height:2167" filled="f" strokecolor="gray" strokeweight=".65pt"/>
            <v:line id="_x0000_s1209" style="position:absolute" from="3204,5569" to="3205,7736" strokeweight="0"/>
            <v:line id="_x0000_s1210" style="position:absolute" from="3149,7736" to="3204,7737" strokeweight="0"/>
            <v:line id="_x0000_s1211" style="position:absolute" from="3149,7381" to="3204,7382" strokeweight="0"/>
            <v:line id="_x0000_s1212" style="position:absolute" from="3149,7014" to="3204,7015" strokeweight="0"/>
            <v:line id="_x0000_s1213" style="position:absolute" from="3149,6659" to="3204,6660" strokeweight="0"/>
            <v:line id="_x0000_s1214" style="position:absolute" from="3149,6291" to="3204,6292" strokeweight="0"/>
            <v:line id="_x0000_s1215" style="position:absolute" from="3149,5936" to="3204,5937" strokeweight="0"/>
            <v:line id="_x0000_s1216" style="position:absolute" from="3149,5569" to="3204,5570" strokeweight="0"/>
            <v:line id="_x0000_s1217" style="position:absolute" from="3204,7736" to="7710,7737" strokeweight="0"/>
            <v:line id="_x0000_s1218" style="position:absolute;flip:y" from="3204,7736" to="3205,7787" strokeweight="0"/>
            <v:line id="_x0000_s1219" style="position:absolute;flip:y" from="3710,7736" to="3711,7787" strokeweight="0"/>
            <v:line id="_x0000_s1220" style="position:absolute;flip:y" from="4203,7736" to="4204,7787" strokeweight="0"/>
            <v:line id="_x0000_s1221" style="position:absolute;flip:y" from="4710,7736" to="4711,7787" strokeweight="0"/>
            <v:line id="_x0000_s1222" style="position:absolute;flip:y" from="5203,7736" to="5204,7787" strokeweight="0"/>
            <v:line id="_x0000_s1223" style="position:absolute;flip:y" from="5710,7736" to="5712,7787" strokeweight="0"/>
            <v:line id="_x0000_s1224" style="position:absolute;flip:y" from="6203,7736" to="6204,7787" strokeweight="0"/>
            <v:line id="_x0000_s1225" style="position:absolute;flip:y" from="6710,7736" to="6711,7787" strokeweight="0"/>
            <v:line id="_x0000_s1226" style="position:absolute;flip:y" from="7203,7736" to="7205,7787" strokeweight="0"/>
            <v:line id="_x0000_s1227" style="position:absolute;flip:y" from="7710,7736" to="7711,7787" strokeweight="0"/>
            <v:shape id="_x0000_s1228" style="position:absolute;left:3450;top:6088;width:4013;height:1623" coordsize="293,128" path="m,108l37,29,73,r37,11l147,27r36,49l220,99r36,23l293,128e" filled="f" strokecolor="navy" strokeweight=".65pt">
              <v:path arrowok="t"/>
            </v:shape>
            <v:shape id="_x0000_s1229" style="position:absolute;left:3450;top:6000;width:4013;height:1724" coordsize="293,136" path="m,94l37,,73,1r37,34l147,45r36,54l220,118r36,17l293,136e" filled="f" strokecolor="fuchsia" strokeweight=".65pt">
              <v:path arrowok="t"/>
            </v:shape>
            <v:shape id="_x0000_s1230" style="position:absolute;left:3409;top:7419;width:82;height:76" coordsize="76,76" path="m38,l76,38,38,76,,38,38,xe" fillcolor="navy" strokecolor="navy" strokeweight=".65pt">
              <v:path arrowok="t"/>
            </v:shape>
            <v:shape id="_x0000_s1231" style="position:absolute;left:3916;top:6418;width:82;height:76" coordsize="76,76" path="m38,l76,38,38,76,,38,38,xe" fillcolor="navy" strokecolor="navy" strokeweight=".65pt">
              <v:path arrowok="t"/>
            </v:shape>
            <v:shape id="_x0000_s1232" style="position:absolute;left:4409;top:6050;width:82;height:76" coordsize="76,76" path="m38,l76,38,38,76,,38,38,xe" fillcolor="navy" strokecolor="navy" strokeweight=".65pt">
              <v:path arrowok="t"/>
            </v:shape>
            <v:shape id="_x0000_s1233" style="position:absolute;left:4915;top:6190;width:82;height:76" coordsize="76,76" path="m38,l76,38,38,76,,38,38,xe" fillcolor="navy" strokecolor="navy" strokeweight=".65pt">
              <v:path arrowok="t"/>
            </v:shape>
            <v:shape id="_x0000_s1234" style="position:absolute;left:5423;top:6393;width:82;height:76" coordsize="76,76" path="m38,l76,38,38,76,,38,38,xe" fillcolor="navy" strokecolor="navy" strokeweight=".65pt">
              <v:path arrowok="t"/>
            </v:shape>
            <v:shape id="_x0000_s1235" style="position:absolute;left:5915;top:7014;width:82;height:76" coordsize="76,76" path="m38,l76,38,38,76,,38,38,xe" fillcolor="navy" strokecolor="navy" strokeweight=".65pt">
              <v:path arrowok="t"/>
            </v:shape>
            <v:shape id="_x0000_s1236" style="position:absolute;left:6422;top:7305;width:83;height:76" coordsize="76,76" path="m38,l76,38,38,76,,38,38,xe" fillcolor="navy" strokecolor="navy" strokeweight=".65pt">
              <v:path arrowok="t"/>
            </v:shape>
            <v:shape id="_x0000_s1237" style="position:absolute;left:6916;top:7597;width:82;height:76" coordsize="76,76" path="m38,l76,38,38,76,,38,38,xe" fillcolor="navy" strokecolor="navy" strokeweight=".65pt">
              <v:path arrowok="t"/>
            </v:shape>
            <v:shape id="_x0000_s1238" style="position:absolute;left:7422;top:7673;width:82;height:76" coordsize="76,76" path="m38,l76,38,38,76,,38,38,xe" fillcolor="navy" strokecolor="navy" strokeweight=".65pt">
              <v:path arrowok="t"/>
            </v:shape>
            <v:rect id="_x0000_s1239" style="position:absolute;left:3409;top:7153;width:68;height:63" fillcolor="fuchsia" strokecolor="fuchsia" strokeweight=".65pt"/>
            <v:rect id="_x0000_s1240" style="position:absolute;left:3916;top:5962;width:68;height:63" fillcolor="fuchsia" strokecolor="fuchsia" strokeweight=".65pt"/>
            <v:rect id="_x0000_s1241" style="position:absolute;left:4409;top:5974;width:68;height:64" fillcolor="fuchsia" strokecolor="fuchsia" strokeweight=".65pt"/>
            <v:rect id="_x0000_s1242" style="position:absolute;left:4915;top:6405;width:69;height:64" fillcolor="fuchsia" strokecolor="fuchsia" strokeweight=".65pt"/>
            <v:rect id="_x0000_s1243" style="position:absolute;left:5423;top:6532;width:68;height:63" fillcolor="fuchsia" strokecolor="fuchsia" strokeweight=".65pt"/>
            <v:rect id="_x0000_s1244" style="position:absolute;left:5915;top:7216;width:69;height:64" fillcolor="fuchsia" strokecolor="fuchsia" strokeweight=".65pt"/>
            <v:rect id="_x0000_s1245" style="position:absolute;left:6422;top:7457;width:68;height:64" fillcolor="fuchsia" strokecolor="fuchsia" strokeweight=".65pt"/>
            <v:rect id="_x0000_s1246" style="position:absolute;left:6916;top:7673;width:68;height:63" fillcolor="fuchsia" strokecolor="fuchsia" strokeweight=".65pt"/>
            <v:rect id="_x0000_s1247" style="position:absolute;left:7422;top:7685;width:68;height:64" fillcolor="fuchsia" strokecolor="fuchsia" strokeweight=".65pt"/>
            <v:rect id="_x0000_s1248" style="position:absolute;left:2971;top:7635;width:88;height:240" filled="f" stroked="f">
              <v:textbox style="mso-next-textbox:#_x0000_s1248;mso-fit-shape-to-text:t" inset="0,0,0,0">
                <w:txbxContent>
                  <w:p w:rsidR="00597C9E" w:rsidRDefault="00597C9E" w:rsidP="00597C9E">
                    <w:r>
                      <w:rPr>
                        <w:rFonts w:cs="Arial"/>
                        <w:color w:val="000000"/>
                        <w:sz w:val="16"/>
                        <w:szCs w:val="16"/>
                        <w:lang w:val="en-US"/>
                      </w:rPr>
                      <w:t>0</w:t>
                    </w:r>
                  </w:p>
                </w:txbxContent>
              </v:textbox>
            </v:rect>
            <v:rect id="_x0000_s1249" style="position:absolute;left:2971;top:7280;width:88;height:240" filled="f" stroked="f">
              <v:textbox style="mso-next-textbox:#_x0000_s1249;mso-fit-shape-to-text:t" inset="0,0,0,0">
                <w:txbxContent>
                  <w:p w:rsidR="00597C9E" w:rsidRDefault="00597C9E" w:rsidP="00597C9E">
                    <w:r>
                      <w:rPr>
                        <w:rFonts w:cs="Arial"/>
                        <w:color w:val="000000"/>
                        <w:sz w:val="16"/>
                        <w:szCs w:val="16"/>
                        <w:lang w:val="en-US"/>
                      </w:rPr>
                      <w:t>5</w:t>
                    </w:r>
                  </w:p>
                </w:txbxContent>
              </v:textbox>
            </v:rect>
            <v:rect id="_x0000_s1250" style="position:absolute;left:2875;top:6912;width:174;height:240" filled="f" stroked="f">
              <v:textbox style="mso-next-textbox:#_x0000_s1250;mso-fit-shape-to-text:t" inset="0,0,0,0">
                <w:txbxContent>
                  <w:p w:rsidR="00597C9E" w:rsidRDefault="00597C9E" w:rsidP="00597C9E">
                    <w:r>
                      <w:rPr>
                        <w:rFonts w:cs="Arial"/>
                        <w:color w:val="000000"/>
                        <w:sz w:val="16"/>
                        <w:szCs w:val="16"/>
                        <w:lang w:val="en-US"/>
                      </w:rPr>
                      <w:t>10</w:t>
                    </w:r>
                  </w:p>
                </w:txbxContent>
              </v:textbox>
            </v:rect>
            <v:rect id="_x0000_s1251" style="position:absolute;left:2875;top:6557;width:174;height:240" filled="f" stroked="f">
              <v:textbox style="mso-next-textbox:#_x0000_s1251;mso-fit-shape-to-text:t" inset="0,0,0,0">
                <w:txbxContent>
                  <w:p w:rsidR="00597C9E" w:rsidRDefault="00597C9E" w:rsidP="00597C9E">
                    <w:r>
                      <w:rPr>
                        <w:rFonts w:cs="Arial"/>
                        <w:color w:val="000000"/>
                        <w:sz w:val="16"/>
                        <w:szCs w:val="16"/>
                        <w:lang w:val="en-US"/>
                      </w:rPr>
                      <w:t>15</w:t>
                    </w:r>
                  </w:p>
                </w:txbxContent>
              </v:textbox>
            </v:rect>
            <v:rect id="_x0000_s1252" style="position:absolute;left:2875;top:6190;width:174;height:240" filled="f" stroked="f">
              <v:textbox style="mso-next-textbox:#_x0000_s1252;mso-fit-shape-to-text:t" inset="0,0,0,0">
                <w:txbxContent>
                  <w:p w:rsidR="00597C9E" w:rsidRDefault="00597C9E" w:rsidP="00597C9E">
                    <w:r>
                      <w:rPr>
                        <w:rFonts w:cs="Arial"/>
                        <w:color w:val="000000"/>
                        <w:sz w:val="16"/>
                        <w:szCs w:val="16"/>
                        <w:lang w:val="en-US"/>
                      </w:rPr>
                      <w:t>20</w:t>
                    </w:r>
                  </w:p>
                </w:txbxContent>
              </v:textbox>
            </v:rect>
            <v:rect id="_x0000_s1253" style="position:absolute;left:2875;top:5835;width:174;height:240" filled="f" stroked="f">
              <v:textbox style="mso-next-textbox:#_x0000_s1253;mso-fit-shape-to-text:t" inset="0,0,0,0">
                <w:txbxContent>
                  <w:p w:rsidR="00597C9E" w:rsidRDefault="00597C9E" w:rsidP="00597C9E">
                    <w:r>
                      <w:rPr>
                        <w:rFonts w:cs="Arial"/>
                        <w:color w:val="000000"/>
                        <w:sz w:val="16"/>
                        <w:szCs w:val="16"/>
                        <w:lang w:val="en-US"/>
                      </w:rPr>
                      <w:t>25</w:t>
                    </w:r>
                  </w:p>
                </w:txbxContent>
              </v:textbox>
            </v:rect>
            <v:rect id="_x0000_s1254" style="position:absolute;left:2875;top:5467;width:174;height:240" filled="f" stroked="f">
              <v:textbox style="mso-next-textbox:#_x0000_s1254;mso-fit-shape-to-text:t" inset="0,0,0,0">
                <w:txbxContent>
                  <w:p w:rsidR="00597C9E" w:rsidRDefault="00597C9E" w:rsidP="00597C9E">
                    <w:r>
                      <w:rPr>
                        <w:rFonts w:cs="Arial"/>
                        <w:color w:val="000000"/>
                        <w:sz w:val="16"/>
                        <w:szCs w:val="16"/>
                        <w:lang w:val="en-US"/>
                      </w:rPr>
                      <w:t>30</w:t>
                    </w:r>
                  </w:p>
                </w:txbxContent>
              </v:textbox>
            </v:rect>
            <v:rect id="_x0000_s1255" style="position:absolute;left:3256;top:7862;width:402;height:240" filled="f" stroked="f">
              <v:textbox style="mso-next-textbox:#_x0000_s1255;mso-fit-shape-to-text:t" inset="0,0,0,0">
                <w:txbxContent>
                  <w:p w:rsidR="00597C9E" w:rsidRDefault="00B662AE" w:rsidP="00597C9E">
                    <w:r>
                      <w:rPr>
                        <w:rFonts w:cs="Arial"/>
                        <w:color w:val="000000"/>
                        <w:sz w:val="16"/>
                        <w:szCs w:val="16"/>
                        <w:lang w:val="en-US"/>
                      </w:rPr>
                      <w:t>Hasta</w:t>
                    </w:r>
                  </w:p>
                </w:txbxContent>
              </v:textbox>
            </v:rect>
            <v:rect id="_x0000_s1256" style="position:absolute;left:3313;top:8076;width:261;height:240" filled="f" stroked="f">
              <v:textbox style="mso-next-textbox:#_x0000_s1256;mso-fit-shape-to-text:t" inset="0,0,0,0">
                <w:txbxContent>
                  <w:p w:rsidR="00597C9E" w:rsidRDefault="00597C9E" w:rsidP="00597C9E">
                    <w:r>
                      <w:rPr>
                        <w:rFonts w:cs="Arial"/>
                        <w:color w:val="000000"/>
                        <w:sz w:val="16"/>
                        <w:szCs w:val="16"/>
                        <w:lang w:val="en-US"/>
                      </w:rPr>
                      <w:t>200</w:t>
                    </w:r>
                  </w:p>
                </w:txbxContent>
              </v:textbox>
            </v:rect>
            <v:rect id="_x0000_s1257" style="position:absolute;left:3792;top:7876;width:318;height:240" filled="f" stroked="f">
              <v:textbox style="mso-next-textbox:#_x0000_s1257;mso-fit-shape-to-text:t" inset="0,0,0,0">
                <w:txbxContent>
                  <w:p w:rsidR="00597C9E" w:rsidRDefault="00597C9E" w:rsidP="00597C9E">
                    <w:r>
                      <w:rPr>
                        <w:rFonts w:cs="Arial"/>
                        <w:color w:val="000000"/>
                        <w:sz w:val="16"/>
                        <w:szCs w:val="16"/>
                        <w:lang w:val="en-US"/>
                      </w:rPr>
                      <w:t>201-</w:t>
                    </w:r>
                  </w:p>
                </w:txbxContent>
              </v:textbox>
            </v:rect>
            <v:rect id="_x0000_s1258" style="position:absolute;left:3775;top:8076;width:261;height:240" filled="f" stroked="f">
              <v:textbox style="mso-next-textbox:#_x0000_s1258;mso-fit-shape-to-text:t" inset="0,0,0,0">
                <w:txbxContent>
                  <w:p w:rsidR="00597C9E" w:rsidRDefault="00597C9E" w:rsidP="00597C9E">
                    <w:r>
                      <w:rPr>
                        <w:rFonts w:cs="Arial"/>
                        <w:color w:val="000000"/>
                        <w:sz w:val="16"/>
                        <w:szCs w:val="16"/>
                        <w:lang w:val="en-US"/>
                      </w:rPr>
                      <w:t>300</w:t>
                    </w:r>
                  </w:p>
                </w:txbxContent>
              </v:textbox>
            </v:rect>
            <v:rect id="_x0000_s1259" style="position:absolute;left:4286;top:7876;width:318;height:240" filled="f" stroked="f">
              <v:textbox style="mso-next-textbox:#_x0000_s1259;mso-fit-shape-to-text:t" inset="0,0,0,0">
                <w:txbxContent>
                  <w:p w:rsidR="00597C9E" w:rsidRDefault="00597C9E" w:rsidP="00597C9E">
                    <w:r>
                      <w:rPr>
                        <w:rFonts w:cs="Arial"/>
                        <w:color w:val="000000"/>
                        <w:sz w:val="16"/>
                        <w:szCs w:val="16"/>
                        <w:lang w:val="en-US"/>
                      </w:rPr>
                      <w:t>301-</w:t>
                    </w:r>
                  </w:p>
                </w:txbxContent>
              </v:textbox>
            </v:rect>
            <v:rect id="_x0000_s1260" style="position:absolute;left:4283;top:8061;width:260;height:240" filled="f" stroked="f">
              <v:textbox style="mso-next-textbox:#_x0000_s1260;mso-fit-shape-to-text:t" inset="0,0,0,0">
                <w:txbxContent>
                  <w:p w:rsidR="00597C9E" w:rsidRDefault="00597C9E" w:rsidP="00597C9E">
                    <w:r>
                      <w:rPr>
                        <w:rFonts w:cs="Arial"/>
                        <w:color w:val="000000"/>
                        <w:sz w:val="16"/>
                        <w:szCs w:val="16"/>
                        <w:lang w:val="en-US"/>
                      </w:rPr>
                      <w:t>400</w:t>
                    </w:r>
                  </w:p>
                </w:txbxContent>
              </v:textbox>
            </v:rect>
            <v:rect id="_x0000_s1261" style="position:absolute;left:4792;top:7876;width:318;height:240" filled="f" stroked="f">
              <v:textbox style="mso-next-textbox:#_x0000_s1261;mso-fit-shape-to-text:t" inset="0,0,0,0">
                <w:txbxContent>
                  <w:p w:rsidR="00597C9E" w:rsidRDefault="00597C9E" w:rsidP="00597C9E">
                    <w:r>
                      <w:rPr>
                        <w:rFonts w:cs="Arial"/>
                        <w:color w:val="000000"/>
                        <w:sz w:val="16"/>
                        <w:szCs w:val="16"/>
                        <w:lang w:val="en-US"/>
                      </w:rPr>
                      <w:t>401-</w:t>
                    </w:r>
                  </w:p>
                </w:txbxContent>
              </v:textbox>
            </v:rect>
            <v:rect id="_x0000_s1262" style="position:absolute;left:4760;top:8061;width:261;height:240" filled="f" stroked="f">
              <v:textbox style="mso-next-textbox:#_x0000_s1262;mso-fit-shape-to-text:t" inset="0,0,0,0">
                <w:txbxContent>
                  <w:p w:rsidR="00597C9E" w:rsidRDefault="00597C9E" w:rsidP="00597C9E">
                    <w:r>
                      <w:rPr>
                        <w:rFonts w:cs="Arial"/>
                        <w:color w:val="000000"/>
                        <w:sz w:val="16"/>
                        <w:szCs w:val="16"/>
                        <w:lang w:val="en-US"/>
                      </w:rPr>
                      <w:t>500</w:t>
                    </w:r>
                  </w:p>
                </w:txbxContent>
              </v:textbox>
            </v:rect>
            <v:rect id="_x0000_s1263" style="position:absolute;left:5299;top:7876;width:318;height:240" filled="f" stroked="f">
              <v:textbox style="mso-next-textbox:#_x0000_s1263;mso-fit-shape-to-text:t" inset="0,0,0,0">
                <w:txbxContent>
                  <w:p w:rsidR="00597C9E" w:rsidRDefault="00597C9E" w:rsidP="00597C9E">
                    <w:r>
                      <w:rPr>
                        <w:rFonts w:cs="Arial"/>
                        <w:color w:val="000000"/>
                        <w:sz w:val="16"/>
                        <w:szCs w:val="16"/>
                        <w:lang w:val="en-US"/>
                      </w:rPr>
                      <w:t>501-</w:t>
                    </w:r>
                  </w:p>
                </w:txbxContent>
              </v:textbox>
            </v:rect>
            <v:rect id="_x0000_s1264" style="position:absolute;left:5296;top:8061;width:261;height:240" filled="f" stroked="f">
              <v:textbox style="mso-next-textbox:#_x0000_s1264;mso-fit-shape-to-text:t" inset="0,0,0,0">
                <w:txbxContent>
                  <w:p w:rsidR="00597C9E" w:rsidRDefault="00597C9E" w:rsidP="00597C9E">
                    <w:r>
                      <w:rPr>
                        <w:rFonts w:cs="Arial"/>
                        <w:color w:val="000000"/>
                        <w:sz w:val="16"/>
                        <w:szCs w:val="16"/>
                        <w:lang w:val="en-US"/>
                      </w:rPr>
                      <w:t>700</w:t>
                    </w:r>
                  </w:p>
                </w:txbxContent>
              </v:textbox>
            </v:rect>
            <v:rect id="_x0000_s1265" style="position:absolute;left:5793;top:7876;width:318;height:240" filled="f" stroked="f">
              <v:textbox style="mso-next-textbox:#_x0000_s1265;mso-fit-shape-to-text:t" inset="0,0,0,0">
                <w:txbxContent>
                  <w:p w:rsidR="00597C9E" w:rsidRDefault="00597C9E" w:rsidP="00597C9E">
                    <w:r>
                      <w:rPr>
                        <w:rFonts w:cs="Arial"/>
                        <w:color w:val="000000"/>
                        <w:sz w:val="16"/>
                        <w:szCs w:val="16"/>
                        <w:lang w:val="en-US"/>
                      </w:rPr>
                      <w:t>701-</w:t>
                    </w:r>
                  </w:p>
                </w:txbxContent>
              </v:textbox>
            </v:rect>
            <v:rect id="_x0000_s1266" style="position:absolute;left:5805;top:8061;width:260;height:240" filled="f" stroked="f">
              <v:textbox style="mso-next-textbox:#_x0000_s1266;mso-fit-shape-to-text:t" inset="0,0,0,0">
                <w:txbxContent>
                  <w:p w:rsidR="00597C9E" w:rsidRDefault="00597C9E" w:rsidP="00597C9E">
                    <w:r>
                      <w:rPr>
                        <w:rFonts w:cs="Arial"/>
                        <w:color w:val="000000"/>
                        <w:sz w:val="16"/>
                        <w:szCs w:val="16"/>
                        <w:lang w:val="en-US"/>
                      </w:rPr>
                      <w:t>900</w:t>
                    </w:r>
                  </w:p>
                </w:txbxContent>
              </v:textbox>
            </v:rect>
            <v:rect id="_x0000_s1267" style="position:absolute;left:6299;top:7876;width:318;height:240" filled="f" stroked="f">
              <v:textbox style="mso-next-textbox:#_x0000_s1267;mso-fit-shape-to-text:t" inset="0,0,0,0">
                <w:txbxContent>
                  <w:p w:rsidR="00597C9E" w:rsidRDefault="00597C9E" w:rsidP="00597C9E">
                    <w:r>
                      <w:rPr>
                        <w:rFonts w:cs="Arial"/>
                        <w:color w:val="000000"/>
                        <w:sz w:val="16"/>
                        <w:szCs w:val="16"/>
                        <w:lang w:val="en-US"/>
                      </w:rPr>
                      <w:t>901-</w:t>
                    </w:r>
                  </w:p>
                </w:txbxContent>
              </v:textbox>
            </v:rect>
            <v:rect id="_x0000_s1268" style="position:absolute;left:6182;top:8046;width:398;height:240" filled="f" stroked="f">
              <v:textbox style="mso-next-textbox:#_x0000_s1268;mso-fit-shape-to-text:t" inset="0,0,0,0">
                <w:txbxContent>
                  <w:p w:rsidR="00597C9E" w:rsidRDefault="00597C9E" w:rsidP="00597C9E">
                    <w:r>
                      <w:rPr>
                        <w:rFonts w:cs="Arial"/>
                        <w:color w:val="000000"/>
                        <w:sz w:val="16"/>
                        <w:szCs w:val="16"/>
                        <w:lang w:val="en-US"/>
                      </w:rPr>
                      <w:t>1</w:t>
                    </w:r>
                    <w:r w:rsidR="00B662AE">
                      <w:rPr>
                        <w:rFonts w:cs="Arial"/>
                        <w:color w:val="000000"/>
                        <w:sz w:val="16"/>
                        <w:szCs w:val="16"/>
                        <w:lang w:val="en-US"/>
                      </w:rPr>
                      <w:t xml:space="preserve"> </w:t>
                    </w:r>
                    <w:r>
                      <w:rPr>
                        <w:rFonts w:cs="Arial"/>
                        <w:color w:val="000000"/>
                        <w:sz w:val="16"/>
                        <w:szCs w:val="16"/>
                        <w:lang w:val="en-US"/>
                      </w:rPr>
                      <w:t>500</w:t>
                    </w:r>
                  </w:p>
                </w:txbxContent>
              </v:textbox>
            </v:rect>
            <v:rect id="_x0000_s1269" style="position:absolute;left:6737;top:7876;width:533;height:240" filled="f" stroked="f">
              <v:textbox style="mso-next-textbox:#_x0000_s1269;mso-fit-shape-to-text:t" inset="0,0,0,0">
                <w:txbxContent>
                  <w:p w:rsidR="00597C9E" w:rsidRDefault="00597C9E" w:rsidP="00597C9E">
                    <w:r>
                      <w:rPr>
                        <w:rFonts w:cs="Arial"/>
                        <w:color w:val="000000"/>
                        <w:sz w:val="16"/>
                        <w:szCs w:val="16"/>
                        <w:lang w:val="en-US"/>
                      </w:rPr>
                      <w:t>1</w:t>
                    </w:r>
                    <w:r w:rsidR="00B662AE">
                      <w:rPr>
                        <w:rFonts w:cs="Arial"/>
                        <w:color w:val="000000"/>
                        <w:sz w:val="16"/>
                        <w:szCs w:val="16"/>
                        <w:lang w:val="en-US"/>
                      </w:rPr>
                      <w:t xml:space="preserve"> </w:t>
                    </w:r>
                    <w:r>
                      <w:rPr>
                        <w:rFonts w:cs="Arial"/>
                        <w:color w:val="000000"/>
                        <w:sz w:val="16"/>
                        <w:szCs w:val="16"/>
                        <w:lang w:val="en-US"/>
                      </w:rPr>
                      <w:t>501-</w:t>
                    </w:r>
                  </w:p>
                </w:txbxContent>
              </v:textbox>
            </v:rect>
            <v:rect id="_x0000_s1270" style="position:absolute;left:6734;top:8061;width:406;height:240" filled="f" stroked="f">
              <v:textbox style="mso-next-textbox:#_x0000_s1270;mso-fit-shape-to-text:t" inset="0,0,0,0">
                <w:txbxContent>
                  <w:p w:rsidR="00597C9E" w:rsidRDefault="00597C9E" w:rsidP="00597C9E">
                    <w:r>
                      <w:rPr>
                        <w:rFonts w:cs="Arial"/>
                        <w:color w:val="000000"/>
                        <w:sz w:val="16"/>
                        <w:szCs w:val="16"/>
                        <w:lang w:val="en-US"/>
                      </w:rPr>
                      <w:t>2</w:t>
                    </w:r>
                    <w:r w:rsidR="00B662AE">
                      <w:rPr>
                        <w:rFonts w:cs="Arial"/>
                        <w:color w:val="000000"/>
                        <w:sz w:val="16"/>
                        <w:szCs w:val="16"/>
                        <w:lang w:val="en-US"/>
                      </w:rPr>
                      <w:t xml:space="preserve"> </w:t>
                    </w:r>
                    <w:r>
                      <w:rPr>
                        <w:rFonts w:cs="Arial"/>
                        <w:color w:val="000000"/>
                        <w:sz w:val="16"/>
                        <w:szCs w:val="16"/>
                        <w:lang w:val="en-US"/>
                      </w:rPr>
                      <w:t>500</w:t>
                    </w:r>
                  </w:p>
                </w:txbxContent>
              </v:textbox>
            </v:rect>
            <v:rect id="_x0000_s1271" style="position:absolute;left:7285;top:7876;width:485;height:240" filled="f" stroked="f">
              <v:textbox style="mso-next-textbox:#_x0000_s1271;mso-fit-shape-to-text:t" inset="0,0,0,0">
                <w:txbxContent>
                  <w:p w:rsidR="00597C9E" w:rsidRDefault="00597C9E" w:rsidP="00597C9E">
                    <w:r>
                      <w:rPr>
                        <w:rFonts w:cs="Arial"/>
                        <w:color w:val="000000"/>
                        <w:sz w:val="16"/>
                        <w:szCs w:val="16"/>
                        <w:lang w:val="en-US"/>
                      </w:rPr>
                      <w:t>2</w:t>
                    </w:r>
                    <w:r w:rsidR="00B662AE">
                      <w:rPr>
                        <w:rFonts w:cs="Arial"/>
                        <w:color w:val="000000"/>
                        <w:sz w:val="16"/>
                        <w:szCs w:val="16"/>
                        <w:lang w:val="en-US"/>
                      </w:rPr>
                      <w:t xml:space="preserve"> </w:t>
                    </w:r>
                    <w:r>
                      <w:rPr>
                        <w:rFonts w:cs="Arial"/>
                        <w:color w:val="000000"/>
                        <w:sz w:val="16"/>
                        <w:szCs w:val="16"/>
                        <w:lang w:val="en-US"/>
                      </w:rPr>
                      <w:t>501</w:t>
                    </w:r>
                  </w:p>
                </w:txbxContent>
              </v:textbox>
            </v:rect>
            <v:rect id="_x0000_s1272" style="position:absolute;left:7272;top:8019;width:649;height:240" filled="f" stroked="f">
              <v:textbox style="mso-next-textbox:#_x0000_s1272;mso-fit-shape-to-text:t" inset="0,0,0,0">
                <w:txbxContent>
                  <w:p w:rsidR="00597C9E" w:rsidRDefault="00B662AE" w:rsidP="00597C9E">
                    <w:r>
                      <w:rPr>
                        <w:rFonts w:cs="Arial"/>
                        <w:color w:val="000000"/>
                        <w:sz w:val="16"/>
                        <w:szCs w:val="16"/>
                        <w:lang w:val="en-US"/>
                      </w:rPr>
                      <w:t>y más</w:t>
                    </w:r>
                  </w:p>
                </w:txbxContent>
              </v:textbox>
            </v:rect>
            <v:rect id="_x0000_s1273" style="position:absolute;left:5312;top:8383;width:405;height:240" filled="f" stroked="f">
              <v:textbox style="mso-next-textbox:#_x0000_s1273;mso-fit-shape-to-text:t" inset="0,0,0,0">
                <w:txbxContent>
                  <w:p w:rsidR="00597C9E" w:rsidRDefault="00B662AE" w:rsidP="00597C9E">
                    <w:r>
                      <w:rPr>
                        <w:rFonts w:cs="Arial"/>
                        <w:b/>
                        <w:bCs/>
                        <w:color w:val="000000"/>
                        <w:sz w:val="16"/>
                        <w:szCs w:val="16"/>
                        <w:lang w:val="en-US"/>
                      </w:rPr>
                      <w:t>K</w:t>
                    </w:r>
                    <w:r w:rsidR="00597C9E">
                      <w:rPr>
                        <w:rFonts w:cs="Arial"/>
                        <w:b/>
                        <w:bCs/>
                        <w:color w:val="000000"/>
                        <w:sz w:val="16"/>
                        <w:szCs w:val="16"/>
                        <w:lang w:val="en-US"/>
                      </w:rPr>
                      <w:t>M</w:t>
                    </w:r>
                  </w:p>
                </w:txbxContent>
              </v:textbox>
            </v:rect>
            <v:rect id="_x0000_s1274" style="position:absolute;left:1970;top:6553;width:1232;height:305;rotation:270;mso-wrap-style:none" filled="f" stroked="f">
              <v:textbox style="layout-flow:vertical;mso-layout-flow-alt:bottom-to-top;mso-next-textbox:#_x0000_s1274" inset="0,0,0,0">
                <w:txbxContent>
                  <w:p w:rsidR="00597C9E" w:rsidRDefault="00597C9E" w:rsidP="00597C9E">
                    <w:r>
                      <w:rPr>
                        <w:rFonts w:cs="Arial"/>
                        <w:b/>
                        <w:bCs/>
                        <w:color w:val="000000"/>
                        <w:sz w:val="16"/>
                        <w:szCs w:val="16"/>
                        <w:lang w:val="en-US"/>
                      </w:rPr>
                      <w:t xml:space="preserve">% </w:t>
                    </w:r>
                    <w:r w:rsidR="00B662AE">
                      <w:rPr>
                        <w:rFonts w:cs="Arial"/>
                        <w:b/>
                        <w:bCs/>
                        <w:color w:val="000000"/>
                        <w:sz w:val="16"/>
                        <w:szCs w:val="16"/>
                        <w:lang w:val="en-US"/>
                      </w:rPr>
                      <w:t>de la población</w:t>
                    </w:r>
                  </w:p>
                </w:txbxContent>
              </v:textbox>
            </v:rect>
            <v:rect id="_x0000_s1275" style="position:absolute;left:7860;top:6380;width:1310;height:592" strokeweight="0"/>
            <v:line id="_x0000_s1276" style="position:absolute" from="7928,6532" to="8298,6533" strokecolor="navy" strokeweight=".65pt"/>
            <v:shape id="_x0000_s1277" style="position:absolute;left:8066;top:6494;width:82;height:76" coordsize="76,76" path="m38,l76,38,38,76,,38,38,xe" fillcolor="navy" strokecolor="navy" strokeweight=".65pt">
              <v:path arrowok="t"/>
            </v:shape>
            <v:rect id="_x0000_s1278" style="position:absolute;left:8395;top:6446;width:631;height:184" filled="f" stroked="f">
              <v:textbox style="mso-next-textbox:#_x0000_s1278;mso-fit-shape-to-text:t" inset="0,0,0,0">
                <w:txbxContent>
                  <w:p w:rsidR="00597C9E" w:rsidRDefault="00597C9E" w:rsidP="00597C9E">
                    <w:pPr>
                      <w:spacing w:line="240" w:lineRule="auto"/>
                    </w:pPr>
                    <w:r>
                      <w:rPr>
                        <w:rFonts w:cs="Arial"/>
                        <w:color w:val="000000"/>
                        <w:sz w:val="16"/>
                        <w:szCs w:val="16"/>
                        <w:lang w:val="en-US"/>
                      </w:rPr>
                      <w:t>Hombres</w:t>
                    </w:r>
                  </w:p>
                </w:txbxContent>
              </v:textbox>
            </v:rect>
            <v:line id="_x0000_s1279" style="position:absolute" from="7928,6798" to="8298,6799" strokecolor="fuchsia" strokeweight=".65pt"/>
            <v:rect id="_x0000_s1280" style="position:absolute;left:8066;top:6760;width:68;height:64" fillcolor="fuchsia" strokecolor="fuchsia" strokeweight=".65pt"/>
            <v:rect id="_x0000_s1281" style="position:absolute;left:8395;top:6698;width:731;height:184" filled="f" stroked="f">
              <v:textbox style="mso-next-textbox:#_x0000_s1281;mso-fit-shape-to-text:t" inset="0,0,0,0">
                <w:txbxContent>
                  <w:p w:rsidR="00597C9E" w:rsidRDefault="00597C9E" w:rsidP="00597C9E">
                    <w:pPr>
                      <w:spacing w:line="240" w:lineRule="auto"/>
                    </w:pPr>
                    <w:r>
                      <w:rPr>
                        <w:rFonts w:cs="Arial"/>
                        <w:color w:val="000000"/>
                        <w:sz w:val="16"/>
                        <w:szCs w:val="16"/>
                        <w:lang w:val="en-US"/>
                      </w:rPr>
                      <w:t>Mujeres</w:t>
                    </w:r>
                  </w:p>
                </w:txbxContent>
              </v:textbox>
            </v:rect>
            <w10:anchorlock/>
          </v:group>
        </w:pict>
      </w:r>
    </w:p>
    <w:p w:rsidR="000E24E0" w:rsidRPr="00153A9C" w:rsidRDefault="000E24E0" w:rsidP="00B662AE">
      <w:pPr>
        <w:pStyle w:val="SingleTxtG"/>
        <w:spacing w:before="240"/>
        <w:rPr>
          <w:lang w:val="es-CO"/>
        </w:rPr>
      </w:pPr>
      <w:r w:rsidRPr="00153A9C">
        <w:rPr>
          <w:lang w:val="es-CO"/>
        </w:rPr>
        <w:t>31.</w:t>
      </w:r>
      <w:r w:rsidRPr="00153A9C">
        <w:rPr>
          <w:lang w:val="es-CO"/>
        </w:rPr>
        <w:tab/>
        <w:t xml:space="preserve">A diferencia de los hombres </w:t>
      </w:r>
      <w:r w:rsidR="00C44432" w:rsidRPr="00153A9C">
        <w:rPr>
          <w:lang w:val="es-CO"/>
        </w:rPr>
        <w:t>sin estudios</w:t>
      </w:r>
      <w:r w:rsidRPr="00153A9C">
        <w:rPr>
          <w:lang w:val="es-CO"/>
        </w:rPr>
        <w:t xml:space="preserve">, que reciben en la mayoría de los casos un salario de </w:t>
      </w:r>
      <w:smartTag w:uri="urn:schemas-microsoft-com:office:smarttags" w:element="metricconverter">
        <w:smartTagPr>
          <w:attr w:name="ProductID" w:val="200 a"/>
        </w:smartTagPr>
        <w:r w:rsidRPr="00153A9C">
          <w:rPr>
            <w:lang w:val="es-CO"/>
          </w:rPr>
          <w:t>200 a</w:t>
        </w:r>
      </w:smartTag>
      <w:r w:rsidRPr="00153A9C">
        <w:rPr>
          <w:lang w:val="es-CO"/>
        </w:rPr>
        <w:t xml:space="preserve"> </w:t>
      </w:r>
      <w:smartTag w:uri="urn:schemas-microsoft-com:office:smarttags" w:element="metricconverter">
        <w:smartTagPr>
          <w:attr w:name="ProductID" w:val="400 KM"/>
        </w:smartTagPr>
        <w:r w:rsidRPr="00153A9C">
          <w:rPr>
            <w:lang w:val="es-CO"/>
          </w:rPr>
          <w:t xml:space="preserve">400 </w:t>
        </w:r>
        <w:r w:rsidR="005E2DB0" w:rsidRPr="00153A9C">
          <w:rPr>
            <w:lang w:val="es-CO"/>
          </w:rPr>
          <w:t>KM</w:t>
        </w:r>
      </w:smartTag>
      <w:r w:rsidRPr="00153A9C">
        <w:rPr>
          <w:lang w:val="es-CO"/>
        </w:rPr>
        <w:t xml:space="preserve"> por mes, las mujeres sin estudios se encuentran normalmente en las categorías salariales más </w:t>
      </w:r>
      <w:r w:rsidR="00C44432" w:rsidRPr="00153A9C">
        <w:rPr>
          <w:lang w:val="es-CO"/>
        </w:rPr>
        <w:t xml:space="preserve">bajas </w:t>
      </w:r>
      <w:r w:rsidRPr="00153A9C">
        <w:rPr>
          <w:lang w:val="es-CO"/>
        </w:rPr>
        <w:t xml:space="preserve">y </w:t>
      </w:r>
      <w:r w:rsidR="00C44432" w:rsidRPr="00153A9C">
        <w:rPr>
          <w:lang w:val="es-CO"/>
        </w:rPr>
        <w:t xml:space="preserve">ganan menos de </w:t>
      </w:r>
      <w:smartTag w:uri="urn:schemas-microsoft-com:office:smarttags" w:element="metricconverter">
        <w:smartTagPr>
          <w:attr w:name="ProductID" w:val="200 KM"/>
        </w:smartTagPr>
        <w:r w:rsidRPr="00153A9C">
          <w:rPr>
            <w:lang w:val="es-CO"/>
          </w:rPr>
          <w:t xml:space="preserve">200 </w:t>
        </w:r>
        <w:r w:rsidR="005E2DB0" w:rsidRPr="00153A9C">
          <w:rPr>
            <w:lang w:val="es-CO"/>
          </w:rPr>
          <w:t>KM</w:t>
        </w:r>
      </w:smartTag>
      <w:r w:rsidRPr="00153A9C">
        <w:rPr>
          <w:lang w:val="es-CO"/>
        </w:rPr>
        <w:t xml:space="preserve"> </w:t>
      </w:r>
      <w:r w:rsidR="00C44432" w:rsidRPr="00153A9C">
        <w:rPr>
          <w:lang w:val="es-CO"/>
        </w:rPr>
        <w:t xml:space="preserve">al </w:t>
      </w:r>
      <w:r w:rsidRPr="00153A9C">
        <w:rPr>
          <w:lang w:val="es-CO"/>
        </w:rPr>
        <w:t>mes.</w:t>
      </w:r>
    </w:p>
    <w:p w:rsidR="000E24E0" w:rsidRPr="00153A9C" w:rsidRDefault="000E24E0" w:rsidP="009B29CE">
      <w:pPr>
        <w:pStyle w:val="SingleTxtG"/>
        <w:rPr>
          <w:lang w:val="es-CO"/>
        </w:rPr>
      </w:pPr>
      <w:r w:rsidRPr="00153A9C">
        <w:rPr>
          <w:lang w:val="es-CO"/>
        </w:rPr>
        <w:t xml:space="preserve">32. </w:t>
      </w:r>
      <w:r w:rsidRPr="00153A9C">
        <w:rPr>
          <w:lang w:val="es-CO"/>
        </w:rPr>
        <w:tab/>
        <w:t xml:space="preserve">Las mujeres con estudios universitarios terminados se están incorporando a las categorías salariales más elevadas. No obstante, los hombres dominan todavía en las categorías más altas. Ello revela el hecho de que en Bosnia y Herzegovina, como en el </w:t>
      </w:r>
      <w:r w:rsidR="00C44432" w:rsidRPr="00153A9C">
        <w:rPr>
          <w:lang w:val="es-CO"/>
        </w:rPr>
        <w:t xml:space="preserve">en el mercado de trabajo </w:t>
      </w:r>
      <w:r w:rsidRPr="00153A9C">
        <w:rPr>
          <w:lang w:val="es-CO"/>
        </w:rPr>
        <w:t>en general, las mujeres tienen menos acceso a los puestos de gestión y a los cargos mejor remunerados.</w:t>
      </w:r>
    </w:p>
    <w:p w:rsidR="000E24E0" w:rsidRPr="00153A9C" w:rsidRDefault="000E24E0" w:rsidP="009B29CE">
      <w:pPr>
        <w:pStyle w:val="SingleTxtG"/>
        <w:rPr>
          <w:lang w:val="es-CO"/>
        </w:rPr>
      </w:pPr>
      <w:r w:rsidRPr="00153A9C">
        <w:rPr>
          <w:lang w:val="es-CO"/>
        </w:rPr>
        <w:t xml:space="preserve">33. </w:t>
      </w:r>
      <w:r w:rsidRPr="00153A9C">
        <w:rPr>
          <w:lang w:val="es-CO"/>
        </w:rPr>
        <w:tab/>
        <w:t xml:space="preserve">La mayor </w:t>
      </w:r>
      <w:r w:rsidR="0073188F" w:rsidRPr="00153A9C">
        <w:rPr>
          <w:lang w:val="es-CO"/>
        </w:rPr>
        <w:t>discrepancia</w:t>
      </w:r>
      <w:r w:rsidRPr="00153A9C">
        <w:rPr>
          <w:lang w:val="es-CO"/>
        </w:rPr>
        <w:t xml:space="preserve"> en la remuneración está relacionada con el grupo de personas sin ningún título, en cuyo caso la </w:t>
      </w:r>
      <w:r w:rsidR="0073188F" w:rsidRPr="00153A9C">
        <w:rPr>
          <w:lang w:val="es-CO"/>
        </w:rPr>
        <w:t xml:space="preserve">diferencia </w:t>
      </w:r>
      <w:r w:rsidRPr="00153A9C">
        <w:rPr>
          <w:lang w:val="es-CO"/>
        </w:rPr>
        <w:t xml:space="preserve">es de </w:t>
      </w:r>
      <w:smartTag w:uri="urn:schemas-microsoft-com:office:smarttags" w:element="metricconverter">
        <w:smartTagPr>
          <w:attr w:name="ProductID" w:val="173,09 KM"/>
        </w:smartTagPr>
        <w:r w:rsidRPr="00153A9C">
          <w:rPr>
            <w:lang w:val="es-CO"/>
          </w:rPr>
          <w:t xml:space="preserve">173,09 </w:t>
        </w:r>
        <w:r w:rsidR="005E2DB0" w:rsidRPr="00153A9C">
          <w:rPr>
            <w:lang w:val="es-CO"/>
          </w:rPr>
          <w:t>KM</w:t>
        </w:r>
      </w:smartTag>
      <w:r w:rsidRPr="00153A9C">
        <w:rPr>
          <w:lang w:val="es-CO"/>
        </w:rPr>
        <w:t xml:space="preserve"> en favor de</w:t>
      </w:r>
      <w:r w:rsidR="001F6749" w:rsidRPr="00153A9C">
        <w:rPr>
          <w:lang w:val="es-CO"/>
        </w:rPr>
        <w:t xml:space="preserve"> </w:t>
      </w:r>
      <w:r w:rsidRPr="00153A9C">
        <w:rPr>
          <w:lang w:val="es-CO"/>
        </w:rPr>
        <w:t>los hombres</w:t>
      </w:r>
      <w:r w:rsidR="00C44432" w:rsidRPr="00326362">
        <w:rPr>
          <w:rStyle w:val="FootnoteReference"/>
        </w:rPr>
        <w:footnoteReference w:id="4"/>
      </w:r>
      <w:r w:rsidRPr="00153A9C">
        <w:rPr>
          <w:lang w:val="es-CO"/>
        </w:rPr>
        <w:t xml:space="preserve">. La </w:t>
      </w:r>
      <w:r w:rsidR="001F6749" w:rsidRPr="00153A9C">
        <w:rPr>
          <w:lang w:val="es-CO"/>
        </w:rPr>
        <w:t xml:space="preserve">brecha </w:t>
      </w:r>
      <w:r w:rsidRPr="00153A9C">
        <w:rPr>
          <w:lang w:val="es-CO"/>
        </w:rPr>
        <w:t>disminuye a medida que aumenta el nivel de instrucción, hasta la enseñanza secundaria (</w:t>
      </w:r>
      <w:r w:rsidR="0073188F" w:rsidRPr="00153A9C">
        <w:rPr>
          <w:lang w:val="es-CO"/>
        </w:rPr>
        <w:t>segundo ciclo</w:t>
      </w:r>
      <w:r w:rsidRPr="00153A9C">
        <w:rPr>
          <w:lang w:val="es-CO"/>
        </w:rPr>
        <w:t xml:space="preserve">). No obstante, la diferencia es todavía significativa: </w:t>
      </w:r>
      <w:smartTag w:uri="urn:schemas-microsoft-com:office:smarttags" w:element="metricconverter">
        <w:smartTagPr>
          <w:attr w:name="ProductID" w:val="136,56 KM"/>
        </w:smartTagPr>
        <w:r w:rsidRPr="00153A9C">
          <w:rPr>
            <w:lang w:val="es-CO"/>
          </w:rPr>
          <w:t xml:space="preserve">136,56 </w:t>
        </w:r>
        <w:r w:rsidR="005E2DB0" w:rsidRPr="00153A9C">
          <w:rPr>
            <w:lang w:val="es-CO"/>
          </w:rPr>
          <w:t>KM</w:t>
        </w:r>
      </w:smartTag>
      <w:r w:rsidRPr="00153A9C">
        <w:rPr>
          <w:lang w:val="es-CO"/>
        </w:rPr>
        <w:t xml:space="preserve"> para las personas con estudios primarios y </w:t>
      </w:r>
      <w:smartTag w:uri="urn:schemas-microsoft-com:office:smarttags" w:element="metricconverter">
        <w:smartTagPr>
          <w:attr w:name="ProductID" w:val="112,71 KM"/>
        </w:smartTagPr>
        <w:r w:rsidRPr="00153A9C">
          <w:rPr>
            <w:lang w:val="es-CO"/>
          </w:rPr>
          <w:t xml:space="preserve">112,71 </w:t>
        </w:r>
        <w:r w:rsidR="005E2DB0" w:rsidRPr="00153A9C">
          <w:rPr>
            <w:lang w:val="es-CO"/>
          </w:rPr>
          <w:t>KM</w:t>
        </w:r>
      </w:smartTag>
      <w:r w:rsidRPr="00153A9C">
        <w:rPr>
          <w:lang w:val="es-CO"/>
        </w:rPr>
        <w:t xml:space="preserve"> para los que han cursado estudios secundarios.</w:t>
      </w:r>
    </w:p>
    <w:p w:rsidR="000E24E0" w:rsidRPr="00153A9C" w:rsidRDefault="000E24E0" w:rsidP="009B29CE">
      <w:pPr>
        <w:pStyle w:val="SingleTxtG"/>
        <w:rPr>
          <w:lang w:val="es-CO"/>
        </w:rPr>
      </w:pPr>
      <w:r w:rsidRPr="00153A9C">
        <w:rPr>
          <w:lang w:val="es-CO"/>
        </w:rPr>
        <w:t xml:space="preserve">34. </w:t>
      </w:r>
      <w:r w:rsidRPr="00153A9C">
        <w:rPr>
          <w:lang w:val="es-CO"/>
        </w:rPr>
        <w:tab/>
        <w:t xml:space="preserve">En función de la edad, la mayor diferencia es de </w:t>
      </w:r>
      <w:smartTag w:uri="urn:schemas-microsoft-com:office:smarttags" w:element="metricconverter">
        <w:smartTagPr>
          <w:attr w:name="ProductID" w:val="76 KM"/>
        </w:smartTagPr>
        <w:r w:rsidRPr="00153A9C">
          <w:rPr>
            <w:lang w:val="es-CO"/>
          </w:rPr>
          <w:t xml:space="preserve">76 </w:t>
        </w:r>
        <w:r w:rsidR="005E2DB0" w:rsidRPr="00153A9C">
          <w:rPr>
            <w:lang w:val="es-CO"/>
          </w:rPr>
          <w:t>KM</w:t>
        </w:r>
      </w:smartTag>
      <w:r w:rsidRPr="00153A9C">
        <w:rPr>
          <w:lang w:val="es-CO"/>
        </w:rPr>
        <w:t xml:space="preserve"> en el caso de las mujeres de </w:t>
      </w:r>
      <w:smartTag w:uri="urn:schemas-microsoft-com:office:smarttags" w:element="metricconverter">
        <w:smartTagPr>
          <w:attr w:name="ProductID" w:val="36 a"/>
        </w:smartTagPr>
        <w:r w:rsidRPr="00153A9C">
          <w:rPr>
            <w:lang w:val="es-CO"/>
          </w:rPr>
          <w:t>36 a</w:t>
        </w:r>
      </w:smartTag>
      <w:r w:rsidRPr="00153A9C">
        <w:rPr>
          <w:lang w:val="es-CO"/>
        </w:rPr>
        <w:t xml:space="preserve"> 45 años de edad. Las mujeres con estudios secundarios terminados acus</w:t>
      </w:r>
      <w:r w:rsidR="00780F9A">
        <w:rPr>
          <w:lang w:val="es-CO"/>
        </w:rPr>
        <w:t>aron</w:t>
      </w:r>
      <w:r w:rsidRPr="00153A9C">
        <w:rPr>
          <w:lang w:val="es-CO"/>
        </w:rPr>
        <w:t xml:space="preserve"> la mayor diferencia salarial en Bosnia y Herzegovina.</w:t>
      </w:r>
    </w:p>
    <w:p w:rsidR="000E24E0" w:rsidRPr="00153A9C" w:rsidRDefault="000E24E0" w:rsidP="009B29CE">
      <w:pPr>
        <w:pStyle w:val="SingleTxtG"/>
        <w:rPr>
          <w:lang w:val="es-CO"/>
        </w:rPr>
      </w:pPr>
      <w:r w:rsidRPr="00153A9C">
        <w:rPr>
          <w:lang w:val="es-CO"/>
        </w:rPr>
        <w:t>35.</w:t>
      </w:r>
      <w:r w:rsidRPr="00153A9C">
        <w:rPr>
          <w:lang w:val="es-CO"/>
        </w:rPr>
        <w:tab/>
        <w:t>Los grupos de mujeres más discriminados son las mujeres con estudios primarios, las mujeres que terminaron la escuela secundaria y están empleadas en el sector de la elaboración</w:t>
      </w:r>
      <w:r w:rsidR="00E9118F">
        <w:rPr>
          <w:lang w:val="es-CO"/>
        </w:rPr>
        <w:t xml:space="preserve"> de productos</w:t>
      </w:r>
      <w:r w:rsidRPr="00153A9C">
        <w:rPr>
          <w:lang w:val="es-CO"/>
        </w:rPr>
        <w:t xml:space="preserve"> y las mujeres que terminaron el segundo y el tercer curso de enseñanza secundaria y trabajan como dependientas de comercio. Estas mujeres reciben un tercio menos que sus colegas varones.</w:t>
      </w:r>
    </w:p>
    <w:p w:rsidR="000E24E0" w:rsidRPr="00153A9C" w:rsidRDefault="000E24E0" w:rsidP="009B29CE">
      <w:pPr>
        <w:pStyle w:val="SingleTxtG"/>
        <w:rPr>
          <w:lang w:val="es-CO"/>
        </w:rPr>
      </w:pPr>
      <w:r w:rsidRPr="00153A9C">
        <w:rPr>
          <w:lang w:val="es-CO"/>
        </w:rPr>
        <w:t xml:space="preserve">36. </w:t>
      </w:r>
      <w:r w:rsidRPr="00153A9C">
        <w:rPr>
          <w:lang w:val="es-CO"/>
        </w:rPr>
        <w:tab/>
        <w:t xml:space="preserve">La Encuesta de </w:t>
      </w:r>
      <w:r w:rsidR="001F6749" w:rsidRPr="00153A9C">
        <w:rPr>
          <w:lang w:val="es-CO"/>
        </w:rPr>
        <w:t xml:space="preserve">población activa </w:t>
      </w:r>
      <w:r w:rsidRPr="00153A9C">
        <w:rPr>
          <w:lang w:val="es-CO"/>
        </w:rPr>
        <w:t>de 2006 reveló que en Bosnia y Herzegovina la diferencia media de remuneración de los hombres y mujeres e</w:t>
      </w:r>
      <w:r w:rsidR="001F6749" w:rsidRPr="00153A9C">
        <w:rPr>
          <w:lang w:val="es-CO"/>
        </w:rPr>
        <w:t>ra</w:t>
      </w:r>
      <w:r w:rsidRPr="00153A9C">
        <w:rPr>
          <w:lang w:val="es-CO"/>
        </w:rPr>
        <w:t xml:space="preserve"> de </w:t>
      </w:r>
      <w:smartTag w:uri="urn:schemas-microsoft-com:office:smarttags" w:element="metricconverter">
        <w:smartTagPr>
          <w:attr w:name="ProductID" w:val="73 KM"/>
        </w:smartTagPr>
        <w:r w:rsidRPr="00153A9C">
          <w:rPr>
            <w:lang w:val="es-CO"/>
          </w:rPr>
          <w:t xml:space="preserve">73 </w:t>
        </w:r>
        <w:r w:rsidR="005E2DB0" w:rsidRPr="00153A9C">
          <w:rPr>
            <w:lang w:val="es-CO"/>
          </w:rPr>
          <w:t>KM</w:t>
        </w:r>
      </w:smartTag>
      <w:r w:rsidRPr="00153A9C">
        <w:rPr>
          <w:lang w:val="es-CO"/>
        </w:rPr>
        <w:t xml:space="preserve"> si no se </w:t>
      </w:r>
      <w:r w:rsidR="001F6749" w:rsidRPr="00153A9C">
        <w:rPr>
          <w:lang w:val="es-CO"/>
        </w:rPr>
        <w:t xml:space="preserve">tenía en </w:t>
      </w:r>
      <w:r w:rsidRPr="00153A9C">
        <w:rPr>
          <w:lang w:val="es-CO"/>
        </w:rPr>
        <w:t>cuenta el número de horas de trabajo. Si se tiene en cuenta a las personas que trabajan 40 horas semanales, la diferencia es ligeramente menor (</w:t>
      </w:r>
      <w:smartTag w:uri="urn:schemas-microsoft-com:office:smarttags" w:element="metricconverter">
        <w:smartTagPr>
          <w:attr w:name="ProductID" w:val="55 KM"/>
        </w:smartTagPr>
        <w:r w:rsidRPr="00153A9C">
          <w:rPr>
            <w:lang w:val="es-CO"/>
          </w:rPr>
          <w:t xml:space="preserve">55 </w:t>
        </w:r>
        <w:r w:rsidR="005E2DB0" w:rsidRPr="00153A9C">
          <w:rPr>
            <w:lang w:val="es-CO"/>
          </w:rPr>
          <w:t>KM</w:t>
        </w:r>
      </w:smartTag>
      <w:r w:rsidRPr="00153A9C">
        <w:rPr>
          <w:lang w:val="es-CO"/>
        </w:rPr>
        <w:t>).</w:t>
      </w:r>
    </w:p>
    <w:p w:rsidR="000E24E0" w:rsidRPr="00153A9C" w:rsidRDefault="000E24E0" w:rsidP="009B29CE">
      <w:pPr>
        <w:pStyle w:val="SingleTxtG"/>
        <w:spacing w:after="240"/>
        <w:rPr>
          <w:lang w:val="es-CO"/>
        </w:rPr>
      </w:pPr>
      <w:r w:rsidRPr="00153A9C">
        <w:rPr>
          <w:lang w:val="es-CO"/>
        </w:rPr>
        <w:t xml:space="preserve">37. </w:t>
      </w:r>
      <w:r w:rsidRPr="00153A9C">
        <w:rPr>
          <w:lang w:val="es-CO"/>
        </w:rPr>
        <w:tab/>
        <w:t xml:space="preserve">Teniendo en cuenta que esos datos estadísticos están relacionados con aproximadamente 200.000 mujeres incluidas en los datos de la encuesta, el efecto global de esas diferencias puede estimarse en unos 11 millones de </w:t>
      </w:r>
      <w:r w:rsidR="005E2DB0" w:rsidRPr="00153A9C">
        <w:rPr>
          <w:lang w:val="es-CO"/>
        </w:rPr>
        <w:t>KM</w:t>
      </w:r>
      <w:r w:rsidRPr="00153A9C">
        <w:rPr>
          <w:lang w:val="es-CO"/>
        </w:rPr>
        <w:t xml:space="preserve"> al mes. Dado que el número de mujeres empleadas se estima en 283.000, el efecto real de esta diferencia en la remuneración neta podría ser mucho mayor.</w:t>
      </w:r>
    </w:p>
    <w:p w:rsidR="000E24E0" w:rsidRPr="00153A9C" w:rsidRDefault="009B29CE" w:rsidP="009B29CE">
      <w:pPr>
        <w:pStyle w:val="Heading1"/>
        <w:rPr>
          <w:lang w:val="es-CO"/>
        </w:rPr>
      </w:pPr>
      <w:r>
        <w:rPr>
          <w:lang w:val="es-CO"/>
        </w:rPr>
        <w:t>Gráfico 3</w:t>
      </w:r>
    </w:p>
    <w:p w:rsidR="000E24E0" w:rsidRDefault="000E24E0" w:rsidP="009B29CE">
      <w:pPr>
        <w:pStyle w:val="SingleTxtG"/>
        <w:jc w:val="left"/>
        <w:rPr>
          <w:b/>
          <w:lang w:val="es-CO"/>
        </w:rPr>
      </w:pPr>
      <w:r w:rsidRPr="009B29CE">
        <w:rPr>
          <w:b/>
          <w:lang w:val="es-CO"/>
        </w:rPr>
        <w:t>Diferencia de género en la remuneración</w:t>
      </w:r>
    </w:p>
    <w:p w:rsidR="009B29CE" w:rsidRPr="009B29CE" w:rsidRDefault="00B662AE" w:rsidP="009B29CE">
      <w:pPr>
        <w:pStyle w:val="SingleTxtG"/>
        <w:jc w:val="left"/>
        <w:rPr>
          <w:lang w:val="es-CO"/>
        </w:rPr>
      </w:pPr>
      <w:r>
        <w:rPr>
          <w:noProof/>
          <w:lang w:val="es-ES" w:eastAsia="es-ES"/>
        </w:rPr>
      </w:r>
      <w:r w:rsidRPr="00B662AE">
        <w:rPr>
          <w:lang w:val="es-CO"/>
        </w:rPr>
        <w:pict>
          <v:group id="_x0000_s1366" editas="canvas" style="width:352.1pt;height:176.35pt;mso-position-horizontal-relative:char;mso-position-vertical-relative:line" coordorigin="2268,6132" coordsize="7042,3527">
            <o:lock v:ext="edit" aspectratio="t"/>
            <v:shape id="_x0000_s1367" type="#_x0000_t75" style="position:absolute;left:2268;top:6132;width:7042;height:3527" o:preferrelative="f">
              <v:fill o:detectmouseclick="t"/>
              <v:path o:extrusionok="t" o:connecttype="none"/>
            </v:shape>
            <v:rect id="_x0000_s1368" style="position:absolute;left:3142;top:6408;width:4758;height:2411" fillcolor="silver" stroked="f"/>
            <v:line id="_x0000_s1369" style="position:absolute" from="3142,8472" to="7900,8473" strokeweight="0"/>
            <v:line id="_x0000_s1370" style="position:absolute" from="3142,8126" to="7900,8127" strokeweight="0"/>
            <v:line id="_x0000_s1371" style="position:absolute" from="3142,7780" to="7900,7781" strokeweight="0"/>
            <v:line id="_x0000_s1372" style="position:absolute" from="3142,7447" to="7900,7448" strokeweight="0"/>
            <v:line id="_x0000_s1373" style="position:absolute" from="3142,7101" to="7900,7102" strokeweight="0"/>
            <v:line id="_x0000_s1374" style="position:absolute" from="3142,6754" to="7900,6755" strokeweight="0"/>
            <v:line id="_x0000_s1375" style="position:absolute" from="3142,6408" to="7900,6409" strokeweight="0"/>
            <v:rect id="_x0000_s1376" style="position:absolute;left:3142;top:6408;width:4758;height:2411" filled="f" strokecolor="gray" strokeweight=".65pt"/>
            <v:line id="_x0000_s1377" style="position:absolute" from="3142,6408" to="3143,8819" strokeweight="0"/>
            <v:line id="_x0000_s1378" style="position:absolute" from="3085,8819" to="3142,8820" strokeweight="0"/>
            <v:line id="_x0000_s1379" style="position:absolute" from="3085,8472" to="3142,8473" strokeweight="0"/>
            <v:line id="_x0000_s1380" style="position:absolute" from="3085,8126" to="3142,8127" strokeweight="0"/>
            <v:line id="_x0000_s1381" style="position:absolute" from="3085,7780" to="3142,7781" strokeweight="0"/>
            <v:line id="_x0000_s1382" style="position:absolute" from="3085,7447" to="3142,7448" strokeweight="0"/>
            <v:line id="_x0000_s1383" style="position:absolute" from="3085,7101" to="3142,7102" strokeweight="0"/>
            <v:line id="_x0000_s1384" style="position:absolute" from="3085,6754" to="3142,6755" strokeweight="0"/>
            <v:line id="_x0000_s1385" style="position:absolute" from="3085,6408" to="3142,6409" strokeweight="0"/>
            <v:line id="_x0000_s1386" style="position:absolute" from="3142,8819" to="7900,8820" strokeweight="0"/>
            <v:line id="_x0000_s1387" style="position:absolute;flip:y" from="3142,8819" to="3143,8870" strokeweight="0"/>
            <v:line id="_x0000_s1388" style="position:absolute;flip:y" from="4097,8819" to="4098,8870" strokeweight="0"/>
            <v:line id="_x0000_s1389" style="position:absolute;flip:y" from="5051,8819" to="5052,8870" strokeweight="0"/>
            <v:line id="_x0000_s1390" style="position:absolute;flip:y" from="5992,8819" to="5993,8870" strokeweight="0"/>
            <v:line id="_x0000_s1391" style="position:absolute;flip:y" from="6946,8819" to="6947,8870" strokeweight="0"/>
            <v:line id="_x0000_s1392" style="position:absolute;flip:y" from="7900,8819" to="7902,8870" strokeweight="0"/>
            <v:shape id="_x0000_s1393" style="position:absolute;left:3620;top:7613;width:3803;height:988" coordsize="263,77" path="m,61l66,r66,l197,63r66,14e" filled="f" strokecolor="navy" strokeweight=".65pt">
              <v:path arrowok="t"/>
            </v:shape>
            <v:shape id="_x0000_s1394" style="position:absolute;left:3620;top:6575;width:3803;height:2244" coordsize="263,175" path="m,l66,127r66,48l197,129r66,46e" filled="f" strokecolor="fuchsia" strokeweight=".65pt">
              <v:path arrowok="t"/>
            </v:shape>
            <v:shape id="_x0000_s1395" style="position:absolute;left:3576;top:8357;width:87;height:77" coordsize="77,77" path="m39,l77,38,39,77,,38,39,xe" fillcolor="navy" strokecolor="navy" strokeweight=".65pt">
              <v:path arrowok="t"/>
            </v:shape>
            <v:shape id="_x0000_s1396" style="position:absolute;left:4530;top:7575;width:87;height:77" coordsize="77,77" path="m39,l77,38,39,77,,38,39,xe" fillcolor="navy" strokecolor="navy" strokeweight=".65pt">
              <v:path arrowok="t"/>
            </v:shape>
            <v:shape id="_x0000_s1397" style="position:absolute;left:5486;top:7575;width:86;height:77" coordsize="76,77" path="m38,l76,38,38,77,,38,38,xe" fillcolor="navy" strokecolor="navy" strokeweight=".65pt">
              <v:path arrowok="t"/>
            </v:shape>
            <v:shape id="_x0000_s1398" style="position:absolute;left:6425;top:8383;width:87;height:77" coordsize="77,77" path="m38,l77,38,38,77,,38,38,xe" fillcolor="navy" strokecolor="navy" strokeweight=".65pt">
              <v:path arrowok="t"/>
            </v:shape>
            <v:shape id="_x0000_s1399" style="position:absolute;left:7380;top:8562;width:87;height:77" coordsize="77,77" path="m38,l77,39,38,77,,39,38,xe" fillcolor="navy" strokecolor="navy" strokeweight=".65pt">
              <v:path arrowok="t"/>
            </v:shape>
            <v:rect id="_x0000_s1400" style="position:absolute;left:3576;top:6537;width:72;height:64" fillcolor="fuchsia" strokecolor="fuchsia" strokeweight=".65pt"/>
            <v:rect id="_x0000_s1401" style="position:absolute;left:4530;top:8165;width:74;height:64" fillcolor="fuchsia" strokecolor="fuchsia" strokeweight=".65pt"/>
            <v:rect id="_x0000_s1402" style="position:absolute;left:5486;top:8780;width:72;height:64" fillcolor="fuchsia" strokecolor="fuchsia" strokeweight=".65pt"/>
            <v:rect id="_x0000_s1403" style="position:absolute;left:6425;top:8190;width:73;height:64" fillcolor="fuchsia" strokecolor="fuchsia" strokeweight=".65pt"/>
            <v:rect id="_x0000_s1404" style="position:absolute;left:7380;top:8780;width:72;height:64" fillcolor="fuchsia" strokecolor="fuchsia" strokeweight=".65pt"/>
            <v:rect id="_x0000_s1405" style="position:absolute;left:2897;top:8716;width:92;height:240" filled="f" stroked="f">
              <v:textbox style="mso-fit-shape-to-text:t" inset="0,0,0,0">
                <w:txbxContent>
                  <w:p w:rsidR="00B662AE" w:rsidRDefault="00B662AE" w:rsidP="00B662AE">
                    <w:r>
                      <w:rPr>
                        <w:rFonts w:cs="Arial"/>
                        <w:color w:val="000000"/>
                        <w:sz w:val="16"/>
                        <w:szCs w:val="16"/>
                        <w:lang w:val="en-US"/>
                      </w:rPr>
                      <w:t>0</w:t>
                    </w:r>
                  </w:p>
                </w:txbxContent>
              </v:textbox>
            </v:rect>
            <v:rect id="_x0000_s1406" style="position:absolute;left:2795;top:8370;width:182;height:240" filled="f" stroked="f">
              <v:textbox style="mso-fit-shape-to-text:t" inset="0,0,0,0">
                <w:txbxContent>
                  <w:p w:rsidR="00B662AE" w:rsidRDefault="00B662AE" w:rsidP="00B662AE">
                    <w:r>
                      <w:rPr>
                        <w:rFonts w:cs="Arial"/>
                        <w:color w:val="000000"/>
                        <w:sz w:val="16"/>
                        <w:szCs w:val="16"/>
                        <w:lang w:val="en-US"/>
                      </w:rPr>
                      <w:t>10</w:t>
                    </w:r>
                  </w:p>
                </w:txbxContent>
              </v:textbox>
            </v:rect>
            <v:rect id="_x0000_s1407" style="position:absolute;left:2795;top:8024;width:182;height:240" filled="f" stroked="f">
              <v:textbox style="mso-fit-shape-to-text:t" inset="0,0,0,0">
                <w:txbxContent>
                  <w:p w:rsidR="00B662AE" w:rsidRDefault="00B662AE" w:rsidP="00B662AE">
                    <w:r>
                      <w:rPr>
                        <w:rFonts w:cs="Arial"/>
                        <w:color w:val="000000"/>
                        <w:sz w:val="16"/>
                        <w:szCs w:val="16"/>
                        <w:lang w:val="en-US"/>
                      </w:rPr>
                      <w:t>20</w:t>
                    </w:r>
                  </w:p>
                </w:txbxContent>
              </v:textbox>
            </v:rect>
            <v:rect id="_x0000_s1408" style="position:absolute;left:2795;top:7678;width:182;height:240" filled="f" stroked="f">
              <v:textbox style="mso-fit-shape-to-text:t" inset="0,0,0,0">
                <w:txbxContent>
                  <w:p w:rsidR="00B662AE" w:rsidRDefault="00B662AE" w:rsidP="00B662AE">
                    <w:r>
                      <w:rPr>
                        <w:rFonts w:cs="Arial"/>
                        <w:color w:val="000000"/>
                        <w:sz w:val="16"/>
                        <w:szCs w:val="16"/>
                        <w:lang w:val="en-US"/>
                      </w:rPr>
                      <w:t>30</w:t>
                    </w:r>
                  </w:p>
                </w:txbxContent>
              </v:textbox>
            </v:rect>
            <v:rect id="_x0000_s1409" style="position:absolute;left:2795;top:7344;width:182;height:240" filled="f" stroked="f">
              <v:textbox style="mso-fit-shape-to-text:t" inset="0,0,0,0">
                <w:txbxContent>
                  <w:p w:rsidR="00B662AE" w:rsidRDefault="00B662AE" w:rsidP="00B662AE">
                    <w:r>
                      <w:rPr>
                        <w:rFonts w:cs="Arial"/>
                        <w:color w:val="000000"/>
                        <w:sz w:val="16"/>
                        <w:szCs w:val="16"/>
                        <w:lang w:val="en-US"/>
                      </w:rPr>
                      <w:t>40</w:t>
                    </w:r>
                  </w:p>
                </w:txbxContent>
              </v:textbox>
            </v:rect>
            <v:rect id="_x0000_s1410" style="position:absolute;left:2795;top:6998;width:182;height:240" filled="f" stroked="f">
              <v:textbox style="mso-fit-shape-to-text:t" inset="0,0,0,0">
                <w:txbxContent>
                  <w:p w:rsidR="00B662AE" w:rsidRDefault="00B662AE" w:rsidP="00B662AE">
                    <w:r>
                      <w:rPr>
                        <w:rFonts w:cs="Arial"/>
                        <w:color w:val="000000"/>
                        <w:sz w:val="16"/>
                        <w:szCs w:val="16"/>
                        <w:lang w:val="en-US"/>
                      </w:rPr>
                      <w:t>50</w:t>
                    </w:r>
                  </w:p>
                </w:txbxContent>
              </v:textbox>
            </v:rect>
            <v:rect id="_x0000_s1411" style="position:absolute;left:2795;top:6652;width:182;height:240" filled="f" stroked="f">
              <v:textbox style="mso-fit-shape-to-text:t" inset="0,0,0,0">
                <w:txbxContent>
                  <w:p w:rsidR="00B662AE" w:rsidRDefault="00B662AE" w:rsidP="00B662AE">
                    <w:r>
                      <w:rPr>
                        <w:rFonts w:cs="Arial"/>
                        <w:color w:val="000000"/>
                        <w:sz w:val="16"/>
                        <w:szCs w:val="16"/>
                        <w:lang w:val="en-US"/>
                      </w:rPr>
                      <w:t>60</w:t>
                    </w:r>
                  </w:p>
                </w:txbxContent>
              </v:textbox>
            </v:rect>
            <v:rect id="_x0000_s1412" style="position:absolute;left:2795;top:6306;width:182;height:240" filled="f" stroked="f">
              <v:textbox style="mso-fit-shape-to-text:t" inset="0,0,0,0">
                <w:txbxContent>
                  <w:p w:rsidR="00B662AE" w:rsidRDefault="00B662AE" w:rsidP="00B662AE">
                    <w:r>
                      <w:rPr>
                        <w:rFonts w:cs="Arial"/>
                        <w:color w:val="000000"/>
                        <w:sz w:val="16"/>
                        <w:szCs w:val="16"/>
                        <w:lang w:val="en-US"/>
                      </w:rPr>
                      <w:t>70</w:t>
                    </w:r>
                  </w:p>
                </w:txbxContent>
              </v:textbox>
            </v:rect>
            <v:rect id="_x0000_s1413" style="position:absolute;left:3266;top:8960;width:729;height:240" filled="f" stroked="f">
              <v:textbox style="mso-fit-shape-to-text:t" inset="0,0,0,0">
                <w:txbxContent>
                  <w:p w:rsidR="00B662AE" w:rsidRDefault="00B662AE" w:rsidP="00B662AE">
                    <w:r>
                      <w:rPr>
                        <w:rFonts w:cs="Arial"/>
                        <w:color w:val="000000"/>
                        <w:sz w:val="16"/>
                        <w:szCs w:val="16"/>
                        <w:lang w:val="en-US"/>
                      </w:rPr>
                      <w:t>Hasta 200</w:t>
                    </w:r>
                  </w:p>
                </w:txbxContent>
              </v:textbox>
            </v:rect>
            <v:rect id="_x0000_s1414" style="position:absolute;left:4241;top:8960;width:603;height:240" filled="f" stroked="f">
              <v:textbox style="mso-fit-shape-to-text:t" inset="0,0,0,0">
                <w:txbxContent>
                  <w:p w:rsidR="00B662AE" w:rsidRDefault="00B662AE" w:rsidP="00B662AE">
                    <w:r>
                      <w:rPr>
                        <w:rFonts w:cs="Arial"/>
                        <w:color w:val="000000"/>
                        <w:sz w:val="16"/>
                        <w:szCs w:val="16"/>
                        <w:lang w:val="en-US"/>
                      </w:rPr>
                      <w:t>201-300</w:t>
                    </w:r>
                  </w:p>
                </w:txbxContent>
              </v:textbox>
            </v:rect>
            <v:rect id="_x0000_s1415" style="position:absolute;left:5195;top:8960;width:604;height:240" filled="f" stroked="f">
              <v:textbox style="mso-fit-shape-to-text:t" inset="0,0,0,0">
                <w:txbxContent>
                  <w:p w:rsidR="00B662AE" w:rsidRDefault="00B662AE" w:rsidP="00B662AE">
                    <w:r>
                      <w:rPr>
                        <w:rFonts w:cs="Arial"/>
                        <w:color w:val="000000"/>
                        <w:sz w:val="16"/>
                        <w:szCs w:val="16"/>
                        <w:lang w:val="en-US"/>
                      </w:rPr>
                      <w:t>301-400</w:t>
                    </w:r>
                  </w:p>
                </w:txbxContent>
              </v:textbox>
            </v:rect>
            <v:rect id="_x0000_s1416" style="position:absolute;left:6136;top:8960;width:603;height:240" filled="f" stroked="f">
              <v:textbox style="mso-fit-shape-to-text:t" inset="0,0,0,0">
                <w:txbxContent>
                  <w:p w:rsidR="00B662AE" w:rsidRDefault="00B662AE" w:rsidP="00B662AE">
                    <w:r>
                      <w:rPr>
                        <w:rFonts w:cs="Arial"/>
                        <w:color w:val="000000"/>
                        <w:sz w:val="16"/>
                        <w:szCs w:val="16"/>
                        <w:lang w:val="en-US"/>
                      </w:rPr>
                      <w:t>401-500</w:t>
                    </w:r>
                  </w:p>
                </w:txbxContent>
              </v:textbox>
            </v:rect>
            <v:rect id="_x0000_s1417" style="position:absolute;left:7091;top:8960;width:603;height:240" filled="f" stroked="f">
              <v:textbox style="mso-fit-shape-to-text:t" inset="0,0,0,0">
                <w:txbxContent>
                  <w:p w:rsidR="00B662AE" w:rsidRDefault="00B662AE" w:rsidP="00B662AE">
                    <w:r>
                      <w:rPr>
                        <w:rFonts w:cs="Arial"/>
                        <w:color w:val="000000"/>
                        <w:sz w:val="16"/>
                        <w:szCs w:val="16"/>
                        <w:lang w:val="en-US"/>
                      </w:rPr>
                      <w:t>501-700</w:t>
                    </w:r>
                  </w:p>
                </w:txbxContent>
              </v:textbox>
            </v:rect>
            <v:rect id="_x0000_s1418" style="position:absolute;left:5369;top:9254;width:312;height:240" filled="f" stroked="f">
              <v:textbox style="mso-fit-shape-to-text:t" inset="0,0,0,0">
                <w:txbxContent>
                  <w:p w:rsidR="00B662AE" w:rsidRDefault="00B662AE" w:rsidP="00B662AE">
                    <w:r>
                      <w:rPr>
                        <w:rFonts w:cs="Arial"/>
                        <w:b/>
                        <w:bCs/>
                        <w:color w:val="000000"/>
                        <w:sz w:val="16"/>
                        <w:szCs w:val="16"/>
                        <w:lang w:val="en-US"/>
                      </w:rPr>
                      <w:t>KM</w:t>
                    </w:r>
                  </w:p>
                </w:txbxContent>
              </v:textbox>
            </v:rect>
            <v:rect id="_x0000_s1419" style="position:absolute;left:1828;top:7497;width:1371;height:297;rotation:270" filled="f" stroked="f">
              <v:textbox style="layout-flow:vertical;mso-layout-flow-alt:bottom-to-top" inset="0,0,0,0">
                <w:txbxContent>
                  <w:p w:rsidR="00B662AE" w:rsidRDefault="00B662AE" w:rsidP="00B662AE">
                    <w:r>
                      <w:rPr>
                        <w:rFonts w:cs="Arial"/>
                        <w:b/>
                        <w:bCs/>
                        <w:color w:val="000000"/>
                        <w:sz w:val="16"/>
                        <w:szCs w:val="16"/>
                        <w:lang w:val="en-US"/>
                      </w:rPr>
                      <w:t>% de la población</w:t>
                    </w:r>
                  </w:p>
                </w:txbxContent>
              </v:textbox>
            </v:rect>
            <v:rect id="_x0000_s1420" style="position:absolute;left:8018;top:7344;width:1208;height:539" strokeweight="0"/>
            <v:line id="_x0000_s1421" style="position:absolute" from="8132,7498" to="8522,7499" strokecolor="navy" strokeweight=".65pt"/>
            <v:shape id="_x0000_s1422" style="position:absolute;left:8277;top:7460;width:87;height:77" coordsize="77,77" path="m38,l77,38,38,77,,38,38,xe" fillcolor="navy" strokecolor="navy" strokeweight=".65pt">
              <v:path arrowok="t"/>
            </v:shape>
            <v:rect id="_x0000_s1423" style="position:absolute;left:8566;top:7355;width:663;height:312" filled="f" stroked="f">
              <v:textbox inset="0,0,0,0">
                <w:txbxContent>
                  <w:p w:rsidR="00B662AE" w:rsidRDefault="00B662AE" w:rsidP="00B662AE">
                    <w:r>
                      <w:rPr>
                        <w:rFonts w:cs="Arial"/>
                        <w:color w:val="000000"/>
                        <w:sz w:val="16"/>
                        <w:szCs w:val="16"/>
                        <w:lang w:val="en-US"/>
                      </w:rPr>
                      <w:t>Hombres</w:t>
                    </w:r>
                  </w:p>
                </w:txbxContent>
              </v:textbox>
            </v:rect>
            <v:line id="_x0000_s1424" style="position:absolute" from="8132,7767" to="8522,7768" strokecolor="fuchsia" strokeweight=".65pt"/>
            <v:rect id="_x0000_s1425" style="position:absolute;left:8277;top:7729;width:72;height:64" fillcolor="fuchsia" strokecolor="fuchsia" strokeweight=".65pt"/>
            <v:rect id="_x0000_s1426" style="position:absolute;left:8580;top:7610;width:593;height:403" filled="f" stroked="f">
              <v:textbox inset="0,0,0,0">
                <w:txbxContent>
                  <w:p w:rsidR="00B662AE" w:rsidRDefault="00B662AE" w:rsidP="00B662AE">
                    <w:r>
                      <w:rPr>
                        <w:rFonts w:cs="Arial"/>
                        <w:color w:val="000000"/>
                        <w:sz w:val="16"/>
                        <w:szCs w:val="16"/>
                        <w:lang w:val="en-US"/>
                      </w:rPr>
                      <w:t>Mujeres</w:t>
                    </w:r>
                  </w:p>
                </w:txbxContent>
              </v:textbox>
            </v:rect>
            <v:rect id="_x0000_s1427" style="position:absolute;left:2275;top:6139;width:7028;height:3513" filled="f" strokeweight=".65pt"/>
            <w10:anchorlock/>
          </v:group>
        </w:pict>
      </w:r>
    </w:p>
    <w:p w:rsidR="000E24E0" w:rsidRPr="00153A9C" w:rsidRDefault="000E24E0" w:rsidP="009B29CE">
      <w:pPr>
        <w:pStyle w:val="Heading1"/>
        <w:spacing w:before="240"/>
        <w:rPr>
          <w:lang w:val="es-CO"/>
        </w:rPr>
      </w:pPr>
      <w:r w:rsidRPr="00153A9C">
        <w:rPr>
          <w:lang w:val="es-CO"/>
        </w:rPr>
        <w:t>Gráfico 4</w:t>
      </w:r>
    </w:p>
    <w:p w:rsidR="000E24E0" w:rsidRPr="009B29CE" w:rsidRDefault="000E24E0" w:rsidP="009B29CE">
      <w:pPr>
        <w:pStyle w:val="SingleTxtG"/>
        <w:jc w:val="left"/>
        <w:rPr>
          <w:b/>
          <w:lang w:val="es-CO"/>
        </w:rPr>
      </w:pPr>
      <w:r w:rsidRPr="009B29CE">
        <w:rPr>
          <w:b/>
          <w:lang w:val="es-CO"/>
        </w:rPr>
        <w:t>Número de personas empleadas</w:t>
      </w:r>
    </w:p>
    <w:p w:rsidR="009B29CE" w:rsidRDefault="00757989" w:rsidP="009B29CE">
      <w:pPr>
        <w:pStyle w:val="SingleTxtG"/>
        <w:rPr>
          <w:lang w:val="es-CO"/>
        </w:rPr>
      </w:pPr>
      <w:r w:rsidRPr="008E7AA1">
        <w:fldChar w:fldCharType="begin"/>
      </w:r>
      <w:r w:rsidRPr="008E7AA1">
        <w:instrText xml:space="preserve"> EMBED MSGraph.Chart.8 \s </w:instrText>
      </w:r>
      <w:r w:rsidRPr="008E7AA1">
        <w:fldChar w:fldCharType="separate"/>
      </w:r>
      <w:r w:rsidR="00625C7A">
        <w:rPr>
          <w:b/>
          <w:bCs/>
          <w:lang w:val="en-US"/>
        </w:rPr>
        <w:t>Error! Objects cannot be created from editing field codes.</w:t>
      </w:r>
      <w:r w:rsidRPr="008E7AA1">
        <w:fldChar w:fldCharType="end"/>
      </w:r>
    </w:p>
    <w:p w:rsidR="000E24E0" w:rsidRPr="00153A9C" w:rsidRDefault="009B29CE" w:rsidP="009B29CE">
      <w:pPr>
        <w:pStyle w:val="H1G"/>
        <w:rPr>
          <w:lang w:val="es-CO"/>
        </w:rPr>
      </w:pPr>
      <w:r>
        <w:rPr>
          <w:lang w:val="es-CO"/>
        </w:rPr>
        <w:tab/>
      </w:r>
      <w:r>
        <w:rPr>
          <w:lang w:val="es-CO"/>
        </w:rPr>
        <w:tab/>
      </w:r>
      <w:r w:rsidR="000E24E0" w:rsidRPr="00153A9C">
        <w:rPr>
          <w:lang w:val="es-CO"/>
        </w:rPr>
        <w:t>Recomendación 34</w:t>
      </w:r>
    </w:p>
    <w:p w:rsidR="000E24E0" w:rsidRPr="00153A9C" w:rsidRDefault="000E24E0" w:rsidP="009B29CE">
      <w:pPr>
        <w:pStyle w:val="SingleTxtG"/>
        <w:rPr>
          <w:lang w:val="es-CO"/>
        </w:rPr>
      </w:pPr>
      <w:r w:rsidRPr="00153A9C">
        <w:rPr>
          <w:lang w:val="es-CO"/>
        </w:rPr>
        <w:t>38.</w:t>
      </w:r>
      <w:r w:rsidRPr="00153A9C">
        <w:rPr>
          <w:lang w:val="es-CO"/>
        </w:rPr>
        <w:tab/>
        <w:t xml:space="preserve">La Constitución de Bosnia y Herzegovina y las constituciones de las Entidades y de los cantones prohíben la </w:t>
      </w:r>
      <w:r w:rsidR="00EC3270" w:rsidRPr="00153A9C">
        <w:rPr>
          <w:lang w:val="es-CO"/>
        </w:rPr>
        <w:t>discriminación basada en el sex</w:t>
      </w:r>
      <w:r w:rsidRPr="00153A9C">
        <w:rPr>
          <w:lang w:val="es-CO"/>
        </w:rPr>
        <w:t xml:space="preserve">o. Por consiguiente, las leyes de Bosnia y Herzegovina, así como los decretos que deben estar en conformidad con las constituciones de Bosnia y Herzegovina, no establecen ninguna diferencia </w:t>
      </w:r>
      <w:r w:rsidR="00E9118F">
        <w:rPr>
          <w:lang w:val="es-CO"/>
        </w:rPr>
        <w:t>formal</w:t>
      </w:r>
      <w:r w:rsidR="00E9118F" w:rsidRPr="00153A9C">
        <w:rPr>
          <w:lang w:val="es-CO"/>
        </w:rPr>
        <w:t xml:space="preserve"> </w:t>
      </w:r>
      <w:r w:rsidRPr="00153A9C">
        <w:rPr>
          <w:lang w:val="es-CO"/>
        </w:rPr>
        <w:t xml:space="preserve">de género en ninguna esfera regulada por las leyes y decretos. En este sentido, en términos jurídicos, </w:t>
      </w:r>
      <w:r w:rsidR="008A3634">
        <w:rPr>
          <w:lang w:val="es-CO"/>
        </w:rPr>
        <w:t>existe la igualdad entre los sexos</w:t>
      </w:r>
      <w:r w:rsidRPr="00153A9C">
        <w:rPr>
          <w:lang w:val="es-CO"/>
        </w:rPr>
        <w:t xml:space="preserve">. En cambio, en la práctica, en la aplicación de las leyes y reglamentos muchas veces se observa que una disposición jurídica, práctica o criterio aparentemente neutral colocan a las personas de un sexo en posición diferente de las del otro sexo, como demuestran los análisis que el Organismo de Género de Bosnia y Herzegovina y los centros de género de las Entidades realizan dentro de su ámbito y mandato. Para contrarrestar esa discriminación indirecta, el Organismo de Género y los centros de género de las Entidades, en cooperación con otras autoridades competentes, inician, promueven y aplican leyes y reglamentos revisados para garantizar su compatibilidad con la Ley sobre la igualdad de género en Bosnia y Herzegovina y las convenciones y convenios internacionales en el ámbito de la igualdad de género, en particular la Convención sobre la eliminación de todas las formas de discriminación contra </w:t>
      </w:r>
      <w:smartTag w:uri="urn:schemas-microsoft-com:office:smarttags" w:element="PersonName">
        <w:smartTagPr>
          <w:attr w:name="ProductID" w:val="la mujer. El"/>
        </w:smartTagPr>
        <w:r w:rsidRPr="00153A9C">
          <w:rPr>
            <w:lang w:val="es-CO"/>
          </w:rPr>
          <w:t>la mujer. El</w:t>
        </w:r>
      </w:smartTag>
      <w:r w:rsidRPr="00153A9C">
        <w:rPr>
          <w:lang w:val="es-CO"/>
        </w:rPr>
        <w:t xml:space="preserve"> objetivo es garantizar una verdadera igualdad de género en todas las esferas de la vida pública y privada. </w:t>
      </w:r>
      <w:r w:rsidR="00EC3270" w:rsidRPr="00153A9C">
        <w:rPr>
          <w:lang w:val="es-CO"/>
        </w:rPr>
        <w:t xml:space="preserve">Con ello se pretende </w:t>
      </w:r>
      <w:r w:rsidRPr="00153A9C">
        <w:rPr>
          <w:lang w:val="es-CO"/>
        </w:rPr>
        <w:t xml:space="preserve">conseguir la igualdad de acceso a los recursos, </w:t>
      </w:r>
      <w:r w:rsidR="00EC3270" w:rsidRPr="00153A9C">
        <w:rPr>
          <w:lang w:val="es-CO"/>
        </w:rPr>
        <w:t>al empleo, a</w:t>
      </w:r>
      <w:r w:rsidRPr="00153A9C">
        <w:rPr>
          <w:lang w:val="es-CO"/>
        </w:rPr>
        <w:t xml:space="preserve">l trabajo y </w:t>
      </w:r>
      <w:r w:rsidR="00EC3270" w:rsidRPr="00153A9C">
        <w:rPr>
          <w:lang w:val="es-CO"/>
        </w:rPr>
        <w:t xml:space="preserve">a </w:t>
      </w:r>
      <w:r w:rsidRPr="00153A9C">
        <w:rPr>
          <w:lang w:val="es-CO"/>
        </w:rPr>
        <w:t xml:space="preserve">la educación, con independencia del sexo. </w:t>
      </w:r>
      <w:r w:rsidR="00EC3270" w:rsidRPr="00153A9C">
        <w:rPr>
          <w:lang w:val="es-CO"/>
        </w:rPr>
        <w:t xml:space="preserve">En el proceso de </w:t>
      </w:r>
      <w:r w:rsidRPr="00153A9C">
        <w:rPr>
          <w:lang w:val="es-CO"/>
        </w:rPr>
        <w:t xml:space="preserve">armonización de la legislación, se presta especial atención a las disposiciones relativas a las obligaciones de las autoridades competentes acerca de la planificación, ejecución y seguimiento de las medidas para la promoción de la igualdad de género, sobre todo en el diseño de medidas específicas que aumenten el número de mujeres en los puestos de toma de decisiones, particularmente en cargos políticos, y </w:t>
      </w:r>
      <w:r w:rsidR="00EC3270" w:rsidRPr="00153A9C">
        <w:rPr>
          <w:lang w:val="es-CO"/>
        </w:rPr>
        <w:t xml:space="preserve">logren </w:t>
      </w:r>
      <w:r w:rsidRPr="00153A9C">
        <w:rPr>
          <w:lang w:val="es-CO"/>
        </w:rPr>
        <w:t>una presencia igual de ambos sexos en la vida pública, especialmente en los medios de difusión. Asimismo, la legislación incorpora disposiciones que permiten, en</w:t>
      </w:r>
      <w:r w:rsidR="003B050C">
        <w:rPr>
          <w:lang w:val="es-CO"/>
        </w:rPr>
        <w:t xml:space="preserve"> </w:t>
      </w:r>
      <w:r w:rsidRPr="00153A9C">
        <w:rPr>
          <w:lang w:val="es-CO"/>
        </w:rPr>
        <w:t xml:space="preserve">los pleitos penales, civiles o por delitos menores, sancionar a los autores y proteger a las víctimas de acoso, acoso sexual y violencia por motivos de género u otros actos que tratan de situar </w:t>
      </w:r>
      <w:r w:rsidR="00EC3270" w:rsidRPr="00153A9C">
        <w:rPr>
          <w:lang w:val="es-CO"/>
        </w:rPr>
        <w:t xml:space="preserve">a </w:t>
      </w:r>
      <w:r w:rsidRPr="00153A9C">
        <w:rPr>
          <w:lang w:val="es-CO"/>
        </w:rPr>
        <w:t xml:space="preserve">uno de los sexos en posición desigual o </w:t>
      </w:r>
      <w:r w:rsidR="00EC3270" w:rsidRPr="00153A9C">
        <w:rPr>
          <w:lang w:val="es-CO"/>
        </w:rPr>
        <w:t xml:space="preserve">de </w:t>
      </w:r>
      <w:r w:rsidRPr="00153A9C">
        <w:rPr>
          <w:lang w:val="es-CO"/>
        </w:rPr>
        <w:t xml:space="preserve">degradar a los miembros de uno de los sexos. Además, se está intentando introducir una obligación legal de mantener estadísticas de género en determinadas esferas. </w:t>
      </w:r>
      <w:r w:rsidR="00EC3270" w:rsidRPr="00153A9C">
        <w:rPr>
          <w:lang w:val="es-CO"/>
        </w:rPr>
        <w:t xml:space="preserve">Por último, </w:t>
      </w:r>
      <w:r w:rsidRPr="00153A9C">
        <w:rPr>
          <w:lang w:val="es-CO"/>
        </w:rPr>
        <w:t>se insiste en la utilización de una terminología que incorpore la perspectiva de género en la publicación de los documentos oficiales, en los medios de difusión y en otras esferas de la vida pública y privada.</w:t>
      </w:r>
    </w:p>
    <w:p w:rsidR="000E24E0" w:rsidRPr="00153A9C" w:rsidRDefault="000E24E0" w:rsidP="009B29CE">
      <w:pPr>
        <w:pStyle w:val="SingleTxtG"/>
        <w:rPr>
          <w:lang w:val="es-CO"/>
        </w:rPr>
      </w:pPr>
      <w:r w:rsidRPr="00153A9C">
        <w:rPr>
          <w:lang w:val="es-CO"/>
        </w:rPr>
        <w:t>39.</w:t>
      </w:r>
      <w:r w:rsidRPr="00153A9C">
        <w:rPr>
          <w:lang w:val="es-CO"/>
        </w:rPr>
        <w:tab/>
        <w:t xml:space="preserve">Observamos que no todas las enmiendas propuestas de la </w:t>
      </w:r>
      <w:r w:rsidR="001352B1" w:rsidRPr="00153A9C">
        <w:rPr>
          <w:lang w:val="es-CO"/>
        </w:rPr>
        <w:t>ley</w:t>
      </w:r>
      <w:r w:rsidRPr="00153A9C">
        <w:rPr>
          <w:lang w:val="es-CO"/>
        </w:rPr>
        <w:t xml:space="preserve"> han entrado en vigor debido al largo proceso legislativo, pero en general todas las enmiendas propuestas se </w:t>
      </w:r>
      <w:r w:rsidR="00EC3270" w:rsidRPr="00153A9C">
        <w:rPr>
          <w:lang w:val="es-CO"/>
        </w:rPr>
        <w:t xml:space="preserve">aceptan </w:t>
      </w:r>
      <w:r w:rsidRPr="00153A9C">
        <w:rPr>
          <w:lang w:val="es-CO"/>
        </w:rPr>
        <w:t xml:space="preserve">habitualmente durante el </w:t>
      </w:r>
      <w:r w:rsidR="00EC3270" w:rsidRPr="00153A9C">
        <w:rPr>
          <w:lang w:val="es-CO"/>
        </w:rPr>
        <w:t xml:space="preserve">proceso utilizado </w:t>
      </w:r>
      <w:r w:rsidRPr="00153A9C">
        <w:rPr>
          <w:lang w:val="es-CO"/>
        </w:rPr>
        <w:t>para enmendar la legislación válida.</w:t>
      </w:r>
    </w:p>
    <w:p w:rsidR="000E24E0" w:rsidRPr="00153A9C" w:rsidRDefault="000E24E0" w:rsidP="009B29CE">
      <w:pPr>
        <w:pStyle w:val="SingleTxtG"/>
        <w:rPr>
          <w:lang w:val="es-CO"/>
        </w:rPr>
      </w:pPr>
      <w:r w:rsidRPr="00153A9C">
        <w:rPr>
          <w:lang w:val="es-CO"/>
        </w:rPr>
        <w:t>40.</w:t>
      </w:r>
      <w:r w:rsidRPr="00153A9C">
        <w:rPr>
          <w:lang w:val="es-CO"/>
        </w:rPr>
        <w:tab/>
        <w:t xml:space="preserve">Dado que el Organismo de la Igualdad de Género está adscrito al </w:t>
      </w:r>
      <w:r w:rsidR="00EC3270" w:rsidRPr="00153A9C">
        <w:rPr>
          <w:lang w:val="es-CO"/>
        </w:rPr>
        <w:t>Ministerio de Derechos Humanos y Refugiados</w:t>
      </w:r>
      <w:r w:rsidR="007B004E" w:rsidRPr="00153A9C">
        <w:rPr>
          <w:lang w:val="es-CO"/>
        </w:rPr>
        <w:t xml:space="preserve">, </w:t>
      </w:r>
      <w:r w:rsidRPr="00153A9C">
        <w:rPr>
          <w:lang w:val="es-CO"/>
        </w:rPr>
        <w:t>la cuestión de la financiación está plenamente resuelta.</w:t>
      </w:r>
    </w:p>
    <w:p w:rsidR="000E24E0" w:rsidRPr="00153A9C" w:rsidRDefault="009B29CE" w:rsidP="009B29CE">
      <w:pPr>
        <w:pStyle w:val="H1G"/>
        <w:rPr>
          <w:lang w:val="es-CO"/>
        </w:rPr>
      </w:pPr>
      <w:r>
        <w:rPr>
          <w:lang w:val="es-CO"/>
        </w:rPr>
        <w:tab/>
      </w:r>
      <w:r>
        <w:rPr>
          <w:lang w:val="es-CO"/>
        </w:rPr>
        <w:tab/>
      </w:r>
      <w:r w:rsidR="000E24E0" w:rsidRPr="00153A9C">
        <w:rPr>
          <w:lang w:val="es-CO"/>
        </w:rPr>
        <w:t>Recomendación 35</w:t>
      </w:r>
    </w:p>
    <w:p w:rsidR="000E24E0" w:rsidRPr="00153A9C" w:rsidRDefault="000E24E0" w:rsidP="009B29CE">
      <w:pPr>
        <w:pStyle w:val="SingleTxtG"/>
        <w:rPr>
          <w:lang w:val="es-CO"/>
        </w:rPr>
      </w:pPr>
      <w:r w:rsidRPr="00153A9C">
        <w:rPr>
          <w:lang w:val="es-CO"/>
        </w:rPr>
        <w:t>41.</w:t>
      </w:r>
      <w:r w:rsidRPr="00153A9C">
        <w:rPr>
          <w:lang w:val="es-CO"/>
        </w:rPr>
        <w:tab/>
      </w:r>
      <w:r w:rsidR="007B004E" w:rsidRPr="00153A9C">
        <w:rPr>
          <w:lang w:val="es-CO"/>
        </w:rPr>
        <w:t>Según informaciones d</w:t>
      </w:r>
      <w:r w:rsidRPr="00153A9C">
        <w:rPr>
          <w:lang w:val="es-CO"/>
        </w:rPr>
        <w:t xml:space="preserve">el Organismo de Estadística de Bosnia y Herzegovina, en enero de 2010 el número de empleados en </w:t>
      </w:r>
      <w:r w:rsidR="000825E7">
        <w:rPr>
          <w:lang w:val="es-CO"/>
        </w:rPr>
        <w:t>entidades con personería jurídica</w:t>
      </w:r>
      <w:r w:rsidRPr="00153A9C">
        <w:rPr>
          <w:lang w:val="es-CO"/>
        </w:rPr>
        <w:t xml:space="preserve"> era de 701.431, de los cuales 280</w:t>
      </w:r>
      <w:r w:rsidR="007B004E" w:rsidRPr="00153A9C">
        <w:rPr>
          <w:lang w:val="es-CO"/>
        </w:rPr>
        <w:t>.</w:t>
      </w:r>
      <w:r w:rsidRPr="00153A9C">
        <w:rPr>
          <w:lang w:val="es-CO"/>
        </w:rPr>
        <w:t xml:space="preserve">877 eran mujeres. En comparación con diciembre de 2009, el número total de empleados en </w:t>
      </w:r>
      <w:r w:rsidR="000825E7">
        <w:rPr>
          <w:lang w:val="es-CO"/>
        </w:rPr>
        <w:t>esas entidades</w:t>
      </w:r>
      <w:r w:rsidRPr="00153A9C">
        <w:rPr>
          <w:lang w:val="es-CO"/>
        </w:rPr>
        <w:t xml:space="preserve"> aumentó un 2,2</w:t>
      </w:r>
      <w:r w:rsidR="00962FE1" w:rsidRPr="00153A9C">
        <w:rPr>
          <w:lang w:val="es-CO"/>
        </w:rPr>
        <w:t>%</w:t>
      </w:r>
      <w:r w:rsidRPr="00153A9C">
        <w:rPr>
          <w:lang w:val="es-CO"/>
        </w:rPr>
        <w:t>, mientras que el número de mujeres empleadas creció un 2,1</w:t>
      </w:r>
      <w:r w:rsidR="00962FE1" w:rsidRPr="00153A9C">
        <w:rPr>
          <w:lang w:val="es-CO"/>
        </w:rPr>
        <w:t>%</w:t>
      </w:r>
      <w:r w:rsidRPr="00153A9C">
        <w:rPr>
          <w:lang w:val="es-CO"/>
        </w:rPr>
        <w:t>. La tasa de empleo registrada</w:t>
      </w:r>
      <w:r w:rsidR="007B004E" w:rsidRPr="00153A9C">
        <w:rPr>
          <w:lang w:val="es-CO"/>
        </w:rPr>
        <w:t xml:space="preserve"> en enero de 2010 era del 42,</w:t>
      </w:r>
      <w:r w:rsidRPr="00153A9C">
        <w:rPr>
          <w:lang w:val="es-CO"/>
        </w:rPr>
        <w:t>4</w:t>
      </w:r>
      <w:r w:rsidR="00962FE1" w:rsidRPr="00153A9C">
        <w:rPr>
          <w:lang w:val="es-CO"/>
        </w:rPr>
        <w:t>%</w:t>
      </w:r>
      <w:r w:rsidRPr="00153A9C">
        <w:rPr>
          <w:lang w:val="es-CO"/>
        </w:rPr>
        <w:t>, es decir, un 0,3</w:t>
      </w:r>
      <w:r w:rsidR="00962FE1" w:rsidRPr="00153A9C">
        <w:rPr>
          <w:lang w:val="es-CO"/>
        </w:rPr>
        <w:t>%</w:t>
      </w:r>
      <w:r w:rsidRPr="00153A9C">
        <w:rPr>
          <w:lang w:val="es-CO"/>
        </w:rPr>
        <w:t xml:space="preserve"> menos que en diciembre de 2009.</w:t>
      </w:r>
    </w:p>
    <w:p w:rsidR="000E24E0" w:rsidRPr="00153A9C" w:rsidRDefault="000E24E0" w:rsidP="009B29CE">
      <w:pPr>
        <w:pStyle w:val="SingleTxtG"/>
        <w:rPr>
          <w:lang w:val="es-CO"/>
        </w:rPr>
      </w:pPr>
      <w:r w:rsidRPr="00153A9C">
        <w:rPr>
          <w:lang w:val="es-CO"/>
        </w:rPr>
        <w:t>42.</w:t>
      </w:r>
      <w:r w:rsidRPr="00153A9C">
        <w:rPr>
          <w:lang w:val="es-CO"/>
        </w:rPr>
        <w:tab/>
        <w:t>De acuerdo con los institutos y oficinas de empleo de Bosnia y Herzegovina, el 31 de enero de 2010 había 516.321 personas desempleadas registradas, lo que representaba un aumento del 1,12</w:t>
      </w:r>
      <w:r w:rsidR="00962FE1" w:rsidRPr="00153A9C">
        <w:rPr>
          <w:lang w:val="es-CO"/>
        </w:rPr>
        <w:t>%</w:t>
      </w:r>
      <w:r w:rsidRPr="00153A9C">
        <w:rPr>
          <w:lang w:val="es-CO"/>
        </w:rPr>
        <w:t xml:space="preserve"> (5.741 personas) con respecto al 31 de diciembre de 2009. Del número total de personas que buscan empleo, 257</w:t>
      </w:r>
      <w:r w:rsidR="007B004E" w:rsidRPr="00153A9C">
        <w:rPr>
          <w:lang w:val="es-CO"/>
        </w:rPr>
        <w:t>.</w:t>
      </w:r>
      <w:r w:rsidRPr="00153A9C">
        <w:rPr>
          <w:lang w:val="es-CO"/>
        </w:rPr>
        <w:t>489 (49,87</w:t>
      </w:r>
      <w:r w:rsidR="00962FE1" w:rsidRPr="00153A9C">
        <w:rPr>
          <w:lang w:val="es-CO"/>
        </w:rPr>
        <w:t>%</w:t>
      </w:r>
      <w:r w:rsidRPr="00153A9C">
        <w:rPr>
          <w:lang w:val="es-CO"/>
        </w:rPr>
        <w:t>) eran mujeres.</w:t>
      </w:r>
    </w:p>
    <w:p w:rsidR="000E24E0" w:rsidRPr="00153A9C" w:rsidRDefault="000E24E0" w:rsidP="009B29CE">
      <w:pPr>
        <w:pStyle w:val="SingleTxtG"/>
        <w:rPr>
          <w:lang w:val="es-CO"/>
        </w:rPr>
      </w:pPr>
      <w:r w:rsidRPr="00153A9C">
        <w:rPr>
          <w:lang w:val="es-CO"/>
        </w:rPr>
        <w:t xml:space="preserve">43. </w:t>
      </w:r>
      <w:r w:rsidRPr="00153A9C">
        <w:rPr>
          <w:lang w:val="es-CO"/>
        </w:rPr>
        <w:tab/>
        <w:t>La lentitud de la creación de empleo y la escasa demanda de trabajo son los problemas claves del desempleo en Bosnia y Herzegovina, y el nivel existente de creación de empleo no puede absorber la incorporación de trabajadores al mercado de trabajo.</w:t>
      </w:r>
      <w:r w:rsidR="00E7228F" w:rsidRPr="00153A9C">
        <w:rPr>
          <w:lang w:val="es-CO"/>
        </w:rPr>
        <w:t xml:space="preserve"> </w:t>
      </w:r>
    </w:p>
    <w:p w:rsidR="000E24E0" w:rsidRPr="00153A9C" w:rsidRDefault="000E24E0" w:rsidP="009B29CE">
      <w:pPr>
        <w:pStyle w:val="SingleTxtG"/>
        <w:rPr>
          <w:lang w:val="es-CO"/>
        </w:rPr>
      </w:pPr>
      <w:r w:rsidRPr="00153A9C">
        <w:rPr>
          <w:lang w:val="es-CO"/>
        </w:rPr>
        <w:t>44.</w:t>
      </w:r>
      <w:r w:rsidRPr="00153A9C">
        <w:rPr>
          <w:lang w:val="es-CO"/>
        </w:rPr>
        <w:tab/>
        <w:t>Bosnia y Herzegovina está preparando actualmente tres documentos estratégicos</w:t>
      </w:r>
      <w:r w:rsidR="00E7228F" w:rsidRPr="00153A9C">
        <w:rPr>
          <w:lang w:val="es-CO"/>
        </w:rPr>
        <w:t xml:space="preserve"> </w:t>
      </w:r>
      <w:r w:rsidR="0073188F" w:rsidRPr="00153A9C">
        <w:rPr>
          <w:lang w:val="es-CO"/>
        </w:rPr>
        <w:t xml:space="preserve">para el período comprendido entre </w:t>
      </w:r>
      <w:r w:rsidR="00E7228F" w:rsidRPr="00153A9C">
        <w:rPr>
          <w:lang w:val="es-CO"/>
        </w:rPr>
        <w:t>2010</w:t>
      </w:r>
      <w:r w:rsidR="0073188F" w:rsidRPr="00153A9C">
        <w:rPr>
          <w:lang w:val="es-CO"/>
        </w:rPr>
        <w:t xml:space="preserve"> y </w:t>
      </w:r>
      <w:r w:rsidR="00E7228F" w:rsidRPr="00153A9C">
        <w:rPr>
          <w:lang w:val="es-CO"/>
        </w:rPr>
        <w:t>2014</w:t>
      </w:r>
      <w:r w:rsidRPr="00153A9C">
        <w:rPr>
          <w:lang w:val="es-CO"/>
        </w:rPr>
        <w:t xml:space="preserve">: la Estrategia de desarrollo, la Estrategia de inclusión social y la Estrategia de empleo. El proceso de preparación de esos documentos y la coordinación de las actividades es competencia de la Dirección de Planificación Económica, mientras que la coordinación se lleva a cabo en asociación con los </w:t>
      </w:r>
      <w:r w:rsidR="007B004E" w:rsidRPr="00153A9C">
        <w:rPr>
          <w:lang w:val="es-CO"/>
        </w:rPr>
        <w:t>g</w:t>
      </w:r>
      <w:r w:rsidRPr="00153A9C">
        <w:rPr>
          <w:lang w:val="es-CO"/>
        </w:rPr>
        <w:t xml:space="preserve">obiernos de la Federación, </w:t>
      </w:r>
      <w:smartTag w:uri="urn:schemas-microsoft-com:office:smarttags" w:element="PersonName">
        <w:smartTagPr>
          <w:attr w:name="ProductID" w:val="la Rep￺blica Srpska"/>
        </w:smartTagPr>
        <w:r w:rsidRPr="00153A9C">
          <w:rPr>
            <w:lang w:val="es-CO"/>
          </w:rPr>
          <w:t>la República Srpska</w:t>
        </w:r>
      </w:smartTag>
      <w:r w:rsidRPr="00153A9C">
        <w:rPr>
          <w:lang w:val="es-CO"/>
        </w:rPr>
        <w:t xml:space="preserve"> y el Distrito Brčko, y un gran número de participantes del sector gubernamental y la sociedad civil. </w:t>
      </w:r>
    </w:p>
    <w:p w:rsidR="000E24E0" w:rsidRPr="00153A9C" w:rsidRDefault="000E24E0" w:rsidP="009B29CE">
      <w:pPr>
        <w:pStyle w:val="SingleTxtG"/>
        <w:rPr>
          <w:lang w:val="es-CO"/>
        </w:rPr>
      </w:pPr>
      <w:r w:rsidRPr="00153A9C">
        <w:rPr>
          <w:lang w:val="es-CO"/>
        </w:rPr>
        <w:t>45.</w:t>
      </w:r>
      <w:r w:rsidRPr="00153A9C">
        <w:rPr>
          <w:lang w:val="es-CO"/>
        </w:rPr>
        <w:tab/>
        <w:t xml:space="preserve">En el mercado de trabajo de Bosnia y Herzegovina se han identificado los siguientes grupos vulnerables: mujeres, jóvenes de </w:t>
      </w:r>
      <w:smartTag w:uri="urn:schemas-microsoft-com:office:smarttags" w:element="metricconverter">
        <w:smartTagPr>
          <w:attr w:name="ProductID" w:val="15 a"/>
        </w:smartTagPr>
        <w:r w:rsidRPr="00153A9C">
          <w:rPr>
            <w:lang w:val="es-CO"/>
          </w:rPr>
          <w:t>15 a</w:t>
        </w:r>
      </w:smartTag>
      <w:r w:rsidRPr="00153A9C">
        <w:rPr>
          <w:lang w:val="es-CO"/>
        </w:rPr>
        <w:t xml:space="preserve"> 24 años de edad, personas con discapacidad y romaníes.</w:t>
      </w:r>
    </w:p>
    <w:p w:rsidR="000E24E0" w:rsidRPr="00153A9C" w:rsidRDefault="000E24E0" w:rsidP="009B29CE">
      <w:pPr>
        <w:pStyle w:val="SingleTxtG"/>
        <w:rPr>
          <w:lang w:val="es-CO"/>
        </w:rPr>
      </w:pPr>
      <w:r w:rsidRPr="00153A9C">
        <w:rPr>
          <w:lang w:val="es-CO"/>
        </w:rPr>
        <w:t xml:space="preserve">46. </w:t>
      </w:r>
      <w:r w:rsidRPr="00153A9C">
        <w:rPr>
          <w:lang w:val="es-CO"/>
        </w:rPr>
        <w:tab/>
        <w:t xml:space="preserve">A fin de adoptar las medidas adecuadas para corregir el problema del desempleo y la inactividad, en particular de la mujer, el </w:t>
      </w:r>
      <w:r w:rsidR="007B004E" w:rsidRPr="00153A9C">
        <w:rPr>
          <w:lang w:val="es-CO"/>
        </w:rPr>
        <w:t xml:space="preserve">Organismo de Igualdad de Género </w:t>
      </w:r>
      <w:r w:rsidRPr="00153A9C">
        <w:rPr>
          <w:lang w:val="es-CO"/>
        </w:rPr>
        <w:t xml:space="preserve">de Bosnia y Herzegovina, en cooperación con el Centro de Género de la Federación de Bosnia y Herzegovina, el Centro de Género de </w:t>
      </w:r>
      <w:smartTag w:uri="urn:schemas-microsoft-com:office:smarttags" w:element="PersonName">
        <w:smartTagPr>
          <w:attr w:name="ProductID" w:val="la Rep￺blica Srpska"/>
        </w:smartTagPr>
        <w:r w:rsidRPr="00153A9C">
          <w:rPr>
            <w:lang w:val="es-CO"/>
          </w:rPr>
          <w:t>la República Srpska</w:t>
        </w:r>
      </w:smartTag>
      <w:r w:rsidRPr="00153A9C">
        <w:rPr>
          <w:lang w:val="es-CO"/>
        </w:rPr>
        <w:t xml:space="preserve"> y organizaciones no gubernamentales e internacionales, llevó a cabo las siguientes investigaciones: </w:t>
      </w:r>
      <w:r w:rsidR="00E738E3">
        <w:rPr>
          <w:lang w:val="es-CO"/>
        </w:rPr>
        <w:t>"</w:t>
      </w:r>
      <w:r w:rsidRPr="00153A9C">
        <w:rPr>
          <w:lang w:val="es-CO"/>
        </w:rPr>
        <w:t xml:space="preserve">Desempleo y condición socioeconómica de </w:t>
      </w:r>
      <w:smartTag w:uri="urn:schemas-microsoft-com:office:smarttags" w:element="PersonName">
        <w:smartTagPr>
          <w:attr w:name="ProductID" w:val="la mujer. El"/>
        </w:smartTagPr>
        <w:r w:rsidRPr="00153A9C">
          <w:rPr>
            <w:lang w:val="es-CO"/>
          </w:rPr>
          <w:t>la mujer. El</w:t>
        </w:r>
      </w:smartTag>
      <w:r w:rsidRPr="00153A9C">
        <w:rPr>
          <w:lang w:val="es-CO"/>
        </w:rPr>
        <w:t xml:space="preserve"> caso de Bosnia y Herzegovina</w:t>
      </w:r>
      <w:r w:rsidR="00E738E3">
        <w:rPr>
          <w:lang w:val="es-CO"/>
        </w:rPr>
        <w:t>"</w:t>
      </w:r>
      <w:r w:rsidRPr="00153A9C">
        <w:rPr>
          <w:lang w:val="es-CO"/>
        </w:rPr>
        <w:t xml:space="preserve">, </w:t>
      </w:r>
      <w:r w:rsidR="00E738E3">
        <w:rPr>
          <w:lang w:val="es-CO"/>
        </w:rPr>
        <w:t>"</w:t>
      </w:r>
      <w:r w:rsidRPr="00153A9C">
        <w:rPr>
          <w:lang w:val="es-CO"/>
        </w:rPr>
        <w:t>Barómetro de género</w:t>
      </w:r>
      <w:r w:rsidR="00E738E3">
        <w:rPr>
          <w:lang w:val="es-CO"/>
        </w:rPr>
        <w:t>"</w:t>
      </w:r>
      <w:r w:rsidRPr="00153A9C">
        <w:rPr>
          <w:lang w:val="es-CO"/>
        </w:rPr>
        <w:t xml:space="preserve">, </w:t>
      </w:r>
      <w:r w:rsidR="00E738E3">
        <w:rPr>
          <w:lang w:val="es-CO"/>
        </w:rPr>
        <w:t>"</w:t>
      </w:r>
      <w:r w:rsidRPr="00153A9C">
        <w:rPr>
          <w:lang w:val="es-CO"/>
        </w:rPr>
        <w:t>Condición socioeconómica de la mujer en Bosnia y Herzegovina</w:t>
      </w:r>
      <w:r w:rsidR="00E738E3">
        <w:rPr>
          <w:lang w:val="es-CO"/>
        </w:rPr>
        <w:t>"</w:t>
      </w:r>
      <w:r w:rsidRPr="00153A9C">
        <w:rPr>
          <w:lang w:val="es-CO"/>
        </w:rPr>
        <w:t xml:space="preserve">, </w:t>
      </w:r>
      <w:r w:rsidR="00E738E3">
        <w:rPr>
          <w:lang w:val="es-CO"/>
        </w:rPr>
        <w:t>"</w:t>
      </w:r>
      <w:r w:rsidRPr="00153A9C">
        <w:rPr>
          <w:lang w:val="es-CO"/>
        </w:rPr>
        <w:t>Investigación documental sobre la situación actual del mercado de trabajo en Bosnia y Herzegovina</w:t>
      </w:r>
      <w:r w:rsidR="00E738E3">
        <w:rPr>
          <w:lang w:val="es-CO"/>
        </w:rPr>
        <w:t>"</w:t>
      </w:r>
      <w:r w:rsidRPr="00153A9C">
        <w:rPr>
          <w:lang w:val="es-CO"/>
        </w:rPr>
        <w:t xml:space="preserve">, </w:t>
      </w:r>
      <w:r w:rsidR="00E738E3">
        <w:rPr>
          <w:lang w:val="es-CO"/>
        </w:rPr>
        <w:t>"</w:t>
      </w:r>
      <w:r w:rsidR="001D1E01">
        <w:rPr>
          <w:lang w:val="es-CO"/>
        </w:rPr>
        <w:t>Brecha</w:t>
      </w:r>
      <w:r w:rsidR="001D1E01" w:rsidRPr="00153A9C">
        <w:rPr>
          <w:lang w:val="es-CO"/>
        </w:rPr>
        <w:t xml:space="preserve"> </w:t>
      </w:r>
      <w:r w:rsidRPr="00153A9C">
        <w:rPr>
          <w:lang w:val="es-CO"/>
        </w:rPr>
        <w:t>de género en los ingresos de Bosnia y Herzegovina</w:t>
      </w:r>
      <w:r w:rsidR="00E738E3">
        <w:rPr>
          <w:lang w:val="es-CO"/>
        </w:rPr>
        <w:t>"</w:t>
      </w:r>
      <w:r w:rsidRPr="00153A9C">
        <w:rPr>
          <w:lang w:val="es-CO"/>
        </w:rPr>
        <w:t xml:space="preserve"> en 2008 y </w:t>
      </w:r>
      <w:r w:rsidR="00E738E3">
        <w:rPr>
          <w:lang w:val="es-CO"/>
        </w:rPr>
        <w:t>"</w:t>
      </w:r>
      <w:r w:rsidRPr="00153A9C">
        <w:rPr>
          <w:lang w:val="es-CO"/>
        </w:rPr>
        <w:t>Situación de la mujer en los Balcanes</w:t>
      </w:r>
      <w:r w:rsidR="00E738E3">
        <w:rPr>
          <w:lang w:val="es-CO"/>
        </w:rPr>
        <w:t>"</w:t>
      </w:r>
      <w:r w:rsidRPr="00153A9C">
        <w:rPr>
          <w:lang w:val="es-CO"/>
        </w:rPr>
        <w:t>.</w:t>
      </w:r>
    </w:p>
    <w:p w:rsidR="000E24E0" w:rsidRPr="00153A9C" w:rsidRDefault="000E24E0" w:rsidP="009B29CE">
      <w:pPr>
        <w:pStyle w:val="SingleTxtG"/>
        <w:rPr>
          <w:lang w:val="es-CO"/>
        </w:rPr>
      </w:pPr>
      <w:r w:rsidRPr="00153A9C">
        <w:rPr>
          <w:lang w:val="es-CO"/>
        </w:rPr>
        <w:t xml:space="preserve">47. Teniendo en cuenta las conclusiones de esos estudios, cabe señalar que los mayores problemas relacionados con el trabajo y el empleo de la mujer son los siguientes: 1) menor nivel de instrucción, tasas más bajas de actividad y empleo, desventaja de la mujer en el mercado de trabajo y opción limitada de ocupaciones; 2) </w:t>
      </w:r>
      <w:r w:rsidR="001D1E01">
        <w:rPr>
          <w:lang w:val="es-CO"/>
        </w:rPr>
        <w:t xml:space="preserve">obstáculos que encuentran </w:t>
      </w:r>
      <w:r w:rsidRPr="00153A9C">
        <w:rPr>
          <w:lang w:val="es-CO"/>
        </w:rPr>
        <w:t xml:space="preserve">las mujeres </w:t>
      </w:r>
      <w:r w:rsidR="001D1E01">
        <w:rPr>
          <w:lang w:val="es-CO"/>
        </w:rPr>
        <w:t>en el acceso al</w:t>
      </w:r>
      <w:r w:rsidRPr="00153A9C">
        <w:rPr>
          <w:lang w:val="es-CO"/>
        </w:rPr>
        <w:t xml:space="preserve"> empleo, como el sesgo en el empleo</w:t>
      </w:r>
      <w:r w:rsidR="007B004E" w:rsidRPr="00153A9C">
        <w:rPr>
          <w:lang w:val="es-CO"/>
        </w:rPr>
        <w:t xml:space="preserve">, </w:t>
      </w:r>
      <w:r w:rsidRPr="00153A9C">
        <w:rPr>
          <w:lang w:val="es-CO"/>
        </w:rPr>
        <w:t>la concepción tradicional del papel de la mujer en la sociedad</w:t>
      </w:r>
      <w:r w:rsidR="007B004E" w:rsidRPr="00153A9C">
        <w:rPr>
          <w:lang w:val="es-CO"/>
        </w:rPr>
        <w:t xml:space="preserve"> y</w:t>
      </w:r>
      <w:r w:rsidRPr="00153A9C">
        <w:rPr>
          <w:lang w:val="es-CO"/>
        </w:rPr>
        <w:t xml:space="preserve"> su responsabilidad exclusiva de cuidar a los niños y cumplir las obligaciones familiares; 3) debido a su ausencia del mercado de trabajo, </w:t>
      </w:r>
      <w:r w:rsidR="001D1E01">
        <w:rPr>
          <w:lang w:val="es-CO"/>
        </w:rPr>
        <w:t>riesgo de que los conocimientos y aptitudes de</w:t>
      </w:r>
      <w:r w:rsidR="003B050C">
        <w:rPr>
          <w:lang w:val="es-CO"/>
        </w:rPr>
        <w:t xml:space="preserve"> </w:t>
      </w:r>
      <w:r w:rsidRPr="00153A9C">
        <w:rPr>
          <w:lang w:val="es-CO"/>
        </w:rPr>
        <w:t>queden desfasados, lo que hace que tengan problemas para reincorporarse al mercado de trabajo</w:t>
      </w:r>
      <w:r w:rsidR="007062E7">
        <w:rPr>
          <w:lang w:val="es-CO"/>
        </w:rPr>
        <w:t>;</w:t>
      </w:r>
      <w:r w:rsidRPr="00153A9C">
        <w:rPr>
          <w:lang w:val="es-CO"/>
        </w:rPr>
        <w:t xml:space="preserve"> 4) en particular, </w:t>
      </w:r>
      <w:r w:rsidR="001D1E01" w:rsidRPr="00153A9C">
        <w:rPr>
          <w:lang w:val="es-CO"/>
        </w:rPr>
        <w:t xml:space="preserve">riesgo de desempleo y marginación en el mercado de trabajo </w:t>
      </w:r>
      <w:r w:rsidR="001D1E01">
        <w:rPr>
          <w:lang w:val="es-CO"/>
        </w:rPr>
        <w:t xml:space="preserve">entre </w:t>
      </w:r>
      <w:r w:rsidRPr="00153A9C">
        <w:rPr>
          <w:lang w:val="es-CO"/>
        </w:rPr>
        <w:t>las mujeres con nivel de instrucción bajo</w:t>
      </w:r>
      <w:r w:rsidR="003B050C">
        <w:rPr>
          <w:lang w:val="es-CO"/>
        </w:rPr>
        <w:t xml:space="preserve"> </w:t>
      </w:r>
      <w:r w:rsidRPr="00153A9C">
        <w:rPr>
          <w:lang w:val="es-CO"/>
        </w:rPr>
        <w:t xml:space="preserve">debido al desfase de sus aptitudes técnicas y </w:t>
      </w:r>
      <w:r w:rsidR="007B004E" w:rsidRPr="00153A9C">
        <w:rPr>
          <w:lang w:val="es-CO"/>
        </w:rPr>
        <w:t xml:space="preserve">a </w:t>
      </w:r>
      <w:r w:rsidRPr="00153A9C">
        <w:rPr>
          <w:lang w:val="es-CO"/>
        </w:rPr>
        <w:t>la inexistencia de servicios de aprendizaje permanente.</w:t>
      </w:r>
    </w:p>
    <w:p w:rsidR="000E24E0" w:rsidRPr="00153A9C" w:rsidRDefault="000E24E0" w:rsidP="009B29CE">
      <w:pPr>
        <w:pStyle w:val="SingleTxtG"/>
        <w:rPr>
          <w:lang w:val="es-CO"/>
        </w:rPr>
      </w:pPr>
      <w:r w:rsidRPr="00153A9C">
        <w:rPr>
          <w:lang w:val="es-CO"/>
        </w:rPr>
        <w:t xml:space="preserve">48. </w:t>
      </w:r>
      <w:r w:rsidRPr="00153A9C">
        <w:rPr>
          <w:lang w:val="es-CO"/>
        </w:rPr>
        <w:tab/>
        <w:t xml:space="preserve">En respuesta a esos problemas, el </w:t>
      </w:r>
      <w:r w:rsidR="0037440B" w:rsidRPr="00153A9C">
        <w:rPr>
          <w:lang w:val="es-CO"/>
        </w:rPr>
        <w:t>Organismo de Igualdad de Género</w:t>
      </w:r>
      <w:r w:rsidRPr="00153A9C">
        <w:rPr>
          <w:lang w:val="es-CO"/>
        </w:rPr>
        <w:t xml:space="preserve"> de Bosnia y Herzegovina y los centros de género de las Entidades han participado en la integración de medidas especiales para la contratación de mujeres en las estrategias de empleo, han realizado varias iniciativas para mejorar la legislación a fin de alentar la contratación de mujeres y proteger a estas en el trabajo y han emprendido iniciativas relacionadas con el diseño y financiación de programas y actividades que fomenten el empleo de las mujeres.</w:t>
      </w:r>
    </w:p>
    <w:p w:rsidR="000E24E0" w:rsidRPr="00153A9C" w:rsidRDefault="000E24E0" w:rsidP="009B29CE">
      <w:pPr>
        <w:pStyle w:val="SingleTxtG"/>
        <w:rPr>
          <w:lang w:val="es-CO"/>
        </w:rPr>
      </w:pPr>
      <w:r w:rsidRPr="00153A9C">
        <w:rPr>
          <w:lang w:val="es-CO"/>
        </w:rPr>
        <w:t xml:space="preserve">49. </w:t>
      </w:r>
      <w:r w:rsidRPr="00153A9C">
        <w:rPr>
          <w:lang w:val="es-CO"/>
        </w:rPr>
        <w:tab/>
        <w:t xml:space="preserve">Teniendo en cuenta los problemas de las mujeres en el empleo, la Estrategia de empleo de la Federación de Bosnia y Herzegovina está prestando especial atención a las siguientes esferas: realización de campañas encaminadas a alentar a las personas inactivas a inscribirse en la Oficina de Empleo, inclusión de grupos inactivos, un programa de medidas activas para las mujeres inactivas, eliminación de la discriminación de género en el trabajo, en el reclutamiento, la educación y el mercado </w:t>
      </w:r>
      <w:r w:rsidR="00485695" w:rsidRPr="00153A9C">
        <w:rPr>
          <w:lang w:val="es-CO"/>
        </w:rPr>
        <w:t>laboral</w:t>
      </w:r>
      <w:r w:rsidRPr="00153A9C">
        <w:rPr>
          <w:lang w:val="es-CO"/>
        </w:rPr>
        <w:t xml:space="preserve">, garantía de la igualdad de oportunidades de las mujeres y los hombres en esos ámbitos y armonización de los deberes laborales y familiares. </w:t>
      </w:r>
    </w:p>
    <w:p w:rsidR="000E24E0" w:rsidRPr="00153A9C" w:rsidRDefault="000E24E0" w:rsidP="009B29CE">
      <w:pPr>
        <w:pStyle w:val="SingleTxtG"/>
        <w:rPr>
          <w:lang w:val="es-CO"/>
        </w:rPr>
      </w:pPr>
      <w:r w:rsidRPr="00153A9C">
        <w:rPr>
          <w:lang w:val="es-CO"/>
        </w:rPr>
        <w:t>50.</w:t>
      </w:r>
      <w:r w:rsidRPr="00153A9C">
        <w:rPr>
          <w:lang w:val="es-CO"/>
        </w:rPr>
        <w:tab/>
        <w:t xml:space="preserve">Un resultado previsto de la Estrategia de empleo de la Federación de Bosnia y Herzegovina es </w:t>
      </w:r>
      <w:r w:rsidR="0093494B">
        <w:rPr>
          <w:lang w:val="es-CO"/>
        </w:rPr>
        <w:t>el</w:t>
      </w:r>
      <w:r w:rsidR="0093494B" w:rsidRPr="00153A9C">
        <w:rPr>
          <w:lang w:val="es-CO"/>
        </w:rPr>
        <w:t xml:space="preserve"> </w:t>
      </w:r>
      <w:r w:rsidRPr="00153A9C">
        <w:rPr>
          <w:lang w:val="es-CO"/>
        </w:rPr>
        <w:t>aumento del empleo femenino, que pasaría del 21,1</w:t>
      </w:r>
      <w:r w:rsidR="00962FE1" w:rsidRPr="00153A9C">
        <w:rPr>
          <w:lang w:val="es-CO"/>
        </w:rPr>
        <w:t>%</w:t>
      </w:r>
      <w:r w:rsidRPr="00153A9C">
        <w:rPr>
          <w:lang w:val="es-CO"/>
        </w:rPr>
        <w:t xml:space="preserve"> registrado en 2008 al 40</w:t>
      </w:r>
      <w:r w:rsidR="00962FE1" w:rsidRPr="00153A9C">
        <w:rPr>
          <w:lang w:val="es-CO"/>
        </w:rPr>
        <w:t>%</w:t>
      </w:r>
      <w:r w:rsidRPr="00153A9C">
        <w:rPr>
          <w:lang w:val="es-CO"/>
        </w:rPr>
        <w:t xml:space="preserve"> para finales de 2013.</w:t>
      </w:r>
    </w:p>
    <w:p w:rsidR="000E24E0" w:rsidRPr="00153A9C" w:rsidRDefault="000E24E0" w:rsidP="009B29CE">
      <w:pPr>
        <w:pStyle w:val="SingleTxtG"/>
        <w:rPr>
          <w:lang w:val="es-CO"/>
        </w:rPr>
      </w:pPr>
      <w:r w:rsidRPr="00153A9C">
        <w:rPr>
          <w:lang w:val="es-CO"/>
        </w:rPr>
        <w:t>51.</w:t>
      </w:r>
      <w:r w:rsidRPr="00153A9C">
        <w:rPr>
          <w:lang w:val="es-CO"/>
        </w:rPr>
        <w:tab/>
        <w:t xml:space="preserve">El objetivo de la Estrategia de empleo de </w:t>
      </w:r>
      <w:smartTag w:uri="urn:schemas-microsoft-com:office:smarttags" w:element="PersonName">
        <w:smartTagPr>
          <w:attr w:name="ProductID" w:val="la Rep￺blica Srpska"/>
        </w:smartTagPr>
        <w:r w:rsidRPr="00153A9C">
          <w:rPr>
            <w:lang w:val="es-CO"/>
          </w:rPr>
          <w:t>la República Srpska</w:t>
        </w:r>
      </w:smartTag>
      <w:r w:rsidRPr="00153A9C">
        <w:rPr>
          <w:lang w:val="es-CO"/>
        </w:rPr>
        <w:t xml:space="preserve"> es aumentar las tasas de empleo de las mujeres orientando la promoción del acceso a los mercados y eleva</w:t>
      </w:r>
      <w:r w:rsidR="00485695" w:rsidRPr="00153A9C">
        <w:rPr>
          <w:lang w:val="es-CO"/>
        </w:rPr>
        <w:t>ndo</w:t>
      </w:r>
      <w:r w:rsidRPr="00153A9C">
        <w:rPr>
          <w:lang w:val="es-CO"/>
        </w:rPr>
        <w:t xml:space="preserve"> las oportunidades de empleo de las mujeres desempleadas e inactivas. A este respecto, las medidas y programas activos tratan de alentar a las mujeres inactivas que buscan empleo a darse de alta en los </w:t>
      </w:r>
      <w:r w:rsidR="00485695" w:rsidRPr="00153A9C">
        <w:rPr>
          <w:lang w:val="es-CO"/>
        </w:rPr>
        <w:t>servicios públicos de empleo</w:t>
      </w:r>
      <w:r w:rsidRPr="00153A9C">
        <w:rPr>
          <w:lang w:val="es-CO"/>
        </w:rPr>
        <w:t>, aumentar las tasas de empleo de las mujeres haciendo especial hincapié en el acceso a los mercados y el incremento de las oportunidades de empleo y el empleo por cuenta propia para las mujeres desempleadas e inactivas; actividades que promuevan el acceso activo al mercado de trabajo y mejoren las calificaciones y conocimientos y aptitudes de esas personas para su inclusión en el proceso de reclutamiento</w:t>
      </w:r>
      <w:r w:rsidR="00485695" w:rsidRPr="00153A9C">
        <w:rPr>
          <w:lang w:val="es-CO"/>
        </w:rPr>
        <w:t>;</w:t>
      </w:r>
      <w:r w:rsidRPr="00153A9C">
        <w:rPr>
          <w:lang w:val="es-CO"/>
        </w:rPr>
        <w:t xml:space="preserve"> y mayor compatibilidad de la vida familiar y laboral, a fin de eliminar la inactividad </w:t>
      </w:r>
      <w:r w:rsidR="00485695" w:rsidRPr="00153A9C">
        <w:rPr>
          <w:lang w:val="es-CO"/>
        </w:rPr>
        <w:t xml:space="preserve">deliberada </w:t>
      </w:r>
      <w:r w:rsidRPr="00153A9C">
        <w:rPr>
          <w:lang w:val="es-CO"/>
        </w:rPr>
        <w:t xml:space="preserve">de las mujeres cuando es provocada por las obligaciones familiares. </w:t>
      </w:r>
    </w:p>
    <w:p w:rsidR="000E24E0" w:rsidRPr="00153A9C" w:rsidRDefault="000E24E0" w:rsidP="009B29CE">
      <w:pPr>
        <w:pStyle w:val="SingleTxtG"/>
        <w:rPr>
          <w:lang w:val="es-CO"/>
        </w:rPr>
      </w:pPr>
      <w:r w:rsidRPr="00153A9C">
        <w:rPr>
          <w:lang w:val="es-CO"/>
        </w:rPr>
        <w:t>52.</w:t>
      </w:r>
      <w:r w:rsidRPr="00153A9C">
        <w:rPr>
          <w:lang w:val="es-CO"/>
        </w:rPr>
        <w:tab/>
        <w:t xml:space="preserve">Un resultado previsto de la Estrategia de empleo de </w:t>
      </w:r>
      <w:smartTag w:uri="urn:schemas-microsoft-com:office:smarttags" w:element="PersonName">
        <w:smartTagPr>
          <w:attr w:name="ProductID" w:val="la Rep￺blica Srpska"/>
        </w:smartTagPr>
        <w:r w:rsidRPr="00153A9C">
          <w:rPr>
            <w:lang w:val="es-CO"/>
          </w:rPr>
          <w:t>la República Srpska</w:t>
        </w:r>
      </w:smartTag>
      <w:r w:rsidRPr="00153A9C">
        <w:rPr>
          <w:lang w:val="es-CO"/>
        </w:rPr>
        <w:t xml:space="preserve"> es un aumento del empleo femenino, que subiría del 38,3</w:t>
      </w:r>
      <w:r w:rsidR="00962FE1" w:rsidRPr="00153A9C">
        <w:rPr>
          <w:lang w:val="es-CO"/>
        </w:rPr>
        <w:t>%</w:t>
      </w:r>
      <w:r w:rsidRPr="00153A9C">
        <w:rPr>
          <w:lang w:val="es-CO"/>
        </w:rPr>
        <w:t xml:space="preserve"> </w:t>
      </w:r>
      <w:r w:rsidR="00485695" w:rsidRPr="00153A9C">
        <w:rPr>
          <w:lang w:val="es-CO"/>
        </w:rPr>
        <w:t xml:space="preserve">en </w:t>
      </w:r>
      <w:r w:rsidRPr="00153A9C">
        <w:rPr>
          <w:lang w:val="es-CO"/>
        </w:rPr>
        <w:t>2009 al 46</w:t>
      </w:r>
      <w:r w:rsidR="00962FE1" w:rsidRPr="00153A9C">
        <w:rPr>
          <w:lang w:val="es-CO"/>
        </w:rPr>
        <w:t>%</w:t>
      </w:r>
      <w:r w:rsidRPr="00153A9C">
        <w:rPr>
          <w:lang w:val="es-CO"/>
        </w:rPr>
        <w:t xml:space="preserve"> a finales de 2014.</w:t>
      </w:r>
    </w:p>
    <w:p w:rsidR="000E24E0" w:rsidRPr="00153A9C" w:rsidRDefault="009B29CE" w:rsidP="009B29CE">
      <w:pPr>
        <w:pStyle w:val="H23G"/>
        <w:rPr>
          <w:lang w:val="es-CO"/>
        </w:rPr>
      </w:pPr>
      <w:r>
        <w:rPr>
          <w:lang w:val="es-CO"/>
        </w:rPr>
        <w:tab/>
      </w:r>
      <w:r w:rsidR="007D3038" w:rsidRPr="00153A9C">
        <w:rPr>
          <w:lang w:val="es-CO"/>
        </w:rPr>
        <w:t>1.</w:t>
      </w:r>
      <w:r w:rsidR="007D3038" w:rsidRPr="00153A9C">
        <w:rPr>
          <w:lang w:val="es-CO"/>
        </w:rPr>
        <w:tab/>
      </w:r>
      <w:r w:rsidR="000E24E0" w:rsidRPr="00153A9C">
        <w:rPr>
          <w:lang w:val="es-CO"/>
        </w:rPr>
        <w:t>Programas especiales para el empleo de mujeres en la Fed</w:t>
      </w:r>
      <w:r>
        <w:rPr>
          <w:lang w:val="es-CO"/>
        </w:rPr>
        <w:t>eración de Bosnia y Herzegovina</w:t>
      </w:r>
    </w:p>
    <w:p w:rsidR="000E24E0" w:rsidRPr="00153A9C" w:rsidRDefault="000E24E0" w:rsidP="009B29CE">
      <w:pPr>
        <w:pStyle w:val="SingleTxtG"/>
        <w:rPr>
          <w:lang w:val="es-CO"/>
        </w:rPr>
      </w:pPr>
      <w:r w:rsidRPr="00153A9C">
        <w:rPr>
          <w:lang w:val="es-CO"/>
        </w:rPr>
        <w:t>53.</w:t>
      </w:r>
      <w:r w:rsidRPr="00153A9C">
        <w:rPr>
          <w:lang w:val="es-CO"/>
        </w:rPr>
        <w:tab/>
        <w:t xml:space="preserve">Los programas de trabajo de 2009 y 2010 del </w:t>
      </w:r>
      <w:r w:rsidR="00485695" w:rsidRPr="00153A9C">
        <w:rPr>
          <w:lang w:val="es-CO"/>
        </w:rPr>
        <w:t>Instituto Federal de Empleo</w:t>
      </w:r>
      <w:r w:rsidRPr="00153A9C">
        <w:rPr>
          <w:lang w:val="es-CO"/>
        </w:rPr>
        <w:t xml:space="preserve">, institución pública </w:t>
      </w:r>
      <w:r w:rsidR="00E7228F" w:rsidRPr="00153A9C">
        <w:rPr>
          <w:lang w:val="es-CO"/>
        </w:rPr>
        <w:t>en</w:t>
      </w:r>
      <w:r w:rsidRPr="00153A9C">
        <w:rPr>
          <w:lang w:val="es-CO"/>
        </w:rPr>
        <w:t>cargada de elaborar programas de empleo en la Federación de Bosnia y Herzegovina, prevén la elaboración de programas especiales para dar empleo a las mujeres.</w:t>
      </w:r>
    </w:p>
    <w:p w:rsidR="000E24E0" w:rsidRPr="00153A9C" w:rsidRDefault="000E24E0" w:rsidP="009B29CE">
      <w:pPr>
        <w:pStyle w:val="SingleTxtG"/>
        <w:rPr>
          <w:lang w:val="es-CO"/>
        </w:rPr>
      </w:pPr>
      <w:r w:rsidRPr="00153A9C">
        <w:rPr>
          <w:lang w:val="es-CO"/>
        </w:rPr>
        <w:t>54.</w:t>
      </w:r>
      <w:r w:rsidRPr="00153A9C">
        <w:rPr>
          <w:lang w:val="es-CO"/>
        </w:rPr>
        <w:tab/>
        <w:t xml:space="preserve">Así, en 2009 se elaboró y aplicó un programa especial de cofinanciación del empleo de personas con discapacidad y otros grupos con problemas para encontrar empleo. </w:t>
      </w:r>
      <w:r w:rsidR="0093494B">
        <w:rPr>
          <w:lang w:val="es-CO"/>
        </w:rPr>
        <w:t xml:space="preserve">El programa, orientado especialmente a </w:t>
      </w:r>
      <w:r w:rsidRPr="00153A9C">
        <w:rPr>
          <w:lang w:val="es-CO"/>
        </w:rPr>
        <w:t>las mujeres víctimas de violencia inscritas en las oficinas de empleo</w:t>
      </w:r>
      <w:r w:rsidR="0093494B">
        <w:rPr>
          <w:lang w:val="es-CO"/>
        </w:rPr>
        <w:t>,</w:t>
      </w:r>
      <w:r w:rsidR="003B050C">
        <w:rPr>
          <w:lang w:val="es-CO"/>
        </w:rPr>
        <w:t xml:space="preserve"> </w:t>
      </w:r>
      <w:r w:rsidRPr="00153A9C">
        <w:rPr>
          <w:lang w:val="es-CO"/>
        </w:rPr>
        <w:t xml:space="preserve">trataba de fomentar el empleo de determinados grupos de personas registradas como desempleadas. En 2010 está previsto un programa completamente nuevo de cofinanciación del empleo de mujeres registradas como desempleadas, independientemente de que hayan sido o no víctimas de </w:t>
      </w:r>
      <w:smartTag w:uri="urn:schemas-microsoft-com:office:smarttags" w:element="PersonName">
        <w:smartTagPr>
          <w:attr w:name="ProductID" w:val="la violencia. El"/>
        </w:smartTagPr>
        <w:r w:rsidRPr="00153A9C">
          <w:rPr>
            <w:lang w:val="es-CO"/>
          </w:rPr>
          <w:t>la violencia. El</w:t>
        </w:r>
      </w:smartTag>
      <w:r w:rsidRPr="00153A9C">
        <w:rPr>
          <w:lang w:val="es-CO"/>
        </w:rPr>
        <w:t xml:space="preserve"> programa trata de fomentar el empleo y el empleo por cuenta propia de las mujeres desempleadas registradas.</w:t>
      </w:r>
    </w:p>
    <w:p w:rsidR="000E24E0" w:rsidRPr="00153A9C" w:rsidRDefault="000E24E0" w:rsidP="009B29CE">
      <w:pPr>
        <w:pStyle w:val="SingleTxtG"/>
        <w:rPr>
          <w:lang w:val="es-CO"/>
        </w:rPr>
      </w:pPr>
      <w:r w:rsidRPr="00153A9C">
        <w:rPr>
          <w:lang w:val="es-CO"/>
        </w:rPr>
        <w:t>55.</w:t>
      </w:r>
      <w:r w:rsidRPr="00153A9C">
        <w:rPr>
          <w:lang w:val="es-CO"/>
        </w:rPr>
        <w:tab/>
        <w:t xml:space="preserve">Si bien son pocos los programas específicos del </w:t>
      </w:r>
      <w:r w:rsidR="00485695" w:rsidRPr="00153A9C">
        <w:rPr>
          <w:lang w:val="es-CO"/>
        </w:rPr>
        <w:t>Instituto Federal de Empleo</w:t>
      </w:r>
      <w:r w:rsidRPr="00153A9C">
        <w:rPr>
          <w:lang w:val="es-CO"/>
        </w:rPr>
        <w:t xml:space="preserve"> en el período mencionado, desde 2003 el Ministerio Federal de Desarrollo, Emp</w:t>
      </w:r>
      <w:r w:rsidR="00485695" w:rsidRPr="00153A9C">
        <w:rPr>
          <w:lang w:val="es-CO"/>
        </w:rPr>
        <w:t>r</w:t>
      </w:r>
      <w:r w:rsidRPr="00153A9C">
        <w:rPr>
          <w:lang w:val="es-CO"/>
        </w:rPr>
        <w:t xml:space="preserve">esas y Artesanías lleva a cabo periódicamente una planificación de los recursos para alentar el espíritu de empresa y las artesanías (se han asignado aproximadamente 35.141 millones de </w:t>
      </w:r>
      <w:r w:rsidR="005E2DB0" w:rsidRPr="00153A9C">
        <w:rPr>
          <w:lang w:val="es-CO"/>
        </w:rPr>
        <w:t>KM</w:t>
      </w:r>
      <w:r w:rsidRPr="00153A9C">
        <w:rPr>
          <w:lang w:val="es-CO"/>
        </w:rPr>
        <w:t>). Además, el Ministerio ha insistido en que uno de los objetivos estratégicos será el desarrollo de la pequeña y la mediana empresa, con especial insistencia en el espíritu de empresa de la mujer.</w:t>
      </w:r>
    </w:p>
    <w:p w:rsidR="000E24E0" w:rsidRPr="00153A9C" w:rsidRDefault="009B29CE" w:rsidP="009B29CE">
      <w:pPr>
        <w:pStyle w:val="H23G"/>
        <w:rPr>
          <w:lang w:val="es-CO"/>
        </w:rPr>
      </w:pPr>
      <w:r>
        <w:rPr>
          <w:lang w:val="es-CO"/>
        </w:rPr>
        <w:tab/>
      </w:r>
      <w:r w:rsidR="007D3038" w:rsidRPr="00153A9C">
        <w:rPr>
          <w:lang w:val="es-CO"/>
        </w:rPr>
        <w:t>2.</w:t>
      </w:r>
      <w:r w:rsidR="007D3038" w:rsidRPr="00153A9C">
        <w:rPr>
          <w:lang w:val="es-CO"/>
        </w:rPr>
        <w:tab/>
      </w:r>
      <w:r w:rsidR="000E24E0" w:rsidRPr="00153A9C">
        <w:rPr>
          <w:lang w:val="es-CO"/>
        </w:rPr>
        <w:t xml:space="preserve">Programas especiales para el empleo de mujeres en </w:t>
      </w:r>
      <w:smartTag w:uri="urn:schemas-microsoft-com:office:smarttags" w:element="PersonName">
        <w:smartTagPr>
          <w:attr w:name="ProductID" w:val="la Rep￺blica Srpska"/>
        </w:smartTagPr>
        <w:r w:rsidR="000E24E0" w:rsidRPr="00153A9C">
          <w:rPr>
            <w:lang w:val="es-CO"/>
          </w:rPr>
          <w:t>la República Srpska</w:t>
        </w:r>
      </w:smartTag>
    </w:p>
    <w:p w:rsidR="000E24E0" w:rsidRPr="00153A9C" w:rsidRDefault="000E24E0" w:rsidP="009B29CE">
      <w:pPr>
        <w:pStyle w:val="SingleTxtG"/>
        <w:rPr>
          <w:lang w:val="es-CO"/>
        </w:rPr>
      </w:pPr>
      <w:r w:rsidRPr="00153A9C">
        <w:rPr>
          <w:lang w:val="es-CO"/>
        </w:rPr>
        <w:t>56.</w:t>
      </w:r>
      <w:r w:rsidRPr="00153A9C">
        <w:rPr>
          <w:lang w:val="es-CO"/>
        </w:rPr>
        <w:tab/>
      </w:r>
      <w:r w:rsidR="00485695" w:rsidRPr="00153A9C">
        <w:rPr>
          <w:lang w:val="es-CO"/>
        </w:rPr>
        <w:t>E</w:t>
      </w:r>
      <w:r w:rsidR="009D32FB" w:rsidRPr="00153A9C">
        <w:rPr>
          <w:lang w:val="es-CO"/>
        </w:rPr>
        <w:t xml:space="preserve">n </w:t>
      </w:r>
      <w:smartTag w:uri="urn:schemas-microsoft-com:office:smarttags" w:element="PersonName">
        <w:smartTagPr>
          <w:attr w:name="ProductID" w:val="la Rep￺blica Srpska"/>
        </w:smartTagPr>
        <w:r w:rsidR="009D32FB" w:rsidRPr="00153A9C">
          <w:rPr>
            <w:lang w:val="es-CO"/>
          </w:rPr>
          <w:t>la República Srp</w:t>
        </w:r>
        <w:r w:rsidRPr="00153A9C">
          <w:rPr>
            <w:lang w:val="es-CO"/>
          </w:rPr>
          <w:t>ska</w:t>
        </w:r>
      </w:smartTag>
      <w:r w:rsidRPr="00153A9C">
        <w:rPr>
          <w:lang w:val="es-CO"/>
        </w:rPr>
        <w:t xml:space="preserve"> hay muchos proyectos relacionados con el empleo, la mejora de los derechos laborales y el empoderamiento económico emprendidos por instituciones (el Instituto de Empleo de </w:t>
      </w:r>
      <w:smartTag w:uri="urn:schemas-microsoft-com:office:smarttags" w:element="PersonName">
        <w:smartTagPr>
          <w:attr w:name="ProductID" w:val="la Rep￺blica Srpska"/>
        </w:smartTagPr>
        <w:r w:rsidRPr="00153A9C">
          <w:rPr>
            <w:lang w:val="es-CO"/>
          </w:rPr>
          <w:t>la República Srpska</w:t>
        </w:r>
      </w:smartTag>
      <w:r w:rsidRPr="00153A9C">
        <w:rPr>
          <w:lang w:val="es-CO"/>
        </w:rPr>
        <w:t xml:space="preserve">, el Fondo de Desarrollo y Empleo de </w:t>
      </w:r>
      <w:smartTag w:uri="urn:schemas-microsoft-com:office:smarttags" w:element="PersonName">
        <w:smartTagPr>
          <w:attr w:name="ProductID" w:val="la Rep￺blica Srpska"/>
        </w:smartTagPr>
        <w:r w:rsidRPr="00153A9C">
          <w:rPr>
            <w:lang w:val="es-CO"/>
          </w:rPr>
          <w:t>la República Srpska</w:t>
        </w:r>
      </w:smartTag>
      <w:r w:rsidRPr="00153A9C">
        <w:rPr>
          <w:lang w:val="es-CO"/>
        </w:rPr>
        <w:t xml:space="preserve">), la Asociación de Sindicatos de </w:t>
      </w:r>
      <w:smartTag w:uri="urn:schemas-microsoft-com:office:smarttags" w:element="PersonName">
        <w:smartTagPr>
          <w:attr w:name="ProductID" w:val="la Rep￺blica Srpska"/>
        </w:smartTagPr>
        <w:r w:rsidRPr="00153A9C">
          <w:rPr>
            <w:lang w:val="es-CO"/>
          </w:rPr>
          <w:t>la República Srpska</w:t>
        </w:r>
      </w:smartTag>
      <w:r w:rsidRPr="00153A9C">
        <w:rPr>
          <w:lang w:val="es-CO"/>
        </w:rPr>
        <w:t xml:space="preserve">, </w:t>
      </w:r>
      <w:r w:rsidR="00BF750C">
        <w:rPr>
          <w:lang w:val="es-CO"/>
        </w:rPr>
        <w:t xml:space="preserve">ONG </w:t>
      </w:r>
      <w:r w:rsidRPr="00153A9C">
        <w:rPr>
          <w:lang w:val="es-CO"/>
        </w:rPr>
        <w:t>y algunas organizaciones de microcrédito que tienen programas especialmente encaminados a ayudar a la mujer (como la organización de microcrédito MI</w:t>
      </w:r>
      <w:r w:rsidR="00780F9A">
        <w:rPr>
          <w:lang w:val="es-CO"/>
        </w:rPr>
        <w:t>-</w:t>
      </w:r>
      <w:r w:rsidRPr="00153A9C">
        <w:rPr>
          <w:lang w:val="es-CO"/>
        </w:rPr>
        <w:t>BPSPO).</w:t>
      </w:r>
    </w:p>
    <w:p w:rsidR="000E24E0" w:rsidRPr="00153A9C" w:rsidRDefault="000E24E0" w:rsidP="009B29CE">
      <w:pPr>
        <w:pStyle w:val="SingleTxtG"/>
        <w:rPr>
          <w:lang w:val="es-CO"/>
        </w:rPr>
      </w:pPr>
      <w:r w:rsidRPr="00153A9C">
        <w:rPr>
          <w:lang w:val="es-CO"/>
        </w:rPr>
        <w:t>57.</w:t>
      </w:r>
      <w:r w:rsidRPr="00153A9C">
        <w:rPr>
          <w:lang w:val="es-CO"/>
        </w:rPr>
        <w:tab/>
        <w:t xml:space="preserve">Las organizaciones de microcrédito, que en sus programas ofrecen apoyo a la mujer, respaldan en particular el empleo por cuenta propia en el sector privado y </w:t>
      </w:r>
      <w:smartTag w:uri="urn:schemas-microsoft-com:office:smarttags" w:element="PersonName">
        <w:smartTagPr>
          <w:attr w:name="ProductID" w:val="la agricultura. Cabe"/>
        </w:smartTagPr>
        <w:r w:rsidRPr="00153A9C">
          <w:rPr>
            <w:lang w:val="es-CO"/>
          </w:rPr>
          <w:t>la agricultura. Cabe</w:t>
        </w:r>
      </w:smartTag>
      <w:r w:rsidRPr="00153A9C">
        <w:rPr>
          <w:lang w:val="es-CO"/>
        </w:rPr>
        <w:t xml:space="preserve"> señalar que esos préstamos son más costosos, pero desde el punto de vista formal y administrativo son más accesibles y, para muchas mujeres, representan la única solución cuando deciden crear sus propias empresas.</w:t>
      </w:r>
    </w:p>
    <w:p w:rsidR="000E24E0" w:rsidRPr="00153A9C" w:rsidRDefault="009B29CE" w:rsidP="009B29CE">
      <w:pPr>
        <w:pStyle w:val="H23G"/>
        <w:rPr>
          <w:lang w:val="es-CO"/>
        </w:rPr>
      </w:pPr>
      <w:r>
        <w:rPr>
          <w:lang w:val="es-CO"/>
        </w:rPr>
        <w:tab/>
      </w:r>
      <w:r w:rsidR="007D3038" w:rsidRPr="00153A9C">
        <w:rPr>
          <w:lang w:val="es-CO"/>
        </w:rPr>
        <w:t>3.</w:t>
      </w:r>
      <w:r w:rsidR="007D3038" w:rsidRPr="00153A9C">
        <w:rPr>
          <w:lang w:val="es-CO"/>
        </w:rPr>
        <w:tab/>
      </w:r>
      <w:r w:rsidR="000E24E0" w:rsidRPr="00153A9C">
        <w:rPr>
          <w:lang w:val="es-CO"/>
        </w:rPr>
        <w:t>Desempleo juvenil (</w:t>
      </w:r>
      <w:smartTag w:uri="urn:schemas-microsoft-com:office:smarttags" w:element="metricconverter">
        <w:smartTagPr>
          <w:attr w:name="ProductID" w:val="15 a"/>
        </w:smartTagPr>
        <w:r w:rsidR="000E24E0" w:rsidRPr="00153A9C">
          <w:rPr>
            <w:lang w:val="es-CO"/>
          </w:rPr>
          <w:t>15 a</w:t>
        </w:r>
      </w:smartTag>
      <w:r w:rsidR="000E24E0" w:rsidRPr="00153A9C">
        <w:rPr>
          <w:lang w:val="es-CO"/>
        </w:rPr>
        <w:t xml:space="preserve"> 24 años)</w:t>
      </w:r>
    </w:p>
    <w:p w:rsidR="000E24E0" w:rsidRPr="00153A9C" w:rsidRDefault="000E24E0" w:rsidP="009B29CE">
      <w:pPr>
        <w:pStyle w:val="SingleTxtG"/>
        <w:rPr>
          <w:lang w:val="es-CO"/>
        </w:rPr>
      </w:pPr>
      <w:r w:rsidRPr="00153A9C">
        <w:rPr>
          <w:lang w:val="es-CO"/>
        </w:rPr>
        <w:t>58.</w:t>
      </w:r>
      <w:r w:rsidRPr="00153A9C">
        <w:rPr>
          <w:lang w:val="es-CO"/>
        </w:rPr>
        <w:tab/>
        <w:t>En 2009, los jóvenes representaban el 13,8</w:t>
      </w:r>
      <w:r w:rsidR="00962FE1" w:rsidRPr="00153A9C">
        <w:rPr>
          <w:lang w:val="es-CO"/>
        </w:rPr>
        <w:t>%</w:t>
      </w:r>
      <w:r w:rsidR="00203E7B" w:rsidRPr="00326362">
        <w:rPr>
          <w:rStyle w:val="FootnoteReference"/>
        </w:rPr>
        <w:footnoteReference w:id="5"/>
      </w:r>
      <w:r w:rsidRPr="00153A9C">
        <w:rPr>
          <w:lang w:val="es-CO"/>
        </w:rPr>
        <w:t xml:space="preserve"> de la población de Bosnia y Herzegovina (14,7</w:t>
      </w:r>
      <w:r w:rsidR="00962FE1" w:rsidRPr="00153A9C">
        <w:rPr>
          <w:lang w:val="es-CO"/>
        </w:rPr>
        <w:t>%</w:t>
      </w:r>
      <w:r w:rsidRPr="00153A9C">
        <w:rPr>
          <w:lang w:val="es-CO"/>
        </w:rPr>
        <w:t xml:space="preserve"> en </w:t>
      </w:r>
      <w:r w:rsidR="003C5DB6" w:rsidRPr="00153A9C">
        <w:rPr>
          <w:lang w:val="es-CO"/>
        </w:rPr>
        <w:t>la Federación de Bosnia y Herzegovina</w:t>
      </w:r>
      <w:r w:rsidRPr="00153A9C">
        <w:rPr>
          <w:lang w:val="es-CO"/>
        </w:rPr>
        <w:t xml:space="preserve"> y</w:t>
      </w:r>
      <w:r w:rsidR="003C5DB6" w:rsidRPr="00153A9C">
        <w:rPr>
          <w:lang w:val="es-CO"/>
        </w:rPr>
        <w:t xml:space="preserve"> </w:t>
      </w:r>
      <w:r w:rsidRPr="00153A9C">
        <w:rPr>
          <w:lang w:val="es-CO"/>
        </w:rPr>
        <w:t xml:space="preserve">12,2% en </w:t>
      </w:r>
      <w:smartTag w:uri="urn:schemas-microsoft-com:office:smarttags" w:element="PersonName">
        <w:smartTagPr>
          <w:attr w:name="ProductID" w:val="la Rep￺blica Srpska"/>
        </w:smartTagPr>
        <w:r w:rsidR="001D40E0" w:rsidRPr="00153A9C">
          <w:rPr>
            <w:lang w:val="es-CO"/>
          </w:rPr>
          <w:t>la República Srpska</w:t>
        </w:r>
      </w:smartTag>
      <w:r w:rsidRPr="00153A9C">
        <w:rPr>
          <w:lang w:val="es-CO"/>
        </w:rPr>
        <w:t>), que pertenecería al grupo de países mucho más jóvenes que e</w:t>
      </w:r>
      <w:r w:rsidR="003C5DB6" w:rsidRPr="00153A9C">
        <w:rPr>
          <w:lang w:val="es-CO"/>
        </w:rPr>
        <w:t>l</w:t>
      </w:r>
      <w:r w:rsidRPr="00153A9C">
        <w:rPr>
          <w:lang w:val="es-CO"/>
        </w:rPr>
        <w:t xml:space="preserve"> conjunto de la UE, donde </w:t>
      </w:r>
      <w:r w:rsidR="003C5DB6" w:rsidRPr="00153A9C">
        <w:rPr>
          <w:lang w:val="es-CO"/>
        </w:rPr>
        <w:t xml:space="preserve">la proporción de jóvenes era el </w:t>
      </w:r>
      <w:r w:rsidRPr="00153A9C">
        <w:rPr>
          <w:lang w:val="es-CO"/>
        </w:rPr>
        <w:t>12,7</w:t>
      </w:r>
      <w:r w:rsidR="00962FE1" w:rsidRPr="00153A9C">
        <w:rPr>
          <w:lang w:val="es-CO"/>
        </w:rPr>
        <w:t>%</w:t>
      </w:r>
      <w:r w:rsidRPr="00153A9C">
        <w:rPr>
          <w:lang w:val="es-CO"/>
        </w:rPr>
        <w:t xml:space="preserve">. Los jóvenes están teniendo dificultades para encontrar empleo, pero, en comparación con otros grupos de edad, participan de forma muy desproporcionada en el mercado de trabajo informal. Los países de </w:t>
      </w:r>
      <w:smartTag w:uri="urn:schemas-microsoft-com:office:smarttags" w:element="PersonName">
        <w:smartTagPr>
          <w:attr w:name="ProductID" w:val="la Uni￳n Europea"/>
        </w:smartTagPr>
        <w:r w:rsidRPr="00153A9C">
          <w:rPr>
            <w:lang w:val="es-CO"/>
          </w:rPr>
          <w:t>la Unión Europea</w:t>
        </w:r>
      </w:smartTag>
      <w:r w:rsidRPr="00153A9C">
        <w:rPr>
          <w:lang w:val="es-CO"/>
        </w:rPr>
        <w:t xml:space="preserve">, y los países de la región, tienen tasas de empleo juvenil significativamente más elevadas que Bosnia y Herzegovina. En comparación con otros países, </w:t>
      </w:r>
      <w:r w:rsidR="00C167D2" w:rsidRPr="00153A9C">
        <w:rPr>
          <w:lang w:val="es-CO"/>
        </w:rPr>
        <w:t xml:space="preserve">Bosnia y Herzegovina </w:t>
      </w:r>
      <w:r w:rsidRPr="00153A9C">
        <w:rPr>
          <w:lang w:val="es-CO"/>
        </w:rPr>
        <w:t xml:space="preserve">tiene recursos de desarrollo muy importantes que están en gran parte desaprovechados. La tasa de desempleo </w:t>
      </w:r>
      <w:r w:rsidR="003C5DB6" w:rsidRPr="00153A9C">
        <w:rPr>
          <w:lang w:val="es-CO"/>
        </w:rPr>
        <w:t xml:space="preserve">juvenil </w:t>
      </w:r>
      <w:r w:rsidRPr="00153A9C">
        <w:rPr>
          <w:lang w:val="es-CO"/>
        </w:rPr>
        <w:t>en 2009 era del 49</w:t>
      </w:r>
      <w:r w:rsidR="00962FE1" w:rsidRPr="00153A9C">
        <w:rPr>
          <w:lang w:val="es-CO"/>
        </w:rPr>
        <w:t>%</w:t>
      </w:r>
      <w:r w:rsidRPr="00153A9C">
        <w:rPr>
          <w:lang w:val="es-CO"/>
        </w:rPr>
        <w:t xml:space="preserve"> (</w:t>
      </w:r>
      <w:r w:rsidR="003C5DB6" w:rsidRPr="00153A9C">
        <w:rPr>
          <w:lang w:val="es-CO"/>
        </w:rPr>
        <w:t>Federación de Bosnia y Herzegovina, 54%;</w:t>
      </w:r>
      <w:r w:rsidRPr="00153A9C">
        <w:rPr>
          <w:lang w:val="es-CO"/>
        </w:rPr>
        <w:t xml:space="preserve"> </w:t>
      </w:r>
      <w:r w:rsidR="001D40E0" w:rsidRPr="00153A9C">
        <w:rPr>
          <w:lang w:val="es-CO"/>
        </w:rPr>
        <w:t>República Srpska</w:t>
      </w:r>
      <w:r w:rsidR="003C5DB6" w:rsidRPr="00153A9C">
        <w:rPr>
          <w:lang w:val="es-CO"/>
        </w:rPr>
        <w:t>,</w:t>
      </w:r>
      <w:r w:rsidRPr="00153A9C">
        <w:rPr>
          <w:lang w:val="es-CO"/>
        </w:rPr>
        <w:t xml:space="preserve"> 38,2%</w:t>
      </w:r>
      <w:r w:rsidR="003C5DB6" w:rsidRPr="00153A9C">
        <w:rPr>
          <w:lang w:val="es-CO"/>
        </w:rPr>
        <w:t>;</w:t>
      </w:r>
      <w:r w:rsidRPr="00153A9C">
        <w:rPr>
          <w:lang w:val="es-CO"/>
        </w:rPr>
        <w:t xml:space="preserve"> </w:t>
      </w:r>
      <w:r w:rsidR="001D40E0" w:rsidRPr="00153A9C">
        <w:rPr>
          <w:lang w:val="es-CO"/>
        </w:rPr>
        <w:t>Distrito Brčko</w:t>
      </w:r>
      <w:r w:rsidR="003C5DB6" w:rsidRPr="00153A9C">
        <w:rPr>
          <w:lang w:val="es-CO"/>
        </w:rPr>
        <w:t>,</w:t>
      </w:r>
      <w:r w:rsidRPr="00153A9C">
        <w:rPr>
          <w:lang w:val="es-CO"/>
        </w:rPr>
        <w:t xml:space="preserve"> 50%)</w:t>
      </w:r>
      <w:r w:rsidR="007B004E" w:rsidRPr="00153A9C">
        <w:rPr>
          <w:lang w:val="es-CO"/>
        </w:rPr>
        <w:t xml:space="preserve">, </w:t>
      </w:r>
      <w:r w:rsidRPr="00153A9C">
        <w:rPr>
          <w:lang w:val="es-CO"/>
        </w:rPr>
        <w:t>inferior a la de 2007 (58,4%).</w:t>
      </w:r>
    </w:p>
    <w:p w:rsidR="000E24E0" w:rsidRPr="00153A9C" w:rsidRDefault="000E24E0" w:rsidP="009B29CE">
      <w:pPr>
        <w:pStyle w:val="SingleTxtG"/>
        <w:rPr>
          <w:lang w:val="es-CO"/>
        </w:rPr>
      </w:pPr>
      <w:r w:rsidRPr="00153A9C">
        <w:rPr>
          <w:lang w:val="es-CO"/>
        </w:rPr>
        <w:t>59.</w:t>
      </w:r>
      <w:r w:rsidRPr="00153A9C">
        <w:rPr>
          <w:lang w:val="es-CO"/>
        </w:rPr>
        <w:tab/>
        <w:t>Los Institutos de Empleo de las Entidades han prestado especial atención al empleo de los jóvenes, en particular de los que tienen educación universitaria. Esos programas funcionan ya desde hace varios años.</w:t>
      </w:r>
    </w:p>
    <w:p w:rsidR="000E24E0" w:rsidRPr="00153A9C" w:rsidRDefault="000E24E0" w:rsidP="009B29CE">
      <w:pPr>
        <w:pStyle w:val="SingleTxtG"/>
        <w:rPr>
          <w:lang w:val="es-CO"/>
        </w:rPr>
      </w:pPr>
      <w:r w:rsidRPr="00153A9C">
        <w:rPr>
          <w:lang w:val="es-CO"/>
        </w:rPr>
        <w:t>60.</w:t>
      </w:r>
      <w:r w:rsidRPr="00153A9C">
        <w:rPr>
          <w:lang w:val="es-CO"/>
        </w:rPr>
        <w:tab/>
        <w:t xml:space="preserve">En 2009, el Instituto de Empleo de </w:t>
      </w:r>
      <w:smartTag w:uri="urn:schemas-microsoft-com:office:smarttags" w:element="PersonName">
        <w:smartTagPr>
          <w:attr w:name="ProductID" w:val="la Rep￺blica Srpska"/>
        </w:smartTagPr>
        <w:r w:rsidRPr="00153A9C">
          <w:rPr>
            <w:lang w:val="es-CO"/>
          </w:rPr>
          <w:t>la República Srpska</w:t>
        </w:r>
      </w:smartTag>
      <w:r w:rsidRPr="00153A9C">
        <w:rPr>
          <w:lang w:val="es-CO"/>
        </w:rPr>
        <w:t xml:space="preserve"> llevó a cabo el Proyecto de empleo de becarios </w:t>
      </w:r>
      <w:r w:rsidRPr="009B29CE">
        <w:rPr>
          <w:i/>
          <w:lang w:val="es-CO"/>
        </w:rPr>
        <w:t>(pripravnici)</w:t>
      </w:r>
      <w:r w:rsidRPr="00153A9C">
        <w:rPr>
          <w:lang w:val="es-CO"/>
        </w:rPr>
        <w:t xml:space="preserve"> con título universitario, y el </w:t>
      </w:r>
      <w:r w:rsidR="00485695" w:rsidRPr="00153A9C">
        <w:rPr>
          <w:lang w:val="es-CO"/>
        </w:rPr>
        <w:t>Instituto Federal de Empleo</w:t>
      </w:r>
      <w:r w:rsidRPr="00153A9C">
        <w:rPr>
          <w:lang w:val="es-CO"/>
        </w:rPr>
        <w:t xml:space="preserve"> y las oficinas cantonales ofrecen de forma ininterrumpida programas semejantes para el empleo de jóvenes con estudios universitarios y sin experiencia laboral. El empleo de profesores auxiliares en las universidades y el Programa de institutos de investigación cofinanciaron el empleo en los sectores de la docencia y </w:t>
      </w:r>
      <w:smartTag w:uri="urn:schemas-microsoft-com:office:smarttags" w:element="PersonName">
        <w:smartTagPr>
          <w:attr w:name="ProductID" w:val="la investigaci￳n. Pod￭an"/>
        </w:smartTagPr>
        <w:r w:rsidRPr="00153A9C">
          <w:rPr>
            <w:lang w:val="es-CO"/>
          </w:rPr>
          <w:t xml:space="preserve">la investigación. </w:t>
        </w:r>
        <w:r w:rsidR="007731DC" w:rsidRPr="00153A9C">
          <w:rPr>
            <w:lang w:val="es-CO"/>
          </w:rPr>
          <w:t>Podían</w:t>
        </w:r>
      </w:smartTag>
      <w:r w:rsidR="007731DC" w:rsidRPr="00153A9C">
        <w:rPr>
          <w:lang w:val="es-CO"/>
        </w:rPr>
        <w:t xml:space="preserve"> acogerse al programa l</w:t>
      </w:r>
      <w:r w:rsidRPr="00153A9C">
        <w:rPr>
          <w:lang w:val="es-CO"/>
        </w:rPr>
        <w:t xml:space="preserve">as universidades, colegios universitarios e institutos de investigación de la Federación, y los criterios para la selección de las personas que recibirían cofinanciación eran determinados por las propias universidades de conformidad con la Ley de educación superior y la Ley sobre actividades científicas y de investigación que se aplican en un determinado cantón. El Programa </w:t>
      </w:r>
      <w:r w:rsidR="007731DC" w:rsidRPr="00153A9C">
        <w:rPr>
          <w:lang w:val="es-CO"/>
        </w:rPr>
        <w:t xml:space="preserve">de </w:t>
      </w:r>
      <w:r w:rsidR="007D3038" w:rsidRPr="00153A9C">
        <w:rPr>
          <w:lang w:val="es-CO"/>
        </w:rPr>
        <w:t>2009-</w:t>
      </w:r>
      <w:r w:rsidR="007731DC" w:rsidRPr="00153A9C">
        <w:rPr>
          <w:lang w:val="es-CO"/>
        </w:rPr>
        <w:t xml:space="preserve">2011 </w:t>
      </w:r>
      <w:r w:rsidRPr="00153A9C">
        <w:rPr>
          <w:lang w:val="es-CO"/>
        </w:rPr>
        <w:t xml:space="preserve">de empleo y retención de los jóvenes en Bosnia y Herzegovina, financiado con fondos del PNUD, tiene como objeto aumentar la capacidad de las oficinas de empleo para crear condiciones que permitan ofrecer servicios profesionales y eficaces a los jóvenes desempleados. Asimismo, se esta preparando el Programa de empleo juvenil de Bosnia y Herzegovina, que será financiado por </w:t>
      </w:r>
      <w:smartTag w:uri="urn:schemas-microsoft-com:office:smarttags" w:element="PersonName">
        <w:smartTagPr>
          <w:attr w:name="ProductID" w:val="la Agencia Suiza"/>
        </w:smartTagPr>
        <w:r w:rsidRPr="00153A9C">
          <w:rPr>
            <w:lang w:val="es-CO"/>
          </w:rPr>
          <w:t>la Agencia Suiza</w:t>
        </w:r>
      </w:smartTag>
      <w:r w:rsidRPr="00153A9C">
        <w:rPr>
          <w:lang w:val="es-CO"/>
        </w:rPr>
        <w:t xml:space="preserve"> para el Desarrollo y la Cooperación y </w:t>
      </w:r>
      <w:smartTag w:uri="urn:schemas-microsoft-com:office:smarttags" w:element="PersonName">
        <w:smartTagPr>
          <w:attr w:name="ProductID" w:val="la Agencia Austriaca"/>
        </w:smartTagPr>
        <w:r w:rsidRPr="00153A9C">
          <w:rPr>
            <w:lang w:val="es-CO"/>
          </w:rPr>
          <w:t>la Agencia Austriaca</w:t>
        </w:r>
      </w:smartTag>
      <w:r w:rsidRPr="00153A9C">
        <w:rPr>
          <w:lang w:val="es-CO"/>
        </w:rPr>
        <w:t xml:space="preserve"> de cooperación técnica. </w:t>
      </w:r>
    </w:p>
    <w:p w:rsidR="000E24E0" w:rsidRPr="00153A9C" w:rsidRDefault="009B29CE" w:rsidP="009B29CE">
      <w:pPr>
        <w:pStyle w:val="H23G"/>
        <w:rPr>
          <w:lang w:val="es-CO"/>
        </w:rPr>
      </w:pPr>
      <w:r>
        <w:rPr>
          <w:lang w:val="es-CO"/>
        </w:rPr>
        <w:tab/>
      </w:r>
      <w:r w:rsidR="007D3038" w:rsidRPr="00153A9C">
        <w:rPr>
          <w:lang w:val="es-CO"/>
        </w:rPr>
        <w:t>4.</w:t>
      </w:r>
      <w:r w:rsidR="007D3038" w:rsidRPr="00153A9C">
        <w:rPr>
          <w:lang w:val="es-CO"/>
        </w:rPr>
        <w:tab/>
      </w:r>
      <w:r w:rsidR="000E24E0" w:rsidRPr="00153A9C">
        <w:rPr>
          <w:lang w:val="es-CO"/>
        </w:rPr>
        <w:t>Personas con discapacidad</w:t>
      </w:r>
    </w:p>
    <w:p w:rsidR="000E24E0" w:rsidRPr="00153A9C" w:rsidRDefault="000E24E0" w:rsidP="009B29CE">
      <w:pPr>
        <w:pStyle w:val="SingleTxtG"/>
        <w:rPr>
          <w:lang w:val="es-CO"/>
        </w:rPr>
      </w:pPr>
      <w:r w:rsidRPr="00153A9C">
        <w:rPr>
          <w:lang w:val="es-CO"/>
        </w:rPr>
        <w:t xml:space="preserve">61. </w:t>
      </w:r>
      <w:r w:rsidRPr="00153A9C">
        <w:rPr>
          <w:lang w:val="es-CO"/>
        </w:rPr>
        <w:tab/>
        <w:t xml:space="preserve">El empleo de personas con discapacidad en </w:t>
      </w:r>
      <w:smartTag w:uri="urn:schemas-microsoft-com:office:smarttags" w:element="PersonName">
        <w:smartTagPr>
          <w:attr w:name="ProductID" w:val="la Rep￺blica Srpska"/>
        </w:smartTagPr>
        <w:r w:rsidRPr="00153A9C">
          <w:rPr>
            <w:lang w:val="es-CO"/>
          </w:rPr>
          <w:t>la República Srpska</w:t>
        </w:r>
      </w:smartTag>
      <w:r w:rsidRPr="00153A9C">
        <w:rPr>
          <w:lang w:val="es-CO"/>
        </w:rPr>
        <w:t xml:space="preserve"> está regulado en las leyes y de forma institucional. La Ley de rehabilitación profesional, capacitación y empleo de personas discapacitadas regula l</w:t>
      </w:r>
      <w:r w:rsidR="007731DC" w:rsidRPr="00153A9C">
        <w:rPr>
          <w:lang w:val="es-CO"/>
        </w:rPr>
        <w:t xml:space="preserve">os derechos, las condiciones y </w:t>
      </w:r>
      <w:r w:rsidRPr="00153A9C">
        <w:rPr>
          <w:lang w:val="es-CO"/>
        </w:rPr>
        <w:t>el procedimiento de la rehabilitación profesional, la capacitación y el reclutamiento de personas con discapacidad y capacidad de trabajo reducida, el establecimiento de organizaciones y las actividades de las instituciones, empresas y otras organizaciones que participan en el empleo y rehabilitación profesional de las personas discapacitadas y cumplen los requisitos comunes y especiales. De acuerdo con el Fondo para la rehabilitación profesional y el empleo de personas capacitadas, de un total de 665 personas discapacitadas que consiguen empleo directamente gracias al apoyo del Fondo, 41 (6,16</w:t>
      </w:r>
      <w:r w:rsidR="00962FE1" w:rsidRPr="00153A9C">
        <w:rPr>
          <w:lang w:val="es-CO"/>
        </w:rPr>
        <w:t>%</w:t>
      </w:r>
      <w:r w:rsidRPr="00153A9C">
        <w:rPr>
          <w:lang w:val="es-CO"/>
        </w:rPr>
        <w:t>) son mujeres, mientras que 624 (93,83</w:t>
      </w:r>
      <w:r w:rsidR="00962FE1" w:rsidRPr="00153A9C">
        <w:rPr>
          <w:lang w:val="es-CO"/>
        </w:rPr>
        <w:t>%</w:t>
      </w:r>
      <w:r w:rsidRPr="00153A9C">
        <w:rPr>
          <w:lang w:val="es-CO"/>
        </w:rPr>
        <w:t>) son varones (las estadísticas abarcan el período comprendido entre el 1 de enero de 2006 y el 31 de diciembre de 2009</w:t>
      </w:r>
      <w:r w:rsidR="007731DC" w:rsidRPr="00153A9C">
        <w:rPr>
          <w:lang w:val="es-CO"/>
        </w:rPr>
        <w:t>)</w:t>
      </w:r>
      <w:r w:rsidRPr="00153A9C">
        <w:rPr>
          <w:lang w:val="es-CO"/>
        </w:rPr>
        <w:t>.</w:t>
      </w:r>
    </w:p>
    <w:p w:rsidR="000E24E0" w:rsidRPr="00153A9C" w:rsidRDefault="000E24E0" w:rsidP="009B29CE">
      <w:pPr>
        <w:pStyle w:val="SingleTxtG"/>
        <w:rPr>
          <w:lang w:val="es-CO"/>
        </w:rPr>
      </w:pPr>
      <w:r w:rsidRPr="00153A9C">
        <w:rPr>
          <w:lang w:val="es-CO"/>
        </w:rPr>
        <w:t>62.</w:t>
      </w:r>
      <w:r w:rsidRPr="00153A9C">
        <w:rPr>
          <w:lang w:val="es-CO"/>
        </w:rPr>
        <w:tab/>
        <w:t xml:space="preserve">El empleo de personas con discapacidad en la República de Bosnia y Herzegovina está regulado por la Ley sobre rehabilitación profesional, capacitación y empleo de personas con discapacidad, aprobada a mediados de febrero de 2010. En 2009, el </w:t>
      </w:r>
      <w:r w:rsidR="00485695" w:rsidRPr="00153A9C">
        <w:rPr>
          <w:lang w:val="es-CO"/>
        </w:rPr>
        <w:t>Instituto Federal de Empleo</w:t>
      </w:r>
      <w:r w:rsidRPr="00153A9C">
        <w:rPr>
          <w:lang w:val="es-CO"/>
        </w:rPr>
        <w:t xml:space="preserve"> cofinanció el empleo de 90 personas con un porcentaje de discapacidad de al menos el 60</w:t>
      </w:r>
      <w:r w:rsidR="00962FE1" w:rsidRPr="00153A9C">
        <w:rPr>
          <w:lang w:val="es-CO"/>
        </w:rPr>
        <w:t>%</w:t>
      </w:r>
      <w:r w:rsidRPr="00153A9C">
        <w:rPr>
          <w:lang w:val="es-CO"/>
        </w:rPr>
        <w:t xml:space="preserve"> y personas con dificultades de desarrollo mental, y 30 mujeres víctimas de </w:t>
      </w:r>
      <w:smartTag w:uri="urn:schemas-microsoft-com:office:smarttags" w:element="PersonName">
        <w:smartTagPr>
          <w:attr w:name="ProductID" w:val="la violencia. Con"/>
        </w:smartTagPr>
        <w:r w:rsidRPr="00153A9C">
          <w:rPr>
            <w:lang w:val="es-CO"/>
          </w:rPr>
          <w:t>la violencia. Con</w:t>
        </w:r>
      </w:smartTag>
      <w:r w:rsidRPr="00153A9C">
        <w:rPr>
          <w:lang w:val="es-CO"/>
        </w:rPr>
        <w:t xml:space="preserve"> ese fin, el Instituto otorgó donaciones para cofinanciar el empleo de personas desempleadas con discapacidad y mujeres víctimas de la violencia a manos de sus empleadores, y el empleo por cuenta propia, las actividades agrícolas (sobre todo la producción de alimentos sanos en los sectores de la agricultura, la ganadería, y el cultivo de hortalizas y frutas), las artesanías (producción, servicios), la industria doméstica, el turismo rural y otras actividades.</w:t>
      </w:r>
    </w:p>
    <w:p w:rsidR="000E24E0" w:rsidRPr="00153A9C" w:rsidRDefault="000E24E0" w:rsidP="009B29CE">
      <w:pPr>
        <w:pStyle w:val="SingleTxtG"/>
        <w:rPr>
          <w:lang w:val="es-CO"/>
        </w:rPr>
      </w:pPr>
      <w:r w:rsidRPr="00153A9C">
        <w:rPr>
          <w:lang w:val="es-CO"/>
        </w:rPr>
        <w:t>63.</w:t>
      </w:r>
      <w:r w:rsidRPr="00153A9C">
        <w:rPr>
          <w:lang w:val="es-CO"/>
        </w:rPr>
        <w:tab/>
        <w:t xml:space="preserve">En 2010 se ha elaborado un programa especial para el empleo de personas con discapacidad y otras personas con dificultades para encontrar empleo. Se han asignado fondos con destino a 90 personas discapacitadas y 30 mujeres víctimas de la violencia, que serán contratadas por empleadores o trabajarán por cuenta propia. </w:t>
      </w:r>
    </w:p>
    <w:p w:rsidR="000E24E0" w:rsidRPr="00153A9C" w:rsidRDefault="009B29CE" w:rsidP="009B29CE">
      <w:pPr>
        <w:pStyle w:val="H23G"/>
        <w:rPr>
          <w:lang w:val="es-CO"/>
        </w:rPr>
      </w:pPr>
      <w:r>
        <w:rPr>
          <w:lang w:val="es-CO"/>
        </w:rPr>
        <w:tab/>
      </w:r>
      <w:r w:rsidR="007D3038" w:rsidRPr="00153A9C">
        <w:rPr>
          <w:lang w:val="es-CO"/>
        </w:rPr>
        <w:t>5.</w:t>
      </w:r>
      <w:r w:rsidR="007D3038" w:rsidRPr="00153A9C">
        <w:rPr>
          <w:lang w:val="es-CO"/>
        </w:rPr>
        <w:tab/>
      </w:r>
      <w:r w:rsidR="000E24E0" w:rsidRPr="00153A9C">
        <w:rPr>
          <w:lang w:val="es-CO"/>
        </w:rPr>
        <w:t>Empleo de romaníes</w:t>
      </w:r>
    </w:p>
    <w:p w:rsidR="000E24E0" w:rsidRPr="00153A9C" w:rsidRDefault="000E24E0" w:rsidP="009B29CE">
      <w:pPr>
        <w:pStyle w:val="SingleTxtG"/>
        <w:rPr>
          <w:lang w:val="es-CO"/>
        </w:rPr>
      </w:pPr>
      <w:r w:rsidRPr="00153A9C">
        <w:rPr>
          <w:lang w:val="es-CO"/>
        </w:rPr>
        <w:t>64.</w:t>
      </w:r>
      <w:r w:rsidRPr="00153A9C">
        <w:rPr>
          <w:lang w:val="es-CO"/>
        </w:rPr>
        <w:tab/>
        <w:t xml:space="preserve">Del total de </w:t>
      </w:r>
      <w:r w:rsidR="00B66333" w:rsidRPr="00153A9C">
        <w:rPr>
          <w:lang w:val="es-CO"/>
        </w:rPr>
        <w:t>17</w:t>
      </w:r>
      <w:r w:rsidRPr="00153A9C">
        <w:rPr>
          <w:lang w:val="es-CO"/>
        </w:rPr>
        <w:t xml:space="preserve"> minorías nacionales, los romaníes son la minoría más numerosa en Bosnia y Herzegovina. </w:t>
      </w:r>
      <w:r w:rsidR="00644426">
        <w:rPr>
          <w:lang w:val="es-CO"/>
        </w:rPr>
        <w:t xml:space="preserve">Al no existir un censo, </w:t>
      </w:r>
      <w:r w:rsidRPr="00153A9C">
        <w:rPr>
          <w:lang w:val="es-CO"/>
        </w:rPr>
        <w:t xml:space="preserve">a finales de 2009 y comienzos de 2010 el </w:t>
      </w:r>
      <w:r w:rsidR="006320F5" w:rsidRPr="00153A9C">
        <w:rPr>
          <w:lang w:val="es-CO"/>
        </w:rPr>
        <w:t xml:space="preserve">Ministerio de Derechos Humanos y Refugiados </w:t>
      </w:r>
      <w:r w:rsidRPr="00153A9C">
        <w:rPr>
          <w:lang w:val="es-CO"/>
        </w:rPr>
        <w:t>termin</w:t>
      </w:r>
      <w:r w:rsidR="007731DC" w:rsidRPr="00153A9C">
        <w:rPr>
          <w:lang w:val="es-CO"/>
        </w:rPr>
        <w:t>ó</w:t>
      </w:r>
      <w:r w:rsidRPr="00153A9C">
        <w:rPr>
          <w:lang w:val="es-CO"/>
        </w:rPr>
        <w:t xml:space="preserve"> el registro de los romaníes. Según datos preliminares, puede concluirse que, a diferencia de estimaciones anteriores</w:t>
      </w:r>
      <w:r w:rsidR="00644426">
        <w:rPr>
          <w:lang w:val="es-CO"/>
        </w:rPr>
        <w:t>, según las cuales había</w:t>
      </w:r>
      <w:r w:rsidR="003B050C">
        <w:rPr>
          <w:lang w:val="es-CO"/>
        </w:rPr>
        <w:t xml:space="preserve"> </w:t>
      </w:r>
      <w:r w:rsidRPr="00153A9C">
        <w:rPr>
          <w:lang w:val="es-CO"/>
        </w:rPr>
        <w:t>entre 40</w:t>
      </w:r>
      <w:r w:rsidR="007731DC" w:rsidRPr="00153A9C">
        <w:rPr>
          <w:lang w:val="es-CO"/>
        </w:rPr>
        <w:t>.</w:t>
      </w:r>
      <w:r w:rsidRPr="00153A9C">
        <w:rPr>
          <w:lang w:val="es-CO"/>
        </w:rPr>
        <w:t>000 y 80</w:t>
      </w:r>
      <w:r w:rsidR="007731DC" w:rsidRPr="00153A9C">
        <w:rPr>
          <w:lang w:val="es-CO"/>
        </w:rPr>
        <w:t>.</w:t>
      </w:r>
      <w:r w:rsidRPr="00153A9C">
        <w:rPr>
          <w:lang w:val="es-CO"/>
        </w:rPr>
        <w:t>000</w:t>
      </w:r>
      <w:r w:rsidR="00644426">
        <w:rPr>
          <w:lang w:val="es-CO"/>
        </w:rPr>
        <w:t xml:space="preserve"> romaníes</w:t>
      </w:r>
      <w:r w:rsidRPr="00153A9C">
        <w:rPr>
          <w:lang w:val="es-CO"/>
        </w:rPr>
        <w:t>, de hecho vive</w:t>
      </w:r>
      <w:r w:rsidR="007731DC" w:rsidRPr="00153A9C">
        <w:rPr>
          <w:lang w:val="es-CO"/>
        </w:rPr>
        <w:t>n</w:t>
      </w:r>
      <w:r w:rsidRPr="00153A9C">
        <w:rPr>
          <w:lang w:val="es-CO"/>
        </w:rPr>
        <w:t xml:space="preserve"> en Bosn</w:t>
      </w:r>
      <w:r w:rsidR="007731DC" w:rsidRPr="00153A9C">
        <w:rPr>
          <w:lang w:val="es-CO"/>
        </w:rPr>
        <w:t xml:space="preserve">ia y Herzegovina un total de </w:t>
      </w:r>
      <w:smartTag w:uri="urn:schemas-microsoft-com:office:smarttags" w:element="metricconverter">
        <w:smartTagPr>
          <w:attr w:name="ProductID" w:val="25.000 a"/>
        </w:smartTagPr>
        <w:r w:rsidR="007731DC" w:rsidRPr="00153A9C">
          <w:rPr>
            <w:lang w:val="es-CO"/>
          </w:rPr>
          <w:t>25.</w:t>
        </w:r>
        <w:r w:rsidRPr="00153A9C">
          <w:rPr>
            <w:lang w:val="es-CO"/>
          </w:rPr>
          <w:t>00</w:t>
        </w:r>
        <w:r w:rsidR="007731DC" w:rsidRPr="00153A9C">
          <w:rPr>
            <w:lang w:val="es-CO"/>
          </w:rPr>
          <w:t>0 a</w:t>
        </w:r>
      </w:smartTag>
      <w:r w:rsidR="007731DC" w:rsidRPr="00153A9C">
        <w:rPr>
          <w:lang w:val="es-CO"/>
        </w:rPr>
        <w:t xml:space="preserve"> 30.</w:t>
      </w:r>
      <w:r w:rsidRPr="00153A9C">
        <w:rPr>
          <w:lang w:val="es-CO"/>
        </w:rPr>
        <w:t>000 romaníes. S</w:t>
      </w:r>
      <w:r w:rsidR="007062E7">
        <w:rPr>
          <w:lang w:val="es-CO"/>
        </w:rPr>
        <w:t>o</w:t>
      </w:r>
      <w:r w:rsidRPr="00153A9C">
        <w:rPr>
          <w:lang w:val="es-CO"/>
        </w:rPr>
        <w:t xml:space="preserve">lo el </w:t>
      </w:r>
      <w:r w:rsidR="00203E7B" w:rsidRPr="00153A9C">
        <w:rPr>
          <w:lang w:val="es-CO"/>
        </w:rPr>
        <w:t>3,4</w:t>
      </w:r>
      <w:r w:rsidR="00962FE1" w:rsidRPr="00153A9C">
        <w:rPr>
          <w:lang w:val="es-CO"/>
        </w:rPr>
        <w:t>%</w:t>
      </w:r>
      <w:r w:rsidR="00203E7B" w:rsidRPr="00326362">
        <w:rPr>
          <w:rStyle w:val="FootnoteReference"/>
        </w:rPr>
        <w:footnoteReference w:id="6"/>
      </w:r>
      <w:r w:rsidRPr="00153A9C">
        <w:rPr>
          <w:lang w:val="es-CO"/>
        </w:rPr>
        <w:t xml:space="preserve"> de </w:t>
      </w:r>
      <w:r w:rsidR="00644426">
        <w:rPr>
          <w:lang w:val="es-CO"/>
        </w:rPr>
        <w:t>ellos</w:t>
      </w:r>
      <w:r w:rsidRPr="00153A9C">
        <w:rPr>
          <w:lang w:val="es-CO"/>
        </w:rPr>
        <w:t xml:space="preserve"> tienen empleo permanente. Los registros oficiales de personas desempleadas y empleadas no presentan datos estadísticos técnicamente desglosados que indiquen el número de romaníes, y en cualquier caso son muy pocos los miembros de esta minoría registrados como desempleados en las oficinas de empleo. La principal fuente de ingresos para esta minoría étnica es el empleo por cuenta propia</w:t>
      </w:r>
      <w:r w:rsidR="00203E7B" w:rsidRPr="00326362">
        <w:rPr>
          <w:rStyle w:val="FootnoteReference"/>
        </w:rPr>
        <w:footnoteReference w:id="7"/>
      </w:r>
      <w:r w:rsidRPr="00153A9C">
        <w:rPr>
          <w:lang w:val="es-CO"/>
        </w:rPr>
        <w:t xml:space="preserve"> en el sector de la recolección de materiales reciclables y el reciclado de desechos. Por ello, el número de romaníes empleados es muy pequeño, y en concreto </w:t>
      </w:r>
      <w:r w:rsidR="007731DC" w:rsidRPr="00153A9C">
        <w:rPr>
          <w:lang w:val="es-CO"/>
        </w:rPr>
        <w:t xml:space="preserve">el </w:t>
      </w:r>
      <w:r w:rsidRPr="00153A9C">
        <w:rPr>
          <w:lang w:val="es-CO"/>
        </w:rPr>
        <w:t xml:space="preserve">sector público da empleo a aproximadamente un </w:t>
      </w:r>
      <w:r w:rsidR="007731DC" w:rsidRPr="00153A9C">
        <w:rPr>
          <w:lang w:val="es-CO"/>
        </w:rPr>
        <w:t>2</w:t>
      </w:r>
      <w:r w:rsidR="00962FE1" w:rsidRPr="00153A9C">
        <w:rPr>
          <w:lang w:val="es-CO"/>
        </w:rPr>
        <w:t>%</w:t>
      </w:r>
      <w:r w:rsidRPr="00153A9C">
        <w:rPr>
          <w:lang w:val="es-CO"/>
        </w:rPr>
        <w:t>-</w:t>
      </w:r>
      <w:r w:rsidR="007731DC" w:rsidRPr="00153A9C">
        <w:rPr>
          <w:lang w:val="es-CO"/>
        </w:rPr>
        <w:t>3</w:t>
      </w:r>
      <w:r w:rsidR="00962FE1" w:rsidRPr="00153A9C">
        <w:rPr>
          <w:lang w:val="es-CO"/>
        </w:rPr>
        <w:t>%</w:t>
      </w:r>
      <w:r w:rsidRPr="00153A9C">
        <w:rPr>
          <w:lang w:val="es-CO"/>
        </w:rPr>
        <w:t xml:space="preserve"> de su población, mientras que las empresas y tiendas de artesanía de su propiedad son muy escasas.</w:t>
      </w:r>
    </w:p>
    <w:p w:rsidR="000E24E0" w:rsidRPr="00153A9C" w:rsidRDefault="000E24E0" w:rsidP="009B29CE">
      <w:pPr>
        <w:pStyle w:val="SingleTxtG"/>
        <w:rPr>
          <w:lang w:val="es-CO"/>
        </w:rPr>
      </w:pPr>
      <w:r w:rsidRPr="00153A9C">
        <w:rPr>
          <w:lang w:val="es-CO"/>
        </w:rPr>
        <w:t xml:space="preserve">65. </w:t>
      </w:r>
      <w:r w:rsidRPr="00153A9C">
        <w:rPr>
          <w:lang w:val="es-CO"/>
        </w:rPr>
        <w:tab/>
        <w:t xml:space="preserve">En 2009, el Instituto de Empleo de </w:t>
      </w:r>
      <w:smartTag w:uri="urn:schemas-microsoft-com:office:smarttags" w:element="PersonName">
        <w:smartTagPr>
          <w:attr w:name="ProductID" w:val="la Rep￺blica Srpska"/>
        </w:smartTagPr>
        <w:r w:rsidRPr="00153A9C">
          <w:rPr>
            <w:lang w:val="es-CO"/>
          </w:rPr>
          <w:t>la República Srpska</w:t>
        </w:r>
      </w:smartTag>
      <w:r w:rsidRPr="00153A9C">
        <w:rPr>
          <w:lang w:val="es-CO"/>
        </w:rPr>
        <w:t xml:space="preserve"> comenzó a aplicar el Proyecto de apoyo al empleo de los romaníes en </w:t>
      </w:r>
      <w:smartTag w:uri="urn:schemas-microsoft-com:office:smarttags" w:element="PersonName">
        <w:smartTagPr>
          <w:attr w:name="ProductID" w:val="la Rep￺blica Srpska. Hasta"/>
        </w:smartTagPr>
        <w:r w:rsidRPr="00153A9C">
          <w:rPr>
            <w:lang w:val="es-CO"/>
          </w:rPr>
          <w:t>la República Srpska. Hasta</w:t>
        </w:r>
      </w:smartTag>
      <w:r w:rsidRPr="00153A9C">
        <w:rPr>
          <w:lang w:val="es-CO"/>
        </w:rPr>
        <w:t xml:space="preserve"> ahora, se han aprobado fondos por un total de </w:t>
      </w:r>
      <w:smartTag w:uri="urn:schemas-microsoft-com:office:smarttags" w:element="metricconverter">
        <w:smartTagPr>
          <w:attr w:name="ProductID" w:val="190.000 KM"/>
        </w:smartTagPr>
        <w:r w:rsidRPr="00153A9C">
          <w:rPr>
            <w:lang w:val="es-CO"/>
          </w:rPr>
          <w:t>190</w:t>
        </w:r>
        <w:r w:rsidR="007731DC" w:rsidRPr="00153A9C">
          <w:rPr>
            <w:lang w:val="es-CO"/>
          </w:rPr>
          <w:t>.000</w:t>
        </w:r>
        <w:r w:rsidRPr="00153A9C">
          <w:rPr>
            <w:lang w:val="es-CO"/>
          </w:rPr>
          <w:t xml:space="preserve"> </w:t>
        </w:r>
        <w:r w:rsidR="005E2DB0" w:rsidRPr="00153A9C">
          <w:rPr>
            <w:lang w:val="es-CO"/>
          </w:rPr>
          <w:t>KM</w:t>
        </w:r>
      </w:smartTag>
      <w:r w:rsidRPr="00153A9C">
        <w:rPr>
          <w:lang w:val="es-CO"/>
        </w:rPr>
        <w:t xml:space="preserve"> para cofinanciar el empleo de 75 personas, </w:t>
      </w:r>
      <w:r w:rsidR="00BF01C9">
        <w:rPr>
          <w:lang w:val="es-CO"/>
        </w:rPr>
        <w:t>5</w:t>
      </w:r>
      <w:r w:rsidR="00BF01C9" w:rsidRPr="00153A9C">
        <w:rPr>
          <w:lang w:val="es-CO"/>
        </w:rPr>
        <w:t xml:space="preserve"> </w:t>
      </w:r>
      <w:r w:rsidRPr="00153A9C">
        <w:rPr>
          <w:lang w:val="es-CO"/>
        </w:rPr>
        <w:t xml:space="preserve">de las cuales eran empleadas por cuenta propia y 70 serán contratadas por empleadores. El proyecto no se ha puesto en práctica en su totalidad, por lo que el Instituto de Empleo volvió </w:t>
      </w:r>
      <w:r w:rsidR="007731DC" w:rsidRPr="00153A9C">
        <w:rPr>
          <w:lang w:val="es-CO"/>
        </w:rPr>
        <w:t xml:space="preserve">a </w:t>
      </w:r>
      <w:r w:rsidRPr="00153A9C">
        <w:rPr>
          <w:lang w:val="es-CO"/>
        </w:rPr>
        <w:t xml:space="preserve">publicar una invitación para la cofinanciación del empleo por cuenta propia y la </w:t>
      </w:r>
      <w:r w:rsidR="007731DC" w:rsidRPr="00153A9C">
        <w:rPr>
          <w:lang w:val="es-CO"/>
        </w:rPr>
        <w:t xml:space="preserve">contratación </w:t>
      </w:r>
      <w:r w:rsidRPr="00153A9C">
        <w:rPr>
          <w:lang w:val="es-CO"/>
        </w:rPr>
        <w:t xml:space="preserve">por empleadores hasta que se gaste un total de </w:t>
      </w:r>
      <w:smartTag w:uri="urn:schemas-microsoft-com:office:smarttags" w:element="metricconverter">
        <w:smartTagPr>
          <w:attr w:name="ProductID" w:val="171.000 KM"/>
        </w:smartTagPr>
        <w:r w:rsidRPr="00153A9C">
          <w:rPr>
            <w:lang w:val="es-CO"/>
          </w:rPr>
          <w:t>171</w:t>
        </w:r>
        <w:r w:rsidR="007731DC" w:rsidRPr="00153A9C">
          <w:rPr>
            <w:lang w:val="es-CO"/>
          </w:rPr>
          <w:t>.000</w:t>
        </w:r>
        <w:r w:rsidRPr="00153A9C">
          <w:rPr>
            <w:lang w:val="es-CO"/>
          </w:rPr>
          <w:t xml:space="preserve"> </w:t>
        </w:r>
        <w:r w:rsidR="005E2DB0" w:rsidRPr="00153A9C">
          <w:rPr>
            <w:lang w:val="es-CO"/>
          </w:rPr>
          <w:t>KM</w:t>
        </w:r>
      </w:smartTag>
      <w:r w:rsidRPr="00153A9C">
        <w:rPr>
          <w:lang w:val="es-CO"/>
        </w:rPr>
        <w:t>.</w:t>
      </w:r>
    </w:p>
    <w:p w:rsidR="000E24E0" w:rsidRPr="00153A9C" w:rsidRDefault="000E24E0" w:rsidP="009B29CE">
      <w:pPr>
        <w:pStyle w:val="SingleTxtG"/>
        <w:rPr>
          <w:lang w:val="es-CO"/>
        </w:rPr>
      </w:pPr>
      <w:r w:rsidRPr="00153A9C">
        <w:rPr>
          <w:lang w:val="es-CO"/>
        </w:rPr>
        <w:t>66.</w:t>
      </w:r>
      <w:r w:rsidRPr="00153A9C">
        <w:rPr>
          <w:lang w:val="es-CO"/>
        </w:rPr>
        <w:tab/>
        <w:t xml:space="preserve">El </w:t>
      </w:r>
      <w:r w:rsidR="00485695" w:rsidRPr="00153A9C">
        <w:rPr>
          <w:lang w:val="es-CO"/>
        </w:rPr>
        <w:t>Instituto Federal de Empleo</w:t>
      </w:r>
      <w:r w:rsidRPr="00153A9C">
        <w:rPr>
          <w:lang w:val="es-CO"/>
        </w:rPr>
        <w:t xml:space="preserve"> está aplicando también programas de empleo y empleo por cuenta propia de romaníes de acuerdo con el memorando de entendimiento para la aplicación del Plan</w:t>
      </w:r>
      <w:r w:rsidR="007731DC" w:rsidRPr="00153A9C">
        <w:rPr>
          <w:lang w:val="es-CO"/>
        </w:rPr>
        <w:t xml:space="preserve"> de acción </w:t>
      </w:r>
      <w:r w:rsidRPr="00153A9C">
        <w:rPr>
          <w:lang w:val="es-CO"/>
        </w:rPr>
        <w:t xml:space="preserve">de 2009 de Bosnia y Herzegovina para hacer frente a los problemas de los romaníes en la esfera del empleo. Los fondos disponibles, </w:t>
      </w:r>
      <w:smartTag w:uri="urn:schemas-microsoft-com:office:smarttags" w:element="metricconverter">
        <w:smartTagPr>
          <w:attr w:name="ProductID" w:val="440.000 KM"/>
        </w:smartTagPr>
        <w:r w:rsidRPr="00153A9C">
          <w:rPr>
            <w:lang w:val="es-CO"/>
          </w:rPr>
          <w:t>440</w:t>
        </w:r>
        <w:r w:rsidR="007731DC" w:rsidRPr="00153A9C">
          <w:rPr>
            <w:lang w:val="es-CO"/>
          </w:rPr>
          <w:t>.000</w:t>
        </w:r>
        <w:r w:rsidRPr="00153A9C">
          <w:rPr>
            <w:lang w:val="es-CO"/>
          </w:rPr>
          <w:t xml:space="preserve"> </w:t>
        </w:r>
        <w:r w:rsidR="005E2DB0" w:rsidRPr="00153A9C">
          <w:rPr>
            <w:lang w:val="es-CO"/>
          </w:rPr>
          <w:t>KM</w:t>
        </w:r>
      </w:smartTag>
      <w:r w:rsidRPr="00153A9C">
        <w:rPr>
          <w:lang w:val="es-CO"/>
        </w:rPr>
        <w:t xml:space="preserve"> en total, están destinados a favorecer el empleo y el empleo por cuenta propia de los romaníes en la Federación, y se proponen los siguientes objetivos: cofinanciación de empleadores para la contratación de romaníes en actividades artesanales o conexas (artesanías antiguas, industria familiar, manufacturas y servicios artesanales), recolección de materias primas secundarias, agricultura (producción en invernadero, apicultura y otras ramas de la agricultura) u otra actividad.</w:t>
      </w:r>
    </w:p>
    <w:p w:rsidR="000E24E0" w:rsidRPr="00153A9C" w:rsidRDefault="007731DC" w:rsidP="009B29CE">
      <w:pPr>
        <w:pStyle w:val="SingleTxtG"/>
        <w:rPr>
          <w:lang w:val="es-CO"/>
        </w:rPr>
      </w:pPr>
      <w:r w:rsidRPr="00153A9C">
        <w:rPr>
          <w:lang w:val="es-CO"/>
        </w:rPr>
        <w:t>67.</w:t>
      </w:r>
      <w:r w:rsidRPr="00153A9C">
        <w:rPr>
          <w:lang w:val="es-CO"/>
        </w:rPr>
        <w:tab/>
        <w:t xml:space="preserve">En 2009 se gastaron </w:t>
      </w:r>
      <w:smartTag w:uri="urn:schemas-microsoft-com:office:smarttags" w:element="metricconverter">
        <w:smartTagPr>
          <w:attr w:name="ProductID" w:val="91.400 KM"/>
        </w:smartTagPr>
        <w:r w:rsidRPr="00153A9C">
          <w:rPr>
            <w:lang w:val="es-CO"/>
          </w:rPr>
          <w:t>91.</w:t>
        </w:r>
        <w:r w:rsidR="000E24E0" w:rsidRPr="00153A9C">
          <w:rPr>
            <w:lang w:val="es-CO"/>
          </w:rPr>
          <w:t xml:space="preserve">400 </w:t>
        </w:r>
        <w:r w:rsidR="005E2DB0" w:rsidRPr="00153A9C">
          <w:rPr>
            <w:lang w:val="es-CO"/>
          </w:rPr>
          <w:t>KM</w:t>
        </w:r>
      </w:smartTag>
      <w:r w:rsidR="000E24E0" w:rsidRPr="00153A9C">
        <w:rPr>
          <w:lang w:val="es-CO"/>
        </w:rPr>
        <w:t xml:space="preserve">. El resto de los fondos se destinaron de nuevo a fomentar el empleo de los romaníes mediante una evaluación de las solicitudes presentadas </w:t>
      </w:r>
      <w:r w:rsidRPr="00153A9C">
        <w:rPr>
          <w:lang w:val="es-CO"/>
        </w:rPr>
        <w:t xml:space="preserve">tras </w:t>
      </w:r>
      <w:r w:rsidR="000E24E0" w:rsidRPr="00153A9C">
        <w:rPr>
          <w:lang w:val="es-CO"/>
        </w:rPr>
        <w:t>la segunda invitación pública (publicada el 11 de junio de 2009). En 2010 continuará la aplicación del Programa de empleo y empleo por cuenta propia de los romaníes con los fondos asignados</w:t>
      </w:r>
      <w:r w:rsidRPr="00153A9C">
        <w:rPr>
          <w:lang w:val="es-CO"/>
        </w:rPr>
        <w:t>,</w:t>
      </w:r>
      <w:r w:rsidR="000E24E0" w:rsidRPr="00153A9C">
        <w:rPr>
          <w:lang w:val="es-CO"/>
        </w:rPr>
        <w:t xml:space="preserve"> por un total de </w:t>
      </w:r>
      <w:smartTag w:uri="urn:schemas-microsoft-com:office:smarttags" w:element="metricconverter">
        <w:smartTagPr>
          <w:attr w:name="ProductID" w:val="350.000 KM"/>
        </w:smartTagPr>
        <w:r w:rsidR="000E24E0" w:rsidRPr="00153A9C">
          <w:rPr>
            <w:lang w:val="es-CO"/>
          </w:rPr>
          <w:t>350</w:t>
        </w:r>
        <w:r w:rsidR="00184C06" w:rsidRPr="00153A9C">
          <w:rPr>
            <w:lang w:val="es-CO"/>
          </w:rPr>
          <w:t>.000</w:t>
        </w:r>
        <w:r w:rsidR="000E24E0" w:rsidRPr="00153A9C">
          <w:rPr>
            <w:lang w:val="es-CO"/>
          </w:rPr>
          <w:t xml:space="preserve"> </w:t>
        </w:r>
        <w:r w:rsidR="005E2DB0" w:rsidRPr="00153A9C">
          <w:rPr>
            <w:lang w:val="es-CO"/>
          </w:rPr>
          <w:t>KM</w:t>
        </w:r>
      </w:smartTag>
      <w:r w:rsidR="000E24E0" w:rsidRPr="00153A9C">
        <w:rPr>
          <w:lang w:val="es-CO"/>
        </w:rPr>
        <w:t>.</w:t>
      </w:r>
    </w:p>
    <w:p w:rsidR="000E24E0" w:rsidRPr="00153A9C" w:rsidRDefault="000E24E0" w:rsidP="009B29CE">
      <w:pPr>
        <w:pStyle w:val="SingleTxtG"/>
        <w:spacing w:after="240"/>
        <w:rPr>
          <w:lang w:val="es-CO"/>
        </w:rPr>
      </w:pPr>
      <w:r w:rsidRPr="00153A9C">
        <w:rPr>
          <w:lang w:val="es-CO"/>
        </w:rPr>
        <w:t>68.</w:t>
      </w:r>
      <w:r w:rsidRPr="00153A9C">
        <w:rPr>
          <w:lang w:val="es-CO"/>
        </w:rPr>
        <w:tab/>
        <w:t xml:space="preserve">En el Distrito Brčko, durante el </w:t>
      </w:r>
      <w:r w:rsidR="00527666" w:rsidRPr="00153A9C">
        <w:rPr>
          <w:lang w:val="es-CO"/>
        </w:rPr>
        <w:t>período</w:t>
      </w:r>
      <w:r w:rsidR="007731DC" w:rsidRPr="00153A9C">
        <w:rPr>
          <w:lang w:val="es-CO"/>
        </w:rPr>
        <w:t xml:space="preserve"> </w:t>
      </w:r>
      <w:r w:rsidR="00BF01C9">
        <w:rPr>
          <w:lang w:val="es-CO"/>
        </w:rPr>
        <w:t>abarcado por este</w:t>
      </w:r>
      <w:r w:rsidR="007731DC" w:rsidRPr="00153A9C">
        <w:rPr>
          <w:lang w:val="es-CO"/>
        </w:rPr>
        <w:t xml:space="preserve"> informe se llevó</w:t>
      </w:r>
      <w:r w:rsidRPr="00153A9C">
        <w:rPr>
          <w:lang w:val="es-CO"/>
        </w:rPr>
        <w:t xml:space="preserve"> a cabo una de las principales actividades del programa</w:t>
      </w:r>
      <w:r w:rsidR="005E3A95">
        <w:rPr>
          <w:lang w:val="es-CO"/>
        </w:rPr>
        <w:t xml:space="preserve"> </w:t>
      </w:r>
      <w:r w:rsidR="005E3A95" w:rsidRPr="005E3A95">
        <w:rPr>
          <w:szCs w:val="24"/>
          <w:lang w:val="es-ES"/>
        </w:rPr>
        <w:t>—</w:t>
      </w:r>
      <w:r w:rsidR="00F95429">
        <w:rPr>
          <w:lang w:val="es-CO"/>
        </w:rPr>
        <w:t>el programa de</w:t>
      </w:r>
      <w:r w:rsidRPr="00153A9C">
        <w:rPr>
          <w:lang w:val="es-CO"/>
        </w:rPr>
        <w:t xml:space="preserve"> contratación de becarios </w:t>
      </w:r>
      <w:r w:rsidR="007731DC" w:rsidRPr="00185602">
        <w:rPr>
          <w:i/>
          <w:lang w:val="es-CO"/>
        </w:rPr>
        <w:t>(pripravnici)</w:t>
      </w:r>
      <w:r w:rsidR="005E3A95">
        <w:rPr>
          <w:lang w:val="es-CO"/>
        </w:rPr>
        <w:t xml:space="preserve"> </w:t>
      </w:r>
      <w:r w:rsidR="00F95429">
        <w:rPr>
          <w:lang w:val="es-CO"/>
        </w:rPr>
        <w:t>orientado a</w:t>
      </w:r>
      <w:r w:rsidRPr="00153A9C">
        <w:rPr>
          <w:lang w:val="es-CO"/>
        </w:rPr>
        <w:t xml:space="preserve"> las personas con cuarto y séptimo nivel de educación, como se observa en el cuadro siguiente.</w:t>
      </w:r>
    </w:p>
    <w:p w:rsidR="000E24E0" w:rsidRPr="00153A9C" w:rsidRDefault="000E24E0" w:rsidP="009B29CE">
      <w:pPr>
        <w:pStyle w:val="Heading1"/>
        <w:rPr>
          <w:lang w:val="es-CO"/>
        </w:rPr>
      </w:pPr>
      <w:r w:rsidRPr="00153A9C">
        <w:rPr>
          <w:lang w:val="es-CO"/>
        </w:rPr>
        <w:t>Cuadro 1</w:t>
      </w:r>
    </w:p>
    <w:p w:rsidR="000E24E0" w:rsidRPr="009B29CE" w:rsidRDefault="009B29CE" w:rsidP="009B29CE">
      <w:pPr>
        <w:pStyle w:val="SingleTxtG"/>
        <w:jc w:val="left"/>
        <w:rPr>
          <w:b/>
          <w:lang w:val="es-CO"/>
        </w:rPr>
      </w:pPr>
      <w:r>
        <w:rPr>
          <w:b/>
          <w:lang w:val="es-CO"/>
        </w:rPr>
        <w:t>Programa de empleo de becarios</w:t>
      </w:r>
    </w:p>
    <w:tbl>
      <w:tblPr>
        <w:tblW w:w="9661" w:type="dxa"/>
        <w:jc w:val="center"/>
        <w:tblLayout w:type="fixed"/>
        <w:tblCellMar>
          <w:left w:w="0" w:type="dxa"/>
          <w:right w:w="0" w:type="dxa"/>
        </w:tblCellMar>
        <w:tblLook w:val="01E0"/>
      </w:tblPr>
      <w:tblGrid>
        <w:gridCol w:w="1691"/>
        <w:gridCol w:w="1092"/>
        <w:gridCol w:w="1358"/>
        <w:gridCol w:w="1267"/>
        <w:gridCol w:w="2086"/>
        <w:gridCol w:w="1596"/>
        <w:gridCol w:w="571"/>
      </w:tblGrid>
      <w:tr w:rsidR="000724F7" w:rsidRPr="00153A9C">
        <w:trPr>
          <w:jc w:val="center"/>
        </w:trPr>
        <w:tc>
          <w:tcPr>
            <w:tcW w:w="1691" w:type="dxa"/>
            <w:vMerge w:val="restart"/>
            <w:tcBorders>
              <w:top w:val="single" w:sz="4" w:space="0" w:color="auto"/>
            </w:tcBorders>
            <w:shd w:val="clear" w:color="auto" w:fill="auto"/>
            <w:vAlign w:val="bottom"/>
          </w:tcPr>
          <w:p w:rsidR="000724F7" w:rsidRPr="00153A9C" w:rsidRDefault="000724F7" w:rsidP="000724F7">
            <w:pPr>
              <w:spacing w:before="80" w:after="80" w:line="200" w:lineRule="exact"/>
              <w:rPr>
                <w:i/>
                <w:sz w:val="16"/>
                <w:lang w:val="es-CO"/>
              </w:rPr>
            </w:pPr>
            <w:r w:rsidRPr="00153A9C">
              <w:rPr>
                <w:i/>
                <w:sz w:val="16"/>
                <w:lang w:val="es-CO"/>
              </w:rPr>
              <w:t>Grupo destinatario</w:t>
            </w:r>
          </w:p>
        </w:tc>
        <w:tc>
          <w:tcPr>
            <w:tcW w:w="7399" w:type="dxa"/>
            <w:gridSpan w:val="5"/>
            <w:tcBorders>
              <w:top w:val="single" w:sz="4" w:space="0" w:color="auto"/>
              <w:bottom w:val="single" w:sz="4" w:space="0" w:color="auto"/>
            </w:tcBorders>
            <w:shd w:val="clear" w:color="auto" w:fill="auto"/>
            <w:vAlign w:val="bottom"/>
          </w:tcPr>
          <w:p w:rsidR="000724F7" w:rsidRPr="00153A9C" w:rsidRDefault="000724F7" w:rsidP="000724F7">
            <w:pPr>
              <w:spacing w:before="80" w:after="80" w:line="200" w:lineRule="exact"/>
              <w:jc w:val="center"/>
              <w:rPr>
                <w:i/>
                <w:sz w:val="16"/>
                <w:lang w:val="es-CO"/>
              </w:rPr>
            </w:pPr>
            <w:r w:rsidRPr="00153A9C">
              <w:rPr>
                <w:i/>
                <w:sz w:val="16"/>
                <w:szCs w:val="16"/>
                <w:lang w:val="es-CO"/>
              </w:rPr>
              <w:t>Becarios (</w:t>
            </w:r>
            <w:r w:rsidR="00185602" w:rsidRPr="00153A9C">
              <w:rPr>
                <w:i/>
                <w:sz w:val="16"/>
                <w:szCs w:val="16"/>
                <w:lang w:val="es-CO"/>
              </w:rPr>
              <w:t>pripravnici</w:t>
            </w:r>
            <w:r w:rsidRPr="00153A9C">
              <w:rPr>
                <w:i/>
                <w:sz w:val="16"/>
                <w:szCs w:val="16"/>
                <w:lang w:val="es-CO"/>
              </w:rPr>
              <w:t>)</w:t>
            </w:r>
          </w:p>
        </w:tc>
        <w:tc>
          <w:tcPr>
            <w:tcW w:w="571" w:type="dxa"/>
            <w:vMerge w:val="restart"/>
            <w:tcBorders>
              <w:top w:val="single" w:sz="4" w:space="0" w:color="auto"/>
            </w:tcBorders>
            <w:shd w:val="clear" w:color="auto" w:fill="auto"/>
            <w:vAlign w:val="bottom"/>
          </w:tcPr>
          <w:p w:rsidR="000724F7" w:rsidRPr="00153A9C" w:rsidRDefault="000724F7" w:rsidP="000724F7">
            <w:pPr>
              <w:spacing w:before="80" w:after="80" w:line="200" w:lineRule="exact"/>
              <w:jc w:val="right"/>
              <w:rPr>
                <w:b/>
                <w:i/>
                <w:sz w:val="16"/>
                <w:lang w:val="es-CO"/>
              </w:rPr>
            </w:pPr>
            <w:r w:rsidRPr="00153A9C">
              <w:rPr>
                <w:b/>
                <w:i/>
                <w:sz w:val="16"/>
                <w:lang w:val="es-CO"/>
              </w:rPr>
              <w:t>Total</w:t>
            </w:r>
          </w:p>
        </w:tc>
      </w:tr>
      <w:tr w:rsidR="000724F7" w:rsidRPr="00153A9C">
        <w:trPr>
          <w:jc w:val="center"/>
        </w:trPr>
        <w:tc>
          <w:tcPr>
            <w:tcW w:w="1691" w:type="dxa"/>
            <w:vMerge/>
            <w:tcBorders>
              <w:bottom w:val="single" w:sz="12" w:space="0" w:color="auto"/>
            </w:tcBorders>
            <w:shd w:val="clear" w:color="auto" w:fill="auto"/>
            <w:vAlign w:val="bottom"/>
          </w:tcPr>
          <w:p w:rsidR="000724F7" w:rsidRPr="00153A9C" w:rsidRDefault="000724F7" w:rsidP="000724F7">
            <w:pPr>
              <w:spacing w:before="80" w:after="80" w:line="200" w:lineRule="exact"/>
              <w:rPr>
                <w:i/>
                <w:sz w:val="16"/>
                <w:lang w:val="es-CO"/>
              </w:rPr>
            </w:pPr>
          </w:p>
        </w:tc>
        <w:tc>
          <w:tcPr>
            <w:tcW w:w="1092" w:type="dxa"/>
            <w:tcBorders>
              <w:top w:val="single" w:sz="4" w:space="0" w:color="auto"/>
              <w:bottom w:val="single" w:sz="12" w:space="0" w:color="auto"/>
            </w:tcBorders>
            <w:shd w:val="clear" w:color="auto" w:fill="auto"/>
            <w:vAlign w:val="bottom"/>
          </w:tcPr>
          <w:p w:rsidR="000724F7" w:rsidRPr="00153A9C" w:rsidRDefault="000724F7" w:rsidP="000724F7">
            <w:pPr>
              <w:spacing w:before="80" w:after="80" w:line="200" w:lineRule="exact"/>
              <w:jc w:val="right"/>
              <w:rPr>
                <w:i/>
                <w:sz w:val="16"/>
                <w:lang w:val="es-CO"/>
              </w:rPr>
            </w:pPr>
            <w:r w:rsidRPr="00153A9C">
              <w:rPr>
                <w:i/>
                <w:sz w:val="16"/>
                <w:lang w:val="es-CO"/>
              </w:rPr>
              <w:t>2</w:t>
            </w:r>
            <w:r w:rsidRPr="00153A9C">
              <w:rPr>
                <w:i/>
                <w:sz w:val="16"/>
                <w:vertAlign w:val="superscript"/>
                <w:lang w:val="es-CO"/>
              </w:rPr>
              <w:t>a</w:t>
            </w:r>
            <w:r w:rsidRPr="00153A9C">
              <w:rPr>
                <w:i/>
                <w:sz w:val="16"/>
                <w:lang w:val="es-CO"/>
              </w:rPr>
              <w:t xml:space="preserve"> convocatoria pública, 2009</w:t>
            </w:r>
          </w:p>
        </w:tc>
        <w:tc>
          <w:tcPr>
            <w:tcW w:w="1358" w:type="dxa"/>
            <w:tcBorders>
              <w:top w:val="single" w:sz="4" w:space="0" w:color="auto"/>
              <w:bottom w:val="single" w:sz="12" w:space="0" w:color="auto"/>
            </w:tcBorders>
            <w:shd w:val="clear" w:color="auto" w:fill="auto"/>
            <w:vAlign w:val="bottom"/>
          </w:tcPr>
          <w:p w:rsidR="000724F7" w:rsidRPr="00153A9C" w:rsidRDefault="000724F7" w:rsidP="000724F7">
            <w:pPr>
              <w:spacing w:before="80" w:after="80" w:line="200" w:lineRule="exact"/>
              <w:jc w:val="right"/>
              <w:rPr>
                <w:i/>
                <w:sz w:val="16"/>
                <w:lang w:val="es-CO"/>
              </w:rPr>
            </w:pPr>
            <w:r w:rsidRPr="00153A9C">
              <w:rPr>
                <w:i/>
                <w:sz w:val="16"/>
                <w:lang w:val="es-CO"/>
              </w:rPr>
              <w:t>2</w:t>
            </w:r>
            <w:r w:rsidRPr="00153A9C">
              <w:rPr>
                <w:i/>
                <w:sz w:val="16"/>
                <w:vertAlign w:val="superscript"/>
                <w:lang w:val="es-CO"/>
              </w:rPr>
              <w:t>a</w:t>
            </w:r>
            <w:r>
              <w:rPr>
                <w:i/>
                <w:sz w:val="16"/>
                <w:lang w:val="es-CO"/>
              </w:rPr>
              <w:t xml:space="preserve"> convocatoria pública</w:t>
            </w:r>
            <w:r w:rsidRPr="00153A9C">
              <w:rPr>
                <w:i/>
                <w:sz w:val="16"/>
                <w:lang w:val="es-CO"/>
              </w:rPr>
              <w:t>-31/08/2009</w:t>
            </w:r>
          </w:p>
        </w:tc>
        <w:tc>
          <w:tcPr>
            <w:tcW w:w="1267" w:type="dxa"/>
            <w:tcBorders>
              <w:top w:val="single" w:sz="4" w:space="0" w:color="auto"/>
              <w:bottom w:val="single" w:sz="12" w:space="0" w:color="auto"/>
            </w:tcBorders>
            <w:shd w:val="clear" w:color="auto" w:fill="auto"/>
            <w:vAlign w:val="bottom"/>
          </w:tcPr>
          <w:p w:rsidR="000724F7" w:rsidRPr="00153A9C" w:rsidRDefault="000724F7" w:rsidP="000724F7">
            <w:pPr>
              <w:spacing w:before="80" w:after="80" w:line="200" w:lineRule="exact"/>
              <w:jc w:val="right"/>
              <w:rPr>
                <w:i/>
                <w:sz w:val="16"/>
                <w:lang w:val="es-CO"/>
              </w:rPr>
            </w:pPr>
            <w:r w:rsidRPr="00153A9C">
              <w:rPr>
                <w:i/>
                <w:sz w:val="16"/>
                <w:lang w:val="es-CO"/>
              </w:rPr>
              <w:t xml:space="preserve">Prórroga de la </w:t>
            </w:r>
            <w:r>
              <w:rPr>
                <w:i/>
                <w:sz w:val="16"/>
                <w:lang w:val="es-CO"/>
              </w:rPr>
              <w:br/>
            </w:r>
            <w:r w:rsidRPr="00153A9C">
              <w:rPr>
                <w:i/>
                <w:sz w:val="16"/>
                <w:lang w:val="es-CO"/>
              </w:rPr>
              <w:t>2</w:t>
            </w:r>
            <w:r w:rsidRPr="00153A9C">
              <w:rPr>
                <w:i/>
                <w:sz w:val="16"/>
                <w:vertAlign w:val="superscript"/>
                <w:lang w:val="es-CO"/>
              </w:rPr>
              <w:t xml:space="preserve">a </w:t>
            </w:r>
            <w:r w:rsidRPr="00153A9C">
              <w:rPr>
                <w:i/>
                <w:sz w:val="16"/>
                <w:lang w:val="es-CO"/>
              </w:rPr>
              <w:t xml:space="preserve">convocatoria </w:t>
            </w:r>
            <w:r>
              <w:rPr>
                <w:i/>
                <w:sz w:val="16"/>
                <w:lang w:val="es-CO"/>
              </w:rPr>
              <w:br/>
            </w:r>
            <w:r w:rsidRPr="00153A9C">
              <w:rPr>
                <w:i/>
                <w:sz w:val="16"/>
                <w:lang w:val="es-CO"/>
              </w:rPr>
              <w:t xml:space="preserve">pública 2009 </w:t>
            </w:r>
          </w:p>
        </w:tc>
        <w:tc>
          <w:tcPr>
            <w:tcW w:w="2086" w:type="dxa"/>
            <w:tcBorders>
              <w:top w:val="single" w:sz="4" w:space="0" w:color="auto"/>
              <w:bottom w:val="single" w:sz="12" w:space="0" w:color="auto"/>
            </w:tcBorders>
            <w:shd w:val="clear" w:color="auto" w:fill="auto"/>
            <w:vAlign w:val="bottom"/>
          </w:tcPr>
          <w:p w:rsidR="000724F7" w:rsidRPr="00153A9C" w:rsidRDefault="000724F7" w:rsidP="000724F7">
            <w:pPr>
              <w:spacing w:before="80" w:after="80" w:line="200" w:lineRule="exact"/>
              <w:jc w:val="right"/>
              <w:rPr>
                <w:i/>
                <w:sz w:val="16"/>
                <w:lang w:val="es-CO"/>
              </w:rPr>
            </w:pPr>
            <w:r w:rsidRPr="00153A9C">
              <w:rPr>
                <w:i/>
                <w:sz w:val="16"/>
                <w:lang w:val="es-CO"/>
              </w:rPr>
              <w:t xml:space="preserve">Complemento de la prórroga </w:t>
            </w:r>
            <w:r>
              <w:rPr>
                <w:i/>
                <w:sz w:val="16"/>
                <w:lang w:val="es-CO"/>
              </w:rPr>
              <w:br/>
            </w:r>
            <w:r w:rsidRPr="00153A9C">
              <w:rPr>
                <w:i/>
                <w:sz w:val="16"/>
                <w:lang w:val="es-CO"/>
              </w:rPr>
              <w:t>de la 2</w:t>
            </w:r>
            <w:r w:rsidRPr="00153A9C">
              <w:rPr>
                <w:i/>
                <w:sz w:val="16"/>
                <w:vertAlign w:val="superscript"/>
                <w:lang w:val="es-CO"/>
              </w:rPr>
              <w:t xml:space="preserve">a </w:t>
            </w:r>
            <w:r w:rsidRPr="00153A9C">
              <w:rPr>
                <w:i/>
                <w:sz w:val="16"/>
                <w:lang w:val="es-CO"/>
              </w:rPr>
              <w:t>convocatoria pública para becarios</w:t>
            </w:r>
            <w:r>
              <w:rPr>
                <w:i/>
                <w:sz w:val="16"/>
                <w:lang w:val="es-CO"/>
              </w:rPr>
              <w:t xml:space="preserve"> </w:t>
            </w:r>
            <w:r w:rsidRPr="00153A9C">
              <w:rPr>
                <w:i/>
                <w:sz w:val="16"/>
                <w:lang w:val="es-CO"/>
              </w:rPr>
              <w:t>2009</w:t>
            </w:r>
          </w:p>
        </w:tc>
        <w:tc>
          <w:tcPr>
            <w:tcW w:w="1596" w:type="dxa"/>
            <w:tcBorders>
              <w:top w:val="single" w:sz="4" w:space="0" w:color="auto"/>
              <w:bottom w:val="single" w:sz="12" w:space="0" w:color="auto"/>
            </w:tcBorders>
            <w:shd w:val="clear" w:color="auto" w:fill="auto"/>
            <w:vAlign w:val="bottom"/>
          </w:tcPr>
          <w:p w:rsidR="000724F7" w:rsidRPr="00153A9C" w:rsidRDefault="000724F7" w:rsidP="000724F7">
            <w:pPr>
              <w:spacing w:before="80" w:after="80" w:line="200" w:lineRule="exact"/>
              <w:jc w:val="right"/>
              <w:rPr>
                <w:i/>
                <w:sz w:val="16"/>
                <w:lang w:val="es-CO"/>
              </w:rPr>
            </w:pPr>
            <w:r w:rsidRPr="00153A9C">
              <w:rPr>
                <w:i/>
                <w:sz w:val="16"/>
                <w:lang w:val="es-CO"/>
              </w:rPr>
              <w:t xml:space="preserve">Complemento </w:t>
            </w:r>
            <w:r>
              <w:rPr>
                <w:i/>
                <w:sz w:val="16"/>
                <w:lang w:val="es-CO"/>
              </w:rPr>
              <w:br/>
            </w:r>
            <w:r w:rsidRPr="00153A9C">
              <w:rPr>
                <w:i/>
                <w:sz w:val="16"/>
                <w:lang w:val="es-CO"/>
              </w:rPr>
              <w:t>de programas gubernamentales 2010</w:t>
            </w:r>
          </w:p>
        </w:tc>
        <w:tc>
          <w:tcPr>
            <w:tcW w:w="571" w:type="dxa"/>
            <w:vMerge/>
            <w:tcBorders>
              <w:bottom w:val="single" w:sz="12" w:space="0" w:color="auto"/>
            </w:tcBorders>
            <w:shd w:val="clear" w:color="auto" w:fill="auto"/>
            <w:vAlign w:val="bottom"/>
          </w:tcPr>
          <w:p w:rsidR="000724F7" w:rsidRPr="00153A9C" w:rsidRDefault="000724F7" w:rsidP="000724F7">
            <w:pPr>
              <w:spacing w:before="80" w:after="80" w:line="200" w:lineRule="exact"/>
              <w:jc w:val="right"/>
              <w:rPr>
                <w:i/>
                <w:sz w:val="16"/>
                <w:lang w:val="es-CO"/>
              </w:rPr>
            </w:pPr>
          </w:p>
        </w:tc>
      </w:tr>
      <w:tr w:rsidR="000724F7" w:rsidRPr="00153A9C">
        <w:trPr>
          <w:jc w:val="center"/>
        </w:trPr>
        <w:tc>
          <w:tcPr>
            <w:tcW w:w="1691" w:type="dxa"/>
            <w:tcBorders>
              <w:top w:val="single" w:sz="12" w:space="0" w:color="auto"/>
            </w:tcBorders>
            <w:shd w:val="clear" w:color="auto" w:fill="auto"/>
            <w:vAlign w:val="bottom"/>
          </w:tcPr>
          <w:p w:rsidR="00C10BD4" w:rsidRPr="00153A9C" w:rsidRDefault="00C10BD4" w:rsidP="000724F7">
            <w:pPr>
              <w:suppressAutoHyphens w:val="0"/>
              <w:spacing w:before="40" w:after="40" w:line="220" w:lineRule="exact"/>
              <w:rPr>
                <w:sz w:val="18"/>
                <w:lang w:val="es-CO"/>
              </w:rPr>
            </w:pPr>
            <w:r w:rsidRPr="00153A9C">
              <w:rPr>
                <w:sz w:val="18"/>
                <w:lang w:val="es-CO"/>
              </w:rPr>
              <w:t>7</w:t>
            </w:r>
            <w:r w:rsidR="000724F7">
              <w:rPr>
                <w:sz w:val="18"/>
                <w:lang w:val="es-CO"/>
              </w:rPr>
              <w:t>º</w:t>
            </w:r>
            <w:r w:rsidRPr="00153A9C">
              <w:rPr>
                <w:sz w:val="18"/>
                <w:lang w:val="es-CO"/>
              </w:rPr>
              <w:t xml:space="preserve"> nivel de instrucción</w:t>
            </w:r>
          </w:p>
        </w:tc>
        <w:tc>
          <w:tcPr>
            <w:tcW w:w="1092" w:type="dxa"/>
            <w:tcBorders>
              <w:top w:val="single" w:sz="12" w:space="0" w:color="auto"/>
            </w:tcBorders>
            <w:shd w:val="clear" w:color="auto" w:fill="auto"/>
            <w:vAlign w:val="bottom"/>
          </w:tcPr>
          <w:p w:rsidR="00C10BD4" w:rsidRPr="00153A9C" w:rsidRDefault="00C10BD4" w:rsidP="000724F7">
            <w:pPr>
              <w:suppressAutoHyphens w:val="0"/>
              <w:spacing w:before="40" w:after="40" w:line="220" w:lineRule="exact"/>
              <w:jc w:val="right"/>
              <w:rPr>
                <w:sz w:val="18"/>
                <w:lang w:val="es-CO"/>
              </w:rPr>
            </w:pPr>
            <w:r w:rsidRPr="00153A9C">
              <w:rPr>
                <w:sz w:val="18"/>
                <w:lang w:val="es-CO"/>
              </w:rPr>
              <w:t>148</w:t>
            </w:r>
          </w:p>
        </w:tc>
        <w:tc>
          <w:tcPr>
            <w:tcW w:w="1358" w:type="dxa"/>
            <w:tcBorders>
              <w:top w:val="single" w:sz="12" w:space="0" w:color="auto"/>
            </w:tcBorders>
            <w:shd w:val="clear" w:color="auto" w:fill="auto"/>
            <w:vAlign w:val="bottom"/>
          </w:tcPr>
          <w:p w:rsidR="00C10BD4" w:rsidRPr="00153A9C" w:rsidRDefault="00C10BD4" w:rsidP="000724F7">
            <w:pPr>
              <w:suppressAutoHyphens w:val="0"/>
              <w:spacing w:before="40" w:after="40" w:line="220" w:lineRule="exact"/>
              <w:jc w:val="right"/>
              <w:rPr>
                <w:sz w:val="18"/>
                <w:lang w:val="es-CO"/>
              </w:rPr>
            </w:pPr>
            <w:r w:rsidRPr="00153A9C">
              <w:rPr>
                <w:sz w:val="18"/>
                <w:lang w:val="es-CO"/>
              </w:rPr>
              <w:t>11</w:t>
            </w:r>
          </w:p>
        </w:tc>
        <w:tc>
          <w:tcPr>
            <w:tcW w:w="1267" w:type="dxa"/>
            <w:tcBorders>
              <w:top w:val="single" w:sz="12" w:space="0" w:color="auto"/>
            </w:tcBorders>
            <w:shd w:val="clear" w:color="auto" w:fill="auto"/>
            <w:vAlign w:val="bottom"/>
          </w:tcPr>
          <w:p w:rsidR="00C10BD4" w:rsidRPr="00153A9C" w:rsidRDefault="00C10BD4" w:rsidP="000724F7">
            <w:pPr>
              <w:suppressAutoHyphens w:val="0"/>
              <w:spacing w:before="40" w:after="40" w:line="220" w:lineRule="exact"/>
              <w:jc w:val="right"/>
              <w:rPr>
                <w:sz w:val="18"/>
                <w:lang w:val="es-CO"/>
              </w:rPr>
            </w:pPr>
            <w:r w:rsidRPr="00153A9C">
              <w:rPr>
                <w:sz w:val="18"/>
                <w:lang w:val="es-CO"/>
              </w:rPr>
              <w:t>15</w:t>
            </w:r>
          </w:p>
        </w:tc>
        <w:tc>
          <w:tcPr>
            <w:tcW w:w="2086" w:type="dxa"/>
            <w:tcBorders>
              <w:top w:val="single" w:sz="12" w:space="0" w:color="auto"/>
            </w:tcBorders>
            <w:shd w:val="clear" w:color="auto" w:fill="auto"/>
            <w:vAlign w:val="bottom"/>
          </w:tcPr>
          <w:p w:rsidR="00C10BD4" w:rsidRPr="00153A9C" w:rsidRDefault="00C10BD4" w:rsidP="000724F7">
            <w:pPr>
              <w:suppressAutoHyphens w:val="0"/>
              <w:spacing w:before="40" w:after="40" w:line="220" w:lineRule="exact"/>
              <w:jc w:val="right"/>
              <w:rPr>
                <w:sz w:val="18"/>
                <w:lang w:val="es-CO"/>
              </w:rPr>
            </w:pPr>
            <w:r w:rsidRPr="00153A9C">
              <w:rPr>
                <w:sz w:val="18"/>
                <w:lang w:val="es-CO"/>
              </w:rPr>
              <w:t>25</w:t>
            </w:r>
          </w:p>
        </w:tc>
        <w:tc>
          <w:tcPr>
            <w:tcW w:w="1596" w:type="dxa"/>
            <w:tcBorders>
              <w:top w:val="single" w:sz="12" w:space="0" w:color="auto"/>
            </w:tcBorders>
            <w:shd w:val="clear" w:color="auto" w:fill="auto"/>
            <w:vAlign w:val="bottom"/>
          </w:tcPr>
          <w:p w:rsidR="00C10BD4" w:rsidRPr="00153A9C" w:rsidRDefault="00C10BD4" w:rsidP="000724F7">
            <w:pPr>
              <w:suppressAutoHyphens w:val="0"/>
              <w:spacing w:before="40" w:after="40" w:line="220" w:lineRule="exact"/>
              <w:jc w:val="right"/>
              <w:rPr>
                <w:sz w:val="18"/>
                <w:lang w:val="es-CO"/>
              </w:rPr>
            </w:pPr>
            <w:r w:rsidRPr="00153A9C">
              <w:rPr>
                <w:sz w:val="18"/>
                <w:lang w:val="es-CO"/>
              </w:rPr>
              <w:t>24</w:t>
            </w:r>
          </w:p>
        </w:tc>
        <w:tc>
          <w:tcPr>
            <w:tcW w:w="571" w:type="dxa"/>
            <w:tcBorders>
              <w:top w:val="single" w:sz="12" w:space="0" w:color="auto"/>
            </w:tcBorders>
            <w:shd w:val="clear" w:color="auto" w:fill="auto"/>
            <w:vAlign w:val="bottom"/>
          </w:tcPr>
          <w:p w:rsidR="00C10BD4" w:rsidRPr="00153A9C" w:rsidRDefault="00C10BD4" w:rsidP="000724F7">
            <w:pPr>
              <w:suppressAutoHyphens w:val="0"/>
              <w:spacing w:before="40" w:after="40" w:line="220" w:lineRule="exact"/>
              <w:jc w:val="right"/>
              <w:rPr>
                <w:b/>
                <w:sz w:val="18"/>
                <w:lang w:val="es-CO"/>
              </w:rPr>
            </w:pPr>
            <w:r w:rsidRPr="00153A9C">
              <w:rPr>
                <w:b/>
                <w:sz w:val="18"/>
                <w:lang w:val="es-CO"/>
              </w:rPr>
              <w:t>223</w:t>
            </w:r>
          </w:p>
        </w:tc>
      </w:tr>
      <w:tr w:rsidR="000724F7" w:rsidRPr="00153A9C">
        <w:trPr>
          <w:jc w:val="center"/>
        </w:trPr>
        <w:tc>
          <w:tcPr>
            <w:tcW w:w="1691" w:type="dxa"/>
            <w:shd w:val="clear" w:color="auto" w:fill="auto"/>
            <w:vAlign w:val="bottom"/>
          </w:tcPr>
          <w:p w:rsidR="00C10BD4" w:rsidRPr="00153A9C" w:rsidRDefault="000724F7" w:rsidP="000724F7">
            <w:pPr>
              <w:suppressAutoHyphens w:val="0"/>
              <w:spacing w:before="40" w:after="40" w:line="220" w:lineRule="exact"/>
              <w:rPr>
                <w:sz w:val="18"/>
                <w:lang w:val="es-CO"/>
              </w:rPr>
            </w:pPr>
            <w:r>
              <w:rPr>
                <w:sz w:val="18"/>
                <w:lang w:val="es-CO"/>
              </w:rPr>
              <w:t>6º</w:t>
            </w:r>
            <w:r w:rsidR="00C10BD4" w:rsidRPr="00153A9C">
              <w:rPr>
                <w:sz w:val="18"/>
                <w:lang w:val="es-CO"/>
              </w:rPr>
              <w:t xml:space="preserve"> nivel </w:t>
            </w:r>
          </w:p>
        </w:tc>
        <w:tc>
          <w:tcPr>
            <w:tcW w:w="1092" w:type="dxa"/>
            <w:shd w:val="clear" w:color="auto" w:fill="auto"/>
            <w:vAlign w:val="bottom"/>
          </w:tcPr>
          <w:p w:rsidR="00C10BD4" w:rsidRPr="00153A9C" w:rsidRDefault="00C10BD4" w:rsidP="000724F7">
            <w:pPr>
              <w:suppressAutoHyphens w:val="0"/>
              <w:spacing w:before="40" w:after="40" w:line="220" w:lineRule="exact"/>
              <w:jc w:val="right"/>
              <w:rPr>
                <w:sz w:val="18"/>
                <w:lang w:val="es-CO"/>
              </w:rPr>
            </w:pPr>
            <w:r w:rsidRPr="00153A9C">
              <w:rPr>
                <w:sz w:val="18"/>
                <w:lang w:val="es-CO"/>
              </w:rPr>
              <w:t>17</w:t>
            </w:r>
          </w:p>
        </w:tc>
        <w:tc>
          <w:tcPr>
            <w:tcW w:w="1358" w:type="dxa"/>
            <w:shd w:val="clear" w:color="auto" w:fill="auto"/>
            <w:vAlign w:val="bottom"/>
          </w:tcPr>
          <w:p w:rsidR="00C10BD4" w:rsidRPr="00153A9C" w:rsidRDefault="00C10BD4" w:rsidP="000724F7">
            <w:pPr>
              <w:suppressAutoHyphens w:val="0"/>
              <w:spacing w:before="40" w:after="40" w:line="220" w:lineRule="exact"/>
              <w:jc w:val="right"/>
              <w:rPr>
                <w:sz w:val="18"/>
                <w:lang w:val="es-CO"/>
              </w:rPr>
            </w:pPr>
            <w:r w:rsidRPr="00153A9C">
              <w:rPr>
                <w:sz w:val="18"/>
                <w:lang w:val="es-CO"/>
              </w:rPr>
              <w:t>25</w:t>
            </w:r>
          </w:p>
        </w:tc>
        <w:tc>
          <w:tcPr>
            <w:tcW w:w="1267" w:type="dxa"/>
            <w:shd w:val="clear" w:color="auto" w:fill="auto"/>
            <w:vAlign w:val="bottom"/>
          </w:tcPr>
          <w:p w:rsidR="00C10BD4" w:rsidRPr="00153A9C" w:rsidRDefault="00C10BD4" w:rsidP="000724F7">
            <w:pPr>
              <w:suppressAutoHyphens w:val="0"/>
              <w:spacing w:before="40" w:after="40" w:line="220" w:lineRule="exact"/>
              <w:jc w:val="right"/>
              <w:rPr>
                <w:sz w:val="18"/>
                <w:lang w:val="es-CO"/>
              </w:rPr>
            </w:pPr>
            <w:r w:rsidRPr="00153A9C">
              <w:rPr>
                <w:sz w:val="18"/>
                <w:lang w:val="es-CO"/>
              </w:rPr>
              <w:t>4</w:t>
            </w:r>
          </w:p>
        </w:tc>
        <w:tc>
          <w:tcPr>
            <w:tcW w:w="2086" w:type="dxa"/>
            <w:shd w:val="clear" w:color="auto" w:fill="auto"/>
            <w:vAlign w:val="bottom"/>
          </w:tcPr>
          <w:p w:rsidR="00C10BD4" w:rsidRPr="00153A9C" w:rsidRDefault="00C10BD4" w:rsidP="000724F7">
            <w:pPr>
              <w:suppressAutoHyphens w:val="0"/>
              <w:spacing w:before="40" w:after="40" w:line="220" w:lineRule="exact"/>
              <w:jc w:val="right"/>
              <w:rPr>
                <w:sz w:val="18"/>
                <w:lang w:val="es-CO"/>
              </w:rPr>
            </w:pPr>
            <w:r w:rsidRPr="00153A9C">
              <w:rPr>
                <w:sz w:val="18"/>
                <w:lang w:val="es-CO"/>
              </w:rPr>
              <w:t>-</w:t>
            </w:r>
          </w:p>
        </w:tc>
        <w:tc>
          <w:tcPr>
            <w:tcW w:w="1596" w:type="dxa"/>
            <w:shd w:val="clear" w:color="auto" w:fill="auto"/>
            <w:vAlign w:val="bottom"/>
          </w:tcPr>
          <w:p w:rsidR="00C10BD4" w:rsidRPr="00153A9C" w:rsidRDefault="00C10BD4" w:rsidP="000724F7">
            <w:pPr>
              <w:suppressAutoHyphens w:val="0"/>
              <w:spacing w:before="40" w:after="40" w:line="220" w:lineRule="exact"/>
              <w:jc w:val="right"/>
              <w:rPr>
                <w:sz w:val="18"/>
                <w:lang w:val="es-CO"/>
              </w:rPr>
            </w:pPr>
            <w:r w:rsidRPr="00153A9C">
              <w:rPr>
                <w:sz w:val="18"/>
                <w:lang w:val="es-CO"/>
              </w:rPr>
              <w:t>3</w:t>
            </w:r>
          </w:p>
        </w:tc>
        <w:tc>
          <w:tcPr>
            <w:tcW w:w="571" w:type="dxa"/>
            <w:shd w:val="clear" w:color="auto" w:fill="auto"/>
            <w:vAlign w:val="bottom"/>
          </w:tcPr>
          <w:p w:rsidR="00C10BD4" w:rsidRPr="00153A9C" w:rsidRDefault="00C10BD4" w:rsidP="000724F7">
            <w:pPr>
              <w:suppressAutoHyphens w:val="0"/>
              <w:spacing w:before="40" w:after="40" w:line="220" w:lineRule="exact"/>
              <w:jc w:val="right"/>
              <w:rPr>
                <w:b/>
                <w:sz w:val="18"/>
                <w:lang w:val="es-CO"/>
              </w:rPr>
            </w:pPr>
            <w:r w:rsidRPr="00153A9C">
              <w:rPr>
                <w:b/>
                <w:sz w:val="18"/>
                <w:lang w:val="es-CO"/>
              </w:rPr>
              <w:t>49</w:t>
            </w:r>
          </w:p>
        </w:tc>
      </w:tr>
      <w:tr w:rsidR="000724F7" w:rsidRPr="00153A9C">
        <w:trPr>
          <w:jc w:val="center"/>
        </w:trPr>
        <w:tc>
          <w:tcPr>
            <w:tcW w:w="1691" w:type="dxa"/>
            <w:tcBorders>
              <w:bottom w:val="single" w:sz="4" w:space="0" w:color="auto"/>
            </w:tcBorders>
            <w:shd w:val="clear" w:color="auto" w:fill="auto"/>
            <w:vAlign w:val="bottom"/>
          </w:tcPr>
          <w:p w:rsidR="00C10BD4" w:rsidRPr="00153A9C" w:rsidRDefault="00C10BD4" w:rsidP="000724F7">
            <w:pPr>
              <w:suppressAutoHyphens w:val="0"/>
              <w:spacing w:before="40" w:after="40" w:line="220" w:lineRule="exact"/>
              <w:rPr>
                <w:sz w:val="18"/>
                <w:lang w:val="es-CO"/>
              </w:rPr>
            </w:pPr>
            <w:r w:rsidRPr="00153A9C">
              <w:rPr>
                <w:sz w:val="18"/>
                <w:lang w:val="es-CO"/>
              </w:rPr>
              <w:t>4</w:t>
            </w:r>
            <w:r w:rsidR="000724F7">
              <w:rPr>
                <w:sz w:val="18"/>
                <w:lang w:val="es-CO"/>
              </w:rPr>
              <w:t>º</w:t>
            </w:r>
            <w:r w:rsidRPr="00153A9C">
              <w:rPr>
                <w:sz w:val="18"/>
                <w:lang w:val="es-CO"/>
              </w:rPr>
              <w:t xml:space="preserve"> nivel</w:t>
            </w:r>
          </w:p>
        </w:tc>
        <w:tc>
          <w:tcPr>
            <w:tcW w:w="1092" w:type="dxa"/>
            <w:tcBorders>
              <w:bottom w:val="single" w:sz="4" w:space="0" w:color="auto"/>
            </w:tcBorders>
            <w:shd w:val="clear" w:color="auto" w:fill="auto"/>
            <w:vAlign w:val="bottom"/>
          </w:tcPr>
          <w:p w:rsidR="00C10BD4" w:rsidRPr="00153A9C" w:rsidRDefault="00C10BD4" w:rsidP="000724F7">
            <w:pPr>
              <w:suppressAutoHyphens w:val="0"/>
              <w:spacing w:before="40" w:after="40" w:line="220" w:lineRule="exact"/>
              <w:jc w:val="right"/>
              <w:rPr>
                <w:sz w:val="18"/>
                <w:lang w:val="es-CO"/>
              </w:rPr>
            </w:pPr>
            <w:r w:rsidRPr="00153A9C">
              <w:rPr>
                <w:sz w:val="18"/>
                <w:lang w:val="es-CO"/>
              </w:rPr>
              <w:t>108</w:t>
            </w:r>
          </w:p>
        </w:tc>
        <w:tc>
          <w:tcPr>
            <w:tcW w:w="1358" w:type="dxa"/>
            <w:tcBorders>
              <w:bottom w:val="single" w:sz="4" w:space="0" w:color="auto"/>
            </w:tcBorders>
            <w:shd w:val="clear" w:color="auto" w:fill="auto"/>
            <w:vAlign w:val="bottom"/>
          </w:tcPr>
          <w:p w:rsidR="00C10BD4" w:rsidRPr="00153A9C" w:rsidRDefault="00C10BD4" w:rsidP="000724F7">
            <w:pPr>
              <w:suppressAutoHyphens w:val="0"/>
              <w:spacing w:before="40" w:after="40" w:line="220" w:lineRule="exact"/>
              <w:jc w:val="right"/>
              <w:rPr>
                <w:sz w:val="18"/>
                <w:lang w:val="es-CO"/>
              </w:rPr>
            </w:pPr>
            <w:r w:rsidRPr="00153A9C">
              <w:rPr>
                <w:sz w:val="18"/>
                <w:lang w:val="es-CO"/>
              </w:rPr>
              <w:t>-</w:t>
            </w:r>
          </w:p>
        </w:tc>
        <w:tc>
          <w:tcPr>
            <w:tcW w:w="1267" w:type="dxa"/>
            <w:tcBorders>
              <w:bottom w:val="single" w:sz="4" w:space="0" w:color="auto"/>
            </w:tcBorders>
            <w:shd w:val="clear" w:color="auto" w:fill="auto"/>
            <w:vAlign w:val="bottom"/>
          </w:tcPr>
          <w:p w:rsidR="00C10BD4" w:rsidRPr="00153A9C" w:rsidRDefault="00C10BD4" w:rsidP="000724F7">
            <w:pPr>
              <w:suppressAutoHyphens w:val="0"/>
              <w:spacing w:before="40" w:after="40" w:line="220" w:lineRule="exact"/>
              <w:jc w:val="right"/>
              <w:rPr>
                <w:sz w:val="18"/>
                <w:lang w:val="es-CO"/>
              </w:rPr>
            </w:pPr>
            <w:r w:rsidRPr="00153A9C">
              <w:rPr>
                <w:sz w:val="18"/>
                <w:lang w:val="es-CO"/>
              </w:rPr>
              <w:t>20</w:t>
            </w:r>
          </w:p>
        </w:tc>
        <w:tc>
          <w:tcPr>
            <w:tcW w:w="2086" w:type="dxa"/>
            <w:tcBorders>
              <w:bottom w:val="single" w:sz="4" w:space="0" w:color="auto"/>
            </w:tcBorders>
            <w:shd w:val="clear" w:color="auto" w:fill="auto"/>
            <w:vAlign w:val="bottom"/>
          </w:tcPr>
          <w:p w:rsidR="00C10BD4" w:rsidRPr="00153A9C" w:rsidRDefault="00C10BD4" w:rsidP="000724F7">
            <w:pPr>
              <w:suppressAutoHyphens w:val="0"/>
              <w:spacing w:before="40" w:after="40" w:line="220" w:lineRule="exact"/>
              <w:jc w:val="right"/>
              <w:rPr>
                <w:sz w:val="18"/>
                <w:lang w:val="es-CO"/>
              </w:rPr>
            </w:pPr>
            <w:r w:rsidRPr="00153A9C">
              <w:rPr>
                <w:sz w:val="18"/>
                <w:lang w:val="es-CO"/>
              </w:rPr>
              <w:t>25</w:t>
            </w:r>
          </w:p>
        </w:tc>
        <w:tc>
          <w:tcPr>
            <w:tcW w:w="1596" w:type="dxa"/>
            <w:tcBorders>
              <w:bottom w:val="single" w:sz="4" w:space="0" w:color="auto"/>
            </w:tcBorders>
            <w:shd w:val="clear" w:color="auto" w:fill="auto"/>
            <w:vAlign w:val="bottom"/>
          </w:tcPr>
          <w:p w:rsidR="00C10BD4" w:rsidRPr="00153A9C" w:rsidRDefault="00C10BD4" w:rsidP="000724F7">
            <w:pPr>
              <w:suppressAutoHyphens w:val="0"/>
              <w:spacing w:before="40" w:after="40" w:line="220" w:lineRule="exact"/>
              <w:jc w:val="right"/>
              <w:rPr>
                <w:sz w:val="18"/>
                <w:lang w:val="es-CO"/>
              </w:rPr>
            </w:pPr>
            <w:r w:rsidRPr="00153A9C">
              <w:rPr>
                <w:sz w:val="18"/>
                <w:lang w:val="es-CO"/>
              </w:rPr>
              <w:t>10</w:t>
            </w:r>
          </w:p>
        </w:tc>
        <w:tc>
          <w:tcPr>
            <w:tcW w:w="571" w:type="dxa"/>
            <w:tcBorders>
              <w:bottom w:val="single" w:sz="4" w:space="0" w:color="auto"/>
            </w:tcBorders>
            <w:shd w:val="clear" w:color="auto" w:fill="auto"/>
            <w:vAlign w:val="bottom"/>
          </w:tcPr>
          <w:p w:rsidR="00C10BD4" w:rsidRPr="00153A9C" w:rsidRDefault="00C10BD4" w:rsidP="000724F7">
            <w:pPr>
              <w:suppressAutoHyphens w:val="0"/>
              <w:spacing w:before="40" w:after="40" w:line="220" w:lineRule="exact"/>
              <w:jc w:val="right"/>
              <w:rPr>
                <w:b/>
                <w:sz w:val="18"/>
                <w:lang w:val="es-CO"/>
              </w:rPr>
            </w:pPr>
            <w:r w:rsidRPr="00153A9C">
              <w:rPr>
                <w:b/>
                <w:sz w:val="18"/>
                <w:lang w:val="es-CO"/>
              </w:rPr>
              <w:t>163</w:t>
            </w:r>
          </w:p>
        </w:tc>
      </w:tr>
      <w:tr w:rsidR="000724F7" w:rsidRPr="00153A9C">
        <w:trPr>
          <w:jc w:val="center"/>
        </w:trPr>
        <w:tc>
          <w:tcPr>
            <w:tcW w:w="1691" w:type="dxa"/>
            <w:tcBorders>
              <w:top w:val="single" w:sz="4" w:space="0" w:color="auto"/>
              <w:bottom w:val="single" w:sz="12" w:space="0" w:color="auto"/>
            </w:tcBorders>
            <w:shd w:val="clear" w:color="auto" w:fill="auto"/>
            <w:vAlign w:val="bottom"/>
          </w:tcPr>
          <w:p w:rsidR="00C10BD4" w:rsidRPr="00153A9C" w:rsidRDefault="00C10BD4" w:rsidP="000724F7">
            <w:pPr>
              <w:suppressAutoHyphens w:val="0"/>
              <w:spacing w:before="80" w:after="80" w:line="220" w:lineRule="exact"/>
              <w:ind w:left="284"/>
              <w:rPr>
                <w:b/>
                <w:sz w:val="18"/>
                <w:lang w:val="es-CO"/>
              </w:rPr>
            </w:pPr>
            <w:r w:rsidRPr="00153A9C">
              <w:rPr>
                <w:b/>
                <w:sz w:val="18"/>
                <w:lang w:val="es-CO"/>
              </w:rPr>
              <w:t>Total</w:t>
            </w:r>
          </w:p>
        </w:tc>
        <w:tc>
          <w:tcPr>
            <w:tcW w:w="1092" w:type="dxa"/>
            <w:tcBorders>
              <w:top w:val="single" w:sz="4" w:space="0" w:color="auto"/>
              <w:bottom w:val="single" w:sz="12" w:space="0" w:color="auto"/>
            </w:tcBorders>
            <w:shd w:val="clear" w:color="auto" w:fill="auto"/>
            <w:vAlign w:val="bottom"/>
          </w:tcPr>
          <w:p w:rsidR="00C10BD4" w:rsidRPr="00153A9C" w:rsidRDefault="00C10BD4" w:rsidP="000724F7">
            <w:pPr>
              <w:suppressAutoHyphens w:val="0"/>
              <w:spacing w:before="80" w:after="80" w:line="220" w:lineRule="exact"/>
              <w:jc w:val="right"/>
              <w:rPr>
                <w:b/>
                <w:sz w:val="18"/>
                <w:lang w:val="es-CO"/>
              </w:rPr>
            </w:pPr>
            <w:r w:rsidRPr="00153A9C">
              <w:rPr>
                <w:b/>
                <w:sz w:val="18"/>
                <w:lang w:val="es-CO"/>
              </w:rPr>
              <w:t>273</w:t>
            </w:r>
          </w:p>
        </w:tc>
        <w:tc>
          <w:tcPr>
            <w:tcW w:w="1358" w:type="dxa"/>
            <w:tcBorders>
              <w:top w:val="single" w:sz="4" w:space="0" w:color="auto"/>
              <w:bottom w:val="single" w:sz="12" w:space="0" w:color="auto"/>
            </w:tcBorders>
            <w:shd w:val="clear" w:color="auto" w:fill="auto"/>
            <w:vAlign w:val="bottom"/>
          </w:tcPr>
          <w:p w:rsidR="00C10BD4" w:rsidRPr="00153A9C" w:rsidRDefault="00C10BD4" w:rsidP="000724F7">
            <w:pPr>
              <w:suppressAutoHyphens w:val="0"/>
              <w:spacing w:before="80" w:after="80" w:line="220" w:lineRule="exact"/>
              <w:jc w:val="right"/>
              <w:rPr>
                <w:b/>
                <w:sz w:val="18"/>
                <w:lang w:val="es-CO"/>
              </w:rPr>
            </w:pPr>
            <w:r w:rsidRPr="00153A9C">
              <w:rPr>
                <w:b/>
                <w:sz w:val="18"/>
                <w:lang w:val="es-CO"/>
              </w:rPr>
              <w:t>36</w:t>
            </w:r>
          </w:p>
        </w:tc>
        <w:tc>
          <w:tcPr>
            <w:tcW w:w="1267" w:type="dxa"/>
            <w:tcBorders>
              <w:top w:val="single" w:sz="4" w:space="0" w:color="auto"/>
              <w:bottom w:val="single" w:sz="12" w:space="0" w:color="auto"/>
            </w:tcBorders>
            <w:shd w:val="clear" w:color="auto" w:fill="auto"/>
            <w:vAlign w:val="bottom"/>
          </w:tcPr>
          <w:p w:rsidR="00C10BD4" w:rsidRPr="00153A9C" w:rsidRDefault="00C10BD4" w:rsidP="000724F7">
            <w:pPr>
              <w:suppressAutoHyphens w:val="0"/>
              <w:spacing w:before="80" w:after="80" w:line="220" w:lineRule="exact"/>
              <w:jc w:val="right"/>
              <w:rPr>
                <w:b/>
                <w:sz w:val="18"/>
                <w:lang w:val="es-CO"/>
              </w:rPr>
            </w:pPr>
            <w:r w:rsidRPr="00153A9C">
              <w:rPr>
                <w:b/>
                <w:sz w:val="18"/>
                <w:lang w:val="es-CO"/>
              </w:rPr>
              <w:t>39</w:t>
            </w:r>
          </w:p>
        </w:tc>
        <w:tc>
          <w:tcPr>
            <w:tcW w:w="2086" w:type="dxa"/>
            <w:tcBorders>
              <w:top w:val="single" w:sz="4" w:space="0" w:color="auto"/>
              <w:bottom w:val="single" w:sz="12" w:space="0" w:color="auto"/>
            </w:tcBorders>
            <w:shd w:val="clear" w:color="auto" w:fill="auto"/>
            <w:vAlign w:val="bottom"/>
          </w:tcPr>
          <w:p w:rsidR="00C10BD4" w:rsidRPr="00153A9C" w:rsidRDefault="00C10BD4" w:rsidP="000724F7">
            <w:pPr>
              <w:suppressAutoHyphens w:val="0"/>
              <w:spacing w:before="80" w:after="80" w:line="220" w:lineRule="exact"/>
              <w:jc w:val="right"/>
              <w:rPr>
                <w:b/>
                <w:sz w:val="18"/>
                <w:lang w:val="es-CO"/>
              </w:rPr>
            </w:pPr>
            <w:r w:rsidRPr="00153A9C">
              <w:rPr>
                <w:b/>
                <w:sz w:val="18"/>
                <w:lang w:val="es-CO"/>
              </w:rPr>
              <w:t>50</w:t>
            </w:r>
          </w:p>
        </w:tc>
        <w:tc>
          <w:tcPr>
            <w:tcW w:w="1596" w:type="dxa"/>
            <w:tcBorders>
              <w:top w:val="single" w:sz="4" w:space="0" w:color="auto"/>
              <w:bottom w:val="single" w:sz="12" w:space="0" w:color="auto"/>
            </w:tcBorders>
            <w:shd w:val="clear" w:color="auto" w:fill="auto"/>
            <w:vAlign w:val="bottom"/>
          </w:tcPr>
          <w:p w:rsidR="00C10BD4" w:rsidRPr="00153A9C" w:rsidRDefault="00C10BD4" w:rsidP="000724F7">
            <w:pPr>
              <w:suppressAutoHyphens w:val="0"/>
              <w:spacing w:before="80" w:after="80" w:line="220" w:lineRule="exact"/>
              <w:jc w:val="right"/>
              <w:rPr>
                <w:b/>
                <w:sz w:val="18"/>
                <w:lang w:val="es-CO"/>
              </w:rPr>
            </w:pPr>
            <w:r w:rsidRPr="00153A9C">
              <w:rPr>
                <w:b/>
                <w:sz w:val="18"/>
                <w:lang w:val="es-CO"/>
              </w:rPr>
              <w:t>37</w:t>
            </w:r>
          </w:p>
        </w:tc>
        <w:tc>
          <w:tcPr>
            <w:tcW w:w="571" w:type="dxa"/>
            <w:tcBorders>
              <w:top w:val="single" w:sz="4" w:space="0" w:color="auto"/>
              <w:bottom w:val="single" w:sz="12" w:space="0" w:color="auto"/>
            </w:tcBorders>
            <w:shd w:val="clear" w:color="auto" w:fill="auto"/>
            <w:vAlign w:val="bottom"/>
          </w:tcPr>
          <w:p w:rsidR="00C10BD4" w:rsidRPr="00153A9C" w:rsidRDefault="00C10BD4" w:rsidP="000724F7">
            <w:pPr>
              <w:suppressAutoHyphens w:val="0"/>
              <w:spacing w:before="80" w:after="80" w:line="220" w:lineRule="exact"/>
              <w:jc w:val="right"/>
              <w:rPr>
                <w:b/>
                <w:sz w:val="18"/>
                <w:lang w:val="es-CO"/>
              </w:rPr>
            </w:pPr>
            <w:r w:rsidRPr="00153A9C">
              <w:rPr>
                <w:b/>
                <w:sz w:val="18"/>
                <w:lang w:val="es-CO"/>
              </w:rPr>
              <w:t>435</w:t>
            </w:r>
          </w:p>
        </w:tc>
      </w:tr>
    </w:tbl>
    <w:p w:rsidR="000E24E0" w:rsidRPr="00153A9C" w:rsidRDefault="000E24E0" w:rsidP="009B29CE">
      <w:pPr>
        <w:pStyle w:val="SingleTxtG"/>
        <w:spacing w:before="240"/>
        <w:rPr>
          <w:lang w:val="es-CO"/>
        </w:rPr>
      </w:pPr>
      <w:r w:rsidRPr="00153A9C">
        <w:rPr>
          <w:lang w:val="es-CO"/>
        </w:rPr>
        <w:t>69.</w:t>
      </w:r>
      <w:r w:rsidRPr="00153A9C">
        <w:rPr>
          <w:lang w:val="es-CO"/>
        </w:rPr>
        <w:tab/>
        <w:t>Los becarios que figuran en el cuadro recibieron financiación con cargo al presupuesto del Distrito Brčko de Bosnia y Herzegovina y a los fondos del Instituto de Empleo del Distrito Brčko.</w:t>
      </w:r>
    </w:p>
    <w:p w:rsidR="000E24E0" w:rsidRPr="00153A9C" w:rsidRDefault="009B29CE" w:rsidP="009B29CE">
      <w:pPr>
        <w:pStyle w:val="H1G"/>
        <w:rPr>
          <w:lang w:val="es-CO"/>
        </w:rPr>
      </w:pPr>
      <w:r>
        <w:rPr>
          <w:lang w:val="es-CO"/>
        </w:rPr>
        <w:tab/>
      </w:r>
      <w:r>
        <w:rPr>
          <w:lang w:val="es-CO"/>
        </w:rPr>
        <w:tab/>
        <w:t>Recomendación 36</w:t>
      </w:r>
    </w:p>
    <w:p w:rsidR="000E24E0" w:rsidRPr="00153A9C" w:rsidRDefault="000E24E0" w:rsidP="009B29CE">
      <w:pPr>
        <w:pStyle w:val="SingleTxtG"/>
        <w:rPr>
          <w:lang w:val="es-CO"/>
        </w:rPr>
      </w:pPr>
      <w:r w:rsidRPr="00153A9C">
        <w:rPr>
          <w:lang w:val="es-CO"/>
        </w:rPr>
        <w:t>70.</w:t>
      </w:r>
      <w:r w:rsidRPr="00153A9C">
        <w:rPr>
          <w:lang w:val="es-CO"/>
        </w:rPr>
        <w:tab/>
        <w:t xml:space="preserve">Actualmente, el derecho al trabajo como derecho humano básico no es ejercido por un gran número de ciudadanos de Bosnia y Herzegovina inscritos en los registros de los institutos de empleo, a los que habría que agregar un número desconocido de personas desempleadas que no consiguen ganar ni siquiera salarios de subsistencia y el número estimado de personas que trabajan en el sector informal (empleo </w:t>
      </w:r>
      <w:r w:rsidR="00841853">
        <w:rPr>
          <w:lang w:val="es-CO"/>
        </w:rPr>
        <w:t>ilegal</w:t>
      </w:r>
      <w:r w:rsidRPr="00153A9C">
        <w:rPr>
          <w:lang w:val="es-CO"/>
        </w:rPr>
        <w:t>).</w:t>
      </w:r>
    </w:p>
    <w:p w:rsidR="000E24E0" w:rsidRPr="00153A9C" w:rsidRDefault="000E24E0" w:rsidP="009B29CE">
      <w:pPr>
        <w:pStyle w:val="SingleTxtG"/>
        <w:rPr>
          <w:lang w:val="es-CO"/>
        </w:rPr>
      </w:pPr>
      <w:r w:rsidRPr="00153A9C">
        <w:rPr>
          <w:lang w:val="es-CO"/>
        </w:rPr>
        <w:t>71.</w:t>
      </w:r>
      <w:r w:rsidRPr="00153A9C">
        <w:rPr>
          <w:lang w:val="es-CO"/>
        </w:rPr>
        <w:tab/>
        <w:t xml:space="preserve">La rescisión de las relaciones de empleo en el sistema jurídico de Bosnia y Herzegovina está regulada por las leyes de las Entidades </w:t>
      </w:r>
      <w:r w:rsidR="00222CF8" w:rsidRPr="00153A9C">
        <w:rPr>
          <w:lang w:val="es-CO"/>
        </w:rPr>
        <w:t xml:space="preserve">con </w:t>
      </w:r>
      <w:r w:rsidRPr="00153A9C">
        <w:rPr>
          <w:lang w:val="es-CO"/>
        </w:rPr>
        <w:t>disposiciones obligatorias que prohíben a los empleadores despedir a los empleados de forma arbitraria si se encuentran en determinadas circunstancias que le</w:t>
      </w:r>
      <w:r w:rsidR="00222CF8" w:rsidRPr="00153A9C">
        <w:rPr>
          <w:lang w:val="es-CO"/>
        </w:rPr>
        <w:t>s</w:t>
      </w:r>
      <w:r w:rsidRPr="00153A9C">
        <w:rPr>
          <w:lang w:val="es-CO"/>
        </w:rPr>
        <w:t xml:space="preserve"> otorgan protección especial. El poder legislativo optó por dicha solución jurídica partiendo de la experiencia de casos frecuentes de rescisión de contratos de empleo como consecuencia de la difícil situación económica provocada por la crisis y recesión económica mundial. Es también significativo el número de casos en los que no se realizan contribuciones al plan de pensiones del personal ni al seguro social y de enfermedad.</w:t>
      </w:r>
    </w:p>
    <w:p w:rsidR="000E24E0" w:rsidRPr="00153A9C" w:rsidRDefault="000E24E0" w:rsidP="009B29CE">
      <w:pPr>
        <w:pStyle w:val="SingleTxtG"/>
        <w:rPr>
          <w:lang w:val="es-CO"/>
        </w:rPr>
      </w:pPr>
      <w:r w:rsidRPr="00153A9C">
        <w:rPr>
          <w:lang w:val="es-CO"/>
        </w:rPr>
        <w:t xml:space="preserve">72. </w:t>
      </w:r>
      <w:r w:rsidRPr="00153A9C">
        <w:rPr>
          <w:lang w:val="es-CO"/>
        </w:rPr>
        <w:tab/>
        <w:t>En ese mismo contexto, se estableció un plan de bienestar social como medio de proteger los derechos de los trabajadores en los casos en que el empleador no paga los sueldos correspondientes. El plan no protege las reclamaciones directamente relacionadas con la remuneración, pero se pagan las cotizaciones de los trabajadores despedidos para que puedan ejercer el derecho a la pensión y a una indemnización económica.</w:t>
      </w:r>
    </w:p>
    <w:p w:rsidR="000E24E0" w:rsidRPr="00153A9C" w:rsidRDefault="000E24E0" w:rsidP="009B29CE">
      <w:pPr>
        <w:pStyle w:val="SingleTxtG"/>
        <w:rPr>
          <w:lang w:val="es-CO"/>
        </w:rPr>
      </w:pPr>
      <w:r w:rsidRPr="00153A9C">
        <w:rPr>
          <w:lang w:val="es-CO"/>
        </w:rPr>
        <w:t>73.</w:t>
      </w:r>
      <w:r w:rsidRPr="00153A9C">
        <w:rPr>
          <w:lang w:val="es-CO"/>
        </w:rPr>
        <w:tab/>
        <w:t xml:space="preserve">En el pasado reciente, a través de los programas de bienestar social, los Gobiernos de ambas Entidades y el del Distrito Brčko han aprobado </w:t>
      </w:r>
      <w:r w:rsidR="00222CF8" w:rsidRPr="00153A9C">
        <w:rPr>
          <w:lang w:val="es-CO"/>
        </w:rPr>
        <w:t>un</w:t>
      </w:r>
      <w:r w:rsidRPr="00153A9C">
        <w:rPr>
          <w:lang w:val="es-CO"/>
        </w:rPr>
        <w:t xml:space="preserve">a asignación de fondos considerable para liquidar las contribuciones al seguro de pensiones y de discapacidad y al de desempleo, y han ayudado a un número mayor de trabajadores a retirarse </w:t>
      </w:r>
      <w:r w:rsidR="00222CF8" w:rsidRPr="00153A9C">
        <w:rPr>
          <w:lang w:val="es-CO"/>
        </w:rPr>
        <w:t xml:space="preserve">mediante una </w:t>
      </w:r>
      <w:r w:rsidRPr="00153A9C">
        <w:rPr>
          <w:lang w:val="es-CO"/>
        </w:rPr>
        <w:t>invitación pública.</w:t>
      </w:r>
    </w:p>
    <w:p w:rsidR="000E24E0" w:rsidRPr="00153A9C" w:rsidRDefault="000E24E0" w:rsidP="009B29CE">
      <w:pPr>
        <w:pStyle w:val="SingleTxtG"/>
        <w:rPr>
          <w:lang w:val="es-CO"/>
        </w:rPr>
      </w:pPr>
      <w:r w:rsidRPr="00153A9C">
        <w:rPr>
          <w:lang w:val="es-CO"/>
        </w:rPr>
        <w:t>74.</w:t>
      </w:r>
      <w:r w:rsidRPr="00153A9C">
        <w:rPr>
          <w:lang w:val="es-CO"/>
        </w:rPr>
        <w:tab/>
      </w:r>
      <w:r w:rsidR="00222CF8" w:rsidRPr="00153A9C">
        <w:rPr>
          <w:lang w:val="es-CO"/>
        </w:rPr>
        <w:t xml:space="preserve">De ello se deduce </w:t>
      </w:r>
      <w:r w:rsidRPr="00153A9C">
        <w:rPr>
          <w:lang w:val="es-CO"/>
        </w:rPr>
        <w:t>que un programa de bienestar social estaba justificado como medio de mantener la paz social y mejorar la situación de los trabajadores en los casos de quiebra, liquidación y privatización de compañías muy endeudadas.</w:t>
      </w:r>
    </w:p>
    <w:p w:rsidR="000E24E0" w:rsidRPr="00153A9C" w:rsidRDefault="000E24E0" w:rsidP="009B29CE">
      <w:pPr>
        <w:pStyle w:val="SingleTxtG"/>
        <w:rPr>
          <w:lang w:val="es-CO"/>
        </w:rPr>
      </w:pPr>
      <w:r w:rsidRPr="00153A9C">
        <w:rPr>
          <w:lang w:val="es-CO"/>
        </w:rPr>
        <w:t>75.</w:t>
      </w:r>
      <w:r w:rsidRPr="00153A9C">
        <w:rPr>
          <w:lang w:val="es-CO"/>
        </w:rPr>
        <w:tab/>
        <w:t>Así pues, de acuerdo con la Ley del trabajo de Bosnia y Herzegovina, está prohibido el despido arbitrario de trabajadores. Las leyes laborales regulan la indemnización de los despidos, las p</w:t>
      </w:r>
      <w:r w:rsidR="00222CF8" w:rsidRPr="00153A9C">
        <w:rPr>
          <w:lang w:val="es-CO"/>
        </w:rPr>
        <w:t>restaciones, las contribuciones y</w:t>
      </w:r>
      <w:r w:rsidRPr="00153A9C">
        <w:rPr>
          <w:lang w:val="es-CO"/>
        </w:rPr>
        <w:t xml:space="preserve"> el bienestar social de los trabajadores que deben pagar las aportaciones pendientes del plan de pensiones para poder recibir una </w:t>
      </w:r>
      <w:r w:rsidR="006C6781" w:rsidRPr="00153A9C">
        <w:rPr>
          <w:lang w:val="es-CO"/>
        </w:rPr>
        <w:t>pensión</w:t>
      </w:r>
      <w:r w:rsidRPr="00153A9C">
        <w:rPr>
          <w:lang w:val="es-CO"/>
        </w:rPr>
        <w:t xml:space="preserve">. </w:t>
      </w:r>
    </w:p>
    <w:p w:rsidR="000E24E0" w:rsidRPr="00153A9C" w:rsidRDefault="000E24E0" w:rsidP="009B29CE">
      <w:pPr>
        <w:pStyle w:val="SingleTxtG"/>
        <w:rPr>
          <w:lang w:val="es-CO"/>
        </w:rPr>
      </w:pPr>
      <w:r w:rsidRPr="00153A9C">
        <w:rPr>
          <w:lang w:val="es-CO"/>
        </w:rPr>
        <w:t>76.</w:t>
      </w:r>
      <w:r w:rsidRPr="00153A9C">
        <w:rPr>
          <w:lang w:val="es-CO"/>
        </w:rPr>
        <w:tab/>
        <w:t xml:space="preserve">El mecanismo de control que supervisa el cumplimiento de esas leyes es la Inspección de Trabajo y, en los casos de conflicto, la </w:t>
      </w:r>
      <w:r w:rsidR="001F0A71" w:rsidRPr="00153A9C">
        <w:rPr>
          <w:lang w:val="es-CO"/>
        </w:rPr>
        <w:t xml:space="preserve">competencia </w:t>
      </w:r>
      <w:r w:rsidRPr="00153A9C">
        <w:rPr>
          <w:lang w:val="es-CO"/>
        </w:rPr>
        <w:t>del tribunal se determina de acuerdo con el lugar de la sede de la empresa o la residencia permanente del trabajador.</w:t>
      </w:r>
    </w:p>
    <w:p w:rsidR="000E24E0" w:rsidRPr="00153A9C" w:rsidRDefault="000E24E0" w:rsidP="009B29CE">
      <w:pPr>
        <w:pStyle w:val="SingleTxtG"/>
        <w:rPr>
          <w:lang w:val="es-CO"/>
        </w:rPr>
      </w:pPr>
      <w:r w:rsidRPr="00153A9C">
        <w:rPr>
          <w:lang w:val="es-CO"/>
        </w:rPr>
        <w:t>77.</w:t>
      </w:r>
      <w:r w:rsidRPr="00153A9C">
        <w:rPr>
          <w:lang w:val="es-CO"/>
        </w:rPr>
        <w:tab/>
        <w:t xml:space="preserve">La Inspección de Trabajo supervisa la aplicación de los reglamentos relativos a los siguientes aspectos: obligación de suscribir un contrato de empleo entre los empleadores y los trabajadores, derechos de los trabajadores, obligación de los empleadores de inscribir a los empleados en los plazos previstos ante las autoridades competentes del seguro de pensiones y de enfermedad, horario de trabajo, vacaciones y ausencias, salarios, reclutamiento y empleo de menores, mujeres, mujeres embarazadas, madres </w:t>
      </w:r>
      <w:r w:rsidR="006C6781" w:rsidRPr="00153A9C">
        <w:rPr>
          <w:lang w:val="es-CO"/>
        </w:rPr>
        <w:t>primerizas</w:t>
      </w:r>
      <w:r w:rsidRPr="00153A9C">
        <w:rPr>
          <w:lang w:val="es-CO"/>
        </w:rPr>
        <w:t xml:space="preserve">, personas discapacitadas, extranjeros y otras personas, condiciones de trabajo, seguridad y salud de los empleados, atención de salud especial de los menores, mujeres y trabajadores discapacitados, aplicación de las medidas de seguridad y de capacitación de los trabajadores en relación con la seguridad en el trabajo, rescisión del contrato de empleo, indemnización por despido, cancelación de contratos y plazos de notificación, derecho a la huelga, convenios colectivos y estatutos de los empleadores, producción y otros activos y equipo y realización de inspecciones periódicas de su funcionamiento, aplicación de reglamentos técnicos sobre seguridad, seguridad de los trabajadores y otras personas, protección de la propiedad y el medio ambiente, investigación de los lugares donde se han producido accidentes laborales graves y accidentes que han provocado la muerte de trabajadores, utilización de equipo de protección personal, instalaciones laborales y auxiliares, </w:t>
      </w:r>
      <w:r w:rsidR="006C6781" w:rsidRPr="00153A9C">
        <w:rPr>
          <w:lang w:val="es-CO"/>
        </w:rPr>
        <w:t xml:space="preserve">control de las condiciones de trabajo y el entorno laboral, en particular iluminación, </w:t>
      </w:r>
      <w:r w:rsidRPr="00153A9C">
        <w:rPr>
          <w:lang w:val="es-CO"/>
        </w:rPr>
        <w:t>ruido, microclima, peligros químicos y biológicos y resultantes de las instalaciones eléctricas y pararrayos</w:t>
      </w:r>
      <w:r w:rsidR="00222CF8" w:rsidRPr="00153A9C">
        <w:rPr>
          <w:lang w:val="es-CO"/>
        </w:rPr>
        <w:t>,</w:t>
      </w:r>
      <w:r w:rsidRPr="00153A9C">
        <w:rPr>
          <w:lang w:val="es-CO"/>
        </w:rPr>
        <w:t xml:space="preserve"> elaboración de documentación técnica y de la construcción desde el punto de vista de la seguridad en el trabajo, situación de las obras de construcción, control de las condiciones de trabajo en los lugares especiales, capacitación y cualificación de los trabajadores para que puedan trabajar sin peligro y desempeño de otras actividades relacionadas con la supervisión y la seguridad en el trabajo cuando así lo determina una ley especial. La supervisión de las medidas de inspección para determinar el cumplimiento de las leyes y reglamentos relacionados con el trabajo y la seguridad laboral es competencia de la Inspección de Trabajo de la República, dependiente del Departamento de Inspección.</w:t>
      </w:r>
    </w:p>
    <w:p w:rsidR="000E24E0" w:rsidRPr="00153A9C" w:rsidRDefault="000E24E0" w:rsidP="009B29CE">
      <w:pPr>
        <w:pStyle w:val="SingleTxtG"/>
        <w:rPr>
          <w:lang w:val="es-CO"/>
        </w:rPr>
      </w:pPr>
      <w:r w:rsidRPr="00153A9C">
        <w:rPr>
          <w:lang w:val="es-CO"/>
        </w:rPr>
        <w:t>78.</w:t>
      </w:r>
      <w:r w:rsidRPr="00153A9C">
        <w:rPr>
          <w:lang w:val="es-CO"/>
        </w:rPr>
        <w:tab/>
        <w:t>En 2009, el Departamento de Inspección de Trabajo organizó y llevó a cabo una vigilancia más intensa para poner coto al empleo ilegal. En el desempeño de sus funciones, los inspectores impusieron multas en todos los casos en que comprobaron la existencia de empleo ilegal, e intervinieron de forma preventiva</w:t>
      </w:r>
      <w:r w:rsidR="00222CF8" w:rsidRPr="00153A9C">
        <w:rPr>
          <w:lang w:val="es-CO"/>
        </w:rPr>
        <w:t>,</w:t>
      </w:r>
      <w:r w:rsidRPr="00153A9C">
        <w:rPr>
          <w:lang w:val="es-CO"/>
        </w:rPr>
        <w:t xml:space="preserve"> ordenando medidas para la eliminación de esas deficiencias</w:t>
      </w:r>
      <w:r w:rsidR="00222CF8" w:rsidRPr="00153A9C">
        <w:rPr>
          <w:lang w:val="es-CO"/>
        </w:rPr>
        <w:t>,</w:t>
      </w:r>
      <w:r w:rsidRPr="00153A9C">
        <w:rPr>
          <w:lang w:val="es-CO"/>
        </w:rPr>
        <w:t xml:space="preserve"> y restrictiva</w:t>
      </w:r>
      <w:r w:rsidR="00222CF8" w:rsidRPr="00153A9C">
        <w:rPr>
          <w:lang w:val="es-CO"/>
        </w:rPr>
        <w:t>,</w:t>
      </w:r>
      <w:r w:rsidRPr="00153A9C">
        <w:rPr>
          <w:lang w:val="es-CO"/>
        </w:rPr>
        <w:t xml:space="preserve"> </w:t>
      </w:r>
      <w:r w:rsidR="00222CF8" w:rsidRPr="00153A9C">
        <w:rPr>
          <w:lang w:val="es-CO"/>
        </w:rPr>
        <w:t xml:space="preserve">exigiendo </w:t>
      </w:r>
      <w:r w:rsidRPr="00153A9C">
        <w:rPr>
          <w:lang w:val="es-CO"/>
        </w:rPr>
        <w:t xml:space="preserve">el cierre de algunas de las empresas donde se habían llevado a cabo las inspecciones. </w:t>
      </w:r>
    </w:p>
    <w:p w:rsidR="000E24E0" w:rsidRPr="00153A9C" w:rsidRDefault="009B29CE" w:rsidP="009B29CE">
      <w:pPr>
        <w:pStyle w:val="H1G"/>
        <w:rPr>
          <w:lang w:val="es-CO"/>
        </w:rPr>
      </w:pPr>
      <w:r>
        <w:rPr>
          <w:lang w:val="es-CO"/>
        </w:rPr>
        <w:tab/>
      </w:r>
      <w:r>
        <w:rPr>
          <w:lang w:val="es-CO"/>
        </w:rPr>
        <w:tab/>
      </w:r>
      <w:r w:rsidR="000E24E0" w:rsidRPr="00153A9C">
        <w:rPr>
          <w:lang w:val="es-CO"/>
        </w:rPr>
        <w:t>Recomendación 37</w:t>
      </w:r>
    </w:p>
    <w:p w:rsidR="000E24E0" w:rsidRPr="00153A9C" w:rsidRDefault="000E24E0" w:rsidP="009B29CE">
      <w:pPr>
        <w:pStyle w:val="SingleTxtG"/>
        <w:rPr>
          <w:lang w:val="es-CO"/>
        </w:rPr>
      </w:pPr>
      <w:r w:rsidRPr="00153A9C">
        <w:rPr>
          <w:lang w:val="es-CO"/>
        </w:rPr>
        <w:t>79.</w:t>
      </w:r>
      <w:r w:rsidRPr="00153A9C">
        <w:rPr>
          <w:lang w:val="es-CO"/>
        </w:rPr>
        <w:tab/>
        <w:t>Las disposiciones de la Ley de empleo de ambas Entidades y del Distrito Brčko de Bosnia y Herzegovina establecen una sanción en los casos de personas desempleadas que siguen inscritas en el registro del Instituto de Empleo y a pesar de ello están trabajando de forma ilegal, es decir, en el sector informal; la sanción impuesta por el Servicio de Inspección consiste en eliminar de ese registro e</w:t>
      </w:r>
      <w:r w:rsidR="00222CF8" w:rsidRPr="00153A9C">
        <w:rPr>
          <w:lang w:val="es-CO"/>
        </w:rPr>
        <w:t>l</w:t>
      </w:r>
      <w:r w:rsidRPr="00153A9C">
        <w:rPr>
          <w:lang w:val="es-CO"/>
        </w:rPr>
        <w:t xml:space="preserve"> nombre de la persona en cuestión y prohibirle que vuelva registrarse antes de transcurridos 12 meses. </w:t>
      </w:r>
    </w:p>
    <w:p w:rsidR="000E24E0" w:rsidRPr="00153A9C" w:rsidRDefault="000E24E0" w:rsidP="009B29CE">
      <w:pPr>
        <w:pStyle w:val="SingleTxtG"/>
        <w:rPr>
          <w:lang w:val="es-CO"/>
        </w:rPr>
      </w:pPr>
      <w:r w:rsidRPr="00153A9C">
        <w:rPr>
          <w:lang w:val="es-CO"/>
        </w:rPr>
        <w:t xml:space="preserve">80. </w:t>
      </w:r>
      <w:r w:rsidRPr="00153A9C">
        <w:rPr>
          <w:lang w:val="es-CO"/>
        </w:rPr>
        <w:tab/>
        <w:t>Con el fin de aplicar en parte la</w:t>
      </w:r>
      <w:r w:rsidR="00E032C8" w:rsidRPr="00153A9C">
        <w:rPr>
          <w:lang w:val="es-CO"/>
        </w:rPr>
        <w:t>s</w:t>
      </w:r>
      <w:r w:rsidRPr="00153A9C">
        <w:rPr>
          <w:lang w:val="es-CO"/>
        </w:rPr>
        <w:t xml:space="preserve"> recomendaciones de Comité de las Naciones Unidas de abrogar la disposición que prohíbe a las personas que trabajan en el sector informal registrarse antes de transcurridos 12 meses, la disposición se </w:t>
      </w:r>
      <w:r w:rsidR="00E032C8" w:rsidRPr="00153A9C">
        <w:rPr>
          <w:lang w:val="es-CO"/>
        </w:rPr>
        <w:t xml:space="preserve">ha </w:t>
      </w:r>
      <w:r w:rsidRPr="00153A9C">
        <w:rPr>
          <w:lang w:val="es-CO"/>
        </w:rPr>
        <w:t xml:space="preserve">revisado y el resultado ha sido una reducción del plazo de </w:t>
      </w:r>
      <w:smartTag w:uri="urn:schemas-microsoft-com:office:smarttags" w:element="metricconverter">
        <w:smartTagPr>
          <w:attr w:name="ProductID" w:val="12 a"/>
        </w:smartTagPr>
        <w:r w:rsidRPr="00153A9C">
          <w:rPr>
            <w:lang w:val="es-CO"/>
          </w:rPr>
          <w:t>12 a</w:t>
        </w:r>
      </w:smartTag>
      <w:r w:rsidRPr="00153A9C">
        <w:rPr>
          <w:lang w:val="es-CO"/>
        </w:rPr>
        <w:t xml:space="preserve"> 6 meses. </w:t>
      </w:r>
    </w:p>
    <w:p w:rsidR="000E24E0" w:rsidRPr="00153A9C" w:rsidRDefault="000E24E0" w:rsidP="009B29CE">
      <w:pPr>
        <w:pStyle w:val="SingleTxtG"/>
        <w:rPr>
          <w:lang w:val="es-CO"/>
        </w:rPr>
      </w:pPr>
      <w:r w:rsidRPr="00153A9C">
        <w:rPr>
          <w:lang w:val="es-CO"/>
        </w:rPr>
        <w:t>81.</w:t>
      </w:r>
      <w:r w:rsidRPr="00153A9C">
        <w:rPr>
          <w:lang w:val="es-CO"/>
        </w:rPr>
        <w:tab/>
        <w:t>En una situación económica enormemente compleja, Bosnia y Herzegovina está tratando de encontrar los medios para conseguir la abrogación total de esa disposición y el pleno cumplimiento de las recomendaciones pertinentes del Comité de las Naciones Unidas.</w:t>
      </w:r>
    </w:p>
    <w:p w:rsidR="00E032C8" w:rsidRPr="00153A9C" w:rsidRDefault="009B29CE" w:rsidP="009B29CE">
      <w:pPr>
        <w:pStyle w:val="H1G"/>
        <w:rPr>
          <w:lang w:val="es-CO"/>
        </w:rPr>
      </w:pPr>
      <w:r>
        <w:rPr>
          <w:lang w:val="es-CO"/>
        </w:rPr>
        <w:tab/>
      </w:r>
      <w:r>
        <w:rPr>
          <w:lang w:val="es-CO"/>
        </w:rPr>
        <w:tab/>
      </w:r>
      <w:r w:rsidR="00E032C8" w:rsidRPr="00153A9C">
        <w:rPr>
          <w:lang w:val="es-CO"/>
        </w:rPr>
        <w:t>Recomendación 38</w:t>
      </w:r>
    </w:p>
    <w:p w:rsidR="000E24E0" w:rsidRPr="00153A9C" w:rsidRDefault="000E24E0" w:rsidP="009B29CE">
      <w:pPr>
        <w:pStyle w:val="SingleTxtG"/>
        <w:rPr>
          <w:lang w:val="es-CO"/>
        </w:rPr>
      </w:pPr>
      <w:r w:rsidRPr="00153A9C">
        <w:rPr>
          <w:lang w:val="es-CO"/>
        </w:rPr>
        <w:t>82.</w:t>
      </w:r>
      <w:r w:rsidRPr="00153A9C">
        <w:rPr>
          <w:lang w:val="es-CO"/>
        </w:rPr>
        <w:tab/>
        <w:t>En cuanto a la situación de los centros de bienestar social, aquejados de la falta de fondos y personal calificado, y a los llamamientos del Comité de aportar fondos procedentes de las Entidades y el Distrito Brčko, es difícil</w:t>
      </w:r>
      <w:r w:rsidR="003B050C">
        <w:rPr>
          <w:lang w:val="es-CO"/>
        </w:rPr>
        <w:t xml:space="preserve"> </w:t>
      </w:r>
      <w:r w:rsidR="00DA55A6">
        <w:rPr>
          <w:lang w:val="es-CO"/>
        </w:rPr>
        <w:t>aplicar plenamente esta recomendación</w:t>
      </w:r>
      <w:r w:rsidRPr="00153A9C">
        <w:rPr>
          <w:lang w:val="es-CO"/>
        </w:rPr>
        <w:t xml:space="preserve"> en una situación económica como la que atraviesa el país. </w:t>
      </w:r>
    </w:p>
    <w:p w:rsidR="000E24E0" w:rsidRPr="00153A9C" w:rsidRDefault="000E24E0" w:rsidP="009B29CE">
      <w:pPr>
        <w:pStyle w:val="SingleTxtG"/>
        <w:rPr>
          <w:lang w:val="es-CO"/>
        </w:rPr>
      </w:pPr>
      <w:r w:rsidRPr="00153A9C">
        <w:rPr>
          <w:lang w:val="es-CO"/>
        </w:rPr>
        <w:t>83.</w:t>
      </w:r>
      <w:r w:rsidRPr="00153A9C">
        <w:rPr>
          <w:lang w:val="es-CO"/>
        </w:rPr>
        <w:tab/>
        <w:t>Una conclusión indiscutible es que los centros de bienestar social están insuficientemente equipados y que hay una falta evidente de personal y de profesionales, en particular, debido a que</w:t>
      </w:r>
      <w:r w:rsidR="00CC54E4" w:rsidRPr="00153A9C">
        <w:rPr>
          <w:lang w:val="es-CO"/>
        </w:rPr>
        <w:t xml:space="preserve"> esos centros</w:t>
      </w:r>
      <w:r w:rsidRPr="00153A9C">
        <w:rPr>
          <w:lang w:val="es-CO"/>
        </w:rPr>
        <w:t xml:space="preserve">, además de </w:t>
      </w:r>
      <w:r w:rsidR="00CC54E4" w:rsidRPr="00153A9C">
        <w:rPr>
          <w:lang w:val="es-CO"/>
        </w:rPr>
        <w:t xml:space="preserve">realizar numerosas labores </w:t>
      </w:r>
      <w:r w:rsidRPr="00153A9C">
        <w:rPr>
          <w:lang w:val="es-CO"/>
        </w:rPr>
        <w:t>en las Entidades y en el Distrito Brčko</w:t>
      </w:r>
      <w:r w:rsidR="00E032C8" w:rsidRPr="00153A9C">
        <w:rPr>
          <w:lang w:val="es-CO"/>
        </w:rPr>
        <w:t xml:space="preserve"> </w:t>
      </w:r>
      <w:r w:rsidR="006C6781" w:rsidRPr="00153A9C">
        <w:rPr>
          <w:lang w:val="es-CO"/>
        </w:rPr>
        <w:t>de Bosnia y Herzegovina</w:t>
      </w:r>
      <w:r w:rsidRPr="00153A9C">
        <w:rPr>
          <w:lang w:val="es-CO"/>
        </w:rPr>
        <w:t xml:space="preserve">, son las autoridades de primera instancia en la concesión de prestaciones a las personas no discapacitadas en tiempo de guerra y a las víctimas civiles de </w:t>
      </w:r>
      <w:smartTag w:uri="urn:schemas-microsoft-com:office:smarttags" w:element="PersonName">
        <w:smartTagPr>
          <w:attr w:name="ProductID" w:val="la guerra. En"/>
        </w:smartTagPr>
        <w:r w:rsidRPr="00153A9C">
          <w:rPr>
            <w:lang w:val="es-CO"/>
          </w:rPr>
          <w:t>la guerra. En</w:t>
        </w:r>
      </w:smartTag>
      <w:r w:rsidRPr="00153A9C">
        <w:rPr>
          <w:lang w:val="es-CO"/>
        </w:rPr>
        <w:t xml:space="preserve"> cuanto a las personas </w:t>
      </w:r>
      <w:r w:rsidR="00DA55A6">
        <w:rPr>
          <w:lang w:val="es-CO"/>
        </w:rPr>
        <w:t>que no resultaron</w:t>
      </w:r>
      <w:r w:rsidR="003B050C">
        <w:rPr>
          <w:lang w:val="es-CO"/>
        </w:rPr>
        <w:t xml:space="preserve"> </w:t>
      </w:r>
      <w:r w:rsidRPr="00153A9C">
        <w:rPr>
          <w:lang w:val="es-CO"/>
        </w:rPr>
        <w:t xml:space="preserve">discapacitadas </w:t>
      </w:r>
      <w:r w:rsidR="00DA55A6">
        <w:rPr>
          <w:lang w:val="es-CO"/>
        </w:rPr>
        <w:t>durante la</w:t>
      </w:r>
      <w:r w:rsidRPr="00153A9C">
        <w:rPr>
          <w:lang w:val="es-CO"/>
        </w:rPr>
        <w:t xml:space="preserve"> guerra, cabe mencionar un grupo que existe únicamente en la Federación y que ejerce los derechos jurídicos por motivos relacionados con las enfermedades o las lesiones corporales.</w:t>
      </w:r>
    </w:p>
    <w:p w:rsidR="000E24E0" w:rsidRPr="00153A9C" w:rsidRDefault="000E24E0" w:rsidP="009B29CE">
      <w:pPr>
        <w:pStyle w:val="SingleTxtG"/>
        <w:rPr>
          <w:lang w:val="es-CO"/>
        </w:rPr>
      </w:pPr>
      <w:r w:rsidRPr="00153A9C">
        <w:rPr>
          <w:lang w:val="es-CO"/>
        </w:rPr>
        <w:t>84.</w:t>
      </w:r>
      <w:r w:rsidRPr="00153A9C">
        <w:rPr>
          <w:lang w:val="es-CO"/>
        </w:rPr>
        <w:tab/>
        <w:t xml:space="preserve">Hasta 2009, se presentaron en la Federación unas 120.000 solicitudes que cumplían los debidos requisitos, superaron los procedimientos de primera instancia y se sometieron a la inspección del </w:t>
      </w:r>
      <w:r w:rsidR="00CC54E4" w:rsidRPr="00153A9C">
        <w:rPr>
          <w:lang w:val="es-CO"/>
        </w:rPr>
        <w:t>Ministerio Federal de Trabajo y Asuntos Sociales</w:t>
      </w:r>
      <w:r w:rsidRPr="00153A9C">
        <w:rPr>
          <w:lang w:val="es-CO"/>
        </w:rPr>
        <w:t xml:space="preserve">, mientras que el Presupuesto Federal asignó 158 millones de </w:t>
      </w:r>
      <w:r w:rsidR="005E2DB0" w:rsidRPr="00153A9C">
        <w:rPr>
          <w:lang w:val="es-CO"/>
        </w:rPr>
        <w:t>KM</w:t>
      </w:r>
      <w:r w:rsidRPr="00153A9C">
        <w:rPr>
          <w:lang w:val="es-CO"/>
        </w:rPr>
        <w:t xml:space="preserve"> con ese fin. Unos 40.000 beneficiarios recibieron prestaciones y luego se comprobó que dicha ley era absolutamente inviable desde el punto de vista financiero y, para aplicarla plenamente, deberían asignarse unos 360 millones de </w:t>
      </w:r>
      <w:r w:rsidR="005E2DB0" w:rsidRPr="00153A9C">
        <w:rPr>
          <w:lang w:val="es-CO"/>
        </w:rPr>
        <w:t>KM</w:t>
      </w:r>
      <w:r w:rsidRPr="00153A9C">
        <w:rPr>
          <w:lang w:val="es-CO"/>
        </w:rPr>
        <w:t xml:space="preserve"> en el presupuesto anual de la Federación, por lo que se introdujeron enmiendas a fin de endurecer las condiciones para recibir esas prestaciones. Los centros </w:t>
      </w:r>
      <w:r w:rsidR="00E032C8" w:rsidRPr="00153A9C">
        <w:rPr>
          <w:lang w:val="es-CO"/>
        </w:rPr>
        <w:t xml:space="preserve">de </w:t>
      </w:r>
      <w:r w:rsidRPr="00153A9C">
        <w:rPr>
          <w:lang w:val="es-CO"/>
        </w:rPr>
        <w:t>bienestar social realizaron ímprobos esfuerzos en ambos ejercicios.</w:t>
      </w:r>
    </w:p>
    <w:p w:rsidR="000E24E0" w:rsidRPr="00153A9C" w:rsidRDefault="000E24E0" w:rsidP="009B29CE">
      <w:pPr>
        <w:pStyle w:val="SingleTxtG"/>
        <w:rPr>
          <w:lang w:val="es-CO"/>
        </w:rPr>
      </w:pPr>
      <w:r w:rsidRPr="00153A9C">
        <w:rPr>
          <w:lang w:val="es-CO"/>
        </w:rPr>
        <w:t xml:space="preserve">85. </w:t>
      </w:r>
      <w:r w:rsidRPr="00153A9C">
        <w:rPr>
          <w:lang w:val="es-CO"/>
        </w:rPr>
        <w:tab/>
        <w:t xml:space="preserve">Igualmente, los centros de bienestar social son las autoridades de primera instancia en relación con los derechos ejercidos en virtud de los reglamentos que regulan los derechos de las víctimas civiles de </w:t>
      </w:r>
      <w:smartTag w:uri="urn:schemas-microsoft-com:office:smarttags" w:element="PersonName">
        <w:smartTagPr>
          <w:attr w:name="ProductID" w:val="la guerra. Actualmente"/>
        </w:smartTagPr>
        <w:r w:rsidRPr="00153A9C">
          <w:rPr>
            <w:lang w:val="es-CO"/>
          </w:rPr>
          <w:t>la guerra. Actualmente</w:t>
        </w:r>
      </w:smartTag>
      <w:r w:rsidRPr="00153A9C">
        <w:rPr>
          <w:lang w:val="es-CO"/>
        </w:rPr>
        <w:t xml:space="preserve"> hay en la Federación casi 11.000 beneficiarios y la labor de los centros en ese sentido es una tarea enorme que comienza con la elaboración de una lista mensual para el pago a los beneficiarios e incluye también las revisiones diarias de los beneficiarios para la inclusión de nuevos candidatos y la exclusión de beneficiarios anteriores.</w:t>
      </w:r>
    </w:p>
    <w:p w:rsidR="000E24E0" w:rsidRPr="00153A9C" w:rsidRDefault="000E24E0" w:rsidP="009B29CE">
      <w:pPr>
        <w:pStyle w:val="SingleTxtG"/>
        <w:rPr>
          <w:lang w:val="es-CO"/>
        </w:rPr>
      </w:pPr>
      <w:r w:rsidRPr="00153A9C">
        <w:rPr>
          <w:lang w:val="es-CO"/>
        </w:rPr>
        <w:t xml:space="preserve">86. </w:t>
      </w:r>
      <w:r w:rsidRPr="00153A9C">
        <w:rPr>
          <w:lang w:val="es-CO"/>
        </w:rPr>
        <w:tab/>
        <w:t xml:space="preserve">El Presupuesto Federal de 2009 asignó 39,5 millones de </w:t>
      </w:r>
      <w:r w:rsidR="005E2DB0" w:rsidRPr="00153A9C">
        <w:rPr>
          <w:lang w:val="es-CO"/>
        </w:rPr>
        <w:t>KM</w:t>
      </w:r>
      <w:r w:rsidRPr="00153A9C">
        <w:rPr>
          <w:lang w:val="es-CO"/>
        </w:rPr>
        <w:t xml:space="preserve"> con ese fin. </w:t>
      </w:r>
    </w:p>
    <w:p w:rsidR="000E24E0" w:rsidRPr="00153A9C" w:rsidRDefault="000E24E0" w:rsidP="009B29CE">
      <w:pPr>
        <w:pStyle w:val="SingleTxtG"/>
        <w:rPr>
          <w:lang w:val="es-CO"/>
        </w:rPr>
      </w:pPr>
      <w:r w:rsidRPr="00153A9C">
        <w:rPr>
          <w:lang w:val="es-CO"/>
        </w:rPr>
        <w:t>87.</w:t>
      </w:r>
      <w:r w:rsidRPr="00153A9C">
        <w:rPr>
          <w:lang w:val="es-CO"/>
        </w:rPr>
        <w:tab/>
        <w:t>Los centros de bienestar social de la Federación de Bosnia y Herzegovina tienen la co</w:t>
      </w:r>
      <w:r w:rsidR="00CC54E4" w:rsidRPr="00153A9C">
        <w:rPr>
          <w:lang w:val="es-CO"/>
        </w:rPr>
        <w:t>n</w:t>
      </w:r>
      <w:r w:rsidRPr="00153A9C">
        <w:rPr>
          <w:lang w:val="es-CO"/>
        </w:rPr>
        <w:t>dición de personas jurídicas fundadas por los municipios. En ninguno de los presupuestos se asignaron fondos adicionales para esas actividades, por lo que actualmente no es realista prever que los centros de bienestar social de la Federación cubran significativamente las vacantes con personal adecuado.</w:t>
      </w:r>
    </w:p>
    <w:p w:rsidR="000E24E0" w:rsidRPr="00153A9C" w:rsidRDefault="009B29CE" w:rsidP="009B29CE">
      <w:pPr>
        <w:pStyle w:val="H1G"/>
        <w:rPr>
          <w:lang w:val="es-CO"/>
        </w:rPr>
      </w:pPr>
      <w:r>
        <w:rPr>
          <w:lang w:val="es-CO"/>
        </w:rPr>
        <w:tab/>
      </w:r>
      <w:r>
        <w:rPr>
          <w:lang w:val="es-CO"/>
        </w:rPr>
        <w:tab/>
      </w:r>
      <w:r w:rsidR="000E24E0" w:rsidRPr="00153A9C">
        <w:rPr>
          <w:lang w:val="es-CO"/>
        </w:rPr>
        <w:t>Recomendación 39</w:t>
      </w:r>
    </w:p>
    <w:p w:rsidR="000E24E0" w:rsidRPr="00153A9C" w:rsidRDefault="007062E7" w:rsidP="00D23040">
      <w:pPr>
        <w:pStyle w:val="SingleTxtG"/>
        <w:rPr>
          <w:lang w:val="es-CO"/>
        </w:rPr>
      </w:pPr>
      <w:r>
        <w:rPr>
          <w:lang w:val="es-CO"/>
        </w:rPr>
        <w:t xml:space="preserve">88. </w:t>
      </w:r>
      <w:r>
        <w:rPr>
          <w:lang w:val="es-CO"/>
        </w:rPr>
        <w:tab/>
      </w:r>
      <w:r w:rsidR="000E24E0" w:rsidRPr="00153A9C">
        <w:rPr>
          <w:lang w:val="es-CO"/>
        </w:rPr>
        <w:t xml:space="preserve">Según datos actuales, el número de </w:t>
      </w:r>
      <w:r w:rsidR="009F733C" w:rsidRPr="00153A9C">
        <w:rPr>
          <w:lang w:val="es-CO"/>
        </w:rPr>
        <w:t>víctimas civiles</w:t>
      </w:r>
      <w:r w:rsidR="000E24E0" w:rsidRPr="00153A9C">
        <w:rPr>
          <w:lang w:val="es-CO"/>
        </w:rPr>
        <w:t xml:space="preserve"> de la guerra en Bosnia y Herzegovina es de 14.928</w:t>
      </w:r>
      <w:r w:rsidR="009F733C" w:rsidRPr="00153A9C">
        <w:rPr>
          <w:lang w:val="es-CO"/>
        </w:rPr>
        <w:t xml:space="preserve">: </w:t>
      </w:r>
      <w:r w:rsidR="000E24E0" w:rsidRPr="00153A9C">
        <w:rPr>
          <w:lang w:val="es-CO"/>
        </w:rPr>
        <w:t>10.943 estaban inscrit</w:t>
      </w:r>
      <w:r w:rsidR="009F733C" w:rsidRPr="00153A9C">
        <w:rPr>
          <w:lang w:val="es-CO"/>
        </w:rPr>
        <w:t>a</w:t>
      </w:r>
      <w:r w:rsidR="000E24E0" w:rsidRPr="00153A9C">
        <w:rPr>
          <w:lang w:val="es-CO"/>
        </w:rPr>
        <w:t xml:space="preserve">s en la Federación de Bosnia y Herzegovina, 3.825 en </w:t>
      </w:r>
      <w:smartTag w:uri="urn:schemas-microsoft-com:office:smarttags" w:element="PersonName">
        <w:smartTagPr>
          <w:attr w:name="ProductID" w:val="la Rep￺blica Srpska"/>
        </w:smartTagPr>
        <w:r w:rsidR="000E24E0" w:rsidRPr="00153A9C">
          <w:rPr>
            <w:lang w:val="es-CO"/>
          </w:rPr>
          <w:t>la República Srpska</w:t>
        </w:r>
      </w:smartTag>
      <w:r w:rsidR="000E24E0" w:rsidRPr="00153A9C">
        <w:rPr>
          <w:lang w:val="es-CO"/>
        </w:rPr>
        <w:t xml:space="preserve"> y 116 en el Distrito Brčko.</w:t>
      </w:r>
    </w:p>
    <w:p w:rsidR="000E24E0" w:rsidRPr="00153A9C" w:rsidRDefault="000E24E0" w:rsidP="00D23040">
      <w:pPr>
        <w:pStyle w:val="SingleTxtG"/>
        <w:rPr>
          <w:lang w:val="es-CO"/>
        </w:rPr>
      </w:pPr>
      <w:r w:rsidRPr="00153A9C">
        <w:rPr>
          <w:lang w:val="es-CO"/>
        </w:rPr>
        <w:t>89.</w:t>
      </w:r>
      <w:r w:rsidRPr="00153A9C">
        <w:rPr>
          <w:lang w:val="es-CO"/>
        </w:rPr>
        <w:tab/>
        <w:t xml:space="preserve">Bosnia y Herzegovina ha enmendado recientemente la legislación destinada a mejorar la situación de las víctimas de la tortura y las víctimas civiles de la guerra, así como a mejorar la situación de las personas con discapacidad en general. Las enmiendas presentan particular interés para los presos y las víctimas de abuso sexual y violación. Las razones de la adopción de esas enmiendas eran el incumplimiento </w:t>
      </w:r>
      <w:r w:rsidR="009F733C" w:rsidRPr="00153A9C">
        <w:rPr>
          <w:lang w:val="es-CO"/>
        </w:rPr>
        <w:t xml:space="preserve">o la aplicación diferente </w:t>
      </w:r>
      <w:r w:rsidRPr="00153A9C">
        <w:rPr>
          <w:lang w:val="es-CO"/>
        </w:rPr>
        <w:t>de las leyes sobre los derechos de las víctimas civiles de la guerra en el sistema jurídico de Bosnia y Herzegovina.</w:t>
      </w:r>
    </w:p>
    <w:p w:rsidR="000E24E0" w:rsidRPr="00153A9C" w:rsidRDefault="000E24E0" w:rsidP="00D23040">
      <w:pPr>
        <w:pStyle w:val="SingleTxtG"/>
        <w:rPr>
          <w:lang w:val="es-CO"/>
        </w:rPr>
      </w:pPr>
      <w:r w:rsidRPr="00153A9C">
        <w:rPr>
          <w:lang w:val="es-CO"/>
        </w:rPr>
        <w:t xml:space="preserve">90. </w:t>
      </w:r>
      <w:r w:rsidRPr="00153A9C">
        <w:rPr>
          <w:lang w:val="es-CO"/>
        </w:rPr>
        <w:tab/>
        <w:t xml:space="preserve">No obstante, el actual marco jurídico ha consolidado la discriminación entre las categorías de personas discapacitadas y veteranos de </w:t>
      </w:r>
      <w:r w:rsidR="009F733C" w:rsidRPr="00153A9C">
        <w:rPr>
          <w:lang w:val="es-CO"/>
        </w:rPr>
        <w:t>g</w:t>
      </w:r>
      <w:r w:rsidRPr="00153A9C">
        <w:rPr>
          <w:lang w:val="es-CO"/>
        </w:rPr>
        <w:t>uerra discapacitados y víctimas civiles.</w:t>
      </w:r>
    </w:p>
    <w:p w:rsidR="000E24E0" w:rsidRPr="00153A9C" w:rsidRDefault="000E24E0" w:rsidP="00D23040">
      <w:pPr>
        <w:pStyle w:val="SingleTxtG"/>
        <w:rPr>
          <w:lang w:val="es-CO"/>
        </w:rPr>
      </w:pPr>
      <w:r w:rsidRPr="00153A9C">
        <w:rPr>
          <w:lang w:val="es-CO"/>
        </w:rPr>
        <w:t xml:space="preserve">91. </w:t>
      </w:r>
      <w:r w:rsidRPr="00153A9C">
        <w:rPr>
          <w:lang w:val="es-CO"/>
        </w:rPr>
        <w:tab/>
        <w:t>Un análisis de toda la situación revela una clara incoherencia en el ejercicio de los derechos basados en el trabajo</w:t>
      </w:r>
      <w:r w:rsidR="003B050C">
        <w:rPr>
          <w:lang w:val="es-CO"/>
        </w:rPr>
        <w:t xml:space="preserve"> </w:t>
      </w:r>
      <w:r w:rsidRPr="00153A9C">
        <w:rPr>
          <w:lang w:val="es-CO"/>
        </w:rPr>
        <w:t>realizado (pensionistas, personas discapacitadas con trabajo, etc.) en relación con los veteranos discapacitados y las víctimas civiles de la guerra.</w:t>
      </w:r>
    </w:p>
    <w:p w:rsidR="000E24E0" w:rsidRPr="00153A9C" w:rsidRDefault="000E24E0" w:rsidP="00D23040">
      <w:pPr>
        <w:pStyle w:val="SingleTxtG"/>
        <w:rPr>
          <w:lang w:val="es-CO"/>
        </w:rPr>
      </w:pPr>
      <w:r w:rsidRPr="00153A9C">
        <w:rPr>
          <w:lang w:val="es-CO"/>
        </w:rPr>
        <w:t xml:space="preserve">92. </w:t>
      </w:r>
      <w:r w:rsidRPr="00153A9C">
        <w:rPr>
          <w:lang w:val="es-CO"/>
        </w:rPr>
        <w:tab/>
        <w:t xml:space="preserve">Lamentablemente, debido a la situación económica del país, es muy difícil </w:t>
      </w:r>
      <w:r w:rsidR="009F733C" w:rsidRPr="00153A9C">
        <w:rPr>
          <w:lang w:val="es-CO"/>
        </w:rPr>
        <w:t xml:space="preserve">encontrar una solución satisfactoria a </w:t>
      </w:r>
      <w:r w:rsidRPr="00153A9C">
        <w:rPr>
          <w:lang w:val="es-CO"/>
        </w:rPr>
        <w:t>la situación actual.</w:t>
      </w:r>
    </w:p>
    <w:p w:rsidR="000E24E0" w:rsidRPr="00153A9C" w:rsidRDefault="000E24E0" w:rsidP="00D23040">
      <w:pPr>
        <w:pStyle w:val="SingleTxtG"/>
        <w:rPr>
          <w:lang w:val="es-CO"/>
        </w:rPr>
      </w:pPr>
      <w:r w:rsidRPr="00153A9C">
        <w:rPr>
          <w:lang w:val="es-CO"/>
        </w:rPr>
        <w:t xml:space="preserve">93. </w:t>
      </w:r>
      <w:r w:rsidRPr="00153A9C">
        <w:rPr>
          <w:lang w:val="es-CO"/>
        </w:rPr>
        <w:tab/>
        <w:t xml:space="preserve">El máximo que las víctimas civiles de la guerra han conseguido en la Federación de Bosnia y Herzegovina a este respecto es que la base de sus prestaciones </w:t>
      </w:r>
      <w:r w:rsidR="004365DA">
        <w:rPr>
          <w:lang w:val="es-CO"/>
        </w:rPr>
        <w:t>representara</w:t>
      </w:r>
      <w:r w:rsidR="004365DA" w:rsidRPr="00153A9C">
        <w:rPr>
          <w:lang w:val="es-CO"/>
        </w:rPr>
        <w:t xml:space="preserve"> </w:t>
      </w:r>
      <w:r w:rsidRPr="00153A9C">
        <w:rPr>
          <w:lang w:val="es-CO"/>
        </w:rPr>
        <w:t>el 70</w:t>
      </w:r>
      <w:r w:rsidR="00962FE1" w:rsidRPr="00153A9C">
        <w:rPr>
          <w:lang w:val="es-CO"/>
        </w:rPr>
        <w:t>%</w:t>
      </w:r>
      <w:r w:rsidRPr="00153A9C">
        <w:rPr>
          <w:lang w:val="es-CO"/>
        </w:rPr>
        <w:t xml:space="preserve"> de la</w:t>
      </w:r>
      <w:r w:rsidR="003B050C">
        <w:rPr>
          <w:lang w:val="es-CO"/>
        </w:rPr>
        <w:t xml:space="preserve"> </w:t>
      </w:r>
      <w:r w:rsidRPr="00153A9C">
        <w:rPr>
          <w:lang w:val="es-CO"/>
        </w:rPr>
        <w:t>de los veteranos discapacitados, y según una evaluación es el máximo que puede conseguir este grupo.</w:t>
      </w:r>
    </w:p>
    <w:p w:rsidR="000E24E0" w:rsidRPr="00153A9C" w:rsidRDefault="000E24E0" w:rsidP="00D23040">
      <w:pPr>
        <w:pStyle w:val="SingleTxtG"/>
        <w:rPr>
          <w:lang w:val="es-CO"/>
        </w:rPr>
      </w:pPr>
      <w:r w:rsidRPr="00153A9C">
        <w:rPr>
          <w:lang w:val="es-CO"/>
        </w:rPr>
        <w:t xml:space="preserve">94. </w:t>
      </w:r>
      <w:r w:rsidRPr="00153A9C">
        <w:rPr>
          <w:lang w:val="es-CO"/>
        </w:rPr>
        <w:tab/>
        <w:t xml:space="preserve">La armonización con las normas internacionales </w:t>
      </w:r>
      <w:r w:rsidR="004365DA">
        <w:rPr>
          <w:lang w:val="es-CO"/>
        </w:rPr>
        <w:t xml:space="preserve">en la materia </w:t>
      </w:r>
      <w:r w:rsidRPr="00153A9C">
        <w:rPr>
          <w:lang w:val="es-CO"/>
        </w:rPr>
        <w:t xml:space="preserve">puede conseguirse de forma progresiva en los parlamentos de las Entidades y en </w:t>
      </w:r>
      <w:smartTag w:uri="urn:schemas-microsoft-com:office:smarttags" w:element="PersonName">
        <w:smartTagPr>
          <w:attr w:name="ProductID" w:val="la Asamblea Parlamentaria"/>
        </w:smartTagPr>
        <w:r w:rsidRPr="00153A9C">
          <w:rPr>
            <w:lang w:val="es-CO"/>
          </w:rPr>
          <w:t>la Asamblea Parlamentaria</w:t>
        </w:r>
      </w:smartTag>
      <w:r w:rsidRPr="00153A9C">
        <w:rPr>
          <w:lang w:val="es-CO"/>
        </w:rPr>
        <w:t xml:space="preserve"> de Bosnia y Herzegovina.</w:t>
      </w:r>
    </w:p>
    <w:p w:rsidR="000E24E0" w:rsidRPr="00153A9C" w:rsidRDefault="00D23040" w:rsidP="00D23040">
      <w:pPr>
        <w:pStyle w:val="H1G"/>
        <w:rPr>
          <w:lang w:val="es-CO"/>
        </w:rPr>
      </w:pPr>
      <w:r>
        <w:rPr>
          <w:lang w:val="es-CO"/>
        </w:rPr>
        <w:tab/>
      </w:r>
      <w:r>
        <w:rPr>
          <w:lang w:val="es-CO"/>
        </w:rPr>
        <w:tab/>
      </w:r>
      <w:r w:rsidR="000E24E0" w:rsidRPr="00153A9C">
        <w:rPr>
          <w:lang w:val="es-CO"/>
        </w:rPr>
        <w:t>Recomendación 40</w:t>
      </w:r>
    </w:p>
    <w:p w:rsidR="000E24E0" w:rsidRPr="00153A9C" w:rsidRDefault="000E24E0" w:rsidP="00D23040">
      <w:pPr>
        <w:pStyle w:val="SingleTxtG"/>
        <w:rPr>
          <w:lang w:val="es-CO"/>
        </w:rPr>
      </w:pPr>
      <w:r w:rsidRPr="00153A9C">
        <w:rPr>
          <w:lang w:val="es-CO"/>
        </w:rPr>
        <w:t xml:space="preserve">95. </w:t>
      </w:r>
      <w:r w:rsidRPr="00153A9C">
        <w:rPr>
          <w:lang w:val="es-CO"/>
        </w:rPr>
        <w:tab/>
        <w:t>La Federación de Bosnia y Herzegovina adoptó la Ley de enmienda de la Ley sobre la protección social, las víctimas civiles de la guerra y las familias con hijos (</w:t>
      </w:r>
      <w:r w:rsidRPr="002458C7">
        <w:rPr>
          <w:i/>
          <w:lang w:val="es-CO"/>
        </w:rPr>
        <w:t>Boletín Oficial</w:t>
      </w:r>
      <w:r w:rsidRPr="00153A9C">
        <w:rPr>
          <w:lang w:val="es-CO"/>
        </w:rPr>
        <w:t xml:space="preserve"> de </w:t>
      </w:r>
      <w:r w:rsidR="002458C7">
        <w:rPr>
          <w:lang w:val="es-CO"/>
        </w:rPr>
        <w:t xml:space="preserve">la </w:t>
      </w:r>
      <w:r w:rsidR="003C5DB6" w:rsidRPr="00153A9C">
        <w:rPr>
          <w:lang w:val="es-CO"/>
        </w:rPr>
        <w:t>Federación de Bosnia y Herzegovina</w:t>
      </w:r>
      <w:r w:rsidRPr="00153A9C">
        <w:rPr>
          <w:lang w:val="es-CO"/>
        </w:rPr>
        <w:t xml:space="preserve"> 39/06), en la que se prevé la transferencia </w:t>
      </w:r>
      <w:r w:rsidR="00B40895" w:rsidRPr="00153A9C">
        <w:rPr>
          <w:lang w:val="es-CO"/>
        </w:rPr>
        <w:t xml:space="preserve">presupuestaria </w:t>
      </w:r>
      <w:r w:rsidRPr="00153A9C">
        <w:rPr>
          <w:lang w:val="es-CO"/>
        </w:rPr>
        <w:t xml:space="preserve">para la protección social de las víctimas civiles de la guerra y las personas con discapacidad que no están relacionadas con el conflicto armado de los cantones a </w:t>
      </w:r>
      <w:smartTag w:uri="urn:schemas-microsoft-com:office:smarttags" w:element="PersonName">
        <w:smartTagPr>
          <w:attr w:name="ProductID" w:val="la Federaci￳n. De"/>
        </w:smartTagPr>
        <w:r w:rsidRPr="00153A9C">
          <w:rPr>
            <w:lang w:val="es-CO"/>
          </w:rPr>
          <w:t>la Federación. De</w:t>
        </w:r>
      </w:smartTag>
      <w:r w:rsidRPr="00153A9C">
        <w:rPr>
          <w:lang w:val="es-CO"/>
        </w:rPr>
        <w:t xml:space="preserve"> esa manera se crearon las condiciones para eliminar las desigualdades resultantes de la diferente disponibilidad de fondos en los cantones. Ello </w:t>
      </w:r>
      <w:r w:rsidR="00B40895" w:rsidRPr="00153A9C">
        <w:rPr>
          <w:lang w:val="es-CO"/>
        </w:rPr>
        <w:t xml:space="preserve">significa que la </w:t>
      </w:r>
      <w:r w:rsidR="001352B1" w:rsidRPr="00153A9C">
        <w:rPr>
          <w:lang w:val="es-CO"/>
        </w:rPr>
        <w:t>ley</w:t>
      </w:r>
      <w:r w:rsidR="00B40895" w:rsidRPr="00153A9C">
        <w:rPr>
          <w:lang w:val="es-CO"/>
        </w:rPr>
        <w:t xml:space="preserve"> ha elevado</w:t>
      </w:r>
      <w:r w:rsidRPr="00153A9C">
        <w:rPr>
          <w:lang w:val="es-CO"/>
        </w:rPr>
        <w:t xml:space="preserve"> los derechos básicos de las víctimas civiles de la guerra y los discapacitados hasta el nivel de </w:t>
      </w:r>
      <w:smartTag w:uri="urn:schemas-microsoft-com:office:smarttags" w:element="PersonName">
        <w:smartTagPr>
          <w:attr w:name="ProductID" w:val="la Federaci￳n. Asimismo"/>
        </w:smartTagPr>
        <w:r w:rsidRPr="00153A9C">
          <w:rPr>
            <w:lang w:val="es-CO"/>
          </w:rPr>
          <w:t>la Federación. Asimismo</w:t>
        </w:r>
      </w:smartTag>
      <w:r w:rsidRPr="00153A9C">
        <w:rPr>
          <w:lang w:val="es-CO"/>
        </w:rPr>
        <w:t>, ahora se procederá a la armonización de la legislación dentro de las entidades y empresas. Las actividades de este ámbito se prolongarán de forma continuada hasta el establecimiento de un sistema coherente de protección social en Bosnia y Herzegovina que ser</w:t>
      </w:r>
      <w:r w:rsidR="00B40895" w:rsidRPr="00153A9C">
        <w:rPr>
          <w:lang w:val="es-CO"/>
        </w:rPr>
        <w:t>á</w:t>
      </w:r>
      <w:r w:rsidRPr="00153A9C">
        <w:rPr>
          <w:lang w:val="es-CO"/>
        </w:rPr>
        <w:t xml:space="preserve"> equitativo para todas las categorías de personas que necesitan protección social. Sin duda, la plena aplicación de las soluciones jurídicas está estrictamente vinculada con la situación material y financiera general de la sociedad, teniendo presente que la guerra en Bosnia y Herzegovina creó un entorno social caracterizado por un gran número de ref</w:t>
      </w:r>
      <w:r w:rsidR="00B40895" w:rsidRPr="00153A9C">
        <w:rPr>
          <w:lang w:val="es-CO"/>
        </w:rPr>
        <w:t xml:space="preserve">ugiados y personas desplazadas y </w:t>
      </w:r>
      <w:r w:rsidRPr="00153A9C">
        <w:rPr>
          <w:lang w:val="es-CO"/>
        </w:rPr>
        <w:t>numerosas personas discapacitadas que no pueden conseguir condiciones de vida normales para sí mismos y su familia, ya que han perdido el trabajo en una fase avanzada de la edad laboral y no tienen ninguna opción de encontrar un nuevo empleo, etc.</w:t>
      </w:r>
    </w:p>
    <w:p w:rsidR="000E24E0" w:rsidRPr="00153A9C" w:rsidRDefault="00D23040" w:rsidP="00D23040">
      <w:pPr>
        <w:pStyle w:val="H1G"/>
        <w:rPr>
          <w:lang w:val="es-CO"/>
        </w:rPr>
      </w:pPr>
      <w:r>
        <w:rPr>
          <w:lang w:val="es-CO"/>
        </w:rPr>
        <w:tab/>
      </w:r>
      <w:r>
        <w:rPr>
          <w:lang w:val="es-CO"/>
        </w:rPr>
        <w:tab/>
      </w:r>
      <w:r w:rsidR="000E24E0" w:rsidRPr="00153A9C">
        <w:rPr>
          <w:lang w:val="es-CO"/>
        </w:rPr>
        <w:t>Recomendación 41</w:t>
      </w:r>
    </w:p>
    <w:p w:rsidR="000E24E0" w:rsidRPr="00153A9C" w:rsidRDefault="000E24E0" w:rsidP="00D23040">
      <w:pPr>
        <w:pStyle w:val="SingleTxtG"/>
        <w:rPr>
          <w:lang w:val="es-CO"/>
        </w:rPr>
      </w:pPr>
      <w:r w:rsidRPr="00153A9C">
        <w:rPr>
          <w:lang w:val="es-CO"/>
        </w:rPr>
        <w:t xml:space="preserve">96. </w:t>
      </w:r>
      <w:r w:rsidRPr="00153A9C">
        <w:rPr>
          <w:lang w:val="es-CO"/>
        </w:rPr>
        <w:tab/>
        <w:t>El artículo 54</w:t>
      </w:r>
      <w:r w:rsidR="001A4E5A" w:rsidRPr="00153A9C">
        <w:rPr>
          <w:lang w:val="es-CO"/>
        </w:rPr>
        <w:t xml:space="preserve"> 3)</w:t>
      </w:r>
      <w:r w:rsidR="00127F10" w:rsidRPr="00153A9C">
        <w:rPr>
          <w:lang w:val="es-CO"/>
        </w:rPr>
        <w:t xml:space="preserve"> </w:t>
      </w:r>
      <w:r w:rsidRPr="00153A9C">
        <w:rPr>
          <w:lang w:val="es-CO"/>
        </w:rPr>
        <w:t>de la Ley sobre la protección social básica, la protección de las víctimas civiles de la guerra y la protección de las familias con hijos (</w:t>
      </w:r>
      <w:r w:rsidRPr="002458C7">
        <w:rPr>
          <w:i/>
          <w:lang w:val="es-CO"/>
        </w:rPr>
        <w:t>Boletín Oficial</w:t>
      </w:r>
      <w:r w:rsidRPr="00153A9C">
        <w:rPr>
          <w:lang w:val="es-CO"/>
        </w:rPr>
        <w:t xml:space="preserve"> de la </w:t>
      </w:r>
      <w:r w:rsidR="00B40895" w:rsidRPr="00153A9C">
        <w:rPr>
          <w:lang w:val="es-CO"/>
        </w:rPr>
        <w:t>Federación de Bosnia y Herzegovina</w:t>
      </w:r>
      <w:r w:rsidRPr="00153A9C">
        <w:rPr>
          <w:lang w:val="es-CO"/>
        </w:rPr>
        <w:t xml:space="preserve">, 36/99, 54/04, 39/06 y 14/09) reconoce un grupo especial de víctimas civiles de la guerra, </w:t>
      </w:r>
      <w:r w:rsidR="00B40895" w:rsidRPr="00153A9C">
        <w:rPr>
          <w:lang w:val="es-CO"/>
        </w:rPr>
        <w:t>a saber</w:t>
      </w:r>
      <w:r w:rsidRPr="00153A9C">
        <w:rPr>
          <w:lang w:val="es-CO"/>
        </w:rPr>
        <w:t>, las personas que fueron víctimas de abuso sexual y violación.</w:t>
      </w:r>
    </w:p>
    <w:p w:rsidR="000E24E0" w:rsidRPr="00153A9C" w:rsidRDefault="000E24E0" w:rsidP="00D23040">
      <w:pPr>
        <w:pStyle w:val="SingleTxtG"/>
        <w:rPr>
          <w:lang w:val="es-CO"/>
        </w:rPr>
      </w:pPr>
      <w:r w:rsidRPr="00153A9C">
        <w:rPr>
          <w:lang w:val="es-CO"/>
        </w:rPr>
        <w:t xml:space="preserve">97. </w:t>
      </w:r>
      <w:r w:rsidRPr="00153A9C">
        <w:rPr>
          <w:lang w:val="es-CO"/>
        </w:rPr>
        <w:tab/>
        <w:t xml:space="preserve">Lo que caracteriza a este grupo de personas es el hecho de que basta con que la autoridad competente descubra esos hechos en los procedimientos oficiales </w:t>
      </w:r>
      <w:r w:rsidR="00764847">
        <w:rPr>
          <w:lang w:val="es-CO"/>
        </w:rPr>
        <w:t>para que</w:t>
      </w:r>
      <w:r w:rsidRPr="00153A9C">
        <w:rPr>
          <w:lang w:val="es-CO"/>
        </w:rPr>
        <w:t xml:space="preserve">, sobre esa base, </w:t>
      </w:r>
      <w:r w:rsidR="00764847">
        <w:rPr>
          <w:lang w:val="es-CO"/>
        </w:rPr>
        <w:t>puedan</w:t>
      </w:r>
      <w:r w:rsidR="00764847" w:rsidRPr="00153A9C">
        <w:rPr>
          <w:lang w:val="es-CO"/>
        </w:rPr>
        <w:t xml:space="preserve"> </w:t>
      </w:r>
      <w:r w:rsidRPr="00153A9C">
        <w:rPr>
          <w:lang w:val="es-CO"/>
        </w:rPr>
        <w:t xml:space="preserve">obtener una remuneración mensual de </w:t>
      </w:r>
      <w:smartTag w:uri="urn:schemas-microsoft-com:office:smarttags" w:element="metricconverter">
        <w:smartTagPr>
          <w:attr w:name="ProductID" w:val="563,00 KM"/>
        </w:smartTagPr>
        <w:r w:rsidRPr="00153A9C">
          <w:rPr>
            <w:lang w:val="es-CO"/>
          </w:rPr>
          <w:t xml:space="preserve">563,00 </w:t>
        </w:r>
        <w:r w:rsidR="005E2DB0" w:rsidRPr="00153A9C">
          <w:rPr>
            <w:lang w:val="es-CO"/>
          </w:rPr>
          <w:t>KM</w:t>
        </w:r>
      </w:smartTag>
      <w:r w:rsidRPr="00153A9C">
        <w:rPr>
          <w:lang w:val="es-CO"/>
        </w:rPr>
        <w:t>, cuando el coeficiente es 1. Si, además de abuso sexual y violación, la persona sufrió lesiones u otros daños corporales tendrá derecho a atención y asistencia ofrecida por otra persona y a un subsidio ortopédico.</w:t>
      </w:r>
    </w:p>
    <w:p w:rsidR="000E24E0" w:rsidRPr="00153A9C" w:rsidRDefault="000E24E0" w:rsidP="00D23040">
      <w:pPr>
        <w:pStyle w:val="SingleTxtG"/>
        <w:rPr>
          <w:lang w:val="es-CO"/>
        </w:rPr>
      </w:pPr>
      <w:r w:rsidRPr="00153A9C">
        <w:rPr>
          <w:lang w:val="es-CO"/>
        </w:rPr>
        <w:t xml:space="preserve">98. </w:t>
      </w:r>
      <w:r w:rsidRPr="00153A9C">
        <w:rPr>
          <w:lang w:val="es-CO"/>
        </w:rPr>
        <w:tab/>
        <w:t xml:space="preserve">Es necesario señalar que las víctimas civiles de la guerra ejercen sus derechos de acuerdo con la legislación de </w:t>
      </w:r>
      <w:smartTag w:uri="urn:schemas-microsoft-com:office:smarttags" w:element="PersonName">
        <w:smartTagPr>
          <w:attr w:name="ProductID" w:val="la Rep￺blica Srpska"/>
        </w:smartTagPr>
        <w:r w:rsidRPr="00153A9C">
          <w:rPr>
            <w:lang w:val="es-CO"/>
          </w:rPr>
          <w:t>la República Srpska</w:t>
        </w:r>
      </w:smartTag>
      <w:r w:rsidRPr="00153A9C">
        <w:rPr>
          <w:lang w:val="es-CO"/>
        </w:rPr>
        <w:t xml:space="preserve"> y el Distrito Brčko de Bosnia y Herzegovina. En la Federación de Bosnia y Herzegovina es todavía posible solicitar el ejercicio de los derechos mientras que los repatriados en </w:t>
      </w:r>
      <w:smartTag w:uri="urn:schemas-microsoft-com:office:smarttags" w:element="PersonName">
        <w:smartTagPr>
          <w:attr w:name="ProductID" w:val="la Rep￺blica Srpska"/>
        </w:smartTagPr>
        <w:r w:rsidRPr="00153A9C">
          <w:rPr>
            <w:lang w:val="es-CO"/>
          </w:rPr>
          <w:t>la República Srpska</w:t>
        </w:r>
      </w:smartTag>
      <w:r w:rsidRPr="00153A9C">
        <w:rPr>
          <w:lang w:val="es-CO"/>
        </w:rPr>
        <w:t xml:space="preserve"> a los que no se han reconocido los derechos en la Federación no pueden ejercerlos en </w:t>
      </w:r>
      <w:smartTag w:uri="urn:schemas-microsoft-com:office:smarttags" w:element="PersonName">
        <w:smartTagPr>
          <w:attr w:name="ProductID" w:val="la Rep￺blica Srpska"/>
        </w:smartTagPr>
        <w:r w:rsidRPr="00153A9C">
          <w:rPr>
            <w:lang w:val="es-CO"/>
          </w:rPr>
          <w:t xml:space="preserve">la </w:t>
        </w:r>
        <w:r w:rsidR="001D40E0" w:rsidRPr="00153A9C">
          <w:rPr>
            <w:lang w:val="es-CO"/>
          </w:rPr>
          <w:t>República Srpska</w:t>
        </w:r>
      </w:smartTag>
      <w:r w:rsidR="001D40E0" w:rsidRPr="00153A9C">
        <w:rPr>
          <w:lang w:val="es-CO"/>
        </w:rPr>
        <w:t xml:space="preserve"> </w:t>
      </w:r>
      <w:r w:rsidRPr="00153A9C">
        <w:rPr>
          <w:lang w:val="es-CO"/>
        </w:rPr>
        <w:t>debido a que las solicitudes de reconocimiento de los derechos en esa Entidad no se han aceptado desde hace algún tiempo, más en concreto, desde finales de 2007.</w:t>
      </w:r>
    </w:p>
    <w:p w:rsidR="000E24E0" w:rsidRPr="00153A9C" w:rsidRDefault="000E24E0" w:rsidP="00D23040">
      <w:pPr>
        <w:pStyle w:val="SingleTxtG"/>
        <w:rPr>
          <w:lang w:val="es-CO"/>
        </w:rPr>
      </w:pPr>
      <w:r w:rsidRPr="00153A9C">
        <w:rPr>
          <w:lang w:val="es-CO"/>
        </w:rPr>
        <w:t xml:space="preserve">99. </w:t>
      </w:r>
      <w:r w:rsidRPr="00153A9C">
        <w:rPr>
          <w:lang w:val="es-CO"/>
        </w:rPr>
        <w:tab/>
        <w:t xml:space="preserve">Las víctimas de violencia sexual durante los conflictos bélicos entre 1992 y 1995 fueron reconocidas como grupo de víctimas civiles de la guerra </w:t>
      </w:r>
      <w:r w:rsidR="006944FA" w:rsidRPr="00153A9C">
        <w:rPr>
          <w:lang w:val="es-CO"/>
        </w:rPr>
        <w:t xml:space="preserve">y </w:t>
      </w:r>
      <w:r w:rsidRPr="00153A9C">
        <w:rPr>
          <w:lang w:val="es-CO"/>
        </w:rPr>
        <w:t xml:space="preserve">en </w:t>
      </w:r>
      <w:smartTag w:uri="urn:schemas-microsoft-com:office:smarttags" w:element="PersonName">
        <w:smartTagPr>
          <w:attr w:name="ProductID" w:val="la Rep￺blica Srpska"/>
        </w:smartTagPr>
        <w:r w:rsidRPr="00153A9C">
          <w:rPr>
            <w:lang w:val="es-CO"/>
          </w:rPr>
          <w:t>la República Srpska</w:t>
        </w:r>
      </w:smartTag>
      <w:r w:rsidRPr="00153A9C">
        <w:rPr>
          <w:lang w:val="es-CO"/>
        </w:rPr>
        <w:t xml:space="preserve"> ejercen los derechos de conformidad con la Ley sobre víctimas civiles de la guerra (</w:t>
      </w:r>
      <w:r w:rsidRPr="002458C7">
        <w:rPr>
          <w:i/>
          <w:lang w:val="es-CO"/>
        </w:rPr>
        <w:t>Boletín Oficial</w:t>
      </w:r>
      <w:r w:rsidRPr="00153A9C">
        <w:rPr>
          <w:lang w:val="es-CO"/>
        </w:rPr>
        <w:t xml:space="preserve"> de </w:t>
      </w:r>
      <w:smartTag w:uri="urn:schemas-microsoft-com:office:smarttags" w:element="PersonName">
        <w:smartTagPr>
          <w:attr w:name="ProductID" w:val="la Rep￺blica Srpska"/>
        </w:smartTagPr>
        <w:r w:rsidRPr="00153A9C">
          <w:rPr>
            <w:lang w:val="es-CO"/>
          </w:rPr>
          <w:t>la República Srpska</w:t>
        </w:r>
      </w:smartTag>
      <w:r w:rsidRPr="00153A9C">
        <w:rPr>
          <w:lang w:val="es-CO"/>
        </w:rPr>
        <w:t xml:space="preserve"> 25/93</w:t>
      </w:r>
      <w:r w:rsidR="001A4E5A" w:rsidRPr="00153A9C">
        <w:rPr>
          <w:lang w:val="es-CO"/>
        </w:rPr>
        <w:t>,</w:t>
      </w:r>
      <w:r w:rsidRPr="00153A9C">
        <w:rPr>
          <w:lang w:val="es-CO"/>
        </w:rPr>
        <w:t xml:space="preserve"> 32/94, 37/07 y 60/07) en las mismas condiciones.</w:t>
      </w:r>
    </w:p>
    <w:p w:rsidR="001A4E5A" w:rsidRPr="00153A9C" w:rsidRDefault="00D23040" w:rsidP="003B050C">
      <w:pPr>
        <w:pStyle w:val="SingleTxtG"/>
        <w:rPr>
          <w:lang w:val="es-CO"/>
        </w:rPr>
      </w:pPr>
      <w:r>
        <w:rPr>
          <w:lang w:val="es-CO"/>
        </w:rPr>
        <w:t>100.</w:t>
      </w:r>
      <w:r>
        <w:rPr>
          <w:lang w:val="es-CO"/>
        </w:rPr>
        <w:tab/>
      </w:r>
      <w:r w:rsidR="00811167" w:rsidRPr="00153A9C">
        <w:rPr>
          <w:lang w:val="es-CO"/>
        </w:rPr>
        <w:t>En el proceso de elaboración de un plan de acción para la aplicación de la resolución 1325 (2000) del Consejo de Seguridad de las Naciones Unidas en el país, Bosnia y Herzegovina tiene enorme interés en la cuestión del apoyo a las mujeres civiles víctimas del conflicto. Teniendo en cuenta las necesidades específicas de las mujeres que durante la guerra sufrieron violencia física y sexual, se han planificado actividad</w:t>
      </w:r>
      <w:r w:rsidR="003B050C">
        <w:rPr>
          <w:lang w:val="es-CO"/>
        </w:rPr>
        <w:t xml:space="preserve">es de suministro de vivienda y </w:t>
      </w:r>
      <w:r w:rsidR="00811167" w:rsidRPr="00153A9C">
        <w:rPr>
          <w:lang w:val="es-CO"/>
        </w:rPr>
        <w:t>se han puesto en marcha programas de adquisición de calificaciones adicionales y de reconversión profesional, así como de asistencia psicosocial. Dichos programas deben basarse en la colaboración de las instituciones y organizaciones gubernamentales, no gubernamentales e internacionales. El proyecto de Plan de acción para aplicar la resolución 1325 (2000) del Consejo de Seguridad en Bosnia y Herzego</w:t>
      </w:r>
      <w:r>
        <w:rPr>
          <w:lang w:val="es-CO"/>
        </w:rPr>
        <w:t xml:space="preserve">vina con el fin de alcanzar el </w:t>
      </w:r>
      <w:r w:rsidR="00811167" w:rsidRPr="00153A9C">
        <w:rPr>
          <w:lang w:val="es-CO"/>
        </w:rPr>
        <w:t xml:space="preserve">objetivo 6, </w:t>
      </w:r>
      <w:r w:rsidR="00E738E3">
        <w:rPr>
          <w:lang w:val="es-CO"/>
        </w:rPr>
        <w:t>"</w:t>
      </w:r>
      <w:r w:rsidR="00811167" w:rsidRPr="00153A9C">
        <w:rPr>
          <w:lang w:val="es-CO"/>
        </w:rPr>
        <w:t>Red mejorada de apoyo y ayuda a las mujeres y niñas que fueron víctimas de los conflictos durante la guerra</w:t>
      </w:r>
      <w:r w:rsidR="00E738E3">
        <w:rPr>
          <w:lang w:val="es-CO"/>
        </w:rPr>
        <w:t>"</w:t>
      </w:r>
      <w:r w:rsidR="00811167" w:rsidRPr="00153A9C">
        <w:rPr>
          <w:lang w:val="es-CO"/>
        </w:rPr>
        <w:t>, prevé la realización de actividades que permitan ayudar mejor y de manera más eficaz a las mujeres civiles víctimas del conflicto. Entre las actividades se incluyen las siguientes: creación de un programa para empoderar a las mujeres civiles víctimas del conflicto, dentro de asociaciones que ofrezcan apoyo psicosocial y actividades de creación de capacidad; organización de foros y conferencias con representantes de las víctimas civiles de la guerra para determinar sus necesidades y problemas; apoyo a las actividades de capacitación, reconversión profesional y empleo (empoderamiento económico); medidas de apoyo a los talleres que tratan de evitar nuevos traumas (localización de expertos en esas esferas, que capacitarán de forma continuada a los encargados de prestar servicios a los usuarios finales y a las víctimas), etc. La Fiscalía de Bosnia y Herzegovina se esfuerza en todo momento por descubrir y procesar a los autores de crímenes de guerra, incluidos los de violencia sexual contra las mujeres en el conflicto armado en Bosnia y Herzegovina. En la Estrategia nacional para el procesamiento de los crímenes de guerra se considera que es necesario, tanto en los tribunales como en la Fiscalía de Bosnia y Herzegovina, es decir en el plano estatal, centralizar y actualizar los expedientes de todos los casos de delitos pendientes ante los tribunales locales.</w:t>
      </w:r>
    </w:p>
    <w:p w:rsidR="000E24E0" w:rsidRPr="00153A9C" w:rsidRDefault="00D23040" w:rsidP="00D23040">
      <w:pPr>
        <w:pStyle w:val="H1G"/>
        <w:rPr>
          <w:lang w:val="es-CO"/>
        </w:rPr>
      </w:pPr>
      <w:r>
        <w:rPr>
          <w:lang w:val="es-CO"/>
        </w:rPr>
        <w:tab/>
      </w:r>
      <w:r>
        <w:rPr>
          <w:lang w:val="es-CO"/>
        </w:rPr>
        <w:tab/>
      </w:r>
      <w:r w:rsidR="000E24E0" w:rsidRPr="00153A9C">
        <w:rPr>
          <w:lang w:val="es-CO"/>
        </w:rPr>
        <w:t>Recomendación 42</w:t>
      </w:r>
    </w:p>
    <w:p w:rsidR="000E24E0" w:rsidRPr="00153A9C" w:rsidRDefault="000E24E0" w:rsidP="00D23040">
      <w:pPr>
        <w:pStyle w:val="SingleTxtG"/>
        <w:rPr>
          <w:lang w:val="es-CO"/>
        </w:rPr>
      </w:pPr>
      <w:r w:rsidRPr="00153A9C">
        <w:rPr>
          <w:lang w:val="es-CO"/>
        </w:rPr>
        <w:t>101.</w:t>
      </w:r>
      <w:r w:rsidRPr="00153A9C">
        <w:rPr>
          <w:lang w:val="es-CO"/>
        </w:rPr>
        <w:tab/>
        <w:t xml:space="preserve">La cuestión del establecimiento de un acuerdo entre las Entidades relativo a las pensiones, en particular en lo que se refiere a los repatriados de una Entidad en otra, no se ha resuelto todavía adecuadamente. El Acuerdo sobre derechos y obligaciones mutuas en relación con las pensiones y seguro de discapacidad en Bosnia y Herzegovina, firmado por representantes de tres compañías aseguradoras el 18 de mayo de 2000, sigue todavía en vigor. </w:t>
      </w:r>
      <w:r w:rsidR="006944FA" w:rsidRPr="00153A9C">
        <w:rPr>
          <w:lang w:val="es-CO"/>
        </w:rPr>
        <w:t>Debido al obstruccionismo de las autoridades, n</w:t>
      </w:r>
      <w:r w:rsidRPr="00153A9C">
        <w:rPr>
          <w:lang w:val="es-CO"/>
        </w:rPr>
        <w:t xml:space="preserve">o se ha establecido un sistema en virtud del cual la compañía aseguradora en cuyo territorio trascurrieron los últimos años </w:t>
      </w:r>
      <w:r w:rsidR="006944FA" w:rsidRPr="00153A9C">
        <w:rPr>
          <w:lang w:val="es-CO"/>
        </w:rPr>
        <w:t xml:space="preserve">de servicio pensionable </w:t>
      </w:r>
      <w:r w:rsidRPr="00153A9C">
        <w:rPr>
          <w:lang w:val="es-CO"/>
        </w:rPr>
        <w:t>deba pagar una pensión</w:t>
      </w:r>
      <w:r w:rsidR="006944FA" w:rsidRPr="00153A9C">
        <w:rPr>
          <w:lang w:val="es-CO"/>
        </w:rPr>
        <w:t>,</w:t>
      </w:r>
      <w:r w:rsidRPr="00153A9C">
        <w:rPr>
          <w:lang w:val="es-CO"/>
        </w:rPr>
        <w:t xml:space="preserve"> </w:t>
      </w:r>
      <w:r w:rsidR="006944FA" w:rsidRPr="00153A9C">
        <w:rPr>
          <w:lang w:val="es-CO"/>
        </w:rPr>
        <w:t>a</w:t>
      </w:r>
      <w:r w:rsidRPr="00153A9C">
        <w:rPr>
          <w:lang w:val="es-CO"/>
        </w:rPr>
        <w:t>unque la Cámara de Derechos Humanos y el Tribunal Europeo de Derechos Humanos de Estrasburgo dictaron una orden en ese sentido.</w:t>
      </w:r>
    </w:p>
    <w:p w:rsidR="000E24E0" w:rsidRPr="00153A9C" w:rsidRDefault="00D23040" w:rsidP="00D23040">
      <w:pPr>
        <w:pStyle w:val="H1G"/>
        <w:rPr>
          <w:lang w:val="es-CO"/>
        </w:rPr>
      </w:pPr>
      <w:r>
        <w:rPr>
          <w:lang w:val="es-CO"/>
        </w:rPr>
        <w:tab/>
      </w:r>
      <w:r>
        <w:rPr>
          <w:lang w:val="es-CO"/>
        </w:rPr>
        <w:tab/>
      </w:r>
      <w:r w:rsidR="000E24E0" w:rsidRPr="00153A9C">
        <w:rPr>
          <w:lang w:val="es-CO"/>
        </w:rPr>
        <w:t>Recomendación 43</w:t>
      </w:r>
    </w:p>
    <w:p w:rsidR="000E24E0" w:rsidRPr="00153A9C" w:rsidRDefault="000E24E0" w:rsidP="00D23040">
      <w:pPr>
        <w:pStyle w:val="SingleTxtG"/>
        <w:rPr>
          <w:lang w:val="es-CO"/>
        </w:rPr>
      </w:pPr>
      <w:r w:rsidRPr="00153A9C">
        <w:rPr>
          <w:lang w:val="es-CO"/>
        </w:rPr>
        <w:t>102.</w:t>
      </w:r>
      <w:r w:rsidRPr="00153A9C">
        <w:rPr>
          <w:lang w:val="es-CO"/>
        </w:rPr>
        <w:tab/>
        <w:t xml:space="preserve">Bosnia y Herzegovina, lo mismo que muchos otros países, </w:t>
      </w:r>
      <w:r w:rsidR="006C6781" w:rsidRPr="00153A9C">
        <w:rPr>
          <w:lang w:val="es-CO"/>
        </w:rPr>
        <w:t xml:space="preserve">debe </w:t>
      </w:r>
      <w:r w:rsidRPr="00153A9C">
        <w:rPr>
          <w:lang w:val="es-CO"/>
        </w:rPr>
        <w:t>hacer frente al fenómeno de la violencia doméstica. Ya en 1996 se adoptó un planteamiento más serio y se señaló que las causas más frecuentes de violencia en la familia eran las siguientes: condiciones de vida inadecuadas, desempleo, inseguridad financiera, alcoholismo, estrés, enfermedad mental, drogadicción y violencia como comportamiento resultante de la concepción patriarcal de la relación entre esposa y esposo. En general, las víctimas de la violencia doméstica son cónyuges, ex cónyuges, hijos, progenitores y otras personas que están incluidas en una unión familiar.</w:t>
      </w:r>
    </w:p>
    <w:p w:rsidR="000E24E0" w:rsidRPr="00153A9C" w:rsidRDefault="000E24E0" w:rsidP="00D23040">
      <w:pPr>
        <w:pStyle w:val="SingleTxtG"/>
        <w:rPr>
          <w:lang w:val="es-CO"/>
        </w:rPr>
      </w:pPr>
      <w:r w:rsidRPr="00153A9C">
        <w:rPr>
          <w:lang w:val="es-CO"/>
        </w:rPr>
        <w:t xml:space="preserve">103. </w:t>
      </w:r>
      <w:r w:rsidR="00113772" w:rsidRPr="00153A9C">
        <w:rPr>
          <w:lang w:val="es-CO"/>
        </w:rPr>
        <w:tab/>
      </w:r>
      <w:r w:rsidRPr="00153A9C">
        <w:rPr>
          <w:lang w:val="es-CO"/>
        </w:rPr>
        <w:t xml:space="preserve">En la legislación de Bosnia y Herzegovina, la violencia doméstica está incluida entre los delitos penales contra el matrimonio y </w:t>
      </w:r>
      <w:smartTag w:uri="urn:schemas-microsoft-com:office:smarttags" w:element="PersonName">
        <w:smartTagPr>
          <w:attr w:name="ProductID" w:val="la familia. De"/>
        </w:smartTagPr>
        <w:r w:rsidRPr="00153A9C">
          <w:rPr>
            <w:lang w:val="es-CO"/>
          </w:rPr>
          <w:t>la familia. De</w:t>
        </w:r>
      </w:smartTag>
      <w:r w:rsidRPr="00153A9C">
        <w:rPr>
          <w:lang w:val="es-CO"/>
        </w:rPr>
        <w:t xml:space="preserve"> conformidad con los códigos penales de las Entidades, toda persona que, mediante el uso de la violencia, comportamientos amenazadores o crueldad mental atente contra la paz, la vida, la salud física o mental de cualquier miembro de su familia, será sancionada con una multa o</w:t>
      </w:r>
      <w:r w:rsidR="00C5273E" w:rsidRPr="00153A9C">
        <w:rPr>
          <w:lang w:val="es-CO"/>
        </w:rPr>
        <w:t xml:space="preserve"> encarcelamiento. E</w:t>
      </w:r>
      <w:r w:rsidRPr="00153A9C">
        <w:rPr>
          <w:lang w:val="es-CO"/>
        </w:rPr>
        <w:t xml:space="preserve">n los procedimientos penales, </w:t>
      </w:r>
      <w:r w:rsidR="00C5273E" w:rsidRPr="00153A9C">
        <w:rPr>
          <w:lang w:val="es-CO"/>
        </w:rPr>
        <w:t xml:space="preserve">el Tribunal </w:t>
      </w:r>
      <w:r w:rsidRPr="00153A9C">
        <w:rPr>
          <w:lang w:val="es-CO"/>
        </w:rPr>
        <w:t>puede imponer una medida de seguridad adecuada (</w:t>
      </w:r>
      <w:r w:rsidR="00C5273E" w:rsidRPr="00153A9C">
        <w:rPr>
          <w:lang w:val="es-CO"/>
        </w:rPr>
        <w:t xml:space="preserve">requerimiento </w:t>
      </w:r>
      <w:r w:rsidRPr="00153A9C">
        <w:rPr>
          <w:lang w:val="es-CO"/>
        </w:rPr>
        <w:t>judicial), tratamiento psiquiátrico obligatorio o tratamiento para superar la adicción, es decir, una medida de supervisión protectora en casos de suspensión de la pena.</w:t>
      </w:r>
    </w:p>
    <w:p w:rsidR="000E24E0" w:rsidRPr="00153A9C" w:rsidRDefault="000E24E0" w:rsidP="00D23040">
      <w:pPr>
        <w:pStyle w:val="SingleTxtG"/>
        <w:rPr>
          <w:lang w:val="es-CO"/>
        </w:rPr>
      </w:pPr>
      <w:r w:rsidRPr="00153A9C">
        <w:rPr>
          <w:lang w:val="es-CO"/>
        </w:rPr>
        <w:t xml:space="preserve">104. </w:t>
      </w:r>
      <w:r w:rsidRPr="00153A9C">
        <w:rPr>
          <w:lang w:val="es-CO"/>
        </w:rPr>
        <w:tab/>
        <w:t xml:space="preserve">De conformidad con las leyes de las Entidades sobre la protección </w:t>
      </w:r>
      <w:r w:rsidR="00C5273E" w:rsidRPr="00153A9C">
        <w:rPr>
          <w:lang w:val="es-CO"/>
        </w:rPr>
        <w:t xml:space="preserve">contra </w:t>
      </w:r>
      <w:r w:rsidRPr="00153A9C">
        <w:rPr>
          <w:lang w:val="es-CO"/>
        </w:rPr>
        <w:t>la violencia doméstica, el tribunal podrá dictar las siguientes medidas protectoras contra el autor dentro de la familia:</w:t>
      </w:r>
    </w:p>
    <w:p w:rsidR="000E24E0" w:rsidRPr="00153A9C" w:rsidRDefault="00D23040" w:rsidP="00D23040">
      <w:pPr>
        <w:pStyle w:val="SingleTxtG"/>
        <w:rPr>
          <w:lang w:val="es-CO"/>
        </w:rPr>
      </w:pPr>
      <w:r>
        <w:rPr>
          <w:lang w:val="es-CO"/>
        </w:rPr>
        <w:tab/>
        <w:t>a)</w:t>
      </w:r>
      <w:r>
        <w:rPr>
          <w:lang w:val="es-CO"/>
        </w:rPr>
        <w:tab/>
      </w:r>
      <w:r w:rsidR="000E24E0" w:rsidRPr="00153A9C">
        <w:rPr>
          <w:lang w:val="es-CO"/>
        </w:rPr>
        <w:t>Expulsión del apartamento, casa u otra forma de vivienda;</w:t>
      </w:r>
    </w:p>
    <w:p w:rsidR="000E24E0" w:rsidRPr="00153A9C" w:rsidRDefault="00D23040" w:rsidP="00D23040">
      <w:pPr>
        <w:pStyle w:val="SingleTxtG"/>
        <w:rPr>
          <w:lang w:val="es-CO"/>
        </w:rPr>
      </w:pPr>
      <w:r>
        <w:rPr>
          <w:lang w:val="es-CO"/>
        </w:rPr>
        <w:tab/>
        <w:t>b)</w:t>
      </w:r>
      <w:r>
        <w:rPr>
          <w:lang w:val="es-CO"/>
        </w:rPr>
        <w:tab/>
      </w:r>
      <w:r w:rsidR="000E24E0" w:rsidRPr="00153A9C">
        <w:rPr>
          <w:lang w:val="es-CO"/>
        </w:rPr>
        <w:t>Orden de alejamiento de las víctimas de la violencia;</w:t>
      </w:r>
    </w:p>
    <w:p w:rsidR="000E24E0" w:rsidRPr="00153A9C" w:rsidRDefault="00D23040" w:rsidP="00D23040">
      <w:pPr>
        <w:pStyle w:val="SingleTxtG"/>
        <w:rPr>
          <w:lang w:val="es-CO"/>
        </w:rPr>
      </w:pPr>
      <w:r>
        <w:rPr>
          <w:lang w:val="es-CO"/>
        </w:rPr>
        <w:tab/>
        <w:t>c)</w:t>
      </w:r>
      <w:r>
        <w:rPr>
          <w:lang w:val="es-CO"/>
        </w:rPr>
        <w:tab/>
      </w:r>
      <w:r w:rsidR="000E24E0" w:rsidRPr="00153A9C">
        <w:rPr>
          <w:lang w:val="es-CO"/>
        </w:rPr>
        <w:t>Prohibición de acosar y espiar a las víctimas de la violencia;</w:t>
      </w:r>
    </w:p>
    <w:p w:rsidR="000E24E0" w:rsidRPr="00153A9C" w:rsidRDefault="00D23040" w:rsidP="00D23040">
      <w:pPr>
        <w:pStyle w:val="SingleTxtG"/>
        <w:rPr>
          <w:lang w:val="es-CO"/>
        </w:rPr>
      </w:pPr>
      <w:r>
        <w:rPr>
          <w:lang w:val="es-CO"/>
        </w:rPr>
        <w:tab/>
        <w:t>d)</w:t>
      </w:r>
      <w:r>
        <w:rPr>
          <w:lang w:val="es-CO"/>
        </w:rPr>
        <w:tab/>
      </w:r>
      <w:r w:rsidR="000E24E0" w:rsidRPr="00153A9C">
        <w:rPr>
          <w:lang w:val="es-CO"/>
        </w:rPr>
        <w:t>Tratamiento psicosocial obligatorio;</w:t>
      </w:r>
    </w:p>
    <w:p w:rsidR="000E24E0" w:rsidRPr="00153A9C" w:rsidRDefault="00D23040" w:rsidP="00D23040">
      <w:pPr>
        <w:pStyle w:val="SingleTxtG"/>
        <w:rPr>
          <w:lang w:val="es-CO"/>
        </w:rPr>
      </w:pPr>
      <w:r>
        <w:rPr>
          <w:lang w:val="es-CO"/>
        </w:rPr>
        <w:tab/>
        <w:t>e)</w:t>
      </w:r>
      <w:r>
        <w:rPr>
          <w:lang w:val="es-CO"/>
        </w:rPr>
        <w:tab/>
      </w:r>
      <w:r w:rsidR="000E24E0" w:rsidRPr="00153A9C">
        <w:rPr>
          <w:lang w:val="es-CO"/>
        </w:rPr>
        <w:t>Rehabilitación obligatoria de la adicción;</w:t>
      </w:r>
    </w:p>
    <w:p w:rsidR="000E24E0" w:rsidRPr="00153A9C" w:rsidRDefault="00D23040" w:rsidP="00D23040">
      <w:pPr>
        <w:pStyle w:val="SingleTxtG"/>
        <w:rPr>
          <w:lang w:val="es-CO"/>
        </w:rPr>
      </w:pPr>
      <w:r>
        <w:rPr>
          <w:lang w:val="es-CO"/>
        </w:rPr>
        <w:tab/>
        <w:t>f)</w:t>
      </w:r>
      <w:r>
        <w:rPr>
          <w:lang w:val="es-CO"/>
        </w:rPr>
        <w:tab/>
      </w:r>
      <w:r w:rsidR="000E24E0" w:rsidRPr="00153A9C">
        <w:rPr>
          <w:lang w:val="es-CO"/>
        </w:rPr>
        <w:t>Trabajo socialmente útil en beneficio de la comunidad local.</w:t>
      </w:r>
    </w:p>
    <w:p w:rsidR="000E24E0" w:rsidRPr="00153A9C" w:rsidRDefault="000E24E0" w:rsidP="00D23040">
      <w:pPr>
        <w:pStyle w:val="SingleTxtG"/>
        <w:rPr>
          <w:lang w:val="es-CO"/>
        </w:rPr>
      </w:pPr>
      <w:r w:rsidRPr="00153A9C">
        <w:rPr>
          <w:lang w:val="es-CO"/>
        </w:rPr>
        <w:t>105.</w:t>
      </w:r>
      <w:r w:rsidRPr="00153A9C">
        <w:rPr>
          <w:lang w:val="es-CO"/>
        </w:rPr>
        <w:tab/>
        <w:t xml:space="preserve">Desde que Bosnia y Herzegovina se comprometió a establecer y elaborar nuevas normas de protección de las mujeres y los niños frente a todas las formas de violencia de conformidad con las normas internacionales a fin de establecer un mecanismo social eficaz que contribuya a aplicar y mejorar las normas de protección </w:t>
      </w:r>
      <w:r w:rsidR="00C5273E" w:rsidRPr="00153A9C">
        <w:rPr>
          <w:lang w:val="es-CO"/>
        </w:rPr>
        <w:t xml:space="preserve">contra </w:t>
      </w:r>
      <w:r w:rsidRPr="00153A9C">
        <w:rPr>
          <w:lang w:val="es-CO"/>
        </w:rPr>
        <w:t>la violencia doméstica y a mejorar la supervisión de este fenómeno, se han conseguido progresos significativos en este sentido y se han aprobado los siguientes documentos estratégicos:</w:t>
      </w:r>
    </w:p>
    <w:p w:rsidR="000E24E0" w:rsidRPr="00153A9C" w:rsidRDefault="000E24E0" w:rsidP="00D23040">
      <w:pPr>
        <w:pStyle w:val="Bullet1G"/>
        <w:tabs>
          <w:tab w:val="clear" w:pos="1872"/>
          <w:tab w:val="left" w:pos="1701"/>
        </w:tabs>
        <w:ind w:left="1701"/>
        <w:rPr>
          <w:lang w:val="es-CO"/>
        </w:rPr>
      </w:pPr>
      <w:r w:rsidRPr="00153A9C">
        <w:rPr>
          <w:lang w:val="es-CO"/>
        </w:rPr>
        <w:t>2009-2011: Estrategia para prevenir y combatir la violencia doméstica en Bosnia y Herzegovina</w:t>
      </w:r>
      <w:r w:rsidR="00D23040">
        <w:rPr>
          <w:lang w:val="es-CO"/>
        </w:rPr>
        <w:t>;</w:t>
      </w:r>
    </w:p>
    <w:p w:rsidR="000E24E0" w:rsidRPr="00153A9C" w:rsidRDefault="000E24E0" w:rsidP="00D23040">
      <w:pPr>
        <w:pStyle w:val="Bullet1G"/>
        <w:tabs>
          <w:tab w:val="clear" w:pos="1872"/>
          <w:tab w:val="left" w:pos="1701"/>
        </w:tabs>
        <w:ind w:left="1701"/>
        <w:rPr>
          <w:lang w:val="es-CO"/>
        </w:rPr>
      </w:pPr>
      <w:r w:rsidRPr="00153A9C">
        <w:rPr>
          <w:lang w:val="es-CO"/>
        </w:rPr>
        <w:t>2009-2010: Plan estratégico para prevenir la violencia doméstica en la Federación de Bosnia y Herzegovina</w:t>
      </w:r>
      <w:r w:rsidR="00D23040">
        <w:rPr>
          <w:lang w:val="es-CO"/>
        </w:rPr>
        <w:t>;</w:t>
      </w:r>
    </w:p>
    <w:p w:rsidR="000E24E0" w:rsidRPr="00153A9C" w:rsidRDefault="000E24E0" w:rsidP="00D23040">
      <w:pPr>
        <w:pStyle w:val="Bullet1G"/>
        <w:tabs>
          <w:tab w:val="clear" w:pos="1872"/>
          <w:tab w:val="left" w:pos="1701"/>
        </w:tabs>
        <w:ind w:left="1701"/>
        <w:rPr>
          <w:lang w:val="es-CO"/>
        </w:rPr>
      </w:pPr>
      <w:r w:rsidRPr="00153A9C">
        <w:rPr>
          <w:lang w:val="es-CO"/>
        </w:rPr>
        <w:t xml:space="preserve">2008 y 2009: Plan de acción para combatir la violencia doméstica en </w:t>
      </w:r>
      <w:smartTag w:uri="urn:schemas-microsoft-com:office:smarttags" w:element="PersonName">
        <w:smartTagPr>
          <w:attr w:name="ProductID" w:val="la Rep￺blica Srpska"/>
        </w:smartTagPr>
        <w:r w:rsidRPr="00153A9C">
          <w:rPr>
            <w:lang w:val="es-CO"/>
          </w:rPr>
          <w:t>la República Srpska</w:t>
        </w:r>
      </w:smartTag>
      <w:r w:rsidR="00D23040">
        <w:rPr>
          <w:lang w:val="es-CO"/>
        </w:rPr>
        <w:t>;</w:t>
      </w:r>
    </w:p>
    <w:p w:rsidR="000E24E0" w:rsidRPr="00153A9C" w:rsidRDefault="000E24E0" w:rsidP="00D23040">
      <w:pPr>
        <w:pStyle w:val="Bullet1G"/>
        <w:tabs>
          <w:tab w:val="clear" w:pos="1872"/>
          <w:tab w:val="left" w:pos="1701"/>
        </w:tabs>
        <w:ind w:left="1701"/>
        <w:rPr>
          <w:lang w:val="es-CO"/>
        </w:rPr>
      </w:pPr>
      <w:r w:rsidRPr="00153A9C">
        <w:rPr>
          <w:lang w:val="es-CO"/>
        </w:rPr>
        <w:t>2007-2010: Estrategia nacional para combatir la violencia contra los niños</w:t>
      </w:r>
      <w:r w:rsidR="00D23040">
        <w:rPr>
          <w:lang w:val="es-CO"/>
        </w:rPr>
        <w:t>;</w:t>
      </w:r>
      <w:r w:rsidRPr="00153A9C">
        <w:rPr>
          <w:lang w:val="es-CO"/>
        </w:rPr>
        <w:t xml:space="preserve"> y</w:t>
      </w:r>
    </w:p>
    <w:p w:rsidR="000E24E0" w:rsidRPr="00153A9C" w:rsidRDefault="000E24E0" w:rsidP="00D23040">
      <w:pPr>
        <w:pStyle w:val="Bullet1G"/>
        <w:tabs>
          <w:tab w:val="clear" w:pos="1872"/>
          <w:tab w:val="left" w:pos="1701"/>
        </w:tabs>
        <w:ind w:left="1701"/>
        <w:rPr>
          <w:lang w:val="es-CO"/>
        </w:rPr>
      </w:pPr>
      <w:r w:rsidRPr="00153A9C">
        <w:rPr>
          <w:lang w:val="es-CO"/>
        </w:rPr>
        <w:t xml:space="preserve">2011-2014 </w:t>
      </w:r>
      <w:r w:rsidR="00D23040" w:rsidRPr="00D23040">
        <w:rPr>
          <w:szCs w:val="24"/>
          <w:lang w:val="es-AR"/>
        </w:rPr>
        <w:t>–</w:t>
      </w:r>
      <w:r w:rsidRPr="00153A9C">
        <w:rPr>
          <w:lang w:val="es-CO"/>
        </w:rPr>
        <w:t xml:space="preserve"> Se está elaborando la Estrategia nacional para combatir la violencia contra los niños.</w:t>
      </w:r>
    </w:p>
    <w:p w:rsidR="000E24E0" w:rsidRPr="00153A9C" w:rsidRDefault="000E24E0" w:rsidP="00D23040">
      <w:pPr>
        <w:pStyle w:val="SingleTxtG"/>
        <w:rPr>
          <w:lang w:val="es-CO"/>
        </w:rPr>
      </w:pPr>
      <w:r w:rsidRPr="00153A9C">
        <w:rPr>
          <w:lang w:val="es-CO"/>
        </w:rPr>
        <w:t xml:space="preserve">106. </w:t>
      </w:r>
      <w:r w:rsidRPr="00153A9C">
        <w:rPr>
          <w:lang w:val="es-CO"/>
        </w:rPr>
        <w:tab/>
        <w:t xml:space="preserve">El Consejo de Ministros aprobó el Plan de acción sobre el género para Bosnia y Herzegovina, que en uno de sus capítulos incluye actividades para combatir y prevenir </w:t>
      </w:r>
      <w:smartTag w:uri="urn:schemas-microsoft-com:office:smarttags" w:element="PersonName">
        <w:smartTagPr>
          <w:attr w:name="ProductID" w:val="la violencia En"/>
        </w:smartTagPr>
        <w:r w:rsidRPr="00153A9C">
          <w:rPr>
            <w:lang w:val="es-CO"/>
          </w:rPr>
          <w:t>la violencia En</w:t>
        </w:r>
      </w:smartTag>
      <w:r w:rsidRPr="00153A9C">
        <w:rPr>
          <w:lang w:val="es-CO"/>
        </w:rPr>
        <w:t xml:space="preserve"> lo que se refiere a Bosnia y Herzegovina, se ha adoptado la Resolución sobre medidas para combatir la violencia contra la mujer y está en proceso de adopción la Estrategia para combatir la violencia doméstica en Bosnia y Herzegovina, que será una compilación de las estrategias de las Entidades. Cabe señalar, por ejemplo, algunos indicadores importantes de los esfuerzos realizados hasta ahora en Bosnia y Herzegovina para alcanzar objetivos a largo plazo en la lucha contra la violencia doméstica.</w:t>
      </w:r>
    </w:p>
    <w:p w:rsidR="000E24E0" w:rsidRPr="00153A9C" w:rsidRDefault="000E24E0" w:rsidP="007E24FF">
      <w:pPr>
        <w:pStyle w:val="SingleTxtG"/>
        <w:rPr>
          <w:lang w:val="es-CO"/>
        </w:rPr>
      </w:pPr>
      <w:r w:rsidRPr="00153A9C">
        <w:rPr>
          <w:lang w:val="es-CO"/>
        </w:rPr>
        <w:t xml:space="preserve">107. </w:t>
      </w:r>
      <w:r w:rsidRPr="00153A9C">
        <w:rPr>
          <w:lang w:val="es-CO"/>
        </w:rPr>
        <w:tab/>
        <w:t xml:space="preserve">Se ha conseguido una cooperación acertada entre ONG e instituciones en Bosnia y Herzegovina en la prestación de asistencia </w:t>
      </w:r>
      <w:r w:rsidR="00C5273E" w:rsidRPr="00153A9C">
        <w:rPr>
          <w:lang w:val="es-CO"/>
        </w:rPr>
        <w:t xml:space="preserve">a </w:t>
      </w:r>
      <w:r w:rsidRPr="00153A9C">
        <w:rPr>
          <w:lang w:val="es-CO"/>
        </w:rPr>
        <w:t xml:space="preserve">las víctimas de la violencia doméstica. A este respecto, se han aplicado los siguientes proyectos conjuntos: </w:t>
      </w:r>
      <w:r w:rsidR="00E738E3">
        <w:rPr>
          <w:lang w:val="es-CO"/>
        </w:rPr>
        <w:t>"</w:t>
      </w:r>
      <w:r w:rsidRPr="00153A9C">
        <w:rPr>
          <w:lang w:val="es-CO"/>
        </w:rPr>
        <w:t>Equipo móvil</w:t>
      </w:r>
      <w:r w:rsidR="00E738E3">
        <w:rPr>
          <w:lang w:val="es-CO"/>
        </w:rPr>
        <w:t>"</w:t>
      </w:r>
      <w:r w:rsidRPr="00153A9C">
        <w:rPr>
          <w:lang w:val="es-CO"/>
        </w:rPr>
        <w:t xml:space="preserve">, </w:t>
      </w:r>
      <w:r w:rsidR="00E738E3">
        <w:rPr>
          <w:lang w:val="es-CO"/>
        </w:rPr>
        <w:t>"</w:t>
      </w:r>
      <w:r w:rsidRPr="00153A9C">
        <w:rPr>
          <w:lang w:val="es-CO"/>
        </w:rPr>
        <w:t>Trabaj</w:t>
      </w:r>
      <w:r w:rsidR="00C5273E" w:rsidRPr="00153A9C">
        <w:rPr>
          <w:lang w:val="es-CO"/>
        </w:rPr>
        <w:t>o</w:t>
      </w:r>
      <w:r w:rsidRPr="00153A9C">
        <w:rPr>
          <w:lang w:val="es-CO"/>
        </w:rPr>
        <w:t xml:space="preserve"> con el autor del delito: grupos de autoayuda</w:t>
      </w:r>
      <w:r w:rsidR="00E738E3">
        <w:rPr>
          <w:lang w:val="es-CO"/>
        </w:rPr>
        <w:t>"</w:t>
      </w:r>
      <w:r w:rsidRPr="00153A9C">
        <w:rPr>
          <w:lang w:val="es-CO"/>
        </w:rPr>
        <w:t xml:space="preserve">, </w:t>
      </w:r>
      <w:r w:rsidR="00E738E3">
        <w:rPr>
          <w:lang w:val="es-CO"/>
        </w:rPr>
        <w:t>"</w:t>
      </w:r>
      <w:r w:rsidRPr="00153A9C">
        <w:rPr>
          <w:lang w:val="es-CO"/>
        </w:rPr>
        <w:t>El derecho a la vida sin violencia</w:t>
      </w:r>
      <w:r w:rsidR="00E738E3">
        <w:rPr>
          <w:lang w:val="es-CO"/>
        </w:rPr>
        <w:t>"</w:t>
      </w:r>
      <w:r w:rsidRPr="00153A9C">
        <w:rPr>
          <w:lang w:val="es-CO"/>
        </w:rPr>
        <w:t xml:space="preserve">, </w:t>
      </w:r>
      <w:r w:rsidR="00E738E3">
        <w:rPr>
          <w:lang w:val="es-CO"/>
        </w:rPr>
        <w:t>"</w:t>
      </w:r>
      <w:r w:rsidRPr="00153A9C">
        <w:rPr>
          <w:lang w:val="es-CO"/>
        </w:rPr>
        <w:t>Asistencia a mujeres víctimas de la violencia doméstica y la trata de personas</w:t>
      </w:r>
      <w:r w:rsidR="00E738E3">
        <w:rPr>
          <w:lang w:val="es-CO"/>
        </w:rPr>
        <w:t>"</w:t>
      </w:r>
      <w:r w:rsidRPr="00153A9C">
        <w:rPr>
          <w:lang w:val="es-CO"/>
        </w:rPr>
        <w:t xml:space="preserve">, </w:t>
      </w:r>
      <w:r w:rsidR="00E738E3">
        <w:rPr>
          <w:lang w:val="es-CO"/>
        </w:rPr>
        <w:t>"</w:t>
      </w:r>
      <w:r w:rsidRPr="00153A9C">
        <w:rPr>
          <w:lang w:val="es-CO"/>
        </w:rPr>
        <w:t>Un verano para los niños</w:t>
      </w:r>
      <w:r w:rsidR="00E738E3">
        <w:rPr>
          <w:lang w:val="es-CO"/>
        </w:rPr>
        <w:t>"</w:t>
      </w:r>
      <w:r w:rsidRPr="00153A9C">
        <w:rPr>
          <w:lang w:val="es-CO"/>
        </w:rPr>
        <w:t>, etc.</w:t>
      </w:r>
    </w:p>
    <w:p w:rsidR="000E24E0" w:rsidRPr="00153A9C" w:rsidRDefault="000E24E0" w:rsidP="007E24FF">
      <w:pPr>
        <w:pStyle w:val="SingleTxtG"/>
        <w:rPr>
          <w:lang w:val="es-CO"/>
        </w:rPr>
      </w:pPr>
      <w:r w:rsidRPr="00153A9C">
        <w:rPr>
          <w:lang w:val="es-CO"/>
        </w:rPr>
        <w:t xml:space="preserve">108. </w:t>
      </w:r>
      <w:r w:rsidRPr="00153A9C">
        <w:rPr>
          <w:lang w:val="es-CO"/>
        </w:rPr>
        <w:tab/>
        <w:t>El objetivo de todas las medidas mencionadas y de algunas otras en el marco de la legislación de Bosnia y Herzegovina y sus Entidades es prevenir la violencia doméstica, conseguir la protección de las víctimas de la violencia y eliminar las condiciones que p</w:t>
      </w:r>
      <w:r w:rsidR="00C5273E" w:rsidRPr="00153A9C">
        <w:rPr>
          <w:lang w:val="es-CO"/>
        </w:rPr>
        <w:t>romueven o fomentan</w:t>
      </w:r>
      <w:r w:rsidRPr="00153A9C">
        <w:rPr>
          <w:lang w:val="es-CO"/>
        </w:rPr>
        <w:t xml:space="preserve"> los actos de violencia doméstica. Pueden imponerse medidas de protección a petición de la persona expuesta a violencia o su representante o de la policía, el fiscal, el Centro de Bienestar Social, el Gobierno, las ONG o ex of</w:t>
      </w:r>
      <w:r w:rsidR="00C5273E" w:rsidRPr="00153A9C">
        <w:rPr>
          <w:lang w:val="es-CO"/>
        </w:rPr>
        <w:t>f</w:t>
      </w:r>
      <w:r w:rsidRPr="00153A9C">
        <w:rPr>
          <w:lang w:val="es-CO"/>
        </w:rPr>
        <w:t xml:space="preserve">icio. Las medidas de protección son dictadas por el tribunal que tiene </w:t>
      </w:r>
      <w:r w:rsidR="001F0A71" w:rsidRPr="00153A9C">
        <w:rPr>
          <w:lang w:val="es-CO"/>
        </w:rPr>
        <w:t xml:space="preserve">competencia </w:t>
      </w:r>
      <w:r w:rsidRPr="00153A9C">
        <w:rPr>
          <w:lang w:val="es-CO"/>
        </w:rPr>
        <w:t>en el lugar de residencia permanente o temporal de una víctima de la violencia doméstica.</w:t>
      </w:r>
    </w:p>
    <w:p w:rsidR="000E24E0" w:rsidRPr="00153A9C" w:rsidRDefault="000E24E0" w:rsidP="007E24FF">
      <w:pPr>
        <w:pStyle w:val="SingleTxtG"/>
        <w:rPr>
          <w:lang w:val="es-CO"/>
        </w:rPr>
      </w:pPr>
      <w:r w:rsidRPr="00153A9C">
        <w:rPr>
          <w:lang w:val="es-CO"/>
        </w:rPr>
        <w:t>109.</w:t>
      </w:r>
      <w:r w:rsidRPr="00153A9C">
        <w:rPr>
          <w:lang w:val="es-CO"/>
        </w:rPr>
        <w:tab/>
        <w:t xml:space="preserve">Debido a cambios jurídicos y de otra índole, a la frecuente capacitación y </w:t>
      </w:r>
      <w:r w:rsidR="00C5273E" w:rsidRPr="00153A9C">
        <w:rPr>
          <w:lang w:val="es-CO"/>
        </w:rPr>
        <w:t xml:space="preserve">formación </w:t>
      </w:r>
      <w:r w:rsidRPr="00153A9C">
        <w:rPr>
          <w:lang w:val="es-CO"/>
        </w:rPr>
        <w:t>de los encargados de ofrecer protección, que han reforzado su capacidad de imponer eficazment</w:t>
      </w:r>
      <w:r w:rsidR="00C5273E" w:rsidRPr="00153A9C">
        <w:rPr>
          <w:lang w:val="es-CO"/>
        </w:rPr>
        <w:t>e el cumplimiento de la ley, y a</w:t>
      </w:r>
      <w:r w:rsidRPr="00153A9C">
        <w:rPr>
          <w:lang w:val="es-CO"/>
        </w:rPr>
        <w:t xml:space="preserve">l trabajo realizado para mejorar la cooperación entre las instituciones y las </w:t>
      </w:r>
      <w:r w:rsidR="00BF750C">
        <w:rPr>
          <w:lang w:val="es-CO"/>
        </w:rPr>
        <w:t>ONG</w:t>
      </w:r>
      <w:r w:rsidRPr="00153A9C">
        <w:rPr>
          <w:lang w:val="es-CO"/>
        </w:rPr>
        <w:t xml:space="preserve">, las víctimas de la violencia doméstica se deciden cada vez más a solicitar ayuda, denunciar la violencia </w:t>
      </w:r>
      <w:r w:rsidR="00C5273E" w:rsidRPr="00153A9C">
        <w:rPr>
          <w:lang w:val="es-CO"/>
        </w:rPr>
        <w:t xml:space="preserve">ante </w:t>
      </w:r>
      <w:r w:rsidRPr="00153A9C">
        <w:rPr>
          <w:lang w:val="es-CO"/>
        </w:rPr>
        <w:t>las instituciones competentes (responsables de ofrecer protección</w:t>
      </w:r>
      <w:r w:rsidR="00C5273E" w:rsidRPr="00153A9C">
        <w:rPr>
          <w:lang w:val="es-CO"/>
        </w:rPr>
        <w:t>) y solicitar ayuda</w:t>
      </w:r>
      <w:r w:rsidRPr="00153A9C">
        <w:rPr>
          <w:lang w:val="es-CO"/>
        </w:rPr>
        <w:t xml:space="preserve"> a las </w:t>
      </w:r>
      <w:r w:rsidR="00BF750C">
        <w:rPr>
          <w:lang w:val="es-CO"/>
        </w:rPr>
        <w:t xml:space="preserve">ONG </w:t>
      </w:r>
      <w:r w:rsidRPr="00153A9C">
        <w:rPr>
          <w:lang w:val="es-CO"/>
        </w:rPr>
        <w:t xml:space="preserve">que se ocupan de los derechos de </w:t>
      </w:r>
      <w:smartTag w:uri="urn:schemas-microsoft-com:office:smarttags" w:element="PersonName">
        <w:smartTagPr>
          <w:attr w:name="ProductID" w:val="la mujer. Conviene"/>
        </w:smartTagPr>
        <w:r w:rsidRPr="00153A9C">
          <w:rPr>
            <w:lang w:val="es-CO"/>
          </w:rPr>
          <w:t>la mujer. Conviene</w:t>
        </w:r>
      </w:smartTag>
      <w:r w:rsidRPr="00153A9C">
        <w:rPr>
          <w:lang w:val="es-CO"/>
        </w:rPr>
        <w:t xml:space="preserve"> señalar que la policía se está convirtiendo en un factor importante para ayudar a las víctimas y detectar a los autores de</w:t>
      </w:r>
      <w:r w:rsidR="00113772" w:rsidRPr="00153A9C">
        <w:rPr>
          <w:lang w:val="es-CO"/>
        </w:rPr>
        <w:t xml:space="preserve"> </w:t>
      </w:r>
      <w:r w:rsidRPr="00153A9C">
        <w:rPr>
          <w:lang w:val="es-CO"/>
        </w:rPr>
        <w:t>l</w:t>
      </w:r>
      <w:r w:rsidR="00113772" w:rsidRPr="00153A9C">
        <w:rPr>
          <w:lang w:val="es-CO"/>
        </w:rPr>
        <w:t>os</w:t>
      </w:r>
      <w:r w:rsidRPr="00153A9C">
        <w:rPr>
          <w:lang w:val="es-CO"/>
        </w:rPr>
        <w:t xml:space="preserve"> actos de violencia y que cada vez se aplican en forma </w:t>
      </w:r>
      <w:r w:rsidR="009B25BC" w:rsidRPr="00153A9C">
        <w:rPr>
          <w:lang w:val="es-CO"/>
        </w:rPr>
        <w:t xml:space="preserve">más </w:t>
      </w:r>
      <w:r w:rsidRPr="00153A9C">
        <w:rPr>
          <w:lang w:val="es-CO"/>
        </w:rPr>
        <w:t>sistemática las disposiciones jurídicas y</w:t>
      </w:r>
      <w:r w:rsidR="003B050C">
        <w:rPr>
          <w:lang w:val="es-CO"/>
        </w:rPr>
        <w:t xml:space="preserve"> </w:t>
      </w:r>
      <w:r w:rsidRPr="00153A9C">
        <w:rPr>
          <w:lang w:val="es-CO"/>
        </w:rPr>
        <w:t>otras medidas relativas a la violencia doméstica y la violencia en general.</w:t>
      </w:r>
    </w:p>
    <w:p w:rsidR="000E24E0" w:rsidRPr="00153A9C" w:rsidRDefault="000E24E0" w:rsidP="007E24FF">
      <w:pPr>
        <w:pStyle w:val="SingleTxtG"/>
        <w:rPr>
          <w:lang w:val="es-CO"/>
        </w:rPr>
      </w:pPr>
      <w:r w:rsidRPr="00153A9C">
        <w:rPr>
          <w:lang w:val="es-CO"/>
        </w:rPr>
        <w:t>110.</w:t>
      </w:r>
      <w:r w:rsidRPr="00153A9C">
        <w:rPr>
          <w:lang w:val="es-CO"/>
        </w:rPr>
        <w:tab/>
        <w:t xml:space="preserve">Por ello, </w:t>
      </w:r>
      <w:r w:rsidR="006C6781" w:rsidRPr="00153A9C">
        <w:rPr>
          <w:lang w:val="es-CO"/>
        </w:rPr>
        <w:t xml:space="preserve">en ambas Entidades </w:t>
      </w:r>
      <w:r w:rsidRPr="00153A9C">
        <w:rPr>
          <w:lang w:val="es-CO"/>
        </w:rPr>
        <w:t xml:space="preserve">se han establecido casas de seguridad como protección específica para las víctimas de la violencia: </w:t>
      </w:r>
      <w:r w:rsidR="009B25BC" w:rsidRPr="00153A9C">
        <w:rPr>
          <w:lang w:val="es-CO"/>
        </w:rPr>
        <w:t xml:space="preserve">seis </w:t>
      </w:r>
      <w:r w:rsidRPr="00153A9C">
        <w:rPr>
          <w:lang w:val="es-CO"/>
        </w:rPr>
        <w:t xml:space="preserve">en la Federación y tres en </w:t>
      </w:r>
      <w:smartTag w:uri="urn:schemas-microsoft-com:office:smarttags" w:element="PersonName">
        <w:smartTagPr>
          <w:attr w:name="ProductID" w:val="la Rep￺blica Srpska."/>
        </w:smartTagPr>
        <w:r w:rsidRPr="00153A9C">
          <w:rPr>
            <w:lang w:val="es-CO"/>
          </w:rPr>
          <w:t>la República Srpska</w:t>
        </w:r>
        <w:r w:rsidR="006C6781" w:rsidRPr="00153A9C">
          <w:rPr>
            <w:lang w:val="es-CO"/>
          </w:rPr>
          <w:t>.</w:t>
        </w:r>
      </w:smartTag>
      <w:r w:rsidR="006C6781" w:rsidRPr="00153A9C">
        <w:rPr>
          <w:lang w:val="es-CO"/>
        </w:rPr>
        <w:t xml:space="preserve"> </w:t>
      </w:r>
    </w:p>
    <w:p w:rsidR="000E24E0" w:rsidRPr="00153A9C" w:rsidRDefault="000E24E0" w:rsidP="007E24FF">
      <w:pPr>
        <w:pStyle w:val="SingleTxtG"/>
        <w:rPr>
          <w:lang w:val="es-CO"/>
        </w:rPr>
      </w:pPr>
      <w:r w:rsidRPr="00153A9C">
        <w:rPr>
          <w:lang w:val="es-CO"/>
        </w:rPr>
        <w:t>111.</w:t>
      </w:r>
      <w:r w:rsidRPr="00153A9C">
        <w:rPr>
          <w:lang w:val="es-CO"/>
        </w:rPr>
        <w:tab/>
        <w:t xml:space="preserve">Era necesario establecer una línea de </w:t>
      </w:r>
      <w:r w:rsidR="00AD6CAD" w:rsidRPr="00153A9C">
        <w:rPr>
          <w:lang w:val="es-CO"/>
        </w:rPr>
        <w:t xml:space="preserve">emergencia única </w:t>
      </w:r>
      <w:r w:rsidRPr="00153A9C">
        <w:rPr>
          <w:lang w:val="es-CO"/>
        </w:rPr>
        <w:t>en ambas Entidades que estuviera a disposición de todas las víctimas de la violencia doméstica y facilitar</w:t>
      </w:r>
      <w:r w:rsidR="00AD6CAD" w:rsidRPr="00153A9C">
        <w:rPr>
          <w:lang w:val="es-CO"/>
        </w:rPr>
        <w:t>a</w:t>
      </w:r>
      <w:r w:rsidRPr="00153A9C">
        <w:rPr>
          <w:lang w:val="es-CO"/>
        </w:rPr>
        <w:t xml:space="preserve"> </w:t>
      </w:r>
      <w:r w:rsidR="00AD6CAD" w:rsidRPr="00153A9C">
        <w:rPr>
          <w:lang w:val="es-CO"/>
        </w:rPr>
        <w:t xml:space="preserve">la </w:t>
      </w:r>
      <w:r w:rsidRPr="00153A9C">
        <w:rPr>
          <w:lang w:val="es-CO"/>
        </w:rPr>
        <w:t>información necesaria para ayudar a las víctimas. Las tres compañías de telecomunicaciones (BH Telecom, MTEL and HT Mostar)</w:t>
      </w:r>
      <w:r w:rsidR="003B050C">
        <w:rPr>
          <w:lang w:val="es-CO"/>
        </w:rPr>
        <w:t xml:space="preserve"> </w:t>
      </w:r>
      <w:r w:rsidRPr="00153A9C">
        <w:rPr>
          <w:lang w:val="es-CO"/>
        </w:rPr>
        <w:t xml:space="preserve">convinieron en que las llamadas telefónicas de </w:t>
      </w:r>
      <w:r w:rsidR="00AD6CAD" w:rsidRPr="00153A9C">
        <w:rPr>
          <w:lang w:val="es-CO"/>
        </w:rPr>
        <w:t xml:space="preserve">emergencia </w:t>
      </w:r>
      <w:r w:rsidRPr="00153A9C">
        <w:rPr>
          <w:lang w:val="es-CO"/>
        </w:rPr>
        <w:t>serían gratuitas y se adoptó el procedimiento jurídico adecuado.</w:t>
      </w:r>
    </w:p>
    <w:p w:rsidR="000E24E0" w:rsidRPr="00153A9C" w:rsidRDefault="000E24E0" w:rsidP="007E24FF">
      <w:pPr>
        <w:pStyle w:val="SingleTxtG"/>
        <w:rPr>
          <w:lang w:val="es-CO"/>
        </w:rPr>
      </w:pPr>
      <w:r w:rsidRPr="00153A9C">
        <w:rPr>
          <w:lang w:val="es-CO"/>
        </w:rPr>
        <w:t>112.</w:t>
      </w:r>
      <w:r w:rsidRPr="00153A9C">
        <w:rPr>
          <w:lang w:val="es-CO"/>
        </w:rPr>
        <w:tab/>
        <w:t>Una circunstancia, que no es ciertamente ex</w:t>
      </w:r>
      <w:r w:rsidR="00AD6CAD" w:rsidRPr="00153A9C">
        <w:rPr>
          <w:lang w:val="es-CO"/>
        </w:rPr>
        <w:t>clusiva de Bosnia y Herzegovina</w:t>
      </w:r>
      <w:r w:rsidRPr="00153A9C">
        <w:rPr>
          <w:lang w:val="es-CO"/>
        </w:rPr>
        <w:t>,</w:t>
      </w:r>
      <w:r w:rsidR="00AD6CAD" w:rsidRPr="00153A9C">
        <w:rPr>
          <w:lang w:val="es-CO"/>
        </w:rPr>
        <w:t xml:space="preserve"> </w:t>
      </w:r>
      <w:r w:rsidRPr="00153A9C">
        <w:rPr>
          <w:lang w:val="es-CO"/>
        </w:rPr>
        <w:t xml:space="preserve">es que resulta muy difícil determinar el alcance y </w:t>
      </w:r>
      <w:r w:rsidR="00FE5AA7">
        <w:rPr>
          <w:lang w:val="es-CO"/>
        </w:rPr>
        <w:t xml:space="preserve">la </w:t>
      </w:r>
      <w:r w:rsidRPr="00153A9C">
        <w:rPr>
          <w:lang w:val="es-CO"/>
        </w:rPr>
        <w:t>prevalencia de la violencia doméstica. Puede estar vinculada sin duda con el carácter oculto del problema, ya que normalmente</w:t>
      </w:r>
      <w:r w:rsidR="003B050C">
        <w:rPr>
          <w:lang w:val="es-CO"/>
        </w:rPr>
        <w:t xml:space="preserve"> </w:t>
      </w:r>
      <w:r w:rsidRPr="00153A9C">
        <w:rPr>
          <w:lang w:val="es-CO"/>
        </w:rPr>
        <w:t xml:space="preserve">no se denuncia al infractor, pues suele producirse en la intimidad y se considera tradicionalmente como </w:t>
      </w:r>
      <w:r w:rsidR="00E738E3">
        <w:rPr>
          <w:lang w:val="es-CO"/>
        </w:rPr>
        <w:t>"</w:t>
      </w:r>
      <w:r w:rsidRPr="00153A9C">
        <w:rPr>
          <w:lang w:val="es-CO"/>
        </w:rPr>
        <w:t>asunto privado</w:t>
      </w:r>
      <w:r w:rsidR="00E738E3">
        <w:rPr>
          <w:lang w:val="es-CO"/>
        </w:rPr>
        <w:t>"</w:t>
      </w:r>
      <w:r w:rsidRPr="00153A9C">
        <w:rPr>
          <w:lang w:val="es-CO"/>
        </w:rPr>
        <w:t>. Ello contribuye significativamente a la</w:t>
      </w:r>
      <w:r w:rsidR="00AD6CAD" w:rsidRPr="00153A9C">
        <w:rPr>
          <w:lang w:val="es-CO"/>
        </w:rPr>
        <w:t xml:space="preserve"> </w:t>
      </w:r>
      <w:r w:rsidRPr="00153A9C">
        <w:rPr>
          <w:lang w:val="es-CO"/>
        </w:rPr>
        <w:t>ausencia de estadísticas</w:t>
      </w:r>
      <w:r w:rsidR="003B050C">
        <w:rPr>
          <w:lang w:val="es-CO"/>
        </w:rPr>
        <w:t xml:space="preserve"> </w:t>
      </w:r>
      <w:r w:rsidRPr="00153A9C">
        <w:rPr>
          <w:lang w:val="es-CO"/>
        </w:rPr>
        <w:t>acerca de la violencia doméstica, que deberá eliminarse en el futuro gracias a los documentos estratégicos.</w:t>
      </w:r>
    </w:p>
    <w:p w:rsidR="000E24E0" w:rsidRPr="00153A9C" w:rsidRDefault="000E24E0" w:rsidP="007E24FF">
      <w:pPr>
        <w:pStyle w:val="SingleTxtG"/>
        <w:rPr>
          <w:lang w:val="es-CO"/>
        </w:rPr>
      </w:pPr>
      <w:r w:rsidRPr="00153A9C">
        <w:rPr>
          <w:lang w:val="es-CO"/>
        </w:rPr>
        <w:t>113.</w:t>
      </w:r>
      <w:r w:rsidRPr="00153A9C">
        <w:rPr>
          <w:lang w:val="es-CO"/>
        </w:rPr>
        <w:tab/>
      </w:r>
      <w:r w:rsidR="00AD6CAD" w:rsidRPr="00153A9C">
        <w:rPr>
          <w:lang w:val="es-CO"/>
        </w:rPr>
        <w:t>En consecuencia</w:t>
      </w:r>
      <w:r w:rsidRPr="00153A9C">
        <w:rPr>
          <w:lang w:val="es-CO"/>
        </w:rPr>
        <w:t xml:space="preserve">, Bosnia y Herzegovina debe esforzarse más que nunca por despertar e intensificar la conciencia social acerca de la gravedad de la violencia doméstica, su alcance y crecimiento, así como por mejorar la capacitación de los ciudadanos </w:t>
      </w:r>
      <w:r w:rsidR="00AD6CAD" w:rsidRPr="00153A9C">
        <w:rPr>
          <w:lang w:val="es-CO"/>
        </w:rPr>
        <w:t xml:space="preserve">en materia de </w:t>
      </w:r>
      <w:r w:rsidRPr="00153A9C">
        <w:rPr>
          <w:lang w:val="es-CO"/>
        </w:rPr>
        <w:t xml:space="preserve">observación, notificación y condena de los infractores. Ello significa que, más que nunca, es necesario educar al público en general, sobre todo a los niños, padres y expertos, acerca del problema de la violencia doméstica </w:t>
      </w:r>
      <w:r w:rsidR="007F222C" w:rsidRPr="00153A9C">
        <w:rPr>
          <w:lang w:val="es-CO"/>
        </w:rPr>
        <w:t>—</w:t>
      </w:r>
      <w:r w:rsidRPr="00153A9C">
        <w:rPr>
          <w:lang w:val="es-CO"/>
        </w:rPr>
        <w:t>incluid</w:t>
      </w:r>
      <w:r w:rsidR="00AD6CAD" w:rsidRPr="00153A9C">
        <w:rPr>
          <w:lang w:val="es-CO"/>
        </w:rPr>
        <w:t>a la manera de combatirla</w:t>
      </w:r>
      <w:r w:rsidR="007F222C" w:rsidRPr="00153A9C">
        <w:rPr>
          <w:lang w:val="es-CO"/>
        </w:rPr>
        <w:t>—</w:t>
      </w:r>
      <w:r w:rsidRPr="00153A9C">
        <w:rPr>
          <w:lang w:val="es-CO"/>
        </w:rPr>
        <w:t xml:space="preserve"> y, si fuera posible, colaborar en el establecimiento de un plan de acción conjunto y aumentar las capacidades en los sectores de los asuntos domésticos para </w:t>
      </w:r>
      <w:r w:rsidR="007F222C" w:rsidRPr="00153A9C">
        <w:rPr>
          <w:lang w:val="es-CO"/>
        </w:rPr>
        <w:t xml:space="preserve">iniciar </w:t>
      </w:r>
      <w:r w:rsidRPr="00153A9C">
        <w:rPr>
          <w:lang w:val="es-CO"/>
        </w:rPr>
        <w:t>y mejorar la colaboración multidisciplinaria con otros sectores. Ello implica una mejora constante de las políticas adoptadas en la comunidad local. Una parte im</w:t>
      </w:r>
      <w:r w:rsidR="007F222C" w:rsidRPr="00153A9C">
        <w:rPr>
          <w:lang w:val="es-CO"/>
        </w:rPr>
        <w:t>portante de esas actividades es</w:t>
      </w:r>
      <w:r w:rsidRPr="00153A9C">
        <w:rPr>
          <w:lang w:val="es-CO"/>
        </w:rPr>
        <w:t xml:space="preserve"> la armonización de la legislación a fin de reforzar las medidas políticas de los autores de actos de violencia doméstica y tener más en cuenta la longitud de las investigaciones y los procesos judiciales. Es también importante esforzarse en el futuro por mejorar la cooperación interinstitucional de todos los sectores que intervienen en esta cuestión a fin de que el intercambio de información pueda ser suficiente pa</w:t>
      </w:r>
      <w:r w:rsidR="007F222C" w:rsidRPr="00153A9C">
        <w:rPr>
          <w:lang w:val="es-CO"/>
        </w:rPr>
        <w:t>ra prevenir con eficacia la vio</w:t>
      </w:r>
      <w:r w:rsidRPr="00153A9C">
        <w:rPr>
          <w:lang w:val="es-CO"/>
        </w:rPr>
        <w:t>l</w:t>
      </w:r>
      <w:r w:rsidR="007F222C" w:rsidRPr="00153A9C">
        <w:rPr>
          <w:lang w:val="es-CO"/>
        </w:rPr>
        <w:t>e</w:t>
      </w:r>
      <w:r w:rsidRPr="00153A9C">
        <w:rPr>
          <w:lang w:val="es-CO"/>
        </w:rPr>
        <w:t>ncia doméstica. A este respecto, debería intensificarse la campaña en los medios de difusión y deberían suministrarse los recursos financieros necesarios para prevenir la violencia tanto en la famili</w:t>
      </w:r>
      <w:r w:rsidR="007F222C" w:rsidRPr="00153A9C">
        <w:rPr>
          <w:lang w:val="es-CO"/>
        </w:rPr>
        <w:t>a</w:t>
      </w:r>
      <w:r w:rsidRPr="00153A9C">
        <w:rPr>
          <w:lang w:val="es-CO"/>
        </w:rPr>
        <w:t xml:space="preserve"> como en el conjunto de la sociedad.</w:t>
      </w:r>
    </w:p>
    <w:p w:rsidR="000E24E0" w:rsidRPr="00153A9C" w:rsidRDefault="000E24E0" w:rsidP="007E24FF">
      <w:pPr>
        <w:pStyle w:val="SingleTxtG"/>
        <w:rPr>
          <w:lang w:val="es-CO"/>
        </w:rPr>
      </w:pPr>
      <w:r w:rsidRPr="00153A9C">
        <w:rPr>
          <w:lang w:val="es-CO"/>
        </w:rPr>
        <w:t>114.</w:t>
      </w:r>
      <w:r w:rsidRPr="00153A9C">
        <w:rPr>
          <w:lang w:val="es-CO"/>
        </w:rPr>
        <w:tab/>
        <w:t>En cumplimiento de la obligación de armonizar la legislación con la Ley sobre igualdad de género en Bosnia y Herzegovina (</w:t>
      </w:r>
      <w:r w:rsidRPr="002458C7">
        <w:rPr>
          <w:i/>
          <w:lang w:val="es-CO"/>
        </w:rPr>
        <w:t>Boletín Oficial</w:t>
      </w:r>
      <w:r w:rsidRPr="00153A9C">
        <w:rPr>
          <w:lang w:val="es-CO"/>
        </w:rPr>
        <w:t xml:space="preserve"> 16/03,</w:t>
      </w:r>
      <w:r w:rsidR="0085188F">
        <w:rPr>
          <w:lang w:val="es-CO"/>
        </w:rPr>
        <w:t xml:space="preserve"> </w:t>
      </w:r>
      <w:r w:rsidRPr="00153A9C">
        <w:rPr>
          <w:lang w:val="es-CO"/>
        </w:rPr>
        <w:t>102/09) y en particular con el artículo 6, se han enmendado debidamente los códigos penales de la Entidades y el Código Penal del Distrito Brčko.</w:t>
      </w:r>
    </w:p>
    <w:p w:rsidR="000E24E0" w:rsidRPr="00153A9C" w:rsidRDefault="000E24E0" w:rsidP="007E24FF">
      <w:pPr>
        <w:pStyle w:val="SingleTxtG"/>
        <w:rPr>
          <w:lang w:val="es-CO"/>
        </w:rPr>
      </w:pPr>
      <w:r w:rsidRPr="00153A9C">
        <w:rPr>
          <w:lang w:val="es-CO"/>
        </w:rPr>
        <w:t>115.</w:t>
      </w:r>
      <w:r w:rsidRPr="00153A9C">
        <w:rPr>
          <w:lang w:val="es-CO"/>
        </w:rPr>
        <w:tab/>
        <w:t>El artículo 222 del Código Penal de la Federación de Bosnia y Herzegovina (</w:t>
      </w:r>
      <w:r w:rsidRPr="002458C7">
        <w:rPr>
          <w:i/>
          <w:lang w:val="es-CO"/>
        </w:rPr>
        <w:t>Boletín Oficial</w:t>
      </w:r>
      <w:r w:rsidRPr="00153A9C">
        <w:rPr>
          <w:lang w:val="es-CO"/>
        </w:rPr>
        <w:t xml:space="preserve"> de </w:t>
      </w:r>
      <w:r w:rsidR="003C5DB6" w:rsidRPr="00153A9C">
        <w:rPr>
          <w:lang w:val="es-CO"/>
        </w:rPr>
        <w:t>la Federación de Bosnia y Herzegovina</w:t>
      </w:r>
      <w:r w:rsidRPr="00153A9C">
        <w:rPr>
          <w:lang w:val="es-CO"/>
        </w:rPr>
        <w:t xml:space="preserve"> 36/03,</w:t>
      </w:r>
      <w:r w:rsidR="0085188F">
        <w:rPr>
          <w:lang w:val="es-CO"/>
        </w:rPr>
        <w:t xml:space="preserve"> </w:t>
      </w:r>
      <w:r w:rsidRPr="00153A9C">
        <w:rPr>
          <w:lang w:val="es-CO"/>
        </w:rPr>
        <w:t>37/03, 21/04, 69/04,</w:t>
      </w:r>
      <w:r w:rsidR="0085188F">
        <w:rPr>
          <w:lang w:val="es-CO"/>
        </w:rPr>
        <w:t xml:space="preserve"> </w:t>
      </w:r>
      <w:r w:rsidRPr="00153A9C">
        <w:rPr>
          <w:lang w:val="es-CO"/>
        </w:rPr>
        <w:t xml:space="preserve">18/05) tipifica un delito penal especial designado con el nombre de </w:t>
      </w:r>
      <w:r w:rsidR="00E738E3">
        <w:rPr>
          <w:lang w:val="es-CO"/>
        </w:rPr>
        <w:t>"</w:t>
      </w:r>
      <w:r w:rsidRPr="00153A9C">
        <w:rPr>
          <w:lang w:val="es-CO"/>
        </w:rPr>
        <w:t>violencia doméstica</w:t>
      </w:r>
      <w:r w:rsidR="00E738E3">
        <w:rPr>
          <w:lang w:val="es-CO"/>
        </w:rPr>
        <w:t>"</w:t>
      </w:r>
      <w:r w:rsidRPr="00153A9C">
        <w:rPr>
          <w:lang w:val="es-CO"/>
        </w:rPr>
        <w:t>. Además de la forma básica del delito que implica una multa o prisión no superior a un año, hay formas más graves que conllevan multas o pena de prisión.</w:t>
      </w:r>
    </w:p>
    <w:p w:rsidR="000E24E0" w:rsidRPr="00153A9C" w:rsidRDefault="007F222C" w:rsidP="007E24FF">
      <w:pPr>
        <w:pStyle w:val="SingleTxtG"/>
        <w:rPr>
          <w:lang w:val="es-CO"/>
        </w:rPr>
      </w:pPr>
      <w:r w:rsidRPr="00153A9C">
        <w:rPr>
          <w:lang w:val="es-CO"/>
        </w:rPr>
        <w:t>116.</w:t>
      </w:r>
      <w:r w:rsidRPr="00153A9C">
        <w:rPr>
          <w:lang w:val="es-CO"/>
        </w:rPr>
        <w:tab/>
        <w:t>E</w:t>
      </w:r>
      <w:r w:rsidR="000E24E0" w:rsidRPr="00153A9C">
        <w:rPr>
          <w:lang w:val="es-CO"/>
        </w:rPr>
        <w:t>l Parlament</w:t>
      </w:r>
      <w:r w:rsidR="00811167" w:rsidRPr="00153A9C">
        <w:rPr>
          <w:lang w:val="es-CO"/>
        </w:rPr>
        <w:t>o</w:t>
      </w:r>
      <w:r w:rsidR="000E24E0" w:rsidRPr="00153A9C">
        <w:rPr>
          <w:lang w:val="es-CO"/>
        </w:rPr>
        <w:t xml:space="preserve"> de la Federación de Bosnia y Herzegovina ha aprobado </w:t>
      </w:r>
      <w:smartTag w:uri="urn:schemas-microsoft-com:office:smarttags" w:element="PersonName">
        <w:smartTagPr>
          <w:attr w:name="ProductID" w:val="la nueva Ley"/>
        </w:smartTagPr>
        <w:r w:rsidR="000E24E0" w:rsidRPr="00153A9C">
          <w:rPr>
            <w:lang w:val="es-CO"/>
          </w:rPr>
          <w:t>la nueva Ley</w:t>
        </w:r>
      </w:smartTag>
      <w:r w:rsidR="000E24E0" w:rsidRPr="00153A9C">
        <w:rPr>
          <w:lang w:val="es-CO"/>
        </w:rPr>
        <w:t xml:space="preserve"> de protección frente a la violencia doméstica, que establece procedimientos especiales para la </w:t>
      </w:r>
      <w:r w:rsidRPr="00153A9C">
        <w:rPr>
          <w:lang w:val="es-CO"/>
        </w:rPr>
        <w:t xml:space="preserve">adopción </w:t>
      </w:r>
      <w:r w:rsidR="000E24E0" w:rsidRPr="00153A9C">
        <w:rPr>
          <w:lang w:val="es-CO"/>
        </w:rPr>
        <w:t xml:space="preserve">de medidas de protección, con inclusión de los plazos para la imposición de dichas medidas, la determinación de los criterios para la financiación de las diversas formas de asistencia técnica </w:t>
      </w:r>
      <w:r w:rsidRPr="00153A9C">
        <w:rPr>
          <w:lang w:val="es-CO"/>
        </w:rPr>
        <w:t xml:space="preserve">a </w:t>
      </w:r>
      <w:r w:rsidR="000E24E0" w:rsidRPr="00153A9C">
        <w:rPr>
          <w:lang w:val="es-CO"/>
        </w:rPr>
        <w:t xml:space="preserve">las víctimas de la violencia, incluido el alojamiento en un </w:t>
      </w:r>
      <w:r w:rsidRPr="00153A9C">
        <w:rPr>
          <w:lang w:val="es-CO"/>
        </w:rPr>
        <w:t>lugar seguro</w:t>
      </w:r>
      <w:r w:rsidR="000E24E0" w:rsidRPr="00153A9C">
        <w:rPr>
          <w:lang w:val="es-CO"/>
        </w:rPr>
        <w:t>, la elaboración de un protocolo de alcance local sobre el tratamiento de las víctimas de la violencia y la determinación de las funciones precisas de todas las partes interesadas (policía, centros de bienestar social, instalaciones sanitarias, instituciones educativas, ONG</w:t>
      </w:r>
      <w:r w:rsidR="00203E7B" w:rsidRPr="00326362">
        <w:rPr>
          <w:rStyle w:val="FootnoteReference"/>
        </w:rPr>
        <w:footnoteReference w:id="8"/>
      </w:r>
      <w:r w:rsidR="000E24E0" w:rsidRPr="00153A9C">
        <w:rPr>
          <w:lang w:val="es-CO"/>
        </w:rPr>
        <w:t>, etc.), así como la adopción de programas cantonales para prevenir la violencia doméstica, incluida la labor con el autor</w:t>
      </w:r>
      <w:r w:rsidRPr="00153A9C">
        <w:rPr>
          <w:lang w:val="es-CO"/>
        </w:rPr>
        <w:t xml:space="preserve"> del delito</w:t>
      </w:r>
      <w:r w:rsidR="00203E7B" w:rsidRPr="00326362">
        <w:rPr>
          <w:rStyle w:val="FootnoteReference"/>
        </w:rPr>
        <w:footnoteReference w:id="9"/>
      </w:r>
      <w:r w:rsidRPr="00153A9C">
        <w:rPr>
          <w:lang w:val="es-CO"/>
        </w:rPr>
        <w:t xml:space="preserve">. </w:t>
      </w:r>
      <w:r w:rsidR="004B01F8" w:rsidRPr="00153A9C">
        <w:rPr>
          <w:lang w:val="es-CO"/>
        </w:rPr>
        <w:t>En consecuencia</w:t>
      </w:r>
      <w:r w:rsidR="000E24E0" w:rsidRPr="00153A9C">
        <w:rPr>
          <w:lang w:val="es-CO"/>
        </w:rPr>
        <w:t xml:space="preserve">, ha aumentado el número de medidas de protección </w:t>
      </w:r>
      <w:r w:rsidRPr="00153A9C">
        <w:rPr>
          <w:lang w:val="es-CO"/>
        </w:rPr>
        <w:t>tanto solicitadas como impuestas</w:t>
      </w:r>
      <w:r w:rsidR="000E24E0" w:rsidRPr="00153A9C">
        <w:rPr>
          <w:lang w:val="es-CO"/>
        </w:rPr>
        <w:t xml:space="preserve">. En el período </w:t>
      </w:r>
      <w:r w:rsidR="00FE5AA7">
        <w:rPr>
          <w:lang w:val="es-CO"/>
        </w:rPr>
        <w:t>abarcado por este</w:t>
      </w:r>
      <w:r w:rsidR="000E24E0" w:rsidRPr="00153A9C">
        <w:rPr>
          <w:lang w:val="es-CO"/>
        </w:rPr>
        <w:t xml:space="preserve"> informe, se presentaron 391 solicitudes, y los tribunales dictar</w:t>
      </w:r>
      <w:r w:rsidRPr="00153A9C">
        <w:rPr>
          <w:lang w:val="es-CO"/>
        </w:rPr>
        <w:t>o</w:t>
      </w:r>
      <w:r w:rsidR="000E24E0" w:rsidRPr="00153A9C">
        <w:rPr>
          <w:lang w:val="es-CO"/>
        </w:rPr>
        <w:t>n 10</w:t>
      </w:r>
      <w:r w:rsidR="00811167" w:rsidRPr="00153A9C">
        <w:rPr>
          <w:lang w:val="es-CO"/>
        </w:rPr>
        <w:t>3</w:t>
      </w:r>
      <w:r w:rsidR="000E24E0" w:rsidRPr="00153A9C">
        <w:rPr>
          <w:lang w:val="es-CO"/>
        </w:rPr>
        <w:t xml:space="preserve"> medidas</w:t>
      </w:r>
      <w:r w:rsidR="004B01F8" w:rsidRPr="00153A9C">
        <w:rPr>
          <w:lang w:val="es-CO"/>
        </w:rPr>
        <w:t xml:space="preserve"> al respecto</w:t>
      </w:r>
      <w:r w:rsidR="00203E7B" w:rsidRPr="00326362">
        <w:rPr>
          <w:rStyle w:val="FootnoteReference"/>
        </w:rPr>
        <w:footnoteReference w:id="10"/>
      </w:r>
      <w:r w:rsidR="000E24E0" w:rsidRPr="00153A9C">
        <w:rPr>
          <w:lang w:val="es-CO"/>
        </w:rPr>
        <w:t xml:space="preserve">. Esas medidas protegieron a cerca de 161 personas. El mayor número de </w:t>
      </w:r>
      <w:r w:rsidR="004B01F8" w:rsidRPr="00153A9C">
        <w:rPr>
          <w:lang w:val="es-CO"/>
        </w:rPr>
        <w:t>esas medidas consistió en la prohibición d</w:t>
      </w:r>
      <w:r w:rsidR="000E24E0" w:rsidRPr="00153A9C">
        <w:rPr>
          <w:lang w:val="es-CO"/>
        </w:rPr>
        <w:t>el acoso o el acecho de una persona expuesta a la violencia (72,81%), mientras que no se impuso ninguna medida para garantizar la protección de las personas expuestas a la violencia, a saber, el tratamiento psicosocial obligatorio.</w:t>
      </w:r>
    </w:p>
    <w:p w:rsidR="000E24E0" w:rsidRPr="00153A9C" w:rsidRDefault="000E24E0" w:rsidP="007E24FF">
      <w:pPr>
        <w:pStyle w:val="SingleTxtG"/>
        <w:rPr>
          <w:lang w:val="es-CO"/>
        </w:rPr>
      </w:pPr>
      <w:r w:rsidRPr="00153A9C">
        <w:rPr>
          <w:lang w:val="es-CO"/>
        </w:rPr>
        <w:t xml:space="preserve">117. </w:t>
      </w:r>
      <w:r w:rsidRPr="00153A9C">
        <w:rPr>
          <w:lang w:val="es-CO"/>
        </w:rPr>
        <w:tab/>
        <w:t xml:space="preserve">El Centro de capacitación de fiscales y jueces celebró un seminario para jueces y fiscales orientado a la aplicación del procedimiento para la imposición de medidas de protección en aplicación </w:t>
      </w:r>
      <w:r w:rsidR="004B01F8" w:rsidRPr="00153A9C">
        <w:rPr>
          <w:lang w:val="es-CO"/>
        </w:rPr>
        <w:t xml:space="preserve">tanto </w:t>
      </w:r>
      <w:r w:rsidRPr="00153A9C">
        <w:rPr>
          <w:lang w:val="es-CO"/>
        </w:rPr>
        <w:t xml:space="preserve">de la </w:t>
      </w:r>
      <w:r w:rsidR="001352B1" w:rsidRPr="00153A9C">
        <w:rPr>
          <w:lang w:val="es-CO"/>
        </w:rPr>
        <w:t>ley</w:t>
      </w:r>
      <w:r w:rsidRPr="00153A9C">
        <w:rPr>
          <w:lang w:val="es-CO"/>
        </w:rPr>
        <w:t xml:space="preserve"> vigente de pr</w:t>
      </w:r>
      <w:r w:rsidR="004B01F8" w:rsidRPr="00153A9C">
        <w:rPr>
          <w:lang w:val="es-CO"/>
        </w:rPr>
        <w:t>otección frente a la violencia d</w:t>
      </w:r>
      <w:r w:rsidRPr="00153A9C">
        <w:rPr>
          <w:lang w:val="es-CO"/>
        </w:rPr>
        <w:t xml:space="preserve">oméstica como de las nuevas disposiciones del proyecto de </w:t>
      </w:r>
      <w:r w:rsidR="001352B1" w:rsidRPr="00153A9C">
        <w:rPr>
          <w:lang w:val="es-CO"/>
        </w:rPr>
        <w:t>ley</w:t>
      </w:r>
      <w:r w:rsidRPr="00153A9C">
        <w:rPr>
          <w:lang w:val="es-CO"/>
        </w:rPr>
        <w:t xml:space="preserve"> de protección frente a la violencia doméstica.</w:t>
      </w:r>
    </w:p>
    <w:p w:rsidR="00151110" w:rsidRPr="00153A9C" w:rsidRDefault="00151110" w:rsidP="007E24FF">
      <w:pPr>
        <w:pStyle w:val="SingleTxtG"/>
        <w:rPr>
          <w:lang w:val="es-CO"/>
        </w:rPr>
      </w:pPr>
      <w:r w:rsidRPr="00153A9C">
        <w:rPr>
          <w:lang w:val="es-CO"/>
        </w:rPr>
        <w:t xml:space="preserve">118. </w:t>
      </w:r>
      <w:r w:rsidR="004B01F8" w:rsidRPr="00153A9C">
        <w:rPr>
          <w:lang w:val="es-CO"/>
        </w:rPr>
        <w:tab/>
      </w:r>
      <w:r w:rsidRPr="00153A9C">
        <w:rPr>
          <w:lang w:val="es-CO"/>
        </w:rPr>
        <w:t>Mediante su labor de coordinación en la aplicación de este plan, el Centro de Género de la Federación de Bosnia y Herzegovina informa periódicamente al Gobierno de la Federación acerca de la aplicación de las actividades previstas. Se han llevado a cabo las siguientes:</w:t>
      </w:r>
    </w:p>
    <w:p w:rsidR="00151110" w:rsidRPr="00153A9C" w:rsidRDefault="00151110" w:rsidP="007E24FF">
      <w:pPr>
        <w:pStyle w:val="Bullet1G"/>
        <w:tabs>
          <w:tab w:val="clear" w:pos="1872"/>
          <w:tab w:val="left" w:pos="1701"/>
        </w:tabs>
        <w:ind w:left="1701"/>
        <w:rPr>
          <w:lang w:val="es-CO"/>
        </w:rPr>
      </w:pPr>
      <w:r w:rsidRPr="00153A9C">
        <w:rPr>
          <w:lang w:val="es-CO"/>
        </w:rPr>
        <w:t>La legislación sanitaria fe</w:t>
      </w:r>
      <w:r w:rsidR="004B01F8" w:rsidRPr="00153A9C">
        <w:rPr>
          <w:lang w:val="es-CO"/>
        </w:rPr>
        <w:t>d</w:t>
      </w:r>
      <w:r w:rsidRPr="00153A9C">
        <w:rPr>
          <w:lang w:val="es-CO"/>
        </w:rPr>
        <w:t xml:space="preserve">eral ofrece </w:t>
      </w:r>
      <w:r w:rsidR="004B01F8" w:rsidRPr="00153A9C">
        <w:rPr>
          <w:lang w:val="es-CO"/>
        </w:rPr>
        <w:t xml:space="preserve">servicios de </w:t>
      </w:r>
      <w:r w:rsidRPr="00153A9C">
        <w:rPr>
          <w:lang w:val="es-CO"/>
        </w:rPr>
        <w:t>atención de salud también para las vícti</w:t>
      </w:r>
      <w:r w:rsidR="007E24FF">
        <w:rPr>
          <w:lang w:val="es-CO"/>
        </w:rPr>
        <w:t>mas de la violencia doméstica.</w:t>
      </w:r>
    </w:p>
    <w:p w:rsidR="00151110" w:rsidRPr="00153A9C" w:rsidRDefault="00151110" w:rsidP="007E24FF">
      <w:pPr>
        <w:pStyle w:val="Bullet1G"/>
        <w:tabs>
          <w:tab w:val="clear" w:pos="1872"/>
          <w:tab w:val="left" w:pos="1701"/>
        </w:tabs>
        <w:ind w:left="1701"/>
        <w:rPr>
          <w:lang w:val="es-CO"/>
        </w:rPr>
      </w:pPr>
      <w:r w:rsidRPr="00153A9C">
        <w:rPr>
          <w:lang w:val="es-CO"/>
        </w:rPr>
        <w:t>Se han elaborado o se están preparando manuales de capacitación para profesionales en el territorio de la Federación (salud, educación y seguridad)</w:t>
      </w:r>
      <w:r w:rsidR="004B41CD" w:rsidRPr="00326362">
        <w:rPr>
          <w:rStyle w:val="FootnoteReference"/>
        </w:rPr>
        <w:footnoteReference w:id="11"/>
      </w:r>
      <w:r w:rsidRPr="00153A9C">
        <w:rPr>
          <w:lang w:val="es-CO"/>
        </w:rPr>
        <w:t xml:space="preserve">. </w:t>
      </w:r>
      <w:r w:rsidR="004B01F8" w:rsidRPr="00153A9C">
        <w:rPr>
          <w:lang w:val="es-CO"/>
        </w:rPr>
        <w:t>E</w:t>
      </w:r>
      <w:r w:rsidRPr="00153A9C">
        <w:rPr>
          <w:lang w:val="es-CO"/>
        </w:rPr>
        <w:t xml:space="preserve">l único manual de capacitación de los profesionales de la salud, que fue preparado y </w:t>
      </w:r>
      <w:r w:rsidR="004B01F8" w:rsidRPr="00153A9C">
        <w:rPr>
          <w:lang w:val="es-CO"/>
        </w:rPr>
        <w:t xml:space="preserve">realizado </w:t>
      </w:r>
      <w:r w:rsidRPr="00153A9C">
        <w:rPr>
          <w:lang w:val="es-CO"/>
        </w:rPr>
        <w:t>por el Ministerio Federal de Salud, se ha utilizado ya para organizar actividades de capacitación de dichos profesionales sobre atención primaria de salud en la Federación de Bosnia y Herzegovina. Lamentablemente, debemos señalar también que la elaboración de dicho manual para la protección social</w:t>
      </w:r>
      <w:r w:rsidR="003B050C">
        <w:rPr>
          <w:lang w:val="es-CO"/>
        </w:rPr>
        <w:t xml:space="preserve"> </w:t>
      </w:r>
      <w:r w:rsidRPr="00153A9C">
        <w:rPr>
          <w:lang w:val="es-CO"/>
        </w:rPr>
        <w:t xml:space="preserve">no ha comenzado todavía, aunque, de acuerdo con el Centro de Género de la Federación de Bosnia y Herzegovina, hay excelentes profesionales y expertos cuyo conocimiento y experiencia puede utilizar el Ministerio Federal de Trabajo y Política Social en </w:t>
      </w:r>
      <w:r w:rsidR="004B01F8" w:rsidRPr="00153A9C">
        <w:rPr>
          <w:lang w:val="es-CO"/>
        </w:rPr>
        <w:t xml:space="preserve">su </w:t>
      </w:r>
      <w:r w:rsidRPr="00153A9C">
        <w:rPr>
          <w:lang w:val="es-CO"/>
        </w:rPr>
        <w:t>preparación.</w:t>
      </w:r>
    </w:p>
    <w:p w:rsidR="00151110" w:rsidRPr="00153A9C" w:rsidRDefault="00151110" w:rsidP="007E24FF">
      <w:pPr>
        <w:pStyle w:val="Bullet1G"/>
        <w:tabs>
          <w:tab w:val="clear" w:pos="1872"/>
          <w:tab w:val="left" w:pos="1701"/>
        </w:tabs>
        <w:ind w:left="1701"/>
        <w:rPr>
          <w:lang w:val="es-CO"/>
        </w:rPr>
      </w:pPr>
      <w:r w:rsidRPr="00153A9C">
        <w:rPr>
          <w:lang w:val="es-CO"/>
        </w:rPr>
        <w:t>Uno de los nuevos servicios para ayudar a las víctimas de la violencia es un número de teléfono único, el 1265, para el territorio de la Federación de Bosnia y Herzegovina, que se estableció tras la adopción del Plan Estratégico</w:t>
      </w:r>
      <w:r w:rsidR="004B01F8" w:rsidRPr="00153A9C">
        <w:rPr>
          <w:lang w:val="es-CO"/>
        </w:rPr>
        <w:t xml:space="preserve"> con </w:t>
      </w:r>
      <w:r w:rsidRPr="00153A9C">
        <w:rPr>
          <w:lang w:val="es-CO"/>
        </w:rPr>
        <w:t>apoyo del Gobierno de la Federación de Bosnia y Herzegovina, compañías de telecomunicaciones de Bosnia</w:t>
      </w:r>
      <w:r w:rsidR="0076075F" w:rsidRPr="00153A9C">
        <w:rPr>
          <w:lang w:val="es-CO"/>
        </w:rPr>
        <w:t xml:space="preserve"> </w:t>
      </w:r>
      <w:r w:rsidR="006C6781" w:rsidRPr="00153A9C">
        <w:rPr>
          <w:lang w:val="es-CO"/>
        </w:rPr>
        <w:t xml:space="preserve">y Herzegovina </w:t>
      </w:r>
      <w:r w:rsidRPr="00153A9C">
        <w:rPr>
          <w:lang w:val="es-CO"/>
        </w:rPr>
        <w:t xml:space="preserve">y varias </w:t>
      </w:r>
      <w:r w:rsidR="00BF750C">
        <w:rPr>
          <w:lang w:val="es-CO"/>
        </w:rPr>
        <w:t>ONG</w:t>
      </w:r>
      <w:r w:rsidRPr="00153A9C">
        <w:rPr>
          <w:lang w:val="es-CO"/>
        </w:rPr>
        <w:t xml:space="preserve">. Una parte importante del funcionamiento de dicha línea telefónica corresponde a las </w:t>
      </w:r>
      <w:r w:rsidR="00BF750C">
        <w:rPr>
          <w:lang w:val="es-CO"/>
        </w:rPr>
        <w:t>ONG</w:t>
      </w:r>
      <w:r w:rsidRPr="00153A9C">
        <w:rPr>
          <w:lang w:val="es-CO"/>
        </w:rPr>
        <w:t>, cuyo personal ofrece asistencia profesional a través de este servicio, incluida la remuneración del personal profesional. Teniendo en cuenta que las normas mínimas del Consejo de Europa sobre los servicios de apoyo para ayudar a las mujeres víctimas de la violencia incluyen la obligación de los Estados de establecer un número de teléfono único, es preciso considerar la posibilidad de obtener en el futuro e incluir en el presupuesto público ordinario fondos para sufra</w:t>
      </w:r>
      <w:r w:rsidR="004B01F8" w:rsidRPr="00153A9C">
        <w:rPr>
          <w:lang w:val="es-CO"/>
        </w:rPr>
        <w:t>gar los costos de este servicio</w:t>
      </w:r>
      <w:r w:rsidRPr="00153A9C">
        <w:rPr>
          <w:lang w:val="es-CO"/>
        </w:rPr>
        <w:t xml:space="preserve">. Según algunas </w:t>
      </w:r>
      <w:r w:rsidR="00BF750C">
        <w:rPr>
          <w:lang w:val="es-CO"/>
        </w:rPr>
        <w:t xml:space="preserve">ONG </w:t>
      </w:r>
      <w:r w:rsidRPr="00153A9C">
        <w:rPr>
          <w:lang w:val="es-CO"/>
        </w:rPr>
        <w:t>(</w:t>
      </w:r>
      <w:r w:rsidR="00E738E3">
        <w:rPr>
          <w:lang w:val="es-CO"/>
        </w:rPr>
        <w:t>"</w:t>
      </w:r>
      <w:r w:rsidRPr="00153A9C">
        <w:rPr>
          <w:lang w:val="es-CO"/>
        </w:rPr>
        <w:t>Foundation Of Local Democracy</w:t>
      </w:r>
      <w:r w:rsidR="00E738E3">
        <w:rPr>
          <w:lang w:val="es-CO"/>
        </w:rPr>
        <w:t>"</w:t>
      </w:r>
      <w:r w:rsidR="004B01F8" w:rsidRPr="00153A9C">
        <w:rPr>
          <w:lang w:val="es-CO"/>
        </w:rPr>
        <w:t>,</w:t>
      </w:r>
      <w:r w:rsidRPr="00153A9C">
        <w:rPr>
          <w:lang w:val="es-CO"/>
        </w:rPr>
        <w:t xml:space="preserve"> Sarajevo</w:t>
      </w:r>
      <w:r w:rsidR="004B01F8" w:rsidRPr="00153A9C">
        <w:rPr>
          <w:lang w:val="es-CO"/>
        </w:rPr>
        <w:t>;</w:t>
      </w:r>
      <w:r w:rsidRPr="00153A9C">
        <w:rPr>
          <w:lang w:val="es-CO"/>
        </w:rPr>
        <w:t xml:space="preserve"> </w:t>
      </w:r>
      <w:r w:rsidR="00E738E3">
        <w:rPr>
          <w:lang w:val="es-CO"/>
        </w:rPr>
        <w:t>"</w:t>
      </w:r>
      <w:r w:rsidRPr="00153A9C">
        <w:rPr>
          <w:lang w:val="es-CO"/>
        </w:rPr>
        <w:t>Medica</w:t>
      </w:r>
      <w:r w:rsidR="00E738E3">
        <w:rPr>
          <w:lang w:val="es-CO"/>
        </w:rPr>
        <w:t>"</w:t>
      </w:r>
      <w:r w:rsidR="004B01F8" w:rsidRPr="00153A9C">
        <w:rPr>
          <w:lang w:val="es-CO"/>
        </w:rPr>
        <w:t>,</w:t>
      </w:r>
      <w:r w:rsidRPr="00153A9C">
        <w:rPr>
          <w:lang w:val="es-CO"/>
        </w:rPr>
        <w:t xml:space="preserve"> Zenica</w:t>
      </w:r>
      <w:r w:rsidR="004B01F8" w:rsidRPr="00153A9C">
        <w:rPr>
          <w:lang w:val="es-CO"/>
        </w:rPr>
        <w:t>;</w:t>
      </w:r>
      <w:r w:rsidRPr="00153A9C">
        <w:rPr>
          <w:lang w:val="es-CO"/>
        </w:rPr>
        <w:t xml:space="preserve"> </w:t>
      </w:r>
      <w:r w:rsidR="00E738E3">
        <w:rPr>
          <w:lang w:val="es-CO"/>
        </w:rPr>
        <w:t>"</w:t>
      </w:r>
      <w:r w:rsidRPr="00153A9C">
        <w:rPr>
          <w:lang w:val="es-CO"/>
        </w:rPr>
        <w:t>Vive women</w:t>
      </w:r>
      <w:r w:rsidR="00E738E3">
        <w:rPr>
          <w:lang w:val="es-CO"/>
        </w:rPr>
        <w:t>"</w:t>
      </w:r>
      <w:r w:rsidR="004B01F8" w:rsidRPr="00153A9C">
        <w:rPr>
          <w:lang w:val="es-CO"/>
        </w:rPr>
        <w:t>,</w:t>
      </w:r>
      <w:r w:rsidRPr="00153A9C">
        <w:rPr>
          <w:lang w:val="es-CO"/>
        </w:rPr>
        <w:t xml:space="preserve"> Tuzla</w:t>
      </w:r>
      <w:r w:rsidR="004B01F8" w:rsidRPr="00153A9C">
        <w:rPr>
          <w:lang w:val="es-CO"/>
        </w:rPr>
        <w:t>;</w:t>
      </w:r>
      <w:r w:rsidRPr="00153A9C">
        <w:rPr>
          <w:lang w:val="es-CO"/>
        </w:rPr>
        <w:t xml:space="preserve"> </w:t>
      </w:r>
      <w:r w:rsidR="00E738E3">
        <w:rPr>
          <w:lang w:val="es-CO"/>
        </w:rPr>
        <w:t>"</w:t>
      </w:r>
      <w:r w:rsidRPr="00153A9C">
        <w:rPr>
          <w:lang w:val="es-CO"/>
        </w:rPr>
        <w:t>BiH Woman</w:t>
      </w:r>
      <w:r w:rsidR="00E738E3">
        <w:rPr>
          <w:lang w:val="es-CO"/>
        </w:rPr>
        <w:t>"</w:t>
      </w:r>
      <w:r w:rsidRPr="00153A9C">
        <w:rPr>
          <w:lang w:val="es-CO"/>
        </w:rPr>
        <w:t xml:space="preserve"> Mostar</w:t>
      </w:r>
      <w:r w:rsidR="004B01F8" w:rsidRPr="00153A9C">
        <w:rPr>
          <w:lang w:val="es-CO"/>
        </w:rPr>
        <w:t xml:space="preserve">; y </w:t>
      </w:r>
      <w:r w:rsidR="00E738E3">
        <w:rPr>
          <w:lang w:val="es-CO"/>
        </w:rPr>
        <w:t>"</w:t>
      </w:r>
      <w:r w:rsidRPr="00153A9C">
        <w:rPr>
          <w:lang w:val="es-CO"/>
        </w:rPr>
        <w:t>Women from the Una</w:t>
      </w:r>
      <w:r w:rsidR="00E738E3">
        <w:rPr>
          <w:lang w:val="es-CO"/>
        </w:rPr>
        <w:t>"</w:t>
      </w:r>
      <w:r w:rsidR="004B01F8" w:rsidRPr="00153A9C">
        <w:rPr>
          <w:lang w:val="es-CO"/>
        </w:rPr>
        <w:t>,</w:t>
      </w:r>
      <w:r w:rsidRPr="00153A9C">
        <w:rPr>
          <w:lang w:val="es-CO"/>
        </w:rPr>
        <w:t xml:space="preserve"> Bihac) y el Centro municipal de bienestar social de Jajce, desde la fecha de establecimiento del teléfono (comienzo</w:t>
      </w:r>
      <w:r w:rsidR="005D5963" w:rsidRPr="00153A9C">
        <w:rPr>
          <w:lang w:val="es-CO"/>
        </w:rPr>
        <w:t>s</w:t>
      </w:r>
      <w:r w:rsidRPr="00153A9C">
        <w:rPr>
          <w:lang w:val="es-CO"/>
        </w:rPr>
        <w:t xml:space="preserve"> de diciembre de 2008) y el 31 diciembre 2009, los profesionales ofrecieron asistencia a 2</w:t>
      </w:r>
      <w:r w:rsidR="005D5963" w:rsidRPr="00153A9C">
        <w:rPr>
          <w:lang w:val="es-CO"/>
        </w:rPr>
        <w:t>.</w:t>
      </w:r>
      <w:r w:rsidRPr="00153A9C">
        <w:rPr>
          <w:lang w:val="es-CO"/>
        </w:rPr>
        <w:t>978 víctimas de la violencia doméstica.</w:t>
      </w:r>
    </w:p>
    <w:p w:rsidR="00151110" w:rsidRPr="00153A9C" w:rsidRDefault="00151110" w:rsidP="007E24FF">
      <w:pPr>
        <w:pStyle w:val="Bullet1G"/>
        <w:tabs>
          <w:tab w:val="clear" w:pos="1872"/>
          <w:tab w:val="left" w:pos="1701"/>
        </w:tabs>
        <w:ind w:left="1701"/>
        <w:rPr>
          <w:lang w:val="es-CO"/>
        </w:rPr>
      </w:pPr>
      <w:r w:rsidRPr="00153A9C">
        <w:rPr>
          <w:lang w:val="es-CO"/>
        </w:rPr>
        <w:t>El proyecto de ley sobre la protección social básica y la seguridad social mínima incluye a las víctimas de la violencia doméstica entre los grupos de beneficiarios de la protesta social y la seguridad social.</w:t>
      </w:r>
    </w:p>
    <w:p w:rsidR="00C9376C" w:rsidRPr="00153A9C" w:rsidRDefault="00151110" w:rsidP="007E24FF">
      <w:pPr>
        <w:pStyle w:val="Bullet1G"/>
        <w:tabs>
          <w:tab w:val="clear" w:pos="1872"/>
          <w:tab w:val="left" w:pos="1701"/>
        </w:tabs>
        <w:ind w:left="1701"/>
        <w:rPr>
          <w:lang w:val="es-CO"/>
        </w:rPr>
      </w:pPr>
      <w:r w:rsidRPr="00153A9C">
        <w:rPr>
          <w:lang w:val="es-CO"/>
        </w:rPr>
        <w:t>Un plan para la realización de estadísticas de interés para la Federación de Bosnia y Herzegovina prevé la realización de investigaciones sobre las causas de la violencia doméstica.</w:t>
      </w:r>
    </w:p>
    <w:p w:rsidR="000E24E0" w:rsidRPr="00153A9C" w:rsidRDefault="000E24E0" w:rsidP="007E24FF">
      <w:pPr>
        <w:pStyle w:val="SingleTxtG"/>
        <w:rPr>
          <w:lang w:val="es-CO"/>
        </w:rPr>
      </w:pPr>
      <w:r w:rsidRPr="00153A9C">
        <w:rPr>
          <w:lang w:val="es-CO"/>
        </w:rPr>
        <w:t xml:space="preserve">119. </w:t>
      </w:r>
      <w:r w:rsidRPr="00153A9C">
        <w:rPr>
          <w:lang w:val="es-CO"/>
        </w:rPr>
        <w:tab/>
        <w:t>Se preparó abundante material educativo</w:t>
      </w:r>
      <w:r w:rsidR="00C9376C" w:rsidRPr="00326362">
        <w:rPr>
          <w:rStyle w:val="FootnoteReference"/>
        </w:rPr>
        <w:footnoteReference w:id="12"/>
      </w:r>
      <w:r w:rsidR="00A047EF" w:rsidRPr="00153A9C">
        <w:rPr>
          <w:lang w:val="es-CO"/>
        </w:rPr>
        <w:t xml:space="preserve"> </w:t>
      </w:r>
      <w:r w:rsidRPr="00153A9C">
        <w:rPr>
          <w:lang w:val="es-CO"/>
        </w:rPr>
        <w:t>y de promoción, se llevaron a cabo investigaciones</w:t>
      </w:r>
      <w:r w:rsidR="00C9376C" w:rsidRPr="00326362">
        <w:rPr>
          <w:rStyle w:val="FootnoteReference"/>
        </w:rPr>
        <w:footnoteReference w:id="13"/>
      </w:r>
      <w:r w:rsidRPr="00153A9C">
        <w:rPr>
          <w:lang w:val="es-CO"/>
        </w:rPr>
        <w:t xml:space="preserve"> sobre la violencia contra la mujer, incluida la violencia doméstica, y las </w:t>
      </w:r>
      <w:r w:rsidR="00BF750C">
        <w:rPr>
          <w:lang w:val="es-CO"/>
        </w:rPr>
        <w:t xml:space="preserve">ONG </w:t>
      </w:r>
      <w:r w:rsidRPr="00153A9C">
        <w:rPr>
          <w:lang w:val="es-CO"/>
        </w:rPr>
        <w:t>ejecutaron un gran número de proyectos</w:t>
      </w:r>
      <w:r w:rsidR="00C9376C" w:rsidRPr="00326362">
        <w:rPr>
          <w:rStyle w:val="FootnoteReference"/>
        </w:rPr>
        <w:footnoteReference w:id="14"/>
      </w:r>
      <w:r w:rsidR="00A047EF" w:rsidRPr="00153A9C">
        <w:rPr>
          <w:lang w:val="es-CO"/>
        </w:rPr>
        <w:t xml:space="preserve"> </w:t>
      </w:r>
      <w:r w:rsidRPr="00153A9C">
        <w:rPr>
          <w:lang w:val="es-CO"/>
        </w:rPr>
        <w:t xml:space="preserve">destinados a lograr una mayor conciencia entre el público acerca del comportamiento no violento. </w:t>
      </w:r>
      <w:r w:rsidR="00A047EF" w:rsidRPr="00153A9C">
        <w:rPr>
          <w:lang w:val="es-CO"/>
        </w:rPr>
        <w:t>E</w:t>
      </w:r>
      <w:r w:rsidRPr="00153A9C">
        <w:rPr>
          <w:lang w:val="es-CO"/>
        </w:rPr>
        <w:t xml:space="preserve">l 90% de los fondos para la ejecución de esos proyectos fueron aportados por </w:t>
      </w:r>
      <w:r w:rsidR="00BF750C">
        <w:rPr>
          <w:lang w:val="es-CO"/>
        </w:rPr>
        <w:t xml:space="preserve">ONG </w:t>
      </w:r>
      <w:r w:rsidRPr="00153A9C">
        <w:rPr>
          <w:lang w:val="es-CO"/>
        </w:rPr>
        <w:t>con cargo a fondos de donantes extranjeros, aunque algunas de las comunidades locales (como Bi</w:t>
      </w:r>
      <w:r w:rsidR="009F506C" w:rsidRPr="00153A9C">
        <w:rPr>
          <w:lang w:val="es-CO"/>
        </w:rPr>
        <w:t>h</w:t>
      </w:r>
      <w:r w:rsidRPr="00153A9C">
        <w:rPr>
          <w:lang w:val="es-CO"/>
        </w:rPr>
        <w:t xml:space="preserve">ac, </w:t>
      </w:r>
      <w:r w:rsidR="001B718C">
        <w:rPr>
          <w:lang w:val="es-CO"/>
        </w:rPr>
        <w:t xml:space="preserve">Sarajevo, Zenica, Mostar etc.) </w:t>
      </w:r>
      <w:r w:rsidRPr="00153A9C">
        <w:rPr>
          <w:lang w:val="es-CO"/>
        </w:rPr>
        <w:t>financian proyectos concretos cuyo objetivo es reducir la violencia contra la mujer, tanto en la familia como en el trabajo.</w:t>
      </w:r>
    </w:p>
    <w:p w:rsidR="000E24E0" w:rsidRPr="00153A9C" w:rsidRDefault="000E24E0" w:rsidP="001B718C">
      <w:pPr>
        <w:pStyle w:val="SingleTxtG"/>
        <w:rPr>
          <w:lang w:val="es-CO"/>
        </w:rPr>
      </w:pPr>
      <w:r w:rsidRPr="00153A9C">
        <w:rPr>
          <w:lang w:val="es-CO"/>
        </w:rPr>
        <w:t xml:space="preserve">120. </w:t>
      </w:r>
      <w:r w:rsidRPr="00153A9C">
        <w:rPr>
          <w:lang w:val="es-CO"/>
        </w:rPr>
        <w:tab/>
        <w:t>En cuanto a la colaboración de las instituciones gubernamentales y no gubernamentales en la prevención de la violencia doméstica y la protección de las víctimas de la violencia, es necesario señalar</w:t>
      </w:r>
      <w:r w:rsidR="00A047EF" w:rsidRPr="00153A9C">
        <w:rPr>
          <w:lang w:val="es-CO"/>
        </w:rPr>
        <w:t>,</w:t>
      </w:r>
      <w:r w:rsidRPr="00153A9C">
        <w:rPr>
          <w:lang w:val="es-CO"/>
        </w:rPr>
        <w:t xml:space="preserve"> en primer lugar</w:t>
      </w:r>
      <w:r w:rsidR="00A047EF" w:rsidRPr="00153A9C">
        <w:rPr>
          <w:lang w:val="es-CO"/>
        </w:rPr>
        <w:t>,</w:t>
      </w:r>
      <w:r w:rsidRPr="00153A9C">
        <w:rPr>
          <w:lang w:val="es-CO"/>
        </w:rPr>
        <w:t xml:space="preserve"> que la falta de fondos es todavía una cuestión candente, sobre todo en las </w:t>
      </w:r>
      <w:r w:rsidR="00BF750C">
        <w:rPr>
          <w:lang w:val="es-CO"/>
        </w:rPr>
        <w:t xml:space="preserve">ONG </w:t>
      </w:r>
      <w:r w:rsidRPr="00153A9C">
        <w:rPr>
          <w:lang w:val="es-CO"/>
        </w:rPr>
        <w:t xml:space="preserve">que administran una casa de acogida. No obstante, se registraron casos aislados de cooperación de instituciones gubernamentales que ofrecieron asistencia financiera con destino a algunas de las </w:t>
      </w:r>
      <w:r w:rsidR="00BF750C">
        <w:rPr>
          <w:lang w:val="es-CO"/>
        </w:rPr>
        <w:t xml:space="preserve">ONG </w:t>
      </w:r>
      <w:r w:rsidRPr="00153A9C">
        <w:rPr>
          <w:lang w:val="es-CO"/>
        </w:rPr>
        <w:t xml:space="preserve">(por ejemplo, la asistencia a la organización no gubernamental </w:t>
      </w:r>
      <w:r w:rsidR="00E738E3">
        <w:rPr>
          <w:lang w:val="es-CO"/>
        </w:rPr>
        <w:t>"</w:t>
      </w:r>
      <w:r w:rsidRPr="00153A9C">
        <w:rPr>
          <w:lang w:val="es-CO"/>
        </w:rPr>
        <w:t>Mujeres de la Una</w:t>
      </w:r>
      <w:r w:rsidR="00E738E3">
        <w:rPr>
          <w:lang w:val="es-CO"/>
        </w:rPr>
        <w:t>"</w:t>
      </w:r>
      <w:r w:rsidRPr="00153A9C">
        <w:rPr>
          <w:lang w:val="es-CO"/>
        </w:rPr>
        <w:t xml:space="preserve"> de BiHac </w:t>
      </w:r>
      <w:r w:rsidR="00A047EF" w:rsidRPr="00153A9C">
        <w:rPr>
          <w:lang w:val="es-CO"/>
        </w:rPr>
        <w:t xml:space="preserve">ofrecida </w:t>
      </w:r>
      <w:r w:rsidRPr="00153A9C">
        <w:rPr>
          <w:lang w:val="es-CO"/>
        </w:rPr>
        <w:t>por el Gobierno del cantón de Una</w:t>
      </w:r>
      <w:r w:rsidR="00BF750C">
        <w:rPr>
          <w:lang w:val="es-CO"/>
        </w:rPr>
        <w:t>-</w:t>
      </w:r>
      <w:r w:rsidRPr="00153A9C">
        <w:rPr>
          <w:lang w:val="es-CO"/>
        </w:rPr>
        <w:t>Sana, los municipios de Bi</w:t>
      </w:r>
      <w:r w:rsidR="009F506C" w:rsidRPr="00153A9C">
        <w:rPr>
          <w:lang w:val="es-CO"/>
        </w:rPr>
        <w:t>h</w:t>
      </w:r>
      <w:r w:rsidRPr="00153A9C">
        <w:rPr>
          <w:lang w:val="es-CO"/>
        </w:rPr>
        <w:t>ac</w:t>
      </w:r>
      <w:r w:rsidR="003B050C">
        <w:rPr>
          <w:lang w:val="es-CO"/>
        </w:rPr>
        <w:t xml:space="preserve"> </w:t>
      </w:r>
      <w:r w:rsidRPr="00153A9C">
        <w:rPr>
          <w:lang w:val="es-CO"/>
        </w:rPr>
        <w:t xml:space="preserve">y Sanski Most y el Ministerio de Cultura, y el apoyo </w:t>
      </w:r>
      <w:r w:rsidR="00A047EF" w:rsidRPr="00153A9C">
        <w:rPr>
          <w:lang w:val="es-CO"/>
        </w:rPr>
        <w:t xml:space="preserve">otorgado </w:t>
      </w:r>
      <w:r w:rsidRPr="00153A9C">
        <w:rPr>
          <w:lang w:val="es-CO"/>
        </w:rPr>
        <w:t xml:space="preserve">a la ONG </w:t>
      </w:r>
      <w:r w:rsidR="00E738E3">
        <w:rPr>
          <w:lang w:val="es-CO"/>
        </w:rPr>
        <w:t>"</w:t>
      </w:r>
      <w:r w:rsidRPr="00153A9C">
        <w:rPr>
          <w:lang w:val="es-CO"/>
        </w:rPr>
        <w:t>Medica</w:t>
      </w:r>
      <w:r w:rsidR="00E738E3">
        <w:rPr>
          <w:lang w:val="es-CO"/>
        </w:rPr>
        <w:t>"</w:t>
      </w:r>
      <w:r w:rsidRPr="00153A9C">
        <w:rPr>
          <w:lang w:val="es-CO"/>
        </w:rPr>
        <w:t xml:space="preserve"> Zenica por el municipio de Zenica, mientras que la ONG recibe una parte de los fondos del Gobierno del cantón de Zenica-Doboj). El Gobierno de la Federación de Bosnia y Herzegovina reconoció también este problema y, desde 2008, asigna en el presupuesto de la Federación de Bosnia y Herzegovina algunos fondos para financiar determinados tipos de asistencia a las víctimas de la violencia.</w:t>
      </w:r>
    </w:p>
    <w:p w:rsidR="000E24E0" w:rsidRPr="00153A9C" w:rsidRDefault="000E24E0" w:rsidP="001B718C">
      <w:pPr>
        <w:pStyle w:val="SingleTxtG"/>
        <w:rPr>
          <w:lang w:val="es-CO"/>
        </w:rPr>
      </w:pPr>
      <w:r w:rsidRPr="00153A9C">
        <w:rPr>
          <w:lang w:val="es-CO"/>
        </w:rPr>
        <w:t xml:space="preserve">121. </w:t>
      </w:r>
      <w:r w:rsidRPr="00153A9C">
        <w:rPr>
          <w:lang w:val="es-CO"/>
        </w:rPr>
        <w:tab/>
        <w:t xml:space="preserve">El artículo 10 de la Constitución de </w:t>
      </w:r>
      <w:smartTag w:uri="urn:schemas-microsoft-com:office:smarttags" w:element="PersonName">
        <w:smartTagPr>
          <w:attr w:name="ProductID" w:val="la Rep￺blica Srpska"/>
        </w:smartTagPr>
        <w:r w:rsidRPr="00153A9C">
          <w:rPr>
            <w:lang w:val="es-CO"/>
          </w:rPr>
          <w:t>la República Srpska</w:t>
        </w:r>
      </w:smartTag>
      <w:r w:rsidRPr="00153A9C">
        <w:rPr>
          <w:lang w:val="es-CO"/>
        </w:rPr>
        <w:t xml:space="preserve"> determina que los ciudadanos de </w:t>
      </w:r>
      <w:smartTag w:uri="urn:schemas-microsoft-com:office:smarttags" w:element="PersonName">
        <w:smartTagPr>
          <w:attr w:name="ProductID" w:val="la Rep￺blica Srpska"/>
        </w:smartTagPr>
        <w:r w:rsidRPr="00153A9C">
          <w:rPr>
            <w:lang w:val="es-CO"/>
          </w:rPr>
          <w:t>la República Srpska</w:t>
        </w:r>
      </w:smartTag>
      <w:r w:rsidRPr="00153A9C">
        <w:rPr>
          <w:lang w:val="es-CO"/>
        </w:rPr>
        <w:t xml:space="preserve"> deberán ser iguales en cuanto a sus libertades, derechos y deberes; serán también iguales ante la ley y disfrutarán de la misma protección jurídica independientemente de su raza, sexo, idioma, origen nacional, religión, origen social, nacimiento, educación, propiedades, convicciones políticas y otras creenc</w:t>
      </w:r>
      <w:r w:rsidR="009F506C" w:rsidRPr="00153A9C">
        <w:rPr>
          <w:lang w:val="es-CO"/>
        </w:rPr>
        <w:t>i</w:t>
      </w:r>
      <w:r w:rsidRPr="00153A9C">
        <w:rPr>
          <w:lang w:val="es-CO"/>
        </w:rPr>
        <w:t>as, condición social y otras características personales.</w:t>
      </w:r>
    </w:p>
    <w:p w:rsidR="000E24E0" w:rsidRPr="00153A9C" w:rsidRDefault="000E24E0" w:rsidP="001B718C">
      <w:pPr>
        <w:pStyle w:val="SingleTxtG"/>
        <w:rPr>
          <w:lang w:val="es-CO"/>
        </w:rPr>
      </w:pPr>
      <w:r w:rsidRPr="00153A9C">
        <w:rPr>
          <w:lang w:val="es-CO"/>
        </w:rPr>
        <w:t xml:space="preserve">122. </w:t>
      </w:r>
      <w:r w:rsidRPr="00153A9C">
        <w:rPr>
          <w:lang w:val="es-CO"/>
        </w:rPr>
        <w:tab/>
        <w:t>La Constitución estipula que nadie puede ser objeto de tortura y otros tratos o penas crueles, inhumanos o degradantes</w:t>
      </w:r>
      <w:r w:rsidR="00C167D2" w:rsidRPr="00153A9C">
        <w:rPr>
          <w:lang w:val="es-CO"/>
        </w:rPr>
        <w:t xml:space="preserve"> y </w:t>
      </w:r>
      <w:r w:rsidRPr="00153A9C">
        <w:rPr>
          <w:lang w:val="es-CO"/>
        </w:rPr>
        <w:t>que la familia, la madre y el niño deben gozar de protección especial.</w:t>
      </w:r>
    </w:p>
    <w:p w:rsidR="000E24E0" w:rsidRPr="00153A9C" w:rsidRDefault="000E24E0" w:rsidP="001B718C">
      <w:pPr>
        <w:pStyle w:val="SingleTxtG"/>
        <w:rPr>
          <w:lang w:val="es-CO"/>
        </w:rPr>
      </w:pPr>
      <w:r w:rsidRPr="00153A9C">
        <w:rPr>
          <w:lang w:val="es-CO"/>
        </w:rPr>
        <w:t xml:space="preserve">123. </w:t>
      </w:r>
      <w:r w:rsidRPr="00153A9C">
        <w:rPr>
          <w:lang w:val="es-CO"/>
        </w:rPr>
        <w:tab/>
        <w:t xml:space="preserve">El artículo 208 del Código de Procedimiento Penal de </w:t>
      </w:r>
      <w:smartTag w:uri="urn:schemas-microsoft-com:office:smarttags" w:element="PersonName">
        <w:smartTagPr>
          <w:attr w:name="ProductID" w:val="la Rep￺blica Srpska"/>
        </w:smartTagPr>
        <w:r w:rsidRPr="00153A9C">
          <w:rPr>
            <w:lang w:val="es-CO"/>
          </w:rPr>
          <w:t>la República Srpska</w:t>
        </w:r>
      </w:smartTag>
      <w:r w:rsidRPr="00153A9C">
        <w:rPr>
          <w:lang w:val="es-CO"/>
        </w:rPr>
        <w:t xml:space="preserve"> (</w:t>
      </w:r>
      <w:r w:rsidRPr="002458C7">
        <w:rPr>
          <w:i/>
          <w:lang w:val="es-CO"/>
        </w:rPr>
        <w:t>Boletín Oficial</w:t>
      </w:r>
      <w:r w:rsidRPr="00153A9C">
        <w:rPr>
          <w:lang w:val="es-CO"/>
        </w:rPr>
        <w:t xml:space="preserve"> de </w:t>
      </w:r>
      <w:smartTag w:uri="urn:schemas-microsoft-com:office:smarttags" w:element="PersonName">
        <w:smartTagPr>
          <w:attr w:name="ProductID" w:val="la Rep￺blica Srpska"/>
        </w:smartTagPr>
        <w:r w:rsidRPr="00153A9C">
          <w:rPr>
            <w:lang w:val="es-CO"/>
          </w:rPr>
          <w:t>la República Srpska</w:t>
        </w:r>
      </w:smartTag>
      <w:r w:rsidRPr="00153A9C">
        <w:rPr>
          <w:lang w:val="es-CO"/>
        </w:rPr>
        <w:t xml:space="preserve"> 49/03, 108/04, 37/06 y 70/06) tipifica </w:t>
      </w:r>
      <w:r w:rsidR="00C167D2" w:rsidRPr="00153A9C">
        <w:rPr>
          <w:lang w:val="es-CO"/>
        </w:rPr>
        <w:t xml:space="preserve">la violencia doméstica como </w:t>
      </w:r>
      <w:r w:rsidRPr="00153A9C">
        <w:rPr>
          <w:lang w:val="es-CO"/>
        </w:rPr>
        <w:t>delito penal específico. Además de la forma básica de delito que implica una multa o hasta dos años de prisión, hay formas más graves que conllevan pena de prisión más prolongada.</w:t>
      </w:r>
    </w:p>
    <w:p w:rsidR="000E24E0" w:rsidRPr="00153A9C" w:rsidRDefault="000E24E0" w:rsidP="001B718C">
      <w:pPr>
        <w:pStyle w:val="SingleTxtG"/>
        <w:rPr>
          <w:lang w:val="es-CO"/>
        </w:rPr>
      </w:pPr>
      <w:r w:rsidRPr="00153A9C">
        <w:rPr>
          <w:lang w:val="es-CO"/>
        </w:rPr>
        <w:t xml:space="preserve">124. </w:t>
      </w:r>
      <w:r w:rsidRPr="00153A9C">
        <w:rPr>
          <w:lang w:val="es-CO"/>
        </w:rPr>
        <w:tab/>
        <w:t>El Código de Procedimiento Penal (</w:t>
      </w:r>
      <w:r w:rsidRPr="002458C7">
        <w:rPr>
          <w:i/>
          <w:lang w:val="es-CO"/>
        </w:rPr>
        <w:t>Boletín Oficial</w:t>
      </w:r>
      <w:r w:rsidRPr="00153A9C">
        <w:rPr>
          <w:lang w:val="es-CO"/>
        </w:rPr>
        <w:t xml:space="preserve"> de </w:t>
      </w:r>
      <w:smartTag w:uri="urn:schemas-microsoft-com:office:smarttags" w:element="PersonName">
        <w:smartTagPr>
          <w:attr w:name="ProductID" w:val="la Rep￺blica Srpska"/>
        </w:smartTagPr>
        <w:r w:rsidRPr="00153A9C">
          <w:rPr>
            <w:lang w:val="es-CO"/>
          </w:rPr>
          <w:t>la República Srpska</w:t>
        </w:r>
      </w:smartTag>
      <w:r w:rsidRPr="00153A9C">
        <w:rPr>
          <w:lang w:val="es-CO"/>
        </w:rPr>
        <w:t xml:space="preserve"> 50/03, 115/04, 29/07 </w:t>
      </w:r>
      <w:r w:rsidR="00C167D2" w:rsidRPr="00153A9C">
        <w:rPr>
          <w:lang w:val="es-CO"/>
        </w:rPr>
        <w:t xml:space="preserve">y </w:t>
      </w:r>
      <w:r w:rsidRPr="00153A9C">
        <w:rPr>
          <w:lang w:val="es-CO"/>
        </w:rPr>
        <w:t xml:space="preserve">68/07) especifica algunas medidas de prohibición (requerimientos) que pueden ser ordenadas por iniciativa de las partes o el abogado defensor durante los procesamientos, y entre las que se incluyen las medidas dictadas en casos relacionados con la violencia doméstica: prohibición de visitar determinados lugares o de reunirse con ciertas personas. Esas órdenes son dictadas por el tribunal. </w:t>
      </w:r>
    </w:p>
    <w:p w:rsidR="000E24E0" w:rsidRPr="00153A9C" w:rsidRDefault="000E24E0" w:rsidP="001B718C">
      <w:pPr>
        <w:pStyle w:val="SingleTxtG"/>
        <w:rPr>
          <w:lang w:val="es-CO"/>
        </w:rPr>
      </w:pPr>
      <w:r w:rsidRPr="00153A9C">
        <w:rPr>
          <w:lang w:val="es-CO"/>
        </w:rPr>
        <w:t xml:space="preserve">125. </w:t>
      </w:r>
      <w:r w:rsidRPr="00153A9C">
        <w:rPr>
          <w:lang w:val="es-CO"/>
        </w:rPr>
        <w:tab/>
        <w:t>El derecho familiar (</w:t>
      </w:r>
      <w:r w:rsidRPr="002458C7">
        <w:rPr>
          <w:i/>
          <w:lang w:val="es-CO"/>
        </w:rPr>
        <w:t>Boletín Oficial</w:t>
      </w:r>
      <w:r w:rsidRPr="00153A9C">
        <w:rPr>
          <w:lang w:val="es-CO"/>
        </w:rPr>
        <w:t xml:space="preserve"> de </w:t>
      </w:r>
      <w:smartTag w:uri="urn:schemas-microsoft-com:office:smarttags" w:element="PersonName">
        <w:smartTagPr>
          <w:attr w:name="ProductID" w:val="la Rep￺blica Srpska"/>
        </w:smartTagPr>
        <w:r w:rsidRPr="00153A9C">
          <w:rPr>
            <w:lang w:val="es-CO"/>
          </w:rPr>
          <w:t>la República Srpska</w:t>
        </w:r>
      </w:smartTag>
      <w:r w:rsidRPr="00153A9C">
        <w:rPr>
          <w:lang w:val="es-CO"/>
        </w:rPr>
        <w:t xml:space="preserve"> 54/02) prevé la protección especial a la madre y al hijo en consonancia con los derechos humanos y libertades internacionales.</w:t>
      </w:r>
    </w:p>
    <w:p w:rsidR="000E24E0" w:rsidRPr="00153A9C" w:rsidRDefault="000E24E0" w:rsidP="001B718C">
      <w:pPr>
        <w:pStyle w:val="SingleTxtG"/>
        <w:rPr>
          <w:lang w:val="es-CO"/>
        </w:rPr>
      </w:pPr>
      <w:r w:rsidRPr="00153A9C">
        <w:rPr>
          <w:lang w:val="es-CO"/>
        </w:rPr>
        <w:t xml:space="preserve">126. </w:t>
      </w:r>
      <w:r w:rsidRPr="00153A9C">
        <w:rPr>
          <w:lang w:val="es-CO"/>
        </w:rPr>
        <w:tab/>
        <w:t>Algunas disposiciones son especialmente importantes en el contexto de la violencia doméstica, por ejemplo, las siguientes:</w:t>
      </w:r>
    </w:p>
    <w:p w:rsidR="000E24E0" w:rsidRPr="00153A9C" w:rsidRDefault="000E24E0" w:rsidP="001B718C">
      <w:pPr>
        <w:pStyle w:val="Bullet1G"/>
        <w:tabs>
          <w:tab w:val="clear" w:pos="1872"/>
          <w:tab w:val="left" w:pos="1701"/>
        </w:tabs>
        <w:ind w:left="1701"/>
        <w:rPr>
          <w:lang w:val="es-CO"/>
        </w:rPr>
      </w:pPr>
      <w:r w:rsidRPr="00153A9C">
        <w:rPr>
          <w:lang w:val="es-CO"/>
        </w:rPr>
        <w:t>Artículo 52 1): Un cónyuge puede solicitar el divorcio si la relación matrimonial se ve grave y permanentemente dañada debido a que su vida en común resulta insoportable.</w:t>
      </w:r>
    </w:p>
    <w:p w:rsidR="000E24E0" w:rsidRPr="00153A9C" w:rsidRDefault="000E24E0" w:rsidP="001B718C">
      <w:pPr>
        <w:pStyle w:val="Bullet1G"/>
        <w:tabs>
          <w:tab w:val="clear" w:pos="1872"/>
          <w:tab w:val="left" w:pos="1701"/>
        </w:tabs>
        <w:ind w:left="1701"/>
        <w:rPr>
          <w:lang w:val="es-CO"/>
        </w:rPr>
      </w:pPr>
      <w:r w:rsidRPr="00153A9C">
        <w:rPr>
          <w:lang w:val="es-CO"/>
        </w:rPr>
        <w:t xml:space="preserve">Artículo 106 1): En los procedimientos extrajudiciales, el tribunal privará de los derechos parentales a los progenitores que abusen de sus derechos </w:t>
      </w:r>
      <w:r w:rsidR="006C6781" w:rsidRPr="00153A9C">
        <w:rPr>
          <w:lang w:val="es-CO"/>
        </w:rPr>
        <w:t>parentales</w:t>
      </w:r>
      <w:r w:rsidRPr="00153A9C">
        <w:rPr>
          <w:lang w:val="es-CO"/>
        </w:rPr>
        <w:t>, que abandonen al hijo, cuyo comportamiento demuestre que no se ocupa de él o que descuide gravemente sus responsabilidades.</w:t>
      </w:r>
    </w:p>
    <w:p w:rsidR="00C167D2" w:rsidRPr="00153A9C" w:rsidRDefault="000E24E0" w:rsidP="001B718C">
      <w:pPr>
        <w:pStyle w:val="SingleTxtG"/>
        <w:spacing w:after="240"/>
        <w:rPr>
          <w:lang w:val="es-CO"/>
        </w:rPr>
      </w:pPr>
      <w:r w:rsidRPr="00153A9C">
        <w:rPr>
          <w:lang w:val="es-CO"/>
        </w:rPr>
        <w:t xml:space="preserve">127. </w:t>
      </w:r>
      <w:r w:rsidRPr="00153A9C">
        <w:rPr>
          <w:lang w:val="es-CO"/>
        </w:rPr>
        <w:tab/>
        <w:t xml:space="preserve">El artículo 218 del Código Penal del Distrito Brčko de </w:t>
      </w:r>
      <w:r w:rsidR="00C167D2" w:rsidRPr="00153A9C">
        <w:rPr>
          <w:lang w:val="es-CO"/>
        </w:rPr>
        <w:t>Bosnia y Herzegovina</w:t>
      </w:r>
      <w:r w:rsidR="003B050C">
        <w:rPr>
          <w:lang w:val="es-CO"/>
        </w:rPr>
        <w:t xml:space="preserve"> </w:t>
      </w:r>
      <w:r w:rsidRPr="00153A9C">
        <w:rPr>
          <w:lang w:val="es-CO"/>
        </w:rPr>
        <w:t>(</w:t>
      </w:r>
      <w:r w:rsidRPr="002458C7">
        <w:rPr>
          <w:i/>
          <w:lang w:val="es-CO"/>
        </w:rPr>
        <w:t>Boletín Oficial</w:t>
      </w:r>
      <w:r w:rsidRPr="00153A9C">
        <w:rPr>
          <w:lang w:val="es-CO"/>
        </w:rPr>
        <w:t xml:space="preserve"> del</w:t>
      </w:r>
      <w:r w:rsidR="00C167D2" w:rsidRPr="00153A9C">
        <w:rPr>
          <w:lang w:val="es-CO"/>
        </w:rPr>
        <w:t xml:space="preserve"> Distrito </w:t>
      </w:r>
      <w:r w:rsidRPr="00153A9C">
        <w:rPr>
          <w:lang w:val="es-CO"/>
        </w:rPr>
        <w:t xml:space="preserve">Brčko de Bosnia y Herzegovina 10/03, 45/04 </w:t>
      </w:r>
      <w:r w:rsidR="00C167D2" w:rsidRPr="00153A9C">
        <w:rPr>
          <w:lang w:val="es-CO"/>
        </w:rPr>
        <w:t xml:space="preserve">y </w:t>
      </w:r>
      <w:r w:rsidRPr="00153A9C">
        <w:rPr>
          <w:lang w:val="es-CO"/>
        </w:rPr>
        <w:t xml:space="preserve">06/05) </w:t>
      </w:r>
      <w:r w:rsidR="00C167D2" w:rsidRPr="00153A9C">
        <w:rPr>
          <w:lang w:val="es-CO"/>
        </w:rPr>
        <w:t>tipifica la violencia</w:t>
      </w:r>
      <w:r w:rsidR="003B050C">
        <w:rPr>
          <w:lang w:val="es-CO"/>
        </w:rPr>
        <w:t xml:space="preserve"> </w:t>
      </w:r>
      <w:r w:rsidR="00C167D2" w:rsidRPr="00153A9C">
        <w:rPr>
          <w:lang w:val="es-CO"/>
        </w:rPr>
        <w:t>doméstica como delito penal específico. Además de la forma básica de delito que implica una multa o hasta un año de prisión, hay formas más graves que conllevan pena de prisión más prolongada.</w:t>
      </w:r>
    </w:p>
    <w:p w:rsidR="001B718C" w:rsidRDefault="001B718C" w:rsidP="001B718C">
      <w:pPr>
        <w:pStyle w:val="Heading1"/>
        <w:rPr>
          <w:lang w:val="es-CO"/>
        </w:rPr>
      </w:pPr>
      <w:r>
        <w:rPr>
          <w:lang w:val="es-CO"/>
        </w:rPr>
        <w:t>Cuadro 2</w:t>
      </w:r>
    </w:p>
    <w:p w:rsidR="004A46CE" w:rsidRPr="001B718C" w:rsidRDefault="004A46CE" w:rsidP="001B718C">
      <w:pPr>
        <w:pStyle w:val="SingleTxtG"/>
        <w:jc w:val="left"/>
        <w:rPr>
          <w:b/>
          <w:lang w:val="es-CO"/>
        </w:rPr>
      </w:pPr>
      <w:r w:rsidRPr="001B718C">
        <w:rPr>
          <w:b/>
          <w:lang w:val="es-CO"/>
        </w:rPr>
        <w:t>Estadísticas de tribunales municipales relativas al artículo 222 del Código Penal de la Fed</w:t>
      </w:r>
      <w:r w:rsidR="001B718C">
        <w:rPr>
          <w:b/>
          <w:lang w:val="es-CO"/>
        </w:rPr>
        <w:t>eración de Bosnia y Herzegovina</w:t>
      </w:r>
    </w:p>
    <w:tbl>
      <w:tblPr>
        <w:tblW w:w="7371" w:type="dxa"/>
        <w:tblInd w:w="1134" w:type="dxa"/>
        <w:tblLayout w:type="fixed"/>
        <w:tblCellMar>
          <w:left w:w="0" w:type="dxa"/>
          <w:right w:w="0" w:type="dxa"/>
        </w:tblCellMar>
        <w:tblLook w:val="01E0"/>
      </w:tblPr>
      <w:tblGrid>
        <w:gridCol w:w="4466"/>
        <w:gridCol w:w="1452"/>
        <w:gridCol w:w="1453"/>
      </w:tblGrid>
      <w:tr w:rsidR="004A46CE" w:rsidRPr="00153A9C">
        <w:tc>
          <w:tcPr>
            <w:tcW w:w="4466" w:type="dxa"/>
            <w:tcBorders>
              <w:top w:val="single" w:sz="4" w:space="0" w:color="auto"/>
              <w:bottom w:val="single" w:sz="12" w:space="0" w:color="auto"/>
            </w:tcBorders>
            <w:shd w:val="clear" w:color="auto" w:fill="auto"/>
            <w:vAlign w:val="bottom"/>
          </w:tcPr>
          <w:p w:rsidR="004A46CE" w:rsidRPr="00153A9C" w:rsidRDefault="004A46CE" w:rsidP="001B718C">
            <w:pPr>
              <w:spacing w:before="80" w:after="80" w:line="200" w:lineRule="exact"/>
              <w:rPr>
                <w:i/>
                <w:sz w:val="16"/>
                <w:lang w:val="es-CO"/>
              </w:rPr>
            </w:pPr>
          </w:p>
        </w:tc>
        <w:tc>
          <w:tcPr>
            <w:tcW w:w="1452" w:type="dxa"/>
            <w:tcBorders>
              <w:top w:val="single" w:sz="4" w:space="0" w:color="auto"/>
              <w:bottom w:val="single" w:sz="12" w:space="0" w:color="auto"/>
            </w:tcBorders>
            <w:shd w:val="clear" w:color="auto" w:fill="auto"/>
            <w:vAlign w:val="bottom"/>
          </w:tcPr>
          <w:p w:rsidR="004A46CE" w:rsidRPr="00153A9C" w:rsidRDefault="004A46CE" w:rsidP="001B718C">
            <w:pPr>
              <w:spacing w:before="80" w:after="80" w:line="200" w:lineRule="exact"/>
              <w:jc w:val="right"/>
              <w:rPr>
                <w:i/>
                <w:sz w:val="16"/>
                <w:lang w:val="es-CO"/>
              </w:rPr>
            </w:pPr>
            <w:r w:rsidRPr="00153A9C">
              <w:rPr>
                <w:i/>
                <w:sz w:val="16"/>
                <w:lang w:val="es-CO"/>
              </w:rPr>
              <w:t>2007</w:t>
            </w:r>
            <w:r w:rsidRPr="001B718C">
              <w:rPr>
                <w:lang w:val="es-CO"/>
              </w:rPr>
              <w:t>*</w:t>
            </w:r>
          </w:p>
        </w:tc>
        <w:tc>
          <w:tcPr>
            <w:tcW w:w="1453" w:type="dxa"/>
            <w:tcBorders>
              <w:top w:val="single" w:sz="4" w:space="0" w:color="auto"/>
              <w:bottom w:val="single" w:sz="12" w:space="0" w:color="auto"/>
            </w:tcBorders>
            <w:shd w:val="clear" w:color="auto" w:fill="auto"/>
            <w:vAlign w:val="bottom"/>
          </w:tcPr>
          <w:p w:rsidR="004A46CE" w:rsidRPr="00153A9C" w:rsidRDefault="004A46CE" w:rsidP="001B718C">
            <w:pPr>
              <w:spacing w:before="80" w:after="80" w:line="200" w:lineRule="exact"/>
              <w:jc w:val="right"/>
              <w:rPr>
                <w:i/>
                <w:sz w:val="16"/>
                <w:lang w:val="es-CO"/>
              </w:rPr>
            </w:pPr>
            <w:r w:rsidRPr="00153A9C">
              <w:rPr>
                <w:i/>
                <w:sz w:val="16"/>
                <w:lang w:val="es-CO"/>
              </w:rPr>
              <w:t>2008</w:t>
            </w:r>
          </w:p>
        </w:tc>
      </w:tr>
      <w:tr w:rsidR="004A46CE" w:rsidRPr="00153A9C">
        <w:tc>
          <w:tcPr>
            <w:tcW w:w="4466" w:type="dxa"/>
            <w:shd w:val="clear" w:color="auto" w:fill="auto"/>
            <w:vAlign w:val="bottom"/>
          </w:tcPr>
          <w:p w:rsidR="004A46CE" w:rsidRPr="00153A9C" w:rsidRDefault="004A46CE" w:rsidP="001B718C">
            <w:pPr>
              <w:suppressAutoHyphens w:val="0"/>
              <w:spacing w:before="40" w:after="40" w:line="220" w:lineRule="exact"/>
              <w:rPr>
                <w:sz w:val="18"/>
                <w:lang w:val="es-CO"/>
              </w:rPr>
            </w:pPr>
            <w:r w:rsidRPr="00153A9C">
              <w:rPr>
                <w:sz w:val="18"/>
                <w:lang w:val="es-CO"/>
              </w:rPr>
              <w:t>Número de acusaciones formuladas</w:t>
            </w:r>
          </w:p>
        </w:tc>
        <w:tc>
          <w:tcPr>
            <w:tcW w:w="1452" w:type="dxa"/>
            <w:shd w:val="clear" w:color="auto" w:fill="auto"/>
            <w:vAlign w:val="bottom"/>
          </w:tcPr>
          <w:p w:rsidR="004A46CE" w:rsidRPr="00153A9C" w:rsidRDefault="004A46CE" w:rsidP="001B718C">
            <w:pPr>
              <w:suppressAutoHyphens w:val="0"/>
              <w:spacing w:before="40" w:after="40" w:line="220" w:lineRule="exact"/>
              <w:jc w:val="right"/>
              <w:rPr>
                <w:sz w:val="18"/>
                <w:lang w:val="es-CO"/>
              </w:rPr>
            </w:pPr>
            <w:r w:rsidRPr="00153A9C">
              <w:rPr>
                <w:sz w:val="18"/>
                <w:lang w:val="es-CO"/>
              </w:rPr>
              <w:t>399</w:t>
            </w:r>
          </w:p>
        </w:tc>
        <w:tc>
          <w:tcPr>
            <w:tcW w:w="1453" w:type="dxa"/>
            <w:shd w:val="clear" w:color="auto" w:fill="auto"/>
            <w:vAlign w:val="bottom"/>
          </w:tcPr>
          <w:p w:rsidR="004A46CE" w:rsidRPr="00153A9C" w:rsidRDefault="004A46CE" w:rsidP="001B718C">
            <w:pPr>
              <w:suppressAutoHyphens w:val="0"/>
              <w:spacing w:before="40" w:after="40" w:line="220" w:lineRule="exact"/>
              <w:jc w:val="right"/>
              <w:rPr>
                <w:sz w:val="18"/>
                <w:lang w:val="es-CO"/>
              </w:rPr>
            </w:pPr>
            <w:r w:rsidRPr="00153A9C">
              <w:rPr>
                <w:sz w:val="18"/>
                <w:lang w:val="es-CO"/>
              </w:rPr>
              <w:t>463</w:t>
            </w:r>
          </w:p>
        </w:tc>
      </w:tr>
      <w:tr w:rsidR="004A46CE" w:rsidRPr="00153A9C">
        <w:tc>
          <w:tcPr>
            <w:tcW w:w="4466" w:type="dxa"/>
            <w:shd w:val="clear" w:color="auto" w:fill="auto"/>
            <w:vAlign w:val="bottom"/>
          </w:tcPr>
          <w:p w:rsidR="004A46CE" w:rsidRPr="00153A9C" w:rsidRDefault="004A46CE" w:rsidP="001B718C">
            <w:pPr>
              <w:suppressAutoHyphens w:val="0"/>
              <w:spacing w:before="40" w:after="40" w:line="220" w:lineRule="exact"/>
              <w:rPr>
                <w:sz w:val="18"/>
                <w:lang w:val="es-CO"/>
              </w:rPr>
            </w:pPr>
            <w:r w:rsidRPr="00153A9C">
              <w:rPr>
                <w:sz w:val="18"/>
                <w:lang w:val="es-CO"/>
              </w:rPr>
              <w:t>Número de sentencias definitivas pronunciadas</w:t>
            </w:r>
          </w:p>
        </w:tc>
        <w:tc>
          <w:tcPr>
            <w:tcW w:w="1452" w:type="dxa"/>
            <w:shd w:val="clear" w:color="auto" w:fill="auto"/>
            <w:vAlign w:val="bottom"/>
          </w:tcPr>
          <w:p w:rsidR="004A46CE" w:rsidRPr="00153A9C" w:rsidRDefault="004A46CE" w:rsidP="001B718C">
            <w:pPr>
              <w:suppressAutoHyphens w:val="0"/>
              <w:spacing w:before="40" w:after="40" w:line="220" w:lineRule="exact"/>
              <w:jc w:val="right"/>
              <w:rPr>
                <w:sz w:val="18"/>
                <w:lang w:val="es-CO"/>
              </w:rPr>
            </w:pPr>
            <w:r w:rsidRPr="00153A9C">
              <w:rPr>
                <w:sz w:val="18"/>
                <w:lang w:val="es-CO"/>
              </w:rPr>
              <w:t>177</w:t>
            </w:r>
          </w:p>
        </w:tc>
        <w:tc>
          <w:tcPr>
            <w:tcW w:w="1453" w:type="dxa"/>
            <w:shd w:val="clear" w:color="auto" w:fill="auto"/>
            <w:vAlign w:val="bottom"/>
          </w:tcPr>
          <w:p w:rsidR="004A46CE" w:rsidRPr="00153A9C" w:rsidRDefault="004A46CE" w:rsidP="001B718C">
            <w:pPr>
              <w:suppressAutoHyphens w:val="0"/>
              <w:spacing w:before="40" w:after="40" w:line="220" w:lineRule="exact"/>
              <w:jc w:val="right"/>
              <w:rPr>
                <w:sz w:val="18"/>
                <w:lang w:val="es-CO"/>
              </w:rPr>
            </w:pPr>
            <w:r w:rsidRPr="00153A9C">
              <w:rPr>
                <w:sz w:val="18"/>
                <w:lang w:val="es-CO"/>
              </w:rPr>
              <w:t>228</w:t>
            </w:r>
          </w:p>
        </w:tc>
      </w:tr>
      <w:tr w:rsidR="004A46CE" w:rsidRPr="00153A9C">
        <w:tc>
          <w:tcPr>
            <w:tcW w:w="4466" w:type="dxa"/>
            <w:tcBorders>
              <w:bottom w:val="single" w:sz="12" w:space="0" w:color="auto"/>
            </w:tcBorders>
            <w:shd w:val="clear" w:color="auto" w:fill="auto"/>
            <w:vAlign w:val="bottom"/>
          </w:tcPr>
          <w:p w:rsidR="004A46CE" w:rsidRPr="00153A9C" w:rsidRDefault="004A46CE" w:rsidP="001B718C">
            <w:pPr>
              <w:suppressAutoHyphens w:val="0"/>
              <w:spacing w:before="40" w:after="40" w:line="220" w:lineRule="exact"/>
              <w:rPr>
                <w:sz w:val="18"/>
                <w:lang w:val="es-CO"/>
              </w:rPr>
            </w:pPr>
            <w:r w:rsidRPr="00153A9C">
              <w:rPr>
                <w:sz w:val="18"/>
                <w:lang w:val="es-CO"/>
              </w:rPr>
              <w:t>Número de sentencias apelables pronu</w:t>
            </w:r>
            <w:r w:rsidR="001B718C">
              <w:rPr>
                <w:sz w:val="18"/>
                <w:lang w:val="es-CO"/>
              </w:rPr>
              <w:t>nciadas</w:t>
            </w:r>
          </w:p>
        </w:tc>
        <w:tc>
          <w:tcPr>
            <w:tcW w:w="1452" w:type="dxa"/>
            <w:tcBorders>
              <w:bottom w:val="single" w:sz="12" w:space="0" w:color="auto"/>
            </w:tcBorders>
            <w:shd w:val="clear" w:color="auto" w:fill="auto"/>
            <w:vAlign w:val="bottom"/>
          </w:tcPr>
          <w:p w:rsidR="004A46CE" w:rsidRPr="00153A9C" w:rsidRDefault="004A46CE" w:rsidP="001B718C">
            <w:pPr>
              <w:suppressAutoHyphens w:val="0"/>
              <w:spacing w:before="40" w:after="40" w:line="220" w:lineRule="exact"/>
              <w:jc w:val="right"/>
              <w:rPr>
                <w:sz w:val="18"/>
                <w:lang w:val="es-CO"/>
              </w:rPr>
            </w:pPr>
            <w:r w:rsidRPr="00153A9C">
              <w:rPr>
                <w:sz w:val="18"/>
                <w:lang w:val="es-CO"/>
              </w:rPr>
              <w:t>73</w:t>
            </w:r>
          </w:p>
        </w:tc>
        <w:tc>
          <w:tcPr>
            <w:tcW w:w="1453" w:type="dxa"/>
            <w:tcBorders>
              <w:bottom w:val="single" w:sz="12" w:space="0" w:color="auto"/>
            </w:tcBorders>
            <w:shd w:val="clear" w:color="auto" w:fill="auto"/>
            <w:vAlign w:val="bottom"/>
          </w:tcPr>
          <w:p w:rsidR="004A46CE" w:rsidRPr="00153A9C" w:rsidRDefault="004A46CE" w:rsidP="001B718C">
            <w:pPr>
              <w:suppressAutoHyphens w:val="0"/>
              <w:spacing w:before="40" w:after="40" w:line="220" w:lineRule="exact"/>
              <w:jc w:val="right"/>
              <w:rPr>
                <w:sz w:val="18"/>
                <w:lang w:val="es-CO"/>
              </w:rPr>
            </w:pPr>
            <w:r w:rsidRPr="00153A9C">
              <w:rPr>
                <w:sz w:val="18"/>
                <w:lang w:val="es-CO"/>
              </w:rPr>
              <w:t>61</w:t>
            </w:r>
          </w:p>
        </w:tc>
      </w:tr>
    </w:tbl>
    <w:p w:rsidR="001B718C" w:rsidRDefault="004A46CE" w:rsidP="001B718C">
      <w:pPr>
        <w:pStyle w:val="Heading1"/>
        <w:spacing w:before="240"/>
        <w:rPr>
          <w:lang w:val="es-CO"/>
        </w:rPr>
      </w:pPr>
      <w:r w:rsidRPr="00153A9C">
        <w:rPr>
          <w:lang w:val="es-CO"/>
        </w:rPr>
        <w:t>Cuadro 3</w:t>
      </w:r>
    </w:p>
    <w:p w:rsidR="004A46CE" w:rsidRPr="001B718C" w:rsidRDefault="004A46CE" w:rsidP="001B718C">
      <w:pPr>
        <w:pStyle w:val="SingleTxtG"/>
        <w:jc w:val="left"/>
        <w:rPr>
          <w:b/>
          <w:sz w:val="18"/>
          <w:lang w:val="es-CO"/>
        </w:rPr>
      </w:pPr>
      <w:r w:rsidRPr="001B718C">
        <w:rPr>
          <w:b/>
          <w:lang w:val="es-CO"/>
        </w:rPr>
        <w:t>Número de solicitudes de medidas de protección en la Federación de Bosnia y Herzegovina</w:t>
      </w:r>
    </w:p>
    <w:tbl>
      <w:tblPr>
        <w:tblW w:w="7370" w:type="dxa"/>
        <w:tblInd w:w="1134" w:type="dxa"/>
        <w:tblLayout w:type="fixed"/>
        <w:tblCellMar>
          <w:left w:w="0" w:type="dxa"/>
          <w:right w:w="0" w:type="dxa"/>
        </w:tblCellMar>
        <w:tblLook w:val="01E0"/>
      </w:tblPr>
      <w:tblGrid>
        <w:gridCol w:w="4466"/>
        <w:gridCol w:w="1452"/>
        <w:gridCol w:w="1452"/>
      </w:tblGrid>
      <w:tr w:rsidR="004A46CE" w:rsidRPr="00153A9C">
        <w:tc>
          <w:tcPr>
            <w:tcW w:w="4466" w:type="dxa"/>
            <w:tcBorders>
              <w:top w:val="single" w:sz="4" w:space="0" w:color="auto"/>
              <w:bottom w:val="single" w:sz="12" w:space="0" w:color="auto"/>
            </w:tcBorders>
            <w:shd w:val="clear" w:color="auto" w:fill="auto"/>
            <w:vAlign w:val="bottom"/>
          </w:tcPr>
          <w:p w:rsidR="004A46CE" w:rsidRPr="00153A9C" w:rsidRDefault="004A46CE" w:rsidP="00601207">
            <w:pPr>
              <w:spacing w:before="80" w:after="80" w:line="200" w:lineRule="exact"/>
              <w:rPr>
                <w:i/>
                <w:sz w:val="16"/>
                <w:szCs w:val="16"/>
                <w:lang w:val="es-CO"/>
              </w:rPr>
            </w:pPr>
          </w:p>
        </w:tc>
        <w:tc>
          <w:tcPr>
            <w:tcW w:w="1452" w:type="dxa"/>
            <w:tcBorders>
              <w:top w:val="single" w:sz="4" w:space="0" w:color="auto"/>
              <w:bottom w:val="single" w:sz="12" w:space="0" w:color="auto"/>
            </w:tcBorders>
            <w:shd w:val="clear" w:color="auto" w:fill="auto"/>
            <w:vAlign w:val="bottom"/>
          </w:tcPr>
          <w:p w:rsidR="004A46CE" w:rsidRPr="00153A9C" w:rsidRDefault="004A46CE" w:rsidP="00601207">
            <w:pPr>
              <w:spacing w:before="80" w:after="80" w:line="200" w:lineRule="exact"/>
              <w:jc w:val="right"/>
              <w:rPr>
                <w:i/>
                <w:sz w:val="16"/>
                <w:szCs w:val="16"/>
                <w:lang w:val="es-CO"/>
              </w:rPr>
            </w:pPr>
            <w:r w:rsidRPr="00153A9C">
              <w:rPr>
                <w:i/>
                <w:sz w:val="16"/>
                <w:szCs w:val="16"/>
                <w:lang w:val="es-CO"/>
              </w:rPr>
              <w:t>2007</w:t>
            </w:r>
            <w:r w:rsidRPr="00601207">
              <w:rPr>
                <w:szCs w:val="16"/>
                <w:lang w:val="es-CO"/>
              </w:rPr>
              <w:t>*</w:t>
            </w:r>
          </w:p>
        </w:tc>
        <w:tc>
          <w:tcPr>
            <w:tcW w:w="1452" w:type="dxa"/>
            <w:tcBorders>
              <w:top w:val="single" w:sz="4" w:space="0" w:color="auto"/>
              <w:bottom w:val="single" w:sz="12" w:space="0" w:color="auto"/>
            </w:tcBorders>
            <w:shd w:val="clear" w:color="auto" w:fill="auto"/>
            <w:vAlign w:val="bottom"/>
          </w:tcPr>
          <w:p w:rsidR="004A46CE" w:rsidRPr="00153A9C" w:rsidRDefault="004A46CE" w:rsidP="00601207">
            <w:pPr>
              <w:spacing w:before="80" w:after="80" w:line="200" w:lineRule="exact"/>
              <w:jc w:val="right"/>
              <w:rPr>
                <w:i/>
                <w:sz w:val="16"/>
                <w:szCs w:val="16"/>
                <w:lang w:val="es-CO"/>
              </w:rPr>
            </w:pPr>
            <w:r w:rsidRPr="00153A9C">
              <w:rPr>
                <w:i/>
                <w:sz w:val="16"/>
                <w:szCs w:val="16"/>
                <w:lang w:val="es-CO"/>
              </w:rPr>
              <w:t>2008</w:t>
            </w:r>
          </w:p>
        </w:tc>
      </w:tr>
      <w:tr w:rsidR="004A46CE" w:rsidRPr="00153A9C">
        <w:tc>
          <w:tcPr>
            <w:tcW w:w="4466" w:type="dxa"/>
            <w:shd w:val="clear" w:color="auto" w:fill="auto"/>
            <w:vAlign w:val="bottom"/>
          </w:tcPr>
          <w:p w:rsidR="004A46CE" w:rsidRPr="00153A9C" w:rsidRDefault="004A46CE" w:rsidP="00601207">
            <w:pPr>
              <w:suppressAutoHyphens w:val="0"/>
              <w:spacing w:before="40" w:after="40" w:line="220" w:lineRule="exact"/>
              <w:rPr>
                <w:sz w:val="18"/>
                <w:szCs w:val="18"/>
                <w:lang w:val="es-CO"/>
              </w:rPr>
            </w:pPr>
            <w:r w:rsidRPr="00153A9C">
              <w:rPr>
                <w:sz w:val="18"/>
                <w:szCs w:val="18"/>
                <w:lang w:val="es-CO"/>
              </w:rPr>
              <w:t>Número de solicitudes de medidas de protección presentadas</w:t>
            </w:r>
          </w:p>
        </w:tc>
        <w:tc>
          <w:tcPr>
            <w:tcW w:w="1452" w:type="dxa"/>
            <w:shd w:val="clear" w:color="auto" w:fill="auto"/>
            <w:vAlign w:val="bottom"/>
          </w:tcPr>
          <w:p w:rsidR="004A46CE" w:rsidRPr="00153A9C" w:rsidRDefault="004A46CE" w:rsidP="00601207">
            <w:pPr>
              <w:suppressAutoHyphens w:val="0"/>
              <w:spacing w:before="40" w:after="40" w:line="220" w:lineRule="exact"/>
              <w:jc w:val="right"/>
              <w:rPr>
                <w:sz w:val="18"/>
                <w:szCs w:val="18"/>
                <w:lang w:val="es-CO"/>
              </w:rPr>
            </w:pPr>
            <w:r w:rsidRPr="00153A9C">
              <w:rPr>
                <w:sz w:val="18"/>
                <w:szCs w:val="18"/>
                <w:lang w:val="es-CO"/>
              </w:rPr>
              <w:t>78</w:t>
            </w:r>
          </w:p>
        </w:tc>
        <w:tc>
          <w:tcPr>
            <w:tcW w:w="1452" w:type="dxa"/>
            <w:shd w:val="clear" w:color="auto" w:fill="auto"/>
            <w:vAlign w:val="bottom"/>
          </w:tcPr>
          <w:p w:rsidR="004A46CE" w:rsidRPr="00153A9C" w:rsidRDefault="004A46CE" w:rsidP="00601207">
            <w:pPr>
              <w:suppressAutoHyphens w:val="0"/>
              <w:spacing w:before="40" w:after="40" w:line="220" w:lineRule="exact"/>
              <w:jc w:val="right"/>
              <w:rPr>
                <w:sz w:val="18"/>
                <w:szCs w:val="18"/>
                <w:lang w:val="es-CO"/>
              </w:rPr>
            </w:pPr>
            <w:r w:rsidRPr="00153A9C">
              <w:rPr>
                <w:sz w:val="18"/>
                <w:szCs w:val="18"/>
                <w:lang w:val="es-CO"/>
              </w:rPr>
              <w:t>120</w:t>
            </w:r>
          </w:p>
        </w:tc>
      </w:tr>
      <w:tr w:rsidR="004A46CE" w:rsidRPr="00153A9C">
        <w:tc>
          <w:tcPr>
            <w:tcW w:w="4466" w:type="dxa"/>
            <w:shd w:val="clear" w:color="auto" w:fill="auto"/>
            <w:vAlign w:val="bottom"/>
          </w:tcPr>
          <w:p w:rsidR="004A46CE" w:rsidRPr="00153A9C" w:rsidRDefault="004A46CE" w:rsidP="00601207">
            <w:pPr>
              <w:suppressAutoHyphens w:val="0"/>
              <w:spacing w:before="40" w:after="40" w:line="220" w:lineRule="exact"/>
              <w:rPr>
                <w:sz w:val="18"/>
                <w:szCs w:val="18"/>
                <w:lang w:val="es-CO"/>
              </w:rPr>
            </w:pPr>
            <w:r w:rsidRPr="00153A9C">
              <w:rPr>
                <w:sz w:val="18"/>
                <w:szCs w:val="18"/>
                <w:lang w:val="es-CO"/>
              </w:rPr>
              <w:t xml:space="preserve">Número de </w:t>
            </w:r>
            <w:r w:rsidR="00326362">
              <w:rPr>
                <w:sz w:val="18"/>
                <w:szCs w:val="18"/>
                <w:lang w:val="es-CO"/>
              </w:rPr>
              <w:t>medidas de protección ordenadas</w:t>
            </w:r>
          </w:p>
        </w:tc>
        <w:tc>
          <w:tcPr>
            <w:tcW w:w="1452" w:type="dxa"/>
            <w:shd w:val="clear" w:color="auto" w:fill="auto"/>
            <w:vAlign w:val="bottom"/>
          </w:tcPr>
          <w:p w:rsidR="004A46CE" w:rsidRPr="00153A9C" w:rsidRDefault="004A46CE" w:rsidP="00601207">
            <w:pPr>
              <w:suppressAutoHyphens w:val="0"/>
              <w:spacing w:before="40" w:after="40" w:line="220" w:lineRule="exact"/>
              <w:jc w:val="right"/>
              <w:rPr>
                <w:sz w:val="18"/>
                <w:szCs w:val="18"/>
                <w:lang w:val="es-CO"/>
              </w:rPr>
            </w:pPr>
            <w:r w:rsidRPr="00153A9C">
              <w:rPr>
                <w:sz w:val="18"/>
                <w:szCs w:val="18"/>
                <w:lang w:val="es-CO"/>
              </w:rPr>
              <w:t>17</w:t>
            </w:r>
          </w:p>
        </w:tc>
        <w:tc>
          <w:tcPr>
            <w:tcW w:w="1452" w:type="dxa"/>
            <w:shd w:val="clear" w:color="auto" w:fill="auto"/>
            <w:vAlign w:val="bottom"/>
          </w:tcPr>
          <w:p w:rsidR="004A46CE" w:rsidRPr="00153A9C" w:rsidRDefault="004A46CE" w:rsidP="00601207">
            <w:pPr>
              <w:suppressAutoHyphens w:val="0"/>
              <w:spacing w:before="40" w:after="40" w:line="220" w:lineRule="exact"/>
              <w:jc w:val="right"/>
              <w:rPr>
                <w:sz w:val="18"/>
                <w:szCs w:val="18"/>
                <w:lang w:val="es-CO"/>
              </w:rPr>
            </w:pPr>
            <w:r w:rsidRPr="00153A9C">
              <w:rPr>
                <w:sz w:val="18"/>
                <w:szCs w:val="18"/>
                <w:lang w:val="es-CO"/>
              </w:rPr>
              <w:t>53</w:t>
            </w:r>
          </w:p>
        </w:tc>
      </w:tr>
      <w:tr w:rsidR="004A46CE" w:rsidRPr="00153A9C">
        <w:tc>
          <w:tcPr>
            <w:tcW w:w="4466" w:type="dxa"/>
            <w:tcBorders>
              <w:bottom w:val="single" w:sz="12" w:space="0" w:color="auto"/>
            </w:tcBorders>
            <w:shd w:val="clear" w:color="auto" w:fill="auto"/>
            <w:vAlign w:val="bottom"/>
          </w:tcPr>
          <w:p w:rsidR="004A46CE" w:rsidRPr="00153A9C" w:rsidRDefault="004A46CE" w:rsidP="00601207">
            <w:pPr>
              <w:suppressAutoHyphens w:val="0"/>
              <w:spacing w:before="40" w:after="40" w:line="220" w:lineRule="exact"/>
              <w:rPr>
                <w:sz w:val="18"/>
                <w:szCs w:val="18"/>
                <w:lang w:val="es-CO"/>
              </w:rPr>
            </w:pPr>
            <w:r w:rsidRPr="00153A9C">
              <w:rPr>
                <w:sz w:val="18"/>
                <w:szCs w:val="18"/>
                <w:lang w:val="es-CO"/>
              </w:rPr>
              <w:t>Número de personas a</w:t>
            </w:r>
            <w:r w:rsidR="00326362">
              <w:rPr>
                <w:sz w:val="18"/>
                <w:szCs w:val="18"/>
                <w:lang w:val="es-CO"/>
              </w:rPr>
              <w:t>cogidas a medidas de protección</w:t>
            </w:r>
          </w:p>
        </w:tc>
        <w:tc>
          <w:tcPr>
            <w:tcW w:w="1452" w:type="dxa"/>
            <w:tcBorders>
              <w:bottom w:val="single" w:sz="12" w:space="0" w:color="auto"/>
            </w:tcBorders>
            <w:shd w:val="clear" w:color="auto" w:fill="auto"/>
            <w:vAlign w:val="bottom"/>
          </w:tcPr>
          <w:p w:rsidR="004A46CE" w:rsidRPr="00153A9C" w:rsidRDefault="004A46CE" w:rsidP="00601207">
            <w:pPr>
              <w:suppressAutoHyphens w:val="0"/>
              <w:spacing w:before="40" w:after="40" w:line="220" w:lineRule="exact"/>
              <w:jc w:val="right"/>
              <w:rPr>
                <w:sz w:val="18"/>
                <w:szCs w:val="18"/>
                <w:lang w:val="es-CO"/>
              </w:rPr>
            </w:pPr>
            <w:r w:rsidRPr="00153A9C">
              <w:rPr>
                <w:sz w:val="18"/>
                <w:szCs w:val="18"/>
                <w:lang w:val="es-CO"/>
              </w:rPr>
              <w:t>31</w:t>
            </w:r>
          </w:p>
        </w:tc>
        <w:tc>
          <w:tcPr>
            <w:tcW w:w="1452" w:type="dxa"/>
            <w:tcBorders>
              <w:bottom w:val="single" w:sz="12" w:space="0" w:color="auto"/>
            </w:tcBorders>
            <w:shd w:val="clear" w:color="auto" w:fill="auto"/>
            <w:vAlign w:val="bottom"/>
          </w:tcPr>
          <w:p w:rsidR="004A46CE" w:rsidRPr="00153A9C" w:rsidRDefault="004A46CE" w:rsidP="00601207">
            <w:pPr>
              <w:suppressAutoHyphens w:val="0"/>
              <w:spacing w:before="40" w:after="40" w:line="220" w:lineRule="exact"/>
              <w:jc w:val="right"/>
              <w:rPr>
                <w:sz w:val="18"/>
                <w:szCs w:val="18"/>
                <w:lang w:val="es-CO"/>
              </w:rPr>
            </w:pPr>
            <w:r w:rsidRPr="00153A9C">
              <w:rPr>
                <w:sz w:val="18"/>
                <w:szCs w:val="18"/>
                <w:lang w:val="es-CO"/>
              </w:rPr>
              <w:t>68</w:t>
            </w:r>
          </w:p>
        </w:tc>
      </w:tr>
    </w:tbl>
    <w:p w:rsidR="0056262D" w:rsidRDefault="0056262D" w:rsidP="001B718C">
      <w:pPr>
        <w:pStyle w:val="Heading1"/>
        <w:spacing w:before="240"/>
        <w:rPr>
          <w:lang w:val="es-CO"/>
        </w:rPr>
      </w:pPr>
    </w:p>
    <w:p w:rsidR="001B718C" w:rsidRDefault="0056262D" w:rsidP="001B718C">
      <w:pPr>
        <w:pStyle w:val="Heading1"/>
        <w:spacing w:before="240"/>
        <w:rPr>
          <w:lang w:val="es-CO"/>
        </w:rPr>
      </w:pPr>
      <w:r>
        <w:rPr>
          <w:lang w:val="es-CO"/>
        </w:rPr>
        <w:br w:type="page"/>
      </w:r>
      <w:r w:rsidR="004A46CE" w:rsidRPr="00153A9C">
        <w:rPr>
          <w:lang w:val="es-CO"/>
        </w:rPr>
        <w:t>Cuadro 4</w:t>
      </w:r>
    </w:p>
    <w:p w:rsidR="004A46CE" w:rsidRPr="001B718C" w:rsidRDefault="00636778" w:rsidP="001B718C">
      <w:pPr>
        <w:pStyle w:val="SingleTxtG"/>
        <w:jc w:val="left"/>
        <w:rPr>
          <w:b/>
          <w:lang w:val="es-CO"/>
        </w:rPr>
      </w:pPr>
      <w:r w:rsidRPr="001B718C">
        <w:rPr>
          <w:b/>
          <w:lang w:val="es-CO"/>
        </w:rPr>
        <w:t xml:space="preserve">Estadísticas </w:t>
      </w:r>
      <w:r w:rsidR="004A46CE" w:rsidRPr="001B718C">
        <w:rPr>
          <w:b/>
          <w:lang w:val="es-CO"/>
        </w:rPr>
        <w:t xml:space="preserve">de los tribunales municipales </w:t>
      </w:r>
      <w:r w:rsidRPr="001B718C">
        <w:rPr>
          <w:b/>
          <w:lang w:val="es-CO"/>
        </w:rPr>
        <w:t xml:space="preserve">sobre casos en que se ha respetado </w:t>
      </w:r>
      <w:r w:rsidR="004A46CE" w:rsidRPr="001B718C">
        <w:rPr>
          <w:b/>
          <w:lang w:val="es-CO"/>
        </w:rPr>
        <w:t xml:space="preserve">el artículo 208 del Código Penal de </w:t>
      </w:r>
      <w:smartTag w:uri="urn:schemas-microsoft-com:office:smarttags" w:element="PersonName">
        <w:smartTagPr>
          <w:attr w:name="ProductID" w:val="la Rep￺blica Srpska"/>
        </w:smartTagPr>
        <w:r w:rsidR="004A46CE" w:rsidRPr="001B718C">
          <w:rPr>
            <w:b/>
            <w:lang w:val="es-CO"/>
          </w:rPr>
          <w:t>la República Srpska</w:t>
        </w:r>
      </w:smartTag>
    </w:p>
    <w:tbl>
      <w:tblPr>
        <w:tblW w:w="7370" w:type="dxa"/>
        <w:tblInd w:w="1134" w:type="dxa"/>
        <w:tblLayout w:type="fixed"/>
        <w:tblCellMar>
          <w:left w:w="0" w:type="dxa"/>
          <w:right w:w="0" w:type="dxa"/>
        </w:tblCellMar>
        <w:tblLook w:val="01E0"/>
      </w:tblPr>
      <w:tblGrid>
        <w:gridCol w:w="1512"/>
        <w:gridCol w:w="1952"/>
        <w:gridCol w:w="1953"/>
        <w:gridCol w:w="1953"/>
      </w:tblGrid>
      <w:tr w:rsidR="004A46CE" w:rsidRPr="00153A9C">
        <w:tc>
          <w:tcPr>
            <w:tcW w:w="1512" w:type="dxa"/>
            <w:tcBorders>
              <w:top w:val="single" w:sz="4" w:space="0" w:color="auto"/>
              <w:bottom w:val="single" w:sz="12" w:space="0" w:color="auto"/>
            </w:tcBorders>
            <w:shd w:val="clear" w:color="auto" w:fill="auto"/>
            <w:vAlign w:val="bottom"/>
          </w:tcPr>
          <w:p w:rsidR="004A46CE" w:rsidRPr="00153A9C" w:rsidRDefault="004A46CE" w:rsidP="00601207">
            <w:pPr>
              <w:spacing w:before="80" w:after="80" w:line="200" w:lineRule="exact"/>
              <w:rPr>
                <w:i/>
                <w:sz w:val="16"/>
                <w:szCs w:val="16"/>
                <w:lang w:val="es-CO"/>
              </w:rPr>
            </w:pPr>
          </w:p>
        </w:tc>
        <w:tc>
          <w:tcPr>
            <w:tcW w:w="1952" w:type="dxa"/>
            <w:tcBorders>
              <w:top w:val="single" w:sz="4" w:space="0" w:color="auto"/>
              <w:bottom w:val="single" w:sz="12" w:space="0" w:color="auto"/>
            </w:tcBorders>
            <w:shd w:val="clear" w:color="auto" w:fill="auto"/>
            <w:vAlign w:val="bottom"/>
          </w:tcPr>
          <w:p w:rsidR="004A46CE" w:rsidRPr="00153A9C" w:rsidRDefault="004A46CE" w:rsidP="00601207">
            <w:pPr>
              <w:spacing w:before="80" w:after="80" w:line="200" w:lineRule="exact"/>
              <w:jc w:val="right"/>
              <w:rPr>
                <w:i/>
                <w:sz w:val="16"/>
                <w:szCs w:val="16"/>
                <w:lang w:val="es-CO"/>
              </w:rPr>
            </w:pPr>
            <w:r w:rsidRPr="00153A9C">
              <w:rPr>
                <w:i/>
                <w:sz w:val="16"/>
                <w:szCs w:val="16"/>
                <w:lang w:val="es-CO"/>
              </w:rPr>
              <w:t>2006</w:t>
            </w:r>
          </w:p>
        </w:tc>
        <w:tc>
          <w:tcPr>
            <w:tcW w:w="1953" w:type="dxa"/>
            <w:tcBorders>
              <w:top w:val="single" w:sz="4" w:space="0" w:color="auto"/>
              <w:bottom w:val="single" w:sz="12" w:space="0" w:color="auto"/>
            </w:tcBorders>
            <w:shd w:val="clear" w:color="auto" w:fill="auto"/>
            <w:vAlign w:val="bottom"/>
          </w:tcPr>
          <w:p w:rsidR="004A46CE" w:rsidRPr="00153A9C" w:rsidRDefault="004A46CE" w:rsidP="00601207">
            <w:pPr>
              <w:spacing w:before="80" w:after="80" w:line="200" w:lineRule="exact"/>
              <w:jc w:val="right"/>
              <w:rPr>
                <w:i/>
                <w:sz w:val="16"/>
                <w:szCs w:val="16"/>
                <w:lang w:val="es-CO"/>
              </w:rPr>
            </w:pPr>
            <w:r w:rsidRPr="00153A9C">
              <w:rPr>
                <w:i/>
                <w:sz w:val="16"/>
                <w:szCs w:val="16"/>
                <w:lang w:val="es-CO"/>
              </w:rPr>
              <w:t>2007</w:t>
            </w:r>
          </w:p>
        </w:tc>
        <w:tc>
          <w:tcPr>
            <w:tcW w:w="1953" w:type="dxa"/>
            <w:tcBorders>
              <w:top w:val="single" w:sz="4" w:space="0" w:color="auto"/>
              <w:bottom w:val="single" w:sz="12" w:space="0" w:color="auto"/>
            </w:tcBorders>
            <w:shd w:val="clear" w:color="auto" w:fill="auto"/>
            <w:vAlign w:val="bottom"/>
          </w:tcPr>
          <w:p w:rsidR="004A46CE" w:rsidRPr="00153A9C" w:rsidRDefault="004A46CE" w:rsidP="00601207">
            <w:pPr>
              <w:spacing w:before="80" w:after="80" w:line="200" w:lineRule="exact"/>
              <w:jc w:val="right"/>
              <w:rPr>
                <w:i/>
                <w:sz w:val="16"/>
                <w:szCs w:val="16"/>
                <w:lang w:val="es-CO"/>
              </w:rPr>
            </w:pPr>
            <w:r w:rsidRPr="00153A9C">
              <w:rPr>
                <w:i/>
                <w:sz w:val="16"/>
                <w:szCs w:val="16"/>
                <w:lang w:val="es-CO"/>
              </w:rPr>
              <w:t>2008</w:t>
            </w:r>
          </w:p>
        </w:tc>
      </w:tr>
      <w:tr w:rsidR="004A46CE" w:rsidRPr="00153A9C">
        <w:tc>
          <w:tcPr>
            <w:tcW w:w="1512" w:type="dxa"/>
            <w:tcBorders>
              <w:top w:val="single" w:sz="12" w:space="0" w:color="auto"/>
              <w:bottom w:val="single" w:sz="12" w:space="0" w:color="auto"/>
            </w:tcBorders>
            <w:shd w:val="clear" w:color="auto" w:fill="auto"/>
            <w:vAlign w:val="bottom"/>
          </w:tcPr>
          <w:p w:rsidR="004A46CE" w:rsidRPr="00153A9C" w:rsidRDefault="004A46CE" w:rsidP="00601207">
            <w:pPr>
              <w:suppressAutoHyphens w:val="0"/>
              <w:spacing w:before="40" w:after="40" w:line="220" w:lineRule="exact"/>
              <w:rPr>
                <w:sz w:val="18"/>
                <w:szCs w:val="18"/>
                <w:lang w:val="es-CO"/>
              </w:rPr>
            </w:pPr>
            <w:r w:rsidRPr="00153A9C">
              <w:rPr>
                <w:sz w:val="18"/>
                <w:szCs w:val="18"/>
                <w:lang w:val="es-CO"/>
              </w:rPr>
              <w:t>Número de casos</w:t>
            </w:r>
          </w:p>
        </w:tc>
        <w:tc>
          <w:tcPr>
            <w:tcW w:w="1952" w:type="dxa"/>
            <w:tcBorders>
              <w:top w:val="single" w:sz="12" w:space="0" w:color="auto"/>
              <w:bottom w:val="single" w:sz="12" w:space="0" w:color="auto"/>
            </w:tcBorders>
            <w:shd w:val="clear" w:color="auto" w:fill="auto"/>
            <w:vAlign w:val="bottom"/>
          </w:tcPr>
          <w:p w:rsidR="004A46CE" w:rsidRPr="00153A9C" w:rsidRDefault="004A46CE" w:rsidP="00601207">
            <w:pPr>
              <w:suppressAutoHyphens w:val="0"/>
              <w:spacing w:before="40" w:after="40" w:line="220" w:lineRule="exact"/>
              <w:jc w:val="right"/>
              <w:rPr>
                <w:sz w:val="18"/>
                <w:lang w:val="es-CO"/>
              </w:rPr>
            </w:pPr>
            <w:r w:rsidRPr="00153A9C">
              <w:rPr>
                <w:sz w:val="18"/>
                <w:lang w:val="es-CO"/>
              </w:rPr>
              <w:t xml:space="preserve">609 delitos penales </w:t>
            </w:r>
          </w:p>
        </w:tc>
        <w:tc>
          <w:tcPr>
            <w:tcW w:w="1953" w:type="dxa"/>
            <w:tcBorders>
              <w:top w:val="single" w:sz="12" w:space="0" w:color="auto"/>
              <w:bottom w:val="single" w:sz="12" w:space="0" w:color="auto"/>
            </w:tcBorders>
            <w:shd w:val="clear" w:color="auto" w:fill="auto"/>
            <w:vAlign w:val="bottom"/>
          </w:tcPr>
          <w:p w:rsidR="004A46CE" w:rsidRPr="00153A9C" w:rsidRDefault="004A46CE" w:rsidP="00601207">
            <w:pPr>
              <w:suppressAutoHyphens w:val="0"/>
              <w:spacing w:before="40" w:after="40" w:line="220" w:lineRule="exact"/>
              <w:jc w:val="right"/>
              <w:rPr>
                <w:sz w:val="18"/>
                <w:lang w:val="es-CO"/>
              </w:rPr>
            </w:pPr>
            <w:r w:rsidRPr="00153A9C">
              <w:rPr>
                <w:sz w:val="18"/>
                <w:lang w:val="es-CO"/>
              </w:rPr>
              <w:t xml:space="preserve">523 delitos penales </w:t>
            </w:r>
          </w:p>
        </w:tc>
        <w:tc>
          <w:tcPr>
            <w:tcW w:w="1953" w:type="dxa"/>
            <w:tcBorders>
              <w:top w:val="single" w:sz="12" w:space="0" w:color="auto"/>
              <w:bottom w:val="single" w:sz="12" w:space="0" w:color="auto"/>
            </w:tcBorders>
            <w:shd w:val="clear" w:color="auto" w:fill="auto"/>
            <w:vAlign w:val="bottom"/>
          </w:tcPr>
          <w:p w:rsidR="004A46CE" w:rsidRPr="00153A9C" w:rsidRDefault="004A46CE" w:rsidP="00601207">
            <w:pPr>
              <w:suppressAutoHyphens w:val="0"/>
              <w:spacing w:before="40" w:after="40" w:line="220" w:lineRule="exact"/>
              <w:jc w:val="right"/>
              <w:rPr>
                <w:sz w:val="18"/>
                <w:lang w:val="es-CO"/>
              </w:rPr>
            </w:pPr>
            <w:r w:rsidRPr="00153A9C">
              <w:rPr>
                <w:sz w:val="18"/>
                <w:lang w:val="es-CO"/>
              </w:rPr>
              <w:t xml:space="preserve">425 delitos penales </w:t>
            </w:r>
          </w:p>
        </w:tc>
      </w:tr>
    </w:tbl>
    <w:p w:rsidR="000E24E0" w:rsidRPr="00153A9C" w:rsidRDefault="000E24E0" w:rsidP="001B718C">
      <w:pPr>
        <w:pStyle w:val="SingleTxtG"/>
        <w:spacing w:before="240"/>
        <w:rPr>
          <w:lang w:val="es-CO"/>
        </w:rPr>
      </w:pPr>
      <w:r w:rsidRPr="00153A9C">
        <w:rPr>
          <w:lang w:val="es-CO"/>
        </w:rPr>
        <w:t xml:space="preserve">128. </w:t>
      </w:r>
      <w:r w:rsidRPr="00153A9C">
        <w:rPr>
          <w:lang w:val="es-CO"/>
        </w:rPr>
        <w:tab/>
        <w:t xml:space="preserve">Además de armonizar los códigos penales con la Ley sobre igualdad de género en Bosnia y Herzegovina, y habida cuenta de la complejidad del problema de la violencia doméstica, incluida la duración excesiva de los procedimientos judiciales, y la necesidad de ofrecer a las víctimas de la violencia apoyo rápido y adecuado, </w:t>
      </w:r>
      <w:r w:rsidR="004A46CE" w:rsidRPr="00153A9C">
        <w:rPr>
          <w:lang w:val="es-CO"/>
        </w:rPr>
        <w:t xml:space="preserve">las Entidades </w:t>
      </w:r>
      <w:r w:rsidRPr="00153A9C">
        <w:rPr>
          <w:lang w:val="es-CO"/>
        </w:rPr>
        <w:t>adoptaron leyes sobre la protección contra la violencia doméstica.</w:t>
      </w:r>
    </w:p>
    <w:p w:rsidR="000E24E0" w:rsidRPr="00153A9C" w:rsidRDefault="000E24E0" w:rsidP="001B718C">
      <w:pPr>
        <w:pStyle w:val="SingleTxtG"/>
        <w:rPr>
          <w:lang w:val="es-CO"/>
        </w:rPr>
      </w:pPr>
      <w:r w:rsidRPr="00153A9C">
        <w:rPr>
          <w:lang w:val="es-CO"/>
        </w:rPr>
        <w:t xml:space="preserve">129. </w:t>
      </w:r>
      <w:r w:rsidRPr="00153A9C">
        <w:rPr>
          <w:lang w:val="es-CO"/>
        </w:rPr>
        <w:tab/>
        <w:t xml:space="preserve">La Ley sobre la protección </w:t>
      </w:r>
      <w:r w:rsidR="004A46CE" w:rsidRPr="00153A9C">
        <w:rPr>
          <w:lang w:val="es-CO"/>
        </w:rPr>
        <w:t xml:space="preserve">contra </w:t>
      </w:r>
      <w:r w:rsidRPr="00153A9C">
        <w:rPr>
          <w:lang w:val="es-CO"/>
        </w:rPr>
        <w:t xml:space="preserve">la violencia doméstica de </w:t>
      </w:r>
      <w:smartTag w:uri="urn:schemas-microsoft-com:office:smarttags" w:element="PersonName">
        <w:smartTagPr>
          <w:attr w:name="ProductID" w:val="la Rep￺blica Srpska"/>
        </w:smartTagPr>
        <w:r w:rsidRPr="00153A9C">
          <w:rPr>
            <w:lang w:val="es-CO"/>
          </w:rPr>
          <w:t>la República</w:t>
        </w:r>
        <w:r w:rsidR="003B050C">
          <w:rPr>
            <w:lang w:val="es-CO"/>
          </w:rPr>
          <w:t xml:space="preserve"> </w:t>
        </w:r>
        <w:r w:rsidRPr="00153A9C">
          <w:rPr>
            <w:lang w:val="es-CO"/>
          </w:rPr>
          <w:t>Srpska</w:t>
        </w:r>
      </w:smartTag>
      <w:r w:rsidRPr="00153A9C">
        <w:rPr>
          <w:lang w:val="es-CO"/>
        </w:rPr>
        <w:t xml:space="preserve"> (</w:t>
      </w:r>
      <w:r w:rsidRPr="002458C7">
        <w:rPr>
          <w:i/>
          <w:lang w:val="es-CO"/>
        </w:rPr>
        <w:t>Boletín Oficial</w:t>
      </w:r>
      <w:r w:rsidRPr="00153A9C">
        <w:rPr>
          <w:lang w:val="es-CO"/>
        </w:rPr>
        <w:t xml:space="preserve"> de </w:t>
      </w:r>
      <w:smartTag w:uri="urn:schemas-microsoft-com:office:smarttags" w:element="PersonName">
        <w:smartTagPr>
          <w:attr w:name="ProductID" w:val="la Rep￺blica Srpska"/>
        </w:smartTagPr>
        <w:r w:rsidRPr="00153A9C">
          <w:rPr>
            <w:lang w:val="es-CO"/>
          </w:rPr>
          <w:t>la República Srpska</w:t>
        </w:r>
      </w:smartTag>
      <w:r w:rsidRPr="00153A9C">
        <w:rPr>
          <w:lang w:val="es-CO"/>
        </w:rPr>
        <w:t xml:space="preserve"> 118/05, 17/08) establece multas y medidas de protección como sanciones principales con el fin de proteger de manera eficiente a las víctimas de la violencia doméstica. Esta violencia</w:t>
      </w:r>
      <w:r w:rsidR="004A46CE" w:rsidRPr="00153A9C">
        <w:rPr>
          <w:lang w:val="es-CO"/>
        </w:rPr>
        <w:t xml:space="preserve"> está prohibida en todas sus formas y</w:t>
      </w:r>
      <w:r w:rsidRPr="00153A9C">
        <w:rPr>
          <w:lang w:val="es-CO"/>
        </w:rPr>
        <w:t xml:space="preserve"> </w:t>
      </w:r>
      <w:r w:rsidR="00A001F2" w:rsidRPr="00153A9C">
        <w:rPr>
          <w:lang w:val="es-CO"/>
        </w:rPr>
        <w:t xml:space="preserve">en ella se incluyen los </w:t>
      </w:r>
      <w:r w:rsidRPr="00153A9C">
        <w:rPr>
          <w:lang w:val="es-CO"/>
        </w:rPr>
        <w:t>acto</w:t>
      </w:r>
      <w:r w:rsidR="00A001F2" w:rsidRPr="00153A9C">
        <w:rPr>
          <w:lang w:val="es-CO"/>
        </w:rPr>
        <w:t>s</w:t>
      </w:r>
      <w:r w:rsidRPr="00153A9C">
        <w:rPr>
          <w:lang w:val="es-CO"/>
        </w:rPr>
        <w:t xml:space="preserve"> que provoque</w:t>
      </w:r>
      <w:r w:rsidR="00A001F2" w:rsidRPr="00153A9C">
        <w:rPr>
          <w:lang w:val="es-CO"/>
        </w:rPr>
        <w:t>n</w:t>
      </w:r>
      <w:r w:rsidRPr="00153A9C">
        <w:rPr>
          <w:lang w:val="es-CO"/>
        </w:rPr>
        <w:t xml:space="preserve"> daño físico, psicológico y sexual, sufrimientos o perjuicios económicos, así como </w:t>
      </w:r>
      <w:r w:rsidR="00A001F2" w:rsidRPr="00153A9C">
        <w:rPr>
          <w:lang w:val="es-CO"/>
        </w:rPr>
        <w:t xml:space="preserve">la </w:t>
      </w:r>
      <w:r w:rsidRPr="00153A9C">
        <w:rPr>
          <w:lang w:val="es-CO"/>
        </w:rPr>
        <w:t xml:space="preserve">amenaza </w:t>
      </w:r>
      <w:r w:rsidR="004A46CE" w:rsidRPr="00153A9C">
        <w:rPr>
          <w:lang w:val="es-CO"/>
        </w:rPr>
        <w:t xml:space="preserve">de </w:t>
      </w:r>
      <w:r w:rsidRPr="00153A9C">
        <w:rPr>
          <w:lang w:val="es-CO"/>
        </w:rPr>
        <w:t xml:space="preserve">cometer alguno de esos actos, y la falta de la atención y el cuidado debidos que puedan </w:t>
      </w:r>
      <w:r w:rsidR="00A001F2" w:rsidRPr="00153A9C">
        <w:rPr>
          <w:lang w:val="es-CO"/>
        </w:rPr>
        <w:t xml:space="preserve">impedir a </w:t>
      </w:r>
      <w:r w:rsidRPr="00153A9C">
        <w:rPr>
          <w:lang w:val="es-CO"/>
        </w:rPr>
        <w:t xml:space="preserve">los miembros de la familia </w:t>
      </w:r>
      <w:r w:rsidR="00A001F2" w:rsidRPr="00153A9C">
        <w:rPr>
          <w:lang w:val="es-CO"/>
        </w:rPr>
        <w:t xml:space="preserve">y a </w:t>
      </w:r>
      <w:r w:rsidRPr="00153A9C">
        <w:rPr>
          <w:lang w:val="es-CO"/>
        </w:rPr>
        <w:t xml:space="preserve">las personas con las que se mantienen estrechas relaciones sociales, independientemente de que haya o no una unión permanente entre ellas, el disfrute de sus derechos y libertades sobre la base del principio de la igualdad de género en todas las esferas de la vida pública y privada. Conviene insistir en particular, y así se determina en la </w:t>
      </w:r>
      <w:r w:rsidR="001352B1" w:rsidRPr="00153A9C">
        <w:rPr>
          <w:lang w:val="es-CO"/>
        </w:rPr>
        <w:t>ley</w:t>
      </w:r>
      <w:r w:rsidRPr="00153A9C">
        <w:rPr>
          <w:lang w:val="es-CO"/>
        </w:rPr>
        <w:t xml:space="preserve">, que la violencia doméstica, y en particular la violencia contra las mujeres y los niños dentro de la familia, representa una violación grave de </w:t>
      </w:r>
      <w:r w:rsidR="00A001F2" w:rsidRPr="00153A9C">
        <w:rPr>
          <w:lang w:val="es-CO"/>
        </w:rPr>
        <w:t xml:space="preserve">sus </w:t>
      </w:r>
      <w:r w:rsidRPr="00153A9C">
        <w:rPr>
          <w:lang w:val="es-CO"/>
        </w:rPr>
        <w:t xml:space="preserve">derechos. La </w:t>
      </w:r>
      <w:r w:rsidR="001352B1" w:rsidRPr="00153A9C">
        <w:rPr>
          <w:lang w:val="es-CO"/>
        </w:rPr>
        <w:t>ley</w:t>
      </w:r>
      <w:r w:rsidRPr="00153A9C">
        <w:rPr>
          <w:lang w:val="es-CO"/>
        </w:rPr>
        <w:t xml:space="preserve"> define los actos de violencia doméstica y las medidas de protección que un tribunal puede ordenar contra el autor de esos actos en </w:t>
      </w:r>
      <w:smartTag w:uri="urn:schemas-microsoft-com:office:smarttags" w:element="PersonName">
        <w:smartTagPr>
          <w:attr w:name="ProductID" w:val="la familia. La"/>
        </w:smartTagPr>
        <w:r w:rsidRPr="00153A9C">
          <w:rPr>
            <w:lang w:val="es-CO"/>
          </w:rPr>
          <w:t>la familia. La</w:t>
        </w:r>
      </w:smartTag>
      <w:r w:rsidRPr="00153A9C">
        <w:rPr>
          <w:lang w:val="es-CO"/>
        </w:rPr>
        <w:t xml:space="preserve"> </w:t>
      </w:r>
      <w:r w:rsidR="001352B1" w:rsidRPr="00153A9C">
        <w:rPr>
          <w:lang w:val="es-CO"/>
        </w:rPr>
        <w:t>ley</w:t>
      </w:r>
      <w:r w:rsidRPr="00153A9C">
        <w:rPr>
          <w:lang w:val="es-CO"/>
        </w:rPr>
        <w:t xml:space="preserve"> regula también el sistema de colocación de las víctimas en centros de acogida para protegerlas y garantizarles el disfrute de sus derechos e intereses. Se encargan de ello la policía y los centros de asistencia social o instituciones de bienestar social. La </w:t>
      </w:r>
      <w:r w:rsidR="001352B1" w:rsidRPr="00153A9C">
        <w:rPr>
          <w:lang w:val="es-CO"/>
        </w:rPr>
        <w:t>ley</w:t>
      </w:r>
      <w:r w:rsidRPr="00153A9C">
        <w:rPr>
          <w:lang w:val="es-CO"/>
        </w:rPr>
        <w:t xml:space="preserve"> establece también sanciones por el delito de violencia doméstica, que se imponen en los procedimientos por delitos menores. La Ley sobre la protección frente a la violencia doméstica de la Federación de Bosnia y Herzegovina (</w:t>
      </w:r>
      <w:r w:rsidRPr="002458C7">
        <w:rPr>
          <w:i/>
          <w:lang w:val="es-CO"/>
        </w:rPr>
        <w:t>Boletín Oficial</w:t>
      </w:r>
      <w:r w:rsidRPr="00153A9C">
        <w:rPr>
          <w:lang w:val="es-CO"/>
        </w:rPr>
        <w:t xml:space="preserve"> de Bosnia y Herzegovina 22/05 y 51/06) prevé multas y medidas de protección como sanciones principales con el fin de proteger de manera eficiente a las víctimas de la violencia doméstica. De acuerdo con la </w:t>
      </w:r>
      <w:r w:rsidR="001352B1" w:rsidRPr="00153A9C">
        <w:rPr>
          <w:lang w:val="es-CO"/>
        </w:rPr>
        <w:t>ley</w:t>
      </w:r>
      <w:r w:rsidRPr="00153A9C">
        <w:rPr>
          <w:lang w:val="es-CO"/>
        </w:rPr>
        <w:t>, serán responsables de la protección frente a comportamientos violentos la policía, las fiscalías, los centros de asistencia social o las instituciones de bienestar social en los procedimientos urgentes.</w:t>
      </w:r>
    </w:p>
    <w:p w:rsidR="000E24E0" w:rsidRPr="00153A9C" w:rsidRDefault="000E24E0" w:rsidP="001B718C">
      <w:pPr>
        <w:pStyle w:val="SingleTxtG"/>
        <w:rPr>
          <w:lang w:val="es-CO"/>
        </w:rPr>
      </w:pPr>
      <w:r w:rsidRPr="00153A9C">
        <w:rPr>
          <w:lang w:val="es-CO"/>
        </w:rPr>
        <w:t xml:space="preserve">130. </w:t>
      </w:r>
      <w:r w:rsidRPr="00153A9C">
        <w:rPr>
          <w:lang w:val="es-CO"/>
        </w:rPr>
        <w:tab/>
        <w:t>Con el fin de conseguir un planteamiento estratégico de esta cuestión, el 5 de marzo de 2009 el Consejo de Ministros aprobó la Estrategia de 2009-2011 para prevenir y combatir la violencia doméstica en Bosnia y Herzegovina. En la 53</w:t>
      </w:r>
      <w:r w:rsidR="005F517C">
        <w:rPr>
          <w:lang w:val="es-CO"/>
        </w:rPr>
        <w:t>ª</w:t>
      </w:r>
      <w:r w:rsidR="00A001F2" w:rsidRPr="00F63DD5">
        <w:rPr>
          <w:lang w:val="es-CO"/>
        </w:rPr>
        <w:t xml:space="preserve"> </w:t>
      </w:r>
      <w:r w:rsidRPr="00153A9C">
        <w:rPr>
          <w:lang w:val="es-CO"/>
        </w:rPr>
        <w:t xml:space="preserve">sesión, celebrada el 13 de marzo de 2009, la Cámara de Representantes de </w:t>
      </w:r>
      <w:smartTag w:uri="urn:schemas-microsoft-com:office:smarttags" w:element="PersonName">
        <w:smartTagPr>
          <w:attr w:name="ProductID" w:val="la Asamblea Parlamentaria"/>
        </w:smartTagPr>
        <w:r w:rsidRPr="00153A9C">
          <w:rPr>
            <w:lang w:val="es-CO"/>
          </w:rPr>
          <w:t>la Asamblea Parlamentaria</w:t>
        </w:r>
      </w:smartTag>
      <w:r w:rsidRPr="00153A9C">
        <w:rPr>
          <w:lang w:val="es-CO"/>
        </w:rPr>
        <w:t xml:space="preserve"> de Bosnia y Herzegovina aprobó la Estrategia de 2009-2011 para prevenir y combatir la violencia doméstica en Bosnia y Herzegovina, mientras que en la Cámara de los Pueblos de </w:t>
      </w:r>
      <w:smartTag w:uri="urn:schemas-microsoft-com:office:smarttags" w:element="PersonName">
        <w:smartTagPr>
          <w:attr w:name="ProductID" w:val="la Asamblea Parlamentaria"/>
        </w:smartTagPr>
        <w:r w:rsidRPr="00153A9C">
          <w:rPr>
            <w:lang w:val="es-CO"/>
          </w:rPr>
          <w:t>la Asamblea Parlamentaria</w:t>
        </w:r>
      </w:smartTag>
      <w:r w:rsidRPr="00153A9C">
        <w:rPr>
          <w:lang w:val="es-CO"/>
        </w:rPr>
        <w:t xml:space="preserve"> de Bosnia y Herzegovina la aprobó en la 31</w:t>
      </w:r>
      <w:r w:rsidR="005F517C">
        <w:rPr>
          <w:lang w:val="es-CO"/>
        </w:rPr>
        <w:t>ª</w:t>
      </w:r>
      <w:r w:rsidRPr="00153A9C">
        <w:rPr>
          <w:lang w:val="es-CO"/>
        </w:rPr>
        <w:t xml:space="preserve"> sesión celebrada el 22 de marzo de 2009.</w:t>
      </w:r>
      <w:r w:rsidR="00D86BFC" w:rsidRPr="00153A9C">
        <w:rPr>
          <w:lang w:val="es-CO"/>
        </w:rPr>
        <w:t xml:space="preserve"> </w:t>
      </w:r>
      <w:r w:rsidRPr="00153A9C">
        <w:rPr>
          <w:lang w:val="es-CO"/>
        </w:rPr>
        <w:t xml:space="preserve">Además de las actividades previstas en </w:t>
      </w:r>
      <w:r w:rsidR="00C167D2" w:rsidRPr="00153A9C">
        <w:rPr>
          <w:lang w:val="es-CO"/>
        </w:rPr>
        <w:t>Bosnia y Herzegovina</w:t>
      </w:r>
      <w:r w:rsidRPr="00153A9C">
        <w:rPr>
          <w:lang w:val="es-CO"/>
        </w:rPr>
        <w:t xml:space="preserve">, la Estrategia para prevenir y combatir la violencia doméstica incluye también actividades de los planes de acción y estratégicos de las Entidades. </w:t>
      </w:r>
      <w:r w:rsidR="00A001F2" w:rsidRPr="00153A9C">
        <w:rPr>
          <w:lang w:val="es-CO"/>
        </w:rPr>
        <w:t xml:space="preserve">Por otro lado, </w:t>
      </w:r>
      <w:r w:rsidRPr="00153A9C">
        <w:rPr>
          <w:lang w:val="es-CO"/>
        </w:rPr>
        <w:t>el objetivo de la Estrategia es coordina</w:t>
      </w:r>
      <w:r w:rsidR="00A001F2" w:rsidRPr="00153A9C">
        <w:rPr>
          <w:lang w:val="es-CO"/>
        </w:rPr>
        <w:t xml:space="preserve">r a </w:t>
      </w:r>
      <w:r w:rsidRPr="00153A9C">
        <w:rPr>
          <w:lang w:val="es-CO"/>
        </w:rPr>
        <w:t xml:space="preserve">las Entidades </w:t>
      </w:r>
      <w:r w:rsidR="006C6781" w:rsidRPr="00153A9C">
        <w:rPr>
          <w:lang w:val="es-CO"/>
        </w:rPr>
        <w:t xml:space="preserve">en </w:t>
      </w:r>
      <w:r w:rsidRPr="00153A9C">
        <w:rPr>
          <w:lang w:val="es-CO"/>
        </w:rPr>
        <w:t xml:space="preserve">la aplicación de los planes de acción y estratégicos para combatir la violencia doméstica a fin de ponerlos en práctica de manera más eficiente, sobre todo si se tiene en cuenta la fragmentación e incoherencia de la legislación en </w:t>
      </w:r>
      <w:r w:rsidR="00C167D2" w:rsidRPr="00153A9C">
        <w:rPr>
          <w:lang w:val="es-CO"/>
        </w:rPr>
        <w:t>Bosnia y Herzegovina</w:t>
      </w:r>
      <w:r w:rsidRPr="00153A9C">
        <w:rPr>
          <w:lang w:val="es-CO"/>
        </w:rPr>
        <w:t>, y la falta de desglose en las estadísticas relacionadas con la violencia doméstica.</w:t>
      </w:r>
    </w:p>
    <w:p w:rsidR="000E24E0" w:rsidRPr="00153A9C" w:rsidRDefault="00E738E3" w:rsidP="00E738E3">
      <w:pPr>
        <w:pStyle w:val="SingleTxtG"/>
        <w:rPr>
          <w:lang w:val="es-CO"/>
        </w:rPr>
      </w:pPr>
      <w:r>
        <w:rPr>
          <w:lang w:val="es-CO"/>
        </w:rPr>
        <w:t>131.</w:t>
      </w:r>
      <w:r>
        <w:rPr>
          <w:lang w:val="es-CO"/>
        </w:rPr>
        <w:tab/>
      </w:r>
      <w:r w:rsidR="000E24E0" w:rsidRPr="00153A9C">
        <w:rPr>
          <w:lang w:val="es-CO"/>
        </w:rPr>
        <w:t>Los centros de capacitación de jueces y fiscales de las Entidades realizan actividades de capacitación para los asociados y asesores judiciales con el fin de conseguir personal de alta calidad para la selección de futuros jueces y fiscales. Desde 2009 se ha utilizado un módu</w:t>
      </w:r>
      <w:r w:rsidR="00A001F2" w:rsidRPr="00153A9C">
        <w:rPr>
          <w:lang w:val="es-CO"/>
        </w:rPr>
        <w:t>lo elaborado para incluir un sub</w:t>
      </w:r>
      <w:r w:rsidR="000E24E0" w:rsidRPr="00153A9C">
        <w:rPr>
          <w:lang w:val="es-CO"/>
        </w:rPr>
        <w:t xml:space="preserve">módulo relacionado con la protección contra la violencia doméstica. Los jueces y fiscales reciben capacitación adicional acerca de la Convención sobre la eliminación de todas las formas de discriminación contra la mujer y las recomendaciones finales para </w:t>
      </w:r>
      <w:r w:rsidR="00C167D2" w:rsidRPr="00153A9C">
        <w:rPr>
          <w:lang w:val="es-CO"/>
        </w:rPr>
        <w:t>Bosnia y Herzegovina</w:t>
      </w:r>
      <w:r w:rsidR="000E24E0" w:rsidRPr="00153A9C">
        <w:rPr>
          <w:lang w:val="es-CO"/>
        </w:rPr>
        <w:t>, incluida la parte que hace referenc</w:t>
      </w:r>
      <w:r w:rsidR="002458C7">
        <w:rPr>
          <w:lang w:val="es-CO"/>
        </w:rPr>
        <w:t>ia a la Recomendación general Nº</w:t>
      </w:r>
      <w:r w:rsidR="000E24E0" w:rsidRPr="00153A9C">
        <w:rPr>
          <w:lang w:val="es-CO"/>
        </w:rPr>
        <w:t xml:space="preserve"> 19, que incluye la capacitación en el manejo de los casos de violencia contra la mujer.</w:t>
      </w:r>
    </w:p>
    <w:p w:rsidR="000E24E0" w:rsidRPr="00153A9C" w:rsidRDefault="00E738E3" w:rsidP="00E738E3">
      <w:pPr>
        <w:pStyle w:val="SingleTxtG"/>
        <w:rPr>
          <w:lang w:val="es-CO"/>
        </w:rPr>
      </w:pPr>
      <w:r>
        <w:rPr>
          <w:lang w:val="es-CO"/>
        </w:rPr>
        <w:t>132.</w:t>
      </w:r>
      <w:r w:rsidR="000E24E0" w:rsidRPr="00153A9C">
        <w:rPr>
          <w:lang w:val="es-CO"/>
        </w:rPr>
        <w:tab/>
        <w:t xml:space="preserve">En los últimos años, el número de incidentes y denuncias de todo tipo de abusos de niños ha aumentado. Al mismo tiempo, se ha logrado una mayor conciencia en todos los segmentos de la sociedad y las instituciones del sistema y se ha reconocido cada vez más la necesidad social de proteger a los niños contra los abusos. El principal obstáculo para una protección eficaz de los niños es, entre otras cosas, la falta de </w:t>
      </w:r>
      <w:r w:rsidR="006C6781" w:rsidRPr="00153A9C">
        <w:rPr>
          <w:lang w:val="es-CO"/>
        </w:rPr>
        <w:t xml:space="preserve">indicaciones precisas sobre </w:t>
      </w:r>
      <w:r w:rsidR="000E24E0" w:rsidRPr="00153A9C">
        <w:rPr>
          <w:lang w:val="es-CO"/>
        </w:rPr>
        <w:t xml:space="preserve">el proceso de protección de los niños, y la falta de claridad en las funciones correspondientes a los distintos participantes en el proceso. En mayo de 2008 la complejidad de este fenómeno, el gran número de instituciones participantes, las deficiencias detectadas en el sistema de atención y la experiencia anterior dieron lugar a la aprobación del Protocolo Marco para la actuación en los casos de maltrato de niños. </w:t>
      </w:r>
      <w:r w:rsidR="00A001F2" w:rsidRPr="00153A9C">
        <w:rPr>
          <w:lang w:val="es-CO"/>
        </w:rPr>
        <w:t>(</w:t>
      </w:r>
      <w:r w:rsidR="000E24E0" w:rsidRPr="00153A9C">
        <w:rPr>
          <w:lang w:val="es-CO"/>
        </w:rPr>
        <w:t xml:space="preserve">Participaron en la preparación las siguientes instituciones: Ministerio de Derechos Humanos y Refugiados, </w:t>
      </w:r>
      <w:r w:rsidR="00A001F2" w:rsidRPr="00153A9C">
        <w:rPr>
          <w:lang w:val="es-CO"/>
        </w:rPr>
        <w:t xml:space="preserve">Ministerio de Trabajo y Política Social </w:t>
      </w:r>
      <w:r w:rsidR="000E24E0" w:rsidRPr="00153A9C">
        <w:rPr>
          <w:lang w:val="es-CO"/>
        </w:rPr>
        <w:t xml:space="preserve">de la Federación de </w:t>
      </w:r>
      <w:r w:rsidR="00C167D2" w:rsidRPr="00153A9C">
        <w:rPr>
          <w:lang w:val="es-CO"/>
        </w:rPr>
        <w:t>Bosnia y Herzegovina</w:t>
      </w:r>
      <w:r w:rsidR="000E24E0" w:rsidRPr="00153A9C">
        <w:rPr>
          <w:lang w:val="es-CO"/>
        </w:rPr>
        <w:t xml:space="preserve">, Ministerio de Salud de la Federación de </w:t>
      </w:r>
      <w:r w:rsidR="00C167D2" w:rsidRPr="00153A9C">
        <w:rPr>
          <w:lang w:val="es-CO"/>
        </w:rPr>
        <w:t xml:space="preserve">Bosnia y </w:t>
      </w:r>
      <w:r w:rsidR="009D1419" w:rsidRPr="00153A9C">
        <w:rPr>
          <w:lang w:val="es-CO"/>
        </w:rPr>
        <w:t>Herzegovina,</w:t>
      </w:r>
      <w:r w:rsidR="000E24E0" w:rsidRPr="00153A9C">
        <w:rPr>
          <w:lang w:val="es-CO"/>
        </w:rPr>
        <w:t xml:space="preserve"> Ministerio de Salud y Bienestar Social de </w:t>
      </w:r>
      <w:smartTag w:uri="urn:schemas-microsoft-com:office:smarttags" w:element="PersonName">
        <w:smartTagPr>
          <w:attr w:name="ProductID" w:val="la Rep￺blica Srpska"/>
        </w:smartTagPr>
        <w:r w:rsidR="000E24E0" w:rsidRPr="00153A9C">
          <w:rPr>
            <w:lang w:val="es-CO"/>
          </w:rPr>
          <w:t>la República Srpska</w:t>
        </w:r>
      </w:smartTag>
      <w:r w:rsidR="000E24E0" w:rsidRPr="00153A9C">
        <w:rPr>
          <w:lang w:val="es-CO"/>
        </w:rPr>
        <w:t xml:space="preserve">, Ministerio del Interior de la Federación de </w:t>
      </w:r>
      <w:r w:rsidR="00C167D2" w:rsidRPr="00153A9C">
        <w:rPr>
          <w:lang w:val="es-CO"/>
        </w:rPr>
        <w:t xml:space="preserve">Bosnia y </w:t>
      </w:r>
      <w:r w:rsidR="009D1419" w:rsidRPr="00153A9C">
        <w:rPr>
          <w:lang w:val="es-CO"/>
        </w:rPr>
        <w:t>Herzegovina,</w:t>
      </w:r>
      <w:r w:rsidR="000E24E0" w:rsidRPr="00153A9C">
        <w:rPr>
          <w:lang w:val="es-CO"/>
        </w:rPr>
        <w:t xml:space="preserve"> Ministerio del Interior de </w:t>
      </w:r>
      <w:smartTag w:uri="urn:schemas-microsoft-com:office:smarttags" w:element="PersonName">
        <w:smartTagPr>
          <w:attr w:name="ProductID" w:val="la Rep￺blica Srpska"/>
        </w:smartTagPr>
        <w:r w:rsidR="000E24E0" w:rsidRPr="00153A9C">
          <w:rPr>
            <w:lang w:val="es-CO"/>
          </w:rPr>
          <w:t>la República Srpska</w:t>
        </w:r>
      </w:smartTag>
      <w:r w:rsidR="000E24E0" w:rsidRPr="00153A9C">
        <w:rPr>
          <w:lang w:val="es-CO"/>
        </w:rPr>
        <w:t xml:space="preserve">, </w:t>
      </w:r>
      <w:r w:rsidR="00A001F2" w:rsidRPr="00153A9C">
        <w:rPr>
          <w:lang w:val="es-CO"/>
        </w:rPr>
        <w:t>Ministerio de Justicia</w:t>
      </w:r>
      <w:r w:rsidR="000E24E0" w:rsidRPr="00153A9C">
        <w:rPr>
          <w:lang w:val="es-CO"/>
        </w:rPr>
        <w:t xml:space="preserve"> de la Federación de Bosnia y Herzegovina, </w:t>
      </w:r>
      <w:r w:rsidR="00A001F2" w:rsidRPr="00153A9C">
        <w:rPr>
          <w:lang w:val="es-CO"/>
        </w:rPr>
        <w:t>Ministerio de Justicia</w:t>
      </w:r>
      <w:r w:rsidR="000E24E0" w:rsidRPr="00153A9C">
        <w:rPr>
          <w:lang w:val="es-CO"/>
        </w:rPr>
        <w:t xml:space="preserve"> de </w:t>
      </w:r>
      <w:smartTag w:uri="urn:schemas-microsoft-com:office:smarttags" w:element="PersonName">
        <w:smartTagPr>
          <w:attr w:name="ProductID" w:val="la Rep￺blica Srpska"/>
        </w:smartTagPr>
        <w:r w:rsidR="000E24E0" w:rsidRPr="00153A9C">
          <w:rPr>
            <w:lang w:val="es-CO"/>
          </w:rPr>
          <w:t>la República Srpska</w:t>
        </w:r>
      </w:smartTag>
      <w:r w:rsidR="000E24E0" w:rsidRPr="00153A9C">
        <w:rPr>
          <w:lang w:val="es-CO"/>
        </w:rPr>
        <w:t xml:space="preserve">, </w:t>
      </w:r>
      <w:r w:rsidR="00A001F2" w:rsidRPr="00153A9C">
        <w:rPr>
          <w:lang w:val="es-CO"/>
        </w:rPr>
        <w:t>Ministerio de Educación y Ciencia</w:t>
      </w:r>
      <w:r w:rsidR="000E24E0" w:rsidRPr="00153A9C">
        <w:rPr>
          <w:lang w:val="es-CO"/>
        </w:rPr>
        <w:t xml:space="preserve"> de la Federación de </w:t>
      </w:r>
      <w:r w:rsidR="00C167D2" w:rsidRPr="00153A9C">
        <w:rPr>
          <w:lang w:val="es-CO"/>
        </w:rPr>
        <w:t xml:space="preserve">Bosnia y </w:t>
      </w:r>
      <w:r w:rsidR="009D1419" w:rsidRPr="00153A9C">
        <w:rPr>
          <w:lang w:val="es-CO"/>
        </w:rPr>
        <w:t>Herzegovina,</w:t>
      </w:r>
      <w:r w:rsidR="000E24E0" w:rsidRPr="00153A9C">
        <w:rPr>
          <w:lang w:val="es-CO"/>
        </w:rPr>
        <w:t xml:space="preserve"> </w:t>
      </w:r>
      <w:r w:rsidR="00A001F2" w:rsidRPr="00153A9C">
        <w:rPr>
          <w:lang w:val="es-CO"/>
        </w:rPr>
        <w:t xml:space="preserve">Ministerio de Educación y Cultura </w:t>
      </w:r>
      <w:r w:rsidR="000E24E0" w:rsidRPr="00153A9C">
        <w:rPr>
          <w:lang w:val="es-CO"/>
        </w:rPr>
        <w:t xml:space="preserve">de </w:t>
      </w:r>
      <w:smartTag w:uri="urn:schemas-microsoft-com:office:smarttags" w:element="PersonName">
        <w:smartTagPr>
          <w:attr w:name="ProductID" w:val="la Rep￺blica Srpska"/>
        </w:smartTagPr>
        <w:r w:rsidR="000E24E0" w:rsidRPr="00153A9C">
          <w:rPr>
            <w:lang w:val="es-CO"/>
          </w:rPr>
          <w:t>la República Srpska</w:t>
        </w:r>
      </w:smartTag>
      <w:r w:rsidR="000E24E0" w:rsidRPr="00153A9C">
        <w:rPr>
          <w:lang w:val="es-CO"/>
        </w:rPr>
        <w:t xml:space="preserve">, Asociación de Expertos Judiciales de la Federación de </w:t>
      </w:r>
      <w:r w:rsidR="00C167D2" w:rsidRPr="00153A9C">
        <w:rPr>
          <w:lang w:val="es-CO"/>
        </w:rPr>
        <w:t xml:space="preserve">Bosnia y </w:t>
      </w:r>
      <w:r w:rsidR="009D1419" w:rsidRPr="00153A9C">
        <w:rPr>
          <w:lang w:val="es-CO"/>
        </w:rPr>
        <w:t>Herzegovina,</w:t>
      </w:r>
      <w:r w:rsidR="000E24E0" w:rsidRPr="00153A9C">
        <w:rPr>
          <w:lang w:val="es-CO"/>
        </w:rPr>
        <w:t xml:space="preserve"> Asociación de </w:t>
      </w:r>
      <w:r w:rsidR="00A001F2" w:rsidRPr="00153A9C">
        <w:rPr>
          <w:lang w:val="es-CO"/>
        </w:rPr>
        <w:t>E</w:t>
      </w:r>
      <w:r w:rsidR="000E24E0" w:rsidRPr="00153A9C">
        <w:rPr>
          <w:lang w:val="es-CO"/>
        </w:rPr>
        <w:t xml:space="preserve">xpertos </w:t>
      </w:r>
      <w:r w:rsidR="00A001F2" w:rsidRPr="00153A9C">
        <w:rPr>
          <w:lang w:val="es-CO"/>
        </w:rPr>
        <w:t>J</w:t>
      </w:r>
      <w:r w:rsidR="000E24E0" w:rsidRPr="00153A9C">
        <w:rPr>
          <w:lang w:val="es-CO"/>
        </w:rPr>
        <w:t xml:space="preserve">udiciales de </w:t>
      </w:r>
      <w:smartTag w:uri="urn:schemas-microsoft-com:office:smarttags" w:element="PersonName">
        <w:smartTagPr>
          <w:attr w:name="ProductID" w:val="la Rep￺blica Srpska"/>
        </w:smartTagPr>
        <w:r w:rsidR="000E24E0" w:rsidRPr="00153A9C">
          <w:rPr>
            <w:lang w:val="es-CO"/>
          </w:rPr>
          <w:t>la República Srpska</w:t>
        </w:r>
      </w:smartTag>
      <w:r w:rsidR="000E24E0" w:rsidRPr="00153A9C">
        <w:rPr>
          <w:lang w:val="es-CO"/>
        </w:rPr>
        <w:t xml:space="preserve">, </w:t>
      </w:r>
      <w:r w:rsidR="00962FE1" w:rsidRPr="00153A9C">
        <w:rPr>
          <w:lang w:val="es-CO"/>
        </w:rPr>
        <w:t>Consejo Superior de Jueces y Fiscales</w:t>
      </w:r>
      <w:r w:rsidR="000E24E0" w:rsidRPr="00153A9C">
        <w:rPr>
          <w:lang w:val="es-CO"/>
        </w:rPr>
        <w:t xml:space="preserve"> de </w:t>
      </w:r>
      <w:r w:rsidR="00C167D2" w:rsidRPr="00153A9C">
        <w:rPr>
          <w:lang w:val="es-CO"/>
        </w:rPr>
        <w:t>Bosnia y Herzegovina</w:t>
      </w:r>
      <w:r w:rsidR="000E24E0" w:rsidRPr="00153A9C">
        <w:rPr>
          <w:lang w:val="es-CO"/>
        </w:rPr>
        <w:t xml:space="preserve">, Ombudsman de la Federación de </w:t>
      </w:r>
      <w:r w:rsidR="00C167D2" w:rsidRPr="00153A9C">
        <w:rPr>
          <w:lang w:val="es-CO"/>
        </w:rPr>
        <w:t>Bosnia y Herzegovina</w:t>
      </w:r>
      <w:r w:rsidR="003B050C">
        <w:rPr>
          <w:lang w:val="es-CO"/>
        </w:rPr>
        <w:t xml:space="preserve"> </w:t>
      </w:r>
      <w:r w:rsidR="000E24E0" w:rsidRPr="00153A9C">
        <w:rPr>
          <w:lang w:val="es-CO"/>
        </w:rPr>
        <w:t xml:space="preserve">y Ombudsman de </w:t>
      </w:r>
      <w:smartTag w:uri="urn:schemas-microsoft-com:office:smarttags" w:element="PersonName">
        <w:smartTagPr>
          <w:attr w:name="ProductID" w:val="la Rep￺blica Srpska."/>
        </w:smartTagPr>
        <w:r w:rsidR="000E24E0" w:rsidRPr="00153A9C">
          <w:rPr>
            <w:lang w:val="es-CO"/>
          </w:rPr>
          <w:t>la República Srpska.</w:t>
        </w:r>
      </w:smartTag>
      <w:r w:rsidR="000E24E0" w:rsidRPr="00153A9C">
        <w:rPr>
          <w:lang w:val="es-CO"/>
        </w:rPr>
        <w:t xml:space="preserve">) En el Protocolo Marco se incluyen principios básicos y orientaciones que deben cumplir todas las instituciones de </w:t>
      </w:r>
      <w:r w:rsidR="00C167D2" w:rsidRPr="00153A9C">
        <w:rPr>
          <w:lang w:val="es-CO"/>
        </w:rPr>
        <w:t>Bosnia y Herzegovina</w:t>
      </w:r>
      <w:r w:rsidR="003B050C">
        <w:rPr>
          <w:lang w:val="es-CO"/>
        </w:rPr>
        <w:t xml:space="preserve"> </w:t>
      </w:r>
      <w:r w:rsidR="000E24E0" w:rsidRPr="00153A9C">
        <w:rPr>
          <w:lang w:val="es-CO"/>
        </w:rPr>
        <w:t>implicadas en tales casos.</w:t>
      </w:r>
    </w:p>
    <w:p w:rsidR="000E24E0" w:rsidRPr="00153A9C" w:rsidRDefault="000E24E0" w:rsidP="00E738E3">
      <w:pPr>
        <w:pStyle w:val="SingleTxtG"/>
        <w:rPr>
          <w:lang w:val="es-CO"/>
        </w:rPr>
      </w:pPr>
      <w:r w:rsidRPr="00153A9C">
        <w:rPr>
          <w:lang w:val="es-CO"/>
        </w:rPr>
        <w:t xml:space="preserve">133. </w:t>
      </w:r>
      <w:r w:rsidR="009D1419" w:rsidRPr="00153A9C">
        <w:rPr>
          <w:lang w:val="es-CO"/>
        </w:rPr>
        <w:tab/>
      </w:r>
      <w:r w:rsidRPr="00153A9C">
        <w:rPr>
          <w:lang w:val="es-CO"/>
        </w:rPr>
        <w:t xml:space="preserve">Posteriormente, en noviembre de 2008, </w:t>
      </w:r>
      <w:smartTag w:uri="urn:schemas-microsoft-com:office:smarttags" w:element="PersonName">
        <w:smartTagPr>
          <w:attr w:name="ProductID" w:val="la Rep￺blica Srpska"/>
        </w:smartTagPr>
        <w:r w:rsidRPr="00153A9C">
          <w:rPr>
            <w:lang w:val="es-CO"/>
          </w:rPr>
          <w:t>la República Srpska</w:t>
        </w:r>
      </w:smartTag>
      <w:r w:rsidRPr="00153A9C">
        <w:rPr>
          <w:lang w:val="es-CO"/>
        </w:rPr>
        <w:t xml:space="preserve"> aprobó el Protocolo sobre el Procedimiento en el caso de la violencia entre los propios niños y jóvenes en el sistema educativo, que fue firmado por los ministros de educación y cultura, salud y bienestar social e interior. En ese Protocolo se establecen los procedimientos para que los participantes respondan ante esas situaciones </w:t>
      </w:r>
      <w:r w:rsidR="002074FB" w:rsidRPr="00153A9C">
        <w:rPr>
          <w:lang w:val="es-CO"/>
        </w:rPr>
        <w:t>y adopten medidas de prevención, localización, registro, investigación, tratamiento médico,</w:t>
      </w:r>
      <w:r w:rsidRPr="00153A9C">
        <w:rPr>
          <w:lang w:val="es-CO"/>
        </w:rPr>
        <w:t xml:space="preserve"> etc. en todos los casos de violencia entre compañeros en el sistema educativo, siempre con el objetivo de prestar todo el apoyo necesario, en primer lugar, a los niños, y </w:t>
      </w:r>
      <w:r w:rsidR="002074FB" w:rsidRPr="00153A9C">
        <w:rPr>
          <w:lang w:val="es-CO"/>
        </w:rPr>
        <w:t xml:space="preserve">también </w:t>
      </w:r>
      <w:r w:rsidRPr="00153A9C">
        <w:rPr>
          <w:lang w:val="es-CO"/>
        </w:rPr>
        <w:t>a quienes se ocupan de ellos.</w:t>
      </w:r>
    </w:p>
    <w:p w:rsidR="00E275B9" w:rsidRPr="00153A9C" w:rsidRDefault="00E275B9" w:rsidP="00E738E3">
      <w:pPr>
        <w:pStyle w:val="SingleTxtG"/>
        <w:rPr>
          <w:lang w:val="es-CO"/>
        </w:rPr>
      </w:pPr>
      <w:r w:rsidRPr="00153A9C">
        <w:rPr>
          <w:lang w:val="es-CO"/>
        </w:rPr>
        <w:t>134.</w:t>
      </w:r>
      <w:r w:rsidRPr="00153A9C">
        <w:rPr>
          <w:lang w:val="es-CO"/>
        </w:rPr>
        <w:tab/>
        <w:t xml:space="preserve">El Gobierno de </w:t>
      </w:r>
      <w:smartTag w:uri="urn:schemas-microsoft-com:office:smarttags" w:element="PersonName">
        <w:smartTagPr>
          <w:attr w:name="ProductID" w:val="la Rep￺blica Srpska"/>
        </w:smartTagPr>
        <w:r w:rsidRPr="00153A9C">
          <w:rPr>
            <w:lang w:val="es-CO"/>
          </w:rPr>
          <w:t>la República Srpska</w:t>
        </w:r>
      </w:smartTag>
      <w:r w:rsidRPr="00153A9C">
        <w:rPr>
          <w:lang w:val="es-CO"/>
        </w:rPr>
        <w:t xml:space="preserve"> aprobó el Plan de acción de 2007-2008 para combatir la violencia doméstica en </w:t>
      </w:r>
      <w:smartTag w:uri="urn:schemas-microsoft-com:office:smarttags" w:element="PersonName">
        <w:smartTagPr>
          <w:attr w:name="ProductID" w:val="la Rep￺blica Srpska"/>
        </w:smartTagPr>
        <w:r w:rsidRPr="00153A9C">
          <w:rPr>
            <w:lang w:val="es-CO"/>
          </w:rPr>
          <w:t>la República Srpska</w:t>
        </w:r>
      </w:smartTag>
      <w:r w:rsidRPr="00153A9C">
        <w:rPr>
          <w:lang w:val="es-CO"/>
        </w:rPr>
        <w:t xml:space="preserve"> (Decisión del Gob</w:t>
      </w:r>
      <w:r w:rsidR="002458C7">
        <w:rPr>
          <w:lang w:val="es-CO"/>
        </w:rPr>
        <w:t xml:space="preserve">ierno de </w:t>
      </w:r>
      <w:smartTag w:uri="urn:schemas-microsoft-com:office:smarttags" w:element="PersonName">
        <w:smartTagPr>
          <w:attr w:name="ProductID" w:val="la Rep￺blica Srpska N"/>
        </w:smartTagPr>
        <w:r w:rsidR="002458C7">
          <w:rPr>
            <w:lang w:val="es-CO"/>
          </w:rPr>
          <w:t>la República Srpska N</w:t>
        </w:r>
      </w:smartTag>
      <w:r w:rsidR="002458C7">
        <w:rPr>
          <w:lang w:val="es-CO"/>
        </w:rPr>
        <w:t>º</w:t>
      </w:r>
      <w:r w:rsidRPr="00153A9C">
        <w:rPr>
          <w:lang w:val="es-CO"/>
        </w:rPr>
        <w:t xml:space="preserve"> 04/1-012-948/07 de 7 de junio de 2007), cuya ejecución comenzó en 2008. Las actividades previstas en este Plan están en conformidad con las que emprendió el Consejo de Europa para combatir la violencia contra la mujer, incluida la violencia doméstica. El Plan de acción se proponía identificar los obstáculos básicos para la aplicación de las leyes y reglamentos y para introducir mejoras en el marco jurídico, la recopilación de datos, el fortalecimiento de la capacidad de las instituciones para ocuparse de los casos de violencia doméstica en cooperación con la sociedad civil, y la concienciación del público acerca de la violencia doméstica como problema social.</w:t>
      </w:r>
    </w:p>
    <w:p w:rsidR="00E275B9" w:rsidRPr="00153A9C" w:rsidRDefault="00E275B9" w:rsidP="00E738E3">
      <w:pPr>
        <w:pStyle w:val="SingleTxtG"/>
        <w:rPr>
          <w:lang w:val="es-CO"/>
        </w:rPr>
      </w:pPr>
      <w:r w:rsidRPr="00153A9C">
        <w:rPr>
          <w:lang w:val="es-CO"/>
        </w:rPr>
        <w:t xml:space="preserve">135. </w:t>
      </w:r>
      <w:r w:rsidRPr="00153A9C">
        <w:rPr>
          <w:lang w:val="es-CO"/>
        </w:rPr>
        <w:tab/>
        <w:t xml:space="preserve">Se redactó el manual </w:t>
      </w:r>
      <w:r w:rsidR="00E738E3">
        <w:rPr>
          <w:lang w:val="es-CO"/>
        </w:rPr>
        <w:t>"</w:t>
      </w:r>
      <w:r w:rsidRPr="00153A9C">
        <w:rPr>
          <w:lang w:val="es-CO"/>
        </w:rPr>
        <w:t xml:space="preserve">Cómo prevenir y combatir la violencia doméstica en </w:t>
      </w:r>
      <w:smartTag w:uri="urn:schemas-microsoft-com:office:smarttags" w:element="PersonName">
        <w:smartTagPr>
          <w:attr w:name="ProductID" w:val="la Rep￺blica Srpska"/>
        </w:smartTagPr>
        <w:r w:rsidRPr="00153A9C">
          <w:rPr>
            <w:lang w:val="es-CO"/>
          </w:rPr>
          <w:t>la República Srpska</w:t>
        </w:r>
      </w:smartTag>
      <w:r w:rsidR="00E738E3">
        <w:rPr>
          <w:lang w:val="es-CO"/>
        </w:rPr>
        <w:t>"</w:t>
      </w:r>
      <w:r w:rsidRPr="00153A9C">
        <w:rPr>
          <w:lang w:val="es-CO"/>
        </w:rPr>
        <w:t xml:space="preserve">, primera guía unificada que promueve la colaboración multisectorial de todas las partes interesadas que se ocupan de los casos de violencia doméstica en </w:t>
      </w:r>
      <w:smartTag w:uri="urn:schemas-microsoft-com:office:smarttags" w:element="PersonName">
        <w:smartTagPr>
          <w:attr w:name="ProductID" w:val="la Rep￺blica Srpska. El"/>
        </w:smartTagPr>
        <w:r w:rsidRPr="00153A9C">
          <w:rPr>
            <w:lang w:val="es-CO"/>
          </w:rPr>
          <w:t>la República Srpska. El</w:t>
        </w:r>
      </w:smartTag>
      <w:r w:rsidRPr="00153A9C">
        <w:rPr>
          <w:lang w:val="es-CO"/>
        </w:rPr>
        <w:t xml:space="preserve"> manual se preparó durante la aplicación del Plan de acción para combatir la violencia doméstica, en colaboración con el Centro de </w:t>
      </w:r>
      <w:r w:rsidR="002074FB" w:rsidRPr="00153A9C">
        <w:rPr>
          <w:lang w:val="es-CO"/>
        </w:rPr>
        <w:t>G</w:t>
      </w:r>
      <w:r w:rsidRPr="00153A9C">
        <w:rPr>
          <w:lang w:val="es-CO"/>
        </w:rPr>
        <w:t xml:space="preserve">énero de </w:t>
      </w:r>
      <w:smartTag w:uri="urn:schemas-microsoft-com:office:smarttags" w:element="PersonName">
        <w:smartTagPr>
          <w:attr w:name="ProductID" w:val="la Rep￺blica Srpska"/>
        </w:smartTagPr>
        <w:r w:rsidRPr="00153A9C">
          <w:rPr>
            <w:lang w:val="es-CO"/>
          </w:rPr>
          <w:t>la República Srpska</w:t>
        </w:r>
      </w:smartTag>
      <w:r w:rsidRPr="00153A9C">
        <w:rPr>
          <w:lang w:val="es-CO"/>
        </w:rPr>
        <w:t xml:space="preserve">, el Ministerio de Justicia, el Ministerio de Salud y Bienestar Social, el Ministerio del Interior, el Ministerio de la Familia, la Juventud y los Deportes y el Ministerio de Educación y Cultura de </w:t>
      </w:r>
      <w:smartTag w:uri="urn:schemas-microsoft-com:office:smarttags" w:element="PersonName">
        <w:smartTagPr>
          <w:attr w:name="ProductID" w:val="la Rep￺blica Srpska."/>
        </w:smartTagPr>
        <w:r w:rsidRPr="00153A9C">
          <w:rPr>
            <w:lang w:val="es-CO"/>
          </w:rPr>
          <w:t>la República Srpska.</w:t>
        </w:r>
      </w:smartTag>
    </w:p>
    <w:p w:rsidR="00E275B9" w:rsidRPr="00153A9C" w:rsidRDefault="00E275B9" w:rsidP="00E738E3">
      <w:pPr>
        <w:pStyle w:val="SingleTxtG"/>
        <w:rPr>
          <w:lang w:val="es-CO"/>
        </w:rPr>
      </w:pPr>
      <w:r w:rsidRPr="00153A9C">
        <w:rPr>
          <w:lang w:val="es-CO"/>
        </w:rPr>
        <w:t xml:space="preserve">136. </w:t>
      </w:r>
      <w:r w:rsidRPr="00153A9C">
        <w:rPr>
          <w:lang w:val="es-CO"/>
        </w:rPr>
        <w:tab/>
        <w:t xml:space="preserve">Entre las </w:t>
      </w:r>
      <w:r w:rsidR="002074FB" w:rsidRPr="00153A9C">
        <w:rPr>
          <w:lang w:val="es-CO"/>
        </w:rPr>
        <w:t xml:space="preserve">campañas </w:t>
      </w:r>
      <w:r w:rsidRPr="00153A9C">
        <w:rPr>
          <w:lang w:val="es-CO"/>
        </w:rPr>
        <w:t>cabe señalar las siguientes:</w:t>
      </w:r>
    </w:p>
    <w:p w:rsidR="00E275B9" w:rsidRPr="00153A9C" w:rsidRDefault="00E738E3" w:rsidP="00E96951">
      <w:pPr>
        <w:pStyle w:val="Bullet1G"/>
        <w:tabs>
          <w:tab w:val="clear" w:pos="1872"/>
          <w:tab w:val="left" w:pos="1701"/>
        </w:tabs>
        <w:ind w:left="1701"/>
        <w:rPr>
          <w:lang w:val="es-CO"/>
        </w:rPr>
      </w:pPr>
      <w:r>
        <w:rPr>
          <w:lang w:val="es-CO"/>
        </w:rPr>
        <w:t>"</w:t>
      </w:r>
      <w:r w:rsidR="00E275B9" w:rsidRPr="00153A9C">
        <w:rPr>
          <w:lang w:val="es-CO"/>
        </w:rPr>
        <w:t>Familias sin violencia</w:t>
      </w:r>
      <w:r>
        <w:rPr>
          <w:lang w:val="es-CO"/>
        </w:rPr>
        <w:t>"</w:t>
      </w:r>
      <w:r w:rsidR="00E275B9" w:rsidRPr="00153A9C">
        <w:rPr>
          <w:lang w:val="es-CO"/>
        </w:rPr>
        <w:t>, 2007 y 2008 (República Srpska)</w:t>
      </w:r>
      <w:r w:rsidR="00E96951">
        <w:rPr>
          <w:lang w:val="es-CO"/>
        </w:rPr>
        <w:t>.</w:t>
      </w:r>
    </w:p>
    <w:p w:rsidR="00E275B9" w:rsidRPr="00153A9C" w:rsidRDefault="00E738E3" w:rsidP="00E96951">
      <w:pPr>
        <w:pStyle w:val="Bullet1G"/>
        <w:tabs>
          <w:tab w:val="clear" w:pos="1872"/>
          <w:tab w:val="left" w:pos="1701"/>
        </w:tabs>
        <w:ind w:left="1701"/>
        <w:rPr>
          <w:lang w:val="es-CO"/>
        </w:rPr>
      </w:pPr>
      <w:r>
        <w:rPr>
          <w:lang w:val="es-CO"/>
        </w:rPr>
        <w:t>"</w:t>
      </w:r>
      <w:r w:rsidR="00E275B9" w:rsidRPr="00153A9C">
        <w:rPr>
          <w:lang w:val="es-CO"/>
        </w:rPr>
        <w:t>Cinta blanca</w:t>
      </w:r>
      <w:r>
        <w:rPr>
          <w:lang w:val="es-CO"/>
        </w:rPr>
        <w:t xml:space="preserve">" </w:t>
      </w:r>
      <w:r w:rsidR="002074FB" w:rsidRPr="00153A9C">
        <w:rPr>
          <w:lang w:val="es-CO"/>
        </w:rPr>
        <w:t>—</w:t>
      </w:r>
      <w:r w:rsidR="00E275B9" w:rsidRPr="00153A9C">
        <w:rPr>
          <w:lang w:val="es-CO"/>
        </w:rPr>
        <w:t>hombres que participan en la lucha contra la violencia masculina contra la mujer</w:t>
      </w:r>
      <w:r w:rsidR="002074FB" w:rsidRPr="00153A9C">
        <w:rPr>
          <w:lang w:val="es-CO"/>
        </w:rPr>
        <w:t>—</w:t>
      </w:r>
      <w:r w:rsidR="00E275B9" w:rsidRPr="00153A9C">
        <w:rPr>
          <w:lang w:val="es-CO"/>
        </w:rPr>
        <w:t xml:space="preserve"> en el período comprendido entre el 2</w:t>
      </w:r>
      <w:r w:rsidR="008C2040" w:rsidRPr="00153A9C">
        <w:rPr>
          <w:lang w:val="es-CO"/>
        </w:rPr>
        <w:t>5</w:t>
      </w:r>
      <w:r w:rsidR="00E275B9" w:rsidRPr="00153A9C">
        <w:rPr>
          <w:lang w:val="es-CO"/>
        </w:rPr>
        <w:t xml:space="preserve"> de noviembre </w:t>
      </w:r>
      <w:r w:rsidR="002074FB" w:rsidRPr="00153A9C">
        <w:rPr>
          <w:lang w:val="es-CO"/>
        </w:rPr>
        <w:t xml:space="preserve">y </w:t>
      </w:r>
      <w:r w:rsidR="00E275B9" w:rsidRPr="00153A9C">
        <w:rPr>
          <w:lang w:val="es-CO"/>
        </w:rPr>
        <w:t>el 10 de diciembre de 2009. Estaba destinada exclusivamente a los hombres y era la señal pública más visible de que estaban dispuestos a acabar con la violencia contra la mujer. (República Srpska)</w:t>
      </w:r>
      <w:r w:rsidR="001C60F1">
        <w:rPr>
          <w:lang w:val="es-CO"/>
        </w:rPr>
        <w:t>.</w:t>
      </w:r>
    </w:p>
    <w:p w:rsidR="00E275B9" w:rsidRPr="00153A9C" w:rsidRDefault="00E275B9" w:rsidP="00E738E3">
      <w:pPr>
        <w:pStyle w:val="SingleTxtG"/>
        <w:rPr>
          <w:lang w:val="es-CO"/>
        </w:rPr>
      </w:pPr>
      <w:r w:rsidRPr="00153A9C">
        <w:rPr>
          <w:lang w:val="es-CO"/>
        </w:rPr>
        <w:t xml:space="preserve">137. </w:t>
      </w:r>
      <w:r w:rsidRPr="00153A9C">
        <w:rPr>
          <w:lang w:val="es-CO"/>
        </w:rPr>
        <w:tab/>
        <w:t xml:space="preserve">En una conclusión, el Gobierno de </w:t>
      </w:r>
      <w:smartTag w:uri="urn:schemas-microsoft-com:office:smarttags" w:element="PersonName">
        <w:smartTagPr>
          <w:attr w:name="ProductID" w:val="la Rep￺blica Srpska"/>
        </w:smartTagPr>
        <w:r w:rsidRPr="00153A9C">
          <w:rPr>
            <w:lang w:val="es-CO"/>
          </w:rPr>
          <w:t>la República Srpska</w:t>
        </w:r>
      </w:smartTag>
      <w:r w:rsidRPr="00153A9C">
        <w:rPr>
          <w:lang w:val="es-CO"/>
        </w:rPr>
        <w:t xml:space="preserve"> declaró 2008 y 2009 </w:t>
      </w:r>
      <w:r w:rsidR="00E738E3">
        <w:rPr>
          <w:lang w:val="es-CO"/>
        </w:rPr>
        <w:t>"años </w:t>
      </w:r>
      <w:r w:rsidRPr="00153A9C">
        <w:rPr>
          <w:lang w:val="es-CO"/>
        </w:rPr>
        <w:t xml:space="preserve">de la lucha contra la violencia doméstica en </w:t>
      </w:r>
      <w:smartTag w:uri="urn:schemas-microsoft-com:office:smarttags" w:element="PersonName">
        <w:smartTagPr>
          <w:attr w:name="ProductID" w:val="la Rep￺blica Srpska"/>
        </w:smartTagPr>
        <w:r w:rsidRPr="00153A9C">
          <w:rPr>
            <w:lang w:val="es-CO"/>
          </w:rPr>
          <w:t>la República Srpska</w:t>
        </w:r>
      </w:smartTag>
      <w:r w:rsidR="00E738E3">
        <w:rPr>
          <w:lang w:val="es-CO"/>
        </w:rPr>
        <w:t>"</w:t>
      </w:r>
      <w:r w:rsidRPr="00153A9C">
        <w:rPr>
          <w:lang w:val="es-CO"/>
        </w:rPr>
        <w:t>.</w:t>
      </w:r>
    </w:p>
    <w:p w:rsidR="00E275B9" w:rsidRPr="00153A9C" w:rsidRDefault="00E275B9" w:rsidP="00E738E3">
      <w:pPr>
        <w:pStyle w:val="SingleTxtG"/>
        <w:rPr>
          <w:lang w:val="es-CO"/>
        </w:rPr>
      </w:pPr>
      <w:r w:rsidRPr="00153A9C">
        <w:rPr>
          <w:lang w:val="es-CO"/>
        </w:rPr>
        <w:t xml:space="preserve">138. </w:t>
      </w:r>
      <w:r w:rsidR="008C2040" w:rsidRPr="00153A9C">
        <w:rPr>
          <w:lang w:val="es-CO"/>
        </w:rPr>
        <w:tab/>
      </w:r>
      <w:r w:rsidRPr="00153A9C">
        <w:rPr>
          <w:lang w:val="es-CO"/>
        </w:rPr>
        <w:t xml:space="preserve">Se ha elaborado la Estrategia de 2009-2013 para combatir la violencia doméstica en </w:t>
      </w:r>
      <w:smartTag w:uri="urn:schemas-microsoft-com:office:smarttags" w:element="PersonName">
        <w:smartTagPr>
          <w:attr w:name="ProductID" w:val="la Rep￺blica Sprska."/>
        </w:smartTagPr>
        <w:r w:rsidRPr="00153A9C">
          <w:rPr>
            <w:lang w:val="es-CO"/>
          </w:rPr>
          <w:t>la República Sprska.</w:t>
        </w:r>
      </w:smartTag>
    </w:p>
    <w:p w:rsidR="00E275B9" w:rsidRPr="00153A9C" w:rsidRDefault="00E738E3" w:rsidP="00E738E3">
      <w:pPr>
        <w:pStyle w:val="H1G"/>
        <w:rPr>
          <w:lang w:val="es-CO"/>
        </w:rPr>
      </w:pPr>
      <w:r>
        <w:rPr>
          <w:lang w:val="es-CO"/>
        </w:rPr>
        <w:tab/>
      </w:r>
      <w:r>
        <w:rPr>
          <w:lang w:val="es-CO"/>
        </w:rPr>
        <w:tab/>
      </w:r>
      <w:r w:rsidR="00E275B9" w:rsidRPr="00153A9C">
        <w:rPr>
          <w:lang w:val="es-CO"/>
        </w:rPr>
        <w:t>Recomendación 44</w:t>
      </w:r>
    </w:p>
    <w:p w:rsidR="00E275B9" w:rsidRPr="00153A9C" w:rsidRDefault="00E275B9" w:rsidP="00E738E3">
      <w:pPr>
        <w:pStyle w:val="SingleTxtG"/>
        <w:rPr>
          <w:lang w:val="es-CO"/>
        </w:rPr>
      </w:pPr>
      <w:r w:rsidRPr="00153A9C">
        <w:rPr>
          <w:lang w:val="es-CO"/>
        </w:rPr>
        <w:t xml:space="preserve">139. </w:t>
      </w:r>
      <w:r w:rsidRPr="00153A9C">
        <w:rPr>
          <w:lang w:val="es-CO"/>
        </w:rPr>
        <w:tab/>
        <w:t xml:space="preserve">En cuanto a los resultados conseguidos en la lucha contra quienes practican la trata de personas, Bosnia y Herzegovina ha avanzado considerablemente, tanto en la divulgación de datos sobre esos delincuentes </w:t>
      </w:r>
      <w:r w:rsidR="002074FB" w:rsidRPr="00153A9C">
        <w:rPr>
          <w:lang w:val="es-CO"/>
        </w:rPr>
        <w:t xml:space="preserve">como en la adopción </w:t>
      </w:r>
      <w:r w:rsidRPr="00153A9C">
        <w:rPr>
          <w:lang w:val="es-CO"/>
        </w:rPr>
        <w:t>de medidas preventivas para combatir este fenómeno lamentable. Aunque Bosnia y Herzegovina era sobre todo un país de tránsito o de destino para víctimas procedentes de Europa oriental, en los últimos años ha aparecido un nuevo fenómeno</w:t>
      </w:r>
      <w:r w:rsidR="002074FB" w:rsidRPr="00153A9C">
        <w:rPr>
          <w:lang w:val="es-CO"/>
        </w:rPr>
        <w:t xml:space="preserve">, </w:t>
      </w:r>
      <w:r w:rsidRPr="00153A9C">
        <w:rPr>
          <w:lang w:val="es-CO"/>
        </w:rPr>
        <w:t xml:space="preserve">la trata de mujeres y niñas reclutadas localmente, con fines de explotación sexual en otras partes del país, mientras que el número de víctimas extranjeras de la trata está disminuyendo de forma constante. El incremento del fenómeno de la trata de nacionales de Bosnia y Herzegovina dentro de las fronteras del país ha obligado a los organismos que se ocupan de estas cuestiones a enfrentarse con nuevos desafíos para </w:t>
      </w:r>
      <w:r w:rsidR="004D7DA8" w:rsidRPr="00153A9C">
        <w:rPr>
          <w:lang w:val="es-CO"/>
        </w:rPr>
        <w:t xml:space="preserve">detectar e investigar </w:t>
      </w:r>
      <w:r w:rsidRPr="00153A9C">
        <w:rPr>
          <w:lang w:val="es-CO"/>
        </w:rPr>
        <w:t xml:space="preserve">los delitos de trata de personas. Debido a la seriedad con que se ha </w:t>
      </w:r>
      <w:r w:rsidR="004D7DA8" w:rsidRPr="00153A9C">
        <w:rPr>
          <w:lang w:val="es-CO"/>
        </w:rPr>
        <w:t xml:space="preserve">abordado </w:t>
      </w:r>
      <w:r w:rsidRPr="00153A9C">
        <w:rPr>
          <w:lang w:val="es-CO"/>
        </w:rPr>
        <w:t xml:space="preserve">este fenómeno, Bosnia y Herzegovina ha conseguido reducir el número de víctimas identificadas. </w:t>
      </w:r>
      <w:r w:rsidR="004D7DA8" w:rsidRPr="00153A9C">
        <w:rPr>
          <w:lang w:val="es-CO"/>
        </w:rPr>
        <w:t>Se ha instaurado u</w:t>
      </w:r>
      <w:r w:rsidRPr="00153A9C">
        <w:rPr>
          <w:lang w:val="es-CO"/>
        </w:rPr>
        <w:t xml:space="preserve">n sistema sostenible, que, además de establecer un mecanismo unificado de gestión de la información hizo también posible </w:t>
      </w:r>
      <w:r w:rsidR="004D7DA8" w:rsidRPr="00153A9C">
        <w:rPr>
          <w:lang w:val="es-CO"/>
        </w:rPr>
        <w:t xml:space="preserve">la instauración </w:t>
      </w:r>
      <w:r w:rsidRPr="00153A9C">
        <w:rPr>
          <w:lang w:val="es-CO"/>
        </w:rPr>
        <w:t xml:space="preserve">de sistemas </w:t>
      </w:r>
      <w:r w:rsidR="004D7DA8" w:rsidRPr="00153A9C">
        <w:rPr>
          <w:lang w:val="es-CO"/>
        </w:rPr>
        <w:t xml:space="preserve">de </w:t>
      </w:r>
      <w:r w:rsidRPr="00153A9C">
        <w:rPr>
          <w:lang w:val="es-CO"/>
        </w:rPr>
        <w:t xml:space="preserve">ayuda y asistencia directa a las víctimas de la trata, con inclusión de recursos e intervenciones de alcance estatal. </w:t>
      </w:r>
      <w:r w:rsidR="004D7DA8" w:rsidRPr="00153A9C">
        <w:rPr>
          <w:lang w:val="es-CO"/>
        </w:rPr>
        <w:t xml:space="preserve">Dicho </w:t>
      </w:r>
      <w:r w:rsidRPr="00153A9C">
        <w:rPr>
          <w:lang w:val="es-CO"/>
        </w:rPr>
        <w:t>sistema se creó mediante una asociación entre los sectores gubernamental, no gubernamental e internacional y, por consiguiente, tiene una importancia particular, especialmente por lo que se refiere a la intensificación de la cooperación internacional y regional.</w:t>
      </w:r>
    </w:p>
    <w:p w:rsidR="00E275B9" w:rsidRPr="00153A9C" w:rsidRDefault="00E275B9" w:rsidP="00E738E3">
      <w:pPr>
        <w:pStyle w:val="SingleTxtG"/>
        <w:rPr>
          <w:lang w:val="es-CO"/>
        </w:rPr>
      </w:pPr>
      <w:r w:rsidRPr="00153A9C">
        <w:rPr>
          <w:lang w:val="es-CO"/>
        </w:rPr>
        <w:t xml:space="preserve">140. </w:t>
      </w:r>
      <w:r w:rsidRPr="00153A9C">
        <w:rPr>
          <w:lang w:val="es-CO"/>
        </w:rPr>
        <w:tab/>
        <w:t xml:space="preserve">Todos los delitos penales asociados con la trata de personas aparecen </w:t>
      </w:r>
      <w:r w:rsidR="00A422C4">
        <w:rPr>
          <w:lang w:val="es-CO"/>
        </w:rPr>
        <w:t>tipificados</w:t>
      </w:r>
      <w:r w:rsidR="00A422C4" w:rsidRPr="00153A9C">
        <w:rPr>
          <w:lang w:val="es-CO"/>
        </w:rPr>
        <w:t xml:space="preserve"> </w:t>
      </w:r>
      <w:r w:rsidRPr="00153A9C">
        <w:rPr>
          <w:lang w:val="es-CO"/>
        </w:rPr>
        <w:t xml:space="preserve">en el Código Penal de Bosnia y Herzegovina en el capítulo de los delitos contra la humanidad y los valores protegidos por el derecho internacional. El delito penal de la trata está regulado por el artículo 186 del Código Penal de Bosnia y Herzegovina, que está en consonancia con el Protocolo de Palermo (Convención de las Naciones Unidas contra </w:t>
      </w:r>
      <w:smartTag w:uri="urn:schemas-microsoft-com:office:smarttags" w:element="PersonName">
        <w:smartTagPr>
          <w:attr w:name="ProductID" w:val="la Delincuencia Organizada Transnacional"/>
        </w:smartTagPr>
        <w:r w:rsidRPr="00153A9C">
          <w:rPr>
            <w:lang w:val="es-CO"/>
          </w:rPr>
          <w:t>la Delincuencia Organizada Transnacional</w:t>
        </w:r>
      </w:smartTag>
      <w:r w:rsidRPr="00153A9C">
        <w:rPr>
          <w:lang w:val="es-CO"/>
        </w:rPr>
        <w:t xml:space="preserve">, complementada con dos protocolos, uno relativo a la represión y sanción de la trata de personas, especialmente mujeres y niños). En lo que respecta a las </w:t>
      </w:r>
      <w:r w:rsidR="00C5273E" w:rsidRPr="00153A9C">
        <w:rPr>
          <w:lang w:val="es-CO"/>
        </w:rPr>
        <w:t>Entidad</w:t>
      </w:r>
      <w:r w:rsidRPr="00153A9C">
        <w:rPr>
          <w:lang w:val="es-CO"/>
        </w:rPr>
        <w:t>es, se tipifican algunos delitos penales, por ejemplo, en el artículo 210 del Código Civil de la Federación de Bosnia y Herzegovina (incitación a la prostitución), el artículo 198 del Código Civil (trata de personas con fines de prostitución) y el artículo 207 del Distrito Brčko (incitación a la prostitución).</w:t>
      </w:r>
    </w:p>
    <w:p w:rsidR="00E275B9" w:rsidRPr="00153A9C" w:rsidRDefault="00E275B9" w:rsidP="00E738E3">
      <w:pPr>
        <w:pStyle w:val="SingleTxtG"/>
        <w:rPr>
          <w:lang w:val="es-CO"/>
        </w:rPr>
      </w:pPr>
      <w:r w:rsidRPr="00153A9C">
        <w:rPr>
          <w:lang w:val="es-CO"/>
        </w:rPr>
        <w:t xml:space="preserve">141. </w:t>
      </w:r>
      <w:r w:rsidRPr="00153A9C">
        <w:rPr>
          <w:lang w:val="es-CO"/>
        </w:rPr>
        <w:tab/>
        <w:t xml:space="preserve">A propuesta del Consejo de Ministros, en enero de 2010 </w:t>
      </w:r>
      <w:smartTag w:uri="urn:schemas-microsoft-com:office:smarttags" w:element="PersonName">
        <w:smartTagPr>
          <w:attr w:name="ProductID" w:val="la Asamblea Parlamentaria"/>
        </w:smartTagPr>
        <w:r w:rsidRPr="00153A9C">
          <w:rPr>
            <w:lang w:val="es-CO"/>
          </w:rPr>
          <w:t>la Asamblea Parlamentaria</w:t>
        </w:r>
      </w:smartTag>
      <w:r w:rsidRPr="00153A9C">
        <w:rPr>
          <w:lang w:val="es-CO"/>
        </w:rPr>
        <w:t xml:space="preserve"> de Bosnia y Herzegovina enmendó el Código de procedimiento penal de Bosnia y Herzegovina. En consecuencia, se modificó el artículo 186 del Código Penal para hacerlo completam</w:t>
      </w:r>
      <w:r w:rsidR="004D7DA8" w:rsidRPr="00153A9C">
        <w:rPr>
          <w:lang w:val="es-CO"/>
        </w:rPr>
        <w:t xml:space="preserve">ente compatible con el Convenio </w:t>
      </w:r>
      <w:r w:rsidRPr="00153A9C">
        <w:rPr>
          <w:lang w:val="es-CO"/>
        </w:rPr>
        <w:t xml:space="preserve">del Consejo de Europa sobre la lucha contra la trata de seres humanos. La definición de este delito se modificó y se endurecieron las sanciones por el delito penal de la trata de personas. Se introdujeron sanciones para las personas que utilizan los servicios de las personas víctimas de la trata, se mejoró el sistema de confiscación de los activos procedentes de ese delito y se estipuló el cierre de los establecimientos utilizados con ese fin. Conviene también mencionar el artículo 100 de la Ley sobre enmiendas del Código de procedimiento penal que obliga a los órganos autorizados de la Federación de Bosnia y Herzegovina, </w:t>
      </w:r>
      <w:smartTag w:uri="urn:schemas-microsoft-com:office:smarttags" w:element="PersonName">
        <w:smartTagPr>
          <w:attr w:name="ProductID" w:val="la Rep￺blica Sprska"/>
        </w:smartTagPr>
        <w:r w:rsidRPr="00153A9C">
          <w:rPr>
            <w:lang w:val="es-CO"/>
          </w:rPr>
          <w:t>la República Sprska</w:t>
        </w:r>
      </w:smartTag>
      <w:r w:rsidRPr="00153A9C">
        <w:rPr>
          <w:lang w:val="es-CO"/>
        </w:rPr>
        <w:t xml:space="preserve"> y el Distrito Brčko a armonizar sus códigos penales con el Código Penal de Bosnia y Herzegovina antes de transcurridos 90 días de su fecha de entrada en vigor</w:t>
      </w:r>
      <w:r w:rsidR="00252068">
        <w:rPr>
          <w:rStyle w:val="FootnoteReference"/>
          <w:lang w:val="es-CO"/>
        </w:rPr>
        <w:footnoteReference w:id="15"/>
      </w:r>
      <w:r w:rsidR="0036179B" w:rsidRPr="00153A9C">
        <w:rPr>
          <w:lang w:val="es-CO"/>
        </w:rPr>
        <w:t>.</w:t>
      </w:r>
    </w:p>
    <w:p w:rsidR="00E275B9" w:rsidRPr="00153A9C" w:rsidRDefault="00E275B9" w:rsidP="00E738E3">
      <w:pPr>
        <w:pStyle w:val="SingleTxtG"/>
        <w:rPr>
          <w:lang w:val="es-CO"/>
        </w:rPr>
      </w:pPr>
      <w:r w:rsidRPr="00153A9C">
        <w:rPr>
          <w:lang w:val="es-CO"/>
        </w:rPr>
        <w:t xml:space="preserve">142. </w:t>
      </w:r>
      <w:r w:rsidRPr="00153A9C">
        <w:rPr>
          <w:lang w:val="es-CO"/>
        </w:rPr>
        <w:tab/>
        <w:t xml:space="preserve">En mayo de 2008, el Consejo de Ministros de Bosnia y Herzegovina examinó y aprobó el tercer Plan nacional de acción para combatir la trata de personas (2008-2012). El nuevo plan estipula obligaciones claras de las instituciones competentes que debían cumplirse en los cinco años siguientes (2008-2012) para lograr mejores resultados en el procesamiento de los autores de la trata de personas y </w:t>
      </w:r>
      <w:r w:rsidR="004D7DA8" w:rsidRPr="00153A9C">
        <w:rPr>
          <w:lang w:val="es-CO"/>
        </w:rPr>
        <w:t xml:space="preserve">una mayor </w:t>
      </w:r>
      <w:r w:rsidRPr="00153A9C">
        <w:rPr>
          <w:lang w:val="es-CO"/>
        </w:rPr>
        <w:t>protección de las víctimas de la trata teniendo en cuenta las últimas normas internacionales para la protección de los derechos humanos. El nuevo Plan nacional de acción para combatir la trata especifica con mayor detalle los objetivos de la lucha contra la trata de seres humanos y define claramente las medidas que deben adoptarse para hacer realidad los objetivos en las siguientes esferas: sistemas de apoyo, prevención, protección y asistencia a las víctimas y testigos, procesamiento y cooperación internacional. El Plan de acción está basado en un planteamiento amplio y consta de tres segmentos: procesamiento penal, protección de las víctimas de la trata y prevención, con especial insistencia en las actividades relacionadas con la protección de las víctimas de la trata interna.</w:t>
      </w:r>
    </w:p>
    <w:p w:rsidR="00E275B9" w:rsidRPr="00153A9C" w:rsidRDefault="00E275B9" w:rsidP="00E738E3">
      <w:pPr>
        <w:pStyle w:val="SingleTxtG"/>
        <w:rPr>
          <w:lang w:val="es-CO"/>
        </w:rPr>
      </w:pPr>
      <w:r w:rsidRPr="00153A9C">
        <w:rPr>
          <w:lang w:val="es-CO"/>
        </w:rPr>
        <w:t xml:space="preserve">143. </w:t>
      </w:r>
      <w:r w:rsidRPr="00153A9C">
        <w:rPr>
          <w:lang w:val="es-CO"/>
        </w:rPr>
        <w:tab/>
        <w:t>A comienzos de 2009, se aprobó el Reglamento sobre la estructura interna del Ministerio de Seguridad de Bosnia y Herzegovina, en el que la Oficina del coordinador estatal para la lucha contra la trata de seres humanos y la inmigración ilegal se convirtió en el Departamento para la lucha contra la trata de seres humanos, adscrito al Sector de Cooperación Internacional. De esta manera, se garantiza financiación permanente para las actividades de dicho Departamento en el presupuesto del Ministerio de Seguridad de Bosnia y Herzegovina.</w:t>
      </w:r>
    </w:p>
    <w:p w:rsidR="00E275B9" w:rsidRPr="00153A9C" w:rsidRDefault="00E275B9" w:rsidP="00E738E3">
      <w:pPr>
        <w:pStyle w:val="SingleTxtG"/>
        <w:rPr>
          <w:lang w:val="es-CO"/>
        </w:rPr>
      </w:pPr>
      <w:r w:rsidRPr="00153A9C">
        <w:rPr>
          <w:lang w:val="es-CO"/>
        </w:rPr>
        <w:t xml:space="preserve">144. </w:t>
      </w:r>
      <w:r w:rsidRPr="00153A9C">
        <w:rPr>
          <w:lang w:val="es-CO"/>
        </w:rPr>
        <w:tab/>
        <w:t>En lo que respecta al presupuesto estatal, cabe señalar que cada año se destinan fondos para los programas de asistencia a las víctimas de la trata ejecutad</w:t>
      </w:r>
      <w:r w:rsidR="004D7DA8" w:rsidRPr="00153A9C">
        <w:rPr>
          <w:lang w:val="es-CO"/>
        </w:rPr>
        <w:t>o</w:t>
      </w:r>
      <w:r w:rsidRPr="00153A9C">
        <w:rPr>
          <w:lang w:val="es-CO"/>
        </w:rPr>
        <w:t xml:space="preserve">s por el Ministerio de Seguridad de Bosnia y Herzegovina y el Ministerio de Derechos Humanos y Refugiados. Cabe señalar que en 2009 el Ministerio de Derechos Humanos y Refugiados, en cooperación con el Departamento para la lucha contra la trata de seres humanos, asignó en el presupuesto del Ministerio </w:t>
      </w:r>
      <w:smartTag w:uri="urn:schemas-microsoft-com:office:smarttags" w:element="metricconverter">
        <w:smartTagPr>
          <w:attr w:name="ProductID" w:val="45.000 KM"/>
        </w:smartTagPr>
        <w:r w:rsidRPr="00153A9C">
          <w:rPr>
            <w:lang w:val="es-CO"/>
          </w:rPr>
          <w:t xml:space="preserve">45.000 </w:t>
        </w:r>
        <w:r w:rsidR="005E2DB0" w:rsidRPr="00153A9C">
          <w:rPr>
            <w:lang w:val="es-CO"/>
          </w:rPr>
          <w:t>KM</w:t>
        </w:r>
      </w:smartTag>
      <w:r w:rsidRPr="00153A9C">
        <w:rPr>
          <w:lang w:val="es-CO"/>
        </w:rPr>
        <w:t xml:space="preserve"> en apoyo de las </w:t>
      </w:r>
      <w:r w:rsidR="00BF750C">
        <w:rPr>
          <w:lang w:val="es-CO"/>
        </w:rPr>
        <w:t xml:space="preserve">ONG </w:t>
      </w:r>
      <w:r w:rsidRPr="00153A9C">
        <w:rPr>
          <w:lang w:val="es-CO"/>
        </w:rPr>
        <w:t xml:space="preserve">a fin de ofrecer asistencia directa a las víctimas de la trata, mientras que el Ministerio de Seguridad de Bosnia y Herzegovina asignó en su presupuesto </w:t>
      </w:r>
      <w:smartTag w:uri="urn:schemas-microsoft-com:office:smarttags" w:element="metricconverter">
        <w:smartTagPr>
          <w:attr w:name="ProductID" w:val="100.000 KM"/>
        </w:smartTagPr>
        <w:r w:rsidRPr="00153A9C">
          <w:rPr>
            <w:lang w:val="es-CO"/>
          </w:rPr>
          <w:t xml:space="preserve">100.000 </w:t>
        </w:r>
        <w:r w:rsidR="005E2DB0" w:rsidRPr="00153A9C">
          <w:rPr>
            <w:lang w:val="es-CO"/>
          </w:rPr>
          <w:t>KM</w:t>
        </w:r>
      </w:smartTag>
      <w:r w:rsidRPr="00153A9C">
        <w:rPr>
          <w:lang w:val="es-CO"/>
        </w:rPr>
        <w:t xml:space="preserve"> destinados a financiar casas de acogida que ofrezcan alojamiento y apoyo a las víctimas de la trata de otros países.</w:t>
      </w:r>
    </w:p>
    <w:p w:rsidR="00E275B9" w:rsidRPr="00153A9C" w:rsidRDefault="00E275B9" w:rsidP="00E738E3">
      <w:pPr>
        <w:pStyle w:val="SingleTxtG"/>
        <w:rPr>
          <w:lang w:val="es-CO"/>
        </w:rPr>
      </w:pPr>
      <w:r w:rsidRPr="00153A9C">
        <w:rPr>
          <w:lang w:val="es-CO"/>
        </w:rPr>
        <w:t xml:space="preserve">145. </w:t>
      </w:r>
      <w:r w:rsidRPr="00153A9C">
        <w:rPr>
          <w:lang w:val="es-CO"/>
        </w:rPr>
        <w:tab/>
        <w:t xml:space="preserve">En 2008, los centros de capacitación de jueces y fiscales de la Federación, </w:t>
      </w:r>
      <w:smartTag w:uri="urn:schemas-microsoft-com:office:smarttags" w:element="PersonName">
        <w:smartTagPr>
          <w:attr w:name="ProductID" w:val="la Rep￺blica Sprska"/>
        </w:smartTagPr>
        <w:r w:rsidRPr="00153A9C">
          <w:rPr>
            <w:lang w:val="es-CO"/>
          </w:rPr>
          <w:t>la República Sprska</w:t>
        </w:r>
      </w:smartTag>
      <w:r w:rsidRPr="00153A9C">
        <w:rPr>
          <w:lang w:val="es-CO"/>
        </w:rPr>
        <w:t xml:space="preserve"> y el Distrito Brčko, en cooperación con el Coordinador Estatal y </w:t>
      </w:r>
      <w:smartTag w:uri="urn:schemas-microsoft-com:office:smarttags" w:element="PersonName">
        <w:smartTagPr>
          <w:attr w:name="ProductID" w:val="la Organizaci￳n Internacional"/>
        </w:smartTagPr>
        <w:r w:rsidRPr="00153A9C">
          <w:rPr>
            <w:lang w:val="es-CO"/>
          </w:rPr>
          <w:t>la Organización Int</w:t>
        </w:r>
        <w:r w:rsidR="004D7DA8" w:rsidRPr="00153A9C">
          <w:rPr>
            <w:lang w:val="es-CO"/>
          </w:rPr>
          <w:t>ernacional</w:t>
        </w:r>
      </w:smartTag>
      <w:r w:rsidR="004D7DA8" w:rsidRPr="00153A9C">
        <w:rPr>
          <w:lang w:val="es-CO"/>
        </w:rPr>
        <w:t xml:space="preserve"> para las Migraciones,</w:t>
      </w:r>
      <w:r w:rsidRPr="00153A9C">
        <w:rPr>
          <w:lang w:val="es-CO"/>
        </w:rPr>
        <w:t xml:space="preserve"> con apoyo de la Agencia de los Estados Unidos para el Desarrollo Internacional, prepararon y publicaron un manual para jueces y fiscales titulado </w:t>
      </w:r>
      <w:r w:rsidR="00E738E3">
        <w:rPr>
          <w:lang w:val="es-CO"/>
        </w:rPr>
        <w:t>"</w:t>
      </w:r>
      <w:r w:rsidRPr="00153A9C">
        <w:rPr>
          <w:lang w:val="es-CO"/>
        </w:rPr>
        <w:t>Trata de personas: prevención y protección en Bosnia y Herzegovina</w:t>
      </w:r>
      <w:r w:rsidR="00E738E3">
        <w:rPr>
          <w:lang w:val="es-CO"/>
        </w:rPr>
        <w:t>"</w:t>
      </w:r>
      <w:r w:rsidRPr="00153A9C">
        <w:rPr>
          <w:lang w:val="es-CO"/>
        </w:rPr>
        <w:t>. El proyecto incluía también actividades de capacitación de jueces y fiscales, con participación de representantes de la policía y los servicios sociales. Durante los cursos de capacitación los participantes intercambiaron experiencias</w:t>
      </w:r>
      <w:r w:rsidR="004D7DA8" w:rsidRPr="00153A9C">
        <w:rPr>
          <w:lang w:val="es-CO"/>
        </w:rPr>
        <w:t xml:space="preserve"> e</w:t>
      </w:r>
      <w:r w:rsidRPr="00153A9C">
        <w:rPr>
          <w:lang w:val="es-CO"/>
        </w:rPr>
        <w:t xml:space="preserve"> identificaron las mejores prácticas posibles de recopilación de pruebas y procesamiento de los casos de trata de personas, al mismo tiempo que se ofrecía </w:t>
      </w:r>
      <w:r w:rsidR="00D92C52">
        <w:rPr>
          <w:lang w:val="es-CO"/>
        </w:rPr>
        <w:t xml:space="preserve">formación sobre la </w:t>
      </w:r>
      <w:r w:rsidRPr="00153A9C">
        <w:rPr>
          <w:lang w:val="es-CO"/>
        </w:rPr>
        <w:t>atención y protección a las víctimas.</w:t>
      </w:r>
    </w:p>
    <w:p w:rsidR="00E275B9" w:rsidRPr="00153A9C" w:rsidRDefault="00E275B9" w:rsidP="00E738E3">
      <w:pPr>
        <w:pStyle w:val="SingleTxtG"/>
        <w:rPr>
          <w:lang w:val="es-CO"/>
        </w:rPr>
      </w:pPr>
      <w:r w:rsidRPr="00153A9C">
        <w:rPr>
          <w:lang w:val="es-CO"/>
        </w:rPr>
        <w:t xml:space="preserve">146. </w:t>
      </w:r>
      <w:r w:rsidRPr="00153A9C">
        <w:rPr>
          <w:lang w:val="es-CO"/>
        </w:rPr>
        <w:tab/>
        <w:t xml:space="preserve">Las principales tendencias de la trata en 2009 </w:t>
      </w:r>
      <w:r w:rsidR="00D92C52">
        <w:rPr>
          <w:lang w:val="es-CO"/>
        </w:rPr>
        <w:t>fueron</w:t>
      </w:r>
      <w:r w:rsidR="00D92C52" w:rsidRPr="00153A9C">
        <w:rPr>
          <w:lang w:val="es-CO"/>
        </w:rPr>
        <w:t xml:space="preserve"> </w:t>
      </w:r>
      <w:r w:rsidRPr="00153A9C">
        <w:rPr>
          <w:lang w:val="es-CO"/>
        </w:rPr>
        <w:t>las mismas que en los años precedentes</w:t>
      </w:r>
      <w:r w:rsidR="004D7DA8" w:rsidRPr="00153A9C">
        <w:rPr>
          <w:lang w:val="es-CO"/>
        </w:rPr>
        <w:t>;</w:t>
      </w:r>
      <w:r w:rsidRPr="00153A9C">
        <w:rPr>
          <w:lang w:val="es-CO"/>
        </w:rPr>
        <w:t xml:space="preserve"> el número total de víctimas identificadas no cambió</w:t>
      </w:r>
      <w:r w:rsidR="004D7DA8" w:rsidRPr="00153A9C">
        <w:rPr>
          <w:lang w:val="es-CO"/>
        </w:rPr>
        <w:t>;</w:t>
      </w:r>
      <w:r w:rsidRPr="00153A9C">
        <w:rPr>
          <w:lang w:val="es-CO"/>
        </w:rPr>
        <w:t xml:space="preserve"> y, como se ha señalado antes, disminuyó el número de víctimas extranjeras y aumentó el de víctimas de la trata interna.</w:t>
      </w:r>
    </w:p>
    <w:p w:rsidR="00E275B9" w:rsidRPr="00153A9C" w:rsidRDefault="00E275B9" w:rsidP="00E738E3">
      <w:pPr>
        <w:pStyle w:val="SingleTxtG"/>
        <w:rPr>
          <w:lang w:val="es-CO"/>
        </w:rPr>
      </w:pPr>
      <w:r w:rsidRPr="00153A9C">
        <w:rPr>
          <w:lang w:val="es-CO"/>
        </w:rPr>
        <w:t xml:space="preserve">147. </w:t>
      </w:r>
      <w:r w:rsidRPr="00153A9C">
        <w:rPr>
          <w:lang w:val="es-CO"/>
        </w:rPr>
        <w:tab/>
        <w:t>A continuación se presentan datos estadísticos correspondientes a 2006-2009 sobre el número de víctimas identificadas de la trata, las investigaciones llevadas a cabo y las condenas impuestas.</w:t>
      </w:r>
    </w:p>
    <w:p w:rsidR="00E275B9" w:rsidRPr="00153A9C" w:rsidRDefault="00E738E3" w:rsidP="00E738E3">
      <w:pPr>
        <w:pStyle w:val="H23G"/>
        <w:rPr>
          <w:lang w:val="es-CO"/>
        </w:rPr>
      </w:pPr>
      <w:r>
        <w:rPr>
          <w:lang w:val="es-CO"/>
        </w:rPr>
        <w:tab/>
      </w:r>
      <w:r>
        <w:rPr>
          <w:lang w:val="es-CO"/>
        </w:rPr>
        <w:tab/>
      </w:r>
      <w:r w:rsidR="00E275B9" w:rsidRPr="00153A9C">
        <w:rPr>
          <w:lang w:val="es-CO"/>
        </w:rPr>
        <w:t>2006</w:t>
      </w:r>
    </w:p>
    <w:p w:rsidR="00E275B9" w:rsidRPr="00153A9C" w:rsidRDefault="00E275B9" w:rsidP="00E738E3">
      <w:pPr>
        <w:pStyle w:val="SingleTxtG"/>
        <w:rPr>
          <w:lang w:val="es-CO"/>
        </w:rPr>
      </w:pPr>
      <w:r w:rsidRPr="00153A9C">
        <w:rPr>
          <w:lang w:val="es-CO"/>
        </w:rPr>
        <w:t xml:space="preserve">148. </w:t>
      </w:r>
      <w:r w:rsidRPr="00153A9C">
        <w:rPr>
          <w:lang w:val="es-CO"/>
        </w:rPr>
        <w:tab/>
        <w:t xml:space="preserve">Según </w:t>
      </w:r>
      <w:r w:rsidR="00B301F9" w:rsidRPr="00153A9C">
        <w:rPr>
          <w:lang w:val="es-CO"/>
        </w:rPr>
        <w:t xml:space="preserve">datos de 2006 de </w:t>
      </w:r>
      <w:r w:rsidRPr="00153A9C">
        <w:rPr>
          <w:lang w:val="es-CO"/>
        </w:rPr>
        <w:t>los organismos encargados del cumplimiento de la ley y las fiscalías, 77 personas fueron acusadas de 34 delitos penales de trata de personas y delitos conexos. En dos casos, se presentaron acusaciones de delitos penales de trata de personas en combinación con el artículo 250 del Código Penal de Bosnia y Herzegovina (delincuencia organizada).</w:t>
      </w:r>
    </w:p>
    <w:p w:rsidR="00E275B9" w:rsidRPr="00153A9C" w:rsidRDefault="00E275B9" w:rsidP="00E738E3">
      <w:pPr>
        <w:pStyle w:val="SingleTxtG"/>
        <w:rPr>
          <w:lang w:val="es-CO"/>
        </w:rPr>
      </w:pPr>
      <w:r w:rsidRPr="00153A9C">
        <w:rPr>
          <w:lang w:val="es-CO"/>
        </w:rPr>
        <w:t>149.</w:t>
      </w:r>
      <w:r w:rsidRPr="00153A9C">
        <w:rPr>
          <w:lang w:val="es-CO"/>
        </w:rPr>
        <w:tab/>
        <w:t xml:space="preserve">Según informes de la policía, hubo 54 víctimas identificadas de la trata </w:t>
      </w:r>
      <w:r w:rsidR="00B301F9" w:rsidRPr="00153A9C">
        <w:rPr>
          <w:lang w:val="es-CO"/>
        </w:rPr>
        <w:t xml:space="preserve">en 2005 </w:t>
      </w:r>
      <w:r w:rsidRPr="00153A9C">
        <w:rPr>
          <w:lang w:val="es-CO"/>
        </w:rPr>
        <w:t xml:space="preserve">y 42 en 2006. Al mismo tiempo, en 2006 </w:t>
      </w:r>
      <w:r w:rsidR="00B301F9" w:rsidRPr="00153A9C">
        <w:rPr>
          <w:lang w:val="es-CO"/>
        </w:rPr>
        <w:t xml:space="preserve">hubo </w:t>
      </w:r>
      <w:r w:rsidRPr="00153A9C">
        <w:rPr>
          <w:lang w:val="es-CO"/>
        </w:rPr>
        <w:t xml:space="preserve">un total de 90 (se iniciaron 42 y </w:t>
      </w:r>
      <w:r w:rsidR="00B301F9" w:rsidRPr="00153A9C">
        <w:rPr>
          <w:lang w:val="es-CO"/>
        </w:rPr>
        <w:t xml:space="preserve">había </w:t>
      </w:r>
      <w:r w:rsidRPr="00153A9C">
        <w:rPr>
          <w:lang w:val="es-CO"/>
        </w:rPr>
        <w:t xml:space="preserve">48 </w:t>
      </w:r>
      <w:r w:rsidR="00B301F9" w:rsidRPr="00153A9C">
        <w:rPr>
          <w:lang w:val="es-CO"/>
        </w:rPr>
        <w:t>pendientes</w:t>
      </w:r>
      <w:r w:rsidRPr="00153A9C">
        <w:rPr>
          <w:lang w:val="es-CO"/>
        </w:rPr>
        <w:t xml:space="preserve">), </w:t>
      </w:r>
      <w:r w:rsidR="00B301F9" w:rsidRPr="00153A9C">
        <w:rPr>
          <w:lang w:val="es-CO"/>
        </w:rPr>
        <w:t>fren</w:t>
      </w:r>
      <w:r w:rsidR="00B22D9D" w:rsidRPr="00153A9C">
        <w:rPr>
          <w:lang w:val="es-CO"/>
        </w:rPr>
        <w:t>t</w:t>
      </w:r>
      <w:r w:rsidR="00B301F9" w:rsidRPr="00153A9C">
        <w:rPr>
          <w:lang w:val="es-CO"/>
        </w:rPr>
        <w:t>e a las 6</w:t>
      </w:r>
      <w:r w:rsidR="00B22D9D" w:rsidRPr="00153A9C">
        <w:rPr>
          <w:lang w:val="es-CO"/>
        </w:rPr>
        <w:t>8</w:t>
      </w:r>
      <w:r w:rsidR="00B301F9" w:rsidRPr="00153A9C">
        <w:rPr>
          <w:lang w:val="es-CO"/>
        </w:rPr>
        <w:t xml:space="preserve"> de </w:t>
      </w:r>
      <w:r w:rsidRPr="00153A9C">
        <w:rPr>
          <w:lang w:val="es-CO"/>
        </w:rPr>
        <w:t xml:space="preserve">2005 (37 </w:t>
      </w:r>
      <w:r w:rsidR="00B301F9" w:rsidRPr="00153A9C">
        <w:rPr>
          <w:lang w:val="es-CO"/>
        </w:rPr>
        <w:t xml:space="preserve">nuevas y </w:t>
      </w:r>
      <w:r w:rsidRPr="00153A9C">
        <w:rPr>
          <w:lang w:val="es-CO"/>
        </w:rPr>
        <w:t xml:space="preserve">31 </w:t>
      </w:r>
      <w:r w:rsidR="00B301F9" w:rsidRPr="00153A9C">
        <w:rPr>
          <w:lang w:val="es-CO"/>
        </w:rPr>
        <w:t xml:space="preserve">pendientes </w:t>
      </w:r>
      <w:r w:rsidRPr="00153A9C">
        <w:rPr>
          <w:lang w:val="es-CO"/>
        </w:rPr>
        <w:t xml:space="preserve">de 2004). Se dictaron 14 órdenes de no iniciación de investigaciones y se puso fin a </w:t>
      </w:r>
      <w:r w:rsidR="00B22D9D" w:rsidRPr="00153A9C">
        <w:rPr>
          <w:lang w:val="es-CO"/>
        </w:rPr>
        <w:t xml:space="preserve">13 </w:t>
      </w:r>
      <w:r w:rsidRPr="00153A9C">
        <w:rPr>
          <w:lang w:val="es-CO"/>
        </w:rPr>
        <w:t>investigaciones.</w:t>
      </w:r>
    </w:p>
    <w:p w:rsidR="00E275B9" w:rsidRPr="00153A9C" w:rsidRDefault="00E275B9" w:rsidP="00E738E3">
      <w:pPr>
        <w:pStyle w:val="SingleTxtG"/>
        <w:rPr>
          <w:lang w:val="es-CO"/>
        </w:rPr>
      </w:pPr>
      <w:r w:rsidRPr="00153A9C">
        <w:rPr>
          <w:lang w:val="es-CO"/>
        </w:rPr>
        <w:t xml:space="preserve">150. </w:t>
      </w:r>
      <w:r w:rsidRPr="00153A9C">
        <w:rPr>
          <w:lang w:val="es-CO"/>
        </w:rPr>
        <w:tab/>
        <w:t xml:space="preserve">Asimismo, en 2006 se formularon 31 acusaciones y los tribunales confirmaron 33 (dos presentadas en 2005 se confirmaron en 2006), y en 2005 se presentaron 24 acusaciones y los tribunales confirmaron 26. Los tribunales de primera instancia emitieron veredictos contra 30 personas, que fueron de condena en 23 casos. En las negociaciones de la pena, 10 personas se declararon culpables y fueron condenadas: una </w:t>
      </w:r>
      <w:r w:rsidR="00B301F9" w:rsidRPr="00153A9C">
        <w:rPr>
          <w:lang w:val="es-CO"/>
        </w:rPr>
        <w:t xml:space="preserve">con </w:t>
      </w:r>
      <w:r w:rsidRPr="00153A9C">
        <w:rPr>
          <w:lang w:val="es-CO"/>
        </w:rPr>
        <w:t xml:space="preserve">pena de cárcel condicional, </w:t>
      </w:r>
      <w:r w:rsidR="00B22D9D" w:rsidRPr="00153A9C">
        <w:rPr>
          <w:lang w:val="es-CO"/>
        </w:rPr>
        <w:t xml:space="preserve">2 </w:t>
      </w:r>
      <w:r w:rsidRPr="00153A9C">
        <w:rPr>
          <w:lang w:val="es-CO"/>
        </w:rPr>
        <w:t xml:space="preserve">con multas y </w:t>
      </w:r>
      <w:r w:rsidR="00B22D9D" w:rsidRPr="00153A9C">
        <w:rPr>
          <w:lang w:val="es-CO"/>
        </w:rPr>
        <w:t xml:space="preserve">7 </w:t>
      </w:r>
      <w:r w:rsidR="00B301F9" w:rsidRPr="00153A9C">
        <w:rPr>
          <w:lang w:val="es-CO"/>
        </w:rPr>
        <w:t xml:space="preserve">con </w:t>
      </w:r>
      <w:r w:rsidRPr="00153A9C">
        <w:rPr>
          <w:lang w:val="es-CO"/>
        </w:rPr>
        <w:t>prisión. Trece personas se declararon no culpables y no intentaron negociar la pena</w:t>
      </w:r>
      <w:r w:rsidR="00B301F9" w:rsidRPr="00153A9C">
        <w:rPr>
          <w:lang w:val="es-CO"/>
        </w:rPr>
        <w:t xml:space="preserve">; se dictaron 2 penas de prisión </w:t>
      </w:r>
      <w:r w:rsidRPr="00153A9C">
        <w:rPr>
          <w:lang w:val="es-CO"/>
        </w:rPr>
        <w:t>condicional y 11 de prisión</w:t>
      </w:r>
      <w:r w:rsidR="00B301F9" w:rsidRPr="00153A9C">
        <w:rPr>
          <w:lang w:val="es-CO"/>
        </w:rPr>
        <w:t>; s</w:t>
      </w:r>
      <w:r w:rsidRPr="00153A9C">
        <w:rPr>
          <w:lang w:val="es-CO"/>
        </w:rPr>
        <w:t xml:space="preserve">e desestimaron </w:t>
      </w:r>
      <w:r w:rsidR="00B22D9D" w:rsidRPr="00153A9C">
        <w:rPr>
          <w:lang w:val="es-CO"/>
        </w:rPr>
        <w:t xml:space="preserve">3 </w:t>
      </w:r>
      <w:r w:rsidRPr="00153A9C">
        <w:rPr>
          <w:lang w:val="es-CO"/>
        </w:rPr>
        <w:t xml:space="preserve">acusaciones y hubo </w:t>
      </w:r>
      <w:r w:rsidR="00B22D9D" w:rsidRPr="00153A9C">
        <w:rPr>
          <w:lang w:val="es-CO"/>
        </w:rPr>
        <w:t xml:space="preserve">4 </w:t>
      </w:r>
      <w:r w:rsidR="00B301F9" w:rsidRPr="00153A9C">
        <w:rPr>
          <w:lang w:val="es-CO"/>
        </w:rPr>
        <w:t>ab</w:t>
      </w:r>
      <w:r w:rsidRPr="00153A9C">
        <w:rPr>
          <w:lang w:val="es-CO"/>
        </w:rPr>
        <w:t>soluciones. Doce veredictos originales fueron objeto de apelación.</w:t>
      </w:r>
      <w:r w:rsidR="00B22D9D" w:rsidRPr="00153A9C">
        <w:rPr>
          <w:lang w:val="es-CO"/>
        </w:rPr>
        <w:t xml:space="preserve"> </w:t>
      </w:r>
    </w:p>
    <w:p w:rsidR="00E275B9" w:rsidRPr="00153A9C" w:rsidRDefault="00E275B9" w:rsidP="00E738E3">
      <w:pPr>
        <w:pStyle w:val="SingleTxtG"/>
        <w:rPr>
          <w:lang w:val="es-CO"/>
        </w:rPr>
      </w:pPr>
      <w:r w:rsidRPr="00153A9C">
        <w:rPr>
          <w:lang w:val="es-CO"/>
        </w:rPr>
        <w:t xml:space="preserve">151. </w:t>
      </w:r>
      <w:r w:rsidRPr="00153A9C">
        <w:rPr>
          <w:lang w:val="es-CO"/>
        </w:rPr>
        <w:tab/>
        <w:t xml:space="preserve">Considerando la proporción de condenas de prisión impuestas en relación con las condenas condicionales y las multas, puede concluirse que la política penal se ha endurecido. Así, el sistema de negociación de penas dio lugar a </w:t>
      </w:r>
      <w:r w:rsidR="00B22D9D" w:rsidRPr="00153A9C">
        <w:rPr>
          <w:lang w:val="es-CO"/>
        </w:rPr>
        <w:t xml:space="preserve">7 </w:t>
      </w:r>
      <w:r w:rsidRPr="00153A9C">
        <w:rPr>
          <w:lang w:val="es-CO"/>
        </w:rPr>
        <w:t>condenas de prisión, y 11 personas fueron condenadas a prisión sin negociación de la pena, es decir, en un juicio. Se impusieron multas a s</w:t>
      </w:r>
      <w:r w:rsidR="007062E7">
        <w:rPr>
          <w:lang w:val="es-CO"/>
        </w:rPr>
        <w:t>o</w:t>
      </w:r>
      <w:r w:rsidRPr="00153A9C">
        <w:rPr>
          <w:lang w:val="es-CO"/>
        </w:rPr>
        <w:t xml:space="preserve">lo </w:t>
      </w:r>
      <w:r w:rsidR="00B22D9D" w:rsidRPr="00153A9C">
        <w:rPr>
          <w:lang w:val="es-CO"/>
        </w:rPr>
        <w:t xml:space="preserve">2 </w:t>
      </w:r>
      <w:r w:rsidRPr="00153A9C">
        <w:rPr>
          <w:lang w:val="es-CO"/>
        </w:rPr>
        <w:t xml:space="preserve">personas mediante el procedimiento de negociación de </w:t>
      </w:r>
      <w:smartTag w:uri="urn:schemas-microsoft-com:office:smarttags" w:element="PersonName">
        <w:smartTagPr>
          <w:attr w:name="ProductID" w:val="la pena. En"/>
        </w:smartTagPr>
        <w:r w:rsidRPr="00153A9C">
          <w:rPr>
            <w:lang w:val="es-CO"/>
          </w:rPr>
          <w:t>la pena. En</w:t>
        </w:r>
      </w:smartTag>
      <w:r w:rsidRPr="00153A9C">
        <w:rPr>
          <w:lang w:val="es-CO"/>
        </w:rPr>
        <w:t xml:space="preserve"> relación con el número total de condenas, se desestimaron</w:t>
      </w:r>
      <w:r w:rsidR="000D374F" w:rsidRPr="00153A9C">
        <w:rPr>
          <w:lang w:val="es-CO"/>
        </w:rPr>
        <w:t xml:space="preserve"> 3 </w:t>
      </w:r>
      <w:r w:rsidRPr="00153A9C">
        <w:rPr>
          <w:lang w:val="es-CO"/>
        </w:rPr>
        <w:t xml:space="preserve">acusaciones y </w:t>
      </w:r>
      <w:r w:rsidR="000D374F" w:rsidRPr="00153A9C">
        <w:rPr>
          <w:lang w:val="es-CO"/>
        </w:rPr>
        <w:t xml:space="preserve">4 </w:t>
      </w:r>
      <w:r w:rsidRPr="00153A9C">
        <w:rPr>
          <w:lang w:val="es-CO"/>
        </w:rPr>
        <w:t xml:space="preserve">personas fueron absueltas. En 2006, se apelaron 23 veredictos de primera instancia, 12 de ellos por iniciativa del fiscal y 11 por decisión del acusado. A raíz de las apelaciones, los tribunales de apelación dictaron un total de 17 veredictos finales y vinculantes, </w:t>
      </w:r>
      <w:r w:rsidR="00B301F9" w:rsidRPr="00153A9C">
        <w:rPr>
          <w:lang w:val="es-CO"/>
        </w:rPr>
        <w:t xml:space="preserve">en </w:t>
      </w:r>
      <w:r w:rsidRPr="00153A9C">
        <w:rPr>
          <w:lang w:val="es-CO"/>
        </w:rPr>
        <w:t xml:space="preserve">10 de los cuales </w:t>
      </w:r>
      <w:r w:rsidR="00B301F9" w:rsidRPr="00153A9C">
        <w:rPr>
          <w:lang w:val="es-CO"/>
        </w:rPr>
        <w:t xml:space="preserve">se </w:t>
      </w:r>
      <w:r w:rsidRPr="00153A9C">
        <w:rPr>
          <w:lang w:val="es-CO"/>
        </w:rPr>
        <w:t xml:space="preserve">impusieron </w:t>
      </w:r>
      <w:r w:rsidR="001F0A71" w:rsidRPr="00153A9C">
        <w:rPr>
          <w:lang w:val="es-CO"/>
        </w:rPr>
        <w:t xml:space="preserve">penas </w:t>
      </w:r>
      <w:r w:rsidRPr="00153A9C">
        <w:rPr>
          <w:lang w:val="es-CO"/>
        </w:rPr>
        <w:t>de prisión</w:t>
      </w:r>
      <w:r w:rsidR="00B301F9" w:rsidRPr="00153A9C">
        <w:rPr>
          <w:lang w:val="es-CO"/>
        </w:rPr>
        <w:t>;</w:t>
      </w:r>
      <w:r w:rsidRPr="00153A9C">
        <w:rPr>
          <w:lang w:val="es-CO"/>
        </w:rPr>
        <w:t xml:space="preserve"> </w:t>
      </w:r>
      <w:r w:rsidR="000D374F" w:rsidRPr="00153A9C">
        <w:rPr>
          <w:lang w:val="es-CO"/>
        </w:rPr>
        <w:t xml:space="preserve">2 </w:t>
      </w:r>
      <w:r w:rsidRPr="00153A9C">
        <w:rPr>
          <w:lang w:val="es-CO"/>
        </w:rPr>
        <w:t xml:space="preserve">personas recibieron una condena condicional. Se impuso multa a una persona y tres acusaciones se desestimaron y una persona fue absuelta. </w:t>
      </w:r>
      <w:r w:rsidR="00B301F9" w:rsidRPr="00153A9C">
        <w:rPr>
          <w:lang w:val="es-CO"/>
        </w:rPr>
        <w:t xml:space="preserve">Las </w:t>
      </w:r>
      <w:r w:rsidRPr="00153A9C">
        <w:rPr>
          <w:lang w:val="es-CO"/>
        </w:rPr>
        <w:t xml:space="preserve">personas condenadas </w:t>
      </w:r>
      <w:r w:rsidR="008B4B7E" w:rsidRPr="00153A9C">
        <w:rPr>
          <w:lang w:val="es-CO"/>
        </w:rPr>
        <w:t xml:space="preserve">que ingresaron en </w:t>
      </w:r>
      <w:r w:rsidR="00B301F9" w:rsidRPr="00153A9C">
        <w:rPr>
          <w:lang w:val="es-CO"/>
        </w:rPr>
        <w:t xml:space="preserve">prisión fueron </w:t>
      </w:r>
      <w:r w:rsidR="000D374F" w:rsidRPr="00153A9C">
        <w:rPr>
          <w:lang w:val="es-CO"/>
        </w:rPr>
        <w:t>9</w:t>
      </w:r>
      <w:r w:rsidRPr="00153A9C">
        <w:rPr>
          <w:lang w:val="es-CO"/>
        </w:rPr>
        <w:t xml:space="preserve">, mientras que </w:t>
      </w:r>
      <w:r w:rsidR="000D374F" w:rsidRPr="00153A9C">
        <w:rPr>
          <w:lang w:val="es-CO"/>
        </w:rPr>
        <w:t xml:space="preserve">8 </w:t>
      </w:r>
      <w:r w:rsidRPr="00153A9C">
        <w:rPr>
          <w:lang w:val="es-CO"/>
        </w:rPr>
        <w:t xml:space="preserve">que recibieron condenas definitivas están </w:t>
      </w:r>
      <w:r w:rsidR="008B4B7E" w:rsidRPr="00153A9C">
        <w:rPr>
          <w:lang w:val="es-CO"/>
        </w:rPr>
        <w:t xml:space="preserve">a la espera de </w:t>
      </w:r>
      <w:r w:rsidRPr="00153A9C">
        <w:rPr>
          <w:lang w:val="es-CO"/>
        </w:rPr>
        <w:t xml:space="preserve">cumplir </w:t>
      </w:r>
      <w:r w:rsidR="001F0A71" w:rsidRPr="00153A9C">
        <w:rPr>
          <w:lang w:val="es-CO"/>
        </w:rPr>
        <w:t>la pena</w:t>
      </w:r>
      <w:r w:rsidRPr="00153A9C">
        <w:rPr>
          <w:lang w:val="es-CO"/>
        </w:rPr>
        <w:t>.</w:t>
      </w:r>
    </w:p>
    <w:p w:rsidR="00E275B9" w:rsidRPr="00153A9C" w:rsidRDefault="00E275B9" w:rsidP="00E738E3">
      <w:pPr>
        <w:pStyle w:val="SingleTxtG"/>
        <w:spacing w:after="240"/>
        <w:rPr>
          <w:lang w:val="es-CO"/>
        </w:rPr>
      </w:pPr>
      <w:r w:rsidRPr="00153A9C">
        <w:rPr>
          <w:lang w:val="es-CO"/>
        </w:rPr>
        <w:t xml:space="preserve">152. </w:t>
      </w:r>
      <w:r w:rsidRPr="00153A9C">
        <w:rPr>
          <w:lang w:val="es-CO"/>
        </w:rPr>
        <w:tab/>
        <w:t>En el cuadro siguiente puede observarse la estructura de los delitos de trata de personas y delitos conexos y su relación mutua en 2005 y 2006.</w:t>
      </w:r>
    </w:p>
    <w:p w:rsidR="00E275B9" w:rsidRPr="00153A9C" w:rsidRDefault="00E738E3" w:rsidP="00E738E3">
      <w:pPr>
        <w:pStyle w:val="Heading1"/>
        <w:rPr>
          <w:lang w:val="es-CO"/>
        </w:rPr>
      </w:pPr>
      <w:r>
        <w:rPr>
          <w:lang w:val="es-CO"/>
        </w:rPr>
        <w:t>Cuadro 5</w:t>
      </w:r>
    </w:p>
    <w:p w:rsidR="00E275B9" w:rsidRDefault="00E275B9" w:rsidP="00E738E3">
      <w:pPr>
        <w:pStyle w:val="SingleTxtG"/>
        <w:jc w:val="left"/>
        <w:rPr>
          <w:b/>
          <w:lang w:val="es-CO"/>
        </w:rPr>
      </w:pPr>
      <w:r w:rsidRPr="00E738E3">
        <w:rPr>
          <w:b/>
          <w:lang w:val="es-CO"/>
        </w:rPr>
        <w:t xml:space="preserve">Estructura de los delitos de trata de seres humanos y delitos conexos, y </w:t>
      </w:r>
      <w:r w:rsidR="008B4B7E" w:rsidRPr="00E738E3">
        <w:rPr>
          <w:b/>
          <w:lang w:val="es-CO"/>
        </w:rPr>
        <w:t xml:space="preserve">su </w:t>
      </w:r>
      <w:r w:rsidRPr="00E738E3">
        <w:rPr>
          <w:b/>
          <w:lang w:val="es-CO"/>
        </w:rPr>
        <w:t>relación mutua</w:t>
      </w:r>
      <w:r w:rsidR="008B4B7E" w:rsidRPr="00E738E3">
        <w:rPr>
          <w:b/>
          <w:lang w:val="es-CO"/>
        </w:rPr>
        <w:t>,</w:t>
      </w:r>
      <w:r w:rsidRPr="00E738E3">
        <w:rPr>
          <w:b/>
          <w:lang w:val="es-CO"/>
        </w:rPr>
        <w:t xml:space="preserve"> en 2005 y 2006</w:t>
      </w:r>
    </w:p>
    <w:tbl>
      <w:tblPr>
        <w:tblW w:w="9639" w:type="dxa"/>
        <w:jc w:val="center"/>
        <w:tblLayout w:type="fixed"/>
        <w:tblCellMar>
          <w:left w:w="0" w:type="dxa"/>
          <w:right w:w="0" w:type="dxa"/>
        </w:tblCellMar>
        <w:tblLook w:val="01E0"/>
      </w:tblPr>
      <w:tblGrid>
        <w:gridCol w:w="4998"/>
        <w:gridCol w:w="773"/>
        <w:gridCol w:w="774"/>
        <w:gridCol w:w="773"/>
        <w:gridCol w:w="774"/>
        <w:gridCol w:w="773"/>
        <w:gridCol w:w="774"/>
      </w:tblGrid>
      <w:tr w:rsidR="00252068" w:rsidRPr="008E7AA1">
        <w:trPr>
          <w:jc w:val="center"/>
        </w:trPr>
        <w:tc>
          <w:tcPr>
            <w:tcW w:w="4998" w:type="dxa"/>
            <w:vMerge w:val="restart"/>
            <w:tcBorders>
              <w:top w:val="single" w:sz="4" w:space="0" w:color="auto"/>
            </w:tcBorders>
            <w:shd w:val="clear" w:color="auto" w:fill="auto"/>
            <w:vAlign w:val="bottom"/>
          </w:tcPr>
          <w:p w:rsidR="00252068" w:rsidRPr="008E7AA1" w:rsidRDefault="00252068" w:rsidP="00252068">
            <w:pPr>
              <w:spacing w:before="80" w:after="80" w:line="200" w:lineRule="exact"/>
              <w:rPr>
                <w:i/>
                <w:sz w:val="16"/>
              </w:rPr>
            </w:pPr>
            <w:r w:rsidRPr="00153A9C">
              <w:rPr>
                <w:i/>
                <w:sz w:val="16"/>
                <w:lang w:val="es-CO"/>
              </w:rPr>
              <w:t>Delito penal</w:t>
            </w:r>
          </w:p>
        </w:tc>
        <w:tc>
          <w:tcPr>
            <w:tcW w:w="1547" w:type="dxa"/>
            <w:gridSpan w:val="2"/>
            <w:tcBorders>
              <w:top w:val="single" w:sz="4" w:space="0" w:color="auto"/>
              <w:bottom w:val="single" w:sz="4" w:space="0" w:color="auto"/>
              <w:right w:val="single" w:sz="24" w:space="0" w:color="FFFFFF"/>
            </w:tcBorders>
            <w:shd w:val="clear" w:color="auto" w:fill="auto"/>
            <w:vAlign w:val="bottom"/>
          </w:tcPr>
          <w:p w:rsidR="00252068" w:rsidRPr="000000F5" w:rsidRDefault="00252068" w:rsidP="00252068">
            <w:pPr>
              <w:spacing w:before="80" w:after="80" w:line="200" w:lineRule="exact"/>
              <w:jc w:val="center"/>
              <w:rPr>
                <w:b/>
                <w:i/>
                <w:sz w:val="16"/>
                <w:u w:val="single"/>
              </w:rPr>
            </w:pPr>
            <w:r w:rsidRPr="00153A9C">
              <w:rPr>
                <w:i/>
                <w:sz w:val="16"/>
                <w:lang w:val="es-CO"/>
              </w:rPr>
              <w:t>Número de delitos penales denunciados</w:t>
            </w:r>
          </w:p>
        </w:tc>
        <w:tc>
          <w:tcPr>
            <w:tcW w:w="1547"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252068" w:rsidRPr="000000F5" w:rsidRDefault="00252068" w:rsidP="00252068">
            <w:pPr>
              <w:spacing w:before="80" w:after="80" w:line="200" w:lineRule="exact"/>
              <w:jc w:val="center"/>
              <w:rPr>
                <w:b/>
                <w:i/>
                <w:sz w:val="16"/>
                <w:u w:val="single"/>
              </w:rPr>
            </w:pPr>
            <w:r w:rsidRPr="00153A9C">
              <w:rPr>
                <w:i/>
                <w:sz w:val="16"/>
                <w:lang w:val="es-CO"/>
              </w:rPr>
              <w:t xml:space="preserve">Número de delitos </w:t>
            </w:r>
            <w:r>
              <w:rPr>
                <w:i/>
                <w:sz w:val="16"/>
                <w:lang w:val="es-CO"/>
              </w:rPr>
              <w:br/>
            </w:r>
            <w:r w:rsidRPr="00153A9C">
              <w:rPr>
                <w:i/>
                <w:sz w:val="16"/>
                <w:lang w:val="es-CO"/>
              </w:rPr>
              <w:t>penales denunciados</w:t>
            </w:r>
          </w:p>
        </w:tc>
        <w:tc>
          <w:tcPr>
            <w:tcW w:w="1547"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252068" w:rsidRPr="008E7AA1" w:rsidRDefault="00252068" w:rsidP="00252068">
            <w:pPr>
              <w:spacing w:before="80" w:after="80" w:line="200" w:lineRule="exact"/>
              <w:jc w:val="center"/>
              <w:rPr>
                <w:i/>
                <w:sz w:val="16"/>
              </w:rPr>
            </w:pPr>
            <w:r w:rsidRPr="00153A9C">
              <w:rPr>
                <w:i/>
                <w:sz w:val="16"/>
                <w:lang w:val="es-CO"/>
              </w:rPr>
              <w:t xml:space="preserve">Número </w:t>
            </w:r>
            <w:r>
              <w:rPr>
                <w:i/>
                <w:sz w:val="16"/>
                <w:lang w:val="es-CO"/>
              </w:rPr>
              <w:br/>
            </w:r>
            <w:r w:rsidRPr="00153A9C">
              <w:rPr>
                <w:i/>
                <w:sz w:val="16"/>
                <w:lang w:val="es-CO"/>
              </w:rPr>
              <w:t>de víctimas</w:t>
            </w:r>
          </w:p>
        </w:tc>
      </w:tr>
      <w:tr w:rsidR="00252068" w:rsidRPr="008E7AA1">
        <w:trPr>
          <w:jc w:val="center"/>
        </w:trPr>
        <w:tc>
          <w:tcPr>
            <w:tcW w:w="4998" w:type="dxa"/>
            <w:vMerge/>
            <w:tcBorders>
              <w:bottom w:val="single" w:sz="12" w:space="0" w:color="auto"/>
            </w:tcBorders>
            <w:shd w:val="clear" w:color="auto" w:fill="auto"/>
            <w:vAlign w:val="bottom"/>
          </w:tcPr>
          <w:p w:rsidR="00252068" w:rsidRPr="008E7AA1" w:rsidRDefault="00252068" w:rsidP="00252068">
            <w:pPr>
              <w:spacing w:before="80" w:after="80" w:line="200" w:lineRule="exact"/>
              <w:rPr>
                <w:i/>
                <w:sz w:val="16"/>
              </w:rPr>
            </w:pPr>
          </w:p>
        </w:tc>
        <w:tc>
          <w:tcPr>
            <w:tcW w:w="773" w:type="dxa"/>
            <w:tcBorders>
              <w:top w:val="single" w:sz="4" w:space="0" w:color="auto"/>
              <w:bottom w:val="single" w:sz="12" w:space="0" w:color="auto"/>
            </w:tcBorders>
            <w:shd w:val="clear" w:color="auto" w:fill="auto"/>
            <w:vAlign w:val="bottom"/>
          </w:tcPr>
          <w:p w:rsidR="00252068" w:rsidRPr="008E7AA1" w:rsidRDefault="00252068" w:rsidP="00252068">
            <w:pPr>
              <w:spacing w:before="80" w:after="80" w:line="200" w:lineRule="exact"/>
              <w:jc w:val="right"/>
              <w:rPr>
                <w:i/>
                <w:sz w:val="16"/>
              </w:rPr>
            </w:pPr>
            <w:r w:rsidRPr="008E7AA1">
              <w:rPr>
                <w:i/>
                <w:sz w:val="16"/>
              </w:rPr>
              <w:t>2005</w:t>
            </w:r>
          </w:p>
        </w:tc>
        <w:tc>
          <w:tcPr>
            <w:tcW w:w="774" w:type="dxa"/>
            <w:tcBorders>
              <w:top w:val="single" w:sz="4" w:space="0" w:color="auto"/>
              <w:bottom w:val="single" w:sz="12" w:space="0" w:color="auto"/>
              <w:right w:val="single" w:sz="24" w:space="0" w:color="FFFFFF"/>
            </w:tcBorders>
            <w:shd w:val="clear" w:color="auto" w:fill="auto"/>
            <w:vAlign w:val="bottom"/>
          </w:tcPr>
          <w:p w:rsidR="00252068" w:rsidRPr="008E7AA1" w:rsidRDefault="00252068" w:rsidP="00252068">
            <w:pPr>
              <w:spacing w:before="80" w:after="80" w:line="200" w:lineRule="exact"/>
              <w:jc w:val="right"/>
              <w:rPr>
                <w:i/>
                <w:sz w:val="16"/>
              </w:rPr>
            </w:pPr>
            <w:r w:rsidRPr="008E7AA1">
              <w:rPr>
                <w:i/>
                <w:sz w:val="16"/>
              </w:rPr>
              <w:t>2006</w:t>
            </w:r>
          </w:p>
        </w:tc>
        <w:tc>
          <w:tcPr>
            <w:tcW w:w="773" w:type="dxa"/>
            <w:tcBorders>
              <w:top w:val="single" w:sz="4" w:space="0" w:color="auto"/>
              <w:left w:val="single" w:sz="24" w:space="0" w:color="FFFFFF"/>
              <w:bottom w:val="single" w:sz="12" w:space="0" w:color="auto"/>
            </w:tcBorders>
            <w:shd w:val="clear" w:color="auto" w:fill="auto"/>
            <w:vAlign w:val="bottom"/>
          </w:tcPr>
          <w:p w:rsidR="00252068" w:rsidRPr="008E7AA1" w:rsidRDefault="00252068" w:rsidP="00252068">
            <w:pPr>
              <w:spacing w:before="80" w:after="80" w:line="200" w:lineRule="exact"/>
              <w:jc w:val="right"/>
              <w:rPr>
                <w:i/>
                <w:sz w:val="16"/>
              </w:rPr>
            </w:pPr>
            <w:r w:rsidRPr="008E7AA1">
              <w:rPr>
                <w:i/>
                <w:sz w:val="16"/>
              </w:rPr>
              <w:t>2005</w:t>
            </w:r>
          </w:p>
        </w:tc>
        <w:tc>
          <w:tcPr>
            <w:tcW w:w="774" w:type="dxa"/>
            <w:tcBorders>
              <w:top w:val="single" w:sz="4" w:space="0" w:color="auto"/>
              <w:bottom w:val="single" w:sz="12" w:space="0" w:color="auto"/>
              <w:right w:val="single" w:sz="24" w:space="0" w:color="FFFFFF"/>
            </w:tcBorders>
            <w:shd w:val="clear" w:color="auto" w:fill="auto"/>
            <w:vAlign w:val="bottom"/>
          </w:tcPr>
          <w:p w:rsidR="00252068" w:rsidRPr="008E7AA1" w:rsidRDefault="00252068" w:rsidP="00252068">
            <w:pPr>
              <w:spacing w:before="80" w:after="80" w:line="200" w:lineRule="exact"/>
              <w:jc w:val="right"/>
              <w:rPr>
                <w:i/>
                <w:sz w:val="16"/>
              </w:rPr>
            </w:pPr>
            <w:r w:rsidRPr="008E7AA1">
              <w:rPr>
                <w:i/>
                <w:sz w:val="16"/>
              </w:rPr>
              <w:t>2006</w:t>
            </w:r>
          </w:p>
        </w:tc>
        <w:tc>
          <w:tcPr>
            <w:tcW w:w="773" w:type="dxa"/>
            <w:tcBorders>
              <w:top w:val="single" w:sz="4" w:space="0" w:color="auto"/>
              <w:left w:val="single" w:sz="24" w:space="0" w:color="FFFFFF"/>
              <w:bottom w:val="single" w:sz="12" w:space="0" w:color="auto"/>
            </w:tcBorders>
            <w:shd w:val="clear" w:color="auto" w:fill="auto"/>
            <w:vAlign w:val="bottom"/>
          </w:tcPr>
          <w:p w:rsidR="00252068" w:rsidRPr="008E7AA1" w:rsidRDefault="00252068" w:rsidP="00252068">
            <w:pPr>
              <w:spacing w:before="80" w:after="80" w:line="200" w:lineRule="exact"/>
              <w:jc w:val="right"/>
              <w:rPr>
                <w:i/>
                <w:sz w:val="16"/>
              </w:rPr>
            </w:pPr>
            <w:r w:rsidRPr="008E7AA1">
              <w:rPr>
                <w:i/>
                <w:sz w:val="16"/>
              </w:rPr>
              <w:t>2005</w:t>
            </w:r>
          </w:p>
        </w:tc>
        <w:tc>
          <w:tcPr>
            <w:tcW w:w="774" w:type="dxa"/>
            <w:tcBorders>
              <w:top w:val="single" w:sz="4" w:space="0" w:color="auto"/>
              <w:bottom w:val="single" w:sz="12" w:space="0" w:color="auto"/>
            </w:tcBorders>
            <w:shd w:val="clear" w:color="auto" w:fill="auto"/>
            <w:vAlign w:val="bottom"/>
          </w:tcPr>
          <w:p w:rsidR="00252068" w:rsidRPr="008E7AA1" w:rsidRDefault="00252068" w:rsidP="00252068">
            <w:pPr>
              <w:spacing w:before="80" w:after="80" w:line="200" w:lineRule="exact"/>
              <w:jc w:val="right"/>
              <w:rPr>
                <w:i/>
                <w:sz w:val="16"/>
              </w:rPr>
            </w:pPr>
            <w:r w:rsidRPr="008E7AA1">
              <w:rPr>
                <w:i/>
                <w:sz w:val="16"/>
              </w:rPr>
              <w:t>2006</w:t>
            </w:r>
          </w:p>
        </w:tc>
      </w:tr>
      <w:tr w:rsidR="00252068" w:rsidRPr="008E7AA1">
        <w:trPr>
          <w:jc w:val="center"/>
        </w:trPr>
        <w:tc>
          <w:tcPr>
            <w:tcW w:w="4998" w:type="dxa"/>
            <w:tcBorders>
              <w:top w:val="single" w:sz="12" w:space="0" w:color="auto"/>
            </w:tcBorders>
            <w:shd w:val="clear" w:color="auto" w:fill="auto"/>
            <w:vAlign w:val="bottom"/>
          </w:tcPr>
          <w:p w:rsidR="00252068" w:rsidRPr="00153A9C" w:rsidRDefault="00252068" w:rsidP="00252068">
            <w:pPr>
              <w:tabs>
                <w:tab w:val="left" w:pos="540"/>
              </w:tabs>
              <w:spacing w:before="40" w:after="40" w:line="220" w:lineRule="exact"/>
              <w:rPr>
                <w:sz w:val="18"/>
                <w:lang w:val="es-CO"/>
              </w:rPr>
            </w:pPr>
            <w:r w:rsidRPr="00153A9C">
              <w:rPr>
                <w:sz w:val="18"/>
                <w:szCs w:val="18"/>
                <w:lang w:val="es-CO"/>
              </w:rPr>
              <w:t>Sometimiento a esclavitud: art. 185, Código Civil de Bosnia y Herzegovina</w:t>
            </w:r>
          </w:p>
        </w:tc>
        <w:tc>
          <w:tcPr>
            <w:tcW w:w="773" w:type="dxa"/>
            <w:tcBorders>
              <w:top w:val="single" w:sz="12" w:space="0" w:color="auto"/>
            </w:tcBorders>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w:t>
            </w:r>
          </w:p>
        </w:tc>
        <w:tc>
          <w:tcPr>
            <w:tcW w:w="774" w:type="dxa"/>
            <w:tcBorders>
              <w:top w:val="single" w:sz="12" w:space="0" w:color="auto"/>
            </w:tcBorders>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2</w:t>
            </w:r>
          </w:p>
        </w:tc>
        <w:tc>
          <w:tcPr>
            <w:tcW w:w="773" w:type="dxa"/>
            <w:tcBorders>
              <w:top w:val="single" w:sz="12" w:space="0" w:color="auto"/>
            </w:tcBorders>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w:t>
            </w:r>
          </w:p>
        </w:tc>
        <w:tc>
          <w:tcPr>
            <w:tcW w:w="774" w:type="dxa"/>
            <w:tcBorders>
              <w:top w:val="single" w:sz="12" w:space="0" w:color="auto"/>
            </w:tcBorders>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2</w:t>
            </w:r>
          </w:p>
        </w:tc>
        <w:tc>
          <w:tcPr>
            <w:tcW w:w="773" w:type="dxa"/>
            <w:tcBorders>
              <w:top w:val="single" w:sz="12" w:space="0" w:color="auto"/>
            </w:tcBorders>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w:t>
            </w:r>
          </w:p>
        </w:tc>
        <w:tc>
          <w:tcPr>
            <w:tcW w:w="774" w:type="dxa"/>
            <w:tcBorders>
              <w:top w:val="single" w:sz="12" w:space="0" w:color="auto"/>
            </w:tcBorders>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1</w:t>
            </w:r>
          </w:p>
        </w:tc>
      </w:tr>
      <w:tr w:rsidR="00252068" w:rsidRPr="008E7AA1">
        <w:trPr>
          <w:jc w:val="center"/>
        </w:trPr>
        <w:tc>
          <w:tcPr>
            <w:tcW w:w="4998" w:type="dxa"/>
            <w:shd w:val="clear" w:color="auto" w:fill="auto"/>
            <w:vAlign w:val="bottom"/>
          </w:tcPr>
          <w:p w:rsidR="00252068" w:rsidRPr="00153A9C" w:rsidRDefault="00252068" w:rsidP="00252068">
            <w:pPr>
              <w:tabs>
                <w:tab w:val="left" w:pos="540"/>
              </w:tabs>
              <w:spacing w:before="40" w:after="40" w:line="220" w:lineRule="exact"/>
              <w:rPr>
                <w:sz w:val="18"/>
                <w:lang w:val="es-CO"/>
              </w:rPr>
            </w:pPr>
            <w:r w:rsidRPr="00153A9C">
              <w:rPr>
                <w:sz w:val="18"/>
                <w:szCs w:val="18"/>
                <w:lang w:val="es-CO"/>
              </w:rPr>
              <w:t>Trata de personas: art. 186, Código Civil de Bosnia y Herzegovina</w:t>
            </w:r>
          </w:p>
        </w:tc>
        <w:tc>
          <w:tcPr>
            <w:tcW w:w="773"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15</w:t>
            </w:r>
          </w:p>
        </w:tc>
        <w:tc>
          <w:tcPr>
            <w:tcW w:w="774"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17</w:t>
            </w:r>
            <w:r w:rsidRPr="00252068">
              <w:rPr>
                <w:i/>
                <w:sz w:val="18"/>
                <w:vertAlign w:val="superscript"/>
              </w:rPr>
              <w:t>12</w:t>
            </w:r>
          </w:p>
        </w:tc>
        <w:tc>
          <w:tcPr>
            <w:tcW w:w="773"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35</w:t>
            </w:r>
          </w:p>
        </w:tc>
        <w:tc>
          <w:tcPr>
            <w:tcW w:w="774"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45</w:t>
            </w:r>
          </w:p>
        </w:tc>
        <w:tc>
          <w:tcPr>
            <w:tcW w:w="773"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27</w:t>
            </w:r>
          </w:p>
        </w:tc>
        <w:tc>
          <w:tcPr>
            <w:tcW w:w="774"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23</w:t>
            </w:r>
          </w:p>
        </w:tc>
      </w:tr>
      <w:tr w:rsidR="00252068" w:rsidRPr="008E7AA1">
        <w:trPr>
          <w:jc w:val="center"/>
        </w:trPr>
        <w:tc>
          <w:tcPr>
            <w:tcW w:w="4998" w:type="dxa"/>
            <w:shd w:val="clear" w:color="auto" w:fill="auto"/>
            <w:vAlign w:val="bottom"/>
          </w:tcPr>
          <w:p w:rsidR="00252068" w:rsidRPr="00153A9C" w:rsidRDefault="00252068" w:rsidP="00252068">
            <w:pPr>
              <w:tabs>
                <w:tab w:val="left" w:pos="540"/>
              </w:tabs>
              <w:spacing w:before="40" w:after="40" w:line="220" w:lineRule="exact"/>
              <w:rPr>
                <w:sz w:val="18"/>
                <w:lang w:val="es-CO"/>
              </w:rPr>
            </w:pPr>
            <w:r w:rsidRPr="00153A9C">
              <w:rPr>
                <w:sz w:val="18"/>
                <w:szCs w:val="18"/>
                <w:lang w:val="es-CO"/>
              </w:rPr>
              <w:t>Proxenetismo internacional: art. 187, Código Civil de Bosnia y Herzegovina</w:t>
            </w:r>
          </w:p>
        </w:tc>
        <w:tc>
          <w:tcPr>
            <w:tcW w:w="773"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w:t>
            </w:r>
          </w:p>
        </w:tc>
        <w:tc>
          <w:tcPr>
            <w:tcW w:w="774"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3</w:t>
            </w:r>
          </w:p>
        </w:tc>
        <w:tc>
          <w:tcPr>
            <w:tcW w:w="773"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w:t>
            </w:r>
          </w:p>
        </w:tc>
        <w:tc>
          <w:tcPr>
            <w:tcW w:w="774"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9</w:t>
            </w:r>
          </w:p>
        </w:tc>
        <w:tc>
          <w:tcPr>
            <w:tcW w:w="773"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w:t>
            </w:r>
          </w:p>
        </w:tc>
        <w:tc>
          <w:tcPr>
            <w:tcW w:w="774"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3</w:t>
            </w:r>
          </w:p>
        </w:tc>
      </w:tr>
      <w:tr w:rsidR="00252068" w:rsidRPr="008E7AA1">
        <w:trPr>
          <w:jc w:val="center"/>
        </w:trPr>
        <w:tc>
          <w:tcPr>
            <w:tcW w:w="4998" w:type="dxa"/>
            <w:shd w:val="clear" w:color="auto" w:fill="auto"/>
            <w:vAlign w:val="bottom"/>
          </w:tcPr>
          <w:p w:rsidR="00252068" w:rsidRPr="00153A9C" w:rsidRDefault="00252068" w:rsidP="00252068">
            <w:pPr>
              <w:tabs>
                <w:tab w:val="left" w:pos="540"/>
              </w:tabs>
              <w:spacing w:before="40" w:after="40" w:line="220" w:lineRule="exact"/>
              <w:rPr>
                <w:sz w:val="18"/>
                <w:lang w:val="es-CO"/>
              </w:rPr>
            </w:pPr>
            <w:r w:rsidRPr="00153A9C">
              <w:rPr>
                <w:sz w:val="18"/>
                <w:szCs w:val="18"/>
                <w:lang w:val="es-CO"/>
              </w:rPr>
              <w:t>Retención ilegal de documentos de identidad: art.</w:t>
            </w:r>
            <w:r>
              <w:rPr>
                <w:sz w:val="18"/>
                <w:szCs w:val="18"/>
                <w:lang w:val="es-CO"/>
              </w:rPr>
              <w:t xml:space="preserve"> </w:t>
            </w:r>
            <w:r w:rsidRPr="00153A9C">
              <w:rPr>
                <w:sz w:val="18"/>
                <w:szCs w:val="18"/>
                <w:lang w:val="es-CO"/>
              </w:rPr>
              <w:t>188, Código Civil de Bosnia y Herzegovina</w:t>
            </w:r>
          </w:p>
        </w:tc>
        <w:tc>
          <w:tcPr>
            <w:tcW w:w="773"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3</w:t>
            </w:r>
          </w:p>
        </w:tc>
        <w:tc>
          <w:tcPr>
            <w:tcW w:w="774"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2</w:t>
            </w:r>
          </w:p>
        </w:tc>
        <w:tc>
          <w:tcPr>
            <w:tcW w:w="773"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3</w:t>
            </w:r>
          </w:p>
        </w:tc>
        <w:tc>
          <w:tcPr>
            <w:tcW w:w="774"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6</w:t>
            </w:r>
          </w:p>
        </w:tc>
        <w:tc>
          <w:tcPr>
            <w:tcW w:w="773"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3</w:t>
            </w:r>
          </w:p>
        </w:tc>
        <w:tc>
          <w:tcPr>
            <w:tcW w:w="774"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5</w:t>
            </w:r>
          </w:p>
        </w:tc>
      </w:tr>
      <w:tr w:rsidR="00252068" w:rsidRPr="008E7AA1">
        <w:trPr>
          <w:jc w:val="center"/>
        </w:trPr>
        <w:tc>
          <w:tcPr>
            <w:tcW w:w="4998" w:type="dxa"/>
            <w:shd w:val="clear" w:color="auto" w:fill="auto"/>
            <w:vAlign w:val="bottom"/>
          </w:tcPr>
          <w:p w:rsidR="00252068" w:rsidRPr="00153A9C" w:rsidRDefault="00252068" w:rsidP="00252068">
            <w:pPr>
              <w:tabs>
                <w:tab w:val="left" w:pos="540"/>
              </w:tabs>
              <w:spacing w:before="40" w:after="40" w:line="220" w:lineRule="exact"/>
              <w:rPr>
                <w:sz w:val="18"/>
                <w:lang w:val="es-CO"/>
              </w:rPr>
            </w:pPr>
            <w:r w:rsidRPr="00153A9C">
              <w:rPr>
                <w:sz w:val="18"/>
                <w:szCs w:val="18"/>
                <w:lang w:val="es-CO"/>
              </w:rPr>
              <w:t>Incitación a la prostitución: art. 210, Código civil de la Federación de Bosnia y Herzegovina</w:t>
            </w:r>
          </w:p>
        </w:tc>
        <w:tc>
          <w:tcPr>
            <w:tcW w:w="773"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10</w:t>
            </w:r>
          </w:p>
        </w:tc>
        <w:tc>
          <w:tcPr>
            <w:tcW w:w="774"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8</w:t>
            </w:r>
          </w:p>
        </w:tc>
        <w:tc>
          <w:tcPr>
            <w:tcW w:w="773"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10</w:t>
            </w:r>
          </w:p>
        </w:tc>
        <w:tc>
          <w:tcPr>
            <w:tcW w:w="774"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13</w:t>
            </w:r>
          </w:p>
        </w:tc>
        <w:tc>
          <w:tcPr>
            <w:tcW w:w="773"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14</w:t>
            </w:r>
          </w:p>
        </w:tc>
        <w:tc>
          <w:tcPr>
            <w:tcW w:w="774"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8</w:t>
            </w:r>
          </w:p>
        </w:tc>
      </w:tr>
      <w:tr w:rsidR="00252068" w:rsidRPr="008E7AA1">
        <w:trPr>
          <w:jc w:val="center"/>
        </w:trPr>
        <w:tc>
          <w:tcPr>
            <w:tcW w:w="4998" w:type="dxa"/>
            <w:shd w:val="clear" w:color="auto" w:fill="auto"/>
            <w:vAlign w:val="bottom"/>
          </w:tcPr>
          <w:p w:rsidR="00252068" w:rsidRPr="00153A9C" w:rsidRDefault="00252068" w:rsidP="00252068">
            <w:pPr>
              <w:tabs>
                <w:tab w:val="left" w:pos="540"/>
              </w:tabs>
              <w:spacing w:before="40" w:after="40" w:line="220" w:lineRule="exact"/>
              <w:rPr>
                <w:sz w:val="18"/>
                <w:lang w:val="es-CO"/>
              </w:rPr>
            </w:pPr>
            <w:r w:rsidRPr="00153A9C">
              <w:rPr>
                <w:sz w:val="18"/>
                <w:szCs w:val="18"/>
                <w:lang w:val="es-CO"/>
              </w:rPr>
              <w:t>Trata de personas con fines de prostitución: art.</w:t>
            </w:r>
            <w:r>
              <w:rPr>
                <w:sz w:val="18"/>
                <w:szCs w:val="18"/>
                <w:lang w:val="es-CO"/>
              </w:rPr>
              <w:t xml:space="preserve"> </w:t>
            </w:r>
            <w:r w:rsidRPr="00153A9C">
              <w:rPr>
                <w:sz w:val="18"/>
                <w:szCs w:val="18"/>
                <w:lang w:val="es-CO"/>
              </w:rPr>
              <w:t xml:space="preserve">198, Código Civil </w:t>
            </w:r>
            <w:r w:rsidR="00CF1A87">
              <w:rPr>
                <w:sz w:val="18"/>
                <w:szCs w:val="18"/>
                <w:lang w:val="es-CO"/>
              </w:rPr>
              <w:br/>
            </w:r>
            <w:r w:rsidRPr="00153A9C">
              <w:rPr>
                <w:sz w:val="18"/>
                <w:szCs w:val="18"/>
                <w:lang w:val="es-CO"/>
              </w:rPr>
              <w:t>de la República Srpska</w:t>
            </w:r>
          </w:p>
        </w:tc>
        <w:tc>
          <w:tcPr>
            <w:tcW w:w="773"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6</w:t>
            </w:r>
          </w:p>
        </w:tc>
        <w:tc>
          <w:tcPr>
            <w:tcW w:w="774"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1</w:t>
            </w:r>
          </w:p>
        </w:tc>
        <w:tc>
          <w:tcPr>
            <w:tcW w:w="773"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8</w:t>
            </w:r>
          </w:p>
        </w:tc>
        <w:tc>
          <w:tcPr>
            <w:tcW w:w="774"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1</w:t>
            </w:r>
          </w:p>
        </w:tc>
        <w:tc>
          <w:tcPr>
            <w:tcW w:w="773"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6</w:t>
            </w:r>
          </w:p>
        </w:tc>
        <w:tc>
          <w:tcPr>
            <w:tcW w:w="774"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2</w:t>
            </w:r>
          </w:p>
        </w:tc>
      </w:tr>
      <w:tr w:rsidR="00252068" w:rsidRPr="008E7AA1">
        <w:trPr>
          <w:jc w:val="center"/>
        </w:trPr>
        <w:tc>
          <w:tcPr>
            <w:tcW w:w="4998" w:type="dxa"/>
            <w:shd w:val="clear" w:color="auto" w:fill="auto"/>
            <w:vAlign w:val="bottom"/>
          </w:tcPr>
          <w:p w:rsidR="00252068" w:rsidRPr="00153A9C" w:rsidRDefault="00252068" w:rsidP="00252068">
            <w:pPr>
              <w:tabs>
                <w:tab w:val="left" w:pos="540"/>
              </w:tabs>
              <w:spacing w:before="40" w:after="40" w:line="220" w:lineRule="exact"/>
              <w:rPr>
                <w:sz w:val="18"/>
                <w:lang w:val="es-CO"/>
              </w:rPr>
            </w:pPr>
            <w:r w:rsidRPr="00153A9C">
              <w:rPr>
                <w:sz w:val="18"/>
                <w:szCs w:val="18"/>
                <w:lang w:val="es-CO"/>
              </w:rPr>
              <w:t>Incitación a la prostitución: art. 207, Código Civil del Distrito Brčko</w:t>
            </w:r>
          </w:p>
        </w:tc>
        <w:tc>
          <w:tcPr>
            <w:tcW w:w="773"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1</w:t>
            </w:r>
          </w:p>
        </w:tc>
        <w:tc>
          <w:tcPr>
            <w:tcW w:w="774"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1</w:t>
            </w:r>
          </w:p>
        </w:tc>
        <w:tc>
          <w:tcPr>
            <w:tcW w:w="773"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2</w:t>
            </w:r>
          </w:p>
        </w:tc>
        <w:tc>
          <w:tcPr>
            <w:tcW w:w="774"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1</w:t>
            </w:r>
          </w:p>
        </w:tc>
        <w:tc>
          <w:tcPr>
            <w:tcW w:w="773"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3</w:t>
            </w:r>
          </w:p>
        </w:tc>
        <w:tc>
          <w:tcPr>
            <w:tcW w:w="774" w:type="dxa"/>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1</w:t>
            </w:r>
          </w:p>
        </w:tc>
      </w:tr>
      <w:tr w:rsidR="00252068" w:rsidRPr="008E7AA1">
        <w:trPr>
          <w:jc w:val="center"/>
        </w:trPr>
        <w:tc>
          <w:tcPr>
            <w:tcW w:w="4998" w:type="dxa"/>
            <w:tcBorders>
              <w:bottom w:val="single" w:sz="4" w:space="0" w:color="auto"/>
            </w:tcBorders>
            <w:shd w:val="clear" w:color="auto" w:fill="auto"/>
            <w:vAlign w:val="bottom"/>
          </w:tcPr>
          <w:p w:rsidR="00252068" w:rsidRPr="00153A9C" w:rsidRDefault="00252068" w:rsidP="00252068">
            <w:pPr>
              <w:tabs>
                <w:tab w:val="left" w:pos="540"/>
              </w:tabs>
              <w:spacing w:before="40" w:after="40" w:line="220" w:lineRule="exact"/>
              <w:rPr>
                <w:sz w:val="18"/>
                <w:lang w:val="es-CO"/>
              </w:rPr>
            </w:pPr>
            <w:r w:rsidRPr="00153A9C">
              <w:rPr>
                <w:sz w:val="18"/>
                <w:szCs w:val="18"/>
                <w:lang w:val="es-CO"/>
              </w:rPr>
              <w:t>Explotación de un niño para fines de pornografía: art. 208, Código Civil del Distrito Brčko</w:t>
            </w:r>
          </w:p>
        </w:tc>
        <w:tc>
          <w:tcPr>
            <w:tcW w:w="773" w:type="dxa"/>
            <w:tcBorders>
              <w:bottom w:val="single" w:sz="4" w:space="0" w:color="auto"/>
            </w:tcBorders>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1</w:t>
            </w:r>
          </w:p>
        </w:tc>
        <w:tc>
          <w:tcPr>
            <w:tcW w:w="774" w:type="dxa"/>
            <w:tcBorders>
              <w:bottom w:val="single" w:sz="4" w:space="0" w:color="auto"/>
            </w:tcBorders>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w:t>
            </w:r>
          </w:p>
        </w:tc>
        <w:tc>
          <w:tcPr>
            <w:tcW w:w="773" w:type="dxa"/>
            <w:tcBorders>
              <w:bottom w:val="single" w:sz="4" w:space="0" w:color="auto"/>
            </w:tcBorders>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1</w:t>
            </w:r>
          </w:p>
        </w:tc>
        <w:tc>
          <w:tcPr>
            <w:tcW w:w="774" w:type="dxa"/>
            <w:tcBorders>
              <w:bottom w:val="single" w:sz="4" w:space="0" w:color="auto"/>
            </w:tcBorders>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w:t>
            </w:r>
          </w:p>
        </w:tc>
        <w:tc>
          <w:tcPr>
            <w:tcW w:w="773" w:type="dxa"/>
            <w:tcBorders>
              <w:bottom w:val="single" w:sz="4" w:space="0" w:color="auto"/>
            </w:tcBorders>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1</w:t>
            </w:r>
          </w:p>
        </w:tc>
        <w:tc>
          <w:tcPr>
            <w:tcW w:w="774" w:type="dxa"/>
            <w:tcBorders>
              <w:bottom w:val="single" w:sz="4" w:space="0" w:color="auto"/>
            </w:tcBorders>
            <w:shd w:val="clear" w:color="auto" w:fill="auto"/>
            <w:vAlign w:val="bottom"/>
          </w:tcPr>
          <w:p w:rsidR="00252068" w:rsidRPr="008E7AA1" w:rsidRDefault="00252068" w:rsidP="00252068">
            <w:pPr>
              <w:suppressAutoHyphens w:val="0"/>
              <w:spacing w:before="40" w:after="40" w:line="220" w:lineRule="exact"/>
              <w:jc w:val="right"/>
              <w:rPr>
                <w:sz w:val="18"/>
              </w:rPr>
            </w:pPr>
            <w:r w:rsidRPr="008E7AA1">
              <w:rPr>
                <w:sz w:val="18"/>
              </w:rPr>
              <w:t>-</w:t>
            </w:r>
          </w:p>
        </w:tc>
      </w:tr>
      <w:tr w:rsidR="00252068" w:rsidRPr="008E7AA1">
        <w:trPr>
          <w:jc w:val="center"/>
        </w:trPr>
        <w:tc>
          <w:tcPr>
            <w:tcW w:w="4998" w:type="dxa"/>
            <w:tcBorders>
              <w:top w:val="single" w:sz="4" w:space="0" w:color="auto"/>
              <w:bottom w:val="single" w:sz="12" w:space="0" w:color="auto"/>
            </w:tcBorders>
            <w:shd w:val="clear" w:color="auto" w:fill="auto"/>
            <w:vAlign w:val="bottom"/>
          </w:tcPr>
          <w:p w:rsidR="00252068" w:rsidRPr="008E7AA1" w:rsidRDefault="00252068" w:rsidP="00252068">
            <w:pPr>
              <w:suppressAutoHyphens w:val="0"/>
              <w:spacing w:before="80" w:after="80" w:line="220" w:lineRule="exact"/>
              <w:ind w:left="284"/>
              <w:rPr>
                <w:b/>
                <w:sz w:val="18"/>
              </w:rPr>
            </w:pPr>
            <w:r w:rsidRPr="008E7AA1">
              <w:rPr>
                <w:b/>
                <w:sz w:val="18"/>
              </w:rPr>
              <w:t>Total</w:t>
            </w:r>
          </w:p>
        </w:tc>
        <w:tc>
          <w:tcPr>
            <w:tcW w:w="773" w:type="dxa"/>
            <w:tcBorders>
              <w:top w:val="single" w:sz="4" w:space="0" w:color="auto"/>
              <w:bottom w:val="single" w:sz="12" w:space="0" w:color="auto"/>
            </w:tcBorders>
            <w:shd w:val="clear" w:color="auto" w:fill="auto"/>
            <w:vAlign w:val="bottom"/>
          </w:tcPr>
          <w:p w:rsidR="00252068" w:rsidRPr="008E7AA1" w:rsidRDefault="00252068" w:rsidP="00252068">
            <w:pPr>
              <w:suppressAutoHyphens w:val="0"/>
              <w:spacing w:before="80" w:after="80" w:line="220" w:lineRule="exact"/>
              <w:jc w:val="right"/>
              <w:rPr>
                <w:b/>
                <w:sz w:val="18"/>
              </w:rPr>
            </w:pPr>
            <w:r w:rsidRPr="008E7AA1">
              <w:rPr>
                <w:b/>
                <w:sz w:val="18"/>
              </w:rPr>
              <w:t>36</w:t>
            </w:r>
          </w:p>
        </w:tc>
        <w:tc>
          <w:tcPr>
            <w:tcW w:w="774" w:type="dxa"/>
            <w:tcBorders>
              <w:top w:val="single" w:sz="4" w:space="0" w:color="auto"/>
              <w:bottom w:val="single" w:sz="12" w:space="0" w:color="auto"/>
            </w:tcBorders>
            <w:shd w:val="clear" w:color="auto" w:fill="auto"/>
            <w:vAlign w:val="bottom"/>
          </w:tcPr>
          <w:p w:rsidR="00252068" w:rsidRPr="008E7AA1" w:rsidRDefault="00252068" w:rsidP="00252068">
            <w:pPr>
              <w:suppressAutoHyphens w:val="0"/>
              <w:spacing w:before="80" w:after="80" w:line="220" w:lineRule="exact"/>
              <w:jc w:val="right"/>
              <w:rPr>
                <w:b/>
                <w:sz w:val="18"/>
              </w:rPr>
            </w:pPr>
            <w:r w:rsidRPr="008E7AA1">
              <w:rPr>
                <w:b/>
                <w:sz w:val="18"/>
              </w:rPr>
              <w:t>34</w:t>
            </w:r>
          </w:p>
        </w:tc>
        <w:tc>
          <w:tcPr>
            <w:tcW w:w="773" w:type="dxa"/>
            <w:tcBorders>
              <w:top w:val="single" w:sz="4" w:space="0" w:color="auto"/>
              <w:bottom w:val="single" w:sz="12" w:space="0" w:color="auto"/>
            </w:tcBorders>
            <w:shd w:val="clear" w:color="auto" w:fill="auto"/>
            <w:vAlign w:val="bottom"/>
          </w:tcPr>
          <w:p w:rsidR="00252068" w:rsidRPr="008E7AA1" w:rsidRDefault="00252068" w:rsidP="00252068">
            <w:pPr>
              <w:suppressAutoHyphens w:val="0"/>
              <w:spacing w:before="80" w:after="80" w:line="220" w:lineRule="exact"/>
              <w:jc w:val="right"/>
              <w:rPr>
                <w:b/>
                <w:sz w:val="18"/>
              </w:rPr>
            </w:pPr>
            <w:r w:rsidRPr="008E7AA1">
              <w:rPr>
                <w:b/>
                <w:sz w:val="18"/>
              </w:rPr>
              <w:t>59</w:t>
            </w:r>
          </w:p>
        </w:tc>
        <w:tc>
          <w:tcPr>
            <w:tcW w:w="774" w:type="dxa"/>
            <w:tcBorders>
              <w:top w:val="single" w:sz="4" w:space="0" w:color="auto"/>
              <w:bottom w:val="single" w:sz="12" w:space="0" w:color="auto"/>
            </w:tcBorders>
            <w:shd w:val="clear" w:color="auto" w:fill="auto"/>
            <w:vAlign w:val="bottom"/>
          </w:tcPr>
          <w:p w:rsidR="00252068" w:rsidRPr="008E7AA1" w:rsidRDefault="00252068" w:rsidP="00252068">
            <w:pPr>
              <w:suppressAutoHyphens w:val="0"/>
              <w:spacing w:before="80" w:after="80" w:line="220" w:lineRule="exact"/>
              <w:jc w:val="right"/>
              <w:rPr>
                <w:b/>
                <w:sz w:val="18"/>
              </w:rPr>
            </w:pPr>
            <w:r w:rsidRPr="008E7AA1">
              <w:rPr>
                <w:b/>
                <w:sz w:val="18"/>
              </w:rPr>
              <w:t>77</w:t>
            </w:r>
          </w:p>
        </w:tc>
        <w:tc>
          <w:tcPr>
            <w:tcW w:w="773" w:type="dxa"/>
            <w:tcBorders>
              <w:top w:val="single" w:sz="4" w:space="0" w:color="auto"/>
              <w:bottom w:val="single" w:sz="12" w:space="0" w:color="auto"/>
            </w:tcBorders>
            <w:shd w:val="clear" w:color="auto" w:fill="auto"/>
            <w:vAlign w:val="bottom"/>
          </w:tcPr>
          <w:p w:rsidR="00252068" w:rsidRPr="008E7AA1" w:rsidRDefault="00252068" w:rsidP="00252068">
            <w:pPr>
              <w:suppressAutoHyphens w:val="0"/>
              <w:spacing w:before="80" w:after="80" w:line="220" w:lineRule="exact"/>
              <w:jc w:val="right"/>
              <w:rPr>
                <w:b/>
                <w:sz w:val="18"/>
              </w:rPr>
            </w:pPr>
            <w:r w:rsidRPr="008E7AA1">
              <w:rPr>
                <w:b/>
                <w:sz w:val="18"/>
              </w:rPr>
              <w:t>54</w:t>
            </w:r>
          </w:p>
        </w:tc>
        <w:tc>
          <w:tcPr>
            <w:tcW w:w="774" w:type="dxa"/>
            <w:tcBorders>
              <w:top w:val="single" w:sz="4" w:space="0" w:color="auto"/>
              <w:bottom w:val="single" w:sz="12" w:space="0" w:color="auto"/>
            </w:tcBorders>
            <w:shd w:val="clear" w:color="auto" w:fill="auto"/>
            <w:vAlign w:val="bottom"/>
          </w:tcPr>
          <w:p w:rsidR="00252068" w:rsidRPr="008E7AA1" w:rsidRDefault="00252068" w:rsidP="00252068">
            <w:pPr>
              <w:suppressAutoHyphens w:val="0"/>
              <w:spacing w:before="80" w:after="80" w:line="220" w:lineRule="exact"/>
              <w:jc w:val="right"/>
              <w:rPr>
                <w:b/>
                <w:sz w:val="18"/>
              </w:rPr>
            </w:pPr>
            <w:r w:rsidRPr="008E7AA1">
              <w:rPr>
                <w:b/>
                <w:sz w:val="18"/>
              </w:rPr>
              <w:t>43</w:t>
            </w:r>
          </w:p>
        </w:tc>
      </w:tr>
    </w:tbl>
    <w:p w:rsidR="00E275B9" w:rsidRPr="00153A9C" w:rsidRDefault="00E738E3" w:rsidP="00E738E3">
      <w:pPr>
        <w:pStyle w:val="H23G"/>
        <w:rPr>
          <w:lang w:val="es-CO"/>
        </w:rPr>
      </w:pPr>
      <w:r>
        <w:rPr>
          <w:lang w:val="es-CO"/>
        </w:rPr>
        <w:tab/>
      </w:r>
      <w:r>
        <w:rPr>
          <w:lang w:val="es-CO"/>
        </w:rPr>
        <w:tab/>
      </w:r>
      <w:r w:rsidR="00E275B9" w:rsidRPr="00153A9C">
        <w:rPr>
          <w:lang w:val="es-CO"/>
        </w:rPr>
        <w:t>2007</w:t>
      </w:r>
    </w:p>
    <w:p w:rsidR="00E275B9" w:rsidRPr="00153A9C" w:rsidRDefault="00E275B9" w:rsidP="00E738E3">
      <w:pPr>
        <w:pStyle w:val="SingleTxtG"/>
        <w:rPr>
          <w:lang w:val="es-CO"/>
        </w:rPr>
      </w:pPr>
      <w:r w:rsidRPr="00153A9C">
        <w:rPr>
          <w:lang w:val="es-CO"/>
        </w:rPr>
        <w:t xml:space="preserve">153. </w:t>
      </w:r>
      <w:r w:rsidRPr="00153A9C">
        <w:rPr>
          <w:lang w:val="es-CO"/>
        </w:rPr>
        <w:tab/>
        <w:t xml:space="preserve">Según los órganos de observancia de la ley y las fiscalías, hubo un descenso significativo del número de acusaciones formuladas, condenas y cargos penales </w:t>
      </w:r>
      <w:r w:rsidR="000D374F" w:rsidRPr="00153A9C">
        <w:rPr>
          <w:lang w:val="es-CO"/>
        </w:rPr>
        <w:t xml:space="preserve">en </w:t>
      </w:r>
      <w:r w:rsidRPr="00153A9C">
        <w:rPr>
          <w:lang w:val="es-CO"/>
        </w:rPr>
        <w:t xml:space="preserve">2007. En ese año se presentaron 34 cargos penales, en los que estaban implicados 65 delincuentes y 38 víctimas de la trata/incitación a </w:t>
      </w:r>
      <w:smartTag w:uri="urn:schemas-microsoft-com:office:smarttags" w:element="PersonName">
        <w:smartTagPr>
          <w:attr w:name="ProductID" w:val="la prostituci￳n. Se"/>
        </w:smartTagPr>
        <w:r w:rsidRPr="00153A9C">
          <w:rPr>
            <w:lang w:val="es-CO"/>
          </w:rPr>
          <w:t xml:space="preserve">la prostitución. </w:t>
        </w:r>
        <w:r w:rsidR="008B4B7E" w:rsidRPr="00153A9C">
          <w:rPr>
            <w:lang w:val="es-CO"/>
          </w:rPr>
          <w:t>Se</w:t>
        </w:r>
      </w:smartTag>
      <w:r w:rsidR="008B4B7E" w:rsidRPr="00153A9C">
        <w:rPr>
          <w:lang w:val="es-CO"/>
        </w:rPr>
        <w:t xml:space="preserve"> presentaron 11 </w:t>
      </w:r>
      <w:r w:rsidR="006A554A" w:rsidRPr="00153A9C">
        <w:rPr>
          <w:lang w:val="es-CO"/>
        </w:rPr>
        <w:t xml:space="preserve">acusaciones </w:t>
      </w:r>
      <w:r w:rsidR="008B4B7E" w:rsidRPr="00153A9C">
        <w:rPr>
          <w:lang w:val="es-CO"/>
        </w:rPr>
        <w:t xml:space="preserve">penales, </w:t>
      </w:r>
      <w:r w:rsidR="000D374F" w:rsidRPr="00153A9C">
        <w:rPr>
          <w:lang w:val="es-CO"/>
        </w:rPr>
        <w:t xml:space="preserve">8 </w:t>
      </w:r>
      <w:r w:rsidR="008B4B7E" w:rsidRPr="00153A9C">
        <w:rPr>
          <w:lang w:val="es-CO"/>
        </w:rPr>
        <w:t>de l</w:t>
      </w:r>
      <w:r w:rsidR="006A554A" w:rsidRPr="00153A9C">
        <w:rPr>
          <w:lang w:val="es-CO"/>
        </w:rPr>
        <w:t>a</w:t>
      </w:r>
      <w:r w:rsidR="008B4B7E" w:rsidRPr="00153A9C">
        <w:rPr>
          <w:lang w:val="es-CO"/>
        </w:rPr>
        <w:t xml:space="preserve">s cuales se confirmaron. En la Federación de Bosnia y Herzegovina se formularon 8 </w:t>
      </w:r>
      <w:r w:rsidR="006A554A" w:rsidRPr="00153A9C">
        <w:rPr>
          <w:lang w:val="es-CO"/>
        </w:rPr>
        <w:t xml:space="preserve">acusaciones </w:t>
      </w:r>
      <w:r w:rsidR="008B4B7E" w:rsidRPr="00153A9C">
        <w:rPr>
          <w:lang w:val="es-CO"/>
        </w:rPr>
        <w:t xml:space="preserve">y se confirmaron </w:t>
      </w:r>
      <w:r w:rsidR="000D374F" w:rsidRPr="00153A9C">
        <w:rPr>
          <w:lang w:val="es-CO"/>
        </w:rPr>
        <w:t>6</w:t>
      </w:r>
      <w:r w:rsidR="008B4B7E" w:rsidRPr="00153A9C">
        <w:rPr>
          <w:lang w:val="es-CO"/>
        </w:rPr>
        <w:t xml:space="preserve">. </w:t>
      </w:r>
      <w:r w:rsidRPr="00153A9C">
        <w:rPr>
          <w:lang w:val="es-CO"/>
        </w:rPr>
        <w:t xml:space="preserve">Se presentó y confirmó una acusación tanto en el Distrito Brčko como en </w:t>
      </w:r>
      <w:smartTag w:uri="urn:schemas-microsoft-com:office:smarttags" w:element="PersonName">
        <w:smartTagPr>
          <w:attr w:name="ProductID" w:val="la Rep￺blica Sprska"/>
        </w:smartTagPr>
        <w:r w:rsidRPr="00153A9C">
          <w:rPr>
            <w:lang w:val="es-CO"/>
          </w:rPr>
          <w:t>la República Sprska</w:t>
        </w:r>
      </w:smartTag>
      <w:r w:rsidRPr="00153A9C">
        <w:rPr>
          <w:lang w:val="es-CO"/>
        </w:rPr>
        <w:t xml:space="preserve"> y el Tribunal de Bosnia y Herzegovina. Se dict</w:t>
      </w:r>
      <w:r w:rsidR="006A554A" w:rsidRPr="00153A9C">
        <w:rPr>
          <w:lang w:val="es-CO"/>
        </w:rPr>
        <w:t xml:space="preserve">aron en </w:t>
      </w:r>
      <w:r w:rsidRPr="00153A9C">
        <w:rPr>
          <w:lang w:val="es-CO"/>
        </w:rPr>
        <w:t xml:space="preserve">total </w:t>
      </w:r>
      <w:r w:rsidR="000D374F" w:rsidRPr="00153A9C">
        <w:rPr>
          <w:lang w:val="es-CO"/>
        </w:rPr>
        <w:t xml:space="preserve">6 </w:t>
      </w:r>
      <w:r w:rsidRPr="00153A9C">
        <w:rPr>
          <w:lang w:val="es-CO"/>
        </w:rPr>
        <w:t xml:space="preserve">sentencias. En la Federación de Bosnia </w:t>
      </w:r>
      <w:r w:rsidR="006A554A" w:rsidRPr="00153A9C">
        <w:rPr>
          <w:lang w:val="es-CO"/>
        </w:rPr>
        <w:t xml:space="preserve">y Herzegovina se pronunciaron </w:t>
      </w:r>
      <w:r w:rsidR="000D374F" w:rsidRPr="00153A9C">
        <w:rPr>
          <w:lang w:val="es-CO"/>
        </w:rPr>
        <w:t xml:space="preserve">3 </w:t>
      </w:r>
      <w:r w:rsidRPr="00153A9C">
        <w:rPr>
          <w:lang w:val="es-CO"/>
        </w:rPr>
        <w:t xml:space="preserve">sentencias: una persona recibió una </w:t>
      </w:r>
      <w:r w:rsidR="001F0A71" w:rsidRPr="00153A9C">
        <w:rPr>
          <w:lang w:val="es-CO"/>
        </w:rPr>
        <w:t>condena</w:t>
      </w:r>
      <w:r w:rsidRPr="00153A9C">
        <w:rPr>
          <w:lang w:val="es-CO"/>
        </w:rPr>
        <w:t xml:space="preserve"> condicional, y dos </w:t>
      </w:r>
      <w:r w:rsidR="001F0A71" w:rsidRPr="00153A9C">
        <w:rPr>
          <w:lang w:val="es-CO"/>
        </w:rPr>
        <w:t xml:space="preserve">condenas </w:t>
      </w:r>
      <w:r w:rsidRPr="00153A9C">
        <w:rPr>
          <w:lang w:val="es-CO"/>
        </w:rPr>
        <w:t xml:space="preserve">fueron definitivas (una obtenida mediante negociación de la pena). El Distrito Brčko no dictó ninguna sentencia y </w:t>
      </w:r>
      <w:smartTag w:uri="urn:schemas-microsoft-com:office:smarttags" w:element="PersonName">
        <w:smartTagPr>
          <w:attr w:name="ProductID" w:val="la Rep￺blica Sprska"/>
        </w:smartTagPr>
        <w:r w:rsidRPr="00153A9C">
          <w:rPr>
            <w:lang w:val="es-CO"/>
          </w:rPr>
          <w:t>la República Sprska</w:t>
        </w:r>
      </w:smartTag>
      <w:r w:rsidRPr="00153A9C">
        <w:rPr>
          <w:lang w:val="es-CO"/>
        </w:rPr>
        <w:t xml:space="preserve"> desestimó la única acusación. El tribunal de Bosnia y Herzegovina dictó una condena apelable que afectaba a 10 personas, y otra</w:t>
      </w:r>
      <w:r w:rsidR="006A554A" w:rsidRPr="00153A9C">
        <w:rPr>
          <w:lang w:val="es-CO"/>
        </w:rPr>
        <w:t>,</w:t>
      </w:r>
      <w:r w:rsidRPr="00153A9C">
        <w:rPr>
          <w:lang w:val="es-CO"/>
        </w:rPr>
        <w:t xml:space="preserve"> relacionada con la trata de personas </w:t>
      </w:r>
      <w:r w:rsidR="006A554A" w:rsidRPr="00153A9C">
        <w:rPr>
          <w:lang w:val="es-CO"/>
        </w:rPr>
        <w:t xml:space="preserve">con fines de </w:t>
      </w:r>
      <w:r w:rsidRPr="00153A9C">
        <w:rPr>
          <w:lang w:val="es-CO"/>
        </w:rPr>
        <w:t>mendicidad</w:t>
      </w:r>
      <w:r w:rsidR="006A554A" w:rsidRPr="00153A9C">
        <w:rPr>
          <w:lang w:val="es-CO"/>
        </w:rPr>
        <w:t>,</w:t>
      </w:r>
      <w:r w:rsidRPr="00153A9C">
        <w:rPr>
          <w:lang w:val="es-CO"/>
        </w:rPr>
        <w:t xml:space="preserve"> fue definitiva (basada en la negociación de la pena).</w:t>
      </w:r>
    </w:p>
    <w:p w:rsidR="00E275B9" w:rsidRPr="00153A9C" w:rsidRDefault="00FB57CE" w:rsidP="00FB57CE">
      <w:pPr>
        <w:pStyle w:val="H23G"/>
        <w:rPr>
          <w:lang w:val="es-CO"/>
        </w:rPr>
      </w:pPr>
      <w:r>
        <w:rPr>
          <w:lang w:val="es-CO"/>
        </w:rPr>
        <w:tab/>
      </w:r>
      <w:r>
        <w:rPr>
          <w:lang w:val="es-CO"/>
        </w:rPr>
        <w:tab/>
      </w:r>
      <w:r w:rsidR="00E275B9" w:rsidRPr="00153A9C">
        <w:rPr>
          <w:lang w:val="es-CO"/>
        </w:rPr>
        <w:t>2008</w:t>
      </w:r>
    </w:p>
    <w:p w:rsidR="00E275B9" w:rsidRPr="00153A9C" w:rsidRDefault="00E275B9" w:rsidP="00FB57CE">
      <w:pPr>
        <w:pStyle w:val="SingleTxtG"/>
        <w:rPr>
          <w:lang w:val="es-CO"/>
        </w:rPr>
      </w:pPr>
      <w:r w:rsidRPr="00153A9C">
        <w:rPr>
          <w:lang w:val="es-CO"/>
        </w:rPr>
        <w:t xml:space="preserve">154. </w:t>
      </w:r>
      <w:r w:rsidRPr="00153A9C">
        <w:rPr>
          <w:lang w:val="es-CO"/>
        </w:rPr>
        <w:tab/>
        <w:t xml:space="preserve">Según los organismos de observancia de la ley y las fiscalías, en 2008 hubo un aumento significativo del número de acusaciones presentadas y condenas dictadas, mientras que descendió el número de investigaciones realizadas. Así, en 2008 se llevaron a cabo 23 investigaciones, relacionadas con 53 personas </w:t>
      </w:r>
      <w:r w:rsidR="006A554A" w:rsidRPr="00153A9C">
        <w:rPr>
          <w:lang w:val="es-CO"/>
        </w:rPr>
        <w:t xml:space="preserve">implicadas </w:t>
      </w:r>
      <w:r w:rsidRPr="00153A9C">
        <w:rPr>
          <w:lang w:val="es-CO"/>
        </w:rPr>
        <w:t xml:space="preserve">en casos de trata de personas y de mediación para </w:t>
      </w:r>
      <w:smartTag w:uri="urn:schemas-microsoft-com:office:smarttags" w:element="PersonName">
        <w:smartTagPr>
          <w:attr w:name="ProductID" w:val="la prostituci￳n. Se"/>
        </w:smartTagPr>
        <w:r w:rsidRPr="00153A9C">
          <w:rPr>
            <w:lang w:val="es-CO"/>
          </w:rPr>
          <w:t>la prostitución. Se</w:t>
        </w:r>
      </w:smartTag>
      <w:r w:rsidRPr="00153A9C">
        <w:rPr>
          <w:lang w:val="es-CO"/>
        </w:rPr>
        <w:t xml:space="preserve"> present</w:t>
      </w:r>
      <w:r w:rsidR="006A554A" w:rsidRPr="00153A9C">
        <w:rPr>
          <w:lang w:val="es-CO"/>
        </w:rPr>
        <w:t xml:space="preserve">aron </w:t>
      </w:r>
      <w:r w:rsidRPr="00153A9C">
        <w:rPr>
          <w:lang w:val="es-CO"/>
        </w:rPr>
        <w:t>21 acusaciones, todas las cuales se confirmaron. En la Federación de Bosnia y Herzegovina se presentaron y confirmaron 15</w:t>
      </w:r>
      <w:r w:rsidR="00252068">
        <w:rPr>
          <w:lang w:val="es-CO"/>
        </w:rPr>
        <w:t xml:space="preserve"> </w:t>
      </w:r>
      <w:r w:rsidRPr="00153A9C">
        <w:rPr>
          <w:lang w:val="es-CO"/>
        </w:rPr>
        <w:t xml:space="preserve">acusaciones. Se presentó y confirmó una acusación en el Distrito Brčko. Se presentaron y confirmaron dos acusaciones en </w:t>
      </w:r>
      <w:smartTag w:uri="urn:schemas-microsoft-com:office:smarttags" w:element="PersonName">
        <w:smartTagPr>
          <w:attr w:name="ProductID" w:val="la Rep￺blica Sprska"/>
        </w:smartTagPr>
        <w:r w:rsidRPr="00153A9C">
          <w:rPr>
            <w:lang w:val="es-CO"/>
          </w:rPr>
          <w:t>la República Sprska</w:t>
        </w:r>
      </w:smartTag>
      <w:r w:rsidRPr="00153A9C">
        <w:rPr>
          <w:lang w:val="es-CO"/>
        </w:rPr>
        <w:t>, mientras que el tribunal de Bosnia y Herzegovina recibió y confirmó tres acusaciones. Se dict</w:t>
      </w:r>
      <w:r w:rsidR="006A554A" w:rsidRPr="00153A9C">
        <w:rPr>
          <w:lang w:val="es-CO"/>
        </w:rPr>
        <w:t xml:space="preserve">aron en </w:t>
      </w:r>
      <w:r w:rsidRPr="00153A9C">
        <w:rPr>
          <w:lang w:val="es-CO"/>
        </w:rPr>
        <w:t>total 14 sentencias</w:t>
      </w:r>
      <w:r w:rsidR="006A554A" w:rsidRPr="00153A9C">
        <w:rPr>
          <w:lang w:val="es-CO"/>
        </w:rPr>
        <w:t xml:space="preserve">: </w:t>
      </w:r>
      <w:r w:rsidRPr="00153A9C">
        <w:rPr>
          <w:lang w:val="es-CO"/>
        </w:rPr>
        <w:t xml:space="preserve">11 en la Federación de Bosnia y Herzegovina, una en </w:t>
      </w:r>
      <w:smartTag w:uri="urn:schemas-microsoft-com:office:smarttags" w:element="PersonName">
        <w:smartTagPr>
          <w:attr w:name="ProductID" w:val="la Rep￺blica Sprska"/>
        </w:smartTagPr>
        <w:r w:rsidRPr="00153A9C">
          <w:rPr>
            <w:lang w:val="es-CO"/>
          </w:rPr>
          <w:t>la República Sprska</w:t>
        </w:r>
      </w:smartTag>
      <w:r w:rsidRPr="00153A9C">
        <w:rPr>
          <w:lang w:val="es-CO"/>
        </w:rPr>
        <w:t xml:space="preserve"> y una en el </w:t>
      </w:r>
      <w:r w:rsidR="00767CA4" w:rsidRPr="00153A9C">
        <w:rPr>
          <w:lang w:val="es-CO"/>
        </w:rPr>
        <w:t>T</w:t>
      </w:r>
      <w:r w:rsidRPr="00153A9C">
        <w:rPr>
          <w:lang w:val="es-CO"/>
        </w:rPr>
        <w:t>ribunal de Bosnia y Herzegovina.</w:t>
      </w:r>
    </w:p>
    <w:p w:rsidR="00E275B9" w:rsidRPr="00153A9C" w:rsidRDefault="00FB57CE" w:rsidP="00FB57CE">
      <w:pPr>
        <w:pStyle w:val="H23G"/>
        <w:rPr>
          <w:lang w:val="es-CO"/>
        </w:rPr>
      </w:pPr>
      <w:r>
        <w:rPr>
          <w:lang w:val="es-CO"/>
        </w:rPr>
        <w:tab/>
      </w:r>
      <w:r>
        <w:rPr>
          <w:lang w:val="es-CO"/>
        </w:rPr>
        <w:tab/>
      </w:r>
      <w:r w:rsidR="00E275B9" w:rsidRPr="00153A9C">
        <w:rPr>
          <w:lang w:val="es-CO"/>
        </w:rPr>
        <w:t>2009</w:t>
      </w:r>
    </w:p>
    <w:p w:rsidR="00E275B9" w:rsidRPr="00153A9C" w:rsidRDefault="00E275B9" w:rsidP="00FB57CE">
      <w:pPr>
        <w:pStyle w:val="SingleTxtG"/>
        <w:rPr>
          <w:lang w:val="es-CO"/>
        </w:rPr>
      </w:pPr>
      <w:r w:rsidRPr="00153A9C">
        <w:rPr>
          <w:lang w:val="es-CO"/>
        </w:rPr>
        <w:t xml:space="preserve">155. </w:t>
      </w:r>
      <w:r w:rsidRPr="00153A9C">
        <w:rPr>
          <w:lang w:val="es-CO"/>
        </w:rPr>
        <w:tab/>
        <w:t xml:space="preserve">En 2009, como en años anteriores, la Fuerza de tareas para combatir la trata de personas y la inmigración ilegal coordinó </w:t>
      </w:r>
      <w:r w:rsidR="006A554A" w:rsidRPr="00153A9C">
        <w:rPr>
          <w:lang w:val="es-CO"/>
        </w:rPr>
        <w:t xml:space="preserve">las </w:t>
      </w:r>
      <w:r w:rsidRPr="00153A9C">
        <w:rPr>
          <w:lang w:val="es-CO"/>
        </w:rPr>
        <w:t xml:space="preserve">actividades </w:t>
      </w:r>
      <w:r w:rsidR="006A554A" w:rsidRPr="00153A9C">
        <w:rPr>
          <w:lang w:val="es-CO"/>
        </w:rPr>
        <w:t xml:space="preserve">de los fiscales y </w:t>
      </w:r>
      <w:r w:rsidRPr="00153A9C">
        <w:rPr>
          <w:lang w:val="es-CO"/>
        </w:rPr>
        <w:t xml:space="preserve">los organismos policiales y las autoridades </w:t>
      </w:r>
      <w:r w:rsidR="006A554A" w:rsidRPr="00153A9C">
        <w:rPr>
          <w:lang w:val="es-CO"/>
        </w:rPr>
        <w:t xml:space="preserve">tributarias </w:t>
      </w:r>
      <w:r w:rsidRPr="00153A9C">
        <w:rPr>
          <w:lang w:val="es-CO"/>
        </w:rPr>
        <w:t>en la investigación y procesamiento de los delitos de trata de seres humanos.</w:t>
      </w:r>
    </w:p>
    <w:p w:rsidR="00E275B9" w:rsidRPr="00153A9C" w:rsidRDefault="00E275B9" w:rsidP="00FB57CE">
      <w:pPr>
        <w:pStyle w:val="SingleTxtG"/>
        <w:rPr>
          <w:lang w:val="es-CO"/>
        </w:rPr>
      </w:pPr>
      <w:r w:rsidRPr="00153A9C">
        <w:rPr>
          <w:lang w:val="es-CO"/>
        </w:rPr>
        <w:t xml:space="preserve">156. </w:t>
      </w:r>
      <w:r w:rsidRPr="00153A9C">
        <w:rPr>
          <w:lang w:val="es-CO"/>
        </w:rPr>
        <w:tab/>
        <w:t xml:space="preserve">Según la </w:t>
      </w:r>
      <w:r w:rsidR="006A554A" w:rsidRPr="00153A9C">
        <w:rPr>
          <w:lang w:val="es-CO"/>
        </w:rPr>
        <w:t>F</w:t>
      </w:r>
      <w:r w:rsidRPr="00153A9C">
        <w:rPr>
          <w:lang w:val="es-CO"/>
        </w:rPr>
        <w:t xml:space="preserve">uerza de tareas, en 2009 los fiscales de Bosnia y Herzegovina recibieron un total de 23 cargos penales relacionados con la trata de seres humanos. Al finalizar el período incluido en el informe había un total de 22 acusaciones pendientes vinculadas con esos delitos. Se dictaron órdenes </w:t>
      </w:r>
      <w:r w:rsidR="00FC7755" w:rsidRPr="00153A9C">
        <w:rPr>
          <w:lang w:val="es-CO"/>
        </w:rPr>
        <w:t xml:space="preserve">de </w:t>
      </w:r>
      <w:r w:rsidRPr="00153A9C">
        <w:rPr>
          <w:lang w:val="es-CO"/>
        </w:rPr>
        <w:t>investigación en 20 casos que, sumad</w:t>
      </w:r>
      <w:r w:rsidR="00FC7755" w:rsidRPr="00153A9C">
        <w:rPr>
          <w:lang w:val="es-CO"/>
        </w:rPr>
        <w:t>a</w:t>
      </w:r>
      <w:r w:rsidRPr="00153A9C">
        <w:rPr>
          <w:lang w:val="es-CO"/>
        </w:rPr>
        <w:t>s a las 24 investigaciones pendientes, arrojaba</w:t>
      </w:r>
      <w:r w:rsidR="00FC7755" w:rsidRPr="00153A9C">
        <w:rPr>
          <w:lang w:val="es-CO"/>
        </w:rPr>
        <w:t xml:space="preserve">n </w:t>
      </w:r>
      <w:r w:rsidRPr="00153A9C">
        <w:rPr>
          <w:lang w:val="es-CO"/>
        </w:rPr>
        <w:t>un total de 44 investigaciones en el período in</w:t>
      </w:r>
      <w:r w:rsidR="00FC7755" w:rsidRPr="00153A9C">
        <w:rPr>
          <w:lang w:val="es-CO"/>
        </w:rPr>
        <w:t>cluido en el informe. Se presen</w:t>
      </w:r>
      <w:r w:rsidR="000D374F" w:rsidRPr="00153A9C">
        <w:rPr>
          <w:lang w:val="es-CO"/>
        </w:rPr>
        <w:t>t</w:t>
      </w:r>
      <w:r w:rsidR="00FC7755" w:rsidRPr="00153A9C">
        <w:rPr>
          <w:lang w:val="es-CO"/>
        </w:rPr>
        <w:t xml:space="preserve">aron y confirmaron </w:t>
      </w:r>
      <w:r w:rsidRPr="00153A9C">
        <w:rPr>
          <w:lang w:val="es-CO"/>
        </w:rPr>
        <w:t xml:space="preserve">10 </w:t>
      </w:r>
      <w:r w:rsidR="00FC7755" w:rsidRPr="00153A9C">
        <w:rPr>
          <w:lang w:val="es-CO"/>
        </w:rPr>
        <w:t>acusaciones</w:t>
      </w:r>
      <w:r w:rsidRPr="00153A9C">
        <w:rPr>
          <w:lang w:val="es-CO"/>
        </w:rPr>
        <w:t>. Fueron condenadas 20 personas (2 recibieron veredictos finales que imponían penas de prisión). En las negociaciones de la pena, 4 personas se declara</w:t>
      </w:r>
      <w:r w:rsidR="00FC7755" w:rsidRPr="00153A9C">
        <w:rPr>
          <w:lang w:val="es-CO"/>
        </w:rPr>
        <w:t>ro</w:t>
      </w:r>
      <w:r w:rsidRPr="00153A9C">
        <w:rPr>
          <w:lang w:val="es-CO"/>
        </w:rPr>
        <w:t xml:space="preserve">n culpables y fueron condenadas (2 con condena condicional, y 2 con condena de prisión). Después de la celebración de un juicio, se dictaron condenas contra 10 personas (penas de prisión en todos los casos). Hubo 5 absoluciones y se desestimó una inculpación. Se formularon 7 apelaciones contra </w:t>
      </w:r>
      <w:r w:rsidR="00FC7755" w:rsidRPr="00153A9C">
        <w:rPr>
          <w:lang w:val="es-CO"/>
        </w:rPr>
        <w:t>eso</w:t>
      </w:r>
      <w:r w:rsidRPr="00153A9C">
        <w:rPr>
          <w:lang w:val="es-CO"/>
        </w:rPr>
        <w:t>s veredictos.</w:t>
      </w:r>
    </w:p>
    <w:p w:rsidR="00E275B9" w:rsidRPr="00153A9C" w:rsidRDefault="00E275B9" w:rsidP="00FB57CE">
      <w:pPr>
        <w:pStyle w:val="SingleTxtG"/>
        <w:rPr>
          <w:lang w:val="es-CO"/>
        </w:rPr>
      </w:pPr>
      <w:r w:rsidRPr="00153A9C">
        <w:rPr>
          <w:lang w:val="es-CO"/>
        </w:rPr>
        <w:t xml:space="preserve">157. </w:t>
      </w:r>
      <w:r w:rsidRPr="00153A9C">
        <w:rPr>
          <w:lang w:val="es-CO"/>
        </w:rPr>
        <w:tab/>
        <w:t>Al finalizar el período incluido en el informe había un total de 12 casos pendientes ante los tribunales</w:t>
      </w:r>
      <w:r w:rsidR="00FC7755" w:rsidRPr="00153A9C">
        <w:rPr>
          <w:lang w:val="es-CO"/>
        </w:rPr>
        <w:t>.</w:t>
      </w:r>
    </w:p>
    <w:p w:rsidR="00E275B9" w:rsidRPr="00153A9C" w:rsidRDefault="00FB57CE" w:rsidP="00FB57CE">
      <w:pPr>
        <w:pStyle w:val="H1G"/>
        <w:rPr>
          <w:lang w:val="es-CO"/>
        </w:rPr>
      </w:pPr>
      <w:r>
        <w:rPr>
          <w:lang w:val="es-CO"/>
        </w:rPr>
        <w:tab/>
      </w:r>
      <w:r>
        <w:rPr>
          <w:lang w:val="es-CO"/>
        </w:rPr>
        <w:tab/>
      </w:r>
      <w:r w:rsidR="00E275B9" w:rsidRPr="00153A9C">
        <w:rPr>
          <w:lang w:val="es-CO"/>
        </w:rPr>
        <w:t>Recomendación 45</w:t>
      </w:r>
    </w:p>
    <w:p w:rsidR="00E275B9" w:rsidRPr="00153A9C" w:rsidRDefault="00E275B9" w:rsidP="00FB57CE">
      <w:pPr>
        <w:pStyle w:val="SingleTxtG"/>
        <w:rPr>
          <w:lang w:val="es-CO"/>
        </w:rPr>
      </w:pPr>
      <w:r w:rsidRPr="00153A9C">
        <w:rPr>
          <w:lang w:val="es-CO"/>
        </w:rPr>
        <w:t xml:space="preserve">158. </w:t>
      </w:r>
      <w:r w:rsidRPr="00153A9C">
        <w:rPr>
          <w:lang w:val="es-CO"/>
        </w:rPr>
        <w:tab/>
        <w:t>Según el Organismo de Estadísticas de Bosnia y Herzegovina, el porcentaje de la población que vive por debajo del umbral de pobreza en Bosnia y Herzegovina es el 18,2% (datos elaborados mediante la metodología de Eurostat) o el 18,6% (metodología del Banco Mundial).</w:t>
      </w:r>
    </w:p>
    <w:p w:rsidR="00E275B9" w:rsidRPr="00153A9C" w:rsidRDefault="00E275B9" w:rsidP="00FB57CE">
      <w:pPr>
        <w:pStyle w:val="SingleTxtG"/>
        <w:rPr>
          <w:lang w:val="es-CO"/>
        </w:rPr>
      </w:pPr>
      <w:r w:rsidRPr="00153A9C">
        <w:rPr>
          <w:lang w:val="es-CO"/>
        </w:rPr>
        <w:t xml:space="preserve">159. </w:t>
      </w:r>
      <w:r w:rsidRPr="00153A9C">
        <w:rPr>
          <w:lang w:val="es-CO"/>
        </w:rPr>
        <w:tab/>
        <w:t xml:space="preserve">En lo que respecta </w:t>
      </w:r>
      <w:r w:rsidR="00FC7755" w:rsidRPr="00153A9C">
        <w:rPr>
          <w:lang w:val="es-CO"/>
        </w:rPr>
        <w:t xml:space="preserve">la proporción </w:t>
      </w:r>
      <w:r w:rsidRPr="00153A9C">
        <w:rPr>
          <w:lang w:val="es-CO"/>
        </w:rPr>
        <w:t xml:space="preserve">del segmento más pobre de la población en el consumo nacional, </w:t>
      </w:r>
      <w:r w:rsidR="000A228B">
        <w:rPr>
          <w:lang w:val="es-CO"/>
        </w:rPr>
        <w:t>es decir,</w:t>
      </w:r>
      <w:r w:rsidR="003B050C">
        <w:rPr>
          <w:lang w:val="es-CO"/>
        </w:rPr>
        <w:t xml:space="preserve"> </w:t>
      </w:r>
      <w:r w:rsidRPr="00153A9C">
        <w:rPr>
          <w:lang w:val="es-CO"/>
        </w:rPr>
        <w:t xml:space="preserve">aproximadamente una quinta parte de la población, el 7,2% del consumo nacional </w:t>
      </w:r>
      <w:r w:rsidR="000A228B">
        <w:rPr>
          <w:lang w:val="es-CO"/>
        </w:rPr>
        <w:t>corresponde al</w:t>
      </w:r>
      <w:r w:rsidRPr="00153A9C">
        <w:rPr>
          <w:lang w:val="es-CO"/>
        </w:rPr>
        <w:t xml:space="preserve"> 20% de los más pobres, mientras que el 39,0% del consumo nacional corresponde al 20% más rico.</w:t>
      </w:r>
    </w:p>
    <w:p w:rsidR="00E275B9" w:rsidRPr="00153A9C" w:rsidRDefault="00E275B9" w:rsidP="00FB57CE">
      <w:pPr>
        <w:pStyle w:val="SingleTxtG"/>
        <w:rPr>
          <w:lang w:val="es-CO"/>
        </w:rPr>
      </w:pPr>
      <w:r w:rsidRPr="00153A9C">
        <w:rPr>
          <w:lang w:val="es-CO"/>
        </w:rPr>
        <w:t xml:space="preserve">160. </w:t>
      </w:r>
      <w:r w:rsidRPr="00153A9C">
        <w:rPr>
          <w:lang w:val="es-CO"/>
        </w:rPr>
        <w:tab/>
      </w:r>
      <w:r w:rsidR="000A228B">
        <w:rPr>
          <w:lang w:val="es-CO"/>
        </w:rPr>
        <w:t>Habida cuenta de este y</w:t>
      </w:r>
      <w:r w:rsidRPr="00153A9C">
        <w:rPr>
          <w:lang w:val="es-CO"/>
        </w:rPr>
        <w:t xml:space="preserve"> muchos otros parámetros relacionados con la política social, es obvio que la situación social de la población de Bosnia y Herzegovina es sumamente difícil. La carga de la pobreza afecta particularmente a quienes pertenecen a grupos marginados, en particular los refugiados y personas desplazadas, las personas de edad, los jóvenes, las personas con discapacidad, los romaníes, que son especialmente numerosos en Bosnia y Herzegovina, pero también los grupos de la población más vulnerables y otros.</w:t>
      </w:r>
    </w:p>
    <w:p w:rsidR="00E275B9" w:rsidRPr="00153A9C" w:rsidRDefault="00E275B9" w:rsidP="00FB57CE">
      <w:pPr>
        <w:pStyle w:val="SingleTxtG"/>
        <w:rPr>
          <w:lang w:val="es-CO"/>
        </w:rPr>
      </w:pPr>
      <w:r w:rsidRPr="00153A9C">
        <w:rPr>
          <w:lang w:val="es-CO"/>
        </w:rPr>
        <w:t xml:space="preserve">161. </w:t>
      </w:r>
      <w:r w:rsidRPr="00153A9C">
        <w:rPr>
          <w:lang w:val="es-CO"/>
        </w:rPr>
        <w:tab/>
      </w:r>
      <w:r w:rsidR="000A228B">
        <w:rPr>
          <w:lang w:val="es-CO"/>
        </w:rPr>
        <w:t>Como signatario</w:t>
      </w:r>
      <w:r w:rsidR="003B050C">
        <w:rPr>
          <w:lang w:val="es-CO"/>
        </w:rPr>
        <w:t xml:space="preserve"> </w:t>
      </w:r>
      <w:r w:rsidRPr="00153A9C">
        <w:rPr>
          <w:lang w:val="es-CO"/>
        </w:rPr>
        <w:t xml:space="preserve">de </w:t>
      </w:r>
      <w:smartTag w:uri="urn:schemas-microsoft-com:office:smarttags" w:element="PersonName">
        <w:smartTagPr>
          <w:attr w:name="ProductID" w:val="la Carta Social Europea"/>
        </w:smartTagPr>
        <w:r w:rsidRPr="00153A9C">
          <w:rPr>
            <w:lang w:val="es-CO"/>
          </w:rPr>
          <w:t>la Carta Social Europea</w:t>
        </w:r>
      </w:smartTag>
      <w:r w:rsidRPr="00153A9C">
        <w:rPr>
          <w:lang w:val="es-CO"/>
        </w:rPr>
        <w:t xml:space="preserve"> (revisada), Bosnia y Herzegovina está obligado a esforzarse en el período próximo a crear las condiciones para superar rápidamente la difícil situación económica y crear las condiciones para que las familias que sufren ya o corre</w:t>
      </w:r>
      <w:r w:rsidR="001A108A" w:rsidRPr="00153A9C">
        <w:rPr>
          <w:lang w:val="es-CO"/>
        </w:rPr>
        <w:t>n</w:t>
      </w:r>
      <w:r w:rsidRPr="00153A9C">
        <w:rPr>
          <w:lang w:val="es-CO"/>
        </w:rPr>
        <w:t xml:space="preserve"> el riesgo de sufrir excl</w:t>
      </w:r>
      <w:r w:rsidR="00FC7755" w:rsidRPr="00153A9C">
        <w:rPr>
          <w:lang w:val="es-CO"/>
        </w:rPr>
        <w:t>usión social y pobreza superen es</w:t>
      </w:r>
      <w:r w:rsidRPr="00153A9C">
        <w:rPr>
          <w:lang w:val="es-CO"/>
        </w:rPr>
        <w:t xml:space="preserve">a difícil situación. La pobreza debe tratarse como </w:t>
      </w:r>
      <w:r w:rsidR="00FC7755" w:rsidRPr="00153A9C">
        <w:rPr>
          <w:lang w:val="es-CO"/>
        </w:rPr>
        <w:t xml:space="preserve">una realidad </w:t>
      </w:r>
      <w:r w:rsidRPr="00153A9C">
        <w:rPr>
          <w:lang w:val="es-CO"/>
        </w:rPr>
        <w:t>multidimensional y su solución no puede limitarse únicamente al sistema de asistencia social</w:t>
      </w:r>
      <w:r w:rsidR="00FC7755" w:rsidRPr="00153A9C">
        <w:rPr>
          <w:lang w:val="es-CO"/>
        </w:rPr>
        <w:t xml:space="preserve">. Este problema requiere </w:t>
      </w:r>
      <w:r w:rsidRPr="00153A9C">
        <w:rPr>
          <w:lang w:val="es-CO"/>
        </w:rPr>
        <w:t>una política amplia, que facilite la participación de los grupos desfavorecidos en el empleo y el acceso a todos los recursos, derechos, bienes y servicios, reduzca los riesgos de hundirse todavía más en la pobreza, ayud</w:t>
      </w:r>
      <w:r w:rsidR="00FC7755" w:rsidRPr="00153A9C">
        <w:rPr>
          <w:lang w:val="es-CO"/>
        </w:rPr>
        <w:t>e</w:t>
      </w:r>
      <w:r w:rsidRPr="00153A9C">
        <w:rPr>
          <w:lang w:val="es-CO"/>
        </w:rPr>
        <w:t xml:space="preserve"> a los grupos más vulnerables y movili</w:t>
      </w:r>
      <w:r w:rsidR="00FC7755" w:rsidRPr="00153A9C">
        <w:rPr>
          <w:lang w:val="es-CO"/>
        </w:rPr>
        <w:t xml:space="preserve">ce </w:t>
      </w:r>
      <w:r w:rsidRPr="00153A9C">
        <w:rPr>
          <w:lang w:val="es-CO"/>
        </w:rPr>
        <w:t xml:space="preserve">todos los recursos disponibles para combatir la pobreza y la exclusión social. Para ello, deberá hacerse lo posible por armonizar las normas, leyes y reglamentos que regulan la esfera de la política social, de manera que no haya diferencias drásticas en la política social </w:t>
      </w:r>
      <w:r w:rsidR="00FC7755" w:rsidRPr="00153A9C">
        <w:rPr>
          <w:lang w:val="es-CO"/>
        </w:rPr>
        <w:t xml:space="preserve">de </w:t>
      </w:r>
      <w:r w:rsidRPr="00153A9C">
        <w:rPr>
          <w:lang w:val="es-CO"/>
        </w:rPr>
        <w:t xml:space="preserve">las distintas Entidades y cantones, como ocurre todavía en la realidad. </w:t>
      </w:r>
    </w:p>
    <w:p w:rsidR="00E275B9" w:rsidRPr="00153A9C" w:rsidRDefault="00E275B9" w:rsidP="00FB57CE">
      <w:pPr>
        <w:pStyle w:val="SingleTxtG"/>
        <w:rPr>
          <w:lang w:val="es-CO"/>
        </w:rPr>
      </w:pPr>
      <w:r w:rsidRPr="00153A9C">
        <w:rPr>
          <w:lang w:val="es-CO"/>
        </w:rPr>
        <w:t xml:space="preserve">162. </w:t>
      </w:r>
      <w:r w:rsidRPr="00153A9C">
        <w:rPr>
          <w:lang w:val="es-CO"/>
        </w:rPr>
        <w:tab/>
        <w:t xml:space="preserve">A fin de combatir la pobreza con eficacia, debemos conocer y comprobar el número de pobres e identificar a los grupos más vulnerables y la distribución territorial del fenómeno. Es preciso formular programas que las instituciones competentes deban aplicar con eficacia para proteger a los grupos vulnerables que necesitan asistencia social. Hasta ahora, se han mantenido estadísticas únicamente en los centros municipales de bienestar social, pero en el período más reciente se ha conseguido </w:t>
      </w:r>
      <w:r w:rsidR="002815C1">
        <w:rPr>
          <w:lang w:val="es-CO"/>
        </w:rPr>
        <w:t xml:space="preserve">comprender mejor el </w:t>
      </w:r>
      <w:r w:rsidRPr="00153A9C">
        <w:rPr>
          <w:lang w:val="es-CO"/>
        </w:rPr>
        <w:t>fenómeno de la pobreza en Bosnia y Herzegovina gracias al Informe sobre el desarrollo humano de 2007</w:t>
      </w:r>
      <w:r w:rsidR="00304818" w:rsidRPr="00153A9C">
        <w:rPr>
          <w:lang w:val="es-CO"/>
        </w:rPr>
        <w:t>,</w:t>
      </w:r>
      <w:r w:rsidRPr="00153A9C">
        <w:rPr>
          <w:lang w:val="es-CO"/>
        </w:rPr>
        <w:t xml:space="preserve"> </w:t>
      </w:r>
      <w:r w:rsidR="00E738E3">
        <w:rPr>
          <w:lang w:val="es-CO"/>
        </w:rPr>
        <w:t>"</w:t>
      </w:r>
      <w:r w:rsidRPr="00153A9C">
        <w:rPr>
          <w:lang w:val="es-CO"/>
        </w:rPr>
        <w:t>Inclusión social en Bosnia y Herzegovina</w:t>
      </w:r>
      <w:r w:rsidR="00E738E3">
        <w:rPr>
          <w:lang w:val="es-CO"/>
        </w:rPr>
        <w:t>"</w:t>
      </w:r>
      <w:r w:rsidRPr="00153A9C">
        <w:rPr>
          <w:lang w:val="es-CO"/>
        </w:rPr>
        <w:t xml:space="preserve">. Por otro lado, el documento </w:t>
      </w:r>
      <w:r w:rsidRPr="00153A9C">
        <w:rPr>
          <w:i/>
          <w:lang w:val="es-CO"/>
        </w:rPr>
        <w:t>Living Standards Measurement Study</w:t>
      </w:r>
      <w:r w:rsidRPr="00153A9C">
        <w:rPr>
          <w:lang w:val="es-CO"/>
        </w:rPr>
        <w:t xml:space="preserve"> ha ayudado a evaluar la situación en este terreno. Se comprobó que aproximadamente el 19,5% de la población de Bosnia y Herzegovina (16% en la Federación de Bosnia y Herzegovina y 25% en </w:t>
      </w:r>
      <w:smartTag w:uri="urn:schemas-microsoft-com:office:smarttags" w:element="PersonName">
        <w:smartTagPr>
          <w:attr w:name="ProductID" w:val="la Rep￺blica Sprska"/>
        </w:smartTagPr>
        <w:r w:rsidRPr="00153A9C">
          <w:rPr>
            <w:lang w:val="es-CO"/>
          </w:rPr>
          <w:t>la República Sprska</w:t>
        </w:r>
      </w:smartTag>
      <w:r w:rsidRPr="00153A9C">
        <w:rPr>
          <w:lang w:val="es-CO"/>
        </w:rPr>
        <w:t xml:space="preserve">) se encontraba por debajo del umbral de pobreza. Además, se concluyó que aproximadamente el 30% de la población se encuentra en el límite del umbral de pobreza. Dado que esos datos hacen referencia a la encuesta y no a informaciones obtenidas en el censo, deben considerarse como una evaluación con los límites adecuados de tolerancia. En </w:t>
      </w:r>
      <w:r w:rsidR="00304818" w:rsidRPr="00153A9C">
        <w:rPr>
          <w:lang w:val="es-CO"/>
        </w:rPr>
        <w:t xml:space="preserve">los años </w:t>
      </w:r>
      <w:r w:rsidRPr="00153A9C">
        <w:rPr>
          <w:lang w:val="es-CO"/>
        </w:rPr>
        <w:t>próximo</w:t>
      </w:r>
      <w:r w:rsidR="00304818" w:rsidRPr="00153A9C">
        <w:rPr>
          <w:lang w:val="es-CO"/>
        </w:rPr>
        <w:t>s</w:t>
      </w:r>
      <w:r w:rsidRPr="00153A9C">
        <w:rPr>
          <w:lang w:val="es-CO"/>
        </w:rPr>
        <w:t>, Bosnia y Herzegovina tiene la obligación de prestar especial atención a sus actividades relacionadas con prioridades estratégicas para esta esfera, en particular, la conclusión del proceso de armonización de las normas y de la legislación nacional y la adopción del principio básico de que el bienestar social debe estar basado en las necesidades; la sincronización de las necesidades sociales en todo el país; el aumento de la eficiencia de los servicios en el ámbito de la política social mediante la introducción de cambios en la organización, con particular atención al establecimiento de normas realistas y eficientes, y reglamentos que establezcan procedimientos simplificados en el ámbito de la labor social de conformidad con las normas internacionales.</w:t>
      </w:r>
    </w:p>
    <w:p w:rsidR="00E275B9" w:rsidRPr="00153A9C" w:rsidRDefault="00304818" w:rsidP="00FB57CE">
      <w:pPr>
        <w:pStyle w:val="SingleTxtG"/>
        <w:rPr>
          <w:lang w:val="es-CO"/>
        </w:rPr>
      </w:pPr>
      <w:r w:rsidRPr="00153A9C">
        <w:rPr>
          <w:lang w:val="es-CO"/>
        </w:rPr>
        <w:t xml:space="preserve">163. </w:t>
      </w:r>
      <w:r w:rsidRPr="00153A9C">
        <w:rPr>
          <w:lang w:val="es-CO"/>
        </w:rPr>
        <w:tab/>
        <w:t>E</w:t>
      </w:r>
      <w:r w:rsidR="00E275B9" w:rsidRPr="00153A9C">
        <w:rPr>
          <w:lang w:val="es-CO"/>
        </w:rPr>
        <w:t xml:space="preserve">n lo que se refiere a los grupos marginados y más vulnerables, </w:t>
      </w:r>
      <w:r w:rsidRPr="00153A9C">
        <w:rPr>
          <w:lang w:val="es-CO"/>
        </w:rPr>
        <w:t xml:space="preserve">en los dos últimos años </w:t>
      </w:r>
      <w:r w:rsidR="00E275B9" w:rsidRPr="00153A9C">
        <w:rPr>
          <w:lang w:val="es-CO"/>
        </w:rPr>
        <w:t xml:space="preserve">Bosnia y Herzegovina dedicó considerable atención a </w:t>
      </w:r>
      <w:r w:rsidRPr="00153A9C">
        <w:rPr>
          <w:lang w:val="es-CO"/>
        </w:rPr>
        <w:t xml:space="preserve">la </w:t>
      </w:r>
      <w:r w:rsidR="00E275B9" w:rsidRPr="00153A9C">
        <w:rPr>
          <w:lang w:val="es-CO"/>
        </w:rPr>
        <w:t xml:space="preserve">asistencia a los romaníes, minoría étnica que constituyó el grupo más vulnerable de acuerdo con todos los parámetros. En 2009 y </w:t>
      </w:r>
      <w:smartTag w:uri="urn:schemas-microsoft-com:office:smarttags" w:element="metricconverter">
        <w:smartTagPr>
          <w:attr w:name="ProductID" w:val="2010 ha"/>
        </w:smartTagPr>
        <w:r w:rsidR="00E275B9" w:rsidRPr="00153A9C">
          <w:rPr>
            <w:lang w:val="es-CO"/>
          </w:rPr>
          <w:t>2010 ha</w:t>
        </w:r>
      </w:smartTag>
      <w:r w:rsidR="00E275B9" w:rsidRPr="00153A9C">
        <w:rPr>
          <w:lang w:val="es-CO"/>
        </w:rPr>
        <w:t xml:space="preserve"> comenzado un ambicioso programa de preparación y aplicación del Plan de acción adoptado </w:t>
      </w:r>
      <w:r w:rsidRPr="00153A9C">
        <w:rPr>
          <w:lang w:val="es-CO"/>
        </w:rPr>
        <w:t xml:space="preserve">por </w:t>
      </w:r>
      <w:r w:rsidR="00E275B9" w:rsidRPr="00153A9C">
        <w:rPr>
          <w:lang w:val="es-CO"/>
        </w:rPr>
        <w:t xml:space="preserve">Bosnia y Herzegovina para abordar la cuestión de los romaníes en las esferas de la vivienda, el empleo y la atención de salud. La base auténtica para la realización del plan es la disponibilidad de fondos asignados para atender esas necesidades en el planes elaborados en el marco del Decenio de </w:t>
      </w:r>
      <w:smartTag w:uri="urn:schemas-microsoft-com:office:smarttags" w:element="PersonName">
        <w:smartTagPr>
          <w:attr w:name="ProductID" w:val="la Inclusi￳n Roman￭"/>
        </w:smartTagPr>
        <w:r w:rsidR="00E275B9" w:rsidRPr="00153A9C">
          <w:rPr>
            <w:lang w:val="es-CO"/>
          </w:rPr>
          <w:t>la Inclusión Romaní</w:t>
        </w:r>
      </w:smartTag>
      <w:r w:rsidR="00E275B9" w:rsidRPr="00153A9C">
        <w:rPr>
          <w:lang w:val="es-CO"/>
        </w:rPr>
        <w:t xml:space="preserve"> (2005-2015), Bosnia y Herzegovina </w:t>
      </w:r>
      <w:r w:rsidR="00DF10A4" w:rsidRPr="00153A9C">
        <w:rPr>
          <w:lang w:val="es-CO"/>
        </w:rPr>
        <w:t xml:space="preserve">presupuesto estatal y de fondos suministrados por donantes internacionales. Por ello, de conformidad con los </w:t>
      </w:r>
      <w:r w:rsidR="00E275B9" w:rsidRPr="00153A9C">
        <w:rPr>
          <w:lang w:val="es-CO"/>
        </w:rPr>
        <w:t xml:space="preserve">espera </w:t>
      </w:r>
      <w:r w:rsidRPr="00153A9C">
        <w:rPr>
          <w:lang w:val="es-CO"/>
        </w:rPr>
        <w:t xml:space="preserve">con realismo </w:t>
      </w:r>
      <w:r w:rsidR="00E275B9" w:rsidRPr="00153A9C">
        <w:rPr>
          <w:lang w:val="es-CO"/>
        </w:rPr>
        <w:t>conseguir resultados positivos para mejorar la situación general de los</w:t>
      </w:r>
      <w:r w:rsidRPr="00153A9C">
        <w:rPr>
          <w:lang w:val="es-CO"/>
        </w:rPr>
        <w:t xml:space="preserve"> romaníes</w:t>
      </w:r>
      <w:r w:rsidR="00E275B9" w:rsidRPr="00153A9C">
        <w:rPr>
          <w:lang w:val="es-CO"/>
        </w:rPr>
        <w:t xml:space="preserve"> en todos los aspectos de sus condiciones de trabajo y de vida.</w:t>
      </w:r>
    </w:p>
    <w:p w:rsidR="00E275B9" w:rsidRPr="00153A9C" w:rsidRDefault="00FB57CE" w:rsidP="00FB57CE">
      <w:pPr>
        <w:pStyle w:val="H1G"/>
        <w:rPr>
          <w:lang w:val="es-CO"/>
        </w:rPr>
      </w:pPr>
      <w:r>
        <w:rPr>
          <w:lang w:val="es-CO"/>
        </w:rPr>
        <w:tab/>
      </w:r>
      <w:r>
        <w:rPr>
          <w:lang w:val="es-CO"/>
        </w:rPr>
        <w:tab/>
      </w:r>
      <w:r w:rsidR="00E275B9" w:rsidRPr="00153A9C">
        <w:rPr>
          <w:lang w:val="es-CO"/>
        </w:rPr>
        <w:t>Recomendación 46</w:t>
      </w:r>
    </w:p>
    <w:p w:rsidR="00E275B9" w:rsidRPr="00153A9C" w:rsidRDefault="00E275B9" w:rsidP="00FB57CE">
      <w:pPr>
        <w:pStyle w:val="SingleTxtG"/>
        <w:rPr>
          <w:lang w:val="es-CO"/>
        </w:rPr>
      </w:pPr>
      <w:r w:rsidRPr="00153A9C">
        <w:rPr>
          <w:lang w:val="es-CO"/>
        </w:rPr>
        <w:t xml:space="preserve">164. </w:t>
      </w:r>
      <w:r w:rsidRPr="00153A9C">
        <w:rPr>
          <w:lang w:val="es-CO"/>
        </w:rPr>
        <w:tab/>
        <w:t>De acuerdo con la Constitución de Bosnia y Herzegovina la política de vivienda es competencia de las Entidades y el Distrito Brčko. Por ello, las necesidades de vivienda de la población y, por consiguiente, el suministro de fondos y la asignación de vivienda social, en particular para las personas con ingresos más bajos y los grupos pobres y marginados</w:t>
      </w:r>
      <w:r w:rsidR="00304818" w:rsidRPr="00153A9C">
        <w:rPr>
          <w:lang w:val="es-CO"/>
        </w:rPr>
        <w:t>,</w:t>
      </w:r>
      <w:r w:rsidRPr="00153A9C">
        <w:rPr>
          <w:lang w:val="es-CO"/>
        </w:rPr>
        <w:t xml:space="preserve"> no son competencia del Estado. A propuesta del Ministerio de Derechos Humanos y Refugiados, se incluyó en el programa la adopción de la Estrategia de acceso a la vivienda en Bosnia y Herzegovina. Esta actividad es continuación de las iniciativas comenzadas en 2008, en </w:t>
      </w:r>
      <w:r w:rsidR="00304818" w:rsidRPr="00153A9C">
        <w:rPr>
          <w:lang w:val="es-CO"/>
        </w:rPr>
        <w:t xml:space="preserve">las </w:t>
      </w:r>
      <w:r w:rsidRPr="00153A9C">
        <w:rPr>
          <w:lang w:val="es-CO"/>
        </w:rPr>
        <w:t xml:space="preserve">que se elaboraron el </w:t>
      </w:r>
      <w:r w:rsidR="00E738E3">
        <w:rPr>
          <w:lang w:val="es-CO"/>
        </w:rPr>
        <w:t>"</w:t>
      </w:r>
      <w:r w:rsidRPr="00153A9C">
        <w:rPr>
          <w:lang w:val="es-CO"/>
        </w:rPr>
        <w:t>Estudio comparativo de la experiencia internacional en el ámbito de la vivienda social</w:t>
      </w:r>
      <w:r w:rsidR="00E738E3">
        <w:rPr>
          <w:lang w:val="es-CO"/>
        </w:rPr>
        <w:t>"</w:t>
      </w:r>
      <w:r w:rsidRPr="00153A9C">
        <w:rPr>
          <w:lang w:val="es-CO"/>
        </w:rPr>
        <w:t xml:space="preserve"> y el </w:t>
      </w:r>
      <w:r w:rsidR="00E738E3">
        <w:rPr>
          <w:lang w:val="es-CO"/>
        </w:rPr>
        <w:t>"</w:t>
      </w:r>
      <w:r w:rsidRPr="00153A9C">
        <w:rPr>
          <w:lang w:val="es-CO"/>
        </w:rPr>
        <w:t>Informe sobre la evaluación de las necesidades de vivienda en Bosnia y Herzegovina</w:t>
      </w:r>
      <w:r w:rsidR="00E738E3">
        <w:rPr>
          <w:lang w:val="es-CO"/>
        </w:rPr>
        <w:t>"</w:t>
      </w:r>
      <w:r w:rsidRPr="00153A9C">
        <w:rPr>
          <w:lang w:val="es-CO"/>
        </w:rPr>
        <w:t>. Esos dos documentos exhaustivos, preparados en cooperación con expertos internacionales en vivienda, constituyen una sólida base y sirven como material de referencia para la elaboración de este documento estratégico cuyo objetivo es emprender acciones que permitan establecer un marco jurídico adecuado, una planificación institucional acertada y la elaboración de políticas que estén en consonancia con la no discriminación en el acceso a la vivienda para todos.</w:t>
      </w:r>
    </w:p>
    <w:p w:rsidR="00E275B9" w:rsidRPr="00153A9C" w:rsidRDefault="00E275B9" w:rsidP="00FB57CE">
      <w:pPr>
        <w:pStyle w:val="SingleTxtG"/>
        <w:rPr>
          <w:lang w:val="es-CO"/>
        </w:rPr>
      </w:pPr>
      <w:r w:rsidRPr="00153A9C">
        <w:rPr>
          <w:lang w:val="es-CO"/>
        </w:rPr>
        <w:t xml:space="preserve">165. </w:t>
      </w:r>
      <w:r w:rsidRPr="00153A9C">
        <w:rPr>
          <w:lang w:val="es-CO"/>
        </w:rPr>
        <w:tab/>
        <w:t xml:space="preserve">De conformidad con los objetivos generales de la reconstrucción económica, el desarrollo y la cooperación, este documento promoverá el acceso no discriminatorio a la vivienda, la vivienda sostenible y el desarrollo urbano, con inclusión de </w:t>
      </w:r>
      <w:r w:rsidR="00304818" w:rsidRPr="00153A9C">
        <w:rPr>
          <w:lang w:val="es-CO"/>
        </w:rPr>
        <w:t xml:space="preserve">la </w:t>
      </w:r>
      <w:r w:rsidRPr="00153A9C">
        <w:rPr>
          <w:lang w:val="es-CO"/>
        </w:rPr>
        <w:t xml:space="preserve">elaboración de instrumentos para introducir mejoras en esta esfera, con particular atención a la vivienda para las categorías vulnerables de </w:t>
      </w:r>
      <w:smartTag w:uri="urn:schemas-microsoft-com:office:smarttags" w:element="PersonName">
        <w:smartTagPr>
          <w:attr w:name="ProductID" w:val="la poblaci￳n. A"/>
        </w:smartTagPr>
        <w:r w:rsidRPr="00153A9C">
          <w:rPr>
            <w:lang w:val="es-CO"/>
          </w:rPr>
          <w:t>la población. A</w:t>
        </w:r>
      </w:smartTag>
      <w:r w:rsidRPr="00153A9C">
        <w:rPr>
          <w:lang w:val="es-CO"/>
        </w:rPr>
        <w:t xml:space="preserve"> este respecto, se </w:t>
      </w:r>
      <w:r w:rsidR="00304818" w:rsidRPr="00153A9C">
        <w:rPr>
          <w:lang w:val="es-CO"/>
        </w:rPr>
        <w:t xml:space="preserve">hará </w:t>
      </w:r>
      <w:r w:rsidRPr="00153A9C">
        <w:rPr>
          <w:lang w:val="es-CO"/>
        </w:rPr>
        <w:t xml:space="preserve">especial </w:t>
      </w:r>
      <w:r w:rsidR="00304818" w:rsidRPr="00153A9C">
        <w:rPr>
          <w:lang w:val="es-CO"/>
        </w:rPr>
        <w:t xml:space="preserve">hincapié en </w:t>
      </w:r>
      <w:r w:rsidRPr="00153A9C">
        <w:rPr>
          <w:lang w:val="es-CO"/>
        </w:rPr>
        <w:t>la política de vivienda estratégica para armonizarla con las recomendaciones contenidas en las fuentes internacionales y nacionales de derecho, y el Ministerio de Derechos Humanos y Refugiados continuará adoptando las medidas adecuadas a fin de promover, proteger y garantizar el ejercicio pleno y progresivo del derecho a la vivienda en Bosnia y Herzegovina.</w:t>
      </w:r>
    </w:p>
    <w:p w:rsidR="00E275B9" w:rsidRPr="00153A9C" w:rsidRDefault="00E275B9" w:rsidP="00FB57CE">
      <w:pPr>
        <w:pStyle w:val="SingleTxtG"/>
        <w:rPr>
          <w:lang w:val="es-CO"/>
        </w:rPr>
      </w:pPr>
      <w:r w:rsidRPr="00153A9C">
        <w:rPr>
          <w:lang w:val="es-CO"/>
        </w:rPr>
        <w:t xml:space="preserve">166. </w:t>
      </w:r>
      <w:r w:rsidRPr="00153A9C">
        <w:rPr>
          <w:lang w:val="es-CO"/>
        </w:rPr>
        <w:tab/>
        <w:t>Dado que en Bosnia y Herzegovina</w:t>
      </w:r>
      <w:r w:rsidR="00304818" w:rsidRPr="00153A9C">
        <w:rPr>
          <w:lang w:val="es-CO"/>
        </w:rPr>
        <w:t xml:space="preserve"> hay todavía un gran número de refugiados y personas desplazadas</w:t>
      </w:r>
      <w:r w:rsidRPr="00153A9C">
        <w:rPr>
          <w:lang w:val="es-CO"/>
        </w:rPr>
        <w:t>, cuyos hogares fueron demolidos y destruidos, el Ministerio cuenta con una División encargada, entre otras cosas, de atender las necesidades de vivienda de los refugiados y personas desplazadas.</w:t>
      </w:r>
    </w:p>
    <w:p w:rsidR="00E275B9" w:rsidRPr="00153A9C" w:rsidRDefault="00E275B9" w:rsidP="00FB57CE">
      <w:pPr>
        <w:pStyle w:val="SingleTxtG"/>
        <w:rPr>
          <w:lang w:val="es-CO"/>
        </w:rPr>
      </w:pPr>
      <w:r w:rsidRPr="00153A9C">
        <w:rPr>
          <w:lang w:val="es-CO"/>
        </w:rPr>
        <w:t xml:space="preserve">167. </w:t>
      </w:r>
      <w:r w:rsidRPr="00153A9C">
        <w:rPr>
          <w:lang w:val="es-CO"/>
        </w:rPr>
        <w:tab/>
        <w:t xml:space="preserve">Asimismo, la División de Derechos Humanos, adscrita al Ministerio, ha puesto en marcha actividades previstas en el Plan de acción gracias a los fondos asignados en el presupuesto de Bosnia y Herzegovina y fondos de donantes para atender las necesidades de los romaníes de Bosnia y Herzegovina, que constituyen la minoría étnica más vulnerable en lo que respecta a </w:t>
      </w:r>
      <w:smartTag w:uri="urn:schemas-microsoft-com:office:smarttags" w:element="PersonName">
        <w:smartTagPr>
          <w:attr w:name="ProductID" w:val="la vivienda. Las"/>
        </w:smartTagPr>
        <w:r w:rsidRPr="00153A9C">
          <w:rPr>
            <w:lang w:val="es-CO"/>
          </w:rPr>
          <w:t>la vivienda. Las</w:t>
        </w:r>
      </w:smartTag>
      <w:r w:rsidRPr="00153A9C">
        <w:rPr>
          <w:lang w:val="es-CO"/>
        </w:rPr>
        <w:t xml:space="preserve"> actividades han comenzado y se prevé que atiendan las necesidades de vivienda de un gran número de romaníes de Bosnia y Herzegovina no más tarde de 2015. Se trata de una meta muy importante, habida cuenta de que la población, romaní es el grupo más vulnerable en este terreno. Por ello, </w:t>
      </w:r>
      <w:r w:rsidR="00304818" w:rsidRPr="00153A9C">
        <w:rPr>
          <w:lang w:val="es-CO"/>
        </w:rPr>
        <w:t xml:space="preserve">en julio de 2008 </w:t>
      </w:r>
      <w:r w:rsidRPr="00153A9C">
        <w:rPr>
          <w:lang w:val="es-CO"/>
        </w:rPr>
        <w:t xml:space="preserve">Bosnia y Herzegovina adoptó el Plan de acción sobre la vivienda de los romaníes. Aunque 2009 fue el primer año de aplicación de dicho plan de acción, se han conseguido notables progresos y se </w:t>
      </w:r>
      <w:r w:rsidR="00304818" w:rsidRPr="00153A9C">
        <w:rPr>
          <w:lang w:val="es-CO"/>
        </w:rPr>
        <w:t xml:space="preserve">ha tomado una decisión sobre </w:t>
      </w:r>
      <w:r w:rsidRPr="00153A9C">
        <w:rPr>
          <w:lang w:val="es-CO"/>
        </w:rPr>
        <w:t xml:space="preserve">los criterios para la utilización de los fondos asignados con el fin de hacer frente a los problemas de los </w:t>
      </w:r>
      <w:r w:rsidR="00304818" w:rsidRPr="00153A9C">
        <w:rPr>
          <w:lang w:val="es-CO"/>
        </w:rPr>
        <w:t xml:space="preserve">romaníes </w:t>
      </w:r>
      <w:r w:rsidRPr="00153A9C">
        <w:rPr>
          <w:lang w:val="es-CO"/>
        </w:rPr>
        <w:t xml:space="preserve">en el ámbito de </w:t>
      </w:r>
      <w:smartTag w:uri="urn:schemas-microsoft-com:office:smarttags" w:element="PersonName">
        <w:smartTagPr>
          <w:attr w:name="ProductID" w:val="la vivienda. B￡sicamente"/>
        </w:smartTagPr>
        <w:r w:rsidRPr="00153A9C">
          <w:rPr>
            <w:lang w:val="es-CO"/>
          </w:rPr>
          <w:t>la vivienda. Básicamente</w:t>
        </w:r>
      </w:smartTag>
      <w:r w:rsidRPr="00153A9C">
        <w:rPr>
          <w:lang w:val="es-CO"/>
        </w:rPr>
        <w:t>, los objetivos son los siguientes: construcción de apartamentos y casas, mejora de las condiciones de vivienda y rehabilitación y urbanización de los asentamientos romaníes. El total de los fondos, en los que se incluyen tanto los procedentes del presupuesto como los asignados por los donantes, asciende a más de 5,5 millones</w:t>
      </w:r>
      <w:r w:rsidR="00F2119A" w:rsidRPr="00153A9C">
        <w:rPr>
          <w:lang w:val="es-CO"/>
        </w:rPr>
        <w:t xml:space="preserve"> de KM</w:t>
      </w:r>
      <w:r w:rsidRPr="00153A9C">
        <w:rPr>
          <w:lang w:val="es-CO"/>
        </w:rPr>
        <w:t xml:space="preserve">. Se estima que en 2010 se construirán y repararán 210 viviendas incluidas en los proyectos aprobados en 2009. </w:t>
      </w:r>
      <w:r w:rsidR="00511BCA" w:rsidRPr="00153A9C">
        <w:rPr>
          <w:lang w:val="es-CO"/>
        </w:rPr>
        <w:t xml:space="preserve">En </w:t>
      </w:r>
      <w:r w:rsidRPr="00153A9C">
        <w:rPr>
          <w:lang w:val="es-CO"/>
        </w:rPr>
        <w:t xml:space="preserve">2010 </w:t>
      </w:r>
      <w:r w:rsidR="00511BCA" w:rsidRPr="00153A9C">
        <w:rPr>
          <w:lang w:val="es-CO"/>
        </w:rPr>
        <w:t xml:space="preserve">se prevé publicar una nueva </w:t>
      </w:r>
      <w:r w:rsidRPr="00153A9C">
        <w:rPr>
          <w:lang w:val="es-CO"/>
        </w:rPr>
        <w:t>convocatoria para la realización de los posteriores proyectos de vivienda destinados a los romaníes de Bosnia y Herzegovina, con una aportación significativa del Organismo Sueco de Desarrollo Internacional, que desde hace varios años ofrece notable apoyo a los romaníes de</w:t>
      </w:r>
      <w:r w:rsidR="003B050C">
        <w:rPr>
          <w:lang w:val="es-CO"/>
        </w:rPr>
        <w:t xml:space="preserve"> </w:t>
      </w:r>
      <w:r w:rsidRPr="00153A9C">
        <w:rPr>
          <w:lang w:val="es-CO"/>
        </w:rPr>
        <w:t>Bosnia y Herzegovina con sus propios programas.</w:t>
      </w:r>
    </w:p>
    <w:p w:rsidR="00E275B9" w:rsidRPr="00153A9C" w:rsidRDefault="00FB57CE" w:rsidP="00FB57CE">
      <w:pPr>
        <w:pStyle w:val="H1G"/>
        <w:rPr>
          <w:lang w:val="es-CO"/>
        </w:rPr>
      </w:pPr>
      <w:r>
        <w:rPr>
          <w:lang w:val="es-CO"/>
        </w:rPr>
        <w:tab/>
      </w:r>
      <w:r>
        <w:rPr>
          <w:lang w:val="es-CO"/>
        </w:rPr>
        <w:tab/>
      </w:r>
      <w:r w:rsidR="00E275B9" w:rsidRPr="00153A9C">
        <w:rPr>
          <w:lang w:val="es-CO"/>
        </w:rPr>
        <w:t>Recomendación 47</w:t>
      </w:r>
    </w:p>
    <w:p w:rsidR="00E275B9" w:rsidRPr="00153A9C" w:rsidRDefault="00E275B9" w:rsidP="00FB57CE">
      <w:pPr>
        <w:pStyle w:val="SingleTxtG"/>
        <w:rPr>
          <w:lang w:val="es-CO"/>
        </w:rPr>
      </w:pPr>
      <w:r w:rsidRPr="00153A9C">
        <w:rPr>
          <w:lang w:val="es-CO"/>
        </w:rPr>
        <w:t xml:space="preserve">168. </w:t>
      </w:r>
      <w:r w:rsidRPr="00153A9C">
        <w:rPr>
          <w:lang w:val="es-CO"/>
        </w:rPr>
        <w:tab/>
        <w:t xml:space="preserve">Abundando en la respuesta a la pregunta 32, en la que se explica la situación y posición de los refugiados y personas desplazadas de Bosnia y Herzegovina, observamos que desde la firma de los </w:t>
      </w:r>
      <w:r w:rsidR="00AB4C30" w:rsidRPr="00153A9C">
        <w:rPr>
          <w:lang w:val="es-CO"/>
        </w:rPr>
        <w:t xml:space="preserve">Acuerdos de Paz de Dayton </w:t>
      </w:r>
      <w:r w:rsidRPr="00153A9C">
        <w:rPr>
          <w:lang w:val="es-CO"/>
        </w:rPr>
        <w:t xml:space="preserve">hasta la fecha, casi todos los bienes se han devuelto a los propietarios de antes de </w:t>
      </w:r>
      <w:smartTag w:uri="urn:schemas-microsoft-com:office:smarttags" w:element="PersonName">
        <w:smartTagPr>
          <w:attr w:name="ProductID" w:val="la guerra. No"/>
        </w:smartTagPr>
        <w:r w:rsidRPr="00153A9C">
          <w:rPr>
            <w:lang w:val="es-CO"/>
          </w:rPr>
          <w:t>la guerra. No</w:t>
        </w:r>
      </w:smartTag>
      <w:r w:rsidRPr="00153A9C">
        <w:rPr>
          <w:lang w:val="es-CO"/>
        </w:rPr>
        <w:t xml:space="preserve"> obstante, no se dan todavía las condiciones adecuadas para un regreso sostenible, a pesar de los considerables esfuerzos </w:t>
      </w:r>
      <w:r w:rsidR="00A77753" w:rsidRPr="00153A9C">
        <w:rPr>
          <w:lang w:val="es-CO"/>
        </w:rPr>
        <w:t xml:space="preserve">y </w:t>
      </w:r>
      <w:r w:rsidRPr="00153A9C">
        <w:rPr>
          <w:lang w:val="es-CO"/>
        </w:rPr>
        <w:t xml:space="preserve">actividades de las autoridades competentes. El hecho es que </w:t>
      </w:r>
      <w:r w:rsidR="00A77753" w:rsidRPr="00153A9C">
        <w:rPr>
          <w:lang w:val="es-CO"/>
        </w:rPr>
        <w:t xml:space="preserve">muchas </w:t>
      </w:r>
      <w:r w:rsidRPr="00153A9C">
        <w:rPr>
          <w:lang w:val="es-CO"/>
        </w:rPr>
        <w:t xml:space="preserve">familias no han regresado </w:t>
      </w:r>
      <w:r w:rsidR="00A77753" w:rsidRPr="00153A9C">
        <w:rPr>
          <w:lang w:val="es-CO"/>
        </w:rPr>
        <w:t xml:space="preserve">todavía </w:t>
      </w:r>
      <w:r w:rsidRPr="00153A9C">
        <w:rPr>
          <w:lang w:val="es-CO"/>
        </w:rPr>
        <w:t xml:space="preserve">a sus hogares de antes de </w:t>
      </w:r>
      <w:smartTag w:uri="urn:schemas-microsoft-com:office:smarttags" w:element="PersonName">
        <w:smartTagPr>
          <w:attr w:name="ProductID" w:val="la guerra. As￭"/>
        </w:smartTagPr>
        <w:r w:rsidRPr="00153A9C">
          <w:rPr>
            <w:lang w:val="es-CO"/>
          </w:rPr>
          <w:t>la guerra. Así</w:t>
        </w:r>
      </w:smartTag>
      <w:r w:rsidRPr="00153A9C">
        <w:rPr>
          <w:lang w:val="es-CO"/>
        </w:rPr>
        <w:t xml:space="preserve"> lo confirma también el hecho de que hay todavía unas 2.700 familias que viven en los centros colectivos de Bosnia y Herzegovina sin las condiciones más básicas para una vida normal. </w:t>
      </w:r>
      <w:r w:rsidR="00A77753" w:rsidRPr="00153A9C">
        <w:rPr>
          <w:lang w:val="es-CO"/>
        </w:rPr>
        <w:t>H</w:t>
      </w:r>
      <w:r w:rsidRPr="00153A9C">
        <w:rPr>
          <w:lang w:val="es-CO"/>
        </w:rPr>
        <w:t xml:space="preserve">ay </w:t>
      </w:r>
      <w:r w:rsidR="00A77753" w:rsidRPr="00153A9C">
        <w:rPr>
          <w:lang w:val="es-CO"/>
        </w:rPr>
        <w:t xml:space="preserve">también </w:t>
      </w:r>
      <w:r w:rsidRPr="00153A9C">
        <w:rPr>
          <w:lang w:val="es-CO"/>
        </w:rPr>
        <w:t xml:space="preserve">un gran número de personas cuyos bienes fueron destruidos completamente durante la guerra y unas 45.000 viviendas pertenecientes a repatriados están en espera de reconstrucción. Lamentablemente, un gran problema para la reconstrucción de los bienes destruidos por la guerra está relacionado con los romaníes, que es la mayor minoría nacional de Bosnia y Herzegovina. El principal </w:t>
      </w:r>
      <w:r w:rsidR="00A77753" w:rsidRPr="00153A9C">
        <w:rPr>
          <w:lang w:val="es-CO"/>
        </w:rPr>
        <w:t xml:space="preserve">obstáculo </w:t>
      </w:r>
      <w:r w:rsidRPr="00153A9C">
        <w:rPr>
          <w:lang w:val="es-CO"/>
        </w:rPr>
        <w:t>para resolver las cuestiones relacionadas con los derechos de propiedad de los romaníes es la falta de los documentos y testimonios necesarios de su propiedad antes de la guerra, ya que no tenían títulos de propiedad de la tierra ni de la vivienda, ni sus bienes estaban registrados en el catastro.</w:t>
      </w:r>
      <w:r w:rsidR="00A77753" w:rsidRPr="00153A9C">
        <w:rPr>
          <w:lang w:val="es-CO"/>
        </w:rPr>
        <w:t xml:space="preserve"> </w:t>
      </w:r>
    </w:p>
    <w:p w:rsidR="00E275B9" w:rsidRPr="00153A9C" w:rsidRDefault="00E275B9" w:rsidP="00FB57CE">
      <w:pPr>
        <w:pStyle w:val="SingleTxtG"/>
        <w:rPr>
          <w:lang w:val="es-CO"/>
        </w:rPr>
      </w:pPr>
      <w:r w:rsidRPr="00153A9C">
        <w:rPr>
          <w:lang w:val="es-CO"/>
        </w:rPr>
        <w:t xml:space="preserve">169. </w:t>
      </w:r>
      <w:r w:rsidRPr="00153A9C">
        <w:rPr>
          <w:lang w:val="es-CO"/>
        </w:rPr>
        <w:tab/>
      </w:r>
      <w:r w:rsidR="00A8652C" w:rsidRPr="00153A9C">
        <w:rPr>
          <w:lang w:val="es-CO"/>
        </w:rPr>
        <w:t>Bosnia y Herzegovina, t</w:t>
      </w:r>
      <w:r w:rsidRPr="00153A9C">
        <w:rPr>
          <w:lang w:val="es-CO"/>
        </w:rPr>
        <w:t xml:space="preserve">eniendo </w:t>
      </w:r>
      <w:r w:rsidR="00A8652C" w:rsidRPr="00153A9C">
        <w:rPr>
          <w:lang w:val="es-CO"/>
        </w:rPr>
        <w:t xml:space="preserve">todo ello </w:t>
      </w:r>
      <w:r w:rsidRPr="00153A9C">
        <w:rPr>
          <w:lang w:val="es-CO"/>
        </w:rPr>
        <w:t>en cuenta</w:t>
      </w:r>
      <w:r w:rsidR="00A8652C" w:rsidRPr="00153A9C">
        <w:rPr>
          <w:lang w:val="es-CO"/>
        </w:rPr>
        <w:t>,</w:t>
      </w:r>
      <w:r w:rsidRPr="00153A9C">
        <w:rPr>
          <w:lang w:val="es-CO"/>
        </w:rPr>
        <w:t xml:space="preserve"> considerando la situación sumamente difícil de los romaníes</w:t>
      </w:r>
      <w:r w:rsidR="00A8652C" w:rsidRPr="00153A9C">
        <w:rPr>
          <w:lang w:val="es-CO"/>
        </w:rPr>
        <w:t xml:space="preserve"> y tomando como base la Estrategia adoptada para es</w:t>
      </w:r>
      <w:r w:rsidRPr="00153A9C">
        <w:rPr>
          <w:lang w:val="es-CO"/>
        </w:rPr>
        <w:t xml:space="preserve">a minoría, ha preparado y adoptado el Plan de acción de Bosnia y Herzegovina para abordar los problemas de los romaníes en las esferas del empleo, la vivienda y la atención de salud. Anteriormente se había aprobado el Plan de acción sobre las necesidades educativas de los romaníes. Entre las cuestiones que debían abordarse para resolver los problemas de los romaníes se dio gran importancia a la adhesión de Bosnia y Herzegovina al Decenio de </w:t>
      </w:r>
      <w:smartTag w:uri="urn:schemas-microsoft-com:office:smarttags" w:element="PersonName">
        <w:smartTagPr>
          <w:attr w:name="ProductID" w:val="la Inclusi￳n Roman￭"/>
        </w:smartTagPr>
        <w:r w:rsidRPr="00153A9C">
          <w:rPr>
            <w:lang w:val="es-CO"/>
          </w:rPr>
          <w:t>la Inclusión Romaní</w:t>
        </w:r>
      </w:smartTag>
      <w:r w:rsidRPr="00153A9C">
        <w:rPr>
          <w:lang w:val="es-CO"/>
        </w:rPr>
        <w:t xml:space="preserve"> (2005-2015) en septiembre de 2008 y se decidió </w:t>
      </w:r>
      <w:r w:rsidR="00A8652C" w:rsidRPr="00153A9C">
        <w:rPr>
          <w:lang w:val="es-CO"/>
        </w:rPr>
        <w:t xml:space="preserve">acometer </w:t>
      </w:r>
      <w:r w:rsidRPr="00153A9C">
        <w:rPr>
          <w:lang w:val="es-CO"/>
        </w:rPr>
        <w:t>decididamente la aplicación de los planes de acción adoptados, incluido el relacionado con la vivienda de los romaníes de Bosnia y Herzegovina. El hecho es que Bosnia y Herzegovina estima que entre el 50% y el 70% de los romaníes viven en alojamientos que no cumplen los requisitos mínimos de habitabilidad. El Plan de acción sobre la vivienda estipula tres objetivos básicos: urbanización de los asentamientos romaníes y legalización de las viviendas individuales; educación y sensibilización del público y de los romaníes acerca de los problemas de la vivienda, los reglamentos jurídicos, la vivienda, la cultura de la vivienda, etc.; y la planificación de la construcción de nuevas viviendas mediante programas de vivienda social, donantes y préstamos.</w:t>
      </w:r>
    </w:p>
    <w:p w:rsidR="00E275B9" w:rsidRPr="00153A9C" w:rsidRDefault="00E275B9" w:rsidP="00FB57CE">
      <w:pPr>
        <w:pStyle w:val="SingleTxtG"/>
        <w:rPr>
          <w:lang w:val="es-CO"/>
        </w:rPr>
      </w:pPr>
      <w:r w:rsidRPr="00153A9C">
        <w:rPr>
          <w:lang w:val="es-CO"/>
        </w:rPr>
        <w:t xml:space="preserve">170. </w:t>
      </w:r>
      <w:r w:rsidRPr="00153A9C">
        <w:rPr>
          <w:lang w:val="es-CO"/>
        </w:rPr>
        <w:tab/>
        <w:t xml:space="preserve">En </w:t>
      </w:r>
      <w:smartTag w:uri="urn:schemas-microsoft-com:office:smarttags" w:element="metricconverter">
        <w:smartTagPr>
          <w:attr w:name="ProductID" w:val="2010 ha"/>
        </w:smartTagPr>
        <w:r w:rsidRPr="00153A9C">
          <w:rPr>
            <w:lang w:val="es-CO"/>
          </w:rPr>
          <w:t>2010 ha</w:t>
        </w:r>
      </w:smartTag>
      <w:r w:rsidRPr="00153A9C">
        <w:rPr>
          <w:lang w:val="es-CO"/>
        </w:rPr>
        <w:t xml:space="preserve"> comenzado la aplicación de los proyectos de vivienda para los romaníes en 17 municipios</w:t>
      </w:r>
      <w:r w:rsidR="00A96DC9" w:rsidRPr="00153A9C">
        <w:rPr>
          <w:lang w:val="es-CO"/>
        </w:rPr>
        <w:t xml:space="preserve"> </w:t>
      </w:r>
      <w:r w:rsidR="00F2119A" w:rsidRPr="00153A9C">
        <w:rPr>
          <w:lang w:val="es-CO"/>
        </w:rPr>
        <w:t>de Bosnia y Herzegovina</w:t>
      </w:r>
      <w:r w:rsidRPr="00153A9C">
        <w:rPr>
          <w:lang w:val="es-CO"/>
        </w:rPr>
        <w:t xml:space="preserve">, con el fin de implicar a las Entidades y al Distrito Brčko, además de los órganos estatales competentes. Este plan ha recibido considerable apoyo de algunas ONG, en particular BOSPO y </w:t>
      </w:r>
      <w:r w:rsidR="00A8652C" w:rsidRPr="00153A9C">
        <w:rPr>
          <w:lang w:val="es-CO"/>
        </w:rPr>
        <w:t>el Organismo Sueco de Desarrollo Internacional</w:t>
      </w:r>
      <w:r w:rsidRPr="00153A9C">
        <w:rPr>
          <w:lang w:val="es-CO"/>
        </w:rPr>
        <w:t>.</w:t>
      </w:r>
    </w:p>
    <w:p w:rsidR="00E275B9" w:rsidRPr="00153A9C" w:rsidRDefault="00E275B9" w:rsidP="00FB57CE">
      <w:pPr>
        <w:pStyle w:val="SingleTxtG"/>
        <w:rPr>
          <w:lang w:val="es-CO"/>
        </w:rPr>
      </w:pPr>
      <w:r w:rsidRPr="00153A9C">
        <w:rPr>
          <w:lang w:val="es-CO"/>
        </w:rPr>
        <w:t xml:space="preserve">171. </w:t>
      </w:r>
      <w:r w:rsidRPr="00153A9C">
        <w:rPr>
          <w:lang w:val="es-CO"/>
        </w:rPr>
        <w:tab/>
        <w:t xml:space="preserve">Así pues, las actividades emprendidas representarán un avance significativo para </w:t>
      </w:r>
      <w:r w:rsidR="00C86F8B" w:rsidRPr="00153A9C">
        <w:rPr>
          <w:lang w:val="es-CO"/>
        </w:rPr>
        <w:t xml:space="preserve">mejorar </w:t>
      </w:r>
      <w:r w:rsidRPr="00153A9C">
        <w:rPr>
          <w:lang w:val="es-CO"/>
        </w:rPr>
        <w:t xml:space="preserve">la situación general de la vivienda </w:t>
      </w:r>
      <w:r w:rsidR="00C86F8B" w:rsidRPr="00153A9C">
        <w:rPr>
          <w:lang w:val="es-CO"/>
        </w:rPr>
        <w:t xml:space="preserve">entre </w:t>
      </w:r>
      <w:r w:rsidRPr="00153A9C">
        <w:rPr>
          <w:lang w:val="es-CO"/>
        </w:rPr>
        <w:t xml:space="preserve">los romaníes y establecer el registro de sus viviendas y, de esa manera, </w:t>
      </w:r>
      <w:r w:rsidR="00C86F8B" w:rsidRPr="00153A9C">
        <w:rPr>
          <w:lang w:val="es-CO"/>
        </w:rPr>
        <w:t xml:space="preserve">acreditar </w:t>
      </w:r>
      <w:r w:rsidRPr="00153A9C">
        <w:rPr>
          <w:lang w:val="es-CO"/>
        </w:rPr>
        <w:t>sus derechos de propiedad.</w:t>
      </w:r>
    </w:p>
    <w:p w:rsidR="00E275B9" w:rsidRPr="00153A9C" w:rsidRDefault="00FB57CE" w:rsidP="00FB57CE">
      <w:pPr>
        <w:pStyle w:val="H1G"/>
        <w:rPr>
          <w:lang w:val="es-CO"/>
        </w:rPr>
      </w:pPr>
      <w:r>
        <w:rPr>
          <w:lang w:val="es-CO"/>
        </w:rPr>
        <w:tab/>
      </w:r>
      <w:r>
        <w:rPr>
          <w:lang w:val="es-CO"/>
        </w:rPr>
        <w:tab/>
      </w:r>
      <w:r w:rsidR="00E275B9" w:rsidRPr="00153A9C">
        <w:rPr>
          <w:lang w:val="es-CO"/>
        </w:rPr>
        <w:t>Recomendación 48</w:t>
      </w:r>
    </w:p>
    <w:p w:rsidR="00E275B9" w:rsidRPr="00153A9C" w:rsidRDefault="00E275B9" w:rsidP="00FB57CE">
      <w:pPr>
        <w:pStyle w:val="SingleTxtG"/>
        <w:rPr>
          <w:lang w:val="es-CO"/>
        </w:rPr>
      </w:pPr>
      <w:r w:rsidRPr="00153A9C">
        <w:rPr>
          <w:lang w:val="es-CO"/>
        </w:rPr>
        <w:t xml:space="preserve">172. </w:t>
      </w:r>
      <w:r w:rsidRPr="00153A9C">
        <w:rPr>
          <w:lang w:val="es-CO"/>
        </w:rPr>
        <w:tab/>
        <w:t xml:space="preserve">Desde el comienzo de las actividades de remoción de minas (1996) hasta finales de 2009, Bosnia y Herzegovina </w:t>
      </w:r>
      <w:r w:rsidR="00C86F8B" w:rsidRPr="00153A9C">
        <w:rPr>
          <w:lang w:val="es-CO"/>
        </w:rPr>
        <w:t xml:space="preserve">llevó a cabo varias campañas que permitieron reducir </w:t>
      </w:r>
      <w:r w:rsidRPr="00153A9C">
        <w:rPr>
          <w:lang w:val="es-CO"/>
        </w:rPr>
        <w:t>en 2.657,34 km</w:t>
      </w:r>
      <w:r w:rsidR="00FB57CE" w:rsidRPr="00FB57CE">
        <w:rPr>
          <w:vertAlign w:val="superscript"/>
          <w:lang w:val="es-CO"/>
        </w:rPr>
        <w:t>2</w:t>
      </w:r>
      <w:r w:rsidRPr="00153A9C">
        <w:rPr>
          <w:lang w:val="es-CO"/>
        </w:rPr>
        <w:t xml:space="preserve"> </w:t>
      </w:r>
      <w:r w:rsidR="00A1709A" w:rsidRPr="00153A9C">
        <w:rPr>
          <w:lang w:val="es-CO"/>
        </w:rPr>
        <w:t>(113,02 km</w:t>
      </w:r>
      <w:r w:rsidR="00FB57CE" w:rsidRPr="00FB57CE">
        <w:rPr>
          <w:vertAlign w:val="superscript"/>
          <w:lang w:val="es-CO"/>
        </w:rPr>
        <w:t>2</w:t>
      </w:r>
      <w:r w:rsidR="003B050C">
        <w:rPr>
          <w:lang w:val="es-CO"/>
        </w:rPr>
        <w:t xml:space="preserve"> </w:t>
      </w:r>
      <w:r w:rsidR="00A1709A" w:rsidRPr="00153A9C">
        <w:rPr>
          <w:lang w:val="es-CO"/>
        </w:rPr>
        <w:t xml:space="preserve">en operaciones de desminado humanitario) </w:t>
      </w:r>
      <w:r w:rsidRPr="00153A9C">
        <w:rPr>
          <w:lang w:val="es-CO"/>
        </w:rPr>
        <w:t>la superficie contaminada con minas</w:t>
      </w:r>
      <w:r w:rsidR="00A1709A" w:rsidRPr="00153A9C">
        <w:rPr>
          <w:lang w:val="es-CO"/>
        </w:rPr>
        <w:t xml:space="preserve">, y eliminaron </w:t>
      </w:r>
      <w:r w:rsidRPr="00153A9C">
        <w:rPr>
          <w:lang w:val="es-CO"/>
        </w:rPr>
        <w:t>51.166 minas antipersonal,</w:t>
      </w:r>
      <w:r w:rsidR="00506084" w:rsidRPr="00153A9C">
        <w:rPr>
          <w:lang w:val="es-CO"/>
        </w:rPr>
        <w:t xml:space="preserve"> 7.456 minas antitanque</w:t>
      </w:r>
      <w:r w:rsidRPr="00153A9C">
        <w:rPr>
          <w:lang w:val="es-CO"/>
        </w:rPr>
        <w:t xml:space="preserve"> y 43.913 </w:t>
      </w:r>
      <w:r w:rsidR="00506084" w:rsidRPr="00153A9C">
        <w:rPr>
          <w:lang w:val="es-CO"/>
        </w:rPr>
        <w:t>municiones sin detonar</w:t>
      </w:r>
      <w:r w:rsidRPr="00153A9C">
        <w:rPr>
          <w:lang w:val="es-CO"/>
        </w:rPr>
        <w:t xml:space="preserve">. En 2009 la superficie contaminada con minas se redujo </w:t>
      </w:r>
      <w:r w:rsidR="00506084" w:rsidRPr="00153A9C">
        <w:rPr>
          <w:lang w:val="es-CO"/>
        </w:rPr>
        <w:t xml:space="preserve">en </w:t>
      </w:r>
      <w:r w:rsidRPr="00153A9C">
        <w:rPr>
          <w:lang w:val="es-CO"/>
        </w:rPr>
        <w:t>128 km</w:t>
      </w:r>
      <w:r w:rsidR="00FB57CE" w:rsidRPr="00FB57CE">
        <w:rPr>
          <w:vertAlign w:val="superscript"/>
          <w:lang w:val="es-CO"/>
        </w:rPr>
        <w:t>2</w:t>
      </w:r>
      <w:r w:rsidR="00A1709A" w:rsidRPr="00153A9C">
        <w:rPr>
          <w:lang w:val="es-CO"/>
        </w:rPr>
        <w:t xml:space="preserve"> (</w:t>
      </w:r>
      <w:r w:rsidRPr="00153A9C">
        <w:rPr>
          <w:lang w:val="es-CO"/>
        </w:rPr>
        <w:t>12,75 km</w:t>
      </w:r>
      <w:r w:rsidR="00FB57CE" w:rsidRPr="00FB57CE">
        <w:rPr>
          <w:vertAlign w:val="superscript"/>
          <w:lang w:val="es-CO"/>
        </w:rPr>
        <w:t>2</w:t>
      </w:r>
      <w:r w:rsidRPr="00153A9C">
        <w:rPr>
          <w:lang w:val="es-CO"/>
        </w:rPr>
        <w:t xml:space="preserve"> </w:t>
      </w:r>
      <w:r w:rsidR="00A1709A" w:rsidRPr="00153A9C">
        <w:rPr>
          <w:lang w:val="es-CO"/>
        </w:rPr>
        <w:t xml:space="preserve">en </w:t>
      </w:r>
      <w:r w:rsidRPr="00153A9C">
        <w:rPr>
          <w:lang w:val="es-CO"/>
        </w:rPr>
        <w:t>operaciones de desminado humanitari</w:t>
      </w:r>
      <w:r w:rsidR="00A1709A" w:rsidRPr="00153A9C">
        <w:rPr>
          <w:lang w:val="es-CO"/>
        </w:rPr>
        <w:t xml:space="preserve">o) y se </w:t>
      </w:r>
      <w:r w:rsidRPr="00153A9C">
        <w:rPr>
          <w:lang w:val="es-CO"/>
        </w:rPr>
        <w:t>eliminaron 2.112 minas antipersonal, 150 minas anti</w:t>
      </w:r>
      <w:r w:rsidR="00506084" w:rsidRPr="00153A9C">
        <w:rPr>
          <w:lang w:val="es-CO"/>
        </w:rPr>
        <w:t>tanque</w:t>
      </w:r>
      <w:r w:rsidRPr="00153A9C">
        <w:rPr>
          <w:lang w:val="es-CO"/>
        </w:rPr>
        <w:t xml:space="preserve"> y 877 </w:t>
      </w:r>
      <w:r w:rsidR="00506084" w:rsidRPr="00153A9C">
        <w:rPr>
          <w:lang w:val="es-CO"/>
        </w:rPr>
        <w:t>municiones sin detonar</w:t>
      </w:r>
      <w:r w:rsidRPr="00153A9C">
        <w:rPr>
          <w:lang w:val="es-CO"/>
        </w:rPr>
        <w:t>.</w:t>
      </w:r>
    </w:p>
    <w:p w:rsidR="00E275B9" w:rsidRPr="00153A9C" w:rsidRDefault="00E275B9" w:rsidP="009546B0">
      <w:pPr>
        <w:pStyle w:val="SingleTxtG"/>
        <w:rPr>
          <w:lang w:val="es-CO"/>
        </w:rPr>
      </w:pPr>
      <w:r w:rsidRPr="00153A9C">
        <w:rPr>
          <w:lang w:val="es-CO"/>
        </w:rPr>
        <w:t xml:space="preserve">173. </w:t>
      </w:r>
      <w:r w:rsidRPr="00153A9C">
        <w:rPr>
          <w:lang w:val="es-CO"/>
        </w:rPr>
        <w:tab/>
        <w:t>En Bosnia y Herzegovina hay también un centro de remoción de minas fundado por el Consejo de Ministros de Bosnia y Herzegovina en virtud de la Ley de remoción de minas de Bosnia y Herzegovina. Las comisiones de remoción de minas de Bosnia y Herzegovina, en calidad de órgano</w:t>
      </w:r>
      <w:r w:rsidR="00A1709A" w:rsidRPr="00153A9C">
        <w:rPr>
          <w:lang w:val="es-CO"/>
        </w:rPr>
        <w:t>s especializados, están adscrita</w:t>
      </w:r>
      <w:r w:rsidRPr="00153A9C">
        <w:rPr>
          <w:lang w:val="es-CO"/>
        </w:rPr>
        <w:t>s</w:t>
      </w:r>
      <w:r w:rsidR="00A1709A" w:rsidRPr="00153A9C">
        <w:rPr>
          <w:lang w:val="es-CO"/>
        </w:rPr>
        <w:t xml:space="preserve"> </w:t>
      </w:r>
      <w:r w:rsidRPr="00153A9C">
        <w:rPr>
          <w:lang w:val="es-CO"/>
        </w:rPr>
        <w:t>al Ministerio de Asuntos Civiles. El Centro se financia con cargo al presupuesto de las instituciones de Bosnia y Herzegovina.</w:t>
      </w:r>
    </w:p>
    <w:p w:rsidR="00E275B9" w:rsidRPr="00153A9C" w:rsidRDefault="00E275B9" w:rsidP="009546B0">
      <w:pPr>
        <w:pStyle w:val="SingleTxtG"/>
        <w:rPr>
          <w:lang w:val="es-CO"/>
        </w:rPr>
      </w:pPr>
      <w:r w:rsidRPr="00153A9C">
        <w:rPr>
          <w:lang w:val="es-CO"/>
        </w:rPr>
        <w:t xml:space="preserve">174. </w:t>
      </w:r>
      <w:r w:rsidRPr="00153A9C">
        <w:rPr>
          <w:lang w:val="es-CO"/>
        </w:rPr>
        <w:tab/>
        <w:t>La remoción de minas en Bosnia y Herzegovina está regulada en la Estrategia de remoción de minas de Bosnia y Herzegovina para 2009-2019. La visión del plan estratégico es que Bosnia y Herzegovina esté libre de minas para 2019. La extensión efectiva de la superficie contaminada con minas (al 1 de enero de 2010) era de 1.555,35 km</w:t>
      </w:r>
      <w:r w:rsidR="009546B0" w:rsidRPr="00FB57CE">
        <w:rPr>
          <w:vertAlign w:val="superscript"/>
          <w:lang w:val="es-CO"/>
        </w:rPr>
        <w:t>2</w:t>
      </w:r>
      <w:r w:rsidRPr="00153A9C">
        <w:rPr>
          <w:lang w:val="es-CO"/>
        </w:rPr>
        <w:t>, que representan el 3,04% de la superficie terrestre total. Los problemas que se encuentran en la aplicación de la Estrategia están relacionados con el suministro de recursos financieros para ese fin, que deberían proceder de fuentes adicionales (préstamos), como ha sido la práctica habitual hasta ahora.</w:t>
      </w:r>
    </w:p>
    <w:p w:rsidR="00E275B9" w:rsidRPr="00153A9C" w:rsidRDefault="00E275B9" w:rsidP="009546B0">
      <w:pPr>
        <w:pStyle w:val="SingleTxtG"/>
        <w:rPr>
          <w:lang w:val="es-CO"/>
        </w:rPr>
      </w:pPr>
      <w:r w:rsidRPr="00153A9C">
        <w:rPr>
          <w:lang w:val="es-CO"/>
        </w:rPr>
        <w:t xml:space="preserve">175. </w:t>
      </w:r>
      <w:r w:rsidRPr="00153A9C">
        <w:rPr>
          <w:lang w:val="es-CO"/>
        </w:rPr>
        <w:tab/>
        <w:t xml:space="preserve">Entre 1992 y 2009 las víctimas de minas y </w:t>
      </w:r>
      <w:r w:rsidR="00506084" w:rsidRPr="00153A9C">
        <w:rPr>
          <w:lang w:val="es-CO"/>
        </w:rPr>
        <w:t xml:space="preserve">municiones sin detonar </w:t>
      </w:r>
      <w:r w:rsidRPr="00153A9C">
        <w:rPr>
          <w:lang w:val="es-CO"/>
        </w:rPr>
        <w:t>ascendieron a 5.033 personas. Durante la guerra hubo 3.339 víctimas, mientras que entre 1996 y 2009 hubo un total de 1.694 (495 de ellas, víctimas mortales), de las cuales 107 eran desminadores (42 de los cuales fallecieron).</w:t>
      </w:r>
    </w:p>
    <w:p w:rsidR="00E275B9" w:rsidRPr="00153A9C" w:rsidRDefault="00E275B9" w:rsidP="009546B0">
      <w:pPr>
        <w:pStyle w:val="SingleTxtG"/>
        <w:rPr>
          <w:lang w:val="es-CO"/>
        </w:rPr>
      </w:pPr>
      <w:r w:rsidRPr="00153A9C">
        <w:rPr>
          <w:lang w:val="es-CO"/>
        </w:rPr>
        <w:t xml:space="preserve">176. </w:t>
      </w:r>
      <w:r w:rsidRPr="00153A9C">
        <w:rPr>
          <w:lang w:val="es-CO"/>
        </w:rPr>
        <w:tab/>
        <w:t>En 2009, las víctimas de minas y municiones sin detonar fue</w:t>
      </w:r>
      <w:r w:rsidR="00A1709A" w:rsidRPr="00153A9C">
        <w:rPr>
          <w:lang w:val="es-CO"/>
        </w:rPr>
        <w:t xml:space="preserve">ron </w:t>
      </w:r>
      <w:r w:rsidRPr="00153A9C">
        <w:rPr>
          <w:lang w:val="es-CO"/>
        </w:rPr>
        <w:t xml:space="preserve">28 </w:t>
      </w:r>
      <w:r w:rsidR="00A1709A" w:rsidRPr="00153A9C">
        <w:rPr>
          <w:lang w:val="es-CO"/>
        </w:rPr>
        <w:t xml:space="preserve">en total </w:t>
      </w:r>
      <w:r w:rsidRPr="00153A9C">
        <w:rPr>
          <w:lang w:val="es-CO"/>
        </w:rPr>
        <w:t>(</w:t>
      </w:r>
      <w:r w:rsidR="000E52EB" w:rsidRPr="00153A9C">
        <w:rPr>
          <w:lang w:val="es-CO"/>
        </w:rPr>
        <w:t xml:space="preserve">9 </w:t>
      </w:r>
      <w:r w:rsidRPr="00153A9C">
        <w:rPr>
          <w:lang w:val="es-CO"/>
        </w:rPr>
        <w:t>de las cuales fallecieron), entre las que había cinco desminadores (</w:t>
      </w:r>
      <w:r w:rsidR="000E52EB" w:rsidRPr="00153A9C">
        <w:rPr>
          <w:lang w:val="es-CO"/>
        </w:rPr>
        <w:t xml:space="preserve">3 </w:t>
      </w:r>
      <w:r w:rsidRPr="00153A9C">
        <w:rPr>
          <w:lang w:val="es-CO"/>
        </w:rPr>
        <w:t xml:space="preserve">de ellos fallecidos). </w:t>
      </w:r>
      <w:r w:rsidR="00A1709A" w:rsidRPr="00153A9C">
        <w:rPr>
          <w:lang w:val="es-CO"/>
        </w:rPr>
        <w:t xml:space="preserve">Teniendo en cuenta </w:t>
      </w:r>
      <w:r w:rsidRPr="00153A9C">
        <w:rPr>
          <w:lang w:val="es-CO"/>
        </w:rPr>
        <w:t xml:space="preserve">la información disponible, </w:t>
      </w:r>
      <w:r w:rsidR="00A1709A" w:rsidRPr="00153A9C">
        <w:rPr>
          <w:lang w:val="es-CO"/>
        </w:rPr>
        <w:t>los datos d</w:t>
      </w:r>
      <w:r w:rsidRPr="00153A9C">
        <w:rPr>
          <w:lang w:val="es-CO"/>
        </w:rPr>
        <w:t>el Centro de remoción de minas y las estimaciones acerca del problema de las minas en Bosnia Herzegovina, se considera que hay todavía 226.155 minas/municiones sin detonar.</w:t>
      </w:r>
    </w:p>
    <w:p w:rsidR="00E275B9" w:rsidRPr="00153A9C" w:rsidRDefault="00E275B9" w:rsidP="009546B0">
      <w:pPr>
        <w:pStyle w:val="SingleTxtG"/>
        <w:rPr>
          <w:lang w:val="es-CO"/>
        </w:rPr>
      </w:pPr>
      <w:r w:rsidRPr="00153A9C">
        <w:rPr>
          <w:lang w:val="es-CO"/>
        </w:rPr>
        <w:t xml:space="preserve">177. </w:t>
      </w:r>
      <w:r w:rsidRPr="00153A9C">
        <w:rPr>
          <w:lang w:val="es-CO"/>
        </w:rPr>
        <w:tab/>
        <w:t>La actividad de remoción de minas en Bosnia y Herzegovina se financia también con fondos de donantes y organizaciones/instituciones internacionales a través del Fondo Fiduciario Internacional de remoción de minas y asistencia a las víctimas de minas</w:t>
      </w:r>
      <w:r w:rsidR="00900AB5" w:rsidRPr="00153A9C">
        <w:rPr>
          <w:lang w:val="es-CO"/>
        </w:rPr>
        <w:t xml:space="preserve"> en Bosnia y Herzegovina</w:t>
      </w:r>
      <w:r w:rsidRPr="00153A9C">
        <w:rPr>
          <w:lang w:val="es-CO"/>
        </w:rPr>
        <w:t xml:space="preserve">, con sede en Eslovenia. En 2009 los donantes fueron los siguientes: </w:t>
      </w:r>
      <w:r w:rsidR="00E67BE1" w:rsidRPr="00153A9C">
        <w:rPr>
          <w:lang w:val="es-CO"/>
        </w:rPr>
        <w:t xml:space="preserve">la </w:t>
      </w:r>
      <w:r w:rsidRPr="00153A9C">
        <w:rPr>
          <w:lang w:val="es-CO"/>
        </w:rPr>
        <w:t xml:space="preserve">Delegación de </w:t>
      </w:r>
      <w:smartTag w:uri="urn:schemas-microsoft-com:office:smarttags" w:element="PersonName">
        <w:smartTagPr>
          <w:attr w:name="ProductID" w:val="la Comisi￳n Europea"/>
        </w:smartTagPr>
        <w:r w:rsidRPr="00153A9C">
          <w:rPr>
            <w:lang w:val="es-CO"/>
          </w:rPr>
          <w:t>la Comisión Europea</w:t>
        </w:r>
      </w:smartTag>
      <w:r w:rsidRPr="00153A9C">
        <w:rPr>
          <w:lang w:val="es-CO"/>
        </w:rPr>
        <w:t xml:space="preserve"> en Bosnia y Herzegovina, el Gobierno de los Estados Unidos, el Canadá, Alemania, Noruega, Austria, </w:t>
      </w:r>
      <w:smartTag w:uri="urn:schemas-microsoft-com:office:smarttags" w:element="PersonName">
        <w:smartTagPr>
          <w:attr w:name="ProductID" w:val="la Rep￺blica Checa"/>
        </w:smartTagPr>
        <w:r w:rsidRPr="00153A9C">
          <w:rPr>
            <w:lang w:val="es-CO"/>
          </w:rPr>
          <w:t>la República Checa</w:t>
        </w:r>
      </w:smartTag>
      <w:r w:rsidRPr="00153A9C">
        <w:rPr>
          <w:lang w:val="es-CO"/>
        </w:rPr>
        <w:t>, Bélgica, Italia,</w:t>
      </w:r>
      <w:r w:rsidR="00E67BE1" w:rsidRPr="00153A9C">
        <w:rPr>
          <w:lang w:val="es-CO"/>
        </w:rPr>
        <w:t xml:space="preserve"> el </w:t>
      </w:r>
      <w:r w:rsidRPr="00153A9C">
        <w:rPr>
          <w:lang w:val="es-CO"/>
        </w:rPr>
        <w:t>Japón, el PNUD, el Fondo de las Naciones Unidas para la Infancia (UNICEF)</w:t>
      </w:r>
      <w:r w:rsidR="00E67BE1" w:rsidRPr="00153A9C">
        <w:rPr>
          <w:lang w:val="es-CO"/>
        </w:rPr>
        <w:t>,</w:t>
      </w:r>
      <w:r w:rsidRPr="00153A9C">
        <w:rPr>
          <w:lang w:val="es-CO"/>
        </w:rPr>
        <w:t xml:space="preserve"> el Organismo Sueco de Desarrollo Internacional y </w:t>
      </w:r>
      <w:smartTag w:uri="urn:schemas-microsoft-com:office:smarttags" w:element="PersonName">
        <w:smartTagPr>
          <w:attr w:name="ProductID" w:val="la Agencia Suiza"/>
        </w:smartTagPr>
        <w:r w:rsidRPr="00153A9C">
          <w:rPr>
            <w:lang w:val="es-CO"/>
          </w:rPr>
          <w:t xml:space="preserve">la Agencia </w:t>
        </w:r>
        <w:r w:rsidR="00E67BE1" w:rsidRPr="00153A9C">
          <w:rPr>
            <w:lang w:val="es-CO"/>
          </w:rPr>
          <w:t>Su</w:t>
        </w:r>
        <w:r w:rsidR="00F2119A" w:rsidRPr="00153A9C">
          <w:rPr>
            <w:lang w:val="es-CO"/>
          </w:rPr>
          <w:t>iza</w:t>
        </w:r>
      </w:smartTag>
      <w:r w:rsidR="00F2119A" w:rsidRPr="00153A9C">
        <w:rPr>
          <w:lang w:val="es-CO"/>
        </w:rPr>
        <w:t xml:space="preserve"> </w:t>
      </w:r>
      <w:r w:rsidRPr="00153A9C">
        <w:rPr>
          <w:lang w:val="es-CO"/>
        </w:rPr>
        <w:t>para el Desarrollo y la Cooperación.</w:t>
      </w:r>
    </w:p>
    <w:p w:rsidR="00E275B9" w:rsidRPr="00153A9C" w:rsidRDefault="009546B0" w:rsidP="009546B0">
      <w:pPr>
        <w:pStyle w:val="H1G"/>
        <w:rPr>
          <w:lang w:val="es-CO"/>
        </w:rPr>
      </w:pPr>
      <w:r>
        <w:rPr>
          <w:lang w:val="es-CO"/>
        </w:rPr>
        <w:tab/>
      </w:r>
      <w:r>
        <w:rPr>
          <w:lang w:val="es-CO"/>
        </w:rPr>
        <w:tab/>
      </w:r>
      <w:r w:rsidR="00E275B9" w:rsidRPr="00153A9C">
        <w:rPr>
          <w:lang w:val="es-CO"/>
        </w:rPr>
        <w:t>Recomendación 49</w:t>
      </w:r>
    </w:p>
    <w:p w:rsidR="00E275B9" w:rsidRPr="00153A9C" w:rsidRDefault="00E275B9" w:rsidP="009546B0">
      <w:pPr>
        <w:pStyle w:val="SingleTxtG"/>
        <w:rPr>
          <w:lang w:val="es-CO"/>
        </w:rPr>
      </w:pPr>
      <w:r w:rsidRPr="00153A9C">
        <w:rPr>
          <w:lang w:val="es-CO"/>
        </w:rPr>
        <w:t xml:space="preserve">178. </w:t>
      </w:r>
      <w:r w:rsidRPr="00153A9C">
        <w:rPr>
          <w:lang w:val="es-CO"/>
        </w:rPr>
        <w:tab/>
        <w:t xml:space="preserve">Además de otras obligaciones, el Ministerio de Comercio Exterior y Relaciones Económicas, </w:t>
      </w:r>
      <w:r w:rsidR="00E67BE1" w:rsidRPr="00153A9C">
        <w:rPr>
          <w:lang w:val="es-CO"/>
        </w:rPr>
        <w:t>a través del Departamento de Recursos Hídricos y Turismo</w:t>
      </w:r>
      <w:r w:rsidRPr="00153A9C">
        <w:rPr>
          <w:lang w:val="es-CO"/>
        </w:rPr>
        <w:t xml:space="preserve">, </w:t>
      </w:r>
      <w:r w:rsidR="00E67BE1" w:rsidRPr="00153A9C">
        <w:rPr>
          <w:lang w:val="es-CO"/>
        </w:rPr>
        <w:t xml:space="preserve">asume también la responsabilidad </w:t>
      </w:r>
      <w:r w:rsidR="002815C1">
        <w:rPr>
          <w:lang w:val="es-CO"/>
        </w:rPr>
        <w:t>de</w:t>
      </w:r>
      <w:r w:rsidR="003B050C">
        <w:rPr>
          <w:lang w:val="es-CO"/>
        </w:rPr>
        <w:t xml:space="preserve"> </w:t>
      </w:r>
      <w:r w:rsidRPr="00153A9C">
        <w:rPr>
          <w:lang w:val="es-CO"/>
        </w:rPr>
        <w:t>las cuestiones relacionadas con el agua.</w:t>
      </w:r>
    </w:p>
    <w:p w:rsidR="00E275B9" w:rsidRPr="00153A9C" w:rsidRDefault="00E275B9" w:rsidP="009546B0">
      <w:pPr>
        <w:pStyle w:val="SingleTxtG"/>
        <w:rPr>
          <w:lang w:val="es-CO"/>
        </w:rPr>
      </w:pPr>
      <w:r w:rsidRPr="00153A9C">
        <w:rPr>
          <w:lang w:val="es-CO"/>
        </w:rPr>
        <w:t xml:space="preserve">179. </w:t>
      </w:r>
      <w:r w:rsidRPr="00153A9C">
        <w:rPr>
          <w:lang w:val="es-CO"/>
        </w:rPr>
        <w:tab/>
        <w:t xml:space="preserve">De acuerdo con la Constitución de Bosnia y Herzegovina, las leyes sobre el agua son competencia de las Entidades: el Ministerio Federal de Agricultura, Silvicultura y Ordenación de los Recursos Hídricos se encarga de la gestión del agua en el territorio de la Federación de Bosnia y Herzegovina, mientras que en </w:t>
      </w:r>
      <w:smartTag w:uri="urn:schemas-microsoft-com:office:smarttags" w:element="PersonName">
        <w:smartTagPr>
          <w:attr w:name="ProductID" w:val="la Rep￺blica Srpska"/>
        </w:smartTagPr>
        <w:r w:rsidRPr="00153A9C">
          <w:rPr>
            <w:lang w:val="es-CO"/>
          </w:rPr>
          <w:t>la República Srpska</w:t>
        </w:r>
      </w:smartTag>
      <w:r w:rsidRPr="00153A9C">
        <w:rPr>
          <w:lang w:val="es-CO"/>
        </w:rPr>
        <w:t xml:space="preserve"> lo hace el Ministerio de Agricultura, Silvicultura y Gestión del Agua de </w:t>
      </w:r>
      <w:smartTag w:uri="urn:schemas-microsoft-com:office:smarttags" w:element="PersonName">
        <w:smartTagPr>
          <w:attr w:name="ProductID" w:val="la Rep￺blica Srpska."/>
        </w:smartTagPr>
        <w:r w:rsidRPr="00153A9C">
          <w:rPr>
            <w:lang w:val="es-CO"/>
          </w:rPr>
          <w:t>la República Srpska.</w:t>
        </w:r>
      </w:smartTag>
    </w:p>
    <w:p w:rsidR="00E275B9" w:rsidRPr="00153A9C" w:rsidRDefault="00E275B9" w:rsidP="009546B0">
      <w:pPr>
        <w:pStyle w:val="SingleTxtG"/>
        <w:rPr>
          <w:lang w:val="es-CO"/>
        </w:rPr>
      </w:pPr>
      <w:r w:rsidRPr="00153A9C">
        <w:rPr>
          <w:lang w:val="es-CO"/>
        </w:rPr>
        <w:t xml:space="preserve">180. </w:t>
      </w:r>
      <w:r w:rsidRPr="00153A9C">
        <w:rPr>
          <w:lang w:val="es-CO"/>
        </w:rPr>
        <w:tab/>
        <w:t xml:space="preserve">Dado que las fronteras de las Entidades no coinciden con las zonas hidrográficas, las enmiendas de 2006 de la legislación de las Entidades alcanzó un nivel elevado de conformidad con la Directiva marco sobre el agua de </w:t>
      </w:r>
      <w:smartTag w:uri="urn:schemas-microsoft-com:office:smarttags" w:element="PersonName">
        <w:smartTagPr>
          <w:attr w:name="ProductID" w:val="la Uni￳n Europea."/>
        </w:smartTagPr>
        <w:r w:rsidRPr="00153A9C">
          <w:rPr>
            <w:lang w:val="es-CO"/>
          </w:rPr>
          <w:t>la Unión Europea.</w:t>
        </w:r>
      </w:smartTag>
    </w:p>
    <w:p w:rsidR="00E275B9" w:rsidRPr="00153A9C" w:rsidRDefault="00E275B9" w:rsidP="009546B0">
      <w:pPr>
        <w:pStyle w:val="SingleTxtG"/>
        <w:rPr>
          <w:lang w:val="es-CO"/>
        </w:rPr>
      </w:pPr>
      <w:r w:rsidRPr="00153A9C">
        <w:rPr>
          <w:lang w:val="es-CO"/>
        </w:rPr>
        <w:t xml:space="preserve">181. </w:t>
      </w:r>
      <w:r w:rsidRPr="00153A9C">
        <w:rPr>
          <w:lang w:val="es-CO"/>
        </w:rPr>
        <w:tab/>
        <w:t>De acuerdo con las leyes de las Entidades, se designaron los distritos de las cuencas fluviales y se establecieron los organismos para la gestión de esas cuencas.</w:t>
      </w:r>
    </w:p>
    <w:p w:rsidR="00E275B9" w:rsidRPr="00153A9C" w:rsidRDefault="00E275B9" w:rsidP="009546B0">
      <w:pPr>
        <w:pStyle w:val="SingleTxtG"/>
        <w:rPr>
          <w:lang w:val="es-CO"/>
        </w:rPr>
      </w:pPr>
      <w:r w:rsidRPr="00153A9C">
        <w:rPr>
          <w:lang w:val="es-CO"/>
        </w:rPr>
        <w:t xml:space="preserve">182. </w:t>
      </w:r>
      <w:r w:rsidRPr="00153A9C">
        <w:rPr>
          <w:lang w:val="es-CO"/>
        </w:rPr>
        <w:tab/>
        <w:t>La Ley del agua de la Federación de Bosnia y Herzegovina (</w:t>
      </w:r>
      <w:r w:rsidRPr="002458C7">
        <w:rPr>
          <w:i/>
          <w:lang w:val="es-CO"/>
        </w:rPr>
        <w:t>Boletín Oficial</w:t>
      </w:r>
      <w:r w:rsidRPr="00153A9C">
        <w:rPr>
          <w:lang w:val="es-CO"/>
        </w:rPr>
        <w:t xml:space="preserve"> de la Federación de Bosnia y Herzegovina</w:t>
      </w:r>
      <w:r w:rsidR="003B050C">
        <w:rPr>
          <w:lang w:val="es-CO"/>
        </w:rPr>
        <w:t xml:space="preserve"> </w:t>
      </w:r>
      <w:r w:rsidRPr="00153A9C">
        <w:rPr>
          <w:lang w:val="es-CO"/>
        </w:rPr>
        <w:t xml:space="preserve">70/2006) estableció diversos organismos encargados de las cuencas fluviales, a saber, el </w:t>
      </w:r>
      <w:r w:rsidR="00A33F68" w:rsidRPr="00153A9C">
        <w:rPr>
          <w:lang w:val="es-CO"/>
        </w:rPr>
        <w:t xml:space="preserve">Organismo de </w:t>
      </w:r>
      <w:smartTag w:uri="urn:schemas-microsoft-com:office:smarttags" w:element="PersonName">
        <w:smartTagPr>
          <w:attr w:name="ProductID" w:val="la Cuenca Fluvial"/>
        </w:smartTagPr>
        <w:r w:rsidR="00A33F68" w:rsidRPr="00153A9C">
          <w:rPr>
            <w:lang w:val="es-CO"/>
          </w:rPr>
          <w:t>la Cuenca Fluvial</w:t>
        </w:r>
      </w:smartTag>
      <w:r w:rsidR="00A33F68" w:rsidRPr="00153A9C">
        <w:rPr>
          <w:lang w:val="es-CO"/>
        </w:rPr>
        <w:t xml:space="preserve"> </w:t>
      </w:r>
      <w:r w:rsidRPr="00153A9C">
        <w:rPr>
          <w:lang w:val="es-CO"/>
        </w:rPr>
        <w:t xml:space="preserve">de Saba, en Sarajevo, y el Organismo para el Mar Adriático y Mostar, que se encargarían de la gestión de los recursos hídricos de acuerdo con lo establecido por dicha </w:t>
      </w:r>
      <w:r w:rsidR="001352B1" w:rsidRPr="00153A9C">
        <w:rPr>
          <w:lang w:val="es-CO"/>
        </w:rPr>
        <w:t>ley</w:t>
      </w:r>
      <w:r w:rsidRPr="00153A9C">
        <w:rPr>
          <w:lang w:val="es-CO"/>
        </w:rPr>
        <w:t xml:space="preserve"> y los correspondientes reglamentos de ejecución.</w:t>
      </w:r>
    </w:p>
    <w:p w:rsidR="00E275B9" w:rsidRPr="00153A9C" w:rsidRDefault="00E275B9" w:rsidP="009546B0">
      <w:pPr>
        <w:pStyle w:val="SingleTxtG"/>
        <w:rPr>
          <w:lang w:val="es-CO"/>
        </w:rPr>
      </w:pPr>
      <w:r w:rsidRPr="00153A9C">
        <w:rPr>
          <w:lang w:val="es-CO"/>
        </w:rPr>
        <w:t xml:space="preserve">183. </w:t>
      </w:r>
      <w:r w:rsidRPr="00153A9C">
        <w:rPr>
          <w:lang w:val="es-CO"/>
        </w:rPr>
        <w:tab/>
        <w:t xml:space="preserve">El </w:t>
      </w:r>
      <w:r w:rsidR="005B64B4" w:rsidRPr="00153A9C">
        <w:rPr>
          <w:lang w:val="es-CO"/>
        </w:rPr>
        <w:t xml:space="preserve">Organismo de </w:t>
      </w:r>
      <w:smartTag w:uri="urn:schemas-microsoft-com:office:smarttags" w:element="PersonName">
        <w:smartTagPr>
          <w:attr w:name="ProductID" w:val="la Cuenca Fluvial"/>
        </w:smartTagPr>
        <w:r w:rsidR="005B64B4" w:rsidRPr="00153A9C">
          <w:rPr>
            <w:lang w:val="es-CO"/>
          </w:rPr>
          <w:t>la Cuenca Fluvial</w:t>
        </w:r>
      </w:smartTag>
      <w:r w:rsidRPr="00153A9C">
        <w:rPr>
          <w:lang w:val="es-CO"/>
        </w:rPr>
        <w:t xml:space="preserve"> de Saba, en Sarajevo, gestiona una zona en la que se incluye parte de la cuenca fluvial internacional del Danubio (parte de la subcuenca internacional del río Saba) en territorio de </w:t>
      </w:r>
      <w:r w:rsidR="005B64B4" w:rsidRPr="00153A9C">
        <w:rPr>
          <w:lang w:val="es-CO"/>
        </w:rPr>
        <w:t xml:space="preserve">la Federación de </w:t>
      </w:r>
      <w:r w:rsidRPr="00153A9C">
        <w:rPr>
          <w:lang w:val="es-CO"/>
        </w:rPr>
        <w:t>Bosnia y Herzegovina.</w:t>
      </w:r>
    </w:p>
    <w:p w:rsidR="00E275B9" w:rsidRPr="00153A9C" w:rsidRDefault="00E275B9" w:rsidP="009546B0">
      <w:pPr>
        <w:pStyle w:val="SingleTxtG"/>
        <w:rPr>
          <w:lang w:val="es-CO"/>
        </w:rPr>
      </w:pPr>
      <w:r w:rsidRPr="00153A9C">
        <w:rPr>
          <w:lang w:val="es-CO"/>
        </w:rPr>
        <w:t xml:space="preserve">184. </w:t>
      </w:r>
      <w:r w:rsidRPr="00153A9C">
        <w:rPr>
          <w:lang w:val="es-CO"/>
        </w:rPr>
        <w:tab/>
        <w:t xml:space="preserve">El Organismo para el Mar Adriático se ocupa de la cuenca del Mar Adriático </w:t>
      </w:r>
      <w:r w:rsidR="005B64B4" w:rsidRPr="00153A9C">
        <w:rPr>
          <w:lang w:val="es-CO"/>
        </w:rPr>
        <w:t>—</w:t>
      </w:r>
      <w:r w:rsidRPr="00153A9C">
        <w:rPr>
          <w:lang w:val="es-CO"/>
        </w:rPr>
        <w:t>cuencas fluviales de los ríos Neretva, Cetina y Krka dentro de la Federación.</w:t>
      </w:r>
    </w:p>
    <w:p w:rsidR="00E275B9" w:rsidRPr="00153A9C" w:rsidRDefault="00E275B9" w:rsidP="009546B0">
      <w:pPr>
        <w:pStyle w:val="SingleTxtG"/>
        <w:rPr>
          <w:lang w:val="es-CO"/>
        </w:rPr>
      </w:pPr>
      <w:r w:rsidRPr="00153A9C">
        <w:rPr>
          <w:lang w:val="es-CO"/>
        </w:rPr>
        <w:t xml:space="preserve">185. </w:t>
      </w:r>
      <w:r w:rsidRPr="00153A9C">
        <w:rPr>
          <w:lang w:val="es-CO"/>
        </w:rPr>
        <w:tab/>
        <w:t xml:space="preserve">La Ley de 2006 sobre los recursos hídricos de </w:t>
      </w:r>
      <w:smartTag w:uri="urn:schemas-microsoft-com:office:smarttags" w:element="PersonName">
        <w:smartTagPr>
          <w:attr w:name="ProductID" w:val="la Rep￺blica Srpska"/>
        </w:smartTagPr>
        <w:r w:rsidRPr="00153A9C">
          <w:rPr>
            <w:lang w:val="es-CO"/>
          </w:rPr>
          <w:t>la República Srpska</w:t>
        </w:r>
      </w:smartTag>
      <w:r w:rsidRPr="00153A9C">
        <w:rPr>
          <w:lang w:val="es-CO"/>
        </w:rPr>
        <w:t xml:space="preserve"> establece el </w:t>
      </w:r>
      <w:r w:rsidR="005B64B4" w:rsidRPr="00153A9C">
        <w:rPr>
          <w:lang w:val="es-CO"/>
        </w:rPr>
        <w:t xml:space="preserve">Organismo de </w:t>
      </w:r>
      <w:smartTag w:uri="urn:schemas-microsoft-com:office:smarttags" w:element="PersonName">
        <w:smartTagPr>
          <w:attr w:name="ProductID" w:val="la Cuenca Fluvial"/>
        </w:smartTagPr>
        <w:r w:rsidR="005B64B4" w:rsidRPr="00153A9C">
          <w:rPr>
            <w:lang w:val="es-CO"/>
          </w:rPr>
          <w:t>la Cuenca Fluvial</w:t>
        </w:r>
      </w:smartTag>
      <w:r w:rsidRPr="00153A9C">
        <w:rPr>
          <w:lang w:val="es-CO"/>
        </w:rPr>
        <w:t xml:space="preserve"> del distrito de Saba en Bijeljina y el </w:t>
      </w:r>
      <w:r w:rsidR="005B64B4" w:rsidRPr="00153A9C">
        <w:rPr>
          <w:lang w:val="es-CO"/>
        </w:rPr>
        <w:t xml:space="preserve">Organismo del Distrito de </w:t>
      </w:r>
      <w:smartTag w:uri="urn:schemas-microsoft-com:office:smarttags" w:element="PersonName">
        <w:smartTagPr>
          <w:attr w:name="ProductID" w:val="la Cuenca H￭drica"/>
        </w:smartTagPr>
        <w:r w:rsidR="005B64B4" w:rsidRPr="00153A9C">
          <w:rPr>
            <w:lang w:val="es-CO"/>
          </w:rPr>
          <w:t>la Cuenca Hídrica</w:t>
        </w:r>
      </w:smartTag>
      <w:r w:rsidR="005B64B4" w:rsidRPr="00153A9C">
        <w:rPr>
          <w:lang w:val="es-CO"/>
        </w:rPr>
        <w:t xml:space="preserve"> </w:t>
      </w:r>
      <w:r w:rsidRPr="00153A9C">
        <w:rPr>
          <w:lang w:val="es-CO"/>
        </w:rPr>
        <w:t>de Trebisnjica</w:t>
      </w:r>
      <w:r w:rsidR="005B64B4" w:rsidRPr="00153A9C">
        <w:rPr>
          <w:lang w:val="es-CO"/>
        </w:rPr>
        <w:t>,</w:t>
      </w:r>
      <w:r w:rsidRPr="00153A9C">
        <w:rPr>
          <w:lang w:val="es-CO"/>
        </w:rPr>
        <w:t xml:space="preserve"> en Trebinje.</w:t>
      </w:r>
    </w:p>
    <w:p w:rsidR="00E275B9" w:rsidRPr="00153A9C" w:rsidRDefault="00E275B9" w:rsidP="009546B0">
      <w:pPr>
        <w:pStyle w:val="SingleTxtG"/>
        <w:rPr>
          <w:lang w:val="es-CO"/>
        </w:rPr>
      </w:pPr>
      <w:r w:rsidRPr="00153A9C">
        <w:rPr>
          <w:lang w:val="es-CO"/>
        </w:rPr>
        <w:t xml:space="preserve">186. </w:t>
      </w:r>
      <w:r w:rsidRPr="00153A9C">
        <w:rPr>
          <w:lang w:val="es-CO"/>
        </w:rPr>
        <w:tab/>
        <w:t xml:space="preserve">De acuerdo con los principios internacionales, </w:t>
      </w:r>
      <w:r w:rsidR="00587E76" w:rsidRPr="00153A9C">
        <w:rPr>
          <w:lang w:val="es-CO"/>
        </w:rPr>
        <w:t xml:space="preserve">las </w:t>
      </w:r>
      <w:r w:rsidRPr="00153A9C">
        <w:rPr>
          <w:lang w:val="es-CO"/>
        </w:rPr>
        <w:t xml:space="preserve">leyes </w:t>
      </w:r>
      <w:r w:rsidR="00587E76" w:rsidRPr="00153A9C">
        <w:rPr>
          <w:lang w:val="es-CO"/>
        </w:rPr>
        <w:t xml:space="preserve">de ambas entidades </w:t>
      </w:r>
      <w:r w:rsidR="00B80AF5" w:rsidRPr="00153A9C">
        <w:rPr>
          <w:lang w:val="es-CO"/>
        </w:rPr>
        <w:t xml:space="preserve">contienen disposiciones sobre los siguientes aspectos: </w:t>
      </w:r>
      <w:r w:rsidRPr="00153A9C">
        <w:rPr>
          <w:lang w:val="es-CO"/>
        </w:rPr>
        <w:t>expedición de docu</w:t>
      </w:r>
      <w:r w:rsidR="00B80AF5" w:rsidRPr="00153A9C">
        <w:rPr>
          <w:lang w:val="es-CO"/>
        </w:rPr>
        <w:t xml:space="preserve">mentos relacionados con el agua, </w:t>
      </w:r>
      <w:r w:rsidRPr="00153A9C">
        <w:rPr>
          <w:lang w:val="es-CO"/>
        </w:rPr>
        <w:t>marco jurídico para las actividades de supervisión, sistema de inspección y supervisión administrativa, protección jurídica, base para la elaboración de bases de datos y participación pública en la toma de decisiones.</w:t>
      </w:r>
    </w:p>
    <w:p w:rsidR="00E275B9" w:rsidRPr="00153A9C" w:rsidRDefault="00E275B9" w:rsidP="009546B0">
      <w:pPr>
        <w:pStyle w:val="SingleTxtG"/>
        <w:rPr>
          <w:lang w:val="es-CO"/>
        </w:rPr>
      </w:pPr>
      <w:r w:rsidRPr="00153A9C">
        <w:rPr>
          <w:lang w:val="es-CO"/>
        </w:rPr>
        <w:t xml:space="preserve">187. </w:t>
      </w:r>
      <w:r w:rsidRPr="00153A9C">
        <w:rPr>
          <w:lang w:val="es-CO"/>
        </w:rPr>
        <w:tab/>
        <w:t xml:space="preserve">Actualmente se están preparando los reglamentos relacionados con las siguientes materias: establecimiento y funcionamiento de laboratorios autorizados y de referencia, designación de las zonas de protección sanitaria y fuentes de agua potable, contaminantes en las aguas residuales, determinación de los tipos de masas de agua superficial y aguas subterráneas, clasificación del estado ecológico y valores permitidos de </w:t>
      </w:r>
      <w:r w:rsidR="00587E76" w:rsidRPr="00153A9C">
        <w:rPr>
          <w:lang w:val="es-CO"/>
        </w:rPr>
        <w:t xml:space="preserve">los </w:t>
      </w:r>
      <w:r w:rsidRPr="00153A9C">
        <w:rPr>
          <w:lang w:val="es-CO"/>
        </w:rPr>
        <w:t xml:space="preserve">parámetros químicos de la calidad del agua. </w:t>
      </w:r>
    </w:p>
    <w:p w:rsidR="00E275B9" w:rsidRPr="00153A9C" w:rsidRDefault="00E275B9" w:rsidP="009546B0">
      <w:pPr>
        <w:pStyle w:val="SingleTxtG"/>
        <w:rPr>
          <w:lang w:val="es-CO"/>
        </w:rPr>
      </w:pPr>
      <w:r w:rsidRPr="00153A9C">
        <w:rPr>
          <w:lang w:val="es-CO"/>
        </w:rPr>
        <w:t xml:space="preserve">188. </w:t>
      </w:r>
      <w:r w:rsidRPr="00153A9C">
        <w:rPr>
          <w:lang w:val="es-CO"/>
        </w:rPr>
        <w:tab/>
      </w:r>
      <w:r w:rsidR="00587E76" w:rsidRPr="00153A9C">
        <w:rPr>
          <w:lang w:val="es-CO"/>
        </w:rPr>
        <w:t xml:space="preserve">En la Federación </w:t>
      </w:r>
      <w:r w:rsidR="00AE3678" w:rsidRPr="00153A9C">
        <w:rPr>
          <w:lang w:val="es-CO"/>
        </w:rPr>
        <w:t>s</w:t>
      </w:r>
      <w:r w:rsidRPr="00153A9C">
        <w:rPr>
          <w:lang w:val="es-CO"/>
        </w:rPr>
        <w:t xml:space="preserve">e llevan a cabo actividades sobre la adopción de estrategias y en </w:t>
      </w:r>
      <w:smartTag w:uri="urn:schemas-microsoft-com:office:smarttags" w:element="PersonName">
        <w:smartTagPr>
          <w:attr w:name="ProductID" w:val="la Rep￺blica Srpska"/>
        </w:smartTagPr>
        <w:r w:rsidRPr="00153A9C">
          <w:rPr>
            <w:lang w:val="es-CO"/>
          </w:rPr>
          <w:t>la República Srpska</w:t>
        </w:r>
      </w:smartTag>
      <w:r w:rsidRPr="00153A9C">
        <w:rPr>
          <w:lang w:val="es-CO"/>
        </w:rPr>
        <w:t xml:space="preserve"> se aprobó el Plan Marco para la ordenación de los recursos hídricos. La estrategia de ordenación de los recursos hídricos en la Federación de Bosnia y Herzegovina y los planes correspondientes establecerán los usos prioritarios del agua, y la primera prioridad será el suministro de agua potable a la población.</w:t>
      </w:r>
    </w:p>
    <w:p w:rsidR="00E275B9" w:rsidRPr="00153A9C" w:rsidRDefault="009546B0" w:rsidP="009546B0">
      <w:pPr>
        <w:pStyle w:val="H23G"/>
        <w:rPr>
          <w:lang w:val="es-CO"/>
        </w:rPr>
      </w:pPr>
      <w:r>
        <w:rPr>
          <w:lang w:val="es-CO"/>
        </w:rPr>
        <w:tab/>
        <w:t>1.</w:t>
      </w:r>
      <w:r w:rsidR="00E275B9" w:rsidRPr="00153A9C">
        <w:rPr>
          <w:lang w:val="es-CO"/>
        </w:rPr>
        <w:tab/>
        <w:t xml:space="preserve">Acceso de la población de la Federación de Bosnia y Herzegovina al agua </w:t>
      </w:r>
      <w:r>
        <w:rPr>
          <w:lang w:val="es-CO"/>
        </w:rPr>
        <w:br/>
      </w:r>
      <w:r w:rsidR="00E275B9" w:rsidRPr="00153A9C">
        <w:rPr>
          <w:lang w:val="es-CO"/>
        </w:rPr>
        <w:t>potable y calidad del agua</w:t>
      </w:r>
    </w:p>
    <w:p w:rsidR="00E275B9" w:rsidRPr="00153A9C" w:rsidRDefault="00E275B9" w:rsidP="009546B0">
      <w:pPr>
        <w:pStyle w:val="SingleTxtG"/>
        <w:rPr>
          <w:lang w:val="es-CO"/>
        </w:rPr>
      </w:pPr>
      <w:r w:rsidRPr="00153A9C">
        <w:rPr>
          <w:lang w:val="es-CO"/>
        </w:rPr>
        <w:t xml:space="preserve">189. </w:t>
      </w:r>
      <w:r w:rsidRPr="00153A9C">
        <w:rPr>
          <w:lang w:val="es-CO"/>
        </w:rPr>
        <w:tab/>
        <w:t xml:space="preserve">De acuerdo con los datos disponibles, y habida cuenta de </w:t>
      </w:r>
      <w:r w:rsidR="00587E76" w:rsidRPr="00153A9C">
        <w:rPr>
          <w:lang w:val="es-CO"/>
        </w:rPr>
        <w:t xml:space="preserve">que los sistemas de abastecimiento tienen </w:t>
      </w:r>
      <w:r w:rsidRPr="00153A9C">
        <w:rPr>
          <w:lang w:val="es-CO"/>
        </w:rPr>
        <w:t xml:space="preserve">pérdidas </w:t>
      </w:r>
      <w:r w:rsidR="00587E76" w:rsidRPr="00153A9C">
        <w:rPr>
          <w:lang w:val="es-CO"/>
        </w:rPr>
        <w:t xml:space="preserve">considerables y </w:t>
      </w:r>
      <w:r w:rsidRPr="00153A9C">
        <w:rPr>
          <w:lang w:val="es-CO"/>
        </w:rPr>
        <w:t>difíciles de detectar</w:t>
      </w:r>
      <w:r w:rsidR="00587E76" w:rsidRPr="00153A9C">
        <w:rPr>
          <w:lang w:val="es-CO"/>
        </w:rPr>
        <w:t xml:space="preserve"> y de </w:t>
      </w:r>
      <w:r w:rsidRPr="00153A9C">
        <w:rPr>
          <w:lang w:val="es-CO"/>
        </w:rPr>
        <w:t>que no</w:t>
      </w:r>
      <w:r w:rsidR="00587E76" w:rsidRPr="00153A9C">
        <w:rPr>
          <w:lang w:val="es-CO"/>
        </w:rPr>
        <w:t xml:space="preserve"> </w:t>
      </w:r>
      <w:r w:rsidRPr="00153A9C">
        <w:rPr>
          <w:lang w:val="es-CO"/>
        </w:rPr>
        <w:t>s</w:t>
      </w:r>
      <w:r w:rsidR="00587E76" w:rsidRPr="00153A9C">
        <w:rPr>
          <w:lang w:val="es-CO"/>
        </w:rPr>
        <w:t>e</w:t>
      </w:r>
      <w:r w:rsidRPr="00153A9C">
        <w:rPr>
          <w:lang w:val="es-CO"/>
        </w:rPr>
        <w:t xml:space="preserve"> ha </w:t>
      </w:r>
      <w:r w:rsidR="00587E76" w:rsidRPr="00153A9C">
        <w:rPr>
          <w:lang w:val="es-CO"/>
        </w:rPr>
        <w:t xml:space="preserve">realizado </w:t>
      </w:r>
      <w:r w:rsidRPr="00153A9C">
        <w:rPr>
          <w:lang w:val="es-CO"/>
        </w:rPr>
        <w:t xml:space="preserve">censo </w:t>
      </w:r>
      <w:r w:rsidR="00587E76" w:rsidRPr="00153A9C">
        <w:rPr>
          <w:lang w:val="es-CO"/>
        </w:rPr>
        <w:t xml:space="preserve">en mucho </w:t>
      </w:r>
      <w:r w:rsidRPr="00153A9C">
        <w:rPr>
          <w:lang w:val="es-CO"/>
        </w:rPr>
        <w:t xml:space="preserve">tiempo, es difícil hacer un balance </w:t>
      </w:r>
      <w:r w:rsidR="002815C1" w:rsidRPr="00153A9C">
        <w:rPr>
          <w:lang w:val="es-CO"/>
        </w:rPr>
        <w:t>y una evaluación del acceso</w:t>
      </w:r>
      <w:r w:rsidR="003B050C">
        <w:rPr>
          <w:lang w:val="es-CO"/>
        </w:rPr>
        <w:t xml:space="preserve"> </w:t>
      </w:r>
      <w:r w:rsidRPr="00153A9C">
        <w:rPr>
          <w:lang w:val="es-CO"/>
        </w:rPr>
        <w:t>del agua potable distribuida.</w:t>
      </w:r>
    </w:p>
    <w:p w:rsidR="00E275B9" w:rsidRPr="00153A9C" w:rsidRDefault="00E275B9" w:rsidP="009546B0">
      <w:pPr>
        <w:pStyle w:val="SingleTxtG"/>
        <w:rPr>
          <w:lang w:val="es-CO"/>
        </w:rPr>
      </w:pPr>
      <w:r w:rsidRPr="00153A9C">
        <w:rPr>
          <w:lang w:val="es-CO"/>
        </w:rPr>
        <w:t xml:space="preserve">190. </w:t>
      </w:r>
      <w:r w:rsidRPr="00153A9C">
        <w:rPr>
          <w:lang w:val="es-CO"/>
        </w:rPr>
        <w:tab/>
        <w:t xml:space="preserve">De acuerdo con los datos estadísticos agregados disponibles, aproximadamente el 60% de la población de la Federación de Bosnia y Herzegovina (1.179.900 personas de un total aproximado de 1.900.000 habitantes en la cuenca hidrográfica del Saba en la Federación, y aproximadamente 215.000 de unas 370.000 personas en la cuenca del Mar Adriático, lo que arroja un total aproximado de 1.390.000 personas de un total de 2.230.000 habitantes) </w:t>
      </w:r>
      <w:r w:rsidR="00587E76" w:rsidRPr="00153A9C">
        <w:rPr>
          <w:lang w:val="es-CO"/>
        </w:rPr>
        <w:t xml:space="preserve">depende de </w:t>
      </w:r>
      <w:r w:rsidRPr="00153A9C">
        <w:rPr>
          <w:lang w:val="es-CO"/>
        </w:rPr>
        <w:t>los sistemas públicos de abastecimiento de agua (en las zonas urbanas, la cobertura es del 94% de la población total</w:t>
      </w:r>
      <w:r w:rsidR="00587E76" w:rsidRPr="00153A9C">
        <w:rPr>
          <w:lang w:val="es-CO"/>
        </w:rPr>
        <w:t xml:space="preserve">; </w:t>
      </w:r>
      <w:r w:rsidRPr="00153A9C">
        <w:rPr>
          <w:lang w:val="es-CO"/>
        </w:rPr>
        <w:t>en las zonas rurales es significativamente menor, en torno al 20%).</w:t>
      </w:r>
    </w:p>
    <w:p w:rsidR="00E275B9" w:rsidRPr="00153A9C" w:rsidRDefault="00E275B9" w:rsidP="002A29D6">
      <w:pPr>
        <w:pStyle w:val="SingleTxtG"/>
        <w:rPr>
          <w:lang w:val="es-CO"/>
        </w:rPr>
      </w:pPr>
      <w:r w:rsidRPr="00153A9C">
        <w:rPr>
          <w:lang w:val="es-CO"/>
        </w:rPr>
        <w:t xml:space="preserve">191. </w:t>
      </w:r>
      <w:r w:rsidRPr="00153A9C">
        <w:rPr>
          <w:lang w:val="es-CO"/>
        </w:rPr>
        <w:tab/>
        <w:t xml:space="preserve">Otras personas </w:t>
      </w:r>
      <w:r w:rsidR="00587E76" w:rsidRPr="00153A9C">
        <w:rPr>
          <w:lang w:val="es-CO"/>
        </w:rPr>
        <w:t xml:space="preserve">reciben agua a través de </w:t>
      </w:r>
      <w:r w:rsidRPr="00153A9C">
        <w:rPr>
          <w:lang w:val="es-CO"/>
        </w:rPr>
        <w:t>sistemas individuales y colectivos o comunitarios de abastecimiento, cuya gestión no está en manos de los servicios públicos. La calidad del agua en el sistema central de abastecimiento se garantiza fundamentalmente mediante un control constante.</w:t>
      </w:r>
    </w:p>
    <w:p w:rsidR="00E275B9" w:rsidRPr="00153A9C" w:rsidRDefault="00E275B9" w:rsidP="002A29D6">
      <w:pPr>
        <w:pStyle w:val="SingleTxtG"/>
        <w:rPr>
          <w:lang w:val="es-CO"/>
        </w:rPr>
      </w:pPr>
      <w:r w:rsidRPr="00153A9C">
        <w:rPr>
          <w:lang w:val="es-CO"/>
        </w:rPr>
        <w:t xml:space="preserve">192. </w:t>
      </w:r>
      <w:r w:rsidRPr="00153A9C">
        <w:rPr>
          <w:lang w:val="es-CO"/>
        </w:rPr>
        <w:tab/>
        <w:t xml:space="preserve">Los sistemas centrales de abastecimiento de agua a las ciudades constituyen una parte importante de la infraestructura hídrica, ya que abastecen de agua potable a la mayoría de los residentes del cantón de Sarajevo. El agua potable de los sistemas de suministro locales abastece aproximadamente </w:t>
      </w:r>
      <w:r w:rsidR="00F5660F" w:rsidRPr="00153A9C">
        <w:rPr>
          <w:lang w:val="es-CO"/>
        </w:rPr>
        <w:t>a</w:t>
      </w:r>
      <w:r w:rsidRPr="00153A9C">
        <w:rPr>
          <w:lang w:val="es-CO"/>
        </w:rPr>
        <w:t xml:space="preserve">l 9,5% de los residentes del cantón de Sarajevo. Análisis físicos, químicos y microbiológicos de muestras de agua de 70 sistemas locales revelan que el 21% de </w:t>
      </w:r>
      <w:r w:rsidR="000F6BEB" w:rsidRPr="00153A9C">
        <w:rPr>
          <w:lang w:val="es-CO"/>
        </w:rPr>
        <w:t xml:space="preserve">ellas </w:t>
      </w:r>
      <w:r w:rsidRPr="00153A9C">
        <w:rPr>
          <w:lang w:val="es-CO"/>
        </w:rPr>
        <w:t>no cumplen los requisitos previstos en el Reglamento sobre garantías de higiene del agua potable (</w:t>
      </w:r>
      <w:r w:rsidRPr="002458C7">
        <w:rPr>
          <w:i/>
          <w:lang w:val="es-CO"/>
        </w:rPr>
        <w:t>Boletín Oficial</w:t>
      </w:r>
      <w:r w:rsidRPr="00153A9C">
        <w:rPr>
          <w:lang w:val="es-CO"/>
        </w:rPr>
        <w:t xml:space="preserve"> de </w:t>
      </w:r>
      <w:smartTag w:uri="urn:schemas-microsoft-com:office:smarttags" w:element="PersonName">
        <w:smartTagPr>
          <w:attr w:name="ProductID" w:val="la Rep￺blica Federativa Socialista"/>
        </w:smartTagPr>
        <w:r w:rsidRPr="00153A9C">
          <w:rPr>
            <w:lang w:val="es-CO"/>
          </w:rPr>
          <w:t>la República Federativa Socialista</w:t>
        </w:r>
      </w:smartTag>
      <w:r w:rsidRPr="00153A9C">
        <w:rPr>
          <w:lang w:val="es-CO"/>
        </w:rPr>
        <w:t xml:space="preserve"> de Yugoslavia 33/87 y 13/91).</w:t>
      </w:r>
    </w:p>
    <w:p w:rsidR="00E275B9" w:rsidRPr="00153A9C" w:rsidRDefault="00E275B9" w:rsidP="002A29D6">
      <w:pPr>
        <w:pStyle w:val="SingleTxtG"/>
        <w:rPr>
          <w:lang w:val="es-CO"/>
        </w:rPr>
      </w:pPr>
      <w:r w:rsidRPr="00153A9C">
        <w:rPr>
          <w:lang w:val="es-CO"/>
        </w:rPr>
        <w:t xml:space="preserve">193. </w:t>
      </w:r>
      <w:r w:rsidRPr="00153A9C">
        <w:rPr>
          <w:lang w:val="es-CO"/>
        </w:rPr>
        <w:tab/>
        <w:t xml:space="preserve">En la zona de Una-Sana, </w:t>
      </w:r>
      <w:r w:rsidR="000F6BEB" w:rsidRPr="00153A9C">
        <w:rPr>
          <w:lang w:val="es-CO"/>
        </w:rPr>
        <w:t xml:space="preserve">los cantones </w:t>
      </w:r>
      <w:r w:rsidRPr="00153A9C">
        <w:rPr>
          <w:lang w:val="es-CO"/>
        </w:rPr>
        <w:t xml:space="preserve">de Herzegovina-Neretva, Zenica-Doboj, </w:t>
      </w:r>
      <w:r w:rsidR="000F6BEB" w:rsidRPr="00153A9C">
        <w:rPr>
          <w:lang w:val="es-CO"/>
        </w:rPr>
        <w:t>Tuzla y</w:t>
      </w:r>
      <w:r w:rsidR="003B050C">
        <w:rPr>
          <w:lang w:val="es-CO"/>
        </w:rPr>
        <w:t xml:space="preserve"> </w:t>
      </w:r>
      <w:r w:rsidR="000F6BEB" w:rsidRPr="00153A9C">
        <w:rPr>
          <w:lang w:val="es-CO"/>
        </w:rPr>
        <w:t xml:space="preserve">Posavnia y el </w:t>
      </w:r>
      <w:r w:rsidR="008D3EE6" w:rsidRPr="00153A9C">
        <w:rPr>
          <w:lang w:val="es-CO"/>
        </w:rPr>
        <w:t xml:space="preserve">cantón </w:t>
      </w:r>
      <w:r w:rsidR="000F6BEB" w:rsidRPr="00153A9C">
        <w:rPr>
          <w:lang w:val="es-CO"/>
        </w:rPr>
        <w:t xml:space="preserve">10 </w:t>
      </w:r>
      <w:r w:rsidRPr="00153A9C">
        <w:rPr>
          <w:lang w:val="es-CO"/>
        </w:rPr>
        <w:t xml:space="preserve">de Herzegovina </w:t>
      </w:r>
      <w:r w:rsidR="000F6BEB" w:rsidRPr="00153A9C">
        <w:rPr>
          <w:lang w:val="es-CO"/>
        </w:rPr>
        <w:t>Occidental</w:t>
      </w:r>
      <w:r w:rsidRPr="00153A9C">
        <w:rPr>
          <w:lang w:val="es-CO"/>
        </w:rPr>
        <w:t xml:space="preserve">, la situación higiénica y sanitaria de las instalaciones hídricas y </w:t>
      </w:r>
      <w:r w:rsidR="000F6BEB" w:rsidRPr="00153A9C">
        <w:rPr>
          <w:lang w:val="es-CO"/>
        </w:rPr>
        <w:t>d</w:t>
      </w:r>
      <w:r w:rsidRPr="00153A9C">
        <w:rPr>
          <w:lang w:val="es-CO"/>
        </w:rPr>
        <w:t xml:space="preserve">el sistema de control sanitario público del agua potable </w:t>
      </w:r>
      <w:r w:rsidR="000F6BEB" w:rsidRPr="00153A9C">
        <w:rPr>
          <w:lang w:val="es-CO"/>
        </w:rPr>
        <w:t>es poco satisfactoria</w:t>
      </w:r>
      <w:r w:rsidRPr="00153A9C">
        <w:rPr>
          <w:lang w:val="es-CO"/>
        </w:rPr>
        <w:t>. La mayor parte de las fuentes centrales de abastecimiento de agua tienen una primera y una segunda zona de protección sanitaria, así como un sistema moderno de cloración. Por el contrario, en un gran número de las fuentes locales de abastecimiento de agua la cloración se hace manualmente o no se practica. La segunda zona de protección sanitaria normalmente no está bien definida, y las instalaciones concretas de abastecimiento de agua (manantiales de agua abiertos, pozos, tanques, cisternas naturales) muchas veces no están reguladas por una zona de protección sanitaria</w:t>
      </w:r>
      <w:r w:rsidR="000F6BEB" w:rsidRPr="00153A9C">
        <w:rPr>
          <w:lang w:val="es-CO"/>
        </w:rPr>
        <w:t xml:space="preserve"> estricta</w:t>
      </w:r>
      <w:r w:rsidRPr="00153A9C">
        <w:rPr>
          <w:lang w:val="es-CO"/>
        </w:rPr>
        <w:t>.</w:t>
      </w:r>
      <w:r w:rsidR="007620BC" w:rsidRPr="00153A9C">
        <w:rPr>
          <w:lang w:val="es-CO"/>
        </w:rPr>
        <w:t xml:space="preserve"> El laboratorio</w:t>
      </w:r>
      <w:r w:rsidRPr="00153A9C">
        <w:rPr>
          <w:lang w:val="es-CO"/>
        </w:rPr>
        <w:t xml:space="preserve"> de control de la higiene del agua está equipado con los métodos estándar de análisis, y el análisis periódico no </w:t>
      </w:r>
      <w:r w:rsidR="007620BC" w:rsidRPr="00153A9C">
        <w:rPr>
          <w:lang w:val="es-CO"/>
        </w:rPr>
        <w:t xml:space="preserve">se puede llevar a cabo </w:t>
      </w:r>
      <w:r w:rsidRPr="00153A9C">
        <w:rPr>
          <w:lang w:val="es-CO"/>
        </w:rPr>
        <w:t xml:space="preserve">debido a la falta de equipo. Por ello, no es posible determinar parámetros como la presencia de metales pesados, plaguicidas, fenoles, aceites minerales, etc. Los controles del agua potable se limitan fundamentalmente al examen de los parámetros físicos, químicos y microbiológicos básicos, y el número de muestras analizadas es insuficiente, por lo que no puede formularse una opinión adecuada sobre su calidad. En el cantón de Bosnia Podrinje la instalación de abastecimiento de agua constituye la mayor parte de la infraestructura hídrica, lo que significa que se suministra agua potable al 80% de los residentes del </w:t>
      </w:r>
      <w:r w:rsidR="008D3EE6" w:rsidRPr="00153A9C">
        <w:rPr>
          <w:lang w:val="es-CO"/>
        </w:rPr>
        <w:t>cantón</w:t>
      </w:r>
      <w:r w:rsidRPr="00153A9C">
        <w:rPr>
          <w:lang w:val="es-CO"/>
        </w:rPr>
        <w:t>. La primera zona de protección sanitaria está regulada, mientras que</w:t>
      </w:r>
      <w:r w:rsidR="007620BC" w:rsidRPr="00153A9C">
        <w:rPr>
          <w:lang w:val="es-CO"/>
        </w:rPr>
        <w:t>,</w:t>
      </w:r>
      <w:r w:rsidRPr="00153A9C">
        <w:rPr>
          <w:lang w:val="es-CO"/>
        </w:rPr>
        <w:t xml:space="preserve"> en la segunda, hay un gran número de posibles contaminantes (fosas sépticas, vertidos ilegales, estanques de peces, etc.).</w:t>
      </w:r>
    </w:p>
    <w:p w:rsidR="00E275B9" w:rsidRPr="00153A9C" w:rsidRDefault="00E275B9" w:rsidP="002A29D6">
      <w:pPr>
        <w:pStyle w:val="SingleTxtG"/>
        <w:rPr>
          <w:lang w:val="es-CO"/>
        </w:rPr>
      </w:pPr>
      <w:r w:rsidRPr="00153A9C">
        <w:rPr>
          <w:lang w:val="es-CO"/>
        </w:rPr>
        <w:t xml:space="preserve">194. </w:t>
      </w:r>
      <w:r w:rsidRPr="00153A9C">
        <w:rPr>
          <w:lang w:val="es-CO"/>
        </w:rPr>
        <w:tab/>
        <w:t>La calidad del abastecimiento de agua puede determinarse teniendo en cuenta la situación de las enfermedades epidemiológicas cuyas causas pueden encontrarse en el agua contaminada, que son principalmente enfermedades infecciosas intestinales. En 2008 la tasa de morbilidad de enfermedades infecciosas intestinales (23</w:t>
      </w:r>
      <w:r w:rsidR="000A50AF" w:rsidRPr="00153A9C">
        <w:rPr>
          <w:lang w:val="es-CO"/>
        </w:rPr>
        <w:t>1</w:t>
      </w:r>
      <w:r w:rsidRPr="00153A9C">
        <w:rPr>
          <w:lang w:val="es-CO"/>
        </w:rPr>
        <w:t>,52 por 100.000 personas) fue ligeramente menor que en 2006 (246 por 100.000 personas) y 2007 (265 por 100.000 personas).</w:t>
      </w:r>
    </w:p>
    <w:p w:rsidR="00E275B9" w:rsidRPr="00153A9C" w:rsidRDefault="00E275B9" w:rsidP="002A29D6">
      <w:pPr>
        <w:pStyle w:val="SingleTxtG"/>
        <w:rPr>
          <w:lang w:val="es-CO"/>
        </w:rPr>
      </w:pPr>
      <w:r w:rsidRPr="00153A9C">
        <w:rPr>
          <w:lang w:val="es-CO"/>
        </w:rPr>
        <w:t xml:space="preserve">195. </w:t>
      </w:r>
      <w:r w:rsidRPr="00153A9C">
        <w:rPr>
          <w:lang w:val="es-CO"/>
        </w:rPr>
        <w:tab/>
        <w:t xml:space="preserve">El artículo 2 de la </w:t>
      </w:r>
      <w:r w:rsidR="007620BC" w:rsidRPr="00153A9C">
        <w:rPr>
          <w:lang w:val="es-CO"/>
        </w:rPr>
        <w:t>Ley de alimentos</w:t>
      </w:r>
      <w:r w:rsidRPr="00153A9C">
        <w:rPr>
          <w:lang w:val="es-CO"/>
        </w:rPr>
        <w:t xml:space="preserve"> (</w:t>
      </w:r>
      <w:r w:rsidRPr="002458C7">
        <w:rPr>
          <w:i/>
          <w:lang w:val="es-CO"/>
        </w:rPr>
        <w:t>Boletín Oficial</w:t>
      </w:r>
      <w:r w:rsidRPr="00153A9C">
        <w:rPr>
          <w:lang w:val="es-CO"/>
        </w:rPr>
        <w:t xml:space="preserve"> de Bosnia y Herzegovina 50/04) </w:t>
      </w:r>
      <w:r w:rsidR="007620BC" w:rsidRPr="00153A9C">
        <w:rPr>
          <w:lang w:val="es-CO"/>
        </w:rPr>
        <w:t xml:space="preserve">incluye el agua potable </w:t>
      </w:r>
      <w:r w:rsidR="00F5660F" w:rsidRPr="00153A9C">
        <w:rPr>
          <w:lang w:val="es-CO"/>
        </w:rPr>
        <w:t xml:space="preserve">en </w:t>
      </w:r>
      <w:r w:rsidRPr="00153A9C">
        <w:rPr>
          <w:lang w:val="es-CO"/>
        </w:rPr>
        <w:t>el concepto de alimento</w:t>
      </w:r>
      <w:r w:rsidR="007620BC" w:rsidRPr="00153A9C">
        <w:rPr>
          <w:lang w:val="es-CO"/>
        </w:rPr>
        <w:t xml:space="preserve"> y contiene especificaciones sobre </w:t>
      </w:r>
      <w:r w:rsidRPr="00153A9C">
        <w:rPr>
          <w:lang w:val="es-CO"/>
        </w:rPr>
        <w:t xml:space="preserve">la inocuidad, calidad, métodos y control de los sistemas de saneamiento. En virtud de la citada ley, el Consejo de Ministros, a propuesta del </w:t>
      </w:r>
      <w:r w:rsidR="00007256" w:rsidRPr="00153A9C">
        <w:rPr>
          <w:lang w:val="es-CO"/>
        </w:rPr>
        <w:t>Organismo de Inocuidad de los Alimentos</w:t>
      </w:r>
      <w:r w:rsidRPr="00153A9C">
        <w:rPr>
          <w:lang w:val="es-CO"/>
        </w:rPr>
        <w:t xml:space="preserve"> de Bosnia y Herzegovina, adopta reglamentos para la aplicación de la ley en el ámbito de la higiene y los sistemas </w:t>
      </w:r>
      <w:r w:rsidR="00F5660F" w:rsidRPr="00153A9C">
        <w:rPr>
          <w:lang w:val="es-CO"/>
        </w:rPr>
        <w:t xml:space="preserve">de </w:t>
      </w:r>
      <w:r w:rsidRPr="00153A9C">
        <w:rPr>
          <w:lang w:val="es-CO"/>
        </w:rPr>
        <w:t>saneamiento. La adopción de un nuevo Reglamento sobre el agua potable está en sus fases finales, y mientras tanto estarán en vigor los reglamentos sobre la inocuidad del agua potable aprobados por los ministerios de salud de las Entidades (y, en virtud del artículo 48 de la Ley del agua de la Federación de Bosnia y Herzegovina, promulgado por el Ministerio Federal de Salud). Por consiguiente, utilizando laboratorios autorizados de las instituciones de salud (federal</w:t>
      </w:r>
      <w:r w:rsidR="00007256" w:rsidRPr="00153A9C">
        <w:rPr>
          <w:lang w:val="es-CO"/>
        </w:rPr>
        <w:t>es</w:t>
      </w:r>
      <w:r w:rsidRPr="00153A9C">
        <w:rPr>
          <w:lang w:val="es-CO"/>
        </w:rPr>
        <w:t xml:space="preserve"> y cantonal</w:t>
      </w:r>
      <w:r w:rsidR="00007256" w:rsidRPr="00153A9C">
        <w:rPr>
          <w:lang w:val="es-CO"/>
        </w:rPr>
        <w:t>es</w:t>
      </w:r>
      <w:r w:rsidRPr="00153A9C">
        <w:rPr>
          <w:lang w:val="es-CO"/>
        </w:rPr>
        <w:t>) y sus propios laboratorios, las compañías municipales de servicios públicos que gestionan los sistemas públicos de abastecimiento de agua controlan periódicamente la calidad del agua potable.</w:t>
      </w:r>
    </w:p>
    <w:p w:rsidR="00E275B9" w:rsidRPr="00153A9C" w:rsidRDefault="00E275B9" w:rsidP="002A29D6">
      <w:pPr>
        <w:pStyle w:val="SingleTxtG"/>
        <w:rPr>
          <w:lang w:val="es-CO"/>
        </w:rPr>
      </w:pPr>
      <w:r w:rsidRPr="00153A9C">
        <w:rPr>
          <w:lang w:val="es-CO"/>
        </w:rPr>
        <w:t xml:space="preserve">196. </w:t>
      </w:r>
      <w:r w:rsidRPr="00153A9C">
        <w:rPr>
          <w:lang w:val="es-CO"/>
        </w:rPr>
        <w:tab/>
        <w:t xml:space="preserve">Asimismo, una vez al año se realiza un análisis </w:t>
      </w:r>
      <w:r w:rsidR="00007256" w:rsidRPr="00153A9C">
        <w:rPr>
          <w:lang w:val="es-CO"/>
        </w:rPr>
        <w:t xml:space="preserve">detallado </w:t>
      </w:r>
      <w:r w:rsidRPr="00153A9C">
        <w:rPr>
          <w:lang w:val="es-CO"/>
        </w:rPr>
        <w:t xml:space="preserve">de la calidad del agua no depurada (en 20 </w:t>
      </w:r>
      <w:r w:rsidR="00007256" w:rsidRPr="00153A9C">
        <w:rPr>
          <w:lang w:val="es-CO"/>
        </w:rPr>
        <w:t xml:space="preserve">puntos de medición </w:t>
      </w:r>
      <w:r w:rsidRPr="00153A9C">
        <w:rPr>
          <w:lang w:val="es-CO"/>
        </w:rPr>
        <w:t>se examinan las propiedades organolépticas, físicas y químicas, las sustancias químicas y tóxicas y las propiedades microbiológicas) en la mayoría de las fuentes importantes de la zona dependiente del Organismo para el Mar Adriático</w:t>
      </w:r>
      <w:r w:rsidR="00007256" w:rsidRPr="00153A9C">
        <w:rPr>
          <w:lang w:val="es-CO"/>
        </w:rPr>
        <w:t>,</w:t>
      </w:r>
      <w:r w:rsidRPr="00153A9C">
        <w:rPr>
          <w:lang w:val="es-CO"/>
        </w:rPr>
        <w:t xml:space="preserve"> en Mostar. </w:t>
      </w:r>
    </w:p>
    <w:p w:rsidR="00E275B9" w:rsidRPr="00153A9C" w:rsidRDefault="00E275B9" w:rsidP="002A29D6">
      <w:pPr>
        <w:pStyle w:val="SingleTxtG"/>
        <w:rPr>
          <w:lang w:val="es-CO"/>
        </w:rPr>
      </w:pPr>
      <w:r w:rsidRPr="00153A9C">
        <w:rPr>
          <w:lang w:val="es-CO"/>
        </w:rPr>
        <w:t>197.</w:t>
      </w:r>
      <w:r w:rsidRPr="00153A9C">
        <w:rPr>
          <w:lang w:val="es-CO"/>
        </w:rPr>
        <w:tab/>
        <w:t>En la Federación de Bosnia y Herzegovina, además de los sistemas públicos de abastecimiento de agua, hay un gran número de sistemas rurales y de usuarios individuales que realizan las actividades de control</w:t>
      </w:r>
      <w:r w:rsidR="00007256" w:rsidRPr="00153A9C">
        <w:rPr>
          <w:lang w:val="es-CO"/>
        </w:rPr>
        <w:t xml:space="preserve"> de forma independiente</w:t>
      </w:r>
      <w:r w:rsidRPr="00153A9C">
        <w:rPr>
          <w:lang w:val="es-CO"/>
        </w:rPr>
        <w:t>, o en la mayoría de los casos no lo hacen en absoluto.</w:t>
      </w:r>
    </w:p>
    <w:p w:rsidR="00E275B9" w:rsidRPr="00153A9C" w:rsidRDefault="00E275B9" w:rsidP="002A29D6">
      <w:pPr>
        <w:pStyle w:val="SingleTxtG"/>
        <w:rPr>
          <w:lang w:val="es-CO"/>
        </w:rPr>
      </w:pPr>
      <w:r w:rsidRPr="00153A9C">
        <w:rPr>
          <w:lang w:val="es-CO"/>
        </w:rPr>
        <w:t xml:space="preserve">198. </w:t>
      </w:r>
      <w:r w:rsidRPr="00153A9C">
        <w:rPr>
          <w:lang w:val="es-CO"/>
        </w:rPr>
        <w:tab/>
        <w:t xml:space="preserve">De acuerdo con el proyecto de Estrategia de ordenación de los recursos hídricos de la Federación de Bosnia y Herzegovina, preparado en el verano de 2009, el volumen total de agua necesaria para atender el suministro en la Federación es de unos 261.542.143 m³/g, lo que significa que los 1,39 millones de personas atendidas por los sistemas públicos de abastecimiento de agua pueden tener un consumo bruto específico de </w:t>
      </w:r>
      <w:smartTag w:uri="urn:schemas-microsoft-com:office:smarttags" w:element="metricconverter">
        <w:smartTagPr>
          <w:attr w:name="ProductID" w:val="512 l"/>
        </w:smartTagPr>
        <w:r w:rsidRPr="00153A9C">
          <w:rPr>
            <w:lang w:val="es-CO"/>
          </w:rPr>
          <w:t xml:space="preserve">512 </w:t>
        </w:r>
        <w:r w:rsidR="00F63DD5">
          <w:rPr>
            <w:lang w:val="es-CO"/>
          </w:rPr>
          <w:t>l</w:t>
        </w:r>
      </w:smartTag>
      <w:r w:rsidR="00F63DD5">
        <w:rPr>
          <w:lang w:val="es-CO"/>
        </w:rPr>
        <w:t xml:space="preserve"> </w:t>
      </w:r>
      <w:r w:rsidRPr="00153A9C">
        <w:rPr>
          <w:lang w:val="es-CO"/>
        </w:rPr>
        <w:t>por persona y día.</w:t>
      </w:r>
    </w:p>
    <w:p w:rsidR="00E275B9" w:rsidRPr="00153A9C" w:rsidRDefault="00E275B9" w:rsidP="002A29D6">
      <w:pPr>
        <w:pStyle w:val="SingleTxtG"/>
        <w:rPr>
          <w:lang w:val="es-CO"/>
        </w:rPr>
      </w:pPr>
      <w:r w:rsidRPr="00153A9C">
        <w:rPr>
          <w:lang w:val="es-CO"/>
        </w:rPr>
        <w:t xml:space="preserve">199. </w:t>
      </w:r>
      <w:r w:rsidRPr="00153A9C">
        <w:rPr>
          <w:lang w:val="es-CO"/>
        </w:rPr>
        <w:tab/>
      </w:r>
      <w:r w:rsidR="00007256" w:rsidRPr="00153A9C">
        <w:rPr>
          <w:lang w:val="es-CO"/>
        </w:rPr>
        <w:t xml:space="preserve">Los </w:t>
      </w:r>
      <w:r w:rsidRPr="00153A9C">
        <w:rPr>
          <w:lang w:val="es-CO"/>
        </w:rPr>
        <w:t>sistemas públicos de abastecimiento de agua en las ciudades, y en particular en las aldeas, no puede</w:t>
      </w:r>
      <w:r w:rsidR="00007256" w:rsidRPr="00153A9C">
        <w:rPr>
          <w:lang w:val="es-CO"/>
        </w:rPr>
        <w:t>n</w:t>
      </w:r>
      <w:r w:rsidRPr="00153A9C">
        <w:rPr>
          <w:lang w:val="es-CO"/>
        </w:rPr>
        <w:t xml:space="preserve"> en algunos casos atender las necesidades básicas de los usuarios del agua y muchas veces no puede</w:t>
      </w:r>
      <w:r w:rsidR="00007256" w:rsidRPr="00153A9C">
        <w:rPr>
          <w:lang w:val="es-CO"/>
        </w:rPr>
        <w:t>n</w:t>
      </w:r>
      <w:r w:rsidRPr="00153A9C">
        <w:rPr>
          <w:lang w:val="es-CO"/>
        </w:rPr>
        <w:t xml:space="preserve"> cumplir los requisitos de calidad, por lo que hay frecuentes cortes programados e intencionales del suministro (racionamiento del agua), </w:t>
      </w:r>
      <w:r w:rsidR="00007256" w:rsidRPr="00153A9C">
        <w:rPr>
          <w:lang w:val="es-CO"/>
        </w:rPr>
        <w:t xml:space="preserve">sobre todo en </w:t>
      </w:r>
      <w:r w:rsidRPr="00153A9C">
        <w:rPr>
          <w:lang w:val="es-CO"/>
        </w:rPr>
        <w:t xml:space="preserve">la cuenca de los ríos Krka y Cetina, la región del Mar Adriático, la subcuenca de la parte septentrional los ríos Bosnia y Drina y la cuenca del Saba. Uno de los motivos de las interrupciones son las pérdidas </w:t>
      </w:r>
      <w:r w:rsidR="00007256" w:rsidRPr="00153A9C">
        <w:rPr>
          <w:lang w:val="es-CO"/>
        </w:rPr>
        <w:t xml:space="preserve">en </w:t>
      </w:r>
      <w:r w:rsidRPr="00153A9C">
        <w:rPr>
          <w:lang w:val="es-CO"/>
        </w:rPr>
        <w:t xml:space="preserve">las </w:t>
      </w:r>
      <w:r w:rsidR="00007256" w:rsidRPr="00153A9C">
        <w:rPr>
          <w:lang w:val="es-CO"/>
        </w:rPr>
        <w:t xml:space="preserve">propias </w:t>
      </w:r>
      <w:r w:rsidRPr="00153A9C">
        <w:rPr>
          <w:lang w:val="es-CO"/>
        </w:rPr>
        <w:t>compañías de abastecimiento de agua.</w:t>
      </w:r>
    </w:p>
    <w:p w:rsidR="00E275B9" w:rsidRPr="00153A9C" w:rsidRDefault="00007256" w:rsidP="002A29D6">
      <w:pPr>
        <w:pStyle w:val="SingleTxtG"/>
        <w:rPr>
          <w:lang w:val="es-CO"/>
        </w:rPr>
      </w:pPr>
      <w:r w:rsidRPr="00153A9C">
        <w:rPr>
          <w:lang w:val="es-CO"/>
        </w:rPr>
        <w:t xml:space="preserve">200. </w:t>
      </w:r>
      <w:r w:rsidRPr="00153A9C">
        <w:rPr>
          <w:lang w:val="es-CO"/>
        </w:rPr>
        <w:tab/>
        <w:t>En es</w:t>
      </w:r>
      <w:r w:rsidR="00E275B9" w:rsidRPr="00153A9C">
        <w:rPr>
          <w:lang w:val="es-CO"/>
        </w:rPr>
        <w:t xml:space="preserve">as circunstancias, es sumamente difícil garantizar una distribución equitativa del volumen de agua entre todos los consumidores y el mantenimiento de unas condiciones higiénicas básicas. </w:t>
      </w:r>
      <w:r w:rsidRPr="00153A9C">
        <w:rPr>
          <w:lang w:val="es-CO"/>
        </w:rPr>
        <w:t>L</w:t>
      </w:r>
      <w:r w:rsidR="00E275B9" w:rsidRPr="00153A9C">
        <w:rPr>
          <w:lang w:val="es-CO"/>
        </w:rPr>
        <w:t xml:space="preserve">as enormes pérdidas se </w:t>
      </w:r>
      <w:r w:rsidRPr="00153A9C">
        <w:rPr>
          <w:lang w:val="es-CO"/>
        </w:rPr>
        <w:t xml:space="preserve">explican </w:t>
      </w:r>
      <w:r w:rsidR="00E275B9" w:rsidRPr="00153A9C">
        <w:rPr>
          <w:lang w:val="es-CO"/>
        </w:rPr>
        <w:t xml:space="preserve">en parte </w:t>
      </w:r>
      <w:r w:rsidRPr="00153A9C">
        <w:rPr>
          <w:lang w:val="es-CO"/>
        </w:rPr>
        <w:t xml:space="preserve">por </w:t>
      </w:r>
      <w:r w:rsidR="00E275B9" w:rsidRPr="00153A9C">
        <w:rPr>
          <w:lang w:val="es-CO"/>
        </w:rPr>
        <w:t>la imposibilidad de registrar el volumen de agua distribuida</w:t>
      </w:r>
      <w:r w:rsidRPr="00153A9C">
        <w:rPr>
          <w:lang w:val="es-CO"/>
        </w:rPr>
        <w:t>,</w:t>
      </w:r>
      <w:r w:rsidR="00E275B9" w:rsidRPr="00153A9C">
        <w:rPr>
          <w:lang w:val="es-CO"/>
        </w:rPr>
        <w:t xml:space="preserve"> debido a la baja calidad del equipo de las compañías de servicios públicos que gestionan los sistemas de abastecimiento de agua. </w:t>
      </w:r>
      <w:r w:rsidR="003B0F7E" w:rsidRPr="00153A9C">
        <w:rPr>
          <w:lang w:val="es-CO"/>
        </w:rPr>
        <w:t>L</w:t>
      </w:r>
      <w:r w:rsidR="00E275B9" w:rsidRPr="00153A9C">
        <w:rPr>
          <w:lang w:val="es-CO"/>
        </w:rPr>
        <w:t xml:space="preserve">os valores de </w:t>
      </w:r>
      <w:r w:rsidR="003B0F7E" w:rsidRPr="00153A9C">
        <w:rPr>
          <w:lang w:val="es-CO"/>
        </w:rPr>
        <w:t xml:space="preserve">algunos </w:t>
      </w:r>
      <w:r w:rsidR="00E275B9" w:rsidRPr="00153A9C">
        <w:rPr>
          <w:lang w:val="es-CO"/>
        </w:rPr>
        <w:t xml:space="preserve">centros municipales relativos al consumo específico de agua por los habitantes son muy pequeños, quizá </w:t>
      </w:r>
      <w:r w:rsidR="003B0F7E" w:rsidRPr="00153A9C">
        <w:rPr>
          <w:lang w:val="es-CO"/>
        </w:rPr>
        <w:t xml:space="preserve">por problemas </w:t>
      </w:r>
      <w:r w:rsidR="00E275B9" w:rsidRPr="00153A9C">
        <w:rPr>
          <w:lang w:val="es-CO"/>
        </w:rPr>
        <w:t>del sistema de registro d</w:t>
      </w:r>
      <w:r w:rsidR="003B0F7E" w:rsidRPr="00153A9C">
        <w:rPr>
          <w:lang w:val="es-CO"/>
        </w:rPr>
        <w:t>el agua que entra en el sistema</w:t>
      </w:r>
      <w:r w:rsidR="00E275B9" w:rsidRPr="00153A9C">
        <w:rPr>
          <w:lang w:val="es-CO"/>
        </w:rPr>
        <w:t xml:space="preserve"> o de los contadores utilizados por los consumidores en los hogares, que revelan incoherencias entre el consumo neto y bruto. Se trata en muchos casos de centros municipales de abastecimiento de agua </w:t>
      </w:r>
      <w:r w:rsidR="003B0F7E" w:rsidRPr="00153A9C">
        <w:rPr>
          <w:lang w:val="es-CO"/>
        </w:rPr>
        <w:t xml:space="preserve">que cortan el </w:t>
      </w:r>
      <w:r w:rsidR="00E275B9" w:rsidRPr="00153A9C">
        <w:rPr>
          <w:lang w:val="es-CO"/>
        </w:rPr>
        <w:t xml:space="preserve">suministro al menos 8 horas diarias, </w:t>
      </w:r>
      <w:r w:rsidR="00F5660F" w:rsidRPr="00153A9C">
        <w:rPr>
          <w:lang w:val="es-CO"/>
        </w:rPr>
        <w:t xml:space="preserve">debido a la </w:t>
      </w:r>
      <w:r w:rsidR="00E275B9" w:rsidRPr="00153A9C">
        <w:rPr>
          <w:lang w:val="es-CO"/>
        </w:rPr>
        <w:t xml:space="preserve">insuficiente capacidad de los manantiales </w:t>
      </w:r>
      <w:r w:rsidR="003B0F7E" w:rsidRPr="00153A9C">
        <w:rPr>
          <w:lang w:val="es-CO"/>
        </w:rPr>
        <w:t xml:space="preserve">o </w:t>
      </w:r>
      <w:r w:rsidR="00F5660F" w:rsidRPr="00153A9C">
        <w:rPr>
          <w:lang w:val="es-CO"/>
        </w:rPr>
        <w:t xml:space="preserve">la escasez de </w:t>
      </w:r>
      <w:r w:rsidR="00E275B9" w:rsidRPr="00153A9C">
        <w:rPr>
          <w:lang w:val="es-CO"/>
        </w:rPr>
        <w:t>instalaciones para el transporte, acumulación y distribución del agua, lo que da lugar a un elevado porcentaje de pérdidas, o</w:t>
      </w:r>
      <w:r w:rsidR="003B0F7E" w:rsidRPr="00153A9C">
        <w:rPr>
          <w:lang w:val="es-CO"/>
        </w:rPr>
        <w:t xml:space="preserve"> donde</w:t>
      </w:r>
      <w:r w:rsidR="00E275B9" w:rsidRPr="00153A9C">
        <w:rPr>
          <w:lang w:val="es-CO"/>
        </w:rPr>
        <w:t xml:space="preserve">, como por desgracia suele ocurrir en la mayoría de los casos, </w:t>
      </w:r>
      <w:r w:rsidR="003B0F7E" w:rsidRPr="00153A9C">
        <w:rPr>
          <w:lang w:val="es-CO"/>
        </w:rPr>
        <w:t xml:space="preserve">hay </w:t>
      </w:r>
      <w:r w:rsidR="00E275B9" w:rsidRPr="00153A9C">
        <w:rPr>
          <w:lang w:val="es-CO"/>
        </w:rPr>
        <w:t>una combinación de esas tres razones.</w:t>
      </w:r>
    </w:p>
    <w:p w:rsidR="00E275B9" w:rsidRPr="00153A9C" w:rsidRDefault="00E275B9" w:rsidP="002A29D6">
      <w:pPr>
        <w:pStyle w:val="SingleTxtG"/>
        <w:rPr>
          <w:lang w:val="es-CO"/>
        </w:rPr>
      </w:pPr>
      <w:r w:rsidRPr="00153A9C">
        <w:rPr>
          <w:lang w:val="es-CO"/>
        </w:rPr>
        <w:t xml:space="preserve">201. </w:t>
      </w:r>
      <w:r w:rsidRPr="00153A9C">
        <w:rPr>
          <w:lang w:val="es-CO"/>
        </w:rPr>
        <w:tab/>
        <w:t xml:space="preserve">En general, en las comunidades con </w:t>
      </w:r>
      <w:r w:rsidR="003B0F7E" w:rsidRPr="00153A9C">
        <w:rPr>
          <w:lang w:val="es-CO"/>
        </w:rPr>
        <w:t xml:space="preserve">suministro </w:t>
      </w:r>
      <w:r w:rsidR="002815C1">
        <w:rPr>
          <w:lang w:val="es-CO"/>
        </w:rPr>
        <w:t>ininterrumpido</w:t>
      </w:r>
      <w:r w:rsidR="002815C1" w:rsidRPr="00153A9C">
        <w:rPr>
          <w:lang w:val="es-CO"/>
        </w:rPr>
        <w:t xml:space="preserve"> </w:t>
      </w:r>
      <w:r w:rsidRPr="00153A9C">
        <w:rPr>
          <w:lang w:val="es-CO"/>
        </w:rPr>
        <w:t xml:space="preserve">de agua, el valor corriente del consumo específico de agua de los hogares es de aproximadamente </w:t>
      </w:r>
      <w:smartTag w:uri="urn:schemas-microsoft-com:office:smarttags" w:element="metricconverter">
        <w:smartTagPr>
          <w:attr w:name="ProductID" w:val="120 l"/>
        </w:smartTagPr>
        <w:r w:rsidRPr="00153A9C">
          <w:rPr>
            <w:lang w:val="es-CO"/>
          </w:rPr>
          <w:t xml:space="preserve">120 </w:t>
        </w:r>
        <w:r w:rsidR="00F63DD5">
          <w:rPr>
            <w:lang w:val="es-CO"/>
          </w:rPr>
          <w:t>l</w:t>
        </w:r>
      </w:smartTag>
      <w:r w:rsidRPr="00153A9C">
        <w:rPr>
          <w:lang w:val="es-CO"/>
        </w:rPr>
        <w:t xml:space="preserve"> por persona y día, que representa el consumo específico medio en el territorio de la Federación de Bosnia y Herzegovina. El consumo específico medio en la industria conectada con la red de abastecimiento de agua de las ciudades</w:t>
      </w:r>
      <w:r w:rsidR="003B0F7E" w:rsidRPr="00153A9C">
        <w:rPr>
          <w:lang w:val="es-CO"/>
        </w:rPr>
        <w:t xml:space="preserve"> es,</w:t>
      </w:r>
      <w:r w:rsidRPr="00153A9C">
        <w:rPr>
          <w:lang w:val="es-CO"/>
        </w:rPr>
        <w:t xml:space="preserve"> según los datos disponibles</w:t>
      </w:r>
      <w:r w:rsidR="003B0F7E" w:rsidRPr="00153A9C">
        <w:rPr>
          <w:lang w:val="es-CO"/>
        </w:rPr>
        <w:t>,</w:t>
      </w:r>
      <w:r w:rsidRPr="00153A9C">
        <w:rPr>
          <w:lang w:val="es-CO"/>
        </w:rPr>
        <w:t xml:space="preserve"> de aproximadamente </w:t>
      </w:r>
      <w:smartTag w:uri="urn:schemas-microsoft-com:office:smarttags" w:element="metricconverter">
        <w:smartTagPr>
          <w:attr w:name="ProductID" w:val="64 l"/>
        </w:smartTagPr>
        <w:r w:rsidRPr="00153A9C">
          <w:rPr>
            <w:lang w:val="es-CO"/>
          </w:rPr>
          <w:t xml:space="preserve">64 </w:t>
        </w:r>
        <w:r w:rsidR="00F63DD5">
          <w:rPr>
            <w:lang w:val="es-CO"/>
          </w:rPr>
          <w:t>l</w:t>
        </w:r>
      </w:smartTag>
      <w:r w:rsidRPr="00153A9C">
        <w:rPr>
          <w:lang w:val="es-CO"/>
        </w:rPr>
        <w:t xml:space="preserve"> por persona y día.</w:t>
      </w:r>
    </w:p>
    <w:p w:rsidR="00E275B9" w:rsidRPr="00153A9C" w:rsidRDefault="00E275B9" w:rsidP="002A29D6">
      <w:pPr>
        <w:pStyle w:val="SingleTxtG"/>
        <w:rPr>
          <w:lang w:val="es-CO"/>
        </w:rPr>
      </w:pPr>
      <w:r w:rsidRPr="00153A9C">
        <w:rPr>
          <w:lang w:val="es-CO"/>
        </w:rPr>
        <w:t xml:space="preserve">202. </w:t>
      </w:r>
      <w:r w:rsidRPr="00153A9C">
        <w:rPr>
          <w:lang w:val="es-CO"/>
        </w:rPr>
        <w:tab/>
        <w:t xml:space="preserve">Así pues, puede deducirse que el consumo específico actual en los centros municipales del territorio de la Federación de Bosnia y Herzegovina que tienen suministro </w:t>
      </w:r>
      <w:r w:rsidR="008B21D3">
        <w:rPr>
          <w:lang w:val="es-CO"/>
        </w:rPr>
        <w:t xml:space="preserve">ininterrumpido </w:t>
      </w:r>
      <w:r w:rsidRPr="00153A9C">
        <w:rPr>
          <w:lang w:val="es-CO"/>
        </w:rPr>
        <w:t>de agua</w:t>
      </w:r>
      <w:r w:rsidR="003B050C">
        <w:rPr>
          <w:lang w:val="es-CO"/>
        </w:rPr>
        <w:t xml:space="preserve"> </w:t>
      </w:r>
      <w:r w:rsidR="003B0F7E" w:rsidRPr="00153A9C">
        <w:rPr>
          <w:lang w:val="es-CO"/>
        </w:rPr>
        <w:t xml:space="preserve">suele situarse </w:t>
      </w:r>
      <w:r w:rsidRPr="00153A9C">
        <w:rPr>
          <w:lang w:val="es-CO"/>
        </w:rPr>
        <w:t>dentro de los intervalos habituales de los países de Europa con clima, nivel de desarrollo</w:t>
      </w:r>
      <w:r w:rsidR="002A29D6">
        <w:rPr>
          <w:lang w:val="es-CO"/>
        </w:rPr>
        <w:t xml:space="preserve"> </w:t>
      </w:r>
      <w:r w:rsidR="008B21D3">
        <w:rPr>
          <w:lang w:val="es-CO"/>
        </w:rPr>
        <w:t>y</w:t>
      </w:r>
      <w:r w:rsidR="008B21D3" w:rsidRPr="00153A9C">
        <w:rPr>
          <w:lang w:val="es-CO"/>
        </w:rPr>
        <w:t xml:space="preserve"> </w:t>
      </w:r>
      <w:r w:rsidRPr="00153A9C">
        <w:rPr>
          <w:lang w:val="es-CO"/>
        </w:rPr>
        <w:t xml:space="preserve">desarrollo tecnológico semejantes. Las mayores ciudades de la Federación de Bosnia y Herzegovina </w:t>
      </w:r>
      <w:r w:rsidR="003B0F7E" w:rsidRPr="00153A9C">
        <w:rPr>
          <w:lang w:val="es-CO"/>
        </w:rPr>
        <w:t>—</w:t>
      </w:r>
      <w:r w:rsidRPr="00153A9C">
        <w:rPr>
          <w:lang w:val="es-CO"/>
        </w:rPr>
        <w:t>Sarajevo, Tuzla, Mostar y Zenica</w:t>
      </w:r>
      <w:r w:rsidR="003B0F7E" w:rsidRPr="00153A9C">
        <w:rPr>
          <w:lang w:val="es-CO"/>
        </w:rPr>
        <w:t>—</w:t>
      </w:r>
      <w:r w:rsidRPr="00153A9C">
        <w:rPr>
          <w:lang w:val="es-CO"/>
        </w:rPr>
        <w:t xml:space="preserve"> tienen, por lo que se refiere a los sistemas de abastecimiento de agua, sus propias características y su consumo influye significativamente en la situación general de los recursos hídricos.</w:t>
      </w:r>
    </w:p>
    <w:p w:rsidR="00E275B9" w:rsidRPr="00153A9C" w:rsidRDefault="002A29D6" w:rsidP="002A29D6">
      <w:pPr>
        <w:pStyle w:val="H23G"/>
        <w:rPr>
          <w:lang w:val="es-CO"/>
        </w:rPr>
      </w:pPr>
      <w:r>
        <w:rPr>
          <w:lang w:val="es-CO"/>
        </w:rPr>
        <w:tab/>
      </w:r>
      <w:r w:rsidR="00E275B9" w:rsidRPr="00153A9C">
        <w:rPr>
          <w:lang w:val="es-CO"/>
        </w:rPr>
        <w:t>2.</w:t>
      </w:r>
      <w:r w:rsidR="00E275B9" w:rsidRPr="00153A9C">
        <w:rPr>
          <w:lang w:val="es-CO"/>
        </w:rPr>
        <w:tab/>
        <w:t xml:space="preserve">Acceso de la población de </w:t>
      </w:r>
      <w:smartTag w:uri="urn:schemas-microsoft-com:office:smarttags" w:element="PersonName">
        <w:smartTagPr>
          <w:attr w:name="ProductID" w:val="la Rep￺blica Srpska"/>
        </w:smartTagPr>
        <w:r w:rsidR="00E275B9" w:rsidRPr="00153A9C">
          <w:rPr>
            <w:lang w:val="es-CO"/>
          </w:rPr>
          <w:t>la República Srpska</w:t>
        </w:r>
      </w:smartTag>
      <w:r w:rsidR="00E275B9" w:rsidRPr="00153A9C">
        <w:rPr>
          <w:lang w:val="es-CO"/>
        </w:rPr>
        <w:t xml:space="preserve"> al agua potable y calidad del </w:t>
      </w:r>
      <w:r w:rsidR="001C60F1">
        <w:rPr>
          <w:lang w:val="es-CO"/>
        </w:rPr>
        <w:br/>
      </w:r>
      <w:r w:rsidR="00E275B9" w:rsidRPr="00153A9C">
        <w:rPr>
          <w:lang w:val="es-CO"/>
        </w:rPr>
        <w:t>agua</w:t>
      </w:r>
    </w:p>
    <w:p w:rsidR="00E275B9" w:rsidRPr="00153A9C" w:rsidRDefault="00E275B9" w:rsidP="002A29D6">
      <w:pPr>
        <w:pStyle w:val="SingleTxtG"/>
        <w:rPr>
          <w:lang w:val="es-CO"/>
        </w:rPr>
      </w:pPr>
      <w:r w:rsidRPr="00153A9C">
        <w:rPr>
          <w:lang w:val="es-CO"/>
        </w:rPr>
        <w:t xml:space="preserve">203. </w:t>
      </w:r>
      <w:r w:rsidRPr="00153A9C">
        <w:rPr>
          <w:lang w:val="es-CO"/>
        </w:rPr>
        <w:tab/>
        <w:t xml:space="preserve">La población total de </w:t>
      </w:r>
      <w:smartTag w:uri="urn:schemas-microsoft-com:office:smarttags" w:element="PersonName">
        <w:smartTagPr>
          <w:attr w:name="ProductID" w:val="la Rep￺blica Srpska"/>
        </w:smartTagPr>
        <w:r w:rsidRPr="00153A9C">
          <w:rPr>
            <w:lang w:val="es-CO"/>
          </w:rPr>
          <w:t>la República Srpska</w:t>
        </w:r>
      </w:smartTag>
      <w:r w:rsidRPr="00153A9C">
        <w:rPr>
          <w:lang w:val="es-CO"/>
        </w:rPr>
        <w:t xml:space="preserve"> se estima en aproximadamente 1.600.000 habitantes. Su territorio está dividido en 63 municipios, donde el abastecimiento de agua se organiza a través de más de 51 sistemas municipales centrales de abastecimiento de agua y un gran número de sistemas de las comunidades locales y sistemas rurales pequeños e individuales. Los sistemas públicos </w:t>
      </w:r>
      <w:r w:rsidR="003B0F7E" w:rsidRPr="00153A9C">
        <w:rPr>
          <w:lang w:val="es-CO"/>
        </w:rPr>
        <w:t xml:space="preserve">llegan </w:t>
      </w:r>
      <w:r w:rsidRPr="00153A9C">
        <w:rPr>
          <w:lang w:val="es-CO"/>
        </w:rPr>
        <w:t xml:space="preserve">aproximadamente </w:t>
      </w:r>
      <w:r w:rsidR="003B0F7E" w:rsidRPr="00153A9C">
        <w:rPr>
          <w:lang w:val="es-CO"/>
        </w:rPr>
        <w:t>a</w:t>
      </w:r>
      <w:r w:rsidRPr="00153A9C">
        <w:rPr>
          <w:lang w:val="es-CO"/>
        </w:rPr>
        <w:t xml:space="preserve">l 46% de la población, y aproximadamente el 54% de la población depende de los sistemas rurales de abastecimiento de agua, de sus propios pozos, manantiales o fuentes de agua superficiales (según una estimación, hay unos 9.800 sistemas locales o rurales de abastecimiento de agua). El 87% de la población recibe los servicios de abastecimiento de agua en zonas urbanas. Ello se explica por el hecho de que hay varias ciudades donde la cobertura es muy baja. La </w:t>
      </w:r>
      <w:r w:rsidR="00DF70A1" w:rsidRPr="00153A9C">
        <w:rPr>
          <w:lang w:val="es-CO"/>
        </w:rPr>
        <w:t xml:space="preserve">falta de </w:t>
      </w:r>
      <w:r w:rsidRPr="00153A9C">
        <w:rPr>
          <w:lang w:val="es-CO"/>
        </w:rPr>
        <w:t>cobertura es particularmente importante en los municipios</w:t>
      </w:r>
      <w:r w:rsidR="00DF70A1" w:rsidRPr="00153A9C">
        <w:rPr>
          <w:lang w:val="es-CO"/>
        </w:rPr>
        <w:t xml:space="preserve"> de</w:t>
      </w:r>
      <w:r w:rsidRPr="00153A9C">
        <w:rPr>
          <w:lang w:val="es-CO"/>
        </w:rPr>
        <w:t xml:space="preserve"> Sokolac, Kozarska Dubica, Novi Grad, Ostra Luka</w:t>
      </w:r>
      <w:r w:rsidR="00DF70A1" w:rsidRPr="00153A9C">
        <w:rPr>
          <w:lang w:val="es-CO"/>
        </w:rPr>
        <w:t xml:space="preserve"> y</w:t>
      </w:r>
      <w:r w:rsidRPr="00153A9C">
        <w:rPr>
          <w:lang w:val="es-CO"/>
        </w:rPr>
        <w:t xml:space="preserve"> Knezevo. Por otro lado, hay aldeas y centros municipales </w:t>
      </w:r>
      <w:r w:rsidR="00DF70A1" w:rsidRPr="00153A9C">
        <w:rPr>
          <w:lang w:val="es-CO"/>
        </w:rPr>
        <w:t xml:space="preserve">con </w:t>
      </w:r>
      <w:r w:rsidRPr="00153A9C">
        <w:rPr>
          <w:lang w:val="es-CO"/>
        </w:rPr>
        <w:t xml:space="preserve">sistemas de abastecimiento de agua bien desarrollados, pero </w:t>
      </w:r>
      <w:r w:rsidR="00DF70A1" w:rsidRPr="00153A9C">
        <w:rPr>
          <w:lang w:val="es-CO"/>
        </w:rPr>
        <w:t xml:space="preserve">con </w:t>
      </w:r>
      <w:r w:rsidRPr="00153A9C">
        <w:rPr>
          <w:lang w:val="es-CO"/>
        </w:rPr>
        <w:t>problema</w:t>
      </w:r>
      <w:r w:rsidR="00DF70A1" w:rsidRPr="00153A9C">
        <w:rPr>
          <w:lang w:val="es-CO"/>
        </w:rPr>
        <w:t>s</w:t>
      </w:r>
      <w:r w:rsidRPr="00153A9C">
        <w:rPr>
          <w:lang w:val="es-CO"/>
        </w:rPr>
        <w:t xml:space="preserve"> de calidad, como ocurre en Prnjavor o en las zonas situadas en las inmediaciones del río Saba. Asimismo, la calidad de las fuentes de agua resultará muy cuestionable para los consumidores del valle del río Bosnia si no se soluciona </w:t>
      </w:r>
      <w:r w:rsidR="00DF70A1" w:rsidRPr="00153A9C">
        <w:rPr>
          <w:lang w:val="es-CO"/>
        </w:rPr>
        <w:t xml:space="preserve">definitivamente </w:t>
      </w:r>
      <w:r w:rsidRPr="00153A9C">
        <w:rPr>
          <w:lang w:val="es-CO"/>
        </w:rPr>
        <w:t xml:space="preserve">el problema de la protección del agua en su cuenca o no se obtienen otras fuentes permanentes de agua (como se prevé también en el programa a largo plazo de abastecimiento de agua para esa zona). Así pues, en el caso de muchas zonas y consumidores, la cuestión del abastecimiento de agua potable en el futuro </w:t>
      </w:r>
      <w:r w:rsidR="00DF70A1" w:rsidRPr="00153A9C">
        <w:rPr>
          <w:lang w:val="es-CO"/>
        </w:rPr>
        <w:t>depende</w:t>
      </w:r>
      <w:r w:rsidR="000A50AF" w:rsidRPr="00153A9C">
        <w:rPr>
          <w:lang w:val="es-CO"/>
        </w:rPr>
        <w:t>rá</w:t>
      </w:r>
      <w:r w:rsidR="00DF70A1" w:rsidRPr="00153A9C">
        <w:rPr>
          <w:lang w:val="es-CO"/>
        </w:rPr>
        <w:t xml:space="preserve"> </w:t>
      </w:r>
      <w:r w:rsidRPr="00153A9C">
        <w:rPr>
          <w:lang w:val="es-CO"/>
        </w:rPr>
        <w:t xml:space="preserve">únicamente </w:t>
      </w:r>
      <w:r w:rsidR="00DF70A1" w:rsidRPr="00153A9C">
        <w:rPr>
          <w:lang w:val="es-CO"/>
        </w:rPr>
        <w:t>d</w:t>
      </w:r>
      <w:r w:rsidRPr="00153A9C">
        <w:rPr>
          <w:lang w:val="es-CO"/>
        </w:rPr>
        <w:t xml:space="preserve">el desarrollo de los sistemas regionales y, a este respecto, </w:t>
      </w:r>
      <w:r w:rsidR="00DF70A1" w:rsidRPr="00153A9C">
        <w:rPr>
          <w:lang w:val="es-CO"/>
        </w:rPr>
        <w:t xml:space="preserve">de </w:t>
      </w:r>
      <w:r w:rsidRPr="00153A9C">
        <w:rPr>
          <w:lang w:val="es-CO"/>
        </w:rPr>
        <w:t>la construcción de embalses como fuentes. En lo que se refiere al suministro de agua en los centros municipales, por término medio se toma</w:t>
      </w:r>
      <w:r w:rsidR="00DF70A1" w:rsidRPr="00153A9C">
        <w:rPr>
          <w:lang w:val="es-CO"/>
        </w:rPr>
        <w:t>n</w:t>
      </w:r>
      <w:r w:rsidRPr="00153A9C">
        <w:rPr>
          <w:lang w:val="es-CO"/>
        </w:rPr>
        <w:t xml:space="preserve"> de las fuentes unos 4 m</w:t>
      </w:r>
      <w:r w:rsidRPr="00153A9C">
        <w:rPr>
          <w:vertAlign w:val="superscript"/>
          <w:lang w:val="es-CO"/>
        </w:rPr>
        <w:t>3</w:t>
      </w:r>
      <w:r w:rsidRPr="00153A9C">
        <w:rPr>
          <w:lang w:val="es-CO"/>
        </w:rPr>
        <w:t xml:space="preserve">/s, o más exactamente 3.940 l/s. El agua se toma directamente de las fuentes (1.234 l/s), de los pozos (1.791 l/s) y de los ríos y lagos (915 l/s). </w:t>
      </w:r>
    </w:p>
    <w:p w:rsidR="00E275B9" w:rsidRPr="00153A9C" w:rsidRDefault="00E275B9" w:rsidP="001C60F1">
      <w:pPr>
        <w:pStyle w:val="SingleTxtG"/>
        <w:rPr>
          <w:lang w:val="es-CO"/>
        </w:rPr>
      </w:pPr>
      <w:r w:rsidRPr="00153A9C">
        <w:rPr>
          <w:lang w:val="es-CO"/>
        </w:rPr>
        <w:t xml:space="preserve">204. </w:t>
      </w:r>
      <w:r w:rsidRPr="00153A9C">
        <w:rPr>
          <w:lang w:val="es-CO"/>
        </w:rPr>
        <w:tab/>
        <w:t xml:space="preserve">Las medidas de control de la contaminación del agua y los sistemas de depuración de las aguas residuales presentan muchas deficiencias. El agua que se dirige hacia los asentamientos es en la mayoría de los casos agua depurada, aunque se estima que más del 40% del agua sin depurar requiere tratamiento adicional. Las instalaciones de captación y de bombeo del agua producen los únicos costos sustanciales. El servicio se ve aquejado de múltiples problemas, en particular las deficiencias de las tuberías, los cortes de la energía eléctrica, la limitada capacidad de los pozos y estanques, la falta de recursos financieros para la adquisición de repuestos, etc. </w:t>
      </w:r>
      <w:r w:rsidR="00DF70A1" w:rsidRPr="00153A9C">
        <w:rPr>
          <w:lang w:val="es-CO"/>
        </w:rPr>
        <w:t>A</w:t>
      </w:r>
      <w:r w:rsidRPr="00153A9C">
        <w:rPr>
          <w:lang w:val="es-CO"/>
        </w:rPr>
        <w:t xml:space="preserve">proximadamente las tres cuartas partes de las compañías de abastecimiento de agua pueden garantizar el suministro menos </w:t>
      </w:r>
      <w:r w:rsidR="006B0011" w:rsidRPr="00153A9C">
        <w:rPr>
          <w:lang w:val="es-CO"/>
        </w:rPr>
        <w:t xml:space="preserve">al </w:t>
      </w:r>
      <w:r w:rsidRPr="00153A9C">
        <w:rPr>
          <w:lang w:val="es-CO"/>
        </w:rPr>
        <w:t>22 horas.</w:t>
      </w:r>
    </w:p>
    <w:p w:rsidR="001C60F1" w:rsidRDefault="00E275B9" w:rsidP="001C60F1">
      <w:pPr>
        <w:pStyle w:val="SingleTxtG"/>
        <w:rPr>
          <w:lang w:val="es-CO"/>
        </w:rPr>
      </w:pPr>
      <w:r w:rsidRPr="00153A9C">
        <w:rPr>
          <w:lang w:val="es-CO"/>
        </w:rPr>
        <w:t xml:space="preserve">205. </w:t>
      </w:r>
      <w:r w:rsidRPr="00153A9C">
        <w:rPr>
          <w:lang w:val="es-CO"/>
        </w:rPr>
        <w:tab/>
        <w:t xml:space="preserve">Debido al bajo precio del agua, que dio lugar a un bajo nivel de inversión y de mantenimiento durante un largo período, </w:t>
      </w:r>
      <w:r w:rsidR="008B21D3">
        <w:rPr>
          <w:lang w:val="es-CO"/>
        </w:rPr>
        <w:t>el estado</w:t>
      </w:r>
      <w:r w:rsidRPr="00153A9C">
        <w:rPr>
          <w:lang w:val="es-CO"/>
        </w:rPr>
        <w:t xml:space="preserve"> del sistema de abastecimiento de agua es bastante deficiente. Contribuye también a ello la desfasada red de distribución, en la que </w:t>
      </w:r>
      <w:r w:rsidR="008B21D3">
        <w:rPr>
          <w:lang w:val="es-CO"/>
        </w:rPr>
        <w:t xml:space="preserve">suelen </w:t>
      </w:r>
      <w:r w:rsidRPr="00153A9C">
        <w:rPr>
          <w:lang w:val="es-CO"/>
        </w:rPr>
        <w:t xml:space="preserve">predominan las tuberías de amianto y cemento que además son vulnerables a la explotación abusiva, aunque ya no se utilizan en los sistemas modernos de abastecimiento de agua por razones sanitarias. Las pérdidas medias de agua en los sistemas de abastecimiento son de aproximadamente el 50% del volumen total, lo que revela de forma elocuente </w:t>
      </w:r>
      <w:r w:rsidR="008B21D3">
        <w:rPr>
          <w:lang w:val="es-CO"/>
        </w:rPr>
        <w:t>el estado en que se encuentra el</w:t>
      </w:r>
      <w:r w:rsidRPr="00153A9C">
        <w:rPr>
          <w:lang w:val="es-CO"/>
        </w:rPr>
        <w:t xml:space="preserve"> sistema. Por ello, </w:t>
      </w:r>
      <w:r w:rsidR="006A4FAC">
        <w:rPr>
          <w:lang w:val="es-CO"/>
        </w:rPr>
        <w:t xml:space="preserve">es fundamental reducir </w:t>
      </w:r>
      <w:r w:rsidRPr="00153A9C">
        <w:rPr>
          <w:lang w:val="es-CO"/>
        </w:rPr>
        <w:t xml:space="preserve">las pérdidas </w:t>
      </w:r>
      <w:r w:rsidR="006A4FAC">
        <w:rPr>
          <w:lang w:val="es-CO"/>
        </w:rPr>
        <w:t>que</w:t>
      </w:r>
      <w:r w:rsidR="00DF70A1" w:rsidRPr="00153A9C">
        <w:rPr>
          <w:lang w:val="es-CO"/>
        </w:rPr>
        <w:t>,</w:t>
      </w:r>
      <w:r w:rsidRPr="00153A9C">
        <w:rPr>
          <w:lang w:val="es-CO"/>
        </w:rPr>
        <w:t xml:space="preserve"> al mismo tiempo, </w:t>
      </w:r>
      <w:r w:rsidR="006A4FAC">
        <w:rPr>
          <w:lang w:val="es-CO"/>
        </w:rPr>
        <w:t xml:space="preserve">constituye </w:t>
      </w:r>
      <w:r w:rsidRPr="00153A9C">
        <w:rPr>
          <w:lang w:val="es-CO"/>
        </w:rPr>
        <w:t>la reserva más importante de abastecimiento de agua para los asentamientos</w:t>
      </w:r>
      <w:r w:rsidR="006A4FAC">
        <w:rPr>
          <w:lang w:val="es-CO"/>
        </w:rPr>
        <w:t>.</w:t>
      </w:r>
    </w:p>
    <w:p w:rsidR="00E275B9" w:rsidRPr="00153A9C" w:rsidRDefault="001C60F1" w:rsidP="001C60F1">
      <w:pPr>
        <w:pStyle w:val="H23G"/>
        <w:rPr>
          <w:lang w:val="es-CO"/>
        </w:rPr>
      </w:pPr>
      <w:r>
        <w:rPr>
          <w:lang w:val="es-CO"/>
        </w:rPr>
        <w:tab/>
      </w:r>
      <w:r w:rsidR="00B455F2" w:rsidRPr="00153A9C">
        <w:rPr>
          <w:lang w:val="es-CO"/>
        </w:rPr>
        <w:t>3.</w:t>
      </w:r>
      <w:r w:rsidR="00B455F2" w:rsidRPr="00153A9C">
        <w:rPr>
          <w:lang w:val="es-CO"/>
        </w:rPr>
        <w:tab/>
      </w:r>
      <w:r w:rsidR="00E275B9" w:rsidRPr="00153A9C">
        <w:rPr>
          <w:lang w:val="es-CO"/>
        </w:rPr>
        <w:t>Calidad del agua en Bosnia y Herzegovina</w:t>
      </w:r>
    </w:p>
    <w:p w:rsidR="00E275B9" w:rsidRPr="00153A9C" w:rsidRDefault="00E275B9" w:rsidP="001C60F1">
      <w:pPr>
        <w:pStyle w:val="SingleTxtG"/>
        <w:rPr>
          <w:lang w:val="es-CO"/>
        </w:rPr>
      </w:pPr>
      <w:r w:rsidRPr="00153A9C">
        <w:rPr>
          <w:lang w:val="es-CO"/>
        </w:rPr>
        <w:t xml:space="preserve">206. </w:t>
      </w:r>
      <w:r w:rsidRPr="00153A9C">
        <w:rPr>
          <w:lang w:val="es-CO"/>
        </w:rPr>
        <w:tab/>
        <w:t>La calidad del agua e</w:t>
      </w:r>
      <w:r w:rsidR="00B455F2" w:rsidRPr="00153A9C">
        <w:rPr>
          <w:lang w:val="es-CO"/>
        </w:rPr>
        <w:t>n</w:t>
      </w:r>
      <w:r w:rsidRPr="00153A9C">
        <w:rPr>
          <w:lang w:val="es-CO"/>
        </w:rPr>
        <w:t xml:space="preserve"> Bosnia y Herzegovina no puede evaluarse teniendo en cuenta únicamente la situación actual. Debido a las dificultades económicas y a una lenta transición, la mayoría de la industria, que estaba muy desarrollada en el territorio de Bosnia y Herzegovina, ahora está paralizada o funciona con capacidad reducida. Por ello, el volumen actual de efluentes no puede tomarse como punto de partida para los compromisos </w:t>
      </w:r>
      <w:r w:rsidR="00DF70A1" w:rsidRPr="00153A9C">
        <w:rPr>
          <w:lang w:val="es-CO"/>
        </w:rPr>
        <w:t xml:space="preserve">internacionales </w:t>
      </w:r>
      <w:r w:rsidRPr="00153A9C">
        <w:rPr>
          <w:lang w:val="es-CO"/>
        </w:rPr>
        <w:t>de reducir las emisiones contaminantes en el plano internacional (en la cuenca de los ríos Saba y Danubio), ya que no se corresponde con el potencial real de las instalaciones industriales construidas anteriormente en todo el territorio de Bosnia y Herzegovina, sino con la situación actual de los efluentes.</w:t>
      </w:r>
    </w:p>
    <w:p w:rsidR="00E275B9" w:rsidRPr="00153A9C" w:rsidRDefault="00E275B9" w:rsidP="001C60F1">
      <w:pPr>
        <w:pStyle w:val="SingleTxtG"/>
        <w:rPr>
          <w:lang w:val="es-CO"/>
        </w:rPr>
      </w:pPr>
      <w:r w:rsidRPr="00153A9C">
        <w:rPr>
          <w:lang w:val="es-CO"/>
        </w:rPr>
        <w:t xml:space="preserve">207. </w:t>
      </w:r>
      <w:r w:rsidRPr="00153A9C">
        <w:rPr>
          <w:lang w:val="es-CO"/>
        </w:rPr>
        <w:tab/>
        <w:t>La carga de efluentes de los ríos y su calidad será mucho peor cuando se vaya poniendo en marcha gradualmente la producción en las instalaciones industriales existentes.</w:t>
      </w:r>
    </w:p>
    <w:p w:rsidR="00E275B9" w:rsidRPr="00153A9C" w:rsidRDefault="00E275B9" w:rsidP="001C60F1">
      <w:pPr>
        <w:pStyle w:val="SingleTxtG"/>
        <w:rPr>
          <w:lang w:val="es-CO"/>
        </w:rPr>
      </w:pPr>
      <w:r w:rsidRPr="00153A9C">
        <w:rPr>
          <w:lang w:val="es-CO"/>
        </w:rPr>
        <w:t xml:space="preserve">208. </w:t>
      </w:r>
      <w:r w:rsidRPr="00153A9C">
        <w:rPr>
          <w:lang w:val="es-CO"/>
        </w:rPr>
        <w:tab/>
        <w:t xml:space="preserve">El uso del agua para abastecer a la población, tal como se especifica en la ley, es absolutamente necesario. Por ello, en el futuro </w:t>
      </w:r>
      <w:r w:rsidR="00750221" w:rsidRPr="00153A9C">
        <w:rPr>
          <w:lang w:val="es-CO"/>
        </w:rPr>
        <w:t xml:space="preserve">deberá tenerse en cuenta </w:t>
      </w:r>
      <w:r w:rsidRPr="00153A9C">
        <w:rPr>
          <w:lang w:val="es-CO"/>
        </w:rPr>
        <w:t xml:space="preserve">la protección de las fuentes de agua existentes y la mejora de la calidad de los ríos contaminados, sobre todo los que se utilizan para el abastecimiento de las aldeas. Igualmente, a fin de establecer condiciones que permitan disponer de agua en el futuro para atender las necesidades de los asentamientos a largo plazo, las principales actividades deberán ser la conservación, la protección y </w:t>
      </w:r>
      <w:r w:rsidR="00750221" w:rsidRPr="00153A9C">
        <w:rPr>
          <w:lang w:val="es-CO"/>
        </w:rPr>
        <w:t xml:space="preserve">el almacenamiento </w:t>
      </w:r>
      <w:r w:rsidRPr="00153A9C">
        <w:rPr>
          <w:lang w:val="es-CO"/>
        </w:rPr>
        <w:t>de agua como principales fuentes potenciales, en particular las que deben utilizarse para los sistemas regionales.</w:t>
      </w:r>
    </w:p>
    <w:p w:rsidR="00E275B9" w:rsidRPr="00153A9C" w:rsidRDefault="001C60F1" w:rsidP="001C60F1">
      <w:pPr>
        <w:pStyle w:val="H1G"/>
        <w:rPr>
          <w:lang w:val="es-CO"/>
        </w:rPr>
      </w:pPr>
      <w:r>
        <w:rPr>
          <w:lang w:val="es-CO"/>
        </w:rPr>
        <w:tab/>
      </w:r>
      <w:r>
        <w:rPr>
          <w:lang w:val="es-CO"/>
        </w:rPr>
        <w:tab/>
      </w:r>
      <w:r w:rsidR="00E275B9" w:rsidRPr="00153A9C">
        <w:rPr>
          <w:lang w:val="es-CO"/>
        </w:rPr>
        <w:t>Recomendación 50</w:t>
      </w:r>
    </w:p>
    <w:p w:rsidR="00E275B9" w:rsidRPr="00153A9C" w:rsidRDefault="00E275B9" w:rsidP="001C60F1">
      <w:pPr>
        <w:pStyle w:val="SingleTxtG"/>
        <w:rPr>
          <w:lang w:val="es-CO"/>
        </w:rPr>
      </w:pPr>
      <w:r w:rsidRPr="00153A9C">
        <w:rPr>
          <w:lang w:val="es-CO"/>
        </w:rPr>
        <w:t xml:space="preserve">209. </w:t>
      </w:r>
      <w:r w:rsidRPr="00153A9C">
        <w:rPr>
          <w:lang w:val="es-CO"/>
        </w:rPr>
        <w:tab/>
        <w:t xml:space="preserve">De acuerdo con las conclusiones de la cuarta reunión de la </w:t>
      </w:r>
      <w:r w:rsidR="00750221" w:rsidRPr="00153A9C">
        <w:rPr>
          <w:lang w:val="es-CO"/>
        </w:rPr>
        <w:t>Conferencia de Ministros de Educación</w:t>
      </w:r>
      <w:r w:rsidRPr="00153A9C">
        <w:rPr>
          <w:lang w:val="es-CO"/>
        </w:rPr>
        <w:t xml:space="preserve"> de Bosnia y Herzegovina, celebrada el 9 de septiembre de 2008, </w:t>
      </w:r>
      <w:r w:rsidR="006A4FAC">
        <w:rPr>
          <w:lang w:val="es-CO"/>
        </w:rPr>
        <w:t>el</w:t>
      </w:r>
      <w:r w:rsidR="003B050C">
        <w:rPr>
          <w:lang w:val="es-CO"/>
        </w:rPr>
        <w:t xml:space="preserve"> </w:t>
      </w:r>
      <w:r w:rsidRPr="00153A9C">
        <w:rPr>
          <w:lang w:val="es-CO"/>
        </w:rPr>
        <w:t xml:space="preserve">Ministerio de Asuntos Civiles </w:t>
      </w:r>
      <w:r w:rsidR="006A4FAC">
        <w:rPr>
          <w:lang w:val="es-CO"/>
        </w:rPr>
        <w:t>decidió establecer</w:t>
      </w:r>
      <w:r w:rsidR="006A4FAC" w:rsidRPr="00153A9C">
        <w:rPr>
          <w:lang w:val="es-CO"/>
        </w:rPr>
        <w:t xml:space="preserve"> </w:t>
      </w:r>
      <w:r w:rsidRPr="00153A9C">
        <w:rPr>
          <w:lang w:val="es-CO"/>
        </w:rPr>
        <w:t xml:space="preserve">un </w:t>
      </w:r>
      <w:r w:rsidR="008D3EE6" w:rsidRPr="00153A9C">
        <w:rPr>
          <w:lang w:val="es-CO"/>
        </w:rPr>
        <w:t>Grupo de Trabajo</w:t>
      </w:r>
      <w:r w:rsidRPr="00153A9C">
        <w:rPr>
          <w:lang w:val="es-CO"/>
        </w:rPr>
        <w:t xml:space="preserve"> encargado de analizar el fenómeno de las </w:t>
      </w:r>
      <w:r w:rsidR="00E738E3">
        <w:rPr>
          <w:lang w:val="es-CO"/>
        </w:rPr>
        <w:t>"</w:t>
      </w:r>
      <w:r w:rsidRPr="00153A9C">
        <w:rPr>
          <w:lang w:val="es-CO"/>
        </w:rPr>
        <w:t>dos escuelas bajo un solo techo</w:t>
      </w:r>
      <w:r w:rsidR="00E738E3">
        <w:rPr>
          <w:lang w:val="es-CO"/>
        </w:rPr>
        <w:t>"</w:t>
      </w:r>
      <w:r w:rsidRPr="00153A9C">
        <w:rPr>
          <w:lang w:val="es-CO"/>
        </w:rPr>
        <w:t>, integrado por dos representantes</w:t>
      </w:r>
      <w:r w:rsidR="00750221" w:rsidRPr="00153A9C">
        <w:rPr>
          <w:lang w:val="es-CO"/>
        </w:rPr>
        <w:t xml:space="preserve">, en cada caso, </w:t>
      </w:r>
      <w:r w:rsidRPr="00153A9C">
        <w:rPr>
          <w:lang w:val="es-CO"/>
        </w:rPr>
        <w:t xml:space="preserve">del Ministerio Federal de Educación y Ciencia, el </w:t>
      </w:r>
      <w:r w:rsidR="008D3EE6" w:rsidRPr="00153A9C">
        <w:rPr>
          <w:lang w:val="es-CO"/>
        </w:rPr>
        <w:t xml:space="preserve">cantón </w:t>
      </w:r>
      <w:r w:rsidRPr="00153A9C">
        <w:rPr>
          <w:lang w:val="es-CO"/>
        </w:rPr>
        <w:t xml:space="preserve">de Bosnia central, el </w:t>
      </w:r>
      <w:r w:rsidR="008D3EE6" w:rsidRPr="00153A9C">
        <w:rPr>
          <w:lang w:val="es-CO"/>
        </w:rPr>
        <w:t xml:space="preserve">cantón </w:t>
      </w:r>
      <w:r w:rsidRPr="00153A9C">
        <w:rPr>
          <w:lang w:val="es-CO"/>
        </w:rPr>
        <w:t>de Herzegovina-Neretva y la Organización para la Seguridad y la Cooperación en Europa</w:t>
      </w:r>
      <w:r w:rsidR="00750221" w:rsidRPr="00153A9C">
        <w:rPr>
          <w:lang w:val="es-CO"/>
        </w:rPr>
        <w:t>, más</w:t>
      </w:r>
      <w:r w:rsidR="003B050C">
        <w:rPr>
          <w:lang w:val="es-CO"/>
        </w:rPr>
        <w:t xml:space="preserve"> </w:t>
      </w:r>
      <w:r w:rsidRPr="00153A9C">
        <w:rPr>
          <w:lang w:val="es-CO"/>
        </w:rPr>
        <w:t>un representante del cantón de Zenica-Doboj.</w:t>
      </w:r>
      <w:r w:rsidR="00750221" w:rsidRPr="00153A9C">
        <w:rPr>
          <w:lang w:val="es-CO"/>
        </w:rPr>
        <w:t xml:space="preserve"> </w:t>
      </w:r>
    </w:p>
    <w:p w:rsidR="00E275B9" w:rsidRPr="00153A9C" w:rsidRDefault="00E275B9" w:rsidP="001C60F1">
      <w:pPr>
        <w:pStyle w:val="SingleTxtG"/>
        <w:rPr>
          <w:lang w:val="es-CO"/>
        </w:rPr>
      </w:pPr>
      <w:r w:rsidRPr="00153A9C">
        <w:rPr>
          <w:lang w:val="es-CO"/>
        </w:rPr>
        <w:t xml:space="preserve">210. </w:t>
      </w:r>
      <w:r w:rsidRPr="00153A9C">
        <w:rPr>
          <w:lang w:val="es-CO"/>
        </w:rPr>
        <w:tab/>
        <w:t xml:space="preserve">La </w:t>
      </w:r>
      <w:r w:rsidR="00750221" w:rsidRPr="00153A9C">
        <w:rPr>
          <w:lang w:val="es-CO"/>
        </w:rPr>
        <w:t>Conferencia de Ministros de Educación</w:t>
      </w:r>
      <w:r w:rsidRPr="00153A9C">
        <w:rPr>
          <w:lang w:val="es-CO"/>
        </w:rPr>
        <w:t xml:space="preserve"> de Bosnia y Herzegovina, en su s</w:t>
      </w:r>
      <w:r w:rsidR="00B455F2" w:rsidRPr="00153A9C">
        <w:rPr>
          <w:lang w:val="es-CO"/>
        </w:rPr>
        <w:t>exta</w:t>
      </w:r>
      <w:r w:rsidRPr="00153A9C">
        <w:rPr>
          <w:lang w:val="es-CO"/>
        </w:rPr>
        <w:t xml:space="preserve"> reunión celebrada el 10 de febrero de 2009, tuvo conocimiento de la labor realizada por </w:t>
      </w:r>
      <w:r w:rsidR="00EB0832" w:rsidRPr="00153A9C">
        <w:rPr>
          <w:lang w:val="es-CO"/>
        </w:rPr>
        <w:t xml:space="preserve">dicho </w:t>
      </w:r>
      <w:r w:rsidR="008D3EE6" w:rsidRPr="00153A9C">
        <w:rPr>
          <w:lang w:val="es-CO"/>
        </w:rPr>
        <w:t>Grupo de Trabajo</w:t>
      </w:r>
      <w:r w:rsidRPr="00153A9C">
        <w:rPr>
          <w:lang w:val="es-CO"/>
        </w:rPr>
        <w:t xml:space="preserve"> y </w:t>
      </w:r>
      <w:r w:rsidR="00EB0832" w:rsidRPr="00153A9C">
        <w:rPr>
          <w:lang w:val="es-CO"/>
        </w:rPr>
        <w:t xml:space="preserve">le pidió </w:t>
      </w:r>
      <w:r w:rsidRPr="00153A9C">
        <w:rPr>
          <w:lang w:val="es-CO"/>
        </w:rPr>
        <w:t xml:space="preserve">que se reuniera una vez más no más tarde de febrero de 2009 y presentara </w:t>
      </w:r>
      <w:r w:rsidR="00EB0832" w:rsidRPr="00153A9C">
        <w:rPr>
          <w:lang w:val="es-CO"/>
        </w:rPr>
        <w:t xml:space="preserve">a la Conferencia de Ministros </w:t>
      </w:r>
      <w:r w:rsidRPr="00153A9C">
        <w:rPr>
          <w:lang w:val="es-CO"/>
        </w:rPr>
        <w:t xml:space="preserve">información completa acerca de las medidas propuestas para acabar con esta situación, </w:t>
      </w:r>
      <w:r w:rsidR="00EB0832" w:rsidRPr="00153A9C">
        <w:rPr>
          <w:lang w:val="es-CO"/>
        </w:rPr>
        <w:t xml:space="preserve">que se </w:t>
      </w:r>
      <w:r w:rsidRPr="00153A9C">
        <w:rPr>
          <w:lang w:val="es-CO"/>
        </w:rPr>
        <w:t>examinar</w:t>
      </w:r>
      <w:r w:rsidR="00EB0832" w:rsidRPr="00153A9C">
        <w:rPr>
          <w:lang w:val="es-CO"/>
        </w:rPr>
        <w:t xml:space="preserve">ía </w:t>
      </w:r>
      <w:r w:rsidRPr="00153A9C">
        <w:rPr>
          <w:lang w:val="es-CO"/>
        </w:rPr>
        <w:t>en una de sus próximas reuniones.</w:t>
      </w:r>
    </w:p>
    <w:p w:rsidR="00E275B9" w:rsidRPr="00153A9C" w:rsidRDefault="00E275B9" w:rsidP="001C60F1">
      <w:pPr>
        <w:pStyle w:val="SingleTxtG"/>
        <w:rPr>
          <w:lang w:val="es-CO"/>
        </w:rPr>
      </w:pPr>
      <w:r w:rsidRPr="00153A9C">
        <w:rPr>
          <w:lang w:val="es-CO"/>
        </w:rPr>
        <w:t xml:space="preserve">211. </w:t>
      </w:r>
      <w:r w:rsidRPr="00153A9C">
        <w:rPr>
          <w:lang w:val="es-CO"/>
        </w:rPr>
        <w:tab/>
        <w:t xml:space="preserve">En la </w:t>
      </w:r>
      <w:r w:rsidR="00EB0832" w:rsidRPr="00153A9C">
        <w:rPr>
          <w:lang w:val="es-CO"/>
        </w:rPr>
        <w:t xml:space="preserve">séptima </w:t>
      </w:r>
      <w:r w:rsidRPr="00153A9C">
        <w:rPr>
          <w:lang w:val="es-CO"/>
        </w:rPr>
        <w:t>reunión</w:t>
      </w:r>
      <w:r w:rsidR="00EB0832" w:rsidRPr="00153A9C">
        <w:rPr>
          <w:lang w:val="es-CO"/>
        </w:rPr>
        <w:t>,</w:t>
      </w:r>
      <w:r w:rsidRPr="00153A9C">
        <w:rPr>
          <w:lang w:val="es-CO"/>
        </w:rPr>
        <w:t xml:space="preserve"> celebrada el 5 de mayo de 2009</w:t>
      </w:r>
      <w:r w:rsidR="00EB0832" w:rsidRPr="00153A9C">
        <w:rPr>
          <w:lang w:val="es-CO"/>
        </w:rPr>
        <w:t>,</w:t>
      </w:r>
      <w:r w:rsidRPr="00153A9C">
        <w:rPr>
          <w:lang w:val="es-CO"/>
        </w:rPr>
        <w:t xml:space="preserve"> la </w:t>
      </w:r>
      <w:r w:rsidR="00750221" w:rsidRPr="00153A9C">
        <w:rPr>
          <w:lang w:val="es-CO"/>
        </w:rPr>
        <w:t>Conferencia de Ministros de Educación</w:t>
      </w:r>
      <w:r w:rsidRPr="00153A9C">
        <w:rPr>
          <w:lang w:val="es-CO"/>
        </w:rPr>
        <w:t xml:space="preserve"> de Bosnia y Herzegovina recibió el informe del </w:t>
      </w:r>
      <w:r w:rsidR="008D3EE6" w:rsidRPr="00153A9C">
        <w:rPr>
          <w:lang w:val="es-CO"/>
        </w:rPr>
        <w:t>Grupo de Trabajo</w:t>
      </w:r>
      <w:r w:rsidRPr="00153A9C">
        <w:rPr>
          <w:lang w:val="es-CO"/>
        </w:rPr>
        <w:t xml:space="preserve"> </w:t>
      </w:r>
      <w:r w:rsidR="00EB0832" w:rsidRPr="00153A9C">
        <w:rPr>
          <w:lang w:val="es-CO"/>
        </w:rPr>
        <w:t xml:space="preserve">y le </w:t>
      </w:r>
      <w:r w:rsidRPr="00153A9C">
        <w:rPr>
          <w:lang w:val="es-CO"/>
        </w:rPr>
        <w:t xml:space="preserve">pidió que se reuniera una vez más antes de finales de mayo de 2009 para analizar el material, incorporar las observaciones y presentarlas a todos los ministros de educación, </w:t>
      </w:r>
      <w:r w:rsidR="00EB0832" w:rsidRPr="00153A9C">
        <w:rPr>
          <w:lang w:val="es-CO"/>
        </w:rPr>
        <w:t xml:space="preserve">para que </w:t>
      </w:r>
      <w:r w:rsidRPr="00153A9C">
        <w:rPr>
          <w:lang w:val="es-CO"/>
        </w:rPr>
        <w:t>pudieran ser examinadas en una de las próximas reuniones de la Conferencia de Ministros.</w:t>
      </w:r>
    </w:p>
    <w:p w:rsidR="00E275B9" w:rsidRPr="00153A9C" w:rsidRDefault="00E275B9" w:rsidP="001C60F1">
      <w:pPr>
        <w:pStyle w:val="SingleTxtG"/>
        <w:rPr>
          <w:lang w:val="es-CO"/>
        </w:rPr>
      </w:pPr>
      <w:r w:rsidRPr="00153A9C">
        <w:rPr>
          <w:lang w:val="es-CO"/>
        </w:rPr>
        <w:t xml:space="preserve">212. </w:t>
      </w:r>
      <w:r w:rsidRPr="00153A9C">
        <w:rPr>
          <w:lang w:val="es-CO"/>
        </w:rPr>
        <w:tab/>
        <w:t xml:space="preserve">La </w:t>
      </w:r>
      <w:r w:rsidR="00EB0832" w:rsidRPr="00153A9C">
        <w:rPr>
          <w:lang w:val="es-CO"/>
        </w:rPr>
        <w:t xml:space="preserve">novena </w:t>
      </w:r>
      <w:r w:rsidRPr="00153A9C">
        <w:rPr>
          <w:lang w:val="es-CO"/>
        </w:rPr>
        <w:t xml:space="preserve">reunión de la </w:t>
      </w:r>
      <w:r w:rsidR="00750221" w:rsidRPr="00153A9C">
        <w:rPr>
          <w:lang w:val="es-CO"/>
        </w:rPr>
        <w:t>Conferencia de Ministros de Educación</w:t>
      </w:r>
      <w:r w:rsidRPr="00153A9C">
        <w:rPr>
          <w:lang w:val="es-CO"/>
        </w:rPr>
        <w:t xml:space="preserve"> de Bosnia y Herzegovina, que tuvo lugar el 29 de septiembre de 2009, aprobó un informe del </w:t>
      </w:r>
      <w:r w:rsidR="008D3EE6" w:rsidRPr="00153A9C">
        <w:rPr>
          <w:lang w:val="es-CO"/>
        </w:rPr>
        <w:t>Grupo de Trabajo</w:t>
      </w:r>
      <w:r w:rsidRPr="00153A9C">
        <w:rPr>
          <w:lang w:val="es-CO"/>
        </w:rPr>
        <w:t xml:space="preserve"> </w:t>
      </w:r>
      <w:r w:rsidR="00EB0832" w:rsidRPr="00153A9C">
        <w:rPr>
          <w:lang w:val="es-CO"/>
        </w:rPr>
        <w:t xml:space="preserve">encargado de analizar el fenómeno </w:t>
      </w:r>
      <w:r w:rsidRPr="00153A9C">
        <w:rPr>
          <w:lang w:val="es-CO"/>
        </w:rPr>
        <w:t xml:space="preserve">de las </w:t>
      </w:r>
      <w:r w:rsidR="00E738E3">
        <w:rPr>
          <w:lang w:val="es-CO"/>
        </w:rPr>
        <w:t>"</w:t>
      </w:r>
      <w:r w:rsidRPr="00153A9C">
        <w:rPr>
          <w:lang w:val="es-CO"/>
        </w:rPr>
        <w:t>dos escuelas bajo un solo techo</w:t>
      </w:r>
      <w:r w:rsidR="00E738E3">
        <w:rPr>
          <w:lang w:val="es-CO"/>
        </w:rPr>
        <w:t>"</w:t>
      </w:r>
      <w:r w:rsidRPr="00153A9C">
        <w:rPr>
          <w:lang w:val="es-CO"/>
        </w:rPr>
        <w:t xml:space="preserve">, </w:t>
      </w:r>
      <w:r w:rsidR="00EB0832" w:rsidRPr="00153A9C">
        <w:rPr>
          <w:lang w:val="es-CO"/>
        </w:rPr>
        <w:t xml:space="preserve">junto con </w:t>
      </w:r>
      <w:r w:rsidRPr="00153A9C">
        <w:rPr>
          <w:lang w:val="es-CO"/>
        </w:rPr>
        <w:t>sugerencias y recomendaciones adicionales</w:t>
      </w:r>
      <w:r w:rsidR="00EB0832" w:rsidRPr="00153A9C">
        <w:rPr>
          <w:lang w:val="es-CO"/>
        </w:rPr>
        <w:t xml:space="preserve"> presentadas en </w:t>
      </w:r>
      <w:smartTag w:uri="urn:schemas-microsoft-com:office:smarttags" w:element="PersonName">
        <w:smartTagPr>
          <w:attr w:name="ProductID" w:val="la reuni￳n. No"/>
        </w:smartTagPr>
        <w:r w:rsidR="00EB0832" w:rsidRPr="00153A9C">
          <w:rPr>
            <w:lang w:val="es-CO"/>
          </w:rPr>
          <w:t>la reunión</w:t>
        </w:r>
        <w:r w:rsidRPr="00153A9C">
          <w:rPr>
            <w:lang w:val="es-CO"/>
          </w:rPr>
          <w:t>. No</w:t>
        </w:r>
      </w:smartTag>
      <w:r w:rsidRPr="00153A9C">
        <w:rPr>
          <w:lang w:val="es-CO"/>
        </w:rPr>
        <w:t xml:space="preserve"> obstante, </w:t>
      </w:r>
      <w:r w:rsidR="00EB0832" w:rsidRPr="00153A9C">
        <w:rPr>
          <w:lang w:val="es-CO"/>
        </w:rPr>
        <w:t xml:space="preserve">dado </w:t>
      </w:r>
      <w:r w:rsidRPr="00153A9C">
        <w:rPr>
          <w:lang w:val="es-CO"/>
        </w:rPr>
        <w:t xml:space="preserve">que este fenómeno está </w:t>
      </w:r>
      <w:r w:rsidR="00EB0832" w:rsidRPr="00153A9C">
        <w:rPr>
          <w:lang w:val="es-CO"/>
        </w:rPr>
        <w:t xml:space="preserve">muy </w:t>
      </w:r>
      <w:r w:rsidRPr="00153A9C">
        <w:rPr>
          <w:lang w:val="es-CO"/>
        </w:rPr>
        <w:t xml:space="preserve">politizado y que la crítica se hace muchas veces por inercia, es preciso elaborar nuevo material analítico en el que se revise el concepto de </w:t>
      </w:r>
      <w:r w:rsidR="00E738E3">
        <w:rPr>
          <w:lang w:val="es-CO"/>
        </w:rPr>
        <w:t>"</w:t>
      </w:r>
      <w:r w:rsidRPr="00153A9C">
        <w:rPr>
          <w:lang w:val="es-CO"/>
        </w:rPr>
        <w:t>dos escuelas bajo un solo techo</w:t>
      </w:r>
      <w:r w:rsidR="00E738E3">
        <w:rPr>
          <w:lang w:val="es-CO"/>
        </w:rPr>
        <w:t>"</w:t>
      </w:r>
      <w:r w:rsidRPr="00153A9C">
        <w:rPr>
          <w:lang w:val="es-CO"/>
        </w:rPr>
        <w:t xml:space="preserve">. Esta revisión debería eliminar todas las manifestaciones de este fenómeno y los contenidos que no tengan características de discriminación y segregación. Con ese fin, la </w:t>
      </w:r>
      <w:r w:rsidR="00750221" w:rsidRPr="00153A9C">
        <w:rPr>
          <w:lang w:val="es-CO"/>
        </w:rPr>
        <w:t>Conferencia de Ministros de Educación</w:t>
      </w:r>
      <w:r w:rsidRPr="00153A9C">
        <w:rPr>
          <w:lang w:val="es-CO"/>
        </w:rPr>
        <w:t xml:space="preserve"> de Bosnia y Herzegovina convino en designar un </w:t>
      </w:r>
      <w:r w:rsidR="008D3EE6" w:rsidRPr="00153A9C">
        <w:rPr>
          <w:lang w:val="es-CO"/>
        </w:rPr>
        <w:t>Grupo de Trabajo</w:t>
      </w:r>
      <w:r w:rsidRPr="00153A9C">
        <w:rPr>
          <w:lang w:val="es-CO"/>
        </w:rPr>
        <w:t xml:space="preserve"> que estaría presidido por un representante de la OSCE, y cuyos </w:t>
      </w:r>
      <w:r w:rsidR="00EB0832" w:rsidRPr="00153A9C">
        <w:rPr>
          <w:lang w:val="es-CO"/>
        </w:rPr>
        <w:t xml:space="preserve">miembros </w:t>
      </w:r>
      <w:r w:rsidRPr="00153A9C">
        <w:rPr>
          <w:lang w:val="es-CO"/>
        </w:rPr>
        <w:t xml:space="preserve">serían representantes del Ministerio Federal de Educación y Ciencia, </w:t>
      </w:r>
      <w:r w:rsidR="00EB0832" w:rsidRPr="00153A9C">
        <w:rPr>
          <w:lang w:val="es-CO"/>
        </w:rPr>
        <w:t xml:space="preserve">el </w:t>
      </w:r>
      <w:r w:rsidRPr="00153A9C">
        <w:rPr>
          <w:lang w:val="es-CO"/>
        </w:rPr>
        <w:t>Ministerio de Educación del cantón de Herzegovina-Neretva, los cantones de Zenica-Dobjo y Bosnia Central, el Consejo de Europa y el Ministerio de Asuntos Civiles. Los ministros llegaron a la conclusión de que ha habido cierto progreso en la eliminación del fenómeno de la segregación y la discriminación en la educación en Bosnia y Herzegovina, pero esos avances no son suficientes y se necesita una participación más alta de la comunidad, en particular los padres y las juntas escolares, para resolver esos problemas.</w:t>
      </w:r>
    </w:p>
    <w:p w:rsidR="00E275B9" w:rsidRPr="00153A9C" w:rsidRDefault="00E275B9" w:rsidP="001C60F1">
      <w:pPr>
        <w:pStyle w:val="SingleTxtG"/>
        <w:rPr>
          <w:lang w:val="es-CO"/>
        </w:rPr>
      </w:pPr>
      <w:r w:rsidRPr="00153A9C">
        <w:rPr>
          <w:lang w:val="es-CO"/>
        </w:rPr>
        <w:t xml:space="preserve">213. </w:t>
      </w:r>
      <w:r w:rsidRPr="00153A9C">
        <w:rPr>
          <w:lang w:val="es-CO"/>
        </w:rPr>
        <w:tab/>
        <w:t xml:space="preserve">El informe del </w:t>
      </w:r>
      <w:r w:rsidR="008D3EE6" w:rsidRPr="00153A9C">
        <w:rPr>
          <w:lang w:val="es-CO"/>
        </w:rPr>
        <w:t>Grupo de Trabajo</w:t>
      </w:r>
      <w:r w:rsidRPr="00153A9C">
        <w:rPr>
          <w:lang w:val="es-CO"/>
        </w:rPr>
        <w:t xml:space="preserve"> encargado de analizar el fenómeno de las </w:t>
      </w:r>
      <w:r w:rsidR="00E738E3">
        <w:rPr>
          <w:lang w:val="es-CO"/>
        </w:rPr>
        <w:t>"</w:t>
      </w:r>
      <w:r w:rsidRPr="00153A9C">
        <w:rPr>
          <w:lang w:val="es-CO"/>
        </w:rPr>
        <w:t>dos escuelas bajo un solo techo</w:t>
      </w:r>
      <w:r w:rsidR="00E738E3">
        <w:rPr>
          <w:lang w:val="es-CO"/>
        </w:rPr>
        <w:t>"</w:t>
      </w:r>
      <w:r w:rsidRPr="00153A9C">
        <w:rPr>
          <w:lang w:val="es-CO"/>
        </w:rPr>
        <w:t xml:space="preserve"> se examinó en la 11ª reunión de la </w:t>
      </w:r>
      <w:r w:rsidR="00750221" w:rsidRPr="00153A9C">
        <w:rPr>
          <w:lang w:val="es-CO"/>
        </w:rPr>
        <w:t>Conferencia de Ministros de Educación</w:t>
      </w:r>
      <w:r w:rsidRPr="00153A9C">
        <w:rPr>
          <w:lang w:val="es-CO"/>
        </w:rPr>
        <w:t xml:space="preserve"> de Bosnia y Herzegovina, celebrada el 30 de marzo de 2010. </w:t>
      </w:r>
      <w:r w:rsidR="00EB0832" w:rsidRPr="00153A9C">
        <w:rPr>
          <w:lang w:val="es-CO"/>
        </w:rPr>
        <w:t>Se presentó u</w:t>
      </w:r>
      <w:r w:rsidRPr="00153A9C">
        <w:rPr>
          <w:lang w:val="es-CO"/>
        </w:rPr>
        <w:t xml:space="preserve">n documento informativo </w:t>
      </w:r>
      <w:r w:rsidR="00EB0832" w:rsidRPr="00153A9C">
        <w:rPr>
          <w:lang w:val="es-CO"/>
        </w:rPr>
        <w:t xml:space="preserve">de dicha reunión </w:t>
      </w:r>
      <w:r w:rsidRPr="00153A9C">
        <w:rPr>
          <w:lang w:val="es-CO"/>
        </w:rPr>
        <w:t xml:space="preserve">al Gobierno de la Federación, que lo remitió al Parlamento de la Federación de Bosnia y Herzegovina, el cual formuló algunas conclusiones para </w:t>
      </w:r>
      <w:r w:rsidR="005214D0" w:rsidRPr="00153A9C">
        <w:rPr>
          <w:lang w:val="es-CO"/>
        </w:rPr>
        <w:t xml:space="preserve">acabar con </w:t>
      </w:r>
      <w:r w:rsidRPr="00153A9C">
        <w:rPr>
          <w:lang w:val="es-CO"/>
        </w:rPr>
        <w:t>ese fenómeno, que obligaban a los cantones donde existe todavía a eliminar</w:t>
      </w:r>
      <w:r w:rsidR="00EB0832" w:rsidRPr="00153A9C">
        <w:rPr>
          <w:lang w:val="es-CO"/>
        </w:rPr>
        <w:t>lo</w:t>
      </w:r>
      <w:r w:rsidRPr="00153A9C">
        <w:rPr>
          <w:lang w:val="es-CO"/>
        </w:rPr>
        <w:t xml:space="preserve"> antes del comienzo del próximo curso escolar.</w:t>
      </w:r>
    </w:p>
    <w:p w:rsidR="00E275B9" w:rsidRPr="00153A9C" w:rsidRDefault="001C60F1" w:rsidP="001C60F1">
      <w:pPr>
        <w:pStyle w:val="H1G"/>
        <w:rPr>
          <w:lang w:val="es-CO"/>
        </w:rPr>
      </w:pPr>
      <w:r>
        <w:rPr>
          <w:lang w:val="es-CO"/>
        </w:rPr>
        <w:tab/>
      </w:r>
      <w:r>
        <w:rPr>
          <w:lang w:val="es-CO"/>
        </w:rPr>
        <w:tab/>
      </w:r>
      <w:r w:rsidR="00E275B9" w:rsidRPr="00153A9C">
        <w:rPr>
          <w:lang w:val="es-CO"/>
        </w:rPr>
        <w:t>Recomendación 51</w:t>
      </w:r>
    </w:p>
    <w:p w:rsidR="00E275B9" w:rsidRPr="00153A9C" w:rsidRDefault="00E275B9" w:rsidP="001C60F1">
      <w:pPr>
        <w:pStyle w:val="SingleTxtG"/>
        <w:rPr>
          <w:lang w:val="es-CO"/>
        </w:rPr>
      </w:pPr>
      <w:r w:rsidRPr="00153A9C">
        <w:rPr>
          <w:lang w:val="es-CO"/>
        </w:rPr>
        <w:t xml:space="preserve">214. </w:t>
      </w:r>
      <w:r w:rsidRPr="00153A9C">
        <w:rPr>
          <w:lang w:val="es-CO"/>
        </w:rPr>
        <w:tab/>
        <w:t xml:space="preserve">La Estrategia de Bosnia y Herzegovina para resolver los problemas de los romaníes y, luego, el Plan de acción sobre las necesidades educativas de los romaníes de Bosnia y Herzegovina contribuyeron a mejorar la situación general de los romaníes en el ámbito de </w:t>
      </w:r>
      <w:smartTag w:uri="urn:schemas-microsoft-com:office:smarttags" w:element="PersonName">
        <w:smartTagPr>
          <w:attr w:name="ProductID" w:val="la educaci￳n. En"/>
        </w:smartTagPr>
        <w:r w:rsidRPr="00153A9C">
          <w:rPr>
            <w:lang w:val="es-CO"/>
          </w:rPr>
          <w:t>la educación. En</w:t>
        </w:r>
      </w:smartTag>
      <w:r w:rsidRPr="00153A9C">
        <w:rPr>
          <w:lang w:val="es-CO"/>
        </w:rPr>
        <w:t xml:space="preserve"> virtud de la Estrategia de reforma educativa destinada a la mayor minoría nacional de Bosnia y Herzegovina, las autoridades educativas se comprometían a garantizar que todos los niños romaníes de Bosnia y Herzegovina </w:t>
      </w:r>
      <w:r w:rsidR="00F5660F" w:rsidRPr="00153A9C">
        <w:rPr>
          <w:lang w:val="es-CO"/>
        </w:rPr>
        <w:t xml:space="preserve">tuvieran </w:t>
      </w:r>
      <w:r w:rsidRPr="00153A9C">
        <w:rPr>
          <w:lang w:val="es-CO"/>
        </w:rPr>
        <w:t xml:space="preserve">una oportunidad de recibir educación elemental, que todos los niños pertenecientes a minorías étnicas </w:t>
      </w:r>
      <w:r w:rsidR="00002064" w:rsidRPr="00153A9C">
        <w:rPr>
          <w:lang w:val="es-CO"/>
        </w:rPr>
        <w:t>—</w:t>
      </w:r>
      <w:r w:rsidRPr="00153A9C">
        <w:rPr>
          <w:lang w:val="es-CO"/>
        </w:rPr>
        <w:t>en particular, los romaníes</w:t>
      </w:r>
      <w:r w:rsidR="00002064" w:rsidRPr="00153A9C">
        <w:rPr>
          <w:lang w:val="es-CO"/>
        </w:rPr>
        <w:t>—</w:t>
      </w:r>
      <w:r w:rsidRPr="00153A9C">
        <w:rPr>
          <w:lang w:val="es-CO"/>
        </w:rPr>
        <w:t xml:space="preserve"> estuvieran incluidos en el sistema educativo de todo el territorio de Bosnia y Herzegovina, en la forma pertinente</w:t>
      </w:r>
      <w:r w:rsidR="00002064" w:rsidRPr="00153A9C">
        <w:rPr>
          <w:lang w:val="es-CO"/>
        </w:rPr>
        <w:t xml:space="preserve">, </w:t>
      </w:r>
      <w:r w:rsidRPr="00153A9C">
        <w:rPr>
          <w:lang w:val="es-CO"/>
        </w:rPr>
        <w:t>que las minorías nacionales</w:t>
      </w:r>
      <w:r w:rsidR="00002064" w:rsidRPr="00153A9C">
        <w:rPr>
          <w:lang w:val="es-CO"/>
        </w:rPr>
        <w:t xml:space="preserve"> —</w:t>
      </w:r>
      <w:r w:rsidRPr="00153A9C">
        <w:rPr>
          <w:lang w:val="es-CO"/>
        </w:rPr>
        <w:t>en particular, los romaníes</w:t>
      </w:r>
      <w:r w:rsidR="00002064" w:rsidRPr="00153A9C">
        <w:rPr>
          <w:lang w:val="es-CO"/>
        </w:rPr>
        <w:t>— determinara</w:t>
      </w:r>
      <w:r w:rsidRPr="00153A9C">
        <w:rPr>
          <w:lang w:val="es-CO"/>
        </w:rPr>
        <w:t xml:space="preserve">n sus necesidades con apoyo de las instituciones gubernamentales competentes, con el fin de determinar lo que se necesita para lograr un nivel de instrucción satisfactorio; </w:t>
      </w:r>
      <w:r w:rsidR="00002064" w:rsidRPr="00153A9C">
        <w:rPr>
          <w:lang w:val="es-CO"/>
        </w:rPr>
        <w:t xml:space="preserve">a </w:t>
      </w:r>
      <w:r w:rsidRPr="00153A9C">
        <w:rPr>
          <w:lang w:val="es-CO"/>
        </w:rPr>
        <w:t xml:space="preserve">elaborar un plan flexible aplicable en todo el territorio de Bosnia y Herzegovina para la inclusión de los niños de minorías étnicas en el sistema educativo (acceso a la educación); y a prestar asistencia en el suministro de libros de textos, material escolar, servicios de transporte, etc. La realización práctica de esas aspiraciones significa la aplicación de </w:t>
      </w:r>
      <w:smartTag w:uri="urn:schemas-microsoft-com:office:smarttags" w:element="PersonName">
        <w:smartTagPr>
          <w:attr w:name="ProductID" w:val="la Ley Marco"/>
        </w:smartTagPr>
        <w:r w:rsidRPr="00153A9C">
          <w:rPr>
            <w:lang w:val="es-CO"/>
          </w:rPr>
          <w:t>la Ley Marco</w:t>
        </w:r>
      </w:smartTag>
      <w:r w:rsidRPr="00153A9C">
        <w:rPr>
          <w:lang w:val="es-CO"/>
        </w:rPr>
        <w:t xml:space="preserve"> sobre la educación primaria y secundaria de Bosnia y Herzegovina (</w:t>
      </w:r>
      <w:r w:rsidRPr="001C60F1">
        <w:rPr>
          <w:i/>
          <w:spacing w:val="-2"/>
          <w:lang w:val="es-CO"/>
        </w:rPr>
        <w:t>Boletín Oficial</w:t>
      </w:r>
      <w:r w:rsidRPr="00153A9C">
        <w:rPr>
          <w:spacing w:val="-2"/>
          <w:lang w:val="es-CO"/>
        </w:rPr>
        <w:t xml:space="preserve"> de Bosnia y Herzegovina, N</w:t>
      </w:r>
      <w:r w:rsidR="001C60F1">
        <w:rPr>
          <w:spacing w:val="-2"/>
          <w:lang w:val="es-CO"/>
        </w:rPr>
        <w:t>º</w:t>
      </w:r>
      <w:r w:rsidR="00F5660F" w:rsidRPr="00153A9C">
        <w:rPr>
          <w:spacing w:val="-2"/>
          <w:lang w:val="es-CO"/>
        </w:rPr>
        <w:t xml:space="preserve"> </w:t>
      </w:r>
      <w:r w:rsidRPr="00153A9C">
        <w:rPr>
          <w:spacing w:val="-2"/>
          <w:lang w:val="es-CO"/>
        </w:rPr>
        <w:t>18/03)</w:t>
      </w:r>
      <w:r w:rsidRPr="00153A9C">
        <w:rPr>
          <w:lang w:val="es-CO"/>
        </w:rPr>
        <w:t>, que determina lo siguiente: todo niño tiene igualdad de acceso y las mismas oportunidades de participar en una educación adecuada</w:t>
      </w:r>
      <w:r w:rsidR="003B3A2B" w:rsidRPr="00153A9C">
        <w:rPr>
          <w:lang w:val="es-CO"/>
        </w:rPr>
        <w:t xml:space="preserve"> sin discriminación por ningún motivo (art. 4)</w:t>
      </w:r>
      <w:r w:rsidR="00A41824" w:rsidRPr="00153A9C">
        <w:rPr>
          <w:spacing w:val="-2"/>
          <w:lang w:val="es-CO"/>
        </w:rPr>
        <w:t>,</w:t>
      </w:r>
      <w:r w:rsidRPr="00153A9C">
        <w:rPr>
          <w:lang w:val="es-CO"/>
        </w:rPr>
        <w:t xml:space="preserve"> la igualdad de acceso y de oportunidades incluye el establecimiento de condiciones y oportunidades iguales para que todos comiencen y continúen sus estudios (art. 4), el idioma y cultura de todas las minorías nacionales que viven en Bosnia y Herzegovina se tratarán con respeto y se incorporarán en las escuelas en la mayor medida posible, de conformidad con el Convenio Marco para la protección de las minorías nacionales (art. 8), todo lo cual está en conformidad con los instrumentos internacionales directamente aplicables en Bosnia y Herzegovina, de acuerdo con lo estipulado en la </w:t>
      </w:r>
      <w:r w:rsidR="00CB3F59" w:rsidRPr="00153A9C">
        <w:rPr>
          <w:lang w:val="es-CO"/>
        </w:rPr>
        <w:t xml:space="preserve">Constitución </w:t>
      </w:r>
      <w:r w:rsidRPr="00153A9C">
        <w:rPr>
          <w:lang w:val="es-CO"/>
        </w:rPr>
        <w:t xml:space="preserve">de Bosnia y Herzegovina y el anexo IV del </w:t>
      </w:r>
      <w:r w:rsidR="00CB3F59" w:rsidRPr="00153A9C">
        <w:rPr>
          <w:lang w:val="es-CO"/>
        </w:rPr>
        <w:t>Acuerdo Marco General de Paz</w:t>
      </w:r>
      <w:r w:rsidRPr="00153A9C">
        <w:rPr>
          <w:lang w:val="es-CO"/>
        </w:rPr>
        <w:t>.</w:t>
      </w:r>
    </w:p>
    <w:p w:rsidR="00E275B9" w:rsidRPr="00153A9C" w:rsidRDefault="00E275B9" w:rsidP="001C60F1">
      <w:pPr>
        <w:pStyle w:val="SingleTxtG"/>
        <w:rPr>
          <w:lang w:val="es-CO"/>
        </w:rPr>
      </w:pPr>
      <w:r w:rsidRPr="00153A9C">
        <w:rPr>
          <w:lang w:val="es-CO"/>
        </w:rPr>
        <w:t xml:space="preserve">215. </w:t>
      </w:r>
      <w:r w:rsidRPr="00153A9C">
        <w:rPr>
          <w:lang w:val="es-CO"/>
        </w:rPr>
        <w:tab/>
        <w:t xml:space="preserve">Así pues, el marco legislativo general del sistema educativo de Bosnia y Herzegovina ofrece a todos sus ciudadanos, sin discriminación </w:t>
      </w:r>
      <w:r w:rsidR="00CB3F59" w:rsidRPr="00153A9C">
        <w:rPr>
          <w:lang w:val="es-CO"/>
        </w:rPr>
        <w:t>alguna</w:t>
      </w:r>
      <w:r w:rsidRPr="00153A9C">
        <w:rPr>
          <w:lang w:val="es-CO"/>
        </w:rPr>
        <w:t xml:space="preserve">, oportunidad de acceso a </w:t>
      </w:r>
      <w:smartTag w:uri="urn:schemas-microsoft-com:office:smarttags" w:element="PersonName">
        <w:smartTagPr>
          <w:attr w:name="ProductID" w:val="la educaci￳n. De"/>
        </w:smartTagPr>
        <w:r w:rsidRPr="00153A9C">
          <w:rPr>
            <w:lang w:val="es-CO"/>
          </w:rPr>
          <w:t>la educación. De</w:t>
        </w:r>
      </w:smartTag>
      <w:r w:rsidRPr="00153A9C">
        <w:rPr>
          <w:lang w:val="es-CO"/>
        </w:rPr>
        <w:t xml:space="preserve"> todas formas, el hecho es que, debido a los prejuicios fuertemente arraigados contra los romaníes, sus hijos no se </w:t>
      </w:r>
      <w:r w:rsidR="00CB3F59" w:rsidRPr="00153A9C">
        <w:rPr>
          <w:lang w:val="es-CO"/>
        </w:rPr>
        <w:t>escolarizan puntualmente</w:t>
      </w:r>
      <w:r w:rsidRPr="00153A9C">
        <w:rPr>
          <w:lang w:val="es-CO"/>
        </w:rPr>
        <w:t>, faltan con frecuencia</w:t>
      </w:r>
      <w:r w:rsidR="00CB3F59" w:rsidRPr="00153A9C">
        <w:rPr>
          <w:lang w:val="es-CO"/>
        </w:rPr>
        <w:t xml:space="preserve"> </w:t>
      </w:r>
      <w:r w:rsidR="00A41824" w:rsidRPr="00153A9C">
        <w:rPr>
          <w:lang w:val="es-CO"/>
        </w:rPr>
        <w:t xml:space="preserve">a </w:t>
      </w:r>
      <w:r w:rsidR="00CB3F59" w:rsidRPr="00153A9C">
        <w:rPr>
          <w:lang w:val="es-CO"/>
        </w:rPr>
        <w:t>la escuela</w:t>
      </w:r>
      <w:r w:rsidRPr="00153A9C">
        <w:rPr>
          <w:lang w:val="es-CO"/>
        </w:rPr>
        <w:t xml:space="preserve">, abandonan los estudios, etc. Las razones son múltiples, y las actividades básicas que deberán emprenderse son las siguientes: </w:t>
      </w:r>
      <w:r w:rsidR="00CB3F59" w:rsidRPr="00153A9C">
        <w:rPr>
          <w:lang w:val="es-CO"/>
        </w:rPr>
        <w:t xml:space="preserve">introducción de </w:t>
      </w:r>
      <w:r w:rsidRPr="00153A9C">
        <w:rPr>
          <w:lang w:val="es-CO"/>
        </w:rPr>
        <w:t>un cambio radical en la política de reconocimiento de la primera infancia, sobre todo con respecto a los padres de los romaníes como etapa clave en el proceso de aprendizaje permanente</w:t>
      </w:r>
      <w:r w:rsidR="00CB3F59" w:rsidRPr="00153A9C">
        <w:rPr>
          <w:lang w:val="es-CO"/>
        </w:rPr>
        <w:t xml:space="preserve">; medidas para </w:t>
      </w:r>
      <w:r w:rsidRPr="00153A9C">
        <w:rPr>
          <w:lang w:val="es-CO"/>
        </w:rPr>
        <w:t>mejorar la situación general de los romaníes</w:t>
      </w:r>
      <w:r w:rsidR="00002064" w:rsidRPr="00153A9C">
        <w:rPr>
          <w:lang w:val="es-CO"/>
        </w:rPr>
        <w:t xml:space="preserve"> —</w:t>
      </w:r>
      <w:r w:rsidRPr="00153A9C">
        <w:rPr>
          <w:lang w:val="es-CO"/>
        </w:rPr>
        <w:t>empleo, atención de salud, vivienda y educación especial</w:t>
      </w:r>
      <w:r w:rsidR="00CB3F59" w:rsidRPr="00153A9C">
        <w:rPr>
          <w:lang w:val="es-CO"/>
        </w:rPr>
        <w:t>—;</w:t>
      </w:r>
      <w:r w:rsidRPr="00153A9C">
        <w:rPr>
          <w:lang w:val="es-CO"/>
        </w:rPr>
        <w:t xml:space="preserve"> </w:t>
      </w:r>
      <w:r w:rsidR="00CB3F59" w:rsidRPr="00153A9C">
        <w:rPr>
          <w:lang w:val="es-CO"/>
        </w:rPr>
        <w:t xml:space="preserve">superación de la </w:t>
      </w:r>
      <w:r w:rsidRPr="00153A9C">
        <w:rPr>
          <w:lang w:val="es-CO"/>
        </w:rPr>
        <w:t>situación actual que hace posible que los niños romaníes, incluso cuando se matriculan en escuelas de orientación general, no reciban educación de la misma calidad que otros niños debido a la falta de comunicación</w:t>
      </w:r>
      <w:r w:rsidR="00002064" w:rsidRPr="00153A9C">
        <w:rPr>
          <w:lang w:val="es-CO"/>
        </w:rPr>
        <w:t xml:space="preserve"> —</w:t>
      </w:r>
      <w:r w:rsidRPr="00153A9C">
        <w:rPr>
          <w:lang w:val="es-CO"/>
        </w:rPr>
        <w:t>sus padres muchas veces no han recibido instrucción, las tareas escolares poc</w:t>
      </w:r>
      <w:r w:rsidR="00CB3F59" w:rsidRPr="00153A9C">
        <w:rPr>
          <w:lang w:val="es-CO"/>
        </w:rPr>
        <w:t>as veces son objeto de revisión y</w:t>
      </w:r>
      <w:r w:rsidRPr="00153A9C">
        <w:rPr>
          <w:lang w:val="es-CO"/>
        </w:rPr>
        <w:t xml:space="preserve"> algunas veces los profesores no evalúan realmente sus capacidades y motivación. Los padres romaníes pocas veces están sentados en las juntas escolares e instituciones semejantes, y habría que corregir esta deficiencia.</w:t>
      </w:r>
    </w:p>
    <w:p w:rsidR="00E275B9" w:rsidRPr="00153A9C" w:rsidRDefault="001C60F1" w:rsidP="001C60F1">
      <w:pPr>
        <w:pStyle w:val="SingleTxtG"/>
        <w:rPr>
          <w:lang w:val="es-CO"/>
        </w:rPr>
      </w:pPr>
      <w:r>
        <w:rPr>
          <w:lang w:val="es-CO"/>
        </w:rPr>
        <w:t>216.</w:t>
      </w:r>
      <w:r>
        <w:rPr>
          <w:lang w:val="es-CO"/>
        </w:rPr>
        <w:tab/>
      </w:r>
      <w:r w:rsidR="007A7CA5" w:rsidRPr="00153A9C">
        <w:rPr>
          <w:lang w:val="es-CO"/>
        </w:rPr>
        <w:t xml:space="preserve">La </w:t>
      </w:r>
      <w:r w:rsidR="00CB3F59" w:rsidRPr="00153A9C">
        <w:rPr>
          <w:lang w:val="es-CO"/>
        </w:rPr>
        <w:t xml:space="preserve">adhesión de </w:t>
      </w:r>
      <w:r w:rsidR="007A7CA5" w:rsidRPr="00153A9C">
        <w:rPr>
          <w:lang w:val="es-CO"/>
        </w:rPr>
        <w:t xml:space="preserve">Bosnia y Herzegovina </w:t>
      </w:r>
      <w:r w:rsidR="00CB3F59" w:rsidRPr="00153A9C">
        <w:rPr>
          <w:lang w:val="es-CO"/>
        </w:rPr>
        <w:t>a</w:t>
      </w:r>
      <w:r w:rsidR="007A7CA5" w:rsidRPr="00153A9C">
        <w:rPr>
          <w:lang w:val="es-CO"/>
        </w:rPr>
        <w:t xml:space="preserve">l </w:t>
      </w:r>
      <w:r w:rsidR="00CB3F59" w:rsidRPr="00153A9C">
        <w:rPr>
          <w:lang w:val="es-CO"/>
        </w:rPr>
        <w:t xml:space="preserve">Decenio de </w:t>
      </w:r>
      <w:smartTag w:uri="urn:schemas-microsoft-com:office:smarttags" w:element="PersonName">
        <w:smartTagPr>
          <w:attr w:name="ProductID" w:val="la Inclusi￳n Roman￭"/>
        </w:smartTagPr>
        <w:r w:rsidR="00CB3F59" w:rsidRPr="00153A9C">
          <w:rPr>
            <w:lang w:val="es-CO"/>
          </w:rPr>
          <w:t>la Inclusión Romaní</w:t>
        </w:r>
      </w:smartTag>
      <w:r w:rsidR="007A7CA5" w:rsidRPr="00153A9C">
        <w:rPr>
          <w:lang w:val="es-CO"/>
        </w:rPr>
        <w:t xml:space="preserve">, en septiembre de </w:t>
      </w:r>
      <w:smartTag w:uri="urn:schemas-microsoft-com:office:smarttags" w:element="metricconverter">
        <w:smartTagPr>
          <w:attr w:name="ProductID" w:val="2008, ha"/>
        </w:smartTagPr>
        <w:r w:rsidR="007A7CA5" w:rsidRPr="00153A9C">
          <w:rPr>
            <w:lang w:val="es-CO"/>
          </w:rPr>
          <w:t>2008</w:t>
        </w:r>
        <w:r w:rsidR="00CB3F59" w:rsidRPr="00153A9C">
          <w:rPr>
            <w:lang w:val="es-CO"/>
          </w:rPr>
          <w:t>,</w:t>
        </w:r>
        <w:r w:rsidR="007A7CA5" w:rsidRPr="00153A9C">
          <w:rPr>
            <w:lang w:val="es-CO"/>
          </w:rPr>
          <w:t xml:space="preserve"> ha</w:t>
        </w:r>
      </w:smartTag>
      <w:r w:rsidR="007A7CA5" w:rsidRPr="00153A9C">
        <w:rPr>
          <w:lang w:val="es-CO"/>
        </w:rPr>
        <w:t xml:space="preserve"> permitido realizar significativos avances en la prestación de asistencia </w:t>
      </w:r>
      <w:r w:rsidR="00CB3F59" w:rsidRPr="00153A9C">
        <w:rPr>
          <w:lang w:val="es-CO"/>
        </w:rPr>
        <w:t xml:space="preserve">a </w:t>
      </w:r>
      <w:r w:rsidR="007A7CA5" w:rsidRPr="00153A9C">
        <w:rPr>
          <w:lang w:val="es-CO"/>
        </w:rPr>
        <w:t>los</w:t>
      </w:r>
      <w:r w:rsidR="003B050C">
        <w:rPr>
          <w:lang w:val="es-CO"/>
        </w:rPr>
        <w:t xml:space="preserve"> </w:t>
      </w:r>
      <w:r w:rsidR="007A7CA5" w:rsidRPr="00153A9C">
        <w:rPr>
          <w:lang w:val="es-CO"/>
        </w:rPr>
        <w:t>romaníes de Bosnia y</w:t>
      </w:r>
      <w:r w:rsidR="003B050C">
        <w:rPr>
          <w:lang w:val="es-CO"/>
        </w:rPr>
        <w:t xml:space="preserve"> </w:t>
      </w:r>
      <w:r w:rsidR="007A7CA5" w:rsidRPr="00153A9C">
        <w:rPr>
          <w:lang w:val="es-CO"/>
        </w:rPr>
        <w:t xml:space="preserve">Herzegovina de todas las esferas de la sociedad, así como en el ámbito de </w:t>
      </w:r>
      <w:smartTag w:uri="urn:schemas-microsoft-com:office:smarttags" w:element="PersonName">
        <w:smartTagPr>
          <w:attr w:name="ProductID" w:val="la educaci￳n. Por"/>
        </w:smartTagPr>
        <w:r w:rsidR="007A7CA5" w:rsidRPr="00153A9C">
          <w:rPr>
            <w:lang w:val="es-CO"/>
          </w:rPr>
          <w:t>la educación. Por</w:t>
        </w:r>
      </w:smartTag>
      <w:r w:rsidR="007A7CA5" w:rsidRPr="00153A9C">
        <w:rPr>
          <w:lang w:val="es-CO"/>
        </w:rPr>
        <w:t xml:space="preserve"> primera vez, en 2009 Bosnia y Herzegovina asignó fondos para resolver los problemas romaníes. Se estableció una metodología y un plan de gastos para los fondos asignados a la ejecución de planes de acción. Se terminó el proceso de inscripción de los organismos de Bosnia y Herzegovina y se </w:t>
      </w:r>
      <w:r w:rsidR="00CB3F59" w:rsidRPr="00153A9C">
        <w:rPr>
          <w:lang w:val="es-CO"/>
        </w:rPr>
        <w:t xml:space="preserve">formularon </w:t>
      </w:r>
      <w:r w:rsidR="007A7CA5" w:rsidRPr="00153A9C">
        <w:rPr>
          <w:lang w:val="es-CO"/>
        </w:rPr>
        <w:t xml:space="preserve">las condiciones básicas para una asignación equitativa de los recursos presupuestarios y de los subsidios corrientes dentro de Bosnia y Herzegovina, a fin de abordar los problemas globales de la población romaní. En ese contexto, el Decenio de </w:t>
      </w:r>
      <w:smartTag w:uri="urn:schemas-microsoft-com:office:smarttags" w:element="PersonName">
        <w:smartTagPr>
          <w:attr w:name="ProductID" w:val="la Inclusi￳n Roman￭"/>
        </w:smartTagPr>
        <w:r w:rsidR="007A7CA5" w:rsidRPr="00153A9C">
          <w:rPr>
            <w:lang w:val="es-CO"/>
          </w:rPr>
          <w:t>la Inclusión Romaní</w:t>
        </w:r>
      </w:smartTag>
      <w:r w:rsidR="007A7CA5" w:rsidRPr="00153A9C">
        <w:rPr>
          <w:lang w:val="es-CO"/>
        </w:rPr>
        <w:t xml:space="preserve"> promueve un mayor acceso a servicios de educación de calidad para lo</w:t>
      </w:r>
      <w:r w:rsidR="00CB3F59" w:rsidRPr="00153A9C">
        <w:rPr>
          <w:lang w:val="es-CO"/>
        </w:rPr>
        <w:t>s</w:t>
      </w:r>
      <w:r w:rsidR="007A7CA5" w:rsidRPr="00153A9C">
        <w:rPr>
          <w:lang w:val="es-CO"/>
        </w:rPr>
        <w:t xml:space="preserve"> romaníes y obliga a los Estados Miembros a aportar anualmente y durante todo el Decenio los recursos financieros necesarios para aplicar los planes de acción establecidos y aceptados y otros documentos cuyo objetivo es la inclusión sistemática de los romaníes de Bosnia y Herzegovina en todas las tendencias sociales. Se adoptan medidas para garantizar la matriculación prevista de niños romaníes en las escuelas de enseñanza primaria y secundaria, se ayuda a los estudiantes romaníes a obtener becas, y los ministerios de educación competentes se esfuerzan cada vez más por organizar conferencias, seminarios y talleres a fin</w:t>
      </w:r>
      <w:r w:rsidR="00FD1B21" w:rsidRPr="00153A9C">
        <w:rPr>
          <w:lang w:val="es-CO"/>
        </w:rPr>
        <w:t xml:space="preserve"> </w:t>
      </w:r>
      <w:r w:rsidR="007A7CA5" w:rsidRPr="00153A9C">
        <w:rPr>
          <w:lang w:val="es-CO"/>
        </w:rPr>
        <w:t xml:space="preserve">de lograr una mayor conciencia acerca de las necesidades educativas de los romaníes. En algunas escuelas se </w:t>
      </w:r>
      <w:r w:rsidR="00FD1B21" w:rsidRPr="00153A9C">
        <w:rPr>
          <w:lang w:val="es-CO"/>
        </w:rPr>
        <w:t xml:space="preserve">ofrece </w:t>
      </w:r>
      <w:r w:rsidR="007A7CA5" w:rsidRPr="00153A9C">
        <w:rPr>
          <w:lang w:val="es-CO"/>
        </w:rPr>
        <w:t>una página en idioma roma</w:t>
      </w:r>
      <w:r w:rsidR="00FD1B21" w:rsidRPr="00153A9C">
        <w:rPr>
          <w:lang w:val="es-CO"/>
        </w:rPr>
        <w:t xml:space="preserve">ní </w:t>
      </w:r>
      <w:r w:rsidR="007A7CA5" w:rsidRPr="00153A9C">
        <w:rPr>
          <w:lang w:val="es-CO"/>
        </w:rPr>
        <w:t xml:space="preserve">y en las revistas y periódicos escolares se introducen instrucciones adicionales en ese idioma y se contratan auxiliares romaníes en algunas de las escuelas de enseñanza primaria donde hay alumnos de esa minoría; </w:t>
      </w:r>
      <w:r w:rsidR="007A7CA5" w:rsidRPr="001C60F1">
        <w:rPr>
          <w:i/>
          <w:lang w:val="es-CO"/>
        </w:rPr>
        <w:t>se presta mayor apoyo a los romaníes y a los estudiantes socialmente desfavorecidos, los niños romaníes en edad preescolar se incluyen en los servicios educativos</w:t>
      </w:r>
      <w:r w:rsidR="00FD1B21" w:rsidRPr="001C60F1">
        <w:rPr>
          <w:i/>
          <w:lang w:val="es-CO"/>
        </w:rPr>
        <w:t xml:space="preserve"> y se aborda el tema d</w:t>
      </w:r>
      <w:r w:rsidR="007A7CA5" w:rsidRPr="001C60F1">
        <w:rPr>
          <w:i/>
          <w:lang w:val="es-CO"/>
        </w:rPr>
        <w:t>el acceso a la inscripción de los romaníes en los registros de nacimientos, m</w:t>
      </w:r>
      <w:r w:rsidR="00FD1B21" w:rsidRPr="001C60F1">
        <w:rPr>
          <w:i/>
          <w:lang w:val="es-CO"/>
        </w:rPr>
        <w:t>atrimonios y defunci</w:t>
      </w:r>
      <w:r w:rsidRPr="001C60F1">
        <w:rPr>
          <w:i/>
          <w:lang w:val="es-CO"/>
        </w:rPr>
        <w:t>ones</w:t>
      </w:r>
      <w:r w:rsidR="007A7CA5" w:rsidRPr="001C60F1">
        <w:rPr>
          <w:lang w:val="es-CO"/>
        </w:rPr>
        <w:t xml:space="preserve">. </w:t>
      </w:r>
      <w:r w:rsidR="007A7CA5" w:rsidRPr="00153A9C">
        <w:rPr>
          <w:lang w:val="es-CO"/>
        </w:rPr>
        <w:t xml:space="preserve">Se presta especial apoyo al proyecto </w:t>
      </w:r>
      <w:r w:rsidR="00E738E3">
        <w:rPr>
          <w:lang w:val="es-CO"/>
        </w:rPr>
        <w:t>"</w:t>
      </w:r>
      <w:r w:rsidR="007A7CA5" w:rsidRPr="00153A9C">
        <w:rPr>
          <w:lang w:val="es-CO"/>
        </w:rPr>
        <w:t xml:space="preserve">Mayores conocimientos para una integración más rápida de </w:t>
      </w:r>
      <w:r w:rsidR="00FD1B21" w:rsidRPr="00153A9C">
        <w:rPr>
          <w:lang w:val="es-CO"/>
        </w:rPr>
        <w:t xml:space="preserve">los romaníes </w:t>
      </w:r>
      <w:r w:rsidR="007A7CA5" w:rsidRPr="00153A9C">
        <w:rPr>
          <w:lang w:val="es-CO"/>
        </w:rPr>
        <w:t>en la comunidad est</w:t>
      </w:r>
      <w:r w:rsidR="00FD1B21" w:rsidRPr="00153A9C">
        <w:rPr>
          <w:lang w:val="es-CO"/>
        </w:rPr>
        <w:t>atal</w:t>
      </w:r>
      <w:r w:rsidR="00E738E3">
        <w:rPr>
          <w:lang w:val="es-CO"/>
        </w:rPr>
        <w:t>"</w:t>
      </w:r>
      <w:r w:rsidR="007A7CA5" w:rsidRPr="00153A9C">
        <w:rPr>
          <w:lang w:val="es-CO"/>
        </w:rPr>
        <w:t>.</w:t>
      </w:r>
      <w:r w:rsidR="00E275B9" w:rsidRPr="00153A9C">
        <w:rPr>
          <w:lang w:val="es-CO"/>
        </w:rPr>
        <w:t xml:space="preserve"> </w:t>
      </w:r>
    </w:p>
    <w:p w:rsidR="00E275B9" w:rsidRPr="00153A9C" w:rsidRDefault="00E275B9" w:rsidP="001C60F1">
      <w:pPr>
        <w:pStyle w:val="SingleTxtG"/>
        <w:rPr>
          <w:lang w:val="es-CO"/>
        </w:rPr>
      </w:pPr>
      <w:r w:rsidRPr="00153A9C">
        <w:rPr>
          <w:spacing w:val="-2"/>
          <w:lang w:val="es-CO"/>
        </w:rPr>
        <w:t>217.</w:t>
      </w:r>
      <w:r w:rsidRPr="00153A9C">
        <w:rPr>
          <w:spacing w:val="-2"/>
          <w:lang w:val="es-CO"/>
        </w:rPr>
        <w:tab/>
      </w:r>
      <w:r w:rsidR="00FD1B21" w:rsidRPr="00153A9C">
        <w:rPr>
          <w:spacing w:val="-2"/>
          <w:lang w:val="es-CO"/>
        </w:rPr>
        <w:t xml:space="preserve">Hasta el final del </w:t>
      </w:r>
      <w:r w:rsidRPr="00153A9C">
        <w:rPr>
          <w:spacing w:val="-2"/>
          <w:lang w:val="es-CO"/>
        </w:rPr>
        <w:t xml:space="preserve">Decenio de </w:t>
      </w:r>
      <w:smartTag w:uri="urn:schemas-microsoft-com:office:smarttags" w:element="PersonName">
        <w:smartTagPr>
          <w:attr w:name="ProductID" w:val="la Inclusi￳n Roman￭"/>
        </w:smartTagPr>
        <w:r w:rsidRPr="00153A9C">
          <w:rPr>
            <w:spacing w:val="-2"/>
            <w:lang w:val="es-CO"/>
          </w:rPr>
          <w:t>la Inclusión Romaní</w:t>
        </w:r>
      </w:smartTag>
      <w:r w:rsidRPr="00153A9C">
        <w:rPr>
          <w:spacing w:val="-2"/>
          <w:lang w:val="es-CO"/>
        </w:rPr>
        <w:t xml:space="preserve"> </w:t>
      </w:r>
      <w:r w:rsidRPr="00153A9C">
        <w:rPr>
          <w:lang w:val="es-CO"/>
        </w:rPr>
        <w:t xml:space="preserve">(2005-2015), Bosnia y Herzegovina </w:t>
      </w:r>
      <w:r w:rsidR="00266ABC">
        <w:rPr>
          <w:lang w:val="es-CO"/>
        </w:rPr>
        <w:t xml:space="preserve">prevé realizar </w:t>
      </w:r>
      <w:r w:rsidRPr="00153A9C">
        <w:rPr>
          <w:lang w:val="es-CO"/>
        </w:rPr>
        <w:t>progresos cualitativos en la mejora de la situación global de los romaníes</w:t>
      </w:r>
      <w:r w:rsidR="004E192F">
        <w:rPr>
          <w:lang w:val="es-CO"/>
        </w:rPr>
        <w:t xml:space="preserve">, incluido el sector de la educación, </w:t>
      </w:r>
      <w:r w:rsidRPr="00153A9C">
        <w:rPr>
          <w:lang w:val="es-CO"/>
        </w:rPr>
        <w:t>en particular</w:t>
      </w:r>
      <w:r w:rsidR="003B050C">
        <w:rPr>
          <w:lang w:val="es-CO"/>
        </w:rPr>
        <w:t xml:space="preserve"> </w:t>
      </w:r>
      <w:r w:rsidRPr="00153A9C">
        <w:rPr>
          <w:lang w:val="es-CO"/>
        </w:rPr>
        <w:t xml:space="preserve">la matriculación obligatoria, la asistencia escolar y la terminación de los estudios. El cumplimiento de las tareas previstas para el próximo período contribuirá significativamente a mejorar la situación general de los romaníes de Bosnia y Herzegovina, tanto </w:t>
      </w:r>
      <w:r w:rsidR="00FD1B21" w:rsidRPr="00153A9C">
        <w:rPr>
          <w:lang w:val="es-CO"/>
        </w:rPr>
        <w:t xml:space="preserve">en el ámbito </w:t>
      </w:r>
      <w:r w:rsidRPr="00153A9C">
        <w:rPr>
          <w:lang w:val="es-CO"/>
        </w:rPr>
        <w:t>económic</w:t>
      </w:r>
      <w:r w:rsidR="00FD1B21" w:rsidRPr="00153A9C">
        <w:rPr>
          <w:lang w:val="es-CO"/>
        </w:rPr>
        <w:t>o</w:t>
      </w:r>
      <w:r w:rsidRPr="00153A9C">
        <w:rPr>
          <w:lang w:val="es-CO"/>
        </w:rPr>
        <w:t xml:space="preserve">, social y cultural como </w:t>
      </w:r>
      <w:r w:rsidR="00FD1B21" w:rsidRPr="00153A9C">
        <w:rPr>
          <w:lang w:val="es-CO"/>
        </w:rPr>
        <w:t xml:space="preserve">en la esfera </w:t>
      </w:r>
      <w:r w:rsidRPr="00153A9C">
        <w:rPr>
          <w:lang w:val="es-CO"/>
        </w:rPr>
        <w:t>civil y política.</w:t>
      </w:r>
    </w:p>
    <w:p w:rsidR="00FD1B21" w:rsidRPr="00153A9C" w:rsidRDefault="00FD1B21" w:rsidP="00FD1B21">
      <w:pPr>
        <w:spacing w:before="240"/>
        <w:jc w:val="center"/>
        <w:rPr>
          <w:u w:val="single"/>
          <w:lang w:val="es-CO"/>
        </w:rPr>
      </w:pPr>
      <w:r w:rsidRPr="00153A9C">
        <w:rPr>
          <w:u w:val="single"/>
          <w:lang w:val="es-CO"/>
        </w:rPr>
        <w:tab/>
      </w:r>
      <w:r w:rsidRPr="00153A9C">
        <w:rPr>
          <w:u w:val="single"/>
          <w:lang w:val="es-CO"/>
        </w:rPr>
        <w:tab/>
      </w:r>
      <w:r w:rsidRPr="00153A9C">
        <w:rPr>
          <w:u w:val="single"/>
          <w:lang w:val="es-CO"/>
        </w:rPr>
        <w:tab/>
      </w:r>
    </w:p>
    <w:p w:rsidR="00E275B9" w:rsidRPr="001C60F1" w:rsidRDefault="00E275B9" w:rsidP="001C60F1">
      <w:pPr>
        <w:pStyle w:val="SingleTxtG"/>
      </w:pPr>
    </w:p>
    <w:sectPr w:rsidR="00E275B9" w:rsidRPr="001C60F1" w:rsidSect="0008024E">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D2A" w:rsidRDefault="00173D2A"/>
  </w:endnote>
  <w:endnote w:type="continuationSeparator" w:id="0">
    <w:p w:rsidR="00173D2A" w:rsidRDefault="00173D2A"/>
  </w:endnote>
  <w:endnote w:type="continuationNotice" w:id="1">
    <w:p w:rsidR="00173D2A" w:rsidRDefault="00173D2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F57" w:rsidRPr="0041618C" w:rsidRDefault="003A3F57" w:rsidP="0041618C">
    <w:pPr>
      <w:pStyle w:val="Footer"/>
      <w:tabs>
        <w:tab w:val="right" w:pos="9598"/>
      </w:tabs>
    </w:pPr>
    <w:r w:rsidRPr="0041618C">
      <w:rPr>
        <w:b/>
        <w:sz w:val="18"/>
      </w:rPr>
      <w:fldChar w:fldCharType="begin"/>
    </w:r>
    <w:r w:rsidRPr="0041618C">
      <w:rPr>
        <w:b/>
        <w:sz w:val="18"/>
      </w:rPr>
      <w:instrText xml:space="preserve"> PAGE  \* MERGEFORMAT </w:instrText>
    </w:r>
    <w:r w:rsidRPr="0041618C">
      <w:rPr>
        <w:b/>
        <w:sz w:val="18"/>
      </w:rPr>
      <w:fldChar w:fldCharType="separate"/>
    </w:r>
    <w:r w:rsidR="00FA7C0E">
      <w:rPr>
        <w:b/>
        <w:noProof/>
        <w:sz w:val="18"/>
      </w:rPr>
      <w:t>46</w:t>
    </w:r>
    <w:r w:rsidRPr="0041618C">
      <w:rPr>
        <w:b/>
        <w:sz w:val="18"/>
      </w:rPr>
      <w:fldChar w:fldCharType="end"/>
    </w:r>
    <w:r>
      <w:rPr>
        <w:b/>
        <w:sz w:val="18"/>
      </w:rPr>
      <w:tab/>
    </w:r>
    <w:r w:rsidRPr="0009320B">
      <w:t>GE.12-47159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F57" w:rsidRPr="0041618C" w:rsidRDefault="003A3F57" w:rsidP="001909CF">
    <w:pPr>
      <w:pStyle w:val="Footer"/>
      <w:tabs>
        <w:tab w:val="right" w:pos="9598"/>
      </w:tabs>
      <w:rPr>
        <w:b/>
        <w:sz w:val="18"/>
      </w:rPr>
    </w:pPr>
    <w:r w:rsidRPr="0009320B">
      <w:t>GE.12-47159  (EXT)</w:t>
    </w:r>
    <w:r>
      <w:rPr>
        <w:b/>
        <w:sz w:val="18"/>
      </w:rPr>
      <w:tab/>
    </w:r>
    <w:r w:rsidRPr="0041618C">
      <w:rPr>
        <w:b/>
        <w:sz w:val="18"/>
      </w:rPr>
      <w:fldChar w:fldCharType="begin"/>
    </w:r>
    <w:r w:rsidRPr="0041618C">
      <w:rPr>
        <w:b/>
        <w:sz w:val="18"/>
      </w:rPr>
      <w:instrText xml:space="preserve"> PAGE  \* MERGEFORMAT </w:instrText>
    </w:r>
    <w:r w:rsidRPr="0041618C">
      <w:rPr>
        <w:b/>
        <w:sz w:val="18"/>
      </w:rPr>
      <w:fldChar w:fldCharType="separate"/>
    </w:r>
    <w:r w:rsidR="00FA7C0E">
      <w:rPr>
        <w:b/>
        <w:noProof/>
        <w:sz w:val="18"/>
      </w:rPr>
      <w:t>45</w:t>
    </w:r>
    <w:r w:rsidRPr="0041618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F57" w:rsidRDefault="003A3F57" w:rsidP="00C729C0">
    <w:pPr>
      <w:pStyle w:val="Footer"/>
      <w:tabs>
        <w:tab w:val="right" w:pos="9639"/>
      </w:tabs>
    </w:pPr>
    <w:r>
      <w:rPr>
        <w:noProof/>
        <w:sz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7.55pt;width:85.5pt;height:18pt;z-index:1" wrapcoords="18189 0 0 9900 -189 12600 -189 17100 758 19800 19516 19800 20274 19800 21032 14400 21600 14400 21600 8100 20653 0 18189 0">
          <v:imagedata r:id="rId1" o:title="recycle_Spanish"/>
          <w10:anchorlock/>
        </v:shape>
      </w:pict>
    </w:r>
    <w:r>
      <w:rPr>
        <w:sz w:val="20"/>
      </w:rPr>
      <w:t>GE.12-47159  (EXT)</w:t>
    </w:r>
    <w:r>
      <w:rPr>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D2A" w:rsidRPr="000B175B" w:rsidRDefault="00173D2A" w:rsidP="000B175B">
      <w:pPr>
        <w:tabs>
          <w:tab w:val="right" w:pos="2155"/>
        </w:tabs>
        <w:spacing w:after="80"/>
        <w:ind w:left="680"/>
        <w:rPr>
          <w:u w:val="single"/>
        </w:rPr>
      </w:pPr>
      <w:r>
        <w:rPr>
          <w:u w:val="single"/>
        </w:rPr>
        <w:tab/>
      </w:r>
    </w:p>
  </w:footnote>
  <w:footnote w:type="continuationSeparator" w:id="0">
    <w:p w:rsidR="00173D2A" w:rsidRPr="00FC68B7" w:rsidRDefault="00173D2A" w:rsidP="00FC68B7">
      <w:pPr>
        <w:tabs>
          <w:tab w:val="left" w:pos="2155"/>
        </w:tabs>
        <w:spacing w:after="80"/>
        <w:ind w:left="680"/>
        <w:rPr>
          <w:u w:val="single"/>
        </w:rPr>
      </w:pPr>
      <w:r>
        <w:rPr>
          <w:u w:val="single"/>
        </w:rPr>
        <w:tab/>
      </w:r>
    </w:p>
  </w:footnote>
  <w:footnote w:type="continuationNotice" w:id="1">
    <w:p w:rsidR="00173D2A" w:rsidRDefault="00173D2A"/>
  </w:footnote>
  <w:footnote w:id="2">
    <w:p w:rsidR="003A3F57" w:rsidRPr="0098427B" w:rsidRDefault="003A3F57" w:rsidP="003A0A63">
      <w:pPr>
        <w:pStyle w:val="FootnoteText"/>
        <w:tabs>
          <w:tab w:val="clear" w:pos="1021"/>
          <w:tab w:val="right" w:pos="993"/>
        </w:tabs>
        <w:rPr>
          <w:lang w:val="es-CO"/>
        </w:rPr>
      </w:pPr>
      <w:r w:rsidRPr="0098427B">
        <w:rPr>
          <w:lang w:val="es-CO"/>
        </w:rPr>
        <w:tab/>
      </w:r>
      <w:r w:rsidRPr="00C60430">
        <w:rPr>
          <w:rStyle w:val="FootnoteReference"/>
          <w:sz w:val="20"/>
          <w:vertAlign w:val="baseline"/>
          <w:lang w:val="es-CO"/>
        </w:rPr>
        <w:t>*</w:t>
      </w:r>
      <w:r w:rsidRPr="0098427B">
        <w:rPr>
          <w:lang w:val="es-CO"/>
        </w:rPr>
        <w:tab/>
        <w:t>Con arreglo a la información transmitida a los Estados partes acerca de la publicación de sus informes, el presente documento no fue objeto de revisión editorial.</w:t>
      </w:r>
    </w:p>
  </w:footnote>
  <w:footnote w:id="3">
    <w:p w:rsidR="003A3F57" w:rsidRPr="0098427B" w:rsidRDefault="003A3F57" w:rsidP="00C44432">
      <w:pPr>
        <w:pStyle w:val="FootnoteText"/>
        <w:widowControl w:val="0"/>
        <w:tabs>
          <w:tab w:val="clear" w:pos="1021"/>
          <w:tab w:val="right" w:pos="993"/>
        </w:tabs>
        <w:rPr>
          <w:lang w:val="es-CO"/>
        </w:rPr>
      </w:pPr>
      <w:r w:rsidRPr="0098427B">
        <w:rPr>
          <w:lang w:val="es-CO"/>
        </w:rPr>
        <w:tab/>
      </w:r>
      <w:r w:rsidRPr="0098427B">
        <w:rPr>
          <w:rStyle w:val="FootnoteReference"/>
          <w:lang w:val="es-CO"/>
        </w:rPr>
        <w:footnoteRef/>
      </w:r>
      <w:r w:rsidRPr="0098427B">
        <w:rPr>
          <w:lang w:val="es-CO"/>
        </w:rPr>
        <w:tab/>
        <w:t>Encuesta de población activa, 2008, Organismo de Estadística de Bosnia y Herzegovina.</w:t>
      </w:r>
    </w:p>
  </w:footnote>
  <w:footnote w:id="4">
    <w:p w:rsidR="003A3F57" w:rsidRPr="0098427B" w:rsidRDefault="003A3F57" w:rsidP="00C44432">
      <w:pPr>
        <w:pStyle w:val="FootnoteText"/>
        <w:widowControl w:val="0"/>
        <w:tabs>
          <w:tab w:val="clear" w:pos="1021"/>
          <w:tab w:val="right" w:pos="993"/>
        </w:tabs>
        <w:rPr>
          <w:lang w:val="es-CO"/>
        </w:rPr>
      </w:pPr>
      <w:r w:rsidRPr="0098427B">
        <w:rPr>
          <w:lang w:val="es-CO"/>
        </w:rPr>
        <w:tab/>
      </w:r>
      <w:r w:rsidRPr="0098427B">
        <w:rPr>
          <w:rStyle w:val="FootnoteReference"/>
          <w:lang w:val="es-CO"/>
        </w:rPr>
        <w:footnoteRef/>
      </w:r>
      <w:r w:rsidRPr="0098427B">
        <w:rPr>
          <w:lang w:val="es-CO"/>
        </w:rPr>
        <w:tab/>
        <w:t>Las estadísticas de la Encuesta de Bosnia y Herzego</w:t>
      </w:r>
      <w:r>
        <w:rPr>
          <w:lang w:val="es-CO"/>
        </w:rPr>
        <w:t>v</w:t>
      </w:r>
      <w:r w:rsidRPr="0098427B">
        <w:rPr>
          <w:lang w:val="es-CO"/>
        </w:rPr>
        <w:t>ina que se presentan en este informe se refieren al año 2004.</w:t>
      </w:r>
    </w:p>
  </w:footnote>
  <w:footnote w:id="5">
    <w:p w:rsidR="003A3F57" w:rsidRPr="0098427B" w:rsidRDefault="003A3F57" w:rsidP="00203E7B">
      <w:pPr>
        <w:pStyle w:val="FootnoteText"/>
        <w:widowControl w:val="0"/>
        <w:tabs>
          <w:tab w:val="clear" w:pos="1021"/>
          <w:tab w:val="right" w:pos="1020"/>
        </w:tabs>
        <w:rPr>
          <w:lang w:val="es-CO"/>
        </w:rPr>
      </w:pPr>
      <w:r w:rsidRPr="0098427B">
        <w:rPr>
          <w:lang w:val="es-CO"/>
        </w:rPr>
        <w:tab/>
      </w:r>
      <w:r w:rsidRPr="0098427B">
        <w:rPr>
          <w:rStyle w:val="FootnoteReference"/>
          <w:lang w:val="es-CO"/>
        </w:rPr>
        <w:footnoteRef/>
      </w:r>
      <w:r w:rsidRPr="0098427B">
        <w:rPr>
          <w:lang w:val="es-CO"/>
        </w:rPr>
        <w:tab/>
        <w:t>Encuesta de población activa de Bosnia y Herzegovina, 2009.</w:t>
      </w:r>
    </w:p>
  </w:footnote>
  <w:footnote w:id="6">
    <w:p w:rsidR="003A3F57" w:rsidRPr="0098427B" w:rsidRDefault="003A3F57" w:rsidP="00203E7B">
      <w:pPr>
        <w:pStyle w:val="FootnoteText"/>
        <w:widowControl w:val="0"/>
        <w:tabs>
          <w:tab w:val="clear" w:pos="1021"/>
          <w:tab w:val="right" w:pos="993"/>
        </w:tabs>
        <w:rPr>
          <w:lang w:val="es-CO"/>
        </w:rPr>
      </w:pPr>
      <w:r w:rsidRPr="0098427B">
        <w:rPr>
          <w:lang w:val="es-CO"/>
        </w:rPr>
        <w:tab/>
      </w:r>
      <w:r w:rsidRPr="0098427B">
        <w:rPr>
          <w:rStyle w:val="FootnoteReference"/>
          <w:lang w:val="es-CO"/>
        </w:rPr>
        <w:footnoteRef/>
      </w:r>
      <w:r w:rsidRPr="0098427B">
        <w:rPr>
          <w:lang w:val="es-CO"/>
        </w:rPr>
        <w:tab/>
        <w:t>Plan de acción de Bosnia y Herzegovina para solucionar los problema de los romaníes en el em</w:t>
      </w:r>
      <w:r>
        <w:rPr>
          <w:lang w:val="es-CO"/>
        </w:rPr>
        <w:t>p</w:t>
      </w:r>
      <w:r w:rsidRPr="0098427B">
        <w:rPr>
          <w:lang w:val="es-CO"/>
        </w:rPr>
        <w:t>leo, la vivienda y la atención de salud, Ministerio de Derechos Humanos y Refugiados, Sarajevo, 2009.</w:t>
      </w:r>
    </w:p>
  </w:footnote>
  <w:footnote w:id="7">
    <w:p w:rsidR="003A3F57" w:rsidRPr="0098427B" w:rsidRDefault="003A3F57" w:rsidP="00203E7B">
      <w:pPr>
        <w:pStyle w:val="FootnoteText"/>
        <w:widowControl w:val="0"/>
        <w:tabs>
          <w:tab w:val="clear" w:pos="1021"/>
          <w:tab w:val="right" w:pos="993"/>
        </w:tabs>
        <w:rPr>
          <w:lang w:val="es-CO"/>
        </w:rPr>
      </w:pPr>
      <w:r w:rsidRPr="0098427B">
        <w:rPr>
          <w:lang w:val="es-CO"/>
        </w:rPr>
        <w:tab/>
      </w:r>
      <w:r w:rsidRPr="0098427B">
        <w:rPr>
          <w:rStyle w:val="FootnoteReference"/>
          <w:lang w:val="es-CO"/>
        </w:rPr>
        <w:footnoteRef/>
      </w:r>
      <w:r w:rsidRPr="0098427B">
        <w:rPr>
          <w:lang w:val="es-CO"/>
        </w:rPr>
        <w:tab/>
        <w:t xml:space="preserve">Plan de acción </w:t>
      </w:r>
      <w:r>
        <w:rPr>
          <w:lang w:val="es-CO"/>
        </w:rPr>
        <w:t xml:space="preserve">de 2009 </w:t>
      </w:r>
      <w:r w:rsidRPr="0098427B">
        <w:rPr>
          <w:lang w:val="es-CO"/>
        </w:rPr>
        <w:t>de Bosnia y Herzegovina para solucionar los problema</w:t>
      </w:r>
      <w:r>
        <w:rPr>
          <w:lang w:val="es-CO"/>
        </w:rPr>
        <w:t>s</w:t>
      </w:r>
      <w:r w:rsidRPr="0098427B">
        <w:rPr>
          <w:lang w:val="es-CO"/>
        </w:rPr>
        <w:t xml:space="preserve"> de empleo de los romaníes.</w:t>
      </w:r>
    </w:p>
  </w:footnote>
  <w:footnote w:id="8">
    <w:p w:rsidR="003A3F57" w:rsidRPr="0098427B" w:rsidRDefault="003A3F57" w:rsidP="00203E7B">
      <w:pPr>
        <w:pStyle w:val="FootnoteText"/>
        <w:widowControl w:val="0"/>
        <w:tabs>
          <w:tab w:val="clear" w:pos="1021"/>
          <w:tab w:val="right" w:pos="993"/>
        </w:tabs>
        <w:rPr>
          <w:lang w:val="es-CO"/>
        </w:rPr>
      </w:pPr>
      <w:r w:rsidRPr="0098427B">
        <w:rPr>
          <w:lang w:val="es-CO"/>
        </w:rPr>
        <w:tab/>
      </w:r>
      <w:r w:rsidRPr="0098427B">
        <w:rPr>
          <w:rStyle w:val="FootnoteReference"/>
          <w:lang w:val="es-CO"/>
        </w:rPr>
        <w:footnoteRef/>
      </w:r>
      <w:r w:rsidRPr="0098427B">
        <w:rPr>
          <w:lang w:val="es-CO"/>
        </w:rPr>
        <w:tab/>
      </w:r>
      <w:r>
        <w:rPr>
          <w:lang w:val="es-CO"/>
        </w:rPr>
        <w:t>"</w:t>
      </w:r>
      <w:r w:rsidRPr="0098427B">
        <w:rPr>
          <w:lang w:val="es-CO"/>
        </w:rPr>
        <w:t>Žene sa Une</w:t>
      </w:r>
      <w:r>
        <w:rPr>
          <w:lang w:val="es-CO"/>
        </w:rPr>
        <w:t>"</w:t>
      </w:r>
      <w:r w:rsidRPr="0098427B">
        <w:rPr>
          <w:lang w:val="es-CO"/>
        </w:rPr>
        <w:t xml:space="preserve"> – Bihać, </w:t>
      </w:r>
      <w:r>
        <w:rPr>
          <w:lang w:val="es-CO"/>
        </w:rPr>
        <w:t>"Fundación Local para la Democracia</w:t>
      </w:r>
      <w:r w:rsidRPr="0098427B">
        <w:rPr>
          <w:lang w:val="es-CO"/>
        </w:rPr>
        <w:t xml:space="preserve"> </w:t>
      </w:r>
      <w:r w:rsidR="005E3A95" w:rsidRPr="005E3A95">
        <w:rPr>
          <w:szCs w:val="24"/>
          <w:lang w:val="es-AR"/>
        </w:rPr>
        <w:t>–</w:t>
      </w:r>
      <w:r w:rsidRPr="0098427B">
        <w:rPr>
          <w:lang w:val="es-CO"/>
        </w:rPr>
        <w:t xml:space="preserve"> Fondacija lokalane demokratije</w:t>
      </w:r>
      <w:r>
        <w:rPr>
          <w:lang w:val="es-CO"/>
        </w:rPr>
        <w:t>"</w:t>
      </w:r>
      <w:r w:rsidRPr="0098427B">
        <w:rPr>
          <w:lang w:val="es-CO"/>
        </w:rPr>
        <w:t xml:space="preserve"> </w:t>
      </w:r>
      <w:r w:rsidR="005E3A95" w:rsidRPr="005E3A95">
        <w:rPr>
          <w:szCs w:val="24"/>
          <w:lang w:val="es-AR"/>
        </w:rPr>
        <w:t>–</w:t>
      </w:r>
      <w:r w:rsidRPr="0098427B">
        <w:rPr>
          <w:lang w:val="es-CO"/>
        </w:rPr>
        <w:t xml:space="preserve"> Sarajevo, </w:t>
      </w:r>
      <w:r>
        <w:rPr>
          <w:lang w:val="es-CO"/>
        </w:rPr>
        <w:t>"</w:t>
      </w:r>
      <w:r w:rsidRPr="0098427B">
        <w:rPr>
          <w:lang w:val="es-CO"/>
        </w:rPr>
        <w:t>Vive Žene</w:t>
      </w:r>
      <w:r>
        <w:rPr>
          <w:lang w:val="es-CO"/>
        </w:rPr>
        <w:t>"</w:t>
      </w:r>
      <w:r w:rsidRPr="0098427B">
        <w:rPr>
          <w:lang w:val="es-CO"/>
        </w:rPr>
        <w:t xml:space="preserve"> </w:t>
      </w:r>
      <w:r w:rsidR="005E3A95" w:rsidRPr="005E3A95">
        <w:rPr>
          <w:szCs w:val="24"/>
          <w:lang w:val="es-AR"/>
        </w:rPr>
        <w:t>–</w:t>
      </w:r>
      <w:r w:rsidRPr="0098427B">
        <w:rPr>
          <w:lang w:val="es-CO"/>
        </w:rPr>
        <w:t xml:space="preserve"> Tuzla, </w:t>
      </w:r>
      <w:r>
        <w:rPr>
          <w:lang w:val="es-CO"/>
        </w:rPr>
        <w:t>"</w:t>
      </w:r>
      <w:r w:rsidRPr="0098427B">
        <w:rPr>
          <w:lang w:val="es-CO"/>
        </w:rPr>
        <w:t>Žene ženama</w:t>
      </w:r>
      <w:r>
        <w:rPr>
          <w:lang w:val="es-CO"/>
        </w:rPr>
        <w:t>"</w:t>
      </w:r>
      <w:r w:rsidRPr="0098427B">
        <w:rPr>
          <w:lang w:val="es-CO"/>
        </w:rPr>
        <w:t xml:space="preserve"> </w:t>
      </w:r>
      <w:r w:rsidR="005E3A95" w:rsidRPr="005E3A95">
        <w:rPr>
          <w:szCs w:val="24"/>
          <w:lang w:val="es-AR"/>
        </w:rPr>
        <w:t>–</w:t>
      </w:r>
      <w:r w:rsidRPr="0098427B">
        <w:rPr>
          <w:lang w:val="es-CO"/>
        </w:rPr>
        <w:t xml:space="preserve"> Sarajevo, </w:t>
      </w:r>
      <w:r>
        <w:rPr>
          <w:lang w:val="es-CO"/>
        </w:rPr>
        <w:t>"</w:t>
      </w:r>
      <w:r w:rsidRPr="0098427B">
        <w:rPr>
          <w:lang w:val="es-CO"/>
        </w:rPr>
        <w:t>Žena BiH</w:t>
      </w:r>
      <w:r>
        <w:rPr>
          <w:lang w:val="es-CO"/>
        </w:rPr>
        <w:t>"</w:t>
      </w:r>
      <w:r w:rsidRPr="0098427B">
        <w:rPr>
          <w:lang w:val="es-CO"/>
        </w:rPr>
        <w:t xml:space="preserve"> </w:t>
      </w:r>
      <w:r w:rsidR="005E3A95" w:rsidRPr="005E3A95">
        <w:rPr>
          <w:szCs w:val="24"/>
          <w:lang w:val="es-AR"/>
        </w:rPr>
        <w:t>–</w:t>
      </w:r>
      <w:r w:rsidRPr="0098427B">
        <w:rPr>
          <w:lang w:val="es-CO"/>
        </w:rPr>
        <w:t xml:space="preserve"> Mostar </w:t>
      </w:r>
      <w:r>
        <w:rPr>
          <w:lang w:val="es-CO"/>
        </w:rPr>
        <w:t>y "</w:t>
      </w:r>
      <w:r w:rsidRPr="0098427B">
        <w:rPr>
          <w:lang w:val="es-CO"/>
        </w:rPr>
        <w:t>Medica</w:t>
      </w:r>
      <w:r>
        <w:rPr>
          <w:lang w:val="es-CO"/>
        </w:rPr>
        <w:t>"</w:t>
      </w:r>
      <w:r w:rsidRPr="0098427B">
        <w:rPr>
          <w:lang w:val="es-CO"/>
        </w:rPr>
        <w:t xml:space="preserve"> </w:t>
      </w:r>
      <w:r w:rsidR="005E3A95" w:rsidRPr="005E3A95">
        <w:rPr>
          <w:szCs w:val="24"/>
          <w:lang w:val="es-AR"/>
        </w:rPr>
        <w:t>–</w:t>
      </w:r>
      <w:r w:rsidRPr="0098427B">
        <w:rPr>
          <w:lang w:val="es-CO"/>
        </w:rPr>
        <w:t xml:space="preserve"> Zenica.</w:t>
      </w:r>
    </w:p>
  </w:footnote>
  <w:footnote w:id="9">
    <w:p w:rsidR="003A3F57" w:rsidRPr="0098427B" w:rsidRDefault="003A3F57" w:rsidP="00203E7B">
      <w:pPr>
        <w:pStyle w:val="FootnoteText"/>
        <w:widowControl w:val="0"/>
        <w:tabs>
          <w:tab w:val="clear" w:pos="1021"/>
          <w:tab w:val="right" w:pos="993"/>
        </w:tabs>
        <w:rPr>
          <w:lang w:val="es-CO"/>
        </w:rPr>
      </w:pPr>
      <w:r w:rsidRPr="0098427B">
        <w:rPr>
          <w:lang w:val="es-CO"/>
        </w:rPr>
        <w:tab/>
      </w:r>
      <w:r w:rsidRPr="0098427B">
        <w:rPr>
          <w:rStyle w:val="FootnoteReference"/>
          <w:lang w:val="es-CO"/>
        </w:rPr>
        <w:footnoteRef/>
      </w:r>
      <w:r w:rsidRPr="0098427B">
        <w:rPr>
          <w:lang w:val="es-CO"/>
        </w:rPr>
        <w:tab/>
        <w:t xml:space="preserve">Estadísticas de los tribunales municipales </w:t>
      </w:r>
      <w:r>
        <w:rPr>
          <w:lang w:val="es-CO"/>
        </w:rPr>
        <w:t xml:space="preserve">y </w:t>
      </w:r>
      <w:r w:rsidRPr="0098427B">
        <w:rPr>
          <w:lang w:val="es-CO"/>
        </w:rPr>
        <w:t>minis</w:t>
      </w:r>
      <w:r>
        <w:rPr>
          <w:lang w:val="es-CO"/>
        </w:rPr>
        <w:t xml:space="preserve">terios cantonales del interior </w:t>
      </w:r>
      <w:r w:rsidRPr="0098427B">
        <w:rPr>
          <w:lang w:val="es-CO"/>
        </w:rPr>
        <w:t>en la Federación de Bosnia y Herzegovina.</w:t>
      </w:r>
    </w:p>
  </w:footnote>
  <w:footnote w:id="10">
    <w:p w:rsidR="003A3F57" w:rsidRPr="0098427B" w:rsidRDefault="003A3F57" w:rsidP="00203E7B">
      <w:pPr>
        <w:pStyle w:val="FootnoteText"/>
        <w:widowControl w:val="0"/>
        <w:tabs>
          <w:tab w:val="clear" w:pos="1021"/>
          <w:tab w:val="right" w:pos="993"/>
        </w:tabs>
        <w:rPr>
          <w:lang w:val="es-CO"/>
        </w:rPr>
      </w:pPr>
      <w:r w:rsidRPr="0098427B">
        <w:rPr>
          <w:lang w:val="es-CO"/>
        </w:rPr>
        <w:tab/>
      </w:r>
      <w:r w:rsidRPr="0098427B">
        <w:rPr>
          <w:rStyle w:val="FootnoteReference"/>
          <w:lang w:val="es-CO"/>
        </w:rPr>
        <w:footnoteRef/>
      </w:r>
      <w:r w:rsidRPr="0098427B">
        <w:rPr>
          <w:lang w:val="es-CO"/>
        </w:rPr>
        <w:tab/>
        <w:t>Véase el cuadro B del anexo II.</w:t>
      </w:r>
    </w:p>
  </w:footnote>
  <w:footnote w:id="11">
    <w:p w:rsidR="003A3F57" w:rsidRPr="0098427B" w:rsidRDefault="003A3F57" w:rsidP="004B41CD">
      <w:pPr>
        <w:pStyle w:val="FootnoteText"/>
        <w:widowControl w:val="0"/>
        <w:tabs>
          <w:tab w:val="clear" w:pos="1021"/>
          <w:tab w:val="right" w:pos="993"/>
        </w:tabs>
        <w:rPr>
          <w:lang w:val="es-CO"/>
        </w:rPr>
      </w:pPr>
      <w:r w:rsidRPr="0098427B">
        <w:rPr>
          <w:lang w:val="es-CO"/>
        </w:rPr>
        <w:tab/>
      </w:r>
      <w:r w:rsidRPr="0098427B">
        <w:rPr>
          <w:rStyle w:val="FootnoteReference"/>
          <w:lang w:val="es-CO"/>
        </w:rPr>
        <w:footnoteRef/>
      </w:r>
      <w:r w:rsidRPr="0098427B">
        <w:rPr>
          <w:lang w:val="es-CO"/>
        </w:rPr>
        <w:tab/>
        <w:t>Situación a finales de marzo de 2010.</w:t>
      </w:r>
    </w:p>
  </w:footnote>
  <w:footnote w:id="12">
    <w:p w:rsidR="003A3F57" w:rsidRPr="0098427B" w:rsidRDefault="003A3F57" w:rsidP="00C9376C">
      <w:pPr>
        <w:pStyle w:val="FootnoteText"/>
        <w:widowControl w:val="0"/>
        <w:tabs>
          <w:tab w:val="clear" w:pos="1021"/>
          <w:tab w:val="right" w:pos="993"/>
        </w:tabs>
        <w:spacing w:after="60"/>
        <w:rPr>
          <w:lang w:val="es-CO"/>
        </w:rPr>
      </w:pPr>
      <w:r w:rsidRPr="0098427B">
        <w:rPr>
          <w:lang w:val="es-CO"/>
        </w:rPr>
        <w:tab/>
      </w:r>
      <w:r w:rsidRPr="0098427B">
        <w:rPr>
          <w:rStyle w:val="FootnoteReference"/>
          <w:lang w:val="es-CO"/>
        </w:rPr>
        <w:footnoteRef/>
      </w:r>
      <w:r w:rsidRPr="0098427B">
        <w:rPr>
          <w:lang w:val="es-CO"/>
        </w:rPr>
        <w:tab/>
        <w:t>Publicaciones f</w:t>
      </w:r>
      <w:r>
        <w:rPr>
          <w:lang w:val="es-CO"/>
        </w:rPr>
        <w:t xml:space="preserve">inanciadas por </w:t>
      </w:r>
      <w:smartTag w:uri="urn:schemas-microsoft-com:office:smarttags" w:element="PersonName">
        <w:smartTagPr>
          <w:attr w:name="ProductID" w:val="la Uni￳n Europea"/>
        </w:smartTagPr>
        <w:r>
          <w:rPr>
            <w:lang w:val="es-CO"/>
          </w:rPr>
          <w:t>la Unión Europea</w:t>
        </w:r>
      </w:smartTag>
      <w:r>
        <w:rPr>
          <w:lang w:val="es-CO"/>
        </w:rPr>
        <w:t>: "</w:t>
      </w:r>
      <w:r w:rsidRPr="0098427B">
        <w:rPr>
          <w:lang w:val="es-CO"/>
        </w:rPr>
        <w:t>Do Not Help Me, Teach Me Self-Help – Nemoj mi pomagati, nauči me da sebi pomognem</w:t>
      </w:r>
      <w:r>
        <w:rPr>
          <w:lang w:val="es-CO"/>
        </w:rPr>
        <w:t>"</w:t>
      </w:r>
      <w:r w:rsidRPr="0098427B">
        <w:rPr>
          <w:lang w:val="es-CO"/>
        </w:rPr>
        <w:t xml:space="preserve"> (Manual para adultos), </w:t>
      </w:r>
      <w:r>
        <w:rPr>
          <w:lang w:val="es-CO"/>
        </w:rPr>
        <w:t>"</w:t>
      </w:r>
      <w:r w:rsidRPr="0098427B">
        <w:rPr>
          <w:lang w:val="es-CO"/>
        </w:rPr>
        <w:t xml:space="preserve">Come Together </w:t>
      </w:r>
      <w:r w:rsidRPr="007E24FF">
        <w:rPr>
          <w:szCs w:val="24"/>
          <w:lang w:val="es-AR"/>
        </w:rPr>
        <w:t>–</w:t>
      </w:r>
      <w:r w:rsidRPr="0098427B">
        <w:rPr>
          <w:lang w:val="es-CO"/>
        </w:rPr>
        <w:t xml:space="preserve"> Hajdemo zajedno</w:t>
      </w:r>
      <w:r>
        <w:rPr>
          <w:lang w:val="es-CO"/>
        </w:rPr>
        <w:t>"</w:t>
      </w:r>
      <w:r w:rsidRPr="0098427B">
        <w:rPr>
          <w:lang w:val="es-CO"/>
        </w:rPr>
        <w:t xml:space="preserve"> (libro ilustrado) y </w:t>
      </w:r>
      <w:r>
        <w:rPr>
          <w:lang w:val="es-CO"/>
        </w:rPr>
        <w:t>"</w:t>
      </w:r>
      <w:r w:rsidRPr="0098427B">
        <w:rPr>
          <w:lang w:val="es-CO"/>
        </w:rPr>
        <w:t xml:space="preserve">Violence Is Not OK </w:t>
      </w:r>
      <w:r w:rsidRPr="007E24FF">
        <w:rPr>
          <w:szCs w:val="24"/>
          <w:lang w:val="es-AR"/>
        </w:rPr>
        <w:t>–</w:t>
      </w:r>
      <w:r w:rsidRPr="0098427B">
        <w:rPr>
          <w:lang w:val="es-CO"/>
        </w:rPr>
        <w:t xml:space="preserve"> Nasilje nije OK</w:t>
      </w:r>
      <w:r>
        <w:rPr>
          <w:lang w:val="es-CO"/>
        </w:rPr>
        <w:t>"</w:t>
      </w:r>
      <w:r w:rsidRPr="0098427B">
        <w:rPr>
          <w:lang w:val="es-CO"/>
        </w:rPr>
        <w:t xml:space="preserve"> (libro ilustrado)</w:t>
      </w:r>
      <w:r>
        <w:rPr>
          <w:lang w:val="es-CO"/>
        </w:rPr>
        <w:t>,</w:t>
      </w:r>
      <w:r w:rsidRPr="0098427B">
        <w:rPr>
          <w:lang w:val="es-CO"/>
        </w:rPr>
        <w:t xml:space="preserve"> que pueden ayudar a los profesionales que trabajan con niños y a los padres a eliminar las causas del comportamiento violento en los niños y jóvenes. La</w:t>
      </w:r>
      <w:r>
        <w:rPr>
          <w:lang w:val="es-CO"/>
        </w:rPr>
        <w:t>s</w:t>
      </w:r>
      <w:r w:rsidRPr="0098427B">
        <w:rPr>
          <w:lang w:val="es-CO"/>
        </w:rPr>
        <w:t xml:space="preserve"> publicaciones se han preparado en la organización de </w:t>
      </w:r>
      <w:smartTag w:uri="urn:schemas-microsoft-com:office:smarttags" w:element="PersonName">
        <w:smartTagPr>
          <w:attr w:name="ProductID" w:val="la Fundaci￳n Local"/>
        </w:smartTagPr>
        <w:r w:rsidRPr="0098427B">
          <w:rPr>
            <w:lang w:val="es-CO"/>
          </w:rPr>
          <w:t xml:space="preserve">la </w:t>
        </w:r>
        <w:r>
          <w:rPr>
            <w:lang w:val="es-CO"/>
          </w:rPr>
          <w:t>Fundación Local</w:t>
        </w:r>
      </w:smartTag>
      <w:r>
        <w:rPr>
          <w:lang w:val="es-CO"/>
        </w:rPr>
        <w:t xml:space="preserve"> para la Democracia</w:t>
      </w:r>
      <w:r w:rsidRPr="0098427B">
        <w:rPr>
          <w:lang w:val="es-CO"/>
        </w:rPr>
        <w:t xml:space="preserve"> de Sarajevo.</w:t>
      </w:r>
    </w:p>
    <w:p w:rsidR="003A3F57" w:rsidRPr="00683F9E" w:rsidRDefault="003A3F57" w:rsidP="00C9376C">
      <w:pPr>
        <w:pStyle w:val="FootnoteText"/>
        <w:widowControl w:val="0"/>
        <w:tabs>
          <w:tab w:val="clear" w:pos="1021"/>
          <w:tab w:val="right" w:pos="1020"/>
        </w:tabs>
        <w:spacing w:after="60"/>
        <w:ind w:firstLine="0"/>
      </w:pPr>
      <w:r w:rsidRPr="00683F9E">
        <w:rPr>
          <w:i/>
        </w:rPr>
        <w:t xml:space="preserve">Cross-border Cooperation in the Prevention of Violence against Women and Children </w:t>
      </w:r>
      <w:r w:rsidRPr="001B718C">
        <w:rPr>
          <w:i/>
          <w:szCs w:val="24"/>
          <w:lang w:val="es-AR"/>
        </w:rPr>
        <w:t>–</w:t>
      </w:r>
      <w:r w:rsidRPr="00683F9E">
        <w:rPr>
          <w:i/>
        </w:rPr>
        <w:t xml:space="preserve"> Prekogranična saradnja u sprečavanju nasilja nad ženama i djecom</w:t>
      </w:r>
      <w:r w:rsidRPr="00683F9E">
        <w:t>, Medica – Zenica.</w:t>
      </w:r>
    </w:p>
    <w:p w:rsidR="003A3F57" w:rsidRPr="00683F9E" w:rsidRDefault="003A3F57" w:rsidP="00C9376C">
      <w:pPr>
        <w:pStyle w:val="FootnoteText"/>
        <w:widowControl w:val="0"/>
        <w:tabs>
          <w:tab w:val="clear" w:pos="1021"/>
          <w:tab w:val="right" w:pos="1020"/>
        </w:tabs>
        <w:spacing w:after="60"/>
        <w:ind w:firstLine="0"/>
      </w:pPr>
      <w:r w:rsidRPr="00683F9E">
        <w:rPr>
          <w:i/>
        </w:rPr>
        <w:t xml:space="preserve">Peer Violence in Elementary Schools </w:t>
      </w:r>
      <w:r w:rsidRPr="001B718C">
        <w:rPr>
          <w:i/>
          <w:szCs w:val="24"/>
          <w:lang w:val="es-AR"/>
        </w:rPr>
        <w:t>–</w:t>
      </w:r>
      <w:r w:rsidRPr="00683F9E">
        <w:rPr>
          <w:i/>
        </w:rPr>
        <w:t xml:space="preserve"> Vršnjačko nasilje u osnovnim školama –The results of the various forms of violence among children in primary schools in the territory of Tuzla canton, NGO </w:t>
      </w:r>
      <w:r>
        <w:rPr>
          <w:i/>
        </w:rPr>
        <w:t>"</w:t>
      </w:r>
      <w:r w:rsidRPr="00683F9E">
        <w:rPr>
          <w:i/>
        </w:rPr>
        <w:t>Vesta</w:t>
      </w:r>
      <w:r>
        <w:rPr>
          <w:i/>
        </w:rPr>
        <w:t>"</w:t>
      </w:r>
      <w:r w:rsidRPr="001B718C">
        <w:t xml:space="preserve">, </w:t>
      </w:r>
      <w:r w:rsidRPr="00683F9E">
        <w:t>Tuzla, 2006.</w:t>
      </w:r>
    </w:p>
    <w:p w:rsidR="003A3F57" w:rsidRPr="00683F9E" w:rsidRDefault="003A3F57" w:rsidP="00C9376C">
      <w:pPr>
        <w:pStyle w:val="FootnoteText"/>
        <w:widowControl w:val="0"/>
        <w:tabs>
          <w:tab w:val="clear" w:pos="1021"/>
          <w:tab w:val="right" w:pos="1020"/>
        </w:tabs>
        <w:ind w:firstLine="0"/>
      </w:pPr>
      <w:r w:rsidRPr="00683F9E">
        <w:rPr>
          <w:i/>
        </w:rPr>
        <w:t xml:space="preserve">The Presence of Gender-based Violence in Adolescent Relationships </w:t>
      </w:r>
      <w:r w:rsidRPr="001B718C">
        <w:rPr>
          <w:i/>
          <w:szCs w:val="24"/>
          <w:lang w:val="es-AR"/>
        </w:rPr>
        <w:t>–</w:t>
      </w:r>
      <w:r w:rsidRPr="00683F9E">
        <w:rPr>
          <w:i/>
        </w:rPr>
        <w:t xml:space="preserve"> Pojavnost rodno zasnovanog nasilja u adolescentskim vezama</w:t>
      </w:r>
      <w:r>
        <w:rPr>
          <w:i/>
        </w:rPr>
        <w:t>"</w:t>
      </w:r>
      <w:r w:rsidRPr="00683F9E">
        <w:rPr>
          <w:i/>
        </w:rPr>
        <w:t xml:space="preserve">, An analysis of the results of research conducted in secondary schools in Tuzla Canton, Program and measures of prevention, Non-governmental Organization </w:t>
      </w:r>
      <w:r>
        <w:rPr>
          <w:i/>
        </w:rPr>
        <w:t>"</w:t>
      </w:r>
      <w:r w:rsidRPr="00683F9E">
        <w:rPr>
          <w:i/>
        </w:rPr>
        <w:t>Vesta</w:t>
      </w:r>
      <w:r>
        <w:rPr>
          <w:i/>
        </w:rPr>
        <w:t>"</w:t>
      </w:r>
      <w:r w:rsidRPr="00683F9E">
        <w:t>, Tuzla, 2009.</w:t>
      </w:r>
    </w:p>
  </w:footnote>
  <w:footnote w:id="13">
    <w:p w:rsidR="003A3F57" w:rsidRPr="0098427B" w:rsidRDefault="003A3F57" w:rsidP="00C9376C">
      <w:pPr>
        <w:pStyle w:val="FootnoteText"/>
        <w:widowControl w:val="0"/>
        <w:tabs>
          <w:tab w:val="clear" w:pos="1021"/>
          <w:tab w:val="right" w:pos="993"/>
        </w:tabs>
        <w:spacing w:after="60"/>
        <w:rPr>
          <w:lang w:val="es-CO"/>
        </w:rPr>
      </w:pPr>
      <w:r w:rsidRPr="00683F9E">
        <w:tab/>
      </w:r>
      <w:r w:rsidRPr="0098427B">
        <w:rPr>
          <w:rStyle w:val="FootnoteReference"/>
          <w:lang w:val="es-CO"/>
        </w:rPr>
        <w:footnoteRef/>
      </w:r>
      <w:r w:rsidRPr="0098427B">
        <w:rPr>
          <w:lang w:val="es-CO"/>
        </w:rPr>
        <w:tab/>
        <w:t xml:space="preserve">Investigación sobre el nivel de información de las personas discapacitadas acerca de los servicios disponibles para combatir y prevenir la violencia doméstica pero también sobre la manera de reaccionar debidamente y </w:t>
      </w:r>
      <w:r>
        <w:rPr>
          <w:lang w:val="es-CO"/>
        </w:rPr>
        <w:t xml:space="preserve">sobre </w:t>
      </w:r>
      <w:r w:rsidRPr="0098427B">
        <w:rPr>
          <w:lang w:val="es-CO"/>
        </w:rPr>
        <w:t xml:space="preserve">las fuentes de ayuda cuando surge un problema de violencia doméstica y </w:t>
      </w:r>
      <w:r>
        <w:rPr>
          <w:lang w:val="es-CO"/>
        </w:rPr>
        <w:t xml:space="preserve">sobre la manera de hacerlo público </w:t>
      </w:r>
      <w:r w:rsidRPr="001B718C">
        <w:rPr>
          <w:i/>
          <w:lang w:val="es-CO"/>
        </w:rPr>
        <w:t>(</w:t>
      </w:r>
      <w:r w:rsidRPr="00091B0C">
        <w:rPr>
          <w:i/>
          <w:lang w:val="es-CO"/>
        </w:rPr>
        <w:t>Research in how well disabled people are informed about services available for fighting, protection and prevention of domestic violence but also about how to properly react and where to get help when it comes to the problem of domestic violence and its public presentation</w:t>
      </w:r>
      <w:r>
        <w:rPr>
          <w:i/>
          <w:lang w:val="es-CO"/>
        </w:rPr>
        <w:t>)</w:t>
      </w:r>
      <w:r w:rsidRPr="0098427B">
        <w:rPr>
          <w:lang w:val="es-CO"/>
        </w:rPr>
        <w:t xml:space="preserve">, </w:t>
      </w:r>
      <w:r>
        <w:rPr>
          <w:lang w:val="es-CO"/>
        </w:rPr>
        <w:t>Fundación Local para la Democracia</w:t>
      </w:r>
      <w:r w:rsidRPr="0098427B">
        <w:rPr>
          <w:lang w:val="es-CO"/>
        </w:rPr>
        <w:t>, Sarajevo;</w:t>
      </w:r>
    </w:p>
    <w:p w:rsidR="003A3F57" w:rsidRPr="0098427B" w:rsidRDefault="003A3F57" w:rsidP="00C9376C">
      <w:pPr>
        <w:pStyle w:val="FootnoteText"/>
        <w:widowControl w:val="0"/>
        <w:tabs>
          <w:tab w:val="clear" w:pos="1021"/>
          <w:tab w:val="right" w:pos="1020"/>
        </w:tabs>
        <w:spacing w:after="60"/>
        <w:ind w:firstLine="0"/>
        <w:rPr>
          <w:lang w:val="es-CO"/>
        </w:rPr>
      </w:pPr>
      <w:r w:rsidRPr="0098427B">
        <w:rPr>
          <w:lang w:val="es-CO"/>
        </w:rPr>
        <w:t xml:space="preserve">Evaluación de los logros de las medidas de lucha, protección y prevención de la violencia doméstica en el </w:t>
      </w:r>
      <w:r>
        <w:rPr>
          <w:lang w:val="es-CO"/>
        </w:rPr>
        <w:t xml:space="preserve">cantón </w:t>
      </w:r>
      <w:r w:rsidRPr="0098427B">
        <w:rPr>
          <w:lang w:val="es-CO"/>
        </w:rPr>
        <w:t xml:space="preserve">de Sarajevo </w:t>
      </w:r>
      <w:r>
        <w:rPr>
          <w:lang w:val="es-CO"/>
        </w:rPr>
        <w:t>(</w:t>
      </w:r>
      <w:r w:rsidRPr="00091B0C">
        <w:rPr>
          <w:i/>
          <w:lang w:val="es-CO"/>
        </w:rPr>
        <w:t>Assessment of achievements in the fight, protection and prevention of domestic violence in the Canton of Sarajevo</w:t>
      </w:r>
      <w:r>
        <w:rPr>
          <w:lang w:val="es-CO"/>
        </w:rPr>
        <w:t>)</w:t>
      </w:r>
      <w:r w:rsidRPr="0098427B">
        <w:rPr>
          <w:lang w:val="es-CO"/>
        </w:rPr>
        <w:t xml:space="preserve">, </w:t>
      </w:r>
      <w:r>
        <w:rPr>
          <w:lang w:val="es-CO"/>
        </w:rPr>
        <w:t>Fundación Local para la Democracia</w:t>
      </w:r>
      <w:r w:rsidRPr="0098427B">
        <w:rPr>
          <w:lang w:val="es-CO"/>
        </w:rPr>
        <w:t>, Sarajevo, octubre de 2008;</w:t>
      </w:r>
    </w:p>
    <w:p w:rsidR="003A3F57" w:rsidRPr="0098427B" w:rsidRDefault="003A3F57" w:rsidP="00C9376C">
      <w:pPr>
        <w:pStyle w:val="FootnoteText"/>
        <w:widowControl w:val="0"/>
        <w:tabs>
          <w:tab w:val="clear" w:pos="1021"/>
          <w:tab w:val="right" w:pos="1020"/>
        </w:tabs>
        <w:spacing w:after="60"/>
        <w:ind w:firstLine="0"/>
        <w:rPr>
          <w:lang w:val="es-CO"/>
        </w:rPr>
      </w:pPr>
      <w:r w:rsidRPr="0098427B">
        <w:rPr>
          <w:lang w:val="es-CO"/>
        </w:rPr>
        <w:t xml:space="preserve">Formas sostenibles de combatir la violencia de género en las zonas rurales de Bosnia y Herzegovina </w:t>
      </w:r>
      <w:r w:rsidRPr="00780F9A">
        <w:rPr>
          <w:i/>
          <w:lang w:val="es-CO"/>
        </w:rPr>
        <w:t>(Sustainable ways of combating gender-based violence in rural areas in Bosnia and Herzegovina)</w:t>
      </w:r>
      <w:r w:rsidRPr="0098427B">
        <w:rPr>
          <w:lang w:val="es-CO"/>
        </w:rPr>
        <w:t xml:space="preserve">, Medica </w:t>
      </w:r>
      <w:r w:rsidRPr="001B718C">
        <w:rPr>
          <w:szCs w:val="24"/>
          <w:lang w:val="es-AR"/>
        </w:rPr>
        <w:t>–</w:t>
      </w:r>
      <w:r w:rsidRPr="0098427B">
        <w:rPr>
          <w:lang w:val="es-CO"/>
        </w:rPr>
        <w:t xml:space="preserve"> Zenica, noviembre de 2009;</w:t>
      </w:r>
    </w:p>
    <w:p w:rsidR="003A3F57" w:rsidRPr="00683F9E" w:rsidRDefault="003A3F57" w:rsidP="00C9376C">
      <w:pPr>
        <w:pStyle w:val="FootnoteText"/>
        <w:widowControl w:val="0"/>
        <w:tabs>
          <w:tab w:val="clear" w:pos="1021"/>
          <w:tab w:val="right" w:pos="1020"/>
        </w:tabs>
        <w:ind w:firstLine="0"/>
      </w:pPr>
      <w:r w:rsidRPr="00683F9E">
        <w:t xml:space="preserve">Otra visión de la punta </w:t>
      </w:r>
      <w:smartTag w:uri="urn:schemas-microsoft-com:office:smarttags" w:element="place">
        <w:smartTag w:uri="urn:schemas-microsoft-com:office:smarttags" w:element="State">
          <w:r w:rsidRPr="00683F9E">
            <w:t>del</w:t>
          </w:r>
        </w:smartTag>
      </w:smartTag>
      <w:r w:rsidRPr="00683F9E">
        <w:t xml:space="preserve"> iceberg (</w:t>
      </w:r>
      <w:r w:rsidRPr="00683F9E">
        <w:rPr>
          <w:i/>
        </w:rPr>
        <w:t xml:space="preserve">Another Look at the Tip of the Iceberg </w:t>
      </w:r>
      <w:r w:rsidR="005E3A95" w:rsidRPr="005E3A95">
        <w:rPr>
          <w:i/>
          <w:szCs w:val="24"/>
          <w:lang w:val="es-AR"/>
        </w:rPr>
        <w:t>–</w:t>
      </w:r>
      <w:r w:rsidRPr="00683F9E">
        <w:rPr>
          <w:i/>
        </w:rPr>
        <w:t xml:space="preserve"> Drugi pogled na vrh ledenog brijega, </w:t>
      </w:r>
      <w:r w:rsidRPr="00DA1AAF">
        <w:rPr>
          <w:i/>
        </w:rPr>
        <w:t>research on sexually-based violence</w:t>
      </w:r>
      <w:r w:rsidRPr="00683F9E">
        <w:t xml:space="preserve">, </w:t>
      </w:r>
      <w:r>
        <w:t>"</w:t>
      </w:r>
      <w:r w:rsidRPr="00683F9E">
        <w:t>Medica</w:t>
      </w:r>
      <w:r>
        <w:t>"</w:t>
      </w:r>
      <w:r w:rsidRPr="00683F9E">
        <w:t xml:space="preserve"> – Zenica.</w:t>
      </w:r>
    </w:p>
  </w:footnote>
  <w:footnote w:id="14">
    <w:p w:rsidR="003A3F57" w:rsidRPr="0098427B" w:rsidRDefault="003A3F57" w:rsidP="00C9376C">
      <w:pPr>
        <w:pStyle w:val="FootnoteText"/>
        <w:widowControl w:val="0"/>
        <w:tabs>
          <w:tab w:val="clear" w:pos="1021"/>
          <w:tab w:val="right" w:pos="993"/>
        </w:tabs>
        <w:spacing w:after="60"/>
        <w:rPr>
          <w:lang w:val="es-CO"/>
        </w:rPr>
      </w:pPr>
      <w:r w:rsidRPr="00683F9E">
        <w:tab/>
      </w:r>
      <w:r w:rsidRPr="0098427B">
        <w:rPr>
          <w:rStyle w:val="FootnoteReference"/>
          <w:lang w:val="es-CO"/>
        </w:rPr>
        <w:footnoteRef/>
      </w:r>
      <w:r w:rsidRPr="0098427B">
        <w:rPr>
          <w:lang w:val="es-CO"/>
        </w:rPr>
        <w:tab/>
        <w:t xml:space="preserve">Proyectos: Fortalecimiento de las capacidades profesionales </w:t>
      </w:r>
      <w:r>
        <w:rPr>
          <w:lang w:val="es-CO"/>
        </w:rPr>
        <w:t xml:space="preserve">con el fin de aplicar </w:t>
      </w:r>
      <w:r w:rsidRPr="0098427B">
        <w:rPr>
          <w:lang w:val="es-CO"/>
        </w:rPr>
        <w:t xml:space="preserve">una Estrategia nacional para proteger a los niños contra la violencia, los malos tratos y el </w:t>
      </w:r>
      <w:r>
        <w:rPr>
          <w:lang w:val="es-CO"/>
        </w:rPr>
        <w:t>descuido</w:t>
      </w:r>
      <w:r w:rsidRPr="0098427B">
        <w:rPr>
          <w:lang w:val="es-CO"/>
        </w:rPr>
        <w:t xml:space="preserve"> </w:t>
      </w:r>
      <w:r w:rsidRPr="001B718C">
        <w:rPr>
          <w:i/>
          <w:lang w:val="es-CO"/>
        </w:rPr>
        <w:t>(</w:t>
      </w:r>
      <w:r w:rsidRPr="00091B0C">
        <w:rPr>
          <w:i/>
          <w:lang w:val="es-CO"/>
        </w:rPr>
        <w:t xml:space="preserve">Strengthening Professional Capacities for the Implementation of a National Strategy to Protect Children from Violence, Abuse and Neglect </w:t>
      </w:r>
      <w:r w:rsidR="005E3A95" w:rsidRPr="005E3A95">
        <w:rPr>
          <w:i/>
          <w:szCs w:val="24"/>
          <w:lang w:val="es-AR"/>
        </w:rPr>
        <w:t>–</w:t>
      </w:r>
      <w:r w:rsidRPr="00091B0C">
        <w:rPr>
          <w:i/>
          <w:lang w:val="es-CO"/>
        </w:rPr>
        <w:t xml:space="preserve"> Jačanje kapaciteta profesionalaca za primjenu državne strategije za zaštitu djece od nasilja, zlostavljanja i zanemarivanja</w:t>
      </w:r>
      <w:r>
        <w:rPr>
          <w:i/>
          <w:lang w:val="es-CO"/>
        </w:rPr>
        <w:t>)</w:t>
      </w:r>
      <w:r w:rsidRPr="0098427B">
        <w:rPr>
          <w:lang w:val="es-CO"/>
        </w:rPr>
        <w:t xml:space="preserve">; Ayudar a las mujeres víctimas de la violencia doméstica y </w:t>
      </w:r>
      <w:r>
        <w:rPr>
          <w:lang w:val="es-CO"/>
        </w:rPr>
        <w:t xml:space="preserve">de </w:t>
      </w:r>
      <w:r w:rsidRPr="0098427B">
        <w:rPr>
          <w:lang w:val="es-CO"/>
        </w:rPr>
        <w:t xml:space="preserve">la trata de personas </w:t>
      </w:r>
      <w:r w:rsidRPr="001B718C">
        <w:rPr>
          <w:i/>
          <w:lang w:val="es-CO"/>
        </w:rPr>
        <w:t>(</w:t>
      </w:r>
      <w:r w:rsidRPr="00091B0C">
        <w:rPr>
          <w:i/>
          <w:lang w:val="es-CO"/>
        </w:rPr>
        <w:t xml:space="preserve">Help Women Victims of Domestic Violence and Trafficking </w:t>
      </w:r>
      <w:r w:rsidRPr="001B718C">
        <w:rPr>
          <w:i/>
          <w:szCs w:val="24"/>
          <w:lang w:val="es-AR"/>
        </w:rPr>
        <w:t>–</w:t>
      </w:r>
      <w:r w:rsidRPr="00091B0C">
        <w:rPr>
          <w:i/>
          <w:lang w:val="es-CO"/>
        </w:rPr>
        <w:t xml:space="preserve"> Pomoć ženama žrtvama nasilja u porodici i trgovine ljudima</w:t>
      </w:r>
      <w:r>
        <w:rPr>
          <w:i/>
          <w:lang w:val="es-CO"/>
        </w:rPr>
        <w:t>)</w:t>
      </w:r>
      <w:r w:rsidRPr="001B718C">
        <w:rPr>
          <w:lang w:val="es-CO"/>
        </w:rPr>
        <w:t xml:space="preserve">, </w:t>
      </w:r>
      <w:r>
        <w:rPr>
          <w:lang w:val="es-CO"/>
        </w:rPr>
        <w:t>Fundación Local para la Democracia</w:t>
      </w:r>
      <w:r w:rsidRPr="0098427B">
        <w:rPr>
          <w:lang w:val="es-CO"/>
        </w:rPr>
        <w:t>, Sarajevo</w:t>
      </w:r>
      <w:r>
        <w:rPr>
          <w:lang w:val="es-CO"/>
        </w:rPr>
        <w:t>;</w:t>
      </w:r>
      <w:r w:rsidRPr="0098427B">
        <w:rPr>
          <w:lang w:val="es-CO"/>
        </w:rPr>
        <w:t xml:space="preserve"> Proteger el derecho a un</w:t>
      </w:r>
      <w:r>
        <w:rPr>
          <w:lang w:val="es-CO"/>
        </w:rPr>
        <w:t>a</w:t>
      </w:r>
      <w:r w:rsidRPr="0098427B">
        <w:rPr>
          <w:lang w:val="es-CO"/>
        </w:rPr>
        <w:t xml:space="preserve"> vida sin violencia de las personas con discapacidad auditiva y visual </w:t>
      </w:r>
      <w:r w:rsidRPr="001B718C">
        <w:rPr>
          <w:i/>
          <w:lang w:val="es-CO"/>
        </w:rPr>
        <w:t>(</w:t>
      </w:r>
      <w:r w:rsidRPr="00091B0C">
        <w:rPr>
          <w:i/>
          <w:lang w:val="es-CO"/>
        </w:rPr>
        <w:t>Improving the Right to Live Free of Violence of People with Disabilities – the Deaf/Hearing</w:t>
      </w:r>
      <w:r w:rsidR="005E3A95">
        <w:rPr>
          <w:i/>
          <w:lang w:val="es-CO"/>
        </w:rPr>
        <w:noBreakHyphen/>
      </w:r>
      <w:r w:rsidRPr="00091B0C">
        <w:rPr>
          <w:i/>
          <w:lang w:val="es-CO"/>
        </w:rPr>
        <w:t>Impaired and Blind</w:t>
      </w:r>
      <w:r>
        <w:rPr>
          <w:i/>
          <w:lang w:val="es-CO"/>
        </w:rPr>
        <w:t>)</w:t>
      </w:r>
      <w:r w:rsidRPr="001B718C">
        <w:rPr>
          <w:lang w:val="es-CO"/>
        </w:rPr>
        <w:t xml:space="preserve">, </w:t>
      </w:r>
      <w:r>
        <w:rPr>
          <w:lang w:val="es-CO"/>
        </w:rPr>
        <w:t>Fundación Local para la Democracia</w:t>
      </w:r>
      <w:r w:rsidRPr="0098427B">
        <w:rPr>
          <w:lang w:val="es-CO"/>
        </w:rPr>
        <w:t>, Sarajevo;</w:t>
      </w:r>
    </w:p>
    <w:p w:rsidR="003A3F57" w:rsidRPr="0098427B" w:rsidRDefault="003A3F57" w:rsidP="00C9376C">
      <w:pPr>
        <w:pStyle w:val="FootnoteText"/>
        <w:widowControl w:val="0"/>
        <w:tabs>
          <w:tab w:val="clear" w:pos="1021"/>
          <w:tab w:val="right" w:pos="1020"/>
        </w:tabs>
        <w:spacing w:after="60"/>
        <w:ind w:firstLine="0"/>
        <w:rPr>
          <w:lang w:val="es-CO"/>
        </w:rPr>
      </w:pPr>
      <w:r w:rsidRPr="0098427B">
        <w:rPr>
          <w:lang w:val="es-CO"/>
        </w:rPr>
        <w:t>Proyectos de capacitación para los profesionales de la salud, trabajadores sociales y pol</w:t>
      </w:r>
      <w:r>
        <w:rPr>
          <w:lang w:val="es-CO"/>
        </w:rPr>
        <w:t>icía</w:t>
      </w:r>
      <w:r w:rsidRPr="0098427B">
        <w:rPr>
          <w:lang w:val="es-CO"/>
        </w:rPr>
        <w:t xml:space="preserve"> del territorio del cantón de Tuzla </w:t>
      </w:r>
      <w:r w:rsidRPr="00091B0C">
        <w:rPr>
          <w:i/>
          <w:lang w:val="es-CO"/>
        </w:rPr>
        <w:t>Training projects for health workers, soc</w:t>
      </w:r>
      <w:r>
        <w:rPr>
          <w:i/>
          <w:lang w:val="es-CO"/>
        </w:rPr>
        <w:t>ial workers and police from the </w:t>
      </w:r>
      <w:r w:rsidRPr="00091B0C">
        <w:rPr>
          <w:i/>
          <w:lang w:val="es-CO"/>
        </w:rPr>
        <w:t xml:space="preserve">territory of Tuzla Canton – </w:t>
      </w:r>
      <w:r w:rsidRPr="00683F9E">
        <w:rPr>
          <w:i/>
          <w:lang w:val="es-ES"/>
        </w:rPr>
        <w:t xml:space="preserve">Non-governmental organization </w:t>
      </w:r>
      <w:r w:rsidRPr="00091B0C">
        <w:rPr>
          <w:i/>
          <w:lang w:val="es-CO"/>
        </w:rPr>
        <w:t xml:space="preserve">Organización no gubernamental </w:t>
      </w:r>
      <w:r>
        <w:rPr>
          <w:i/>
          <w:lang w:val="es-CO"/>
        </w:rPr>
        <w:t>"</w:t>
      </w:r>
      <w:r w:rsidRPr="00091B0C">
        <w:rPr>
          <w:i/>
          <w:lang w:val="es-CO"/>
        </w:rPr>
        <w:t>Vive Women</w:t>
      </w:r>
      <w:r>
        <w:rPr>
          <w:i/>
          <w:lang w:val="es-CO"/>
        </w:rPr>
        <w:t>"</w:t>
      </w:r>
      <w:r w:rsidRPr="00091B0C">
        <w:rPr>
          <w:i/>
          <w:lang w:val="es-CO"/>
        </w:rPr>
        <w:t xml:space="preserve"> Tuzla</w:t>
      </w:r>
      <w:r w:rsidRPr="0098427B">
        <w:rPr>
          <w:lang w:val="es-CO"/>
        </w:rPr>
        <w:t>;</w:t>
      </w:r>
    </w:p>
    <w:p w:rsidR="003A3F57" w:rsidRPr="0098427B" w:rsidRDefault="003A3F57" w:rsidP="00C9376C">
      <w:pPr>
        <w:pStyle w:val="FootnoteText"/>
        <w:widowControl w:val="0"/>
        <w:tabs>
          <w:tab w:val="clear" w:pos="1021"/>
          <w:tab w:val="right" w:pos="1020"/>
        </w:tabs>
        <w:ind w:firstLine="0"/>
        <w:rPr>
          <w:lang w:val="es-CO"/>
        </w:rPr>
      </w:pPr>
      <w:r w:rsidRPr="0098427B">
        <w:rPr>
          <w:lang w:val="es-CO"/>
        </w:rPr>
        <w:t>Proyectos de educación juvenil, talle</w:t>
      </w:r>
      <w:r>
        <w:rPr>
          <w:lang w:val="es-CO"/>
        </w:rPr>
        <w:t>re</w:t>
      </w:r>
      <w:r w:rsidRPr="0098427B">
        <w:rPr>
          <w:lang w:val="es-CO"/>
        </w:rPr>
        <w:t xml:space="preserve">s para padres y personal de guarderías y </w:t>
      </w:r>
      <w:r>
        <w:rPr>
          <w:lang w:val="es-CO"/>
        </w:rPr>
        <w:t>s</w:t>
      </w:r>
      <w:r w:rsidRPr="0098427B">
        <w:rPr>
          <w:lang w:val="es-CO"/>
        </w:rPr>
        <w:t xml:space="preserve">eminario sobre la violencia para los empleados que trabajan con niños </w:t>
      </w:r>
      <w:r>
        <w:rPr>
          <w:lang w:val="es-CO"/>
        </w:rPr>
        <w:t xml:space="preserve">con </w:t>
      </w:r>
      <w:r w:rsidRPr="0098427B">
        <w:rPr>
          <w:lang w:val="es-CO"/>
        </w:rPr>
        <w:t xml:space="preserve">necesidades especiales </w:t>
      </w:r>
      <w:r w:rsidRPr="001B718C">
        <w:rPr>
          <w:i/>
          <w:lang w:val="es-CO"/>
        </w:rPr>
        <w:t>(</w:t>
      </w:r>
      <w:r w:rsidRPr="00DA1AAF">
        <w:rPr>
          <w:i/>
          <w:lang w:val="es-CO"/>
        </w:rPr>
        <w:t>Youth education projects, workshops for parents and nursery staff and seminar on violence for employees who work with children with special needs</w:t>
      </w:r>
      <w:r w:rsidRPr="001B718C">
        <w:rPr>
          <w:i/>
          <w:lang w:val="es-CO"/>
        </w:rPr>
        <w:t>)</w:t>
      </w:r>
      <w:r w:rsidRPr="0098427B">
        <w:rPr>
          <w:lang w:val="es-CO"/>
        </w:rPr>
        <w:t xml:space="preserve">, </w:t>
      </w:r>
      <w:r>
        <w:rPr>
          <w:lang w:val="es-CO"/>
        </w:rPr>
        <w:t>"</w:t>
      </w:r>
      <w:r w:rsidRPr="0098427B">
        <w:rPr>
          <w:lang w:val="es-CO"/>
        </w:rPr>
        <w:t>Miriam</w:t>
      </w:r>
      <w:r>
        <w:rPr>
          <w:lang w:val="es-CO"/>
        </w:rPr>
        <w:t>"</w:t>
      </w:r>
      <w:r w:rsidRPr="0098427B">
        <w:rPr>
          <w:lang w:val="es-CO"/>
        </w:rPr>
        <w:t>, Caritas, Mostar.</w:t>
      </w:r>
      <w:r w:rsidR="00252068">
        <w:rPr>
          <w:lang w:val="es-CO"/>
        </w:rPr>
        <w:tab/>
      </w:r>
    </w:p>
  </w:footnote>
  <w:footnote w:id="15">
    <w:p w:rsidR="00252068" w:rsidRPr="00252068" w:rsidRDefault="00252068" w:rsidP="00252068">
      <w:pPr>
        <w:pStyle w:val="FootnoteText"/>
        <w:widowControl w:val="0"/>
        <w:tabs>
          <w:tab w:val="clear" w:pos="1021"/>
          <w:tab w:val="right" w:pos="1020"/>
        </w:tabs>
        <w:rPr>
          <w:lang w:val="es-ES"/>
        </w:rPr>
      </w:pPr>
      <w:r>
        <w:rPr>
          <w:lang w:val="es-ES"/>
        </w:rPr>
        <w:tab/>
      </w:r>
      <w:r>
        <w:rPr>
          <w:rStyle w:val="FootnoteReference"/>
        </w:rPr>
        <w:footnoteRef/>
      </w:r>
      <w:r>
        <w:rPr>
          <w:lang w:val="es-ES"/>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F57" w:rsidRPr="0041618C" w:rsidRDefault="003A3F57" w:rsidP="0041618C">
    <w:pPr>
      <w:pStyle w:val="Header"/>
    </w:pPr>
    <w:r w:rsidRPr="0041618C">
      <w:t>E/C.12/BIH/2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F57" w:rsidRPr="0041618C" w:rsidRDefault="003A3F57" w:rsidP="0041618C">
    <w:pPr>
      <w:pStyle w:val="Header"/>
      <w:jc w:val="right"/>
    </w:pPr>
    <w:r w:rsidRPr="0041618C">
      <w:t>E/C.12/BIH/2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27A0526"/>
    <w:multiLevelType w:val="hybridMultilevel"/>
    <w:tmpl w:val="4C387592"/>
    <w:lvl w:ilvl="0" w:tplc="7F80E150">
      <w:start w:val="2"/>
      <w:numFmt w:val="bullet"/>
      <w:lvlText w:val="-"/>
      <w:lvlJc w:val="left"/>
      <w:pPr>
        <w:tabs>
          <w:tab w:val="num" w:pos="1440"/>
        </w:tabs>
        <w:ind w:left="144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9ACE4FC0"/>
    <w:lvl w:ilvl="0" w:tplc="FFF26AAA">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872"/>
        </w:tabs>
        <w:ind w:left="1872" w:hanging="170"/>
      </w:pPr>
      <w:rPr>
        <w:rFonts w:ascii="Times New Roman" w:hAnsi="Times New Roman" w:cs="Times New Roman" w:hint="default"/>
        <w:b w:val="0"/>
        <w:i w:val="0"/>
        <w:sz w:val="20"/>
      </w:rPr>
    </w:lvl>
    <w:lvl w:ilvl="1" w:tplc="04090003" w:tentative="1">
      <w:start w:val="1"/>
      <w:numFmt w:val="bullet"/>
      <w:lvlText w:val="o"/>
      <w:lvlJc w:val="left"/>
      <w:pPr>
        <w:tabs>
          <w:tab w:val="num" w:pos="1611"/>
        </w:tabs>
        <w:ind w:left="1611" w:hanging="360"/>
      </w:pPr>
      <w:rPr>
        <w:rFonts w:ascii="Courier New" w:hAnsi="Courier New" w:hint="default"/>
      </w:rPr>
    </w:lvl>
    <w:lvl w:ilvl="2" w:tplc="04090005" w:tentative="1">
      <w:start w:val="1"/>
      <w:numFmt w:val="bullet"/>
      <w:lvlText w:val=""/>
      <w:lvlJc w:val="left"/>
      <w:pPr>
        <w:tabs>
          <w:tab w:val="num" w:pos="2331"/>
        </w:tabs>
        <w:ind w:left="2331" w:hanging="360"/>
      </w:pPr>
      <w:rPr>
        <w:rFonts w:ascii="Wingdings" w:hAnsi="Wingdings" w:hint="default"/>
      </w:rPr>
    </w:lvl>
    <w:lvl w:ilvl="3" w:tplc="04090001" w:tentative="1">
      <w:start w:val="1"/>
      <w:numFmt w:val="bullet"/>
      <w:lvlText w:val=""/>
      <w:lvlJc w:val="left"/>
      <w:pPr>
        <w:tabs>
          <w:tab w:val="num" w:pos="3051"/>
        </w:tabs>
        <w:ind w:left="3051" w:hanging="360"/>
      </w:pPr>
      <w:rPr>
        <w:rFonts w:ascii="Symbol" w:hAnsi="Symbol" w:hint="default"/>
      </w:rPr>
    </w:lvl>
    <w:lvl w:ilvl="4" w:tplc="04090003" w:tentative="1">
      <w:start w:val="1"/>
      <w:numFmt w:val="bullet"/>
      <w:lvlText w:val="o"/>
      <w:lvlJc w:val="left"/>
      <w:pPr>
        <w:tabs>
          <w:tab w:val="num" w:pos="3771"/>
        </w:tabs>
        <w:ind w:left="3771" w:hanging="360"/>
      </w:pPr>
      <w:rPr>
        <w:rFonts w:ascii="Courier New" w:hAnsi="Courier New" w:hint="default"/>
      </w:rPr>
    </w:lvl>
    <w:lvl w:ilvl="5" w:tplc="04090005" w:tentative="1">
      <w:start w:val="1"/>
      <w:numFmt w:val="bullet"/>
      <w:lvlText w:val=""/>
      <w:lvlJc w:val="left"/>
      <w:pPr>
        <w:tabs>
          <w:tab w:val="num" w:pos="4491"/>
        </w:tabs>
        <w:ind w:left="4491" w:hanging="360"/>
      </w:pPr>
      <w:rPr>
        <w:rFonts w:ascii="Wingdings" w:hAnsi="Wingdings" w:hint="default"/>
      </w:rPr>
    </w:lvl>
    <w:lvl w:ilvl="6" w:tplc="04090001" w:tentative="1">
      <w:start w:val="1"/>
      <w:numFmt w:val="bullet"/>
      <w:lvlText w:val=""/>
      <w:lvlJc w:val="left"/>
      <w:pPr>
        <w:tabs>
          <w:tab w:val="num" w:pos="5211"/>
        </w:tabs>
        <w:ind w:left="5211" w:hanging="360"/>
      </w:pPr>
      <w:rPr>
        <w:rFonts w:ascii="Symbol" w:hAnsi="Symbol" w:hint="default"/>
      </w:rPr>
    </w:lvl>
    <w:lvl w:ilvl="7" w:tplc="04090003" w:tentative="1">
      <w:start w:val="1"/>
      <w:numFmt w:val="bullet"/>
      <w:lvlText w:val="o"/>
      <w:lvlJc w:val="left"/>
      <w:pPr>
        <w:tabs>
          <w:tab w:val="num" w:pos="5931"/>
        </w:tabs>
        <w:ind w:left="5931" w:hanging="360"/>
      </w:pPr>
      <w:rPr>
        <w:rFonts w:ascii="Courier New" w:hAnsi="Courier New" w:hint="default"/>
      </w:rPr>
    </w:lvl>
    <w:lvl w:ilvl="8" w:tplc="04090005" w:tentative="1">
      <w:start w:val="1"/>
      <w:numFmt w:val="bullet"/>
      <w:lvlText w:val=""/>
      <w:lvlJc w:val="left"/>
      <w:pPr>
        <w:tabs>
          <w:tab w:val="num" w:pos="6651"/>
        </w:tabs>
        <w:ind w:left="6651" w:hanging="360"/>
      </w:pPr>
      <w:rPr>
        <w:rFonts w:ascii="Wingdings" w:hAnsi="Wingdings" w:hint="default"/>
      </w:rPr>
    </w:lvl>
  </w:abstractNum>
  <w:abstractNum w:abstractNumId="16">
    <w:nsid w:val="3BBD0835"/>
    <w:multiLevelType w:val="hybridMultilevel"/>
    <w:tmpl w:val="7C322FC2"/>
    <w:lvl w:ilvl="0" w:tplc="18E2FD5C">
      <w:start w:val="17"/>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C2337D7"/>
    <w:multiLevelType w:val="hybridMultilevel"/>
    <w:tmpl w:val="CCE0371A"/>
    <w:lvl w:ilvl="0" w:tplc="BA8876D6">
      <w:start w:val="944"/>
      <w:numFmt w:val="bullet"/>
      <w:lvlText w:val="•"/>
      <w:lvlJc w:val="left"/>
      <w:pPr>
        <w:ind w:left="720" w:hanging="360"/>
      </w:pPr>
      <w:rPr>
        <w:rFonts w:ascii="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nsid w:val="42A32BBE"/>
    <w:multiLevelType w:val="hybridMultilevel"/>
    <w:tmpl w:val="8FFC20B2"/>
    <w:lvl w:ilvl="0" w:tplc="240A0001">
      <w:start w:val="1"/>
      <w:numFmt w:val="bullet"/>
      <w:lvlText w:val=""/>
      <w:lvlJc w:val="left"/>
      <w:pPr>
        <w:ind w:left="900" w:hanging="360"/>
      </w:pPr>
      <w:rPr>
        <w:rFonts w:ascii="Symbol" w:hAnsi="Symbol" w:hint="default"/>
      </w:rPr>
    </w:lvl>
    <w:lvl w:ilvl="1" w:tplc="240A0003" w:tentative="1">
      <w:start w:val="1"/>
      <w:numFmt w:val="bullet"/>
      <w:lvlText w:val="o"/>
      <w:lvlJc w:val="left"/>
      <w:pPr>
        <w:ind w:left="1620" w:hanging="360"/>
      </w:pPr>
      <w:rPr>
        <w:rFonts w:ascii="Courier New" w:hAnsi="Courier New" w:cs="Courier New" w:hint="default"/>
      </w:rPr>
    </w:lvl>
    <w:lvl w:ilvl="2" w:tplc="240A0005" w:tentative="1">
      <w:start w:val="1"/>
      <w:numFmt w:val="bullet"/>
      <w:lvlText w:val=""/>
      <w:lvlJc w:val="left"/>
      <w:pPr>
        <w:ind w:left="2340" w:hanging="360"/>
      </w:pPr>
      <w:rPr>
        <w:rFonts w:ascii="Wingdings" w:hAnsi="Wingdings" w:hint="default"/>
      </w:rPr>
    </w:lvl>
    <w:lvl w:ilvl="3" w:tplc="240A0001" w:tentative="1">
      <w:start w:val="1"/>
      <w:numFmt w:val="bullet"/>
      <w:lvlText w:val=""/>
      <w:lvlJc w:val="left"/>
      <w:pPr>
        <w:ind w:left="3060" w:hanging="360"/>
      </w:pPr>
      <w:rPr>
        <w:rFonts w:ascii="Symbol" w:hAnsi="Symbol" w:hint="default"/>
      </w:rPr>
    </w:lvl>
    <w:lvl w:ilvl="4" w:tplc="240A0003" w:tentative="1">
      <w:start w:val="1"/>
      <w:numFmt w:val="bullet"/>
      <w:lvlText w:val="o"/>
      <w:lvlJc w:val="left"/>
      <w:pPr>
        <w:ind w:left="3780" w:hanging="360"/>
      </w:pPr>
      <w:rPr>
        <w:rFonts w:ascii="Courier New" w:hAnsi="Courier New" w:cs="Courier New" w:hint="default"/>
      </w:rPr>
    </w:lvl>
    <w:lvl w:ilvl="5" w:tplc="240A0005" w:tentative="1">
      <w:start w:val="1"/>
      <w:numFmt w:val="bullet"/>
      <w:lvlText w:val=""/>
      <w:lvlJc w:val="left"/>
      <w:pPr>
        <w:ind w:left="4500" w:hanging="360"/>
      </w:pPr>
      <w:rPr>
        <w:rFonts w:ascii="Wingdings" w:hAnsi="Wingdings" w:hint="default"/>
      </w:rPr>
    </w:lvl>
    <w:lvl w:ilvl="6" w:tplc="240A0001" w:tentative="1">
      <w:start w:val="1"/>
      <w:numFmt w:val="bullet"/>
      <w:lvlText w:val=""/>
      <w:lvlJc w:val="left"/>
      <w:pPr>
        <w:ind w:left="5220" w:hanging="360"/>
      </w:pPr>
      <w:rPr>
        <w:rFonts w:ascii="Symbol" w:hAnsi="Symbol" w:hint="default"/>
      </w:rPr>
    </w:lvl>
    <w:lvl w:ilvl="7" w:tplc="240A0003" w:tentative="1">
      <w:start w:val="1"/>
      <w:numFmt w:val="bullet"/>
      <w:lvlText w:val="o"/>
      <w:lvlJc w:val="left"/>
      <w:pPr>
        <w:ind w:left="5940" w:hanging="360"/>
      </w:pPr>
      <w:rPr>
        <w:rFonts w:ascii="Courier New" w:hAnsi="Courier New" w:cs="Courier New" w:hint="default"/>
      </w:rPr>
    </w:lvl>
    <w:lvl w:ilvl="8" w:tplc="240A0005" w:tentative="1">
      <w:start w:val="1"/>
      <w:numFmt w:val="bullet"/>
      <w:lvlText w:val=""/>
      <w:lvlJc w:val="left"/>
      <w:pPr>
        <w:ind w:left="6660" w:hanging="360"/>
      </w:pPr>
      <w:rPr>
        <w:rFonts w:ascii="Wingdings" w:hAnsi="Wingdings" w:hint="default"/>
      </w:rPr>
    </w:lvl>
  </w:abstractNum>
  <w:abstractNum w:abstractNumId="19">
    <w:nsid w:val="455B7F6E"/>
    <w:multiLevelType w:val="hybridMultilevel"/>
    <w:tmpl w:val="C9E60880"/>
    <w:lvl w:ilvl="0" w:tplc="7F80E150">
      <w:start w:val="2"/>
      <w:numFmt w:val="bullet"/>
      <w:lvlText w:val="-"/>
      <w:lvlJc w:val="left"/>
      <w:pPr>
        <w:tabs>
          <w:tab w:val="num" w:pos="720"/>
        </w:tabs>
        <w:ind w:left="720" w:hanging="360"/>
      </w:pPr>
      <w:rPr>
        <w:rFonts w:ascii="Arial" w:eastAsia="Times New Roman"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FAD78F6"/>
    <w:multiLevelType w:val="hybridMultilevel"/>
    <w:tmpl w:val="875A0FBC"/>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21">
    <w:nsid w:val="53D970AD"/>
    <w:multiLevelType w:val="hybridMultilevel"/>
    <w:tmpl w:val="05AE4010"/>
    <w:lvl w:ilvl="0" w:tplc="377CEFD8">
      <w:start w:val="1"/>
      <w:numFmt w:val="decimal"/>
      <w:lvlText w:val="%1."/>
      <w:lvlJc w:val="left"/>
      <w:pPr>
        <w:ind w:left="2415" w:hanging="360"/>
      </w:pPr>
      <w:rPr>
        <w:b w:val="0"/>
        <w:i w:val="0"/>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2">
    <w:nsid w:val="56E252A3"/>
    <w:multiLevelType w:val="hybridMultilevel"/>
    <w:tmpl w:val="2070B970"/>
    <w:lvl w:ilvl="0" w:tplc="240A0001">
      <w:start w:val="1"/>
      <w:numFmt w:val="bullet"/>
      <w:lvlText w:val=""/>
      <w:lvlJc w:val="left"/>
      <w:pPr>
        <w:ind w:left="900" w:hanging="360"/>
      </w:pPr>
      <w:rPr>
        <w:rFonts w:ascii="Symbol" w:hAnsi="Symbol" w:hint="default"/>
      </w:rPr>
    </w:lvl>
    <w:lvl w:ilvl="1" w:tplc="240A0003" w:tentative="1">
      <w:start w:val="1"/>
      <w:numFmt w:val="bullet"/>
      <w:lvlText w:val="o"/>
      <w:lvlJc w:val="left"/>
      <w:pPr>
        <w:ind w:left="1620" w:hanging="360"/>
      </w:pPr>
      <w:rPr>
        <w:rFonts w:ascii="Courier New" w:hAnsi="Courier New" w:cs="Courier New" w:hint="default"/>
      </w:rPr>
    </w:lvl>
    <w:lvl w:ilvl="2" w:tplc="240A0005" w:tentative="1">
      <w:start w:val="1"/>
      <w:numFmt w:val="bullet"/>
      <w:lvlText w:val=""/>
      <w:lvlJc w:val="left"/>
      <w:pPr>
        <w:ind w:left="2340" w:hanging="360"/>
      </w:pPr>
      <w:rPr>
        <w:rFonts w:ascii="Wingdings" w:hAnsi="Wingdings" w:hint="default"/>
      </w:rPr>
    </w:lvl>
    <w:lvl w:ilvl="3" w:tplc="240A0001" w:tentative="1">
      <w:start w:val="1"/>
      <w:numFmt w:val="bullet"/>
      <w:lvlText w:val=""/>
      <w:lvlJc w:val="left"/>
      <w:pPr>
        <w:ind w:left="3060" w:hanging="360"/>
      </w:pPr>
      <w:rPr>
        <w:rFonts w:ascii="Symbol" w:hAnsi="Symbol" w:hint="default"/>
      </w:rPr>
    </w:lvl>
    <w:lvl w:ilvl="4" w:tplc="240A0003" w:tentative="1">
      <w:start w:val="1"/>
      <w:numFmt w:val="bullet"/>
      <w:lvlText w:val="o"/>
      <w:lvlJc w:val="left"/>
      <w:pPr>
        <w:ind w:left="3780" w:hanging="360"/>
      </w:pPr>
      <w:rPr>
        <w:rFonts w:ascii="Courier New" w:hAnsi="Courier New" w:cs="Courier New" w:hint="default"/>
      </w:rPr>
    </w:lvl>
    <w:lvl w:ilvl="5" w:tplc="240A0005" w:tentative="1">
      <w:start w:val="1"/>
      <w:numFmt w:val="bullet"/>
      <w:lvlText w:val=""/>
      <w:lvlJc w:val="left"/>
      <w:pPr>
        <w:ind w:left="4500" w:hanging="360"/>
      </w:pPr>
      <w:rPr>
        <w:rFonts w:ascii="Wingdings" w:hAnsi="Wingdings" w:hint="default"/>
      </w:rPr>
    </w:lvl>
    <w:lvl w:ilvl="6" w:tplc="240A0001" w:tentative="1">
      <w:start w:val="1"/>
      <w:numFmt w:val="bullet"/>
      <w:lvlText w:val=""/>
      <w:lvlJc w:val="left"/>
      <w:pPr>
        <w:ind w:left="5220" w:hanging="360"/>
      </w:pPr>
      <w:rPr>
        <w:rFonts w:ascii="Symbol" w:hAnsi="Symbol" w:hint="default"/>
      </w:rPr>
    </w:lvl>
    <w:lvl w:ilvl="7" w:tplc="240A0003" w:tentative="1">
      <w:start w:val="1"/>
      <w:numFmt w:val="bullet"/>
      <w:lvlText w:val="o"/>
      <w:lvlJc w:val="left"/>
      <w:pPr>
        <w:ind w:left="5940" w:hanging="360"/>
      </w:pPr>
      <w:rPr>
        <w:rFonts w:ascii="Courier New" w:hAnsi="Courier New" w:cs="Courier New" w:hint="default"/>
      </w:rPr>
    </w:lvl>
    <w:lvl w:ilvl="8" w:tplc="240A0005" w:tentative="1">
      <w:start w:val="1"/>
      <w:numFmt w:val="bullet"/>
      <w:lvlText w:val=""/>
      <w:lvlJc w:val="left"/>
      <w:pPr>
        <w:ind w:left="6660" w:hanging="360"/>
      </w:pPr>
      <w:rPr>
        <w:rFonts w:ascii="Wingdings" w:hAnsi="Wingdings" w:hint="default"/>
      </w:rPr>
    </w:lvl>
  </w:abstractNum>
  <w:abstractNum w:abstractNumId="23">
    <w:nsid w:val="5FF15ADB"/>
    <w:multiLevelType w:val="hybridMultilevel"/>
    <w:tmpl w:val="946A2902"/>
    <w:lvl w:ilvl="0" w:tplc="141A0017">
      <w:start w:val="1"/>
      <w:numFmt w:val="lowerLetter"/>
      <w:lvlText w:val="%1)"/>
      <w:lvlJc w:val="left"/>
      <w:pPr>
        <w:tabs>
          <w:tab w:val="num" w:pos="720"/>
        </w:tabs>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74E54251"/>
    <w:multiLevelType w:val="hybridMultilevel"/>
    <w:tmpl w:val="F08843A0"/>
    <w:lvl w:ilvl="0" w:tplc="0809000F">
      <w:start w:val="1"/>
      <w:numFmt w:val="decimal"/>
      <w:lvlText w:val="%1."/>
      <w:lvlJc w:val="left"/>
      <w:pPr>
        <w:ind w:left="2415" w:hanging="360"/>
      </w:p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6">
    <w:nsid w:val="7F733396"/>
    <w:multiLevelType w:val="hybridMultilevel"/>
    <w:tmpl w:val="DB6EB2C6"/>
    <w:lvl w:ilvl="0" w:tplc="C6C02828">
      <w:start w:val="1"/>
      <w:numFmt w:val="lowerLetter"/>
      <w:lvlText w:val="%1)"/>
      <w:lvlJc w:val="left"/>
      <w:pPr>
        <w:tabs>
          <w:tab w:val="num" w:pos="644"/>
        </w:tabs>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24"/>
  </w:num>
  <w:num w:numId="15">
    <w:abstractNumId w:val="13"/>
  </w:num>
  <w:num w:numId="16">
    <w:abstractNumId w:val="11"/>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1"/>
  </w:num>
  <w:num w:numId="25">
    <w:abstractNumId w:val="20"/>
  </w:num>
  <w:num w:numId="26">
    <w:abstractNumId w:val="18"/>
  </w:num>
  <w:num w:numId="27">
    <w:abstractNumId w:val="22"/>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SourceLng" w:val="eng"/>
    <w:docVar w:name="TargetLng" w:val="spa"/>
    <w:docVar w:name="TermBases" w:val="tutorial termbase"/>
    <w:docVar w:name="TermBaseURL" w:val="empty"/>
    <w:docVar w:name="TextBases" w:val="unog_pacto bosnia y noruega|Un_ONG Modelo solicitudes reconocimiento|un_recopilación notas hasta 2012-06-16|Unog_Pacto Bosnia y Noruega|Un_Summary|unog_tuvalu|un_double taxation prueba|un-double taxation - parcial|un-double taxation - solo 1 documento|un_double taxation con texto convertido de pdf|unog_hong kong|unog_hongkong-compl|un_de-listing|Un_De-listing|unog_children_slovenia|un_convention on the rights of the child|disarmament|executivesummaries|glosarios_parte_1|productclassif|un|un wess 2010 overview|un_48 league of arab states|un_summary records|un_argelia|nrb|un_cedaw indonesia|un_cedaw jamaica|uncb_59 summary records|un_cedaw_argelia|un_cedaw_denmark|un_cedaw_french refer2|un_cedaw_french_ tunez 1 a 3|un_cedaw_french_rusia|un_cedaw_french_tunez 1 a 3|un_cedaw_uganada|un_censo_2ndpart|un_censo_pdf_13confestadígrafos|un_censo_revision_1|un_censo_revision1_pdftoword|un_derechoscivilesy_uzbekistan|un_ecosoc_2008|un_estadísticas turismo|un_jj|unog_comite derechos niño_glosario-modelo-observaciones-reglamento|un_organization matters|un_repertorio|oit_web|un_repertorio|ilo_execsumm_04_versión provisional|un_unog 02|un_unog_01_ brasil|un_unog_01_refer_implement|un_unog_01_refer_reportmex|un_unog_01_report of the committee 2007|unog_jj 01 summary records|nrb_pdf|un_unog_02 french|un_unog_03 belgium droits de l'homme|un32_censo segunda revisión _ primer parte _ version casi final|oit_empresasostenible_pdf|un34_censo_revision 2 primera parte _ version casi final|un34_censos_revision 2_segunda parte|un37_summary record|un39_summary records|un44_cedaw|un45_status of women|unfccc_caring|unfccc_convention and kprotocol|unfccc_newsletter 01|unfccc_newsletter_03|unfccc_varios|unifem_reference 01|unjj_07_decisiones ecosoc2008|unjj_08 trade statistics|unjj_cedaw corea|unjj_cedaw_albania|unjj_cedaw_albania|unjj_ecosystem approach|unjj_expulsion of aliens|unjj_expulsion sin notas|unjj_short version of expulsion of aliens|unjj_summari record|unjj_wess_overviews 2007 y 2008|unog cb 01 summaryrecords|unog_02 jj summaries|nrb_estocolmo_pdf|oit domestic workers|unog_03|unog_cb 03 jip albania|unog_cb_04 dinamarca|unog_cedaw-pakistan|unog_china conv-discapacidad|unog_convchild greece|unog_feedback|unog_glosario hong kong|unog_humanrights_belgium_english|unog_humanrightsbelgium_french|unog_jj 05 iceland|unog_jj glosario bilingüe para islandia|unog_jj lituania|unog_jj_01 for missing|unog_jj_01 mi traducción|unog_jj_01 summary usa|unog_lituania|unog_lituania archivo suelto|unog_pakistan|unog_tatarinov 01|unog_terminologia grecia|unog_tortura canada|unogjj 03 hrc|unogjj 03 hrc|unogjj 04 italia|best|casosciadi_firsttestwithnewmultitrans|cedaw|cedaw_french-spanish|cleanenergy|developmentmarket|evaluation_glossary|firstbatch_gef_2ndtry|gac|gef|gef_summaries|glosario paz|glosarios_parte_1|glosarios_un_1|hopper_2-3|hopper1|resultsterminology"/>
    <w:docVar w:name="TextBaseURL" w:val="empty"/>
    <w:docVar w:name="UILng" w:val="en"/>
  </w:docVars>
  <w:rsids>
    <w:rsidRoot w:val="00AE65A6"/>
    <w:rsid w:val="000015D0"/>
    <w:rsid w:val="00002064"/>
    <w:rsid w:val="0000594B"/>
    <w:rsid w:val="00006885"/>
    <w:rsid w:val="00006D95"/>
    <w:rsid w:val="00007256"/>
    <w:rsid w:val="00013FF3"/>
    <w:rsid w:val="00015381"/>
    <w:rsid w:val="000170ED"/>
    <w:rsid w:val="000230DE"/>
    <w:rsid w:val="00024EBF"/>
    <w:rsid w:val="0002716F"/>
    <w:rsid w:val="0003488A"/>
    <w:rsid w:val="0003632E"/>
    <w:rsid w:val="00043C31"/>
    <w:rsid w:val="00050F6B"/>
    <w:rsid w:val="00056D85"/>
    <w:rsid w:val="0006087B"/>
    <w:rsid w:val="00062E38"/>
    <w:rsid w:val="00066415"/>
    <w:rsid w:val="00066DA5"/>
    <w:rsid w:val="00067C76"/>
    <w:rsid w:val="00072244"/>
    <w:rsid w:val="000724F7"/>
    <w:rsid w:val="00072C8C"/>
    <w:rsid w:val="0007317F"/>
    <w:rsid w:val="000747F2"/>
    <w:rsid w:val="00075641"/>
    <w:rsid w:val="00076BE8"/>
    <w:rsid w:val="0008024E"/>
    <w:rsid w:val="000825E7"/>
    <w:rsid w:val="0008576D"/>
    <w:rsid w:val="00085C21"/>
    <w:rsid w:val="00090EEF"/>
    <w:rsid w:val="00091B0C"/>
    <w:rsid w:val="00091E03"/>
    <w:rsid w:val="000931C0"/>
    <w:rsid w:val="0009320B"/>
    <w:rsid w:val="00093FC6"/>
    <w:rsid w:val="00096735"/>
    <w:rsid w:val="00096A30"/>
    <w:rsid w:val="000A228B"/>
    <w:rsid w:val="000A50AF"/>
    <w:rsid w:val="000B175B"/>
    <w:rsid w:val="000B18F2"/>
    <w:rsid w:val="000B3945"/>
    <w:rsid w:val="000B3A0F"/>
    <w:rsid w:val="000B5ED2"/>
    <w:rsid w:val="000B67D8"/>
    <w:rsid w:val="000C21CA"/>
    <w:rsid w:val="000C6183"/>
    <w:rsid w:val="000C791F"/>
    <w:rsid w:val="000D2B9F"/>
    <w:rsid w:val="000D2DBC"/>
    <w:rsid w:val="000D374F"/>
    <w:rsid w:val="000D4BFC"/>
    <w:rsid w:val="000D5F39"/>
    <w:rsid w:val="000E0415"/>
    <w:rsid w:val="000E24D4"/>
    <w:rsid w:val="000E24E0"/>
    <w:rsid w:val="000E52EB"/>
    <w:rsid w:val="000F6764"/>
    <w:rsid w:val="000F6BEB"/>
    <w:rsid w:val="000F7316"/>
    <w:rsid w:val="00106F7D"/>
    <w:rsid w:val="00113772"/>
    <w:rsid w:val="00116F41"/>
    <w:rsid w:val="001234D7"/>
    <w:rsid w:val="00126D5C"/>
    <w:rsid w:val="00127304"/>
    <w:rsid w:val="00127F10"/>
    <w:rsid w:val="001352B1"/>
    <w:rsid w:val="00137B7E"/>
    <w:rsid w:val="00140C80"/>
    <w:rsid w:val="00151110"/>
    <w:rsid w:val="00151FD2"/>
    <w:rsid w:val="00153A9C"/>
    <w:rsid w:val="00162527"/>
    <w:rsid w:val="00162564"/>
    <w:rsid w:val="00163901"/>
    <w:rsid w:val="0017088C"/>
    <w:rsid w:val="00173D2A"/>
    <w:rsid w:val="00174611"/>
    <w:rsid w:val="001763F8"/>
    <w:rsid w:val="0017683A"/>
    <w:rsid w:val="0017742C"/>
    <w:rsid w:val="00184C06"/>
    <w:rsid w:val="00184EEA"/>
    <w:rsid w:val="00185602"/>
    <w:rsid w:val="001909CF"/>
    <w:rsid w:val="00190C38"/>
    <w:rsid w:val="001A108A"/>
    <w:rsid w:val="001A4E5A"/>
    <w:rsid w:val="001A608B"/>
    <w:rsid w:val="001B1033"/>
    <w:rsid w:val="001B3987"/>
    <w:rsid w:val="001B4B04"/>
    <w:rsid w:val="001B718C"/>
    <w:rsid w:val="001C48C8"/>
    <w:rsid w:val="001C60F1"/>
    <w:rsid w:val="001C6663"/>
    <w:rsid w:val="001C7490"/>
    <w:rsid w:val="001C7895"/>
    <w:rsid w:val="001D1E01"/>
    <w:rsid w:val="001D2051"/>
    <w:rsid w:val="001D26DF"/>
    <w:rsid w:val="001D2805"/>
    <w:rsid w:val="001D2FCB"/>
    <w:rsid w:val="001D40E0"/>
    <w:rsid w:val="001D6884"/>
    <w:rsid w:val="001E4DC2"/>
    <w:rsid w:val="001F0A71"/>
    <w:rsid w:val="001F2B1C"/>
    <w:rsid w:val="001F55D2"/>
    <w:rsid w:val="001F6749"/>
    <w:rsid w:val="0020028A"/>
    <w:rsid w:val="00200468"/>
    <w:rsid w:val="002028D1"/>
    <w:rsid w:val="00202A27"/>
    <w:rsid w:val="00203304"/>
    <w:rsid w:val="00203E7B"/>
    <w:rsid w:val="00204879"/>
    <w:rsid w:val="00205D45"/>
    <w:rsid w:val="002074FB"/>
    <w:rsid w:val="00207573"/>
    <w:rsid w:val="00210884"/>
    <w:rsid w:val="00211E0B"/>
    <w:rsid w:val="00213474"/>
    <w:rsid w:val="002204E1"/>
    <w:rsid w:val="00222823"/>
    <w:rsid w:val="00222CF8"/>
    <w:rsid w:val="00232DEB"/>
    <w:rsid w:val="002353FF"/>
    <w:rsid w:val="0023776F"/>
    <w:rsid w:val="0023797E"/>
    <w:rsid w:val="002403D5"/>
    <w:rsid w:val="002412E1"/>
    <w:rsid w:val="002458C7"/>
    <w:rsid w:val="00247469"/>
    <w:rsid w:val="00250452"/>
    <w:rsid w:val="00252068"/>
    <w:rsid w:val="00254165"/>
    <w:rsid w:val="00260B1B"/>
    <w:rsid w:val="00265DBA"/>
    <w:rsid w:val="00266415"/>
    <w:rsid w:val="00266ABC"/>
    <w:rsid w:val="00271D2E"/>
    <w:rsid w:val="00272921"/>
    <w:rsid w:val="002732C4"/>
    <w:rsid w:val="00273995"/>
    <w:rsid w:val="002741C9"/>
    <w:rsid w:val="00280BBD"/>
    <w:rsid w:val="002815C1"/>
    <w:rsid w:val="00291A6B"/>
    <w:rsid w:val="002928F5"/>
    <w:rsid w:val="00293705"/>
    <w:rsid w:val="00293F6B"/>
    <w:rsid w:val="00294D97"/>
    <w:rsid w:val="002A29D6"/>
    <w:rsid w:val="002A62DD"/>
    <w:rsid w:val="002B281A"/>
    <w:rsid w:val="002B3EBF"/>
    <w:rsid w:val="002B4F88"/>
    <w:rsid w:val="002B7B30"/>
    <w:rsid w:val="002C20ED"/>
    <w:rsid w:val="002D274E"/>
    <w:rsid w:val="002D43CC"/>
    <w:rsid w:val="002D48E5"/>
    <w:rsid w:val="002D736F"/>
    <w:rsid w:val="002D79FF"/>
    <w:rsid w:val="002E437F"/>
    <w:rsid w:val="002F154F"/>
    <w:rsid w:val="0030247C"/>
    <w:rsid w:val="00303E0D"/>
    <w:rsid w:val="00303E18"/>
    <w:rsid w:val="00304818"/>
    <w:rsid w:val="00307860"/>
    <w:rsid w:val="003107FA"/>
    <w:rsid w:val="00311137"/>
    <w:rsid w:val="0031277C"/>
    <w:rsid w:val="003160F1"/>
    <w:rsid w:val="0031679D"/>
    <w:rsid w:val="003229D8"/>
    <w:rsid w:val="003233BD"/>
    <w:rsid w:val="00325F67"/>
    <w:rsid w:val="00326362"/>
    <w:rsid w:val="00332675"/>
    <w:rsid w:val="00334327"/>
    <w:rsid w:val="0034121B"/>
    <w:rsid w:val="00343DE6"/>
    <w:rsid w:val="003479EE"/>
    <w:rsid w:val="00352CFC"/>
    <w:rsid w:val="00353DCC"/>
    <w:rsid w:val="0035550F"/>
    <w:rsid w:val="00355B49"/>
    <w:rsid w:val="0035628D"/>
    <w:rsid w:val="00356D6C"/>
    <w:rsid w:val="00356DFF"/>
    <w:rsid w:val="0036179B"/>
    <w:rsid w:val="00364FD0"/>
    <w:rsid w:val="00365FDD"/>
    <w:rsid w:val="003674D5"/>
    <w:rsid w:val="0037440B"/>
    <w:rsid w:val="00377888"/>
    <w:rsid w:val="00381508"/>
    <w:rsid w:val="003819C5"/>
    <w:rsid w:val="00384723"/>
    <w:rsid w:val="003855C6"/>
    <w:rsid w:val="00385D3A"/>
    <w:rsid w:val="00387F08"/>
    <w:rsid w:val="00390DFB"/>
    <w:rsid w:val="0039277A"/>
    <w:rsid w:val="00394C76"/>
    <w:rsid w:val="0039548E"/>
    <w:rsid w:val="003972E0"/>
    <w:rsid w:val="003A0A63"/>
    <w:rsid w:val="003A36AD"/>
    <w:rsid w:val="003A3D14"/>
    <w:rsid w:val="003A3F57"/>
    <w:rsid w:val="003A48E8"/>
    <w:rsid w:val="003A6709"/>
    <w:rsid w:val="003B050C"/>
    <w:rsid w:val="003B0F7E"/>
    <w:rsid w:val="003B13A2"/>
    <w:rsid w:val="003B1B2E"/>
    <w:rsid w:val="003B3A2B"/>
    <w:rsid w:val="003B65AD"/>
    <w:rsid w:val="003C1936"/>
    <w:rsid w:val="003C2CC4"/>
    <w:rsid w:val="003C3E18"/>
    <w:rsid w:val="003C5896"/>
    <w:rsid w:val="003C5DB6"/>
    <w:rsid w:val="003C7B14"/>
    <w:rsid w:val="003D124E"/>
    <w:rsid w:val="003D1870"/>
    <w:rsid w:val="003D36C0"/>
    <w:rsid w:val="003D4B23"/>
    <w:rsid w:val="003D54BE"/>
    <w:rsid w:val="003E4D28"/>
    <w:rsid w:val="003E7A50"/>
    <w:rsid w:val="003F11EF"/>
    <w:rsid w:val="003F19E3"/>
    <w:rsid w:val="003F2394"/>
    <w:rsid w:val="003F32E0"/>
    <w:rsid w:val="003F3B16"/>
    <w:rsid w:val="003F6165"/>
    <w:rsid w:val="003F778E"/>
    <w:rsid w:val="00403E9F"/>
    <w:rsid w:val="00404C36"/>
    <w:rsid w:val="00404F6B"/>
    <w:rsid w:val="00411673"/>
    <w:rsid w:val="004124C7"/>
    <w:rsid w:val="00412B34"/>
    <w:rsid w:val="00414DB1"/>
    <w:rsid w:val="0041618C"/>
    <w:rsid w:val="00417081"/>
    <w:rsid w:val="00420952"/>
    <w:rsid w:val="004241D4"/>
    <w:rsid w:val="004259AF"/>
    <w:rsid w:val="00431898"/>
    <w:rsid w:val="004325CB"/>
    <w:rsid w:val="00432ED0"/>
    <w:rsid w:val="004343B6"/>
    <w:rsid w:val="004345DD"/>
    <w:rsid w:val="004353FB"/>
    <w:rsid w:val="004354D1"/>
    <w:rsid w:val="00435C02"/>
    <w:rsid w:val="00436008"/>
    <w:rsid w:val="004365DA"/>
    <w:rsid w:val="004376DC"/>
    <w:rsid w:val="004423D4"/>
    <w:rsid w:val="00445D1C"/>
    <w:rsid w:val="00446DE4"/>
    <w:rsid w:val="00451DAD"/>
    <w:rsid w:val="0045605B"/>
    <w:rsid w:val="00456120"/>
    <w:rsid w:val="004621D4"/>
    <w:rsid w:val="00470E13"/>
    <w:rsid w:val="00473035"/>
    <w:rsid w:val="0047399F"/>
    <w:rsid w:val="004748F3"/>
    <w:rsid w:val="0047628A"/>
    <w:rsid w:val="00480A5B"/>
    <w:rsid w:val="004810C7"/>
    <w:rsid w:val="00482B8D"/>
    <w:rsid w:val="00485695"/>
    <w:rsid w:val="00485AFE"/>
    <w:rsid w:val="00493FDC"/>
    <w:rsid w:val="00497A96"/>
    <w:rsid w:val="004A41CA"/>
    <w:rsid w:val="004A46CE"/>
    <w:rsid w:val="004A4FEB"/>
    <w:rsid w:val="004A7DFA"/>
    <w:rsid w:val="004B01F8"/>
    <w:rsid w:val="004B41CD"/>
    <w:rsid w:val="004B54A5"/>
    <w:rsid w:val="004B74CF"/>
    <w:rsid w:val="004B7CFE"/>
    <w:rsid w:val="004C1347"/>
    <w:rsid w:val="004C6103"/>
    <w:rsid w:val="004C6D39"/>
    <w:rsid w:val="004D4B8C"/>
    <w:rsid w:val="004D7DA8"/>
    <w:rsid w:val="004E192F"/>
    <w:rsid w:val="004E6DED"/>
    <w:rsid w:val="004E70D2"/>
    <w:rsid w:val="004F1AC5"/>
    <w:rsid w:val="004F24E1"/>
    <w:rsid w:val="004F595E"/>
    <w:rsid w:val="00501BCA"/>
    <w:rsid w:val="00506084"/>
    <w:rsid w:val="00511BCA"/>
    <w:rsid w:val="00512836"/>
    <w:rsid w:val="0051600E"/>
    <w:rsid w:val="00516F46"/>
    <w:rsid w:val="005203FB"/>
    <w:rsid w:val="005214D0"/>
    <w:rsid w:val="00521A78"/>
    <w:rsid w:val="00527666"/>
    <w:rsid w:val="00533270"/>
    <w:rsid w:val="0053365D"/>
    <w:rsid w:val="00537C37"/>
    <w:rsid w:val="005420F2"/>
    <w:rsid w:val="00545101"/>
    <w:rsid w:val="00556A7A"/>
    <w:rsid w:val="0056262D"/>
    <w:rsid w:val="00570042"/>
    <w:rsid w:val="00570056"/>
    <w:rsid w:val="00573A3C"/>
    <w:rsid w:val="00576DA2"/>
    <w:rsid w:val="005833AA"/>
    <w:rsid w:val="00584D9F"/>
    <w:rsid w:val="00587E76"/>
    <w:rsid w:val="00591915"/>
    <w:rsid w:val="00592591"/>
    <w:rsid w:val="00594198"/>
    <w:rsid w:val="0059490B"/>
    <w:rsid w:val="00596D86"/>
    <w:rsid w:val="00597C9E"/>
    <w:rsid w:val="005A1CE4"/>
    <w:rsid w:val="005A514F"/>
    <w:rsid w:val="005A5442"/>
    <w:rsid w:val="005B1DCA"/>
    <w:rsid w:val="005B3DB3"/>
    <w:rsid w:val="005B64B4"/>
    <w:rsid w:val="005C0975"/>
    <w:rsid w:val="005C238E"/>
    <w:rsid w:val="005C2CF2"/>
    <w:rsid w:val="005C6E9E"/>
    <w:rsid w:val="005D02C0"/>
    <w:rsid w:val="005D14D6"/>
    <w:rsid w:val="005D3B6E"/>
    <w:rsid w:val="005D3BAD"/>
    <w:rsid w:val="005D5963"/>
    <w:rsid w:val="005D72B9"/>
    <w:rsid w:val="005E1FC9"/>
    <w:rsid w:val="005E2DB0"/>
    <w:rsid w:val="005E3A95"/>
    <w:rsid w:val="005E54B6"/>
    <w:rsid w:val="005E58CC"/>
    <w:rsid w:val="005E6FE6"/>
    <w:rsid w:val="005F0908"/>
    <w:rsid w:val="005F517C"/>
    <w:rsid w:val="005F5B19"/>
    <w:rsid w:val="005F7711"/>
    <w:rsid w:val="005F7FCC"/>
    <w:rsid w:val="0060083B"/>
    <w:rsid w:val="00601207"/>
    <w:rsid w:val="00606088"/>
    <w:rsid w:val="00611D72"/>
    <w:rsid w:val="00611FC4"/>
    <w:rsid w:val="006142BD"/>
    <w:rsid w:val="00614BEF"/>
    <w:rsid w:val="006176FB"/>
    <w:rsid w:val="00620646"/>
    <w:rsid w:val="00621258"/>
    <w:rsid w:val="0062177F"/>
    <w:rsid w:val="006259ED"/>
    <w:rsid w:val="00625C7A"/>
    <w:rsid w:val="00625E79"/>
    <w:rsid w:val="00627ED0"/>
    <w:rsid w:val="006320F5"/>
    <w:rsid w:val="00636778"/>
    <w:rsid w:val="00640B26"/>
    <w:rsid w:val="00644426"/>
    <w:rsid w:val="0064702C"/>
    <w:rsid w:val="00653620"/>
    <w:rsid w:val="0065405A"/>
    <w:rsid w:val="00660E8E"/>
    <w:rsid w:val="00661B0F"/>
    <w:rsid w:val="00663C75"/>
    <w:rsid w:val="00663D25"/>
    <w:rsid w:val="00665595"/>
    <w:rsid w:val="00665ADB"/>
    <w:rsid w:val="00672D95"/>
    <w:rsid w:val="006774CE"/>
    <w:rsid w:val="00680A21"/>
    <w:rsid w:val="00683F9E"/>
    <w:rsid w:val="00684BA6"/>
    <w:rsid w:val="00690EE0"/>
    <w:rsid w:val="006944FA"/>
    <w:rsid w:val="0069596D"/>
    <w:rsid w:val="00696978"/>
    <w:rsid w:val="006A4FAC"/>
    <w:rsid w:val="006A554A"/>
    <w:rsid w:val="006A5783"/>
    <w:rsid w:val="006A7392"/>
    <w:rsid w:val="006B0011"/>
    <w:rsid w:val="006C1B13"/>
    <w:rsid w:val="006C34B0"/>
    <w:rsid w:val="006C41DB"/>
    <w:rsid w:val="006C6781"/>
    <w:rsid w:val="006D0138"/>
    <w:rsid w:val="006D2AE9"/>
    <w:rsid w:val="006E0018"/>
    <w:rsid w:val="006E564B"/>
    <w:rsid w:val="006E6113"/>
    <w:rsid w:val="006E75D8"/>
    <w:rsid w:val="006E778C"/>
    <w:rsid w:val="006F1267"/>
    <w:rsid w:val="006F1724"/>
    <w:rsid w:val="006F26B6"/>
    <w:rsid w:val="006F44DD"/>
    <w:rsid w:val="006F7A9D"/>
    <w:rsid w:val="00700FC0"/>
    <w:rsid w:val="00702C2B"/>
    <w:rsid w:val="00703F81"/>
    <w:rsid w:val="007062E7"/>
    <w:rsid w:val="00711A7F"/>
    <w:rsid w:val="007145D0"/>
    <w:rsid w:val="00723851"/>
    <w:rsid w:val="0072632A"/>
    <w:rsid w:val="0073188F"/>
    <w:rsid w:val="00733612"/>
    <w:rsid w:val="00734849"/>
    <w:rsid w:val="007431B3"/>
    <w:rsid w:val="00744357"/>
    <w:rsid w:val="007465D1"/>
    <w:rsid w:val="00750221"/>
    <w:rsid w:val="0075236B"/>
    <w:rsid w:val="00754E50"/>
    <w:rsid w:val="007569CC"/>
    <w:rsid w:val="0075753C"/>
    <w:rsid w:val="00757989"/>
    <w:rsid w:val="0076075F"/>
    <w:rsid w:val="007620BC"/>
    <w:rsid w:val="00762C1B"/>
    <w:rsid w:val="00764847"/>
    <w:rsid w:val="00767CA4"/>
    <w:rsid w:val="007721C2"/>
    <w:rsid w:val="007725A3"/>
    <w:rsid w:val="007731DC"/>
    <w:rsid w:val="0077335D"/>
    <w:rsid w:val="0077590C"/>
    <w:rsid w:val="00780F9A"/>
    <w:rsid w:val="0078216B"/>
    <w:rsid w:val="007835CC"/>
    <w:rsid w:val="00790AE6"/>
    <w:rsid w:val="00790E3E"/>
    <w:rsid w:val="00790E96"/>
    <w:rsid w:val="00793631"/>
    <w:rsid w:val="00793838"/>
    <w:rsid w:val="00795013"/>
    <w:rsid w:val="007A21CB"/>
    <w:rsid w:val="007A4188"/>
    <w:rsid w:val="007A6F62"/>
    <w:rsid w:val="007A7CA5"/>
    <w:rsid w:val="007B004E"/>
    <w:rsid w:val="007B1E8A"/>
    <w:rsid w:val="007B1F75"/>
    <w:rsid w:val="007B2E5E"/>
    <w:rsid w:val="007B4B3F"/>
    <w:rsid w:val="007B6BA5"/>
    <w:rsid w:val="007B6E25"/>
    <w:rsid w:val="007C1D5A"/>
    <w:rsid w:val="007C3390"/>
    <w:rsid w:val="007C4F4B"/>
    <w:rsid w:val="007C773C"/>
    <w:rsid w:val="007C7DC7"/>
    <w:rsid w:val="007D25F4"/>
    <w:rsid w:val="007D2698"/>
    <w:rsid w:val="007D3038"/>
    <w:rsid w:val="007D7007"/>
    <w:rsid w:val="007D7209"/>
    <w:rsid w:val="007E05AA"/>
    <w:rsid w:val="007E1402"/>
    <w:rsid w:val="007E24FF"/>
    <w:rsid w:val="007E4995"/>
    <w:rsid w:val="007E63E3"/>
    <w:rsid w:val="007F0B83"/>
    <w:rsid w:val="007F222C"/>
    <w:rsid w:val="007F56FA"/>
    <w:rsid w:val="007F5AEE"/>
    <w:rsid w:val="007F6611"/>
    <w:rsid w:val="007F7ED6"/>
    <w:rsid w:val="0080222E"/>
    <w:rsid w:val="008025B4"/>
    <w:rsid w:val="00804274"/>
    <w:rsid w:val="00805750"/>
    <w:rsid w:val="00805EC9"/>
    <w:rsid w:val="0080655D"/>
    <w:rsid w:val="00811167"/>
    <w:rsid w:val="008116FD"/>
    <w:rsid w:val="00812427"/>
    <w:rsid w:val="00815DF4"/>
    <w:rsid w:val="00816D2D"/>
    <w:rsid w:val="008175E9"/>
    <w:rsid w:val="00822652"/>
    <w:rsid w:val="008242D7"/>
    <w:rsid w:val="0082784B"/>
    <w:rsid w:val="008311A3"/>
    <w:rsid w:val="00833F8F"/>
    <w:rsid w:val="00841853"/>
    <w:rsid w:val="008425C3"/>
    <w:rsid w:val="008446C5"/>
    <w:rsid w:val="008448C6"/>
    <w:rsid w:val="00846C11"/>
    <w:rsid w:val="00847550"/>
    <w:rsid w:val="0085188F"/>
    <w:rsid w:val="008528B0"/>
    <w:rsid w:val="00857B49"/>
    <w:rsid w:val="00867230"/>
    <w:rsid w:val="00867F6D"/>
    <w:rsid w:val="00871FD5"/>
    <w:rsid w:val="008724E0"/>
    <w:rsid w:val="00880D2C"/>
    <w:rsid w:val="00883318"/>
    <w:rsid w:val="00887782"/>
    <w:rsid w:val="0089304E"/>
    <w:rsid w:val="0089335E"/>
    <w:rsid w:val="00894988"/>
    <w:rsid w:val="008979B1"/>
    <w:rsid w:val="008A0F9C"/>
    <w:rsid w:val="008A3634"/>
    <w:rsid w:val="008A4007"/>
    <w:rsid w:val="008A5985"/>
    <w:rsid w:val="008A6B25"/>
    <w:rsid w:val="008A6C4F"/>
    <w:rsid w:val="008A7CDF"/>
    <w:rsid w:val="008B21D3"/>
    <w:rsid w:val="008B4B7E"/>
    <w:rsid w:val="008B5A43"/>
    <w:rsid w:val="008C2040"/>
    <w:rsid w:val="008C32E6"/>
    <w:rsid w:val="008D1427"/>
    <w:rsid w:val="008D160C"/>
    <w:rsid w:val="008D3EE6"/>
    <w:rsid w:val="008D54BE"/>
    <w:rsid w:val="008D5847"/>
    <w:rsid w:val="008D769A"/>
    <w:rsid w:val="008E0E46"/>
    <w:rsid w:val="008E27D8"/>
    <w:rsid w:val="008E798A"/>
    <w:rsid w:val="008E7AA1"/>
    <w:rsid w:val="008F4BD3"/>
    <w:rsid w:val="008F5C84"/>
    <w:rsid w:val="00900AB5"/>
    <w:rsid w:val="00902EE3"/>
    <w:rsid w:val="0090425E"/>
    <w:rsid w:val="00906919"/>
    <w:rsid w:val="00907AD2"/>
    <w:rsid w:val="00915948"/>
    <w:rsid w:val="009167DD"/>
    <w:rsid w:val="00917BE9"/>
    <w:rsid w:val="009216B3"/>
    <w:rsid w:val="00922E86"/>
    <w:rsid w:val="00926173"/>
    <w:rsid w:val="00930C14"/>
    <w:rsid w:val="0093494B"/>
    <w:rsid w:val="009403DC"/>
    <w:rsid w:val="00947A77"/>
    <w:rsid w:val="00952FD9"/>
    <w:rsid w:val="009546B0"/>
    <w:rsid w:val="00956C53"/>
    <w:rsid w:val="00962FE1"/>
    <w:rsid w:val="00963CBA"/>
    <w:rsid w:val="00964574"/>
    <w:rsid w:val="00967697"/>
    <w:rsid w:val="00970F43"/>
    <w:rsid w:val="00974A8D"/>
    <w:rsid w:val="009809CB"/>
    <w:rsid w:val="0098427B"/>
    <w:rsid w:val="00984ECC"/>
    <w:rsid w:val="00987939"/>
    <w:rsid w:val="00991261"/>
    <w:rsid w:val="0099226A"/>
    <w:rsid w:val="00993459"/>
    <w:rsid w:val="00996CB2"/>
    <w:rsid w:val="009A03EA"/>
    <w:rsid w:val="009B02D8"/>
    <w:rsid w:val="009B0F61"/>
    <w:rsid w:val="009B25BC"/>
    <w:rsid w:val="009B29CE"/>
    <w:rsid w:val="009B3193"/>
    <w:rsid w:val="009B43DA"/>
    <w:rsid w:val="009B4C45"/>
    <w:rsid w:val="009B5FA7"/>
    <w:rsid w:val="009C0EE0"/>
    <w:rsid w:val="009C7C66"/>
    <w:rsid w:val="009C7D68"/>
    <w:rsid w:val="009D1419"/>
    <w:rsid w:val="009D1494"/>
    <w:rsid w:val="009D32FB"/>
    <w:rsid w:val="009E03A8"/>
    <w:rsid w:val="009E2C62"/>
    <w:rsid w:val="009E452F"/>
    <w:rsid w:val="009E57F3"/>
    <w:rsid w:val="009F073D"/>
    <w:rsid w:val="009F3A17"/>
    <w:rsid w:val="009F506C"/>
    <w:rsid w:val="009F524B"/>
    <w:rsid w:val="009F733C"/>
    <w:rsid w:val="00A001F2"/>
    <w:rsid w:val="00A025CD"/>
    <w:rsid w:val="00A047EF"/>
    <w:rsid w:val="00A1256E"/>
    <w:rsid w:val="00A12BE7"/>
    <w:rsid w:val="00A13609"/>
    <w:rsid w:val="00A1427D"/>
    <w:rsid w:val="00A1709A"/>
    <w:rsid w:val="00A2066D"/>
    <w:rsid w:val="00A234CB"/>
    <w:rsid w:val="00A23ABF"/>
    <w:rsid w:val="00A248F9"/>
    <w:rsid w:val="00A2622B"/>
    <w:rsid w:val="00A3241E"/>
    <w:rsid w:val="00A33F68"/>
    <w:rsid w:val="00A41824"/>
    <w:rsid w:val="00A422C4"/>
    <w:rsid w:val="00A4617A"/>
    <w:rsid w:val="00A52B38"/>
    <w:rsid w:val="00A65BA1"/>
    <w:rsid w:val="00A70881"/>
    <w:rsid w:val="00A72F22"/>
    <w:rsid w:val="00A748A6"/>
    <w:rsid w:val="00A77753"/>
    <w:rsid w:val="00A7780F"/>
    <w:rsid w:val="00A779B5"/>
    <w:rsid w:val="00A80830"/>
    <w:rsid w:val="00A832AE"/>
    <w:rsid w:val="00A8652C"/>
    <w:rsid w:val="00A8660B"/>
    <w:rsid w:val="00A879A4"/>
    <w:rsid w:val="00A90E7C"/>
    <w:rsid w:val="00A96DC9"/>
    <w:rsid w:val="00A97DA5"/>
    <w:rsid w:val="00AA2E15"/>
    <w:rsid w:val="00AB1525"/>
    <w:rsid w:val="00AB158C"/>
    <w:rsid w:val="00AB221D"/>
    <w:rsid w:val="00AB266A"/>
    <w:rsid w:val="00AB4C30"/>
    <w:rsid w:val="00AC07A2"/>
    <w:rsid w:val="00AC1BE4"/>
    <w:rsid w:val="00AC4069"/>
    <w:rsid w:val="00AD6C8B"/>
    <w:rsid w:val="00AD6CAD"/>
    <w:rsid w:val="00AD73D3"/>
    <w:rsid w:val="00AE001E"/>
    <w:rsid w:val="00AE258B"/>
    <w:rsid w:val="00AE336F"/>
    <w:rsid w:val="00AE3678"/>
    <w:rsid w:val="00AE4205"/>
    <w:rsid w:val="00AE5601"/>
    <w:rsid w:val="00AE645F"/>
    <w:rsid w:val="00AE65A6"/>
    <w:rsid w:val="00AE6F50"/>
    <w:rsid w:val="00AE7685"/>
    <w:rsid w:val="00AF0927"/>
    <w:rsid w:val="00AF0964"/>
    <w:rsid w:val="00AF20A4"/>
    <w:rsid w:val="00AF33AD"/>
    <w:rsid w:val="00AF4F07"/>
    <w:rsid w:val="00AF6074"/>
    <w:rsid w:val="00AF725E"/>
    <w:rsid w:val="00B0476D"/>
    <w:rsid w:val="00B073D0"/>
    <w:rsid w:val="00B13904"/>
    <w:rsid w:val="00B1470C"/>
    <w:rsid w:val="00B20344"/>
    <w:rsid w:val="00B22186"/>
    <w:rsid w:val="00B22D9D"/>
    <w:rsid w:val="00B24766"/>
    <w:rsid w:val="00B30179"/>
    <w:rsid w:val="00B301F9"/>
    <w:rsid w:val="00B33841"/>
    <w:rsid w:val="00B33EC0"/>
    <w:rsid w:val="00B347B4"/>
    <w:rsid w:val="00B4009F"/>
    <w:rsid w:val="00B40778"/>
    <w:rsid w:val="00B40895"/>
    <w:rsid w:val="00B40943"/>
    <w:rsid w:val="00B43DED"/>
    <w:rsid w:val="00B44AA8"/>
    <w:rsid w:val="00B45337"/>
    <w:rsid w:val="00B455F2"/>
    <w:rsid w:val="00B509FD"/>
    <w:rsid w:val="00B53C4E"/>
    <w:rsid w:val="00B57B12"/>
    <w:rsid w:val="00B60F86"/>
    <w:rsid w:val="00B662AE"/>
    <w:rsid w:val="00B66333"/>
    <w:rsid w:val="00B6666B"/>
    <w:rsid w:val="00B7370E"/>
    <w:rsid w:val="00B771EE"/>
    <w:rsid w:val="00B80AF5"/>
    <w:rsid w:val="00B818CE"/>
    <w:rsid w:val="00B81E12"/>
    <w:rsid w:val="00B81FCF"/>
    <w:rsid w:val="00B87163"/>
    <w:rsid w:val="00B91210"/>
    <w:rsid w:val="00B9435A"/>
    <w:rsid w:val="00B957B7"/>
    <w:rsid w:val="00B97062"/>
    <w:rsid w:val="00BA26E6"/>
    <w:rsid w:val="00BA3DEB"/>
    <w:rsid w:val="00BB63E2"/>
    <w:rsid w:val="00BB7F38"/>
    <w:rsid w:val="00BC02DB"/>
    <w:rsid w:val="00BC17F3"/>
    <w:rsid w:val="00BC571F"/>
    <w:rsid w:val="00BC74E9"/>
    <w:rsid w:val="00BD2329"/>
    <w:rsid w:val="00BD6390"/>
    <w:rsid w:val="00BE0596"/>
    <w:rsid w:val="00BE2155"/>
    <w:rsid w:val="00BE3AC7"/>
    <w:rsid w:val="00BE3B58"/>
    <w:rsid w:val="00BE4F74"/>
    <w:rsid w:val="00BE618E"/>
    <w:rsid w:val="00BE6A25"/>
    <w:rsid w:val="00BE77F4"/>
    <w:rsid w:val="00BE78C6"/>
    <w:rsid w:val="00BF01C9"/>
    <w:rsid w:val="00BF4181"/>
    <w:rsid w:val="00BF4C01"/>
    <w:rsid w:val="00BF750C"/>
    <w:rsid w:val="00C02FB4"/>
    <w:rsid w:val="00C05D49"/>
    <w:rsid w:val="00C06AEB"/>
    <w:rsid w:val="00C074BB"/>
    <w:rsid w:val="00C10BD4"/>
    <w:rsid w:val="00C110A4"/>
    <w:rsid w:val="00C167D2"/>
    <w:rsid w:val="00C24092"/>
    <w:rsid w:val="00C2644C"/>
    <w:rsid w:val="00C32CA9"/>
    <w:rsid w:val="00C3474A"/>
    <w:rsid w:val="00C36F3A"/>
    <w:rsid w:val="00C41FA6"/>
    <w:rsid w:val="00C42EC7"/>
    <w:rsid w:val="00C44432"/>
    <w:rsid w:val="00C463DD"/>
    <w:rsid w:val="00C50454"/>
    <w:rsid w:val="00C5273E"/>
    <w:rsid w:val="00C53529"/>
    <w:rsid w:val="00C53A3C"/>
    <w:rsid w:val="00C549D5"/>
    <w:rsid w:val="00C55C53"/>
    <w:rsid w:val="00C55DE9"/>
    <w:rsid w:val="00C56159"/>
    <w:rsid w:val="00C56F43"/>
    <w:rsid w:val="00C60430"/>
    <w:rsid w:val="00C67419"/>
    <w:rsid w:val="00C7000D"/>
    <w:rsid w:val="00C70DBE"/>
    <w:rsid w:val="00C729C0"/>
    <w:rsid w:val="00C745C3"/>
    <w:rsid w:val="00C75729"/>
    <w:rsid w:val="00C83026"/>
    <w:rsid w:val="00C83AD9"/>
    <w:rsid w:val="00C85C58"/>
    <w:rsid w:val="00C861B2"/>
    <w:rsid w:val="00C86F8B"/>
    <w:rsid w:val="00C87855"/>
    <w:rsid w:val="00C87B6A"/>
    <w:rsid w:val="00C9203B"/>
    <w:rsid w:val="00C9376C"/>
    <w:rsid w:val="00C94385"/>
    <w:rsid w:val="00C94515"/>
    <w:rsid w:val="00CA1662"/>
    <w:rsid w:val="00CA22C7"/>
    <w:rsid w:val="00CA346C"/>
    <w:rsid w:val="00CA62DC"/>
    <w:rsid w:val="00CB1A71"/>
    <w:rsid w:val="00CB3CEC"/>
    <w:rsid w:val="00CB3F59"/>
    <w:rsid w:val="00CC0F3D"/>
    <w:rsid w:val="00CC54E4"/>
    <w:rsid w:val="00CD3A1C"/>
    <w:rsid w:val="00CD7AB5"/>
    <w:rsid w:val="00CE29E7"/>
    <w:rsid w:val="00CE42FB"/>
    <w:rsid w:val="00CE4A8F"/>
    <w:rsid w:val="00CF1A87"/>
    <w:rsid w:val="00CF4330"/>
    <w:rsid w:val="00CF4CDA"/>
    <w:rsid w:val="00D00362"/>
    <w:rsid w:val="00D047EB"/>
    <w:rsid w:val="00D0570D"/>
    <w:rsid w:val="00D12F8A"/>
    <w:rsid w:val="00D17D78"/>
    <w:rsid w:val="00D2031B"/>
    <w:rsid w:val="00D23040"/>
    <w:rsid w:val="00D25FE2"/>
    <w:rsid w:val="00D317BB"/>
    <w:rsid w:val="00D31807"/>
    <w:rsid w:val="00D345FA"/>
    <w:rsid w:val="00D43252"/>
    <w:rsid w:val="00D530E3"/>
    <w:rsid w:val="00D635CB"/>
    <w:rsid w:val="00D65052"/>
    <w:rsid w:val="00D65B96"/>
    <w:rsid w:val="00D70F53"/>
    <w:rsid w:val="00D74860"/>
    <w:rsid w:val="00D7729A"/>
    <w:rsid w:val="00D775FA"/>
    <w:rsid w:val="00D81BFE"/>
    <w:rsid w:val="00D824A9"/>
    <w:rsid w:val="00D82BA3"/>
    <w:rsid w:val="00D86449"/>
    <w:rsid w:val="00D86BFC"/>
    <w:rsid w:val="00D92C33"/>
    <w:rsid w:val="00D92C52"/>
    <w:rsid w:val="00D92FF2"/>
    <w:rsid w:val="00D9321D"/>
    <w:rsid w:val="00D95C30"/>
    <w:rsid w:val="00D978C6"/>
    <w:rsid w:val="00D97D51"/>
    <w:rsid w:val="00DA1AAF"/>
    <w:rsid w:val="00DA55A6"/>
    <w:rsid w:val="00DA67AD"/>
    <w:rsid w:val="00DB6934"/>
    <w:rsid w:val="00DB6C16"/>
    <w:rsid w:val="00DC15ED"/>
    <w:rsid w:val="00DC43B1"/>
    <w:rsid w:val="00DC6F75"/>
    <w:rsid w:val="00DE0D99"/>
    <w:rsid w:val="00DE2E34"/>
    <w:rsid w:val="00DE4EE5"/>
    <w:rsid w:val="00DF10A4"/>
    <w:rsid w:val="00DF12F7"/>
    <w:rsid w:val="00DF137E"/>
    <w:rsid w:val="00DF1747"/>
    <w:rsid w:val="00DF5E3E"/>
    <w:rsid w:val="00DF6326"/>
    <w:rsid w:val="00DF70A1"/>
    <w:rsid w:val="00DF71E6"/>
    <w:rsid w:val="00E02C81"/>
    <w:rsid w:val="00E032C8"/>
    <w:rsid w:val="00E0442A"/>
    <w:rsid w:val="00E05356"/>
    <w:rsid w:val="00E10A2C"/>
    <w:rsid w:val="00E126D6"/>
    <w:rsid w:val="00E130AB"/>
    <w:rsid w:val="00E14E60"/>
    <w:rsid w:val="00E163A6"/>
    <w:rsid w:val="00E17BBC"/>
    <w:rsid w:val="00E202D7"/>
    <w:rsid w:val="00E25A2C"/>
    <w:rsid w:val="00E26C32"/>
    <w:rsid w:val="00E275B9"/>
    <w:rsid w:val="00E34754"/>
    <w:rsid w:val="00E347D8"/>
    <w:rsid w:val="00E50C24"/>
    <w:rsid w:val="00E55E3A"/>
    <w:rsid w:val="00E60AA5"/>
    <w:rsid w:val="00E62B32"/>
    <w:rsid w:val="00E634FB"/>
    <w:rsid w:val="00E665DC"/>
    <w:rsid w:val="00E67BE1"/>
    <w:rsid w:val="00E70A04"/>
    <w:rsid w:val="00E7228F"/>
    <w:rsid w:val="00E7260F"/>
    <w:rsid w:val="00E72CB8"/>
    <w:rsid w:val="00E738E3"/>
    <w:rsid w:val="00E83C41"/>
    <w:rsid w:val="00E87921"/>
    <w:rsid w:val="00E90C93"/>
    <w:rsid w:val="00E9118F"/>
    <w:rsid w:val="00E960E0"/>
    <w:rsid w:val="00E96581"/>
    <w:rsid w:val="00E96630"/>
    <w:rsid w:val="00E96951"/>
    <w:rsid w:val="00EA28BD"/>
    <w:rsid w:val="00EB0832"/>
    <w:rsid w:val="00EB40C8"/>
    <w:rsid w:val="00EB4647"/>
    <w:rsid w:val="00EC15C1"/>
    <w:rsid w:val="00EC3270"/>
    <w:rsid w:val="00EC4D2D"/>
    <w:rsid w:val="00EC4E8C"/>
    <w:rsid w:val="00ED040A"/>
    <w:rsid w:val="00ED123D"/>
    <w:rsid w:val="00ED4976"/>
    <w:rsid w:val="00ED589E"/>
    <w:rsid w:val="00ED7A2A"/>
    <w:rsid w:val="00ED7C54"/>
    <w:rsid w:val="00EF1D7F"/>
    <w:rsid w:val="00EF2D43"/>
    <w:rsid w:val="00EF3E2F"/>
    <w:rsid w:val="00EF4C02"/>
    <w:rsid w:val="00EF4CCC"/>
    <w:rsid w:val="00EF6791"/>
    <w:rsid w:val="00F0139C"/>
    <w:rsid w:val="00F03B1F"/>
    <w:rsid w:val="00F123ED"/>
    <w:rsid w:val="00F2119A"/>
    <w:rsid w:val="00F215A9"/>
    <w:rsid w:val="00F25AD7"/>
    <w:rsid w:val="00F2633C"/>
    <w:rsid w:val="00F27BDD"/>
    <w:rsid w:val="00F27E87"/>
    <w:rsid w:val="00F31598"/>
    <w:rsid w:val="00F32D81"/>
    <w:rsid w:val="00F3379D"/>
    <w:rsid w:val="00F34D84"/>
    <w:rsid w:val="00F36A4C"/>
    <w:rsid w:val="00F40239"/>
    <w:rsid w:val="00F43413"/>
    <w:rsid w:val="00F438CB"/>
    <w:rsid w:val="00F43BD6"/>
    <w:rsid w:val="00F450E1"/>
    <w:rsid w:val="00F46CB5"/>
    <w:rsid w:val="00F50BAF"/>
    <w:rsid w:val="00F526BE"/>
    <w:rsid w:val="00F53C98"/>
    <w:rsid w:val="00F53EDA"/>
    <w:rsid w:val="00F55440"/>
    <w:rsid w:val="00F562A1"/>
    <w:rsid w:val="00F5660F"/>
    <w:rsid w:val="00F63DD5"/>
    <w:rsid w:val="00F739AB"/>
    <w:rsid w:val="00F7753D"/>
    <w:rsid w:val="00F77745"/>
    <w:rsid w:val="00F77AC1"/>
    <w:rsid w:val="00F804C9"/>
    <w:rsid w:val="00F81A1A"/>
    <w:rsid w:val="00F83055"/>
    <w:rsid w:val="00F85F34"/>
    <w:rsid w:val="00F93FA3"/>
    <w:rsid w:val="00F94D3A"/>
    <w:rsid w:val="00F95429"/>
    <w:rsid w:val="00F963E6"/>
    <w:rsid w:val="00FA06F7"/>
    <w:rsid w:val="00FA28DA"/>
    <w:rsid w:val="00FA3C57"/>
    <w:rsid w:val="00FA7C0E"/>
    <w:rsid w:val="00FB13C2"/>
    <w:rsid w:val="00FB171A"/>
    <w:rsid w:val="00FB2D6B"/>
    <w:rsid w:val="00FB370E"/>
    <w:rsid w:val="00FB4E0C"/>
    <w:rsid w:val="00FB57CE"/>
    <w:rsid w:val="00FB6F10"/>
    <w:rsid w:val="00FB7D04"/>
    <w:rsid w:val="00FC1C26"/>
    <w:rsid w:val="00FC5C89"/>
    <w:rsid w:val="00FC6337"/>
    <w:rsid w:val="00FC663C"/>
    <w:rsid w:val="00FC68B7"/>
    <w:rsid w:val="00FC7755"/>
    <w:rsid w:val="00FD033A"/>
    <w:rsid w:val="00FD13E9"/>
    <w:rsid w:val="00FD1B21"/>
    <w:rsid w:val="00FD7BF6"/>
    <w:rsid w:val="00FE19AB"/>
    <w:rsid w:val="00FE3AB2"/>
    <w:rsid w:val="00FE5AA7"/>
    <w:rsid w:val="00FF2401"/>
    <w:rsid w:val="00FF2D60"/>
    <w:rsid w:val="00FF484C"/>
    <w:rsid w:val="00FF5EDF"/>
    <w:rsid w:val="00FF7B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974A8D"/>
    <w:pPr>
      <w:tabs>
        <w:tab w:val="right" w:pos="1021"/>
      </w:tabs>
      <w:spacing w:line="220" w:lineRule="exact"/>
      <w:ind w:left="1134" w:right="1134" w:hanging="1134"/>
    </w:pPr>
    <w:rPr>
      <w:sz w:val="18"/>
      <w:lang/>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23GChar">
    <w:name w:val="_ H_2/3_G Char"/>
    <w:link w:val="H23G"/>
    <w:rsid w:val="00174611"/>
    <w:rPr>
      <w:b/>
      <w:lang w:val="en-GB" w:eastAsia="en-US" w:bidi="ar-SA"/>
    </w:rPr>
  </w:style>
  <w:style w:type="paragraph" w:styleId="BalloonText">
    <w:name w:val="Balloon Text"/>
    <w:basedOn w:val="Normal"/>
    <w:semiHidden/>
    <w:rsid w:val="00403E9F"/>
    <w:rPr>
      <w:rFonts w:ascii="Tahoma" w:hAnsi="Tahoma" w:cs="Tahoma"/>
      <w:sz w:val="16"/>
      <w:szCs w:val="16"/>
    </w:rPr>
  </w:style>
  <w:style w:type="paragraph" w:styleId="CommentSubject">
    <w:name w:val="annotation subject"/>
    <w:basedOn w:val="CommentText"/>
    <w:next w:val="CommentText"/>
    <w:semiHidden/>
    <w:rsid w:val="007F7ED6"/>
    <w:rPr>
      <w:b/>
      <w:bCs/>
    </w:rPr>
  </w:style>
  <w:style w:type="character" w:customStyle="1" w:styleId="CommentTextChar">
    <w:name w:val="Comment Text Char"/>
    <w:link w:val="CommentText"/>
    <w:locked/>
    <w:rsid w:val="00AE5601"/>
    <w:rPr>
      <w:lang w:val="en-GB" w:eastAsia="en-US" w:bidi="ar-SA"/>
    </w:rPr>
  </w:style>
  <w:style w:type="character" w:customStyle="1" w:styleId="FootnoteTextChar">
    <w:name w:val="Footnote Text Char"/>
    <w:aliases w:val="5_G Char"/>
    <w:link w:val="FootnoteText"/>
    <w:rsid w:val="007E05AA"/>
    <w:rPr>
      <w:sz w:val="1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Plain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PlainPage.dot</Template>
  <TotalTime>30</TotalTime>
  <Pages>1</Pages>
  <Words>23482</Words>
  <Characters>133854</Characters>
  <Application>Microsoft Office Outlook</Application>
  <DocSecurity>4</DocSecurity>
  <Lines>1115</Lines>
  <Paragraphs>314</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157022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CSD</dc:creator>
  <cp:keywords/>
  <dc:description/>
  <cp:lastModifiedBy>CSD</cp:lastModifiedBy>
  <cp:revision>6</cp:revision>
  <cp:lastPrinted>2013-03-11T12:58:00Z</cp:lastPrinted>
  <dcterms:created xsi:type="dcterms:W3CDTF">2013-03-11T11:48:00Z</dcterms:created>
  <dcterms:modified xsi:type="dcterms:W3CDTF">2013-03-11T12:59:00Z</dcterms:modified>
</cp:coreProperties>
</file>