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80"/>
        <w:gridCol w:w="2273"/>
        <w:gridCol w:w="3267"/>
        <w:gridCol w:w="2819"/>
      </w:tblGrid>
      <w:tr w:rsidR="002D5AAC" w14:paraId="2CEFCA0B" w14:textId="77777777" w:rsidTr="006D6AEA">
        <w:trPr>
          <w:trHeight w:hRule="exact" w:val="851"/>
        </w:trPr>
        <w:tc>
          <w:tcPr>
            <w:tcW w:w="1280" w:type="dxa"/>
            <w:tcBorders>
              <w:bottom w:val="single" w:sz="4" w:space="0" w:color="auto"/>
            </w:tcBorders>
          </w:tcPr>
          <w:p w14:paraId="3F90E6E6" w14:textId="77777777" w:rsidR="002D5AAC" w:rsidRDefault="002D5AAC" w:rsidP="005A2FC9"/>
        </w:tc>
        <w:tc>
          <w:tcPr>
            <w:tcW w:w="2273" w:type="dxa"/>
            <w:tcBorders>
              <w:bottom w:val="single" w:sz="4" w:space="0" w:color="auto"/>
            </w:tcBorders>
            <w:vAlign w:val="bottom"/>
          </w:tcPr>
          <w:p w14:paraId="34F6D069" w14:textId="77777777" w:rsidR="002D5AAC" w:rsidRPr="00BD33EE" w:rsidRDefault="00BD33EE" w:rsidP="005A2FC9">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7BA6113A" w14:textId="5895023F" w:rsidR="002D5AAC" w:rsidRDefault="006D6AEA" w:rsidP="006D6AEA">
            <w:pPr>
              <w:jc w:val="right"/>
            </w:pPr>
            <w:r w:rsidRPr="006D6AEA">
              <w:rPr>
                <w:sz w:val="40"/>
              </w:rPr>
              <w:t>E</w:t>
            </w:r>
            <w:r>
              <w:t>/C.12/URY/CO/5</w:t>
            </w:r>
          </w:p>
        </w:tc>
      </w:tr>
      <w:tr w:rsidR="002D5AAC" w14:paraId="6DDBEDF4" w14:textId="77777777" w:rsidTr="006D6AEA">
        <w:trPr>
          <w:trHeight w:hRule="exact" w:val="2835"/>
        </w:trPr>
        <w:tc>
          <w:tcPr>
            <w:tcW w:w="1280" w:type="dxa"/>
            <w:tcBorders>
              <w:top w:val="single" w:sz="4" w:space="0" w:color="auto"/>
              <w:bottom w:val="single" w:sz="12" w:space="0" w:color="auto"/>
            </w:tcBorders>
          </w:tcPr>
          <w:p w14:paraId="0626D819" w14:textId="77777777" w:rsidR="002D5AAC" w:rsidRDefault="0043503C" w:rsidP="005A2FC9">
            <w:pPr>
              <w:spacing w:before="120"/>
              <w:jc w:val="center"/>
            </w:pPr>
            <w:r>
              <w:rPr>
                <w:noProof/>
              </w:rPr>
              <w:drawing>
                <wp:inline distT="0" distB="0" distL="0" distR="0" wp14:anchorId="685FFE99" wp14:editId="45B71FB4">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B3CF13B" w14:textId="77777777" w:rsidR="002D5AAC" w:rsidRPr="00BD33EE" w:rsidRDefault="004B19F2" w:rsidP="005A2FC9">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14:paraId="0BFF161D" w14:textId="51680634" w:rsidR="002D5AAC" w:rsidRDefault="006D6AEA" w:rsidP="006D6AEA">
            <w:pPr>
              <w:spacing w:before="240" w:line="240" w:lineRule="exact"/>
            </w:pPr>
            <w:r>
              <w:t xml:space="preserve">Distr. </w:t>
            </w:r>
            <w:r w:rsidR="00A631CE">
              <w:t>general</w:t>
            </w:r>
          </w:p>
          <w:p w14:paraId="54001A6B" w14:textId="7D5CA158" w:rsidR="006D6AEA" w:rsidRDefault="00F362DC" w:rsidP="006D6AEA">
            <w:pPr>
              <w:spacing w:line="240" w:lineRule="exact"/>
            </w:pPr>
            <w:r>
              <w:t>20</w:t>
            </w:r>
            <w:r w:rsidR="00D93A9C">
              <w:t xml:space="preserve"> </w:t>
            </w:r>
            <w:r w:rsidR="006D6AEA">
              <w:t>de ju</w:t>
            </w:r>
            <w:r w:rsidR="00A631CE">
              <w:t>l</w:t>
            </w:r>
            <w:r w:rsidR="006D6AEA">
              <w:t>io de 2017</w:t>
            </w:r>
          </w:p>
          <w:p w14:paraId="23026A71" w14:textId="77777777" w:rsidR="006D6AEA" w:rsidRDefault="006D6AEA" w:rsidP="006D6AEA">
            <w:pPr>
              <w:spacing w:line="240" w:lineRule="exact"/>
            </w:pPr>
          </w:p>
          <w:p w14:paraId="2EBA3649" w14:textId="77777777" w:rsidR="006D6AEA" w:rsidRDefault="006D6AEA" w:rsidP="006D6AEA">
            <w:pPr>
              <w:spacing w:line="240" w:lineRule="exact"/>
            </w:pPr>
            <w:r>
              <w:t>Original: español</w:t>
            </w:r>
          </w:p>
          <w:p w14:paraId="38C16211" w14:textId="52372F7C" w:rsidR="006D6AEA" w:rsidRDefault="006D6AEA" w:rsidP="006D6AEA">
            <w:pPr>
              <w:spacing w:line="240" w:lineRule="exact"/>
            </w:pPr>
          </w:p>
        </w:tc>
      </w:tr>
    </w:tbl>
    <w:p w14:paraId="2944AA4B" w14:textId="2F1A4D96" w:rsidR="006D6AEA" w:rsidRPr="00345104" w:rsidRDefault="006D6AEA" w:rsidP="006D6AEA">
      <w:pPr>
        <w:spacing w:before="120"/>
        <w:rPr>
          <w:lang w:val="es-ES_tradnl"/>
        </w:rPr>
      </w:pPr>
      <w:r w:rsidRPr="00345104">
        <w:rPr>
          <w:b/>
          <w:sz w:val="24"/>
          <w:lang w:val="es-ES_tradnl"/>
        </w:rPr>
        <w:t>Comité de Derechos Económicos, Sociales y Culturales</w:t>
      </w:r>
    </w:p>
    <w:p w14:paraId="00811AA8" w14:textId="6E15F6D4" w:rsidR="006D6AEA" w:rsidRPr="00345104" w:rsidRDefault="006D6AEA" w:rsidP="00345104">
      <w:pPr>
        <w:pStyle w:val="HChG"/>
        <w:rPr>
          <w:b w:val="0"/>
          <w:lang w:val="es-ES_tradnl"/>
        </w:rPr>
      </w:pPr>
      <w:r w:rsidRPr="00345104">
        <w:rPr>
          <w:lang w:val="es-ES_tradnl"/>
        </w:rPr>
        <w:tab/>
      </w:r>
      <w:r w:rsidRPr="00345104">
        <w:rPr>
          <w:lang w:val="es-ES_tradnl"/>
        </w:rPr>
        <w:tab/>
      </w:r>
      <w:r w:rsidR="00F1490D" w:rsidRPr="00345104">
        <w:rPr>
          <w:lang w:val="es-ES_tradnl"/>
        </w:rPr>
        <w:t xml:space="preserve">Observaciones finales sobre </w:t>
      </w:r>
      <w:r w:rsidR="00F1490D" w:rsidRPr="00EA1755">
        <w:rPr>
          <w:lang w:val="es-ES_tradnl"/>
        </w:rPr>
        <w:t xml:space="preserve">el quinto informe periódico </w:t>
      </w:r>
      <w:r w:rsidR="00E708C3" w:rsidRPr="00FA009D">
        <w:rPr>
          <w:lang w:val="es-ES_tradnl"/>
        </w:rPr>
        <w:br/>
      </w:r>
      <w:r w:rsidR="00F1490D" w:rsidRPr="00FA009D">
        <w:rPr>
          <w:lang w:val="es-ES_tradnl"/>
        </w:rPr>
        <w:t>del Uruguay</w:t>
      </w:r>
      <w:r w:rsidRPr="00345104">
        <w:rPr>
          <w:b w:val="0"/>
          <w:sz w:val="20"/>
          <w:lang w:val="es-ES_tradnl"/>
        </w:rPr>
        <w:footnoteReference w:customMarkFollows="1" w:id="1"/>
        <w:t>*</w:t>
      </w:r>
    </w:p>
    <w:p w14:paraId="31BAE206" w14:textId="13F3143E" w:rsidR="000220F3" w:rsidRPr="00345104" w:rsidRDefault="00CE22BA" w:rsidP="00345104">
      <w:pPr>
        <w:pStyle w:val="SingleTxtG"/>
        <w:rPr>
          <w:lang w:val="es-ES_tradnl"/>
        </w:rPr>
      </w:pPr>
      <w:r w:rsidRPr="00345104">
        <w:rPr>
          <w:lang w:val="es-ES_tradnl"/>
        </w:rPr>
        <w:t>1.</w:t>
      </w:r>
      <w:r w:rsidRPr="00345104">
        <w:rPr>
          <w:lang w:val="es-ES_tradnl"/>
        </w:rPr>
        <w:tab/>
      </w:r>
      <w:r w:rsidR="000220F3" w:rsidRPr="00345104">
        <w:rPr>
          <w:lang w:val="es-ES_tradnl"/>
        </w:rPr>
        <w:t>El Comité examinó el quinto informe periódico de</w:t>
      </w:r>
      <w:r w:rsidR="000576EE" w:rsidRPr="00345104">
        <w:rPr>
          <w:lang w:val="es-ES_tradnl"/>
        </w:rPr>
        <w:t>l</w:t>
      </w:r>
      <w:r w:rsidR="000220F3" w:rsidRPr="00345104">
        <w:rPr>
          <w:lang w:val="es-ES_tradnl"/>
        </w:rPr>
        <w:t xml:space="preserve"> Uruguay (E/C.12/URY/5) en sus sesiones </w:t>
      </w:r>
      <w:r w:rsidR="00265AB6" w:rsidRPr="00345104">
        <w:rPr>
          <w:lang w:val="es-ES_tradnl"/>
        </w:rPr>
        <w:t>15</w:t>
      </w:r>
      <w:r w:rsidR="000220F3" w:rsidRPr="00345104">
        <w:rPr>
          <w:lang w:val="es-ES_tradnl"/>
        </w:rPr>
        <w:t xml:space="preserve">ª y </w:t>
      </w:r>
      <w:r w:rsidR="00265AB6" w:rsidRPr="00345104">
        <w:rPr>
          <w:lang w:val="es-ES_tradnl"/>
        </w:rPr>
        <w:t>16</w:t>
      </w:r>
      <w:r w:rsidR="000220F3" w:rsidRPr="00345104">
        <w:rPr>
          <w:lang w:val="es-ES_tradnl"/>
        </w:rPr>
        <w:t>ª (véanse E/C.12/SR.</w:t>
      </w:r>
      <w:r w:rsidR="00265AB6" w:rsidRPr="00345104">
        <w:rPr>
          <w:lang w:val="es-ES_tradnl"/>
        </w:rPr>
        <w:t>15</w:t>
      </w:r>
      <w:r w:rsidR="000220F3" w:rsidRPr="00345104">
        <w:rPr>
          <w:lang w:val="es-ES_tradnl"/>
        </w:rPr>
        <w:t xml:space="preserve"> y </w:t>
      </w:r>
      <w:r w:rsidR="00265AB6" w:rsidRPr="00345104">
        <w:rPr>
          <w:lang w:val="es-ES_tradnl"/>
        </w:rPr>
        <w:t>16</w:t>
      </w:r>
      <w:r w:rsidR="000220F3" w:rsidRPr="00345104">
        <w:rPr>
          <w:lang w:val="es-ES_tradnl"/>
        </w:rPr>
        <w:t>), celebradas los días 31</w:t>
      </w:r>
      <w:r w:rsidR="00DF3D65" w:rsidRPr="00345104">
        <w:rPr>
          <w:lang w:val="es-ES_tradnl"/>
        </w:rPr>
        <w:t xml:space="preserve"> </w:t>
      </w:r>
      <w:r w:rsidR="000220F3" w:rsidRPr="00345104">
        <w:rPr>
          <w:lang w:val="es-ES_tradnl"/>
        </w:rPr>
        <w:t>de mayo y 1 de junio de 2017</w:t>
      </w:r>
      <w:r w:rsidR="00B43E29" w:rsidRPr="00345104">
        <w:rPr>
          <w:lang w:val="es-ES_tradnl"/>
        </w:rPr>
        <w:t>, y aprobó las presentes observaciones finales e</w:t>
      </w:r>
      <w:r w:rsidR="000220F3" w:rsidRPr="00345104">
        <w:rPr>
          <w:lang w:val="es-ES_tradnl"/>
        </w:rPr>
        <w:t xml:space="preserve">n su </w:t>
      </w:r>
      <w:r w:rsidR="00265AB6" w:rsidRPr="00345104">
        <w:rPr>
          <w:lang w:val="es-ES_tradnl"/>
        </w:rPr>
        <w:t>4</w:t>
      </w:r>
      <w:r w:rsidR="00176057" w:rsidRPr="00345104">
        <w:rPr>
          <w:lang w:val="es-ES_tradnl"/>
        </w:rPr>
        <w:t>7</w:t>
      </w:r>
      <w:r w:rsidR="000220F3" w:rsidRPr="00345104">
        <w:rPr>
          <w:lang w:val="es-ES_tradnl"/>
        </w:rPr>
        <w:t>ª sesión, celebrada el 23 de junio de 2017.</w:t>
      </w:r>
    </w:p>
    <w:p w14:paraId="697DC7E2" w14:textId="77777777" w:rsidR="000220F3" w:rsidRPr="00345104" w:rsidRDefault="000220F3" w:rsidP="00345104">
      <w:pPr>
        <w:pStyle w:val="H1G"/>
        <w:rPr>
          <w:lang w:val="es-ES_tradnl"/>
        </w:rPr>
      </w:pPr>
      <w:r w:rsidRPr="00345104">
        <w:rPr>
          <w:lang w:val="es-ES_tradnl"/>
        </w:rPr>
        <w:tab/>
        <w:t>A.</w:t>
      </w:r>
      <w:r w:rsidRPr="00345104">
        <w:rPr>
          <w:lang w:val="es-ES_tradnl"/>
        </w:rPr>
        <w:tab/>
        <w:t>Introducción</w:t>
      </w:r>
    </w:p>
    <w:p w14:paraId="196A22CA" w14:textId="43063888" w:rsidR="000220F3" w:rsidRPr="00345104" w:rsidRDefault="00CE22BA" w:rsidP="00345104">
      <w:pPr>
        <w:pStyle w:val="SingleTxtG"/>
        <w:rPr>
          <w:lang w:val="es-ES_tradnl"/>
        </w:rPr>
      </w:pPr>
      <w:r w:rsidRPr="00345104">
        <w:rPr>
          <w:lang w:val="es-ES_tradnl"/>
        </w:rPr>
        <w:t>2.</w:t>
      </w:r>
      <w:r w:rsidRPr="00345104">
        <w:rPr>
          <w:lang w:val="es-ES_tradnl"/>
        </w:rPr>
        <w:tab/>
      </w:r>
      <w:r w:rsidR="000220F3" w:rsidRPr="00191075">
        <w:rPr>
          <w:lang w:val="es-ES_tradnl"/>
        </w:rPr>
        <w:t>El Comité acoge con satisfacción la presentación del quinto informe periódico de</w:t>
      </w:r>
      <w:r w:rsidR="000576EE" w:rsidRPr="00191075">
        <w:rPr>
          <w:lang w:val="es-ES_tradnl"/>
        </w:rPr>
        <w:t>l</w:t>
      </w:r>
      <w:r w:rsidR="000220F3" w:rsidRPr="00191075">
        <w:rPr>
          <w:lang w:val="es-ES_tradnl"/>
        </w:rPr>
        <w:t xml:space="preserve"> Uruguay y las respuestas a la lista de cuestiones presentadas por escrito (E/C.12/URY/Q/5/Add.1), que se complementaron con las respuestas orales facilitadas por la delegación. </w:t>
      </w:r>
      <w:r w:rsidR="000220F3" w:rsidRPr="00345104">
        <w:rPr>
          <w:lang w:val="es-ES_tradnl"/>
        </w:rPr>
        <w:t>El Comité expresa su reconocimiento por el diálogo abierto y constructivo sostenido con la delegación</w:t>
      </w:r>
      <w:r w:rsidR="00DF3D65" w:rsidRPr="00345104">
        <w:rPr>
          <w:lang w:val="es-ES_tradnl"/>
        </w:rPr>
        <w:t xml:space="preserve"> </w:t>
      </w:r>
      <w:r w:rsidR="000220F3" w:rsidRPr="00345104">
        <w:rPr>
          <w:lang w:val="es-ES_tradnl"/>
        </w:rPr>
        <w:t>del Estado parte</w:t>
      </w:r>
      <w:r w:rsidR="000220F3" w:rsidRPr="00191075">
        <w:rPr>
          <w:lang w:val="es-ES_tradnl"/>
        </w:rPr>
        <w:t xml:space="preserve">. El Comité agradece </w:t>
      </w:r>
      <w:r w:rsidR="000220F3" w:rsidRPr="00345104">
        <w:rPr>
          <w:lang w:val="es-ES_tradnl"/>
        </w:rPr>
        <w:t>que se haya remitido la información adicional ofrecida durante el diálogo</w:t>
      </w:r>
      <w:r w:rsidR="000220F3" w:rsidRPr="00191075">
        <w:rPr>
          <w:lang w:val="es-ES_tradnl"/>
        </w:rPr>
        <w:t>.</w:t>
      </w:r>
      <w:r w:rsidR="000220F3" w:rsidRPr="00345104">
        <w:rPr>
          <w:rFonts w:eastAsia="SimSun"/>
          <w:lang w:val="es-ES_tradnl" w:eastAsia="zh-CN"/>
        </w:rPr>
        <w:t xml:space="preserve"> </w:t>
      </w:r>
    </w:p>
    <w:p w14:paraId="17C55243" w14:textId="77777777" w:rsidR="000220F3" w:rsidRPr="00345104" w:rsidRDefault="000220F3" w:rsidP="00176057">
      <w:pPr>
        <w:pStyle w:val="H1G"/>
        <w:rPr>
          <w:lang w:val="es-ES_tradnl"/>
        </w:rPr>
      </w:pPr>
      <w:r w:rsidRPr="00345104">
        <w:rPr>
          <w:lang w:val="es-ES_tradnl"/>
        </w:rPr>
        <w:tab/>
        <w:t>B.</w:t>
      </w:r>
      <w:r w:rsidRPr="00345104">
        <w:rPr>
          <w:lang w:val="es-ES_tradnl"/>
        </w:rPr>
        <w:tab/>
        <w:t>Aspectos positivos</w:t>
      </w:r>
    </w:p>
    <w:p w14:paraId="7221D499" w14:textId="6735DCAD" w:rsidR="00AC7860" w:rsidRPr="00191075" w:rsidRDefault="00CE22BA" w:rsidP="00345104">
      <w:pPr>
        <w:pStyle w:val="SingleTxtG"/>
        <w:rPr>
          <w:lang w:val="es-ES_tradnl"/>
        </w:rPr>
      </w:pPr>
      <w:r w:rsidRPr="00345104">
        <w:rPr>
          <w:lang w:val="es-ES_tradnl"/>
        </w:rPr>
        <w:t>3.</w:t>
      </w:r>
      <w:r w:rsidRPr="00345104">
        <w:rPr>
          <w:lang w:val="es-ES_tradnl"/>
        </w:rPr>
        <w:tab/>
      </w:r>
      <w:r w:rsidR="00AC7860" w:rsidRPr="00191075">
        <w:rPr>
          <w:lang w:val="es-ES_tradnl"/>
        </w:rPr>
        <w:t>El Comité acoge con satisfacción la ratificación del Protocolo Facultativo del Pacto Internacional de Derechos Económicos, Sociales y Culturales, el 5 de febrero de 2013.</w:t>
      </w:r>
    </w:p>
    <w:p w14:paraId="5B00457A" w14:textId="6AF57FD4" w:rsidR="00AC7860" w:rsidRPr="00191075" w:rsidRDefault="00CE22BA" w:rsidP="00345104">
      <w:pPr>
        <w:pStyle w:val="SingleTxtG"/>
        <w:rPr>
          <w:lang w:val="es-ES_tradnl"/>
        </w:rPr>
      </w:pPr>
      <w:r w:rsidRPr="00345104">
        <w:rPr>
          <w:lang w:val="es-ES_tradnl"/>
        </w:rPr>
        <w:t>4.</w:t>
      </w:r>
      <w:r w:rsidRPr="00345104">
        <w:rPr>
          <w:lang w:val="es-ES_tradnl"/>
        </w:rPr>
        <w:tab/>
      </w:r>
      <w:r w:rsidR="00AC7860" w:rsidRPr="00191075">
        <w:rPr>
          <w:lang w:val="es-ES_tradnl"/>
        </w:rPr>
        <w:t>El Comité celebra la ratificación de los siguientes instrumentos internacionales o la adhesión a los mismos:</w:t>
      </w:r>
    </w:p>
    <w:p w14:paraId="34764FDC" w14:textId="64AEA359" w:rsidR="00AC7860" w:rsidRPr="00345104" w:rsidRDefault="0026337A" w:rsidP="0026337A">
      <w:pPr>
        <w:pStyle w:val="SingleTxtG"/>
        <w:rPr>
          <w:lang w:val="es-ES_tradnl"/>
        </w:rPr>
      </w:pPr>
      <w:r w:rsidRPr="00191075">
        <w:rPr>
          <w:lang w:val="es-ES_tradnl"/>
        </w:rPr>
        <w:tab/>
        <w:t>a)</w:t>
      </w:r>
      <w:r w:rsidRPr="00191075">
        <w:rPr>
          <w:lang w:val="es-ES_tradnl"/>
        </w:rPr>
        <w:tab/>
      </w:r>
      <w:r w:rsidR="00AC7860" w:rsidRPr="00345104">
        <w:rPr>
          <w:lang w:val="es-ES_tradnl"/>
        </w:rPr>
        <w:t xml:space="preserve">El Protocolo Facultativo de la Convención sobre los Derechos del Niño relativo a un </w:t>
      </w:r>
      <w:r w:rsidR="00D17777" w:rsidRPr="00345104">
        <w:rPr>
          <w:lang w:val="es-ES_tradnl"/>
        </w:rPr>
        <w:t>P</w:t>
      </w:r>
      <w:r w:rsidR="00AC7860" w:rsidRPr="00345104">
        <w:rPr>
          <w:lang w:val="es-ES_tradnl"/>
        </w:rPr>
        <w:t xml:space="preserve">rocedimiento de </w:t>
      </w:r>
      <w:r w:rsidR="00D17777" w:rsidRPr="00345104">
        <w:rPr>
          <w:lang w:val="es-ES_tradnl"/>
        </w:rPr>
        <w:t>C</w:t>
      </w:r>
      <w:r w:rsidR="00AC7860" w:rsidRPr="00345104">
        <w:rPr>
          <w:lang w:val="es-ES_tradnl"/>
        </w:rPr>
        <w:t>omunicaciones, el 23 de febrero de 2015;</w:t>
      </w:r>
    </w:p>
    <w:p w14:paraId="0C4EF745" w14:textId="29CD9CEB" w:rsidR="00AC7860" w:rsidRPr="00345104" w:rsidRDefault="00AC7860" w:rsidP="0026337A">
      <w:pPr>
        <w:pStyle w:val="SingleTxtG"/>
        <w:rPr>
          <w:lang w:val="es-ES_tradnl"/>
        </w:rPr>
      </w:pPr>
      <w:r w:rsidRPr="00345104">
        <w:rPr>
          <w:lang w:val="es-ES_tradnl"/>
        </w:rPr>
        <w:tab/>
        <w:t>b)</w:t>
      </w:r>
      <w:r w:rsidRPr="00345104">
        <w:rPr>
          <w:lang w:val="es-ES_tradnl"/>
        </w:rPr>
        <w:tab/>
        <w:t>El Protocolo Facultativo de la Convención sobre los Derechos de las Personas con Discapacidad, el 28 de octubre de 2011.</w:t>
      </w:r>
    </w:p>
    <w:p w14:paraId="07F194A2" w14:textId="60D1C814" w:rsidR="000220F3" w:rsidRPr="00191075" w:rsidRDefault="00CE22BA" w:rsidP="00345104">
      <w:pPr>
        <w:pStyle w:val="SingleTxtG"/>
        <w:rPr>
          <w:lang w:val="es-ES_tradnl"/>
        </w:rPr>
      </w:pPr>
      <w:r w:rsidRPr="00345104">
        <w:rPr>
          <w:lang w:val="es-ES_tradnl"/>
        </w:rPr>
        <w:t>5.</w:t>
      </w:r>
      <w:r w:rsidRPr="00345104">
        <w:rPr>
          <w:lang w:val="es-ES_tradnl"/>
        </w:rPr>
        <w:tab/>
      </w:r>
      <w:r w:rsidR="000220F3" w:rsidRPr="00191075">
        <w:rPr>
          <w:lang w:val="es-ES_tradnl"/>
        </w:rPr>
        <w:t>El Comité</w:t>
      </w:r>
      <w:r w:rsidR="004C5C55" w:rsidRPr="00191075">
        <w:rPr>
          <w:lang w:val="es-ES_tradnl"/>
        </w:rPr>
        <w:t xml:space="preserve"> acoge con satisfacción las medidas legislativas, institucionales y de política que se han adoptado para promover el disfrute de los derechos económicos, sociales y culturales en el </w:t>
      </w:r>
      <w:r w:rsidR="000220F3" w:rsidRPr="00191075">
        <w:rPr>
          <w:lang w:val="es-ES_tradnl"/>
        </w:rPr>
        <w:t>Estado parte</w:t>
      </w:r>
      <w:r w:rsidR="00DF3D65" w:rsidRPr="00191075">
        <w:rPr>
          <w:lang w:val="es-ES_tradnl"/>
        </w:rPr>
        <w:t>, entre otras</w:t>
      </w:r>
      <w:r w:rsidR="000220F3" w:rsidRPr="00191075">
        <w:rPr>
          <w:lang w:val="es-ES_tradnl"/>
        </w:rPr>
        <w:t>:</w:t>
      </w:r>
      <w:bookmarkStart w:id="0" w:name="_GoBack"/>
      <w:bookmarkEnd w:id="0"/>
    </w:p>
    <w:p w14:paraId="59DFB87B" w14:textId="1ABD8718" w:rsidR="000220F3" w:rsidRPr="00345104" w:rsidRDefault="0026337A" w:rsidP="0026337A">
      <w:pPr>
        <w:pStyle w:val="SingleTxtG"/>
        <w:rPr>
          <w:rFonts w:eastAsia="Calibri"/>
          <w:lang w:val="es-ES_tradnl"/>
        </w:rPr>
      </w:pPr>
      <w:r w:rsidRPr="00191075">
        <w:rPr>
          <w:lang w:val="es-ES_tradnl"/>
        </w:rPr>
        <w:tab/>
        <w:t>a)</w:t>
      </w:r>
      <w:r w:rsidRPr="00191075">
        <w:rPr>
          <w:lang w:val="es-ES_tradnl"/>
        </w:rPr>
        <w:tab/>
      </w:r>
      <w:r w:rsidR="00DF3D65" w:rsidRPr="00345104">
        <w:rPr>
          <w:rFonts w:eastAsia="Calibri"/>
          <w:lang w:val="es-ES_tradnl"/>
        </w:rPr>
        <w:t xml:space="preserve">La </w:t>
      </w:r>
      <w:r w:rsidR="000220F3" w:rsidRPr="00345104">
        <w:rPr>
          <w:rFonts w:eastAsia="Calibri"/>
          <w:lang w:val="es-ES_tradnl"/>
        </w:rPr>
        <w:t xml:space="preserve">Ley </w:t>
      </w:r>
      <w:r w:rsidR="00194F93" w:rsidRPr="00345104">
        <w:rPr>
          <w:rFonts w:eastAsia="Calibri"/>
          <w:lang w:val="es-ES_tradnl"/>
        </w:rPr>
        <w:t xml:space="preserve">núm. </w:t>
      </w:r>
      <w:r w:rsidR="000220F3" w:rsidRPr="00345104">
        <w:rPr>
          <w:rFonts w:eastAsia="Calibri"/>
          <w:lang w:val="es-ES_tradnl"/>
        </w:rPr>
        <w:t>19353 que crea el Sistema Nacional Integrado de Cuidados</w:t>
      </w:r>
      <w:r w:rsidR="00194F93" w:rsidRPr="00345104">
        <w:rPr>
          <w:rFonts w:eastAsia="Calibri"/>
          <w:lang w:val="es-ES_tradnl"/>
        </w:rPr>
        <w:t>,</w:t>
      </w:r>
      <w:r w:rsidR="004C5C55" w:rsidRPr="00345104">
        <w:rPr>
          <w:rFonts w:eastAsia="Calibri"/>
          <w:lang w:val="es-ES_tradnl"/>
        </w:rPr>
        <w:t xml:space="preserve"> de </w:t>
      </w:r>
      <w:r w:rsidR="000220F3" w:rsidRPr="00345104">
        <w:rPr>
          <w:rFonts w:eastAsia="Calibri"/>
          <w:lang w:val="es-ES_tradnl"/>
        </w:rPr>
        <w:t>noviembre de 2015;</w:t>
      </w:r>
    </w:p>
    <w:p w14:paraId="5E2C3CD7" w14:textId="4CA180AF" w:rsidR="00CC34F8" w:rsidRPr="00345104" w:rsidRDefault="0026337A" w:rsidP="0026337A">
      <w:pPr>
        <w:pStyle w:val="SingleTxtG"/>
        <w:rPr>
          <w:lang w:val="es-ES_tradnl"/>
        </w:rPr>
      </w:pPr>
      <w:r w:rsidRPr="00191075">
        <w:rPr>
          <w:lang w:val="es-ES_tradnl"/>
        </w:rPr>
        <w:tab/>
        <w:t>b)</w:t>
      </w:r>
      <w:r w:rsidRPr="00191075">
        <w:rPr>
          <w:lang w:val="es-ES_tradnl"/>
        </w:rPr>
        <w:tab/>
      </w:r>
      <w:r w:rsidR="00DF3D65" w:rsidRPr="00345104">
        <w:rPr>
          <w:lang w:val="es-ES_tradnl"/>
        </w:rPr>
        <w:t xml:space="preserve">La </w:t>
      </w:r>
      <w:r w:rsidR="00CC34F8" w:rsidRPr="00345104">
        <w:rPr>
          <w:lang w:val="es-ES_tradnl"/>
        </w:rPr>
        <w:t xml:space="preserve">Ley </w:t>
      </w:r>
      <w:r w:rsidR="00194F93" w:rsidRPr="00345104">
        <w:rPr>
          <w:lang w:val="es-ES_tradnl"/>
        </w:rPr>
        <w:t xml:space="preserve">núm. </w:t>
      </w:r>
      <w:r w:rsidR="00DF3D65" w:rsidRPr="00345104">
        <w:rPr>
          <w:lang w:val="es-ES_tradnl"/>
        </w:rPr>
        <w:t xml:space="preserve">19161 </w:t>
      </w:r>
      <w:r w:rsidR="00CC34F8" w:rsidRPr="00345104">
        <w:rPr>
          <w:lang w:val="es-ES_tradnl"/>
        </w:rPr>
        <w:t xml:space="preserve">de </w:t>
      </w:r>
      <w:r w:rsidR="00EA1755">
        <w:rPr>
          <w:lang w:val="es-ES_tradnl"/>
        </w:rPr>
        <w:t>S</w:t>
      </w:r>
      <w:r w:rsidR="00CC34F8" w:rsidRPr="00345104">
        <w:rPr>
          <w:lang w:val="es-ES_tradnl"/>
        </w:rPr>
        <w:t xml:space="preserve">ubsidios de </w:t>
      </w:r>
      <w:r w:rsidR="00EA1755">
        <w:rPr>
          <w:lang w:val="es-ES_tradnl"/>
        </w:rPr>
        <w:t>M</w:t>
      </w:r>
      <w:r w:rsidR="00CC34F8" w:rsidRPr="00345104">
        <w:rPr>
          <w:lang w:val="es-ES_tradnl"/>
        </w:rPr>
        <w:t xml:space="preserve">aternidad y </w:t>
      </w:r>
      <w:r w:rsidR="00EA1755">
        <w:rPr>
          <w:lang w:val="es-ES_tradnl"/>
        </w:rPr>
        <w:t>P</w:t>
      </w:r>
      <w:r w:rsidR="00CC34F8" w:rsidRPr="00345104">
        <w:rPr>
          <w:lang w:val="es-ES_tradnl"/>
        </w:rPr>
        <w:t>aternidad</w:t>
      </w:r>
      <w:r w:rsidR="00D57B9D" w:rsidRPr="00345104">
        <w:rPr>
          <w:lang w:val="es-ES_tradnl"/>
        </w:rPr>
        <w:t>,</w:t>
      </w:r>
      <w:r w:rsidR="00643958" w:rsidRPr="00345104">
        <w:rPr>
          <w:lang w:val="es-ES_tradnl"/>
        </w:rPr>
        <w:t xml:space="preserve"> de noviembre de 2013</w:t>
      </w:r>
      <w:r w:rsidR="00DF3D65" w:rsidRPr="00345104">
        <w:rPr>
          <w:lang w:val="es-ES_tradnl"/>
        </w:rPr>
        <w:t>;</w:t>
      </w:r>
    </w:p>
    <w:p w14:paraId="76B53846" w14:textId="2B8DB9C2" w:rsidR="004C5C55" w:rsidRPr="00345104" w:rsidRDefault="0026337A" w:rsidP="0026337A">
      <w:pPr>
        <w:pStyle w:val="SingleTxtG"/>
        <w:rPr>
          <w:lang w:val="es-ES_tradnl"/>
        </w:rPr>
      </w:pPr>
      <w:r w:rsidRPr="00191075">
        <w:rPr>
          <w:lang w:val="es-ES_tradnl"/>
        </w:rPr>
        <w:lastRenderedPageBreak/>
        <w:tab/>
        <w:t>c)</w:t>
      </w:r>
      <w:r w:rsidRPr="00191075">
        <w:rPr>
          <w:lang w:val="es-ES_tradnl"/>
        </w:rPr>
        <w:tab/>
      </w:r>
      <w:r w:rsidR="004C5C55" w:rsidRPr="00345104">
        <w:rPr>
          <w:lang w:val="es-ES_tradnl"/>
        </w:rPr>
        <w:t xml:space="preserve">La Ley </w:t>
      </w:r>
      <w:r w:rsidR="00D57B9D" w:rsidRPr="00345104">
        <w:rPr>
          <w:lang w:val="es-ES_tradnl"/>
        </w:rPr>
        <w:t xml:space="preserve">núm. </w:t>
      </w:r>
      <w:r w:rsidR="004C5C55" w:rsidRPr="00345104">
        <w:rPr>
          <w:lang w:val="es-ES_tradnl"/>
        </w:rPr>
        <w:t>19140 sobre la p</w:t>
      </w:r>
      <w:r w:rsidR="004C5C55" w:rsidRPr="00345104">
        <w:rPr>
          <w:iCs/>
          <w:lang w:val="es-ES_tradnl"/>
        </w:rPr>
        <w:t>rotección de la salud de la población infantil y adolescente a través de la promoción de hábitos alimenticios saludables y su reglamento</w:t>
      </w:r>
      <w:r w:rsidR="00D57B9D" w:rsidRPr="00345104">
        <w:rPr>
          <w:iCs/>
          <w:lang w:val="es-ES_tradnl"/>
        </w:rPr>
        <w:t>,</w:t>
      </w:r>
      <w:r w:rsidR="004C5C55" w:rsidRPr="00345104">
        <w:rPr>
          <w:iCs/>
          <w:lang w:val="es-ES_tradnl"/>
        </w:rPr>
        <w:t xml:space="preserve"> de octubre de 2013 y marzo de 2014, respectivamente</w:t>
      </w:r>
      <w:r w:rsidR="00D5473E" w:rsidRPr="00345104">
        <w:rPr>
          <w:iCs/>
          <w:lang w:val="es-ES_tradnl"/>
        </w:rPr>
        <w:t>;</w:t>
      </w:r>
      <w:r w:rsidR="004C5C55" w:rsidRPr="00345104">
        <w:rPr>
          <w:iCs/>
          <w:lang w:val="es-ES_tradnl"/>
        </w:rPr>
        <w:t xml:space="preserve"> </w:t>
      </w:r>
    </w:p>
    <w:p w14:paraId="213CBD5C" w14:textId="771C19F8" w:rsidR="000220F3" w:rsidRPr="00191075" w:rsidRDefault="0026337A" w:rsidP="0026337A">
      <w:pPr>
        <w:pStyle w:val="SingleTxtG"/>
        <w:rPr>
          <w:lang w:val="es-ES_tradnl"/>
        </w:rPr>
      </w:pPr>
      <w:r w:rsidRPr="00191075">
        <w:rPr>
          <w:lang w:val="es-ES_tradnl"/>
        </w:rPr>
        <w:tab/>
        <w:t>d)</w:t>
      </w:r>
      <w:r w:rsidRPr="00191075">
        <w:rPr>
          <w:lang w:val="es-ES_tradnl"/>
        </w:rPr>
        <w:tab/>
      </w:r>
      <w:r w:rsidR="009F2B7B" w:rsidRPr="00191075">
        <w:rPr>
          <w:lang w:val="es-ES_tradnl"/>
        </w:rPr>
        <w:t xml:space="preserve">La </w:t>
      </w:r>
      <w:r w:rsidR="002E4707" w:rsidRPr="00191075">
        <w:rPr>
          <w:lang w:val="es-ES_tradnl"/>
        </w:rPr>
        <w:t xml:space="preserve">Ley </w:t>
      </w:r>
      <w:r w:rsidR="000B5222" w:rsidRPr="00191075">
        <w:rPr>
          <w:lang w:val="es-ES_tradnl"/>
        </w:rPr>
        <w:t xml:space="preserve">núm. </w:t>
      </w:r>
      <w:r w:rsidR="002E4707" w:rsidRPr="00191075">
        <w:rPr>
          <w:lang w:val="es-ES_tradnl"/>
        </w:rPr>
        <w:t xml:space="preserve">19122 </w:t>
      </w:r>
      <w:r w:rsidR="004C5C55" w:rsidRPr="00191075">
        <w:rPr>
          <w:lang w:val="es-ES_tradnl"/>
        </w:rPr>
        <w:t>sobre normas para favorecer la participación de afrodescendientes en las áreas educativas y laboral</w:t>
      </w:r>
      <w:r w:rsidR="000B5222" w:rsidRPr="00191075">
        <w:rPr>
          <w:lang w:val="es-ES_tradnl"/>
        </w:rPr>
        <w:t>,</w:t>
      </w:r>
      <w:r w:rsidR="004C5C55" w:rsidRPr="00191075">
        <w:rPr>
          <w:lang w:val="es-ES_tradnl"/>
        </w:rPr>
        <w:t xml:space="preserve"> de agosto de 2013; </w:t>
      </w:r>
    </w:p>
    <w:p w14:paraId="32392380" w14:textId="0C1D3EC6" w:rsidR="000220F3" w:rsidRPr="00191075" w:rsidRDefault="0026337A" w:rsidP="0026337A">
      <w:pPr>
        <w:pStyle w:val="SingleTxtG"/>
        <w:rPr>
          <w:lang w:val="es-ES_tradnl"/>
        </w:rPr>
      </w:pPr>
      <w:r w:rsidRPr="00191075">
        <w:rPr>
          <w:lang w:val="es-ES_tradnl"/>
        </w:rPr>
        <w:tab/>
        <w:t>e)</w:t>
      </w:r>
      <w:r w:rsidRPr="00191075">
        <w:rPr>
          <w:lang w:val="es-ES_tradnl"/>
        </w:rPr>
        <w:tab/>
      </w:r>
      <w:r w:rsidR="000220F3" w:rsidRPr="00191075">
        <w:rPr>
          <w:lang w:val="es-ES_tradnl"/>
        </w:rPr>
        <w:t xml:space="preserve">El establecimiento del Consejo Directivo de la Institución Nacional de Derechos Humanos y Defensoría del Pueblo, que asumió </w:t>
      </w:r>
      <w:r w:rsidR="00FC282E" w:rsidRPr="00191075">
        <w:rPr>
          <w:lang w:val="es-ES_tradnl"/>
        </w:rPr>
        <w:t xml:space="preserve">sus </w:t>
      </w:r>
      <w:r w:rsidR="000220F3" w:rsidRPr="00191075">
        <w:rPr>
          <w:lang w:val="es-ES_tradnl"/>
        </w:rPr>
        <w:t>fu</w:t>
      </w:r>
      <w:r w:rsidR="00DB5FC5" w:rsidRPr="00191075">
        <w:rPr>
          <w:lang w:val="es-ES_tradnl"/>
        </w:rPr>
        <w:t>nciones el 22 de junio de</w:t>
      </w:r>
      <w:r w:rsidR="00E708C3" w:rsidRPr="00191075">
        <w:rPr>
          <w:lang w:val="es-ES_tradnl"/>
        </w:rPr>
        <w:t> </w:t>
      </w:r>
      <w:r w:rsidR="00DB5FC5" w:rsidRPr="00191075">
        <w:rPr>
          <w:lang w:val="es-ES_tradnl"/>
        </w:rPr>
        <w:t>2012.</w:t>
      </w:r>
    </w:p>
    <w:p w14:paraId="5513BE5D" w14:textId="58FDF92F" w:rsidR="009A01F7" w:rsidRPr="00191075" w:rsidRDefault="00CE22BA" w:rsidP="00345104">
      <w:pPr>
        <w:pStyle w:val="SingleTxtG"/>
        <w:rPr>
          <w:lang w:val="es-ES_tradnl"/>
        </w:rPr>
      </w:pPr>
      <w:r w:rsidRPr="00345104">
        <w:rPr>
          <w:lang w:val="es-ES_tradnl"/>
        </w:rPr>
        <w:t>6.</w:t>
      </w:r>
      <w:r w:rsidRPr="00345104">
        <w:rPr>
          <w:lang w:val="es-ES_tradnl"/>
        </w:rPr>
        <w:tab/>
      </w:r>
      <w:r w:rsidR="009A01F7" w:rsidRPr="00191075">
        <w:rPr>
          <w:lang w:val="es-ES_tradnl"/>
        </w:rPr>
        <w:t xml:space="preserve">El Comité celebra la </w:t>
      </w:r>
      <w:r w:rsidR="00B33D44" w:rsidRPr="00191075">
        <w:rPr>
          <w:lang w:val="es-ES_tradnl"/>
        </w:rPr>
        <w:t xml:space="preserve">adopción </w:t>
      </w:r>
      <w:r w:rsidR="009A01F7" w:rsidRPr="00191075">
        <w:rPr>
          <w:lang w:val="es-ES_tradnl"/>
        </w:rPr>
        <w:t>del Sistema de Monitoreo de Recomendaciones y el establecimiento de la Red Interinstitucional para la Elaboración de Informes y seguimiento de la implementación de recomendaciones y observaciones en materia de derechos humanos, establecida en noviembre de 2016.</w:t>
      </w:r>
    </w:p>
    <w:p w14:paraId="181896C4" w14:textId="77777777" w:rsidR="000220F3" w:rsidRPr="00345104" w:rsidRDefault="000220F3" w:rsidP="0026337A">
      <w:pPr>
        <w:pStyle w:val="H1G"/>
        <w:rPr>
          <w:lang w:val="es-ES_tradnl"/>
        </w:rPr>
      </w:pPr>
      <w:r w:rsidRPr="00345104">
        <w:rPr>
          <w:lang w:val="es-ES_tradnl"/>
        </w:rPr>
        <w:tab/>
        <w:t>C.</w:t>
      </w:r>
      <w:r w:rsidRPr="00345104">
        <w:rPr>
          <w:lang w:val="es-ES_tradnl"/>
        </w:rPr>
        <w:tab/>
        <w:t>Principales motivos de preocupación y recomendaciones</w:t>
      </w:r>
    </w:p>
    <w:p w14:paraId="025CA5D0" w14:textId="3820D5FA" w:rsidR="000220F3" w:rsidRPr="00345104" w:rsidRDefault="0026337A" w:rsidP="0026337A">
      <w:pPr>
        <w:pStyle w:val="H23G"/>
        <w:rPr>
          <w:lang w:val="es-ES_tradnl"/>
        </w:rPr>
      </w:pPr>
      <w:r w:rsidRPr="00345104">
        <w:rPr>
          <w:lang w:val="es-ES_tradnl"/>
        </w:rPr>
        <w:tab/>
      </w:r>
      <w:r w:rsidRPr="00345104">
        <w:rPr>
          <w:lang w:val="es-ES_tradnl"/>
        </w:rPr>
        <w:tab/>
      </w:r>
      <w:r w:rsidR="006B0592" w:rsidRPr="00345104">
        <w:rPr>
          <w:lang w:val="es-ES_tradnl"/>
        </w:rPr>
        <w:t>Justiciabilidad</w:t>
      </w:r>
      <w:r w:rsidR="000220F3" w:rsidRPr="00345104">
        <w:rPr>
          <w:lang w:val="es-ES_tradnl"/>
        </w:rPr>
        <w:t xml:space="preserve"> del Pacto</w:t>
      </w:r>
    </w:p>
    <w:p w14:paraId="3751D06A" w14:textId="1973934A" w:rsidR="000220F3" w:rsidRPr="00191075" w:rsidRDefault="00CE22BA" w:rsidP="00345104">
      <w:pPr>
        <w:pStyle w:val="SingleTxtG"/>
        <w:rPr>
          <w:lang w:val="es-ES_tradnl"/>
        </w:rPr>
      </w:pPr>
      <w:r w:rsidRPr="00345104">
        <w:rPr>
          <w:lang w:val="es-ES_tradnl"/>
        </w:rPr>
        <w:t>7.</w:t>
      </w:r>
      <w:r w:rsidRPr="00345104">
        <w:rPr>
          <w:lang w:val="es-ES_tradnl"/>
        </w:rPr>
        <w:tab/>
      </w:r>
      <w:r w:rsidR="00DF3D65" w:rsidRPr="00191075">
        <w:rPr>
          <w:lang w:val="es-ES_tradnl"/>
        </w:rPr>
        <w:t xml:space="preserve">Si bien el Comité reconoce la aplicabilidad directa de los derechos contenidos en el Pacto en el Estado parte y agradece </w:t>
      </w:r>
      <w:r w:rsidR="00152A2B" w:rsidRPr="00191075">
        <w:rPr>
          <w:lang w:val="es-ES_tradnl"/>
        </w:rPr>
        <w:t xml:space="preserve">los </w:t>
      </w:r>
      <w:r w:rsidR="000220F3" w:rsidRPr="00191075">
        <w:rPr>
          <w:lang w:val="es-ES_tradnl"/>
        </w:rPr>
        <w:t>ejemplos proporcionados</w:t>
      </w:r>
      <w:r w:rsidR="00DF3D65" w:rsidRPr="00191075">
        <w:rPr>
          <w:lang w:val="es-ES_tradnl"/>
        </w:rPr>
        <w:t>, le</w:t>
      </w:r>
      <w:r w:rsidR="00C92BCF" w:rsidRPr="00191075">
        <w:rPr>
          <w:lang w:val="es-ES_tradnl"/>
        </w:rPr>
        <w:t xml:space="preserve"> preocupa</w:t>
      </w:r>
      <w:r w:rsidR="00B33D44" w:rsidRPr="00191075">
        <w:rPr>
          <w:lang w:val="es-ES_tradnl"/>
        </w:rPr>
        <w:t xml:space="preserve"> que</w:t>
      </w:r>
      <w:r w:rsidR="00C92BCF" w:rsidRPr="00191075">
        <w:rPr>
          <w:lang w:val="es-ES_tradnl"/>
        </w:rPr>
        <w:t xml:space="preserve"> </w:t>
      </w:r>
      <w:r w:rsidR="00AE6C60" w:rsidRPr="00191075">
        <w:rPr>
          <w:lang w:val="es-ES_tradnl"/>
        </w:rPr>
        <w:t>estos</w:t>
      </w:r>
      <w:r w:rsidR="00471E0A" w:rsidRPr="00191075">
        <w:rPr>
          <w:lang w:val="es-ES_tradnl"/>
        </w:rPr>
        <w:t xml:space="preserve"> s</w:t>
      </w:r>
      <w:r w:rsidR="00B33D44" w:rsidRPr="00191075">
        <w:rPr>
          <w:lang w:val="es-ES_tradnl"/>
        </w:rPr>
        <w:t>ea</w:t>
      </w:r>
      <w:r w:rsidR="00471E0A" w:rsidRPr="00191075">
        <w:rPr>
          <w:lang w:val="es-ES_tradnl"/>
        </w:rPr>
        <w:t xml:space="preserve">n </w:t>
      </w:r>
      <w:r w:rsidR="00AE6C60" w:rsidRPr="00191075">
        <w:rPr>
          <w:lang w:val="es-ES_tradnl"/>
        </w:rPr>
        <w:t xml:space="preserve">aún escasos </w:t>
      </w:r>
      <w:r w:rsidR="00471E0A" w:rsidRPr="00191075">
        <w:rPr>
          <w:lang w:val="es-ES_tradnl"/>
        </w:rPr>
        <w:t xml:space="preserve">y </w:t>
      </w:r>
      <w:r w:rsidR="00B33D44" w:rsidRPr="00191075">
        <w:rPr>
          <w:lang w:val="es-ES_tradnl"/>
        </w:rPr>
        <w:t xml:space="preserve">que no abarquen </w:t>
      </w:r>
      <w:r w:rsidR="00417109" w:rsidRPr="00191075">
        <w:rPr>
          <w:lang w:val="es-ES_tradnl"/>
        </w:rPr>
        <w:t xml:space="preserve">un número más </w:t>
      </w:r>
      <w:r w:rsidR="00D6054C" w:rsidRPr="00191075">
        <w:rPr>
          <w:lang w:val="es-ES_tradnl"/>
        </w:rPr>
        <w:t>ampli</w:t>
      </w:r>
      <w:r w:rsidR="00417109" w:rsidRPr="00191075">
        <w:rPr>
          <w:lang w:val="es-ES_tradnl"/>
        </w:rPr>
        <w:t>o</w:t>
      </w:r>
      <w:r w:rsidR="00D6054C" w:rsidRPr="00191075">
        <w:rPr>
          <w:lang w:val="es-ES_tradnl"/>
        </w:rPr>
        <w:t xml:space="preserve"> </w:t>
      </w:r>
      <w:r w:rsidR="00417109" w:rsidRPr="00191075">
        <w:rPr>
          <w:lang w:val="es-ES_tradnl"/>
        </w:rPr>
        <w:t xml:space="preserve">de </w:t>
      </w:r>
      <w:r w:rsidR="00B33D44" w:rsidRPr="00191075">
        <w:rPr>
          <w:lang w:val="es-ES_tradnl"/>
        </w:rPr>
        <w:t xml:space="preserve">derechos protegidos </w:t>
      </w:r>
      <w:r w:rsidR="00773AB7" w:rsidRPr="00191075">
        <w:rPr>
          <w:lang w:val="es-ES_tradnl"/>
        </w:rPr>
        <w:t>en</w:t>
      </w:r>
      <w:r w:rsidR="00B33D44" w:rsidRPr="00191075">
        <w:rPr>
          <w:lang w:val="es-ES_tradnl"/>
        </w:rPr>
        <w:t xml:space="preserve"> el Pacto</w:t>
      </w:r>
      <w:r w:rsidR="00471E0A" w:rsidRPr="00191075">
        <w:rPr>
          <w:lang w:val="es-ES_tradnl"/>
        </w:rPr>
        <w:t xml:space="preserve">. Asimismo, le preocupa </w:t>
      </w:r>
      <w:r w:rsidR="00B33D44" w:rsidRPr="00191075">
        <w:rPr>
          <w:lang w:val="es-ES_tradnl"/>
        </w:rPr>
        <w:t xml:space="preserve">que </w:t>
      </w:r>
      <w:r w:rsidR="00ED3076" w:rsidRPr="00191075">
        <w:rPr>
          <w:lang w:val="es-ES_tradnl"/>
        </w:rPr>
        <w:t xml:space="preserve">ciertas </w:t>
      </w:r>
      <w:r w:rsidR="003A1B9C" w:rsidRPr="00191075">
        <w:rPr>
          <w:lang w:val="es-ES_tradnl"/>
        </w:rPr>
        <w:t>imprecisiones</w:t>
      </w:r>
      <w:r w:rsidR="00ED3076" w:rsidRPr="00191075">
        <w:rPr>
          <w:lang w:val="es-ES_tradnl"/>
        </w:rPr>
        <w:t xml:space="preserve"> d</w:t>
      </w:r>
      <w:r w:rsidR="00B33D44" w:rsidRPr="00191075">
        <w:rPr>
          <w:lang w:val="es-ES_tradnl"/>
        </w:rPr>
        <w:t>el</w:t>
      </w:r>
      <w:r w:rsidR="00471E0A" w:rsidRPr="00191075">
        <w:rPr>
          <w:lang w:val="es-ES_tradnl"/>
        </w:rPr>
        <w:t xml:space="preserve"> </w:t>
      </w:r>
      <w:r w:rsidR="009303DF" w:rsidRPr="00191075">
        <w:rPr>
          <w:lang w:val="es-ES_tradnl"/>
        </w:rPr>
        <w:t>marco normativo</w:t>
      </w:r>
      <w:r w:rsidR="002315A1" w:rsidRPr="00191075">
        <w:rPr>
          <w:lang w:val="es-ES_tradnl"/>
        </w:rPr>
        <w:t xml:space="preserve"> </w:t>
      </w:r>
      <w:r w:rsidR="00417109" w:rsidRPr="00191075">
        <w:rPr>
          <w:lang w:val="es-ES_tradnl"/>
        </w:rPr>
        <w:t>relativ</w:t>
      </w:r>
      <w:r w:rsidR="009E68A1" w:rsidRPr="00191075">
        <w:rPr>
          <w:lang w:val="es-ES_tradnl"/>
        </w:rPr>
        <w:t>a</w:t>
      </w:r>
      <w:r w:rsidR="00417109" w:rsidRPr="00191075">
        <w:rPr>
          <w:lang w:val="es-ES_tradnl"/>
        </w:rPr>
        <w:t>s a</w:t>
      </w:r>
      <w:r w:rsidR="002315A1" w:rsidRPr="00191075">
        <w:rPr>
          <w:lang w:val="es-ES_tradnl"/>
        </w:rPr>
        <w:t xml:space="preserve"> procesos de interés público</w:t>
      </w:r>
      <w:r w:rsidR="00ED3A4C" w:rsidRPr="00191075">
        <w:rPr>
          <w:lang w:val="es-ES_tradnl"/>
        </w:rPr>
        <w:t xml:space="preserve"> </w:t>
      </w:r>
      <w:r w:rsidR="00CD3F1F" w:rsidRPr="00191075">
        <w:rPr>
          <w:lang w:val="es-ES_tradnl"/>
        </w:rPr>
        <w:t>dificulten</w:t>
      </w:r>
      <w:r w:rsidR="00B33D44" w:rsidRPr="00191075">
        <w:rPr>
          <w:lang w:val="es-ES_tradnl"/>
        </w:rPr>
        <w:t xml:space="preserve"> </w:t>
      </w:r>
      <w:r w:rsidR="00CD3F1F" w:rsidRPr="00191075">
        <w:rPr>
          <w:lang w:val="es-ES_tradnl"/>
        </w:rPr>
        <w:t>la exigibilidad de los derechos económicos, sociales y culturales en el ámbito judicial</w:t>
      </w:r>
      <w:r w:rsidR="009B2598" w:rsidRPr="00191075">
        <w:rPr>
          <w:lang w:val="es-ES_tradnl"/>
        </w:rPr>
        <w:t>.</w:t>
      </w:r>
    </w:p>
    <w:p w14:paraId="58B540A9" w14:textId="51A8689E" w:rsidR="000220F3" w:rsidRPr="00191075" w:rsidRDefault="00CE22BA" w:rsidP="00345104">
      <w:pPr>
        <w:pStyle w:val="SingleTxtG"/>
        <w:rPr>
          <w:rFonts w:ascii="Times" w:hAnsi="Times"/>
          <w:b/>
          <w:lang w:val="es-ES_tradnl"/>
        </w:rPr>
      </w:pPr>
      <w:r w:rsidRPr="00345104">
        <w:rPr>
          <w:rFonts w:ascii="Times" w:hAnsi="Times"/>
          <w:lang w:val="es-ES_tradnl"/>
        </w:rPr>
        <w:t>8.</w:t>
      </w:r>
      <w:r w:rsidRPr="00345104">
        <w:rPr>
          <w:rFonts w:ascii="Times" w:hAnsi="Times"/>
          <w:lang w:val="es-ES_tradnl"/>
        </w:rPr>
        <w:tab/>
      </w:r>
      <w:r w:rsidR="000220F3" w:rsidRPr="00191075">
        <w:rPr>
          <w:rFonts w:ascii="Times New Roman,Bold" w:hAnsi="Times New Roman,Bold"/>
          <w:b/>
          <w:lang w:val="es-ES_tradnl"/>
        </w:rPr>
        <w:t>El Comit</w:t>
      </w:r>
      <w:r w:rsidR="000220F3" w:rsidRPr="00191075">
        <w:rPr>
          <w:rFonts w:ascii="Times New Roman,Bold" w:hAnsi="Times New Roman,Bold" w:hint="eastAsia"/>
          <w:b/>
          <w:lang w:val="es-ES_tradnl"/>
        </w:rPr>
        <w:t>é</w:t>
      </w:r>
      <w:r w:rsidR="000220F3" w:rsidRPr="00191075">
        <w:rPr>
          <w:rFonts w:ascii="Times New Roman,Bold" w:hAnsi="Times New Roman,Bold"/>
          <w:b/>
          <w:lang w:val="es-ES_tradnl"/>
        </w:rPr>
        <w:t xml:space="preserve"> recomienda al Estado parte que tome</w:t>
      </w:r>
      <w:r w:rsidR="00C92BCF" w:rsidRPr="00191075">
        <w:rPr>
          <w:rFonts w:ascii="Times New Roman,Bold" w:hAnsi="Times New Roman,Bold"/>
          <w:b/>
          <w:lang w:val="es-ES_tradnl"/>
        </w:rPr>
        <w:t xml:space="preserve"> todas</w:t>
      </w:r>
      <w:r w:rsidR="000220F3" w:rsidRPr="00191075">
        <w:rPr>
          <w:rFonts w:ascii="Times New Roman,Bold" w:hAnsi="Times New Roman,Bold"/>
          <w:b/>
          <w:lang w:val="es-ES_tradnl"/>
        </w:rPr>
        <w:t xml:space="preserve"> las medidas necesarias para </w:t>
      </w:r>
      <w:r w:rsidR="00CC34F8" w:rsidRPr="00191075">
        <w:rPr>
          <w:rFonts w:ascii="Times New Roman,Bold" w:hAnsi="Times New Roman,Bold"/>
          <w:b/>
          <w:lang w:val="es-ES_tradnl"/>
        </w:rPr>
        <w:t>garantizar</w:t>
      </w:r>
      <w:r w:rsidR="000220F3" w:rsidRPr="00191075">
        <w:rPr>
          <w:rFonts w:ascii="Times New Roman,Bold" w:hAnsi="Times New Roman,Bold"/>
          <w:b/>
          <w:lang w:val="es-ES_tradnl"/>
        </w:rPr>
        <w:t xml:space="preserve"> la </w:t>
      </w:r>
      <w:r w:rsidR="000220F3" w:rsidRPr="00191075">
        <w:rPr>
          <w:b/>
          <w:lang w:val="es-ES_tradnl"/>
        </w:rPr>
        <w:t>aplicabilidad</w:t>
      </w:r>
      <w:r w:rsidR="00CC34F8" w:rsidRPr="00191075">
        <w:rPr>
          <w:b/>
          <w:lang w:val="es-ES_tradnl"/>
        </w:rPr>
        <w:t xml:space="preserve"> directa</w:t>
      </w:r>
      <w:r w:rsidR="000220F3" w:rsidRPr="00191075">
        <w:rPr>
          <w:rFonts w:ascii="Times New Roman,Bold" w:hAnsi="Times New Roman,Bold"/>
          <w:b/>
          <w:lang w:val="es-ES_tradnl"/>
        </w:rPr>
        <w:t xml:space="preserve"> de todos los derechos consagrados en el Pacto en todos los niveles del sistema judicial</w:t>
      </w:r>
      <w:r w:rsidR="00ED3076" w:rsidRPr="00191075">
        <w:rPr>
          <w:rFonts w:ascii="Times New Roman,Bold" w:hAnsi="Times New Roman,Bold"/>
          <w:b/>
          <w:lang w:val="es-ES_tradnl"/>
        </w:rPr>
        <w:t xml:space="preserve">, incluyendo </w:t>
      </w:r>
      <w:r w:rsidR="003A1B9C" w:rsidRPr="00191075">
        <w:rPr>
          <w:rFonts w:ascii="Times New Roman,Bold" w:hAnsi="Times New Roman,Bold"/>
          <w:b/>
          <w:lang w:val="es-ES_tradnl"/>
        </w:rPr>
        <w:t>la revisi</w:t>
      </w:r>
      <w:r w:rsidR="003A1B9C" w:rsidRPr="00191075">
        <w:rPr>
          <w:rFonts w:ascii="Times New Roman,Bold" w:hAnsi="Times New Roman,Bold" w:hint="eastAsia"/>
          <w:b/>
          <w:lang w:val="es-ES_tradnl"/>
        </w:rPr>
        <w:t>ó</w:t>
      </w:r>
      <w:r w:rsidR="003A1B9C" w:rsidRPr="00191075">
        <w:rPr>
          <w:rFonts w:ascii="Times New Roman,Bold" w:hAnsi="Times New Roman,Bold"/>
          <w:b/>
          <w:lang w:val="es-ES_tradnl"/>
        </w:rPr>
        <w:t xml:space="preserve">n y </w:t>
      </w:r>
      <w:r w:rsidR="00ED3076" w:rsidRPr="00191075">
        <w:rPr>
          <w:rFonts w:ascii="Times New Roman,Bold" w:hAnsi="Times New Roman,Bold"/>
          <w:b/>
          <w:lang w:val="es-ES_tradnl"/>
        </w:rPr>
        <w:t xml:space="preserve">ajuste de aquellas regulaciones procesales que dificultan esta </w:t>
      </w:r>
      <w:r w:rsidR="003A1B9C" w:rsidRPr="00191075">
        <w:rPr>
          <w:rFonts w:ascii="Times New Roman,Bold" w:hAnsi="Times New Roman,Bold"/>
          <w:b/>
          <w:lang w:val="es-ES_tradnl"/>
        </w:rPr>
        <w:t>aplicaci</w:t>
      </w:r>
      <w:r w:rsidR="003A1B9C" w:rsidRPr="00191075">
        <w:rPr>
          <w:rFonts w:ascii="Times New Roman,Bold" w:hAnsi="Times New Roman,Bold" w:hint="eastAsia"/>
          <w:b/>
          <w:lang w:val="es-ES_tradnl"/>
        </w:rPr>
        <w:t>ó</w:t>
      </w:r>
      <w:r w:rsidR="003A1B9C" w:rsidRPr="00191075">
        <w:rPr>
          <w:rFonts w:ascii="Times New Roman,Bold" w:hAnsi="Times New Roman,Bold"/>
          <w:b/>
          <w:lang w:val="es-ES_tradnl"/>
        </w:rPr>
        <w:t>n</w:t>
      </w:r>
      <w:r w:rsidR="003E1277" w:rsidRPr="00191075">
        <w:rPr>
          <w:rFonts w:ascii="Times New Roman,Bold" w:hAnsi="Times New Roman,Bold"/>
          <w:b/>
          <w:lang w:val="es-ES_tradnl"/>
        </w:rPr>
        <w:t>.</w:t>
      </w:r>
      <w:r w:rsidR="002315A1" w:rsidRPr="00191075">
        <w:rPr>
          <w:rFonts w:ascii="Times New Roman,Bold" w:hAnsi="Times New Roman,Bold"/>
          <w:b/>
          <w:lang w:val="es-ES_tradnl"/>
        </w:rPr>
        <w:t xml:space="preserve"> </w:t>
      </w:r>
      <w:r w:rsidR="003A1B9C" w:rsidRPr="00191075">
        <w:rPr>
          <w:rFonts w:ascii="Times New Roman,Bold" w:hAnsi="Times New Roman,Bold"/>
          <w:b/>
          <w:lang w:val="es-ES_tradnl"/>
        </w:rPr>
        <w:t>Adem</w:t>
      </w:r>
      <w:r w:rsidR="003A1B9C" w:rsidRPr="00191075">
        <w:rPr>
          <w:rFonts w:ascii="Times New Roman,Bold" w:hAnsi="Times New Roman,Bold" w:hint="eastAsia"/>
          <w:b/>
          <w:lang w:val="es-ES_tradnl"/>
        </w:rPr>
        <w:t>á</w:t>
      </w:r>
      <w:r w:rsidR="003A1B9C" w:rsidRPr="00191075">
        <w:rPr>
          <w:rFonts w:ascii="Times New Roman,Bold" w:hAnsi="Times New Roman,Bold"/>
          <w:b/>
          <w:lang w:val="es-ES_tradnl"/>
        </w:rPr>
        <w:t>s</w:t>
      </w:r>
      <w:r w:rsidR="00113BAF" w:rsidRPr="00191075">
        <w:rPr>
          <w:rFonts w:ascii="Times New Roman,Bold" w:hAnsi="Times New Roman,Bold"/>
          <w:b/>
          <w:lang w:val="es-ES_tradnl"/>
        </w:rPr>
        <w:t xml:space="preserve">, </w:t>
      </w:r>
      <w:r w:rsidR="00CC34F8" w:rsidRPr="00191075">
        <w:rPr>
          <w:rFonts w:ascii="Times New Roman,Bold" w:hAnsi="Times New Roman,Bold"/>
          <w:b/>
          <w:lang w:val="es-ES_tradnl"/>
        </w:rPr>
        <w:t>le</w:t>
      </w:r>
      <w:r w:rsidR="008140F9" w:rsidRPr="00191075">
        <w:rPr>
          <w:rFonts w:ascii="Times New Roman,Bold" w:hAnsi="Times New Roman,Bold"/>
          <w:b/>
          <w:lang w:val="es-ES_tradnl"/>
        </w:rPr>
        <w:t xml:space="preserve"> alienta</w:t>
      </w:r>
      <w:r w:rsidR="000220F3" w:rsidRPr="00191075">
        <w:rPr>
          <w:rFonts w:ascii="Times New Roman,Bold" w:hAnsi="Times New Roman,Bold"/>
          <w:b/>
          <w:lang w:val="es-ES_tradnl"/>
        </w:rPr>
        <w:t xml:space="preserve"> a realizar</w:t>
      </w:r>
      <w:r w:rsidR="000220F3" w:rsidRPr="00191075">
        <w:rPr>
          <w:b/>
          <w:lang w:val="es-ES_tradnl"/>
        </w:rPr>
        <w:t xml:space="preserve"> </w:t>
      </w:r>
      <w:r w:rsidR="000220F3" w:rsidRPr="00191075">
        <w:rPr>
          <w:rFonts w:ascii="Times New Roman,Bold" w:hAnsi="Times New Roman,Bold"/>
          <w:b/>
          <w:lang w:val="es-ES_tradnl"/>
        </w:rPr>
        <w:t>capacitaciones</w:t>
      </w:r>
      <w:r w:rsidR="00113BAF" w:rsidRPr="00191075">
        <w:rPr>
          <w:rFonts w:ascii="Times New Roman,Bold" w:hAnsi="Times New Roman,Bold"/>
          <w:b/>
          <w:lang w:val="es-ES_tradnl"/>
        </w:rPr>
        <w:t>,</w:t>
      </w:r>
      <w:r w:rsidR="00BE44B1" w:rsidRPr="00191075">
        <w:rPr>
          <w:rFonts w:ascii="Times New Roman,Bold" w:hAnsi="Times New Roman,Bold"/>
          <w:b/>
          <w:lang w:val="es-ES_tradnl"/>
        </w:rPr>
        <w:t xml:space="preserve"> </w:t>
      </w:r>
      <w:r w:rsidR="00113BAF" w:rsidRPr="00191075">
        <w:rPr>
          <w:rFonts w:ascii="Times New Roman,Bold" w:hAnsi="Times New Roman,Bold"/>
          <w:b/>
          <w:lang w:val="es-ES_tradnl"/>
        </w:rPr>
        <w:t xml:space="preserve">especialmente entre jueces, abogados, agentes del orden, miembros de la Asamblea General y otros actores, </w:t>
      </w:r>
      <w:r w:rsidR="00BE44B1" w:rsidRPr="00191075">
        <w:rPr>
          <w:rFonts w:ascii="Times New Roman,Bold" w:hAnsi="Times New Roman,Bold"/>
          <w:b/>
          <w:lang w:val="es-ES_tradnl"/>
        </w:rPr>
        <w:t>sobre el contenido de los derechos del Pacto y la posibilidad de invocarlos ante los tribunales</w:t>
      </w:r>
      <w:r w:rsidR="00CC34F8" w:rsidRPr="00191075">
        <w:rPr>
          <w:rFonts w:ascii="Times New Roman,Bold" w:hAnsi="Times New Roman,Bold"/>
          <w:b/>
          <w:lang w:val="es-ES_tradnl"/>
        </w:rPr>
        <w:t>,</w:t>
      </w:r>
      <w:r w:rsidR="00113BAF" w:rsidRPr="00191075">
        <w:rPr>
          <w:rFonts w:ascii="Times New Roman,Bold" w:hAnsi="Times New Roman,Bold"/>
          <w:b/>
          <w:lang w:val="es-ES_tradnl"/>
        </w:rPr>
        <w:t xml:space="preserve"> y </w:t>
      </w:r>
      <w:r w:rsidR="000220F3" w:rsidRPr="00191075">
        <w:rPr>
          <w:rFonts w:ascii="Times New Roman,Bold" w:hAnsi="Times New Roman,Bold"/>
          <w:b/>
          <w:lang w:val="es-ES_tradnl"/>
        </w:rPr>
        <w:t>a llevar a cabo campa</w:t>
      </w:r>
      <w:r w:rsidR="000220F3" w:rsidRPr="00191075">
        <w:rPr>
          <w:rFonts w:ascii="Times New Roman,Bold" w:hAnsi="Times New Roman,Bold" w:hint="eastAsia"/>
          <w:b/>
          <w:lang w:val="es-ES_tradnl"/>
        </w:rPr>
        <w:t>ñ</w:t>
      </w:r>
      <w:r w:rsidR="000220F3" w:rsidRPr="00191075">
        <w:rPr>
          <w:rFonts w:ascii="Times New Roman,Bold" w:hAnsi="Times New Roman,Bold"/>
          <w:b/>
          <w:lang w:val="es-ES_tradnl"/>
        </w:rPr>
        <w:t>as de sensibilizaci</w:t>
      </w:r>
      <w:r w:rsidR="000220F3" w:rsidRPr="00191075">
        <w:rPr>
          <w:rFonts w:ascii="Times New Roman,Bold" w:hAnsi="Times New Roman,Bold" w:hint="eastAsia"/>
          <w:b/>
          <w:lang w:val="es-ES_tradnl"/>
        </w:rPr>
        <w:t>ó</w:t>
      </w:r>
      <w:r w:rsidR="000220F3" w:rsidRPr="00191075">
        <w:rPr>
          <w:rFonts w:ascii="Times New Roman,Bold" w:hAnsi="Times New Roman,Bold"/>
          <w:b/>
          <w:lang w:val="es-ES_tradnl"/>
        </w:rPr>
        <w:t>n entre los titulares de los derechos. El Comit</w:t>
      </w:r>
      <w:r w:rsidR="000220F3" w:rsidRPr="00191075">
        <w:rPr>
          <w:rFonts w:ascii="Times New Roman,Bold" w:hAnsi="Times New Roman,Bold" w:hint="eastAsia"/>
          <w:b/>
          <w:lang w:val="es-ES_tradnl"/>
        </w:rPr>
        <w:t>é</w:t>
      </w:r>
      <w:r w:rsidR="000220F3" w:rsidRPr="00191075">
        <w:rPr>
          <w:rFonts w:ascii="Times New Roman,Bold" w:hAnsi="Times New Roman,Bold"/>
          <w:b/>
          <w:lang w:val="es-ES_tradnl"/>
        </w:rPr>
        <w:t xml:space="preserve"> se</w:t>
      </w:r>
      <w:r w:rsidR="000220F3" w:rsidRPr="00191075">
        <w:rPr>
          <w:rFonts w:ascii="Times New Roman,Bold" w:hAnsi="Times New Roman,Bold" w:hint="eastAsia"/>
          <w:b/>
          <w:lang w:val="es-ES_tradnl"/>
        </w:rPr>
        <w:t>ñ</w:t>
      </w:r>
      <w:r w:rsidR="000220F3" w:rsidRPr="00191075">
        <w:rPr>
          <w:rFonts w:ascii="Times New Roman,Bold" w:hAnsi="Times New Roman,Bold"/>
          <w:b/>
          <w:lang w:val="es-ES_tradnl"/>
        </w:rPr>
        <w:t>ala a la atenci</w:t>
      </w:r>
      <w:r w:rsidR="000220F3" w:rsidRPr="00191075">
        <w:rPr>
          <w:rFonts w:ascii="Times New Roman,Bold" w:hAnsi="Times New Roman,Bold" w:hint="eastAsia"/>
          <w:b/>
          <w:lang w:val="es-ES_tradnl"/>
        </w:rPr>
        <w:t>ó</w:t>
      </w:r>
      <w:r w:rsidR="000220F3" w:rsidRPr="00191075">
        <w:rPr>
          <w:rFonts w:ascii="Times New Roman,Bold" w:hAnsi="Times New Roman,Bold"/>
          <w:b/>
          <w:lang w:val="es-ES_tradnl"/>
        </w:rPr>
        <w:t>n del Estado parte en particular su observaci</w:t>
      </w:r>
      <w:r w:rsidR="000220F3" w:rsidRPr="00191075">
        <w:rPr>
          <w:rFonts w:ascii="Times New Roman,Bold" w:hAnsi="Times New Roman,Bold" w:hint="eastAsia"/>
          <w:b/>
          <w:lang w:val="es-ES_tradnl"/>
        </w:rPr>
        <w:t>ó</w:t>
      </w:r>
      <w:r w:rsidR="000220F3" w:rsidRPr="00191075">
        <w:rPr>
          <w:rFonts w:ascii="Times New Roman,Bold" w:hAnsi="Times New Roman,Bold"/>
          <w:b/>
          <w:lang w:val="es-ES_tradnl"/>
        </w:rPr>
        <w:t>n general n</w:t>
      </w:r>
      <w:r w:rsidR="000220F3" w:rsidRPr="00191075">
        <w:rPr>
          <w:rFonts w:ascii="Times New Roman,Bold" w:hAnsi="Times New Roman,Bold" w:hint="eastAsia"/>
          <w:b/>
          <w:lang w:val="es-ES_tradnl"/>
        </w:rPr>
        <w:t>ú</w:t>
      </w:r>
      <w:r w:rsidR="000220F3" w:rsidRPr="00191075">
        <w:rPr>
          <w:rFonts w:ascii="Times New Roman,Bold" w:hAnsi="Times New Roman,Bold"/>
          <w:b/>
          <w:lang w:val="es-ES_tradnl"/>
        </w:rPr>
        <w:t xml:space="preserve">m. 9 (1998) </w:t>
      </w:r>
      <w:r w:rsidR="006A1D43" w:rsidRPr="00191075">
        <w:rPr>
          <w:rFonts w:ascii="Times New Roman,Bold" w:hAnsi="Times New Roman,Bold"/>
          <w:b/>
          <w:lang w:val="es-ES_tradnl"/>
        </w:rPr>
        <w:t xml:space="preserve">sobre </w:t>
      </w:r>
      <w:r w:rsidR="000220F3" w:rsidRPr="00191075">
        <w:rPr>
          <w:rFonts w:ascii="Times New Roman,Bold" w:hAnsi="Times New Roman,Bold"/>
          <w:b/>
          <w:lang w:val="es-ES_tradnl"/>
        </w:rPr>
        <w:t>la aplicaci</w:t>
      </w:r>
      <w:r w:rsidR="000220F3" w:rsidRPr="00191075">
        <w:rPr>
          <w:rFonts w:ascii="Times New Roman,Bold" w:hAnsi="Times New Roman,Bold" w:hint="eastAsia"/>
          <w:b/>
          <w:lang w:val="es-ES_tradnl"/>
        </w:rPr>
        <w:t>ó</w:t>
      </w:r>
      <w:r w:rsidR="000220F3" w:rsidRPr="00191075">
        <w:rPr>
          <w:rFonts w:ascii="Times New Roman,Bold" w:hAnsi="Times New Roman,Bold"/>
          <w:b/>
          <w:lang w:val="es-ES_tradnl"/>
        </w:rPr>
        <w:t>n interna del Pacto.</w:t>
      </w:r>
    </w:p>
    <w:p w14:paraId="3C7E6F2F" w14:textId="27AB3BFA" w:rsidR="000220F3" w:rsidRPr="00345104" w:rsidRDefault="0026337A" w:rsidP="0026337A">
      <w:pPr>
        <w:pStyle w:val="H23G"/>
        <w:rPr>
          <w:lang w:val="es-ES_tradnl"/>
        </w:rPr>
      </w:pPr>
      <w:r w:rsidRPr="00345104">
        <w:rPr>
          <w:lang w:val="es-ES_tradnl"/>
        </w:rPr>
        <w:tab/>
      </w:r>
      <w:r w:rsidRPr="00345104">
        <w:rPr>
          <w:lang w:val="es-ES_tradnl"/>
        </w:rPr>
        <w:tab/>
      </w:r>
      <w:r w:rsidR="00FA6908" w:rsidRPr="00345104">
        <w:rPr>
          <w:lang w:val="es-ES_tradnl"/>
        </w:rPr>
        <w:t xml:space="preserve">Legislación contra </w:t>
      </w:r>
      <w:r w:rsidR="009E68A1" w:rsidRPr="00345104">
        <w:rPr>
          <w:lang w:val="es-ES_tradnl"/>
        </w:rPr>
        <w:t xml:space="preserve">la </w:t>
      </w:r>
      <w:r w:rsidR="000220F3" w:rsidRPr="00345104">
        <w:rPr>
          <w:lang w:val="es-ES_tradnl"/>
        </w:rPr>
        <w:t xml:space="preserve">discriminación </w:t>
      </w:r>
    </w:p>
    <w:p w14:paraId="597C251B" w14:textId="5BA9C03A" w:rsidR="00FA6908" w:rsidRPr="00191075" w:rsidRDefault="00CE22BA" w:rsidP="00345104">
      <w:pPr>
        <w:pStyle w:val="SingleTxtG"/>
        <w:rPr>
          <w:b/>
          <w:lang w:val="es-ES_tradnl"/>
        </w:rPr>
      </w:pPr>
      <w:r w:rsidRPr="00345104">
        <w:rPr>
          <w:lang w:val="es-ES_tradnl"/>
        </w:rPr>
        <w:t>9.</w:t>
      </w:r>
      <w:r w:rsidRPr="00345104">
        <w:rPr>
          <w:lang w:val="es-ES_tradnl"/>
        </w:rPr>
        <w:tab/>
      </w:r>
      <w:r w:rsidR="00E205CC" w:rsidRPr="00191075">
        <w:rPr>
          <w:lang w:val="es-ES_tradnl"/>
        </w:rPr>
        <w:t xml:space="preserve">El Comité continúa preocupado por la falta </w:t>
      </w:r>
      <w:r w:rsidR="00ED3A4C" w:rsidRPr="00191075">
        <w:rPr>
          <w:lang w:val="es-ES_tradnl"/>
        </w:rPr>
        <w:t>de una legislación integral que comprenda todos los motivos de discriminación</w:t>
      </w:r>
      <w:r w:rsidR="009C7F72" w:rsidRPr="00191075">
        <w:rPr>
          <w:lang w:val="es-ES_tradnl"/>
        </w:rPr>
        <w:t xml:space="preserve"> reconocidos en el </w:t>
      </w:r>
      <w:r w:rsidR="002315A1" w:rsidRPr="00191075">
        <w:rPr>
          <w:lang w:val="es-ES_tradnl"/>
        </w:rPr>
        <w:t xml:space="preserve">artículo 2 del </w:t>
      </w:r>
      <w:r w:rsidR="009C7F72" w:rsidRPr="00191075">
        <w:rPr>
          <w:lang w:val="es-ES_tradnl"/>
        </w:rPr>
        <w:t>Pacto</w:t>
      </w:r>
      <w:r w:rsidR="002315A1" w:rsidRPr="00191075">
        <w:rPr>
          <w:lang w:val="es-ES_tradnl"/>
        </w:rPr>
        <w:t xml:space="preserve"> y por la falta de un mecanismo que de manera eficaz supervise su implementación. Asimismo</w:t>
      </w:r>
      <w:r w:rsidR="00C9361C" w:rsidRPr="00191075">
        <w:rPr>
          <w:lang w:val="es-ES_tradnl"/>
        </w:rPr>
        <w:t>,</w:t>
      </w:r>
      <w:r w:rsidR="002315A1" w:rsidRPr="00191075">
        <w:rPr>
          <w:lang w:val="es-ES_tradnl"/>
        </w:rPr>
        <w:t xml:space="preserve"> le preocupa que </w:t>
      </w:r>
      <w:r w:rsidR="00ED3A4C" w:rsidRPr="00191075">
        <w:rPr>
          <w:lang w:val="es-ES_tradnl"/>
        </w:rPr>
        <w:t xml:space="preserve">la denegación de ajustes razonables </w:t>
      </w:r>
      <w:r w:rsidR="00D3016C" w:rsidRPr="00191075">
        <w:rPr>
          <w:lang w:val="es-ES_tradnl"/>
        </w:rPr>
        <w:t xml:space="preserve">no sea reconocido </w:t>
      </w:r>
      <w:r w:rsidR="00ED3A4C" w:rsidRPr="00191075">
        <w:rPr>
          <w:lang w:val="es-ES_tradnl"/>
        </w:rPr>
        <w:t xml:space="preserve">como </w:t>
      </w:r>
      <w:r w:rsidR="00D3016C" w:rsidRPr="00191075">
        <w:rPr>
          <w:lang w:val="es-ES_tradnl"/>
        </w:rPr>
        <w:t xml:space="preserve">motivo </w:t>
      </w:r>
      <w:r w:rsidR="00ED3A4C" w:rsidRPr="00191075">
        <w:rPr>
          <w:lang w:val="es-ES_tradnl"/>
        </w:rPr>
        <w:t>de discriminación de las personas con discapacidad</w:t>
      </w:r>
      <w:r w:rsidR="003E1277" w:rsidRPr="00191075">
        <w:rPr>
          <w:lang w:val="es-ES_tradnl"/>
        </w:rPr>
        <w:t xml:space="preserve"> </w:t>
      </w:r>
      <w:r w:rsidR="00323B00" w:rsidRPr="00191075">
        <w:rPr>
          <w:lang w:val="es-ES_tradnl"/>
        </w:rPr>
        <w:t>(</w:t>
      </w:r>
      <w:r w:rsidR="00B830FA" w:rsidRPr="00191075">
        <w:rPr>
          <w:lang w:val="es-ES_tradnl"/>
        </w:rPr>
        <w:t>a</w:t>
      </w:r>
      <w:r w:rsidR="00323B00" w:rsidRPr="00191075">
        <w:rPr>
          <w:lang w:val="es-ES_tradnl"/>
        </w:rPr>
        <w:t xml:space="preserve">rt. </w:t>
      </w:r>
      <w:r w:rsidR="002B5463" w:rsidRPr="00191075">
        <w:rPr>
          <w:lang w:val="es-ES_tradnl"/>
        </w:rPr>
        <w:t>2)</w:t>
      </w:r>
      <w:r w:rsidR="00FA6908" w:rsidRPr="00191075">
        <w:rPr>
          <w:lang w:val="es-ES_tradnl"/>
        </w:rPr>
        <w:t xml:space="preserve">. </w:t>
      </w:r>
    </w:p>
    <w:p w14:paraId="0AA85E25" w14:textId="05CC624E" w:rsidR="000220F3" w:rsidRPr="00345104" w:rsidRDefault="00CE22BA" w:rsidP="00345104">
      <w:pPr>
        <w:pStyle w:val="SingleTxtG"/>
        <w:rPr>
          <w:b/>
          <w:lang w:val="es-ES_tradnl"/>
        </w:rPr>
      </w:pPr>
      <w:r w:rsidRPr="00345104">
        <w:rPr>
          <w:lang w:val="es-ES_tradnl"/>
        </w:rPr>
        <w:t>10.</w:t>
      </w:r>
      <w:r w:rsidRPr="00345104">
        <w:rPr>
          <w:lang w:val="es-ES_tradnl"/>
        </w:rPr>
        <w:tab/>
      </w:r>
      <w:r w:rsidR="00347AAA" w:rsidRPr="00345104">
        <w:rPr>
          <w:b/>
          <w:lang w:val="es-ES_tradnl"/>
        </w:rPr>
        <w:t>El Comité señala a la atención del Estado parte su anterior recomendación (</w:t>
      </w:r>
      <w:r w:rsidR="00C86CEF" w:rsidRPr="00345104">
        <w:rPr>
          <w:b/>
          <w:lang w:val="es-ES_tradnl"/>
        </w:rPr>
        <w:t xml:space="preserve">véase </w:t>
      </w:r>
      <w:r w:rsidR="00347AAA" w:rsidRPr="00345104">
        <w:rPr>
          <w:b/>
          <w:lang w:val="es-ES_tradnl"/>
        </w:rPr>
        <w:t xml:space="preserve">E/C.12/URY/CO/3.4, párr. 7) y le insta a introducir </w:t>
      </w:r>
      <w:r w:rsidR="002B5463" w:rsidRPr="00345104">
        <w:rPr>
          <w:b/>
          <w:lang w:val="es-ES_tradnl"/>
        </w:rPr>
        <w:t>en su legislación una prohibici</w:t>
      </w:r>
      <w:r w:rsidR="00444389" w:rsidRPr="00345104">
        <w:rPr>
          <w:b/>
          <w:lang w:val="es-ES_tradnl"/>
        </w:rPr>
        <w:t>ón</w:t>
      </w:r>
      <w:r w:rsidR="00347AAA" w:rsidRPr="00345104">
        <w:rPr>
          <w:b/>
          <w:lang w:val="es-ES_tradnl"/>
        </w:rPr>
        <w:t xml:space="preserve"> expresa</w:t>
      </w:r>
      <w:r w:rsidR="00444389" w:rsidRPr="00345104">
        <w:rPr>
          <w:b/>
          <w:lang w:val="es-ES_tradnl"/>
        </w:rPr>
        <w:t xml:space="preserve"> de</w:t>
      </w:r>
      <w:r w:rsidR="000220F3" w:rsidRPr="00345104">
        <w:rPr>
          <w:b/>
          <w:lang w:val="es-ES_tradnl"/>
        </w:rPr>
        <w:t xml:space="preserve"> la discriminación que garantice una protección suficiente,</w:t>
      </w:r>
      <w:r w:rsidR="00444389" w:rsidRPr="00345104">
        <w:rPr>
          <w:b/>
          <w:lang w:val="es-ES_tradnl"/>
        </w:rPr>
        <w:t xml:space="preserve"> y</w:t>
      </w:r>
      <w:r w:rsidR="000220F3" w:rsidRPr="00345104">
        <w:rPr>
          <w:b/>
          <w:lang w:val="es-ES_tradnl"/>
        </w:rPr>
        <w:t xml:space="preserve"> que</w:t>
      </w:r>
      <w:r w:rsidR="00C86CEF" w:rsidRPr="00345104">
        <w:rPr>
          <w:b/>
          <w:lang w:val="es-ES_tradnl"/>
        </w:rPr>
        <w:t>,</w:t>
      </w:r>
      <w:r w:rsidR="000220F3" w:rsidRPr="00345104">
        <w:rPr>
          <w:b/>
          <w:lang w:val="es-ES_tradnl"/>
        </w:rPr>
        <w:t xml:space="preserve"> entre otras cosas:</w:t>
      </w:r>
    </w:p>
    <w:p w14:paraId="7830630A" w14:textId="31190C36" w:rsidR="000220F3" w:rsidRPr="00345104" w:rsidRDefault="0026337A" w:rsidP="0026337A">
      <w:pPr>
        <w:pStyle w:val="SingleTxtG"/>
        <w:rPr>
          <w:b/>
          <w:lang w:val="es-ES_tradnl"/>
        </w:rPr>
      </w:pPr>
      <w:r w:rsidRPr="00191075">
        <w:rPr>
          <w:b/>
          <w:lang w:val="es-ES_tradnl"/>
        </w:rPr>
        <w:tab/>
        <w:t>a)</w:t>
      </w:r>
      <w:r w:rsidRPr="00191075">
        <w:rPr>
          <w:b/>
          <w:lang w:val="es-ES_tradnl"/>
        </w:rPr>
        <w:tab/>
      </w:r>
      <w:r w:rsidR="000220F3" w:rsidRPr="00345104">
        <w:rPr>
          <w:b/>
          <w:lang w:val="es-ES_tradnl"/>
        </w:rPr>
        <w:t>Incluya explícitamente todos los motivos de discriminación prohibidos que se enumeran en el artículo 2 del Pacto</w:t>
      </w:r>
      <w:r w:rsidR="00DD3DBF" w:rsidRPr="00345104">
        <w:rPr>
          <w:b/>
          <w:lang w:val="es-ES_tradnl"/>
        </w:rPr>
        <w:t>,</w:t>
      </w:r>
      <w:r w:rsidR="000220F3" w:rsidRPr="00345104">
        <w:rPr>
          <w:b/>
          <w:lang w:val="es-ES_tradnl"/>
        </w:rPr>
        <w:t xml:space="preserve"> </w:t>
      </w:r>
      <w:r w:rsidR="00DD3DBF" w:rsidRPr="00345104">
        <w:rPr>
          <w:b/>
          <w:lang w:val="es-ES_tradnl"/>
        </w:rPr>
        <w:t xml:space="preserve">tal como </w:t>
      </w:r>
      <w:r w:rsidR="00773AB7" w:rsidRPr="00345104">
        <w:rPr>
          <w:b/>
          <w:lang w:val="es-ES_tradnl"/>
        </w:rPr>
        <w:t>han sido</w:t>
      </w:r>
      <w:r w:rsidR="00DD3DBF" w:rsidRPr="00345104">
        <w:rPr>
          <w:b/>
          <w:lang w:val="es-ES_tradnl"/>
        </w:rPr>
        <w:t xml:space="preserve"> interpretados </w:t>
      </w:r>
      <w:r w:rsidR="005061A6" w:rsidRPr="00345104">
        <w:rPr>
          <w:b/>
          <w:lang w:val="es-ES_tradnl"/>
        </w:rPr>
        <w:t>en</w:t>
      </w:r>
      <w:r w:rsidR="00DD3DBF" w:rsidRPr="00345104">
        <w:rPr>
          <w:b/>
          <w:lang w:val="es-ES_tradnl"/>
        </w:rPr>
        <w:t xml:space="preserve"> la</w:t>
      </w:r>
      <w:r w:rsidR="000220F3" w:rsidRPr="00345104">
        <w:rPr>
          <w:b/>
          <w:lang w:val="es-ES_tradnl"/>
        </w:rPr>
        <w:t xml:space="preserve"> observación general núm. 20 (2009) sobre la no discriminación y los derechos económicos, sociales y culturales;</w:t>
      </w:r>
    </w:p>
    <w:p w14:paraId="73548046" w14:textId="28F64B83" w:rsidR="000220F3" w:rsidRPr="00345104" w:rsidRDefault="0026337A" w:rsidP="0026337A">
      <w:pPr>
        <w:pStyle w:val="SingleTxtG"/>
        <w:rPr>
          <w:b/>
          <w:lang w:val="es-ES_tradnl"/>
        </w:rPr>
      </w:pPr>
      <w:r w:rsidRPr="00191075">
        <w:rPr>
          <w:b/>
          <w:lang w:val="es-ES_tradnl"/>
        </w:rPr>
        <w:tab/>
        <w:t>b)</w:t>
      </w:r>
      <w:r w:rsidRPr="00191075">
        <w:rPr>
          <w:b/>
          <w:lang w:val="es-ES_tradnl"/>
        </w:rPr>
        <w:tab/>
      </w:r>
      <w:r w:rsidR="000220F3" w:rsidRPr="00345104">
        <w:rPr>
          <w:b/>
          <w:lang w:val="es-ES_tradnl"/>
        </w:rPr>
        <w:t>Defina la discriminación directa e indirecta de acuerdo a las obligaciones que incumben al Estado parte en virtud del Pacto;</w:t>
      </w:r>
    </w:p>
    <w:p w14:paraId="0BC9F133" w14:textId="71D6514A" w:rsidR="000220F3" w:rsidRPr="00345104" w:rsidRDefault="0026337A" w:rsidP="0026337A">
      <w:pPr>
        <w:pStyle w:val="SingleTxtG"/>
        <w:rPr>
          <w:b/>
          <w:lang w:val="es-ES_tradnl"/>
        </w:rPr>
      </w:pPr>
      <w:r w:rsidRPr="00191075">
        <w:rPr>
          <w:b/>
          <w:lang w:val="es-ES_tradnl"/>
        </w:rPr>
        <w:tab/>
        <w:t>c)</w:t>
      </w:r>
      <w:r w:rsidRPr="00191075">
        <w:rPr>
          <w:b/>
          <w:lang w:val="es-ES_tradnl"/>
        </w:rPr>
        <w:tab/>
      </w:r>
      <w:r w:rsidR="000220F3" w:rsidRPr="00345104">
        <w:rPr>
          <w:b/>
          <w:lang w:val="es-ES_tradnl"/>
        </w:rPr>
        <w:t xml:space="preserve">Prohíba la discriminación tanto en el ámbito público como en el privado; </w:t>
      </w:r>
    </w:p>
    <w:p w14:paraId="5D36D711" w14:textId="0D72F297" w:rsidR="008844E1" w:rsidRPr="00345104" w:rsidRDefault="0026337A" w:rsidP="0026337A">
      <w:pPr>
        <w:pStyle w:val="SingleTxtG"/>
        <w:rPr>
          <w:b/>
          <w:lang w:val="es-ES_tradnl"/>
        </w:rPr>
      </w:pPr>
      <w:r w:rsidRPr="00191075">
        <w:rPr>
          <w:b/>
          <w:lang w:val="es-ES_tradnl"/>
        </w:rPr>
        <w:tab/>
        <w:t>d)</w:t>
      </w:r>
      <w:r w:rsidRPr="00191075">
        <w:rPr>
          <w:b/>
          <w:lang w:val="es-ES_tradnl"/>
        </w:rPr>
        <w:tab/>
      </w:r>
      <w:r w:rsidR="008844E1" w:rsidRPr="00345104">
        <w:rPr>
          <w:b/>
          <w:lang w:val="es-ES_tradnl"/>
        </w:rPr>
        <w:t xml:space="preserve">Incorpore disposiciones que permitan obtener reparación en casos de discriminación, inclusive por medios judiciales y administrativos; </w:t>
      </w:r>
    </w:p>
    <w:p w14:paraId="1BE58118" w14:textId="0D2F019E" w:rsidR="000220F3" w:rsidRPr="00345104" w:rsidRDefault="0026337A" w:rsidP="0026337A">
      <w:pPr>
        <w:pStyle w:val="SingleTxtG"/>
        <w:rPr>
          <w:b/>
          <w:lang w:val="es-ES_tradnl"/>
        </w:rPr>
      </w:pPr>
      <w:r w:rsidRPr="00191075">
        <w:rPr>
          <w:b/>
          <w:lang w:val="es-ES_tradnl"/>
        </w:rPr>
        <w:lastRenderedPageBreak/>
        <w:tab/>
        <w:t>e)</w:t>
      </w:r>
      <w:r w:rsidRPr="00191075">
        <w:rPr>
          <w:b/>
          <w:lang w:val="es-ES_tradnl"/>
        </w:rPr>
        <w:tab/>
      </w:r>
      <w:r w:rsidR="00347AAA" w:rsidRPr="00345104">
        <w:rPr>
          <w:b/>
          <w:lang w:val="es-ES_tradnl"/>
        </w:rPr>
        <w:t xml:space="preserve">Adopte las medidas necesarias para que la </w:t>
      </w:r>
      <w:r w:rsidR="00444389" w:rsidRPr="00345104">
        <w:rPr>
          <w:b/>
          <w:lang w:val="es-ES_tradnl"/>
        </w:rPr>
        <w:t xml:space="preserve">Comisión Honoraria contra el Racismo, la Xenofobia y toda otra forma de Discriminación </w:t>
      </w:r>
      <w:r w:rsidR="00347AAA" w:rsidRPr="00345104">
        <w:rPr>
          <w:b/>
          <w:lang w:val="es-ES_tradnl"/>
        </w:rPr>
        <w:t>constituya</w:t>
      </w:r>
      <w:r w:rsidR="00444389" w:rsidRPr="00345104">
        <w:rPr>
          <w:b/>
          <w:lang w:val="es-ES_tradnl"/>
        </w:rPr>
        <w:t xml:space="preserve"> un mecanismo eficaz de lucha contra la discriminación</w:t>
      </w:r>
      <w:r w:rsidR="00246E97" w:rsidRPr="00345104">
        <w:rPr>
          <w:b/>
          <w:lang w:val="es-ES_tradnl"/>
        </w:rPr>
        <w:t>,</w:t>
      </w:r>
      <w:r w:rsidR="00C86CEF" w:rsidRPr="00345104">
        <w:rPr>
          <w:b/>
          <w:lang w:val="es-ES_tradnl"/>
        </w:rPr>
        <w:t xml:space="preserve"> y </w:t>
      </w:r>
      <w:r w:rsidR="00246E97" w:rsidRPr="00345104">
        <w:rPr>
          <w:b/>
          <w:lang w:val="es-ES_tradnl"/>
        </w:rPr>
        <w:t xml:space="preserve">para </w:t>
      </w:r>
      <w:r w:rsidR="00C86CEF" w:rsidRPr="00345104">
        <w:rPr>
          <w:b/>
          <w:lang w:val="es-ES_tradnl"/>
        </w:rPr>
        <w:t xml:space="preserve">asignarle </w:t>
      </w:r>
      <w:r w:rsidR="00444389" w:rsidRPr="00345104">
        <w:rPr>
          <w:b/>
          <w:lang w:val="es-ES_tradnl"/>
        </w:rPr>
        <w:t>los recursos humanos, técnicos y materi</w:t>
      </w:r>
      <w:r w:rsidR="008844E1" w:rsidRPr="00345104">
        <w:rPr>
          <w:b/>
          <w:lang w:val="es-ES_tradnl"/>
        </w:rPr>
        <w:t xml:space="preserve">ales </w:t>
      </w:r>
      <w:r w:rsidR="00347AAA" w:rsidRPr="00345104">
        <w:rPr>
          <w:b/>
          <w:lang w:val="es-ES_tradnl"/>
        </w:rPr>
        <w:t>adecuados</w:t>
      </w:r>
      <w:r w:rsidR="00DD3DBF" w:rsidRPr="00345104">
        <w:rPr>
          <w:b/>
          <w:lang w:val="es-ES_tradnl"/>
        </w:rPr>
        <w:t>, así como</w:t>
      </w:r>
      <w:r w:rsidR="00773AB7" w:rsidRPr="00345104">
        <w:rPr>
          <w:b/>
          <w:lang w:val="es-ES_tradnl"/>
        </w:rPr>
        <w:t xml:space="preserve"> </w:t>
      </w:r>
      <w:r w:rsidR="00CC1A7A" w:rsidRPr="00345104">
        <w:rPr>
          <w:b/>
          <w:lang w:val="es-ES_tradnl"/>
        </w:rPr>
        <w:t>el</w:t>
      </w:r>
      <w:r w:rsidR="00DD3DBF" w:rsidRPr="00345104">
        <w:rPr>
          <w:b/>
          <w:lang w:val="es-ES_tradnl"/>
        </w:rPr>
        <w:t xml:space="preserve"> mandato y </w:t>
      </w:r>
      <w:r w:rsidR="00773AB7" w:rsidRPr="00345104">
        <w:rPr>
          <w:b/>
          <w:lang w:val="es-ES_tradnl"/>
        </w:rPr>
        <w:t>autoridad</w:t>
      </w:r>
      <w:r w:rsidR="00DD3DBF" w:rsidRPr="00345104">
        <w:rPr>
          <w:b/>
          <w:lang w:val="es-ES_tradnl"/>
        </w:rPr>
        <w:t xml:space="preserve"> n</w:t>
      </w:r>
      <w:r w:rsidR="00773AB7" w:rsidRPr="00345104">
        <w:rPr>
          <w:b/>
          <w:lang w:val="es-ES_tradnl"/>
        </w:rPr>
        <w:t>ecesari</w:t>
      </w:r>
      <w:r w:rsidR="00CC1A7A" w:rsidRPr="00345104">
        <w:rPr>
          <w:b/>
          <w:lang w:val="es-ES_tradnl"/>
        </w:rPr>
        <w:t>os</w:t>
      </w:r>
      <w:r w:rsidR="00DD3DBF" w:rsidRPr="00345104">
        <w:rPr>
          <w:b/>
          <w:lang w:val="es-ES_tradnl"/>
        </w:rPr>
        <w:t xml:space="preserve"> para su efectividad</w:t>
      </w:r>
      <w:r w:rsidR="008844E1" w:rsidRPr="00345104">
        <w:rPr>
          <w:b/>
          <w:lang w:val="es-ES_tradnl"/>
        </w:rPr>
        <w:t>.</w:t>
      </w:r>
    </w:p>
    <w:p w14:paraId="4E9627FF" w14:textId="7079DA81" w:rsidR="005A20B3" w:rsidRPr="00345104" w:rsidRDefault="0026337A" w:rsidP="0026337A">
      <w:pPr>
        <w:pStyle w:val="H23G"/>
        <w:rPr>
          <w:lang w:val="es-ES_tradnl"/>
        </w:rPr>
      </w:pPr>
      <w:r w:rsidRPr="00345104">
        <w:rPr>
          <w:lang w:val="es-ES_tradnl"/>
        </w:rPr>
        <w:tab/>
      </w:r>
      <w:r w:rsidRPr="00345104">
        <w:rPr>
          <w:lang w:val="es-ES_tradnl"/>
        </w:rPr>
        <w:tab/>
      </w:r>
      <w:r w:rsidR="000220F3" w:rsidRPr="00345104">
        <w:rPr>
          <w:lang w:val="es-ES_tradnl"/>
        </w:rPr>
        <w:t>Discriminación</w:t>
      </w:r>
      <w:r w:rsidR="003C79A0" w:rsidRPr="00345104">
        <w:rPr>
          <w:lang w:val="es-ES_tradnl"/>
        </w:rPr>
        <w:t xml:space="preserve"> contra afrodescendientes</w:t>
      </w:r>
      <w:r w:rsidR="000220F3" w:rsidRPr="00345104">
        <w:rPr>
          <w:lang w:val="es-ES_tradnl"/>
        </w:rPr>
        <w:t xml:space="preserve"> </w:t>
      </w:r>
    </w:p>
    <w:p w14:paraId="380C30E2" w14:textId="447D24A8" w:rsidR="0074130F" w:rsidRPr="00191075" w:rsidRDefault="00CE22BA" w:rsidP="00345104">
      <w:pPr>
        <w:pStyle w:val="SingleTxtG"/>
        <w:rPr>
          <w:b/>
          <w:lang w:val="es-ES_tradnl"/>
        </w:rPr>
      </w:pPr>
      <w:r w:rsidRPr="00345104">
        <w:rPr>
          <w:lang w:val="es-ES_tradnl"/>
        </w:rPr>
        <w:t>11.</w:t>
      </w:r>
      <w:r w:rsidRPr="00345104">
        <w:rPr>
          <w:lang w:val="es-ES_tradnl"/>
        </w:rPr>
        <w:tab/>
      </w:r>
      <w:r w:rsidR="008844E1" w:rsidRPr="00191075">
        <w:rPr>
          <w:lang w:val="es-ES_tradnl"/>
        </w:rPr>
        <w:t>A pesar de los esfuerzos realizados por el Estado parte</w:t>
      </w:r>
      <w:r w:rsidR="0074130F" w:rsidRPr="00191075">
        <w:rPr>
          <w:lang w:val="es-ES_tradnl"/>
        </w:rPr>
        <w:t xml:space="preserve">, </w:t>
      </w:r>
      <w:r w:rsidR="008844E1" w:rsidRPr="00191075">
        <w:rPr>
          <w:lang w:val="es-ES_tradnl"/>
        </w:rPr>
        <w:t>el Comité contin</w:t>
      </w:r>
      <w:r w:rsidR="00246E97" w:rsidRPr="00191075">
        <w:rPr>
          <w:lang w:val="es-ES_tradnl"/>
        </w:rPr>
        <w:t>ú</w:t>
      </w:r>
      <w:r w:rsidR="008844E1" w:rsidRPr="00191075">
        <w:rPr>
          <w:lang w:val="es-ES_tradnl"/>
        </w:rPr>
        <w:t xml:space="preserve">a preocupado por </w:t>
      </w:r>
      <w:r w:rsidR="0074130F" w:rsidRPr="00191075">
        <w:rPr>
          <w:lang w:val="es-ES_tradnl"/>
        </w:rPr>
        <w:t xml:space="preserve">la persistente discriminación estructural </w:t>
      </w:r>
      <w:r w:rsidR="00DD3DBF" w:rsidRPr="00191075">
        <w:rPr>
          <w:lang w:val="es-ES_tradnl"/>
        </w:rPr>
        <w:t xml:space="preserve">que sufre </w:t>
      </w:r>
      <w:r w:rsidR="008844E1" w:rsidRPr="00191075">
        <w:rPr>
          <w:lang w:val="es-ES_tradnl"/>
        </w:rPr>
        <w:t xml:space="preserve">la población afrodescendiente </w:t>
      </w:r>
      <w:r w:rsidR="0074130F" w:rsidRPr="00191075">
        <w:rPr>
          <w:lang w:val="es-ES_tradnl"/>
        </w:rPr>
        <w:t xml:space="preserve">que </w:t>
      </w:r>
      <w:r w:rsidR="008844E1" w:rsidRPr="00191075">
        <w:rPr>
          <w:lang w:val="es-ES_tradnl"/>
        </w:rPr>
        <w:t>afecta</w:t>
      </w:r>
      <w:r w:rsidR="0074130F" w:rsidRPr="00191075">
        <w:rPr>
          <w:lang w:val="es-ES_tradnl"/>
        </w:rPr>
        <w:t xml:space="preserve"> el ejercicio y goce efectivo de </w:t>
      </w:r>
      <w:r w:rsidR="008844E1" w:rsidRPr="00191075">
        <w:rPr>
          <w:lang w:val="es-ES_tradnl"/>
        </w:rPr>
        <w:t>su</w:t>
      </w:r>
      <w:r w:rsidR="0074130F" w:rsidRPr="00191075">
        <w:rPr>
          <w:lang w:val="es-ES_tradnl"/>
        </w:rPr>
        <w:t xml:space="preserve">s derechos económicos, sociales y culturales </w:t>
      </w:r>
      <w:r w:rsidR="003C79A0" w:rsidRPr="00191075">
        <w:rPr>
          <w:lang w:val="es-ES_tradnl"/>
        </w:rPr>
        <w:t>(</w:t>
      </w:r>
      <w:r w:rsidR="00246E97" w:rsidRPr="00191075">
        <w:rPr>
          <w:lang w:val="es-ES_tradnl"/>
        </w:rPr>
        <w:t>a</w:t>
      </w:r>
      <w:r w:rsidR="003C79A0" w:rsidRPr="00191075">
        <w:rPr>
          <w:lang w:val="es-ES_tradnl"/>
        </w:rPr>
        <w:t>rt. 2)</w:t>
      </w:r>
      <w:r w:rsidR="009851EA" w:rsidRPr="00191075">
        <w:rPr>
          <w:lang w:val="es-ES_tradnl"/>
        </w:rPr>
        <w:t>.</w:t>
      </w:r>
    </w:p>
    <w:p w14:paraId="46BC1668" w14:textId="40D3DA72" w:rsidR="009851EA" w:rsidRPr="00345104" w:rsidRDefault="00CE22BA" w:rsidP="00345104">
      <w:pPr>
        <w:pStyle w:val="SingleTxtG"/>
        <w:rPr>
          <w:b/>
          <w:lang w:val="es-ES_tradnl"/>
        </w:rPr>
      </w:pPr>
      <w:r w:rsidRPr="00345104">
        <w:rPr>
          <w:lang w:val="es-ES_tradnl"/>
        </w:rPr>
        <w:t>12.</w:t>
      </w:r>
      <w:r w:rsidRPr="00345104">
        <w:rPr>
          <w:lang w:val="es-ES_tradnl"/>
        </w:rPr>
        <w:tab/>
      </w:r>
      <w:r w:rsidR="00C9361C" w:rsidRPr="00191075">
        <w:rPr>
          <w:b/>
          <w:lang w:val="es-ES_tradnl"/>
        </w:rPr>
        <w:t xml:space="preserve">El </w:t>
      </w:r>
      <w:r w:rsidR="0074130F" w:rsidRPr="00191075">
        <w:rPr>
          <w:b/>
          <w:lang w:val="es-ES_tradnl"/>
        </w:rPr>
        <w:t xml:space="preserve">Comité recomienda al Estado parte </w:t>
      </w:r>
      <w:r w:rsidR="00C9361C" w:rsidRPr="00191075">
        <w:rPr>
          <w:b/>
          <w:lang w:val="es-ES_tradnl"/>
        </w:rPr>
        <w:t xml:space="preserve">que </w:t>
      </w:r>
      <w:r w:rsidR="009851EA" w:rsidRPr="00191075">
        <w:rPr>
          <w:b/>
          <w:lang w:val="es-ES_tradnl"/>
        </w:rPr>
        <w:t>intensifique</w:t>
      </w:r>
      <w:r w:rsidR="0074130F" w:rsidRPr="00191075">
        <w:rPr>
          <w:b/>
          <w:lang w:val="es-ES_tradnl"/>
        </w:rPr>
        <w:t xml:space="preserve"> sus esfuerzos para </w:t>
      </w:r>
      <w:r w:rsidR="008844E1" w:rsidRPr="00191075">
        <w:rPr>
          <w:b/>
          <w:lang w:val="es-ES_tradnl"/>
        </w:rPr>
        <w:t xml:space="preserve">prevenir y </w:t>
      </w:r>
      <w:r w:rsidR="009851EA" w:rsidRPr="00191075">
        <w:rPr>
          <w:b/>
          <w:lang w:val="es-ES_tradnl"/>
        </w:rPr>
        <w:t xml:space="preserve">combatir la discriminación estructural </w:t>
      </w:r>
      <w:r w:rsidR="00DD3DBF" w:rsidRPr="00191075">
        <w:rPr>
          <w:b/>
          <w:lang w:val="es-ES_tradnl"/>
        </w:rPr>
        <w:t xml:space="preserve">que sufren los </w:t>
      </w:r>
      <w:r w:rsidR="009851EA" w:rsidRPr="00191075">
        <w:rPr>
          <w:b/>
          <w:lang w:val="es-ES_tradnl"/>
        </w:rPr>
        <w:t xml:space="preserve">afrodescendientes y mejorar su situación socioeconómica, </w:t>
      </w:r>
      <w:r w:rsidR="008844E1" w:rsidRPr="00191075">
        <w:rPr>
          <w:b/>
          <w:lang w:val="es-ES_tradnl"/>
        </w:rPr>
        <w:t>entre otras cosa</w:t>
      </w:r>
      <w:r w:rsidR="00C9361C" w:rsidRPr="00191075">
        <w:rPr>
          <w:b/>
          <w:lang w:val="es-ES_tradnl"/>
        </w:rPr>
        <w:t>s</w:t>
      </w:r>
      <w:r w:rsidR="00246E97" w:rsidRPr="00191075">
        <w:rPr>
          <w:b/>
          <w:lang w:val="es-ES_tradnl"/>
        </w:rPr>
        <w:t>,</w:t>
      </w:r>
      <w:r w:rsidR="008844E1" w:rsidRPr="00191075">
        <w:rPr>
          <w:b/>
          <w:lang w:val="es-ES_tradnl"/>
        </w:rPr>
        <w:t xml:space="preserve"> mediante </w:t>
      </w:r>
      <w:r w:rsidR="009851EA" w:rsidRPr="00191075">
        <w:rPr>
          <w:b/>
          <w:lang w:val="es-ES_tradnl"/>
        </w:rPr>
        <w:t xml:space="preserve">la implementación efectiva de la Ley </w:t>
      </w:r>
      <w:r w:rsidR="00246E97" w:rsidRPr="00191075">
        <w:rPr>
          <w:b/>
          <w:lang w:val="es-ES_tradnl"/>
        </w:rPr>
        <w:t>n</w:t>
      </w:r>
      <w:r w:rsidR="009851EA" w:rsidRPr="00191075">
        <w:rPr>
          <w:b/>
          <w:lang w:val="es-ES_tradnl"/>
        </w:rPr>
        <w:t>úm</w:t>
      </w:r>
      <w:r w:rsidR="00246E97" w:rsidRPr="00191075">
        <w:rPr>
          <w:b/>
          <w:lang w:val="es-ES_tradnl"/>
        </w:rPr>
        <w:t xml:space="preserve">. </w:t>
      </w:r>
      <w:r w:rsidR="009851EA" w:rsidRPr="00191075">
        <w:rPr>
          <w:b/>
          <w:lang w:val="es-ES_tradnl"/>
        </w:rPr>
        <w:t>19122 de 2013</w:t>
      </w:r>
      <w:r w:rsidR="00442017" w:rsidRPr="00191075">
        <w:rPr>
          <w:b/>
          <w:lang w:val="es-ES_tradnl"/>
        </w:rPr>
        <w:t xml:space="preserve"> y</w:t>
      </w:r>
      <w:r w:rsidR="008844E1" w:rsidRPr="00191075">
        <w:rPr>
          <w:b/>
          <w:lang w:val="es-ES_tradnl"/>
        </w:rPr>
        <w:t xml:space="preserve"> la elaboración de políticas y programas específicos a fin de gar</w:t>
      </w:r>
      <w:r w:rsidR="008844E1" w:rsidRPr="00345104">
        <w:rPr>
          <w:b/>
          <w:lang w:val="es-ES_tradnl"/>
        </w:rPr>
        <w:t xml:space="preserve">antizarles el pleno ejercicio de </w:t>
      </w:r>
      <w:r w:rsidR="00295FEC" w:rsidRPr="00345104">
        <w:rPr>
          <w:b/>
          <w:lang w:val="es-ES_tradnl"/>
        </w:rPr>
        <w:t>sus</w:t>
      </w:r>
      <w:r w:rsidR="008844E1" w:rsidRPr="00345104">
        <w:rPr>
          <w:b/>
          <w:lang w:val="es-ES_tradnl"/>
        </w:rPr>
        <w:t xml:space="preserve"> derechos </w:t>
      </w:r>
      <w:r w:rsidR="00295FEC" w:rsidRPr="00345104">
        <w:rPr>
          <w:b/>
          <w:lang w:val="es-ES_tradnl"/>
        </w:rPr>
        <w:t>económicos, sociales y culturales</w:t>
      </w:r>
      <w:r w:rsidR="00FD756B" w:rsidRPr="00345104">
        <w:rPr>
          <w:b/>
          <w:lang w:val="es-ES_tradnl"/>
        </w:rPr>
        <w:t>. El Comité insta al Estad</w:t>
      </w:r>
      <w:r w:rsidR="00DF3D65" w:rsidRPr="00345104">
        <w:rPr>
          <w:b/>
          <w:lang w:val="es-ES_tradnl"/>
        </w:rPr>
        <w:t>o</w:t>
      </w:r>
      <w:r w:rsidR="00FD756B" w:rsidRPr="00345104">
        <w:rPr>
          <w:b/>
          <w:lang w:val="es-ES_tradnl"/>
        </w:rPr>
        <w:t xml:space="preserve"> parte a fortalecer los mecanismos de supervisión de la referida ley y demás políticas y programas</w:t>
      </w:r>
      <w:r w:rsidR="00246E97" w:rsidRPr="00345104">
        <w:rPr>
          <w:b/>
          <w:lang w:val="es-ES_tradnl"/>
        </w:rPr>
        <w:t>,</w:t>
      </w:r>
      <w:r w:rsidR="00FD756B" w:rsidRPr="00345104">
        <w:rPr>
          <w:b/>
          <w:lang w:val="es-ES_tradnl"/>
        </w:rPr>
        <w:t xml:space="preserve"> a fin de realizar un seguimiento periódico y </w:t>
      </w:r>
      <w:r w:rsidR="00246E97" w:rsidRPr="00345104">
        <w:rPr>
          <w:b/>
          <w:lang w:val="es-ES_tradnl"/>
        </w:rPr>
        <w:t xml:space="preserve">una </w:t>
      </w:r>
      <w:r w:rsidR="00FD756B" w:rsidRPr="00345104">
        <w:rPr>
          <w:b/>
          <w:lang w:val="es-ES_tradnl"/>
        </w:rPr>
        <w:t>evaluación exhaustiva de sus resultados</w:t>
      </w:r>
      <w:r w:rsidR="00295FEC" w:rsidRPr="00345104">
        <w:rPr>
          <w:b/>
          <w:lang w:val="es-ES_tradnl"/>
        </w:rPr>
        <w:t xml:space="preserve">. </w:t>
      </w:r>
      <w:r w:rsidR="00FD756B" w:rsidRPr="00345104">
        <w:rPr>
          <w:b/>
          <w:lang w:val="es-ES_tradnl"/>
        </w:rPr>
        <w:t xml:space="preserve">Además, le insta </w:t>
      </w:r>
      <w:r w:rsidR="005212C4" w:rsidRPr="00191075">
        <w:rPr>
          <w:b/>
          <w:lang w:val="es-ES_tradnl"/>
        </w:rPr>
        <w:t>a</w:t>
      </w:r>
      <w:r w:rsidR="00295FEC" w:rsidRPr="00191075">
        <w:rPr>
          <w:b/>
          <w:lang w:val="es-ES_tradnl"/>
        </w:rPr>
        <w:t xml:space="preserve"> llevar a cabo campañas de sensibilización a fin de combatir la discriminación</w:t>
      </w:r>
      <w:r w:rsidR="00DD3DBF" w:rsidRPr="00191075">
        <w:rPr>
          <w:b/>
          <w:lang w:val="es-ES_tradnl"/>
        </w:rPr>
        <w:t xml:space="preserve"> </w:t>
      </w:r>
      <w:r w:rsidR="00295FEC" w:rsidRPr="00191075">
        <w:rPr>
          <w:b/>
          <w:lang w:val="es-ES_tradnl"/>
        </w:rPr>
        <w:t>contra</w:t>
      </w:r>
      <w:r w:rsidR="00DF3D65" w:rsidRPr="00191075">
        <w:rPr>
          <w:b/>
          <w:lang w:val="es-ES_tradnl"/>
        </w:rPr>
        <w:t xml:space="preserve"> las</w:t>
      </w:r>
      <w:r w:rsidR="00295FEC" w:rsidRPr="00191075">
        <w:rPr>
          <w:b/>
          <w:lang w:val="es-ES_tradnl"/>
        </w:rPr>
        <w:t xml:space="preserve"> personas afrodescendientes. </w:t>
      </w:r>
    </w:p>
    <w:p w14:paraId="38B4787C" w14:textId="1A7014AB" w:rsidR="003C79A0" w:rsidRPr="00345104" w:rsidRDefault="0026337A" w:rsidP="00176057">
      <w:pPr>
        <w:pStyle w:val="H23G"/>
        <w:rPr>
          <w:lang w:val="es-ES_tradnl"/>
        </w:rPr>
      </w:pPr>
      <w:r w:rsidRPr="00345104">
        <w:rPr>
          <w:lang w:val="es-ES_tradnl"/>
        </w:rPr>
        <w:tab/>
      </w:r>
      <w:r w:rsidRPr="00345104">
        <w:rPr>
          <w:lang w:val="es-ES_tradnl"/>
        </w:rPr>
        <w:tab/>
      </w:r>
      <w:r w:rsidR="003C79A0" w:rsidRPr="00345104">
        <w:rPr>
          <w:lang w:val="es-ES_tradnl"/>
        </w:rPr>
        <w:t>Discriminación contra l</w:t>
      </w:r>
      <w:r w:rsidR="00B47DC6" w:rsidRPr="00345104">
        <w:rPr>
          <w:lang w:val="es-ES_tradnl"/>
        </w:rPr>
        <w:t>os migrantes</w:t>
      </w:r>
    </w:p>
    <w:p w14:paraId="7E7F0BAE" w14:textId="16B52848" w:rsidR="00BD62F7" w:rsidRPr="00191075" w:rsidRDefault="00CE22BA" w:rsidP="00345104">
      <w:pPr>
        <w:pStyle w:val="SingleTxtG"/>
        <w:rPr>
          <w:b/>
          <w:lang w:val="es-ES_tradnl"/>
        </w:rPr>
      </w:pPr>
      <w:r w:rsidRPr="00345104">
        <w:rPr>
          <w:lang w:val="es-ES_tradnl"/>
        </w:rPr>
        <w:t>13.</w:t>
      </w:r>
      <w:r w:rsidRPr="00345104">
        <w:rPr>
          <w:lang w:val="es-ES_tradnl"/>
        </w:rPr>
        <w:tab/>
      </w:r>
      <w:r w:rsidR="00BD62F7" w:rsidRPr="00191075">
        <w:rPr>
          <w:lang w:val="es-ES_tradnl"/>
        </w:rPr>
        <w:t xml:space="preserve">Aun cuando el Comité acoge con agrado los esfuerzos realizados por el Estado parte para asegurar a </w:t>
      </w:r>
      <w:r w:rsidR="00B47DC6" w:rsidRPr="00191075">
        <w:rPr>
          <w:lang w:val="es-ES_tradnl"/>
        </w:rPr>
        <w:t>los migrantes</w:t>
      </w:r>
      <w:r w:rsidR="00BD62F7" w:rsidRPr="00191075">
        <w:rPr>
          <w:lang w:val="es-ES_tradnl"/>
        </w:rPr>
        <w:t xml:space="preserve"> acceso a sus derechos económicos, sociales y culturales, le preocupa la persistencia de actitudes discriminatorias en su contra</w:t>
      </w:r>
      <w:r w:rsidR="00AD5B67" w:rsidRPr="00191075">
        <w:rPr>
          <w:lang w:val="es-ES_tradnl"/>
        </w:rPr>
        <w:t xml:space="preserve">. También le preocupa </w:t>
      </w:r>
      <w:r w:rsidR="00BD62F7" w:rsidRPr="00191075">
        <w:rPr>
          <w:lang w:val="es-ES_tradnl"/>
        </w:rPr>
        <w:t xml:space="preserve">que </w:t>
      </w:r>
      <w:r w:rsidR="00DD3DBF" w:rsidRPr="00191075">
        <w:rPr>
          <w:lang w:val="es-ES_tradnl"/>
        </w:rPr>
        <w:t xml:space="preserve">en ocasiones la demora en los procesos de </w:t>
      </w:r>
      <w:r w:rsidR="00BD62F7" w:rsidRPr="00191075">
        <w:rPr>
          <w:lang w:val="es-ES_tradnl"/>
        </w:rPr>
        <w:t xml:space="preserve">emisión de la cédula de identidad les impida el ejercicio efectivo de </w:t>
      </w:r>
      <w:r w:rsidR="00DF3D65" w:rsidRPr="00191075">
        <w:rPr>
          <w:lang w:val="es-ES_tradnl"/>
        </w:rPr>
        <w:t xml:space="preserve">tales </w:t>
      </w:r>
      <w:r w:rsidR="00BD62F7" w:rsidRPr="00191075">
        <w:rPr>
          <w:lang w:val="es-ES_tradnl"/>
        </w:rPr>
        <w:t xml:space="preserve">derechos </w:t>
      </w:r>
      <w:r w:rsidR="003C79A0" w:rsidRPr="00191075">
        <w:rPr>
          <w:lang w:val="es-ES_tradnl"/>
        </w:rPr>
        <w:t>(</w:t>
      </w:r>
      <w:r w:rsidR="00933789" w:rsidRPr="00191075">
        <w:rPr>
          <w:lang w:val="es-ES_tradnl"/>
        </w:rPr>
        <w:t>a</w:t>
      </w:r>
      <w:r w:rsidR="003C79A0" w:rsidRPr="00191075">
        <w:rPr>
          <w:lang w:val="es-ES_tradnl"/>
        </w:rPr>
        <w:t xml:space="preserve">rt. 2). </w:t>
      </w:r>
    </w:p>
    <w:p w14:paraId="6AEFFBDC" w14:textId="47A891E6" w:rsidR="00BD62F7" w:rsidRPr="00191075" w:rsidRDefault="00CE22BA" w:rsidP="00345104">
      <w:pPr>
        <w:pStyle w:val="SingleTxtG"/>
        <w:rPr>
          <w:lang w:val="es-ES_tradnl"/>
        </w:rPr>
      </w:pPr>
      <w:r w:rsidRPr="00345104">
        <w:rPr>
          <w:lang w:val="es-ES_tradnl"/>
        </w:rPr>
        <w:t>14.</w:t>
      </w:r>
      <w:r w:rsidRPr="00345104">
        <w:rPr>
          <w:lang w:val="es-ES_tradnl"/>
        </w:rPr>
        <w:tab/>
      </w:r>
      <w:r w:rsidR="00BD62F7" w:rsidRPr="00345104">
        <w:rPr>
          <w:b/>
          <w:lang w:val="es-ES_tradnl"/>
        </w:rPr>
        <w:t xml:space="preserve">El </w:t>
      </w:r>
      <w:r w:rsidR="00BD62F7" w:rsidRPr="00191075">
        <w:rPr>
          <w:b/>
          <w:lang w:val="es-ES_tradnl"/>
        </w:rPr>
        <w:t>Comité</w:t>
      </w:r>
      <w:r w:rsidR="00BD62F7" w:rsidRPr="00345104">
        <w:rPr>
          <w:b/>
          <w:lang w:val="es-ES_tradnl"/>
        </w:rPr>
        <w:t xml:space="preserve"> recomienda al Estado parte </w:t>
      </w:r>
      <w:r w:rsidR="00FF0495" w:rsidRPr="00191075">
        <w:rPr>
          <w:b/>
          <w:lang w:val="es-ES_tradnl"/>
        </w:rPr>
        <w:t xml:space="preserve">adoptar medidas concretas para combatir la discriminación contra </w:t>
      </w:r>
      <w:r w:rsidR="00B47DC6" w:rsidRPr="00191075">
        <w:rPr>
          <w:b/>
          <w:lang w:val="es-ES_tradnl"/>
        </w:rPr>
        <w:t>los migrantes</w:t>
      </w:r>
      <w:r w:rsidR="00FF0495" w:rsidRPr="00191075">
        <w:rPr>
          <w:b/>
          <w:lang w:val="es-ES_tradnl"/>
        </w:rPr>
        <w:t xml:space="preserve"> y favorecer su integración</w:t>
      </w:r>
      <w:r w:rsidR="00FD756B" w:rsidRPr="00191075">
        <w:rPr>
          <w:b/>
          <w:lang w:val="es-ES_tradnl"/>
        </w:rPr>
        <w:t xml:space="preserve"> social, </w:t>
      </w:r>
      <w:r w:rsidR="00FF0495" w:rsidRPr="00191075">
        <w:rPr>
          <w:b/>
          <w:lang w:val="es-ES_tradnl"/>
        </w:rPr>
        <w:t>asegurando el acceso</w:t>
      </w:r>
      <w:r w:rsidR="00AD5B67" w:rsidRPr="00191075">
        <w:rPr>
          <w:b/>
          <w:lang w:val="es-ES_tradnl"/>
        </w:rPr>
        <w:t xml:space="preserve"> </w:t>
      </w:r>
      <w:r w:rsidR="00FF0495" w:rsidRPr="00191075">
        <w:rPr>
          <w:b/>
          <w:lang w:val="es-ES_tradnl"/>
        </w:rPr>
        <w:t>a los derechos económicos, sociales y culturales, en particular al empleo, la educación, la vivienda y la salud</w:t>
      </w:r>
      <w:r w:rsidR="00FF0495" w:rsidRPr="00345104">
        <w:rPr>
          <w:b/>
          <w:lang w:val="es-ES_tradnl"/>
        </w:rPr>
        <w:t>. El Comité insta al Estado parte a intensificar</w:t>
      </w:r>
      <w:r w:rsidR="00C20B33" w:rsidRPr="00345104">
        <w:rPr>
          <w:b/>
          <w:lang w:val="es-ES_tradnl"/>
        </w:rPr>
        <w:t xml:space="preserve"> sus esfuerzos para asegurar la </w:t>
      </w:r>
      <w:r w:rsidR="00BD62F7" w:rsidRPr="00191075">
        <w:rPr>
          <w:b/>
          <w:lang w:val="es-ES_tradnl"/>
        </w:rPr>
        <w:t>emisión</w:t>
      </w:r>
      <w:r w:rsidR="00DD3DBF" w:rsidRPr="00191075">
        <w:rPr>
          <w:b/>
          <w:lang w:val="es-ES_tradnl"/>
        </w:rPr>
        <w:t xml:space="preserve"> en tiempo razonable </w:t>
      </w:r>
      <w:r w:rsidR="00BD62F7" w:rsidRPr="00191075">
        <w:rPr>
          <w:b/>
          <w:lang w:val="es-ES_tradnl"/>
        </w:rPr>
        <w:t xml:space="preserve">de </w:t>
      </w:r>
      <w:r w:rsidR="00FF0495" w:rsidRPr="00191075">
        <w:rPr>
          <w:b/>
          <w:lang w:val="es-ES_tradnl"/>
        </w:rPr>
        <w:t>cédulas de identidad</w:t>
      </w:r>
      <w:r w:rsidR="00BD62F7" w:rsidRPr="00191075">
        <w:rPr>
          <w:b/>
          <w:lang w:val="es-ES_tradnl"/>
        </w:rPr>
        <w:t xml:space="preserve"> a las personas </w:t>
      </w:r>
      <w:r w:rsidR="00C20B33" w:rsidRPr="00191075">
        <w:rPr>
          <w:b/>
          <w:lang w:val="es-ES_tradnl"/>
        </w:rPr>
        <w:t>migrantes</w:t>
      </w:r>
      <w:r w:rsidR="00AD5B67" w:rsidRPr="00191075">
        <w:rPr>
          <w:b/>
          <w:lang w:val="es-ES_tradnl"/>
        </w:rPr>
        <w:t xml:space="preserve"> y le remite a su </w:t>
      </w:r>
      <w:r w:rsidR="00342597" w:rsidRPr="00191075">
        <w:rPr>
          <w:b/>
          <w:lang w:val="es-ES_tradnl"/>
        </w:rPr>
        <w:t>D</w:t>
      </w:r>
      <w:r w:rsidR="00AD5B67" w:rsidRPr="00191075">
        <w:rPr>
          <w:b/>
          <w:lang w:val="es-ES_tradnl"/>
        </w:rPr>
        <w:t xml:space="preserve">eclaración sobre las obligaciones de los Estados con respecto a los refugiados y </w:t>
      </w:r>
      <w:r w:rsidR="002836E8" w:rsidRPr="00191075">
        <w:rPr>
          <w:b/>
          <w:lang w:val="es-ES_tradnl"/>
        </w:rPr>
        <w:t xml:space="preserve">los </w:t>
      </w:r>
      <w:r w:rsidR="00AD5B67" w:rsidRPr="00191075">
        <w:rPr>
          <w:b/>
          <w:lang w:val="es-ES_tradnl"/>
        </w:rPr>
        <w:t>migrantes en virtud del Pacto, de</w:t>
      </w:r>
      <w:r w:rsidRPr="00191075">
        <w:rPr>
          <w:b/>
          <w:lang w:val="es-ES_tradnl"/>
        </w:rPr>
        <w:t> </w:t>
      </w:r>
      <w:r w:rsidR="00AD5B67" w:rsidRPr="00191075">
        <w:rPr>
          <w:b/>
          <w:lang w:val="es-ES_tradnl"/>
        </w:rPr>
        <w:t>2017.</w:t>
      </w:r>
    </w:p>
    <w:p w14:paraId="139E0542" w14:textId="4E54D6C6" w:rsidR="0058248A" w:rsidRPr="00345104" w:rsidRDefault="0026337A" w:rsidP="0026337A">
      <w:pPr>
        <w:pStyle w:val="H23G"/>
        <w:rPr>
          <w:lang w:val="es-ES_tradnl"/>
        </w:rPr>
      </w:pPr>
      <w:r w:rsidRPr="00345104">
        <w:rPr>
          <w:lang w:val="es-ES_tradnl"/>
        </w:rPr>
        <w:tab/>
      </w:r>
      <w:r w:rsidRPr="00345104">
        <w:rPr>
          <w:lang w:val="es-ES_tradnl"/>
        </w:rPr>
        <w:tab/>
      </w:r>
      <w:r w:rsidR="000220F3" w:rsidRPr="00345104">
        <w:rPr>
          <w:lang w:val="es-ES_tradnl"/>
        </w:rPr>
        <w:t xml:space="preserve">Igualdad </w:t>
      </w:r>
      <w:r w:rsidR="0058248A" w:rsidRPr="00345104">
        <w:rPr>
          <w:lang w:val="es-ES_tradnl"/>
        </w:rPr>
        <w:t xml:space="preserve">entre hombres y mujeres </w:t>
      </w:r>
    </w:p>
    <w:p w14:paraId="303C82D4" w14:textId="669C7BA8" w:rsidR="000956F6" w:rsidRPr="00191075" w:rsidRDefault="00CE22BA" w:rsidP="00345104">
      <w:pPr>
        <w:pStyle w:val="SingleTxtG"/>
        <w:rPr>
          <w:b/>
          <w:lang w:val="es-ES_tradnl"/>
        </w:rPr>
      </w:pPr>
      <w:r w:rsidRPr="00345104">
        <w:rPr>
          <w:lang w:val="es-ES_tradnl"/>
        </w:rPr>
        <w:t>15.</w:t>
      </w:r>
      <w:r w:rsidRPr="00345104">
        <w:rPr>
          <w:lang w:val="es-ES_tradnl"/>
        </w:rPr>
        <w:tab/>
      </w:r>
      <w:r w:rsidR="00302940" w:rsidRPr="00191075">
        <w:rPr>
          <w:lang w:val="es-ES_tradnl"/>
        </w:rPr>
        <w:t>Preocupa al Comité que, a</w:t>
      </w:r>
      <w:r w:rsidR="00BB5327" w:rsidRPr="00191075">
        <w:rPr>
          <w:lang w:val="es-ES_tradnl"/>
        </w:rPr>
        <w:t xml:space="preserve"> pesar de los esfuerzos realizados por el Estado parte para promover la igualdad </w:t>
      </w:r>
      <w:r w:rsidR="00302940" w:rsidRPr="00191075">
        <w:rPr>
          <w:lang w:val="es-ES_tradnl"/>
        </w:rPr>
        <w:t>entre hombres y mujeres</w:t>
      </w:r>
      <w:r w:rsidR="00BB5327" w:rsidRPr="00191075">
        <w:rPr>
          <w:lang w:val="es-ES_tradnl"/>
        </w:rPr>
        <w:t xml:space="preserve">, </w:t>
      </w:r>
      <w:r w:rsidR="00AD5B67" w:rsidRPr="00191075">
        <w:rPr>
          <w:lang w:val="es-ES_tradnl"/>
        </w:rPr>
        <w:t xml:space="preserve">los </w:t>
      </w:r>
      <w:r w:rsidR="00BB5327" w:rsidRPr="00191075">
        <w:rPr>
          <w:lang w:val="es-ES_tradnl"/>
        </w:rPr>
        <w:t xml:space="preserve">estereotipos de género continúen profundamente </w:t>
      </w:r>
      <w:r w:rsidR="00A235E7" w:rsidRPr="00191075">
        <w:rPr>
          <w:lang w:val="es-ES_tradnl"/>
        </w:rPr>
        <w:t>arraigados</w:t>
      </w:r>
      <w:r w:rsidR="00BB5327" w:rsidRPr="00191075">
        <w:rPr>
          <w:lang w:val="es-ES_tradnl"/>
        </w:rPr>
        <w:t xml:space="preserve"> en la sociedad</w:t>
      </w:r>
      <w:r w:rsidR="00B278B6" w:rsidRPr="00191075">
        <w:rPr>
          <w:lang w:val="es-ES_tradnl"/>
        </w:rPr>
        <w:t>, l</w:t>
      </w:r>
      <w:r w:rsidR="00AD5B67" w:rsidRPr="00191075">
        <w:rPr>
          <w:lang w:val="es-ES_tradnl"/>
        </w:rPr>
        <w:t>o cual se</w:t>
      </w:r>
      <w:r w:rsidR="00A235E7" w:rsidRPr="00191075">
        <w:rPr>
          <w:lang w:val="es-ES_tradnl"/>
        </w:rPr>
        <w:t xml:space="preserve"> </w:t>
      </w:r>
      <w:r w:rsidR="00D318B5" w:rsidRPr="00191075">
        <w:rPr>
          <w:lang w:val="es-ES_tradnl"/>
        </w:rPr>
        <w:t>manif</w:t>
      </w:r>
      <w:r w:rsidR="00AD5B67" w:rsidRPr="00191075">
        <w:rPr>
          <w:lang w:val="es-ES_tradnl"/>
        </w:rPr>
        <w:t>i</w:t>
      </w:r>
      <w:r w:rsidR="00D318B5" w:rsidRPr="00191075">
        <w:rPr>
          <w:lang w:val="es-ES_tradnl"/>
        </w:rPr>
        <w:t>est</w:t>
      </w:r>
      <w:r w:rsidR="00AD5B67" w:rsidRPr="00191075">
        <w:rPr>
          <w:lang w:val="es-ES_tradnl"/>
        </w:rPr>
        <w:t xml:space="preserve">a </w:t>
      </w:r>
      <w:r w:rsidR="00A235E7" w:rsidRPr="00191075">
        <w:rPr>
          <w:lang w:val="es-ES_tradnl"/>
        </w:rPr>
        <w:t xml:space="preserve">en actos de discriminación y violencia </w:t>
      </w:r>
      <w:r w:rsidR="00D72E2D" w:rsidRPr="00191075">
        <w:rPr>
          <w:lang w:val="es-ES_tradnl"/>
        </w:rPr>
        <w:t>en contra de la mujer</w:t>
      </w:r>
      <w:r w:rsidR="00AD5B67" w:rsidRPr="00191075">
        <w:rPr>
          <w:lang w:val="es-ES_tradnl"/>
        </w:rPr>
        <w:t>, afectando</w:t>
      </w:r>
      <w:r w:rsidR="00D72E2D" w:rsidRPr="00191075">
        <w:rPr>
          <w:lang w:val="es-ES_tradnl"/>
        </w:rPr>
        <w:t xml:space="preserve"> el disfrute de sus derechos económicos, sociales y culturales</w:t>
      </w:r>
      <w:r w:rsidR="00B278B6" w:rsidRPr="00191075">
        <w:rPr>
          <w:lang w:val="es-ES_tradnl"/>
        </w:rPr>
        <w:t>. Asimismo, el Comité lamenta que el Estado parte no haya aún derogado las disposiciones legales con contenido discriminatorio contra la mujer</w:t>
      </w:r>
      <w:r w:rsidR="00D72E2D" w:rsidRPr="00191075">
        <w:rPr>
          <w:lang w:val="es-ES_tradnl"/>
        </w:rPr>
        <w:t xml:space="preserve"> </w:t>
      </w:r>
      <w:r w:rsidR="00B30A89" w:rsidRPr="00191075">
        <w:rPr>
          <w:lang w:val="es-ES_tradnl"/>
        </w:rPr>
        <w:t>(art. 3).</w:t>
      </w:r>
      <w:r w:rsidR="00B278B6" w:rsidRPr="00191075">
        <w:rPr>
          <w:lang w:val="es-ES_tradnl"/>
        </w:rPr>
        <w:t xml:space="preserve"> </w:t>
      </w:r>
    </w:p>
    <w:p w14:paraId="1C73CE4B" w14:textId="189BF71E" w:rsidR="000220F3" w:rsidRPr="00345104" w:rsidRDefault="00CE22BA" w:rsidP="00345104">
      <w:pPr>
        <w:pStyle w:val="SingleTxtG"/>
        <w:rPr>
          <w:b/>
          <w:lang w:val="es-ES_tradnl"/>
        </w:rPr>
      </w:pPr>
      <w:r w:rsidRPr="00345104">
        <w:rPr>
          <w:lang w:val="es-ES_tradnl"/>
        </w:rPr>
        <w:t>16.</w:t>
      </w:r>
      <w:r w:rsidRPr="00345104">
        <w:rPr>
          <w:lang w:val="es-ES_tradnl"/>
        </w:rPr>
        <w:tab/>
      </w:r>
      <w:r w:rsidR="000220F3" w:rsidRPr="00345104">
        <w:rPr>
          <w:b/>
          <w:lang w:val="es-ES_tradnl"/>
        </w:rPr>
        <w:t>El Comité recomienda al Estado parte que</w:t>
      </w:r>
      <w:r w:rsidR="00302940" w:rsidRPr="00345104">
        <w:rPr>
          <w:b/>
          <w:lang w:val="es-ES_tradnl"/>
        </w:rPr>
        <w:t xml:space="preserve"> intensifique sus esfuerzos para lograr la igualdad sustantiva entre hombres y mujeres</w:t>
      </w:r>
      <w:r w:rsidR="00B25272" w:rsidRPr="00345104">
        <w:rPr>
          <w:b/>
          <w:lang w:val="es-ES_tradnl"/>
        </w:rPr>
        <w:t xml:space="preserve"> y </w:t>
      </w:r>
      <w:r w:rsidR="000904BE" w:rsidRPr="00345104">
        <w:rPr>
          <w:b/>
          <w:lang w:val="es-ES_tradnl"/>
        </w:rPr>
        <w:t>en particular</w:t>
      </w:r>
      <w:r w:rsidR="00B25272" w:rsidRPr="00345104">
        <w:rPr>
          <w:b/>
          <w:lang w:val="es-ES_tradnl"/>
        </w:rPr>
        <w:t xml:space="preserve"> </w:t>
      </w:r>
      <w:r w:rsidR="0048272D" w:rsidRPr="00345104">
        <w:rPr>
          <w:b/>
          <w:lang w:val="es-ES_tradnl"/>
        </w:rPr>
        <w:t>que</w:t>
      </w:r>
      <w:r w:rsidR="000220F3" w:rsidRPr="00345104">
        <w:rPr>
          <w:b/>
          <w:lang w:val="es-ES_tradnl"/>
        </w:rPr>
        <w:t xml:space="preserve">: </w:t>
      </w:r>
    </w:p>
    <w:p w14:paraId="4EBA0B11" w14:textId="5F26FDA2" w:rsidR="001E604E" w:rsidRPr="00345104" w:rsidRDefault="0026337A" w:rsidP="0026337A">
      <w:pPr>
        <w:pStyle w:val="SingleTxtG"/>
        <w:rPr>
          <w:b/>
          <w:lang w:val="es-ES_tradnl"/>
        </w:rPr>
      </w:pPr>
      <w:r w:rsidRPr="00191075">
        <w:rPr>
          <w:b/>
          <w:lang w:val="es-ES_tradnl"/>
        </w:rPr>
        <w:tab/>
        <w:t>a)</w:t>
      </w:r>
      <w:r w:rsidRPr="00191075">
        <w:rPr>
          <w:b/>
          <w:lang w:val="es-ES_tradnl"/>
        </w:rPr>
        <w:tab/>
      </w:r>
      <w:r w:rsidR="00B25272" w:rsidRPr="00345104">
        <w:rPr>
          <w:b/>
          <w:lang w:val="es-ES_tradnl"/>
        </w:rPr>
        <w:t>Adopt</w:t>
      </w:r>
      <w:r w:rsidR="0048272D" w:rsidRPr="00345104">
        <w:rPr>
          <w:b/>
          <w:lang w:val="es-ES_tradnl"/>
        </w:rPr>
        <w:t>e</w:t>
      </w:r>
      <w:r w:rsidR="00D72E2D" w:rsidRPr="00345104">
        <w:rPr>
          <w:b/>
          <w:lang w:val="es-ES_tradnl"/>
        </w:rPr>
        <w:t xml:space="preserve"> </w:t>
      </w:r>
      <w:r w:rsidR="00302940" w:rsidRPr="00345104">
        <w:rPr>
          <w:b/>
          <w:lang w:val="es-ES_tradnl"/>
        </w:rPr>
        <w:t xml:space="preserve">medidas efectivas para </w:t>
      </w:r>
      <w:r w:rsidR="001E604E" w:rsidRPr="00345104">
        <w:rPr>
          <w:b/>
          <w:lang w:val="es-ES_tradnl"/>
        </w:rPr>
        <w:t xml:space="preserve">combatir </w:t>
      </w:r>
      <w:r w:rsidR="00302940" w:rsidRPr="00345104">
        <w:rPr>
          <w:b/>
          <w:lang w:val="es-ES_tradnl"/>
        </w:rPr>
        <w:t>la</w:t>
      </w:r>
      <w:r w:rsidR="00B30A89" w:rsidRPr="00345104">
        <w:rPr>
          <w:b/>
          <w:lang w:val="es-ES_tradnl"/>
        </w:rPr>
        <w:t xml:space="preserve"> percepción </w:t>
      </w:r>
      <w:r w:rsidR="00DD3DBF" w:rsidRPr="00345104">
        <w:rPr>
          <w:b/>
          <w:lang w:val="es-ES_tradnl"/>
        </w:rPr>
        <w:t xml:space="preserve">estereotipada </w:t>
      </w:r>
      <w:r w:rsidR="00B30A89" w:rsidRPr="00345104">
        <w:rPr>
          <w:b/>
          <w:lang w:val="es-ES_tradnl"/>
        </w:rPr>
        <w:t>de los roles</w:t>
      </w:r>
      <w:r w:rsidR="00DD3DBF" w:rsidRPr="00345104">
        <w:rPr>
          <w:b/>
          <w:lang w:val="es-ES_tradnl"/>
        </w:rPr>
        <w:t xml:space="preserve"> tradicionales</w:t>
      </w:r>
      <w:r w:rsidR="00B30A89" w:rsidRPr="00345104">
        <w:rPr>
          <w:b/>
          <w:lang w:val="es-ES_tradnl"/>
        </w:rPr>
        <w:t xml:space="preserve"> de género</w:t>
      </w:r>
      <w:r w:rsidR="00E7630F" w:rsidRPr="00345104">
        <w:rPr>
          <w:b/>
          <w:lang w:val="es-ES_tradnl"/>
        </w:rPr>
        <w:t>,</w:t>
      </w:r>
      <w:r w:rsidR="00B30A89" w:rsidRPr="00345104">
        <w:rPr>
          <w:b/>
          <w:lang w:val="es-ES_tradnl"/>
        </w:rPr>
        <w:t xml:space="preserve"> tanto en</w:t>
      </w:r>
      <w:r w:rsidR="001E604E" w:rsidRPr="00345104">
        <w:rPr>
          <w:b/>
          <w:lang w:val="es-ES_tradnl"/>
        </w:rPr>
        <w:t xml:space="preserve"> la familia como en la socieda</w:t>
      </w:r>
      <w:r w:rsidR="000904BE" w:rsidRPr="00345104">
        <w:rPr>
          <w:b/>
          <w:lang w:val="es-ES_tradnl"/>
        </w:rPr>
        <w:t>d</w:t>
      </w:r>
      <w:r w:rsidR="00851805" w:rsidRPr="00345104">
        <w:rPr>
          <w:b/>
          <w:lang w:val="es-ES_tradnl"/>
        </w:rPr>
        <w:t xml:space="preserve">; </w:t>
      </w:r>
    </w:p>
    <w:p w14:paraId="31ECEB59" w14:textId="1C40B845" w:rsidR="001E604E" w:rsidRPr="00345104" w:rsidRDefault="0026337A" w:rsidP="0026337A">
      <w:pPr>
        <w:pStyle w:val="SingleTxtG"/>
        <w:rPr>
          <w:b/>
          <w:lang w:val="es-ES_tradnl"/>
        </w:rPr>
      </w:pPr>
      <w:r w:rsidRPr="00191075">
        <w:rPr>
          <w:b/>
          <w:lang w:val="es-ES_tradnl"/>
        </w:rPr>
        <w:tab/>
        <w:t>b)</w:t>
      </w:r>
      <w:r w:rsidRPr="00191075">
        <w:rPr>
          <w:b/>
          <w:lang w:val="es-ES_tradnl"/>
        </w:rPr>
        <w:tab/>
      </w:r>
      <w:r w:rsidR="0048272D" w:rsidRPr="00345104">
        <w:rPr>
          <w:b/>
          <w:lang w:val="es-ES_tradnl"/>
        </w:rPr>
        <w:t>Dé</w:t>
      </w:r>
      <w:r w:rsidR="00B25272" w:rsidRPr="00345104">
        <w:rPr>
          <w:b/>
          <w:lang w:val="es-ES_tradnl"/>
        </w:rPr>
        <w:t xml:space="preserve"> cumplimiento</w:t>
      </w:r>
      <w:r w:rsidR="00363141" w:rsidRPr="00345104">
        <w:rPr>
          <w:b/>
          <w:lang w:val="es-ES_tradnl"/>
        </w:rPr>
        <w:t xml:space="preserve"> a su anterior recomendación </w:t>
      </w:r>
      <w:r w:rsidR="00026B20" w:rsidRPr="00345104">
        <w:rPr>
          <w:b/>
          <w:lang w:val="es-ES_tradnl"/>
        </w:rPr>
        <w:t>(</w:t>
      </w:r>
      <w:r w:rsidR="00E7630F" w:rsidRPr="00345104">
        <w:rPr>
          <w:b/>
          <w:lang w:val="es-ES_tradnl"/>
        </w:rPr>
        <w:t xml:space="preserve">véase </w:t>
      </w:r>
      <w:r w:rsidR="00026B20" w:rsidRPr="00345104">
        <w:rPr>
          <w:b/>
          <w:lang w:val="es-ES_tradnl"/>
        </w:rPr>
        <w:t xml:space="preserve">E/C.12/URY/CO/3.4, párr. 16) de enmendar o </w:t>
      </w:r>
      <w:r w:rsidR="00363141" w:rsidRPr="00345104">
        <w:rPr>
          <w:b/>
          <w:lang w:val="es-ES_tradnl"/>
        </w:rPr>
        <w:t>derogar todas las disposiciones</w:t>
      </w:r>
      <w:r w:rsidR="00026B20" w:rsidRPr="00345104">
        <w:rPr>
          <w:b/>
          <w:lang w:val="es-ES_tradnl"/>
        </w:rPr>
        <w:t xml:space="preserve"> legales </w:t>
      </w:r>
      <w:r w:rsidR="00851805" w:rsidRPr="00345104">
        <w:rPr>
          <w:b/>
          <w:lang w:val="es-ES_tradnl"/>
        </w:rPr>
        <w:t>con contenido</w:t>
      </w:r>
      <w:r w:rsidR="00026B20" w:rsidRPr="00345104">
        <w:rPr>
          <w:b/>
          <w:lang w:val="es-ES_tradnl"/>
        </w:rPr>
        <w:t xml:space="preserve"> discriminatorio contra la mujer</w:t>
      </w:r>
      <w:r w:rsidR="00DD3DBF" w:rsidRPr="00345104">
        <w:rPr>
          <w:b/>
          <w:lang w:val="es-ES_tradnl"/>
        </w:rPr>
        <w:t xml:space="preserve">, incluyendo aquellas con expresiones </w:t>
      </w:r>
      <w:r w:rsidR="00174286" w:rsidRPr="00345104">
        <w:rPr>
          <w:b/>
          <w:lang w:val="es-ES_tradnl"/>
        </w:rPr>
        <w:t>vejatorias</w:t>
      </w:r>
      <w:r w:rsidR="00B47DC6" w:rsidRPr="00345104">
        <w:rPr>
          <w:b/>
          <w:lang w:val="es-ES_tradnl"/>
        </w:rPr>
        <w:t>;</w:t>
      </w:r>
    </w:p>
    <w:p w14:paraId="6171D776" w14:textId="79E9F98B" w:rsidR="00716574" w:rsidRPr="00345104" w:rsidRDefault="0026337A" w:rsidP="0026337A">
      <w:pPr>
        <w:pStyle w:val="SingleTxtG"/>
        <w:rPr>
          <w:lang w:val="es-ES_tradnl"/>
        </w:rPr>
      </w:pPr>
      <w:r w:rsidRPr="00191075">
        <w:rPr>
          <w:b/>
          <w:lang w:val="es-ES_tradnl"/>
        </w:rPr>
        <w:tab/>
        <w:t>c)</w:t>
      </w:r>
      <w:r w:rsidRPr="00191075">
        <w:rPr>
          <w:b/>
          <w:lang w:val="es-ES_tradnl"/>
        </w:rPr>
        <w:tab/>
      </w:r>
      <w:r w:rsidR="00B25272" w:rsidRPr="00345104">
        <w:rPr>
          <w:b/>
          <w:lang w:val="es-ES_tradnl"/>
        </w:rPr>
        <w:t>Conclu</w:t>
      </w:r>
      <w:r w:rsidR="0048272D" w:rsidRPr="00345104">
        <w:rPr>
          <w:b/>
          <w:lang w:val="es-ES_tradnl"/>
        </w:rPr>
        <w:t>ya</w:t>
      </w:r>
      <w:r w:rsidR="00B25272" w:rsidRPr="00345104">
        <w:rPr>
          <w:b/>
          <w:lang w:val="es-ES_tradnl"/>
        </w:rPr>
        <w:t xml:space="preserve"> la aprobación</w:t>
      </w:r>
      <w:r w:rsidR="00D72E2D" w:rsidRPr="00345104">
        <w:rPr>
          <w:b/>
          <w:lang w:val="es-ES_tradnl"/>
        </w:rPr>
        <w:t xml:space="preserve"> </w:t>
      </w:r>
      <w:r w:rsidR="00363141" w:rsidRPr="00345104">
        <w:rPr>
          <w:b/>
          <w:lang w:val="es-ES_tradnl"/>
        </w:rPr>
        <w:t xml:space="preserve">del proyecto de ley integral para garantizar una vida libre de violencia basada en </w:t>
      </w:r>
      <w:r w:rsidR="005B38E1" w:rsidRPr="00345104">
        <w:rPr>
          <w:b/>
          <w:lang w:val="es-ES_tradnl"/>
        </w:rPr>
        <w:t xml:space="preserve">el </w:t>
      </w:r>
      <w:r w:rsidR="00363141" w:rsidRPr="00345104">
        <w:rPr>
          <w:b/>
          <w:lang w:val="es-ES_tradnl"/>
        </w:rPr>
        <w:t>género</w:t>
      </w:r>
      <w:r w:rsidR="000904BE" w:rsidRPr="00345104">
        <w:rPr>
          <w:b/>
          <w:lang w:val="es-ES_tradnl"/>
        </w:rPr>
        <w:t xml:space="preserve">, </w:t>
      </w:r>
      <w:r w:rsidR="00DD3DBF" w:rsidRPr="00345104">
        <w:rPr>
          <w:b/>
          <w:lang w:val="es-ES_tradnl"/>
        </w:rPr>
        <w:t xml:space="preserve">asegurando que esta ley cumpla con los mejores estándares internacionales, </w:t>
      </w:r>
      <w:r w:rsidR="000904BE" w:rsidRPr="00345104">
        <w:rPr>
          <w:b/>
          <w:lang w:val="es-ES_tradnl"/>
        </w:rPr>
        <w:t>contin</w:t>
      </w:r>
      <w:r w:rsidR="0048272D" w:rsidRPr="00345104">
        <w:rPr>
          <w:b/>
          <w:lang w:val="es-ES_tradnl"/>
        </w:rPr>
        <w:t>úe</w:t>
      </w:r>
      <w:r w:rsidR="000904BE" w:rsidRPr="00345104">
        <w:rPr>
          <w:b/>
          <w:lang w:val="es-ES_tradnl"/>
        </w:rPr>
        <w:t xml:space="preserve"> la implementación del Plan de Acción </w:t>
      </w:r>
      <w:r w:rsidR="000904BE" w:rsidRPr="00345104">
        <w:rPr>
          <w:b/>
          <w:lang w:val="es-ES_tradnl"/>
        </w:rPr>
        <w:lastRenderedPageBreak/>
        <w:t>2016-2019 por una vida libre de violencia de género,</w:t>
      </w:r>
      <w:r w:rsidR="00B25272" w:rsidRPr="00345104">
        <w:rPr>
          <w:b/>
          <w:lang w:val="es-ES_tradnl"/>
        </w:rPr>
        <w:t xml:space="preserve"> </w:t>
      </w:r>
      <w:r w:rsidR="000904BE" w:rsidRPr="00345104">
        <w:rPr>
          <w:b/>
          <w:lang w:val="es-ES_tradnl"/>
        </w:rPr>
        <w:t>y</w:t>
      </w:r>
      <w:r w:rsidR="00B25272" w:rsidRPr="00345104">
        <w:rPr>
          <w:b/>
          <w:lang w:val="es-ES_tradnl"/>
        </w:rPr>
        <w:t xml:space="preserve"> </w:t>
      </w:r>
      <w:r w:rsidR="000904BE" w:rsidRPr="00345104">
        <w:rPr>
          <w:b/>
          <w:lang w:val="es-ES_tradnl"/>
        </w:rPr>
        <w:t>asign</w:t>
      </w:r>
      <w:r w:rsidR="0048272D" w:rsidRPr="00345104">
        <w:rPr>
          <w:b/>
          <w:lang w:val="es-ES_tradnl"/>
        </w:rPr>
        <w:t>e</w:t>
      </w:r>
      <w:r w:rsidR="00851805" w:rsidRPr="00345104">
        <w:rPr>
          <w:b/>
          <w:lang w:val="es-ES_tradnl"/>
        </w:rPr>
        <w:t xml:space="preserve"> los recursos humanos, técnicos y materiales necesarios para </w:t>
      </w:r>
      <w:r w:rsidR="000904BE" w:rsidRPr="00345104">
        <w:rPr>
          <w:b/>
          <w:lang w:val="es-ES_tradnl"/>
        </w:rPr>
        <w:t xml:space="preserve">la </w:t>
      </w:r>
      <w:r w:rsidR="00851805" w:rsidRPr="00345104">
        <w:rPr>
          <w:b/>
          <w:lang w:val="es-ES_tradnl"/>
        </w:rPr>
        <w:t>implementación efectiva</w:t>
      </w:r>
      <w:r w:rsidR="000904BE" w:rsidRPr="00345104">
        <w:rPr>
          <w:b/>
          <w:lang w:val="es-ES_tradnl"/>
        </w:rPr>
        <w:t xml:space="preserve"> de </w:t>
      </w:r>
      <w:r w:rsidR="001A1975" w:rsidRPr="00345104">
        <w:rPr>
          <w:b/>
          <w:lang w:val="es-ES_tradnl"/>
        </w:rPr>
        <w:t>e</w:t>
      </w:r>
      <w:r w:rsidR="000904BE" w:rsidRPr="00345104">
        <w:rPr>
          <w:b/>
          <w:lang w:val="es-ES_tradnl"/>
        </w:rPr>
        <w:t>stos</w:t>
      </w:r>
      <w:r w:rsidR="00026B20" w:rsidRPr="00345104">
        <w:rPr>
          <w:b/>
          <w:lang w:val="es-ES_tradnl"/>
        </w:rPr>
        <w:t>.</w:t>
      </w:r>
      <w:r w:rsidR="00026B20" w:rsidRPr="00345104">
        <w:rPr>
          <w:lang w:val="es-ES_tradnl"/>
        </w:rPr>
        <w:t xml:space="preserve"> </w:t>
      </w:r>
      <w:r w:rsidR="00716574" w:rsidRPr="00345104">
        <w:rPr>
          <w:lang w:val="es-ES_tradnl"/>
        </w:rPr>
        <w:t xml:space="preserve"> </w:t>
      </w:r>
    </w:p>
    <w:p w14:paraId="76AE4FDA" w14:textId="6E86678F" w:rsidR="000220F3" w:rsidRPr="00345104" w:rsidRDefault="0026337A" w:rsidP="0026337A">
      <w:pPr>
        <w:pStyle w:val="H23G"/>
        <w:rPr>
          <w:lang w:val="es-ES_tradnl"/>
        </w:rPr>
      </w:pPr>
      <w:r w:rsidRPr="00345104">
        <w:rPr>
          <w:lang w:val="es-ES_tradnl"/>
        </w:rPr>
        <w:tab/>
      </w:r>
      <w:r w:rsidRPr="00345104">
        <w:rPr>
          <w:lang w:val="es-ES_tradnl"/>
        </w:rPr>
        <w:tab/>
      </w:r>
      <w:r w:rsidR="00464871" w:rsidRPr="00345104">
        <w:rPr>
          <w:lang w:val="es-ES_tradnl"/>
        </w:rPr>
        <w:t>De</w:t>
      </w:r>
      <w:r w:rsidR="00174A0A" w:rsidRPr="00345104">
        <w:rPr>
          <w:lang w:val="es-ES_tradnl"/>
        </w:rPr>
        <w:t xml:space="preserve">recho al trabajo </w:t>
      </w:r>
    </w:p>
    <w:p w14:paraId="183A4E37" w14:textId="4274DF5A" w:rsidR="00464871" w:rsidRPr="00191075" w:rsidRDefault="00CE22BA" w:rsidP="00345104">
      <w:pPr>
        <w:pStyle w:val="SingleTxtG"/>
        <w:rPr>
          <w:b/>
          <w:lang w:val="es-ES_tradnl"/>
        </w:rPr>
      </w:pPr>
      <w:r w:rsidRPr="00345104">
        <w:rPr>
          <w:lang w:val="es-ES_tradnl"/>
        </w:rPr>
        <w:t>17.</w:t>
      </w:r>
      <w:r w:rsidRPr="00345104">
        <w:rPr>
          <w:lang w:val="es-ES_tradnl"/>
        </w:rPr>
        <w:tab/>
      </w:r>
      <w:r w:rsidR="00174A0A" w:rsidRPr="00191075">
        <w:rPr>
          <w:lang w:val="es-ES_tradnl"/>
        </w:rPr>
        <w:t>Aun cuando el Comité celebra los avances realizado</w:t>
      </w:r>
      <w:r w:rsidR="00D21277" w:rsidRPr="00191075">
        <w:rPr>
          <w:lang w:val="es-ES_tradnl"/>
        </w:rPr>
        <w:t xml:space="preserve">s por el Estado parte en materia de empleo, le preocupa que las </w:t>
      </w:r>
      <w:r w:rsidR="00174A0A" w:rsidRPr="00191075">
        <w:rPr>
          <w:lang w:val="es-ES_tradnl"/>
        </w:rPr>
        <w:t xml:space="preserve">tasas de desempleo </w:t>
      </w:r>
      <w:r w:rsidR="00897A30" w:rsidRPr="00191075">
        <w:rPr>
          <w:lang w:val="es-ES_tradnl"/>
        </w:rPr>
        <w:t xml:space="preserve">sean más altas </w:t>
      </w:r>
      <w:r w:rsidR="00174A0A" w:rsidRPr="00191075">
        <w:rPr>
          <w:lang w:val="es-ES_tradnl"/>
        </w:rPr>
        <w:t>entre los j</w:t>
      </w:r>
      <w:r w:rsidR="00AA3674" w:rsidRPr="00191075">
        <w:rPr>
          <w:lang w:val="es-ES_tradnl"/>
        </w:rPr>
        <w:t>óvenes y</w:t>
      </w:r>
      <w:r w:rsidR="007A0ABF" w:rsidRPr="00191075">
        <w:rPr>
          <w:lang w:val="es-ES_tradnl"/>
        </w:rPr>
        <w:t xml:space="preserve"> las mujeres</w:t>
      </w:r>
      <w:r w:rsidR="00AA3674" w:rsidRPr="00191075">
        <w:rPr>
          <w:lang w:val="es-ES_tradnl"/>
        </w:rPr>
        <w:t xml:space="preserve">. Asimismo, le preocupa </w:t>
      </w:r>
      <w:r w:rsidR="00B25272" w:rsidRPr="00191075">
        <w:rPr>
          <w:lang w:val="es-ES_tradnl"/>
        </w:rPr>
        <w:t xml:space="preserve">el limitado impacto que han tenido las medidas de acción afirmativa adoptadas para favorecer el acceso al empleo </w:t>
      </w:r>
      <w:r w:rsidR="005F319E" w:rsidRPr="00191075">
        <w:rPr>
          <w:lang w:val="es-ES_tradnl"/>
        </w:rPr>
        <w:t xml:space="preserve">de </w:t>
      </w:r>
      <w:r w:rsidR="00B25272" w:rsidRPr="00191075">
        <w:rPr>
          <w:lang w:val="es-ES_tradnl"/>
        </w:rPr>
        <w:t xml:space="preserve">las personas afrodescendientes </w:t>
      </w:r>
      <w:r w:rsidR="007A0ABF" w:rsidRPr="00191075">
        <w:rPr>
          <w:lang w:val="es-ES_tradnl"/>
        </w:rPr>
        <w:t>(</w:t>
      </w:r>
      <w:r w:rsidR="00E7630F" w:rsidRPr="00191075">
        <w:rPr>
          <w:lang w:val="es-ES_tradnl"/>
        </w:rPr>
        <w:t>a</w:t>
      </w:r>
      <w:r w:rsidR="007A0ABF" w:rsidRPr="00191075">
        <w:rPr>
          <w:lang w:val="es-ES_tradnl"/>
        </w:rPr>
        <w:t>rt. 6)</w:t>
      </w:r>
      <w:r w:rsidR="00174A0A" w:rsidRPr="00191075">
        <w:rPr>
          <w:lang w:val="es-ES_tradnl"/>
        </w:rPr>
        <w:t xml:space="preserve">. </w:t>
      </w:r>
    </w:p>
    <w:p w14:paraId="0FD75CBD" w14:textId="18A9502C" w:rsidR="007A0ABF" w:rsidRPr="00191075" w:rsidRDefault="00CE22BA" w:rsidP="00345104">
      <w:pPr>
        <w:pStyle w:val="SingleTxtG"/>
        <w:rPr>
          <w:b/>
          <w:lang w:val="es-ES_tradnl"/>
        </w:rPr>
      </w:pPr>
      <w:r w:rsidRPr="00345104">
        <w:rPr>
          <w:lang w:val="es-ES_tradnl"/>
        </w:rPr>
        <w:t>18.</w:t>
      </w:r>
      <w:r w:rsidRPr="00345104">
        <w:rPr>
          <w:lang w:val="es-ES_tradnl"/>
        </w:rPr>
        <w:tab/>
      </w:r>
      <w:r w:rsidR="008E3517" w:rsidRPr="00191075">
        <w:rPr>
          <w:b/>
          <w:lang w:val="es-ES_tradnl"/>
        </w:rPr>
        <w:t xml:space="preserve">El </w:t>
      </w:r>
      <w:r w:rsidR="007A0ABF" w:rsidRPr="00191075">
        <w:rPr>
          <w:b/>
          <w:lang w:val="es-ES_tradnl"/>
        </w:rPr>
        <w:t xml:space="preserve">Comité </w:t>
      </w:r>
      <w:r w:rsidR="008E3517" w:rsidRPr="00191075">
        <w:rPr>
          <w:b/>
          <w:lang w:val="es-ES_tradnl"/>
        </w:rPr>
        <w:t xml:space="preserve">recomienda </w:t>
      </w:r>
      <w:r w:rsidR="007A0ABF" w:rsidRPr="00191075">
        <w:rPr>
          <w:b/>
          <w:lang w:val="es-ES_tradnl"/>
        </w:rPr>
        <w:t>al Estado parte que intensifique sus esfuerzos para reducir la</w:t>
      </w:r>
      <w:r w:rsidR="008E3517" w:rsidRPr="00191075">
        <w:rPr>
          <w:b/>
          <w:lang w:val="es-ES_tradnl"/>
        </w:rPr>
        <w:t>s</w:t>
      </w:r>
      <w:r w:rsidR="007A0ABF" w:rsidRPr="00191075">
        <w:rPr>
          <w:b/>
          <w:lang w:val="es-ES_tradnl"/>
        </w:rPr>
        <w:t xml:space="preserve"> tasa</w:t>
      </w:r>
      <w:r w:rsidR="008E3517" w:rsidRPr="00191075">
        <w:rPr>
          <w:b/>
          <w:lang w:val="es-ES_tradnl"/>
        </w:rPr>
        <w:t>s</w:t>
      </w:r>
      <w:r w:rsidR="007A0ABF" w:rsidRPr="00191075">
        <w:rPr>
          <w:b/>
          <w:lang w:val="es-ES_tradnl"/>
        </w:rPr>
        <w:t xml:space="preserve"> de desempleo</w:t>
      </w:r>
      <w:r w:rsidR="008E3517" w:rsidRPr="00191075">
        <w:rPr>
          <w:b/>
          <w:lang w:val="es-ES_tradnl"/>
        </w:rPr>
        <w:t xml:space="preserve"> entre </w:t>
      </w:r>
      <w:r w:rsidR="00797EA6" w:rsidRPr="00191075">
        <w:rPr>
          <w:b/>
          <w:lang w:val="es-ES_tradnl"/>
        </w:rPr>
        <w:t>los</w:t>
      </w:r>
      <w:r w:rsidR="009D0923" w:rsidRPr="00191075">
        <w:rPr>
          <w:b/>
          <w:lang w:val="es-ES_tradnl"/>
        </w:rPr>
        <w:t xml:space="preserve"> grupos</w:t>
      </w:r>
      <w:r w:rsidR="00797EA6" w:rsidRPr="00191075">
        <w:rPr>
          <w:b/>
          <w:lang w:val="es-ES_tradnl"/>
        </w:rPr>
        <w:t xml:space="preserve"> más afectados</w:t>
      </w:r>
      <w:r w:rsidR="005D30B7" w:rsidRPr="00191075">
        <w:rPr>
          <w:b/>
          <w:lang w:val="es-ES_tradnl"/>
        </w:rPr>
        <w:t>. El Comité insta al Estado parte a fortalecer su</w:t>
      </w:r>
      <w:r w:rsidR="009D0923" w:rsidRPr="00191075">
        <w:rPr>
          <w:b/>
          <w:lang w:val="es-ES_tradnl"/>
        </w:rPr>
        <w:t xml:space="preserve"> </w:t>
      </w:r>
      <w:r w:rsidR="007A0ABF" w:rsidRPr="00191075">
        <w:rPr>
          <w:b/>
          <w:lang w:val="es-ES_tradnl"/>
        </w:rPr>
        <w:t>Estrategia Nacional de</w:t>
      </w:r>
      <w:r w:rsidR="008E3517" w:rsidRPr="00191075">
        <w:rPr>
          <w:b/>
          <w:lang w:val="es-ES_tradnl"/>
        </w:rPr>
        <w:t xml:space="preserve"> Fomento del </w:t>
      </w:r>
      <w:r w:rsidR="007A0ABF" w:rsidRPr="00191075">
        <w:rPr>
          <w:b/>
          <w:lang w:val="es-ES_tradnl"/>
        </w:rPr>
        <w:t>Empleo</w:t>
      </w:r>
      <w:r w:rsidR="00557CBE" w:rsidRPr="00191075">
        <w:rPr>
          <w:b/>
          <w:lang w:val="es-ES_tradnl"/>
        </w:rPr>
        <w:t>, el Programa Uruguay Trabaja</w:t>
      </w:r>
      <w:r w:rsidR="0093547B" w:rsidRPr="00191075">
        <w:rPr>
          <w:b/>
          <w:lang w:val="es-ES_tradnl"/>
        </w:rPr>
        <w:t xml:space="preserve"> </w:t>
      </w:r>
      <w:r w:rsidR="00797EA6" w:rsidRPr="00191075">
        <w:rPr>
          <w:b/>
          <w:lang w:val="es-ES_tradnl"/>
        </w:rPr>
        <w:t xml:space="preserve">y demás políticas </w:t>
      </w:r>
      <w:r w:rsidR="009D0923" w:rsidRPr="00191075">
        <w:rPr>
          <w:b/>
          <w:lang w:val="es-ES_tradnl"/>
        </w:rPr>
        <w:t>laborales</w:t>
      </w:r>
      <w:r w:rsidR="008C2960" w:rsidRPr="00191075">
        <w:rPr>
          <w:b/>
          <w:lang w:val="es-ES_tradnl"/>
        </w:rPr>
        <w:t>,</w:t>
      </w:r>
      <w:r w:rsidR="000904BE" w:rsidRPr="00191075">
        <w:rPr>
          <w:b/>
          <w:lang w:val="es-ES_tradnl"/>
        </w:rPr>
        <w:t xml:space="preserve"> a fin </w:t>
      </w:r>
      <w:r w:rsidR="00590A99" w:rsidRPr="00191075">
        <w:rPr>
          <w:b/>
          <w:lang w:val="es-ES_tradnl"/>
        </w:rPr>
        <w:t>de</w:t>
      </w:r>
      <w:r w:rsidR="000904BE" w:rsidRPr="00191075">
        <w:rPr>
          <w:b/>
          <w:lang w:val="es-ES_tradnl"/>
        </w:rPr>
        <w:t xml:space="preserve"> </w:t>
      </w:r>
      <w:r w:rsidR="00590A99" w:rsidRPr="00191075">
        <w:rPr>
          <w:b/>
          <w:lang w:val="es-ES_tradnl"/>
        </w:rPr>
        <w:t xml:space="preserve">que </w:t>
      </w:r>
      <w:r w:rsidR="000904BE" w:rsidRPr="00191075">
        <w:rPr>
          <w:b/>
          <w:lang w:val="es-ES_tradnl"/>
        </w:rPr>
        <w:t>se asegure su sostenibilidad</w:t>
      </w:r>
      <w:r w:rsidR="00590A99" w:rsidRPr="00191075">
        <w:rPr>
          <w:b/>
          <w:lang w:val="es-ES_tradnl"/>
        </w:rPr>
        <w:t xml:space="preserve">, </w:t>
      </w:r>
      <w:r w:rsidR="005D30B7" w:rsidRPr="00191075">
        <w:rPr>
          <w:b/>
          <w:lang w:val="es-ES_tradnl"/>
        </w:rPr>
        <w:t xml:space="preserve">conlleven un plan </w:t>
      </w:r>
      <w:r w:rsidR="00E205CC" w:rsidRPr="00191075">
        <w:rPr>
          <w:b/>
          <w:lang w:val="es-ES_tradnl"/>
        </w:rPr>
        <w:t xml:space="preserve">de acción con metas específicas </w:t>
      </w:r>
      <w:r w:rsidR="00590A99" w:rsidRPr="00191075">
        <w:rPr>
          <w:b/>
          <w:lang w:val="es-ES_tradnl"/>
        </w:rPr>
        <w:t xml:space="preserve">y </w:t>
      </w:r>
      <w:r w:rsidR="000904BE" w:rsidRPr="00191075">
        <w:rPr>
          <w:b/>
          <w:lang w:val="es-ES_tradnl"/>
        </w:rPr>
        <w:t>abord</w:t>
      </w:r>
      <w:r w:rsidR="00590A99" w:rsidRPr="00191075">
        <w:rPr>
          <w:b/>
          <w:lang w:val="es-ES_tradnl"/>
        </w:rPr>
        <w:t>en</w:t>
      </w:r>
      <w:r w:rsidR="009D0923" w:rsidRPr="00191075">
        <w:rPr>
          <w:b/>
          <w:lang w:val="es-ES_tradnl"/>
        </w:rPr>
        <w:t xml:space="preserve"> </w:t>
      </w:r>
      <w:r w:rsidR="008E3517" w:rsidRPr="00191075">
        <w:rPr>
          <w:b/>
          <w:lang w:val="es-ES_tradnl"/>
        </w:rPr>
        <w:t xml:space="preserve">de manera prioritaria </w:t>
      </w:r>
      <w:r w:rsidR="007A0ABF" w:rsidRPr="00191075">
        <w:rPr>
          <w:b/>
          <w:lang w:val="es-ES_tradnl"/>
        </w:rPr>
        <w:t>las causas principales del desempleo</w:t>
      </w:r>
      <w:r w:rsidR="008E3517" w:rsidRPr="00191075">
        <w:rPr>
          <w:b/>
          <w:lang w:val="es-ES_tradnl"/>
        </w:rPr>
        <w:t xml:space="preserve"> entre los grupos </w:t>
      </w:r>
      <w:r w:rsidR="007A0ABF" w:rsidRPr="00191075">
        <w:rPr>
          <w:b/>
          <w:lang w:val="es-ES_tradnl"/>
        </w:rPr>
        <w:t xml:space="preserve">desproporcionadamente </w:t>
      </w:r>
      <w:r w:rsidR="009D0923" w:rsidRPr="00191075">
        <w:rPr>
          <w:b/>
          <w:lang w:val="es-ES_tradnl"/>
        </w:rPr>
        <w:t xml:space="preserve">más </w:t>
      </w:r>
      <w:r w:rsidR="00DD3DBF" w:rsidRPr="00191075">
        <w:rPr>
          <w:b/>
          <w:lang w:val="es-ES_tradnl"/>
        </w:rPr>
        <w:t>afectados</w:t>
      </w:r>
      <w:r w:rsidR="007A0ABF" w:rsidRPr="00191075">
        <w:rPr>
          <w:b/>
          <w:lang w:val="es-ES_tradnl"/>
        </w:rPr>
        <w:t xml:space="preserve">. </w:t>
      </w:r>
      <w:r w:rsidR="007A0ABF" w:rsidRPr="00345104">
        <w:rPr>
          <w:b/>
          <w:bCs/>
          <w:lang w:val="es-ES_tradnl"/>
        </w:rPr>
        <w:t xml:space="preserve">El Comité le recomienda </w:t>
      </w:r>
      <w:r w:rsidR="004D73C0" w:rsidRPr="00345104">
        <w:rPr>
          <w:b/>
          <w:bCs/>
          <w:lang w:val="es-ES_tradnl"/>
        </w:rPr>
        <w:t xml:space="preserve">asimismo </w:t>
      </w:r>
      <w:r w:rsidR="007A0ABF" w:rsidRPr="00345104">
        <w:rPr>
          <w:b/>
          <w:bCs/>
          <w:lang w:val="es-ES_tradnl"/>
        </w:rPr>
        <w:t>que se siga dando prioridad a programas de formación y capacitación técnica y profesional de calidad adaptados a las necesidades del mercado del trabajo y teniendo en cuenta las necesidades de las personas y los grupos más desfavorecidos y marginados.</w:t>
      </w:r>
    </w:p>
    <w:p w14:paraId="540D8072" w14:textId="6E26F727" w:rsidR="00464871" w:rsidRPr="00345104" w:rsidRDefault="0026337A" w:rsidP="0026337A">
      <w:pPr>
        <w:pStyle w:val="H23G"/>
        <w:rPr>
          <w:lang w:val="es-ES_tradnl"/>
        </w:rPr>
      </w:pPr>
      <w:r w:rsidRPr="00345104">
        <w:rPr>
          <w:lang w:val="es-ES_tradnl"/>
        </w:rPr>
        <w:tab/>
      </w:r>
      <w:r w:rsidRPr="00345104">
        <w:rPr>
          <w:lang w:val="es-ES_tradnl"/>
        </w:rPr>
        <w:tab/>
      </w:r>
      <w:r w:rsidR="00464871" w:rsidRPr="00345104">
        <w:rPr>
          <w:lang w:val="es-ES_tradnl"/>
        </w:rPr>
        <w:t>D</w:t>
      </w:r>
      <w:r w:rsidR="007A0ABF" w:rsidRPr="00345104">
        <w:rPr>
          <w:lang w:val="es-ES_tradnl"/>
        </w:rPr>
        <w:t xml:space="preserve">erecho al trabajo </w:t>
      </w:r>
      <w:r w:rsidR="002E4707" w:rsidRPr="00345104">
        <w:rPr>
          <w:lang w:val="es-ES_tradnl"/>
        </w:rPr>
        <w:t xml:space="preserve">de las </w:t>
      </w:r>
      <w:r w:rsidR="00464871" w:rsidRPr="00345104">
        <w:rPr>
          <w:lang w:val="es-ES_tradnl"/>
        </w:rPr>
        <w:t xml:space="preserve">personas con discapacidad </w:t>
      </w:r>
    </w:p>
    <w:p w14:paraId="250581B0" w14:textId="3B16D9EE" w:rsidR="00047C10" w:rsidRPr="00191075" w:rsidRDefault="00CE22BA" w:rsidP="00345104">
      <w:pPr>
        <w:pStyle w:val="SingleTxtG"/>
        <w:rPr>
          <w:lang w:val="es-ES_tradnl"/>
        </w:rPr>
      </w:pPr>
      <w:r w:rsidRPr="00345104">
        <w:rPr>
          <w:lang w:val="es-ES_tradnl"/>
        </w:rPr>
        <w:t>19.</w:t>
      </w:r>
      <w:r w:rsidRPr="00345104">
        <w:rPr>
          <w:lang w:val="es-ES_tradnl"/>
        </w:rPr>
        <w:tab/>
      </w:r>
      <w:r w:rsidR="006D1C5B" w:rsidRPr="00345104">
        <w:rPr>
          <w:lang w:val="es-ES_tradnl"/>
        </w:rPr>
        <w:t>Si bien el Comité celebra la cuota del 4% de contratación pública para personas con discapacidad, continúa preocupado por el hecho de que esta norma no se aplique con igual consistencia en todos los ámbitos del sector público. As</w:t>
      </w:r>
      <w:r w:rsidR="004D73C0" w:rsidRPr="00345104">
        <w:rPr>
          <w:lang w:val="es-ES_tradnl"/>
        </w:rPr>
        <w:t>i</w:t>
      </w:r>
      <w:r w:rsidR="006D1C5B" w:rsidRPr="00345104">
        <w:rPr>
          <w:lang w:val="es-ES_tradnl"/>
        </w:rPr>
        <w:t>mismo</w:t>
      </w:r>
      <w:r w:rsidR="004D73C0" w:rsidRPr="00345104">
        <w:rPr>
          <w:lang w:val="es-ES_tradnl"/>
        </w:rPr>
        <w:t>,</w:t>
      </w:r>
      <w:r w:rsidR="006D1C5B" w:rsidRPr="00345104">
        <w:rPr>
          <w:lang w:val="es-ES_tradnl"/>
        </w:rPr>
        <w:t> preocupa al Comité la debilidad de normas y prácticas que promuevan el empleo digno para las personas con discapacidad en el sector privado</w:t>
      </w:r>
      <w:r w:rsidRPr="00345104">
        <w:rPr>
          <w:lang w:val="es-ES_tradnl"/>
        </w:rPr>
        <w:t xml:space="preserve"> </w:t>
      </w:r>
      <w:r w:rsidR="006D1C5B" w:rsidRPr="00345104">
        <w:rPr>
          <w:lang w:val="es-ES_tradnl"/>
        </w:rPr>
        <w:t>(</w:t>
      </w:r>
      <w:r w:rsidR="004D73C0" w:rsidRPr="00345104">
        <w:rPr>
          <w:lang w:val="es-ES_tradnl"/>
        </w:rPr>
        <w:t>a</w:t>
      </w:r>
      <w:r w:rsidR="006D1C5B" w:rsidRPr="00345104">
        <w:rPr>
          <w:lang w:val="es-ES_tradnl"/>
        </w:rPr>
        <w:t>rt</w:t>
      </w:r>
      <w:r w:rsidR="004D73C0" w:rsidRPr="00345104">
        <w:rPr>
          <w:lang w:val="es-ES_tradnl"/>
        </w:rPr>
        <w:t>s</w:t>
      </w:r>
      <w:r w:rsidR="006D1C5B" w:rsidRPr="00345104">
        <w:rPr>
          <w:lang w:val="es-ES_tradnl"/>
        </w:rPr>
        <w:t>. 2 y 6)</w:t>
      </w:r>
      <w:r w:rsidR="006D1C5B" w:rsidRPr="00345104">
        <w:rPr>
          <w:rFonts w:ascii="Verdana" w:hAnsi="Verdana"/>
          <w:lang w:val="es-ES_tradnl"/>
        </w:rPr>
        <w:t>.</w:t>
      </w:r>
      <w:r w:rsidR="003F6436" w:rsidRPr="00191075">
        <w:rPr>
          <w:lang w:val="es-ES_tradnl"/>
        </w:rPr>
        <w:t xml:space="preserve"> </w:t>
      </w:r>
    </w:p>
    <w:p w14:paraId="2E691519" w14:textId="54D75E96" w:rsidR="00D0501D" w:rsidRPr="00191075" w:rsidRDefault="00CE22BA" w:rsidP="00345104">
      <w:pPr>
        <w:pStyle w:val="SingleTxtG"/>
        <w:rPr>
          <w:b/>
          <w:lang w:val="es-ES_tradnl"/>
        </w:rPr>
      </w:pPr>
      <w:r w:rsidRPr="00345104">
        <w:rPr>
          <w:lang w:val="es-ES_tradnl"/>
        </w:rPr>
        <w:t>20.</w:t>
      </w:r>
      <w:r w:rsidRPr="00345104">
        <w:rPr>
          <w:lang w:val="es-ES_tradnl"/>
        </w:rPr>
        <w:tab/>
      </w:r>
      <w:r w:rsidR="00DE5A66" w:rsidRPr="00191075">
        <w:rPr>
          <w:b/>
          <w:lang w:val="es-ES_tradnl"/>
        </w:rPr>
        <w:t xml:space="preserve">Con base en </w:t>
      </w:r>
      <w:r w:rsidR="003F6436" w:rsidRPr="00191075">
        <w:rPr>
          <w:b/>
          <w:lang w:val="es-ES_tradnl"/>
        </w:rPr>
        <w:t>su anterior recomendación (</w:t>
      </w:r>
      <w:r w:rsidR="004D73C0" w:rsidRPr="00191075">
        <w:rPr>
          <w:b/>
          <w:lang w:val="es-ES_tradnl"/>
        </w:rPr>
        <w:t xml:space="preserve">véase </w:t>
      </w:r>
      <w:r w:rsidR="003F6436" w:rsidRPr="00191075">
        <w:rPr>
          <w:b/>
          <w:lang w:val="es-ES_tradnl"/>
        </w:rPr>
        <w:t>E/C.12/URY/CO/3.4, párr. 8)</w:t>
      </w:r>
      <w:r w:rsidR="00DE5A66" w:rsidRPr="00191075">
        <w:rPr>
          <w:b/>
          <w:lang w:val="es-ES_tradnl"/>
        </w:rPr>
        <w:t>, el Comité insta al Estado parte a</w:t>
      </w:r>
      <w:r w:rsidR="00D0501D" w:rsidRPr="00191075">
        <w:rPr>
          <w:b/>
          <w:lang w:val="es-ES_tradnl"/>
        </w:rPr>
        <w:t>:</w:t>
      </w:r>
    </w:p>
    <w:p w14:paraId="58847C36" w14:textId="31513D21" w:rsidR="00D0501D" w:rsidRPr="00191075" w:rsidRDefault="00D0501D" w:rsidP="00345104">
      <w:pPr>
        <w:pStyle w:val="SingleTxtG"/>
        <w:ind w:firstLine="567"/>
        <w:rPr>
          <w:b/>
          <w:lang w:val="es-ES_tradnl"/>
        </w:rPr>
      </w:pPr>
      <w:r w:rsidRPr="00191075">
        <w:rPr>
          <w:b/>
          <w:lang w:val="es-ES_tradnl"/>
        </w:rPr>
        <w:t>a)</w:t>
      </w:r>
      <w:r w:rsidR="00D93F0B" w:rsidRPr="00191075">
        <w:rPr>
          <w:b/>
          <w:lang w:val="es-ES_tradnl"/>
        </w:rPr>
        <w:tab/>
        <w:t>I</w:t>
      </w:r>
      <w:r w:rsidR="00DE5A66" w:rsidRPr="00191075">
        <w:rPr>
          <w:b/>
          <w:lang w:val="es-ES_tradnl"/>
        </w:rPr>
        <w:t>ntensificar sus esfuerzos para</w:t>
      </w:r>
      <w:r w:rsidR="005A5C32" w:rsidRPr="00191075">
        <w:rPr>
          <w:b/>
          <w:lang w:val="es-ES_tradnl"/>
        </w:rPr>
        <w:t xml:space="preserve"> la</w:t>
      </w:r>
      <w:r w:rsidR="00DE5A66" w:rsidRPr="00191075">
        <w:rPr>
          <w:b/>
          <w:lang w:val="es-ES_tradnl"/>
        </w:rPr>
        <w:t xml:space="preserve"> aplicación</w:t>
      </w:r>
      <w:r w:rsidR="00084E94" w:rsidRPr="00191075">
        <w:rPr>
          <w:b/>
          <w:lang w:val="es-ES_tradnl"/>
        </w:rPr>
        <w:t xml:space="preserve"> efectiva</w:t>
      </w:r>
      <w:r w:rsidR="00DE5A66" w:rsidRPr="00191075">
        <w:rPr>
          <w:b/>
          <w:lang w:val="es-ES_tradnl"/>
        </w:rPr>
        <w:t xml:space="preserve"> de la cuota del 4% de </w:t>
      </w:r>
      <w:r w:rsidR="00174286" w:rsidRPr="00191075">
        <w:rPr>
          <w:b/>
          <w:lang w:val="es-ES_tradnl"/>
        </w:rPr>
        <w:t xml:space="preserve">contratación </w:t>
      </w:r>
      <w:r w:rsidR="005A5C32" w:rsidRPr="00191075">
        <w:rPr>
          <w:b/>
          <w:lang w:val="es-ES_tradnl"/>
        </w:rPr>
        <w:t xml:space="preserve">para las personas con discapacidad en todos los ámbitos </w:t>
      </w:r>
      <w:r w:rsidR="00DE5A66" w:rsidRPr="00191075">
        <w:rPr>
          <w:b/>
          <w:lang w:val="es-ES_tradnl"/>
        </w:rPr>
        <w:t>del sector público</w:t>
      </w:r>
      <w:r w:rsidRPr="00191075">
        <w:rPr>
          <w:b/>
          <w:lang w:val="es-ES_tradnl"/>
        </w:rPr>
        <w:t xml:space="preserve">; </w:t>
      </w:r>
    </w:p>
    <w:p w14:paraId="36BE9F81" w14:textId="150E4259" w:rsidR="00D0501D" w:rsidRPr="00191075" w:rsidRDefault="00D0501D" w:rsidP="00345104">
      <w:pPr>
        <w:pStyle w:val="SingleTxtG"/>
        <w:ind w:firstLine="567"/>
        <w:rPr>
          <w:b/>
          <w:lang w:val="es-ES_tradnl"/>
        </w:rPr>
      </w:pPr>
      <w:r w:rsidRPr="00191075">
        <w:rPr>
          <w:b/>
          <w:lang w:val="es-ES_tradnl"/>
        </w:rPr>
        <w:t>b)</w:t>
      </w:r>
      <w:r w:rsidR="00D93F0B" w:rsidRPr="00191075">
        <w:rPr>
          <w:b/>
          <w:lang w:val="es-ES_tradnl"/>
        </w:rPr>
        <w:tab/>
        <w:t>A</w:t>
      </w:r>
      <w:r w:rsidR="00084E94" w:rsidRPr="00191075">
        <w:rPr>
          <w:b/>
          <w:lang w:val="es-ES_tradnl"/>
        </w:rPr>
        <w:t>celer</w:t>
      </w:r>
      <w:r w:rsidRPr="00191075">
        <w:rPr>
          <w:b/>
          <w:lang w:val="es-ES_tradnl"/>
        </w:rPr>
        <w:t>ar</w:t>
      </w:r>
      <w:r w:rsidR="00084E94" w:rsidRPr="00191075">
        <w:rPr>
          <w:b/>
          <w:lang w:val="es-ES_tradnl"/>
        </w:rPr>
        <w:t xml:space="preserve"> </w:t>
      </w:r>
      <w:r w:rsidR="00083F28" w:rsidRPr="00191075">
        <w:rPr>
          <w:b/>
          <w:lang w:val="es-ES_tradnl"/>
        </w:rPr>
        <w:t>la</w:t>
      </w:r>
      <w:r w:rsidR="00084E94" w:rsidRPr="00191075">
        <w:rPr>
          <w:b/>
          <w:lang w:val="es-ES_tradnl"/>
        </w:rPr>
        <w:t xml:space="preserve"> discusión y</w:t>
      </w:r>
      <w:r w:rsidR="00083F28" w:rsidRPr="00191075">
        <w:rPr>
          <w:b/>
          <w:lang w:val="es-ES_tradnl"/>
        </w:rPr>
        <w:t xml:space="preserve"> aprobación</w:t>
      </w:r>
      <w:r w:rsidR="007441F1" w:rsidRPr="00191075">
        <w:rPr>
          <w:b/>
          <w:lang w:val="es-ES_tradnl"/>
        </w:rPr>
        <w:t xml:space="preserve"> del proyecto de</w:t>
      </w:r>
      <w:r w:rsidR="00083F28" w:rsidRPr="00191075">
        <w:rPr>
          <w:b/>
          <w:lang w:val="es-ES_tradnl"/>
        </w:rPr>
        <w:t xml:space="preserve"> ley </w:t>
      </w:r>
      <w:r w:rsidR="007441F1" w:rsidRPr="00191075">
        <w:rPr>
          <w:b/>
          <w:lang w:val="es-ES_tradnl"/>
        </w:rPr>
        <w:t xml:space="preserve">mencionado por la delegación </w:t>
      </w:r>
      <w:r w:rsidR="00083F28" w:rsidRPr="00191075">
        <w:rPr>
          <w:b/>
          <w:lang w:val="es-ES_tradnl"/>
        </w:rPr>
        <w:t>que habilitará una cu</w:t>
      </w:r>
      <w:r w:rsidR="007441F1" w:rsidRPr="00191075">
        <w:rPr>
          <w:b/>
          <w:lang w:val="es-ES_tradnl"/>
        </w:rPr>
        <w:t xml:space="preserve">ota </w:t>
      </w:r>
      <w:r w:rsidR="005A5C32" w:rsidRPr="00191075">
        <w:rPr>
          <w:b/>
          <w:lang w:val="es-ES_tradnl"/>
        </w:rPr>
        <w:t>significativa</w:t>
      </w:r>
      <w:r w:rsidR="007441F1" w:rsidRPr="00191075">
        <w:rPr>
          <w:b/>
          <w:lang w:val="es-ES_tradnl"/>
        </w:rPr>
        <w:t xml:space="preserve"> para la inserción laboral de las personas con discapacidad en el sector privado</w:t>
      </w:r>
      <w:r w:rsidR="00590A99" w:rsidRPr="00191075">
        <w:rPr>
          <w:b/>
          <w:lang w:val="es-ES_tradnl"/>
        </w:rPr>
        <w:t>,</w:t>
      </w:r>
      <w:r w:rsidR="00415958" w:rsidRPr="00191075">
        <w:rPr>
          <w:b/>
          <w:lang w:val="es-ES_tradnl"/>
        </w:rPr>
        <w:t xml:space="preserve"> y</w:t>
      </w:r>
      <w:r w:rsidR="00590A99" w:rsidRPr="00191075">
        <w:rPr>
          <w:b/>
          <w:lang w:val="es-ES_tradnl"/>
        </w:rPr>
        <w:t xml:space="preserve"> la aprobación</w:t>
      </w:r>
      <w:r w:rsidR="00415958" w:rsidRPr="00191075">
        <w:rPr>
          <w:b/>
          <w:lang w:val="es-ES_tradnl"/>
        </w:rPr>
        <w:t xml:space="preserve"> del Plan Nacional de Equiparación de Oportunidades y Derechos de las Personas con Discapacidad</w:t>
      </w:r>
      <w:r w:rsidRPr="00191075">
        <w:rPr>
          <w:b/>
          <w:lang w:val="es-ES_tradnl"/>
        </w:rPr>
        <w:t xml:space="preserve">; </w:t>
      </w:r>
    </w:p>
    <w:p w14:paraId="2F23E97E" w14:textId="57A85130" w:rsidR="00415958" w:rsidRPr="00191075" w:rsidRDefault="00D0501D" w:rsidP="00345104">
      <w:pPr>
        <w:pStyle w:val="SingleTxtG"/>
        <w:ind w:firstLine="567"/>
        <w:rPr>
          <w:b/>
          <w:lang w:val="es-ES_tradnl"/>
        </w:rPr>
      </w:pPr>
      <w:r w:rsidRPr="00191075">
        <w:rPr>
          <w:b/>
          <w:lang w:val="es-ES_tradnl"/>
        </w:rPr>
        <w:t>c)</w:t>
      </w:r>
      <w:r w:rsidR="00D93F0B" w:rsidRPr="00191075">
        <w:rPr>
          <w:b/>
          <w:lang w:val="es-ES_tradnl"/>
        </w:rPr>
        <w:tab/>
      </w:r>
      <w:r w:rsidRPr="00191075">
        <w:rPr>
          <w:b/>
          <w:lang w:val="es-ES_tradnl"/>
        </w:rPr>
        <w:t>E</w:t>
      </w:r>
      <w:r w:rsidR="00084E94" w:rsidRPr="00191075">
        <w:rPr>
          <w:b/>
          <w:lang w:val="es-ES_tradnl"/>
        </w:rPr>
        <w:t>stable</w:t>
      </w:r>
      <w:r w:rsidRPr="00191075">
        <w:rPr>
          <w:b/>
          <w:lang w:val="es-ES_tradnl"/>
        </w:rPr>
        <w:t>cer</w:t>
      </w:r>
      <w:r w:rsidR="00084E94" w:rsidRPr="00191075">
        <w:rPr>
          <w:b/>
          <w:lang w:val="es-ES_tradnl"/>
        </w:rPr>
        <w:t xml:space="preserve"> </w:t>
      </w:r>
      <w:r w:rsidR="007441F1" w:rsidRPr="00191075">
        <w:rPr>
          <w:b/>
          <w:lang w:val="es-ES_tradnl"/>
        </w:rPr>
        <w:t xml:space="preserve">un mecanismo efectivo de supervisión que cuente con los recursos técnicos, humanos y materiales para dar seguimiento a </w:t>
      </w:r>
      <w:r w:rsidR="00084E94" w:rsidRPr="00191075">
        <w:rPr>
          <w:b/>
          <w:lang w:val="es-ES_tradnl"/>
        </w:rPr>
        <w:t xml:space="preserve">la </w:t>
      </w:r>
      <w:r w:rsidR="0093547B" w:rsidRPr="00191075">
        <w:rPr>
          <w:b/>
          <w:lang w:val="es-ES_tradnl"/>
        </w:rPr>
        <w:t>implementació</w:t>
      </w:r>
      <w:r w:rsidR="007441F1" w:rsidRPr="00191075">
        <w:rPr>
          <w:b/>
          <w:lang w:val="es-ES_tradnl"/>
        </w:rPr>
        <w:t>n</w:t>
      </w:r>
      <w:r w:rsidR="00084E94" w:rsidRPr="00191075">
        <w:rPr>
          <w:b/>
          <w:lang w:val="es-ES_tradnl"/>
        </w:rPr>
        <w:t xml:space="preserve"> de tales medidas</w:t>
      </w:r>
      <w:r w:rsidR="005A5C32" w:rsidRPr="00191075">
        <w:rPr>
          <w:b/>
          <w:lang w:val="es-ES_tradnl"/>
        </w:rPr>
        <w:t xml:space="preserve"> tanto en el sector público como en el privado</w:t>
      </w:r>
      <w:r w:rsidR="005A77A0" w:rsidRPr="00191075">
        <w:rPr>
          <w:b/>
          <w:lang w:val="es-ES_tradnl"/>
        </w:rPr>
        <w:t xml:space="preserve">. </w:t>
      </w:r>
    </w:p>
    <w:p w14:paraId="381B41C0" w14:textId="6F3F72E1" w:rsidR="00101F85" w:rsidRPr="00345104" w:rsidRDefault="0026337A" w:rsidP="0026337A">
      <w:pPr>
        <w:pStyle w:val="H23G"/>
        <w:rPr>
          <w:lang w:val="es-ES_tradnl"/>
        </w:rPr>
      </w:pPr>
      <w:r w:rsidRPr="00345104">
        <w:rPr>
          <w:lang w:val="es-ES_tradnl"/>
        </w:rPr>
        <w:tab/>
      </w:r>
      <w:r w:rsidRPr="00345104">
        <w:rPr>
          <w:lang w:val="es-ES_tradnl"/>
        </w:rPr>
        <w:tab/>
      </w:r>
      <w:r w:rsidR="001323F6" w:rsidRPr="00345104">
        <w:rPr>
          <w:lang w:val="es-ES_tradnl"/>
        </w:rPr>
        <w:t xml:space="preserve">Sector informal de la economía </w:t>
      </w:r>
    </w:p>
    <w:p w14:paraId="6417BA52" w14:textId="2F677866" w:rsidR="001323F6" w:rsidRPr="00345104" w:rsidRDefault="00CE22BA" w:rsidP="00345104">
      <w:pPr>
        <w:pStyle w:val="SingleTxtG"/>
        <w:rPr>
          <w:b/>
          <w:color w:val="000000" w:themeColor="text1"/>
          <w:lang w:val="es-ES_tradnl"/>
        </w:rPr>
      </w:pPr>
      <w:r w:rsidRPr="00345104">
        <w:rPr>
          <w:lang w:val="es-ES_tradnl"/>
        </w:rPr>
        <w:t>21.</w:t>
      </w:r>
      <w:r w:rsidRPr="00345104">
        <w:rPr>
          <w:lang w:val="es-ES_tradnl"/>
        </w:rPr>
        <w:tab/>
      </w:r>
      <w:r w:rsidR="001323F6" w:rsidRPr="00345104">
        <w:rPr>
          <w:color w:val="000000" w:themeColor="text1"/>
          <w:lang w:val="es-ES_tradnl"/>
        </w:rPr>
        <w:t>Si bien el Comité acoge con satisfacción la disminución considerable de la economía informal en el Estado parte, le p</w:t>
      </w:r>
      <w:r w:rsidR="00101F85" w:rsidRPr="00191075">
        <w:rPr>
          <w:color w:val="000000" w:themeColor="text1"/>
          <w:lang w:val="es-ES_tradnl"/>
        </w:rPr>
        <w:t xml:space="preserve">reocupa </w:t>
      </w:r>
      <w:r w:rsidR="00651799" w:rsidRPr="00191075">
        <w:rPr>
          <w:color w:val="000000" w:themeColor="text1"/>
          <w:lang w:val="es-ES_tradnl"/>
        </w:rPr>
        <w:t xml:space="preserve">que las mujeres </w:t>
      </w:r>
      <w:r w:rsidR="001323F6" w:rsidRPr="00191075">
        <w:rPr>
          <w:color w:val="000000" w:themeColor="text1"/>
          <w:lang w:val="es-ES_tradnl"/>
        </w:rPr>
        <w:t xml:space="preserve">sigan </w:t>
      </w:r>
      <w:r w:rsidR="00651799" w:rsidRPr="00191075">
        <w:rPr>
          <w:color w:val="000000" w:themeColor="text1"/>
          <w:lang w:val="es-ES_tradnl"/>
        </w:rPr>
        <w:t xml:space="preserve">teniendo </w:t>
      </w:r>
      <w:r w:rsidR="001323F6" w:rsidRPr="00191075">
        <w:rPr>
          <w:color w:val="000000" w:themeColor="text1"/>
          <w:lang w:val="es-ES_tradnl"/>
        </w:rPr>
        <w:t xml:space="preserve">una </w:t>
      </w:r>
      <w:r w:rsidR="00651799" w:rsidRPr="00191075">
        <w:rPr>
          <w:color w:val="000000" w:themeColor="text1"/>
          <w:lang w:val="es-ES_tradnl"/>
        </w:rPr>
        <w:t>participación</w:t>
      </w:r>
      <w:r w:rsidR="001323F6" w:rsidRPr="00191075">
        <w:rPr>
          <w:color w:val="000000" w:themeColor="text1"/>
          <w:lang w:val="es-ES_tradnl"/>
        </w:rPr>
        <w:t xml:space="preserve"> desproporcionada en este </w:t>
      </w:r>
      <w:r w:rsidR="00651799" w:rsidRPr="00191075">
        <w:rPr>
          <w:color w:val="000000" w:themeColor="text1"/>
          <w:lang w:val="es-ES_tradnl"/>
        </w:rPr>
        <w:t xml:space="preserve">sector </w:t>
      </w:r>
      <w:r w:rsidR="001323F6" w:rsidRPr="00345104">
        <w:rPr>
          <w:color w:val="000000" w:themeColor="text1"/>
          <w:lang w:val="es-ES_tradnl"/>
        </w:rPr>
        <w:t>(</w:t>
      </w:r>
      <w:r w:rsidR="0000754E" w:rsidRPr="00345104">
        <w:rPr>
          <w:color w:val="000000" w:themeColor="text1"/>
          <w:lang w:val="es-ES_tradnl"/>
        </w:rPr>
        <w:t>a</w:t>
      </w:r>
      <w:r w:rsidR="001323F6" w:rsidRPr="00345104">
        <w:rPr>
          <w:color w:val="000000" w:themeColor="text1"/>
          <w:lang w:val="es-ES_tradnl"/>
        </w:rPr>
        <w:t>rt. 6).</w:t>
      </w:r>
    </w:p>
    <w:p w14:paraId="4B4F5546" w14:textId="2F82B101" w:rsidR="001323F6" w:rsidRPr="00345104" w:rsidRDefault="00CE22BA" w:rsidP="00345104">
      <w:pPr>
        <w:pStyle w:val="SingleTxtG"/>
        <w:rPr>
          <w:b/>
          <w:color w:val="000000" w:themeColor="text1"/>
          <w:lang w:val="es-ES_tradnl"/>
        </w:rPr>
      </w:pPr>
      <w:r w:rsidRPr="00345104">
        <w:rPr>
          <w:lang w:val="es-ES_tradnl"/>
        </w:rPr>
        <w:t>22.</w:t>
      </w:r>
      <w:r w:rsidRPr="00345104">
        <w:rPr>
          <w:lang w:val="es-ES_tradnl"/>
        </w:rPr>
        <w:tab/>
      </w:r>
      <w:r w:rsidR="001323F6" w:rsidRPr="00345104">
        <w:rPr>
          <w:b/>
          <w:color w:val="000000" w:themeColor="text1"/>
          <w:lang w:val="es-ES_tradnl"/>
        </w:rPr>
        <w:t xml:space="preserve">El Comité recomienda al Estado parte que </w:t>
      </w:r>
      <w:r w:rsidR="00614820" w:rsidRPr="00345104">
        <w:rPr>
          <w:b/>
          <w:color w:val="000000" w:themeColor="text1"/>
          <w:lang w:val="es-ES_tradnl"/>
        </w:rPr>
        <w:t xml:space="preserve">intensifique </w:t>
      </w:r>
      <w:r w:rsidR="001323F6" w:rsidRPr="00191075">
        <w:rPr>
          <w:b/>
          <w:color w:val="000000" w:themeColor="text1"/>
          <w:lang w:val="es-ES_tradnl"/>
        </w:rPr>
        <w:t xml:space="preserve">sus esfuerzos para </w:t>
      </w:r>
      <w:r w:rsidR="001323F6" w:rsidRPr="00345104">
        <w:rPr>
          <w:b/>
          <w:color w:val="000000" w:themeColor="text1"/>
          <w:lang w:val="es-ES_tradnl"/>
        </w:rPr>
        <w:t>promover la creación de empleos que favorezca</w:t>
      </w:r>
      <w:r w:rsidR="00C9361C" w:rsidRPr="00345104">
        <w:rPr>
          <w:b/>
          <w:color w:val="000000" w:themeColor="text1"/>
          <w:lang w:val="es-ES_tradnl"/>
        </w:rPr>
        <w:t>n</w:t>
      </w:r>
      <w:r w:rsidR="001323F6" w:rsidRPr="00345104">
        <w:rPr>
          <w:b/>
          <w:color w:val="000000" w:themeColor="text1"/>
          <w:lang w:val="es-ES_tradnl"/>
        </w:rPr>
        <w:t xml:space="preserve"> la inserción de las mujeres en el sector formal de la economía. Además, le recomienda que asegure el acceso a la legislación laboral y a la protección social en el sector informal.</w:t>
      </w:r>
    </w:p>
    <w:p w14:paraId="5D1B2750" w14:textId="69492372" w:rsidR="005D506A" w:rsidRPr="00345104" w:rsidRDefault="00176057" w:rsidP="00345104">
      <w:pPr>
        <w:pStyle w:val="H23G"/>
        <w:rPr>
          <w:color w:val="000000" w:themeColor="text1"/>
          <w:lang w:val="es-ES_tradnl"/>
        </w:rPr>
      </w:pPr>
      <w:r w:rsidRPr="00345104">
        <w:rPr>
          <w:lang w:val="es-ES_tradnl"/>
        </w:rPr>
        <w:tab/>
      </w:r>
      <w:r w:rsidR="00A664EA" w:rsidRPr="00345104">
        <w:rPr>
          <w:lang w:val="es-ES_tradnl"/>
        </w:rPr>
        <w:tab/>
      </w:r>
      <w:r w:rsidR="001323F6" w:rsidRPr="00345104">
        <w:rPr>
          <w:lang w:val="es-ES_tradnl"/>
        </w:rPr>
        <w:t xml:space="preserve">Condiciones </w:t>
      </w:r>
      <w:r w:rsidR="00614820" w:rsidRPr="00345104">
        <w:rPr>
          <w:lang w:val="es-ES_tradnl"/>
        </w:rPr>
        <w:t>laborales</w:t>
      </w:r>
      <w:r w:rsidR="001323F6" w:rsidRPr="00345104">
        <w:rPr>
          <w:lang w:val="es-ES_tradnl"/>
        </w:rPr>
        <w:t xml:space="preserve"> </w:t>
      </w:r>
      <w:r w:rsidR="00614820" w:rsidRPr="00345104">
        <w:rPr>
          <w:lang w:val="es-ES_tradnl"/>
        </w:rPr>
        <w:t xml:space="preserve">de </w:t>
      </w:r>
      <w:r w:rsidR="001323F6" w:rsidRPr="00345104">
        <w:rPr>
          <w:lang w:val="es-ES_tradnl"/>
        </w:rPr>
        <w:t>las mujeres</w:t>
      </w:r>
    </w:p>
    <w:p w14:paraId="08B63E8A" w14:textId="79236F4E" w:rsidR="00101F85" w:rsidRPr="00191075" w:rsidRDefault="00CE22BA" w:rsidP="00345104">
      <w:pPr>
        <w:pStyle w:val="SingleTxtG"/>
        <w:rPr>
          <w:b/>
          <w:color w:val="000000" w:themeColor="text1"/>
          <w:lang w:val="es-ES_tradnl"/>
        </w:rPr>
      </w:pPr>
      <w:r w:rsidRPr="00345104">
        <w:rPr>
          <w:lang w:val="es-ES_tradnl"/>
        </w:rPr>
        <w:t>23.</w:t>
      </w:r>
      <w:r w:rsidRPr="00345104">
        <w:rPr>
          <w:lang w:val="es-ES_tradnl"/>
        </w:rPr>
        <w:tab/>
      </w:r>
      <w:r w:rsidR="001323F6" w:rsidRPr="00345104">
        <w:rPr>
          <w:color w:val="000000" w:themeColor="text1"/>
          <w:lang w:val="es-ES_tradnl"/>
        </w:rPr>
        <w:t>P</w:t>
      </w:r>
      <w:r w:rsidR="00651799" w:rsidRPr="00345104">
        <w:rPr>
          <w:color w:val="000000" w:themeColor="text1"/>
          <w:lang w:val="es-ES_tradnl"/>
        </w:rPr>
        <w:t>reocupa</w:t>
      </w:r>
      <w:r w:rsidR="001323F6" w:rsidRPr="00345104">
        <w:rPr>
          <w:color w:val="000000" w:themeColor="text1"/>
          <w:lang w:val="es-ES_tradnl"/>
        </w:rPr>
        <w:t xml:space="preserve"> al Comité</w:t>
      </w:r>
      <w:r w:rsidR="00651799" w:rsidRPr="00345104">
        <w:rPr>
          <w:color w:val="000000" w:themeColor="text1"/>
          <w:lang w:val="es-ES_tradnl"/>
        </w:rPr>
        <w:t xml:space="preserve"> la persistente</w:t>
      </w:r>
      <w:r w:rsidR="00D90730" w:rsidRPr="00345104">
        <w:rPr>
          <w:color w:val="000000" w:themeColor="text1"/>
          <w:lang w:val="es-ES_tradnl"/>
        </w:rPr>
        <w:t xml:space="preserve"> brecha salarial entre hombres y mujeres</w:t>
      </w:r>
      <w:r w:rsidR="007608F5" w:rsidRPr="00345104">
        <w:rPr>
          <w:color w:val="000000" w:themeColor="text1"/>
          <w:lang w:val="es-ES_tradnl"/>
        </w:rPr>
        <w:t xml:space="preserve"> y</w:t>
      </w:r>
      <w:r w:rsidR="00D90730" w:rsidRPr="00345104">
        <w:rPr>
          <w:color w:val="000000" w:themeColor="text1"/>
          <w:lang w:val="es-ES_tradnl"/>
        </w:rPr>
        <w:t xml:space="preserve"> </w:t>
      </w:r>
      <w:r w:rsidR="00084E94" w:rsidRPr="00345104">
        <w:rPr>
          <w:color w:val="000000" w:themeColor="text1"/>
          <w:lang w:val="es-ES_tradnl"/>
        </w:rPr>
        <w:t>los</w:t>
      </w:r>
      <w:r w:rsidR="001C3CCA" w:rsidRPr="00191075">
        <w:rPr>
          <w:color w:val="000000" w:themeColor="text1"/>
          <w:lang w:val="es-ES_tradnl"/>
        </w:rPr>
        <w:t xml:space="preserve"> obstáculos</w:t>
      </w:r>
      <w:r w:rsidR="00084E94" w:rsidRPr="00191075">
        <w:rPr>
          <w:color w:val="000000" w:themeColor="text1"/>
          <w:lang w:val="es-ES_tradnl"/>
        </w:rPr>
        <w:t xml:space="preserve"> que enfrentan</w:t>
      </w:r>
      <w:r w:rsidR="001C3CCA" w:rsidRPr="00191075">
        <w:rPr>
          <w:color w:val="000000" w:themeColor="text1"/>
          <w:lang w:val="es-ES_tradnl"/>
        </w:rPr>
        <w:t xml:space="preserve"> para acceder a oportunidades de carrera en las mismas condiciones que los hombres</w:t>
      </w:r>
      <w:r w:rsidR="001323F6" w:rsidRPr="00191075">
        <w:rPr>
          <w:color w:val="000000" w:themeColor="text1"/>
          <w:lang w:val="es-ES_tradnl"/>
        </w:rPr>
        <w:t xml:space="preserve"> (</w:t>
      </w:r>
      <w:r w:rsidR="0000754E" w:rsidRPr="00191075">
        <w:rPr>
          <w:color w:val="000000" w:themeColor="text1"/>
          <w:lang w:val="es-ES_tradnl"/>
        </w:rPr>
        <w:t>a</w:t>
      </w:r>
      <w:r w:rsidR="001323F6" w:rsidRPr="00191075">
        <w:rPr>
          <w:color w:val="000000" w:themeColor="text1"/>
          <w:lang w:val="es-ES_tradnl"/>
        </w:rPr>
        <w:t>rt. 7)</w:t>
      </w:r>
      <w:r w:rsidR="00D90730" w:rsidRPr="00345104">
        <w:rPr>
          <w:color w:val="000000" w:themeColor="text1"/>
          <w:lang w:val="es-ES_tradnl"/>
        </w:rPr>
        <w:t>.</w:t>
      </w:r>
      <w:r w:rsidR="0066633A" w:rsidRPr="00345104">
        <w:rPr>
          <w:color w:val="000000" w:themeColor="text1"/>
          <w:lang w:val="es-ES_tradnl"/>
        </w:rPr>
        <w:t xml:space="preserve"> </w:t>
      </w:r>
    </w:p>
    <w:p w14:paraId="5061DA8A" w14:textId="187B0B9A" w:rsidR="00651799" w:rsidRPr="00345104" w:rsidRDefault="00CE22BA" w:rsidP="00345104">
      <w:pPr>
        <w:pStyle w:val="SingleTxtG"/>
        <w:rPr>
          <w:b/>
          <w:color w:val="000000" w:themeColor="text1"/>
          <w:lang w:val="es-ES_tradnl"/>
        </w:rPr>
      </w:pPr>
      <w:r w:rsidRPr="00345104">
        <w:rPr>
          <w:lang w:val="es-ES_tradnl"/>
        </w:rPr>
        <w:t>24.</w:t>
      </w:r>
      <w:r w:rsidRPr="00345104">
        <w:rPr>
          <w:lang w:val="es-ES_tradnl"/>
        </w:rPr>
        <w:tab/>
      </w:r>
      <w:r w:rsidR="00EE3179" w:rsidRPr="00191075">
        <w:rPr>
          <w:b/>
          <w:color w:val="000000" w:themeColor="text1"/>
          <w:lang w:val="es-ES_tradnl"/>
        </w:rPr>
        <w:t>El Comité</w:t>
      </w:r>
      <w:r w:rsidR="00651799" w:rsidRPr="00191075">
        <w:rPr>
          <w:b/>
          <w:color w:val="000000" w:themeColor="text1"/>
          <w:lang w:val="es-ES_tradnl"/>
        </w:rPr>
        <w:t xml:space="preserve"> recomienda al Estado parte que: </w:t>
      </w:r>
    </w:p>
    <w:p w14:paraId="007623C4" w14:textId="65F58EFA" w:rsidR="00112401" w:rsidRPr="00345104" w:rsidRDefault="00CE22BA" w:rsidP="00345104">
      <w:pPr>
        <w:pStyle w:val="SingleTxtG"/>
        <w:ind w:firstLine="567"/>
        <w:rPr>
          <w:b/>
          <w:color w:val="000000" w:themeColor="text1"/>
          <w:lang w:val="es-ES_tradnl"/>
        </w:rPr>
      </w:pPr>
      <w:r w:rsidRPr="00345104">
        <w:rPr>
          <w:b/>
          <w:color w:val="000000" w:themeColor="text1"/>
          <w:lang w:val="es-ES_tradnl"/>
        </w:rPr>
        <w:lastRenderedPageBreak/>
        <w:t>a)</w:t>
      </w:r>
      <w:r w:rsidRPr="00345104">
        <w:rPr>
          <w:b/>
          <w:color w:val="000000" w:themeColor="text1"/>
          <w:lang w:val="es-ES_tradnl"/>
        </w:rPr>
        <w:tab/>
      </w:r>
      <w:r w:rsidR="00084E94" w:rsidRPr="00345104">
        <w:rPr>
          <w:b/>
          <w:color w:val="000000" w:themeColor="text1"/>
          <w:lang w:val="es-ES_tradnl"/>
        </w:rPr>
        <w:t>A</w:t>
      </w:r>
      <w:r w:rsidR="00651799" w:rsidRPr="00345104">
        <w:rPr>
          <w:b/>
          <w:color w:val="000000" w:themeColor="text1"/>
          <w:lang w:val="es-ES_tradnl"/>
        </w:rPr>
        <w:t>dopte las medidas adecuada</w:t>
      </w:r>
      <w:r w:rsidR="0066633A" w:rsidRPr="00345104">
        <w:rPr>
          <w:b/>
          <w:color w:val="000000" w:themeColor="text1"/>
          <w:lang w:val="es-ES_tradnl"/>
        </w:rPr>
        <w:t>s y efectivas</w:t>
      </w:r>
      <w:r w:rsidR="00651799" w:rsidRPr="00345104">
        <w:rPr>
          <w:b/>
          <w:color w:val="000000" w:themeColor="text1"/>
          <w:lang w:val="es-ES_tradnl"/>
        </w:rPr>
        <w:t xml:space="preserve"> para e</w:t>
      </w:r>
      <w:r w:rsidR="00EE3179" w:rsidRPr="00191075">
        <w:rPr>
          <w:b/>
          <w:color w:val="000000" w:themeColor="text1"/>
          <w:lang w:val="es-ES_tradnl"/>
        </w:rPr>
        <w:t>liminar la persistente brecha salarial por razón de sexo, combatiendo la segregación vertical y horizontal en el empleo</w:t>
      </w:r>
      <w:r w:rsidR="00112401" w:rsidRPr="00191075">
        <w:rPr>
          <w:b/>
          <w:color w:val="000000" w:themeColor="text1"/>
          <w:lang w:val="es-ES_tradnl"/>
        </w:rPr>
        <w:t xml:space="preserve">; </w:t>
      </w:r>
    </w:p>
    <w:p w14:paraId="0A93571B" w14:textId="4B5EA4B1" w:rsidR="00651799" w:rsidRPr="00345104" w:rsidRDefault="00CE22BA" w:rsidP="00345104">
      <w:pPr>
        <w:pStyle w:val="SingleTxtG"/>
        <w:ind w:firstLine="567"/>
        <w:rPr>
          <w:b/>
          <w:color w:val="000000" w:themeColor="text1"/>
          <w:lang w:val="es-ES_tradnl"/>
        </w:rPr>
      </w:pPr>
      <w:r w:rsidRPr="00345104">
        <w:rPr>
          <w:b/>
          <w:color w:val="000000" w:themeColor="text1"/>
          <w:lang w:val="es-ES_tradnl"/>
        </w:rPr>
        <w:t>b)</w:t>
      </w:r>
      <w:r w:rsidRPr="00345104">
        <w:rPr>
          <w:b/>
          <w:color w:val="000000" w:themeColor="text1"/>
          <w:lang w:val="es-ES_tradnl"/>
        </w:rPr>
        <w:tab/>
      </w:r>
      <w:r w:rsidR="00112401" w:rsidRPr="00191075">
        <w:rPr>
          <w:b/>
          <w:color w:val="000000" w:themeColor="text1"/>
          <w:lang w:val="es-ES_tradnl"/>
        </w:rPr>
        <w:t>A</w:t>
      </w:r>
      <w:r w:rsidR="003C30B9" w:rsidRPr="00191075">
        <w:rPr>
          <w:b/>
          <w:color w:val="000000" w:themeColor="text1"/>
          <w:lang w:val="es-ES_tradnl"/>
        </w:rPr>
        <w:t>segur</w:t>
      </w:r>
      <w:r w:rsidR="00112401" w:rsidRPr="00191075">
        <w:rPr>
          <w:b/>
          <w:color w:val="000000" w:themeColor="text1"/>
          <w:lang w:val="es-ES_tradnl"/>
        </w:rPr>
        <w:t>e</w:t>
      </w:r>
      <w:r w:rsidR="003C30B9" w:rsidRPr="00191075">
        <w:rPr>
          <w:b/>
          <w:color w:val="000000" w:themeColor="text1"/>
          <w:lang w:val="es-ES_tradnl"/>
        </w:rPr>
        <w:t xml:space="preserve"> la efectiva aplicación del principio de igual salario por trabajo de igual valor</w:t>
      </w:r>
      <w:r w:rsidR="00EE3179" w:rsidRPr="00191075">
        <w:rPr>
          <w:b/>
          <w:color w:val="000000" w:themeColor="text1"/>
          <w:lang w:val="es-ES_tradnl"/>
        </w:rPr>
        <w:t>,</w:t>
      </w:r>
      <w:r w:rsidR="003C30B9" w:rsidRPr="00191075">
        <w:rPr>
          <w:b/>
          <w:color w:val="000000" w:themeColor="text1"/>
          <w:lang w:val="es-ES_tradnl"/>
        </w:rPr>
        <w:t xml:space="preserve"> incluso mediante la realización de estudios comparados </w:t>
      </w:r>
      <w:r w:rsidR="001323F6" w:rsidRPr="00191075">
        <w:rPr>
          <w:b/>
          <w:color w:val="000000" w:themeColor="text1"/>
          <w:lang w:val="es-ES_tradnl"/>
        </w:rPr>
        <w:t>en</w:t>
      </w:r>
      <w:r w:rsidR="003C30B9" w:rsidRPr="00191075">
        <w:rPr>
          <w:b/>
          <w:color w:val="000000" w:themeColor="text1"/>
          <w:lang w:val="es-ES_tradnl"/>
        </w:rPr>
        <w:t xml:space="preserve"> las organizaciones y profesiones en lo que se refiere a la igualdad de remuneración por trabajo de igual valor con el objeto de elaborar una estrategia integral al respecto</w:t>
      </w:r>
      <w:r w:rsidR="00084E94" w:rsidRPr="00191075">
        <w:rPr>
          <w:b/>
          <w:color w:val="000000" w:themeColor="text1"/>
          <w:lang w:val="es-ES_tradnl"/>
        </w:rPr>
        <w:t>;</w:t>
      </w:r>
      <w:r w:rsidR="003C30B9" w:rsidRPr="00191075">
        <w:rPr>
          <w:b/>
          <w:color w:val="000000" w:themeColor="text1"/>
          <w:lang w:val="es-ES_tradnl"/>
        </w:rPr>
        <w:t xml:space="preserve"> </w:t>
      </w:r>
    </w:p>
    <w:p w14:paraId="4FB0FA97" w14:textId="4C957A3D" w:rsidR="001E604E" w:rsidRPr="00345104" w:rsidRDefault="00CE22BA" w:rsidP="00345104">
      <w:pPr>
        <w:pStyle w:val="SingleTxtG"/>
        <w:ind w:firstLine="567"/>
        <w:rPr>
          <w:b/>
          <w:lang w:val="es-ES_tradnl"/>
        </w:rPr>
      </w:pPr>
      <w:r w:rsidRPr="00345104">
        <w:rPr>
          <w:b/>
          <w:lang w:val="es-ES_tradnl"/>
        </w:rPr>
        <w:t>c)</w:t>
      </w:r>
      <w:r w:rsidRPr="00345104">
        <w:rPr>
          <w:b/>
          <w:lang w:val="es-ES_tradnl"/>
        </w:rPr>
        <w:tab/>
      </w:r>
      <w:r w:rsidR="00AE1541" w:rsidRPr="00345104">
        <w:rPr>
          <w:b/>
          <w:lang w:val="es-ES_tradnl"/>
        </w:rPr>
        <w:t>Adopte</w:t>
      </w:r>
      <w:r w:rsidR="001E604E" w:rsidRPr="00345104">
        <w:rPr>
          <w:b/>
          <w:lang w:val="es-ES_tradnl"/>
        </w:rPr>
        <w:t xml:space="preserve"> medidas apropiadas</w:t>
      </w:r>
      <w:r w:rsidR="004A2BAF" w:rsidRPr="00345104">
        <w:rPr>
          <w:b/>
          <w:lang w:val="es-ES_tradnl"/>
        </w:rPr>
        <w:t>,</w:t>
      </w:r>
      <w:r w:rsidR="001E604E" w:rsidRPr="00345104">
        <w:rPr>
          <w:b/>
          <w:lang w:val="es-ES_tradnl"/>
        </w:rPr>
        <w:t xml:space="preserve"> </w:t>
      </w:r>
      <w:r w:rsidR="005A5C32" w:rsidRPr="00345104">
        <w:rPr>
          <w:b/>
          <w:lang w:val="es-ES_tradnl"/>
        </w:rPr>
        <w:t>tanto legales como de sensibilización y educación</w:t>
      </w:r>
      <w:r w:rsidR="004A2BAF" w:rsidRPr="00345104">
        <w:rPr>
          <w:b/>
          <w:lang w:val="es-ES_tradnl"/>
        </w:rPr>
        <w:t>,</w:t>
      </w:r>
      <w:r w:rsidR="005A5C32" w:rsidRPr="00345104">
        <w:rPr>
          <w:b/>
          <w:lang w:val="es-ES_tradnl"/>
        </w:rPr>
        <w:t xml:space="preserve"> </w:t>
      </w:r>
      <w:r w:rsidR="001E604E" w:rsidRPr="00345104">
        <w:rPr>
          <w:b/>
          <w:lang w:val="es-ES_tradnl"/>
        </w:rPr>
        <w:t>para</w:t>
      </w:r>
      <w:r w:rsidR="002A6039" w:rsidRPr="00345104">
        <w:rPr>
          <w:b/>
          <w:lang w:val="es-ES_tradnl"/>
        </w:rPr>
        <w:t xml:space="preserve"> fomentar una distribución de </w:t>
      </w:r>
      <w:r w:rsidR="00AE1541" w:rsidRPr="00345104">
        <w:rPr>
          <w:b/>
          <w:lang w:val="es-ES_tradnl"/>
        </w:rPr>
        <w:t>responsabilidades</w:t>
      </w:r>
      <w:r w:rsidR="002A6039" w:rsidRPr="00345104">
        <w:rPr>
          <w:b/>
          <w:lang w:val="es-ES_tradnl"/>
        </w:rPr>
        <w:t xml:space="preserve"> equitativa dentro de la familia y la sociedad, entre otros, asegurando la debida </w:t>
      </w:r>
      <w:r w:rsidR="00651799" w:rsidRPr="00345104">
        <w:rPr>
          <w:b/>
          <w:lang w:val="es-ES_tradnl"/>
        </w:rPr>
        <w:t>implementación de la Ley</w:t>
      </w:r>
      <w:r w:rsidR="00084E94" w:rsidRPr="00345104">
        <w:rPr>
          <w:b/>
          <w:lang w:val="es-ES_tradnl"/>
        </w:rPr>
        <w:t xml:space="preserve"> </w:t>
      </w:r>
      <w:r w:rsidR="00651799" w:rsidRPr="00345104">
        <w:rPr>
          <w:b/>
          <w:lang w:val="es-ES_tradnl"/>
        </w:rPr>
        <w:t>de Sist</w:t>
      </w:r>
      <w:r w:rsidR="000B4C16" w:rsidRPr="00345104">
        <w:rPr>
          <w:b/>
          <w:lang w:val="es-ES_tradnl"/>
        </w:rPr>
        <w:t xml:space="preserve">ema Nacional </w:t>
      </w:r>
      <w:r w:rsidR="004A2BAF" w:rsidRPr="00345104">
        <w:rPr>
          <w:b/>
          <w:lang w:val="es-ES_tradnl"/>
        </w:rPr>
        <w:t xml:space="preserve">Integrado </w:t>
      </w:r>
      <w:r w:rsidR="000B4C16" w:rsidRPr="00345104">
        <w:rPr>
          <w:b/>
          <w:lang w:val="es-ES_tradnl"/>
        </w:rPr>
        <w:t>de Cuidado</w:t>
      </w:r>
      <w:r w:rsidR="002A6039" w:rsidRPr="00345104">
        <w:rPr>
          <w:b/>
          <w:lang w:val="es-ES_tradnl"/>
        </w:rPr>
        <w:t>s</w:t>
      </w:r>
      <w:r w:rsidR="000B4C16" w:rsidRPr="00345104">
        <w:rPr>
          <w:b/>
          <w:lang w:val="es-ES_tradnl"/>
        </w:rPr>
        <w:t xml:space="preserve"> y de la</w:t>
      </w:r>
      <w:r w:rsidR="00651799" w:rsidRPr="00345104">
        <w:rPr>
          <w:b/>
          <w:lang w:val="es-ES_tradnl"/>
        </w:rPr>
        <w:t xml:space="preserve"> Ley de </w:t>
      </w:r>
      <w:r w:rsidR="00EA1755">
        <w:rPr>
          <w:b/>
          <w:lang w:val="es-ES_tradnl"/>
        </w:rPr>
        <w:t>S</w:t>
      </w:r>
      <w:r w:rsidR="00651799" w:rsidRPr="00345104">
        <w:rPr>
          <w:b/>
          <w:lang w:val="es-ES_tradnl"/>
        </w:rPr>
        <w:t>ubsidio</w:t>
      </w:r>
      <w:r w:rsidR="004A2BAF" w:rsidRPr="00345104">
        <w:rPr>
          <w:b/>
          <w:lang w:val="es-ES_tradnl"/>
        </w:rPr>
        <w:t>s</w:t>
      </w:r>
      <w:r w:rsidR="00651799" w:rsidRPr="00345104">
        <w:rPr>
          <w:b/>
          <w:lang w:val="es-ES_tradnl"/>
        </w:rPr>
        <w:t xml:space="preserve"> de </w:t>
      </w:r>
      <w:r w:rsidR="00EA1755">
        <w:rPr>
          <w:b/>
          <w:lang w:val="es-ES_tradnl"/>
        </w:rPr>
        <w:t>M</w:t>
      </w:r>
      <w:r w:rsidR="00651799" w:rsidRPr="00345104">
        <w:rPr>
          <w:b/>
          <w:lang w:val="es-ES_tradnl"/>
        </w:rPr>
        <w:t xml:space="preserve">aternidad y </w:t>
      </w:r>
      <w:r w:rsidR="00EA1755">
        <w:rPr>
          <w:b/>
          <w:lang w:val="es-ES_tradnl"/>
        </w:rPr>
        <w:t>P</w:t>
      </w:r>
      <w:r w:rsidR="00651799" w:rsidRPr="00345104">
        <w:rPr>
          <w:b/>
          <w:lang w:val="es-ES_tradnl"/>
        </w:rPr>
        <w:t>aternidad</w:t>
      </w:r>
      <w:r w:rsidR="001E604E" w:rsidRPr="00345104">
        <w:rPr>
          <w:b/>
          <w:lang w:val="es-ES_tradnl"/>
        </w:rPr>
        <w:t>.</w:t>
      </w:r>
      <w:r w:rsidR="004A2BAF" w:rsidRPr="00345104">
        <w:rPr>
          <w:rFonts w:eastAsia="Calibri"/>
          <w:lang w:val="es-ES_tradnl"/>
        </w:rPr>
        <w:t xml:space="preserve"> </w:t>
      </w:r>
    </w:p>
    <w:p w14:paraId="4FE8B871" w14:textId="37CEAB29" w:rsidR="005D506A" w:rsidRPr="00345104" w:rsidRDefault="00CE22BA" w:rsidP="00345104">
      <w:pPr>
        <w:pStyle w:val="SingleTxtG"/>
        <w:rPr>
          <w:b/>
          <w:lang w:val="es-ES_tradnl"/>
        </w:rPr>
      </w:pPr>
      <w:r w:rsidRPr="00345104">
        <w:rPr>
          <w:lang w:val="es-ES_tradnl"/>
        </w:rPr>
        <w:t>25.</w:t>
      </w:r>
      <w:r w:rsidRPr="00345104">
        <w:rPr>
          <w:lang w:val="es-ES_tradnl"/>
        </w:rPr>
        <w:tab/>
      </w:r>
      <w:r w:rsidR="001323F6" w:rsidRPr="00345104">
        <w:rPr>
          <w:b/>
          <w:lang w:val="es-ES_tradnl"/>
        </w:rPr>
        <w:t xml:space="preserve">El Comité remite al Estado parte a su </w:t>
      </w:r>
      <w:r w:rsidR="00EB542C" w:rsidRPr="00345104">
        <w:rPr>
          <w:b/>
          <w:lang w:val="es-ES_tradnl"/>
        </w:rPr>
        <w:t>o</w:t>
      </w:r>
      <w:r w:rsidR="00421D81" w:rsidRPr="00345104">
        <w:rPr>
          <w:b/>
          <w:lang w:val="es-ES_tradnl"/>
        </w:rPr>
        <w:t xml:space="preserve">bservación </w:t>
      </w:r>
      <w:r w:rsidR="00EB542C" w:rsidRPr="00345104">
        <w:rPr>
          <w:b/>
          <w:lang w:val="es-ES_tradnl"/>
        </w:rPr>
        <w:t>g</w:t>
      </w:r>
      <w:r w:rsidR="00421D81" w:rsidRPr="00345104">
        <w:rPr>
          <w:b/>
          <w:lang w:val="es-ES_tradnl"/>
        </w:rPr>
        <w:t xml:space="preserve">eneral </w:t>
      </w:r>
      <w:r w:rsidR="00EB542C" w:rsidRPr="00345104">
        <w:rPr>
          <w:b/>
          <w:lang w:val="es-ES_tradnl"/>
        </w:rPr>
        <w:t xml:space="preserve">núm. </w:t>
      </w:r>
      <w:r w:rsidR="00421D81" w:rsidRPr="00345104">
        <w:rPr>
          <w:b/>
          <w:lang w:val="es-ES_tradnl"/>
        </w:rPr>
        <w:t xml:space="preserve">23 (2016) sobre </w:t>
      </w:r>
      <w:r w:rsidR="00C16C6B" w:rsidRPr="00345104">
        <w:rPr>
          <w:b/>
          <w:lang w:val="es-ES_tradnl"/>
        </w:rPr>
        <w:t xml:space="preserve">el derecho a </w:t>
      </w:r>
      <w:r w:rsidR="00421D81" w:rsidRPr="00345104">
        <w:rPr>
          <w:b/>
          <w:lang w:val="es-ES_tradnl"/>
        </w:rPr>
        <w:t xml:space="preserve">condiciones de trabajo </w:t>
      </w:r>
      <w:r w:rsidR="00C16C6B" w:rsidRPr="00345104">
        <w:rPr>
          <w:b/>
          <w:lang w:val="es-ES_tradnl"/>
        </w:rPr>
        <w:t xml:space="preserve">equitativas </w:t>
      </w:r>
      <w:r w:rsidR="00421D81" w:rsidRPr="00345104">
        <w:rPr>
          <w:b/>
          <w:lang w:val="es-ES_tradnl"/>
        </w:rPr>
        <w:t xml:space="preserve">y satisfactorias. </w:t>
      </w:r>
    </w:p>
    <w:p w14:paraId="30844CF3" w14:textId="329BD943" w:rsidR="001323F6" w:rsidRPr="00345104" w:rsidRDefault="00176057" w:rsidP="00345104">
      <w:pPr>
        <w:pStyle w:val="H23G"/>
        <w:rPr>
          <w:lang w:val="es-ES_tradnl"/>
        </w:rPr>
      </w:pPr>
      <w:r w:rsidRPr="00345104">
        <w:rPr>
          <w:lang w:val="es-ES_tradnl"/>
        </w:rPr>
        <w:tab/>
      </w:r>
      <w:r w:rsidR="00A664EA" w:rsidRPr="00345104">
        <w:rPr>
          <w:lang w:val="es-ES_tradnl"/>
        </w:rPr>
        <w:tab/>
      </w:r>
      <w:r w:rsidR="001323F6" w:rsidRPr="00345104">
        <w:rPr>
          <w:lang w:val="es-ES_tradnl"/>
        </w:rPr>
        <w:t xml:space="preserve">Condiciones </w:t>
      </w:r>
      <w:r w:rsidR="00614820" w:rsidRPr="00345104">
        <w:rPr>
          <w:lang w:val="es-ES_tradnl"/>
        </w:rPr>
        <w:t>laborales de</w:t>
      </w:r>
      <w:r w:rsidR="001323F6" w:rsidRPr="00345104">
        <w:rPr>
          <w:lang w:val="es-ES_tradnl"/>
        </w:rPr>
        <w:t xml:space="preserve"> los migrantes</w:t>
      </w:r>
    </w:p>
    <w:p w14:paraId="3B4787D2" w14:textId="0E890D8D" w:rsidR="00386CEC" w:rsidRPr="00191075" w:rsidRDefault="00CE22BA" w:rsidP="00345104">
      <w:pPr>
        <w:pStyle w:val="SingleTxtG"/>
        <w:rPr>
          <w:lang w:val="es-ES_tradnl"/>
        </w:rPr>
      </w:pPr>
      <w:r w:rsidRPr="00345104">
        <w:rPr>
          <w:lang w:val="es-ES_tradnl"/>
        </w:rPr>
        <w:t>26.</w:t>
      </w:r>
      <w:r w:rsidRPr="00345104">
        <w:rPr>
          <w:lang w:val="es-ES_tradnl"/>
        </w:rPr>
        <w:tab/>
      </w:r>
      <w:r w:rsidR="00E41472" w:rsidRPr="00191075">
        <w:rPr>
          <w:lang w:val="es-ES_tradnl"/>
        </w:rPr>
        <w:t>Preocupa al Comité</w:t>
      </w:r>
      <w:r w:rsidR="00E602D6" w:rsidRPr="00191075">
        <w:rPr>
          <w:lang w:val="es-ES_tradnl"/>
        </w:rPr>
        <w:t xml:space="preserve"> </w:t>
      </w:r>
      <w:r w:rsidR="0048272D" w:rsidRPr="00191075">
        <w:rPr>
          <w:lang w:val="es-ES_tradnl"/>
        </w:rPr>
        <w:t>que gran parte de los</w:t>
      </w:r>
      <w:r w:rsidR="002A6039" w:rsidRPr="00191075">
        <w:rPr>
          <w:lang w:val="es-ES_tradnl"/>
        </w:rPr>
        <w:t xml:space="preserve"> </w:t>
      </w:r>
      <w:r w:rsidR="00E41472" w:rsidRPr="00191075">
        <w:rPr>
          <w:lang w:val="es-ES_tradnl"/>
        </w:rPr>
        <w:t>trabajadores migrantes</w:t>
      </w:r>
      <w:r w:rsidR="002A6039" w:rsidRPr="00191075">
        <w:rPr>
          <w:lang w:val="es-ES_tradnl"/>
        </w:rPr>
        <w:t xml:space="preserve"> se encuentran empleados en</w:t>
      </w:r>
      <w:r w:rsidR="00E602D6" w:rsidRPr="00191075">
        <w:rPr>
          <w:lang w:val="es-ES_tradnl"/>
        </w:rPr>
        <w:t xml:space="preserve"> trabajos mal</w:t>
      </w:r>
      <w:r w:rsidR="00386CEC" w:rsidRPr="00191075">
        <w:rPr>
          <w:lang w:val="es-ES_tradnl"/>
        </w:rPr>
        <w:t xml:space="preserve"> </w:t>
      </w:r>
      <w:r w:rsidR="002A6039" w:rsidRPr="00191075">
        <w:rPr>
          <w:lang w:val="es-ES_tradnl"/>
        </w:rPr>
        <w:t xml:space="preserve">remunerados </w:t>
      </w:r>
      <w:r w:rsidR="00386CEC" w:rsidRPr="00191075">
        <w:rPr>
          <w:lang w:val="es-ES_tradnl"/>
        </w:rPr>
        <w:t xml:space="preserve">y </w:t>
      </w:r>
      <w:r w:rsidR="002A6039" w:rsidRPr="00191075">
        <w:rPr>
          <w:lang w:val="es-ES_tradnl"/>
        </w:rPr>
        <w:t>en condiciones de precariedad</w:t>
      </w:r>
      <w:r w:rsidR="0066633A" w:rsidRPr="00191075">
        <w:rPr>
          <w:lang w:val="es-ES_tradnl"/>
        </w:rPr>
        <w:t xml:space="preserve"> (art.</w:t>
      </w:r>
      <w:r w:rsidR="002A6039" w:rsidRPr="00191075">
        <w:rPr>
          <w:lang w:val="es-ES_tradnl"/>
        </w:rPr>
        <w:t xml:space="preserve"> </w:t>
      </w:r>
      <w:r w:rsidR="0066633A" w:rsidRPr="00191075">
        <w:rPr>
          <w:lang w:val="es-ES_tradnl"/>
        </w:rPr>
        <w:t xml:space="preserve">7). </w:t>
      </w:r>
    </w:p>
    <w:p w14:paraId="65682701" w14:textId="4A4B591A" w:rsidR="000220F3" w:rsidRPr="00345104" w:rsidRDefault="00CE22BA" w:rsidP="00345104">
      <w:pPr>
        <w:pStyle w:val="SingleTxtG"/>
        <w:rPr>
          <w:b/>
          <w:lang w:val="es-ES_tradnl"/>
        </w:rPr>
      </w:pPr>
      <w:r w:rsidRPr="00345104">
        <w:rPr>
          <w:lang w:val="es-ES_tradnl"/>
        </w:rPr>
        <w:t>27.</w:t>
      </w:r>
      <w:r w:rsidRPr="00345104">
        <w:rPr>
          <w:lang w:val="es-ES_tradnl"/>
        </w:rPr>
        <w:tab/>
      </w:r>
      <w:r w:rsidR="000220F3" w:rsidRPr="00345104">
        <w:rPr>
          <w:b/>
          <w:lang w:val="es-ES_tradnl"/>
        </w:rPr>
        <w:t>El Comité</w:t>
      </w:r>
      <w:r w:rsidR="000B4C16" w:rsidRPr="00345104">
        <w:rPr>
          <w:b/>
          <w:lang w:val="es-ES_tradnl"/>
        </w:rPr>
        <w:t xml:space="preserve"> recomienda al Estado parte que r</w:t>
      </w:r>
      <w:r w:rsidR="000220F3" w:rsidRPr="00345104">
        <w:rPr>
          <w:b/>
          <w:lang w:val="es-ES_tradnl"/>
        </w:rPr>
        <w:t xml:space="preserve">edoble sus esfuerzos para garantizar que los trabajadores </w:t>
      </w:r>
      <w:r w:rsidR="000B4C16" w:rsidRPr="00345104">
        <w:rPr>
          <w:b/>
          <w:lang w:val="es-ES_tradnl"/>
        </w:rPr>
        <w:t>migrantes</w:t>
      </w:r>
      <w:r w:rsidR="000220F3" w:rsidRPr="00345104">
        <w:rPr>
          <w:b/>
          <w:lang w:val="es-ES_tradnl"/>
        </w:rPr>
        <w:t xml:space="preserve"> cuenten tanto en la ley como en la práctica con condiciones </w:t>
      </w:r>
      <w:r w:rsidR="000B4C16" w:rsidRPr="00345104">
        <w:rPr>
          <w:b/>
          <w:lang w:val="es-ES_tradnl"/>
        </w:rPr>
        <w:t>laborales equitativas</w:t>
      </w:r>
      <w:r w:rsidR="001323F6" w:rsidRPr="00345104">
        <w:rPr>
          <w:b/>
          <w:lang w:val="es-ES_tradnl"/>
        </w:rPr>
        <w:t xml:space="preserve"> y </w:t>
      </w:r>
      <w:r w:rsidR="00F50B33" w:rsidRPr="00345104">
        <w:rPr>
          <w:b/>
          <w:lang w:val="es-ES_tradnl"/>
        </w:rPr>
        <w:t>satisfactorias</w:t>
      </w:r>
      <w:r w:rsidR="000B4C16" w:rsidRPr="00345104">
        <w:rPr>
          <w:b/>
          <w:lang w:val="es-ES_tradnl"/>
        </w:rPr>
        <w:t xml:space="preserve">. Además, le insta a </w:t>
      </w:r>
      <w:r w:rsidR="00F4011B" w:rsidRPr="00345104">
        <w:rPr>
          <w:b/>
          <w:lang w:val="es-ES_tradnl"/>
        </w:rPr>
        <w:t xml:space="preserve">continuar </w:t>
      </w:r>
      <w:r w:rsidR="00590A99" w:rsidRPr="00345104">
        <w:rPr>
          <w:b/>
          <w:lang w:val="es-ES_tradnl"/>
        </w:rPr>
        <w:t>sus esfuerzos para</w:t>
      </w:r>
      <w:r w:rsidR="000220F3" w:rsidRPr="00345104">
        <w:rPr>
          <w:b/>
          <w:lang w:val="es-ES_tradnl"/>
        </w:rPr>
        <w:t xml:space="preserve"> que el mecanismo de inspección laboral cuente con </w:t>
      </w:r>
      <w:r w:rsidR="00F4011B" w:rsidRPr="00345104">
        <w:rPr>
          <w:b/>
          <w:lang w:val="es-ES_tradnl"/>
        </w:rPr>
        <w:t xml:space="preserve">los recursos suficientes </w:t>
      </w:r>
      <w:r w:rsidR="00E602D6" w:rsidRPr="00345104">
        <w:rPr>
          <w:b/>
          <w:lang w:val="es-ES_tradnl"/>
        </w:rPr>
        <w:t>a fin de brindar una protecci</w:t>
      </w:r>
      <w:r w:rsidR="00F4011B" w:rsidRPr="00345104">
        <w:rPr>
          <w:b/>
          <w:lang w:val="es-ES_tradnl"/>
        </w:rPr>
        <w:t>ó</w:t>
      </w:r>
      <w:r w:rsidR="00E602D6" w:rsidRPr="00345104">
        <w:rPr>
          <w:b/>
          <w:lang w:val="es-ES_tradnl"/>
        </w:rPr>
        <w:t>n adecuada a los trabajadore</w:t>
      </w:r>
      <w:r w:rsidR="00AE1541" w:rsidRPr="00345104">
        <w:rPr>
          <w:b/>
          <w:lang w:val="es-ES_tradnl"/>
        </w:rPr>
        <w:t>s</w:t>
      </w:r>
      <w:r w:rsidR="00E602D6" w:rsidRPr="00345104">
        <w:rPr>
          <w:b/>
          <w:lang w:val="es-ES_tradnl"/>
        </w:rPr>
        <w:t xml:space="preserve"> migrantes</w:t>
      </w:r>
      <w:r w:rsidR="00590A99" w:rsidRPr="00345104">
        <w:rPr>
          <w:b/>
          <w:lang w:val="es-ES_tradnl"/>
        </w:rPr>
        <w:t>,</w:t>
      </w:r>
      <w:r w:rsidR="00F4011B" w:rsidRPr="00345104">
        <w:rPr>
          <w:b/>
          <w:lang w:val="es-ES_tradnl"/>
        </w:rPr>
        <w:t xml:space="preserve"> y a facilitar </w:t>
      </w:r>
      <w:r w:rsidR="00590A99" w:rsidRPr="00345104">
        <w:rPr>
          <w:b/>
          <w:lang w:val="es-ES_tradnl"/>
        </w:rPr>
        <w:t xml:space="preserve">el acceso a </w:t>
      </w:r>
      <w:r w:rsidR="00E602D6" w:rsidRPr="00345104">
        <w:rPr>
          <w:b/>
          <w:lang w:val="es-ES_tradnl"/>
        </w:rPr>
        <w:t xml:space="preserve">mecanismos de queja </w:t>
      </w:r>
      <w:r w:rsidR="00590A99" w:rsidRPr="00345104">
        <w:rPr>
          <w:b/>
          <w:lang w:val="es-ES_tradnl"/>
        </w:rPr>
        <w:t>contra toda forma de explotación y abuso</w:t>
      </w:r>
      <w:r w:rsidR="00E602D6" w:rsidRPr="00345104">
        <w:rPr>
          <w:b/>
          <w:lang w:val="es-ES_tradnl"/>
        </w:rPr>
        <w:t xml:space="preserve">. </w:t>
      </w:r>
    </w:p>
    <w:p w14:paraId="23901153" w14:textId="6797FBA5" w:rsidR="003C30B9" w:rsidRPr="00345104" w:rsidRDefault="0026337A" w:rsidP="0026337A">
      <w:pPr>
        <w:pStyle w:val="H23G"/>
        <w:rPr>
          <w:lang w:val="es-ES_tradnl"/>
        </w:rPr>
      </w:pPr>
      <w:r w:rsidRPr="00345104">
        <w:rPr>
          <w:lang w:val="es-ES_tradnl"/>
        </w:rPr>
        <w:tab/>
      </w:r>
      <w:r w:rsidRPr="00345104">
        <w:rPr>
          <w:lang w:val="es-ES_tradnl"/>
        </w:rPr>
        <w:tab/>
      </w:r>
      <w:r w:rsidR="00415958" w:rsidRPr="00345104">
        <w:rPr>
          <w:lang w:val="es-ES_tradnl"/>
        </w:rPr>
        <w:t xml:space="preserve">Salario mínimo </w:t>
      </w:r>
    </w:p>
    <w:p w14:paraId="6FEAE0AC" w14:textId="5FA21842" w:rsidR="00415958" w:rsidRPr="00191075" w:rsidRDefault="00CE22BA" w:rsidP="00345104">
      <w:pPr>
        <w:pStyle w:val="SingleTxtG"/>
        <w:rPr>
          <w:color w:val="000000" w:themeColor="text1"/>
          <w:lang w:val="es-ES_tradnl"/>
        </w:rPr>
      </w:pPr>
      <w:r w:rsidRPr="00345104">
        <w:rPr>
          <w:lang w:val="es-ES_tradnl"/>
        </w:rPr>
        <w:t>28.</w:t>
      </w:r>
      <w:r w:rsidRPr="00345104">
        <w:rPr>
          <w:lang w:val="es-ES_tradnl"/>
        </w:rPr>
        <w:tab/>
      </w:r>
      <w:r w:rsidR="005A5C32" w:rsidRPr="00191075">
        <w:rPr>
          <w:color w:val="000000" w:themeColor="text1"/>
          <w:lang w:val="es-ES_tradnl"/>
        </w:rPr>
        <w:t xml:space="preserve">Si bien el Comité celebra </w:t>
      </w:r>
      <w:r w:rsidR="003C30B9" w:rsidRPr="00191075">
        <w:rPr>
          <w:color w:val="000000" w:themeColor="text1"/>
          <w:lang w:val="es-ES_tradnl"/>
        </w:rPr>
        <w:t xml:space="preserve">los </w:t>
      </w:r>
      <w:r w:rsidR="006F7AC7" w:rsidRPr="00191075">
        <w:rPr>
          <w:color w:val="000000" w:themeColor="text1"/>
          <w:lang w:val="es-ES_tradnl"/>
        </w:rPr>
        <w:t>a</w:t>
      </w:r>
      <w:r w:rsidR="005A5C32" w:rsidRPr="00191075">
        <w:rPr>
          <w:color w:val="000000" w:themeColor="text1"/>
          <w:lang w:val="es-ES_tradnl"/>
        </w:rPr>
        <w:t>umentos significativos a</w:t>
      </w:r>
      <w:r w:rsidR="006F7AC7" w:rsidRPr="00191075">
        <w:rPr>
          <w:color w:val="000000" w:themeColor="text1"/>
          <w:lang w:val="es-ES_tradnl"/>
        </w:rPr>
        <w:t>l salario mínimo</w:t>
      </w:r>
      <w:r w:rsidR="005A5C32" w:rsidRPr="00191075">
        <w:rPr>
          <w:color w:val="000000" w:themeColor="text1"/>
          <w:lang w:val="es-ES_tradnl"/>
        </w:rPr>
        <w:t>, le preocupa que</w:t>
      </w:r>
      <w:r w:rsidR="006F7AC7" w:rsidRPr="00191075">
        <w:rPr>
          <w:color w:val="000000" w:themeColor="text1"/>
          <w:lang w:val="es-ES_tradnl"/>
        </w:rPr>
        <w:t xml:space="preserve"> aún</w:t>
      </w:r>
      <w:r w:rsidR="00415958" w:rsidRPr="00191075">
        <w:rPr>
          <w:color w:val="000000" w:themeColor="text1"/>
          <w:lang w:val="es-ES_tradnl"/>
        </w:rPr>
        <w:t xml:space="preserve"> no </w:t>
      </w:r>
      <w:r w:rsidR="008115B9" w:rsidRPr="00191075">
        <w:rPr>
          <w:color w:val="000000" w:themeColor="text1"/>
          <w:lang w:val="es-ES_tradnl"/>
        </w:rPr>
        <w:t xml:space="preserve">sea </w:t>
      </w:r>
      <w:r w:rsidR="00415958" w:rsidRPr="00191075">
        <w:rPr>
          <w:color w:val="000000" w:themeColor="text1"/>
          <w:lang w:val="es-ES_tradnl"/>
        </w:rPr>
        <w:t xml:space="preserve">suficiente para </w:t>
      </w:r>
      <w:r w:rsidR="00A975A3" w:rsidRPr="00191075">
        <w:rPr>
          <w:color w:val="000000" w:themeColor="text1"/>
          <w:lang w:val="es-ES_tradnl"/>
        </w:rPr>
        <w:t xml:space="preserve">proporcionar condiciones de vida digna para </w:t>
      </w:r>
      <w:r w:rsidR="00112401" w:rsidRPr="00191075">
        <w:rPr>
          <w:color w:val="000000" w:themeColor="text1"/>
          <w:lang w:val="es-ES_tradnl"/>
        </w:rPr>
        <w:t xml:space="preserve">los trabajadores </w:t>
      </w:r>
      <w:r w:rsidR="00A975A3" w:rsidRPr="00191075">
        <w:rPr>
          <w:color w:val="000000" w:themeColor="text1"/>
          <w:lang w:val="es-ES_tradnl"/>
        </w:rPr>
        <w:t xml:space="preserve">y sus familias </w:t>
      </w:r>
      <w:r w:rsidR="006F7AC7" w:rsidRPr="00191075">
        <w:rPr>
          <w:color w:val="000000" w:themeColor="text1"/>
          <w:lang w:val="es-ES_tradnl"/>
        </w:rPr>
        <w:t>(</w:t>
      </w:r>
      <w:r w:rsidR="00D46BE4" w:rsidRPr="00191075">
        <w:rPr>
          <w:color w:val="000000" w:themeColor="text1"/>
          <w:lang w:val="es-ES_tradnl"/>
        </w:rPr>
        <w:t>a</w:t>
      </w:r>
      <w:r w:rsidR="006F7AC7" w:rsidRPr="00191075">
        <w:rPr>
          <w:color w:val="000000" w:themeColor="text1"/>
          <w:lang w:val="es-ES_tradnl"/>
        </w:rPr>
        <w:t>rt. 7)</w:t>
      </w:r>
      <w:r w:rsidR="00A975A3" w:rsidRPr="00191075">
        <w:rPr>
          <w:color w:val="000000" w:themeColor="text1"/>
          <w:lang w:val="es-ES_tradnl"/>
        </w:rPr>
        <w:t xml:space="preserve">. </w:t>
      </w:r>
      <w:r w:rsidR="006F7AC7" w:rsidRPr="00191075">
        <w:rPr>
          <w:color w:val="000000" w:themeColor="text1"/>
          <w:lang w:val="es-ES_tradnl"/>
        </w:rPr>
        <w:t xml:space="preserve"> </w:t>
      </w:r>
      <w:r w:rsidR="00415958" w:rsidRPr="00191075">
        <w:rPr>
          <w:color w:val="000000" w:themeColor="text1"/>
          <w:lang w:val="es-ES_tradnl"/>
        </w:rPr>
        <w:t xml:space="preserve"> </w:t>
      </w:r>
    </w:p>
    <w:p w14:paraId="35B66E4B" w14:textId="68898E3D" w:rsidR="00A975A3" w:rsidRPr="00191075" w:rsidRDefault="00CE22BA" w:rsidP="00345104">
      <w:pPr>
        <w:pStyle w:val="SingleTxtG"/>
        <w:rPr>
          <w:b/>
          <w:color w:val="000000" w:themeColor="text1"/>
          <w:lang w:val="es-ES_tradnl"/>
        </w:rPr>
      </w:pPr>
      <w:r w:rsidRPr="00345104">
        <w:rPr>
          <w:lang w:val="es-ES_tradnl"/>
        </w:rPr>
        <w:t>29.</w:t>
      </w:r>
      <w:r w:rsidRPr="00345104">
        <w:rPr>
          <w:lang w:val="es-ES_tradnl"/>
        </w:rPr>
        <w:tab/>
      </w:r>
      <w:r w:rsidR="00A975A3" w:rsidRPr="00191075">
        <w:rPr>
          <w:b/>
          <w:color w:val="000000" w:themeColor="text1"/>
          <w:lang w:val="es-ES_tradnl"/>
        </w:rPr>
        <w:t>El Comité reitera su anterior recomendación (</w:t>
      </w:r>
      <w:r w:rsidR="00D46BE4" w:rsidRPr="00191075">
        <w:rPr>
          <w:b/>
          <w:color w:val="000000" w:themeColor="text1"/>
          <w:lang w:val="es-ES_tradnl"/>
        </w:rPr>
        <w:t xml:space="preserve">véase </w:t>
      </w:r>
      <w:r w:rsidR="00A975A3" w:rsidRPr="00191075">
        <w:rPr>
          <w:b/>
          <w:color w:val="000000" w:themeColor="text1"/>
          <w:lang w:val="es-ES_tradnl"/>
        </w:rPr>
        <w:t>E/C.12/URY/CO/3.4, párr.</w:t>
      </w:r>
      <w:r w:rsidR="00E708C3" w:rsidRPr="00191075">
        <w:rPr>
          <w:b/>
          <w:color w:val="000000" w:themeColor="text1"/>
          <w:lang w:val="es-ES_tradnl"/>
        </w:rPr>
        <w:t> </w:t>
      </w:r>
      <w:r w:rsidR="00A975A3" w:rsidRPr="00191075">
        <w:rPr>
          <w:b/>
          <w:color w:val="000000" w:themeColor="text1"/>
          <w:lang w:val="es-ES_tradnl"/>
        </w:rPr>
        <w:t xml:space="preserve">12) e insta al Estado parte a intensificar sus esfuerzos para </w:t>
      </w:r>
      <w:r w:rsidR="008115B9" w:rsidRPr="00191075">
        <w:rPr>
          <w:b/>
          <w:color w:val="000000" w:themeColor="text1"/>
          <w:lang w:val="es-ES_tradnl"/>
        </w:rPr>
        <w:t>garantizar que el salario mínimo asegure condiciones de vida digna para los trabajadores y sus familias</w:t>
      </w:r>
      <w:r w:rsidR="00A975A3" w:rsidRPr="00191075">
        <w:rPr>
          <w:b/>
          <w:color w:val="000000" w:themeColor="text1"/>
          <w:lang w:val="es-ES_tradnl"/>
        </w:rPr>
        <w:t xml:space="preserve">. </w:t>
      </w:r>
    </w:p>
    <w:p w14:paraId="7EB49E21" w14:textId="5EB2FCE2" w:rsidR="000220F3" w:rsidRPr="00345104" w:rsidRDefault="0026337A" w:rsidP="0026337A">
      <w:pPr>
        <w:pStyle w:val="H23G"/>
        <w:rPr>
          <w:lang w:val="es-ES_tradnl"/>
        </w:rPr>
      </w:pPr>
      <w:r w:rsidRPr="00345104">
        <w:rPr>
          <w:lang w:val="es-ES_tradnl"/>
        </w:rPr>
        <w:tab/>
      </w:r>
      <w:r w:rsidRPr="00345104">
        <w:rPr>
          <w:lang w:val="es-ES_tradnl"/>
        </w:rPr>
        <w:tab/>
      </w:r>
      <w:r w:rsidR="000220F3" w:rsidRPr="00345104">
        <w:rPr>
          <w:lang w:val="es-ES_tradnl"/>
        </w:rPr>
        <w:t xml:space="preserve">Seguridad social </w:t>
      </w:r>
    </w:p>
    <w:p w14:paraId="722356C4" w14:textId="5F58F2C9" w:rsidR="000220F3" w:rsidRPr="00345104" w:rsidRDefault="00CE22BA" w:rsidP="00345104">
      <w:pPr>
        <w:pStyle w:val="SingleTxtG"/>
        <w:rPr>
          <w:b/>
          <w:lang w:val="es-ES_tradnl"/>
        </w:rPr>
      </w:pPr>
      <w:r w:rsidRPr="00345104">
        <w:rPr>
          <w:lang w:val="es-ES_tradnl"/>
        </w:rPr>
        <w:t>30.</w:t>
      </w:r>
      <w:r w:rsidRPr="00345104">
        <w:rPr>
          <w:lang w:val="es-ES_tradnl"/>
        </w:rPr>
        <w:tab/>
      </w:r>
      <w:r w:rsidR="000220F3" w:rsidRPr="00345104">
        <w:rPr>
          <w:lang w:val="es-ES_tradnl"/>
        </w:rPr>
        <w:t>Si bien el Comité</w:t>
      </w:r>
      <w:r w:rsidR="004C4F58" w:rsidRPr="00345104">
        <w:rPr>
          <w:lang w:val="es-ES_tradnl"/>
        </w:rPr>
        <w:t xml:space="preserve"> acoge con satisfacción</w:t>
      </w:r>
      <w:r w:rsidR="000220F3" w:rsidRPr="00345104">
        <w:rPr>
          <w:lang w:val="es-ES_tradnl"/>
        </w:rPr>
        <w:t xml:space="preserve"> </w:t>
      </w:r>
      <w:r w:rsidR="004C4F58" w:rsidRPr="00345104">
        <w:rPr>
          <w:lang w:val="es-ES_tradnl"/>
        </w:rPr>
        <w:t xml:space="preserve">la amplia cobertura que tienen el sistema de seguridad social en el Estado parte y </w:t>
      </w:r>
      <w:r w:rsidR="000220F3" w:rsidRPr="00345104">
        <w:rPr>
          <w:lang w:val="es-ES_tradnl"/>
        </w:rPr>
        <w:t xml:space="preserve">celebra </w:t>
      </w:r>
      <w:r w:rsidR="003D4F17" w:rsidRPr="00345104">
        <w:rPr>
          <w:lang w:val="es-ES_tradnl"/>
        </w:rPr>
        <w:t xml:space="preserve">la introducción de programas contributivos como el </w:t>
      </w:r>
      <w:r w:rsidR="001E5540" w:rsidRPr="00345104">
        <w:rPr>
          <w:lang w:val="es-ES_tradnl"/>
        </w:rPr>
        <w:t>m</w:t>
      </w:r>
      <w:r w:rsidR="003D4F17" w:rsidRPr="00345104">
        <w:rPr>
          <w:lang w:val="es-ES_tradnl"/>
        </w:rPr>
        <w:t>onotributo social,</w:t>
      </w:r>
      <w:r w:rsidR="000220F3" w:rsidRPr="00345104">
        <w:rPr>
          <w:lang w:val="es-ES_tradnl"/>
        </w:rPr>
        <w:t xml:space="preserve"> le preocupa</w:t>
      </w:r>
      <w:r w:rsidR="00F4011B" w:rsidRPr="00345104">
        <w:rPr>
          <w:lang w:val="es-ES_tradnl"/>
        </w:rPr>
        <w:t>n</w:t>
      </w:r>
      <w:r w:rsidR="000220F3" w:rsidRPr="00345104">
        <w:rPr>
          <w:lang w:val="es-ES_tradnl"/>
        </w:rPr>
        <w:t xml:space="preserve"> </w:t>
      </w:r>
      <w:r w:rsidR="00F4011B" w:rsidRPr="00345104">
        <w:rPr>
          <w:lang w:val="es-ES_tradnl"/>
        </w:rPr>
        <w:t xml:space="preserve">las </w:t>
      </w:r>
      <w:r w:rsidR="00A47FFC" w:rsidRPr="00345104">
        <w:rPr>
          <w:lang w:val="es-ES_tradnl"/>
        </w:rPr>
        <w:t>dificultades</w:t>
      </w:r>
      <w:r w:rsidR="00F4011B" w:rsidRPr="00345104">
        <w:rPr>
          <w:lang w:val="es-ES_tradnl"/>
        </w:rPr>
        <w:t xml:space="preserve"> que </w:t>
      </w:r>
      <w:r w:rsidR="00112401" w:rsidRPr="00345104">
        <w:rPr>
          <w:lang w:val="es-ES_tradnl"/>
        </w:rPr>
        <w:t xml:space="preserve">los trabajadores </w:t>
      </w:r>
      <w:r w:rsidR="00320CF7" w:rsidRPr="00345104">
        <w:rPr>
          <w:lang w:val="es-ES_tradnl"/>
        </w:rPr>
        <w:t>d</w:t>
      </w:r>
      <w:r w:rsidR="00112401" w:rsidRPr="00345104">
        <w:rPr>
          <w:lang w:val="es-ES_tradnl"/>
        </w:rPr>
        <w:t xml:space="preserve">el sector informal de la economía </w:t>
      </w:r>
      <w:r w:rsidR="00AE1541" w:rsidRPr="00345104">
        <w:rPr>
          <w:lang w:val="es-ES_tradnl"/>
        </w:rPr>
        <w:t xml:space="preserve">y los trabajadores </w:t>
      </w:r>
      <w:r w:rsidR="00F4011B" w:rsidRPr="00345104">
        <w:rPr>
          <w:lang w:val="es-ES_tradnl"/>
        </w:rPr>
        <w:t>independientes tienen</w:t>
      </w:r>
      <w:r w:rsidR="00A47FFC" w:rsidRPr="00345104">
        <w:rPr>
          <w:lang w:val="es-ES_tradnl"/>
        </w:rPr>
        <w:t xml:space="preserve"> para acceder a</w:t>
      </w:r>
      <w:r w:rsidR="00F4011B" w:rsidRPr="00345104">
        <w:rPr>
          <w:lang w:val="es-ES_tradnl"/>
        </w:rPr>
        <w:t xml:space="preserve"> tal programa. </w:t>
      </w:r>
      <w:r w:rsidR="009B2598" w:rsidRPr="00345104">
        <w:rPr>
          <w:lang w:val="es-ES_tradnl"/>
        </w:rPr>
        <w:t>Aun cuando e</w:t>
      </w:r>
      <w:r w:rsidR="00CC47FB" w:rsidRPr="00345104">
        <w:rPr>
          <w:lang w:val="es-ES_tradnl"/>
        </w:rPr>
        <w:t>l Comité</w:t>
      </w:r>
      <w:r w:rsidR="00543B3A" w:rsidRPr="00345104">
        <w:rPr>
          <w:lang w:val="es-ES_tradnl"/>
        </w:rPr>
        <w:t xml:space="preserve"> toma</w:t>
      </w:r>
      <w:r w:rsidR="006D6F99" w:rsidRPr="00345104">
        <w:rPr>
          <w:lang w:val="es-ES_tradnl"/>
        </w:rPr>
        <w:t xml:space="preserve"> nota de la información proporcionada </w:t>
      </w:r>
      <w:r w:rsidR="00543B3A" w:rsidRPr="00345104">
        <w:rPr>
          <w:lang w:val="es-ES_tradnl"/>
        </w:rPr>
        <w:t xml:space="preserve">por la delegación </w:t>
      </w:r>
      <w:r w:rsidR="006D6F99" w:rsidRPr="00345104">
        <w:rPr>
          <w:lang w:val="es-ES_tradnl"/>
        </w:rPr>
        <w:t xml:space="preserve">sobre el fortalecimiento de la red de asistencia </w:t>
      </w:r>
      <w:r w:rsidR="00543B3A" w:rsidRPr="00345104">
        <w:rPr>
          <w:lang w:val="es-ES_tradnl"/>
        </w:rPr>
        <w:t>e</w:t>
      </w:r>
      <w:r w:rsidR="00CC0958" w:rsidRPr="00345104">
        <w:rPr>
          <w:lang w:val="es-ES_tradnl"/>
        </w:rPr>
        <w:t xml:space="preserve"> inclusión social</w:t>
      </w:r>
      <w:r w:rsidR="00543B3A" w:rsidRPr="00345104">
        <w:rPr>
          <w:lang w:val="es-ES_tradnl"/>
        </w:rPr>
        <w:t xml:space="preserve">, </w:t>
      </w:r>
      <w:r w:rsidR="00F4011B" w:rsidRPr="00345104">
        <w:rPr>
          <w:lang w:val="es-ES_tradnl"/>
        </w:rPr>
        <w:t>le preocupa que el nivel</w:t>
      </w:r>
      <w:r w:rsidR="00CC47FB" w:rsidRPr="00345104">
        <w:rPr>
          <w:lang w:val="es-ES_tradnl"/>
        </w:rPr>
        <w:t xml:space="preserve"> </w:t>
      </w:r>
      <w:r w:rsidR="00F4011B" w:rsidRPr="00345104">
        <w:rPr>
          <w:lang w:val="es-ES_tradnl"/>
        </w:rPr>
        <w:t>mínimo</w:t>
      </w:r>
      <w:r w:rsidR="00CC47FB" w:rsidRPr="00345104">
        <w:rPr>
          <w:lang w:val="es-ES_tradnl"/>
        </w:rPr>
        <w:t xml:space="preserve"> actual</w:t>
      </w:r>
      <w:r w:rsidR="00F4011B" w:rsidRPr="00345104">
        <w:rPr>
          <w:lang w:val="es-ES_tradnl"/>
        </w:rPr>
        <w:t xml:space="preserve"> de las </w:t>
      </w:r>
      <w:r w:rsidR="00BD2525" w:rsidRPr="00345104">
        <w:rPr>
          <w:lang w:val="es-ES_tradnl"/>
        </w:rPr>
        <w:t xml:space="preserve">prestaciones </w:t>
      </w:r>
      <w:r w:rsidR="00F4011B" w:rsidRPr="00345104">
        <w:rPr>
          <w:lang w:val="es-ES_tradnl"/>
        </w:rPr>
        <w:t xml:space="preserve">no sea suficiente para </w:t>
      </w:r>
      <w:r w:rsidR="00B33366" w:rsidRPr="00345104">
        <w:rPr>
          <w:lang w:val="es-ES_tradnl"/>
        </w:rPr>
        <w:t>brindar condiciones de vida dignas</w:t>
      </w:r>
      <w:r w:rsidR="009B2598" w:rsidRPr="00345104">
        <w:rPr>
          <w:lang w:val="es-ES_tradnl"/>
        </w:rPr>
        <w:t xml:space="preserve"> a sus beneficiarios y sus familias</w:t>
      </w:r>
      <w:r w:rsidR="003D4F17" w:rsidRPr="00345104">
        <w:rPr>
          <w:lang w:val="es-ES_tradnl"/>
        </w:rPr>
        <w:t xml:space="preserve"> </w:t>
      </w:r>
      <w:r w:rsidR="000220F3" w:rsidRPr="00345104">
        <w:rPr>
          <w:lang w:val="es-ES_tradnl"/>
        </w:rPr>
        <w:t xml:space="preserve">(art. 9). </w:t>
      </w:r>
    </w:p>
    <w:p w14:paraId="50C483EE" w14:textId="70929E29" w:rsidR="000220F3" w:rsidRPr="00345104" w:rsidRDefault="00CE22BA" w:rsidP="00345104">
      <w:pPr>
        <w:pStyle w:val="SingleTxtG"/>
        <w:rPr>
          <w:b/>
          <w:lang w:val="es-ES_tradnl"/>
        </w:rPr>
      </w:pPr>
      <w:r w:rsidRPr="00345104">
        <w:rPr>
          <w:lang w:val="es-ES_tradnl"/>
        </w:rPr>
        <w:t>31.</w:t>
      </w:r>
      <w:r w:rsidRPr="00345104">
        <w:rPr>
          <w:lang w:val="es-ES_tradnl"/>
        </w:rPr>
        <w:tab/>
      </w:r>
      <w:r w:rsidR="000220F3" w:rsidRPr="00191075">
        <w:rPr>
          <w:b/>
          <w:lang w:val="es-ES_tradnl"/>
        </w:rPr>
        <w:t xml:space="preserve">El Comité insta al Estado parte a que intensifique sus esfuerzos para garantizar </w:t>
      </w:r>
      <w:r w:rsidR="000220F3" w:rsidRPr="00345104">
        <w:rPr>
          <w:b/>
          <w:color w:val="000000"/>
          <w:lang w:val="es-ES_tradnl"/>
        </w:rPr>
        <w:t xml:space="preserve">una cobertura de seguridad social universal que asegure prestaciones adecuadas </w:t>
      </w:r>
      <w:r w:rsidR="000220F3" w:rsidRPr="00191075">
        <w:rPr>
          <w:b/>
          <w:lang w:val="es-ES_tradnl"/>
        </w:rPr>
        <w:t>a todas las personas</w:t>
      </w:r>
      <w:r w:rsidR="00543B3A" w:rsidRPr="00191075">
        <w:rPr>
          <w:b/>
          <w:lang w:val="es-ES_tradnl"/>
        </w:rPr>
        <w:t xml:space="preserve"> y para asegurar que los beneficios no </w:t>
      </w:r>
      <w:r w:rsidR="00CC0958" w:rsidRPr="00191075">
        <w:rPr>
          <w:b/>
          <w:lang w:val="es-ES_tradnl"/>
        </w:rPr>
        <w:t>contributivo</w:t>
      </w:r>
      <w:r w:rsidR="00543B3A" w:rsidRPr="00191075">
        <w:rPr>
          <w:b/>
          <w:lang w:val="es-ES_tradnl"/>
        </w:rPr>
        <w:t xml:space="preserve">s garanticen </w:t>
      </w:r>
      <w:r w:rsidR="00CC0958" w:rsidRPr="00191075">
        <w:rPr>
          <w:b/>
          <w:lang w:val="es-ES_tradnl"/>
        </w:rPr>
        <w:t xml:space="preserve">un </w:t>
      </w:r>
      <w:r w:rsidR="00CC47FB" w:rsidRPr="00191075">
        <w:rPr>
          <w:b/>
          <w:lang w:val="es-ES_tradnl"/>
        </w:rPr>
        <w:t xml:space="preserve">nivel mínimo </w:t>
      </w:r>
      <w:r w:rsidR="00CC0958" w:rsidRPr="00191075">
        <w:rPr>
          <w:b/>
          <w:lang w:val="es-ES_tradnl"/>
        </w:rPr>
        <w:t>de prestaciones</w:t>
      </w:r>
      <w:r w:rsidR="009B2598" w:rsidRPr="00191075">
        <w:rPr>
          <w:b/>
          <w:lang w:val="es-ES_tradnl"/>
        </w:rPr>
        <w:t>,</w:t>
      </w:r>
      <w:r w:rsidR="00CC0958" w:rsidRPr="00191075">
        <w:rPr>
          <w:b/>
          <w:lang w:val="es-ES_tradnl"/>
        </w:rPr>
        <w:t xml:space="preserve"> </w:t>
      </w:r>
      <w:r w:rsidR="00543B3A" w:rsidRPr="00191075">
        <w:rPr>
          <w:b/>
          <w:lang w:val="es-ES_tradnl"/>
        </w:rPr>
        <w:t xml:space="preserve">a fin de que las personas pertenecientes a los grupos más desfavorecidos y marginados </w:t>
      </w:r>
      <w:r w:rsidR="00543B3A" w:rsidRPr="00345104">
        <w:rPr>
          <w:b/>
          <w:lang w:val="es-ES_tradnl"/>
        </w:rPr>
        <w:t>puedan</w:t>
      </w:r>
      <w:r w:rsidR="00543B3A" w:rsidRPr="00191075">
        <w:rPr>
          <w:b/>
          <w:lang w:val="es-ES_tradnl"/>
        </w:rPr>
        <w:t xml:space="preserve"> tener condiciones de vida dignas</w:t>
      </w:r>
      <w:r w:rsidR="000220F3" w:rsidRPr="00191075">
        <w:rPr>
          <w:b/>
          <w:lang w:val="es-ES_tradnl"/>
        </w:rPr>
        <w:t xml:space="preserve">. El Comité señala a la atención del Estado parte su observación general núm. 19 (2008) </w:t>
      </w:r>
      <w:r w:rsidR="00320CF7" w:rsidRPr="00191075">
        <w:rPr>
          <w:b/>
          <w:lang w:val="es-ES_tradnl"/>
        </w:rPr>
        <w:t xml:space="preserve">sobre el derecho a la seguridad social </w:t>
      </w:r>
      <w:r w:rsidR="000220F3" w:rsidRPr="00345104">
        <w:rPr>
          <w:b/>
          <w:color w:val="000000"/>
          <w:lang w:val="es-ES_tradnl"/>
        </w:rPr>
        <w:t>y su Declaración sobre niveles mínimos de protección social: un elemento esencial del derecho a la seguridad social y de los objetivos de desarrollo sostenible, de 2015.</w:t>
      </w:r>
    </w:p>
    <w:p w14:paraId="1E061C80" w14:textId="6E31D759" w:rsidR="000220F3" w:rsidRPr="00345104" w:rsidRDefault="0026337A" w:rsidP="0026337A">
      <w:pPr>
        <w:pStyle w:val="H23G"/>
        <w:rPr>
          <w:lang w:val="es-ES_tradnl"/>
        </w:rPr>
      </w:pPr>
      <w:r w:rsidRPr="00345104">
        <w:rPr>
          <w:lang w:val="es-ES_tradnl"/>
        </w:rPr>
        <w:lastRenderedPageBreak/>
        <w:tab/>
      </w:r>
      <w:r w:rsidRPr="00345104">
        <w:rPr>
          <w:lang w:val="es-ES_tradnl"/>
        </w:rPr>
        <w:tab/>
      </w:r>
      <w:r w:rsidR="00CC0344" w:rsidRPr="00345104">
        <w:rPr>
          <w:lang w:val="es-ES_tradnl"/>
        </w:rPr>
        <w:t xml:space="preserve">Trabajo infantil </w:t>
      </w:r>
    </w:p>
    <w:p w14:paraId="6B802893" w14:textId="43CA7704" w:rsidR="000220F3" w:rsidRPr="00191075" w:rsidRDefault="00CE22BA" w:rsidP="00345104">
      <w:pPr>
        <w:pStyle w:val="SingleTxtG"/>
        <w:rPr>
          <w:lang w:val="es-ES_tradnl"/>
        </w:rPr>
      </w:pPr>
      <w:r w:rsidRPr="00345104">
        <w:rPr>
          <w:lang w:val="es-ES_tradnl"/>
        </w:rPr>
        <w:t>32.</w:t>
      </w:r>
      <w:r w:rsidRPr="00345104">
        <w:rPr>
          <w:lang w:val="es-ES_tradnl"/>
        </w:rPr>
        <w:tab/>
      </w:r>
      <w:r w:rsidR="00EE77F0" w:rsidRPr="00191075">
        <w:rPr>
          <w:lang w:val="es-ES_tradnl"/>
        </w:rPr>
        <w:t>El Comité acoge con satisfacción los esfuerzos realizados por el Estado parte para combatir la explotación económica de niños, niñas y adole</w:t>
      </w:r>
      <w:r w:rsidR="00E41472" w:rsidRPr="00191075">
        <w:rPr>
          <w:lang w:val="es-ES_tradnl"/>
        </w:rPr>
        <w:t>scentes</w:t>
      </w:r>
      <w:r w:rsidR="00AD7EEE" w:rsidRPr="00191075">
        <w:rPr>
          <w:lang w:val="es-ES_tradnl"/>
        </w:rPr>
        <w:t>;</w:t>
      </w:r>
      <w:r w:rsidR="00E41472" w:rsidRPr="00191075">
        <w:rPr>
          <w:lang w:val="es-ES_tradnl"/>
        </w:rPr>
        <w:t xml:space="preserve"> sin embargo le preocupa que </w:t>
      </w:r>
      <w:r w:rsidR="00B33366" w:rsidRPr="00191075">
        <w:rPr>
          <w:lang w:val="es-ES_tradnl"/>
        </w:rPr>
        <w:t xml:space="preserve">todavía </w:t>
      </w:r>
      <w:r w:rsidR="00E41472" w:rsidRPr="00191075">
        <w:rPr>
          <w:lang w:val="es-ES_tradnl"/>
        </w:rPr>
        <w:t>un número</w:t>
      </w:r>
      <w:r w:rsidR="000E1CBD" w:rsidRPr="00191075">
        <w:rPr>
          <w:lang w:val="es-ES_tradnl"/>
        </w:rPr>
        <w:t xml:space="preserve"> significativo</w:t>
      </w:r>
      <w:r w:rsidR="00E41472" w:rsidRPr="00191075">
        <w:rPr>
          <w:lang w:val="es-ES_tradnl"/>
        </w:rPr>
        <w:t xml:space="preserve"> de niños menores de 15 años participe en actividades laborales. Asimismo, </w:t>
      </w:r>
      <w:r w:rsidR="00B33366" w:rsidRPr="00191075">
        <w:rPr>
          <w:lang w:val="es-ES_tradnl"/>
        </w:rPr>
        <w:t>el Comité nota con preocupación</w:t>
      </w:r>
      <w:r w:rsidR="00654531" w:rsidRPr="00191075">
        <w:rPr>
          <w:lang w:val="es-ES_tradnl"/>
        </w:rPr>
        <w:t xml:space="preserve"> que </w:t>
      </w:r>
      <w:r w:rsidR="00E41472" w:rsidRPr="00191075">
        <w:rPr>
          <w:lang w:val="es-ES_tradnl"/>
        </w:rPr>
        <w:t>las medidas de formalización del trabajo adolescente</w:t>
      </w:r>
      <w:r w:rsidR="00654531" w:rsidRPr="00191075">
        <w:rPr>
          <w:lang w:val="es-ES_tradnl"/>
        </w:rPr>
        <w:t xml:space="preserve"> podría</w:t>
      </w:r>
      <w:r w:rsidR="00AD7EEE" w:rsidRPr="00191075">
        <w:rPr>
          <w:lang w:val="es-ES_tradnl"/>
        </w:rPr>
        <w:t>n</w:t>
      </w:r>
      <w:r w:rsidR="00654531" w:rsidRPr="00191075">
        <w:rPr>
          <w:lang w:val="es-ES_tradnl"/>
        </w:rPr>
        <w:t xml:space="preserve"> tener en ocasiones un efecto colateral imprevisto</w:t>
      </w:r>
      <w:r w:rsidR="00E41472" w:rsidRPr="00191075">
        <w:rPr>
          <w:lang w:val="es-ES_tradnl"/>
        </w:rPr>
        <w:t xml:space="preserve"> en la </w:t>
      </w:r>
      <w:r w:rsidR="00EE77F0" w:rsidRPr="00191075">
        <w:rPr>
          <w:lang w:val="es-ES_tradnl"/>
        </w:rPr>
        <w:t>culminación de</w:t>
      </w:r>
      <w:r w:rsidR="00E41472" w:rsidRPr="00191075">
        <w:rPr>
          <w:lang w:val="es-ES_tradnl"/>
        </w:rPr>
        <w:t xml:space="preserve"> la educación primaria y secundaria entre los </w:t>
      </w:r>
      <w:r w:rsidR="00EE77F0" w:rsidRPr="00191075">
        <w:rPr>
          <w:lang w:val="es-ES_tradnl"/>
        </w:rPr>
        <w:t>alumnos pertenecientes a familias de bajos ingresos</w:t>
      </w:r>
      <w:r w:rsidR="00B33366" w:rsidRPr="00191075">
        <w:rPr>
          <w:lang w:val="es-ES_tradnl"/>
        </w:rPr>
        <w:t>,</w:t>
      </w:r>
      <w:r w:rsidR="00E41472" w:rsidRPr="00191075">
        <w:rPr>
          <w:lang w:val="es-ES_tradnl"/>
        </w:rPr>
        <w:t xml:space="preserve"> </w:t>
      </w:r>
      <w:r w:rsidR="00B33366" w:rsidRPr="00191075">
        <w:rPr>
          <w:lang w:val="es-ES_tradnl"/>
        </w:rPr>
        <w:t>limitando así</w:t>
      </w:r>
      <w:r w:rsidR="00E41472" w:rsidRPr="00191075">
        <w:rPr>
          <w:lang w:val="es-ES_tradnl"/>
        </w:rPr>
        <w:t xml:space="preserve"> la movilidad social</w:t>
      </w:r>
      <w:r w:rsidR="00EE77F0" w:rsidRPr="00191075">
        <w:rPr>
          <w:lang w:val="es-ES_tradnl"/>
        </w:rPr>
        <w:t xml:space="preserve"> </w:t>
      </w:r>
      <w:r w:rsidR="000220F3" w:rsidRPr="00191075">
        <w:rPr>
          <w:lang w:val="es-ES_tradnl"/>
        </w:rPr>
        <w:t>(art</w:t>
      </w:r>
      <w:r w:rsidR="00426114" w:rsidRPr="00191075">
        <w:rPr>
          <w:lang w:val="es-ES_tradnl"/>
        </w:rPr>
        <w:t>s</w:t>
      </w:r>
      <w:r w:rsidR="000220F3" w:rsidRPr="00191075">
        <w:rPr>
          <w:lang w:val="es-ES_tradnl"/>
        </w:rPr>
        <w:t>.</w:t>
      </w:r>
      <w:r w:rsidR="00426114" w:rsidRPr="00191075">
        <w:rPr>
          <w:lang w:val="es-ES_tradnl"/>
        </w:rPr>
        <w:t xml:space="preserve"> </w:t>
      </w:r>
      <w:r w:rsidR="000220F3" w:rsidRPr="00191075">
        <w:rPr>
          <w:lang w:val="es-ES_tradnl"/>
        </w:rPr>
        <w:t>10</w:t>
      </w:r>
      <w:r w:rsidR="00EE77F0" w:rsidRPr="00191075">
        <w:rPr>
          <w:lang w:val="es-ES_tradnl"/>
        </w:rPr>
        <w:t>, 13 y 14</w:t>
      </w:r>
      <w:r w:rsidR="000220F3" w:rsidRPr="00191075">
        <w:rPr>
          <w:lang w:val="es-ES_tradnl"/>
        </w:rPr>
        <w:t>).</w:t>
      </w:r>
    </w:p>
    <w:p w14:paraId="154A146B" w14:textId="1E9BD735" w:rsidR="00D417F3" w:rsidRPr="00345104" w:rsidRDefault="00CE22BA" w:rsidP="00345104">
      <w:pPr>
        <w:pStyle w:val="SingleTxtG"/>
        <w:rPr>
          <w:lang w:val="es-ES_tradnl"/>
        </w:rPr>
      </w:pPr>
      <w:r w:rsidRPr="00345104">
        <w:rPr>
          <w:lang w:val="es-ES_tradnl"/>
        </w:rPr>
        <w:t>33.</w:t>
      </w:r>
      <w:r w:rsidRPr="00345104">
        <w:rPr>
          <w:lang w:val="es-ES_tradnl"/>
        </w:rPr>
        <w:tab/>
      </w:r>
      <w:r w:rsidR="000220F3" w:rsidRPr="00191075">
        <w:rPr>
          <w:b/>
          <w:lang w:val="es-ES_tradnl"/>
        </w:rPr>
        <w:t>El</w:t>
      </w:r>
      <w:r w:rsidR="000220F3" w:rsidRPr="00345104">
        <w:rPr>
          <w:b/>
          <w:color w:val="000000"/>
          <w:lang w:val="es-ES_tradnl"/>
        </w:rPr>
        <w:t xml:space="preserve"> Comité exhorta al Estado parte a continuar tomando medidas eficaces </w:t>
      </w:r>
      <w:r w:rsidR="000220F3" w:rsidRPr="00191075">
        <w:rPr>
          <w:b/>
          <w:lang w:val="es-ES_tradnl"/>
        </w:rPr>
        <w:t xml:space="preserve">para </w:t>
      </w:r>
      <w:r w:rsidR="000220F3" w:rsidRPr="00345104">
        <w:rPr>
          <w:b/>
          <w:lang w:val="es-ES_tradnl"/>
        </w:rPr>
        <w:t xml:space="preserve">la lucha contra el trabajo infantil, entre otras cosas, garantizando que la legislación que protege a los niños de la explotación económica se aplique enérgicamente, fortaleciendo los </w:t>
      </w:r>
      <w:r w:rsidR="000220F3" w:rsidRPr="00191075">
        <w:rPr>
          <w:b/>
          <w:lang w:val="es-ES_tradnl"/>
        </w:rPr>
        <w:t xml:space="preserve">mecanismos de supervisión del trabajo infantil y aumentando las medidas de apoyo a las familias pobres a fin de mantener a sus hijos en el sistema educativo. </w:t>
      </w:r>
      <w:r w:rsidR="00B33366" w:rsidRPr="00191075">
        <w:rPr>
          <w:b/>
          <w:lang w:val="es-ES_tradnl"/>
        </w:rPr>
        <w:t xml:space="preserve">El Comité recomienda al Estado parte </w:t>
      </w:r>
      <w:r w:rsidR="00654531" w:rsidRPr="00191075">
        <w:rPr>
          <w:b/>
          <w:lang w:val="es-ES_tradnl"/>
        </w:rPr>
        <w:t>que lleve</w:t>
      </w:r>
      <w:r w:rsidR="00B33366" w:rsidRPr="00191075">
        <w:rPr>
          <w:b/>
          <w:lang w:val="es-ES_tradnl"/>
        </w:rPr>
        <w:t xml:space="preserve"> a cabo un estudio sobre los efectos que tiene la formalización del trabajo adolescente en la culminación de la educación de los niños procedentes de familias de bajos ingresos, y</w:t>
      </w:r>
      <w:r w:rsidR="00590A99" w:rsidRPr="00191075">
        <w:rPr>
          <w:b/>
          <w:lang w:val="es-ES_tradnl"/>
        </w:rPr>
        <w:t xml:space="preserve"> en caso necesario adopte las medidas</w:t>
      </w:r>
      <w:r w:rsidR="00654531" w:rsidRPr="00191075">
        <w:rPr>
          <w:b/>
          <w:lang w:val="es-ES_tradnl"/>
        </w:rPr>
        <w:t xml:space="preserve"> </w:t>
      </w:r>
      <w:r w:rsidR="00B33366" w:rsidRPr="00191075">
        <w:rPr>
          <w:b/>
          <w:lang w:val="es-ES_tradnl"/>
        </w:rPr>
        <w:t xml:space="preserve">para </w:t>
      </w:r>
      <w:r w:rsidR="00654531" w:rsidRPr="00191075">
        <w:rPr>
          <w:b/>
          <w:lang w:val="es-ES_tradnl"/>
        </w:rPr>
        <w:t>corregir</w:t>
      </w:r>
      <w:r w:rsidR="004737DA" w:rsidRPr="00191075">
        <w:rPr>
          <w:b/>
          <w:lang w:val="es-ES_tradnl"/>
        </w:rPr>
        <w:t xml:space="preserve"> los</w:t>
      </w:r>
      <w:r w:rsidR="00654531" w:rsidRPr="00191075">
        <w:rPr>
          <w:b/>
          <w:lang w:val="es-ES_tradnl"/>
        </w:rPr>
        <w:t xml:space="preserve"> eventuales impactos negativos</w:t>
      </w:r>
      <w:r w:rsidR="00B33366" w:rsidRPr="00191075">
        <w:rPr>
          <w:b/>
          <w:lang w:val="es-ES_tradnl"/>
        </w:rPr>
        <w:t xml:space="preserve">. </w:t>
      </w:r>
    </w:p>
    <w:p w14:paraId="07A93129" w14:textId="4944B27D" w:rsidR="00104E6E" w:rsidRPr="00345104" w:rsidRDefault="0026337A" w:rsidP="0026337A">
      <w:pPr>
        <w:pStyle w:val="H23G"/>
        <w:rPr>
          <w:lang w:val="es-ES_tradnl"/>
        </w:rPr>
      </w:pPr>
      <w:r w:rsidRPr="00345104">
        <w:rPr>
          <w:lang w:val="es-ES_tradnl"/>
        </w:rPr>
        <w:tab/>
      </w:r>
      <w:r w:rsidRPr="00345104">
        <w:rPr>
          <w:lang w:val="es-ES_tradnl"/>
        </w:rPr>
        <w:tab/>
      </w:r>
      <w:r w:rsidR="000220F3" w:rsidRPr="00345104">
        <w:rPr>
          <w:lang w:val="es-ES_tradnl"/>
        </w:rPr>
        <w:t>Pobreza</w:t>
      </w:r>
    </w:p>
    <w:p w14:paraId="74C8AD21" w14:textId="6B803DAC" w:rsidR="00104E6E" w:rsidRPr="00191075" w:rsidRDefault="00CE22BA" w:rsidP="00345104">
      <w:pPr>
        <w:pStyle w:val="SingleTxtG"/>
        <w:rPr>
          <w:color w:val="000000" w:themeColor="text1"/>
          <w:lang w:val="es-ES_tradnl"/>
        </w:rPr>
      </w:pPr>
      <w:r w:rsidRPr="00345104">
        <w:rPr>
          <w:lang w:val="es-ES_tradnl"/>
        </w:rPr>
        <w:t>34.</w:t>
      </w:r>
      <w:r w:rsidRPr="00345104">
        <w:rPr>
          <w:lang w:val="es-ES_tradnl"/>
        </w:rPr>
        <w:tab/>
      </w:r>
      <w:r w:rsidR="00DD4A97" w:rsidRPr="00191075">
        <w:rPr>
          <w:lang w:val="es-ES_tradnl"/>
        </w:rPr>
        <w:t>Aun</w:t>
      </w:r>
      <w:r w:rsidR="00DD4A97" w:rsidRPr="00191075">
        <w:rPr>
          <w:color w:val="000000" w:themeColor="text1"/>
          <w:lang w:val="es-ES_tradnl"/>
        </w:rPr>
        <w:t xml:space="preserve"> cuando el Comité celebra los importantes avances en la lucha contra la pobreza y la desigualdad en el Estado parte, le preocupa que la pobreza afecte de manera desproporcionada a la niñez y a la población afrodescendiente</w:t>
      </w:r>
      <w:r w:rsidR="00112401" w:rsidRPr="00191075">
        <w:rPr>
          <w:color w:val="000000" w:themeColor="text1"/>
          <w:lang w:val="es-ES_tradnl"/>
        </w:rPr>
        <w:t xml:space="preserve">, así como a las personas que viven en </w:t>
      </w:r>
      <w:r w:rsidR="00DD4A97" w:rsidRPr="00191075">
        <w:rPr>
          <w:color w:val="000000" w:themeColor="text1"/>
          <w:lang w:val="es-ES_tradnl"/>
        </w:rPr>
        <w:t>zonas rurales (</w:t>
      </w:r>
      <w:r w:rsidR="00AD7EEE" w:rsidRPr="00191075">
        <w:rPr>
          <w:color w:val="000000" w:themeColor="text1"/>
          <w:lang w:val="es-ES_tradnl"/>
        </w:rPr>
        <w:t>a</w:t>
      </w:r>
      <w:r w:rsidR="00DD4A97" w:rsidRPr="00191075">
        <w:rPr>
          <w:color w:val="000000" w:themeColor="text1"/>
          <w:lang w:val="es-ES_tradnl"/>
        </w:rPr>
        <w:t xml:space="preserve">rt. 11). </w:t>
      </w:r>
    </w:p>
    <w:p w14:paraId="33AC51BE" w14:textId="7D98C376" w:rsidR="00104E6E" w:rsidRPr="00191075" w:rsidRDefault="00CE22BA" w:rsidP="00345104">
      <w:pPr>
        <w:pStyle w:val="SingleTxtG"/>
        <w:rPr>
          <w:b/>
          <w:lang w:val="es-ES_tradnl"/>
        </w:rPr>
      </w:pPr>
      <w:r w:rsidRPr="00345104">
        <w:rPr>
          <w:lang w:val="es-ES_tradnl"/>
        </w:rPr>
        <w:t>35.</w:t>
      </w:r>
      <w:r w:rsidRPr="00345104">
        <w:rPr>
          <w:lang w:val="es-ES_tradnl"/>
        </w:rPr>
        <w:tab/>
      </w:r>
      <w:r w:rsidR="00104E6E" w:rsidRPr="00191075">
        <w:rPr>
          <w:b/>
          <w:color w:val="000000" w:themeColor="text1"/>
          <w:lang w:val="es-ES_tradnl"/>
        </w:rPr>
        <w:t>El Comité recomienda al Estado parte incrementar sus esfuerzos en la lucha contra la pobreza</w:t>
      </w:r>
      <w:r w:rsidR="005C3F44" w:rsidRPr="00191075">
        <w:rPr>
          <w:b/>
          <w:color w:val="000000" w:themeColor="text1"/>
          <w:lang w:val="es-ES_tradnl"/>
        </w:rPr>
        <w:t xml:space="preserve"> y la desigualdad</w:t>
      </w:r>
      <w:r w:rsidR="00F320A5" w:rsidRPr="00191075">
        <w:rPr>
          <w:b/>
          <w:color w:val="000000" w:themeColor="text1"/>
          <w:lang w:val="es-ES_tradnl"/>
        </w:rPr>
        <w:t xml:space="preserve">. Para ello, </w:t>
      </w:r>
      <w:r w:rsidR="00B33366" w:rsidRPr="00191075">
        <w:rPr>
          <w:b/>
          <w:color w:val="000000" w:themeColor="text1"/>
          <w:lang w:val="es-ES_tradnl"/>
        </w:rPr>
        <w:t xml:space="preserve">le </w:t>
      </w:r>
      <w:r w:rsidR="00104E6E" w:rsidRPr="00191075">
        <w:rPr>
          <w:b/>
          <w:color w:val="000000" w:themeColor="text1"/>
          <w:lang w:val="es-ES_tradnl"/>
        </w:rPr>
        <w:t xml:space="preserve">insta a asegurar que los programas establecidos para tal fin sean implementados con un enfoque de derechos humanos, cuenten con los recursos suficientes para su </w:t>
      </w:r>
      <w:r w:rsidR="002154AD" w:rsidRPr="00191075">
        <w:rPr>
          <w:b/>
          <w:color w:val="000000" w:themeColor="text1"/>
          <w:lang w:val="es-ES_tradnl"/>
        </w:rPr>
        <w:t>aplic</w:t>
      </w:r>
      <w:r w:rsidR="00104E6E" w:rsidRPr="00191075">
        <w:rPr>
          <w:b/>
          <w:color w:val="000000" w:themeColor="text1"/>
          <w:lang w:val="es-ES_tradnl"/>
        </w:rPr>
        <w:t>ación, y presenten la debida atención a los grupos más afectados</w:t>
      </w:r>
      <w:r w:rsidR="001401F9" w:rsidRPr="00191075">
        <w:rPr>
          <w:b/>
          <w:color w:val="000000" w:themeColor="text1"/>
          <w:lang w:val="es-ES_tradnl"/>
        </w:rPr>
        <w:t>, especialmente niños</w:t>
      </w:r>
      <w:r w:rsidR="00E60A52" w:rsidRPr="00191075">
        <w:rPr>
          <w:b/>
          <w:color w:val="000000" w:themeColor="text1"/>
          <w:lang w:val="es-ES_tradnl"/>
        </w:rPr>
        <w:t>,</w:t>
      </w:r>
      <w:r w:rsidR="00104E6E" w:rsidRPr="00191075">
        <w:rPr>
          <w:b/>
          <w:color w:val="000000" w:themeColor="text1"/>
          <w:lang w:val="es-ES_tradnl"/>
        </w:rPr>
        <w:t xml:space="preserve"> y a las brechas existentes entre las zonas urbanas y rurales. A este respecto, el Comité señala a la atención del Estado parte su </w:t>
      </w:r>
      <w:r w:rsidR="00720717" w:rsidRPr="00191075">
        <w:rPr>
          <w:b/>
          <w:color w:val="000000" w:themeColor="text1"/>
          <w:lang w:val="es-ES_tradnl"/>
        </w:rPr>
        <w:t>D</w:t>
      </w:r>
      <w:r w:rsidR="00104E6E" w:rsidRPr="00191075">
        <w:rPr>
          <w:b/>
          <w:color w:val="000000" w:themeColor="text1"/>
          <w:lang w:val="es-ES_tradnl"/>
        </w:rPr>
        <w:t xml:space="preserve">eclaración sobre la pobreza y el Pacto Internacional de Derechos, Económicos, Sociales y Culturales, de 2001. </w:t>
      </w:r>
    </w:p>
    <w:p w14:paraId="29C74546" w14:textId="2BA9E55C" w:rsidR="00B731D0" w:rsidRPr="00345104" w:rsidRDefault="0026337A" w:rsidP="0026337A">
      <w:pPr>
        <w:pStyle w:val="H23G"/>
        <w:rPr>
          <w:lang w:val="es-ES_tradnl"/>
        </w:rPr>
      </w:pPr>
      <w:r w:rsidRPr="00345104">
        <w:rPr>
          <w:lang w:val="es-ES_tradnl"/>
        </w:rPr>
        <w:tab/>
      </w:r>
      <w:r w:rsidRPr="00345104">
        <w:rPr>
          <w:lang w:val="es-ES_tradnl"/>
        </w:rPr>
        <w:tab/>
      </w:r>
      <w:r w:rsidR="00B731D0" w:rsidRPr="00345104">
        <w:rPr>
          <w:lang w:val="es-ES_tradnl"/>
        </w:rPr>
        <w:t>Migrantes uruguayos retornados</w:t>
      </w:r>
    </w:p>
    <w:p w14:paraId="5C545FB9" w14:textId="61F2567F" w:rsidR="00B731D0" w:rsidRPr="00191075" w:rsidRDefault="00CE22BA" w:rsidP="00345104">
      <w:pPr>
        <w:pStyle w:val="SingleTxtG"/>
        <w:rPr>
          <w:b/>
          <w:lang w:val="es-ES_tradnl"/>
        </w:rPr>
      </w:pPr>
      <w:r w:rsidRPr="00345104">
        <w:rPr>
          <w:lang w:val="es-ES_tradnl"/>
        </w:rPr>
        <w:t>36.</w:t>
      </w:r>
      <w:r w:rsidRPr="00345104">
        <w:rPr>
          <w:lang w:val="es-ES_tradnl"/>
        </w:rPr>
        <w:tab/>
      </w:r>
      <w:r w:rsidR="00B731D0" w:rsidRPr="00191075">
        <w:rPr>
          <w:lang w:val="es-ES_tradnl"/>
        </w:rPr>
        <w:t xml:space="preserve">El Comité nota las dificultades que enfrentan los migrantes uruguayos retornados para una integración en </w:t>
      </w:r>
      <w:r w:rsidR="00F50B33" w:rsidRPr="00191075">
        <w:rPr>
          <w:lang w:val="es-ES_tradnl"/>
        </w:rPr>
        <w:t>su sociedad</w:t>
      </w:r>
      <w:r w:rsidR="00B731D0" w:rsidRPr="00191075">
        <w:rPr>
          <w:lang w:val="es-ES_tradnl"/>
        </w:rPr>
        <w:t xml:space="preserve"> con pleno disfrute de sus derechos económicos, sociales y culturales (</w:t>
      </w:r>
      <w:r w:rsidR="000265CE" w:rsidRPr="00191075">
        <w:rPr>
          <w:lang w:val="es-ES_tradnl"/>
        </w:rPr>
        <w:t>a</w:t>
      </w:r>
      <w:r w:rsidR="00B731D0" w:rsidRPr="00191075">
        <w:rPr>
          <w:lang w:val="es-ES_tradnl"/>
        </w:rPr>
        <w:t>rt. 1</w:t>
      </w:r>
      <w:r w:rsidR="004737DA" w:rsidRPr="00191075">
        <w:rPr>
          <w:lang w:val="es-ES_tradnl"/>
        </w:rPr>
        <w:t>1</w:t>
      </w:r>
      <w:r w:rsidR="00B731D0" w:rsidRPr="00191075">
        <w:rPr>
          <w:lang w:val="es-ES_tradnl"/>
        </w:rPr>
        <w:t xml:space="preserve">). </w:t>
      </w:r>
    </w:p>
    <w:p w14:paraId="30CB1524" w14:textId="0072043F" w:rsidR="00B731D0" w:rsidRPr="00191075" w:rsidRDefault="00CE22BA" w:rsidP="00345104">
      <w:pPr>
        <w:pStyle w:val="SingleTxtG"/>
        <w:rPr>
          <w:b/>
          <w:lang w:val="es-ES_tradnl"/>
        </w:rPr>
      </w:pPr>
      <w:r w:rsidRPr="00345104">
        <w:rPr>
          <w:lang w:val="es-ES_tradnl"/>
        </w:rPr>
        <w:t>37.</w:t>
      </w:r>
      <w:r w:rsidRPr="00345104">
        <w:rPr>
          <w:lang w:val="es-ES_tradnl"/>
        </w:rPr>
        <w:tab/>
      </w:r>
      <w:r w:rsidR="00B731D0" w:rsidRPr="00191075">
        <w:rPr>
          <w:b/>
          <w:lang w:val="es-ES_tradnl"/>
        </w:rPr>
        <w:t>El Comit</w:t>
      </w:r>
      <w:r w:rsidR="004737DA" w:rsidRPr="00191075">
        <w:rPr>
          <w:b/>
          <w:lang w:val="es-ES_tradnl"/>
        </w:rPr>
        <w:t xml:space="preserve">é recomienda al Estado parte que incremente sus esfuerzos a fin de </w:t>
      </w:r>
      <w:r w:rsidR="00B731D0" w:rsidRPr="00191075">
        <w:rPr>
          <w:b/>
          <w:lang w:val="es-ES_tradnl"/>
        </w:rPr>
        <w:t>asegur</w:t>
      </w:r>
      <w:r w:rsidR="004737DA" w:rsidRPr="00191075">
        <w:rPr>
          <w:b/>
          <w:lang w:val="es-ES_tradnl"/>
        </w:rPr>
        <w:t>ar</w:t>
      </w:r>
      <w:r w:rsidR="00B731D0" w:rsidRPr="00191075">
        <w:rPr>
          <w:b/>
          <w:lang w:val="es-ES_tradnl"/>
        </w:rPr>
        <w:t xml:space="preserve"> a los migrantes uruguayos retornados el pleno disfrute de sus derechos económicos, sociales y culturales. </w:t>
      </w:r>
    </w:p>
    <w:p w14:paraId="41843B20" w14:textId="2D5D9B12" w:rsidR="0014379B" w:rsidRPr="00345104" w:rsidRDefault="00A664EA" w:rsidP="00176057">
      <w:pPr>
        <w:pStyle w:val="H23G"/>
        <w:rPr>
          <w:lang w:val="es-ES_tradnl"/>
        </w:rPr>
      </w:pPr>
      <w:r w:rsidRPr="00345104">
        <w:rPr>
          <w:lang w:val="es-ES_tradnl"/>
        </w:rPr>
        <w:tab/>
      </w:r>
      <w:r w:rsidRPr="00345104">
        <w:rPr>
          <w:lang w:val="es-ES_tradnl"/>
        </w:rPr>
        <w:tab/>
      </w:r>
      <w:r w:rsidR="00F50B33" w:rsidRPr="00345104">
        <w:rPr>
          <w:lang w:val="es-ES_tradnl"/>
        </w:rPr>
        <w:t>Lactancia materna</w:t>
      </w:r>
      <w:r w:rsidR="0014379B" w:rsidRPr="00345104">
        <w:rPr>
          <w:lang w:val="es-ES_tradnl"/>
        </w:rPr>
        <w:t xml:space="preserve"> </w:t>
      </w:r>
    </w:p>
    <w:p w14:paraId="08DCFFCA" w14:textId="19B3F53D" w:rsidR="0014379B" w:rsidRPr="00345104" w:rsidRDefault="00CE22BA" w:rsidP="00345104">
      <w:pPr>
        <w:pStyle w:val="SingleTxtG"/>
        <w:rPr>
          <w:b/>
          <w:lang w:val="es-ES_tradnl"/>
        </w:rPr>
      </w:pPr>
      <w:r w:rsidRPr="00345104">
        <w:rPr>
          <w:lang w:val="es-ES_tradnl"/>
        </w:rPr>
        <w:t>38.</w:t>
      </w:r>
      <w:r w:rsidRPr="00345104">
        <w:rPr>
          <w:lang w:val="es-ES_tradnl"/>
        </w:rPr>
        <w:tab/>
      </w:r>
      <w:r w:rsidR="00FA7FCD" w:rsidRPr="00191075">
        <w:rPr>
          <w:color w:val="000000" w:themeColor="text1"/>
          <w:lang w:val="es-ES_tradnl"/>
        </w:rPr>
        <w:t>Si bien el Comité nota con satisfacción los avances realizados por el Estado parte para promover la lactancia materna, le preocupa que aún</w:t>
      </w:r>
      <w:r w:rsidR="0014379B" w:rsidRPr="00191075">
        <w:rPr>
          <w:color w:val="000000" w:themeColor="text1"/>
          <w:lang w:val="es-ES_tradnl"/>
        </w:rPr>
        <w:t xml:space="preserve"> no</w:t>
      </w:r>
      <w:r w:rsidR="00FA7FCD" w:rsidRPr="00191075">
        <w:rPr>
          <w:color w:val="000000" w:themeColor="text1"/>
          <w:lang w:val="es-ES_tradnl"/>
        </w:rPr>
        <w:t xml:space="preserve"> se</w:t>
      </w:r>
      <w:r w:rsidR="0014379B" w:rsidRPr="00191075">
        <w:rPr>
          <w:color w:val="000000" w:themeColor="text1"/>
          <w:lang w:val="es-ES_tradnl"/>
        </w:rPr>
        <w:t xml:space="preserve"> cuente con datos estadísticos actualizados sobre la lactancia materna en los niños menores de seis meses. Además</w:t>
      </w:r>
      <w:r w:rsidR="00F320A5" w:rsidRPr="00191075">
        <w:rPr>
          <w:color w:val="000000" w:themeColor="text1"/>
          <w:lang w:val="es-ES_tradnl"/>
        </w:rPr>
        <w:t>,</w:t>
      </w:r>
      <w:r w:rsidR="0014379B" w:rsidRPr="00191075">
        <w:rPr>
          <w:color w:val="000000" w:themeColor="text1"/>
          <w:lang w:val="es-ES_tradnl"/>
        </w:rPr>
        <w:t xml:space="preserve"> le preocupa </w:t>
      </w:r>
      <w:r w:rsidR="00F320A5" w:rsidRPr="00191075">
        <w:rPr>
          <w:color w:val="000000" w:themeColor="text1"/>
          <w:lang w:val="es-ES_tradnl"/>
        </w:rPr>
        <w:t xml:space="preserve">la falta de mecanismos efectivos que garanticen la implementación del Código Internacional de Comercialización de Sucedáneos de la Leche Materna en todo el territorio del Estado parte </w:t>
      </w:r>
      <w:r w:rsidR="0014379B" w:rsidRPr="00345104">
        <w:rPr>
          <w:lang w:val="es-ES_tradnl"/>
        </w:rPr>
        <w:t xml:space="preserve">(art. 11). </w:t>
      </w:r>
    </w:p>
    <w:p w14:paraId="214D8E99" w14:textId="29550C5A" w:rsidR="0014379B" w:rsidRPr="00345104" w:rsidRDefault="00CE22BA" w:rsidP="00345104">
      <w:pPr>
        <w:pStyle w:val="SingleTxtG"/>
        <w:rPr>
          <w:b/>
          <w:lang w:val="es-ES_tradnl"/>
        </w:rPr>
      </w:pPr>
      <w:r w:rsidRPr="00345104">
        <w:rPr>
          <w:lang w:val="es-ES_tradnl"/>
        </w:rPr>
        <w:t>39.</w:t>
      </w:r>
      <w:r w:rsidRPr="00345104">
        <w:rPr>
          <w:lang w:val="es-ES_tradnl"/>
        </w:rPr>
        <w:tab/>
      </w:r>
      <w:r w:rsidR="0014379B" w:rsidRPr="00345104">
        <w:rPr>
          <w:b/>
          <w:lang w:val="es-ES_tradnl"/>
        </w:rPr>
        <w:t xml:space="preserve">El Comité recomienda al Estado parte que intensifique sus esfuerzos para </w:t>
      </w:r>
      <w:r w:rsidR="009853A9" w:rsidRPr="00345104">
        <w:rPr>
          <w:b/>
          <w:lang w:val="es-ES_tradnl"/>
        </w:rPr>
        <w:t xml:space="preserve">promover la </w:t>
      </w:r>
      <w:r w:rsidR="009853A9" w:rsidRPr="00345104">
        <w:rPr>
          <w:b/>
          <w:color w:val="000000"/>
          <w:lang w:val="es-ES_tradnl"/>
        </w:rPr>
        <w:t>lactancia</w:t>
      </w:r>
      <w:r w:rsidR="009853A9" w:rsidRPr="00345104">
        <w:rPr>
          <w:b/>
          <w:lang w:val="es-ES_tradnl"/>
        </w:rPr>
        <w:t xml:space="preserve"> materna de acuerdo a las resoluciones de la Asamblea Mundial de la Salud y para </w:t>
      </w:r>
      <w:r w:rsidR="0014379B" w:rsidRPr="00345104">
        <w:rPr>
          <w:b/>
          <w:lang w:val="es-ES_tradnl"/>
        </w:rPr>
        <w:t>recopilar datos estadísticos fiables sobre la lactancia materna. En ese sentido, le anima a acelerar la adopción e implementación de</w:t>
      </w:r>
      <w:r w:rsidR="00AD47E4" w:rsidRPr="00345104">
        <w:rPr>
          <w:b/>
          <w:lang w:val="es-ES_tradnl"/>
        </w:rPr>
        <w:t>l proyecto de l</w:t>
      </w:r>
      <w:r w:rsidR="0014379B" w:rsidRPr="00345104">
        <w:rPr>
          <w:b/>
          <w:lang w:val="es-ES_tradnl"/>
        </w:rPr>
        <w:t xml:space="preserve">ey de </w:t>
      </w:r>
      <w:r w:rsidR="00AD47E4" w:rsidRPr="00345104">
        <w:rPr>
          <w:b/>
          <w:lang w:val="es-ES_tradnl"/>
        </w:rPr>
        <w:t>s</w:t>
      </w:r>
      <w:r w:rsidR="0014379B" w:rsidRPr="00345104">
        <w:rPr>
          <w:b/>
          <w:lang w:val="es-ES_tradnl"/>
        </w:rPr>
        <w:t xml:space="preserve">alas de </w:t>
      </w:r>
      <w:r w:rsidR="00AD47E4" w:rsidRPr="00345104">
        <w:rPr>
          <w:b/>
          <w:lang w:val="es-ES_tradnl"/>
        </w:rPr>
        <w:t>l</w:t>
      </w:r>
      <w:r w:rsidR="0014379B" w:rsidRPr="00345104">
        <w:rPr>
          <w:b/>
          <w:lang w:val="es-ES_tradnl"/>
        </w:rPr>
        <w:t xml:space="preserve">actancia. Asimismo, le recomienda establecer un mecanismo adecuado para supervisar la adecuada implementación del </w:t>
      </w:r>
      <w:r w:rsidR="0014379B" w:rsidRPr="00191075">
        <w:rPr>
          <w:b/>
          <w:color w:val="000000" w:themeColor="text1"/>
          <w:lang w:val="es-ES_tradnl"/>
        </w:rPr>
        <w:t>Código Internacional de Comercialización de Sucedáneos de la Leche Materna</w:t>
      </w:r>
      <w:r w:rsidR="0014379B" w:rsidRPr="00345104">
        <w:rPr>
          <w:b/>
          <w:lang w:val="es-ES_tradnl"/>
        </w:rPr>
        <w:t xml:space="preserve">. </w:t>
      </w:r>
    </w:p>
    <w:p w14:paraId="00D21D8D" w14:textId="3C7D32B4" w:rsidR="00FA7FCD" w:rsidRPr="00345104" w:rsidRDefault="00B3742B" w:rsidP="00345104">
      <w:pPr>
        <w:pStyle w:val="H23G"/>
        <w:rPr>
          <w:lang w:val="es-ES_tradnl"/>
        </w:rPr>
      </w:pPr>
      <w:r w:rsidRPr="00345104">
        <w:rPr>
          <w:lang w:val="es-ES_tradnl"/>
        </w:rPr>
        <w:lastRenderedPageBreak/>
        <w:tab/>
      </w:r>
      <w:r w:rsidR="00176057" w:rsidRPr="00345104">
        <w:rPr>
          <w:lang w:val="es-ES_tradnl"/>
        </w:rPr>
        <w:tab/>
      </w:r>
      <w:r w:rsidR="00FA7FCD" w:rsidRPr="00345104">
        <w:rPr>
          <w:lang w:val="es-ES_tradnl"/>
        </w:rPr>
        <w:t xml:space="preserve">Obesidad </w:t>
      </w:r>
    </w:p>
    <w:p w14:paraId="37644F7C" w14:textId="0C921508" w:rsidR="0014379B" w:rsidRPr="00345104" w:rsidRDefault="00CE22BA" w:rsidP="00345104">
      <w:pPr>
        <w:pStyle w:val="SingleTxtG"/>
        <w:rPr>
          <w:lang w:val="es-ES_tradnl"/>
        </w:rPr>
      </w:pPr>
      <w:r w:rsidRPr="00345104">
        <w:rPr>
          <w:lang w:val="es-ES_tradnl"/>
        </w:rPr>
        <w:t>40.</w:t>
      </w:r>
      <w:r w:rsidRPr="00345104">
        <w:rPr>
          <w:lang w:val="es-ES_tradnl"/>
        </w:rPr>
        <w:tab/>
      </w:r>
      <w:r w:rsidR="0014379B" w:rsidRPr="00345104">
        <w:rPr>
          <w:lang w:val="es-ES_tradnl"/>
        </w:rPr>
        <w:t>Preocupa</w:t>
      </w:r>
      <w:r w:rsidR="00C34EAB" w:rsidRPr="00345104">
        <w:rPr>
          <w:lang w:val="es-ES_tradnl"/>
        </w:rPr>
        <w:t>n</w:t>
      </w:r>
      <w:r w:rsidR="0014379B" w:rsidRPr="00345104">
        <w:rPr>
          <w:lang w:val="es-ES_tradnl"/>
        </w:rPr>
        <w:t xml:space="preserve"> al Comité los altos índices de obesidad en el Estado parte</w:t>
      </w:r>
      <w:r w:rsidR="008578B5" w:rsidRPr="00345104">
        <w:rPr>
          <w:lang w:val="es-ES_tradnl"/>
        </w:rPr>
        <w:t xml:space="preserve"> </w:t>
      </w:r>
      <w:r w:rsidR="0014379B" w:rsidRPr="00345104">
        <w:rPr>
          <w:lang w:val="es-ES_tradnl"/>
        </w:rPr>
        <w:t>y la falta de medidas integrales y efectivas que aborden este problema</w:t>
      </w:r>
      <w:r w:rsidR="008578B5" w:rsidRPr="00345104">
        <w:rPr>
          <w:lang w:val="es-ES_tradnl"/>
        </w:rPr>
        <w:t xml:space="preserve"> </w:t>
      </w:r>
      <w:r w:rsidR="0014379B" w:rsidRPr="00345104">
        <w:rPr>
          <w:lang w:val="es-ES_tradnl"/>
        </w:rPr>
        <w:t>(art</w:t>
      </w:r>
      <w:r w:rsidR="00166F67" w:rsidRPr="00345104">
        <w:rPr>
          <w:lang w:val="es-ES_tradnl"/>
        </w:rPr>
        <w:t>s</w:t>
      </w:r>
      <w:r w:rsidR="0014379B" w:rsidRPr="00345104">
        <w:rPr>
          <w:lang w:val="es-ES_tradnl"/>
        </w:rPr>
        <w:t xml:space="preserve">. 11 y 12). </w:t>
      </w:r>
    </w:p>
    <w:p w14:paraId="1E4A21F7" w14:textId="1F8C9015" w:rsidR="0014379B" w:rsidRPr="00191075" w:rsidRDefault="00CE22BA" w:rsidP="00345104">
      <w:pPr>
        <w:pStyle w:val="SingleTxtG"/>
        <w:rPr>
          <w:b/>
          <w:lang w:val="es-ES_tradnl"/>
        </w:rPr>
      </w:pPr>
      <w:r w:rsidRPr="00345104">
        <w:rPr>
          <w:lang w:val="es-ES_tradnl"/>
        </w:rPr>
        <w:t>41.</w:t>
      </w:r>
      <w:r w:rsidRPr="00345104">
        <w:rPr>
          <w:lang w:val="es-ES_tradnl"/>
        </w:rPr>
        <w:tab/>
      </w:r>
      <w:r w:rsidR="0014379B" w:rsidRPr="00345104">
        <w:rPr>
          <w:b/>
          <w:lang w:val="es-ES_tradnl"/>
        </w:rPr>
        <w:t xml:space="preserve">El Comité recomienda al Estado parte que redoble sus esfuerzos para diseñar una </w:t>
      </w:r>
      <w:r w:rsidR="0014379B" w:rsidRPr="00191075">
        <w:rPr>
          <w:b/>
          <w:lang w:val="es-ES_tradnl"/>
        </w:rPr>
        <w:t>estrategia</w:t>
      </w:r>
      <w:r w:rsidR="0014379B" w:rsidRPr="00345104">
        <w:rPr>
          <w:b/>
          <w:lang w:val="es-ES_tradnl"/>
        </w:rPr>
        <w:t xml:space="preserve"> nacional integral del derecho a una alimentación adecuada</w:t>
      </w:r>
      <w:r w:rsidR="008578B5" w:rsidRPr="00345104">
        <w:rPr>
          <w:b/>
          <w:lang w:val="es-ES_tradnl"/>
        </w:rPr>
        <w:t xml:space="preserve">, así como programas que </w:t>
      </w:r>
      <w:r w:rsidR="0014379B" w:rsidRPr="00345104">
        <w:rPr>
          <w:b/>
          <w:lang w:val="es-ES_tradnl"/>
        </w:rPr>
        <w:t>promueva</w:t>
      </w:r>
      <w:r w:rsidR="008578B5" w:rsidRPr="00345104">
        <w:rPr>
          <w:b/>
          <w:lang w:val="es-ES_tradnl"/>
        </w:rPr>
        <w:t>n</w:t>
      </w:r>
      <w:r w:rsidR="0014379B" w:rsidRPr="00345104">
        <w:rPr>
          <w:b/>
          <w:lang w:val="es-ES_tradnl"/>
        </w:rPr>
        <w:t xml:space="preserve"> dietas más saludables e incorpore aspectos relacionados a</w:t>
      </w:r>
      <w:r w:rsidR="008578B5" w:rsidRPr="00345104">
        <w:rPr>
          <w:b/>
          <w:lang w:val="es-ES_tradnl"/>
        </w:rPr>
        <w:t xml:space="preserve"> </w:t>
      </w:r>
      <w:r w:rsidR="0014379B" w:rsidRPr="00345104">
        <w:rPr>
          <w:b/>
          <w:lang w:val="es-ES_tradnl"/>
        </w:rPr>
        <w:t>l</w:t>
      </w:r>
      <w:r w:rsidR="008578B5" w:rsidRPr="00345104">
        <w:rPr>
          <w:b/>
          <w:lang w:val="es-ES_tradnl"/>
        </w:rPr>
        <w:t>a</w:t>
      </w:r>
      <w:r w:rsidR="0014379B" w:rsidRPr="00345104">
        <w:rPr>
          <w:b/>
          <w:lang w:val="es-ES_tradnl"/>
        </w:rPr>
        <w:t xml:space="preserve"> </w:t>
      </w:r>
      <w:r w:rsidR="008578B5" w:rsidRPr="00345104">
        <w:rPr>
          <w:b/>
          <w:lang w:val="es-ES_tradnl"/>
        </w:rPr>
        <w:t>comercialización</w:t>
      </w:r>
      <w:r w:rsidR="0014379B" w:rsidRPr="00345104">
        <w:rPr>
          <w:b/>
          <w:lang w:val="es-ES_tradnl"/>
        </w:rPr>
        <w:t>, planificaci</w:t>
      </w:r>
      <w:r w:rsidR="00AD47E4" w:rsidRPr="00345104">
        <w:rPr>
          <w:b/>
          <w:lang w:val="es-ES_tradnl"/>
        </w:rPr>
        <w:t>ó</w:t>
      </w:r>
      <w:r w:rsidR="0014379B" w:rsidRPr="00345104">
        <w:rPr>
          <w:b/>
          <w:lang w:val="es-ES_tradnl"/>
        </w:rPr>
        <w:t>n territorial, educación y política fiscal,</w:t>
      </w:r>
      <w:r w:rsidR="00F320A5" w:rsidRPr="00345104">
        <w:rPr>
          <w:b/>
          <w:lang w:val="es-ES_tradnl"/>
        </w:rPr>
        <w:t xml:space="preserve"> y</w:t>
      </w:r>
      <w:r w:rsidR="0014379B" w:rsidRPr="00345104">
        <w:rPr>
          <w:b/>
          <w:lang w:val="es-ES_tradnl"/>
        </w:rPr>
        <w:t xml:space="preserve"> sea desarrollada con la participación de todos los actores. El Comité remite al Estado parte a su </w:t>
      </w:r>
      <w:r w:rsidR="00386313" w:rsidRPr="00345104">
        <w:rPr>
          <w:b/>
          <w:lang w:val="es-ES_tradnl"/>
        </w:rPr>
        <w:t>o</w:t>
      </w:r>
      <w:r w:rsidR="0014379B" w:rsidRPr="00345104">
        <w:rPr>
          <w:b/>
          <w:lang w:val="es-ES_tradnl"/>
        </w:rPr>
        <w:t>bservaci</w:t>
      </w:r>
      <w:r w:rsidR="00AD47E4" w:rsidRPr="00345104">
        <w:rPr>
          <w:b/>
          <w:lang w:val="es-ES_tradnl"/>
        </w:rPr>
        <w:t>ó</w:t>
      </w:r>
      <w:r w:rsidR="0014379B" w:rsidRPr="00345104">
        <w:rPr>
          <w:b/>
          <w:lang w:val="es-ES_tradnl"/>
        </w:rPr>
        <w:t xml:space="preserve">n </w:t>
      </w:r>
      <w:r w:rsidR="00386313" w:rsidRPr="00345104">
        <w:rPr>
          <w:b/>
          <w:lang w:val="es-ES_tradnl"/>
        </w:rPr>
        <w:t>g</w:t>
      </w:r>
      <w:r w:rsidR="0014379B" w:rsidRPr="00345104">
        <w:rPr>
          <w:b/>
          <w:lang w:val="es-ES_tradnl"/>
        </w:rPr>
        <w:t xml:space="preserve">eneral núm. 12 (1999) sobre el derecho a una alimentación adecuada y a las </w:t>
      </w:r>
      <w:r w:rsidR="00A212A1" w:rsidRPr="00345104">
        <w:rPr>
          <w:b/>
          <w:lang w:val="es-ES_tradnl"/>
        </w:rPr>
        <w:t>D</w:t>
      </w:r>
      <w:r w:rsidR="0014379B" w:rsidRPr="00345104">
        <w:rPr>
          <w:b/>
          <w:lang w:val="es-ES_tradnl"/>
        </w:rPr>
        <w:t>irectrices voluntarias en apoyo a la realizaci</w:t>
      </w:r>
      <w:r w:rsidR="00AD47E4" w:rsidRPr="00345104">
        <w:rPr>
          <w:b/>
          <w:lang w:val="es-ES_tradnl"/>
        </w:rPr>
        <w:t>ó</w:t>
      </w:r>
      <w:r w:rsidR="0014379B" w:rsidRPr="00345104">
        <w:rPr>
          <w:b/>
          <w:lang w:val="es-ES_tradnl"/>
        </w:rPr>
        <w:t xml:space="preserve">n progresiva del derecho a una alimentación adecuada en el contexto de la seguridad alimentaria mundial aprobadas por </w:t>
      </w:r>
      <w:r w:rsidR="008578B5" w:rsidRPr="00345104">
        <w:rPr>
          <w:b/>
          <w:lang w:val="es-ES_tradnl"/>
        </w:rPr>
        <w:t xml:space="preserve">el Consejo de </w:t>
      </w:r>
      <w:r w:rsidR="0014379B" w:rsidRPr="00345104">
        <w:rPr>
          <w:b/>
          <w:lang w:val="es-ES_tradnl"/>
        </w:rPr>
        <w:t xml:space="preserve">la </w:t>
      </w:r>
      <w:r w:rsidR="00112401" w:rsidRPr="00345104">
        <w:rPr>
          <w:b/>
          <w:lang w:val="es-ES_tradnl"/>
        </w:rPr>
        <w:t>Organización</w:t>
      </w:r>
      <w:r w:rsidR="0014379B" w:rsidRPr="00345104">
        <w:rPr>
          <w:b/>
          <w:lang w:val="es-ES_tradnl"/>
        </w:rPr>
        <w:t xml:space="preserve"> de las Naciones Unidas para la </w:t>
      </w:r>
      <w:r w:rsidR="00112401" w:rsidRPr="00345104">
        <w:rPr>
          <w:b/>
          <w:lang w:val="es-ES_tradnl"/>
        </w:rPr>
        <w:t>Alimentación</w:t>
      </w:r>
      <w:r w:rsidR="0014379B" w:rsidRPr="00345104">
        <w:rPr>
          <w:b/>
          <w:lang w:val="es-ES_tradnl"/>
        </w:rPr>
        <w:t xml:space="preserve"> y la Agricultura</w:t>
      </w:r>
      <w:r w:rsidR="00A212A1" w:rsidRPr="00345104">
        <w:rPr>
          <w:b/>
          <w:lang w:val="es-ES_tradnl"/>
        </w:rPr>
        <w:t xml:space="preserve"> (FAO)</w:t>
      </w:r>
      <w:r w:rsidR="0014379B" w:rsidRPr="00345104">
        <w:rPr>
          <w:b/>
          <w:lang w:val="es-ES_tradnl"/>
        </w:rPr>
        <w:t xml:space="preserve">. </w:t>
      </w:r>
    </w:p>
    <w:p w14:paraId="78CB8E18" w14:textId="05E9BC45" w:rsidR="0014379B" w:rsidRPr="00345104" w:rsidRDefault="0014379B" w:rsidP="0026337A">
      <w:pPr>
        <w:pStyle w:val="H23G"/>
        <w:rPr>
          <w:lang w:val="es-ES_tradnl"/>
        </w:rPr>
      </w:pPr>
      <w:r w:rsidRPr="00345104">
        <w:rPr>
          <w:lang w:val="es-ES_tradnl"/>
        </w:rPr>
        <w:tab/>
      </w:r>
      <w:r w:rsidRPr="00345104">
        <w:rPr>
          <w:lang w:val="es-ES_tradnl"/>
        </w:rPr>
        <w:tab/>
        <w:t xml:space="preserve">Derecho a una vivienda adecuada </w:t>
      </w:r>
    </w:p>
    <w:p w14:paraId="72E84CF3" w14:textId="3B42730B" w:rsidR="0014379B" w:rsidRPr="00345104" w:rsidRDefault="00CE22BA" w:rsidP="00345104">
      <w:pPr>
        <w:pStyle w:val="SingleTxtG"/>
        <w:rPr>
          <w:color w:val="000000" w:themeColor="text1"/>
          <w:lang w:val="es-ES_tradnl"/>
        </w:rPr>
      </w:pPr>
      <w:r w:rsidRPr="00345104">
        <w:rPr>
          <w:lang w:val="es-ES_tradnl"/>
        </w:rPr>
        <w:t>42.</w:t>
      </w:r>
      <w:r w:rsidRPr="00345104">
        <w:rPr>
          <w:lang w:val="es-ES_tradnl"/>
        </w:rPr>
        <w:tab/>
      </w:r>
      <w:r w:rsidR="0014379B" w:rsidRPr="00191075">
        <w:rPr>
          <w:lang w:val="es-ES_tradnl"/>
        </w:rPr>
        <w:t>Pese</w:t>
      </w:r>
      <w:r w:rsidR="0014379B" w:rsidRPr="00345104">
        <w:rPr>
          <w:color w:val="000000" w:themeColor="text1"/>
          <w:lang w:val="es-ES_tradnl"/>
        </w:rPr>
        <w:t xml:space="preserve"> a las medidas adoptadas por el Estado parte, preocupa al Comité el número significativo de personas que residen en asentamientos informales y la información recibida sobre casos de desalojos forzosos llevados a cabo sin la debida protección de las personas afectadas. Asimismo, preocupa al Comité que </w:t>
      </w:r>
      <w:r w:rsidR="00AD47E4" w:rsidRPr="00345104">
        <w:rPr>
          <w:color w:val="000000" w:themeColor="text1"/>
          <w:lang w:val="es-ES_tradnl"/>
        </w:rPr>
        <w:t>e</w:t>
      </w:r>
      <w:r w:rsidR="0014379B" w:rsidRPr="00345104">
        <w:rPr>
          <w:color w:val="000000" w:themeColor="text1"/>
          <w:lang w:val="es-ES_tradnl"/>
        </w:rPr>
        <w:t xml:space="preserve">l delito de </w:t>
      </w:r>
      <w:r w:rsidR="00C408BA" w:rsidRPr="00345104">
        <w:rPr>
          <w:color w:val="000000" w:themeColor="text1"/>
          <w:lang w:val="es-ES_tradnl"/>
        </w:rPr>
        <w:t>u</w:t>
      </w:r>
      <w:r w:rsidR="0014379B" w:rsidRPr="00345104">
        <w:rPr>
          <w:color w:val="000000" w:themeColor="text1"/>
          <w:lang w:val="es-ES_tradnl"/>
        </w:rPr>
        <w:t xml:space="preserve">surpación y la </w:t>
      </w:r>
      <w:r w:rsidR="00AD47E4" w:rsidRPr="00345104">
        <w:rPr>
          <w:color w:val="000000" w:themeColor="text1"/>
          <w:lang w:val="es-ES_tradnl"/>
        </w:rPr>
        <w:t xml:space="preserve">reciente </w:t>
      </w:r>
      <w:r w:rsidR="0014379B" w:rsidRPr="00345104">
        <w:rPr>
          <w:color w:val="000000" w:themeColor="text1"/>
          <w:lang w:val="es-ES_tradnl"/>
        </w:rPr>
        <w:t xml:space="preserve">incorporación de la falta de </w:t>
      </w:r>
      <w:r w:rsidR="00306185" w:rsidRPr="00345104">
        <w:rPr>
          <w:color w:val="000000" w:themeColor="text1"/>
          <w:lang w:val="es-ES_tradnl"/>
        </w:rPr>
        <w:t>o</w:t>
      </w:r>
      <w:r w:rsidR="0014379B" w:rsidRPr="00345104">
        <w:rPr>
          <w:color w:val="000000" w:themeColor="text1"/>
          <w:lang w:val="es-ES_tradnl"/>
        </w:rPr>
        <w:t>cupación indebida de espacios públicos constituy</w:t>
      </w:r>
      <w:r w:rsidR="00AD47E4" w:rsidRPr="00345104">
        <w:rPr>
          <w:color w:val="000000" w:themeColor="text1"/>
          <w:lang w:val="es-ES_tradnl"/>
        </w:rPr>
        <w:t>a</w:t>
      </w:r>
      <w:r w:rsidR="0014379B" w:rsidRPr="00345104">
        <w:rPr>
          <w:color w:val="000000" w:themeColor="text1"/>
          <w:lang w:val="es-ES_tradnl"/>
        </w:rPr>
        <w:t>n</w:t>
      </w:r>
      <w:r w:rsidR="002624E5" w:rsidRPr="00345104">
        <w:rPr>
          <w:color w:val="000000" w:themeColor="text1"/>
          <w:lang w:val="es-ES_tradnl"/>
        </w:rPr>
        <w:t>, en ocasiones,</w:t>
      </w:r>
      <w:r w:rsidR="0014379B" w:rsidRPr="00345104">
        <w:rPr>
          <w:color w:val="000000" w:themeColor="text1"/>
          <w:lang w:val="es-ES_tradnl"/>
        </w:rPr>
        <w:t xml:space="preserve"> una forma de criminalización de la situación</w:t>
      </w:r>
      <w:r w:rsidR="00AD47E4" w:rsidRPr="00345104">
        <w:rPr>
          <w:color w:val="000000" w:themeColor="text1"/>
          <w:lang w:val="es-ES_tradnl"/>
        </w:rPr>
        <w:t xml:space="preserve"> de calle</w:t>
      </w:r>
      <w:r w:rsidR="0014379B" w:rsidRPr="00345104">
        <w:rPr>
          <w:color w:val="000000" w:themeColor="text1"/>
          <w:lang w:val="es-ES_tradnl"/>
        </w:rPr>
        <w:t xml:space="preserve"> de las personas sin hogar (art. 11).</w:t>
      </w:r>
    </w:p>
    <w:p w14:paraId="2281EC8C" w14:textId="018A42F5" w:rsidR="000220F3" w:rsidRPr="00345104" w:rsidRDefault="00CE22BA" w:rsidP="00345104">
      <w:pPr>
        <w:pStyle w:val="SingleTxtG"/>
        <w:rPr>
          <w:b/>
          <w:lang w:val="es-ES_tradnl"/>
        </w:rPr>
      </w:pPr>
      <w:r w:rsidRPr="00345104">
        <w:rPr>
          <w:lang w:val="es-ES_tradnl"/>
        </w:rPr>
        <w:t>43.</w:t>
      </w:r>
      <w:r w:rsidRPr="00345104">
        <w:rPr>
          <w:lang w:val="es-ES_tradnl"/>
        </w:rPr>
        <w:tab/>
      </w:r>
      <w:r w:rsidR="000220F3" w:rsidRPr="00345104">
        <w:rPr>
          <w:b/>
          <w:lang w:val="es-ES_tradnl"/>
        </w:rPr>
        <w:t xml:space="preserve">El Comité </w:t>
      </w:r>
      <w:r w:rsidR="000220F3" w:rsidRPr="00191075">
        <w:rPr>
          <w:b/>
          <w:color w:val="000000"/>
          <w:lang w:val="es-ES_tradnl"/>
        </w:rPr>
        <w:t>recomienda</w:t>
      </w:r>
      <w:r w:rsidR="000220F3" w:rsidRPr="00345104">
        <w:rPr>
          <w:b/>
          <w:lang w:val="es-ES_tradnl"/>
        </w:rPr>
        <w:t xml:space="preserve"> al Estado parte que revise las medidas adoptadas en materia de vivienda con miras a </w:t>
      </w:r>
      <w:r w:rsidR="0063671D" w:rsidRPr="00345104">
        <w:rPr>
          <w:b/>
          <w:lang w:val="es-ES_tradnl"/>
        </w:rPr>
        <w:t>adoptar</w:t>
      </w:r>
      <w:r w:rsidR="00417F5D" w:rsidRPr="00345104">
        <w:rPr>
          <w:b/>
          <w:lang w:val="es-ES_tradnl"/>
        </w:rPr>
        <w:t xml:space="preserve"> </w:t>
      </w:r>
      <w:r w:rsidR="000220F3" w:rsidRPr="00345104">
        <w:rPr>
          <w:b/>
          <w:lang w:val="es-ES_tradnl"/>
        </w:rPr>
        <w:t>una estrategia inte</w:t>
      </w:r>
      <w:r w:rsidR="0063671D" w:rsidRPr="00345104">
        <w:rPr>
          <w:b/>
          <w:lang w:val="es-ES_tradnl"/>
        </w:rPr>
        <w:t xml:space="preserve">gral de vivienda social basada </w:t>
      </w:r>
      <w:r w:rsidR="000220F3" w:rsidRPr="00345104">
        <w:rPr>
          <w:b/>
          <w:lang w:val="es-ES_tradnl"/>
        </w:rPr>
        <w:t>en el derecho</w:t>
      </w:r>
      <w:r w:rsidR="0063671D" w:rsidRPr="00345104">
        <w:rPr>
          <w:b/>
          <w:lang w:val="es-ES_tradnl"/>
        </w:rPr>
        <w:t xml:space="preserve"> </w:t>
      </w:r>
      <w:r w:rsidR="000220F3" w:rsidRPr="00345104">
        <w:rPr>
          <w:b/>
          <w:lang w:val="es-ES_tradnl"/>
        </w:rPr>
        <w:t xml:space="preserve">a una vivienda adecuada y asequible y </w:t>
      </w:r>
      <w:r w:rsidR="00B4198D" w:rsidRPr="00345104">
        <w:rPr>
          <w:b/>
          <w:lang w:val="es-ES_tradnl"/>
        </w:rPr>
        <w:t xml:space="preserve">que </w:t>
      </w:r>
      <w:r w:rsidR="000220F3" w:rsidRPr="00345104">
        <w:rPr>
          <w:b/>
          <w:lang w:val="es-ES_tradnl"/>
        </w:rPr>
        <w:t xml:space="preserve">cuente con </w:t>
      </w:r>
      <w:r w:rsidR="00B4198D" w:rsidRPr="00345104">
        <w:rPr>
          <w:b/>
          <w:lang w:val="es-ES_tradnl"/>
        </w:rPr>
        <w:t>criterios definido</w:t>
      </w:r>
      <w:r w:rsidR="000220F3" w:rsidRPr="00345104">
        <w:rPr>
          <w:b/>
          <w:lang w:val="es-ES_tradnl"/>
        </w:rPr>
        <w:t>s en mate</w:t>
      </w:r>
      <w:r w:rsidR="00B4198D" w:rsidRPr="00345104">
        <w:rPr>
          <w:b/>
          <w:lang w:val="es-ES_tradnl"/>
        </w:rPr>
        <w:t>ria de calidad y habitabilidad.</w:t>
      </w:r>
      <w:r w:rsidR="0063671D" w:rsidRPr="00345104">
        <w:rPr>
          <w:b/>
          <w:lang w:val="es-ES_tradnl"/>
        </w:rPr>
        <w:t xml:space="preserve"> El Comité insta al Estado parte para que tal estrategia dé </w:t>
      </w:r>
      <w:r w:rsidR="000220F3" w:rsidRPr="00345104">
        <w:rPr>
          <w:b/>
          <w:lang w:val="es-ES_tradnl"/>
        </w:rPr>
        <w:t>prioridad a las personas y grupos desfavorecidos y marginados</w:t>
      </w:r>
      <w:r w:rsidR="00B4198D" w:rsidRPr="00345104">
        <w:rPr>
          <w:b/>
          <w:lang w:val="es-ES_tradnl"/>
        </w:rPr>
        <w:t>,</w:t>
      </w:r>
      <w:r w:rsidR="002624E5" w:rsidRPr="00345104">
        <w:rPr>
          <w:b/>
          <w:lang w:val="es-ES_tradnl"/>
        </w:rPr>
        <w:t xml:space="preserve"> asegurando que en los procesos de </w:t>
      </w:r>
      <w:r w:rsidR="00CA1E96" w:rsidRPr="00345104">
        <w:rPr>
          <w:b/>
          <w:lang w:val="es-ES_tradnl"/>
        </w:rPr>
        <w:t>desalojo</w:t>
      </w:r>
      <w:r w:rsidR="00174391" w:rsidRPr="00345104">
        <w:rPr>
          <w:b/>
          <w:lang w:val="es-ES_tradnl"/>
        </w:rPr>
        <w:t>,</w:t>
      </w:r>
      <w:r w:rsidR="00CA1E96" w:rsidRPr="00345104">
        <w:rPr>
          <w:b/>
          <w:lang w:val="es-ES_tradnl"/>
        </w:rPr>
        <w:t xml:space="preserve"> </w:t>
      </w:r>
      <w:r w:rsidR="002624E5" w:rsidRPr="00345104">
        <w:rPr>
          <w:b/>
          <w:lang w:val="es-ES_tradnl"/>
        </w:rPr>
        <w:t>cuando legalmente corresponda ejecutarlos</w:t>
      </w:r>
      <w:r w:rsidR="00174391" w:rsidRPr="00345104">
        <w:rPr>
          <w:b/>
          <w:lang w:val="es-ES_tradnl"/>
        </w:rPr>
        <w:t>,</w:t>
      </w:r>
      <w:r w:rsidR="002624E5" w:rsidRPr="00345104">
        <w:rPr>
          <w:b/>
          <w:lang w:val="es-ES_tradnl"/>
        </w:rPr>
        <w:t xml:space="preserve"> se respeten </w:t>
      </w:r>
      <w:r w:rsidR="008F14AB" w:rsidRPr="00345104">
        <w:rPr>
          <w:b/>
          <w:lang w:val="es-ES_tradnl"/>
        </w:rPr>
        <w:t xml:space="preserve">los derechos de las personas afectadas, tomando en cuenta </w:t>
      </w:r>
      <w:r w:rsidR="002624E5" w:rsidRPr="00345104">
        <w:rPr>
          <w:b/>
          <w:lang w:val="es-ES_tradnl"/>
        </w:rPr>
        <w:t xml:space="preserve">las </w:t>
      </w:r>
      <w:r w:rsidR="002624E5" w:rsidRPr="00191075">
        <w:rPr>
          <w:b/>
          <w:lang w:val="es-ES_tradnl"/>
        </w:rPr>
        <w:t>observaciones generales núm</w:t>
      </w:r>
      <w:r w:rsidR="00174391" w:rsidRPr="00191075">
        <w:rPr>
          <w:b/>
          <w:lang w:val="es-ES_tradnl"/>
        </w:rPr>
        <w:t xml:space="preserve">. </w:t>
      </w:r>
      <w:r w:rsidR="002624E5" w:rsidRPr="00345104">
        <w:rPr>
          <w:b/>
          <w:lang w:val="es-ES_tradnl"/>
        </w:rPr>
        <w:t xml:space="preserve">4 (1991) sobre el derecho a una vivienda adecuada, y </w:t>
      </w:r>
      <w:r w:rsidR="003759F0" w:rsidRPr="00345104">
        <w:rPr>
          <w:b/>
          <w:lang w:val="es-ES_tradnl"/>
        </w:rPr>
        <w:t xml:space="preserve">núm. </w:t>
      </w:r>
      <w:r w:rsidR="002624E5" w:rsidRPr="00345104">
        <w:rPr>
          <w:b/>
          <w:lang w:val="es-ES_tradnl"/>
        </w:rPr>
        <w:t>7 (1997) sobre los desalojos forzosos</w:t>
      </w:r>
      <w:r w:rsidR="00764539" w:rsidRPr="00345104">
        <w:rPr>
          <w:b/>
          <w:lang w:val="es-ES_tradnl"/>
        </w:rPr>
        <w:t>.</w:t>
      </w:r>
      <w:r w:rsidR="002624E5" w:rsidRPr="00345104">
        <w:rPr>
          <w:b/>
          <w:lang w:val="es-ES_tradnl"/>
        </w:rPr>
        <w:t xml:space="preserve"> </w:t>
      </w:r>
      <w:r w:rsidR="0063671D" w:rsidRPr="00345104">
        <w:rPr>
          <w:b/>
          <w:lang w:val="es-ES_tradnl"/>
        </w:rPr>
        <w:t>El Comité insta al Estado parte a que adop</w:t>
      </w:r>
      <w:r w:rsidR="00B4198D" w:rsidRPr="00345104">
        <w:rPr>
          <w:b/>
          <w:lang w:val="es-ES_tradnl"/>
        </w:rPr>
        <w:t xml:space="preserve">te todas las medidas necesarias </w:t>
      </w:r>
      <w:r w:rsidR="0063671D" w:rsidRPr="00345104">
        <w:rPr>
          <w:b/>
          <w:lang w:val="es-ES_tradnl"/>
        </w:rPr>
        <w:t>para evitar la</w:t>
      </w:r>
      <w:r w:rsidR="00B4198D" w:rsidRPr="00345104">
        <w:rPr>
          <w:b/>
          <w:lang w:val="es-ES_tradnl"/>
        </w:rPr>
        <w:t xml:space="preserve"> criminalización de la</w:t>
      </w:r>
      <w:r w:rsidR="008D09CC" w:rsidRPr="00345104">
        <w:rPr>
          <w:b/>
          <w:lang w:val="es-ES_tradnl"/>
        </w:rPr>
        <w:t>s</w:t>
      </w:r>
      <w:r w:rsidR="00B4198D" w:rsidRPr="00345104">
        <w:rPr>
          <w:b/>
          <w:lang w:val="es-ES_tradnl"/>
        </w:rPr>
        <w:t xml:space="preserve"> </w:t>
      </w:r>
      <w:r w:rsidR="008D09CC" w:rsidRPr="00345104">
        <w:rPr>
          <w:b/>
          <w:lang w:val="es-ES_tradnl"/>
        </w:rPr>
        <w:t xml:space="preserve">personas sin hogar </w:t>
      </w:r>
      <w:r w:rsidR="0063671D" w:rsidRPr="00345104">
        <w:rPr>
          <w:b/>
          <w:lang w:val="es-ES_tradnl"/>
        </w:rPr>
        <w:t>y a</w:t>
      </w:r>
      <w:r w:rsidR="00B4198D" w:rsidRPr="00345104">
        <w:rPr>
          <w:b/>
          <w:lang w:val="es-ES_tradnl"/>
        </w:rPr>
        <w:t>segure la adecuada implementación de las polí</w:t>
      </w:r>
      <w:r w:rsidR="0063671D" w:rsidRPr="00345104">
        <w:rPr>
          <w:b/>
          <w:lang w:val="es-ES_tradnl"/>
        </w:rPr>
        <w:t>ticas y programas apropia</w:t>
      </w:r>
      <w:r w:rsidR="00B4198D" w:rsidRPr="00345104">
        <w:rPr>
          <w:b/>
          <w:lang w:val="es-ES_tradnl"/>
        </w:rPr>
        <w:t xml:space="preserve">dos para facilitar </w:t>
      </w:r>
      <w:r w:rsidR="008D09CC" w:rsidRPr="00345104">
        <w:rPr>
          <w:b/>
          <w:lang w:val="es-ES_tradnl"/>
        </w:rPr>
        <w:t xml:space="preserve">su </w:t>
      </w:r>
      <w:r w:rsidR="00B4198D" w:rsidRPr="00345104">
        <w:rPr>
          <w:b/>
          <w:lang w:val="es-ES_tradnl"/>
        </w:rPr>
        <w:t>reinserció</w:t>
      </w:r>
      <w:r w:rsidR="0063671D" w:rsidRPr="00345104">
        <w:rPr>
          <w:b/>
          <w:lang w:val="es-ES_tradnl"/>
        </w:rPr>
        <w:t>n so</w:t>
      </w:r>
      <w:r w:rsidR="0026337A" w:rsidRPr="00345104">
        <w:rPr>
          <w:b/>
          <w:lang w:val="es-ES_tradnl"/>
        </w:rPr>
        <w:t>cial.</w:t>
      </w:r>
    </w:p>
    <w:p w14:paraId="0CBDBD6A" w14:textId="7667A721" w:rsidR="0014379B" w:rsidRPr="00345104" w:rsidRDefault="0026337A" w:rsidP="0026337A">
      <w:pPr>
        <w:pStyle w:val="H23G"/>
        <w:rPr>
          <w:lang w:val="es-ES_tradnl"/>
        </w:rPr>
      </w:pPr>
      <w:r w:rsidRPr="00345104">
        <w:rPr>
          <w:lang w:val="es-ES_tradnl"/>
        </w:rPr>
        <w:tab/>
      </w:r>
      <w:r w:rsidRPr="00345104">
        <w:rPr>
          <w:lang w:val="es-ES_tradnl"/>
        </w:rPr>
        <w:tab/>
      </w:r>
      <w:r w:rsidR="0014379B" w:rsidRPr="00345104">
        <w:rPr>
          <w:lang w:val="es-ES_tradnl"/>
        </w:rPr>
        <w:t>Derechos al agua y</w:t>
      </w:r>
      <w:r w:rsidR="00112401" w:rsidRPr="00345104">
        <w:rPr>
          <w:lang w:val="es-ES_tradnl"/>
        </w:rPr>
        <w:t xml:space="preserve"> al</w:t>
      </w:r>
      <w:r w:rsidR="0014379B" w:rsidRPr="00345104">
        <w:rPr>
          <w:lang w:val="es-ES_tradnl"/>
        </w:rPr>
        <w:t xml:space="preserve"> saneamiento </w:t>
      </w:r>
    </w:p>
    <w:p w14:paraId="5558D6C9" w14:textId="146F3B9E" w:rsidR="0014379B" w:rsidRPr="00191075" w:rsidRDefault="00CE22BA" w:rsidP="00345104">
      <w:pPr>
        <w:pStyle w:val="SingleTxtG"/>
        <w:rPr>
          <w:lang w:val="es-ES_tradnl"/>
        </w:rPr>
      </w:pPr>
      <w:r w:rsidRPr="00345104">
        <w:rPr>
          <w:lang w:val="es-ES_tradnl"/>
        </w:rPr>
        <w:t>44.</w:t>
      </w:r>
      <w:r w:rsidRPr="00345104">
        <w:rPr>
          <w:lang w:val="es-ES_tradnl"/>
        </w:rPr>
        <w:tab/>
      </w:r>
      <w:r w:rsidR="0014379B" w:rsidRPr="00191075">
        <w:rPr>
          <w:lang w:val="es-ES_tradnl"/>
        </w:rPr>
        <w:t>Aun cuando el Comité toma nota de las medidas adoptadas para garantizar la calidad del agua, le preocupa</w:t>
      </w:r>
      <w:r w:rsidR="000907B5" w:rsidRPr="00191075">
        <w:rPr>
          <w:lang w:val="es-ES_tradnl"/>
        </w:rPr>
        <w:t xml:space="preserve">n </w:t>
      </w:r>
      <w:r w:rsidR="0014379B" w:rsidRPr="00191075">
        <w:rPr>
          <w:lang w:val="es-ES_tradnl"/>
        </w:rPr>
        <w:t xml:space="preserve">los efectos negativos que tienen el uso </w:t>
      </w:r>
      <w:r w:rsidR="008F14AB" w:rsidRPr="00191075">
        <w:rPr>
          <w:lang w:val="es-ES_tradnl"/>
        </w:rPr>
        <w:t>no suficientemente controlado</w:t>
      </w:r>
      <w:r w:rsidR="00764539" w:rsidRPr="00191075">
        <w:rPr>
          <w:lang w:val="es-ES_tradnl"/>
        </w:rPr>
        <w:t xml:space="preserve"> </w:t>
      </w:r>
      <w:r w:rsidR="0014379B" w:rsidRPr="00191075">
        <w:rPr>
          <w:lang w:val="es-ES_tradnl"/>
        </w:rPr>
        <w:t>de agro</w:t>
      </w:r>
      <w:r w:rsidR="00764539" w:rsidRPr="00191075">
        <w:rPr>
          <w:lang w:val="es-ES_tradnl"/>
        </w:rPr>
        <w:t xml:space="preserve">químicos </w:t>
      </w:r>
      <w:r w:rsidR="0014379B" w:rsidRPr="00191075">
        <w:rPr>
          <w:lang w:val="es-ES_tradnl"/>
        </w:rPr>
        <w:t>en la calidad del agua y</w:t>
      </w:r>
      <w:r w:rsidR="000907B5" w:rsidRPr="00191075">
        <w:rPr>
          <w:lang w:val="es-ES_tradnl"/>
        </w:rPr>
        <w:t xml:space="preserve"> en los</w:t>
      </w:r>
      <w:r w:rsidR="0014379B" w:rsidRPr="00191075">
        <w:rPr>
          <w:lang w:val="es-ES_tradnl"/>
        </w:rPr>
        <w:t xml:space="preserve"> recursos hídricos. Preocupa al Comité que </w:t>
      </w:r>
      <w:r w:rsidR="000907B5" w:rsidRPr="00191075">
        <w:rPr>
          <w:lang w:val="es-ES_tradnl"/>
        </w:rPr>
        <w:t>una proporción de la población</w:t>
      </w:r>
      <w:r w:rsidR="0014379B" w:rsidRPr="00191075">
        <w:rPr>
          <w:lang w:val="es-ES_tradnl"/>
        </w:rPr>
        <w:t>, particularmente en zonas rurales</w:t>
      </w:r>
      <w:r w:rsidR="00CA1E96" w:rsidRPr="00191075">
        <w:rPr>
          <w:lang w:val="es-ES_tradnl"/>
        </w:rPr>
        <w:t>,</w:t>
      </w:r>
      <w:r w:rsidR="0014379B" w:rsidRPr="00191075">
        <w:rPr>
          <w:lang w:val="es-ES_tradnl"/>
        </w:rPr>
        <w:t xml:space="preserve"> aún no tiene acceso a servicios de saneamiento adecuados (</w:t>
      </w:r>
      <w:r w:rsidR="00EA139F" w:rsidRPr="00191075">
        <w:rPr>
          <w:lang w:val="es-ES_tradnl"/>
        </w:rPr>
        <w:t>a</w:t>
      </w:r>
      <w:r w:rsidR="0014379B" w:rsidRPr="00191075">
        <w:rPr>
          <w:lang w:val="es-ES_tradnl"/>
        </w:rPr>
        <w:t>rt. 11).</w:t>
      </w:r>
    </w:p>
    <w:p w14:paraId="054CED20" w14:textId="3A7F8CEF" w:rsidR="0014379B" w:rsidRPr="00345104" w:rsidRDefault="00CE22BA" w:rsidP="00345104">
      <w:pPr>
        <w:pStyle w:val="SingleTxtG"/>
        <w:rPr>
          <w:b/>
          <w:bCs/>
          <w:lang w:val="es-ES_tradnl"/>
        </w:rPr>
      </w:pPr>
      <w:r w:rsidRPr="00345104">
        <w:rPr>
          <w:bCs/>
          <w:lang w:val="es-ES_tradnl"/>
        </w:rPr>
        <w:t>45.</w:t>
      </w:r>
      <w:r w:rsidRPr="00345104">
        <w:rPr>
          <w:bCs/>
          <w:lang w:val="es-ES_tradnl"/>
        </w:rPr>
        <w:tab/>
      </w:r>
      <w:r w:rsidR="0014379B" w:rsidRPr="00345104">
        <w:rPr>
          <w:b/>
          <w:bCs/>
          <w:lang w:val="es-ES_tradnl"/>
        </w:rPr>
        <w:t>El Comité recomienda al Estado parte que adopte las medidas necesarias para controlar el uso de agro</w:t>
      </w:r>
      <w:r w:rsidR="00764539" w:rsidRPr="00345104">
        <w:rPr>
          <w:b/>
          <w:bCs/>
          <w:lang w:val="es-ES_tradnl"/>
        </w:rPr>
        <w:t xml:space="preserve">químicos </w:t>
      </w:r>
      <w:r w:rsidR="00CA1E96" w:rsidRPr="00345104">
        <w:rPr>
          <w:b/>
          <w:bCs/>
          <w:lang w:val="es-ES_tradnl"/>
        </w:rPr>
        <w:t>y sus efectos sobre la salud pública,</w:t>
      </w:r>
      <w:r w:rsidR="0014379B" w:rsidRPr="00345104">
        <w:rPr>
          <w:b/>
          <w:bCs/>
          <w:lang w:val="es-ES_tradnl"/>
        </w:rPr>
        <w:t xml:space="preserve"> y asegure la implementación adecuada del Plan Nacional de Agua</w:t>
      </w:r>
      <w:r w:rsidR="0098757F" w:rsidRPr="00345104">
        <w:rPr>
          <w:b/>
          <w:bCs/>
          <w:lang w:val="es-ES_tradnl"/>
        </w:rPr>
        <w:t>s</w:t>
      </w:r>
      <w:r w:rsidR="0014379B" w:rsidRPr="00345104">
        <w:rPr>
          <w:b/>
          <w:bCs/>
          <w:lang w:val="es-ES_tradnl"/>
        </w:rPr>
        <w:t xml:space="preserve"> a fin de asegurar una adecuada protección de los recursos hídricos y de la calidad del agua en el Estado parte. El Comité recomienda al Estado parte que intensifique sus esfuerzos para asegurar el acceso a servicios de saneamiento de los grupos </w:t>
      </w:r>
      <w:r w:rsidR="008F14AB" w:rsidRPr="00345104">
        <w:rPr>
          <w:b/>
          <w:bCs/>
          <w:lang w:val="es-ES_tradnl"/>
        </w:rPr>
        <w:t>más</w:t>
      </w:r>
      <w:r w:rsidR="0014379B" w:rsidRPr="00345104">
        <w:rPr>
          <w:b/>
          <w:bCs/>
          <w:lang w:val="es-ES_tradnl"/>
        </w:rPr>
        <w:t xml:space="preserve"> desfavorecidos y marginados, particularmente en las zonas rurales. El Comité remite al Estado parte a su observación general núm. 15 (2002) sobre el derecho al agua</w:t>
      </w:r>
      <w:r w:rsidR="00AE1541" w:rsidRPr="00345104">
        <w:rPr>
          <w:b/>
          <w:bCs/>
          <w:lang w:val="es-ES_tradnl"/>
        </w:rPr>
        <w:t xml:space="preserve"> y a su </w:t>
      </w:r>
      <w:r w:rsidR="00EA139F" w:rsidRPr="00345104">
        <w:rPr>
          <w:b/>
          <w:bCs/>
          <w:lang w:val="es-ES_tradnl"/>
        </w:rPr>
        <w:t>D</w:t>
      </w:r>
      <w:r w:rsidR="00AE1541" w:rsidRPr="00345104">
        <w:rPr>
          <w:b/>
          <w:bCs/>
          <w:lang w:val="es-ES_tradnl"/>
        </w:rPr>
        <w:t>eclaración sobre el derecho al saneamiento, de 2011</w:t>
      </w:r>
      <w:r w:rsidR="0014379B" w:rsidRPr="00345104">
        <w:rPr>
          <w:b/>
          <w:bCs/>
          <w:lang w:val="es-ES_tradnl"/>
        </w:rPr>
        <w:t>.</w:t>
      </w:r>
    </w:p>
    <w:p w14:paraId="1358AA05" w14:textId="42A4ED04" w:rsidR="0014379B" w:rsidRPr="00345104" w:rsidRDefault="0026337A" w:rsidP="0026337A">
      <w:pPr>
        <w:pStyle w:val="H23G"/>
        <w:rPr>
          <w:lang w:val="es-ES_tradnl"/>
        </w:rPr>
      </w:pPr>
      <w:r w:rsidRPr="00345104">
        <w:rPr>
          <w:lang w:val="es-ES_tradnl"/>
        </w:rPr>
        <w:tab/>
      </w:r>
      <w:r w:rsidRPr="00345104">
        <w:rPr>
          <w:lang w:val="es-ES_tradnl"/>
        </w:rPr>
        <w:tab/>
      </w:r>
      <w:r w:rsidR="008F14AB" w:rsidRPr="00345104">
        <w:rPr>
          <w:lang w:val="es-ES_tradnl"/>
        </w:rPr>
        <w:t>Acceso a medicamentos</w:t>
      </w:r>
    </w:p>
    <w:p w14:paraId="1EB34221" w14:textId="4AF8C5E3" w:rsidR="004B3F96" w:rsidRPr="00345104" w:rsidRDefault="00CE22BA" w:rsidP="00345104">
      <w:pPr>
        <w:pStyle w:val="SingleTxtG"/>
        <w:rPr>
          <w:b/>
          <w:lang w:val="es-ES_tradnl"/>
        </w:rPr>
      </w:pPr>
      <w:r w:rsidRPr="00345104">
        <w:rPr>
          <w:lang w:val="es-ES_tradnl"/>
        </w:rPr>
        <w:t>46.</w:t>
      </w:r>
      <w:r w:rsidRPr="00345104">
        <w:rPr>
          <w:lang w:val="es-ES_tradnl"/>
        </w:rPr>
        <w:tab/>
      </w:r>
      <w:r w:rsidR="0014379B" w:rsidRPr="00191075">
        <w:rPr>
          <w:lang w:val="es-ES_tradnl"/>
        </w:rPr>
        <w:t>Preocupa al Comité la información recibida</w:t>
      </w:r>
      <w:r w:rsidR="008F14AB" w:rsidRPr="00191075">
        <w:rPr>
          <w:lang w:val="es-ES_tradnl"/>
        </w:rPr>
        <w:t xml:space="preserve"> </w:t>
      </w:r>
      <w:r w:rsidR="0014379B" w:rsidRPr="00191075">
        <w:rPr>
          <w:lang w:val="es-ES_tradnl"/>
        </w:rPr>
        <w:t xml:space="preserve">relativa a las dificultades </w:t>
      </w:r>
      <w:r w:rsidR="008F14AB" w:rsidRPr="00191075">
        <w:rPr>
          <w:lang w:val="es-ES_tradnl"/>
        </w:rPr>
        <w:t>de</w:t>
      </w:r>
      <w:r w:rsidR="0014379B" w:rsidRPr="00191075">
        <w:rPr>
          <w:lang w:val="es-ES_tradnl"/>
        </w:rPr>
        <w:t xml:space="preserve"> acceso</w:t>
      </w:r>
      <w:r w:rsidR="008F14AB" w:rsidRPr="00191075">
        <w:rPr>
          <w:lang w:val="es-ES_tradnl"/>
        </w:rPr>
        <w:t xml:space="preserve"> asequible</w:t>
      </w:r>
      <w:r w:rsidR="0014379B" w:rsidRPr="00191075">
        <w:rPr>
          <w:lang w:val="es-ES_tradnl"/>
        </w:rPr>
        <w:t xml:space="preserve"> a</w:t>
      </w:r>
      <w:r w:rsidR="00CA1E96" w:rsidRPr="00191075">
        <w:rPr>
          <w:lang w:val="es-ES_tradnl"/>
        </w:rPr>
        <w:t xml:space="preserve"> </w:t>
      </w:r>
      <w:r w:rsidR="0014379B" w:rsidRPr="00191075">
        <w:rPr>
          <w:lang w:val="es-ES_tradnl"/>
        </w:rPr>
        <w:t>medicamentos de alto costo</w:t>
      </w:r>
      <w:r w:rsidR="008F14AB" w:rsidRPr="00191075">
        <w:rPr>
          <w:lang w:val="es-ES_tradnl"/>
        </w:rPr>
        <w:t xml:space="preserve"> (</w:t>
      </w:r>
      <w:r w:rsidR="0098757F" w:rsidRPr="00191075">
        <w:rPr>
          <w:lang w:val="es-ES_tradnl"/>
        </w:rPr>
        <w:t>a</w:t>
      </w:r>
      <w:r w:rsidR="008F14AB" w:rsidRPr="00191075">
        <w:rPr>
          <w:lang w:val="es-ES_tradnl"/>
        </w:rPr>
        <w:t>rt. 12)</w:t>
      </w:r>
      <w:r w:rsidR="00144544" w:rsidRPr="00191075">
        <w:rPr>
          <w:lang w:val="es-ES_tradnl"/>
        </w:rPr>
        <w:t xml:space="preserve">. </w:t>
      </w:r>
    </w:p>
    <w:p w14:paraId="1DAE43A7" w14:textId="24A8E1E6" w:rsidR="004B3F96" w:rsidRPr="00191075" w:rsidRDefault="00CE22BA" w:rsidP="00345104">
      <w:pPr>
        <w:pStyle w:val="SingleTxtG"/>
        <w:rPr>
          <w:b/>
          <w:lang w:val="es-ES_tradnl"/>
        </w:rPr>
      </w:pPr>
      <w:r w:rsidRPr="00345104">
        <w:rPr>
          <w:lang w:val="es-ES_tradnl"/>
        </w:rPr>
        <w:lastRenderedPageBreak/>
        <w:t>47.</w:t>
      </w:r>
      <w:r w:rsidRPr="00345104">
        <w:rPr>
          <w:lang w:val="es-ES_tradnl"/>
        </w:rPr>
        <w:tab/>
      </w:r>
      <w:r w:rsidR="004B3F96" w:rsidRPr="00191075">
        <w:rPr>
          <w:b/>
          <w:lang w:val="es-ES_tradnl"/>
        </w:rPr>
        <w:t xml:space="preserve">El Comité recomienda al Estado parte que acelere el proceso de discusión y aprobación del proyecto de ley mencionado por la delegación durante el diálogo para garantizar el acceso </w:t>
      </w:r>
      <w:r w:rsidR="008F14AB" w:rsidRPr="00191075">
        <w:rPr>
          <w:b/>
          <w:lang w:val="es-ES_tradnl"/>
        </w:rPr>
        <w:t xml:space="preserve">asequible </w:t>
      </w:r>
      <w:r w:rsidR="004B3F96" w:rsidRPr="00191075">
        <w:rPr>
          <w:b/>
          <w:lang w:val="es-ES_tradnl"/>
        </w:rPr>
        <w:t xml:space="preserve">a </w:t>
      </w:r>
      <w:r w:rsidR="008F14AB" w:rsidRPr="00191075">
        <w:rPr>
          <w:b/>
          <w:lang w:val="es-ES_tradnl"/>
        </w:rPr>
        <w:t xml:space="preserve">todos los </w:t>
      </w:r>
      <w:r w:rsidR="004B3F96" w:rsidRPr="00191075">
        <w:rPr>
          <w:b/>
          <w:lang w:val="es-ES_tradnl"/>
        </w:rPr>
        <w:t>medicamentos</w:t>
      </w:r>
      <w:r w:rsidR="008F14AB" w:rsidRPr="00191075">
        <w:rPr>
          <w:b/>
          <w:lang w:val="es-ES_tradnl"/>
        </w:rPr>
        <w:t xml:space="preserve"> necesarios para la garantía del derecho a la salud. </w:t>
      </w:r>
      <w:r w:rsidR="004B3F96" w:rsidRPr="00191075">
        <w:rPr>
          <w:b/>
          <w:lang w:val="es-ES_tradnl"/>
        </w:rPr>
        <w:t xml:space="preserve"> </w:t>
      </w:r>
    </w:p>
    <w:p w14:paraId="1D32E3C2" w14:textId="2A0EFEF4" w:rsidR="008F14AB" w:rsidRPr="00345104" w:rsidRDefault="00176057" w:rsidP="00345104">
      <w:pPr>
        <w:pStyle w:val="H23G"/>
        <w:rPr>
          <w:lang w:val="es-ES_tradnl"/>
        </w:rPr>
      </w:pPr>
      <w:r w:rsidRPr="00345104">
        <w:rPr>
          <w:lang w:val="es-ES_tradnl"/>
        </w:rPr>
        <w:tab/>
      </w:r>
      <w:r w:rsidR="00B3742B" w:rsidRPr="00345104">
        <w:rPr>
          <w:lang w:val="es-ES_tradnl"/>
        </w:rPr>
        <w:tab/>
      </w:r>
      <w:r w:rsidR="008F14AB" w:rsidRPr="00345104">
        <w:rPr>
          <w:lang w:val="es-ES_tradnl"/>
        </w:rPr>
        <w:t>Vacunación</w:t>
      </w:r>
    </w:p>
    <w:p w14:paraId="1F7F7FFE" w14:textId="51D2465F" w:rsidR="0014379B" w:rsidRPr="00191075" w:rsidRDefault="00CE22BA" w:rsidP="00345104">
      <w:pPr>
        <w:pStyle w:val="SingleTxtG"/>
        <w:rPr>
          <w:b/>
          <w:lang w:val="es-ES_tradnl"/>
        </w:rPr>
      </w:pPr>
      <w:r w:rsidRPr="00345104">
        <w:rPr>
          <w:lang w:val="es-ES_tradnl"/>
        </w:rPr>
        <w:t>48.</w:t>
      </w:r>
      <w:r w:rsidRPr="00345104">
        <w:rPr>
          <w:lang w:val="es-ES_tradnl"/>
        </w:rPr>
        <w:tab/>
      </w:r>
      <w:r w:rsidR="004B3F96" w:rsidRPr="00191075">
        <w:rPr>
          <w:lang w:val="es-ES_tradnl"/>
        </w:rPr>
        <w:t>A</w:t>
      </w:r>
      <w:r w:rsidR="00144544" w:rsidRPr="00191075">
        <w:rPr>
          <w:lang w:val="es-ES_tradnl"/>
        </w:rPr>
        <w:t>l Comité le preocupa la información sobre el importante número de niños que están quedando sin vacunar a pesar de las recomendaciones y medios puestos a disposición por las autoridades públicas sanitarias</w:t>
      </w:r>
      <w:r w:rsidR="0014379B" w:rsidRPr="00191075">
        <w:rPr>
          <w:lang w:val="es-ES_tradnl"/>
        </w:rPr>
        <w:t xml:space="preserve"> (</w:t>
      </w:r>
      <w:r w:rsidR="0098757F" w:rsidRPr="00191075">
        <w:rPr>
          <w:lang w:val="es-ES_tradnl"/>
        </w:rPr>
        <w:t>a</w:t>
      </w:r>
      <w:r w:rsidR="0014379B" w:rsidRPr="00191075">
        <w:rPr>
          <w:lang w:val="es-ES_tradnl"/>
        </w:rPr>
        <w:t xml:space="preserve">rt. 12). </w:t>
      </w:r>
    </w:p>
    <w:p w14:paraId="795E035E" w14:textId="2E0ACD3B" w:rsidR="0014379B" w:rsidRPr="00345104" w:rsidRDefault="00CE22BA" w:rsidP="00345104">
      <w:pPr>
        <w:pStyle w:val="SingleTxtG"/>
        <w:rPr>
          <w:b/>
          <w:lang w:val="es-ES_tradnl"/>
        </w:rPr>
      </w:pPr>
      <w:r w:rsidRPr="00345104">
        <w:rPr>
          <w:lang w:val="es-ES_tradnl"/>
        </w:rPr>
        <w:t>49.</w:t>
      </w:r>
      <w:r w:rsidRPr="00345104">
        <w:rPr>
          <w:lang w:val="es-ES_tradnl"/>
        </w:rPr>
        <w:tab/>
      </w:r>
      <w:r w:rsidR="00144544" w:rsidRPr="00191075">
        <w:rPr>
          <w:b/>
          <w:lang w:val="es-ES_tradnl"/>
        </w:rPr>
        <w:t>El Comité recomienda al Estado parte que asegure la vacunación de acuerdo a los criterios establecidos del Ministerio de Salud y la Organización Mundial de la Salud</w:t>
      </w:r>
      <w:r w:rsidR="00A17215" w:rsidRPr="00191075">
        <w:rPr>
          <w:b/>
          <w:lang w:val="es-ES_tradnl"/>
        </w:rPr>
        <w:t xml:space="preserve"> (OMS)</w:t>
      </w:r>
      <w:r w:rsidR="00144544" w:rsidRPr="00191075">
        <w:rPr>
          <w:b/>
          <w:lang w:val="es-ES_tradnl"/>
        </w:rPr>
        <w:t>.</w:t>
      </w:r>
      <w:r w:rsidR="0014379B" w:rsidRPr="00191075">
        <w:rPr>
          <w:b/>
          <w:lang w:val="es-ES_tradnl"/>
        </w:rPr>
        <w:t xml:space="preserve"> El Comité señala a la atención del Estado parte su observación general núm</w:t>
      </w:r>
      <w:r w:rsidR="005922B7" w:rsidRPr="00191075">
        <w:rPr>
          <w:b/>
          <w:lang w:val="es-ES_tradnl"/>
        </w:rPr>
        <w:t xml:space="preserve">. </w:t>
      </w:r>
      <w:r w:rsidR="0014379B" w:rsidRPr="00191075">
        <w:rPr>
          <w:b/>
          <w:lang w:val="es-ES_tradnl"/>
        </w:rPr>
        <w:t xml:space="preserve">14 (2000) sobre el derecho al disfrute del más alto nivel posible de salud. </w:t>
      </w:r>
    </w:p>
    <w:p w14:paraId="26B43405" w14:textId="4EFE8932" w:rsidR="0014379B" w:rsidRPr="00345104" w:rsidRDefault="0026337A" w:rsidP="0026337A">
      <w:pPr>
        <w:pStyle w:val="H23G"/>
        <w:rPr>
          <w:lang w:val="es-ES_tradnl"/>
        </w:rPr>
      </w:pPr>
      <w:r w:rsidRPr="00345104">
        <w:rPr>
          <w:lang w:val="es-ES_tradnl"/>
        </w:rPr>
        <w:tab/>
      </w:r>
      <w:r w:rsidRPr="00345104">
        <w:rPr>
          <w:lang w:val="es-ES_tradnl"/>
        </w:rPr>
        <w:tab/>
      </w:r>
      <w:r w:rsidR="0014379B" w:rsidRPr="00345104">
        <w:rPr>
          <w:lang w:val="es-ES_tradnl"/>
        </w:rPr>
        <w:t>Salud sexual y reproductiva</w:t>
      </w:r>
    </w:p>
    <w:p w14:paraId="6A3C7BDB" w14:textId="50FA8A02" w:rsidR="0014379B" w:rsidRPr="00191075" w:rsidRDefault="00CE22BA" w:rsidP="00345104">
      <w:pPr>
        <w:pStyle w:val="SingleTxtG"/>
        <w:rPr>
          <w:lang w:val="es-ES_tradnl"/>
        </w:rPr>
      </w:pPr>
      <w:r w:rsidRPr="00345104">
        <w:rPr>
          <w:lang w:val="es-ES_tradnl"/>
        </w:rPr>
        <w:t>50.</w:t>
      </w:r>
      <w:r w:rsidRPr="00345104">
        <w:rPr>
          <w:lang w:val="es-ES_tradnl"/>
        </w:rPr>
        <w:tab/>
      </w:r>
      <w:r w:rsidR="0014379B" w:rsidRPr="00191075">
        <w:rPr>
          <w:lang w:val="es-ES_tradnl"/>
        </w:rPr>
        <w:t xml:space="preserve">Aun cuando el Comité celebra los avances realizados por el Estado parte en materia de salud sexual y reproductiva, en particular la adopción de la Ley </w:t>
      </w:r>
      <w:r w:rsidR="005922B7" w:rsidRPr="00191075">
        <w:rPr>
          <w:lang w:val="es-ES_tradnl"/>
        </w:rPr>
        <w:t xml:space="preserve">núm. </w:t>
      </w:r>
      <w:r w:rsidR="0014379B" w:rsidRPr="00191075">
        <w:rPr>
          <w:lang w:val="es-ES_tradnl"/>
        </w:rPr>
        <w:t xml:space="preserve">18987 sobre </w:t>
      </w:r>
      <w:r w:rsidR="00EA1755">
        <w:rPr>
          <w:lang w:val="es-ES_tradnl"/>
        </w:rPr>
        <w:t>I</w:t>
      </w:r>
      <w:r w:rsidR="0014379B" w:rsidRPr="00191075">
        <w:rPr>
          <w:lang w:val="es-ES_tradnl"/>
        </w:rPr>
        <w:t xml:space="preserve">nterrupción </w:t>
      </w:r>
      <w:r w:rsidR="00EA1755">
        <w:rPr>
          <w:lang w:val="es-ES_tradnl"/>
        </w:rPr>
        <w:t>V</w:t>
      </w:r>
      <w:r w:rsidR="0014379B" w:rsidRPr="00191075">
        <w:rPr>
          <w:lang w:val="es-ES_tradnl"/>
        </w:rPr>
        <w:t xml:space="preserve">oluntaria del </w:t>
      </w:r>
      <w:r w:rsidR="00EA1755">
        <w:rPr>
          <w:lang w:val="es-ES_tradnl"/>
        </w:rPr>
        <w:t>E</w:t>
      </w:r>
      <w:r w:rsidR="0014379B" w:rsidRPr="00191075">
        <w:rPr>
          <w:lang w:val="es-ES_tradnl"/>
        </w:rPr>
        <w:t xml:space="preserve">mbarazo, le preocupan: </w:t>
      </w:r>
    </w:p>
    <w:p w14:paraId="73EF42E9" w14:textId="368D4CB0" w:rsidR="0014379B" w:rsidRPr="00191075" w:rsidRDefault="00CE22BA" w:rsidP="00345104">
      <w:pPr>
        <w:pStyle w:val="SingleTxtG"/>
        <w:ind w:firstLine="567"/>
        <w:rPr>
          <w:lang w:val="es-ES_tradnl"/>
        </w:rPr>
      </w:pPr>
      <w:r w:rsidRPr="00191075">
        <w:rPr>
          <w:lang w:val="es-ES_tradnl"/>
        </w:rPr>
        <w:t>a)</w:t>
      </w:r>
      <w:r w:rsidRPr="00191075">
        <w:rPr>
          <w:lang w:val="es-ES_tradnl"/>
        </w:rPr>
        <w:tab/>
      </w:r>
      <w:r w:rsidR="0014379B" w:rsidRPr="00191075">
        <w:rPr>
          <w:lang w:val="es-ES_tradnl"/>
        </w:rPr>
        <w:t>Las</w:t>
      </w:r>
      <w:r w:rsidR="00A67BC0" w:rsidRPr="00191075">
        <w:rPr>
          <w:lang w:val="es-ES_tradnl"/>
        </w:rPr>
        <w:t xml:space="preserve"> dificultades en el acceso a información y servicios de salud sexual y reproductiva </w:t>
      </w:r>
      <w:r w:rsidR="0014379B" w:rsidRPr="00191075">
        <w:rPr>
          <w:lang w:val="es-ES_tradnl"/>
        </w:rPr>
        <w:t>en</w:t>
      </w:r>
      <w:r w:rsidR="00A67BC0" w:rsidRPr="00191075">
        <w:rPr>
          <w:lang w:val="es-ES_tradnl"/>
        </w:rPr>
        <w:t xml:space="preserve"> las </w:t>
      </w:r>
      <w:r w:rsidR="0014379B" w:rsidRPr="00191075">
        <w:rPr>
          <w:lang w:val="es-ES_tradnl"/>
        </w:rPr>
        <w:t xml:space="preserve">zonas rurales; </w:t>
      </w:r>
    </w:p>
    <w:p w14:paraId="348CDB16" w14:textId="4662D58B" w:rsidR="0014379B" w:rsidRPr="00191075" w:rsidRDefault="00CE22BA" w:rsidP="00345104">
      <w:pPr>
        <w:pStyle w:val="SingleTxtG"/>
        <w:ind w:firstLine="567"/>
        <w:rPr>
          <w:lang w:val="es-ES_tradnl"/>
        </w:rPr>
      </w:pPr>
      <w:r w:rsidRPr="00191075">
        <w:rPr>
          <w:lang w:val="es-ES_tradnl"/>
        </w:rPr>
        <w:t>b)</w:t>
      </w:r>
      <w:r w:rsidRPr="00191075">
        <w:rPr>
          <w:lang w:val="es-ES_tradnl"/>
        </w:rPr>
        <w:tab/>
      </w:r>
      <w:r w:rsidR="0014379B" w:rsidRPr="00191075">
        <w:rPr>
          <w:lang w:val="es-ES_tradnl"/>
        </w:rPr>
        <w:t>Las dificultades enfrentadas</w:t>
      </w:r>
      <w:r w:rsidR="00144544" w:rsidRPr="00191075">
        <w:rPr>
          <w:lang w:val="es-ES_tradnl"/>
        </w:rPr>
        <w:t>, en ocasiones,</w:t>
      </w:r>
      <w:r w:rsidR="0014379B" w:rsidRPr="00191075">
        <w:rPr>
          <w:lang w:val="es-ES_tradnl"/>
        </w:rPr>
        <w:t xml:space="preserve"> en el acceso a la interrupción voluntaria del embarazo</w:t>
      </w:r>
      <w:r w:rsidR="000907B5" w:rsidRPr="00191075">
        <w:rPr>
          <w:lang w:val="es-ES_tradnl"/>
        </w:rPr>
        <w:t xml:space="preserve"> particularmente fuera de Montevideo y en las zonas rurales</w:t>
      </w:r>
      <w:r w:rsidR="0014379B" w:rsidRPr="00191075">
        <w:rPr>
          <w:lang w:val="es-ES_tradnl"/>
        </w:rPr>
        <w:t>, debido al ejercicio de objeción de conciencia por parte de médicos y personal médico</w:t>
      </w:r>
      <w:r w:rsidR="007611D0" w:rsidRPr="00191075">
        <w:rPr>
          <w:lang w:val="es-ES_tradnl"/>
        </w:rPr>
        <w:t>,</w:t>
      </w:r>
      <w:r w:rsidR="00A67BC0" w:rsidRPr="00191075">
        <w:rPr>
          <w:lang w:val="es-ES_tradnl"/>
        </w:rPr>
        <w:t xml:space="preserve"> y la falta de un mecanismo efectivo que garantice </w:t>
      </w:r>
      <w:r w:rsidR="007611D0" w:rsidRPr="00191075">
        <w:rPr>
          <w:lang w:val="es-ES_tradnl"/>
        </w:rPr>
        <w:t xml:space="preserve">su </w:t>
      </w:r>
      <w:r w:rsidR="00A67BC0" w:rsidRPr="00191075">
        <w:rPr>
          <w:lang w:val="es-ES_tradnl"/>
        </w:rPr>
        <w:t>acceso</w:t>
      </w:r>
      <w:r w:rsidR="0014379B" w:rsidRPr="00191075">
        <w:rPr>
          <w:lang w:val="es-ES_tradnl"/>
        </w:rPr>
        <w:t>;</w:t>
      </w:r>
    </w:p>
    <w:p w14:paraId="4DD76B04" w14:textId="65C3CD3C" w:rsidR="0014379B" w:rsidRPr="00191075" w:rsidRDefault="00CE22BA" w:rsidP="00345104">
      <w:pPr>
        <w:pStyle w:val="SingleTxtG"/>
        <w:ind w:firstLine="567"/>
        <w:rPr>
          <w:lang w:val="es-ES_tradnl"/>
        </w:rPr>
      </w:pPr>
      <w:r w:rsidRPr="00191075">
        <w:rPr>
          <w:lang w:val="es-ES_tradnl"/>
        </w:rPr>
        <w:t>c)</w:t>
      </w:r>
      <w:r w:rsidRPr="00191075">
        <w:rPr>
          <w:lang w:val="es-ES_tradnl"/>
        </w:rPr>
        <w:tab/>
      </w:r>
      <w:r w:rsidR="0014379B" w:rsidRPr="00345104">
        <w:rPr>
          <w:color w:val="000000"/>
          <w:lang w:val="es-ES_tradnl"/>
        </w:rPr>
        <w:t>Las altas tasas de embarazo adolescente, debido en parte a la falta de servicios de salud sexual y reproductiva e información adecuados</w:t>
      </w:r>
      <w:r w:rsidR="00112401" w:rsidRPr="00345104">
        <w:rPr>
          <w:color w:val="000000"/>
          <w:lang w:val="es-ES_tradnl"/>
        </w:rPr>
        <w:t xml:space="preserve"> para prevenir embarazos no deseados</w:t>
      </w:r>
      <w:r w:rsidR="0014379B" w:rsidRPr="00191075">
        <w:rPr>
          <w:lang w:val="es-ES_tradnl"/>
        </w:rPr>
        <w:t xml:space="preserve"> (</w:t>
      </w:r>
      <w:r w:rsidR="00AD6FC8" w:rsidRPr="00191075">
        <w:rPr>
          <w:lang w:val="es-ES_tradnl"/>
        </w:rPr>
        <w:t>a</w:t>
      </w:r>
      <w:r w:rsidR="0014379B" w:rsidRPr="00191075">
        <w:rPr>
          <w:lang w:val="es-ES_tradnl"/>
        </w:rPr>
        <w:t xml:space="preserve">rt. 12). </w:t>
      </w:r>
    </w:p>
    <w:p w14:paraId="5C314BFF" w14:textId="18892996" w:rsidR="0014379B" w:rsidRPr="00345104" w:rsidRDefault="00CE22BA" w:rsidP="00345104">
      <w:pPr>
        <w:pStyle w:val="SingleTxtG"/>
        <w:rPr>
          <w:b/>
          <w:lang w:val="es-ES_tradnl"/>
        </w:rPr>
      </w:pPr>
      <w:r w:rsidRPr="00345104">
        <w:rPr>
          <w:lang w:val="es-ES_tradnl"/>
        </w:rPr>
        <w:t>51.</w:t>
      </w:r>
      <w:r w:rsidRPr="00345104">
        <w:rPr>
          <w:lang w:val="es-ES_tradnl"/>
        </w:rPr>
        <w:tab/>
      </w:r>
      <w:r w:rsidR="0014379B" w:rsidRPr="00345104">
        <w:rPr>
          <w:b/>
          <w:lang w:val="es-ES_tradnl"/>
        </w:rPr>
        <w:t xml:space="preserve">El Comité recomienda al Estado parte que: </w:t>
      </w:r>
    </w:p>
    <w:p w14:paraId="4A9BEE37" w14:textId="670AB528" w:rsidR="0014379B" w:rsidRPr="00191075" w:rsidRDefault="00CE22BA" w:rsidP="00345104">
      <w:pPr>
        <w:pStyle w:val="SingleTxtG"/>
        <w:ind w:firstLine="567"/>
        <w:rPr>
          <w:b/>
          <w:lang w:val="es-ES_tradnl"/>
        </w:rPr>
      </w:pPr>
      <w:r w:rsidRPr="00191075">
        <w:rPr>
          <w:b/>
          <w:lang w:val="es-ES_tradnl"/>
        </w:rPr>
        <w:t>a)</w:t>
      </w:r>
      <w:r w:rsidRPr="00191075">
        <w:rPr>
          <w:b/>
          <w:lang w:val="es-ES_tradnl"/>
        </w:rPr>
        <w:tab/>
      </w:r>
      <w:r w:rsidR="0014379B" w:rsidRPr="00191075">
        <w:rPr>
          <w:b/>
          <w:lang w:val="es-ES_tradnl"/>
        </w:rPr>
        <w:t xml:space="preserve">Intensifique sus esfuerzos para garantizar la accesibilidad y disponibilidad de los servicios de salud sexual y reproductiva para todas las mujeres y adolescentes, especialmente en las zonas rurales; </w:t>
      </w:r>
    </w:p>
    <w:p w14:paraId="03463F59" w14:textId="48284CF8" w:rsidR="0014379B" w:rsidRPr="00191075" w:rsidRDefault="00CE22BA" w:rsidP="00345104">
      <w:pPr>
        <w:pStyle w:val="SingleTxtG"/>
        <w:ind w:firstLine="567"/>
        <w:rPr>
          <w:b/>
          <w:lang w:val="es-ES_tradnl"/>
        </w:rPr>
      </w:pPr>
      <w:r w:rsidRPr="00191075">
        <w:rPr>
          <w:b/>
          <w:lang w:val="es-ES_tradnl"/>
        </w:rPr>
        <w:t>b)</w:t>
      </w:r>
      <w:r w:rsidRPr="00191075">
        <w:rPr>
          <w:b/>
          <w:lang w:val="es-ES_tradnl"/>
        </w:rPr>
        <w:tab/>
      </w:r>
      <w:r w:rsidR="000907B5" w:rsidRPr="00191075">
        <w:rPr>
          <w:b/>
          <w:lang w:val="es-ES_tradnl"/>
        </w:rPr>
        <w:t>S</w:t>
      </w:r>
      <w:r w:rsidR="0014379B" w:rsidRPr="00191075">
        <w:rPr>
          <w:b/>
          <w:lang w:val="es-ES_tradnl"/>
        </w:rPr>
        <w:t>e asegure que el ejercicio de la objeción de conciencia no</w:t>
      </w:r>
      <w:r w:rsidR="000907B5" w:rsidRPr="00191075">
        <w:rPr>
          <w:b/>
          <w:lang w:val="es-ES_tradnl"/>
        </w:rPr>
        <w:t xml:space="preserve"> sea un</w:t>
      </w:r>
      <w:r w:rsidR="0014379B" w:rsidRPr="00191075">
        <w:rPr>
          <w:b/>
          <w:lang w:val="es-ES_tradnl"/>
        </w:rPr>
        <w:t xml:space="preserve"> </w:t>
      </w:r>
      <w:r w:rsidR="000907B5" w:rsidRPr="00191075">
        <w:rPr>
          <w:b/>
          <w:lang w:val="es-ES_tradnl"/>
        </w:rPr>
        <w:t xml:space="preserve">obstáculo para </w:t>
      </w:r>
      <w:r w:rsidR="0014379B" w:rsidRPr="00191075">
        <w:rPr>
          <w:b/>
          <w:lang w:val="es-ES_tradnl"/>
        </w:rPr>
        <w:t>que las mujeres tengan acceso a servicios de salud sexual y reproductiva, particularmente a la interrupción voluntaria del embarazo</w:t>
      </w:r>
      <w:r w:rsidR="00F320A5" w:rsidRPr="00191075">
        <w:rPr>
          <w:b/>
          <w:lang w:val="es-ES_tradnl"/>
        </w:rPr>
        <w:t xml:space="preserve"> y asegure </w:t>
      </w:r>
      <w:r w:rsidR="0014379B" w:rsidRPr="00191075">
        <w:rPr>
          <w:b/>
          <w:lang w:val="es-ES_tradnl"/>
        </w:rPr>
        <w:t xml:space="preserve">la aplicación efectiva del </w:t>
      </w:r>
      <w:r w:rsidR="0003472F" w:rsidRPr="00191075">
        <w:rPr>
          <w:b/>
          <w:lang w:val="es-ES_tradnl"/>
        </w:rPr>
        <w:t>M</w:t>
      </w:r>
      <w:r w:rsidR="0014379B" w:rsidRPr="00191075">
        <w:rPr>
          <w:b/>
          <w:lang w:val="es-ES_tradnl"/>
        </w:rPr>
        <w:t xml:space="preserve">anual de </w:t>
      </w:r>
      <w:r w:rsidR="0003472F" w:rsidRPr="00191075">
        <w:rPr>
          <w:b/>
          <w:lang w:val="es-ES_tradnl"/>
        </w:rPr>
        <w:t>Procedimiento</w:t>
      </w:r>
      <w:r w:rsidR="00E35029" w:rsidRPr="00191075">
        <w:rPr>
          <w:b/>
          <w:lang w:val="es-ES_tradnl"/>
        </w:rPr>
        <w:t>s</w:t>
      </w:r>
      <w:r w:rsidR="0003472F" w:rsidRPr="00191075">
        <w:rPr>
          <w:b/>
          <w:lang w:val="es-ES_tradnl"/>
        </w:rPr>
        <w:t xml:space="preserve"> </w:t>
      </w:r>
      <w:r w:rsidR="00614820" w:rsidRPr="00191075">
        <w:rPr>
          <w:b/>
          <w:lang w:val="es-ES_tradnl"/>
        </w:rPr>
        <w:t xml:space="preserve">para el </w:t>
      </w:r>
      <w:r w:rsidR="0003472F" w:rsidRPr="00191075">
        <w:rPr>
          <w:b/>
          <w:lang w:val="es-ES_tradnl"/>
        </w:rPr>
        <w:t xml:space="preserve">Manejo Sanitario </w:t>
      </w:r>
      <w:r w:rsidR="0014379B" w:rsidRPr="00191075">
        <w:rPr>
          <w:b/>
          <w:lang w:val="es-ES_tradnl"/>
        </w:rPr>
        <w:t>de</w:t>
      </w:r>
      <w:r w:rsidR="00614820" w:rsidRPr="00191075">
        <w:rPr>
          <w:b/>
          <w:lang w:val="es-ES_tradnl"/>
        </w:rPr>
        <w:t xml:space="preserve"> </w:t>
      </w:r>
      <w:r w:rsidR="0014379B" w:rsidRPr="00191075">
        <w:rPr>
          <w:b/>
          <w:lang w:val="es-ES_tradnl"/>
        </w:rPr>
        <w:t>l</w:t>
      </w:r>
      <w:r w:rsidR="00614820" w:rsidRPr="00191075">
        <w:rPr>
          <w:b/>
          <w:lang w:val="es-ES_tradnl"/>
        </w:rPr>
        <w:t>a Interrupción Voluntaria del Embarazo</w:t>
      </w:r>
      <w:r w:rsidR="0003472F" w:rsidRPr="00191075">
        <w:rPr>
          <w:b/>
          <w:lang w:val="es-ES_tradnl"/>
        </w:rPr>
        <w:t xml:space="preserve"> </w:t>
      </w:r>
      <w:r w:rsidR="0014379B" w:rsidRPr="00191075">
        <w:rPr>
          <w:b/>
          <w:lang w:val="es-ES_tradnl"/>
        </w:rPr>
        <w:t xml:space="preserve">mencionado por la delegación; </w:t>
      </w:r>
    </w:p>
    <w:p w14:paraId="6E351E08" w14:textId="4D1DB237" w:rsidR="0014379B" w:rsidRPr="00191075" w:rsidRDefault="00CE22BA" w:rsidP="00345104">
      <w:pPr>
        <w:pStyle w:val="SingleTxtG"/>
        <w:ind w:firstLine="567"/>
        <w:rPr>
          <w:b/>
          <w:lang w:val="es-ES_tradnl"/>
        </w:rPr>
      </w:pPr>
      <w:r w:rsidRPr="00191075">
        <w:rPr>
          <w:b/>
          <w:lang w:val="es-ES_tradnl"/>
        </w:rPr>
        <w:t>c)</w:t>
      </w:r>
      <w:r w:rsidRPr="00191075">
        <w:rPr>
          <w:b/>
          <w:lang w:val="es-ES_tradnl"/>
        </w:rPr>
        <w:tab/>
      </w:r>
      <w:r w:rsidR="0014379B" w:rsidRPr="00191075">
        <w:rPr>
          <w:b/>
          <w:lang w:val="es-ES_tradnl"/>
        </w:rPr>
        <w:t>Redoble sus esfuerzos para reducir las altas tasas de embarazos de adolescentes, especialmente entre</w:t>
      </w:r>
      <w:r w:rsidR="00B03C75" w:rsidRPr="00191075">
        <w:rPr>
          <w:b/>
          <w:lang w:val="es-ES_tradnl"/>
        </w:rPr>
        <w:t xml:space="preserve"> </w:t>
      </w:r>
      <w:r w:rsidR="0014379B" w:rsidRPr="00191075">
        <w:rPr>
          <w:b/>
          <w:lang w:val="es-ES_tradnl"/>
        </w:rPr>
        <w:t>aqu</w:t>
      </w:r>
      <w:r w:rsidR="00E35029" w:rsidRPr="00191075">
        <w:rPr>
          <w:b/>
          <w:lang w:val="es-ES_tradnl"/>
        </w:rPr>
        <w:t>e</w:t>
      </w:r>
      <w:r w:rsidR="0014379B" w:rsidRPr="00191075">
        <w:rPr>
          <w:b/>
          <w:lang w:val="es-ES_tradnl"/>
        </w:rPr>
        <w:t>llas de familias de bajos ingresos, entre otros</w:t>
      </w:r>
      <w:r w:rsidR="00E35029" w:rsidRPr="00191075">
        <w:rPr>
          <w:b/>
          <w:lang w:val="es-ES_tradnl"/>
        </w:rPr>
        <w:t>,</w:t>
      </w:r>
      <w:r w:rsidR="0014379B" w:rsidRPr="00191075">
        <w:rPr>
          <w:b/>
          <w:lang w:val="es-ES_tradnl"/>
        </w:rPr>
        <w:t xml:space="preserve"> asegurando que los programas escolares sobre salud sexual y reproductiva sean apropiados a cada edad y sean debidamente implementados. </w:t>
      </w:r>
    </w:p>
    <w:p w14:paraId="06CDFFF0" w14:textId="074AC5F2" w:rsidR="0014379B" w:rsidRPr="00345104" w:rsidRDefault="00CE22BA" w:rsidP="00345104">
      <w:pPr>
        <w:pStyle w:val="SingleTxtG"/>
        <w:rPr>
          <w:b/>
          <w:lang w:val="es-ES_tradnl"/>
        </w:rPr>
      </w:pPr>
      <w:r w:rsidRPr="00345104">
        <w:rPr>
          <w:lang w:val="es-ES_tradnl"/>
        </w:rPr>
        <w:t>52.</w:t>
      </w:r>
      <w:r w:rsidRPr="00345104">
        <w:rPr>
          <w:lang w:val="es-ES_tradnl"/>
        </w:rPr>
        <w:tab/>
      </w:r>
      <w:r w:rsidR="0014379B" w:rsidRPr="00345104">
        <w:rPr>
          <w:b/>
          <w:lang w:val="es-ES_tradnl"/>
        </w:rPr>
        <w:t xml:space="preserve">A </w:t>
      </w:r>
      <w:r w:rsidR="0014379B" w:rsidRPr="00191075">
        <w:rPr>
          <w:b/>
          <w:lang w:val="es-ES_tradnl"/>
        </w:rPr>
        <w:t>este</w:t>
      </w:r>
      <w:r w:rsidR="0014379B" w:rsidRPr="00345104">
        <w:rPr>
          <w:b/>
          <w:lang w:val="es-ES_tradnl"/>
        </w:rPr>
        <w:t xml:space="preserve"> respecto, el Comité remite al Estado parte a su observación general núm.</w:t>
      </w:r>
      <w:r w:rsidR="00E708C3" w:rsidRPr="00345104">
        <w:rPr>
          <w:b/>
          <w:lang w:val="es-ES_tradnl"/>
        </w:rPr>
        <w:t> </w:t>
      </w:r>
      <w:r w:rsidR="0014379B" w:rsidRPr="00345104">
        <w:rPr>
          <w:b/>
          <w:lang w:val="es-ES_tradnl"/>
        </w:rPr>
        <w:t>22 (2016) sobre el derecho a la salud sexual y reproductiva.</w:t>
      </w:r>
    </w:p>
    <w:p w14:paraId="1DDCF628" w14:textId="5D00F98F" w:rsidR="003E3C14" w:rsidRPr="00345104" w:rsidRDefault="0014379B" w:rsidP="0026337A">
      <w:pPr>
        <w:pStyle w:val="H23G"/>
        <w:rPr>
          <w:lang w:val="es-ES_tradnl"/>
        </w:rPr>
      </w:pPr>
      <w:r w:rsidRPr="00345104">
        <w:rPr>
          <w:lang w:val="es-ES_tradnl"/>
        </w:rPr>
        <w:tab/>
      </w:r>
      <w:r w:rsidRPr="00345104">
        <w:rPr>
          <w:lang w:val="es-ES_tradnl"/>
        </w:rPr>
        <w:tab/>
      </w:r>
      <w:r w:rsidR="001D5B7D" w:rsidRPr="00345104">
        <w:rPr>
          <w:lang w:val="es-ES_tradnl"/>
        </w:rPr>
        <w:t xml:space="preserve">Salud mental </w:t>
      </w:r>
    </w:p>
    <w:p w14:paraId="2EFB03AD" w14:textId="30400868" w:rsidR="001D5B7D" w:rsidRPr="00345104" w:rsidRDefault="00CE22BA" w:rsidP="00345104">
      <w:pPr>
        <w:pStyle w:val="SingleTxtG"/>
        <w:rPr>
          <w:lang w:val="es-ES_tradnl"/>
        </w:rPr>
      </w:pPr>
      <w:r w:rsidRPr="00345104">
        <w:rPr>
          <w:lang w:val="es-ES_tradnl"/>
        </w:rPr>
        <w:t>53.</w:t>
      </w:r>
      <w:r w:rsidRPr="00345104">
        <w:rPr>
          <w:lang w:val="es-ES_tradnl"/>
        </w:rPr>
        <w:tab/>
      </w:r>
      <w:r w:rsidR="00311245" w:rsidRPr="00191075">
        <w:rPr>
          <w:lang w:val="es-ES_tradnl"/>
        </w:rPr>
        <w:t>El Comité toma</w:t>
      </w:r>
      <w:r w:rsidR="00B03C75" w:rsidRPr="00191075">
        <w:rPr>
          <w:lang w:val="es-ES_tradnl"/>
        </w:rPr>
        <w:t xml:space="preserve"> nota</w:t>
      </w:r>
      <w:r w:rsidR="00311245" w:rsidRPr="00191075">
        <w:rPr>
          <w:lang w:val="es-ES_tradnl"/>
        </w:rPr>
        <w:t xml:space="preserve"> del proyecto de </w:t>
      </w:r>
      <w:r w:rsidR="00E35029" w:rsidRPr="00191075">
        <w:rPr>
          <w:lang w:val="es-ES_tradnl"/>
        </w:rPr>
        <w:t>l</w:t>
      </w:r>
      <w:r w:rsidR="00311245" w:rsidRPr="00191075">
        <w:rPr>
          <w:lang w:val="es-ES_tradnl"/>
        </w:rPr>
        <w:t xml:space="preserve">ey sobre </w:t>
      </w:r>
      <w:r w:rsidR="00E35029" w:rsidRPr="00191075">
        <w:rPr>
          <w:lang w:val="es-ES_tradnl"/>
        </w:rPr>
        <w:t>s</w:t>
      </w:r>
      <w:r w:rsidR="00311245" w:rsidRPr="00191075">
        <w:rPr>
          <w:lang w:val="es-ES_tradnl"/>
        </w:rPr>
        <w:t xml:space="preserve">alud </w:t>
      </w:r>
      <w:r w:rsidR="00E35029" w:rsidRPr="00191075">
        <w:rPr>
          <w:lang w:val="es-ES_tradnl"/>
        </w:rPr>
        <w:t>m</w:t>
      </w:r>
      <w:r w:rsidR="00311245" w:rsidRPr="00191075">
        <w:rPr>
          <w:lang w:val="es-ES_tradnl"/>
        </w:rPr>
        <w:t>ental que se encuentra en discusión</w:t>
      </w:r>
      <w:r w:rsidR="00311245" w:rsidRPr="00345104">
        <w:rPr>
          <w:lang w:val="es-ES_tradnl"/>
        </w:rPr>
        <w:t xml:space="preserve"> en la Asamblea General</w:t>
      </w:r>
      <w:r w:rsidR="00CF2753" w:rsidRPr="00345104">
        <w:rPr>
          <w:lang w:val="es-ES_tradnl"/>
        </w:rPr>
        <w:t>. S</w:t>
      </w:r>
      <w:r w:rsidR="00311245" w:rsidRPr="00345104">
        <w:rPr>
          <w:lang w:val="es-ES_tradnl"/>
        </w:rPr>
        <w:t xml:space="preserve">in embargo, nota con preocupación la información sobre la falta de incorporación de </w:t>
      </w:r>
      <w:r w:rsidR="00B9170D" w:rsidRPr="00345104">
        <w:rPr>
          <w:lang w:val="es-ES_tradnl"/>
        </w:rPr>
        <w:t>un enfoque</w:t>
      </w:r>
      <w:r w:rsidR="00311245" w:rsidRPr="00345104">
        <w:rPr>
          <w:lang w:val="es-ES_tradnl"/>
        </w:rPr>
        <w:t xml:space="preserve"> de derechos humanos </w:t>
      </w:r>
      <w:r w:rsidR="005062CD" w:rsidRPr="00345104">
        <w:rPr>
          <w:lang w:val="es-ES_tradnl"/>
        </w:rPr>
        <w:t xml:space="preserve">y </w:t>
      </w:r>
      <w:r w:rsidR="00144544" w:rsidRPr="00345104">
        <w:rPr>
          <w:lang w:val="es-ES_tradnl"/>
        </w:rPr>
        <w:t xml:space="preserve">sobre la insuficiente independencia </w:t>
      </w:r>
      <w:r w:rsidR="004737DA" w:rsidRPr="00345104">
        <w:rPr>
          <w:lang w:val="es-ES_tradnl"/>
        </w:rPr>
        <w:t>prevista para</w:t>
      </w:r>
      <w:r w:rsidR="00D0501D" w:rsidRPr="00345104">
        <w:rPr>
          <w:lang w:val="es-ES_tradnl"/>
        </w:rPr>
        <w:t xml:space="preserve"> la</w:t>
      </w:r>
      <w:r w:rsidR="005062CD" w:rsidRPr="00345104">
        <w:rPr>
          <w:lang w:val="es-ES_tradnl"/>
        </w:rPr>
        <w:t xml:space="preserve"> </w:t>
      </w:r>
      <w:r w:rsidR="005062CD" w:rsidRPr="00345104">
        <w:rPr>
          <w:rFonts w:eastAsia="Calibri"/>
          <w:lang w:val="es-ES_tradnl"/>
        </w:rPr>
        <w:t xml:space="preserve">Comisión Nacional de Contralor de la Atención </w:t>
      </w:r>
      <w:r w:rsidR="00CF2753" w:rsidRPr="00345104">
        <w:rPr>
          <w:rFonts w:eastAsia="Calibri"/>
          <w:lang w:val="es-ES_tradnl"/>
        </w:rPr>
        <w:t>d</w:t>
      </w:r>
      <w:r w:rsidR="005062CD" w:rsidRPr="00345104">
        <w:rPr>
          <w:rFonts w:eastAsia="Calibri"/>
          <w:lang w:val="es-ES_tradnl"/>
        </w:rPr>
        <w:t xml:space="preserve">e Salud Mental </w:t>
      </w:r>
      <w:r w:rsidR="0016377E" w:rsidRPr="00345104">
        <w:rPr>
          <w:rFonts w:eastAsia="Calibri"/>
          <w:lang w:val="es-ES_tradnl"/>
        </w:rPr>
        <w:t xml:space="preserve">establecida </w:t>
      </w:r>
      <w:r w:rsidR="005062CD" w:rsidRPr="00345104">
        <w:rPr>
          <w:rFonts w:eastAsia="Calibri"/>
          <w:lang w:val="es-ES_tradnl"/>
        </w:rPr>
        <w:t>en el proyecto de ley (</w:t>
      </w:r>
      <w:r w:rsidR="00CF2753" w:rsidRPr="00345104">
        <w:rPr>
          <w:rFonts w:eastAsia="Calibri"/>
          <w:lang w:val="es-ES_tradnl"/>
        </w:rPr>
        <w:t>a</w:t>
      </w:r>
      <w:r w:rsidR="005062CD" w:rsidRPr="00345104">
        <w:rPr>
          <w:rFonts w:eastAsia="Calibri"/>
          <w:lang w:val="es-ES_tradnl"/>
        </w:rPr>
        <w:t xml:space="preserve">rt. 12). </w:t>
      </w:r>
    </w:p>
    <w:p w14:paraId="53B4A35B" w14:textId="42370275" w:rsidR="00D0501D" w:rsidRPr="00191075" w:rsidRDefault="00CE22BA" w:rsidP="00345104">
      <w:pPr>
        <w:pStyle w:val="SingleTxtG"/>
        <w:rPr>
          <w:b/>
          <w:lang w:val="es-ES_tradnl"/>
        </w:rPr>
      </w:pPr>
      <w:r w:rsidRPr="00345104">
        <w:rPr>
          <w:lang w:val="es-ES_tradnl"/>
        </w:rPr>
        <w:t>54.</w:t>
      </w:r>
      <w:r w:rsidRPr="00345104">
        <w:rPr>
          <w:lang w:val="es-ES_tradnl"/>
        </w:rPr>
        <w:tab/>
      </w:r>
      <w:r w:rsidR="005062CD" w:rsidRPr="00191075">
        <w:rPr>
          <w:b/>
          <w:lang w:val="es-ES_tradnl"/>
        </w:rPr>
        <w:t>El Comité recomienda al Estado parte</w:t>
      </w:r>
      <w:r w:rsidR="00D0501D" w:rsidRPr="00191075">
        <w:rPr>
          <w:b/>
          <w:lang w:val="es-ES_tradnl"/>
        </w:rPr>
        <w:t xml:space="preserve">: </w:t>
      </w:r>
    </w:p>
    <w:p w14:paraId="232C1F10" w14:textId="060011B9" w:rsidR="00D0501D" w:rsidRPr="00191075" w:rsidRDefault="00D0501D" w:rsidP="00345104">
      <w:pPr>
        <w:pStyle w:val="SingleTxtG"/>
        <w:ind w:firstLine="567"/>
        <w:rPr>
          <w:b/>
          <w:lang w:val="es-ES_tradnl"/>
        </w:rPr>
      </w:pPr>
      <w:r w:rsidRPr="00345104">
        <w:rPr>
          <w:b/>
          <w:lang w:val="es-ES_tradnl"/>
        </w:rPr>
        <w:t>a)</w:t>
      </w:r>
      <w:r w:rsidR="005062CD" w:rsidRPr="00191075">
        <w:rPr>
          <w:b/>
          <w:lang w:val="es-ES_tradnl"/>
        </w:rPr>
        <w:t xml:space="preserve"> </w:t>
      </w:r>
      <w:r w:rsidR="00834032" w:rsidRPr="00191075">
        <w:rPr>
          <w:b/>
          <w:lang w:val="es-ES_tradnl"/>
        </w:rPr>
        <w:tab/>
        <w:t>A</w:t>
      </w:r>
      <w:r w:rsidR="005062CD" w:rsidRPr="00191075">
        <w:rPr>
          <w:b/>
          <w:lang w:val="es-ES_tradnl"/>
        </w:rPr>
        <w:t xml:space="preserve">segurar que el proyecto de </w:t>
      </w:r>
      <w:r w:rsidR="008C241B" w:rsidRPr="00191075">
        <w:rPr>
          <w:b/>
          <w:lang w:val="es-ES_tradnl"/>
        </w:rPr>
        <w:t>l</w:t>
      </w:r>
      <w:r w:rsidR="005062CD" w:rsidRPr="00191075">
        <w:rPr>
          <w:b/>
          <w:lang w:val="es-ES_tradnl"/>
        </w:rPr>
        <w:t xml:space="preserve">ey sobre </w:t>
      </w:r>
      <w:r w:rsidR="008C241B" w:rsidRPr="00191075">
        <w:rPr>
          <w:b/>
          <w:lang w:val="es-ES_tradnl"/>
        </w:rPr>
        <w:t>s</w:t>
      </w:r>
      <w:r w:rsidR="005062CD" w:rsidRPr="00191075">
        <w:rPr>
          <w:b/>
          <w:lang w:val="es-ES_tradnl"/>
        </w:rPr>
        <w:t xml:space="preserve">alud </w:t>
      </w:r>
      <w:r w:rsidR="008C241B" w:rsidRPr="00191075">
        <w:rPr>
          <w:b/>
          <w:lang w:val="es-ES_tradnl"/>
        </w:rPr>
        <w:t>m</w:t>
      </w:r>
      <w:r w:rsidR="005062CD" w:rsidRPr="00191075">
        <w:rPr>
          <w:b/>
          <w:lang w:val="es-ES_tradnl"/>
        </w:rPr>
        <w:t xml:space="preserve">ental que se encuentra en proceso de aprobación respete los estándares internacionales de protección de los </w:t>
      </w:r>
      <w:r w:rsidR="005062CD" w:rsidRPr="00191075">
        <w:rPr>
          <w:b/>
          <w:lang w:val="es-ES_tradnl"/>
        </w:rPr>
        <w:lastRenderedPageBreak/>
        <w:t xml:space="preserve">derechos de las personas </w:t>
      </w:r>
      <w:r w:rsidR="00B9170D" w:rsidRPr="00191075">
        <w:rPr>
          <w:b/>
          <w:lang w:val="es-ES_tradnl"/>
        </w:rPr>
        <w:t xml:space="preserve">con problemas de salud mental y </w:t>
      </w:r>
      <w:r w:rsidR="005062CD" w:rsidRPr="00191075">
        <w:rPr>
          <w:b/>
          <w:lang w:val="es-ES_tradnl"/>
        </w:rPr>
        <w:t>con discapac</w:t>
      </w:r>
      <w:r w:rsidR="003E74C0" w:rsidRPr="00191075">
        <w:rPr>
          <w:b/>
          <w:lang w:val="es-ES_tradnl"/>
        </w:rPr>
        <w:t>idad psicosocial</w:t>
      </w:r>
      <w:r w:rsidR="00B03C75" w:rsidRPr="00191075">
        <w:rPr>
          <w:b/>
          <w:lang w:val="es-ES_tradnl"/>
        </w:rPr>
        <w:t xml:space="preserve">, </w:t>
      </w:r>
      <w:r w:rsidR="00F320A5" w:rsidRPr="00191075">
        <w:rPr>
          <w:b/>
          <w:lang w:val="es-ES_tradnl"/>
        </w:rPr>
        <w:t xml:space="preserve">prevea la adecuada asignación de recursos para su implementación y </w:t>
      </w:r>
      <w:r w:rsidR="00B03C75" w:rsidRPr="00191075">
        <w:rPr>
          <w:b/>
          <w:lang w:val="es-ES_tradnl"/>
        </w:rPr>
        <w:t xml:space="preserve">garantice la independencia </w:t>
      </w:r>
      <w:r w:rsidR="00F320A5" w:rsidRPr="00191075">
        <w:rPr>
          <w:b/>
          <w:lang w:val="es-ES_tradnl"/>
        </w:rPr>
        <w:t xml:space="preserve">y buen funcionamiento de la </w:t>
      </w:r>
      <w:r w:rsidR="00144544" w:rsidRPr="00191075">
        <w:rPr>
          <w:b/>
          <w:lang w:val="es-ES_tradnl"/>
        </w:rPr>
        <w:t xml:space="preserve">Comisión Nacional </w:t>
      </w:r>
      <w:r w:rsidR="00F320A5" w:rsidRPr="00191075">
        <w:rPr>
          <w:b/>
          <w:lang w:val="es-ES_tradnl"/>
        </w:rPr>
        <w:t xml:space="preserve">de </w:t>
      </w:r>
      <w:r w:rsidR="00144544" w:rsidRPr="00191075">
        <w:rPr>
          <w:b/>
          <w:lang w:val="es-ES_tradnl"/>
        </w:rPr>
        <w:t xml:space="preserve">Contralor </w:t>
      </w:r>
      <w:r w:rsidR="00F320A5" w:rsidRPr="00191075">
        <w:rPr>
          <w:b/>
          <w:lang w:val="es-ES_tradnl"/>
        </w:rPr>
        <w:t xml:space="preserve">de la </w:t>
      </w:r>
      <w:r w:rsidR="00144544" w:rsidRPr="00191075">
        <w:rPr>
          <w:b/>
          <w:lang w:val="es-ES_tradnl"/>
        </w:rPr>
        <w:t xml:space="preserve">Atención </w:t>
      </w:r>
      <w:r w:rsidR="00CF2753" w:rsidRPr="00191075">
        <w:rPr>
          <w:b/>
          <w:lang w:val="es-ES_tradnl"/>
        </w:rPr>
        <w:t>d</w:t>
      </w:r>
      <w:r w:rsidR="00F320A5" w:rsidRPr="00191075">
        <w:rPr>
          <w:b/>
          <w:lang w:val="es-ES_tradnl"/>
        </w:rPr>
        <w:t xml:space="preserve">e </w:t>
      </w:r>
      <w:r w:rsidR="00CF2753" w:rsidRPr="00191075">
        <w:rPr>
          <w:b/>
          <w:lang w:val="es-ES_tradnl"/>
        </w:rPr>
        <w:t>S</w:t>
      </w:r>
      <w:r w:rsidR="00F320A5" w:rsidRPr="00191075">
        <w:rPr>
          <w:b/>
          <w:lang w:val="es-ES_tradnl"/>
        </w:rPr>
        <w:t xml:space="preserve">alud </w:t>
      </w:r>
      <w:r w:rsidR="00CF2753" w:rsidRPr="00191075">
        <w:rPr>
          <w:b/>
          <w:lang w:val="es-ES_tradnl"/>
        </w:rPr>
        <w:t>M</w:t>
      </w:r>
      <w:r w:rsidR="00B03C75" w:rsidRPr="00191075">
        <w:rPr>
          <w:b/>
          <w:lang w:val="es-ES_tradnl"/>
        </w:rPr>
        <w:t>ental</w:t>
      </w:r>
      <w:r w:rsidR="00F320A5" w:rsidRPr="00191075">
        <w:rPr>
          <w:b/>
          <w:lang w:val="es-ES_tradnl"/>
        </w:rPr>
        <w:t xml:space="preserve"> que prevé la ley</w:t>
      </w:r>
      <w:r w:rsidRPr="00191075">
        <w:rPr>
          <w:b/>
          <w:lang w:val="es-ES_tradnl"/>
        </w:rPr>
        <w:t xml:space="preserve">; </w:t>
      </w:r>
    </w:p>
    <w:p w14:paraId="66F51B25" w14:textId="5272ECA5" w:rsidR="00B03C75" w:rsidRPr="00345104" w:rsidRDefault="00D0501D" w:rsidP="00345104">
      <w:pPr>
        <w:pStyle w:val="SingleTxtG"/>
        <w:ind w:firstLine="567"/>
        <w:rPr>
          <w:b/>
          <w:lang w:val="es-ES_tradnl"/>
        </w:rPr>
      </w:pPr>
      <w:r w:rsidRPr="00191075">
        <w:rPr>
          <w:b/>
          <w:lang w:val="es-ES_tradnl"/>
        </w:rPr>
        <w:t xml:space="preserve">b) </w:t>
      </w:r>
      <w:r w:rsidR="00834032" w:rsidRPr="00191075">
        <w:rPr>
          <w:b/>
          <w:lang w:val="es-ES_tradnl"/>
        </w:rPr>
        <w:tab/>
        <w:t>A</w:t>
      </w:r>
      <w:r w:rsidR="00B03C75" w:rsidRPr="00191075">
        <w:rPr>
          <w:b/>
          <w:lang w:val="es-ES_tradnl"/>
        </w:rPr>
        <w:t>dopt</w:t>
      </w:r>
      <w:r w:rsidRPr="00191075">
        <w:rPr>
          <w:b/>
          <w:lang w:val="es-ES_tradnl"/>
        </w:rPr>
        <w:t>ar</w:t>
      </w:r>
      <w:r w:rsidR="00B03C75" w:rsidRPr="00191075">
        <w:rPr>
          <w:b/>
          <w:lang w:val="es-ES_tradnl"/>
        </w:rPr>
        <w:t xml:space="preserve"> las medidas necesarias para asegurar la accesibilidad, disponibilidad y calidad de los servicios de salud mental en todo el territorio</w:t>
      </w:r>
      <w:r w:rsidR="00144544" w:rsidRPr="00191075">
        <w:rPr>
          <w:b/>
          <w:lang w:val="es-ES_tradnl"/>
        </w:rPr>
        <w:t xml:space="preserve">, procurando una atención </w:t>
      </w:r>
      <w:r w:rsidR="0016377E" w:rsidRPr="00191075">
        <w:rPr>
          <w:b/>
          <w:lang w:val="es-ES_tradnl"/>
        </w:rPr>
        <w:t xml:space="preserve">de calidad en el ámbito comunitario y </w:t>
      </w:r>
      <w:r w:rsidR="00144544" w:rsidRPr="00191075">
        <w:rPr>
          <w:b/>
          <w:lang w:val="es-ES_tradnl"/>
        </w:rPr>
        <w:t>reservando el internamiento y las medidas más extremas para los casos estrictamente necesarios</w:t>
      </w:r>
      <w:r w:rsidR="00B03C75" w:rsidRPr="00191075">
        <w:rPr>
          <w:b/>
          <w:lang w:val="es-ES_tradnl"/>
        </w:rPr>
        <w:t>.</w:t>
      </w:r>
    </w:p>
    <w:p w14:paraId="72EB5DB3" w14:textId="1DED51F5" w:rsidR="00EE6478" w:rsidRPr="00345104" w:rsidRDefault="0026337A" w:rsidP="00345104">
      <w:pPr>
        <w:pStyle w:val="H23G"/>
        <w:rPr>
          <w:lang w:val="es-ES_tradnl"/>
        </w:rPr>
      </w:pPr>
      <w:r w:rsidRPr="00345104">
        <w:rPr>
          <w:lang w:val="es-ES_tradnl"/>
        </w:rPr>
        <w:tab/>
      </w:r>
      <w:r w:rsidR="0052752F" w:rsidRPr="00345104">
        <w:rPr>
          <w:lang w:val="es-ES_tradnl"/>
        </w:rPr>
        <w:tab/>
      </w:r>
      <w:r w:rsidR="00EE6478" w:rsidRPr="00345104">
        <w:rPr>
          <w:lang w:val="es-ES_tradnl"/>
        </w:rPr>
        <w:t>Derecho a la salud y política de drogas</w:t>
      </w:r>
    </w:p>
    <w:p w14:paraId="4A7694F6" w14:textId="346DD994" w:rsidR="00EE6478" w:rsidRPr="00345104" w:rsidRDefault="00CE22BA" w:rsidP="00345104">
      <w:pPr>
        <w:pStyle w:val="SingleTxtG"/>
        <w:rPr>
          <w:lang w:val="es-ES_tradnl"/>
        </w:rPr>
      </w:pPr>
      <w:r w:rsidRPr="00345104">
        <w:rPr>
          <w:lang w:val="es-ES_tradnl"/>
        </w:rPr>
        <w:t>55.</w:t>
      </w:r>
      <w:r w:rsidRPr="00345104">
        <w:rPr>
          <w:lang w:val="es-ES_tradnl"/>
        </w:rPr>
        <w:tab/>
      </w:r>
      <w:r w:rsidR="00EE6478" w:rsidRPr="00345104">
        <w:rPr>
          <w:lang w:val="es-ES_tradnl"/>
        </w:rPr>
        <w:t xml:space="preserve">Si </w:t>
      </w:r>
      <w:r w:rsidR="008D09CC" w:rsidRPr="00345104">
        <w:rPr>
          <w:lang w:val="es-ES_tradnl"/>
        </w:rPr>
        <w:t xml:space="preserve">bien </w:t>
      </w:r>
      <w:r w:rsidR="00EE6478" w:rsidRPr="00345104">
        <w:rPr>
          <w:lang w:val="es-ES_tradnl"/>
        </w:rPr>
        <w:t>el Comité reconoce los avances realizados para evitar la penalización y proteger la salud de los consumidores de drogas ilícitas, le preocupa que la ambigüedad del concepto legal “cantidad razonable destinada a uso personal” permita, en algunos casos, la penalización de los consumidores</w:t>
      </w:r>
      <w:r w:rsidR="0052752F" w:rsidRPr="00345104">
        <w:rPr>
          <w:lang w:val="es-ES_tradnl"/>
        </w:rPr>
        <w:t>, incrementando</w:t>
      </w:r>
      <w:r w:rsidR="00EE6478" w:rsidRPr="00345104">
        <w:rPr>
          <w:lang w:val="es-ES_tradnl"/>
        </w:rPr>
        <w:t xml:space="preserve"> su marginalidad y afecta</w:t>
      </w:r>
      <w:r w:rsidR="0052752F" w:rsidRPr="00345104">
        <w:rPr>
          <w:lang w:val="es-ES_tradnl"/>
        </w:rPr>
        <w:t>ndo</w:t>
      </w:r>
      <w:r w:rsidR="00EE6478" w:rsidRPr="00345104">
        <w:rPr>
          <w:lang w:val="es-ES_tradnl"/>
        </w:rPr>
        <w:t xml:space="preserve"> a su salud (</w:t>
      </w:r>
      <w:r w:rsidR="00E83EE6" w:rsidRPr="00345104">
        <w:rPr>
          <w:lang w:val="es-ES_tradnl"/>
        </w:rPr>
        <w:t>a</w:t>
      </w:r>
      <w:r w:rsidR="00EE6478" w:rsidRPr="00345104">
        <w:rPr>
          <w:lang w:val="es-ES_tradnl"/>
        </w:rPr>
        <w:t xml:space="preserve">rt. 12). </w:t>
      </w:r>
    </w:p>
    <w:p w14:paraId="423D81CD" w14:textId="4ED83368" w:rsidR="00EE6478" w:rsidRPr="00345104" w:rsidRDefault="00CE22BA" w:rsidP="00345104">
      <w:pPr>
        <w:pStyle w:val="SingleTxtG"/>
        <w:rPr>
          <w:b/>
          <w:lang w:val="es-ES_tradnl"/>
        </w:rPr>
      </w:pPr>
      <w:r w:rsidRPr="00345104">
        <w:rPr>
          <w:lang w:val="es-ES_tradnl"/>
        </w:rPr>
        <w:t>56.</w:t>
      </w:r>
      <w:r w:rsidRPr="00345104">
        <w:rPr>
          <w:lang w:val="es-ES_tradnl"/>
        </w:rPr>
        <w:tab/>
      </w:r>
      <w:r w:rsidR="00EE6478" w:rsidRPr="00345104">
        <w:rPr>
          <w:b/>
          <w:lang w:val="es-ES_tradnl"/>
        </w:rPr>
        <w:t>El Comité recomienda al Estado parte que intensifique sus esfuerzos para que el problema de</w:t>
      </w:r>
      <w:r w:rsidR="00E83EE6" w:rsidRPr="00345104">
        <w:rPr>
          <w:b/>
          <w:lang w:val="es-ES_tradnl"/>
        </w:rPr>
        <w:t>l</w:t>
      </w:r>
      <w:r w:rsidR="00EE6478" w:rsidRPr="00345104">
        <w:rPr>
          <w:b/>
          <w:lang w:val="es-ES_tradnl"/>
        </w:rPr>
        <w:t xml:space="preserve"> consumo de drogas sea abordado desde un enfoque del derecho a la salud. Asimismo, le recomienda que adopte las medidas necesarias para lograr una mayor precisión y uniformidad del concepto de “cantidad razonable destinada a consumo personal” con el fin evitar la penalización del consumo de droga. </w:t>
      </w:r>
    </w:p>
    <w:p w14:paraId="2EADCADD" w14:textId="7540D7BB" w:rsidR="00CC16E4" w:rsidRPr="00345104" w:rsidRDefault="00E738BB" w:rsidP="0026337A">
      <w:pPr>
        <w:pStyle w:val="H23G"/>
        <w:rPr>
          <w:lang w:val="es-ES_tradnl"/>
        </w:rPr>
      </w:pPr>
      <w:r w:rsidRPr="00345104">
        <w:rPr>
          <w:lang w:val="es-ES_tradnl"/>
        </w:rPr>
        <w:tab/>
      </w:r>
      <w:r w:rsidRPr="00345104">
        <w:rPr>
          <w:lang w:val="es-ES_tradnl"/>
        </w:rPr>
        <w:tab/>
      </w:r>
      <w:r w:rsidR="000220F3" w:rsidRPr="00345104">
        <w:rPr>
          <w:lang w:val="es-ES_tradnl"/>
        </w:rPr>
        <w:t>Derecho a la educación</w:t>
      </w:r>
    </w:p>
    <w:p w14:paraId="0CF6FF06" w14:textId="67644EC1" w:rsidR="002F7005" w:rsidRPr="00345104" w:rsidRDefault="00CE22BA" w:rsidP="00345104">
      <w:pPr>
        <w:pStyle w:val="SingleTxtG"/>
        <w:rPr>
          <w:b/>
          <w:lang w:val="es-ES_tradnl"/>
        </w:rPr>
      </w:pPr>
      <w:r w:rsidRPr="00345104">
        <w:rPr>
          <w:lang w:val="es-ES_tradnl"/>
        </w:rPr>
        <w:t>57.</w:t>
      </w:r>
      <w:r w:rsidRPr="00345104">
        <w:rPr>
          <w:lang w:val="es-ES_tradnl"/>
        </w:rPr>
        <w:tab/>
      </w:r>
      <w:r w:rsidR="00CC16E4" w:rsidRPr="00191075">
        <w:rPr>
          <w:lang w:val="es-ES_tradnl"/>
        </w:rPr>
        <w:t xml:space="preserve">Aunque observa los esfuerzos realizados por el Estado parte para reducir las desigualdades en materia de educación, el Comité sigue preocupado por las persistentes y significativas desigualdades en </w:t>
      </w:r>
      <w:r w:rsidR="00B03C75" w:rsidRPr="00191075">
        <w:rPr>
          <w:lang w:val="es-ES_tradnl"/>
        </w:rPr>
        <w:t>cuanto al</w:t>
      </w:r>
      <w:r w:rsidR="00CC16E4" w:rsidRPr="00191075">
        <w:rPr>
          <w:lang w:val="es-ES_tradnl"/>
        </w:rPr>
        <w:t xml:space="preserve"> acceso y logros educativos, que afecta particularmente a niños afrodescendientes y niños procedente</w:t>
      </w:r>
      <w:r w:rsidR="002F7005" w:rsidRPr="00191075">
        <w:rPr>
          <w:lang w:val="es-ES_tradnl"/>
        </w:rPr>
        <w:t xml:space="preserve">s de </w:t>
      </w:r>
      <w:r w:rsidR="00F117AE" w:rsidRPr="00191075">
        <w:rPr>
          <w:lang w:val="es-ES_tradnl"/>
        </w:rPr>
        <w:t>los grupos socioeconómicos más desfavorecidos</w:t>
      </w:r>
      <w:r w:rsidR="002F7005" w:rsidRPr="00191075">
        <w:rPr>
          <w:lang w:val="es-ES_tradnl"/>
        </w:rPr>
        <w:t xml:space="preserve">. </w:t>
      </w:r>
      <w:r w:rsidR="00B03C75" w:rsidRPr="00191075">
        <w:rPr>
          <w:lang w:val="es-ES_tradnl"/>
        </w:rPr>
        <w:t xml:space="preserve">Le preocupan </w:t>
      </w:r>
      <w:r w:rsidR="009A2FAC" w:rsidRPr="00191075">
        <w:rPr>
          <w:lang w:val="es-ES_tradnl"/>
        </w:rPr>
        <w:t xml:space="preserve">especialmente </w:t>
      </w:r>
      <w:r w:rsidR="002F7005" w:rsidRPr="00191075">
        <w:rPr>
          <w:lang w:val="es-ES_tradnl"/>
        </w:rPr>
        <w:t xml:space="preserve">los </w:t>
      </w:r>
      <w:r w:rsidR="009A2FAC" w:rsidRPr="00191075">
        <w:rPr>
          <w:lang w:val="es-ES_tradnl"/>
        </w:rPr>
        <w:t xml:space="preserve">muy </w:t>
      </w:r>
      <w:r w:rsidR="002F7005" w:rsidRPr="00191075">
        <w:rPr>
          <w:lang w:val="es-ES_tradnl"/>
        </w:rPr>
        <w:t xml:space="preserve">altos índices de </w:t>
      </w:r>
      <w:r w:rsidR="009A2FAC" w:rsidRPr="00191075">
        <w:rPr>
          <w:lang w:val="es-ES_tradnl"/>
        </w:rPr>
        <w:t xml:space="preserve">abandono </w:t>
      </w:r>
      <w:r w:rsidR="002F7005" w:rsidRPr="00191075">
        <w:rPr>
          <w:lang w:val="es-ES_tradnl"/>
        </w:rPr>
        <w:t>escolar, particularmente en la educación secundaria</w:t>
      </w:r>
      <w:r w:rsidR="00572AB7" w:rsidRPr="00191075">
        <w:rPr>
          <w:lang w:val="es-ES_tradnl"/>
        </w:rPr>
        <w:t xml:space="preserve"> y que, a pesar de los esfuerzos realizados, la educación inclusiva para los niños con discapacidad a</w:t>
      </w:r>
      <w:r w:rsidR="00B03C75" w:rsidRPr="00191075">
        <w:rPr>
          <w:lang w:val="es-ES_tradnl"/>
        </w:rPr>
        <w:t>ú</w:t>
      </w:r>
      <w:r w:rsidR="00572AB7" w:rsidRPr="00191075">
        <w:rPr>
          <w:lang w:val="es-ES_tradnl"/>
        </w:rPr>
        <w:t>n sea limitada</w:t>
      </w:r>
      <w:r w:rsidR="002F7005" w:rsidRPr="00191075">
        <w:rPr>
          <w:lang w:val="es-ES_tradnl"/>
        </w:rPr>
        <w:t xml:space="preserve"> </w:t>
      </w:r>
      <w:r w:rsidR="00572AB7" w:rsidRPr="00191075">
        <w:rPr>
          <w:lang w:val="es-ES_tradnl"/>
        </w:rPr>
        <w:t>(</w:t>
      </w:r>
      <w:r w:rsidR="00E83EE6" w:rsidRPr="00191075">
        <w:rPr>
          <w:lang w:val="es-ES_tradnl"/>
        </w:rPr>
        <w:t>a</w:t>
      </w:r>
      <w:r w:rsidR="00572AB7" w:rsidRPr="00191075">
        <w:rPr>
          <w:lang w:val="es-ES_tradnl"/>
        </w:rPr>
        <w:t xml:space="preserve">rts. 13 </w:t>
      </w:r>
      <w:r w:rsidR="00E83EE6" w:rsidRPr="00191075">
        <w:rPr>
          <w:lang w:val="es-ES_tradnl"/>
        </w:rPr>
        <w:t>y</w:t>
      </w:r>
      <w:r w:rsidR="00572AB7" w:rsidRPr="00191075">
        <w:rPr>
          <w:lang w:val="es-ES_tradnl"/>
        </w:rPr>
        <w:t xml:space="preserve"> 14). </w:t>
      </w:r>
    </w:p>
    <w:p w14:paraId="7C2005B6" w14:textId="56417619" w:rsidR="000220F3" w:rsidRPr="00345104" w:rsidRDefault="00CE22BA" w:rsidP="00345104">
      <w:pPr>
        <w:pStyle w:val="SingleTxtG"/>
        <w:rPr>
          <w:b/>
          <w:lang w:val="es-ES_tradnl"/>
        </w:rPr>
      </w:pPr>
      <w:r w:rsidRPr="00345104">
        <w:rPr>
          <w:lang w:val="es-ES_tradnl"/>
        </w:rPr>
        <w:t>58.</w:t>
      </w:r>
      <w:r w:rsidRPr="00345104">
        <w:rPr>
          <w:lang w:val="es-ES_tradnl"/>
        </w:rPr>
        <w:tab/>
      </w:r>
      <w:r w:rsidR="000220F3" w:rsidRPr="00345104">
        <w:rPr>
          <w:b/>
          <w:color w:val="000000"/>
          <w:lang w:val="es-ES_tradnl"/>
        </w:rPr>
        <w:t>El</w:t>
      </w:r>
      <w:r w:rsidR="000220F3" w:rsidRPr="00345104">
        <w:rPr>
          <w:b/>
          <w:lang w:val="es-ES_tradnl"/>
        </w:rPr>
        <w:t xml:space="preserve"> Comité</w:t>
      </w:r>
      <w:r w:rsidR="002F7005" w:rsidRPr="00345104">
        <w:rPr>
          <w:b/>
          <w:lang w:val="es-ES_tradnl"/>
        </w:rPr>
        <w:t xml:space="preserve"> recuerda su anterior recomendación (</w:t>
      </w:r>
      <w:r w:rsidR="00C206CE" w:rsidRPr="00345104">
        <w:rPr>
          <w:b/>
          <w:lang w:val="es-ES_tradnl"/>
        </w:rPr>
        <w:t xml:space="preserve">véase </w:t>
      </w:r>
      <w:r w:rsidR="002F7005" w:rsidRPr="00345104">
        <w:rPr>
          <w:b/>
          <w:lang w:val="es-ES_tradnl"/>
        </w:rPr>
        <w:t>E/C.12/URY/CO/3</w:t>
      </w:r>
      <w:r w:rsidR="00C206CE" w:rsidRPr="00345104">
        <w:rPr>
          <w:b/>
          <w:lang w:val="es-ES_tradnl"/>
        </w:rPr>
        <w:t>.</w:t>
      </w:r>
      <w:r w:rsidR="002F7005" w:rsidRPr="00345104">
        <w:rPr>
          <w:b/>
          <w:lang w:val="es-ES_tradnl"/>
        </w:rPr>
        <w:t xml:space="preserve">4, </w:t>
      </w:r>
      <w:r w:rsidR="00C206CE" w:rsidRPr="00345104">
        <w:rPr>
          <w:b/>
          <w:lang w:val="es-ES_tradnl"/>
        </w:rPr>
        <w:t>p</w:t>
      </w:r>
      <w:r w:rsidR="002F7005" w:rsidRPr="00345104">
        <w:rPr>
          <w:b/>
          <w:lang w:val="es-ES_tradnl"/>
        </w:rPr>
        <w:t>árr. 28) e insta al Estado parte a intensificar sus esfuerzos para reducir las diferencias en materia de acceso y logros educativos, especialmente entre los niños afrodescendientes y los niños pertenecientes a familias de bajos ingresos</w:t>
      </w:r>
      <w:r w:rsidR="00F117AE" w:rsidRPr="00345104">
        <w:rPr>
          <w:b/>
          <w:lang w:val="es-ES_tradnl"/>
        </w:rPr>
        <w:t xml:space="preserve">, </w:t>
      </w:r>
      <w:r w:rsidR="009B2598" w:rsidRPr="00345104">
        <w:rPr>
          <w:b/>
          <w:lang w:val="es-ES_tradnl"/>
        </w:rPr>
        <w:t xml:space="preserve">a </w:t>
      </w:r>
      <w:r w:rsidR="00F117AE" w:rsidRPr="00345104">
        <w:rPr>
          <w:b/>
          <w:lang w:val="es-ES_tradnl"/>
        </w:rPr>
        <w:t>fin, entre otros</w:t>
      </w:r>
      <w:r w:rsidR="009B2598" w:rsidRPr="00345104">
        <w:rPr>
          <w:b/>
          <w:lang w:val="es-ES_tradnl"/>
        </w:rPr>
        <w:t>,</w:t>
      </w:r>
      <w:r w:rsidR="00F117AE" w:rsidRPr="00345104">
        <w:rPr>
          <w:b/>
          <w:lang w:val="es-ES_tradnl"/>
        </w:rPr>
        <w:t xml:space="preserve"> de promover su movilidad social</w:t>
      </w:r>
      <w:r w:rsidR="002F7005" w:rsidRPr="00345104">
        <w:rPr>
          <w:b/>
          <w:lang w:val="es-ES_tradnl"/>
        </w:rPr>
        <w:t xml:space="preserve">. </w:t>
      </w:r>
      <w:r w:rsidR="00572AB7" w:rsidRPr="00345104">
        <w:rPr>
          <w:b/>
          <w:lang w:val="es-ES_tradnl"/>
        </w:rPr>
        <w:t>El Comité</w:t>
      </w:r>
      <w:r w:rsidR="002F7005" w:rsidRPr="00345104">
        <w:rPr>
          <w:b/>
          <w:lang w:val="es-ES_tradnl"/>
        </w:rPr>
        <w:t xml:space="preserve"> recomienda</w:t>
      </w:r>
      <w:r w:rsidR="00572AB7" w:rsidRPr="00345104">
        <w:rPr>
          <w:b/>
          <w:lang w:val="es-ES_tradnl"/>
        </w:rPr>
        <w:t xml:space="preserve"> al Estado parte </w:t>
      </w:r>
      <w:r w:rsidR="00C206CE" w:rsidRPr="00345104">
        <w:rPr>
          <w:b/>
          <w:lang w:val="es-ES_tradnl"/>
        </w:rPr>
        <w:t xml:space="preserve">que </w:t>
      </w:r>
      <w:r w:rsidR="00572AB7" w:rsidRPr="00345104">
        <w:rPr>
          <w:b/>
          <w:lang w:val="es-ES_tradnl"/>
        </w:rPr>
        <w:t xml:space="preserve">adopte medidas </w:t>
      </w:r>
      <w:r w:rsidR="00A47BB1" w:rsidRPr="00345104">
        <w:rPr>
          <w:b/>
          <w:lang w:val="es-ES_tradnl"/>
        </w:rPr>
        <w:t>efectivas</w:t>
      </w:r>
      <w:r w:rsidR="00572AB7" w:rsidRPr="00345104">
        <w:rPr>
          <w:b/>
          <w:lang w:val="es-ES_tradnl"/>
        </w:rPr>
        <w:t xml:space="preserve"> que aborden de manera prioritaria los factores que contribuyen </w:t>
      </w:r>
      <w:r w:rsidR="009A2FAC" w:rsidRPr="00345104">
        <w:rPr>
          <w:b/>
          <w:lang w:val="es-ES_tradnl"/>
        </w:rPr>
        <w:t>al abandono</w:t>
      </w:r>
      <w:r w:rsidR="000220F3" w:rsidRPr="00345104">
        <w:rPr>
          <w:b/>
          <w:lang w:val="es-ES_tradnl"/>
        </w:rPr>
        <w:t xml:space="preserve"> escolar y repetición en la educación secundaria, particularmente entre los gru</w:t>
      </w:r>
      <w:r w:rsidR="002F7005" w:rsidRPr="00345104">
        <w:rPr>
          <w:b/>
          <w:lang w:val="es-ES_tradnl"/>
        </w:rPr>
        <w:t>pos marginados y desfavorecidos</w:t>
      </w:r>
      <w:r w:rsidR="000220F3" w:rsidRPr="00345104">
        <w:rPr>
          <w:b/>
          <w:lang w:val="es-ES_tradnl"/>
        </w:rPr>
        <w:t>.</w:t>
      </w:r>
      <w:r w:rsidR="00572AB7" w:rsidRPr="00345104">
        <w:rPr>
          <w:b/>
          <w:lang w:val="es-ES_tradnl"/>
        </w:rPr>
        <w:t xml:space="preserve"> Asimismo, le recomienda que intensifique sus esfuerzos para asegurar </w:t>
      </w:r>
      <w:r w:rsidR="00874B36" w:rsidRPr="00345104">
        <w:rPr>
          <w:b/>
          <w:lang w:val="es-ES_tradnl"/>
        </w:rPr>
        <w:t xml:space="preserve">la educación inclusiva para los niños con discapacidad. El Comité remite al Estado parte a su </w:t>
      </w:r>
      <w:r w:rsidR="00C206CE" w:rsidRPr="00345104">
        <w:rPr>
          <w:b/>
          <w:lang w:val="es-ES_tradnl"/>
        </w:rPr>
        <w:t>o</w:t>
      </w:r>
      <w:r w:rsidR="00A67BC0" w:rsidRPr="00345104">
        <w:rPr>
          <w:b/>
          <w:lang w:val="es-ES_tradnl"/>
        </w:rPr>
        <w:t>bservación</w:t>
      </w:r>
      <w:r w:rsidR="00874B36" w:rsidRPr="00345104">
        <w:rPr>
          <w:b/>
          <w:lang w:val="es-ES_tradnl"/>
        </w:rPr>
        <w:t xml:space="preserve"> </w:t>
      </w:r>
      <w:r w:rsidR="00C206CE" w:rsidRPr="00345104">
        <w:rPr>
          <w:b/>
          <w:lang w:val="es-ES_tradnl"/>
        </w:rPr>
        <w:t>g</w:t>
      </w:r>
      <w:r w:rsidR="00874B36" w:rsidRPr="00345104">
        <w:rPr>
          <w:b/>
          <w:lang w:val="es-ES_tradnl"/>
        </w:rPr>
        <w:t xml:space="preserve">eneral </w:t>
      </w:r>
      <w:r w:rsidR="00A4153E" w:rsidRPr="00345104">
        <w:rPr>
          <w:b/>
          <w:lang w:val="es-ES_tradnl"/>
        </w:rPr>
        <w:t xml:space="preserve">núm. </w:t>
      </w:r>
      <w:r w:rsidR="00874B36" w:rsidRPr="00345104">
        <w:rPr>
          <w:b/>
          <w:lang w:val="es-ES_tradnl"/>
        </w:rPr>
        <w:t xml:space="preserve">13 (1999) sobre el derecho a la educación. </w:t>
      </w:r>
    </w:p>
    <w:p w14:paraId="43F6D8F0" w14:textId="0891DF90" w:rsidR="000220F3" w:rsidRPr="00345104" w:rsidRDefault="0026337A" w:rsidP="0026337A">
      <w:pPr>
        <w:pStyle w:val="H23G"/>
        <w:rPr>
          <w:lang w:val="es-ES_tradnl"/>
        </w:rPr>
      </w:pPr>
      <w:r w:rsidRPr="00345104">
        <w:rPr>
          <w:lang w:val="es-ES_tradnl"/>
        </w:rPr>
        <w:tab/>
      </w:r>
      <w:r w:rsidRPr="00345104">
        <w:rPr>
          <w:lang w:val="es-ES_tradnl"/>
        </w:rPr>
        <w:tab/>
      </w:r>
      <w:r w:rsidR="000220F3" w:rsidRPr="00345104">
        <w:rPr>
          <w:lang w:val="es-ES_tradnl"/>
        </w:rPr>
        <w:t>Derechos culturales</w:t>
      </w:r>
    </w:p>
    <w:p w14:paraId="40226809" w14:textId="198F0C36" w:rsidR="00646EF4" w:rsidRPr="00191075" w:rsidRDefault="00CE22BA" w:rsidP="00345104">
      <w:pPr>
        <w:pStyle w:val="SingleTxtG"/>
        <w:rPr>
          <w:lang w:val="es-ES_tradnl"/>
        </w:rPr>
      </w:pPr>
      <w:r w:rsidRPr="00345104">
        <w:rPr>
          <w:lang w:val="es-ES_tradnl"/>
        </w:rPr>
        <w:t>59.</w:t>
      </w:r>
      <w:r w:rsidRPr="00345104">
        <w:rPr>
          <w:lang w:val="es-ES_tradnl"/>
        </w:rPr>
        <w:tab/>
      </w:r>
      <w:r w:rsidR="00B23ED4" w:rsidRPr="00191075">
        <w:rPr>
          <w:lang w:val="es-ES_tradnl"/>
        </w:rPr>
        <w:t>Aun cuando el Comité toma nota de los esfuerzos realizados por el Estado parte</w:t>
      </w:r>
      <w:r w:rsidR="00283ACA" w:rsidRPr="00191075">
        <w:rPr>
          <w:lang w:val="es-ES_tradnl"/>
        </w:rPr>
        <w:t xml:space="preserve"> para la protección del patrimonio cultural de la población afrodescendiente</w:t>
      </w:r>
      <w:r w:rsidR="00B23ED4" w:rsidRPr="00191075">
        <w:rPr>
          <w:lang w:val="es-ES_tradnl"/>
        </w:rPr>
        <w:t xml:space="preserve">, le preocupa </w:t>
      </w:r>
      <w:r w:rsidR="00646EF4" w:rsidRPr="00191075">
        <w:rPr>
          <w:lang w:val="es-ES_tradnl"/>
        </w:rPr>
        <w:t>que</w:t>
      </w:r>
      <w:r w:rsidR="007063A9" w:rsidRPr="00191075">
        <w:rPr>
          <w:lang w:val="es-ES_tradnl"/>
        </w:rPr>
        <w:t xml:space="preserve"> el </w:t>
      </w:r>
      <w:r w:rsidR="00283ACA" w:rsidRPr="00191075">
        <w:rPr>
          <w:lang w:val="es-ES_tradnl"/>
        </w:rPr>
        <w:t xml:space="preserve">conocimiento </w:t>
      </w:r>
      <w:r w:rsidR="0016377E" w:rsidRPr="00191075">
        <w:rPr>
          <w:lang w:val="es-ES_tradnl"/>
        </w:rPr>
        <w:t>de</w:t>
      </w:r>
      <w:r w:rsidR="00283ACA" w:rsidRPr="00191075">
        <w:rPr>
          <w:lang w:val="es-ES_tradnl"/>
        </w:rPr>
        <w:t xml:space="preserve">l </w:t>
      </w:r>
      <w:r w:rsidR="007063A9" w:rsidRPr="00191075">
        <w:rPr>
          <w:lang w:val="es-ES_tradnl"/>
        </w:rPr>
        <w:t>legado histórico</w:t>
      </w:r>
      <w:r w:rsidR="00F320A5" w:rsidRPr="00191075">
        <w:rPr>
          <w:lang w:val="es-ES_tradnl"/>
        </w:rPr>
        <w:t xml:space="preserve"> y cultural</w:t>
      </w:r>
      <w:r w:rsidR="00646EF4" w:rsidRPr="00191075">
        <w:rPr>
          <w:lang w:val="es-ES_tradnl"/>
        </w:rPr>
        <w:t xml:space="preserve"> de los pueblos indígenas</w:t>
      </w:r>
      <w:r w:rsidR="007063A9" w:rsidRPr="00191075">
        <w:rPr>
          <w:lang w:val="es-ES_tradnl"/>
        </w:rPr>
        <w:t xml:space="preserve"> no se promueva </w:t>
      </w:r>
      <w:r w:rsidR="00B23ED4" w:rsidRPr="00191075">
        <w:rPr>
          <w:lang w:val="es-ES_tradnl"/>
        </w:rPr>
        <w:t>suficientemente</w:t>
      </w:r>
      <w:r w:rsidR="007063A9" w:rsidRPr="00191075">
        <w:rPr>
          <w:lang w:val="es-ES_tradnl"/>
        </w:rPr>
        <w:t>,</w:t>
      </w:r>
      <w:r w:rsidR="00283ACA" w:rsidRPr="00191075">
        <w:rPr>
          <w:lang w:val="es-ES_tradnl"/>
        </w:rPr>
        <w:t xml:space="preserve"> </w:t>
      </w:r>
      <w:r w:rsidR="0016377E" w:rsidRPr="00191075">
        <w:rPr>
          <w:lang w:val="es-ES_tradnl"/>
        </w:rPr>
        <w:t xml:space="preserve">especialmente </w:t>
      </w:r>
      <w:r w:rsidR="007063A9" w:rsidRPr="00191075">
        <w:rPr>
          <w:lang w:val="es-ES_tradnl"/>
        </w:rPr>
        <w:t xml:space="preserve">en el ámbito educativo. Asimismo, </w:t>
      </w:r>
      <w:r w:rsidR="00B23ED4" w:rsidRPr="00191075">
        <w:rPr>
          <w:lang w:val="es-ES_tradnl"/>
        </w:rPr>
        <w:t xml:space="preserve">le </w:t>
      </w:r>
      <w:r w:rsidR="007063A9" w:rsidRPr="00191075">
        <w:rPr>
          <w:lang w:val="es-ES_tradnl"/>
        </w:rPr>
        <w:t>preocupa</w:t>
      </w:r>
      <w:r w:rsidR="00B23ED4" w:rsidRPr="00191075">
        <w:rPr>
          <w:lang w:val="es-ES_tradnl"/>
        </w:rPr>
        <w:t>n</w:t>
      </w:r>
      <w:r w:rsidR="007063A9" w:rsidRPr="00191075">
        <w:rPr>
          <w:lang w:val="es-ES_tradnl"/>
        </w:rPr>
        <w:t xml:space="preserve"> las disparidades existentes </w:t>
      </w:r>
      <w:r w:rsidR="00A67BC0" w:rsidRPr="00191075">
        <w:rPr>
          <w:lang w:val="es-ES_tradnl"/>
        </w:rPr>
        <w:t xml:space="preserve">en el acceso y participación de la vida cultural </w:t>
      </w:r>
      <w:r w:rsidR="007063A9" w:rsidRPr="00191075">
        <w:rPr>
          <w:lang w:val="es-ES_tradnl"/>
        </w:rPr>
        <w:t xml:space="preserve">entre </w:t>
      </w:r>
      <w:r w:rsidR="0075372E" w:rsidRPr="00191075">
        <w:rPr>
          <w:lang w:val="es-ES_tradnl"/>
        </w:rPr>
        <w:t>zonas rurales y urbanas</w:t>
      </w:r>
      <w:r w:rsidR="00A67BC0" w:rsidRPr="00191075">
        <w:rPr>
          <w:lang w:val="es-ES_tradnl"/>
        </w:rPr>
        <w:t>, así como</w:t>
      </w:r>
      <w:r w:rsidR="0075372E" w:rsidRPr="00191075">
        <w:rPr>
          <w:lang w:val="es-ES_tradnl"/>
        </w:rPr>
        <w:t xml:space="preserve"> entre </w:t>
      </w:r>
      <w:r w:rsidR="007063A9" w:rsidRPr="00191075">
        <w:rPr>
          <w:lang w:val="es-ES_tradnl"/>
        </w:rPr>
        <w:t>los diferentes grupos socioeconómicos (</w:t>
      </w:r>
      <w:r w:rsidR="008A3CDD" w:rsidRPr="00191075">
        <w:rPr>
          <w:lang w:val="es-ES_tradnl"/>
        </w:rPr>
        <w:t>a</w:t>
      </w:r>
      <w:r w:rsidR="007063A9" w:rsidRPr="00191075">
        <w:rPr>
          <w:lang w:val="es-ES_tradnl"/>
        </w:rPr>
        <w:t xml:space="preserve">rt. 15). </w:t>
      </w:r>
    </w:p>
    <w:p w14:paraId="05844896" w14:textId="1FD43781" w:rsidR="000220F3" w:rsidRPr="00345104" w:rsidRDefault="00CE22BA" w:rsidP="00345104">
      <w:pPr>
        <w:pStyle w:val="SingleTxtG"/>
        <w:rPr>
          <w:lang w:val="es-ES_tradnl"/>
        </w:rPr>
      </w:pPr>
      <w:r w:rsidRPr="00345104">
        <w:rPr>
          <w:lang w:val="es-ES_tradnl"/>
        </w:rPr>
        <w:t>60.</w:t>
      </w:r>
      <w:r w:rsidRPr="00345104">
        <w:rPr>
          <w:lang w:val="es-ES_tradnl"/>
        </w:rPr>
        <w:tab/>
      </w:r>
      <w:r w:rsidR="000220F3" w:rsidRPr="00345104">
        <w:rPr>
          <w:b/>
          <w:bCs/>
          <w:lang w:val="es-ES_tradnl"/>
        </w:rPr>
        <w:t>El Comité</w:t>
      </w:r>
      <w:r w:rsidR="007063A9" w:rsidRPr="00345104">
        <w:rPr>
          <w:b/>
          <w:bCs/>
          <w:lang w:val="es-ES_tradnl"/>
        </w:rPr>
        <w:t xml:space="preserve"> recomienda al Estado parte que t</w:t>
      </w:r>
      <w:r w:rsidR="000220F3" w:rsidRPr="00345104">
        <w:rPr>
          <w:b/>
          <w:bCs/>
          <w:lang w:val="es-ES_tradnl"/>
        </w:rPr>
        <w:t>ome las medidas necesarias para fortalecer la protección de los derechos culturales y el re</w:t>
      </w:r>
      <w:r w:rsidR="007063A9" w:rsidRPr="00345104">
        <w:rPr>
          <w:b/>
          <w:bCs/>
          <w:lang w:val="es-ES_tradnl"/>
        </w:rPr>
        <w:t xml:space="preserve">speto de la diversidad cultural. Para ello le </w:t>
      </w:r>
      <w:r w:rsidR="00A565D1" w:rsidRPr="00345104">
        <w:rPr>
          <w:b/>
          <w:bCs/>
          <w:lang w:val="es-ES_tradnl"/>
        </w:rPr>
        <w:t>insta a crear</w:t>
      </w:r>
      <w:r w:rsidR="007063A9" w:rsidRPr="00345104">
        <w:rPr>
          <w:b/>
          <w:bCs/>
          <w:lang w:val="es-ES_tradnl"/>
        </w:rPr>
        <w:t xml:space="preserve"> las </w:t>
      </w:r>
      <w:r w:rsidR="000220F3" w:rsidRPr="00345104">
        <w:rPr>
          <w:b/>
          <w:bCs/>
          <w:lang w:val="es-ES_tradnl"/>
        </w:rPr>
        <w:t xml:space="preserve">condiciones favorables para </w:t>
      </w:r>
      <w:r w:rsidR="007063A9" w:rsidRPr="00345104">
        <w:rPr>
          <w:b/>
          <w:bCs/>
          <w:lang w:val="es-ES_tradnl"/>
        </w:rPr>
        <w:t>que la población afrodescendiente</w:t>
      </w:r>
      <w:r w:rsidR="00C66F7E" w:rsidRPr="00345104">
        <w:rPr>
          <w:b/>
          <w:bCs/>
          <w:lang w:val="es-ES_tradnl"/>
        </w:rPr>
        <w:t xml:space="preserve"> e indígena</w:t>
      </w:r>
      <w:r w:rsidR="007063A9" w:rsidRPr="00345104">
        <w:rPr>
          <w:b/>
          <w:bCs/>
          <w:lang w:val="es-ES_tradnl"/>
        </w:rPr>
        <w:t xml:space="preserve"> pueda </w:t>
      </w:r>
      <w:r w:rsidR="000220F3" w:rsidRPr="00345104">
        <w:rPr>
          <w:b/>
          <w:bCs/>
          <w:lang w:val="es-ES_tradnl"/>
        </w:rPr>
        <w:t>conservar, desarrollar, expresar y difundir su identid</w:t>
      </w:r>
      <w:r w:rsidR="007063A9" w:rsidRPr="00345104">
        <w:rPr>
          <w:b/>
          <w:bCs/>
          <w:lang w:val="es-ES_tradnl"/>
        </w:rPr>
        <w:t xml:space="preserve">ad, historia, cultura, </w:t>
      </w:r>
      <w:r w:rsidR="000220F3" w:rsidRPr="00345104">
        <w:rPr>
          <w:b/>
          <w:bCs/>
          <w:lang w:val="es-ES_tradnl"/>
        </w:rPr>
        <w:t>tradiciones y costumbres</w:t>
      </w:r>
      <w:r w:rsidR="007063A9" w:rsidRPr="00345104">
        <w:rPr>
          <w:b/>
          <w:bCs/>
          <w:lang w:val="es-ES_tradnl"/>
        </w:rPr>
        <w:t>, y</w:t>
      </w:r>
      <w:r w:rsidR="00A565D1" w:rsidRPr="00345104">
        <w:rPr>
          <w:b/>
          <w:bCs/>
          <w:lang w:val="es-ES_tradnl"/>
        </w:rPr>
        <w:t xml:space="preserve"> a</w:t>
      </w:r>
      <w:r w:rsidR="007063A9" w:rsidRPr="00345104">
        <w:rPr>
          <w:b/>
          <w:bCs/>
          <w:lang w:val="es-ES_tradnl"/>
        </w:rPr>
        <w:t xml:space="preserve"> </w:t>
      </w:r>
      <w:r w:rsidR="00A565D1" w:rsidRPr="00345104">
        <w:rPr>
          <w:b/>
          <w:bCs/>
          <w:lang w:val="es-ES_tradnl"/>
        </w:rPr>
        <w:t xml:space="preserve">adoptar las medidas necesarias para promover </w:t>
      </w:r>
      <w:r w:rsidR="007063A9" w:rsidRPr="00345104">
        <w:rPr>
          <w:b/>
          <w:bCs/>
          <w:lang w:val="es-ES_tradnl"/>
        </w:rPr>
        <w:t>el conocimiento del legado histórico</w:t>
      </w:r>
      <w:r w:rsidR="00A565D1" w:rsidRPr="00345104">
        <w:rPr>
          <w:b/>
          <w:bCs/>
          <w:lang w:val="es-ES_tradnl"/>
        </w:rPr>
        <w:t xml:space="preserve"> y cultural</w:t>
      </w:r>
      <w:r w:rsidR="007063A9" w:rsidRPr="00345104">
        <w:rPr>
          <w:b/>
          <w:bCs/>
          <w:lang w:val="es-ES_tradnl"/>
        </w:rPr>
        <w:t xml:space="preserve"> de los pueblos indígenas</w:t>
      </w:r>
      <w:r w:rsidR="00C66F7E" w:rsidRPr="00345104">
        <w:rPr>
          <w:b/>
          <w:bCs/>
          <w:lang w:val="es-ES_tradnl"/>
        </w:rPr>
        <w:t>, especialmente en el ámbito educativo</w:t>
      </w:r>
      <w:r w:rsidR="000220F3" w:rsidRPr="00345104">
        <w:rPr>
          <w:b/>
          <w:bCs/>
          <w:lang w:val="es-ES_tradnl"/>
        </w:rPr>
        <w:t>.</w:t>
      </w:r>
      <w:r w:rsidR="007063A9" w:rsidRPr="00345104">
        <w:rPr>
          <w:b/>
          <w:bCs/>
          <w:lang w:val="es-ES_tradnl"/>
        </w:rPr>
        <w:t xml:space="preserve"> Además, le recomienda que </w:t>
      </w:r>
      <w:r w:rsidR="007063A9" w:rsidRPr="00345104">
        <w:rPr>
          <w:b/>
          <w:bCs/>
          <w:lang w:val="es-ES_tradnl"/>
        </w:rPr>
        <w:lastRenderedPageBreak/>
        <w:t>tome las medidas necesarias para eliminar las disparidades en el acceso y participación en la vida cultural</w:t>
      </w:r>
      <w:r w:rsidR="00C213AB" w:rsidRPr="00345104">
        <w:rPr>
          <w:b/>
          <w:bCs/>
          <w:lang w:val="es-ES_tradnl"/>
        </w:rPr>
        <w:t>, así como el acceso a infraestructura cultural,</w:t>
      </w:r>
      <w:r w:rsidR="007063A9" w:rsidRPr="00345104">
        <w:rPr>
          <w:b/>
          <w:bCs/>
          <w:lang w:val="es-ES_tradnl"/>
        </w:rPr>
        <w:t xml:space="preserve"> entre los diferentes grupos socioeconómicos</w:t>
      </w:r>
      <w:r w:rsidR="0075372E" w:rsidRPr="00345104">
        <w:rPr>
          <w:b/>
          <w:bCs/>
          <w:lang w:val="es-ES_tradnl"/>
        </w:rPr>
        <w:t xml:space="preserve"> y entre </w:t>
      </w:r>
      <w:r w:rsidR="0075372E" w:rsidRPr="00345104">
        <w:rPr>
          <w:b/>
          <w:lang w:val="es-ES_tradnl"/>
        </w:rPr>
        <w:t>zonas</w:t>
      </w:r>
      <w:r w:rsidR="0075372E" w:rsidRPr="00345104">
        <w:rPr>
          <w:b/>
          <w:bCs/>
          <w:lang w:val="es-ES_tradnl"/>
        </w:rPr>
        <w:t xml:space="preserve"> rurales y urbanas</w:t>
      </w:r>
      <w:r w:rsidR="007063A9" w:rsidRPr="00345104">
        <w:rPr>
          <w:b/>
          <w:bCs/>
          <w:lang w:val="es-ES_tradnl"/>
        </w:rPr>
        <w:t xml:space="preserve">. </w:t>
      </w:r>
    </w:p>
    <w:p w14:paraId="3EE16674" w14:textId="77777777" w:rsidR="000220F3" w:rsidRPr="00345104" w:rsidRDefault="000220F3" w:rsidP="00176057">
      <w:pPr>
        <w:pStyle w:val="H1G"/>
        <w:rPr>
          <w:lang w:val="es-ES_tradnl"/>
        </w:rPr>
      </w:pPr>
      <w:r w:rsidRPr="00345104">
        <w:rPr>
          <w:lang w:val="es-ES_tradnl"/>
        </w:rPr>
        <w:tab/>
        <w:t>D.</w:t>
      </w:r>
      <w:r w:rsidRPr="00345104">
        <w:rPr>
          <w:lang w:val="es-ES_tradnl"/>
        </w:rPr>
        <w:tab/>
        <w:t>Otras recomendaciones</w:t>
      </w:r>
    </w:p>
    <w:p w14:paraId="68244050" w14:textId="2AB53E62" w:rsidR="000220F3" w:rsidRPr="00191075" w:rsidRDefault="00CE22BA" w:rsidP="00345104">
      <w:pPr>
        <w:pStyle w:val="SingleTxtG"/>
        <w:rPr>
          <w:b/>
          <w:lang w:val="es-ES_tradnl"/>
        </w:rPr>
      </w:pPr>
      <w:r w:rsidRPr="00345104">
        <w:rPr>
          <w:lang w:val="es-ES_tradnl"/>
        </w:rPr>
        <w:t>61.</w:t>
      </w:r>
      <w:r w:rsidRPr="00345104">
        <w:rPr>
          <w:lang w:val="es-ES_tradnl"/>
        </w:rPr>
        <w:tab/>
      </w:r>
      <w:r w:rsidR="00F36184" w:rsidRPr="00191075">
        <w:rPr>
          <w:b/>
          <w:lang w:val="es-ES_tradnl"/>
        </w:rPr>
        <w:t>El Comité recomienda al Estado parte que tenga plenamente en cuenta sus obligaciones dimanantes del Pacto y vele por el pleno disfrute de los derechos en él reconocidos en la aplicación de la Agenda 2030 para el Desarrollo Sostenible en el plano nacional, con asistencia y cooperación internacionales en caso necesario.</w:t>
      </w:r>
      <w:r w:rsidR="00F36184" w:rsidRPr="00345104">
        <w:rPr>
          <w:b/>
          <w:lang w:val="es-ES_tradnl"/>
        </w:rPr>
        <w:t xml:space="preserve"> </w:t>
      </w:r>
      <w:r w:rsidR="00F36184" w:rsidRPr="00191075">
        <w:rPr>
          <w:b/>
          <w:lang w:val="es-ES_tradnl"/>
        </w:rPr>
        <w:t>La consecución de los Objetivos de Desarrollo Sostenible se vería considerablemente facilitada si el Estado parte estableciera mecanismos independientes para supervisar los progresos y tratara a los beneficiarios de los programas públicos como titulares de derechos a los que pueden acogerse.</w:t>
      </w:r>
      <w:r w:rsidR="00F36184" w:rsidRPr="00345104">
        <w:rPr>
          <w:b/>
          <w:lang w:val="es-ES_tradnl"/>
        </w:rPr>
        <w:t xml:space="preserve"> </w:t>
      </w:r>
      <w:r w:rsidR="00F36184" w:rsidRPr="00191075">
        <w:rPr>
          <w:b/>
          <w:lang w:val="es-ES_tradnl"/>
        </w:rPr>
        <w:t>La consecución de los Objetivos sobre la base de los principios de participación, responsabilidad y no discriminación permitiría que nadie se quedara atrás.</w:t>
      </w:r>
    </w:p>
    <w:p w14:paraId="51C4248A" w14:textId="24581448" w:rsidR="000220F3" w:rsidRPr="00345104" w:rsidRDefault="00CE22BA" w:rsidP="00345104">
      <w:pPr>
        <w:pStyle w:val="SingleTxtG"/>
        <w:rPr>
          <w:lang w:val="es-ES_tradnl"/>
        </w:rPr>
      </w:pPr>
      <w:r w:rsidRPr="00345104">
        <w:rPr>
          <w:lang w:val="es-ES_tradnl"/>
        </w:rPr>
        <w:t>62.</w:t>
      </w:r>
      <w:r w:rsidRPr="00345104">
        <w:rPr>
          <w:lang w:val="es-ES_tradnl"/>
        </w:rPr>
        <w:tab/>
      </w:r>
      <w:r w:rsidR="00F36184" w:rsidRPr="00191075">
        <w:rPr>
          <w:b/>
          <w:lang w:val="es-ES_tradnl"/>
        </w:rPr>
        <w:t>El Comité recomienda al Estado parte que proceda a elaborar y utilizar progresivamente indicadores adecuados sobre el ejercicio de los derechos económicos, sociales y culturales a fin de facilitar la evaluación de los progresos del Estado parte en el cumplimiento de las obligaciones que le incumben en virtud del Pacto respecto de diversos sectores de la población.</w:t>
      </w:r>
      <w:r w:rsidR="00F36184" w:rsidRPr="00345104">
        <w:rPr>
          <w:b/>
          <w:lang w:val="es-ES_tradnl"/>
        </w:rPr>
        <w:t xml:space="preserve"> </w:t>
      </w:r>
      <w:r w:rsidR="00F36184" w:rsidRPr="00191075">
        <w:rPr>
          <w:b/>
          <w:lang w:val="es-ES_tradnl"/>
        </w:rPr>
        <w:t>En ese contexto, el Comité remite al Estado parte, por ejemplo, al marco conceptual y metodológico sobre los indicadores de los derechos humanos preparado por la Oficina del Alto Comisionado de las Naciones Unidas para los Derechos Humanos (véase HRI/MC/2008/3).</w:t>
      </w:r>
    </w:p>
    <w:p w14:paraId="6CBA960D" w14:textId="01206767" w:rsidR="000220F3" w:rsidRPr="00345104" w:rsidRDefault="00CE22BA" w:rsidP="00345104">
      <w:pPr>
        <w:pStyle w:val="SingleTxtG"/>
        <w:rPr>
          <w:b/>
          <w:lang w:val="es-ES_tradnl"/>
        </w:rPr>
      </w:pPr>
      <w:r w:rsidRPr="00345104">
        <w:rPr>
          <w:lang w:val="es-ES_tradnl"/>
        </w:rPr>
        <w:t>63.</w:t>
      </w:r>
      <w:r w:rsidRPr="00345104">
        <w:rPr>
          <w:lang w:val="es-ES_tradnl"/>
        </w:rPr>
        <w:tab/>
      </w:r>
      <w:r w:rsidR="000220F3" w:rsidRPr="00345104">
        <w:rPr>
          <w:b/>
          <w:lang w:val="es-ES_tradnl"/>
        </w:rPr>
        <w:t>El Comité pide al Estado parte que dé amplia difusión a las presentes observaciones finales en todos los niveles de la sociedad, así como entre los funcionarios públicos, las autoridades judiciales, los legisladores, los abogados</w:t>
      </w:r>
      <w:r w:rsidR="00834032" w:rsidRPr="00345104">
        <w:rPr>
          <w:b/>
          <w:lang w:val="es-ES_tradnl"/>
        </w:rPr>
        <w:t>, la Institución Nacional de Derechos Humanos y Defensor</w:t>
      </w:r>
      <w:r w:rsidR="001041F5" w:rsidRPr="00345104">
        <w:rPr>
          <w:b/>
          <w:lang w:val="es-ES_tradnl"/>
        </w:rPr>
        <w:t>ía del Pueblo,</w:t>
      </w:r>
      <w:r w:rsidR="000220F3" w:rsidRPr="00345104">
        <w:rPr>
          <w:b/>
          <w:lang w:val="es-ES_tradnl"/>
        </w:rPr>
        <w:t xml:space="preserve"> y las organizaciones de la sociedad civil, e informe al Comité sobre las medidas que haya adoptado para aplicarlas en su próximo informe periódico. También lo alienta a que recabe la participación de las organizaciones de la sociedad civil en los debates que se celebren a nivel nacional para la implementación de las presentes observaciones finales y antes de la presentación de su próximo informe periódico.</w:t>
      </w:r>
    </w:p>
    <w:p w14:paraId="0F40AE43" w14:textId="1D055605" w:rsidR="00511A42" w:rsidRPr="00345104" w:rsidRDefault="00CE22BA" w:rsidP="00345104">
      <w:pPr>
        <w:pStyle w:val="SingleTxtG"/>
        <w:rPr>
          <w:b/>
          <w:bCs/>
          <w:color w:val="000000"/>
          <w:lang w:val="es-ES_tradnl"/>
        </w:rPr>
      </w:pPr>
      <w:r w:rsidRPr="00345104">
        <w:rPr>
          <w:bCs/>
          <w:lang w:val="es-ES_tradnl"/>
        </w:rPr>
        <w:t>64.</w:t>
      </w:r>
      <w:r w:rsidRPr="00345104">
        <w:rPr>
          <w:bCs/>
          <w:lang w:val="es-ES_tradnl"/>
        </w:rPr>
        <w:tab/>
      </w:r>
      <w:r w:rsidR="001041F5" w:rsidRPr="00345104">
        <w:rPr>
          <w:b/>
          <w:bCs/>
          <w:color w:val="000000"/>
          <w:lang w:val="es-ES_tradnl"/>
        </w:rPr>
        <w:t>A la luz del</w:t>
      </w:r>
      <w:r w:rsidR="00511A42" w:rsidRPr="00345104">
        <w:rPr>
          <w:b/>
          <w:bCs/>
          <w:color w:val="000000"/>
          <w:lang w:val="es-ES_tradnl"/>
        </w:rPr>
        <w:t xml:space="preserve"> procedimiento de seguimiento </w:t>
      </w:r>
      <w:r w:rsidR="00A529C0" w:rsidRPr="00345104">
        <w:rPr>
          <w:b/>
          <w:bCs/>
          <w:color w:val="000000"/>
          <w:lang w:val="es-ES_tradnl"/>
        </w:rPr>
        <w:t xml:space="preserve">de </w:t>
      </w:r>
      <w:r w:rsidR="00511A42" w:rsidRPr="00345104">
        <w:rPr>
          <w:b/>
          <w:bCs/>
          <w:color w:val="000000"/>
          <w:lang w:val="es-ES_tradnl"/>
        </w:rPr>
        <w:t xml:space="preserve">las </w:t>
      </w:r>
      <w:r w:rsidR="00C121DC" w:rsidRPr="00345104">
        <w:rPr>
          <w:b/>
          <w:bCs/>
          <w:color w:val="000000"/>
          <w:lang w:val="es-ES_tradnl"/>
        </w:rPr>
        <w:t>o</w:t>
      </w:r>
      <w:r w:rsidR="00511A42" w:rsidRPr="00345104">
        <w:rPr>
          <w:b/>
          <w:bCs/>
          <w:color w:val="000000"/>
          <w:lang w:val="es-ES_tradnl"/>
        </w:rPr>
        <w:t xml:space="preserve">bservaciones </w:t>
      </w:r>
      <w:r w:rsidR="00C121DC" w:rsidRPr="00345104">
        <w:rPr>
          <w:b/>
          <w:bCs/>
          <w:color w:val="000000"/>
          <w:lang w:val="es-ES_tradnl"/>
        </w:rPr>
        <w:t>f</w:t>
      </w:r>
      <w:r w:rsidR="00511A42" w:rsidRPr="00345104">
        <w:rPr>
          <w:b/>
          <w:bCs/>
          <w:color w:val="000000"/>
          <w:lang w:val="es-ES_tradnl"/>
        </w:rPr>
        <w:t>inales</w:t>
      </w:r>
      <w:r w:rsidR="00C66F7E" w:rsidRPr="00345104">
        <w:rPr>
          <w:b/>
          <w:bCs/>
          <w:color w:val="000000"/>
          <w:lang w:val="es-ES_tradnl"/>
        </w:rPr>
        <w:t xml:space="preserve"> adoptado por el Comité, se</w:t>
      </w:r>
      <w:r w:rsidR="00511A42" w:rsidRPr="00345104">
        <w:rPr>
          <w:b/>
          <w:bCs/>
          <w:color w:val="000000"/>
          <w:lang w:val="es-ES_tradnl"/>
        </w:rPr>
        <w:t xml:space="preserve"> solicita al Estado parte</w:t>
      </w:r>
      <w:r w:rsidR="00A529C0" w:rsidRPr="00345104">
        <w:rPr>
          <w:b/>
          <w:bCs/>
          <w:color w:val="000000"/>
          <w:lang w:val="es-ES_tradnl"/>
        </w:rPr>
        <w:t xml:space="preserve"> que</w:t>
      </w:r>
      <w:r w:rsidR="00511A42" w:rsidRPr="00345104">
        <w:rPr>
          <w:b/>
          <w:bCs/>
          <w:color w:val="000000"/>
          <w:lang w:val="es-ES_tradnl"/>
        </w:rPr>
        <w:t xml:space="preserve"> </w:t>
      </w:r>
      <w:r w:rsidR="00A529C0" w:rsidRPr="00345104">
        <w:rPr>
          <w:b/>
          <w:bCs/>
          <w:color w:val="000000"/>
          <w:lang w:val="es-ES_tradnl"/>
        </w:rPr>
        <w:t xml:space="preserve">proporcione </w:t>
      </w:r>
      <w:r w:rsidR="00C66F7E" w:rsidRPr="00345104">
        <w:rPr>
          <w:b/>
          <w:bCs/>
          <w:color w:val="000000"/>
          <w:lang w:val="es-ES_tradnl"/>
        </w:rPr>
        <w:t>información</w:t>
      </w:r>
      <w:r w:rsidR="00511A42" w:rsidRPr="00345104">
        <w:rPr>
          <w:b/>
          <w:bCs/>
          <w:color w:val="000000"/>
          <w:lang w:val="es-ES_tradnl"/>
        </w:rPr>
        <w:t xml:space="preserve">, dentro de los 18 meses </w:t>
      </w:r>
      <w:r w:rsidR="00A529C0" w:rsidRPr="00345104">
        <w:rPr>
          <w:b/>
          <w:bCs/>
          <w:color w:val="000000"/>
          <w:lang w:val="es-ES_tradnl"/>
        </w:rPr>
        <w:t xml:space="preserve">siguientes </w:t>
      </w:r>
      <w:r w:rsidR="00B53CEA" w:rsidRPr="00345104">
        <w:rPr>
          <w:b/>
          <w:bCs/>
          <w:color w:val="000000"/>
          <w:lang w:val="es-ES_tradnl"/>
        </w:rPr>
        <w:t xml:space="preserve">a </w:t>
      </w:r>
      <w:r w:rsidR="00511A42" w:rsidRPr="00345104">
        <w:rPr>
          <w:b/>
          <w:bCs/>
          <w:color w:val="000000"/>
          <w:lang w:val="es-ES_tradnl"/>
        </w:rPr>
        <w:t>la adopción de las presentes observaciones finales, sobre la implementación de las recomendaciones</w:t>
      </w:r>
      <w:r w:rsidR="00A529C0" w:rsidRPr="00345104">
        <w:rPr>
          <w:b/>
          <w:bCs/>
          <w:color w:val="000000"/>
          <w:lang w:val="es-ES_tradnl"/>
        </w:rPr>
        <w:t xml:space="preserve"> formuladas</w:t>
      </w:r>
      <w:r w:rsidR="00511A42" w:rsidRPr="00345104">
        <w:rPr>
          <w:b/>
          <w:bCs/>
          <w:color w:val="000000"/>
          <w:lang w:val="es-ES_tradnl"/>
        </w:rPr>
        <w:t xml:space="preserve"> por el Comité en los párrafos </w:t>
      </w:r>
      <w:r w:rsidR="009B2598" w:rsidRPr="00345104">
        <w:rPr>
          <w:b/>
          <w:bCs/>
          <w:color w:val="000000"/>
          <w:lang w:val="es-ES_tradnl"/>
        </w:rPr>
        <w:t>1</w:t>
      </w:r>
      <w:r w:rsidR="006D1C5B" w:rsidRPr="00345104">
        <w:rPr>
          <w:b/>
          <w:bCs/>
          <w:color w:val="000000"/>
          <w:lang w:val="es-ES_tradnl"/>
        </w:rPr>
        <w:t>6</w:t>
      </w:r>
      <w:r w:rsidR="00C121DC" w:rsidRPr="00345104">
        <w:rPr>
          <w:b/>
          <w:bCs/>
          <w:color w:val="000000"/>
          <w:lang w:val="es-ES_tradnl"/>
        </w:rPr>
        <w:t>, apdo.</w:t>
      </w:r>
      <w:r w:rsidR="006D1C5B" w:rsidRPr="00345104">
        <w:rPr>
          <w:b/>
          <w:bCs/>
          <w:color w:val="000000"/>
          <w:lang w:val="es-ES_tradnl"/>
        </w:rPr>
        <w:t xml:space="preserve"> </w:t>
      </w:r>
      <w:r w:rsidR="009B2598" w:rsidRPr="00345104">
        <w:rPr>
          <w:b/>
          <w:bCs/>
          <w:color w:val="000000"/>
          <w:lang w:val="es-ES_tradnl"/>
        </w:rPr>
        <w:t>c)</w:t>
      </w:r>
      <w:r w:rsidR="00C121DC" w:rsidRPr="00345104">
        <w:rPr>
          <w:b/>
          <w:bCs/>
          <w:color w:val="000000"/>
          <w:lang w:val="es-ES_tradnl"/>
        </w:rPr>
        <w:t>;</w:t>
      </w:r>
      <w:r w:rsidR="009B2598" w:rsidRPr="00345104">
        <w:rPr>
          <w:b/>
          <w:bCs/>
          <w:color w:val="000000"/>
          <w:lang w:val="es-ES_tradnl"/>
        </w:rPr>
        <w:t xml:space="preserve"> 20</w:t>
      </w:r>
      <w:r w:rsidR="00C121DC" w:rsidRPr="00345104">
        <w:rPr>
          <w:b/>
          <w:bCs/>
          <w:color w:val="000000"/>
          <w:lang w:val="es-ES_tradnl"/>
        </w:rPr>
        <w:t>, apdo.</w:t>
      </w:r>
      <w:r w:rsidR="00D0501D" w:rsidRPr="00345104">
        <w:rPr>
          <w:b/>
          <w:bCs/>
          <w:color w:val="000000"/>
          <w:lang w:val="es-ES_tradnl"/>
        </w:rPr>
        <w:t xml:space="preserve"> b)</w:t>
      </w:r>
      <w:r w:rsidR="00C121DC" w:rsidRPr="00345104">
        <w:rPr>
          <w:b/>
          <w:bCs/>
          <w:color w:val="000000"/>
          <w:lang w:val="es-ES_tradnl"/>
        </w:rPr>
        <w:t xml:space="preserve"> y </w:t>
      </w:r>
      <w:r w:rsidR="00D0501D" w:rsidRPr="00345104">
        <w:rPr>
          <w:b/>
          <w:bCs/>
          <w:color w:val="000000"/>
          <w:lang w:val="es-ES_tradnl"/>
        </w:rPr>
        <w:t>5</w:t>
      </w:r>
      <w:r w:rsidR="00834032" w:rsidRPr="00345104">
        <w:rPr>
          <w:b/>
          <w:bCs/>
          <w:color w:val="000000"/>
          <w:lang w:val="es-ES_tradnl"/>
        </w:rPr>
        <w:t>4</w:t>
      </w:r>
      <w:r w:rsidR="00C121DC" w:rsidRPr="00345104">
        <w:rPr>
          <w:b/>
          <w:bCs/>
          <w:color w:val="000000"/>
          <w:lang w:val="es-ES_tradnl"/>
        </w:rPr>
        <w:t>, apdo.</w:t>
      </w:r>
      <w:r w:rsidR="00D0501D" w:rsidRPr="00345104">
        <w:rPr>
          <w:b/>
          <w:bCs/>
          <w:color w:val="000000"/>
          <w:lang w:val="es-ES_tradnl"/>
        </w:rPr>
        <w:t xml:space="preserve"> a)</w:t>
      </w:r>
      <w:r w:rsidR="00C121DC" w:rsidRPr="00345104">
        <w:rPr>
          <w:b/>
          <w:bCs/>
          <w:color w:val="000000"/>
          <w:lang w:val="es-ES_tradnl"/>
        </w:rPr>
        <w:t xml:space="preserve"> </w:t>
      </w:r>
      <w:r w:rsidR="00586589" w:rsidRPr="00345104">
        <w:rPr>
          <w:b/>
          <w:bCs/>
          <w:i/>
          <w:color w:val="000000"/>
          <w:lang w:val="es-ES_tradnl"/>
        </w:rPr>
        <w:t>supra</w:t>
      </w:r>
      <w:r w:rsidR="00511A42" w:rsidRPr="00345104">
        <w:rPr>
          <w:b/>
          <w:bCs/>
          <w:color w:val="000000"/>
          <w:lang w:val="es-ES_tradnl"/>
        </w:rPr>
        <w:t xml:space="preserve">. </w:t>
      </w:r>
    </w:p>
    <w:p w14:paraId="2D8C2B17" w14:textId="3923488B" w:rsidR="00381C24" w:rsidRPr="00345104" w:rsidRDefault="00CE22BA" w:rsidP="00345104">
      <w:pPr>
        <w:pStyle w:val="SingleTxtG"/>
        <w:rPr>
          <w:b/>
          <w:lang w:val="es-ES_tradnl"/>
        </w:rPr>
      </w:pPr>
      <w:r w:rsidRPr="00345104">
        <w:rPr>
          <w:lang w:val="es-ES_tradnl"/>
        </w:rPr>
        <w:t>65.</w:t>
      </w:r>
      <w:r w:rsidRPr="00345104">
        <w:rPr>
          <w:lang w:val="es-ES_tradnl"/>
        </w:rPr>
        <w:tab/>
      </w:r>
      <w:r w:rsidR="00F36184" w:rsidRPr="00191075">
        <w:rPr>
          <w:b/>
          <w:lang w:val="es-ES_tradnl"/>
        </w:rPr>
        <w:t>El Comité pide al Estado parte que presente su sexto informe periódico, que habrá de prepararse de conformidad con las directrices para la presentación de informes aprobadas por el Comité en 2008 (E/C.12/2008/2), a más tardar el 30 de junio de 2022. Además, invita al Estado parte a que actualice su documento básico común, según corresponda, de conformidad con las directrices armonizadas para la presentación de informes a los órganos creados en virtud de tratados internacionales de derechos humanos (véase HRI/GEN/2/Rev.6, cap. I).</w:t>
      </w:r>
    </w:p>
    <w:p w14:paraId="78A4E131" w14:textId="6E6943D7" w:rsidR="003D7742" w:rsidRPr="00345104" w:rsidRDefault="006D6AEA" w:rsidP="00DB5FC5">
      <w:pPr>
        <w:suppressAutoHyphens/>
        <w:spacing w:before="240"/>
        <w:ind w:left="1134" w:right="1134"/>
        <w:jc w:val="center"/>
        <w:rPr>
          <w:u w:val="single"/>
          <w:lang w:val="es-ES_tradnl"/>
        </w:rPr>
      </w:pPr>
      <w:r w:rsidRPr="00345104">
        <w:rPr>
          <w:u w:val="single"/>
          <w:lang w:val="es-ES_tradnl"/>
        </w:rPr>
        <w:tab/>
      </w:r>
      <w:r w:rsidRPr="00345104">
        <w:rPr>
          <w:u w:val="single"/>
          <w:lang w:val="es-ES_tradnl"/>
        </w:rPr>
        <w:tab/>
      </w:r>
      <w:r w:rsidRPr="00345104">
        <w:rPr>
          <w:u w:val="single"/>
          <w:lang w:val="es-ES_tradnl"/>
        </w:rPr>
        <w:tab/>
      </w:r>
    </w:p>
    <w:sectPr w:rsidR="003D7742" w:rsidRPr="00345104" w:rsidSect="00345104">
      <w:headerReference w:type="even" r:id="rId9"/>
      <w:headerReference w:type="default" r:id="rId10"/>
      <w:footerReference w:type="even" r:id="rId11"/>
      <w:footerReference w:type="default" r:id="rId12"/>
      <w:footerReference w:type="first" r:id="rId13"/>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54249" w14:textId="77777777" w:rsidR="00A6684E" w:rsidRDefault="00A6684E">
      <w:r>
        <w:separator/>
      </w:r>
    </w:p>
  </w:endnote>
  <w:endnote w:type="continuationSeparator" w:id="0">
    <w:p w14:paraId="65A33170" w14:textId="77777777" w:rsidR="00A6684E" w:rsidRDefault="00A66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imes New Roman,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500000000000000"/>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B0500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99C8" w14:textId="04A0C4AD" w:rsidR="008140F9" w:rsidRPr="006D6AEA" w:rsidRDefault="008140F9" w:rsidP="006D6AEA">
    <w:pPr>
      <w:pStyle w:val="Piedepgina"/>
      <w:tabs>
        <w:tab w:val="right" w:pos="9638"/>
      </w:tabs>
    </w:pPr>
    <w:r w:rsidRPr="006D6AEA">
      <w:rPr>
        <w:b/>
        <w:sz w:val="18"/>
      </w:rPr>
      <w:fldChar w:fldCharType="begin"/>
    </w:r>
    <w:r w:rsidRPr="006D6AEA">
      <w:rPr>
        <w:b/>
        <w:sz w:val="18"/>
      </w:rPr>
      <w:instrText xml:space="preserve"> PAGE  \* MERGEFORMAT </w:instrText>
    </w:r>
    <w:r w:rsidRPr="006D6AEA">
      <w:rPr>
        <w:b/>
        <w:sz w:val="18"/>
      </w:rPr>
      <w:fldChar w:fldCharType="separate"/>
    </w:r>
    <w:r w:rsidR="00F93E9A">
      <w:rPr>
        <w:b/>
        <w:noProof/>
        <w:sz w:val="18"/>
      </w:rPr>
      <w:t>2</w:t>
    </w:r>
    <w:r w:rsidRPr="006D6AE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D6E41" w14:textId="06826D17" w:rsidR="008140F9" w:rsidRPr="006D6AEA" w:rsidRDefault="008140F9" w:rsidP="006D6AEA">
    <w:pPr>
      <w:pStyle w:val="Piedepgina"/>
      <w:tabs>
        <w:tab w:val="right" w:pos="9638"/>
      </w:tabs>
      <w:rPr>
        <w:b/>
        <w:sz w:val="18"/>
      </w:rPr>
    </w:pPr>
    <w:r>
      <w:tab/>
    </w:r>
    <w:r w:rsidRPr="006D6AEA">
      <w:rPr>
        <w:b/>
        <w:sz w:val="18"/>
      </w:rPr>
      <w:fldChar w:fldCharType="begin"/>
    </w:r>
    <w:r w:rsidRPr="006D6AEA">
      <w:rPr>
        <w:b/>
        <w:sz w:val="18"/>
      </w:rPr>
      <w:instrText xml:space="preserve"> PAGE  \* MERGEFORMAT </w:instrText>
    </w:r>
    <w:r w:rsidRPr="006D6AEA">
      <w:rPr>
        <w:b/>
        <w:sz w:val="18"/>
      </w:rPr>
      <w:fldChar w:fldCharType="separate"/>
    </w:r>
    <w:r w:rsidR="00F93E9A">
      <w:rPr>
        <w:b/>
        <w:noProof/>
        <w:sz w:val="18"/>
      </w:rPr>
      <w:t>9</w:t>
    </w:r>
    <w:r w:rsidRPr="006D6AEA">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A31AA" w14:textId="3E53FE39" w:rsidR="00757B2D" w:rsidRPr="000C21AE" w:rsidRDefault="000C21AE" w:rsidP="000C21AE">
    <w:pPr>
      <w:pStyle w:val="Piedepgina"/>
      <w:spacing w:before="120"/>
      <w:rPr>
        <w:sz w:val="20"/>
      </w:rPr>
    </w:pPr>
    <w:r>
      <w:rPr>
        <w:noProof/>
        <w:sz w:val="20"/>
        <w:lang w:val="es-ES" w:eastAsia="es-ES"/>
      </w:rPr>
      <w:drawing>
        <wp:anchor distT="0" distB="0" distL="114300" distR="114300" simplePos="0" relativeHeight="251656704" behindDoc="0" locked="0" layoutInCell="1" allowOverlap="1" wp14:anchorId="54521EBD" wp14:editId="690B810C">
          <wp:simplePos x="0" y="0"/>
          <wp:positionH relativeFrom="margin">
            <wp:posOffset>5446443</wp:posOffset>
          </wp:positionH>
          <wp:positionV relativeFrom="margin">
            <wp:posOffset>8847179</wp:posOffset>
          </wp:positionV>
          <wp:extent cx="638175" cy="638175"/>
          <wp:effectExtent l="0" t="0" r="9525" b="9525"/>
          <wp:wrapNone/>
          <wp:docPr id="1" name="Imagen 1" descr="https://undocs.org/m2/QRCode.ashx?DS=E/C.12/URY/CO/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URY/CO/5&amp;Size=2&amp;Lang=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GE.17-12301  (S)</w:t>
    </w:r>
    <w:r>
      <w:rPr>
        <w:sz w:val="20"/>
      </w:rPr>
      <w:br/>
    </w:r>
    <w:r w:rsidRPr="000C21AE">
      <w:rPr>
        <w:rFonts w:ascii="C39T30Lfz" w:hAnsi="C39T30Lfz"/>
        <w:sz w:val="56"/>
      </w:rPr>
      <w:t></w:t>
    </w:r>
    <w:r w:rsidRPr="000C21AE">
      <w:rPr>
        <w:rFonts w:ascii="C39T30Lfz" w:hAnsi="C39T30Lfz"/>
        <w:sz w:val="56"/>
      </w:rPr>
      <w:t></w:t>
    </w:r>
    <w:r w:rsidRPr="000C21AE">
      <w:rPr>
        <w:rFonts w:ascii="C39T30Lfz" w:hAnsi="C39T30Lfz"/>
        <w:sz w:val="56"/>
      </w:rPr>
      <w:t></w:t>
    </w:r>
    <w:r w:rsidRPr="000C21AE">
      <w:rPr>
        <w:rFonts w:ascii="C39T30Lfz" w:hAnsi="C39T30Lfz"/>
        <w:sz w:val="56"/>
      </w:rPr>
      <w:t></w:t>
    </w:r>
    <w:r w:rsidRPr="000C21AE">
      <w:rPr>
        <w:rFonts w:ascii="C39T30Lfz" w:hAnsi="C39T30Lfz"/>
        <w:sz w:val="56"/>
      </w:rPr>
      <w:t></w:t>
    </w:r>
    <w:r w:rsidRPr="000C21AE">
      <w:rPr>
        <w:rFonts w:ascii="C39T30Lfz" w:hAnsi="C39T30Lfz"/>
        <w:sz w:val="56"/>
      </w:rPr>
      <w:t></w:t>
    </w:r>
    <w:r w:rsidRPr="000C21AE">
      <w:rPr>
        <w:rFonts w:ascii="C39T30Lfz" w:hAnsi="C39T30Lfz"/>
        <w:sz w:val="56"/>
      </w:rPr>
      <w:t></w:t>
    </w:r>
    <w:r w:rsidRPr="000C21AE">
      <w:rPr>
        <w:rFonts w:ascii="C39T30Lfz" w:hAnsi="C39T30Lfz"/>
        <w:sz w:val="56"/>
      </w:rPr>
      <w:t></w:t>
    </w:r>
    <w:r w:rsidRPr="000C21AE">
      <w:rPr>
        <w:rFonts w:ascii="C39T30Lfz" w:hAnsi="C39T30Lfz"/>
        <w:sz w:val="56"/>
      </w:rPr>
      <w:t></w:t>
    </w:r>
    <w:r w:rsidRPr="000C21AE">
      <w:rPr>
        <w:rFonts w:ascii="C39T30Lfz" w:hAnsi="C39T30Lfz"/>
        <w:noProof/>
        <w:sz w:val="56"/>
      </w:rPr>
      <w:drawing>
        <wp:anchor distT="0" distB="0" distL="114300" distR="114300" simplePos="0" relativeHeight="251658752" behindDoc="0" locked="1" layoutInCell="1" allowOverlap="1" wp14:anchorId="4F4839AD" wp14:editId="72D9ECFC">
          <wp:simplePos x="0" y="0"/>
          <wp:positionH relativeFrom="margin">
            <wp:posOffset>4267835</wp:posOffset>
          </wp:positionH>
          <wp:positionV relativeFrom="margin">
            <wp:posOffset>9159240</wp:posOffset>
          </wp:positionV>
          <wp:extent cx="1085850" cy="2286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CF5B2" w14:textId="77777777" w:rsidR="00A6684E" w:rsidRPr="001075E9" w:rsidRDefault="00A6684E" w:rsidP="001075E9">
      <w:pPr>
        <w:tabs>
          <w:tab w:val="right" w:pos="2155"/>
        </w:tabs>
        <w:spacing w:after="80" w:line="240" w:lineRule="auto"/>
        <w:ind w:left="680"/>
        <w:rPr>
          <w:u w:val="single"/>
        </w:rPr>
      </w:pPr>
      <w:r>
        <w:rPr>
          <w:u w:val="single"/>
        </w:rPr>
        <w:tab/>
      </w:r>
    </w:p>
  </w:footnote>
  <w:footnote w:type="continuationSeparator" w:id="0">
    <w:p w14:paraId="4C84B748" w14:textId="77777777" w:rsidR="00A6684E" w:rsidRDefault="00A6684E">
      <w:r>
        <w:continuationSeparator/>
      </w:r>
    </w:p>
  </w:footnote>
  <w:footnote w:id="1">
    <w:p w14:paraId="406A02E7" w14:textId="78E1CE0D" w:rsidR="008140F9" w:rsidRPr="00FD329D" w:rsidRDefault="008140F9" w:rsidP="00966330">
      <w:pPr>
        <w:pStyle w:val="Textonotapie"/>
        <w:rPr>
          <w:lang w:val="es-ES"/>
        </w:rPr>
      </w:pPr>
      <w:r w:rsidRPr="00966330">
        <w:tab/>
      </w:r>
      <w:r w:rsidRPr="00FD329D">
        <w:rPr>
          <w:rStyle w:val="Refdenotaalpie"/>
          <w:sz w:val="20"/>
          <w:vertAlign w:val="baseline"/>
          <w:lang w:val="es-ES"/>
        </w:rPr>
        <w:t>*</w:t>
      </w:r>
      <w:r w:rsidRPr="00FD329D">
        <w:rPr>
          <w:lang w:val="es-ES"/>
        </w:rPr>
        <w:tab/>
      </w:r>
      <w:r w:rsidR="00176057" w:rsidRPr="00FD329D">
        <w:rPr>
          <w:lang w:val="es-ES"/>
        </w:rPr>
        <w:t xml:space="preserve">Aprobadas por el Comité en su </w:t>
      </w:r>
      <w:r w:rsidR="000A5A1E" w:rsidRPr="00FD329D">
        <w:rPr>
          <w:lang w:val="es-ES"/>
        </w:rPr>
        <w:t>61</w:t>
      </w:r>
      <w:r w:rsidR="00EA1755" w:rsidRPr="00FD329D">
        <w:rPr>
          <w:vertAlign w:val="superscript"/>
          <w:lang w:val="es-ES"/>
        </w:rPr>
        <w:t>er</w:t>
      </w:r>
      <w:r w:rsidR="000A5A1E" w:rsidRPr="00FD329D">
        <w:rPr>
          <w:lang w:val="es-ES"/>
        </w:rPr>
        <w:t xml:space="preserve"> </w:t>
      </w:r>
      <w:r w:rsidR="00176057" w:rsidRPr="00FD329D">
        <w:rPr>
          <w:lang w:val="es-ES"/>
        </w:rPr>
        <w:t>período de sesiones (29 de mayo a 23 de junio de 2017)</w:t>
      </w:r>
      <w:r w:rsidRPr="00FD329D">
        <w:rPr>
          <w:lang w:val="es-E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BBDC7" w14:textId="30CCBA53" w:rsidR="008140F9" w:rsidRPr="006D6AEA" w:rsidRDefault="00F93E9A">
    <w:pPr>
      <w:pStyle w:val="Encabezado"/>
    </w:pPr>
    <w:r>
      <w:fldChar w:fldCharType="begin"/>
    </w:r>
    <w:r>
      <w:instrText xml:space="preserve"> TITLE  \* MERGEFORMAT </w:instrText>
    </w:r>
    <w:r>
      <w:fldChar w:fldCharType="separate"/>
    </w:r>
    <w:r>
      <w:t>E/C.12/URY/CO/5</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34988" w14:textId="6D0116B5" w:rsidR="008140F9" w:rsidRPr="006D6AEA" w:rsidRDefault="00F93E9A" w:rsidP="006D6AEA">
    <w:pPr>
      <w:pStyle w:val="Encabezado"/>
      <w:jc w:val="right"/>
    </w:pPr>
    <w:r>
      <w:fldChar w:fldCharType="begin"/>
    </w:r>
    <w:r>
      <w:instrText xml:space="preserve"> TITLE  \* MERGEFORMAT </w:instrText>
    </w:r>
    <w:r>
      <w:fldChar w:fldCharType="separate"/>
    </w:r>
    <w:r>
      <w:t>E/C.12/URY/CO/5</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7E51BC9"/>
    <w:multiLevelType w:val="hybridMultilevel"/>
    <w:tmpl w:val="FB6887A6"/>
    <w:lvl w:ilvl="0" w:tplc="6BAE5EAE">
      <w:start w:val="1"/>
      <w:numFmt w:val="lowerLetter"/>
      <w:lvlText w:val="%1)"/>
      <w:lvlJc w:val="left"/>
      <w:pPr>
        <w:ind w:left="3110" w:hanging="1125"/>
      </w:pPr>
      <w:rPr>
        <w:rFonts w:hint="default"/>
        <w:b w:val="0"/>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1" w15:restartNumberingAfterBreak="0">
    <w:nsid w:val="1D057EB0"/>
    <w:multiLevelType w:val="hybridMultilevel"/>
    <w:tmpl w:val="F852044A"/>
    <w:lvl w:ilvl="0" w:tplc="07A0F1F8">
      <w:start w:val="1"/>
      <w:numFmt w:val="decimal"/>
      <w:lvlText w:val="%1."/>
      <w:lvlJc w:val="left"/>
      <w:pPr>
        <w:ind w:left="2629" w:hanging="360"/>
      </w:pPr>
      <w:rPr>
        <w:b w:val="0"/>
        <w:color w:val="auto"/>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1FF11071"/>
    <w:multiLevelType w:val="hybridMultilevel"/>
    <w:tmpl w:val="3E26B41E"/>
    <w:lvl w:ilvl="0" w:tplc="6CCAEDCC">
      <w:start w:val="1"/>
      <w:numFmt w:val="decimal"/>
      <w:lvlText w:val="%1."/>
      <w:lvlJc w:val="left"/>
      <w:pPr>
        <w:ind w:left="3621" w:hanging="360"/>
      </w:pPr>
      <w:rPr>
        <w:b w:val="0"/>
        <w:i w:val="0"/>
        <w:color w:val="auto"/>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23745642"/>
    <w:multiLevelType w:val="hybridMultilevel"/>
    <w:tmpl w:val="F27AEEC8"/>
    <w:lvl w:ilvl="0" w:tplc="1DDCF7EE">
      <w:start w:val="1"/>
      <w:numFmt w:val="lowerLetter"/>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2EF357E7"/>
    <w:multiLevelType w:val="hybridMultilevel"/>
    <w:tmpl w:val="BDE0BB3C"/>
    <w:lvl w:ilvl="0" w:tplc="CF0816B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306607CD"/>
    <w:multiLevelType w:val="multilevel"/>
    <w:tmpl w:val="F852044A"/>
    <w:lvl w:ilvl="0">
      <w:start w:val="1"/>
      <w:numFmt w:val="decimal"/>
      <w:lvlText w:val="%1."/>
      <w:lvlJc w:val="left"/>
      <w:pPr>
        <w:ind w:left="2629" w:hanging="360"/>
      </w:pPr>
      <w:rPr>
        <w:b w:val="0"/>
        <w:color w:val="auto"/>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6"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43A97CFC"/>
    <w:multiLevelType w:val="hybridMultilevel"/>
    <w:tmpl w:val="F852044A"/>
    <w:lvl w:ilvl="0" w:tplc="07A0F1F8">
      <w:start w:val="1"/>
      <w:numFmt w:val="decimal"/>
      <w:lvlText w:val="%1."/>
      <w:lvlJc w:val="left"/>
      <w:pPr>
        <w:ind w:left="2629" w:hanging="360"/>
      </w:pPr>
      <w:rPr>
        <w:b w:val="0"/>
        <w:color w:val="auto"/>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4B14760D"/>
    <w:multiLevelType w:val="hybridMultilevel"/>
    <w:tmpl w:val="147656C4"/>
    <w:lvl w:ilvl="0" w:tplc="08090017">
      <w:start w:val="1"/>
      <w:numFmt w:val="lowerLetter"/>
      <w:lvlText w:val="%1)"/>
      <w:lvlJc w:val="left"/>
      <w:pPr>
        <w:ind w:left="2421" w:hanging="360"/>
      </w:pPr>
    </w:lvl>
    <w:lvl w:ilvl="1" w:tplc="2E365C94">
      <w:start w:val="1"/>
      <w:numFmt w:val="lowerLetter"/>
      <w:lvlText w:val="%2)"/>
      <w:lvlJc w:val="left"/>
      <w:pPr>
        <w:ind w:left="3141" w:hanging="360"/>
      </w:pPr>
      <w:rPr>
        <w:rFonts w:hint="default"/>
        <w:b w:val="0"/>
        <w:color w:val="000000"/>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0" w15:restartNumberingAfterBreak="0">
    <w:nsid w:val="51A870B0"/>
    <w:multiLevelType w:val="hybridMultilevel"/>
    <w:tmpl w:val="FE92ADFE"/>
    <w:lvl w:ilvl="0" w:tplc="47505194">
      <w:start w:val="1"/>
      <w:numFmt w:val="decimal"/>
      <w:lvlText w:val="%1."/>
      <w:lvlJc w:val="left"/>
      <w:pPr>
        <w:ind w:left="4046" w:hanging="360"/>
      </w:pPr>
      <w:rPr>
        <w:b w:val="0"/>
        <w:i w:val="0"/>
      </w:rPr>
    </w:lvl>
    <w:lvl w:ilvl="1" w:tplc="74ECFA0C">
      <w:start w:val="1"/>
      <w:numFmt w:val="lowerLetter"/>
      <w:lvlText w:val="%2)"/>
      <w:lvlJc w:val="left"/>
      <w:pPr>
        <w:ind w:left="3339" w:hanging="1125"/>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15:restartNumberingAfterBreak="0">
    <w:nsid w:val="58C724A1"/>
    <w:multiLevelType w:val="hybridMultilevel"/>
    <w:tmpl w:val="F852044A"/>
    <w:lvl w:ilvl="0" w:tplc="07A0F1F8">
      <w:start w:val="1"/>
      <w:numFmt w:val="decimal"/>
      <w:lvlText w:val="%1."/>
      <w:lvlJc w:val="left"/>
      <w:pPr>
        <w:ind w:left="2629" w:hanging="360"/>
      </w:pPr>
      <w:rPr>
        <w:b w:val="0"/>
        <w:color w:val="auto"/>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5D491672"/>
    <w:multiLevelType w:val="hybridMultilevel"/>
    <w:tmpl w:val="33A2483E"/>
    <w:lvl w:ilvl="0" w:tplc="08090017">
      <w:start w:val="1"/>
      <w:numFmt w:val="lowerLetter"/>
      <w:lvlText w:val="%1)"/>
      <w:lvlJc w:val="left"/>
      <w:pPr>
        <w:ind w:left="1854" w:hanging="360"/>
      </w:pPr>
    </w:lvl>
    <w:lvl w:ilvl="1" w:tplc="BE8EF27E">
      <w:start w:val="1"/>
      <w:numFmt w:val="lowerLetter"/>
      <w:lvlText w:val="%2)"/>
      <w:lvlJc w:val="left"/>
      <w:pPr>
        <w:ind w:left="2574" w:hanging="360"/>
      </w:pPr>
      <w:rPr>
        <w:b/>
      </w:r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2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6773689D"/>
    <w:multiLevelType w:val="hybridMultilevel"/>
    <w:tmpl w:val="612A1B28"/>
    <w:lvl w:ilvl="0" w:tplc="2E7CA85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6" w15:restartNumberingAfterBreak="0">
    <w:nsid w:val="69471C6D"/>
    <w:multiLevelType w:val="hybridMultilevel"/>
    <w:tmpl w:val="9A88D60C"/>
    <w:lvl w:ilvl="0" w:tplc="3E14DB0A">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7" w15:restartNumberingAfterBreak="0">
    <w:nsid w:val="6970310A"/>
    <w:multiLevelType w:val="hybridMultilevel"/>
    <w:tmpl w:val="F27AEEC8"/>
    <w:lvl w:ilvl="0" w:tplc="1DDCF7EE">
      <w:start w:val="1"/>
      <w:numFmt w:val="lowerLetter"/>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3008A2"/>
    <w:multiLevelType w:val="hybridMultilevel"/>
    <w:tmpl w:val="AA58758E"/>
    <w:lvl w:ilvl="0" w:tplc="41B400F2">
      <w:start w:val="1"/>
      <w:numFmt w:val="lowerLetter"/>
      <w:lvlText w:val="%1)"/>
      <w:lvlJc w:val="left"/>
      <w:pPr>
        <w:ind w:left="2061" w:hanging="360"/>
      </w:pPr>
      <w:rPr>
        <w:b w:val="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0"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9A805E7"/>
    <w:multiLevelType w:val="hybridMultilevel"/>
    <w:tmpl w:val="B0509344"/>
    <w:lvl w:ilvl="0" w:tplc="ED86D3C4">
      <w:start w:val="1"/>
      <w:numFmt w:val="lowerLetter"/>
      <w:lvlText w:val="%1)"/>
      <w:lvlJc w:val="left"/>
      <w:pPr>
        <w:ind w:left="2259" w:hanging="57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32"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7B792FA8"/>
    <w:multiLevelType w:val="hybridMultilevel"/>
    <w:tmpl w:val="F1086AB0"/>
    <w:lvl w:ilvl="0" w:tplc="8282531A">
      <w:start w:val="1"/>
      <w:numFmt w:val="lowerLetter"/>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28"/>
  </w:num>
  <w:num w:numId="2">
    <w:abstractNumId w:val="16"/>
  </w:num>
  <w:num w:numId="3">
    <w:abstractNumId w:val="32"/>
  </w:num>
  <w:num w:numId="4">
    <w:abstractNumId w:val="30"/>
  </w:num>
  <w:num w:numId="5">
    <w:abstractNumId w:val="2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5"/>
  </w:num>
  <w:num w:numId="17">
    <w:abstractNumId w:val="17"/>
  </w:num>
  <w:num w:numId="18">
    <w:abstractNumId w:val="20"/>
  </w:num>
  <w:num w:numId="19">
    <w:abstractNumId w:val="31"/>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3"/>
  </w:num>
  <w:num w:numId="23">
    <w:abstractNumId w:val="10"/>
  </w:num>
  <w:num w:numId="24">
    <w:abstractNumId w:val="19"/>
  </w:num>
  <w:num w:numId="25">
    <w:abstractNumId w:val="29"/>
  </w:num>
  <w:num w:numId="26">
    <w:abstractNumId w:val="12"/>
  </w:num>
  <w:num w:numId="27">
    <w:abstractNumId w:val="13"/>
  </w:num>
  <w:num w:numId="28">
    <w:abstractNumId w:val="14"/>
  </w:num>
  <w:num w:numId="29">
    <w:abstractNumId w:val="18"/>
  </w:num>
  <w:num w:numId="30">
    <w:abstractNumId w:val="15"/>
  </w:num>
  <w:num w:numId="31">
    <w:abstractNumId w:val="26"/>
  </w:num>
  <w:num w:numId="32">
    <w:abstractNumId w:val="24"/>
  </w:num>
  <w:num w:numId="33">
    <w:abstractNumId w:val="11"/>
  </w:num>
  <w:num w:numId="34">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34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AEA"/>
    <w:rsid w:val="00003BE4"/>
    <w:rsid w:val="00004E42"/>
    <w:rsid w:val="0000754E"/>
    <w:rsid w:val="00012D3D"/>
    <w:rsid w:val="000220F3"/>
    <w:rsid w:val="000265CE"/>
    <w:rsid w:val="00026B20"/>
    <w:rsid w:val="0003472F"/>
    <w:rsid w:val="00047C10"/>
    <w:rsid w:val="000502A6"/>
    <w:rsid w:val="00051EF9"/>
    <w:rsid w:val="000576EE"/>
    <w:rsid w:val="0008108E"/>
    <w:rsid w:val="00083F28"/>
    <w:rsid w:val="00084E94"/>
    <w:rsid w:val="000857B0"/>
    <w:rsid w:val="0008650D"/>
    <w:rsid w:val="000904BE"/>
    <w:rsid w:val="000907B5"/>
    <w:rsid w:val="000956F6"/>
    <w:rsid w:val="000A0E52"/>
    <w:rsid w:val="000A2F58"/>
    <w:rsid w:val="000A3FA8"/>
    <w:rsid w:val="000A5A1E"/>
    <w:rsid w:val="000A6BD8"/>
    <w:rsid w:val="000B4C16"/>
    <w:rsid w:val="000B5222"/>
    <w:rsid w:val="000B57E7"/>
    <w:rsid w:val="000C21AE"/>
    <w:rsid w:val="000E1CBD"/>
    <w:rsid w:val="000F09DF"/>
    <w:rsid w:val="000F5134"/>
    <w:rsid w:val="000F61B2"/>
    <w:rsid w:val="00101F85"/>
    <w:rsid w:val="001041F5"/>
    <w:rsid w:val="00104E6E"/>
    <w:rsid w:val="001075E9"/>
    <w:rsid w:val="00112401"/>
    <w:rsid w:val="00113BAF"/>
    <w:rsid w:val="001235E2"/>
    <w:rsid w:val="001323F6"/>
    <w:rsid w:val="00134013"/>
    <w:rsid w:val="001401F9"/>
    <w:rsid w:val="0014379B"/>
    <w:rsid w:val="00144544"/>
    <w:rsid w:val="00152A2B"/>
    <w:rsid w:val="00153682"/>
    <w:rsid w:val="00161E01"/>
    <w:rsid w:val="00162149"/>
    <w:rsid w:val="0016377E"/>
    <w:rsid w:val="00166F67"/>
    <w:rsid w:val="00174286"/>
    <w:rsid w:val="00174391"/>
    <w:rsid w:val="00174A0A"/>
    <w:rsid w:val="00175F3C"/>
    <w:rsid w:val="00176057"/>
    <w:rsid w:val="00180183"/>
    <w:rsid w:val="001866C3"/>
    <w:rsid w:val="0018750E"/>
    <w:rsid w:val="00191075"/>
    <w:rsid w:val="00194F93"/>
    <w:rsid w:val="00196389"/>
    <w:rsid w:val="001A1975"/>
    <w:rsid w:val="001A24C4"/>
    <w:rsid w:val="001B1F30"/>
    <w:rsid w:val="001B6452"/>
    <w:rsid w:val="001C3CCA"/>
    <w:rsid w:val="001C7A89"/>
    <w:rsid w:val="001D5B7D"/>
    <w:rsid w:val="001E3813"/>
    <w:rsid w:val="001E5540"/>
    <w:rsid w:val="001E604E"/>
    <w:rsid w:val="001F1117"/>
    <w:rsid w:val="001F48EC"/>
    <w:rsid w:val="00204CE0"/>
    <w:rsid w:val="002154AD"/>
    <w:rsid w:val="002165DD"/>
    <w:rsid w:val="0022177C"/>
    <w:rsid w:val="0022243E"/>
    <w:rsid w:val="0022289C"/>
    <w:rsid w:val="002315A1"/>
    <w:rsid w:val="002349B7"/>
    <w:rsid w:val="00234C9E"/>
    <w:rsid w:val="00246E97"/>
    <w:rsid w:val="002624E5"/>
    <w:rsid w:val="0026337A"/>
    <w:rsid w:val="00265AB6"/>
    <w:rsid w:val="002836E8"/>
    <w:rsid w:val="00283ACA"/>
    <w:rsid w:val="002910FF"/>
    <w:rsid w:val="002930B9"/>
    <w:rsid w:val="00295FEC"/>
    <w:rsid w:val="002A2EFC"/>
    <w:rsid w:val="002A6039"/>
    <w:rsid w:val="002B5463"/>
    <w:rsid w:val="002D16F0"/>
    <w:rsid w:val="002D5AAC"/>
    <w:rsid w:val="002D5DCD"/>
    <w:rsid w:val="002E4707"/>
    <w:rsid w:val="002E5043"/>
    <w:rsid w:val="002F7005"/>
    <w:rsid w:val="00301299"/>
    <w:rsid w:val="00302940"/>
    <w:rsid w:val="00306185"/>
    <w:rsid w:val="00311245"/>
    <w:rsid w:val="00313431"/>
    <w:rsid w:val="00315B30"/>
    <w:rsid w:val="00320CF7"/>
    <w:rsid w:val="00322004"/>
    <w:rsid w:val="00323B00"/>
    <w:rsid w:val="00334C4C"/>
    <w:rsid w:val="003402C2"/>
    <w:rsid w:val="00342597"/>
    <w:rsid w:val="00344CCF"/>
    <w:rsid w:val="00345104"/>
    <w:rsid w:val="00347AAA"/>
    <w:rsid w:val="003576D9"/>
    <w:rsid w:val="00362F27"/>
    <w:rsid w:val="00363141"/>
    <w:rsid w:val="003759F0"/>
    <w:rsid w:val="00381C24"/>
    <w:rsid w:val="00386313"/>
    <w:rsid w:val="00386CEC"/>
    <w:rsid w:val="003913E8"/>
    <w:rsid w:val="003958D0"/>
    <w:rsid w:val="00396188"/>
    <w:rsid w:val="003A1B9C"/>
    <w:rsid w:val="003B1A8E"/>
    <w:rsid w:val="003B5825"/>
    <w:rsid w:val="003C30B9"/>
    <w:rsid w:val="003C79A0"/>
    <w:rsid w:val="003D064D"/>
    <w:rsid w:val="003D4F17"/>
    <w:rsid w:val="003D7742"/>
    <w:rsid w:val="003E1277"/>
    <w:rsid w:val="003E3C14"/>
    <w:rsid w:val="003E74C0"/>
    <w:rsid w:val="003F6436"/>
    <w:rsid w:val="0041031F"/>
    <w:rsid w:val="00411286"/>
    <w:rsid w:val="00415958"/>
    <w:rsid w:val="00417109"/>
    <w:rsid w:val="00417F5D"/>
    <w:rsid w:val="00421D81"/>
    <w:rsid w:val="00426114"/>
    <w:rsid w:val="0042696F"/>
    <w:rsid w:val="00434252"/>
    <w:rsid w:val="0043503C"/>
    <w:rsid w:val="00442017"/>
    <w:rsid w:val="00444389"/>
    <w:rsid w:val="00454E07"/>
    <w:rsid w:val="004624C0"/>
    <w:rsid w:val="00464871"/>
    <w:rsid w:val="00471E0A"/>
    <w:rsid w:val="004737DA"/>
    <w:rsid w:val="0048272D"/>
    <w:rsid w:val="0049575F"/>
    <w:rsid w:val="004A2BAF"/>
    <w:rsid w:val="004B19F2"/>
    <w:rsid w:val="004B3F96"/>
    <w:rsid w:val="004C4F58"/>
    <w:rsid w:val="004C5C55"/>
    <w:rsid w:val="004C7B2C"/>
    <w:rsid w:val="004D396C"/>
    <w:rsid w:val="004D73C0"/>
    <w:rsid w:val="004E2DB9"/>
    <w:rsid w:val="004E6F4E"/>
    <w:rsid w:val="0050108D"/>
    <w:rsid w:val="005016AF"/>
    <w:rsid w:val="00501E4B"/>
    <w:rsid w:val="00505B3E"/>
    <w:rsid w:val="005061A6"/>
    <w:rsid w:val="005062CD"/>
    <w:rsid w:val="005076AF"/>
    <w:rsid w:val="00510918"/>
    <w:rsid w:val="00511A42"/>
    <w:rsid w:val="005212C4"/>
    <w:rsid w:val="0052159C"/>
    <w:rsid w:val="00523EAB"/>
    <w:rsid w:val="0052752F"/>
    <w:rsid w:val="00527A79"/>
    <w:rsid w:val="005423E1"/>
    <w:rsid w:val="00543B3A"/>
    <w:rsid w:val="00551D41"/>
    <w:rsid w:val="00554679"/>
    <w:rsid w:val="00557CBE"/>
    <w:rsid w:val="00567DC0"/>
    <w:rsid w:val="00572AB7"/>
    <w:rsid w:val="00572E19"/>
    <w:rsid w:val="0058248A"/>
    <w:rsid w:val="00586589"/>
    <w:rsid w:val="00587B90"/>
    <w:rsid w:val="00590A99"/>
    <w:rsid w:val="005922B7"/>
    <w:rsid w:val="005A20B3"/>
    <w:rsid w:val="005A2FC9"/>
    <w:rsid w:val="005A5C32"/>
    <w:rsid w:val="005A77A0"/>
    <w:rsid w:val="005B38E1"/>
    <w:rsid w:val="005C20D1"/>
    <w:rsid w:val="005C3F44"/>
    <w:rsid w:val="005D30B7"/>
    <w:rsid w:val="005D506A"/>
    <w:rsid w:val="005D56B9"/>
    <w:rsid w:val="005E5BD9"/>
    <w:rsid w:val="005F0B42"/>
    <w:rsid w:val="005F13F9"/>
    <w:rsid w:val="005F319E"/>
    <w:rsid w:val="00614820"/>
    <w:rsid w:val="006249B7"/>
    <w:rsid w:val="00625E6C"/>
    <w:rsid w:val="006262BA"/>
    <w:rsid w:val="0063671D"/>
    <w:rsid w:val="00643958"/>
    <w:rsid w:val="0064421C"/>
    <w:rsid w:val="00646EF4"/>
    <w:rsid w:val="00651799"/>
    <w:rsid w:val="00654531"/>
    <w:rsid w:val="0066633A"/>
    <w:rsid w:val="00672B6D"/>
    <w:rsid w:val="006850EF"/>
    <w:rsid w:val="0068590C"/>
    <w:rsid w:val="00694CFF"/>
    <w:rsid w:val="006A1D43"/>
    <w:rsid w:val="006A303F"/>
    <w:rsid w:val="006A3DC1"/>
    <w:rsid w:val="006A58AB"/>
    <w:rsid w:val="006B0592"/>
    <w:rsid w:val="006D1C5B"/>
    <w:rsid w:val="006D481F"/>
    <w:rsid w:val="006D6AEA"/>
    <w:rsid w:val="006D6F99"/>
    <w:rsid w:val="006E1E37"/>
    <w:rsid w:val="006F35EE"/>
    <w:rsid w:val="006F7AC7"/>
    <w:rsid w:val="007063A9"/>
    <w:rsid w:val="00710151"/>
    <w:rsid w:val="00710CF8"/>
    <w:rsid w:val="0071378A"/>
    <w:rsid w:val="00716574"/>
    <w:rsid w:val="00716C6F"/>
    <w:rsid w:val="00720717"/>
    <w:rsid w:val="00721B9E"/>
    <w:rsid w:val="0074130F"/>
    <w:rsid w:val="0074251C"/>
    <w:rsid w:val="007441F1"/>
    <w:rsid w:val="007464CC"/>
    <w:rsid w:val="0075372E"/>
    <w:rsid w:val="0075571D"/>
    <w:rsid w:val="00757B2D"/>
    <w:rsid w:val="007608F5"/>
    <w:rsid w:val="007611D0"/>
    <w:rsid w:val="00764539"/>
    <w:rsid w:val="0077191B"/>
    <w:rsid w:val="00773AB7"/>
    <w:rsid w:val="00777D14"/>
    <w:rsid w:val="007923AF"/>
    <w:rsid w:val="00794CC3"/>
    <w:rsid w:val="00797EA6"/>
    <w:rsid w:val="007A0ABF"/>
    <w:rsid w:val="007A4603"/>
    <w:rsid w:val="007D41A1"/>
    <w:rsid w:val="007D6339"/>
    <w:rsid w:val="007E1EE5"/>
    <w:rsid w:val="007E51EC"/>
    <w:rsid w:val="00802199"/>
    <w:rsid w:val="008115B9"/>
    <w:rsid w:val="008140F9"/>
    <w:rsid w:val="00830923"/>
    <w:rsid w:val="00834032"/>
    <w:rsid w:val="008345CA"/>
    <w:rsid w:val="00834B71"/>
    <w:rsid w:val="008464F3"/>
    <w:rsid w:val="00851805"/>
    <w:rsid w:val="008578B5"/>
    <w:rsid w:val="0086445C"/>
    <w:rsid w:val="00874B36"/>
    <w:rsid w:val="008750C2"/>
    <w:rsid w:val="008844E1"/>
    <w:rsid w:val="00887C58"/>
    <w:rsid w:val="0089342B"/>
    <w:rsid w:val="00897A30"/>
    <w:rsid w:val="008A08D7"/>
    <w:rsid w:val="008A3CDD"/>
    <w:rsid w:val="008A4B6C"/>
    <w:rsid w:val="008A664C"/>
    <w:rsid w:val="008C241B"/>
    <w:rsid w:val="008C2960"/>
    <w:rsid w:val="008C3C87"/>
    <w:rsid w:val="008C416A"/>
    <w:rsid w:val="008D09CC"/>
    <w:rsid w:val="008E3517"/>
    <w:rsid w:val="008F14AB"/>
    <w:rsid w:val="00905457"/>
    <w:rsid w:val="00906890"/>
    <w:rsid w:val="00916031"/>
    <w:rsid w:val="00924383"/>
    <w:rsid w:val="009303DF"/>
    <w:rsid w:val="00933789"/>
    <w:rsid w:val="0093547B"/>
    <w:rsid w:val="009455B6"/>
    <w:rsid w:val="00946788"/>
    <w:rsid w:val="00946D43"/>
    <w:rsid w:val="00951972"/>
    <w:rsid w:val="00957137"/>
    <w:rsid w:val="00964C5E"/>
    <w:rsid w:val="00966025"/>
    <w:rsid w:val="00966330"/>
    <w:rsid w:val="00967D40"/>
    <w:rsid w:val="00975710"/>
    <w:rsid w:val="009851EA"/>
    <w:rsid w:val="009853A9"/>
    <w:rsid w:val="009855F4"/>
    <w:rsid w:val="0098757F"/>
    <w:rsid w:val="00991424"/>
    <w:rsid w:val="00993E04"/>
    <w:rsid w:val="00994D12"/>
    <w:rsid w:val="00995E91"/>
    <w:rsid w:val="009A01F7"/>
    <w:rsid w:val="009A2FAC"/>
    <w:rsid w:val="009B2598"/>
    <w:rsid w:val="009B4F02"/>
    <w:rsid w:val="009C7F72"/>
    <w:rsid w:val="009D0923"/>
    <w:rsid w:val="009D48FC"/>
    <w:rsid w:val="009E1281"/>
    <w:rsid w:val="009E53B6"/>
    <w:rsid w:val="009E68A1"/>
    <w:rsid w:val="009E78C4"/>
    <w:rsid w:val="009F2B7B"/>
    <w:rsid w:val="00A00CB2"/>
    <w:rsid w:val="00A103D9"/>
    <w:rsid w:val="00A13D13"/>
    <w:rsid w:val="00A17215"/>
    <w:rsid w:val="00A212A1"/>
    <w:rsid w:val="00A227C4"/>
    <w:rsid w:val="00A235E7"/>
    <w:rsid w:val="00A4153E"/>
    <w:rsid w:val="00A461C3"/>
    <w:rsid w:val="00A47BB1"/>
    <w:rsid w:val="00A47FFC"/>
    <w:rsid w:val="00A500CE"/>
    <w:rsid w:val="00A5179F"/>
    <w:rsid w:val="00A529C0"/>
    <w:rsid w:val="00A565D1"/>
    <w:rsid w:val="00A631CE"/>
    <w:rsid w:val="00A664EA"/>
    <w:rsid w:val="00A6684E"/>
    <w:rsid w:val="00A67BC0"/>
    <w:rsid w:val="00A7122F"/>
    <w:rsid w:val="00A72794"/>
    <w:rsid w:val="00A74A3E"/>
    <w:rsid w:val="00A808BB"/>
    <w:rsid w:val="00A82F58"/>
    <w:rsid w:val="00A917B3"/>
    <w:rsid w:val="00A94F70"/>
    <w:rsid w:val="00A95074"/>
    <w:rsid w:val="00A975A3"/>
    <w:rsid w:val="00AA3674"/>
    <w:rsid w:val="00AA6F4B"/>
    <w:rsid w:val="00AB362D"/>
    <w:rsid w:val="00AB4B51"/>
    <w:rsid w:val="00AB4EB2"/>
    <w:rsid w:val="00AC7860"/>
    <w:rsid w:val="00AD47E4"/>
    <w:rsid w:val="00AD5B67"/>
    <w:rsid w:val="00AD6FC8"/>
    <w:rsid w:val="00AD7EEE"/>
    <w:rsid w:val="00AE1541"/>
    <w:rsid w:val="00AE6C60"/>
    <w:rsid w:val="00B00052"/>
    <w:rsid w:val="00B03C75"/>
    <w:rsid w:val="00B10AFE"/>
    <w:rsid w:val="00B10CC7"/>
    <w:rsid w:val="00B20D12"/>
    <w:rsid w:val="00B23ED4"/>
    <w:rsid w:val="00B25272"/>
    <w:rsid w:val="00B26ADE"/>
    <w:rsid w:val="00B278B6"/>
    <w:rsid w:val="00B30A89"/>
    <w:rsid w:val="00B33366"/>
    <w:rsid w:val="00B33D44"/>
    <w:rsid w:val="00B3742B"/>
    <w:rsid w:val="00B4198D"/>
    <w:rsid w:val="00B43E29"/>
    <w:rsid w:val="00B47DC6"/>
    <w:rsid w:val="00B53CEA"/>
    <w:rsid w:val="00B607EC"/>
    <w:rsid w:val="00B62458"/>
    <w:rsid w:val="00B6350A"/>
    <w:rsid w:val="00B731D0"/>
    <w:rsid w:val="00B77535"/>
    <w:rsid w:val="00B830FA"/>
    <w:rsid w:val="00B8667A"/>
    <w:rsid w:val="00B9170D"/>
    <w:rsid w:val="00BA257C"/>
    <w:rsid w:val="00BB27E2"/>
    <w:rsid w:val="00BB5327"/>
    <w:rsid w:val="00BC161C"/>
    <w:rsid w:val="00BD2525"/>
    <w:rsid w:val="00BD33EE"/>
    <w:rsid w:val="00BD62F7"/>
    <w:rsid w:val="00BE44B1"/>
    <w:rsid w:val="00BE48E9"/>
    <w:rsid w:val="00BF0CEF"/>
    <w:rsid w:val="00BF55BB"/>
    <w:rsid w:val="00C121DC"/>
    <w:rsid w:val="00C16C6B"/>
    <w:rsid w:val="00C206CE"/>
    <w:rsid w:val="00C20B33"/>
    <w:rsid w:val="00C213AB"/>
    <w:rsid w:val="00C30E6D"/>
    <w:rsid w:val="00C32A48"/>
    <w:rsid w:val="00C3430E"/>
    <w:rsid w:val="00C34EAB"/>
    <w:rsid w:val="00C408BA"/>
    <w:rsid w:val="00C60F0C"/>
    <w:rsid w:val="00C64A43"/>
    <w:rsid w:val="00C6697F"/>
    <w:rsid w:val="00C66F7E"/>
    <w:rsid w:val="00C805C9"/>
    <w:rsid w:val="00C86CEF"/>
    <w:rsid w:val="00C876C3"/>
    <w:rsid w:val="00C92BCF"/>
    <w:rsid w:val="00C92FE7"/>
    <w:rsid w:val="00C9361C"/>
    <w:rsid w:val="00CA1679"/>
    <w:rsid w:val="00CA1E96"/>
    <w:rsid w:val="00CA2258"/>
    <w:rsid w:val="00CA3357"/>
    <w:rsid w:val="00CB4B63"/>
    <w:rsid w:val="00CB7611"/>
    <w:rsid w:val="00CC0344"/>
    <w:rsid w:val="00CC094B"/>
    <w:rsid w:val="00CC0958"/>
    <w:rsid w:val="00CC16E4"/>
    <w:rsid w:val="00CC1A7A"/>
    <w:rsid w:val="00CC34F8"/>
    <w:rsid w:val="00CC47FB"/>
    <w:rsid w:val="00CD3F1F"/>
    <w:rsid w:val="00CE22BA"/>
    <w:rsid w:val="00CE34F5"/>
    <w:rsid w:val="00CF2753"/>
    <w:rsid w:val="00D0501D"/>
    <w:rsid w:val="00D06D70"/>
    <w:rsid w:val="00D17777"/>
    <w:rsid w:val="00D208A2"/>
    <w:rsid w:val="00D21277"/>
    <w:rsid w:val="00D3016C"/>
    <w:rsid w:val="00D318B5"/>
    <w:rsid w:val="00D3445E"/>
    <w:rsid w:val="00D417F3"/>
    <w:rsid w:val="00D46BE4"/>
    <w:rsid w:val="00D5473E"/>
    <w:rsid w:val="00D56F76"/>
    <w:rsid w:val="00D57B9D"/>
    <w:rsid w:val="00D6054C"/>
    <w:rsid w:val="00D70188"/>
    <w:rsid w:val="00D72E2D"/>
    <w:rsid w:val="00D738F9"/>
    <w:rsid w:val="00D76DB6"/>
    <w:rsid w:val="00D83397"/>
    <w:rsid w:val="00D90138"/>
    <w:rsid w:val="00D90730"/>
    <w:rsid w:val="00D93A9C"/>
    <w:rsid w:val="00D93F0B"/>
    <w:rsid w:val="00D94F61"/>
    <w:rsid w:val="00D97076"/>
    <w:rsid w:val="00DB5AF3"/>
    <w:rsid w:val="00DB5FC5"/>
    <w:rsid w:val="00DD3DBF"/>
    <w:rsid w:val="00DD4A97"/>
    <w:rsid w:val="00DE5A66"/>
    <w:rsid w:val="00DE7B61"/>
    <w:rsid w:val="00DF3D65"/>
    <w:rsid w:val="00E0029E"/>
    <w:rsid w:val="00E155A3"/>
    <w:rsid w:val="00E161C8"/>
    <w:rsid w:val="00E205CC"/>
    <w:rsid w:val="00E33005"/>
    <w:rsid w:val="00E35029"/>
    <w:rsid w:val="00E40321"/>
    <w:rsid w:val="00E41472"/>
    <w:rsid w:val="00E602AA"/>
    <w:rsid w:val="00E602D6"/>
    <w:rsid w:val="00E60A52"/>
    <w:rsid w:val="00E62BC7"/>
    <w:rsid w:val="00E631F1"/>
    <w:rsid w:val="00E63458"/>
    <w:rsid w:val="00E708C3"/>
    <w:rsid w:val="00E738BB"/>
    <w:rsid w:val="00E73F76"/>
    <w:rsid w:val="00E74E72"/>
    <w:rsid w:val="00E7630F"/>
    <w:rsid w:val="00E83EE6"/>
    <w:rsid w:val="00E94942"/>
    <w:rsid w:val="00EA139F"/>
    <w:rsid w:val="00EA1755"/>
    <w:rsid w:val="00EA3020"/>
    <w:rsid w:val="00EB542C"/>
    <w:rsid w:val="00ED3076"/>
    <w:rsid w:val="00ED3A4C"/>
    <w:rsid w:val="00EE3179"/>
    <w:rsid w:val="00EE5BB5"/>
    <w:rsid w:val="00EE6478"/>
    <w:rsid w:val="00EE77F0"/>
    <w:rsid w:val="00EF1360"/>
    <w:rsid w:val="00EF3220"/>
    <w:rsid w:val="00F117AE"/>
    <w:rsid w:val="00F1490D"/>
    <w:rsid w:val="00F2383C"/>
    <w:rsid w:val="00F25AAD"/>
    <w:rsid w:val="00F316FD"/>
    <w:rsid w:val="00F320A5"/>
    <w:rsid w:val="00F33585"/>
    <w:rsid w:val="00F340AD"/>
    <w:rsid w:val="00F36184"/>
    <w:rsid w:val="00F362DC"/>
    <w:rsid w:val="00F4011B"/>
    <w:rsid w:val="00F50B33"/>
    <w:rsid w:val="00F60A48"/>
    <w:rsid w:val="00F937B8"/>
    <w:rsid w:val="00F93E9A"/>
    <w:rsid w:val="00FA009D"/>
    <w:rsid w:val="00FA6908"/>
    <w:rsid w:val="00FA7FCD"/>
    <w:rsid w:val="00FB6CD8"/>
    <w:rsid w:val="00FC282E"/>
    <w:rsid w:val="00FD2EF7"/>
    <w:rsid w:val="00FD329D"/>
    <w:rsid w:val="00FD756B"/>
    <w:rsid w:val="00FE5D1B"/>
    <w:rsid w:val="00FF0495"/>
    <w:rsid w:val="00FF246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90"/>
    <o:shapelayout v:ext="edit">
      <o:idmap v:ext="edit" data="1"/>
    </o:shapelayout>
  </w:shapeDefaults>
  <w:decimalSymbol w:val=","/>
  <w:listSeparator w:val=";"/>
  <w14:docId w14:val="7BBC4B77"/>
  <w15:docId w15:val="{516050B7-DA9A-423D-BE4C-1E65AC8DA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149"/>
    <w:pPr>
      <w:spacing w:line="240" w:lineRule="atLeast"/>
    </w:pPr>
    <w:rPr>
      <w:lang w:val="es-ES" w:eastAsia="es-ES"/>
    </w:rPr>
  </w:style>
  <w:style w:type="paragraph" w:styleId="Ttulo1">
    <w:name w:val="heading 1"/>
    <w:aliases w:val="Table_G"/>
    <w:basedOn w:val="SingleTxtG"/>
    <w:next w:val="SingleTxtG"/>
    <w:qFormat/>
    <w:rsid w:val="00E63458"/>
    <w:pPr>
      <w:keepNext/>
      <w:keepLines/>
      <w:spacing w:after="0" w:line="240" w:lineRule="auto"/>
      <w:ind w:right="0"/>
      <w:jc w:val="left"/>
      <w:outlineLvl w:val="0"/>
    </w:pPr>
  </w:style>
  <w:style w:type="paragraph" w:styleId="Ttulo2">
    <w:name w:val="heading 2"/>
    <w:basedOn w:val="Normal"/>
    <w:next w:val="Normal"/>
    <w:semiHidden/>
    <w:qFormat/>
    <w:rsid w:val="00E63458"/>
    <w:pPr>
      <w:suppressAutoHyphens/>
      <w:outlineLvl w:val="1"/>
    </w:pPr>
    <w:rPr>
      <w:lang w:val="fr-CH" w:eastAsia="en-US"/>
    </w:rPr>
  </w:style>
  <w:style w:type="paragraph" w:styleId="Ttulo3">
    <w:name w:val="heading 3"/>
    <w:basedOn w:val="Normal"/>
    <w:next w:val="Normal"/>
    <w:semiHidden/>
    <w:qFormat/>
    <w:rsid w:val="00E63458"/>
    <w:pPr>
      <w:suppressAutoHyphens/>
      <w:outlineLvl w:val="2"/>
    </w:pPr>
    <w:rPr>
      <w:lang w:val="fr-CH" w:eastAsia="en-US"/>
    </w:rPr>
  </w:style>
  <w:style w:type="paragraph" w:styleId="Ttulo4">
    <w:name w:val="heading 4"/>
    <w:basedOn w:val="Normal"/>
    <w:next w:val="Normal"/>
    <w:semiHidden/>
    <w:qFormat/>
    <w:rsid w:val="00E63458"/>
    <w:pPr>
      <w:suppressAutoHyphens/>
      <w:outlineLvl w:val="3"/>
    </w:pPr>
    <w:rPr>
      <w:lang w:val="fr-CH" w:eastAsia="en-US"/>
    </w:rPr>
  </w:style>
  <w:style w:type="paragraph" w:styleId="Ttulo5">
    <w:name w:val="heading 5"/>
    <w:basedOn w:val="Normal"/>
    <w:next w:val="Normal"/>
    <w:semiHidden/>
    <w:qFormat/>
    <w:rsid w:val="00E63458"/>
    <w:pPr>
      <w:suppressAutoHyphens/>
      <w:outlineLvl w:val="4"/>
    </w:pPr>
    <w:rPr>
      <w:lang w:val="fr-CH" w:eastAsia="en-US"/>
    </w:rPr>
  </w:style>
  <w:style w:type="paragraph" w:styleId="Ttulo6">
    <w:name w:val="heading 6"/>
    <w:basedOn w:val="Normal"/>
    <w:next w:val="Normal"/>
    <w:semiHidden/>
    <w:qFormat/>
    <w:rsid w:val="00E63458"/>
    <w:pPr>
      <w:suppressAutoHyphens/>
      <w:outlineLvl w:val="5"/>
    </w:pPr>
    <w:rPr>
      <w:lang w:val="fr-CH" w:eastAsia="en-US"/>
    </w:rPr>
  </w:style>
  <w:style w:type="paragraph" w:styleId="Ttulo7">
    <w:name w:val="heading 7"/>
    <w:basedOn w:val="Normal"/>
    <w:next w:val="Normal"/>
    <w:semiHidden/>
    <w:qFormat/>
    <w:rsid w:val="00E63458"/>
    <w:pPr>
      <w:suppressAutoHyphens/>
      <w:outlineLvl w:val="6"/>
    </w:pPr>
    <w:rPr>
      <w:lang w:val="fr-CH" w:eastAsia="en-US"/>
    </w:rPr>
  </w:style>
  <w:style w:type="paragraph" w:styleId="Ttulo8">
    <w:name w:val="heading 8"/>
    <w:basedOn w:val="Normal"/>
    <w:next w:val="Normal"/>
    <w:semiHidden/>
    <w:qFormat/>
    <w:rsid w:val="00E63458"/>
    <w:pPr>
      <w:suppressAutoHyphens/>
      <w:outlineLvl w:val="7"/>
    </w:pPr>
    <w:rPr>
      <w:lang w:val="fr-CH" w:eastAsia="en-US"/>
    </w:rPr>
  </w:style>
  <w:style w:type="paragraph" w:styleId="Ttulo9">
    <w:name w:val="heading 9"/>
    <w:basedOn w:val="Normal"/>
    <w:next w:val="Normal"/>
    <w:semiHidden/>
    <w:qFormat/>
    <w:rsid w:val="00E63458"/>
    <w:pPr>
      <w:suppressAutoHyphens/>
      <w:outlineLvl w:val="8"/>
    </w:pPr>
    <w:rPr>
      <w:lang w:val="fr-CH"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E63458"/>
    <w:rPr>
      <w:rFonts w:ascii="Times New Roman" w:hAnsi="Times New Roman"/>
      <w:sz w:val="18"/>
      <w:vertAlign w:val="superscript"/>
      <w:lang w:val="fr-CH"/>
    </w:rPr>
  </w:style>
  <w:style w:type="paragraph" w:customStyle="1" w:styleId="HMG">
    <w:name w:val="_ H __M_G"/>
    <w:basedOn w:val="Normal"/>
    <w:next w:val="Normal"/>
    <w:qFormat/>
    <w:rsid w:val="00E63458"/>
    <w:pPr>
      <w:keepNext/>
      <w:keepLines/>
      <w:tabs>
        <w:tab w:val="right" w:pos="851"/>
      </w:tabs>
      <w:suppressAutoHyphens/>
      <w:spacing w:before="240" w:after="240" w:line="360" w:lineRule="exact"/>
      <w:ind w:left="1134" w:right="1134" w:hanging="1134"/>
    </w:pPr>
    <w:rPr>
      <w:b/>
      <w:sz w:val="34"/>
      <w:lang w:val="fr-CH" w:eastAsia="en-US"/>
    </w:rPr>
  </w:style>
  <w:style w:type="paragraph" w:customStyle="1" w:styleId="HChG">
    <w:name w:val="_ H _Ch_G"/>
    <w:basedOn w:val="Normal"/>
    <w:next w:val="Normal"/>
    <w:qFormat/>
    <w:rsid w:val="00E63458"/>
    <w:pPr>
      <w:keepNext/>
      <w:keepLines/>
      <w:tabs>
        <w:tab w:val="right" w:pos="851"/>
      </w:tabs>
      <w:suppressAutoHyphens/>
      <w:spacing w:before="360" w:after="240" w:line="300" w:lineRule="exact"/>
      <w:ind w:left="1134" w:right="1134" w:hanging="1134"/>
    </w:pPr>
    <w:rPr>
      <w:b/>
      <w:sz w:val="28"/>
      <w:lang w:val="fr-CH" w:eastAsia="en-US"/>
    </w:rPr>
  </w:style>
  <w:style w:type="paragraph" w:styleId="Textodeglobo">
    <w:name w:val="Balloon Text"/>
    <w:basedOn w:val="Normal"/>
    <w:link w:val="TextodegloboCar"/>
    <w:semiHidden/>
    <w:rsid w:val="00162149"/>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162149"/>
    <w:rPr>
      <w:rFonts w:ascii="Tahoma" w:hAnsi="Tahoma" w:cs="Tahoma"/>
      <w:sz w:val="16"/>
      <w:szCs w:val="16"/>
      <w:lang w:val="es-ES" w:eastAsia="es-ES"/>
    </w:rPr>
  </w:style>
  <w:style w:type="paragraph" w:customStyle="1" w:styleId="H1G">
    <w:name w:val="_ H_1_G"/>
    <w:basedOn w:val="Normal"/>
    <w:next w:val="Normal"/>
    <w:qFormat/>
    <w:rsid w:val="00E63458"/>
    <w:pPr>
      <w:keepNext/>
      <w:keepLines/>
      <w:tabs>
        <w:tab w:val="right" w:pos="851"/>
      </w:tabs>
      <w:suppressAutoHyphens/>
      <w:spacing w:before="360" w:after="240" w:line="270" w:lineRule="exact"/>
      <w:ind w:left="1134" w:right="1134" w:hanging="1134"/>
    </w:pPr>
    <w:rPr>
      <w:b/>
      <w:sz w:val="24"/>
      <w:lang w:val="fr-CH" w:eastAsia="en-US"/>
    </w:rPr>
  </w:style>
  <w:style w:type="paragraph" w:customStyle="1" w:styleId="H23G">
    <w:name w:val="_ H_2/3_G"/>
    <w:basedOn w:val="Normal"/>
    <w:next w:val="Normal"/>
    <w:qFormat/>
    <w:rsid w:val="00E63458"/>
    <w:pPr>
      <w:keepNext/>
      <w:keepLines/>
      <w:tabs>
        <w:tab w:val="right" w:pos="851"/>
      </w:tabs>
      <w:suppressAutoHyphens/>
      <w:spacing w:before="240" w:after="120" w:line="240" w:lineRule="exact"/>
      <w:ind w:left="1134" w:right="1134" w:hanging="1134"/>
    </w:pPr>
    <w:rPr>
      <w:b/>
      <w:lang w:val="fr-CH" w:eastAsia="en-US"/>
    </w:rPr>
  </w:style>
  <w:style w:type="paragraph" w:customStyle="1" w:styleId="H4G">
    <w:name w:val="_ H_4_G"/>
    <w:basedOn w:val="Normal"/>
    <w:next w:val="Normal"/>
    <w:qFormat/>
    <w:rsid w:val="00E63458"/>
    <w:pPr>
      <w:keepNext/>
      <w:keepLines/>
      <w:tabs>
        <w:tab w:val="right" w:pos="851"/>
      </w:tabs>
      <w:suppressAutoHyphens/>
      <w:spacing w:before="240" w:after="120" w:line="240" w:lineRule="exact"/>
      <w:ind w:left="1134" w:right="1134" w:hanging="1134"/>
    </w:pPr>
    <w:rPr>
      <w:i/>
      <w:lang w:val="fr-CH" w:eastAsia="en-US"/>
    </w:rPr>
  </w:style>
  <w:style w:type="paragraph" w:customStyle="1" w:styleId="H56G">
    <w:name w:val="_ H_5/6_G"/>
    <w:basedOn w:val="Normal"/>
    <w:next w:val="Normal"/>
    <w:qFormat/>
    <w:rsid w:val="00E63458"/>
    <w:pPr>
      <w:keepNext/>
      <w:keepLines/>
      <w:tabs>
        <w:tab w:val="right" w:pos="851"/>
      </w:tabs>
      <w:suppressAutoHyphens/>
      <w:spacing w:before="240" w:after="120" w:line="240" w:lineRule="exact"/>
      <w:ind w:left="1134" w:right="1134" w:hanging="1134"/>
    </w:pPr>
    <w:rPr>
      <w:lang w:val="fr-CH" w:eastAsia="en-US"/>
    </w:rPr>
  </w:style>
  <w:style w:type="paragraph" w:styleId="Encabezado">
    <w:name w:val="header"/>
    <w:aliases w:val="6_G"/>
    <w:basedOn w:val="Normal"/>
    <w:next w:val="Normal"/>
    <w:qFormat/>
    <w:rsid w:val="00E63458"/>
    <w:pPr>
      <w:pBdr>
        <w:bottom w:val="single" w:sz="4" w:space="4" w:color="auto"/>
      </w:pBdr>
      <w:suppressAutoHyphens/>
      <w:spacing w:line="240" w:lineRule="auto"/>
    </w:pPr>
    <w:rPr>
      <w:b/>
      <w:sz w:val="18"/>
      <w:lang w:val="fr-CH" w:eastAsia="en-US"/>
    </w:rPr>
  </w:style>
  <w:style w:type="paragraph" w:customStyle="1" w:styleId="SingleTxtG">
    <w:name w:val="_ Single Txt_G"/>
    <w:basedOn w:val="Normal"/>
    <w:link w:val="SingleTxtGChar"/>
    <w:qFormat/>
    <w:rsid w:val="00E63458"/>
    <w:pPr>
      <w:suppressAutoHyphens/>
      <w:spacing w:after="120"/>
      <w:ind w:left="1134" w:right="1134"/>
      <w:jc w:val="both"/>
    </w:pPr>
    <w:rPr>
      <w:lang w:val="fr-CH" w:eastAsia="en-US"/>
    </w:rPr>
  </w:style>
  <w:style w:type="paragraph" w:customStyle="1" w:styleId="SMG">
    <w:name w:val="__S_M_G"/>
    <w:basedOn w:val="Normal"/>
    <w:next w:val="Normal"/>
    <w:rsid w:val="00E63458"/>
    <w:pPr>
      <w:keepNext/>
      <w:keepLines/>
      <w:suppressAutoHyphens/>
      <w:spacing w:before="240" w:after="240" w:line="420" w:lineRule="exact"/>
      <w:ind w:left="1134" w:right="1134"/>
    </w:pPr>
    <w:rPr>
      <w:b/>
      <w:sz w:val="40"/>
      <w:lang w:val="fr-CH" w:eastAsia="en-US"/>
    </w:rPr>
  </w:style>
  <w:style w:type="paragraph" w:customStyle="1" w:styleId="SLG">
    <w:name w:val="__S_L_G"/>
    <w:basedOn w:val="Normal"/>
    <w:next w:val="Normal"/>
    <w:rsid w:val="00E63458"/>
    <w:pPr>
      <w:keepNext/>
      <w:keepLines/>
      <w:suppressAutoHyphens/>
      <w:spacing w:before="240" w:after="240" w:line="580" w:lineRule="exact"/>
      <w:ind w:left="1134" w:right="1134"/>
    </w:pPr>
    <w:rPr>
      <w:b/>
      <w:sz w:val="56"/>
      <w:lang w:val="fr-CH" w:eastAsia="en-US"/>
    </w:rPr>
  </w:style>
  <w:style w:type="paragraph" w:customStyle="1" w:styleId="SSG">
    <w:name w:val="__S_S_G"/>
    <w:basedOn w:val="Normal"/>
    <w:next w:val="Normal"/>
    <w:rsid w:val="00E63458"/>
    <w:pPr>
      <w:keepNext/>
      <w:keepLines/>
      <w:suppressAutoHyphens/>
      <w:spacing w:before="240" w:after="240" w:line="300" w:lineRule="exact"/>
      <w:ind w:left="1134" w:right="1134"/>
    </w:pPr>
    <w:rPr>
      <w:b/>
      <w:sz w:val="28"/>
      <w:lang w:val="fr-CH" w:eastAsia="en-US"/>
    </w:rPr>
  </w:style>
  <w:style w:type="paragraph" w:styleId="Piedepgina">
    <w:name w:val="footer"/>
    <w:aliases w:val="3_G"/>
    <w:basedOn w:val="Normal"/>
    <w:next w:val="Normal"/>
    <w:qFormat/>
    <w:rsid w:val="00E63458"/>
    <w:pPr>
      <w:suppressAutoHyphens/>
      <w:spacing w:line="240" w:lineRule="auto"/>
    </w:pPr>
    <w:rPr>
      <w:sz w:val="16"/>
      <w:lang w:val="fr-CH" w:eastAsia="en-US"/>
    </w:rPr>
  </w:style>
  <w:style w:type="paragraph" w:customStyle="1" w:styleId="XLargeG">
    <w:name w:val="__XLarge_G"/>
    <w:basedOn w:val="Normal"/>
    <w:next w:val="Normal"/>
    <w:rsid w:val="00E63458"/>
    <w:pPr>
      <w:keepNext/>
      <w:keepLines/>
      <w:suppressAutoHyphens/>
      <w:spacing w:before="240" w:after="240" w:line="420" w:lineRule="exact"/>
      <w:ind w:left="1134" w:right="1134"/>
    </w:pPr>
    <w:rPr>
      <w:b/>
      <w:sz w:val="40"/>
      <w:lang w:val="fr-CH" w:eastAsia="en-US"/>
    </w:rPr>
  </w:style>
  <w:style w:type="paragraph" w:styleId="Textonotapie">
    <w:name w:val="footnote text"/>
    <w:aliases w:val="5_G"/>
    <w:basedOn w:val="Normal"/>
    <w:qFormat/>
    <w:rsid w:val="00E63458"/>
    <w:pPr>
      <w:tabs>
        <w:tab w:val="right" w:pos="1021"/>
      </w:tabs>
      <w:suppressAutoHyphens/>
      <w:spacing w:line="220" w:lineRule="exact"/>
      <w:ind w:left="1134" w:right="1134" w:hanging="1134"/>
    </w:pPr>
    <w:rPr>
      <w:sz w:val="18"/>
      <w:lang w:val="fr-CH" w:eastAsia="en-US"/>
    </w:rPr>
  </w:style>
  <w:style w:type="table" w:styleId="Tablaconcuadrcula">
    <w:name w:val="Table Grid"/>
    <w:basedOn w:val="Tablanormal"/>
    <w:semiHidden/>
    <w:rsid w:val="00E6345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qFormat/>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semiHidden/>
    <w:rsid w:val="00E63458"/>
    <w:rPr>
      <w:color w:val="auto"/>
      <w:u w:val="none"/>
    </w:rPr>
  </w:style>
  <w:style w:type="character" w:styleId="Hipervnculovisitado">
    <w:name w:val="FollowedHyperlink"/>
    <w:basedOn w:val="Fuentedeprrafopredeter"/>
    <w:semiHidden/>
    <w:rsid w:val="00E63458"/>
    <w:rPr>
      <w:color w:val="auto"/>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qFormat/>
    <w:rsid w:val="00E63458"/>
    <w:rPr>
      <w:rFonts w:ascii="Times New Roman" w:hAnsi="Times New Roman"/>
      <w:b/>
      <w:sz w:val="18"/>
      <w:lang w:val="fr-CH"/>
    </w:rPr>
  </w:style>
  <w:style w:type="character" w:styleId="Refdenotaalfinal">
    <w:name w:val="endnote reference"/>
    <w:aliases w:val="1_G"/>
    <w:basedOn w:val="Refdenotaalpie"/>
    <w:qFormat/>
    <w:rsid w:val="00E63458"/>
    <w:rPr>
      <w:rFonts w:ascii="Times New Roman" w:hAnsi="Times New Roman"/>
      <w:sz w:val="18"/>
      <w:vertAlign w:val="superscript"/>
      <w:lang w:val="fr-CH"/>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qFormat/>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qFormat/>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qFormat/>
    <w:rsid w:val="00E63458"/>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qFormat/>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E63458"/>
    <w:pPr>
      <w:numPr>
        <w:numId w:val="16"/>
      </w:numPr>
      <w:suppressAutoHyphens/>
      <w:spacing w:after="120"/>
      <w:ind w:right="1134"/>
      <w:jc w:val="both"/>
    </w:pPr>
    <w:rPr>
      <w:lang w:val="fr-CH" w:eastAsia="en-US"/>
    </w:rPr>
  </w:style>
  <w:style w:type="paragraph" w:customStyle="1" w:styleId="Bullet2G">
    <w:name w:val="_Bullet 2_G"/>
    <w:basedOn w:val="Normal"/>
    <w:qFormat/>
    <w:rsid w:val="00E63458"/>
    <w:pPr>
      <w:numPr>
        <w:numId w:val="17"/>
      </w:numPr>
      <w:suppressAutoHyphens/>
      <w:spacing w:after="120"/>
      <w:ind w:right="1134"/>
      <w:jc w:val="both"/>
    </w:pPr>
    <w:rPr>
      <w:lang w:val="fr-CH" w:eastAsia="en-US"/>
    </w:rPr>
  </w:style>
  <w:style w:type="paragraph" w:styleId="Prrafodelista">
    <w:name w:val="List Paragraph"/>
    <w:basedOn w:val="Normal"/>
    <w:uiPriority w:val="34"/>
    <w:semiHidden/>
    <w:qFormat/>
    <w:rsid w:val="00204CE0"/>
    <w:pPr>
      <w:ind w:left="720"/>
      <w:contextualSpacing/>
    </w:pPr>
  </w:style>
  <w:style w:type="character" w:customStyle="1" w:styleId="SingleTxtGChar">
    <w:name w:val="_ Single Txt_G Char"/>
    <w:link w:val="SingleTxtG"/>
    <w:locked/>
    <w:rsid w:val="00BD62F7"/>
    <w:rPr>
      <w:lang w:val="fr-CH" w:eastAsia="en-US"/>
    </w:rPr>
  </w:style>
  <w:style w:type="paragraph" w:customStyle="1" w:styleId="Default">
    <w:name w:val="Default"/>
    <w:rsid w:val="00DD4A97"/>
    <w:pPr>
      <w:widowControl w:val="0"/>
      <w:autoSpaceDE w:val="0"/>
      <w:autoSpaceDN w:val="0"/>
      <w:adjustRightInd w:val="0"/>
    </w:pPr>
    <w:rPr>
      <w:color w:val="000000"/>
      <w:sz w:val="24"/>
      <w:szCs w:val="24"/>
      <w:lang w:val="en-US"/>
    </w:rPr>
  </w:style>
  <w:style w:type="paragraph" w:styleId="Revisin">
    <w:name w:val="Revision"/>
    <w:hidden/>
    <w:uiPriority w:val="99"/>
    <w:semiHidden/>
    <w:rsid w:val="0048272D"/>
    <w:rPr>
      <w:lang w:val="es-ES" w:eastAsia="es-ES"/>
    </w:rPr>
  </w:style>
  <w:style w:type="character" w:styleId="Refdecomentario">
    <w:name w:val="annotation reference"/>
    <w:basedOn w:val="Fuentedeprrafopredeter"/>
    <w:semiHidden/>
    <w:rsid w:val="00E631F1"/>
    <w:rPr>
      <w:sz w:val="16"/>
      <w:szCs w:val="16"/>
    </w:rPr>
  </w:style>
  <w:style w:type="paragraph" w:styleId="Textocomentario">
    <w:name w:val="annotation text"/>
    <w:basedOn w:val="Normal"/>
    <w:link w:val="TextocomentarioCar"/>
    <w:semiHidden/>
    <w:rsid w:val="00E631F1"/>
    <w:pPr>
      <w:spacing w:line="240" w:lineRule="auto"/>
    </w:pPr>
  </w:style>
  <w:style w:type="character" w:customStyle="1" w:styleId="TextocomentarioCar">
    <w:name w:val="Texto comentario Car"/>
    <w:basedOn w:val="Fuentedeprrafopredeter"/>
    <w:link w:val="Textocomentario"/>
    <w:semiHidden/>
    <w:rsid w:val="00E631F1"/>
    <w:rPr>
      <w:lang w:val="es-ES" w:eastAsia="es-ES"/>
    </w:rPr>
  </w:style>
  <w:style w:type="paragraph" w:styleId="Asuntodelcomentario">
    <w:name w:val="annotation subject"/>
    <w:basedOn w:val="Textocomentario"/>
    <w:next w:val="Textocomentario"/>
    <w:link w:val="AsuntodelcomentarioCar"/>
    <w:semiHidden/>
    <w:rsid w:val="00E631F1"/>
    <w:rPr>
      <w:b/>
      <w:bCs/>
    </w:rPr>
  </w:style>
  <w:style w:type="character" w:customStyle="1" w:styleId="AsuntodelcomentarioCar">
    <w:name w:val="Asunto del comentario Car"/>
    <w:basedOn w:val="TextocomentarioCar"/>
    <w:link w:val="Asuntodelcomentario"/>
    <w:semiHidden/>
    <w:rsid w:val="00E631F1"/>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E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F492D-A942-416E-93B2-B79F7266F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E_S.dotm</Template>
  <TotalTime>0</TotalTime>
  <Pages>10</Pages>
  <Words>5306</Words>
  <Characters>29187</Characters>
  <Application>Microsoft Office Word</Application>
  <DocSecurity>0</DocSecurity>
  <Lines>243</Lines>
  <Paragraphs>68</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E/C.12/URY/CO/R.5</vt:lpstr>
      <vt:lpstr>E/C.12/URY/CO/R.5</vt:lpstr>
      <vt:lpstr>Naciones Unidas</vt:lpstr>
    </vt:vector>
  </TitlesOfParts>
  <Company>DCM</Company>
  <LinksUpToDate>false</LinksUpToDate>
  <CharactersWithSpaces>34425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E/C.12/URY/CO/5</dc:title>
  <dc:subject>E/C.12/URY/CO/5</dc:subject>
  <dc:creator>Maria Luisa ZEBALLOS MORENO</dc:creator>
  <cp:keywords/>
  <dc:description/>
  <cp:lastModifiedBy>Maria Luisa ZEBALLOS MORENO</cp:lastModifiedBy>
  <cp:revision>3</cp:revision>
  <cp:lastPrinted>2017-07-20T14:31:00Z</cp:lastPrinted>
  <dcterms:created xsi:type="dcterms:W3CDTF">2017-07-20T14:31:00Z</dcterms:created>
  <dcterms:modified xsi:type="dcterms:W3CDTF">2017-07-20T14:31:00Z</dcterms:modified>
</cp:coreProperties>
</file>