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2227EDD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625DF8" w14:textId="638A59E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BBBA34" w14:textId="6E04F9CC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345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E31ED3" w14:textId="77777777" w:rsidR="00717266" w:rsidRPr="00D47EEA" w:rsidRDefault="00E06F94" w:rsidP="00E06F94">
            <w:pPr>
              <w:suppressAutoHyphens w:val="0"/>
              <w:spacing w:after="20"/>
              <w:jc w:val="right"/>
            </w:pPr>
            <w:r w:rsidRPr="00E06F94">
              <w:rPr>
                <w:sz w:val="40"/>
              </w:rPr>
              <w:t>E</w:t>
            </w:r>
            <w:r>
              <w:t>/C.12/GTM/CO/4</w:t>
            </w:r>
          </w:p>
        </w:tc>
      </w:tr>
      <w:tr w:rsidR="00717266" w14:paraId="300255C3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69A193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6CF4BA" wp14:editId="09F55AC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687493" w14:textId="572DEFAA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3455F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3455F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3455F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4CDBBC" w14:textId="59A2C230" w:rsidR="00717266" w:rsidRDefault="00E06F94" w:rsidP="00E06F94">
            <w:pPr>
              <w:spacing w:before="240"/>
            </w:pPr>
            <w:r>
              <w:t>Distr.:</w:t>
            </w:r>
            <w:r w:rsidR="003455F1">
              <w:t xml:space="preserve"> </w:t>
            </w:r>
            <w:r>
              <w:t>General</w:t>
            </w:r>
          </w:p>
          <w:p w14:paraId="709674D7" w14:textId="7DEB147E" w:rsidR="00E06F94" w:rsidRDefault="00E06F94" w:rsidP="00E06F94">
            <w:pPr>
              <w:suppressAutoHyphens w:val="0"/>
            </w:pPr>
            <w:r>
              <w:t>11</w:t>
            </w:r>
            <w:r w:rsidR="003455F1">
              <w:t xml:space="preserve"> </w:t>
            </w:r>
            <w:r>
              <w:t>November</w:t>
            </w:r>
            <w:r w:rsidR="003455F1">
              <w:t xml:space="preserve"> </w:t>
            </w:r>
            <w:r>
              <w:t>2022</w:t>
            </w:r>
          </w:p>
          <w:p w14:paraId="570D4920" w14:textId="0E8A3258" w:rsidR="00E06F94" w:rsidRDefault="00E06F94" w:rsidP="00E06F94">
            <w:pPr>
              <w:suppressAutoHyphens w:val="0"/>
            </w:pPr>
            <w:r>
              <w:t>English</w:t>
            </w:r>
          </w:p>
          <w:p w14:paraId="33BB358E" w14:textId="05507E81" w:rsidR="00E06F94" w:rsidRDefault="00E06F94" w:rsidP="00E06F94">
            <w:pPr>
              <w:suppressAutoHyphens w:val="0"/>
            </w:pPr>
            <w:r>
              <w:t>Original:</w:t>
            </w:r>
            <w:r w:rsidR="003455F1">
              <w:t xml:space="preserve"> </w:t>
            </w:r>
            <w:r>
              <w:t>Spanish</w:t>
            </w:r>
          </w:p>
        </w:tc>
      </w:tr>
    </w:tbl>
    <w:p w14:paraId="7F9BB179" w14:textId="2D623AE6" w:rsidR="00E06F94" w:rsidRPr="00B37534" w:rsidRDefault="00E06F94" w:rsidP="00E06F94">
      <w:pPr>
        <w:spacing w:before="120"/>
        <w:rPr>
          <w:b/>
          <w:sz w:val="24"/>
          <w:szCs w:val="24"/>
          <w:lang w:val="en-US"/>
        </w:rPr>
      </w:pPr>
      <w:r w:rsidRPr="00B37534">
        <w:rPr>
          <w:b/>
          <w:bCs/>
          <w:sz w:val="24"/>
          <w:szCs w:val="24"/>
        </w:rPr>
        <w:t>Committee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on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Economic,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Social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and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Cultural</w:t>
      </w:r>
      <w:r w:rsidR="003455F1">
        <w:rPr>
          <w:b/>
          <w:bCs/>
          <w:sz w:val="24"/>
          <w:szCs w:val="24"/>
        </w:rPr>
        <w:t xml:space="preserve"> </w:t>
      </w:r>
      <w:r w:rsidRPr="00B37534">
        <w:rPr>
          <w:b/>
          <w:bCs/>
          <w:sz w:val="24"/>
          <w:szCs w:val="24"/>
        </w:rPr>
        <w:t>Rights</w:t>
      </w:r>
    </w:p>
    <w:p w14:paraId="12F46A84" w14:textId="7377D0A0" w:rsidR="00E06F94" w:rsidRPr="001F49A2" w:rsidRDefault="00E06F94" w:rsidP="00E06F94">
      <w:pPr>
        <w:pStyle w:val="HChG"/>
        <w:rPr>
          <w:lang w:val="en-US"/>
        </w:rPr>
      </w:pPr>
      <w:r>
        <w:tab/>
      </w:r>
      <w:r>
        <w:tab/>
        <w:t>Concluding</w:t>
      </w:r>
      <w:r w:rsidR="003455F1">
        <w:t xml:space="preserve"> </w:t>
      </w:r>
      <w:r>
        <w:t>observations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fourth</w:t>
      </w:r>
      <w:r w:rsidR="003455F1">
        <w:t xml:space="preserve"> </w:t>
      </w:r>
      <w:r>
        <w:t>periodic</w:t>
      </w:r>
      <w:r w:rsidR="003455F1">
        <w:t xml:space="preserve"> </w:t>
      </w:r>
      <w:r>
        <w:t>report</w:t>
      </w:r>
      <w:r w:rsidR="003455F1">
        <w:t xml:space="preserve"> </w:t>
      </w:r>
      <w:r>
        <w:t>of</w:t>
      </w:r>
      <w:r w:rsidR="003455F1">
        <w:t xml:space="preserve"> </w:t>
      </w:r>
      <w:r>
        <w:t>Guatemala</w:t>
      </w:r>
      <w:r w:rsidRPr="00460E0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266D9EF4" w14:textId="18AD37E8" w:rsidR="00866BF2" w:rsidRDefault="00E06F94" w:rsidP="00E06F94">
      <w:pPr>
        <w:pStyle w:val="SingleTxtG"/>
      </w:pPr>
      <w:r>
        <w:t>1.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considered</w:t>
      </w:r>
      <w:r w:rsidR="003455F1">
        <w:t xml:space="preserve"> </w:t>
      </w:r>
      <w:r>
        <w:t>the</w:t>
      </w:r>
      <w:r w:rsidR="003455F1">
        <w:t xml:space="preserve"> </w:t>
      </w:r>
      <w:r>
        <w:t>fourth</w:t>
      </w:r>
      <w:r w:rsidR="003455F1">
        <w:t xml:space="preserve"> </w:t>
      </w:r>
      <w:r>
        <w:t>periodic</w:t>
      </w:r>
      <w:r w:rsidR="003455F1">
        <w:t xml:space="preserve"> </w:t>
      </w:r>
      <w:r>
        <w:t>report</w:t>
      </w:r>
      <w:r w:rsidR="003455F1">
        <w:t xml:space="preserve"> </w:t>
      </w:r>
      <w:r>
        <w:t>of</w:t>
      </w:r>
      <w:r w:rsidR="003455F1">
        <w:t xml:space="preserve"> </w:t>
      </w:r>
      <w:r>
        <w:t>Guatemala</w:t>
      </w:r>
      <w:r w:rsidRPr="00866BF2">
        <w:rPr>
          <w:rStyle w:val="FootnoteReference"/>
        </w:rPr>
        <w:footnoteReference w:id="2"/>
      </w:r>
      <w:r w:rsidR="003455F1">
        <w:t xml:space="preserve"> </w:t>
      </w:r>
      <w:r>
        <w:t>at</w:t>
      </w:r>
      <w:r w:rsidR="003455F1">
        <w:t xml:space="preserve"> </w:t>
      </w:r>
      <w:r>
        <w:t>its</w:t>
      </w:r>
      <w:r w:rsidR="003455F1">
        <w:t xml:space="preserve"> </w:t>
      </w:r>
      <w:r>
        <w:t>42nd</w:t>
      </w:r>
      <w:r w:rsidR="003455F1">
        <w:t xml:space="preserve"> </w:t>
      </w:r>
      <w:r>
        <w:t>and</w:t>
      </w:r>
      <w:r w:rsidR="003455F1">
        <w:t xml:space="preserve"> </w:t>
      </w:r>
      <w:r>
        <w:t>44th</w:t>
      </w:r>
      <w:r w:rsidR="003455F1">
        <w:t xml:space="preserve"> </w:t>
      </w:r>
      <w:r>
        <w:t>meetings,</w:t>
      </w:r>
      <w:r w:rsidRPr="00866BF2">
        <w:rPr>
          <w:rStyle w:val="FootnoteReference"/>
        </w:rPr>
        <w:footnoteReference w:id="3"/>
      </w:r>
      <w:r w:rsidR="003455F1">
        <w:t xml:space="preserve"> </w:t>
      </w:r>
      <w:r>
        <w:t>held</w:t>
      </w:r>
      <w:r w:rsidR="003455F1">
        <w:t xml:space="preserve"> </w:t>
      </w:r>
      <w:r>
        <w:t>on</w:t>
      </w:r>
      <w:r w:rsidR="003455F1">
        <w:t xml:space="preserve"> </w:t>
      </w:r>
      <w:r>
        <w:t>3</w:t>
      </w:r>
      <w:r w:rsidR="003455F1">
        <w:t xml:space="preserve"> </w:t>
      </w:r>
      <w:r>
        <w:t>and</w:t>
      </w:r>
      <w:r w:rsidR="003455F1">
        <w:t xml:space="preserve"> </w:t>
      </w:r>
      <w:r>
        <w:t>4</w:t>
      </w:r>
      <w:r w:rsidR="003455F1">
        <w:t xml:space="preserve"> </w:t>
      </w:r>
      <w:r>
        <w:t>October</w:t>
      </w:r>
      <w:r w:rsidR="003455F1">
        <w:t xml:space="preserve"> </w:t>
      </w:r>
      <w:r>
        <w:t>2022,</w:t>
      </w:r>
      <w:r w:rsidR="003455F1">
        <w:t xml:space="preserve"> </w:t>
      </w:r>
      <w:r>
        <w:t>and</w:t>
      </w:r>
      <w:r w:rsidR="003455F1">
        <w:t xml:space="preserve"> </w:t>
      </w:r>
      <w:r>
        <w:t>adopted</w:t>
      </w:r>
      <w:r w:rsidR="003455F1">
        <w:t xml:space="preserve"> </w:t>
      </w:r>
      <w:r>
        <w:t>the</w:t>
      </w:r>
      <w:r w:rsidR="003455F1">
        <w:t xml:space="preserve"> </w:t>
      </w:r>
      <w:r>
        <w:t>present</w:t>
      </w:r>
      <w:r w:rsidR="003455F1">
        <w:t xml:space="preserve"> </w:t>
      </w:r>
      <w:r>
        <w:t>concluding</w:t>
      </w:r>
      <w:r w:rsidR="003455F1">
        <w:t xml:space="preserve"> </w:t>
      </w:r>
      <w:r>
        <w:t>observations</w:t>
      </w:r>
      <w:r w:rsidR="003455F1">
        <w:t xml:space="preserve"> </w:t>
      </w:r>
      <w:r>
        <w:t>at</w:t>
      </w:r>
      <w:r w:rsidR="003455F1">
        <w:t xml:space="preserve"> </w:t>
      </w:r>
      <w:r>
        <w:t>its</w:t>
      </w:r>
      <w:r w:rsidR="003455F1">
        <w:t xml:space="preserve"> </w:t>
      </w:r>
      <w:r>
        <w:t>60th</w:t>
      </w:r>
      <w:r w:rsidR="003455F1">
        <w:t xml:space="preserve"> </w:t>
      </w:r>
      <w:r>
        <w:t>meeting,</w:t>
      </w:r>
      <w:r w:rsidR="003455F1">
        <w:t xml:space="preserve"> </w:t>
      </w:r>
      <w:r>
        <w:t>held</w:t>
      </w:r>
      <w:r w:rsidR="003455F1">
        <w:t xml:space="preserve"> </w:t>
      </w:r>
      <w:r>
        <w:t>on</w:t>
      </w:r>
      <w:r w:rsidR="003455F1">
        <w:t xml:space="preserve"> </w:t>
      </w:r>
      <w:r>
        <w:t>14</w:t>
      </w:r>
      <w:r w:rsidR="003455F1">
        <w:t xml:space="preserve"> </w:t>
      </w:r>
      <w:r>
        <w:t>October</w:t>
      </w:r>
      <w:r w:rsidR="003455F1">
        <w:t xml:space="preserve"> </w:t>
      </w:r>
      <w:r>
        <w:t>2022.</w:t>
      </w:r>
    </w:p>
    <w:p w14:paraId="355D53B7" w14:textId="432CBD79" w:rsidR="00E06F94" w:rsidRPr="001F49A2" w:rsidRDefault="00460E0E" w:rsidP="00460E0E">
      <w:pPr>
        <w:pStyle w:val="H1G"/>
        <w:rPr>
          <w:lang w:val="en-US"/>
        </w:rPr>
      </w:pPr>
      <w:r>
        <w:tab/>
      </w:r>
      <w:r w:rsidR="00E06F94">
        <w:t>A.</w:t>
      </w:r>
      <w:r w:rsidR="00E06F94">
        <w:tab/>
        <w:t>Introduction</w:t>
      </w:r>
    </w:p>
    <w:p w14:paraId="4B554993" w14:textId="178105CE" w:rsidR="00866BF2" w:rsidRDefault="00E06F94" w:rsidP="00E06F94">
      <w:pPr>
        <w:pStyle w:val="SingleTxtG"/>
      </w:pPr>
      <w:r>
        <w:t>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welcomes</w:t>
      </w:r>
      <w:r w:rsidR="003455F1">
        <w:t xml:space="preserve"> </w:t>
      </w:r>
      <w:r>
        <w:t>the</w:t>
      </w:r>
      <w:r w:rsidR="003455F1">
        <w:t xml:space="preserve"> </w:t>
      </w:r>
      <w:r>
        <w:t>submission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fourth</w:t>
      </w:r>
      <w:r w:rsidR="003455F1">
        <w:t xml:space="preserve"> </w:t>
      </w:r>
      <w:r>
        <w:t>periodic</w:t>
      </w:r>
      <w:r w:rsidR="003455F1">
        <w:t xml:space="preserve"> </w:t>
      </w:r>
      <w:r>
        <w:t>report</w:t>
      </w:r>
      <w:r w:rsidR="003455F1">
        <w:t xml:space="preserve"> </w:t>
      </w:r>
      <w:r>
        <w:t>by</w:t>
      </w:r>
      <w:r w:rsidR="003455F1">
        <w:t xml:space="preserve"> </w:t>
      </w:r>
      <w:r>
        <w:t>Guatemala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information</w:t>
      </w:r>
      <w:r w:rsidR="003455F1">
        <w:t xml:space="preserve"> </w:t>
      </w:r>
      <w:r>
        <w:t>provided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replies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list</w:t>
      </w:r>
      <w:r w:rsidR="003455F1">
        <w:t xml:space="preserve"> </w:t>
      </w:r>
      <w:r>
        <w:t>of</w:t>
      </w:r>
      <w:r w:rsidR="003455F1">
        <w:t xml:space="preserve"> </w:t>
      </w:r>
      <w:r>
        <w:t>issues.</w:t>
      </w:r>
      <w:r w:rsidRPr="00866BF2">
        <w:rPr>
          <w:rStyle w:val="FootnoteReference"/>
        </w:rPr>
        <w:footnoteReference w:id="4"/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welcomes</w:t>
      </w:r>
      <w:r w:rsidR="003455F1">
        <w:t xml:space="preserve"> </w:t>
      </w:r>
      <w:r>
        <w:t>the</w:t>
      </w:r>
      <w:r w:rsidR="003455F1">
        <w:t xml:space="preserve"> </w:t>
      </w:r>
      <w:r>
        <w:t>constructive</w:t>
      </w:r>
      <w:r w:rsidR="003455F1">
        <w:t xml:space="preserve"> </w:t>
      </w:r>
      <w:r>
        <w:t>dialogue</w:t>
      </w:r>
      <w:r w:rsidR="003455F1">
        <w:t xml:space="preserve"> </w:t>
      </w:r>
      <w:r>
        <w:t>with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866BF2">
        <w:t>’</w:t>
      </w:r>
      <w:r>
        <w:t>s</w:t>
      </w:r>
      <w:r w:rsidR="003455F1">
        <w:t xml:space="preserve"> </w:t>
      </w:r>
      <w:r>
        <w:t>high-level</w:t>
      </w:r>
      <w:r w:rsidR="003455F1">
        <w:t xml:space="preserve"> </w:t>
      </w:r>
      <w:r>
        <w:t>delegation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replies</w:t>
      </w:r>
      <w:r w:rsidR="003455F1">
        <w:t xml:space="preserve"> </w:t>
      </w:r>
      <w:r>
        <w:t>provided</w:t>
      </w:r>
      <w:r w:rsidR="003455F1">
        <w:t xml:space="preserve"> </w:t>
      </w:r>
      <w:r>
        <w:t>during</w:t>
      </w:r>
      <w:r w:rsidR="003455F1">
        <w:t xml:space="preserve"> </w:t>
      </w:r>
      <w:r>
        <w:t>the</w:t>
      </w:r>
      <w:r w:rsidR="003455F1">
        <w:t xml:space="preserve"> </w:t>
      </w:r>
      <w:r>
        <w:t>dialogue</w:t>
      </w:r>
      <w:r w:rsidR="003455F1">
        <w:t xml:space="preserve"> </w:t>
      </w:r>
      <w:r>
        <w:t>and,</w:t>
      </w:r>
      <w:r w:rsidR="003455F1">
        <w:t xml:space="preserve"> </w:t>
      </w:r>
      <w:r>
        <w:t>later,</w:t>
      </w:r>
      <w:r w:rsidR="003455F1">
        <w:t xml:space="preserve"> </w:t>
      </w:r>
      <w:r>
        <w:t>in</w:t>
      </w:r>
      <w:r w:rsidR="003455F1">
        <w:t xml:space="preserve"> </w:t>
      </w:r>
      <w:r>
        <w:t>writing.</w:t>
      </w:r>
    </w:p>
    <w:p w14:paraId="2C94B57F" w14:textId="6376D023" w:rsidR="00E06F94" w:rsidRPr="001F49A2" w:rsidRDefault="00460E0E" w:rsidP="00460E0E">
      <w:pPr>
        <w:pStyle w:val="H1G"/>
        <w:rPr>
          <w:lang w:val="en-US"/>
        </w:rPr>
      </w:pPr>
      <w:r>
        <w:tab/>
      </w:r>
      <w:r w:rsidR="00E06F94">
        <w:t>B.</w:t>
      </w:r>
      <w:r w:rsidR="00E06F94">
        <w:tab/>
        <w:t>Positive</w:t>
      </w:r>
      <w:r w:rsidR="003455F1">
        <w:t xml:space="preserve"> </w:t>
      </w:r>
      <w:r w:rsidR="00E06F94">
        <w:t>aspects</w:t>
      </w:r>
    </w:p>
    <w:p w14:paraId="37A44E77" w14:textId="3EEB38CE" w:rsidR="00866BF2" w:rsidRDefault="00E06F94" w:rsidP="00E06F94">
      <w:pPr>
        <w:pStyle w:val="SingleTxtG"/>
      </w:pPr>
      <w:r>
        <w:t>3.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welcomes</w:t>
      </w:r>
      <w:r w:rsidR="003455F1">
        <w:t xml:space="preserve"> </w:t>
      </w:r>
      <w:r>
        <w:t>the</w:t>
      </w:r>
      <w:r w:rsidR="003455F1">
        <w:t xml:space="preserve"> </w:t>
      </w:r>
      <w:r>
        <w:t>measures</w:t>
      </w:r>
      <w:r w:rsidR="003455F1">
        <w:t xml:space="preserve"> </w:t>
      </w:r>
      <w:r>
        <w:t>taken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to</w:t>
      </w:r>
      <w:r w:rsidR="003455F1">
        <w:t xml:space="preserve"> </w:t>
      </w:r>
      <w:r>
        <w:t>strengthen</w:t>
      </w:r>
      <w:r w:rsidR="003455F1">
        <w:t xml:space="preserve"> </w:t>
      </w:r>
      <w:r>
        <w:t>the</w:t>
      </w:r>
      <w:r w:rsidR="003455F1">
        <w:t xml:space="preserve"> </w:t>
      </w:r>
      <w:r>
        <w:t>promotion</w:t>
      </w:r>
      <w:r w:rsidR="003455F1">
        <w:t xml:space="preserve"> </w:t>
      </w:r>
      <w:r>
        <w:t>and</w:t>
      </w:r>
      <w:r w:rsidR="003455F1">
        <w:t xml:space="preserve"> </w:t>
      </w:r>
      <w:r>
        <w:t>protection</w:t>
      </w:r>
      <w:r w:rsidR="003455F1">
        <w:t xml:space="preserve"> </w:t>
      </w:r>
      <w:r>
        <w:t>of</w:t>
      </w:r>
      <w:r w:rsidR="003455F1">
        <w:t xml:space="preserve"> </w:t>
      </w:r>
      <w:r>
        <w:t>economic,</w:t>
      </w:r>
      <w:r w:rsidR="003455F1">
        <w:t xml:space="preserve"> </w:t>
      </w:r>
      <w:r>
        <w:t>social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</w:t>
      </w:r>
      <w:r w:rsidR="003455F1">
        <w:t xml:space="preserve"> </w:t>
      </w:r>
      <w:r>
        <w:t>through</w:t>
      </w:r>
      <w:r w:rsidR="003455F1">
        <w:t xml:space="preserve"> </w:t>
      </w:r>
      <w:r>
        <w:t>the</w:t>
      </w:r>
      <w:r w:rsidR="003455F1">
        <w:t xml:space="preserve"> </w:t>
      </w:r>
      <w:r>
        <w:t>establishment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Presidential</w:t>
      </w:r>
      <w:r w:rsidR="003455F1">
        <w:t xml:space="preserve"> </w:t>
      </w:r>
      <w:r>
        <w:t>Commission</w:t>
      </w:r>
      <w:r w:rsidR="003455F1">
        <w:t xml:space="preserve"> </w:t>
      </w:r>
      <w:r>
        <w:t>for</w:t>
      </w:r>
      <w:r w:rsidR="003455F1">
        <w:t xml:space="preserve"> </w:t>
      </w:r>
      <w:r>
        <w:t>Peace</w:t>
      </w:r>
      <w:r w:rsidR="003455F1">
        <w:t xml:space="preserve"> </w:t>
      </w:r>
      <w:r>
        <w:t>and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implementation</w:t>
      </w:r>
      <w:r w:rsidR="003455F1">
        <w:t xml:space="preserve"> </w:t>
      </w:r>
      <w:r>
        <w:t>of</w:t>
      </w:r>
      <w:r w:rsidR="003455F1">
        <w:t xml:space="preserve"> </w:t>
      </w:r>
      <w:r>
        <w:t>national</w:t>
      </w:r>
      <w:r w:rsidR="003455F1">
        <w:t xml:space="preserve"> </w:t>
      </w:r>
      <w:r>
        <w:t>development</w:t>
      </w:r>
      <w:r w:rsidR="003455F1">
        <w:t xml:space="preserve"> </w:t>
      </w:r>
      <w:r>
        <w:t>policies</w:t>
      </w:r>
      <w:r w:rsidR="003455F1">
        <w:t xml:space="preserve"> </w:t>
      </w:r>
      <w:r>
        <w:t>under</w:t>
      </w:r>
      <w:r w:rsidR="003455F1">
        <w:t xml:space="preserve"> </w:t>
      </w:r>
      <w:r>
        <w:t>the</w:t>
      </w:r>
      <w:r w:rsidR="003455F1">
        <w:t xml:space="preserve"> </w:t>
      </w:r>
      <w:r>
        <w:t>K</w:t>
      </w:r>
      <w:r w:rsidR="00866BF2">
        <w:t>’</w:t>
      </w:r>
      <w:r>
        <w:t>atun</w:t>
      </w:r>
      <w:r w:rsidR="003455F1">
        <w:t xml:space="preserve"> </w:t>
      </w:r>
      <w:r w:rsidR="00866BF2">
        <w:t>“</w:t>
      </w:r>
      <w:r>
        <w:t>Our</w:t>
      </w:r>
      <w:r w:rsidR="003455F1">
        <w:t xml:space="preserve"> </w:t>
      </w:r>
      <w:r>
        <w:t>Guatemala</w:t>
      </w:r>
      <w:r w:rsidR="003455F1">
        <w:t xml:space="preserve"> </w:t>
      </w:r>
      <w:r>
        <w:t>2032</w:t>
      </w:r>
      <w:r w:rsidR="00866BF2">
        <w:t>”</w:t>
      </w:r>
      <w:r w:rsidR="003455F1">
        <w:t xml:space="preserve"> </w:t>
      </w:r>
      <w:r>
        <w:t>National</w:t>
      </w:r>
      <w:r w:rsidR="003455F1">
        <w:t xml:space="preserve"> </w:t>
      </w:r>
      <w:r>
        <w:t>Development</w:t>
      </w:r>
      <w:r w:rsidR="003455F1">
        <w:t xml:space="preserve"> </w:t>
      </w:r>
      <w:r>
        <w:t>Plan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National</w:t>
      </w:r>
      <w:r w:rsidR="003455F1">
        <w:t xml:space="preserve"> </w:t>
      </w:r>
      <w:r>
        <w:t>Innovation</w:t>
      </w:r>
      <w:r w:rsidR="003455F1">
        <w:t xml:space="preserve"> </w:t>
      </w:r>
      <w:r>
        <w:t>and</w:t>
      </w:r>
      <w:r w:rsidR="003455F1">
        <w:t xml:space="preserve"> </w:t>
      </w:r>
      <w:r>
        <w:t>Development</w:t>
      </w:r>
      <w:r w:rsidR="003455F1">
        <w:t xml:space="preserve"> </w:t>
      </w:r>
      <w:r>
        <w:t>Plan.</w:t>
      </w:r>
    </w:p>
    <w:p w14:paraId="3017541F" w14:textId="0E6717D1" w:rsidR="00866BF2" w:rsidRDefault="00460E0E" w:rsidP="00460E0E">
      <w:pPr>
        <w:pStyle w:val="H1G"/>
      </w:pPr>
      <w:r>
        <w:tab/>
      </w:r>
      <w:r w:rsidR="00E06F94">
        <w:t>C.</w:t>
      </w:r>
      <w:r w:rsidR="00E06F94">
        <w:tab/>
        <w:t>Principal</w:t>
      </w:r>
      <w:r w:rsidR="003455F1">
        <w:t xml:space="preserve"> </w:t>
      </w:r>
      <w:r w:rsidR="00E06F94">
        <w:t>subjects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concern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recommendations</w:t>
      </w:r>
    </w:p>
    <w:p w14:paraId="4913D1B1" w14:textId="4A93BAF2" w:rsidR="00E06F94" w:rsidRPr="001F49A2" w:rsidRDefault="00460E0E" w:rsidP="00460E0E">
      <w:pPr>
        <w:pStyle w:val="H23G"/>
        <w:rPr>
          <w:lang w:val="en-US"/>
        </w:rPr>
      </w:pPr>
      <w:r>
        <w:tab/>
      </w:r>
      <w:r>
        <w:tab/>
      </w:r>
      <w:r w:rsidR="00E06F94">
        <w:t>Applicability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the</w:t>
      </w:r>
      <w:r w:rsidR="003455F1">
        <w:t xml:space="preserve"> </w:t>
      </w:r>
      <w:r w:rsidR="00E06F94">
        <w:t>Covenant</w:t>
      </w:r>
    </w:p>
    <w:p w14:paraId="2EA9847E" w14:textId="3ACA422A" w:rsidR="00866BF2" w:rsidRDefault="00E06F94" w:rsidP="00E06F94">
      <w:pPr>
        <w:pStyle w:val="SingleTxtG"/>
      </w:pPr>
      <w:r>
        <w:t>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the</w:t>
      </w:r>
      <w:r w:rsidR="003455F1">
        <w:t xml:space="preserve"> </w:t>
      </w:r>
      <w:r>
        <w:t>explanation</w:t>
      </w:r>
      <w:r w:rsidR="003455F1">
        <w:t xml:space="preserve"> </w:t>
      </w:r>
      <w:r>
        <w:t>provided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delegation</w:t>
      </w:r>
      <w:r w:rsidR="003455F1">
        <w:t xml:space="preserve"> </w:t>
      </w:r>
      <w:r>
        <w:t>regarding</w:t>
      </w:r>
      <w:r w:rsidR="003455F1">
        <w:t xml:space="preserve"> </w:t>
      </w:r>
      <w:r>
        <w:t>the</w:t>
      </w:r>
      <w:r w:rsidR="003455F1">
        <w:t xml:space="preserve"> </w:t>
      </w:r>
      <w:r>
        <w:t>supremacy</w:t>
      </w:r>
      <w:r w:rsidR="003455F1">
        <w:t xml:space="preserve"> </w:t>
      </w:r>
      <w:r>
        <w:t>of</w:t>
      </w:r>
      <w:r w:rsidR="003455F1">
        <w:t xml:space="preserve"> </w:t>
      </w:r>
      <w:r>
        <w:t>international</w:t>
      </w:r>
      <w:r w:rsidR="003455F1">
        <w:t xml:space="preserve"> </w:t>
      </w:r>
      <w:r>
        <w:t>treaties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866BF2">
        <w:t>’</w:t>
      </w:r>
      <w:r>
        <w:t>s</w:t>
      </w:r>
      <w:r w:rsidR="003455F1">
        <w:t xml:space="preserve"> </w:t>
      </w:r>
      <w:r>
        <w:t>legal</w:t>
      </w:r>
      <w:r w:rsidR="003455F1">
        <w:t xml:space="preserve"> </w:t>
      </w:r>
      <w:r>
        <w:t>order,</w:t>
      </w:r>
      <w:r w:rsidR="003455F1">
        <w:t xml:space="preserve"> </w:t>
      </w:r>
      <w:r>
        <w:t>as</w:t>
      </w:r>
      <w:r w:rsidR="003455F1">
        <w:t xml:space="preserve"> </w:t>
      </w:r>
      <w:r>
        <w:t>well</w:t>
      </w:r>
      <w:r w:rsidR="003455F1">
        <w:t xml:space="preserve"> </w:t>
      </w:r>
      <w:r>
        <w:t>as</w:t>
      </w:r>
      <w:r w:rsidR="003455F1">
        <w:t xml:space="preserve"> </w:t>
      </w:r>
      <w:r>
        <w:t>the</w:t>
      </w:r>
      <w:r w:rsidR="003455F1">
        <w:t xml:space="preserve"> </w:t>
      </w:r>
      <w:r>
        <w:t>examples</w:t>
      </w:r>
      <w:r w:rsidR="003455F1">
        <w:t xml:space="preserve"> </w:t>
      </w:r>
      <w:r>
        <w:t>of</w:t>
      </w:r>
      <w:r w:rsidR="003455F1">
        <w:t xml:space="preserve"> </w:t>
      </w:r>
      <w:r>
        <w:t>judgments</w:t>
      </w:r>
      <w:r w:rsidR="003455F1">
        <w:t xml:space="preserve"> </w:t>
      </w:r>
      <w:r>
        <w:t>in</w:t>
      </w:r>
      <w:r w:rsidR="003455F1">
        <w:t xml:space="preserve"> </w:t>
      </w:r>
      <w:r>
        <w:t>which</w:t>
      </w:r>
      <w:r w:rsidR="003455F1">
        <w:t xml:space="preserve"> </w:t>
      </w:r>
      <w:r>
        <w:t>the</w:t>
      </w:r>
      <w:r w:rsidR="003455F1">
        <w:t xml:space="preserve"> </w:t>
      </w:r>
      <w:r>
        <w:t>Covenant</w:t>
      </w:r>
      <w:r w:rsidR="003455F1">
        <w:t xml:space="preserve"> </w:t>
      </w:r>
      <w:r>
        <w:t>or</w:t>
      </w:r>
      <w:r w:rsidR="003455F1">
        <w:t xml:space="preserve"> </w:t>
      </w:r>
      <w:r>
        <w:t>other</w:t>
      </w:r>
      <w:r w:rsidR="003455F1">
        <w:t xml:space="preserve"> </w:t>
      </w:r>
      <w:r>
        <w:t>international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instruments</w:t>
      </w:r>
      <w:r w:rsidR="003455F1">
        <w:t xml:space="preserve"> </w:t>
      </w:r>
      <w:r>
        <w:t>were</w:t>
      </w:r>
      <w:r w:rsidR="003455F1">
        <w:t xml:space="preserve"> </w:t>
      </w:r>
      <w:r>
        <w:t>cited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Constitutional</w:t>
      </w:r>
      <w:r w:rsidR="003455F1">
        <w:t xml:space="preserve"> </w:t>
      </w:r>
      <w:r>
        <w:t>Court.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also</w:t>
      </w:r>
      <w:r w:rsidR="003455F1">
        <w:t xml:space="preserve"> </w:t>
      </w:r>
      <w:r>
        <w:t>notes,</w:t>
      </w:r>
      <w:r w:rsidR="003455F1">
        <w:t xml:space="preserve"> </w:t>
      </w:r>
      <w:r>
        <w:t>however,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application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Covenant</w:t>
      </w:r>
      <w:r w:rsidR="003455F1">
        <w:t xml:space="preserve"> </w:t>
      </w:r>
      <w:r>
        <w:t>remains</w:t>
      </w:r>
      <w:r w:rsidR="003455F1">
        <w:t xml:space="preserve"> </w:t>
      </w:r>
      <w:r>
        <w:t>limited.</w:t>
      </w:r>
    </w:p>
    <w:p w14:paraId="411D5405" w14:textId="462E2297" w:rsidR="00E06F94" w:rsidRPr="001F49A2" w:rsidRDefault="00E06F94" w:rsidP="00E06F94">
      <w:pPr>
        <w:pStyle w:val="SingleTxtG"/>
        <w:rPr>
          <w:b/>
          <w:lang w:val="en-US"/>
        </w:rPr>
      </w:pPr>
      <w:r>
        <w:t>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promote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application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enshrined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levels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justice</w:t>
      </w:r>
      <w:r w:rsidR="003455F1">
        <w:rPr>
          <w:b/>
        </w:rPr>
        <w:t xml:space="preserve"> </w:t>
      </w:r>
      <w:r>
        <w:rPr>
          <w:b/>
        </w:rPr>
        <w:t>system.</w:t>
      </w:r>
      <w:r w:rsidR="003455F1"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end,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provide</w:t>
      </w:r>
      <w:r w:rsidR="003455F1">
        <w:rPr>
          <w:b/>
        </w:rPr>
        <w:t xml:space="preserve"> </w:t>
      </w:r>
      <w:r>
        <w:rPr>
          <w:b/>
        </w:rPr>
        <w:t>training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scope</w:t>
      </w:r>
      <w:r w:rsidR="003455F1">
        <w:rPr>
          <w:b/>
        </w:rPr>
        <w:t xml:space="preserve"> of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866BF2">
        <w:rPr>
          <w:b/>
        </w:rPr>
        <w:t>’</w:t>
      </w:r>
      <w:r>
        <w:rPr>
          <w:b/>
        </w:rPr>
        <w:t>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comments,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judges,</w:t>
      </w:r>
      <w:r w:rsidR="003455F1">
        <w:rPr>
          <w:b/>
        </w:rPr>
        <w:t xml:space="preserve"> </w:t>
      </w:r>
      <w:r>
        <w:rPr>
          <w:b/>
        </w:rPr>
        <w:t>prosecutors,</w:t>
      </w:r>
      <w:r w:rsidR="003455F1">
        <w:rPr>
          <w:b/>
        </w:rPr>
        <w:t xml:space="preserve"> </w:t>
      </w:r>
      <w:r>
        <w:rPr>
          <w:b/>
        </w:rPr>
        <w:t>lawyers,</w:t>
      </w:r>
      <w:r w:rsidR="003455F1">
        <w:rPr>
          <w:b/>
        </w:rPr>
        <w:t xml:space="preserve"> </w:t>
      </w:r>
      <w:r>
        <w:rPr>
          <w:b/>
        </w:rPr>
        <w:t>law</w:t>
      </w:r>
      <w:r w:rsidR="003455F1">
        <w:rPr>
          <w:b/>
        </w:rPr>
        <w:t xml:space="preserve"> </w:t>
      </w:r>
      <w:r>
        <w:rPr>
          <w:b/>
        </w:rPr>
        <w:t>enforcement</w:t>
      </w:r>
      <w:r w:rsidR="003455F1">
        <w:rPr>
          <w:b/>
        </w:rPr>
        <w:t xml:space="preserve"> </w:t>
      </w:r>
      <w:r>
        <w:rPr>
          <w:b/>
        </w:rPr>
        <w:t>personnel,</w:t>
      </w:r>
      <w:r w:rsidR="003455F1">
        <w:rPr>
          <w:b/>
        </w:rPr>
        <w:t xml:space="preserve"> </w:t>
      </w:r>
      <w:r>
        <w:rPr>
          <w:b/>
        </w:rPr>
        <w:t>members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Congress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other</w:t>
      </w:r>
      <w:r w:rsidR="003455F1">
        <w:rPr>
          <w:b/>
        </w:rPr>
        <w:t xml:space="preserve"> </w:t>
      </w:r>
      <w:r>
        <w:rPr>
          <w:b/>
        </w:rPr>
        <w:t>persons</w:t>
      </w:r>
      <w:r w:rsidR="003455F1">
        <w:rPr>
          <w:b/>
        </w:rPr>
        <w:t xml:space="preserve"> </w:t>
      </w:r>
      <w:r>
        <w:rPr>
          <w:b/>
        </w:rPr>
        <w:t>responsible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applying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run</w:t>
      </w:r>
      <w:r w:rsidR="003455F1">
        <w:rPr>
          <w:b/>
        </w:rPr>
        <w:t xml:space="preserve"> </w:t>
      </w:r>
      <w:r>
        <w:rPr>
          <w:b/>
        </w:rPr>
        <w:t>campaigns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raise</w:t>
      </w:r>
      <w:r w:rsidR="003455F1">
        <w:rPr>
          <w:b/>
        </w:rPr>
        <w:t xml:space="preserve"> </w:t>
      </w:r>
      <w:r>
        <w:rPr>
          <w:b/>
        </w:rPr>
        <w:t>awareness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economic,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cultural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among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lastRenderedPageBreak/>
        <w:t>holders.</w:t>
      </w:r>
      <w:r w:rsidR="003455F1"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this</w:t>
      </w:r>
      <w:r w:rsidR="003455F1">
        <w:rPr>
          <w:b/>
        </w:rPr>
        <w:t xml:space="preserve"> </w:t>
      </w:r>
      <w:r>
        <w:rPr>
          <w:b/>
        </w:rPr>
        <w:t>connection,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refers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9</w:t>
      </w:r>
      <w:r w:rsidR="003455F1">
        <w:rPr>
          <w:b/>
        </w:rPr>
        <w:t xml:space="preserve"> </w:t>
      </w:r>
      <w:r>
        <w:rPr>
          <w:b/>
        </w:rPr>
        <w:t>(1998)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domestic</w:t>
      </w:r>
      <w:r w:rsidR="003455F1">
        <w:rPr>
          <w:b/>
        </w:rPr>
        <w:t xml:space="preserve"> </w:t>
      </w:r>
      <w:r>
        <w:rPr>
          <w:b/>
        </w:rPr>
        <w:t>application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Covenant.</w:t>
      </w:r>
    </w:p>
    <w:p w14:paraId="6E846807" w14:textId="418B55F9" w:rsidR="00866BF2" w:rsidRDefault="00460E0E" w:rsidP="00460E0E">
      <w:pPr>
        <w:pStyle w:val="H23G"/>
      </w:pPr>
      <w:r>
        <w:tab/>
      </w:r>
      <w:r>
        <w:tab/>
      </w:r>
      <w:r w:rsidR="00E06F94">
        <w:t>Judicial</w:t>
      </w:r>
      <w:r w:rsidR="003455F1">
        <w:t xml:space="preserve"> </w:t>
      </w:r>
      <w:r w:rsidR="00E06F94">
        <w:t>independence</w:t>
      </w:r>
    </w:p>
    <w:p w14:paraId="20FDB56A" w14:textId="242FE7F9" w:rsidR="00866BF2" w:rsidRDefault="00E06F94" w:rsidP="00E06F94">
      <w:pPr>
        <w:pStyle w:val="SingleTxtG"/>
      </w:pPr>
      <w:r>
        <w:t>6.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reports</w:t>
      </w:r>
      <w:r w:rsidR="003455F1">
        <w:t xml:space="preserve"> </w:t>
      </w:r>
      <w:r>
        <w:t>of</w:t>
      </w:r>
      <w:r w:rsidR="003455F1">
        <w:t xml:space="preserve"> </w:t>
      </w:r>
      <w:r>
        <w:t>intimidation,</w:t>
      </w:r>
      <w:r w:rsidR="003455F1">
        <w:t xml:space="preserve"> </w:t>
      </w:r>
      <w:r>
        <w:t>threats</w:t>
      </w:r>
      <w:r w:rsidR="003455F1">
        <w:t xml:space="preserve"> </w:t>
      </w:r>
      <w:r>
        <w:t>and</w:t>
      </w:r>
      <w:r w:rsidR="003455F1">
        <w:t xml:space="preserve"> </w:t>
      </w:r>
      <w:r>
        <w:t>reprisals</w:t>
      </w:r>
      <w:r w:rsidR="003455F1">
        <w:t xml:space="preserve"> </w:t>
      </w:r>
      <w:r>
        <w:t>being</w:t>
      </w:r>
      <w:r w:rsidR="003455F1">
        <w:t xml:space="preserve"> </w:t>
      </w:r>
      <w:r>
        <w:t>committed</w:t>
      </w:r>
      <w:r w:rsidR="003455F1">
        <w:t xml:space="preserve"> </w:t>
      </w:r>
      <w:r>
        <w:t>against</w:t>
      </w:r>
      <w:r w:rsidR="003455F1">
        <w:t xml:space="preserve"> </w:t>
      </w:r>
      <w:r>
        <w:t>judges,</w:t>
      </w:r>
      <w:r w:rsidR="003455F1">
        <w:t xml:space="preserve"> </w:t>
      </w:r>
      <w:r>
        <w:t>prosecutors</w:t>
      </w:r>
      <w:r w:rsidR="003455F1">
        <w:t xml:space="preserve"> </w:t>
      </w:r>
      <w:r>
        <w:t>and</w:t>
      </w:r>
      <w:r w:rsidR="003455F1">
        <w:t xml:space="preserve"> </w:t>
      </w:r>
      <w:r>
        <w:t>lawyers,</w:t>
      </w:r>
      <w:r w:rsidR="003455F1">
        <w:t xml:space="preserve"> </w:t>
      </w:r>
      <w:r>
        <w:t>especially</w:t>
      </w:r>
      <w:r w:rsidR="003455F1">
        <w:t xml:space="preserve"> </w:t>
      </w:r>
      <w:r>
        <w:t>those</w:t>
      </w:r>
      <w:r w:rsidR="003455F1">
        <w:t xml:space="preserve"> </w:t>
      </w:r>
      <w:r>
        <w:t>handling</w:t>
      </w:r>
      <w:r w:rsidR="003455F1">
        <w:t xml:space="preserve"> </w:t>
      </w:r>
      <w:r>
        <w:t>prominent</w:t>
      </w:r>
      <w:r w:rsidR="003455F1">
        <w:t xml:space="preserve"> </w:t>
      </w:r>
      <w:r>
        <w:t>cases</w:t>
      </w:r>
      <w:r w:rsidR="003455F1">
        <w:t xml:space="preserve"> </w:t>
      </w:r>
      <w:r>
        <w:t>of</w:t>
      </w:r>
      <w:r w:rsidR="003455F1">
        <w:t xml:space="preserve"> </w:t>
      </w:r>
      <w:r>
        <w:t>corruption</w:t>
      </w:r>
      <w:r w:rsidR="003455F1">
        <w:t xml:space="preserve"> </w:t>
      </w:r>
      <w:r>
        <w:t>or</w:t>
      </w:r>
      <w:r w:rsidR="003455F1">
        <w:t xml:space="preserve"> </w:t>
      </w:r>
      <w:r>
        <w:t>human</w:t>
      </w:r>
      <w:r w:rsidR="003455F1">
        <w:t xml:space="preserve"> </w:t>
      </w:r>
      <w:r>
        <w:t>righ</w:t>
      </w:r>
      <w:r w:rsidRPr="00344B0F">
        <w:t>ts</w:t>
      </w:r>
      <w:r w:rsidR="003455F1">
        <w:t xml:space="preserve"> </w:t>
      </w:r>
      <w:r w:rsidRPr="00344B0F">
        <w:t>violations.</w:t>
      </w:r>
      <w:r w:rsidR="003455F1">
        <w:t xml:space="preserve"> </w:t>
      </w:r>
      <w:r w:rsidRPr="00344B0F">
        <w:t>The</w:t>
      </w:r>
      <w:r w:rsidR="003455F1">
        <w:t xml:space="preserve"> </w:t>
      </w:r>
      <w:r w:rsidRPr="00344B0F">
        <w:t>Committee</w:t>
      </w:r>
      <w:r w:rsidR="003455F1">
        <w:t xml:space="preserve"> </w:t>
      </w:r>
      <w:r w:rsidRPr="00344B0F">
        <w:t>is</w:t>
      </w:r>
      <w:r w:rsidR="003455F1">
        <w:t xml:space="preserve"> </w:t>
      </w:r>
      <w:r w:rsidRPr="00344B0F">
        <w:t>also</w:t>
      </w:r>
      <w:r w:rsidR="003455F1">
        <w:t xml:space="preserve"> </w:t>
      </w:r>
      <w:r w:rsidRPr="00344B0F">
        <w:t>concerned</w:t>
      </w:r>
      <w:r w:rsidR="003455F1">
        <w:t xml:space="preserve"> </w:t>
      </w:r>
      <w:r w:rsidRPr="00344B0F">
        <w:t>by</w:t>
      </w:r>
      <w:r w:rsidR="003455F1">
        <w:t xml:space="preserve"> </w:t>
      </w:r>
      <w:r w:rsidRPr="00344B0F">
        <w:t>reports</w:t>
      </w:r>
      <w:r w:rsidR="003455F1">
        <w:t xml:space="preserve"> </w:t>
      </w:r>
      <w:r w:rsidRPr="00344B0F">
        <w:t>that</w:t>
      </w:r>
      <w:r w:rsidR="003455F1">
        <w:t xml:space="preserve"> </w:t>
      </w:r>
      <w:r w:rsidRPr="00344B0F">
        <w:t>the</w:t>
      </w:r>
      <w:r w:rsidR="003455F1">
        <w:t xml:space="preserve"> </w:t>
      </w:r>
      <w:r w:rsidRPr="00344B0F">
        <w:t>process</w:t>
      </w:r>
      <w:r w:rsidR="003455F1">
        <w:t xml:space="preserve"> </w:t>
      </w:r>
      <w:r w:rsidRPr="00344B0F">
        <w:t>for</w:t>
      </w:r>
      <w:r w:rsidR="003455F1">
        <w:t xml:space="preserve"> </w:t>
      </w:r>
      <w:r w:rsidRPr="00344B0F">
        <w:t>selecting</w:t>
      </w:r>
      <w:r w:rsidR="003455F1">
        <w:t xml:space="preserve"> </w:t>
      </w:r>
      <w:r w:rsidRPr="00344B0F">
        <w:t>Constitutional</w:t>
      </w:r>
      <w:r w:rsidR="003455F1">
        <w:t xml:space="preserve"> </w:t>
      </w:r>
      <w:r w:rsidRPr="00344B0F">
        <w:t>Court</w:t>
      </w:r>
      <w:r w:rsidR="003455F1">
        <w:t xml:space="preserve"> </w:t>
      </w:r>
      <w:r w:rsidRPr="00344B0F">
        <w:t>judges</w:t>
      </w:r>
      <w:r w:rsidR="003455F1">
        <w:t xml:space="preserve"> </w:t>
      </w:r>
      <w:r w:rsidRPr="00344B0F">
        <w:t>lacks</w:t>
      </w:r>
      <w:r w:rsidR="003455F1">
        <w:t xml:space="preserve"> </w:t>
      </w:r>
      <w:r w:rsidRPr="00344B0F">
        <w:t>transparency</w:t>
      </w:r>
      <w:r w:rsidR="003455F1">
        <w:t xml:space="preserve"> </w:t>
      </w:r>
      <w:r w:rsidRPr="00344B0F">
        <w:t>and</w:t>
      </w:r>
      <w:r w:rsidR="003455F1">
        <w:t xml:space="preserve"> </w:t>
      </w:r>
      <w:r w:rsidRPr="00344B0F">
        <w:t>objectivity</w:t>
      </w:r>
      <w:r w:rsidR="003455F1">
        <w:t xml:space="preserve"> </w:t>
      </w:r>
      <w:r w:rsidRPr="00344B0F">
        <w:t>and</w:t>
      </w:r>
      <w:r w:rsidR="003455F1">
        <w:t xml:space="preserve"> </w:t>
      </w:r>
      <w:r w:rsidRPr="00344B0F">
        <w:t>that</w:t>
      </w:r>
      <w:r w:rsidR="003455F1">
        <w:t xml:space="preserve"> </w:t>
      </w:r>
      <w:r w:rsidRPr="00344B0F">
        <w:t>the</w:t>
      </w:r>
      <w:r w:rsidR="003455F1">
        <w:t xml:space="preserve"> </w:t>
      </w:r>
      <w:r w:rsidRPr="00344B0F">
        <w:t>posts</w:t>
      </w:r>
      <w:r w:rsidR="003455F1">
        <w:t xml:space="preserve"> </w:t>
      </w:r>
      <w:r w:rsidRPr="00344B0F">
        <w:t>are</w:t>
      </w:r>
      <w:r w:rsidR="003455F1">
        <w:t xml:space="preserve"> </w:t>
      </w:r>
      <w:r w:rsidRPr="00344B0F">
        <w:t>not</w:t>
      </w:r>
      <w:r w:rsidR="003455F1">
        <w:t xml:space="preserve"> </w:t>
      </w:r>
      <w:r w:rsidRPr="00344B0F">
        <w:t>publicly</w:t>
      </w:r>
      <w:r w:rsidR="003455F1">
        <w:t xml:space="preserve"> </w:t>
      </w:r>
      <w:r w:rsidRPr="00344B0F">
        <w:t>announced</w:t>
      </w:r>
      <w:r w:rsidR="003455F1">
        <w:t xml:space="preserve"> </w:t>
      </w:r>
      <w:r w:rsidRPr="00344B0F">
        <w:t>and</w:t>
      </w:r>
      <w:r w:rsidR="003455F1">
        <w:t xml:space="preserve"> </w:t>
      </w:r>
      <w:r w:rsidRPr="00344B0F">
        <w:t>by</w:t>
      </w:r>
      <w:r w:rsidR="003455F1">
        <w:t xml:space="preserve"> </w:t>
      </w:r>
      <w:r w:rsidRPr="00344B0F">
        <w:t>the</w:t>
      </w:r>
      <w:r w:rsidR="003455F1">
        <w:t xml:space="preserve"> </w:t>
      </w:r>
      <w:r w:rsidRPr="00344B0F">
        <w:t>fact</w:t>
      </w:r>
      <w:r w:rsidR="003455F1">
        <w:t xml:space="preserve"> </w:t>
      </w:r>
      <w:r w:rsidRPr="00344B0F">
        <w:t>that</w:t>
      </w:r>
      <w:r w:rsidR="003455F1">
        <w:t xml:space="preserve"> </w:t>
      </w:r>
      <w:r w:rsidRPr="00344B0F">
        <w:t>some</w:t>
      </w:r>
      <w:r w:rsidR="003455F1">
        <w:t xml:space="preserve"> </w:t>
      </w:r>
      <w:r w:rsidRPr="00344B0F">
        <w:t>Supreme</w:t>
      </w:r>
      <w:r w:rsidR="003455F1">
        <w:t xml:space="preserve"> </w:t>
      </w:r>
      <w:r w:rsidRPr="00344B0F">
        <w:t>Court</w:t>
      </w:r>
      <w:r w:rsidR="003455F1">
        <w:t xml:space="preserve"> </w:t>
      </w:r>
      <w:r w:rsidRPr="00344B0F">
        <w:t>judges</w:t>
      </w:r>
      <w:r w:rsidR="003455F1">
        <w:t xml:space="preserve"> </w:t>
      </w:r>
      <w:r w:rsidRPr="00344B0F">
        <w:t>exceed</w:t>
      </w:r>
      <w:r w:rsidR="003455F1">
        <w:t xml:space="preserve"> </w:t>
      </w:r>
      <w:r w:rsidRPr="00344B0F">
        <w:t>their</w:t>
      </w:r>
      <w:r w:rsidR="003455F1">
        <w:t xml:space="preserve"> </w:t>
      </w:r>
      <w:r w:rsidRPr="00344B0F">
        <w:t>term</w:t>
      </w:r>
      <w:r w:rsidR="003455F1">
        <w:t xml:space="preserve"> </w:t>
      </w:r>
      <w:r w:rsidRPr="00344B0F">
        <w:t>limit.</w:t>
      </w:r>
    </w:p>
    <w:p w14:paraId="74196C9F" w14:textId="196AA7E8" w:rsidR="00866BF2" w:rsidRDefault="00E06F94" w:rsidP="00E06F94">
      <w:pPr>
        <w:pStyle w:val="SingleTxtG"/>
      </w:pPr>
      <w:r>
        <w:t>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independence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safety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members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judiciary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exercise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functions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thus</w:t>
      </w:r>
      <w:r w:rsidR="003455F1">
        <w:rPr>
          <w:b/>
        </w:rPr>
        <w:t xml:space="preserve"> </w:t>
      </w:r>
      <w:r>
        <w:rPr>
          <w:b/>
        </w:rPr>
        <w:t>safeguard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enjoyment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human</w:t>
      </w:r>
      <w:r w:rsidR="003455F1">
        <w:rPr>
          <w:b/>
        </w:rPr>
        <w:t xml:space="preserve"> </w:t>
      </w:r>
      <w:r>
        <w:rPr>
          <w:b/>
        </w:rPr>
        <w:t>rights,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economic</w:t>
      </w:r>
      <w:r w:rsidRPr="006F3F2D">
        <w:rPr>
          <w:b/>
        </w:rPr>
        <w:t>,</w:t>
      </w:r>
      <w:r w:rsidR="003455F1">
        <w:rPr>
          <w:b/>
        </w:rPr>
        <w:t xml:space="preserve"> </w:t>
      </w:r>
      <w:r w:rsidRPr="006F3F2D">
        <w:rPr>
          <w:b/>
        </w:rPr>
        <w:t>social</w:t>
      </w:r>
      <w:r w:rsidR="003455F1">
        <w:rPr>
          <w:b/>
        </w:rPr>
        <w:t xml:space="preserve"> </w:t>
      </w:r>
      <w:r w:rsidRPr="006F3F2D">
        <w:rPr>
          <w:b/>
        </w:rPr>
        <w:t>and</w:t>
      </w:r>
      <w:r w:rsidR="003455F1">
        <w:rPr>
          <w:b/>
        </w:rPr>
        <w:t xml:space="preserve"> </w:t>
      </w:r>
      <w:r w:rsidRPr="006F3F2D">
        <w:rPr>
          <w:b/>
        </w:rPr>
        <w:t>cultural</w:t>
      </w:r>
      <w:r w:rsidR="003455F1">
        <w:rPr>
          <w:b/>
        </w:rPr>
        <w:t xml:space="preserve"> </w:t>
      </w:r>
      <w:r w:rsidRPr="006F3F2D">
        <w:rPr>
          <w:b/>
        </w:rPr>
        <w:t>rights.</w:t>
      </w:r>
      <w:r w:rsidR="003455F1">
        <w:rPr>
          <w:b/>
        </w:rPr>
        <w:t xml:space="preserve"> </w:t>
      </w:r>
      <w:r w:rsidRPr="006F3F2D">
        <w:rPr>
          <w:b/>
        </w:rPr>
        <w:t>In</w:t>
      </w:r>
      <w:r w:rsidR="003455F1">
        <w:rPr>
          <w:b/>
        </w:rPr>
        <w:t xml:space="preserve"> </w:t>
      </w:r>
      <w:r w:rsidRPr="006F3F2D">
        <w:rPr>
          <w:b/>
        </w:rPr>
        <w:t>addition,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Committee</w:t>
      </w:r>
      <w:r w:rsidR="003455F1">
        <w:rPr>
          <w:b/>
        </w:rPr>
        <w:t xml:space="preserve"> </w:t>
      </w:r>
      <w:r w:rsidRPr="006F3F2D">
        <w:rPr>
          <w:b/>
        </w:rPr>
        <w:t>recommends</w:t>
      </w:r>
      <w:r w:rsidR="003455F1">
        <w:rPr>
          <w:b/>
        </w:rPr>
        <w:t xml:space="preserve"> </w:t>
      </w:r>
      <w:r w:rsidRPr="006F3F2D">
        <w:rPr>
          <w:b/>
        </w:rPr>
        <w:t>that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State</w:t>
      </w:r>
      <w:r w:rsidR="003455F1">
        <w:rPr>
          <w:b/>
        </w:rPr>
        <w:t xml:space="preserve"> </w:t>
      </w:r>
      <w:r w:rsidRPr="006F3F2D">
        <w:rPr>
          <w:b/>
        </w:rPr>
        <w:t>party</w:t>
      </w:r>
      <w:r w:rsidR="003455F1">
        <w:rPr>
          <w:b/>
        </w:rPr>
        <w:t xml:space="preserve"> </w:t>
      </w:r>
      <w:r w:rsidRPr="006F3F2D">
        <w:rPr>
          <w:b/>
        </w:rPr>
        <w:t>take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measures</w:t>
      </w:r>
      <w:r w:rsidR="003455F1">
        <w:rPr>
          <w:b/>
        </w:rPr>
        <w:t xml:space="preserve"> </w:t>
      </w:r>
      <w:r w:rsidRPr="006F3F2D">
        <w:rPr>
          <w:b/>
        </w:rPr>
        <w:t>necessary</w:t>
      </w:r>
      <w:r w:rsidR="003455F1">
        <w:rPr>
          <w:b/>
        </w:rPr>
        <w:t xml:space="preserve"> </w:t>
      </w:r>
      <w:r w:rsidRPr="006F3F2D">
        <w:rPr>
          <w:b/>
        </w:rPr>
        <w:t>to</w:t>
      </w:r>
      <w:r w:rsidR="003455F1">
        <w:rPr>
          <w:b/>
        </w:rPr>
        <w:t xml:space="preserve"> </w:t>
      </w:r>
      <w:r w:rsidRPr="006F3F2D">
        <w:rPr>
          <w:b/>
        </w:rPr>
        <w:t>ensure</w:t>
      </w:r>
      <w:r w:rsidR="003455F1">
        <w:rPr>
          <w:b/>
        </w:rPr>
        <w:t xml:space="preserve"> </w:t>
      </w:r>
      <w:r w:rsidRPr="006F3F2D">
        <w:rPr>
          <w:b/>
        </w:rPr>
        <w:t>that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selection</w:t>
      </w:r>
      <w:r w:rsidR="003455F1">
        <w:rPr>
          <w:b/>
        </w:rPr>
        <w:t xml:space="preserve"> </w:t>
      </w:r>
      <w:r w:rsidRPr="006F3F2D">
        <w:rPr>
          <w:b/>
        </w:rPr>
        <w:t>and</w:t>
      </w:r>
      <w:r w:rsidR="003455F1">
        <w:rPr>
          <w:b/>
        </w:rPr>
        <w:t xml:space="preserve"> </w:t>
      </w:r>
      <w:r w:rsidRPr="006F3F2D">
        <w:rPr>
          <w:b/>
        </w:rPr>
        <w:t>appointment</w:t>
      </w:r>
      <w:r w:rsidR="003455F1">
        <w:rPr>
          <w:b/>
        </w:rPr>
        <w:t xml:space="preserve"> </w:t>
      </w:r>
      <w:r w:rsidRPr="006F3F2D">
        <w:rPr>
          <w:b/>
        </w:rPr>
        <w:t>of</w:t>
      </w:r>
      <w:r w:rsidR="003455F1">
        <w:rPr>
          <w:b/>
        </w:rPr>
        <w:t xml:space="preserve"> </w:t>
      </w:r>
      <w:r w:rsidRPr="006F3F2D">
        <w:rPr>
          <w:b/>
        </w:rPr>
        <w:t>judges</w:t>
      </w:r>
      <w:r w:rsidR="003455F1">
        <w:rPr>
          <w:b/>
        </w:rPr>
        <w:t xml:space="preserve"> </w:t>
      </w:r>
      <w:r w:rsidRPr="006F3F2D">
        <w:rPr>
          <w:b/>
        </w:rPr>
        <w:t>and</w:t>
      </w:r>
      <w:r w:rsidR="003455F1">
        <w:rPr>
          <w:b/>
        </w:rPr>
        <w:t xml:space="preserve"> </w:t>
      </w:r>
      <w:r w:rsidRPr="006F3F2D">
        <w:rPr>
          <w:b/>
        </w:rPr>
        <w:t>magistrates</w:t>
      </w:r>
      <w:r w:rsidR="003455F1">
        <w:rPr>
          <w:b/>
        </w:rPr>
        <w:t xml:space="preserve"> </w:t>
      </w:r>
      <w:r w:rsidRPr="006F3F2D">
        <w:rPr>
          <w:b/>
        </w:rPr>
        <w:t>are</w:t>
      </w:r>
      <w:r w:rsidR="003455F1">
        <w:rPr>
          <w:b/>
        </w:rPr>
        <w:t xml:space="preserve"> </w:t>
      </w:r>
      <w:r w:rsidRPr="006F3F2D">
        <w:rPr>
          <w:b/>
        </w:rPr>
        <w:t>subject</w:t>
      </w:r>
      <w:r w:rsidR="003455F1">
        <w:rPr>
          <w:b/>
        </w:rPr>
        <w:t xml:space="preserve"> </w:t>
      </w:r>
      <w:r w:rsidRPr="006F3F2D">
        <w:rPr>
          <w:b/>
        </w:rPr>
        <w:t>to</w:t>
      </w:r>
      <w:r w:rsidR="003455F1">
        <w:rPr>
          <w:b/>
        </w:rPr>
        <w:t xml:space="preserve"> </w:t>
      </w:r>
      <w:r w:rsidRPr="006F3F2D">
        <w:rPr>
          <w:b/>
        </w:rPr>
        <w:t>a</w:t>
      </w:r>
      <w:r w:rsidR="003455F1">
        <w:rPr>
          <w:b/>
        </w:rPr>
        <w:t xml:space="preserve"> </w:t>
      </w:r>
      <w:r w:rsidRPr="006F3F2D">
        <w:rPr>
          <w:b/>
        </w:rPr>
        <w:t>transparent,</w:t>
      </w:r>
      <w:r w:rsidR="003455F1">
        <w:rPr>
          <w:b/>
        </w:rPr>
        <w:t xml:space="preserve"> </w:t>
      </w:r>
      <w:r w:rsidRPr="006F3F2D">
        <w:rPr>
          <w:b/>
        </w:rPr>
        <w:t>objective</w:t>
      </w:r>
      <w:r w:rsidR="003455F1">
        <w:rPr>
          <w:b/>
        </w:rPr>
        <w:t xml:space="preserve"> </w:t>
      </w:r>
      <w:r w:rsidRPr="006F3F2D">
        <w:rPr>
          <w:b/>
        </w:rPr>
        <w:t>and</w:t>
      </w:r>
      <w:r w:rsidR="003455F1">
        <w:rPr>
          <w:b/>
        </w:rPr>
        <w:t xml:space="preserve"> </w:t>
      </w:r>
      <w:r w:rsidRPr="006F3F2D">
        <w:rPr>
          <w:b/>
        </w:rPr>
        <w:t>impartial</w:t>
      </w:r>
      <w:r w:rsidR="003455F1">
        <w:rPr>
          <w:b/>
        </w:rPr>
        <w:t xml:space="preserve"> </w:t>
      </w:r>
      <w:r w:rsidRPr="006F3F2D">
        <w:rPr>
          <w:b/>
        </w:rPr>
        <w:t>process</w:t>
      </w:r>
      <w:r w:rsidR="003455F1">
        <w:rPr>
          <w:b/>
        </w:rPr>
        <w:t xml:space="preserve"> </w:t>
      </w:r>
      <w:r w:rsidRPr="006F3F2D">
        <w:rPr>
          <w:b/>
        </w:rPr>
        <w:t>in</w:t>
      </w:r>
      <w:r w:rsidR="003455F1">
        <w:rPr>
          <w:b/>
        </w:rPr>
        <w:t xml:space="preserve"> </w:t>
      </w:r>
      <w:r w:rsidRPr="006F3F2D">
        <w:rPr>
          <w:b/>
        </w:rPr>
        <w:t>which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prime</w:t>
      </w:r>
      <w:r w:rsidR="003455F1">
        <w:rPr>
          <w:b/>
        </w:rPr>
        <w:t xml:space="preserve"> </w:t>
      </w:r>
      <w:r w:rsidRPr="006F3F2D">
        <w:rPr>
          <w:b/>
        </w:rPr>
        <w:t>consideration</w:t>
      </w:r>
      <w:r>
        <w:rPr>
          <w:b/>
        </w:rPr>
        <w:t>s</w:t>
      </w:r>
      <w:r w:rsidR="003455F1">
        <w:rPr>
          <w:b/>
        </w:rPr>
        <w:t xml:space="preserve"> </w:t>
      </w:r>
      <w:r>
        <w:rPr>
          <w:b/>
        </w:rPr>
        <w:t>are</w:t>
      </w:r>
      <w:r w:rsidR="003455F1">
        <w:rPr>
          <w:b/>
        </w:rPr>
        <w:t xml:space="preserve"> </w:t>
      </w:r>
      <w:r w:rsidRPr="006F3F2D">
        <w:rPr>
          <w:b/>
        </w:rPr>
        <w:t>the</w:t>
      </w:r>
      <w:r w:rsidR="003455F1">
        <w:rPr>
          <w:b/>
        </w:rPr>
        <w:t xml:space="preserve"> </w:t>
      </w:r>
      <w:r w:rsidRPr="0007174E">
        <w:rPr>
          <w:b/>
        </w:rPr>
        <w:t>ability</w:t>
      </w:r>
      <w:r w:rsidRPr="006B40DC">
        <w:rPr>
          <w:b/>
          <w:lang w:val="en-US"/>
        </w:rPr>
        <w:t>,</w:t>
      </w:r>
      <w:r w:rsidR="003455F1">
        <w:rPr>
          <w:b/>
          <w:lang w:val="en-US"/>
        </w:rPr>
        <w:t xml:space="preserve"> </w:t>
      </w:r>
      <w:r w:rsidRPr="006F3F2D">
        <w:rPr>
          <w:b/>
        </w:rPr>
        <w:t>integrity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merit</w:t>
      </w:r>
      <w:r w:rsidR="003455F1">
        <w:rPr>
          <w:b/>
        </w:rPr>
        <w:t xml:space="preserve"> </w:t>
      </w:r>
      <w:r w:rsidRPr="006F3F2D"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 w:rsidRPr="006F3F2D">
        <w:rPr>
          <w:b/>
        </w:rPr>
        <w:t>candidates.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refers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Basic</w:t>
      </w:r>
      <w:r w:rsidR="003455F1">
        <w:rPr>
          <w:b/>
        </w:rPr>
        <w:t xml:space="preserve"> </w:t>
      </w:r>
      <w:r>
        <w:rPr>
          <w:b/>
        </w:rPr>
        <w:t>Principles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Independence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Judiciary.</w:t>
      </w:r>
    </w:p>
    <w:p w14:paraId="6CC4C8DC" w14:textId="77777777" w:rsidR="00866BF2" w:rsidRDefault="00460E0E" w:rsidP="00460E0E">
      <w:pPr>
        <w:pStyle w:val="H23G"/>
      </w:pPr>
      <w:r>
        <w:tab/>
      </w:r>
      <w:r>
        <w:tab/>
      </w:r>
      <w:r w:rsidR="00E06F94">
        <w:t>Corruption</w:t>
      </w:r>
    </w:p>
    <w:p w14:paraId="3375E0AE" w14:textId="7B77C638" w:rsidR="00866BF2" w:rsidRDefault="00E06F94" w:rsidP="00E06F94">
      <w:pPr>
        <w:pStyle w:val="SingleTxtG"/>
      </w:pPr>
      <w:r>
        <w:t>8.</w:t>
      </w:r>
      <w:r>
        <w:tab/>
        <w:t>While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the</w:t>
      </w:r>
      <w:r w:rsidR="003455F1">
        <w:t xml:space="preserve"> </w:t>
      </w:r>
      <w:r>
        <w:t>information</w:t>
      </w:r>
      <w:r w:rsidR="003455F1">
        <w:t xml:space="preserve"> </w:t>
      </w:r>
      <w:r>
        <w:t>provided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delegation</w:t>
      </w:r>
      <w:r w:rsidR="003455F1">
        <w:t xml:space="preserve"> </w:t>
      </w:r>
      <w:r>
        <w:t>regarding</w:t>
      </w:r>
      <w:r w:rsidR="003455F1">
        <w:t xml:space="preserve"> </w:t>
      </w:r>
      <w:r>
        <w:t>the</w:t>
      </w:r>
      <w:r w:rsidR="003455F1">
        <w:t xml:space="preserve"> </w:t>
      </w:r>
      <w:r>
        <w:t>efforts</w:t>
      </w:r>
      <w:r w:rsidR="003455F1">
        <w:t xml:space="preserve"> </w:t>
      </w:r>
      <w:r>
        <w:t>made</w:t>
      </w:r>
      <w:r w:rsidR="003455F1">
        <w:t xml:space="preserve"> </w:t>
      </w:r>
      <w:r>
        <w:t>to</w:t>
      </w:r>
      <w:r w:rsidR="003455F1">
        <w:t xml:space="preserve"> </w:t>
      </w:r>
      <w:r>
        <w:t>combat</w:t>
      </w:r>
      <w:r w:rsidR="003455F1">
        <w:t xml:space="preserve"> </w:t>
      </w:r>
      <w:r>
        <w:t>acts</w:t>
      </w:r>
      <w:r w:rsidR="003455F1">
        <w:t xml:space="preserve"> </w:t>
      </w:r>
      <w:r>
        <w:t>of</w:t>
      </w:r>
      <w:r w:rsidR="003455F1">
        <w:t xml:space="preserve"> </w:t>
      </w:r>
      <w:r>
        <w:t>corruption,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persistently</w:t>
      </w:r>
      <w:r w:rsidR="003455F1">
        <w:t xml:space="preserve"> </w:t>
      </w:r>
      <w:r>
        <w:t>high</w:t>
      </w:r>
      <w:r w:rsidR="003455F1">
        <w:t xml:space="preserve"> </w:t>
      </w:r>
      <w:r>
        <w:t>rate</w:t>
      </w:r>
      <w:r w:rsidR="003455F1">
        <w:t xml:space="preserve"> </w:t>
      </w:r>
      <w:r>
        <w:t>of</w:t>
      </w:r>
      <w:r w:rsidR="003455F1">
        <w:t xml:space="preserve"> </w:t>
      </w:r>
      <w:r>
        <w:t>impunity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and</w:t>
      </w:r>
      <w:r w:rsidR="003455F1">
        <w:t xml:space="preserve"> </w:t>
      </w:r>
      <w:r>
        <w:t>regrets</w:t>
      </w:r>
      <w:r w:rsidR="003455F1">
        <w:t xml:space="preserve"> </w:t>
      </w:r>
      <w:r>
        <w:t>that</w:t>
      </w:r>
      <w:r w:rsidR="003455F1">
        <w:t xml:space="preserve"> </w:t>
      </w:r>
      <w:r>
        <w:t>it</w:t>
      </w:r>
      <w:r w:rsidR="003455F1">
        <w:t xml:space="preserve"> </w:t>
      </w:r>
      <w:r>
        <w:t>did</w:t>
      </w:r>
      <w:r w:rsidR="003455F1">
        <w:t xml:space="preserve"> </w:t>
      </w:r>
      <w:r>
        <w:t>not</w:t>
      </w:r>
      <w:r w:rsidR="003455F1">
        <w:t xml:space="preserve"> </w:t>
      </w:r>
      <w:r>
        <w:t>receive</w:t>
      </w:r>
      <w:r w:rsidR="003455F1">
        <w:t xml:space="preserve"> </w:t>
      </w:r>
      <w:r>
        <w:t>specific</w:t>
      </w:r>
      <w:r w:rsidR="003455F1">
        <w:t xml:space="preserve"> </w:t>
      </w:r>
      <w:r>
        <w:t>information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results</w:t>
      </w:r>
      <w:r w:rsidR="003455F1">
        <w:t xml:space="preserve"> </w:t>
      </w:r>
      <w:r>
        <w:t>of</w:t>
      </w:r>
      <w:r w:rsidR="003455F1">
        <w:t xml:space="preserve"> </w:t>
      </w:r>
      <w:r>
        <w:t>investigations</w:t>
      </w:r>
      <w:r w:rsidR="003455F1">
        <w:t xml:space="preserve"> </w:t>
      </w:r>
      <w:r>
        <w:t>or</w:t>
      </w:r>
      <w:r w:rsidR="003455F1">
        <w:t xml:space="preserve"> </w:t>
      </w:r>
      <w:r>
        <w:t>the</w:t>
      </w:r>
      <w:r w:rsidR="003455F1">
        <w:t xml:space="preserve"> </w:t>
      </w:r>
      <w:r>
        <w:t>penalties</w:t>
      </w:r>
      <w:r w:rsidR="003455F1">
        <w:t xml:space="preserve"> </w:t>
      </w:r>
      <w:r>
        <w:t>imposed</w:t>
      </w:r>
      <w:r w:rsidR="003455F1">
        <w:t xml:space="preserve"> </w:t>
      </w:r>
      <w:r>
        <w:t>in</w:t>
      </w:r>
      <w:r w:rsidR="003455F1">
        <w:t xml:space="preserve"> </w:t>
      </w:r>
      <w:r>
        <w:t>corruption</w:t>
      </w:r>
      <w:r w:rsidR="003455F1">
        <w:t xml:space="preserve"> </w:t>
      </w:r>
      <w:r>
        <w:t>cases.</w:t>
      </w:r>
    </w:p>
    <w:p w14:paraId="4D845AF0" w14:textId="63A5256A" w:rsidR="00866BF2" w:rsidRDefault="00E06F94" w:rsidP="00E06F94">
      <w:pPr>
        <w:pStyle w:val="SingleTxtG"/>
      </w:pPr>
      <w:r>
        <w:t>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address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matter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priority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root</w:t>
      </w:r>
      <w:r w:rsidR="003455F1">
        <w:rPr>
          <w:b/>
        </w:rPr>
        <w:t xml:space="preserve"> </w:t>
      </w:r>
      <w:r>
        <w:rPr>
          <w:b/>
        </w:rPr>
        <w:t>causes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corruption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guarantee</w:t>
      </w:r>
      <w:r w:rsidR="003455F1">
        <w:rPr>
          <w:b/>
        </w:rPr>
        <w:t xml:space="preserve"> </w:t>
      </w:r>
      <w:r>
        <w:rPr>
          <w:b/>
        </w:rPr>
        <w:t>transparency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public</w:t>
      </w:r>
      <w:r w:rsidR="003455F1">
        <w:rPr>
          <w:b/>
        </w:rPr>
        <w:t xml:space="preserve"> </w:t>
      </w:r>
      <w:r>
        <w:rPr>
          <w:b/>
        </w:rPr>
        <w:t>administration,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well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accountability.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effectively</w:t>
      </w:r>
      <w:r w:rsidR="003455F1">
        <w:rPr>
          <w:b/>
        </w:rPr>
        <w:t xml:space="preserve"> </w:t>
      </w:r>
      <w:r>
        <w:rPr>
          <w:b/>
        </w:rPr>
        <w:t>implement</w:t>
      </w:r>
      <w:r w:rsidR="003455F1">
        <w:rPr>
          <w:b/>
        </w:rPr>
        <w:t xml:space="preserve"> </w:t>
      </w:r>
      <w:r>
        <w:rPr>
          <w:b/>
        </w:rPr>
        <w:t>anti-corruption</w:t>
      </w:r>
      <w:r w:rsidR="003455F1">
        <w:rPr>
          <w:b/>
        </w:rPr>
        <w:t xml:space="preserve"> </w:t>
      </w:r>
      <w:r>
        <w:rPr>
          <w:b/>
        </w:rPr>
        <w:t>measures,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conduct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thorough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independent</w:t>
      </w:r>
      <w:r w:rsidR="003455F1">
        <w:rPr>
          <w:b/>
        </w:rPr>
        <w:t xml:space="preserve"> </w:t>
      </w:r>
      <w:r>
        <w:rPr>
          <w:b/>
        </w:rPr>
        <w:t>investigations</w:t>
      </w:r>
      <w:r w:rsidR="003455F1">
        <w:rPr>
          <w:b/>
        </w:rPr>
        <w:t xml:space="preserve"> </w:t>
      </w:r>
      <w:r>
        <w:rPr>
          <w:b/>
        </w:rPr>
        <w:t>into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cases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corruption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levels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publication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results.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further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provide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persons</w:t>
      </w:r>
      <w:r w:rsidR="003455F1">
        <w:rPr>
          <w:b/>
        </w:rPr>
        <w:t xml:space="preserve"> </w:t>
      </w:r>
      <w:r>
        <w:rPr>
          <w:b/>
        </w:rPr>
        <w:t>who</w:t>
      </w:r>
      <w:r w:rsidR="003455F1">
        <w:rPr>
          <w:b/>
        </w:rPr>
        <w:t xml:space="preserve"> </w:t>
      </w:r>
      <w:r>
        <w:rPr>
          <w:b/>
        </w:rPr>
        <w:t>report</w:t>
      </w:r>
      <w:r w:rsidR="003455F1">
        <w:rPr>
          <w:b/>
        </w:rPr>
        <w:t xml:space="preserve"> </w:t>
      </w:r>
      <w:r>
        <w:rPr>
          <w:b/>
        </w:rPr>
        <w:t>acts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corruption,</w:t>
      </w:r>
      <w:r w:rsidR="003455F1">
        <w:rPr>
          <w:b/>
        </w:rPr>
        <w:t xml:space="preserve"> </w:t>
      </w:r>
      <w:r>
        <w:rPr>
          <w:b/>
        </w:rPr>
        <w:t>judges,</w:t>
      </w:r>
      <w:r w:rsidR="003455F1">
        <w:rPr>
          <w:b/>
        </w:rPr>
        <w:t xml:space="preserve"> </w:t>
      </w:r>
      <w:r>
        <w:rPr>
          <w:b/>
        </w:rPr>
        <w:t>prosecutors,</w:t>
      </w:r>
      <w:r w:rsidR="003455F1">
        <w:rPr>
          <w:b/>
        </w:rPr>
        <w:t xml:space="preserve"> </w:t>
      </w:r>
      <w:r>
        <w:rPr>
          <w:b/>
        </w:rPr>
        <w:t>lawyers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activists</w:t>
      </w:r>
      <w:r w:rsidR="003455F1">
        <w:rPr>
          <w:b/>
        </w:rPr>
        <w:t xml:space="preserve"> </w:t>
      </w:r>
      <w:r>
        <w:rPr>
          <w:b/>
        </w:rPr>
        <w:t>involved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combating</w:t>
      </w:r>
      <w:r w:rsidR="003455F1">
        <w:rPr>
          <w:b/>
        </w:rPr>
        <w:t xml:space="preserve"> </w:t>
      </w:r>
      <w:r>
        <w:rPr>
          <w:b/>
        </w:rPr>
        <w:t>corruption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witnesses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such</w:t>
      </w:r>
      <w:r w:rsidR="003455F1">
        <w:rPr>
          <w:b/>
        </w:rPr>
        <w:t xml:space="preserve"> </w:t>
      </w:r>
      <w:r>
        <w:rPr>
          <w:b/>
        </w:rPr>
        <w:t>acts.</w:t>
      </w:r>
    </w:p>
    <w:p w14:paraId="73DED8B4" w14:textId="7D947355" w:rsidR="00866BF2" w:rsidRDefault="00AF3493" w:rsidP="00AF3493">
      <w:pPr>
        <w:pStyle w:val="H23G"/>
      </w:pPr>
      <w:r>
        <w:tab/>
      </w:r>
      <w:r>
        <w:tab/>
      </w:r>
      <w:r w:rsidR="00E06F94">
        <w:t>Human</w:t>
      </w:r>
      <w:r w:rsidR="003455F1">
        <w:t xml:space="preserve"> </w:t>
      </w:r>
      <w:r w:rsidR="00E06F94">
        <w:t>rights</w:t>
      </w:r>
      <w:r w:rsidR="003455F1">
        <w:t xml:space="preserve"> </w:t>
      </w:r>
      <w:r w:rsidR="00E06F94">
        <w:t>defenders</w:t>
      </w:r>
    </w:p>
    <w:p w14:paraId="11990001" w14:textId="56832C15" w:rsidR="00E06F94" w:rsidRPr="001F49A2" w:rsidRDefault="00E06F94" w:rsidP="00E06F94">
      <w:pPr>
        <w:pStyle w:val="SingleTxtG"/>
        <w:rPr>
          <w:lang w:val="en-US"/>
        </w:rPr>
      </w:pPr>
      <w:r>
        <w:t>10.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assaults,</w:t>
      </w:r>
      <w:r w:rsidR="003455F1">
        <w:t xml:space="preserve"> </w:t>
      </w:r>
      <w:r>
        <w:t>threats</w:t>
      </w:r>
      <w:r w:rsidR="003455F1">
        <w:t xml:space="preserve"> </w:t>
      </w:r>
      <w:r>
        <w:t>and</w:t>
      </w:r>
      <w:r w:rsidR="003455F1">
        <w:t xml:space="preserve"> </w:t>
      </w:r>
      <w:r>
        <w:t>reprisals</w:t>
      </w:r>
      <w:r w:rsidR="003455F1">
        <w:t xml:space="preserve"> </w:t>
      </w:r>
      <w:r>
        <w:t>committed</w:t>
      </w:r>
      <w:r w:rsidR="003455F1">
        <w:t xml:space="preserve"> </w:t>
      </w:r>
      <w:r>
        <w:t>against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defenders,</w:t>
      </w:r>
      <w:r w:rsidR="003455F1">
        <w:t xml:space="preserve"> </w:t>
      </w:r>
      <w:r>
        <w:t>including</w:t>
      </w:r>
      <w:r w:rsidR="003455F1">
        <w:t xml:space="preserve"> </w:t>
      </w:r>
      <w:r>
        <w:t>defenders</w:t>
      </w:r>
      <w:r w:rsidR="003455F1">
        <w:t xml:space="preserve"> </w:t>
      </w:r>
      <w:r>
        <w:t>of</w:t>
      </w:r>
      <w:r w:rsidR="003455F1">
        <w:t xml:space="preserve"> </w:t>
      </w:r>
      <w:r>
        <w:t>economic,</w:t>
      </w:r>
      <w:r w:rsidR="003455F1">
        <w:t xml:space="preserve"> </w:t>
      </w:r>
      <w:r>
        <w:t>social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</w:t>
      </w:r>
      <w:r w:rsidR="003455F1">
        <w:t xml:space="preserve"> </w:t>
      </w:r>
      <w:r>
        <w:t>and</w:t>
      </w:r>
      <w:r w:rsidR="003455F1">
        <w:t xml:space="preserve"> </w:t>
      </w:r>
      <w:r>
        <w:t>Indigenous</w:t>
      </w:r>
      <w:r w:rsidR="003455F1">
        <w:t xml:space="preserve"> </w:t>
      </w:r>
      <w:r>
        <w:t>and</w:t>
      </w:r>
      <w:r w:rsidR="003455F1">
        <w:t xml:space="preserve"> </w:t>
      </w:r>
      <w:r>
        <w:t>Afrodescendent</w:t>
      </w:r>
      <w:r w:rsidR="003455F1">
        <w:t xml:space="preserve"> </w:t>
      </w:r>
      <w:r>
        <w:t>leaders,</w:t>
      </w:r>
      <w:r w:rsidR="003455F1">
        <w:t xml:space="preserve"> </w:t>
      </w:r>
      <w:r>
        <w:t>and</w:t>
      </w:r>
      <w:r w:rsidR="003455F1">
        <w:t xml:space="preserve"> </w:t>
      </w:r>
      <w:r>
        <w:t>in</w:t>
      </w:r>
      <w:r w:rsidR="003455F1">
        <w:t xml:space="preserve"> </w:t>
      </w:r>
      <w:r>
        <w:t>particular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fact</w:t>
      </w:r>
      <w:r w:rsidR="003455F1">
        <w:t xml:space="preserve"> </w:t>
      </w:r>
      <w:r>
        <w:t>that</w:t>
      </w:r>
      <w:r w:rsidR="003455F1">
        <w:t xml:space="preserve"> </w:t>
      </w:r>
      <w:r>
        <w:t>criminal</w:t>
      </w:r>
      <w:r w:rsidR="003455F1">
        <w:t xml:space="preserve"> </w:t>
      </w:r>
      <w:r>
        <w:t>law</w:t>
      </w:r>
      <w:r w:rsidR="003455F1">
        <w:t xml:space="preserve"> </w:t>
      </w:r>
      <w:r>
        <w:t>is</w:t>
      </w:r>
      <w:r w:rsidR="003455F1">
        <w:t xml:space="preserve"> </w:t>
      </w:r>
      <w:r>
        <w:t>improperly</w:t>
      </w:r>
      <w:r w:rsidR="003455F1">
        <w:t xml:space="preserve"> </w:t>
      </w:r>
      <w:r>
        <w:t>used</w:t>
      </w:r>
      <w:r w:rsidR="003455F1">
        <w:t xml:space="preserve"> </w:t>
      </w:r>
      <w:r>
        <w:t>to</w:t>
      </w:r>
      <w:r w:rsidR="003455F1">
        <w:t xml:space="preserve"> </w:t>
      </w:r>
      <w:r>
        <w:t>persecute</w:t>
      </w:r>
      <w:r w:rsidR="003455F1">
        <w:t xml:space="preserve"> </w:t>
      </w:r>
      <w:r>
        <w:t>these</w:t>
      </w:r>
      <w:r w:rsidR="003455F1">
        <w:t xml:space="preserve"> </w:t>
      </w:r>
      <w:r>
        <w:t>individuals.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national</w:t>
      </w:r>
      <w:r w:rsidR="003455F1">
        <w:t xml:space="preserve"> </w:t>
      </w:r>
      <w:r>
        <w:t>mechanisms</w:t>
      </w:r>
      <w:r w:rsidR="003455F1">
        <w:t xml:space="preserve"> </w:t>
      </w:r>
      <w:r>
        <w:t>to</w:t>
      </w:r>
      <w:r w:rsidR="003455F1">
        <w:t xml:space="preserve"> </w:t>
      </w:r>
      <w:r>
        <w:t>protect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defenders.</w:t>
      </w:r>
    </w:p>
    <w:p w14:paraId="35A1CFA6" w14:textId="50AE52AA" w:rsidR="00E06F94" w:rsidRPr="001F49A2" w:rsidRDefault="00E06F94" w:rsidP="00E06F94">
      <w:pPr>
        <w:pStyle w:val="SingleTxtG"/>
        <w:rPr>
          <w:b/>
          <w:lang w:val="en-US"/>
        </w:rPr>
      </w:pPr>
      <w:r>
        <w:t>11.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to:</w:t>
      </w:r>
    </w:p>
    <w:p w14:paraId="0E6ACD6A" w14:textId="718A0107" w:rsidR="00866BF2" w:rsidRDefault="00AF3493" w:rsidP="00E06F94">
      <w:pPr>
        <w:pStyle w:val="SingleTxtG"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Conduct</w:t>
      </w:r>
      <w:r w:rsidR="003455F1">
        <w:rPr>
          <w:b/>
        </w:rPr>
        <w:t xml:space="preserve"> </w:t>
      </w:r>
      <w:r w:rsidR="00E06F94">
        <w:rPr>
          <w:b/>
        </w:rPr>
        <w:t>thorough,</w:t>
      </w:r>
      <w:r w:rsidR="003455F1">
        <w:rPr>
          <w:b/>
        </w:rPr>
        <w:t xml:space="preserve"> </w:t>
      </w:r>
      <w:r w:rsidR="00E06F94">
        <w:rPr>
          <w:b/>
        </w:rPr>
        <w:t>impartial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investigations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reports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attacks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life,</w:t>
      </w:r>
      <w:r w:rsidR="003455F1">
        <w:rPr>
          <w:b/>
        </w:rPr>
        <w:t xml:space="preserve"> </w:t>
      </w:r>
      <w:r w:rsidR="00E06F94">
        <w:rPr>
          <w:b/>
        </w:rPr>
        <w:t>physical</w:t>
      </w:r>
      <w:r w:rsidR="003455F1">
        <w:rPr>
          <w:b/>
        </w:rPr>
        <w:t xml:space="preserve"> </w:t>
      </w:r>
      <w:r w:rsidR="00E06F94">
        <w:rPr>
          <w:b/>
        </w:rPr>
        <w:t>integrity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freedom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defenders,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well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any</w:t>
      </w:r>
      <w:r w:rsidR="003455F1">
        <w:rPr>
          <w:b/>
        </w:rPr>
        <w:t xml:space="preserve"> </w:t>
      </w:r>
      <w:r w:rsidR="00E06F94">
        <w:rPr>
          <w:b/>
        </w:rPr>
        <w:t>acts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violence,</w:t>
      </w:r>
      <w:r w:rsidR="003455F1">
        <w:rPr>
          <w:b/>
        </w:rPr>
        <w:t xml:space="preserve"> </w:t>
      </w:r>
      <w:r w:rsidR="00E06F94">
        <w:rPr>
          <w:b/>
        </w:rPr>
        <w:t>threats,</w:t>
      </w:r>
      <w:r w:rsidR="003455F1">
        <w:rPr>
          <w:b/>
        </w:rPr>
        <w:t xml:space="preserve"> </w:t>
      </w:r>
      <w:r w:rsidR="00E06F94">
        <w:rPr>
          <w:b/>
        </w:rPr>
        <w:t>harassment,</w:t>
      </w:r>
      <w:r w:rsidR="003455F1">
        <w:rPr>
          <w:b/>
        </w:rPr>
        <w:t xml:space="preserve"> </w:t>
      </w:r>
      <w:r w:rsidR="00E06F94">
        <w:rPr>
          <w:b/>
        </w:rPr>
        <w:t>intimidation,</w:t>
      </w:r>
      <w:r w:rsidR="003455F1">
        <w:rPr>
          <w:b/>
        </w:rPr>
        <w:t xml:space="preserve"> </w:t>
      </w:r>
      <w:r w:rsidR="00E06F94">
        <w:rPr>
          <w:b/>
        </w:rPr>
        <w:t>bullying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defamation</w:t>
      </w:r>
      <w:r w:rsidR="003455F1">
        <w:rPr>
          <w:b/>
        </w:rPr>
        <w:t xml:space="preserve"> </w:t>
      </w:r>
      <w:r w:rsidR="00E06F94">
        <w:rPr>
          <w:b/>
        </w:rPr>
        <w:t>committed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defenders;</w:t>
      </w:r>
    </w:p>
    <w:p w14:paraId="14BD108E" w14:textId="46C4FFFD" w:rsidR="00E06F94" w:rsidRPr="001F49A2" w:rsidRDefault="00AF3493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(b)</w:t>
      </w:r>
      <w:r w:rsidR="00E06F94">
        <w:tab/>
      </w:r>
      <w:r w:rsidR="00E06F94">
        <w:rPr>
          <w:b/>
        </w:rPr>
        <w:t>Design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implement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comprehensive</w:t>
      </w:r>
      <w:r w:rsidR="003455F1">
        <w:rPr>
          <w:b/>
        </w:rPr>
        <w:t xml:space="preserve"> </w:t>
      </w:r>
      <w:r w:rsidR="00E06F94">
        <w:rPr>
          <w:b/>
        </w:rPr>
        <w:t>policy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gender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intercultural</w:t>
      </w:r>
      <w:r w:rsidR="003455F1">
        <w:rPr>
          <w:b/>
        </w:rPr>
        <w:t xml:space="preserve"> </w:t>
      </w:r>
      <w:r w:rsidR="00E06F94">
        <w:rPr>
          <w:b/>
        </w:rPr>
        <w:t>focus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acts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violence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defenders,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particular</w:t>
      </w:r>
      <w:r w:rsidR="003455F1">
        <w:rPr>
          <w:b/>
        </w:rPr>
        <w:t xml:space="preserve"> </w:t>
      </w:r>
      <w:r w:rsidR="00E06F94">
        <w:rPr>
          <w:b/>
        </w:rPr>
        <w:t>defenders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rights,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effectively</w:t>
      </w:r>
      <w:r w:rsidR="003455F1">
        <w:rPr>
          <w:b/>
        </w:rPr>
        <w:t xml:space="preserve"> </w:t>
      </w:r>
      <w:r w:rsidR="00E06F94">
        <w:rPr>
          <w:b/>
        </w:rPr>
        <w:t>protect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lives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personal</w:t>
      </w:r>
      <w:r w:rsidR="003455F1">
        <w:rPr>
          <w:b/>
        </w:rPr>
        <w:t xml:space="preserve"> </w:t>
      </w:r>
      <w:r w:rsidR="00E06F94">
        <w:rPr>
          <w:b/>
        </w:rPr>
        <w:t>integrity</w:t>
      </w:r>
      <w:r w:rsidR="003455F1">
        <w:rPr>
          <w:b/>
        </w:rPr>
        <w:t xml:space="preserve"> </w:t>
      </w:r>
      <w:r w:rsidR="00E06F94">
        <w:rPr>
          <w:b/>
        </w:rPr>
        <w:t>through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coordination</w:t>
      </w:r>
      <w:r w:rsidR="003455F1">
        <w:rPr>
          <w:b/>
        </w:rPr>
        <w:t xml:space="preserve"> </w:t>
      </w:r>
      <w:r w:rsidR="00E06F94">
        <w:rPr>
          <w:b/>
        </w:rPr>
        <w:t>among</w:t>
      </w:r>
      <w:r w:rsidR="003455F1">
        <w:rPr>
          <w:b/>
        </w:rPr>
        <w:t xml:space="preserve"> </w:t>
      </w:r>
      <w:r w:rsidR="00E06F94">
        <w:rPr>
          <w:b/>
        </w:rPr>
        <w:t>national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municipal</w:t>
      </w:r>
      <w:r w:rsidR="003455F1">
        <w:rPr>
          <w:b/>
        </w:rPr>
        <w:t xml:space="preserve"> </w:t>
      </w:r>
      <w:r w:rsidR="00E06F94">
        <w:rPr>
          <w:b/>
        </w:rPr>
        <w:t>authorities,</w:t>
      </w:r>
      <w:r w:rsidR="003455F1">
        <w:rPr>
          <w:b/>
        </w:rPr>
        <w:t xml:space="preserve"> </w:t>
      </w:r>
      <w:r w:rsidR="00E06F94">
        <w:rPr>
          <w:b/>
        </w:rPr>
        <w:t>taking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specific</w:t>
      </w:r>
      <w:r w:rsidR="003455F1">
        <w:rPr>
          <w:b/>
        </w:rPr>
        <w:t xml:space="preserve"> </w:t>
      </w:r>
      <w:r w:rsidR="00E06F94">
        <w:rPr>
          <w:b/>
        </w:rPr>
        <w:t>needs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defenders</w:t>
      </w:r>
      <w:r w:rsidR="003455F1">
        <w:rPr>
          <w:b/>
        </w:rPr>
        <w:t xml:space="preserve"> </w:t>
      </w:r>
      <w:r w:rsidR="00E06F94">
        <w:rPr>
          <w:b/>
        </w:rPr>
        <w:t>living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remote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3430D939" w14:textId="6C69DD29" w:rsidR="00E06F94" w:rsidRPr="001F49A2" w:rsidRDefault="00AF3493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(c)</w:t>
      </w:r>
      <w:r w:rsidR="00E06F94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use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criminal</w:t>
      </w:r>
      <w:r w:rsidR="003455F1">
        <w:rPr>
          <w:b/>
        </w:rPr>
        <w:t xml:space="preserve"> </w:t>
      </w:r>
      <w:r w:rsidR="00E06F94">
        <w:rPr>
          <w:b/>
        </w:rPr>
        <w:t>law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arbitrary</w:t>
      </w:r>
      <w:r w:rsidR="003455F1">
        <w:rPr>
          <w:b/>
        </w:rPr>
        <w:t xml:space="preserve"> </w:t>
      </w:r>
      <w:r w:rsidR="00E06F94">
        <w:rPr>
          <w:b/>
        </w:rPr>
        <w:t>criminalization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defenders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defenders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bookmarkStart w:id="0" w:name="_Hlk124846813"/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African</w:t>
      </w:r>
      <w:r w:rsidR="003455F1">
        <w:rPr>
          <w:b/>
        </w:rPr>
        <w:t xml:space="preserve"> </w:t>
      </w:r>
      <w:r w:rsidR="00E06F94">
        <w:rPr>
          <w:b/>
        </w:rPr>
        <w:t>descent</w:t>
      </w:r>
      <w:bookmarkEnd w:id="0"/>
      <w:r w:rsidR="00E06F94">
        <w:rPr>
          <w:b/>
        </w:rPr>
        <w:t>;</w:t>
      </w:r>
    </w:p>
    <w:p w14:paraId="510A3E0B" w14:textId="44FC5E15" w:rsidR="00E06F94" w:rsidRPr="001F49A2" w:rsidRDefault="00AF3493" w:rsidP="00E06F94">
      <w:pPr>
        <w:pStyle w:val="SingleTxtG"/>
        <w:rPr>
          <w:b/>
          <w:lang w:val="en-US"/>
        </w:rPr>
      </w:pPr>
      <w:r>
        <w:lastRenderedPageBreak/>
        <w:tab/>
      </w:r>
      <w:r w:rsidR="00E06F94" w:rsidRPr="00BB1B17">
        <w:t>(d)</w:t>
      </w:r>
      <w:r w:rsidR="00E06F94">
        <w:tab/>
      </w:r>
      <w:r w:rsidR="00E06F94">
        <w:rPr>
          <w:b/>
        </w:rPr>
        <w:t>Roll</w:t>
      </w:r>
      <w:r w:rsidR="003455F1">
        <w:rPr>
          <w:b/>
        </w:rPr>
        <w:t xml:space="preserve"> </w:t>
      </w:r>
      <w:r w:rsidR="00E06F94">
        <w:rPr>
          <w:b/>
        </w:rPr>
        <w:t>out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awareness-raising</w:t>
      </w:r>
      <w:r w:rsidR="003455F1">
        <w:rPr>
          <w:b/>
        </w:rPr>
        <w:t xml:space="preserve"> </w:t>
      </w:r>
      <w:r w:rsidR="00E06F94">
        <w:rPr>
          <w:b/>
        </w:rPr>
        <w:t>campaigns</w:t>
      </w:r>
      <w:r w:rsidR="003455F1">
        <w:rPr>
          <w:b/>
        </w:rPr>
        <w:t xml:space="preserve"> </w:t>
      </w:r>
      <w:r w:rsidR="00E06F94">
        <w:rPr>
          <w:b/>
        </w:rPr>
        <w:t>about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work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defenders,</w:t>
      </w:r>
      <w:r w:rsidR="003455F1">
        <w:rPr>
          <w:b/>
        </w:rPr>
        <w:t xml:space="preserve"> </w:t>
      </w:r>
      <w:r w:rsidR="00E06F94">
        <w:rPr>
          <w:b/>
        </w:rPr>
        <w:t>especially</w:t>
      </w:r>
      <w:r w:rsidR="003455F1">
        <w:rPr>
          <w:b/>
        </w:rPr>
        <w:t xml:space="preserve"> </w:t>
      </w:r>
      <w:r w:rsidR="00E06F94">
        <w:rPr>
          <w:b/>
        </w:rPr>
        <w:t>those</w:t>
      </w:r>
      <w:r w:rsidR="003455F1">
        <w:rPr>
          <w:b/>
        </w:rPr>
        <w:t xml:space="preserve"> </w:t>
      </w:r>
      <w:r w:rsidR="00E06F94">
        <w:rPr>
          <w:b/>
        </w:rPr>
        <w:t>who</w:t>
      </w:r>
      <w:r w:rsidR="003455F1">
        <w:rPr>
          <w:b/>
        </w:rPr>
        <w:t xml:space="preserve"> </w:t>
      </w:r>
      <w:r w:rsidR="00E06F94">
        <w:rPr>
          <w:b/>
        </w:rPr>
        <w:t>defend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rights;</w:t>
      </w:r>
    </w:p>
    <w:p w14:paraId="53A12BCB" w14:textId="351E1833" w:rsidR="00866BF2" w:rsidRPr="00866BF2" w:rsidRDefault="00AF3493" w:rsidP="00E06F94">
      <w:pPr>
        <w:pStyle w:val="SingleTxtG"/>
        <w:rPr>
          <w:rStyle w:val="FootnoteReference"/>
        </w:rPr>
      </w:pPr>
      <w:r>
        <w:tab/>
      </w:r>
      <w:r w:rsidR="00E06F94" w:rsidRPr="00BB1B17">
        <w:t>(e)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consideration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statement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defenders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rights.</w:t>
      </w:r>
      <w:r w:rsidR="00E06F94" w:rsidRPr="00866BF2">
        <w:rPr>
          <w:rStyle w:val="FootnoteReference"/>
        </w:rPr>
        <w:footnoteReference w:id="5"/>
      </w:r>
    </w:p>
    <w:p w14:paraId="20B987CC" w14:textId="7AC79B54" w:rsidR="00866BF2" w:rsidRDefault="00AF3493" w:rsidP="00AF3493">
      <w:pPr>
        <w:pStyle w:val="H23G"/>
      </w:pPr>
      <w:r>
        <w:tab/>
      </w:r>
      <w:r>
        <w:tab/>
      </w:r>
      <w:r w:rsidR="00E06F94">
        <w:t>Business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human</w:t>
      </w:r>
      <w:r w:rsidR="003455F1">
        <w:t xml:space="preserve"> </w:t>
      </w:r>
      <w:r w:rsidR="00E06F94">
        <w:t>rights</w:t>
      </w:r>
    </w:p>
    <w:p w14:paraId="2C9C8781" w14:textId="60DD2AD0" w:rsidR="00E06F94" w:rsidRPr="001F49A2" w:rsidRDefault="00E06F94" w:rsidP="00E06F94">
      <w:pPr>
        <w:pStyle w:val="SingleTxtG"/>
        <w:rPr>
          <w:lang w:val="en-US"/>
        </w:rPr>
      </w:pPr>
      <w:r>
        <w:t>12.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the</w:t>
      </w:r>
      <w:r w:rsidR="003455F1">
        <w:t xml:space="preserve"> </w:t>
      </w:r>
      <w:r>
        <w:t>information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initiative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Presidential</w:t>
      </w:r>
      <w:r w:rsidR="003455F1">
        <w:t xml:space="preserve"> </w:t>
      </w:r>
      <w:r>
        <w:t>Commission</w:t>
      </w:r>
      <w:r w:rsidR="003455F1">
        <w:t xml:space="preserve"> </w:t>
      </w:r>
      <w:r>
        <w:t>for</w:t>
      </w:r>
      <w:r w:rsidR="003455F1">
        <w:t xml:space="preserve"> </w:t>
      </w:r>
      <w:r>
        <w:t>Peace</w:t>
      </w:r>
      <w:r w:rsidR="003455F1">
        <w:t xml:space="preserve"> </w:t>
      </w:r>
      <w:r>
        <w:t>and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to</w:t>
      </w:r>
      <w:r w:rsidR="003455F1">
        <w:t xml:space="preserve"> </w:t>
      </w:r>
      <w:r>
        <w:t>develop</w:t>
      </w:r>
      <w:r w:rsidR="003455F1">
        <w:t xml:space="preserve"> </w:t>
      </w:r>
      <w:r>
        <w:t>a</w:t>
      </w:r>
      <w:r w:rsidR="003455F1">
        <w:t xml:space="preserve"> </w:t>
      </w:r>
      <w:r>
        <w:t>national</w:t>
      </w:r>
      <w:r w:rsidR="003455F1">
        <w:t xml:space="preserve"> </w:t>
      </w:r>
      <w:r>
        <w:t>action</w:t>
      </w:r>
      <w:r w:rsidR="003455F1">
        <w:t xml:space="preserve"> </w:t>
      </w:r>
      <w:r>
        <w:t>plan</w:t>
      </w:r>
      <w:r w:rsidR="003455F1">
        <w:t xml:space="preserve"> </w:t>
      </w:r>
      <w:r>
        <w:t>on</w:t>
      </w:r>
      <w:r w:rsidR="003455F1">
        <w:t xml:space="preserve"> </w:t>
      </w:r>
      <w:r>
        <w:t>business</w:t>
      </w:r>
      <w:r w:rsidR="003455F1">
        <w:t xml:space="preserve"> </w:t>
      </w:r>
      <w:r>
        <w:t>and</w:t>
      </w:r>
      <w:r w:rsidR="003455F1">
        <w:t xml:space="preserve"> </w:t>
      </w:r>
      <w:r>
        <w:t>human</w:t>
      </w:r>
      <w:r w:rsidR="003455F1">
        <w:t xml:space="preserve"> </w:t>
      </w:r>
      <w:r>
        <w:t>rights.</w:t>
      </w:r>
      <w:r w:rsidR="003455F1">
        <w:t xml:space="preserve"> </w:t>
      </w:r>
      <w:r w:rsidRPr="00453B3D">
        <w:t>It</w:t>
      </w:r>
      <w:r w:rsidR="003455F1">
        <w:t xml:space="preserve"> </w:t>
      </w:r>
      <w:r w:rsidRPr="00453B3D">
        <w:t>is</w:t>
      </w:r>
      <w:r w:rsidR="003455F1">
        <w:t xml:space="preserve"> </w:t>
      </w:r>
      <w:r w:rsidRPr="00453B3D">
        <w:t>concerned,</w:t>
      </w:r>
      <w:r w:rsidR="003455F1">
        <w:t xml:space="preserve"> </w:t>
      </w:r>
      <w:r w:rsidRPr="00453B3D">
        <w:t>however,</w:t>
      </w:r>
      <w:r w:rsidR="003455F1">
        <w:t xml:space="preserve"> </w:t>
      </w:r>
      <w:r w:rsidRPr="00453B3D">
        <w:t>at</w:t>
      </w:r>
      <w:r w:rsidR="003455F1">
        <w:t xml:space="preserve"> </w:t>
      </w:r>
      <w:r w:rsidRPr="00453B3D">
        <w:t>the</w:t>
      </w:r>
      <w:r w:rsidR="003455F1">
        <w:t xml:space="preserve"> </w:t>
      </w:r>
      <w:r w:rsidRPr="00453B3D">
        <w:t>negative</w:t>
      </w:r>
      <w:r w:rsidR="003455F1">
        <w:t xml:space="preserve"> </w:t>
      </w:r>
      <w:r w:rsidRPr="00453B3D">
        <w:t>impact</w:t>
      </w:r>
      <w:r w:rsidR="003455F1">
        <w:t xml:space="preserve"> </w:t>
      </w:r>
      <w:r w:rsidRPr="00453B3D">
        <w:t>on</w:t>
      </w:r>
      <w:r w:rsidR="003455F1">
        <w:t xml:space="preserve"> </w:t>
      </w:r>
      <w:r w:rsidRPr="00453B3D">
        <w:t>the</w:t>
      </w:r>
      <w:r w:rsidR="003455F1">
        <w:t xml:space="preserve"> </w:t>
      </w:r>
      <w:r w:rsidRPr="00453B3D">
        <w:t>enjoyment</w:t>
      </w:r>
      <w:r w:rsidR="003455F1">
        <w:t xml:space="preserve"> </w:t>
      </w:r>
      <w:r w:rsidRPr="00453B3D">
        <w:t>of</w:t>
      </w:r>
      <w:r w:rsidR="003455F1">
        <w:t xml:space="preserve"> </w:t>
      </w:r>
      <w:r w:rsidRPr="00453B3D">
        <w:t>economic,</w:t>
      </w:r>
      <w:r w:rsidR="003455F1">
        <w:t xml:space="preserve"> </w:t>
      </w:r>
      <w:r w:rsidRPr="00453B3D">
        <w:t>social</w:t>
      </w:r>
      <w:r w:rsidR="003455F1">
        <w:t xml:space="preserve"> </w:t>
      </w:r>
      <w:r w:rsidRPr="00453B3D">
        <w:t>and</w:t>
      </w:r>
      <w:r w:rsidR="003455F1">
        <w:t xml:space="preserve"> </w:t>
      </w:r>
      <w:r w:rsidRPr="00453B3D">
        <w:t>cultural</w:t>
      </w:r>
      <w:r w:rsidR="003455F1">
        <w:t xml:space="preserve"> </w:t>
      </w:r>
      <w:r w:rsidRPr="00453B3D">
        <w:t>rights</w:t>
      </w:r>
      <w:r w:rsidR="003455F1">
        <w:t xml:space="preserve"> </w:t>
      </w:r>
      <w:r w:rsidRPr="00453B3D">
        <w:t>potentially</w:t>
      </w:r>
      <w:r w:rsidR="003455F1">
        <w:t xml:space="preserve"> </w:t>
      </w:r>
      <w:r w:rsidRPr="00453B3D">
        <w:t>arising</w:t>
      </w:r>
      <w:r w:rsidR="003455F1">
        <w:t xml:space="preserve"> </w:t>
      </w:r>
      <w:r w:rsidRPr="00453B3D">
        <w:t>from</w:t>
      </w:r>
      <w:r w:rsidR="003455F1">
        <w:t xml:space="preserve"> </w:t>
      </w:r>
      <w:r w:rsidRPr="00453B3D">
        <w:t>the</w:t>
      </w:r>
      <w:r w:rsidR="003455F1">
        <w:t xml:space="preserve"> </w:t>
      </w:r>
      <w:r w:rsidRPr="00453B3D">
        <w:t>economic</w:t>
      </w:r>
      <w:r w:rsidR="003455F1">
        <w:t xml:space="preserve"> </w:t>
      </w:r>
      <w:r w:rsidRPr="00453B3D">
        <w:t>development</w:t>
      </w:r>
      <w:r w:rsidR="003455F1">
        <w:t xml:space="preserve"> </w:t>
      </w:r>
      <w:r w:rsidRPr="00453B3D">
        <w:t>activities</w:t>
      </w:r>
      <w:r w:rsidR="003455F1">
        <w:t xml:space="preserve"> </w:t>
      </w:r>
      <w:r w:rsidRPr="00453B3D">
        <w:t>and</w:t>
      </w:r>
      <w:r w:rsidR="003455F1">
        <w:t xml:space="preserve"> </w:t>
      </w:r>
      <w:r w:rsidRPr="00453B3D">
        <w:t>projects</w:t>
      </w:r>
      <w:r w:rsidR="003455F1">
        <w:t xml:space="preserve"> </w:t>
      </w:r>
      <w:r w:rsidRPr="00453B3D">
        <w:t>of</w:t>
      </w:r>
      <w:r w:rsidR="003455F1">
        <w:t xml:space="preserve"> </w:t>
      </w:r>
      <w:r w:rsidRPr="00453B3D">
        <w:t>companies,</w:t>
      </w:r>
      <w:r w:rsidR="003455F1">
        <w:t xml:space="preserve"> </w:t>
      </w:r>
      <w:r w:rsidRPr="00453B3D">
        <w:t>which,</w:t>
      </w:r>
      <w:r w:rsidR="003455F1">
        <w:t xml:space="preserve"> </w:t>
      </w:r>
      <w:r w:rsidRPr="00453B3D">
        <w:t>owing</w:t>
      </w:r>
      <w:r w:rsidR="003455F1">
        <w:t xml:space="preserve"> </w:t>
      </w:r>
      <w:r w:rsidRPr="00453B3D">
        <w:t>to</w:t>
      </w:r>
      <w:r w:rsidR="003455F1">
        <w:t xml:space="preserve"> </w:t>
      </w:r>
      <w:r w:rsidRPr="00453B3D">
        <w:t>a</w:t>
      </w:r>
      <w:r w:rsidR="003455F1">
        <w:t xml:space="preserve"> </w:t>
      </w:r>
      <w:r w:rsidRPr="00453B3D">
        <w:t>failure</w:t>
      </w:r>
      <w:r w:rsidR="003455F1">
        <w:t xml:space="preserve"> </w:t>
      </w:r>
      <w:r w:rsidRPr="00453B3D">
        <w:t>to</w:t>
      </w:r>
      <w:r w:rsidR="003455F1">
        <w:t xml:space="preserve"> </w:t>
      </w:r>
      <w:r w:rsidRPr="00453B3D">
        <w:t>conduct</w:t>
      </w:r>
      <w:r w:rsidR="003455F1">
        <w:t xml:space="preserve"> </w:t>
      </w:r>
      <w:r w:rsidRPr="00453B3D">
        <w:t>human</w:t>
      </w:r>
      <w:r w:rsidR="003455F1">
        <w:t xml:space="preserve"> </w:t>
      </w:r>
      <w:r w:rsidRPr="00453B3D">
        <w:t>rights</w:t>
      </w:r>
      <w:r w:rsidR="003455F1">
        <w:t xml:space="preserve"> </w:t>
      </w:r>
      <w:r w:rsidRPr="00453B3D">
        <w:t>due</w:t>
      </w:r>
      <w:r w:rsidR="003455F1">
        <w:t xml:space="preserve"> </w:t>
      </w:r>
      <w:r w:rsidRPr="00453B3D">
        <w:t>diligence,</w:t>
      </w:r>
      <w:r w:rsidR="003455F1">
        <w:t xml:space="preserve"> </w:t>
      </w:r>
      <w:r w:rsidRPr="00453B3D">
        <w:t>cause</w:t>
      </w:r>
      <w:r w:rsidR="003455F1">
        <w:t xml:space="preserve"> </w:t>
      </w:r>
      <w:r w:rsidRPr="00453B3D">
        <w:t>irreparable</w:t>
      </w:r>
      <w:r w:rsidR="003455F1">
        <w:t xml:space="preserve"> </w:t>
      </w:r>
      <w:r w:rsidRPr="00453B3D">
        <w:t>harm</w:t>
      </w:r>
      <w:r w:rsidR="003455F1">
        <w:t xml:space="preserve"> </w:t>
      </w:r>
      <w:r w:rsidRPr="00453B3D">
        <w:t>to</w:t>
      </w:r>
      <w:r w:rsidR="003455F1">
        <w:t xml:space="preserve"> </w:t>
      </w:r>
      <w:r w:rsidRPr="00453B3D">
        <w:t>the</w:t>
      </w:r>
      <w:r w:rsidR="003455F1">
        <w:t xml:space="preserve"> </w:t>
      </w:r>
      <w:r w:rsidRPr="00453B3D">
        <w:t>environment</w:t>
      </w:r>
      <w:r w:rsidR="003455F1">
        <w:t xml:space="preserve"> </w:t>
      </w:r>
      <w:r w:rsidRPr="00453B3D">
        <w:t>and</w:t>
      </w:r>
      <w:r w:rsidR="003455F1">
        <w:t xml:space="preserve"> </w:t>
      </w:r>
      <w:r w:rsidRPr="00453B3D">
        <w:t>undermine</w:t>
      </w:r>
      <w:r w:rsidR="003455F1">
        <w:t xml:space="preserve"> </w:t>
      </w:r>
      <w:r w:rsidRPr="00453B3D">
        <w:t>the</w:t>
      </w:r>
      <w:r w:rsidR="003455F1">
        <w:t xml:space="preserve"> </w:t>
      </w:r>
      <w:r w:rsidRPr="00453B3D">
        <w:t>right</w:t>
      </w:r>
      <w:r w:rsidR="003455F1">
        <w:t xml:space="preserve"> </w:t>
      </w:r>
      <w:r w:rsidRPr="00453B3D">
        <w:t>to</w:t>
      </w:r>
      <w:r w:rsidR="003455F1">
        <w:t xml:space="preserve"> </w:t>
      </w:r>
      <w:r w:rsidRPr="00453B3D">
        <w:t>health</w:t>
      </w:r>
      <w:r w:rsidR="003455F1">
        <w:t xml:space="preserve"> </w:t>
      </w:r>
      <w:r w:rsidRPr="00453B3D">
        <w:t>and</w:t>
      </w:r>
      <w:r w:rsidR="003455F1">
        <w:t xml:space="preserve"> </w:t>
      </w:r>
      <w:r w:rsidRPr="00453B3D">
        <w:t>a</w:t>
      </w:r>
      <w:r w:rsidR="003455F1">
        <w:t xml:space="preserve"> </w:t>
      </w:r>
      <w:r w:rsidRPr="00453B3D">
        <w:t>decent</w:t>
      </w:r>
      <w:r w:rsidR="003455F1">
        <w:t xml:space="preserve"> </w:t>
      </w:r>
      <w:r w:rsidRPr="00453B3D">
        <w:t>standar</w:t>
      </w:r>
      <w:r w:rsidRPr="00EF6754">
        <w:t>d</w:t>
      </w:r>
      <w:r w:rsidR="003455F1">
        <w:t xml:space="preserve"> </w:t>
      </w:r>
      <w:r w:rsidRPr="00EF6754">
        <w:t>of</w:t>
      </w:r>
      <w:r w:rsidR="003455F1">
        <w:t xml:space="preserve"> </w:t>
      </w:r>
      <w:r w:rsidRPr="00EF6754">
        <w:t>living</w:t>
      </w:r>
      <w:r w:rsidR="003455F1">
        <w:t xml:space="preserve"> </w:t>
      </w:r>
      <w:r w:rsidRPr="00EF6754">
        <w:t>of</w:t>
      </w:r>
      <w:r w:rsidR="003455F1">
        <w:t xml:space="preserve"> </w:t>
      </w:r>
      <w:r w:rsidRPr="00EF6754">
        <w:t>the</w:t>
      </w:r>
      <w:r w:rsidR="003455F1">
        <w:t xml:space="preserve"> </w:t>
      </w:r>
      <w:r w:rsidRPr="00EF6754">
        <w:t>affected</w:t>
      </w:r>
      <w:r w:rsidR="003455F1">
        <w:t xml:space="preserve"> </w:t>
      </w:r>
      <w:r w:rsidRPr="00EF6754">
        <w:t>communities,</w:t>
      </w:r>
      <w:r w:rsidR="003455F1">
        <w:t xml:space="preserve"> </w:t>
      </w:r>
      <w:r w:rsidRPr="00EF6754">
        <w:t>in</w:t>
      </w:r>
      <w:r w:rsidR="003455F1">
        <w:t xml:space="preserve"> </w:t>
      </w:r>
      <w:r w:rsidRPr="00EF6754">
        <w:t>particular</w:t>
      </w:r>
      <w:r w:rsidR="003455F1">
        <w:t xml:space="preserve"> </w:t>
      </w:r>
      <w:r w:rsidRPr="00DC1185">
        <w:t>Indigenous</w:t>
      </w:r>
      <w:r w:rsidR="003455F1">
        <w:t xml:space="preserve"> </w:t>
      </w:r>
      <w:r w:rsidRPr="00DC1185">
        <w:t>Peoples</w:t>
      </w:r>
      <w:r w:rsidR="003455F1">
        <w:t xml:space="preserve"> </w:t>
      </w:r>
      <w:r w:rsidRPr="00DC1185">
        <w:t>and</w:t>
      </w:r>
      <w:r w:rsidR="003455F1">
        <w:t xml:space="preserve"> </w:t>
      </w:r>
      <w:r w:rsidRPr="00DC1185">
        <w:t>persons</w:t>
      </w:r>
      <w:r w:rsidR="003455F1">
        <w:t xml:space="preserve"> </w:t>
      </w:r>
      <w:r w:rsidRPr="00DC1185">
        <w:t>of</w:t>
      </w:r>
      <w:r w:rsidR="003455F1">
        <w:t xml:space="preserve"> </w:t>
      </w:r>
      <w:r w:rsidRPr="00DC1185">
        <w:t>African</w:t>
      </w:r>
      <w:r w:rsidR="003455F1">
        <w:t xml:space="preserve"> </w:t>
      </w:r>
      <w:r w:rsidRPr="00DC1185">
        <w:t>descent</w:t>
      </w:r>
      <w:r w:rsidR="003455F1">
        <w:t xml:space="preserve"> </w:t>
      </w:r>
      <w:r w:rsidRPr="00453B3D">
        <w:t>(arts.</w:t>
      </w:r>
      <w:r w:rsidR="003455F1">
        <w:t xml:space="preserve"> </w:t>
      </w:r>
      <w:r w:rsidRPr="00453B3D">
        <w:t>1</w:t>
      </w:r>
      <w:r w:rsidR="003455F1">
        <w:t xml:space="preserve"> </w:t>
      </w:r>
      <w:r w:rsidRPr="00453B3D">
        <w:t>and</w:t>
      </w:r>
      <w:r w:rsidR="003455F1">
        <w:t xml:space="preserve"> </w:t>
      </w:r>
      <w:r w:rsidRPr="00453B3D">
        <w:t>11).</w:t>
      </w:r>
    </w:p>
    <w:p w14:paraId="4B4F6691" w14:textId="443927B9" w:rsidR="00866BF2" w:rsidRDefault="00E06F94" w:rsidP="00E06F94">
      <w:pPr>
        <w:pStyle w:val="SingleTxtG"/>
      </w:pPr>
      <w:r>
        <w:t>13.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72955064" w14:textId="0E7CA817" w:rsidR="00866BF2" w:rsidRDefault="00AF3493" w:rsidP="00E06F94">
      <w:pPr>
        <w:pStyle w:val="SingleTxtG"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Accelerate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towards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prompt</w:t>
      </w:r>
      <w:r w:rsidR="003455F1">
        <w:rPr>
          <w:b/>
        </w:rPr>
        <w:t xml:space="preserve"> </w:t>
      </w:r>
      <w:r w:rsidR="00E06F94">
        <w:rPr>
          <w:b/>
        </w:rPr>
        <w:t>adoption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national</w:t>
      </w:r>
      <w:r w:rsidR="003455F1">
        <w:rPr>
          <w:b/>
        </w:rPr>
        <w:t xml:space="preserve"> </w:t>
      </w:r>
      <w:r w:rsidR="00E06F94">
        <w:rPr>
          <w:b/>
        </w:rPr>
        <w:t>action</w:t>
      </w:r>
      <w:r w:rsidR="003455F1">
        <w:rPr>
          <w:b/>
        </w:rPr>
        <w:t xml:space="preserve"> </w:t>
      </w:r>
      <w:r w:rsidR="00E06F94">
        <w:rPr>
          <w:b/>
        </w:rPr>
        <w:t>plan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business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while</w:t>
      </w:r>
      <w:r w:rsidR="003455F1">
        <w:rPr>
          <w:b/>
        </w:rPr>
        <w:t xml:space="preserve"> </w:t>
      </w:r>
      <w:r w:rsidR="00E06F94">
        <w:rPr>
          <w:b/>
        </w:rPr>
        <w:t>ensuring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both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formulation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implementation</w:t>
      </w:r>
      <w:r w:rsidR="003455F1">
        <w:rPr>
          <w:b/>
        </w:rPr>
        <w:t xml:space="preserve"> </w:t>
      </w:r>
      <w:r w:rsidR="00E06F94">
        <w:rPr>
          <w:b/>
        </w:rPr>
        <w:t>processes</w:t>
      </w:r>
      <w:r w:rsidR="003455F1">
        <w:rPr>
          <w:b/>
        </w:rPr>
        <w:t xml:space="preserve"> </w:t>
      </w:r>
      <w:r w:rsidR="00E06F94">
        <w:rPr>
          <w:b/>
        </w:rPr>
        <w:t>involve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interested</w:t>
      </w:r>
      <w:r w:rsidR="003455F1">
        <w:rPr>
          <w:b/>
        </w:rPr>
        <w:t xml:space="preserve"> </w:t>
      </w:r>
      <w:r w:rsidR="00E06F94">
        <w:rPr>
          <w:b/>
        </w:rPr>
        <w:t>parties,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representatives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companies,</w:t>
      </w:r>
      <w:r w:rsidR="003455F1">
        <w:rPr>
          <w:b/>
        </w:rPr>
        <w:t xml:space="preserve"> </w:t>
      </w:r>
      <w:r w:rsidR="00E06F94">
        <w:rPr>
          <w:b/>
        </w:rPr>
        <w:t>civil</w:t>
      </w:r>
      <w:r w:rsidR="003455F1">
        <w:rPr>
          <w:b/>
        </w:rPr>
        <w:t xml:space="preserve"> </w:t>
      </w:r>
      <w:r w:rsidR="00E06F94">
        <w:rPr>
          <w:b/>
        </w:rPr>
        <w:t>society</w:t>
      </w:r>
      <w:r w:rsidR="003455F1">
        <w:rPr>
          <w:b/>
        </w:rPr>
        <w:t xml:space="preserve"> </w:t>
      </w:r>
      <w:r w:rsidR="00E06F94">
        <w:rPr>
          <w:b/>
        </w:rPr>
        <w:t>organizations,</w:t>
      </w:r>
      <w:r w:rsidR="003455F1">
        <w:rPr>
          <w:b/>
        </w:rPr>
        <w:t xml:space="preserve"> </w:t>
      </w:r>
      <w:r w:rsidR="00E06F94" w:rsidRPr="00DC1185">
        <w:rPr>
          <w:b/>
        </w:rPr>
        <w:t>Indigenous</w:t>
      </w:r>
      <w:r w:rsidR="003455F1">
        <w:rPr>
          <w:b/>
        </w:rPr>
        <w:t xml:space="preserve"> </w:t>
      </w:r>
      <w:r w:rsidR="00E06F94" w:rsidRPr="00DC1185">
        <w:rPr>
          <w:b/>
        </w:rPr>
        <w:t>Peoples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 w:rsidRPr="00DC1185">
        <w:rPr>
          <w:b/>
        </w:rPr>
        <w:t>persons</w:t>
      </w:r>
      <w:r w:rsidR="003455F1">
        <w:rPr>
          <w:b/>
        </w:rPr>
        <w:t xml:space="preserve"> </w:t>
      </w:r>
      <w:r w:rsidR="00E06F94" w:rsidRPr="00DC1185">
        <w:rPr>
          <w:b/>
        </w:rPr>
        <w:t>of</w:t>
      </w:r>
      <w:r w:rsidR="003455F1">
        <w:rPr>
          <w:b/>
        </w:rPr>
        <w:t xml:space="preserve"> </w:t>
      </w:r>
      <w:r w:rsidR="00E06F94" w:rsidRPr="00DC1185">
        <w:rPr>
          <w:b/>
        </w:rPr>
        <w:t>African</w:t>
      </w:r>
      <w:r w:rsidR="003455F1">
        <w:rPr>
          <w:b/>
        </w:rPr>
        <w:t xml:space="preserve"> </w:t>
      </w:r>
      <w:r w:rsidR="00E06F94" w:rsidRPr="00DC1185">
        <w:rPr>
          <w:b/>
        </w:rPr>
        <w:t>descent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most</w:t>
      </w:r>
      <w:r w:rsidR="003455F1">
        <w:rPr>
          <w:b/>
        </w:rPr>
        <w:t xml:space="preserve"> </w:t>
      </w:r>
      <w:r w:rsidR="00E06F94">
        <w:rPr>
          <w:b/>
        </w:rPr>
        <w:t>affected</w:t>
      </w:r>
      <w:r w:rsidR="003455F1">
        <w:rPr>
          <w:b/>
        </w:rPr>
        <w:t xml:space="preserve"> </w:t>
      </w:r>
      <w:r w:rsidR="00E06F94">
        <w:rPr>
          <w:b/>
        </w:rPr>
        <w:t>communities;</w:t>
      </w:r>
    </w:p>
    <w:p w14:paraId="7AFD5D65" w14:textId="0A17D924" w:rsidR="00866BF2" w:rsidRDefault="00AF3493" w:rsidP="00E06F94">
      <w:pPr>
        <w:pStyle w:val="SingleTxtG"/>
      </w:pPr>
      <w:r>
        <w:tab/>
      </w:r>
      <w:r w:rsidR="00E06F94" w:rsidRPr="00BB1B17">
        <w:t>(b)</w:t>
      </w:r>
      <w:r w:rsidR="00E06F94" w:rsidRPr="00BB1B17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legislative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administrative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companies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operate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State</w:t>
      </w:r>
      <w:r w:rsidR="003455F1">
        <w:rPr>
          <w:b/>
        </w:rPr>
        <w:t xml:space="preserve"> </w:t>
      </w:r>
      <w:r w:rsidR="00E06F94">
        <w:rPr>
          <w:b/>
        </w:rPr>
        <w:t>party</w:t>
      </w:r>
      <w:r w:rsidR="003455F1">
        <w:rPr>
          <w:b/>
        </w:rPr>
        <w:t xml:space="preserve"> </w:t>
      </w:r>
      <w:r w:rsidR="00E06F94">
        <w:rPr>
          <w:b/>
        </w:rPr>
        <w:t>conduct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due</w:t>
      </w:r>
      <w:r w:rsidR="003455F1">
        <w:rPr>
          <w:b/>
        </w:rPr>
        <w:t xml:space="preserve"> </w:t>
      </w:r>
      <w:r w:rsidR="00E06F94">
        <w:rPr>
          <w:b/>
        </w:rPr>
        <w:t>diligence</w:t>
      </w:r>
      <w:r w:rsidR="003455F1">
        <w:rPr>
          <w:b/>
        </w:rPr>
        <w:t xml:space="preserve"> </w:t>
      </w:r>
      <w:r w:rsidR="00E06F94">
        <w:rPr>
          <w:b/>
        </w:rPr>
        <w:t>so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activities</w:t>
      </w:r>
      <w:r w:rsidR="003455F1">
        <w:rPr>
          <w:b/>
        </w:rPr>
        <w:t xml:space="preserve"> </w:t>
      </w:r>
      <w:r w:rsidR="00E06F94">
        <w:rPr>
          <w:b/>
        </w:rPr>
        <w:t>from</w:t>
      </w:r>
      <w:r w:rsidR="003455F1">
        <w:rPr>
          <w:b/>
        </w:rPr>
        <w:t xml:space="preserve"> </w:t>
      </w:r>
      <w:r w:rsidR="00E06F94">
        <w:rPr>
          <w:b/>
        </w:rPr>
        <w:t>hindering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exercise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rights;</w:t>
      </w:r>
    </w:p>
    <w:p w14:paraId="7135A146" w14:textId="4F005183" w:rsidR="00E06F94" w:rsidRPr="001F49A2" w:rsidRDefault="00AF3493" w:rsidP="00E06F94">
      <w:pPr>
        <w:pStyle w:val="SingleTxtG"/>
        <w:rPr>
          <w:b/>
          <w:szCs w:val="24"/>
          <w:lang w:val="en-US"/>
        </w:rPr>
      </w:pPr>
      <w:r>
        <w:tab/>
      </w:r>
      <w:r w:rsidR="00E06F94" w:rsidRPr="00BB1B17">
        <w:t>(c)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liability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companies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operate</w:t>
      </w:r>
      <w:r w:rsidR="003455F1">
        <w:rPr>
          <w:b/>
        </w:rPr>
        <w:t xml:space="preserve"> </w:t>
      </w:r>
      <w:r w:rsidR="00E06F94">
        <w:rPr>
          <w:b/>
        </w:rPr>
        <w:t>in,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headquartered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and/or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under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jurisdiction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State</w:t>
      </w:r>
      <w:r w:rsidR="003455F1">
        <w:rPr>
          <w:b/>
        </w:rPr>
        <w:t xml:space="preserve"> </w:t>
      </w:r>
      <w:r w:rsidR="00E06F94">
        <w:rPr>
          <w:b/>
        </w:rPr>
        <w:t>party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violations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resulting</w:t>
      </w:r>
      <w:r w:rsidR="003455F1">
        <w:rPr>
          <w:b/>
        </w:rPr>
        <w:t xml:space="preserve"> </w:t>
      </w:r>
      <w:r w:rsidR="00E06F94">
        <w:rPr>
          <w:b/>
        </w:rPr>
        <w:t>from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activities,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it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reparations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provided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victims;</w:t>
      </w:r>
    </w:p>
    <w:p w14:paraId="2152B5CD" w14:textId="1B850922" w:rsidR="00866BF2" w:rsidRDefault="00AF3493" w:rsidP="00E06F94">
      <w:pPr>
        <w:pStyle w:val="SingleTxtG"/>
      </w:pPr>
      <w:r>
        <w:tab/>
      </w:r>
      <w:r w:rsidR="00E06F94" w:rsidRPr="00BB1B17">
        <w:t>(d)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comment</w:t>
      </w:r>
      <w:r w:rsidR="003455F1">
        <w:rPr>
          <w:b/>
        </w:rPr>
        <w:t xml:space="preserve"> </w:t>
      </w:r>
      <w:r w:rsidR="00E06F94">
        <w:rPr>
          <w:b/>
        </w:rPr>
        <w:t>No.</w:t>
      </w:r>
      <w:r w:rsidR="003455F1">
        <w:rPr>
          <w:b/>
        </w:rPr>
        <w:t xml:space="preserve"> </w:t>
      </w:r>
      <w:r w:rsidR="00E06F94">
        <w:rPr>
          <w:b/>
        </w:rPr>
        <w:t>24</w:t>
      </w:r>
      <w:r w:rsidR="003455F1">
        <w:rPr>
          <w:b/>
        </w:rPr>
        <w:t xml:space="preserve"> </w:t>
      </w:r>
      <w:r w:rsidR="00E06F94">
        <w:rPr>
          <w:b/>
        </w:rPr>
        <w:t>(2017)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State</w:t>
      </w:r>
      <w:r w:rsidR="003455F1">
        <w:rPr>
          <w:b/>
        </w:rPr>
        <w:t xml:space="preserve"> </w:t>
      </w:r>
      <w:r w:rsidR="00E06F94">
        <w:rPr>
          <w:b/>
        </w:rPr>
        <w:t>obligations</w:t>
      </w:r>
      <w:r w:rsidR="003455F1">
        <w:rPr>
          <w:b/>
        </w:rPr>
        <w:t xml:space="preserve"> </w:t>
      </w:r>
      <w:r w:rsidR="00E06F94">
        <w:rPr>
          <w:b/>
        </w:rPr>
        <w:t>under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Covenant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context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business</w:t>
      </w:r>
      <w:r w:rsidR="003455F1">
        <w:rPr>
          <w:b/>
        </w:rPr>
        <w:t xml:space="preserve"> </w:t>
      </w:r>
      <w:r w:rsidR="00E06F94">
        <w:rPr>
          <w:b/>
        </w:rPr>
        <w:t>activities.</w:t>
      </w:r>
    </w:p>
    <w:p w14:paraId="34F0A3D5" w14:textId="2D93010A" w:rsidR="00866BF2" w:rsidRDefault="00EE2153" w:rsidP="00EE2153">
      <w:pPr>
        <w:pStyle w:val="H23G"/>
      </w:pPr>
      <w:r>
        <w:tab/>
      </w:r>
      <w:r>
        <w:tab/>
      </w:r>
      <w:r w:rsidR="00E06F94">
        <w:t>Right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Indigenous</w:t>
      </w:r>
      <w:r w:rsidR="003455F1">
        <w:t xml:space="preserve"> </w:t>
      </w:r>
      <w:r w:rsidR="00E06F94">
        <w:t>Peoples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prior</w:t>
      </w:r>
      <w:r w:rsidR="003455F1">
        <w:t xml:space="preserve"> </w:t>
      </w:r>
      <w:r w:rsidR="00E06F94">
        <w:t>consultation</w:t>
      </w:r>
    </w:p>
    <w:p w14:paraId="3DA08580" w14:textId="0E880E3A" w:rsidR="00E06F94" w:rsidRPr="001F49A2" w:rsidRDefault="00E06F94" w:rsidP="00E06F94">
      <w:pPr>
        <w:pStyle w:val="SingleTxtG"/>
        <w:rPr>
          <w:lang w:val="en-US"/>
        </w:rPr>
      </w:pPr>
      <w:r>
        <w:t>14.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effective</w:t>
      </w:r>
      <w:r w:rsidR="003455F1">
        <w:t xml:space="preserve"> </w:t>
      </w:r>
      <w:r>
        <w:t>legal</w:t>
      </w:r>
      <w:r w:rsidR="003455F1">
        <w:t xml:space="preserve"> </w:t>
      </w:r>
      <w:r>
        <w:t>mechanisms</w:t>
      </w:r>
      <w:r w:rsidR="003455F1">
        <w:t xml:space="preserve"> </w:t>
      </w:r>
      <w:r>
        <w:t>in</w:t>
      </w:r>
      <w:r w:rsidR="003455F1">
        <w:t xml:space="preserve"> </w:t>
      </w:r>
      <w:r>
        <w:t>line</w:t>
      </w:r>
      <w:r w:rsidR="003455F1">
        <w:t xml:space="preserve"> </w:t>
      </w:r>
      <w:r>
        <w:t>with</w:t>
      </w:r>
      <w:r w:rsidR="003455F1">
        <w:t xml:space="preserve"> </w:t>
      </w:r>
      <w:r>
        <w:t>international</w:t>
      </w:r>
      <w:r w:rsidR="003455F1">
        <w:t xml:space="preserve"> </w:t>
      </w:r>
      <w:r>
        <w:t>standards</w:t>
      </w:r>
      <w:r w:rsidR="003455F1">
        <w:t xml:space="preserve"> </w:t>
      </w:r>
      <w:r>
        <w:t>to</w:t>
      </w:r>
      <w:r w:rsidR="003455F1">
        <w:t xml:space="preserve"> </w:t>
      </w:r>
      <w:r>
        <w:t>guarantee</w:t>
      </w:r>
      <w:r w:rsidR="003455F1">
        <w:t xml:space="preserve"> </w:t>
      </w:r>
      <w:r>
        <w:t>that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3455F1">
        <w:t xml:space="preserve"> </w:t>
      </w:r>
      <w:r>
        <w:t>are</w:t>
      </w:r>
      <w:r w:rsidR="003455F1">
        <w:t xml:space="preserve"> </w:t>
      </w:r>
      <w:r>
        <w:t>consulted</w:t>
      </w:r>
      <w:r w:rsidR="003455F1">
        <w:t xml:space="preserve"> </w:t>
      </w:r>
      <w:r>
        <w:t>regarding</w:t>
      </w:r>
      <w:r w:rsidR="003455F1">
        <w:t xml:space="preserve"> </w:t>
      </w:r>
      <w:r>
        <w:t>any</w:t>
      </w:r>
      <w:r w:rsidR="003455F1">
        <w:t xml:space="preserve"> </w:t>
      </w:r>
      <w:r>
        <w:t>legislative</w:t>
      </w:r>
      <w:r w:rsidR="003455F1">
        <w:t xml:space="preserve"> </w:t>
      </w:r>
      <w:r>
        <w:t>or</w:t>
      </w:r>
      <w:r w:rsidR="003455F1">
        <w:t xml:space="preserve"> </w:t>
      </w:r>
      <w:r>
        <w:t>administrative</w:t>
      </w:r>
      <w:r w:rsidR="003455F1">
        <w:t xml:space="preserve"> </w:t>
      </w:r>
      <w:r>
        <w:t>measures</w:t>
      </w:r>
      <w:r w:rsidR="003455F1">
        <w:t xml:space="preserve"> </w:t>
      </w:r>
      <w:r>
        <w:t>likely</w:t>
      </w:r>
      <w:r w:rsidR="003455F1">
        <w:t xml:space="preserve"> </w:t>
      </w:r>
      <w:r>
        <w:t>to</w:t>
      </w:r>
      <w:r w:rsidR="003455F1">
        <w:t xml:space="preserve"> </w:t>
      </w:r>
      <w:r>
        <w:t>affect</w:t>
      </w:r>
      <w:r w:rsidR="003455F1">
        <w:t xml:space="preserve"> </w:t>
      </w:r>
      <w:r>
        <w:t>them.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fact</w:t>
      </w:r>
      <w:r w:rsidR="003455F1">
        <w:t xml:space="preserve"> </w:t>
      </w:r>
      <w:r>
        <w:t>that,</w:t>
      </w:r>
      <w:r w:rsidR="003455F1">
        <w:t xml:space="preserve"> </w:t>
      </w:r>
      <w:r>
        <w:t>despite</w:t>
      </w:r>
      <w:r w:rsidR="003455F1">
        <w:t xml:space="preserve"> </w:t>
      </w:r>
      <w:r>
        <w:t>the</w:t>
      </w:r>
      <w:r w:rsidR="003455F1">
        <w:t xml:space="preserve"> </w:t>
      </w:r>
      <w:r>
        <w:t>efforts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Ministry</w:t>
      </w:r>
      <w:r w:rsidR="003455F1">
        <w:t xml:space="preserve"> </w:t>
      </w:r>
      <w:r>
        <w:t>of</w:t>
      </w:r>
      <w:r w:rsidR="003455F1">
        <w:t xml:space="preserve"> </w:t>
      </w:r>
      <w:r>
        <w:t>Energy</w:t>
      </w:r>
      <w:r w:rsidR="003455F1">
        <w:t xml:space="preserve"> </w:t>
      </w:r>
      <w:r>
        <w:t>and</w:t>
      </w:r>
      <w:r w:rsidR="003455F1">
        <w:t xml:space="preserve"> </w:t>
      </w:r>
      <w:r>
        <w:t>Mines</w:t>
      </w:r>
      <w:r w:rsidR="003455F1">
        <w:t xml:space="preserve"> </w:t>
      </w:r>
      <w:r>
        <w:t>to</w:t>
      </w:r>
      <w:r w:rsidR="003455F1">
        <w:t xml:space="preserve"> </w:t>
      </w:r>
      <w:r>
        <w:t>hold</w:t>
      </w:r>
      <w:r w:rsidR="003455F1">
        <w:t xml:space="preserve"> </w:t>
      </w:r>
      <w:r w:rsidR="00866BF2">
        <w:t>“</w:t>
      </w:r>
      <w:r>
        <w:t>remedial</w:t>
      </w:r>
      <w:r w:rsidR="00866BF2">
        <w:t>”</w:t>
      </w:r>
      <w:r w:rsidR="003455F1">
        <w:t xml:space="preserve"> </w:t>
      </w:r>
      <w:r>
        <w:t>consultations</w:t>
      </w:r>
      <w:r w:rsidR="003455F1">
        <w:t xml:space="preserve"> </w:t>
      </w:r>
      <w:r>
        <w:t>pursuant</w:t>
      </w:r>
      <w:r w:rsidR="003455F1">
        <w:t xml:space="preserve"> </w:t>
      </w:r>
      <w:r>
        <w:t>to</w:t>
      </w:r>
      <w:r w:rsidR="003455F1">
        <w:t xml:space="preserve"> </w:t>
      </w:r>
      <w:r>
        <w:t>judgments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Constitutional</w:t>
      </w:r>
      <w:r w:rsidR="003455F1">
        <w:t xml:space="preserve"> </w:t>
      </w:r>
      <w:r>
        <w:t>Court,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continues</w:t>
      </w:r>
      <w:r w:rsidR="003455F1">
        <w:t xml:space="preserve"> </w:t>
      </w:r>
      <w:r>
        <w:t>to</w:t>
      </w:r>
      <w:r w:rsidR="003455F1">
        <w:t xml:space="preserve"> </w:t>
      </w:r>
      <w:r>
        <w:t>grant</w:t>
      </w:r>
      <w:r w:rsidR="003455F1">
        <w:t xml:space="preserve"> </w:t>
      </w:r>
      <w:r>
        <w:t>concessions</w:t>
      </w:r>
      <w:r w:rsidR="003455F1">
        <w:t xml:space="preserve"> </w:t>
      </w:r>
      <w:r>
        <w:t>for</w:t>
      </w:r>
      <w:r w:rsidR="003455F1">
        <w:t xml:space="preserve"> </w:t>
      </w:r>
      <w:r>
        <w:t>natural</w:t>
      </w:r>
      <w:r w:rsidR="003455F1">
        <w:t xml:space="preserve"> </w:t>
      </w:r>
      <w:r>
        <w:t>resource</w:t>
      </w:r>
      <w:r w:rsidR="003455F1">
        <w:t xml:space="preserve"> </w:t>
      </w:r>
      <w:r>
        <w:t>exploitation</w:t>
      </w:r>
      <w:r w:rsidR="003455F1">
        <w:t xml:space="preserve"> </w:t>
      </w:r>
      <w:r>
        <w:t>projects</w:t>
      </w:r>
      <w:r w:rsidR="003455F1">
        <w:t xml:space="preserve"> </w:t>
      </w:r>
      <w:r>
        <w:t>without</w:t>
      </w:r>
      <w:r w:rsidR="003455F1">
        <w:t xml:space="preserve"> </w:t>
      </w:r>
      <w:r>
        <w:t>engaging</w:t>
      </w:r>
      <w:r w:rsidR="003455F1">
        <w:t xml:space="preserve"> </w:t>
      </w:r>
      <w:r>
        <w:t>in</w:t>
      </w:r>
      <w:r w:rsidR="003455F1">
        <w:t xml:space="preserve"> </w:t>
      </w:r>
      <w:r>
        <w:t>consultations</w:t>
      </w:r>
      <w:r w:rsidR="003455F1">
        <w:t xml:space="preserve"> </w:t>
      </w:r>
      <w:r>
        <w:t>aimed</w:t>
      </w:r>
      <w:r w:rsidR="003455F1">
        <w:t xml:space="preserve"> </w:t>
      </w:r>
      <w:r>
        <w:t>at</w:t>
      </w:r>
      <w:r w:rsidR="003455F1">
        <w:t xml:space="preserve"> </w:t>
      </w:r>
      <w:r>
        <w:t>obtaining</w:t>
      </w:r>
      <w:r w:rsidR="003455F1">
        <w:t xml:space="preserve"> </w:t>
      </w:r>
      <w:r>
        <w:t>the</w:t>
      </w:r>
      <w:r w:rsidR="003455F1">
        <w:t xml:space="preserve"> </w:t>
      </w:r>
      <w:r>
        <w:t>free,</w:t>
      </w:r>
      <w:r w:rsidR="003455F1">
        <w:t xml:space="preserve"> </w:t>
      </w:r>
      <w:r>
        <w:t>prior</w:t>
      </w:r>
      <w:r w:rsidR="003455F1">
        <w:t xml:space="preserve"> </w:t>
      </w:r>
      <w:r>
        <w:t>and</w:t>
      </w:r>
      <w:r w:rsidR="003455F1">
        <w:t xml:space="preserve"> </w:t>
      </w:r>
      <w:r>
        <w:t>informed</w:t>
      </w:r>
      <w:r w:rsidR="003455F1">
        <w:t xml:space="preserve"> </w:t>
      </w:r>
      <w:r>
        <w:t>consent</w:t>
      </w:r>
      <w:r w:rsidR="003455F1">
        <w:t xml:space="preserve"> </w:t>
      </w:r>
      <w:r>
        <w:t>of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3455F1">
        <w:t xml:space="preserve"> </w:t>
      </w:r>
      <w:r>
        <w:t>or</w:t>
      </w:r>
      <w:r w:rsidR="003455F1">
        <w:t xml:space="preserve"> </w:t>
      </w:r>
      <w:r>
        <w:t>conducting</w:t>
      </w:r>
      <w:r w:rsidR="003455F1">
        <w:t xml:space="preserve"> </w:t>
      </w:r>
      <w:r>
        <w:t>social,</w:t>
      </w:r>
      <w:r w:rsidR="003455F1">
        <w:t xml:space="preserve"> </w:t>
      </w:r>
      <w:r>
        <w:t>environmental</w:t>
      </w:r>
      <w:r w:rsidR="003455F1">
        <w:t xml:space="preserve"> </w:t>
      </w:r>
      <w:r>
        <w:t>and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impact</w:t>
      </w:r>
      <w:r w:rsidR="003455F1">
        <w:t xml:space="preserve"> </w:t>
      </w:r>
      <w:r>
        <w:t>studies</w:t>
      </w:r>
      <w:r w:rsidR="003455F1">
        <w:t xml:space="preserve"> </w:t>
      </w:r>
      <w:r>
        <w:t>(art.</w:t>
      </w:r>
      <w:r w:rsidR="003455F1">
        <w:t xml:space="preserve"> </w:t>
      </w:r>
      <w:r>
        <w:t>1).</w:t>
      </w:r>
    </w:p>
    <w:p w14:paraId="742315EE" w14:textId="164D226C" w:rsidR="00866BF2" w:rsidRDefault="00E06F94" w:rsidP="00E06F94">
      <w:pPr>
        <w:pStyle w:val="SingleTxtG"/>
      </w:pPr>
      <w:r>
        <w:t>15.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736AA98A" w14:textId="4A98684D" w:rsidR="00866BF2" w:rsidRDefault="00AF3493" w:rsidP="00E06F94">
      <w:pPr>
        <w:pStyle w:val="SingleTxtG"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consultation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taking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characteristics,</w:t>
      </w:r>
      <w:r w:rsidR="003455F1">
        <w:rPr>
          <w:b/>
        </w:rPr>
        <w:t xml:space="preserve"> </w:t>
      </w:r>
      <w:r w:rsidR="00E06F94">
        <w:rPr>
          <w:b/>
        </w:rPr>
        <w:t>ways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customs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each</w:t>
      </w:r>
      <w:r w:rsidR="003455F1">
        <w:rPr>
          <w:b/>
        </w:rPr>
        <w:t xml:space="preserve"> </w:t>
      </w:r>
      <w:r w:rsidR="00E06F94">
        <w:rPr>
          <w:b/>
        </w:rPr>
        <w:t>People,</w:t>
      </w:r>
      <w:r w:rsidR="003455F1">
        <w:rPr>
          <w:b/>
        </w:rPr>
        <w:t xml:space="preserve"> </w:t>
      </w:r>
      <w:r w:rsidR="00E06F94">
        <w:rPr>
          <w:b/>
        </w:rPr>
        <w:t>develop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implement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law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effective,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legally</w:t>
      </w:r>
      <w:r w:rsidR="003455F1">
        <w:rPr>
          <w:b/>
        </w:rPr>
        <w:t xml:space="preserve"> </w:t>
      </w:r>
      <w:r w:rsidR="00E06F94">
        <w:rPr>
          <w:b/>
        </w:rPr>
        <w:t>binding</w:t>
      </w:r>
      <w:r w:rsidR="003455F1">
        <w:rPr>
          <w:b/>
        </w:rPr>
        <w:t xml:space="preserve"> </w:t>
      </w:r>
      <w:r w:rsidR="00E06F94">
        <w:rPr>
          <w:b/>
        </w:rPr>
        <w:t>protocols,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clear</w:t>
      </w:r>
      <w:r w:rsidR="003455F1">
        <w:rPr>
          <w:b/>
        </w:rPr>
        <w:t xml:space="preserve"> </w:t>
      </w:r>
      <w:r w:rsidR="00E06F94">
        <w:rPr>
          <w:b/>
        </w:rPr>
        <w:t>requirements</w:t>
      </w:r>
      <w:r w:rsidR="003455F1">
        <w:rPr>
          <w:b/>
        </w:rPr>
        <w:t xml:space="preserve"> </w:t>
      </w:r>
      <w:r w:rsidR="00E06F94">
        <w:rPr>
          <w:b/>
        </w:rPr>
        <w:t>regarding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form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consultations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 w:rsidRPr="005A119D">
        <w:rPr>
          <w:b/>
        </w:rPr>
        <w:t>representation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Peoples,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full</w:t>
      </w:r>
      <w:r w:rsidR="003455F1">
        <w:rPr>
          <w:b/>
        </w:rPr>
        <w:t xml:space="preserve"> </w:t>
      </w:r>
      <w:r w:rsidR="00E06F94">
        <w:rPr>
          <w:b/>
        </w:rPr>
        <w:t>respect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right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be</w:t>
      </w:r>
      <w:r w:rsidR="003455F1">
        <w:rPr>
          <w:b/>
        </w:rPr>
        <w:t xml:space="preserve"> </w:t>
      </w:r>
      <w:r w:rsidR="00E06F94">
        <w:rPr>
          <w:b/>
        </w:rPr>
        <w:t>consulted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obtain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free,</w:t>
      </w:r>
      <w:r w:rsidR="003455F1">
        <w:rPr>
          <w:b/>
        </w:rPr>
        <w:t xml:space="preserve"> </w:t>
      </w:r>
      <w:r w:rsidR="00E06F94">
        <w:rPr>
          <w:b/>
        </w:rPr>
        <w:t>prior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informed</w:t>
      </w:r>
      <w:r w:rsidR="003455F1">
        <w:rPr>
          <w:b/>
        </w:rPr>
        <w:t xml:space="preserve"> </w:t>
      </w:r>
      <w:r w:rsidR="00E06F94">
        <w:rPr>
          <w:b/>
        </w:rPr>
        <w:t>consent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relation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decisions</w:t>
      </w:r>
      <w:r w:rsidR="003455F1">
        <w:rPr>
          <w:b/>
        </w:rPr>
        <w:t xml:space="preserve"> </w:t>
      </w:r>
      <w:r w:rsidR="00E06F94">
        <w:rPr>
          <w:b/>
        </w:rPr>
        <w:t>likely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affect</w:t>
      </w:r>
      <w:r w:rsidR="003455F1">
        <w:rPr>
          <w:b/>
        </w:rPr>
        <w:t xml:space="preserve"> </w:t>
      </w:r>
      <w:r w:rsidR="00E06F94">
        <w:rPr>
          <w:b/>
        </w:rPr>
        <w:t>them;</w:t>
      </w:r>
    </w:p>
    <w:p w14:paraId="6A65CAAF" w14:textId="00CE98C7" w:rsidR="00866BF2" w:rsidRDefault="00AF3493" w:rsidP="00E06F94">
      <w:pPr>
        <w:pStyle w:val="SingleTxtG"/>
      </w:pPr>
      <w:r>
        <w:tab/>
      </w:r>
      <w:r w:rsidR="00E06F94" w:rsidRPr="00BB1B17">
        <w:t>(b)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administrative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guarantee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prior</w:t>
      </w:r>
      <w:r w:rsidR="003455F1">
        <w:rPr>
          <w:b/>
        </w:rPr>
        <w:t xml:space="preserve"> </w:t>
      </w:r>
      <w:r w:rsidR="00E06F94">
        <w:rPr>
          <w:b/>
        </w:rPr>
        <w:t>consultations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conducted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systematic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transparent</w:t>
      </w:r>
      <w:r w:rsidR="003455F1">
        <w:rPr>
          <w:b/>
        </w:rPr>
        <w:t xml:space="preserve"> </w:t>
      </w:r>
      <w:r w:rsidR="00E06F94">
        <w:rPr>
          <w:b/>
        </w:rPr>
        <w:t>manner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obtain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free,</w:t>
      </w:r>
      <w:r w:rsidR="003455F1">
        <w:rPr>
          <w:b/>
        </w:rPr>
        <w:t xml:space="preserve"> </w:t>
      </w:r>
      <w:r w:rsidR="00E06F94">
        <w:rPr>
          <w:b/>
        </w:rPr>
        <w:t>prior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informed</w:t>
      </w:r>
      <w:r w:rsidR="003455F1">
        <w:rPr>
          <w:b/>
        </w:rPr>
        <w:t xml:space="preserve"> </w:t>
      </w:r>
      <w:r w:rsidR="00E06F94">
        <w:rPr>
          <w:b/>
        </w:rPr>
        <w:t>consent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regard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decisions</w:t>
      </w:r>
      <w:r w:rsidR="003455F1">
        <w:rPr>
          <w:b/>
        </w:rPr>
        <w:t xml:space="preserve"> </w:t>
      </w:r>
      <w:r w:rsidR="00E06F94">
        <w:rPr>
          <w:b/>
        </w:rPr>
        <w:t>likely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lastRenderedPageBreak/>
        <w:t>affect</w:t>
      </w:r>
      <w:r w:rsidR="003455F1">
        <w:rPr>
          <w:b/>
        </w:rPr>
        <w:t xml:space="preserve"> </w:t>
      </w:r>
      <w:r w:rsidR="00E06F94">
        <w:rPr>
          <w:b/>
        </w:rPr>
        <w:t>them,</w:t>
      </w:r>
      <w:r w:rsidR="003455F1">
        <w:rPr>
          <w:b/>
        </w:rPr>
        <w:t xml:space="preserve"> </w:t>
      </w:r>
      <w:r w:rsidR="00E06F94">
        <w:rPr>
          <w:b/>
        </w:rPr>
        <w:t>especially</w:t>
      </w:r>
      <w:r w:rsidR="003455F1">
        <w:rPr>
          <w:b/>
        </w:rPr>
        <w:t xml:space="preserve"> </w:t>
      </w:r>
      <w:r w:rsidR="00E06F94">
        <w:rPr>
          <w:b/>
        </w:rPr>
        <w:t>before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granting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licences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conduct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</w:t>
      </w:r>
      <w:r w:rsidR="003455F1">
        <w:rPr>
          <w:b/>
        </w:rPr>
        <w:t xml:space="preserve"> </w:t>
      </w:r>
      <w:r w:rsidR="00E06F94">
        <w:rPr>
          <w:b/>
        </w:rPr>
        <w:t>activities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territories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they</w:t>
      </w:r>
      <w:r w:rsidR="003455F1">
        <w:rPr>
          <w:b/>
        </w:rPr>
        <w:t xml:space="preserve"> </w:t>
      </w:r>
      <w:r w:rsidR="00E06F94">
        <w:rPr>
          <w:b/>
        </w:rPr>
        <w:t>have</w:t>
      </w:r>
      <w:r w:rsidR="003455F1">
        <w:rPr>
          <w:b/>
        </w:rPr>
        <w:t xml:space="preserve"> </w:t>
      </w:r>
      <w:r w:rsidR="00E06F94">
        <w:rPr>
          <w:b/>
        </w:rPr>
        <w:t>traditionally</w:t>
      </w:r>
      <w:r w:rsidR="003455F1">
        <w:rPr>
          <w:b/>
        </w:rPr>
        <w:t xml:space="preserve"> </w:t>
      </w:r>
      <w:r w:rsidR="00E06F94">
        <w:rPr>
          <w:b/>
        </w:rPr>
        <w:t>possessed,</w:t>
      </w:r>
      <w:r w:rsidR="003455F1">
        <w:rPr>
          <w:b/>
        </w:rPr>
        <w:t xml:space="preserve"> </w:t>
      </w:r>
      <w:r w:rsidR="00E06F94">
        <w:rPr>
          <w:b/>
        </w:rPr>
        <w:t>occupied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used;</w:t>
      </w:r>
    </w:p>
    <w:p w14:paraId="2EE5AA60" w14:textId="1374A16F" w:rsidR="00866BF2" w:rsidRDefault="00AF3493" w:rsidP="00E06F94">
      <w:pPr>
        <w:pStyle w:val="SingleTxtG"/>
      </w:pPr>
      <w:r>
        <w:tab/>
      </w:r>
      <w:r w:rsidR="00E06F94" w:rsidRPr="00BB1B17">
        <w:t>(c)</w:t>
      </w:r>
      <w:r w:rsidR="00E06F94">
        <w:tab/>
      </w:r>
      <w:r w:rsidR="00E06F94">
        <w:rPr>
          <w:b/>
        </w:rPr>
        <w:t>Systematically</w:t>
      </w:r>
      <w:r w:rsidR="003455F1">
        <w:rPr>
          <w:b/>
        </w:rPr>
        <w:t xml:space="preserve"> </w:t>
      </w:r>
      <w:r w:rsidR="00E06F94">
        <w:rPr>
          <w:b/>
        </w:rPr>
        <w:t>incorporate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prior</w:t>
      </w:r>
      <w:r w:rsidR="003455F1">
        <w:rPr>
          <w:b/>
        </w:rPr>
        <w:t xml:space="preserve"> </w:t>
      </w:r>
      <w:r w:rsidR="00E06F94">
        <w:rPr>
          <w:b/>
        </w:rPr>
        <w:t>consultation</w:t>
      </w:r>
      <w:r w:rsidR="003455F1">
        <w:rPr>
          <w:b/>
        </w:rPr>
        <w:t xml:space="preserve"> </w:t>
      </w:r>
      <w:r w:rsidR="00E06F94">
        <w:rPr>
          <w:b/>
        </w:rPr>
        <w:t>process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conduct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independent</w:t>
      </w:r>
      <w:r w:rsidR="003455F1">
        <w:rPr>
          <w:b/>
        </w:rPr>
        <w:t xml:space="preserve"> </w:t>
      </w:r>
      <w:r w:rsidR="00E06F94">
        <w:rPr>
          <w:b/>
        </w:rPr>
        <w:t>studies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potential</w:t>
      </w:r>
      <w:r w:rsidR="003455F1">
        <w:rPr>
          <w:b/>
        </w:rPr>
        <w:t xml:space="preserve"> </w:t>
      </w:r>
      <w:r w:rsidR="00E06F94">
        <w:rPr>
          <w:b/>
        </w:rPr>
        <w:t>social,</w:t>
      </w:r>
      <w:r w:rsidR="003455F1">
        <w:rPr>
          <w:b/>
        </w:rPr>
        <w:t xml:space="preserve"> </w:t>
      </w:r>
      <w:r w:rsidR="00E06F94">
        <w:rPr>
          <w:b/>
        </w:rPr>
        <w:t>environmental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impact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economic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natural</w:t>
      </w:r>
      <w:r w:rsidR="003455F1">
        <w:rPr>
          <w:b/>
        </w:rPr>
        <w:t xml:space="preserve"> </w:t>
      </w:r>
      <w:r w:rsidR="00E06F94">
        <w:rPr>
          <w:b/>
        </w:rPr>
        <w:t>resource</w:t>
      </w:r>
      <w:r w:rsidR="003455F1">
        <w:rPr>
          <w:b/>
        </w:rPr>
        <w:t xml:space="preserve"> </w:t>
      </w:r>
      <w:r w:rsidR="00E06F94">
        <w:rPr>
          <w:b/>
        </w:rPr>
        <w:t>exploitation</w:t>
      </w:r>
      <w:r w:rsidR="003455F1">
        <w:rPr>
          <w:b/>
        </w:rPr>
        <w:t xml:space="preserve"> </w:t>
      </w:r>
      <w:r w:rsidR="00E06F94">
        <w:rPr>
          <w:b/>
        </w:rPr>
        <w:t>projects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settlements</w:t>
      </w:r>
      <w:r w:rsidR="003455F1">
        <w:rPr>
          <w:b/>
        </w:rPr>
        <w:t xml:space="preserve"> </w:t>
      </w:r>
      <w:r w:rsidR="00E06F94">
        <w:rPr>
          <w:b/>
        </w:rPr>
        <w:t>concerned,</w:t>
      </w:r>
      <w:r w:rsidR="003455F1">
        <w:rPr>
          <w:b/>
        </w:rPr>
        <w:t xml:space="preserve"> </w:t>
      </w:r>
      <w:r w:rsidR="00E06F94">
        <w:rPr>
          <w:b/>
        </w:rPr>
        <w:t>publish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results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those</w:t>
      </w:r>
      <w:r w:rsidR="003455F1">
        <w:rPr>
          <w:b/>
        </w:rPr>
        <w:t xml:space="preserve"> </w:t>
      </w:r>
      <w:r w:rsidR="00E06F94">
        <w:rPr>
          <w:b/>
        </w:rPr>
        <w:t>studies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agreements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implementation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such</w:t>
      </w:r>
      <w:r w:rsidR="003455F1">
        <w:rPr>
          <w:b/>
        </w:rPr>
        <w:t xml:space="preserve"> </w:t>
      </w:r>
      <w:r w:rsidR="00E06F94">
        <w:rPr>
          <w:b/>
        </w:rPr>
        <w:t>projects</w:t>
      </w:r>
      <w:r w:rsidR="003455F1">
        <w:rPr>
          <w:b/>
        </w:rPr>
        <w:t xml:space="preserve"> </w:t>
      </w:r>
      <w:r w:rsidR="00E06F94">
        <w:rPr>
          <w:b/>
        </w:rPr>
        <w:t>contain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mitigate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impact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rights,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well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sufficient</w:t>
      </w:r>
      <w:r w:rsidR="003455F1">
        <w:rPr>
          <w:b/>
        </w:rPr>
        <w:t xml:space="preserve"> </w:t>
      </w:r>
      <w:r w:rsidR="00E06F94">
        <w:rPr>
          <w:b/>
        </w:rPr>
        <w:t>compensation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concerned;</w:t>
      </w:r>
    </w:p>
    <w:p w14:paraId="328509CA" w14:textId="110D8C15" w:rsidR="00866BF2" w:rsidRDefault="00AF3493" w:rsidP="00E06F94">
      <w:pPr>
        <w:pStyle w:val="SingleTxtG"/>
      </w:pPr>
      <w:r>
        <w:tab/>
      </w:r>
      <w:r w:rsidR="00E06F94" w:rsidRPr="00BB1B17">
        <w:t>(d)</w:t>
      </w:r>
      <w:r w:rsidR="00E06F94" w:rsidRPr="00BC2702">
        <w:rPr>
          <w:b/>
        </w:rPr>
        <w:tab/>
      </w:r>
      <w:r w:rsidR="00E06F94">
        <w:rPr>
          <w:b/>
        </w:rPr>
        <w:t>Bear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mind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international</w:t>
      </w:r>
      <w:r w:rsidR="003455F1">
        <w:rPr>
          <w:b/>
        </w:rPr>
        <w:t xml:space="preserve"> </w:t>
      </w:r>
      <w:r w:rsidR="00E06F94">
        <w:rPr>
          <w:b/>
        </w:rPr>
        <w:t>obligations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commitments</w:t>
      </w:r>
      <w:r w:rsidR="003455F1">
        <w:rPr>
          <w:b/>
        </w:rPr>
        <w:t xml:space="preserve"> </w:t>
      </w:r>
      <w:r w:rsidR="00E06F94">
        <w:rPr>
          <w:b/>
        </w:rPr>
        <w:t>stemming</w:t>
      </w:r>
      <w:r w:rsidR="003455F1">
        <w:rPr>
          <w:b/>
        </w:rPr>
        <w:t xml:space="preserve"> </w:t>
      </w:r>
      <w:r w:rsidR="00E06F94">
        <w:rPr>
          <w:b/>
        </w:rPr>
        <w:t>from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ratification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International</w:t>
      </w:r>
      <w:r w:rsidR="003455F1">
        <w:rPr>
          <w:b/>
        </w:rPr>
        <w:t xml:space="preserve"> </w:t>
      </w:r>
      <w:r w:rsidR="00E06F94">
        <w:rPr>
          <w:b/>
        </w:rPr>
        <w:t>Labour</w:t>
      </w:r>
      <w:r w:rsidR="003455F1">
        <w:rPr>
          <w:b/>
        </w:rPr>
        <w:t xml:space="preserve"> </w:t>
      </w:r>
      <w:r w:rsidR="00E06F94">
        <w:rPr>
          <w:b/>
        </w:rPr>
        <w:t>Organization</w:t>
      </w:r>
      <w:r w:rsidR="003455F1">
        <w:rPr>
          <w:b/>
        </w:rPr>
        <w:t xml:space="preserve"> </w:t>
      </w:r>
      <w:r w:rsidR="00E06F94">
        <w:rPr>
          <w:b/>
        </w:rPr>
        <w:t>(ILO)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Tribal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Convention,</w:t>
      </w:r>
      <w:r w:rsidR="003455F1">
        <w:rPr>
          <w:b/>
        </w:rPr>
        <w:t xml:space="preserve"> </w:t>
      </w:r>
      <w:r w:rsidR="00E06F94">
        <w:rPr>
          <w:b/>
        </w:rPr>
        <w:t>1989</w:t>
      </w:r>
      <w:r w:rsidR="003455F1">
        <w:rPr>
          <w:b/>
        </w:rPr>
        <w:t xml:space="preserve"> </w:t>
      </w:r>
      <w:r w:rsidR="00E06F94">
        <w:rPr>
          <w:b/>
        </w:rPr>
        <w:t>(No.</w:t>
      </w:r>
      <w:r w:rsidR="003455F1">
        <w:rPr>
          <w:b/>
        </w:rPr>
        <w:t xml:space="preserve"> </w:t>
      </w:r>
      <w:r w:rsidR="00E06F94">
        <w:rPr>
          <w:b/>
        </w:rPr>
        <w:t>169)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endorsement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United</w:t>
      </w:r>
      <w:r w:rsidR="003455F1">
        <w:rPr>
          <w:b/>
        </w:rPr>
        <w:t xml:space="preserve"> </w:t>
      </w:r>
      <w:r w:rsidR="00E06F94">
        <w:rPr>
          <w:b/>
        </w:rPr>
        <w:t>Nations</w:t>
      </w:r>
      <w:r w:rsidR="003455F1">
        <w:rPr>
          <w:b/>
        </w:rPr>
        <w:t xml:space="preserve"> </w:t>
      </w:r>
      <w:r w:rsidR="00E06F94">
        <w:rPr>
          <w:b/>
        </w:rPr>
        <w:t>Declaration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other</w:t>
      </w:r>
      <w:r w:rsidR="003455F1">
        <w:rPr>
          <w:b/>
        </w:rPr>
        <w:t xml:space="preserve"> </w:t>
      </w:r>
      <w:r w:rsidR="00E06F94">
        <w:rPr>
          <w:b/>
        </w:rPr>
        <w:t>relevant</w:t>
      </w:r>
      <w:r w:rsidR="003455F1">
        <w:rPr>
          <w:b/>
        </w:rPr>
        <w:t xml:space="preserve"> </w:t>
      </w:r>
      <w:r w:rsidR="00E06F94">
        <w:rPr>
          <w:b/>
        </w:rPr>
        <w:t>international</w:t>
      </w:r>
      <w:r w:rsidR="003455F1">
        <w:rPr>
          <w:b/>
        </w:rPr>
        <w:t xml:space="preserve"> </w:t>
      </w:r>
      <w:r w:rsidR="00E06F94">
        <w:rPr>
          <w:b/>
        </w:rPr>
        <w:t>standards.</w:t>
      </w:r>
    </w:p>
    <w:p w14:paraId="5D01320A" w14:textId="2AF94237" w:rsidR="00E06F94" w:rsidRPr="001F49A2" w:rsidRDefault="00AF3493" w:rsidP="00AF3493">
      <w:pPr>
        <w:pStyle w:val="H23G"/>
        <w:rPr>
          <w:lang w:val="en-US"/>
        </w:rPr>
      </w:pPr>
      <w:r>
        <w:tab/>
      </w:r>
      <w:r>
        <w:tab/>
      </w:r>
      <w:r w:rsidR="00E06F94">
        <w:t>Maximum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available</w:t>
      </w:r>
      <w:r w:rsidR="003455F1">
        <w:t xml:space="preserve"> </w:t>
      </w:r>
      <w:r w:rsidR="00E06F94">
        <w:t>resources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inequality</w:t>
      </w:r>
    </w:p>
    <w:p w14:paraId="11E99469" w14:textId="2AB56D64" w:rsidR="00E06F94" w:rsidRPr="001F49A2" w:rsidRDefault="00E06F94" w:rsidP="00E06F94">
      <w:pPr>
        <w:pStyle w:val="SingleTxtG"/>
        <w:rPr>
          <w:lang w:val="en-US"/>
        </w:rPr>
      </w:pPr>
      <w:r>
        <w:t>16.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the</w:t>
      </w:r>
      <w:r w:rsidR="003455F1">
        <w:t xml:space="preserve"> </w:t>
      </w:r>
      <w:r>
        <w:t>considerable</w:t>
      </w:r>
      <w:r w:rsidR="003455F1">
        <w:t xml:space="preserve"> </w:t>
      </w:r>
      <w:r>
        <w:t>inequality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party,</w:t>
      </w:r>
      <w:r w:rsidR="003455F1">
        <w:t xml:space="preserve"> </w:t>
      </w:r>
      <w:r>
        <w:t>which</w:t>
      </w:r>
      <w:r w:rsidR="003455F1">
        <w:t xml:space="preserve"> </w:t>
      </w:r>
      <w:r>
        <w:t>is</w:t>
      </w:r>
      <w:r w:rsidR="003455F1">
        <w:t xml:space="preserve"> </w:t>
      </w:r>
      <w:r>
        <w:t>worsened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regressive</w:t>
      </w:r>
      <w:r w:rsidR="003455F1">
        <w:t xml:space="preserve"> </w:t>
      </w:r>
      <w:r>
        <w:t>nature</w:t>
      </w:r>
      <w:r w:rsidR="003455F1">
        <w:t xml:space="preserve"> </w:t>
      </w:r>
      <w:r>
        <w:t>of</w:t>
      </w:r>
      <w:r w:rsidR="003455F1">
        <w:t xml:space="preserve"> </w:t>
      </w:r>
      <w:r>
        <w:t>a</w:t>
      </w:r>
      <w:r w:rsidR="003455F1">
        <w:t xml:space="preserve"> </w:t>
      </w:r>
      <w:r>
        <w:t>tax</w:t>
      </w:r>
      <w:r w:rsidR="003455F1">
        <w:t xml:space="preserve"> </w:t>
      </w:r>
      <w:r>
        <w:t>system</w:t>
      </w:r>
      <w:r w:rsidR="003455F1">
        <w:t xml:space="preserve"> </w:t>
      </w:r>
      <w:r>
        <w:t>that</w:t>
      </w:r>
      <w:r w:rsidR="003455F1">
        <w:t xml:space="preserve"> </w:t>
      </w:r>
      <w:r>
        <w:t>relies</w:t>
      </w:r>
      <w:r w:rsidR="003455F1">
        <w:t xml:space="preserve"> </w:t>
      </w:r>
      <w:r>
        <w:t>disproportionately</w:t>
      </w:r>
      <w:r w:rsidR="003455F1">
        <w:t xml:space="preserve"> </w:t>
      </w:r>
      <w:r>
        <w:t>on</w:t>
      </w:r>
      <w:r w:rsidR="003455F1">
        <w:t xml:space="preserve"> </w:t>
      </w:r>
      <w:r>
        <w:t>indirect</w:t>
      </w:r>
      <w:r w:rsidR="003455F1">
        <w:t xml:space="preserve"> </w:t>
      </w:r>
      <w:r>
        <w:t>taxes.</w:t>
      </w:r>
      <w:r w:rsidR="003455F1">
        <w:t xml:space="preserve"> </w:t>
      </w:r>
      <w:r>
        <w:t>Furthermore,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remains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low</w:t>
      </w:r>
      <w:r w:rsidR="003455F1">
        <w:t xml:space="preserve"> </w:t>
      </w:r>
      <w:r>
        <w:t>rates</w:t>
      </w:r>
      <w:r w:rsidR="003455F1">
        <w:t xml:space="preserve"> </w:t>
      </w:r>
      <w:r>
        <w:t>of</w:t>
      </w:r>
      <w:r w:rsidR="003455F1">
        <w:t xml:space="preserve"> </w:t>
      </w:r>
      <w:r>
        <w:t>tax</w:t>
      </w:r>
      <w:r w:rsidR="003455F1">
        <w:t xml:space="preserve"> </w:t>
      </w:r>
      <w:r>
        <w:t>collection,</w:t>
      </w:r>
      <w:r w:rsidR="003455F1">
        <w:t xml:space="preserve"> </w:t>
      </w:r>
      <w:r>
        <w:t>which</w:t>
      </w:r>
      <w:r w:rsidR="003455F1">
        <w:t xml:space="preserve"> </w:t>
      </w:r>
      <w:r>
        <w:t>continues</w:t>
      </w:r>
      <w:r w:rsidR="003455F1">
        <w:t xml:space="preserve"> </w:t>
      </w:r>
      <w:r>
        <w:t>to</w:t>
      </w:r>
      <w:r w:rsidR="003455F1">
        <w:t xml:space="preserve"> </w:t>
      </w:r>
      <w:r>
        <w:t>grossly</w:t>
      </w:r>
      <w:r w:rsidR="003455F1">
        <w:t xml:space="preserve"> </w:t>
      </w:r>
      <w:r>
        <w:t>limit</w:t>
      </w:r>
      <w:r w:rsidR="003455F1">
        <w:t xml:space="preserve"> </w:t>
      </w:r>
      <w:r>
        <w:t>social</w:t>
      </w:r>
      <w:r w:rsidR="003455F1">
        <w:t xml:space="preserve"> </w:t>
      </w:r>
      <w:r>
        <w:t>spending</w:t>
      </w:r>
      <w:r w:rsidR="003455F1">
        <w:t xml:space="preserve"> </w:t>
      </w:r>
      <w:r>
        <w:t>(art.</w:t>
      </w:r>
      <w:r w:rsidR="003455F1">
        <w:t xml:space="preserve"> </w:t>
      </w:r>
      <w:r>
        <w:t>2).</w:t>
      </w:r>
    </w:p>
    <w:p w14:paraId="48EF2D67" w14:textId="00596FD3" w:rsidR="00E06F94" w:rsidRPr="001F49A2" w:rsidRDefault="00E06F94" w:rsidP="00E06F94">
      <w:pPr>
        <w:pStyle w:val="SingleTxtG"/>
        <w:rPr>
          <w:b/>
          <w:lang w:val="en-US"/>
        </w:rPr>
      </w:pPr>
      <w:r>
        <w:t>17.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reiterates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earlier</w:t>
      </w:r>
      <w:r w:rsidR="003455F1">
        <w:rPr>
          <w:b/>
        </w:rPr>
        <w:t xml:space="preserve"> </w:t>
      </w:r>
      <w:r>
        <w:rPr>
          <w:b/>
        </w:rPr>
        <w:t>recommendation</w:t>
      </w:r>
      <w:r w:rsidRPr="00866BF2">
        <w:rPr>
          <w:rStyle w:val="FootnoteReference"/>
        </w:rPr>
        <w:footnoteReference w:id="6"/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redouble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efforts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pursue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tax</w:t>
      </w:r>
      <w:r w:rsidR="003455F1">
        <w:rPr>
          <w:b/>
        </w:rPr>
        <w:t xml:space="preserve"> </w:t>
      </w:r>
      <w:r>
        <w:rPr>
          <w:b/>
        </w:rPr>
        <w:t>policy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adequate,</w:t>
      </w:r>
      <w:r w:rsidR="003455F1">
        <w:rPr>
          <w:b/>
        </w:rPr>
        <w:t xml:space="preserve"> </w:t>
      </w:r>
      <w:r>
        <w:rPr>
          <w:b/>
        </w:rPr>
        <w:t>progressive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socially</w:t>
      </w:r>
      <w:r w:rsidR="003455F1">
        <w:rPr>
          <w:b/>
        </w:rPr>
        <w:t xml:space="preserve"> </w:t>
      </w:r>
      <w:r>
        <w:rPr>
          <w:b/>
        </w:rPr>
        <w:t>equitable</w:t>
      </w:r>
      <w:r w:rsidR="003455F1">
        <w:rPr>
          <w:b/>
        </w:rPr>
        <w:t xml:space="preserve"> </w:t>
      </w:r>
      <w:r>
        <w:rPr>
          <w:b/>
        </w:rPr>
        <w:t>so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combat</w:t>
      </w:r>
      <w:r w:rsidR="003455F1">
        <w:rPr>
          <w:b/>
        </w:rPr>
        <w:t xml:space="preserve"> </w:t>
      </w:r>
      <w:r>
        <w:rPr>
          <w:b/>
        </w:rPr>
        <w:t>economic</w:t>
      </w:r>
      <w:r w:rsidR="003455F1">
        <w:rPr>
          <w:b/>
        </w:rPr>
        <w:t xml:space="preserve"> </w:t>
      </w:r>
      <w:r>
        <w:rPr>
          <w:b/>
        </w:rPr>
        <w:t>inequalities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improve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availability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resources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implementing</w:t>
      </w:r>
      <w:r w:rsidR="003455F1">
        <w:rPr>
          <w:b/>
        </w:rPr>
        <w:t xml:space="preserve"> </w:t>
      </w:r>
      <w:r>
        <w:rPr>
          <w:b/>
        </w:rPr>
        <w:t>economic,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cultural</w:t>
      </w:r>
      <w:r w:rsidR="003455F1">
        <w:rPr>
          <w:b/>
        </w:rPr>
        <w:t xml:space="preserve"> </w:t>
      </w:r>
      <w:r>
        <w:rPr>
          <w:b/>
        </w:rPr>
        <w:t>rights.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energetically</w:t>
      </w:r>
      <w:r w:rsidR="003455F1">
        <w:rPr>
          <w:b/>
        </w:rPr>
        <w:t xml:space="preserve"> </w:t>
      </w:r>
      <w:r>
        <w:rPr>
          <w:b/>
        </w:rPr>
        <w:t>combat</w:t>
      </w:r>
      <w:r w:rsidR="003455F1">
        <w:rPr>
          <w:b/>
        </w:rPr>
        <w:t xml:space="preserve"> </w:t>
      </w:r>
      <w:r>
        <w:rPr>
          <w:b/>
        </w:rPr>
        <w:t>tax</w:t>
      </w:r>
      <w:r w:rsidR="003455F1">
        <w:rPr>
          <w:b/>
        </w:rPr>
        <w:t xml:space="preserve"> </w:t>
      </w:r>
      <w:r>
        <w:rPr>
          <w:b/>
        </w:rPr>
        <w:t>evasion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tax</w:t>
      </w:r>
      <w:r w:rsidR="003455F1">
        <w:rPr>
          <w:b/>
        </w:rPr>
        <w:t xml:space="preserve"> </w:t>
      </w:r>
      <w:r>
        <w:rPr>
          <w:b/>
        </w:rPr>
        <w:t>fraud</w:t>
      </w:r>
      <w:r w:rsidR="003455F1">
        <w:rPr>
          <w:b/>
        </w:rPr>
        <w:t xml:space="preserve"> </w:t>
      </w:r>
      <w:r>
        <w:rPr>
          <w:b/>
        </w:rPr>
        <w:t>by,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instance,</w:t>
      </w:r>
      <w:r w:rsidR="003455F1">
        <w:rPr>
          <w:b/>
        </w:rPr>
        <w:t xml:space="preserve"> </w:t>
      </w:r>
      <w:r>
        <w:rPr>
          <w:b/>
        </w:rPr>
        <w:t>strengthening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Office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Superintendent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Tax</w:t>
      </w:r>
      <w:r w:rsidR="003455F1">
        <w:rPr>
          <w:b/>
        </w:rPr>
        <w:t xml:space="preserve"> </w:t>
      </w:r>
      <w:r>
        <w:rPr>
          <w:b/>
        </w:rPr>
        <w:t>Administration.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both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reform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reinforce</w:t>
      </w:r>
      <w:r w:rsidR="003455F1">
        <w:rPr>
          <w:b/>
        </w:rPr>
        <w:t xml:space="preserve"> </w:t>
      </w:r>
      <w:r>
        <w:rPr>
          <w:b/>
        </w:rPr>
        <w:t>fiscal</w:t>
      </w:r>
      <w:r w:rsidR="003455F1">
        <w:rPr>
          <w:b/>
        </w:rPr>
        <w:t xml:space="preserve"> </w:t>
      </w:r>
      <w:r>
        <w:rPr>
          <w:b/>
        </w:rPr>
        <w:t>policy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budget</w:t>
      </w:r>
      <w:r w:rsidR="003455F1">
        <w:rPr>
          <w:b/>
        </w:rPr>
        <w:t xml:space="preserve"> </w:t>
      </w:r>
      <w:r>
        <w:rPr>
          <w:b/>
        </w:rPr>
        <w:t>allocation</w:t>
      </w:r>
      <w:r w:rsidR="003455F1">
        <w:rPr>
          <w:b/>
        </w:rPr>
        <w:t xml:space="preserve"> </w:t>
      </w:r>
      <w:r>
        <w:rPr>
          <w:b/>
        </w:rPr>
        <w:t>process</w:t>
      </w:r>
      <w:r w:rsidR="003455F1">
        <w:rPr>
          <w:b/>
        </w:rPr>
        <w:t xml:space="preserve"> </w:t>
      </w:r>
      <w:r>
        <w:rPr>
          <w:b/>
        </w:rPr>
        <w:t>be</w:t>
      </w:r>
      <w:r w:rsidR="003455F1">
        <w:rPr>
          <w:b/>
        </w:rPr>
        <w:t xml:space="preserve"> </w:t>
      </w:r>
      <w:r>
        <w:rPr>
          <w:b/>
        </w:rPr>
        <w:t>conducted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transparent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participatory</w:t>
      </w:r>
      <w:r w:rsidR="003455F1">
        <w:rPr>
          <w:b/>
        </w:rPr>
        <w:t xml:space="preserve"> </w:t>
      </w:r>
      <w:r>
        <w:rPr>
          <w:b/>
        </w:rPr>
        <w:t>manner.</w:t>
      </w:r>
    </w:p>
    <w:p w14:paraId="1AAD972C" w14:textId="1FFEC81D" w:rsidR="00E06F94" w:rsidRPr="001F49A2" w:rsidRDefault="00AF3493" w:rsidP="00AF3493">
      <w:pPr>
        <w:pStyle w:val="H23G"/>
        <w:rPr>
          <w:lang w:val="en-US"/>
        </w:rPr>
      </w:pPr>
      <w:r>
        <w:tab/>
      </w:r>
      <w:r>
        <w:tab/>
      </w:r>
      <w:r w:rsidR="00E06F94">
        <w:t>Non-discrimination</w:t>
      </w:r>
    </w:p>
    <w:p w14:paraId="108D22CB" w14:textId="027AAC8C" w:rsidR="00E06F94" w:rsidRPr="001F49A2" w:rsidRDefault="00E06F94" w:rsidP="00E06F94">
      <w:pPr>
        <w:pStyle w:val="SingleTxtG"/>
        <w:rPr>
          <w:lang w:val="en-US"/>
        </w:rPr>
      </w:pPr>
      <w:r>
        <w:t>18.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persistence</w:t>
      </w:r>
      <w:r w:rsidR="003455F1">
        <w:t xml:space="preserve"> </w:t>
      </w:r>
      <w:r>
        <w:t>of</w:t>
      </w:r>
      <w:r w:rsidR="003455F1">
        <w:t xml:space="preserve"> </w:t>
      </w:r>
      <w:r>
        <w:t>discrimination</w:t>
      </w:r>
      <w:r w:rsidR="003455F1">
        <w:t xml:space="preserve"> </w:t>
      </w:r>
      <w:r>
        <w:t>against</w:t>
      </w:r>
      <w:r w:rsidR="003455F1">
        <w:t xml:space="preserve"> </w:t>
      </w:r>
      <w:r w:rsidRPr="00DC1185">
        <w:t>Indigenous</w:t>
      </w:r>
      <w:r w:rsidR="003455F1">
        <w:t xml:space="preserve"> </w:t>
      </w:r>
      <w:r w:rsidRPr="00DC1185">
        <w:t>Peoples</w:t>
      </w:r>
      <w:r w:rsidR="003455F1">
        <w:t xml:space="preserve"> </w:t>
      </w:r>
      <w:r w:rsidRPr="00DC1185">
        <w:t>and</w:t>
      </w:r>
      <w:r w:rsidR="003455F1">
        <w:t xml:space="preserve"> </w:t>
      </w:r>
      <w:r w:rsidRPr="00DC1185">
        <w:t>persons</w:t>
      </w:r>
      <w:r w:rsidR="003455F1">
        <w:t xml:space="preserve"> </w:t>
      </w:r>
      <w:r w:rsidRPr="00DC1185">
        <w:t>of</w:t>
      </w:r>
      <w:r w:rsidR="003455F1">
        <w:t xml:space="preserve"> </w:t>
      </w:r>
      <w:r w:rsidRPr="00DC1185">
        <w:t>African</w:t>
      </w:r>
      <w:r w:rsidR="003455F1">
        <w:t xml:space="preserve"> </w:t>
      </w:r>
      <w:r w:rsidRPr="00DC1185">
        <w:t>descent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enjoyment</w:t>
      </w:r>
      <w:r w:rsidR="003455F1">
        <w:t xml:space="preserve"> </w:t>
      </w:r>
      <w:r>
        <w:t>of</w:t>
      </w:r>
      <w:r w:rsidR="003455F1">
        <w:t xml:space="preserve"> </w:t>
      </w:r>
      <w:r>
        <w:t>their</w:t>
      </w:r>
      <w:r w:rsidR="003455F1">
        <w:t xml:space="preserve"> </w:t>
      </w:r>
      <w:r>
        <w:t>economic,</w:t>
      </w:r>
      <w:r w:rsidR="003455F1">
        <w:t xml:space="preserve"> </w:t>
      </w:r>
      <w:r>
        <w:t>social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rights.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persons</w:t>
      </w:r>
      <w:r w:rsidR="003455F1">
        <w:t xml:space="preserve"> </w:t>
      </w:r>
      <w:r>
        <w:t>with</w:t>
      </w:r>
      <w:r w:rsidR="003455F1">
        <w:t xml:space="preserve"> </w:t>
      </w:r>
      <w:r>
        <w:t>disabilities,</w:t>
      </w:r>
      <w:r w:rsidR="003455F1">
        <w:t xml:space="preserve"> </w:t>
      </w:r>
      <w:r>
        <w:t>as</w:t>
      </w:r>
      <w:r w:rsidR="003455F1">
        <w:t xml:space="preserve"> </w:t>
      </w:r>
      <w:r>
        <w:t>well</w:t>
      </w:r>
      <w:r w:rsidR="003455F1">
        <w:t xml:space="preserve"> </w:t>
      </w:r>
      <w:r>
        <w:t>as</w:t>
      </w:r>
      <w:r w:rsidR="003455F1">
        <w:t xml:space="preserve"> </w:t>
      </w:r>
      <w:r>
        <w:t>lesbian,</w:t>
      </w:r>
      <w:r w:rsidR="003455F1">
        <w:t xml:space="preserve"> </w:t>
      </w:r>
      <w:r>
        <w:t>gay,</w:t>
      </w:r>
      <w:r w:rsidR="003455F1">
        <w:t xml:space="preserve"> </w:t>
      </w:r>
      <w:r>
        <w:t>bisexual,</w:t>
      </w:r>
      <w:r w:rsidR="003455F1">
        <w:t xml:space="preserve"> </w:t>
      </w:r>
      <w:r>
        <w:t>transgender</w:t>
      </w:r>
      <w:r w:rsidR="003455F1">
        <w:t xml:space="preserve"> </w:t>
      </w:r>
      <w:r>
        <w:t>and</w:t>
      </w:r>
      <w:r w:rsidR="003455F1">
        <w:t xml:space="preserve"> </w:t>
      </w:r>
      <w:r>
        <w:t>intersex</w:t>
      </w:r>
      <w:r w:rsidR="003455F1">
        <w:t xml:space="preserve"> </w:t>
      </w:r>
      <w:r>
        <w:t>persons,</w:t>
      </w:r>
      <w:r w:rsidR="003455F1">
        <w:t xml:space="preserve"> </w:t>
      </w:r>
      <w:r>
        <w:t>continue</w:t>
      </w:r>
      <w:r w:rsidR="003455F1">
        <w:t xml:space="preserve"> </w:t>
      </w:r>
      <w:r>
        <w:t>to</w:t>
      </w:r>
      <w:r w:rsidR="003455F1">
        <w:t xml:space="preserve"> </w:t>
      </w:r>
      <w:r>
        <w:t>be</w:t>
      </w:r>
      <w:r w:rsidR="003455F1">
        <w:t xml:space="preserve"> </w:t>
      </w:r>
      <w:r>
        <w:t>subjected</w:t>
      </w:r>
      <w:r w:rsidR="003455F1">
        <w:t xml:space="preserve"> </w:t>
      </w:r>
      <w:r>
        <w:t>to</w:t>
      </w:r>
      <w:r w:rsidR="003455F1">
        <w:t xml:space="preserve"> </w:t>
      </w:r>
      <w:r>
        <w:t>stigmatization</w:t>
      </w:r>
      <w:r w:rsidR="003455F1">
        <w:t xml:space="preserve"> </w:t>
      </w:r>
      <w:r>
        <w:t>and</w:t>
      </w:r>
      <w:r w:rsidR="003455F1">
        <w:t xml:space="preserve"> </w:t>
      </w:r>
      <w:r>
        <w:t>discrimination,</w:t>
      </w:r>
      <w:r w:rsidR="003455F1">
        <w:t xml:space="preserve"> </w:t>
      </w:r>
      <w:r>
        <w:t>thus</w:t>
      </w:r>
      <w:r w:rsidR="003455F1">
        <w:t xml:space="preserve"> </w:t>
      </w:r>
      <w:r>
        <w:t>preventing</w:t>
      </w:r>
      <w:r w:rsidR="003455F1">
        <w:t xml:space="preserve"> </w:t>
      </w:r>
      <w:r>
        <w:t>them</w:t>
      </w:r>
      <w:r w:rsidR="003455F1">
        <w:t xml:space="preserve"> </w:t>
      </w:r>
      <w:r>
        <w:t>from</w:t>
      </w:r>
      <w:r w:rsidR="003455F1">
        <w:t xml:space="preserve"> </w:t>
      </w:r>
      <w:r>
        <w:t>enjoying</w:t>
      </w:r>
      <w:r w:rsidR="003455F1">
        <w:t xml:space="preserve"> </w:t>
      </w:r>
      <w:r>
        <w:t>their</w:t>
      </w:r>
      <w:r w:rsidR="003455F1">
        <w:t xml:space="preserve"> </w:t>
      </w:r>
      <w:r>
        <w:t>economic,</w:t>
      </w:r>
      <w:r w:rsidR="003455F1">
        <w:t xml:space="preserve"> </w:t>
      </w:r>
      <w:r>
        <w:t>social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</w:t>
      </w:r>
      <w:r w:rsidR="003455F1">
        <w:t xml:space="preserve"> </w:t>
      </w:r>
      <w:r>
        <w:t>on</w:t>
      </w:r>
      <w:r w:rsidR="003455F1">
        <w:t xml:space="preserve"> </w:t>
      </w:r>
      <w:r>
        <w:t>an</w:t>
      </w:r>
      <w:r w:rsidR="003455F1">
        <w:t xml:space="preserve"> </w:t>
      </w:r>
      <w:r>
        <w:t>equal</w:t>
      </w:r>
      <w:r w:rsidR="003455F1">
        <w:t xml:space="preserve"> </w:t>
      </w:r>
      <w:r>
        <w:t>basis</w:t>
      </w:r>
      <w:r w:rsidR="003455F1">
        <w:t xml:space="preserve"> </w:t>
      </w:r>
      <w:r>
        <w:t>with</w:t>
      </w:r>
      <w:r w:rsidR="003455F1">
        <w:t xml:space="preserve"> </w:t>
      </w:r>
      <w:r>
        <w:t>others.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further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bill</w:t>
      </w:r>
      <w:r w:rsidR="003455F1">
        <w:t xml:space="preserve"> </w:t>
      </w:r>
      <w:r>
        <w:t>No.</w:t>
      </w:r>
      <w:r w:rsidR="003455F1">
        <w:t xml:space="preserve"> </w:t>
      </w:r>
      <w:r>
        <w:t>5940</w:t>
      </w:r>
      <w:r w:rsidR="003455F1">
        <w:t xml:space="preserve"> </w:t>
      </w:r>
      <w:r>
        <w:t>on</w:t>
      </w:r>
      <w:r w:rsidR="003455F1">
        <w:t xml:space="preserve"> </w:t>
      </w:r>
      <w:r>
        <w:t>guaranteeing</w:t>
      </w:r>
      <w:r w:rsidR="003455F1">
        <w:t xml:space="preserve"> </w:t>
      </w:r>
      <w:r>
        <w:t>comprehensive</w:t>
      </w:r>
      <w:r w:rsidR="003455F1">
        <w:t xml:space="preserve"> </w:t>
      </w:r>
      <w:r>
        <w:t>protection</w:t>
      </w:r>
      <w:r w:rsidR="003455F1">
        <w:t xml:space="preserve"> </w:t>
      </w:r>
      <w:r>
        <w:t>for</w:t>
      </w:r>
      <w:r w:rsidR="003455F1">
        <w:t xml:space="preserve"> </w:t>
      </w:r>
      <w:r>
        <w:t>children</w:t>
      </w:r>
      <w:r w:rsidR="003455F1">
        <w:t xml:space="preserve"> </w:t>
      </w:r>
      <w:r>
        <w:t>and</w:t>
      </w:r>
      <w:r w:rsidR="003455F1">
        <w:t xml:space="preserve"> </w:t>
      </w:r>
      <w:r>
        <w:t>adolescents</w:t>
      </w:r>
      <w:r w:rsidR="003455F1">
        <w:t xml:space="preserve"> </w:t>
      </w:r>
      <w:r>
        <w:t>against</w:t>
      </w:r>
      <w:r w:rsidR="003455F1">
        <w:t xml:space="preserve"> </w:t>
      </w:r>
      <w:r>
        <w:t>gender</w:t>
      </w:r>
      <w:r w:rsidR="003455F1">
        <w:t xml:space="preserve"> </w:t>
      </w:r>
      <w:r>
        <w:t>identity</w:t>
      </w:r>
      <w:r w:rsidR="003455F1">
        <w:t xml:space="preserve"> </w:t>
      </w:r>
      <w:r>
        <w:t>disorders,</w:t>
      </w:r>
      <w:r w:rsidR="003455F1">
        <w:t xml:space="preserve"> </w:t>
      </w:r>
      <w:r>
        <w:t>which</w:t>
      </w:r>
      <w:r w:rsidR="003455F1">
        <w:t xml:space="preserve"> </w:t>
      </w:r>
      <w:r>
        <w:t>was</w:t>
      </w:r>
      <w:r w:rsidR="003455F1">
        <w:t xml:space="preserve"> </w:t>
      </w:r>
      <w:r>
        <w:t>submitted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Congress,</w:t>
      </w:r>
      <w:r w:rsidR="003455F1">
        <w:t xml:space="preserve"> </w:t>
      </w:r>
      <w:r>
        <w:t>will</w:t>
      </w:r>
      <w:r w:rsidR="003455F1">
        <w:t xml:space="preserve"> </w:t>
      </w:r>
      <w:r>
        <w:t>contribute</w:t>
      </w:r>
      <w:r w:rsidR="003455F1">
        <w:t xml:space="preserve"> </w:t>
      </w:r>
      <w:r>
        <w:t>to</w:t>
      </w:r>
      <w:r w:rsidR="003455F1">
        <w:t xml:space="preserve"> </w:t>
      </w:r>
      <w:r>
        <w:t>reinforcing</w:t>
      </w:r>
      <w:r w:rsidR="003455F1">
        <w:t xml:space="preserve"> </w:t>
      </w:r>
      <w:r>
        <w:t>the</w:t>
      </w:r>
      <w:r w:rsidR="003455F1">
        <w:t xml:space="preserve"> </w:t>
      </w:r>
      <w:r>
        <w:t>stigma</w:t>
      </w:r>
      <w:r w:rsidR="003455F1">
        <w:t xml:space="preserve"> </w:t>
      </w:r>
      <w:r>
        <w:t>faced</w:t>
      </w:r>
      <w:r w:rsidR="003455F1">
        <w:t xml:space="preserve"> </w:t>
      </w:r>
      <w:r>
        <w:t>by</w:t>
      </w:r>
      <w:r w:rsidR="003455F1">
        <w:t xml:space="preserve"> </w:t>
      </w:r>
      <w:r>
        <w:t>lesbian,</w:t>
      </w:r>
      <w:r w:rsidR="003455F1">
        <w:t xml:space="preserve"> </w:t>
      </w:r>
      <w:r>
        <w:t>gay,</w:t>
      </w:r>
      <w:r w:rsidR="003455F1">
        <w:t xml:space="preserve"> </w:t>
      </w:r>
      <w:r>
        <w:t>bisexual,</w:t>
      </w:r>
      <w:r w:rsidR="003455F1">
        <w:t xml:space="preserve"> </w:t>
      </w:r>
      <w:r>
        <w:t>transgender</w:t>
      </w:r>
      <w:r w:rsidR="003455F1">
        <w:t xml:space="preserve"> </w:t>
      </w:r>
      <w:r>
        <w:t>and</w:t>
      </w:r>
      <w:r w:rsidR="003455F1">
        <w:t xml:space="preserve"> </w:t>
      </w:r>
      <w:r>
        <w:t>intersex</w:t>
      </w:r>
      <w:r w:rsidR="003455F1">
        <w:t xml:space="preserve"> </w:t>
      </w:r>
      <w:r>
        <w:t>persons</w:t>
      </w:r>
      <w:r w:rsidR="003455F1">
        <w:t xml:space="preserve"> </w:t>
      </w:r>
      <w:r>
        <w:t>(art.</w:t>
      </w:r>
      <w:r w:rsidR="003455F1">
        <w:t xml:space="preserve"> </w:t>
      </w:r>
      <w:r>
        <w:t>2</w:t>
      </w:r>
      <w:r w:rsidR="003455F1">
        <w:t xml:space="preserve"> </w:t>
      </w:r>
      <w:r>
        <w:t>(2)).</w:t>
      </w:r>
    </w:p>
    <w:p w14:paraId="7520022B" w14:textId="262E61AF" w:rsidR="00866BF2" w:rsidRDefault="00E06F94" w:rsidP="00E06F94">
      <w:pPr>
        <w:pStyle w:val="SingleTxtG"/>
      </w:pPr>
      <w:r>
        <w:t>19.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65DB1AA5" w14:textId="1D3B0826" w:rsidR="00866BF2" w:rsidRDefault="00AF3493" w:rsidP="00E06F94">
      <w:pPr>
        <w:pStyle w:val="SingleTxtG"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comprehensive</w:t>
      </w:r>
      <w:r w:rsidR="003455F1">
        <w:rPr>
          <w:b/>
        </w:rPr>
        <w:t xml:space="preserve"> </w:t>
      </w:r>
      <w:r w:rsidR="00E06F94">
        <w:rPr>
          <w:b/>
        </w:rPr>
        <w:t>law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non-discrimination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provides</w:t>
      </w:r>
      <w:r w:rsidR="003455F1">
        <w:rPr>
          <w:b/>
        </w:rPr>
        <w:t xml:space="preserve"> </w:t>
      </w:r>
      <w:r w:rsidR="00E06F94">
        <w:rPr>
          <w:b/>
        </w:rPr>
        <w:t>sufficient</w:t>
      </w:r>
      <w:r w:rsidR="003455F1">
        <w:rPr>
          <w:b/>
        </w:rPr>
        <w:t xml:space="preserve"> </w:t>
      </w:r>
      <w:r w:rsidR="00E06F94">
        <w:rPr>
          <w:b/>
        </w:rPr>
        <w:t>protection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keeping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article</w:t>
      </w:r>
      <w:r w:rsidR="003455F1">
        <w:rPr>
          <w:b/>
        </w:rPr>
        <w:t xml:space="preserve"> </w:t>
      </w:r>
      <w:r w:rsidR="00E06F94">
        <w:rPr>
          <w:b/>
        </w:rPr>
        <w:t>2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Covenant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that:</w:t>
      </w:r>
      <w:r w:rsidR="003455F1">
        <w:rPr>
          <w:b/>
        </w:rPr>
        <w:t xml:space="preserve"> </w:t>
      </w:r>
      <w:r w:rsidR="00E06F94">
        <w:rPr>
          <w:b/>
        </w:rPr>
        <w:t>(i)</w:t>
      </w:r>
      <w:r w:rsidR="003455F1">
        <w:rPr>
          <w:b/>
        </w:rPr>
        <w:t xml:space="preserve"> </w:t>
      </w:r>
      <w:r w:rsidR="00E06F94">
        <w:rPr>
          <w:b/>
        </w:rPr>
        <w:t>explicitly</w:t>
      </w:r>
      <w:r w:rsidR="003455F1">
        <w:rPr>
          <w:b/>
        </w:rPr>
        <w:t xml:space="preserve"> </w:t>
      </w:r>
      <w:r w:rsidR="00E06F94">
        <w:rPr>
          <w:b/>
        </w:rPr>
        <w:t>includes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prohibited</w:t>
      </w:r>
      <w:r w:rsidR="003455F1">
        <w:rPr>
          <w:b/>
        </w:rPr>
        <w:t xml:space="preserve"> </w:t>
      </w:r>
      <w:r w:rsidR="00E06F94">
        <w:rPr>
          <w:b/>
        </w:rPr>
        <w:t>grounds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enumerated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article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comment</w:t>
      </w:r>
      <w:r w:rsidR="003455F1">
        <w:rPr>
          <w:b/>
        </w:rPr>
        <w:t xml:space="preserve"> </w:t>
      </w:r>
      <w:r w:rsidR="00E06F94">
        <w:rPr>
          <w:b/>
        </w:rPr>
        <w:t>No.</w:t>
      </w:r>
      <w:r w:rsidR="003455F1">
        <w:rPr>
          <w:b/>
        </w:rPr>
        <w:t xml:space="preserve"> </w:t>
      </w:r>
      <w:r w:rsidR="00E06F94">
        <w:rPr>
          <w:b/>
        </w:rPr>
        <w:t>20</w:t>
      </w:r>
      <w:r w:rsidR="003455F1">
        <w:rPr>
          <w:b/>
        </w:rPr>
        <w:t xml:space="preserve"> </w:t>
      </w:r>
      <w:r w:rsidR="00E06F94">
        <w:rPr>
          <w:b/>
        </w:rPr>
        <w:t>(2009)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non-discrimination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economic,</w:t>
      </w:r>
      <w:r w:rsidR="003455F1">
        <w:rPr>
          <w:b/>
        </w:rPr>
        <w:t xml:space="preserve"> </w:t>
      </w:r>
      <w:r w:rsidR="00E06F94">
        <w:rPr>
          <w:b/>
        </w:rPr>
        <w:t>social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cultural</w:t>
      </w:r>
      <w:r w:rsidR="003455F1">
        <w:rPr>
          <w:b/>
        </w:rPr>
        <w:t xml:space="preserve"> </w:t>
      </w:r>
      <w:r w:rsidR="00E06F94">
        <w:rPr>
          <w:b/>
        </w:rPr>
        <w:t>rights;</w:t>
      </w:r>
      <w:r w:rsidR="003455F1">
        <w:t xml:space="preserve"> </w:t>
      </w:r>
      <w:r w:rsidR="00E06F94">
        <w:rPr>
          <w:b/>
        </w:rPr>
        <w:t>(ii)</w:t>
      </w:r>
      <w:r w:rsidR="003455F1">
        <w:rPr>
          <w:b/>
        </w:rPr>
        <w:t xml:space="preserve"> </w:t>
      </w:r>
      <w:r w:rsidR="00E06F94">
        <w:rPr>
          <w:b/>
        </w:rPr>
        <w:t>defines</w:t>
      </w:r>
      <w:r w:rsidR="003455F1">
        <w:rPr>
          <w:b/>
        </w:rPr>
        <w:t xml:space="preserve"> </w:t>
      </w:r>
      <w:r w:rsidR="00E06F94">
        <w:rPr>
          <w:b/>
        </w:rPr>
        <w:t>direct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indirect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line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State</w:t>
      </w:r>
      <w:r w:rsidR="003455F1">
        <w:rPr>
          <w:b/>
        </w:rPr>
        <w:t xml:space="preserve"> </w:t>
      </w:r>
      <w:r w:rsidR="00E06F94">
        <w:rPr>
          <w:b/>
        </w:rPr>
        <w:t>party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obligations</w:t>
      </w:r>
      <w:r w:rsidR="003455F1">
        <w:rPr>
          <w:b/>
        </w:rPr>
        <w:t xml:space="preserve"> </w:t>
      </w:r>
      <w:r w:rsidR="00E06F94">
        <w:rPr>
          <w:b/>
        </w:rPr>
        <w:t>under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Covenant;</w:t>
      </w:r>
      <w:r w:rsidR="003455F1">
        <w:t xml:space="preserve"> </w:t>
      </w:r>
      <w:r w:rsidR="00E06F94">
        <w:rPr>
          <w:b/>
        </w:rPr>
        <w:t>(iii)</w:t>
      </w:r>
      <w:r w:rsidR="003455F1">
        <w:rPr>
          <w:b/>
        </w:rPr>
        <w:t xml:space="preserve"> </w:t>
      </w:r>
      <w:r w:rsidR="00E06F94">
        <w:rPr>
          <w:b/>
        </w:rPr>
        <w:t>prohibits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public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private</w:t>
      </w:r>
      <w:r w:rsidR="003455F1">
        <w:rPr>
          <w:b/>
        </w:rPr>
        <w:t xml:space="preserve"> </w:t>
      </w:r>
      <w:r w:rsidR="00E06F94">
        <w:rPr>
          <w:b/>
        </w:rPr>
        <w:t>spheres</w:t>
      </w:r>
      <w:r w:rsidR="003455F1">
        <w:rPr>
          <w:b/>
        </w:rPr>
        <w:t xml:space="preserve"> </w:t>
      </w:r>
      <w:r w:rsidR="00E06F94">
        <w:rPr>
          <w:b/>
        </w:rPr>
        <w:t>alike;</w:t>
      </w:r>
      <w:r w:rsidR="003455F1"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(iv)</w:t>
      </w:r>
      <w:r w:rsidR="003455F1">
        <w:rPr>
          <w:b/>
        </w:rPr>
        <w:t xml:space="preserve"> </w:t>
      </w:r>
      <w:r w:rsidR="00E06F94">
        <w:rPr>
          <w:b/>
        </w:rPr>
        <w:t>establishes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judicial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administrative</w:t>
      </w:r>
      <w:r w:rsidR="003455F1">
        <w:rPr>
          <w:b/>
        </w:rPr>
        <w:t xml:space="preserve"> </w:t>
      </w:r>
      <w:r w:rsidR="00E06F94">
        <w:rPr>
          <w:b/>
        </w:rPr>
        <w:t>mechanisms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guard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discrimination,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introduction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provisions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reparations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cases;</w:t>
      </w:r>
    </w:p>
    <w:p w14:paraId="3276FACC" w14:textId="128FEB0C" w:rsidR="00866BF2" w:rsidRDefault="00AF3493" w:rsidP="00E06F94">
      <w:pPr>
        <w:pStyle w:val="SingleTxtG"/>
      </w:pPr>
      <w:r>
        <w:tab/>
      </w:r>
      <w:r w:rsidR="00E06F94" w:rsidRPr="00BB1B17">
        <w:t>(b)</w:t>
      </w:r>
      <w:r w:rsidR="00E06F94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measures,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affirmative</w:t>
      </w:r>
      <w:r w:rsidR="003455F1">
        <w:rPr>
          <w:b/>
        </w:rPr>
        <w:t xml:space="preserve"> </w:t>
      </w:r>
      <w:r w:rsidR="00E06F94">
        <w:rPr>
          <w:b/>
        </w:rPr>
        <w:t>action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awareness-raising</w:t>
      </w:r>
      <w:r w:rsidR="003455F1">
        <w:rPr>
          <w:b/>
        </w:rPr>
        <w:t xml:space="preserve"> </w:t>
      </w:r>
      <w:r w:rsidR="00E06F94">
        <w:rPr>
          <w:b/>
        </w:rPr>
        <w:t>campaigns,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combat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persistent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disadvantaged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marginalized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groups,</w:t>
      </w:r>
      <w:r w:rsidR="003455F1">
        <w:rPr>
          <w:b/>
        </w:rPr>
        <w:t xml:space="preserve"> </w:t>
      </w:r>
      <w:r w:rsidR="00E06F94">
        <w:rPr>
          <w:b/>
        </w:rPr>
        <w:t>particularly</w:t>
      </w:r>
      <w:r w:rsidR="003455F1">
        <w:rPr>
          <w:b/>
        </w:rPr>
        <w:t xml:space="preserve"> </w:t>
      </w:r>
      <w:r w:rsidR="00E06F94" w:rsidRPr="00DC1185">
        <w:rPr>
          <w:b/>
        </w:rPr>
        <w:t>Indigenous</w:t>
      </w:r>
      <w:r w:rsidR="003455F1">
        <w:rPr>
          <w:b/>
        </w:rPr>
        <w:t xml:space="preserve"> </w:t>
      </w:r>
      <w:r w:rsidR="00E06F94" w:rsidRPr="00DC1185">
        <w:rPr>
          <w:b/>
        </w:rPr>
        <w:t>Peoples</w:t>
      </w:r>
      <w:r w:rsidR="003455F1">
        <w:rPr>
          <w:b/>
        </w:rPr>
        <w:t xml:space="preserve"> </w:t>
      </w:r>
      <w:r w:rsidR="00E06F94" w:rsidRPr="00DC1185">
        <w:rPr>
          <w:b/>
        </w:rPr>
        <w:lastRenderedPageBreak/>
        <w:t>and</w:t>
      </w:r>
      <w:r w:rsidR="003455F1">
        <w:rPr>
          <w:b/>
        </w:rPr>
        <w:t xml:space="preserve"> </w:t>
      </w:r>
      <w:r w:rsidR="00E06F94" w:rsidRPr="00DC1185">
        <w:rPr>
          <w:b/>
        </w:rPr>
        <w:t>persons</w:t>
      </w:r>
      <w:r w:rsidR="003455F1">
        <w:rPr>
          <w:b/>
        </w:rPr>
        <w:t xml:space="preserve"> </w:t>
      </w:r>
      <w:r w:rsidR="00E06F94" w:rsidRPr="00DC1185">
        <w:rPr>
          <w:b/>
        </w:rPr>
        <w:t>of</w:t>
      </w:r>
      <w:r w:rsidR="003455F1">
        <w:rPr>
          <w:b/>
        </w:rPr>
        <w:t xml:space="preserve"> </w:t>
      </w:r>
      <w:r w:rsidR="00E06F94" w:rsidRPr="00DC1185">
        <w:rPr>
          <w:b/>
        </w:rPr>
        <w:t>African</w:t>
      </w:r>
      <w:r w:rsidR="003455F1">
        <w:rPr>
          <w:b/>
        </w:rPr>
        <w:t xml:space="preserve"> </w:t>
      </w:r>
      <w:r w:rsidR="00E06F94" w:rsidRPr="00DC1185">
        <w:rPr>
          <w:b/>
        </w:rPr>
        <w:t>descent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>
        <w:rPr>
          <w:b/>
        </w:rPr>
        <w:t>so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guarantee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full</w:t>
      </w:r>
      <w:r w:rsidR="003455F1">
        <w:rPr>
          <w:b/>
        </w:rPr>
        <w:t xml:space="preserve"> </w:t>
      </w:r>
      <w:r w:rsidR="00E06F94">
        <w:rPr>
          <w:b/>
        </w:rPr>
        <w:t>exercise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under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Covenant;</w:t>
      </w:r>
    </w:p>
    <w:p w14:paraId="4300F607" w14:textId="493A0793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(c)</w:t>
      </w:r>
      <w:r w:rsidR="00E06F94">
        <w:tab/>
      </w:r>
      <w:r w:rsidR="00E06F94">
        <w:rPr>
          <w:b/>
        </w:rPr>
        <w:t>Remove</w:t>
      </w:r>
      <w:r w:rsidR="003455F1">
        <w:rPr>
          <w:b/>
        </w:rPr>
        <w:t xml:space="preserve"> </w:t>
      </w:r>
      <w:r w:rsidR="00E06F94">
        <w:rPr>
          <w:b/>
        </w:rPr>
        <w:t>from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order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legislation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bills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might</w:t>
      </w:r>
      <w:r w:rsidR="003455F1">
        <w:rPr>
          <w:b/>
        </w:rPr>
        <w:t xml:space="preserve"> </w:t>
      </w:r>
      <w:r w:rsidR="00E06F94">
        <w:rPr>
          <w:b/>
        </w:rPr>
        <w:t>generate</w:t>
      </w:r>
      <w:r w:rsidR="003455F1">
        <w:rPr>
          <w:b/>
        </w:rPr>
        <w:t xml:space="preserve"> </w:t>
      </w:r>
      <w:r w:rsidR="00E06F94">
        <w:rPr>
          <w:b/>
        </w:rPr>
        <w:t>discrimination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sexual</w:t>
      </w:r>
      <w:r w:rsidR="003455F1">
        <w:rPr>
          <w:b/>
        </w:rPr>
        <w:t xml:space="preserve"> </w:t>
      </w:r>
      <w:r w:rsidR="00E06F94">
        <w:rPr>
          <w:b/>
        </w:rPr>
        <w:t>orientation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gender</w:t>
      </w:r>
      <w:r w:rsidR="003455F1">
        <w:rPr>
          <w:b/>
        </w:rPr>
        <w:t xml:space="preserve"> </w:t>
      </w:r>
      <w:r w:rsidR="00E06F94">
        <w:rPr>
          <w:b/>
        </w:rPr>
        <w:t>identity.</w:t>
      </w:r>
    </w:p>
    <w:p w14:paraId="644BEDAF" w14:textId="7B08DB91" w:rsidR="00866BF2" w:rsidRDefault="0056372C" w:rsidP="0056372C">
      <w:pPr>
        <w:pStyle w:val="H23G"/>
      </w:pPr>
      <w:r>
        <w:tab/>
      </w:r>
      <w:r>
        <w:tab/>
      </w:r>
      <w:r w:rsidR="00E06F94">
        <w:t>Equality</w:t>
      </w:r>
      <w:r w:rsidR="003455F1">
        <w:t xml:space="preserve"> </w:t>
      </w:r>
      <w:r w:rsidR="00E06F94">
        <w:t>between</w:t>
      </w:r>
      <w:r w:rsidR="003455F1">
        <w:t xml:space="preserve"> </w:t>
      </w:r>
      <w:r w:rsidR="00E06F94">
        <w:t>men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women</w:t>
      </w:r>
    </w:p>
    <w:p w14:paraId="5B774C17" w14:textId="73FB9DF2" w:rsidR="00E06F94" w:rsidRPr="001F49A2" w:rsidRDefault="00E06F94" w:rsidP="00E06F94">
      <w:pPr>
        <w:pStyle w:val="SingleTxtG"/>
        <w:rPr>
          <w:lang w:val="en-US"/>
        </w:rPr>
      </w:pPr>
      <w:r>
        <w:t>20.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persistent</w:t>
      </w:r>
      <w:r w:rsidR="003455F1">
        <w:t xml:space="preserve"> </w:t>
      </w:r>
      <w:r>
        <w:t>inequality</w:t>
      </w:r>
      <w:r w:rsidR="003455F1">
        <w:t xml:space="preserve"> </w:t>
      </w:r>
      <w:r>
        <w:t>between</w:t>
      </w:r>
      <w:r w:rsidR="003455F1">
        <w:t xml:space="preserve"> </w:t>
      </w:r>
      <w:r>
        <w:t>men</w:t>
      </w:r>
      <w:r w:rsidR="003455F1">
        <w:t xml:space="preserve"> </w:t>
      </w:r>
      <w:r>
        <w:t>and</w:t>
      </w:r>
      <w:r w:rsidR="003455F1">
        <w:t xml:space="preserve"> </w:t>
      </w:r>
      <w:r>
        <w:t>women,</w:t>
      </w:r>
      <w:r w:rsidR="003455F1">
        <w:t xml:space="preserve"> </w:t>
      </w:r>
      <w:r>
        <w:t>which</w:t>
      </w:r>
      <w:r w:rsidR="003455F1">
        <w:t xml:space="preserve"> </w:t>
      </w:r>
      <w:r>
        <w:t>stems</w:t>
      </w:r>
      <w:r w:rsidR="003455F1">
        <w:t xml:space="preserve"> </w:t>
      </w:r>
      <w:r>
        <w:t>from</w:t>
      </w:r>
      <w:r w:rsidR="003455F1">
        <w:t xml:space="preserve"> </w:t>
      </w:r>
      <w:r>
        <w:t>gender</w:t>
      </w:r>
      <w:r w:rsidR="003455F1">
        <w:t xml:space="preserve"> </w:t>
      </w:r>
      <w:r>
        <w:t>stereotypes</w:t>
      </w:r>
      <w:r w:rsidR="003455F1">
        <w:t xml:space="preserve"> </w:t>
      </w:r>
      <w:r>
        <w:t>that</w:t>
      </w:r>
      <w:r w:rsidR="003455F1">
        <w:t xml:space="preserve"> </w:t>
      </w:r>
      <w:r>
        <w:t>remain</w:t>
      </w:r>
      <w:r w:rsidR="003455F1">
        <w:t xml:space="preserve"> </w:t>
      </w:r>
      <w:r>
        <w:t>deeply</w:t>
      </w:r>
      <w:r w:rsidR="003455F1">
        <w:t xml:space="preserve"> </w:t>
      </w:r>
      <w:r>
        <w:t>rooted</w:t>
      </w:r>
      <w:r w:rsidR="003455F1">
        <w:t xml:space="preserve"> </w:t>
      </w:r>
      <w:r>
        <w:t>in</w:t>
      </w:r>
      <w:r w:rsidR="003455F1">
        <w:t xml:space="preserve"> </w:t>
      </w:r>
      <w:r>
        <w:t>families</w:t>
      </w:r>
      <w:r w:rsidR="003455F1">
        <w:t xml:space="preserve"> </w:t>
      </w:r>
      <w:r>
        <w:t>and</w:t>
      </w:r>
      <w:r w:rsidR="003455F1">
        <w:t xml:space="preserve"> </w:t>
      </w:r>
      <w:r>
        <w:t>society</w:t>
      </w:r>
      <w:r w:rsidR="003455F1">
        <w:t xml:space="preserve"> </w:t>
      </w:r>
      <w:r>
        <w:t>and</w:t>
      </w:r>
      <w:r w:rsidR="003455F1">
        <w:t xml:space="preserve"> </w:t>
      </w:r>
      <w:r>
        <w:t>impedes</w:t>
      </w:r>
      <w:r w:rsidR="003455F1">
        <w:t xml:space="preserve"> </w:t>
      </w:r>
      <w:r>
        <w:t>the</w:t>
      </w:r>
      <w:r w:rsidR="003455F1">
        <w:t xml:space="preserve"> </w:t>
      </w:r>
      <w:r>
        <w:t>full</w:t>
      </w:r>
      <w:r w:rsidR="003455F1">
        <w:t xml:space="preserve"> </w:t>
      </w:r>
      <w:r>
        <w:t>enjoyment</w:t>
      </w:r>
      <w:r w:rsidR="003455F1">
        <w:t xml:space="preserve"> </w:t>
      </w:r>
      <w:r>
        <w:t>of</w:t>
      </w:r>
      <w:r w:rsidR="003455F1">
        <w:t xml:space="preserve"> </w:t>
      </w:r>
      <w:r>
        <w:t>economic,</w:t>
      </w:r>
      <w:r w:rsidR="003455F1">
        <w:t xml:space="preserve"> </w:t>
      </w:r>
      <w:r>
        <w:t>social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rights,</w:t>
      </w:r>
      <w:r w:rsidR="003455F1">
        <w:t xml:space="preserve"> </w:t>
      </w:r>
      <w:r>
        <w:t>in</w:t>
      </w:r>
      <w:r w:rsidR="003455F1">
        <w:t xml:space="preserve"> </w:t>
      </w:r>
      <w:r>
        <w:t>particular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work,</w:t>
      </w:r>
      <w:r w:rsidR="003455F1">
        <w:t xml:space="preserve"> </w:t>
      </w:r>
      <w:r>
        <w:t>social</w:t>
      </w:r>
      <w:r w:rsidR="003455F1">
        <w:t xml:space="preserve"> </w:t>
      </w:r>
      <w:r>
        <w:t>security,</w:t>
      </w:r>
      <w:r w:rsidR="003455F1">
        <w:t xml:space="preserve"> </w:t>
      </w:r>
      <w:r>
        <w:t>a</w:t>
      </w:r>
      <w:r w:rsidR="003455F1">
        <w:t xml:space="preserve"> </w:t>
      </w:r>
      <w:r>
        <w:t>decent</w:t>
      </w:r>
      <w:r w:rsidR="003455F1">
        <w:t xml:space="preserve"> </w:t>
      </w:r>
      <w:r>
        <w:t>standard</w:t>
      </w:r>
      <w:r w:rsidR="003455F1">
        <w:t xml:space="preserve"> </w:t>
      </w:r>
      <w:r>
        <w:t>of</w:t>
      </w:r>
      <w:r w:rsidR="003455F1">
        <w:t xml:space="preserve"> </w:t>
      </w:r>
      <w:r>
        <w:t>living,</w:t>
      </w:r>
      <w:r w:rsidR="003455F1">
        <w:t xml:space="preserve"> </w:t>
      </w:r>
      <w:r>
        <w:t>health</w:t>
      </w:r>
      <w:r w:rsidR="003455F1">
        <w:t xml:space="preserve"> </w:t>
      </w:r>
      <w:r>
        <w:t>care</w:t>
      </w:r>
      <w:r w:rsidR="003455F1">
        <w:t xml:space="preserve"> </w:t>
      </w:r>
      <w:r>
        <w:t>and</w:t>
      </w:r>
      <w:r w:rsidR="003455F1">
        <w:t xml:space="preserve"> </w:t>
      </w:r>
      <w:r>
        <w:t>education</w:t>
      </w:r>
      <w:r w:rsidR="003455F1">
        <w:t xml:space="preserve"> </w:t>
      </w:r>
      <w:r>
        <w:t>(art.</w:t>
      </w:r>
      <w:r w:rsidR="003455F1">
        <w:t xml:space="preserve"> </w:t>
      </w:r>
      <w:r>
        <w:t>3).</w:t>
      </w:r>
    </w:p>
    <w:p w14:paraId="6A769979" w14:textId="35CCD235" w:rsidR="00866BF2" w:rsidRDefault="00E06F94" w:rsidP="00E06F94">
      <w:pPr>
        <w:pStyle w:val="SingleTxtG"/>
      </w:pPr>
      <w:r>
        <w:t>21.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eliminate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persistent</w:t>
      </w:r>
      <w:r w:rsidR="003455F1">
        <w:rPr>
          <w:b/>
        </w:rPr>
        <w:t xml:space="preserve"> </w:t>
      </w:r>
      <w:r>
        <w:rPr>
          <w:b/>
        </w:rPr>
        <w:t>inequality</w:t>
      </w:r>
      <w:r w:rsidR="003455F1">
        <w:rPr>
          <w:b/>
        </w:rPr>
        <w:t xml:space="preserve"> </w:t>
      </w:r>
      <w:r>
        <w:rPr>
          <w:b/>
        </w:rPr>
        <w:t>between</w:t>
      </w:r>
      <w:r w:rsidR="003455F1">
        <w:rPr>
          <w:b/>
        </w:rPr>
        <w:t xml:space="preserve"> </w:t>
      </w:r>
      <w:r>
        <w:rPr>
          <w:b/>
        </w:rPr>
        <w:t>men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women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promote</w:t>
      </w:r>
      <w:r w:rsidR="003455F1">
        <w:rPr>
          <w:b/>
        </w:rPr>
        <w:t xml:space="preserve"> </w:t>
      </w:r>
      <w:r>
        <w:rPr>
          <w:b/>
        </w:rPr>
        <w:t>women</w:t>
      </w:r>
      <w:r w:rsidR="00866BF2">
        <w:rPr>
          <w:b/>
        </w:rPr>
        <w:t>’</w:t>
      </w:r>
      <w:r>
        <w:rPr>
          <w:b/>
        </w:rPr>
        <w:t>s</w:t>
      </w:r>
      <w:r w:rsidR="003455F1">
        <w:rPr>
          <w:b/>
        </w:rPr>
        <w:t xml:space="preserve"> </w:t>
      </w:r>
      <w:r>
        <w:rPr>
          <w:b/>
        </w:rPr>
        <w:t>full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employment,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security,</w:t>
      </w:r>
      <w:r w:rsidR="003455F1">
        <w:rPr>
          <w:b/>
        </w:rPr>
        <w:t xml:space="preserve"> </w:t>
      </w:r>
      <w:r>
        <w:rPr>
          <w:b/>
        </w:rPr>
        <w:t>health-care</w:t>
      </w:r>
      <w:r w:rsidR="003455F1">
        <w:rPr>
          <w:b/>
        </w:rPr>
        <w:t xml:space="preserve"> </w:t>
      </w:r>
      <w:r>
        <w:rPr>
          <w:b/>
        </w:rPr>
        <w:t>services,</w:t>
      </w:r>
      <w:r w:rsidR="003455F1">
        <w:rPr>
          <w:b/>
        </w:rPr>
        <w:t xml:space="preserve"> </w:t>
      </w:r>
      <w:r>
        <w:rPr>
          <w:b/>
        </w:rPr>
        <w:t>education,</w:t>
      </w:r>
      <w:r w:rsidR="003455F1">
        <w:rPr>
          <w:b/>
        </w:rPr>
        <w:t xml:space="preserve"> </w:t>
      </w:r>
      <w:r>
        <w:rPr>
          <w:b/>
        </w:rPr>
        <w:t>land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income-generating</w:t>
      </w:r>
      <w:r w:rsidR="003455F1">
        <w:rPr>
          <w:b/>
        </w:rPr>
        <w:t xml:space="preserve"> </w:t>
      </w:r>
      <w:r>
        <w:rPr>
          <w:b/>
        </w:rPr>
        <w:t>projects.</w:t>
      </w:r>
      <w:r w:rsidR="003455F1">
        <w:t xml:space="preserve"> </w:t>
      </w:r>
      <w:r w:rsidR="00384D02">
        <w:t xml:space="preserve">The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accelerate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debate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adoption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bill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5452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economic</w:t>
      </w:r>
      <w:r w:rsidR="003455F1">
        <w:rPr>
          <w:b/>
        </w:rPr>
        <w:t xml:space="preserve"> </w:t>
      </w:r>
      <w:r>
        <w:rPr>
          <w:b/>
        </w:rPr>
        <w:t>advancement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women.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refers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16</w:t>
      </w:r>
      <w:r w:rsidR="003455F1">
        <w:t xml:space="preserve"> </w:t>
      </w:r>
      <w:r>
        <w:rPr>
          <w:b/>
        </w:rPr>
        <w:t>(2005)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equal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men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women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enjoyment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economic,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cultural</w:t>
      </w:r>
      <w:r w:rsidR="003455F1">
        <w:rPr>
          <w:b/>
        </w:rPr>
        <w:t xml:space="preserve"> </w:t>
      </w:r>
      <w:r>
        <w:rPr>
          <w:b/>
        </w:rPr>
        <w:t>rights.</w:t>
      </w:r>
    </w:p>
    <w:p w14:paraId="75225FE8" w14:textId="046FA4F1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Right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work</w:t>
      </w:r>
    </w:p>
    <w:p w14:paraId="42C64BE8" w14:textId="3B44F0C4" w:rsidR="00E06F94" w:rsidRPr="001F49A2" w:rsidRDefault="00E06F94" w:rsidP="00E06F94">
      <w:pPr>
        <w:pStyle w:val="SingleTxtG"/>
        <w:rPr>
          <w:lang w:val="en-US"/>
        </w:rPr>
      </w:pPr>
      <w:r>
        <w:t>22.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number</w:t>
      </w:r>
      <w:r w:rsidR="003455F1">
        <w:t xml:space="preserve"> </w:t>
      </w:r>
      <w:r>
        <w:t>of</w:t>
      </w:r>
      <w:r w:rsidR="003455F1">
        <w:t xml:space="preserve"> </w:t>
      </w:r>
      <w:r>
        <w:t>people</w:t>
      </w:r>
      <w:r w:rsidR="003455F1">
        <w:t xml:space="preserve"> </w:t>
      </w:r>
      <w:r>
        <w:t>who</w:t>
      </w:r>
      <w:r w:rsidR="003455F1">
        <w:t xml:space="preserve"> </w:t>
      </w:r>
      <w:r>
        <w:t>work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informal</w:t>
      </w:r>
      <w:r w:rsidR="003455F1">
        <w:t xml:space="preserve"> </w:t>
      </w:r>
      <w:r>
        <w:t>sector</w:t>
      </w:r>
      <w:r w:rsidR="003455F1">
        <w:t xml:space="preserve"> </w:t>
      </w:r>
      <w:r>
        <w:t>and</w:t>
      </w:r>
      <w:r w:rsidR="003455F1">
        <w:t xml:space="preserve"> </w:t>
      </w:r>
      <w:r>
        <w:t>therefore</w:t>
      </w:r>
      <w:r w:rsidR="003455F1">
        <w:t xml:space="preserve"> </w:t>
      </w:r>
      <w:r>
        <w:t>do</w:t>
      </w:r>
      <w:r w:rsidR="003455F1">
        <w:t xml:space="preserve"> </w:t>
      </w:r>
      <w:r>
        <w:t>not</w:t>
      </w:r>
      <w:r w:rsidR="003455F1">
        <w:t xml:space="preserve"> </w:t>
      </w:r>
      <w:r>
        <w:t>enjoy</w:t>
      </w:r>
      <w:r w:rsidR="003455F1">
        <w:t xml:space="preserve"> </w:t>
      </w:r>
      <w:r>
        <w:t>labour</w:t>
      </w:r>
      <w:r w:rsidR="003455F1">
        <w:t xml:space="preserve"> </w:t>
      </w:r>
      <w:r>
        <w:t>protections</w:t>
      </w:r>
      <w:r w:rsidR="003455F1">
        <w:t xml:space="preserve"> </w:t>
      </w:r>
      <w:r>
        <w:t>or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social</w:t>
      </w:r>
      <w:r w:rsidR="003455F1">
        <w:t xml:space="preserve"> </w:t>
      </w:r>
      <w:r>
        <w:t>security</w:t>
      </w:r>
      <w:r w:rsidR="003455F1">
        <w:t xml:space="preserve"> </w:t>
      </w:r>
      <w:r>
        <w:t>(art.</w:t>
      </w:r>
      <w:r w:rsidR="003455F1">
        <w:t xml:space="preserve"> </w:t>
      </w:r>
      <w:r>
        <w:t>6).</w:t>
      </w:r>
    </w:p>
    <w:p w14:paraId="5EE96F70" w14:textId="134AEC42" w:rsidR="00866BF2" w:rsidRDefault="00E06F94" w:rsidP="00E06F94">
      <w:pPr>
        <w:pStyle w:val="SingleTxtG"/>
      </w:pPr>
      <w:r>
        <w:t>23.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adopt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comprehensive</w:t>
      </w:r>
      <w:r w:rsidR="003455F1">
        <w:rPr>
          <w:b/>
        </w:rPr>
        <w:t xml:space="preserve"> </w:t>
      </w:r>
      <w:r>
        <w:rPr>
          <w:b/>
        </w:rPr>
        <w:t>employment</w:t>
      </w:r>
      <w:r w:rsidR="003455F1">
        <w:rPr>
          <w:b/>
        </w:rPr>
        <w:t xml:space="preserve"> </w:t>
      </w:r>
      <w:r>
        <w:rPr>
          <w:b/>
        </w:rPr>
        <w:t>strategy,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an</w:t>
      </w:r>
      <w:r w:rsidR="003455F1">
        <w:rPr>
          <w:b/>
        </w:rPr>
        <w:t xml:space="preserve"> </w:t>
      </w:r>
      <w:r>
        <w:rPr>
          <w:b/>
        </w:rPr>
        <w:t>action</w:t>
      </w:r>
      <w:r w:rsidR="003455F1">
        <w:rPr>
          <w:b/>
        </w:rPr>
        <w:t xml:space="preserve"> </w:t>
      </w:r>
      <w:r>
        <w:rPr>
          <w:b/>
        </w:rPr>
        <w:t>plan</w:t>
      </w:r>
      <w:r w:rsidR="003455F1">
        <w:rPr>
          <w:b/>
        </w:rPr>
        <w:t xml:space="preserve"> </w:t>
      </w:r>
      <w:r>
        <w:rPr>
          <w:b/>
        </w:rPr>
        <w:t>containing</w:t>
      </w:r>
      <w:r w:rsidR="003455F1">
        <w:rPr>
          <w:b/>
        </w:rPr>
        <w:t xml:space="preserve"> </w:t>
      </w:r>
      <w:r>
        <w:rPr>
          <w:b/>
        </w:rPr>
        <w:t>specific</w:t>
      </w:r>
      <w:r w:rsidR="003455F1">
        <w:rPr>
          <w:b/>
        </w:rPr>
        <w:t xml:space="preserve"> </w:t>
      </w:r>
      <w:r>
        <w:rPr>
          <w:b/>
        </w:rPr>
        <w:t>goals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boost</w:t>
      </w:r>
      <w:r w:rsidR="003455F1">
        <w:rPr>
          <w:b/>
        </w:rPr>
        <w:t xml:space="preserve"> </w:t>
      </w:r>
      <w:r>
        <w:rPr>
          <w:b/>
        </w:rPr>
        <w:t>job</w:t>
      </w:r>
      <w:r w:rsidR="003455F1">
        <w:rPr>
          <w:b/>
        </w:rPr>
        <w:t xml:space="preserve"> </w:t>
      </w:r>
      <w:r>
        <w:rPr>
          <w:b/>
        </w:rPr>
        <w:t>creation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formal</w:t>
      </w:r>
      <w:r w:rsidR="003455F1">
        <w:rPr>
          <w:b/>
        </w:rPr>
        <w:t xml:space="preserve"> </w:t>
      </w:r>
      <w:r>
        <w:rPr>
          <w:b/>
        </w:rPr>
        <w:t>sector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progressively</w:t>
      </w:r>
      <w:r w:rsidR="003455F1">
        <w:rPr>
          <w:b/>
        </w:rPr>
        <w:t xml:space="preserve"> </w:t>
      </w:r>
      <w:r>
        <w:rPr>
          <w:b/>
        </w:rPr>
        <w:t>reduce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number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workers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informal</w:t>
      </w:r>
      <w:r w:rsidR="003455F1">
        <w:rPr>
          <w:b/>
        </w:rPr>
        <w:t xml:space="preserve"> </w:t>
      </w:r>
      <w:r>
        <w:rPr>
          <w:b/>
        </w:rPr>
        <w:t>sector.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persons</w:t>
      </w:r>
      <w:r w:rsidR="003455F1">
        <w:rPr>
          <w:b/>
        </w:rPr>
        <w:t xml:space="preserve"> </w:t>
      </w:r>
      <w:r>
        <w:rPr>
          <w:b/>
        </w:rPr>
        <w:t>working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informal</w:t>
      </w:r>
      <w:r w:rsidR="003455F1">
        <w:rPr>
          <w:b/>
        </w:rPr>
        <w:t xml:space="preserve"> </w:t>
      </w:r>
      <w:r>
        <w:rPr>
          <w:b/>
        </w:rPr>
        <w:t>sector</w:t>
      </w:r>
      <w:r w:rsidR="003455F1">
        <w:rPr>
          <w:b/>
        </w:rPr>
        <w:t xml:space="preserve"> </w:t>
      </w:r>
      <w:r>
        <w:rPr>
          <w:b/>
        </w:rPr>
        <w:t>have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basic</w:t>
      </w:r>
      <w:r w:rsidR="003455F1">
        <w:rPr>
          <w:b/>
        </w:rPr>
        <w:t xml:space="preserve"> </w:t>
      </w:r>
      <w:r>
        <w:rPr>
          <w:b/>
        </w:rPr>
        <w:t>labour</w:t>
      </w:r>
      <w:r w:rsidR="003455F1">
        <w:rPr>
          <w:b/>
        </w:rPr>
        <w:t xml:space="preserve"> </w:t>
      </w:r>
      <w:r>
        <w:rPr>
          <w:b/>
        </w:rPr>
        <w:t>protections,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other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under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should,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much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possible,</w:t>
      </w:r>
      <w:r w:rsidR="003455F1">
        <w:rPr>
          <w:b/>
        </w:rPr>
        <w:t xml:space="preserve"> </w:t>
      </w:r>
      <w:r>
        <w:rPr>
          <w:b/>
        </w:rPr>
        <w:t>carry</w:t>
      </w:r>
      <w:r w:rsidR="003455F1">
        <w:rPr>
          <w:b/>
        </w:rPr>
        <w:t xml:space="preserve"> </w:t>
      </w:r>
      <w:r>
        <w:rPr>
          <w:b/>
        </w:rPr>
        <w:t>out</w:t>
      </w:r>
      <w:r w:rsidR="003455F1">
        <w:rPr>
          <w:b/>
        </w:rPr>
        <w:t xml:space="preserve"> </w:t>
      </w:r>
      <w:r>
        <w:rPr>
          <w:b/>
        </w:rPr>
        <w:t>inspections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working</w:t>
      </w:r>
      <w:r w:rsidR="003455F1">
        <w:rPr>
          <w:b/>
        </w:rPr>
        <w:t xml:space="preserve"> </w:t>
      </w:r>
      <w:r>
        <w:rPr>
          <w:b/>
        </w:rPr>
        <w:t>conditions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informal</w:t>
      </w:r>
      <w:r w:rsidR="003455F1">
        <w:rPr>
          <w:b/>
        </w:rPr>
        <w:t xml:space="preserve"> </w:t>
      </w:r>
      <w:r>
        <w:rPr>
          <w:b/>
        </w:rPr>
        <w:t>sector.</w:t>
      </w:r>
      <w:r w:rsidR="003455F1">
        <w:t xml:space="preserve"> </w:t>
      </w:r>
      <w:r>
        <w:rPr>
          <w:b/>
        </w:rPr>
        <w:t>Lastly,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develop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implement</w:t>
      </w:r>
      <w:r w:rsidR="003455F1">
        <w:rPr>
          <w:b/>
        </w:rPr>
        <w:t xml:space="preserve"> </w:t>
      </w:r>
      <w:r>
        <w:rPr>
          <w:b/>
        </w:rPr>
        <w:t>quality</w:t>
      </w:r>
      <w:r w:rsidR="003455F1">
        <w:rPr>
          <w:b/>
        </w:rPr>
        <w:t xml:space="preserve"> </w:t>
      </w:r>
      <w:r>
        <w:rPr>
          <w:b/>
        </w:rPr>
        <w:t>technical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vocational</w:t>
      </w:r>
      <w:r w:rsidR="003455F1">
        <w:rPr>
          <w:b/>
        </w:rPr>
        <w:t xml:space="preserve"> </w:t>
      </w:r>
      <w:r>
        <w:rPr>
          <w:b/>
        </w:rPr>
        <w:t>training</w:t>
      </w:r>
      <w:r w:rsidR="003455F1">
        <w:rPr>
          <w:b/>
        </w:rPr>
        <w:t xml:space="preserve"> </w:t>
      </w:r>
      <w:r>
        <w:rPr>
          <w:b/>
        </w:rPr>
        <w:t>programmes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are</w:t>
      </w:r>
      <w:r w:rsidR="003455F1">
        <w:rPr>
          <w:b/>
        </w:rPr>
        <w:t xml:space="preserve"> </w:t>
      </w:r>
      <w:r>
        <w:rPr>
          <w:b/>
        </w:rPr>
        <w:t>tailored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needs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labour</w:t>
      </w:r>
      <w:r w:rsidR="003455F1">
        <w:rPr>
          <w:b/>
        </w:rPr>
        <w:t xml:space="preserve"> </w:t>
      </w:r>
      <w:r>
        <w:rPr>
          <w:b/>
        </w:rPr>
        <w:t>market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most</w:t>
      </w:r>
      <w:r w:rsidR="003455F1">
        <w:rPr>
          <w:b/>
        </w:rPr>
        <w:t xml:space="preserve"> </w:t>
      </w:r>
      <w:r>
        <w:rPr>
          <w:b/>
        </w:rPr>
        <w:t>underprivileged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marginalized</w:t>
      </w:r>
      <w:r w:rsidR="003455F1">
        <w:rPr>
          <w:b/>
        </w:rPr>
        <w:t xml:space="preserve"> </w:t>
      </w:r>
      <w:r>
        <w:rPr>
          <w:b/>
        </w:rPr>
        <w:t>persons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groups.</w:t>
      </w:r>
    </w:p>
    <w:p w14:paraId="0CC97891" w14:textId="585908F7" w:rsidR="00866BF2" w:rsidRDefault="0056372C" w:rsidP="0056372C">
      <w:pPr>
        <w:pStyle w:val="H23G"/>
      </w:pPr>
      <w:r>
        <w:tab/>
      </w:r>
      <w:r>
        <w:tab/>
      </w:r>
      <w:r w:rsidR="00E06F94">
        <w:t>Minimum</w:t>
      </w:r>
      <w:r w:rsidR="003455F1">
        <w:t xml:space="preserve"> </w:t>
      </w:r>
      <w:r w:rsidR="00E06F94">
        <w:t>wage</w:t>
      </w:r>
    </w:p>
    <w:p w14:paraId="663CD0C4" w14:textId="03BCB4C0" w:rsidR="00E06F94" w:rsidRPr="001F49A2" w:rsidRDefault="00E06F94" w:rsidP="00E06F94">
      <w:pPr>
        <w:pStyle w:val="SingleTxtG"/>
        <w:rPr>
          <w:rFonts w:eastAsia="Times New Roman"/>
          <w:lang w:val="en-US"/>
        </w:rPr>
      </w:pPr>
      <w:r>
        <w:t>24.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adjusting</w:t>
      </w:r>
      <w:r w:rsidR="003455F1">
        <w:t xml:space="preserve"> </w:t>
      </w:r>
      <w:r>
        <w:t>the</w:t>
      </w:r>
      <w:r w:rsidR="003455F1">
        <w:t xml:space="preserve"> </w:t>
      </w:r>
      <w:r>
        <w:t>minimum</w:t>
      </w:r>
      <w:r w:rsidR="003455F1">
        <w:t xml:space="preserve"> </w:t>
      </w:r>
      <w:r>
        <w:t>wage</w:t>
      </w:r>
      <w:r w:rsidR="003455F1">
        <w:t xml:space="preserve"> </w:t>
      </w:r>
      <w:r>
        <w:t>per</w:t>
      </w:r>
      <w:r w:rsidR="003455F1">
        <w:t xml:space="preserve"> </w:t>
      </w:r>
      <w:r>
        <w:t>district</w:t>
      </w:r>
      <w:r w:rsidR="003455F1">
        <w:t xml:space="preserve"> </w:t>
      </w:r>
      <w:r>
        <w:t>has</w:t>
      </w:r>
      <w:r w:rsidR="003455F1">
        <w:t xml:space="preserve"> </w:t>
      </w:r>
      <w:r>
        <w:t>a</w:t>
      </w:r>
      <w:r w:rsidR="003455F1">
        <w:t xml:space="preserve"> </w:t>
      </w:r>
      <w:r>
        <w:t>disproportionate</w:t>
      </w:r>
      <w:r w:rsidR="003455F1">
        <w:t xml:space="preserve"> </w:t>
      </w:r>
      <w:r>
        <w:t>impact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income</w:t>
      </w:r>
      <w:r w:rsidR="003455F1">
        <w:t xml:space="preserve"> </w:t>
      </w:r>
      <w:r>
        <w:t>of</w:t>
      </w:r>
      <w:r w:rsidR="003455F1">
        <w:t xml:space="preserve"> </w:t>
      </w:r>
      <w:r>
        <w:t>workers</w:t>
      </w:r>
      <w:r w:rsidR="003455F1">
        <w:t xml:space="preserve"> </w:t>
      </w:r>
      <w:r>
        <w:t>and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minimum</w:t>
      </w:r>
      <w:r w:rsidR="003455F1">
        <w:t xml:space="preserve"> </w:t>
      </w:r>
      <w:r>
        <w:t>wage</w:t>
      </w:r>
      <w:r w:rsidR="003455F1">
        <w:t xml:space="preserve"> </w:t>
      </w:r>
      <w:r>
        <w:t>remains</w:t>
      </w:r>
      <w:r w:rsidR="003455F1">
        <w:t xml:space="preserve"> </w:t>
      </w:r>
      <w:r>
        <w:t>insufficient</w:t>
      </w:r>
      <w:r w:rsidR="003455F1">
        <w:t xml:space="preserve"> </w:t>
      </w:r>
      <w:r>
        <w:t>to</w:t>
      </w:r>
      <w:r w:rsidR="003455F1">
        <w:t xml:space="preserve"> </w:t>
      </w:r>
      <w:r>
        <w:t>ensure</w:t>
      </w:r>
      <w:r w:rsidR="003455F1">
        <w:t xml:space="preserve"> </w:t>
      </w:r>
      <w:r>
        <w:t>a</w:t>
      </w:r>
      <w:r w:rsidR="003455F1">
        <w:t xml:space="preserve"> </w:t>
      </w:r>
      <w:r>
        <w:t>decent</w:t>
      </w:r>
      <w:r w:rsidR="003455F1">
        <w:t xml:space="preserve"> </w:t>
      </w:r>
      <w:r>
        <w:t>standard</w:t>
      </w:r>
      <w:r w:rsidR="003455F1">
        <w:t xml:space="preserve"> </w:t>
      </w:r>
      <w:r>
        <w:t>of</w:t>
      </w:r>
      <w:r w:rsidR="003455F1">
        <w:t xml:space="preserve"> </w:t>
      </w:r>
      <w:r>
        <w:t>living</w:t>
      </w:r>
      <w:r w:rsidR="003455F1">
        <w:t xml:space="preserve"> </w:t>
      </w:r>
      <w:r>
        <w:t>for</w:t>
      </w:r>
      <w:r w:rsidR="003455F1">
        <w:t xml:space="preserve"> </w:t>
      </w:r>
      <w:r>
        <w:t>workers</w:t>
      </w:r>
      <w:r w:rsidR="003455F1">
        <w:t xml:space="preserve"> </w:t>
      </w:r>
      <w:r>
        <w:t>and</w:t>
      </w:r>
      <w:r w:rsidR="003455F1">
        <w:t xml:space="preserve"> </w:t>
      </w:r>
      <w:r>
        <w:t>their</w:t>
      </w:r>
      <w:r w:rsidR="003455F1">
        <w:t xml:space="preserve"> </w:t>
      </w:r>
      <w:r>
        <w:t>families.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how</w:t>
      </w:r>
      <w:r w:rsidR="003455F1">
        <w:t xml:space="preserve"> </w:t>
      </w:r>
      <w:r>
        <w:t>many</w:t>
      </w:r>
      <w:r w:rsidR="003455F1">
        <w:t xml:space="preserve"> </w:t>
      </w:r>
      <w:r>
        <w:t>workers</w:t>
      </w:r>
      <w:r w:rsidR="003455F1">
        <w:t xml:space="preserve"> </w:t>
      </w:r>
      <w:r>
        <w:t>receive</w:t>
      </w:r>
      <w:r w:rsidR="003455F1">
        <w:t xml:space="preserve"> </w:t>
      </w:r>
      <w:r>
        <w:t>less</w:t>
      </w:r>
      <w:r w:rsidR="003455F1">
        <w:t xml:space="preserve"> </w:t>
      </w:r>
      <w:r>
        <w:t>than</w:t>
      </w:r>
      <w:r w:rsidR="003455F1">
        <w:t xml:space="preserve"> </w:t>
      </w:r>
      <w:r>
        <w:t>the</w:t>
      </w:r>
      <w:r w:rsidR="003455F1">
        <w:t xml:space="preserve"> </w:t>
      </w:r>
      <w:r>
        <w:t>minimum</w:t>
      </w:r>
      <w:r w:rsidR="003455F1">
        <w:t xml:space="preserve"> </w:t>
      </w:r>
      <w:r>
        <w:t>wage</w:t>
      </w:r>
      <w:r w:rsidR="003455F1">
        <w:t xml:space="preserve"> </w:t>
      </w:r>
      <w:r>
        <w:t>(art.</w:t>
      </w:r>
      <w:r w:rsidR="003455F1">
        <w:t xml:space="preserve"> </w:t>
      </w:r>
      <w:r>
        <w:t>7).</w:t>
      </w:r>
    </w:p>
    <w:p w14:paraId="61C14292" w14:textId="163EC11A" w:rsidR="00866BF2" w:rsidRDefault="00E06F94" w:rsidP="00E06F94">
      <w:pPr>
        <w:pStyle w:val="SingleTxtG"/>
      </w:pPr>
      <w:r>
        <w:t>25.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legislative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administrative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workers</w:t>
      </w:r>
      <w:r w:rsidR="003455F1">
        <w:rPr>
          <w:b/>
        </w:rPr>
        <w:t xml:space="preserve"> </w:t>
      </w:r>
      <w:r>
        <w:rPr>
          <w:b/>
        </w:rPr>
        <w:t>receive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minimum</w:t>
      </w:r>
      <w:r w:rsidR="003455F1">
        <w:rPr>
          <w:b/>
        </w:rPr>
        <w:t xml:space="preserve"> </w:t>
      </w:r>
      <w:r>
        <w:rPr>
          <w:b/>
        </w:rPr>
        <w:t>wage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enables</w:t>
      </w:r>
      <w:r w:rsidR="003455F1">
        <w:rPr>
          <w:b/>
        </w:rPr>
        <w:t xml:space="preserve"> </w:t>
      </w:r>
      <w:r>
        <w:rPr>
          <w:b/>
        </w:rPr>
        <w:t>them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achieve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decent</w:t>
      </w:r>
      <w:r w:rsidR="003455F1">
        <w:rPr>
          <w:b/>
        </w:rPr>
        <w:t xml:space="preserve"> </w:t>
      </w:r>
      <w:r>
        <w:rPr>
          <w:b/>
        </w:rPr>
        <w:t>standard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living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themselves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families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keeping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article</w:t>
      </w:r>
      <w:r w:rsidR="003455F1">
        <w:rPr>
          <w:b/>
        </w:rPr>
        <w:t xml:space="preserve"> </w:t>
      </w:r>
      <w:r>
        <w:rPr>
          <w:b/>
        </w:rPr>
        <w:t>7</w:t>
      </w:r>
      <w:r w:rsidR="003455F1">
        <w:rPr>
          <w:b/>
        </w:rPr>
        <w:t xml:space="preserve"> </w:t>
      </w:r>
      <w:r>
        <w:rPr>
          <w:b/>
        </w:rPr>
        <w:t>(a)</w:t>
      </w:r>
      <w:r w:rsidR="003455F1">
        <w:rPr>
          <w:b/>
        </w:rPr>
        <w:t xml:space="preserve"> </w:t>
      </w:r>
      <w:r>
        <w:rPr>
          <w:b/>
        </w:rPr>
        <w:t>(ii)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Covenant,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adjustments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minimum</w:t>
      </w:r>
      <w:r w:rsidR="003455F1">
        <w:rPr>
          <w:b/>
        </w:rPr>
        <w:t xml:space="preserve"> </w:t>
      </w:r>
      <w:r>
        <w:rPr>
          <w:b/>
        </w:rPr>
        <w:t>wage</w:t>
      </w:r>
      <w:r w:rsidR="003455F1">
        <w:rPr>
          <w:b/>
        </w:rPr>
        <w:t xml:space="preserve"> </w:t>
      </w:r>
      <w:r>
        <w:rPr>
          <w:b/>
        </w:rPr>
        <w:t>do</w:t>
      </w:r>
      <w:r w:rsidR="003455F1">
        <w:rPr>
          <w:b/>
        </w:rPr>
        <w:t xml:space="preserve"> </w:t>
      </w:r>
      <w:r>
        <w:rPr>
          <w:b/>
        </w:rPr>
        <w:t>not</w:t>
      </w:r>
      <w:r w:rsidR="003455F1">
        <w:rPr>
          <w:b/>
        </w:rPr>
        <w:t xml:space="preserve"> </w:t>
      </w:r>
      <w:r>
        <w:rPr>
          <w:b/>
        </w:rPr>
        <w:t>have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disproportionate</w:t>
      </w:r>
      <w:r w:rsidR="003455F1">
        <w:rPr>
          <w:b/>
        </w:rPr>
        <w:t xml:space="preserve"> </w:t>
      </w:r>
      <w:r>
        <w:rPr>
          <w:b/>
        </w:rPr>
        <w:t>impact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income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most</w:t>
      </w:r>
      <w:r w:rsidR="003455F1">
        <w:rPr>
          <w:b/>
        </w:rPr>
        <w:t xml:space="preserve"> </w:t>
      </w:r>
      <w:r>
        <w:rPr>
          <w:b/>
        </w:rPr>
        <w:t>disadvantaged</w:t>
      </w:r>
      <w:r w:rsidR="003455F1">
        <w:rPr>
          <w:b/>
        </w:rPr>
        <w:t xml:space="preserve"> </w:t>
      </w:r>
      <w:r>
        <w:rPr>
          <w:b/>
        </w:rPr>
        <w:t>or</w:t>
      </w:r>
      <w:r w:rsidR="003455F1">
        <w:rPr>
          <w:b/>
        </w:rPr>
        <w:t xml:space="preserve"> </w:t>
      </w:r>
      <w:r>
        <w:rPr>
          <w:b/>
        </w:rPr>
        <w:t>marginalized</w:t>
      </w:r>
      <w:r w:rsidR="003455F1">
        <w:rPr>
          <w:b/>
        </w:rPr>
        <w:t xml:space="preserve"> </w:t>
      </w:r>
      <w:r>
        <w:rPr>
          <w:b/>
        </w:rPr>
        <w:t>workers.</w:t>
      </w:r>
    </w:p>
    <w:p w14:paraId="1A864D06" w14:textId="5D314284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Conditions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work</w:t>
      </w:r>
    </w:p>
    <w:p w14:paraId="2D459248" w14:textId="1737C30B" w:rsidR="00E06F94" w:rsidRPr="001F49A2" w:rsidRDefault="00E06F94" w:rsidP="00E06F94">
      <w:pPr>
        <w:pStyle w:val="SingleTxtG"/>
        <w:rPr>
          <w:rFonts w:eastAsia="Times New Roman"/>
          <w:lang w:val="en-US"/>
        </w:rPr>
      </w:pPr>
      <w:r>
        <w:t>26.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regrets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conditions</w:t>
      </w:r>
      <w:r w:rsidR="003455F1">
        <w:t xml:space="preserve"> </w:t>
      </w:r>
      <w:r>
        <w:t>of</w:t>
      </w:r>
      <w:r w:rsidR="003455F1">
        <w:t xml:space="preserve"> </w:t>
      </w:r>
      <w:r>
        <w:t>work</w:t>
      </w:r>
      <w:r w:rsidR="003455F1">
        <w:t xml:space="preserve"> </w:t>
      </w:r>
      <w:r>
        <w:t>of</w:t>
      </w:r>
      <w:r w:rsidR="003455F1">
        <w:t xml:space="preserve"> </w:t>
      </w:r>
      <w:r>
        <w:t>persons</w:t>
      </w:r>
      <w:r w:rsidR="003455F1">
        <w:t xml:space="preserve"> </w:t>
      </w:r>
      <w:r>
        <w:t>in</w:t>
      </w:r>
      <w:r w:rsidR="003455F1">
        <w:t xml:space="preserve"> </w:t>
      </w:r>
      <w:r>
        <w:t>certain</w:t>
      </w:r>
      <w:r w:rsidR="003455F1">
        <w:t xml:space="preserve"> </w:t>
      </w:r>
      <w:r>
        <w:t>sectors,</w:t>
      </w:r>
      <w:r w:rsidR="003455F1">
        <w:t xml:space="preserve"> </w:t>
      </w:r>
      <w:r>
        <w:t>such</w:t>
      </w:r>
      <w:r w:rsidR="003455F1">
        <w:t xml:space="preserve"> </w:t>
      </w:r>
      <w:r>
        <w:t>as</w:t>
      </w:r>
      <w:r w:rsidR="003455F1">
        <w:t xml:space="preserve"> </w:t>
      </w:r>
      <w:r>
        <w:t>agriculture,</w:t>
      </w:r>
      <w:r w:rsidR="003455F1">
        <w:t xml:space="preserve"> </w:t>
      </w:r>
      <w:r>
        <w:t>especially</w:t>
      </w:r>
      <w:r w:rsidR="003455F1">
        <w:t xml:space="preserve"> </w:t>
      </w:r>
      <w:r>
        <w:t>those</w:t>
      </w:r>
      <w:r w:rsidR="003455F1">
        <w:t xml:space="preserve"> </w:t>
      </w:r>
      <w:r>
        <w:t>employed</w:t>
      </w:r>
      <w:r w:rsidR="003455F1">
        <w:t xml:space="preserve"> </w:t>
      </w:r>
      <w:r>
        <w:t>on</w:t>
      </w:r>
      <w:r w:rsidR="003455F1">
        <w:t xml:space="preserve"> </w:t>
      </w:r>
      <w:r>
        <w:t>palm</w:t>
      </w:r>
      <w:r w:rsidR="003455F1">
        <w:t xml:space="preserve"> </w:t>
      </w:r>
      <w:r>
        <w:t>oil</w:t>
      </w:r>
      <w:r w:rsidR="003455F1">
        <w:t xml:space="preserve"> </w:t>
      </w:r>
      <w:r>
        <w:t>plantations,</w:t>
      </w:r>
      <w:r w:rsidR="003455F1">
        <w:t xml:space="preserve"> </w:t>
      </w:r>
      <w:r>
        <w:t>and</w:t>
      </w:r>
      <w:r w:rsidR="003455F1">
        <w:t xml:space="preserve"> </w:t>
      </w:r>
      <w:r>
        <w:t>domestic</w:t>
      </w:r>
      <w:r w:rsidR="003455F1">
        <w:t xml:space="preserve"> </w:t>
      </w:r>
      <w:r>
        <w:t>work,</w:t>
      </w:r>
      <w:r w:rsidR="003455F1">
        <w:t xml:space="preserve"> </w:t>
      </w:r>
      <w:r>
        <w:t>remain</w:t>
      </w:r>
      <w:r w:rsidR="003455F1">
        <w:t xml:space="preserve"> </w:t>
      </w:r>
      <w:r>
        <w:t>unstable.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that</w:t>
      </w:r>
      <w:r w:rsidR="003455F1">
        <w:t xml:space="preserve"> </w:t>
      </w:r>
      <w:r>
        <w:t>persons</w:t>
      </w:r>
      <w:r w:rsidR="003455F1">
        <w:t xml:space="preserve"> </w:t>
      </w:r>
      <w:r>
        <w:t>in</w:t>
      </w:r>
      <w:r w:rsidR="003455F1">
        <w:t xml:space="preserve"> </w:t>
      </w:r>
      <w:r>
        <w:t>those</w:t>
      </w:r>
      <w:r w:rsidR="003455F1">
        <w:t xml:space="preserve"> </w:t>
      </w:r>
      <w:r>
        <w:t>sectors</w:t>
      </w:r>
      <w:r w:rsidR="003455F1">
        <w:t xml:space="preserve"> </w:t>
      </w:r>
      <w:r>
        <w:t>are</w:t>
      </w:r>
      <w:r w:rsidR="003455F1">
        <w:t xml:space="preserve"> </w:t>
      </w:r>
      <w:r>
        <w:t>exposed</w:t>
      </w:r>
      <w:r w:rsidR="003455F1">
        <w:t xml:space="preserve"> </w:t>
      </w:r>
      <w:r>
        <w:t>to</w:t>
      </w:r>
      <w:r w:rsidR="003455F1">
        <w:t xml:space="preserve"> </w:t>
      </w:r>
      <w:r>
        <w:t>poor</w:t>
      </w:r>
      <w:r w:rsidR="003455F1">
        <w:t xml:space="preserve"> </w:t>
      </w:r>
      <w:r>
        <w:t>conditions</w:t>
      </w:r>
      <w:r w:rsidR="003455F1">
        <w:t xml:space="preserve"> </w:t>
      </w:r>
      <w:r>
        <w:t>of</w:t>
      </w:r>
      <w:r w:rsidR="003455F1">
        <w:t xml:space="preserve"> </w:t>
      </w:r>
      <w:r>
        <w:t>work,</w:t>
      </w:r>
      <w:r w:rsidR="003455F1">
        <w:t xml:space="preserve"> </w:t>
      </w:r>
      <w:r>
        <w:t>including</w:t>
      </w:r>
      <w:r w:rsidR="003455F1">
        <w:t xml:space="preserve"> </w:t>
      </w:r>
      <w:r>
        <w:t>prolonged</w:t>
      </w:r>
      <w:r w:rsidR="003455F1">
        <w:t xml:space="preserve"> </w:t>
      </w:r>
      <w:r>
        <w:t>hours,</w:t>
      </w:r>
      <w:r w:rsidR="003455F1">
        <w:t xml:space="preserve"> </w:t>
      </w:r>
      <w:r>
        <w:t>low</w:t>
      </w:r>
      <w:r w:rsidR="003455F1">
        <w:t xml:space="preserve"> </w:t>
      </w:r>
      <w:r>
        <w:t>pay,</w:t>
      </w:r>
      <w:r w:rsidR="003455F1">
        <w:t xml:space="preserve"> </w:t>
      </w:r>
      <w:r>
        <w:t>limited</w:t>
      </w:r>
      <w:r w:rsidR="003455F1">
        <w:t xml:space="preserve"> </w:t>
      </w:r>
      <w:r>
        <w:t>employment</w:t>
      </w:r>
      <w:r w:rsidR="003455F1">
        <w:t xml:space="preserve"> </w:t>
      </w:r>
      <w:r>
        <w:t>security</w:t>
      </w:r>
      <w:r w:rsidR="003455F1">
        <w:t xml:space="preserve"> </w:t>
      </w:r>
      <w:r>
        <w:t>and</w:t>
      </w:r>
      <w:r w:rsidR="003455F1">
        <w:t xml:space="preserve"> </w:t>
      </w:r>
      <w:r>
        <w:t>a</w:t>
      </w:r>
      <w:r w:rsidR="003455F1">
        <w:t xml:space="preserve"> </w:t>
      </w:r>
      <w:r>
        <w:t>risk</w:t>
      </w:r>
      <w:r w:rsidR="003455F1">
        <w:t xml:space="preserve"> </w:t>
      </w:r>
      <w:r>
        <w:t>of</w:t>
      </w:r>
      <w:r w:rsidR="003455F1">
        <w:t xml:space="preserve"> </w:t>
      </w:r>
      <w:r>
        <w:t>exploitation</w:t>
      </w:r>
      <w:r w:rsidR="003455F1">
        <w:t xml:space="preserve"> </w:t>
      </w:r>
      <w:r>
        <w:t>and</w:t>
      </w:r>
      <w:r w:rsidR="003455F1">
        <w:t xml:space="preserve"> </w:t>
      </w:r>
      <w:r>
        <w:t>violence,</w:t>
      </w:r>
      <w:r w:rsidR="003455F1">
        <w:t xml:space="preserve"> </w:t>
      </w:r>
      <w:r>
        <w:t>and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does</w:t>
      </w:r>
      <w:r w:rsidR="003455F1">
        <w:t xml:space="preserve"> </w:t>
      </w:r>
      <w:r>
        <w:t>not</w:t>
      </w:r>
      <w:r w:rsidR="003455F1">
        <w:t xml:space="preserve"> </w:t>
      </w:r>
      <w:r>
        <w:t>have</w:t>
      </w:r>
      <w:r w:rsidR="003455F1">
        <w:t xml:space="preserve"> </w:t>
      </w:r>
      <w:r>
        <w:t>sufficient</w:t>
      </w:r>
      <w:r w:rsidR="003455F1">
        <w:t xml:space="preserve"> </w:t>
      </w:r>
      <w:r>
        <w:t>human</w:t>
      </w:r>
      <w:r w:rsidR="003455F1">
        <w:t xml:space="preserve"> </w:t>
      </w:r>
      <w:r>
        <w:t>resources</w:t>
      </w:r>
      <w:r w:rsidR="003455F1">
        <w:t xml:space="preserve"> </w:t>
      </w:r>
      <w:r>
        <w:t>to</w:t>
      </w:r>
      <w:r w:rsidR="003455F1">
        <w:t xml:space="preserve"> </w:t>
      </w:r>
      <w:r>
        <w:t>conduct</w:t>
      </w:r>
      <w:r w:rsidR="003455F1">
        <w:t xml:space="preserve"> </w:t>
      </w:r>
      <w:r>
        <w:t>inspections</w:t>
      </w:r>
      <w:r w:rsidR="003455F1">
        <w:t xml:space="preserve"> </w:t>
      </w:r>
      <w:r>
        <w:t>with</w:t>
      </w:r>
      <w:r w:rsidR="003455F1">
        <w:t xml:space="preserve"> </w:t>
      </w:r>
      <w:r>
        <w:t>a</w:t>
      </w:r>
      <w:r w:rsidR="003455F1">
        <w:t xml:space="preserve"> </w:t>
      </w:r>
      <w:r>
        <w:t>view</w:t>
      </w:r>
      <w:r w:rsidR="003455F1">
        <w:t xml:space="preserve"> </w:t>
      </w:r>
      <w:r>
        <w:t>to</w:t>
      </w:r>
      <w:r w:rsidR="003455F1">
        <w:t xml:space="preserve"> </w:t>
      </w:r>
      <w:r>
        <w:t>providing</w:t>
      </w:r>
      <w:r w:rsidR="003455F1">
        <w:t xml:space="preserve"> </w:t>
      </w:r>
      <w:r>
        <w:t>effective</w:t>
      </w:r>
      <w:r w:rsidR="003455F1">
        <w:t xml:space="preserve"> </w:t>
      </w:r>
      <w:r>
        <w:t>solutions</w:t>
      </w:r>
      <w:r w:rsidR="003455F1">
        <w:t xml:space="preserve"> </w:t>
      </w:r>
      <w:r>
        <w:t>to</w:t>
      </w:r>
      <w:r w:rsidR="003455F1">
        <w:t xml:space="preserve"> </w:t>
      </w:r>
      <w:r>
        <w:t>workers</w:t>
      </w:r>
      <w:r w:rsidR="003455F1">
        <w:t xml:space="preserve"> </w:t>
      </w:r>
      <w:r>
        <w:t>(art.</w:t>
      </w:r>
      <w:r w:rsidR="00587F16">
        <w:t> </w:t>
      </w:r>
      <w:r>
        <w:t>7).</w:t>
      </w:r>
    </w:p>
    <w:p w14:paraId="5011D188" w14:textId="73D3EED5" w:rsidR="00866BF2" w:rsidRDefault="00E06F94" w:rsidP="0056372C">
      <w:pPr>
        <w:pStyle w:val="SingleTxtG"/>
        <w:keepNext/>
      </w:pPr>
      <w:r>
        <w:lastRenderedPageBreak/>
        <w:t>27.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5AA799E0" w14:textId="26D56F06" w:rsidR="00866BF2" w:rsidRDefault="0056372C" w:rsidP="0056372C">
      <w:pPr>
        <w:pStyle w:val="SingleTxtG"/>
        <w:keepNext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improve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conditions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work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engaged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agricultural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domestic</w:t>
      </w:r>
      <w:r w:rsidR="003455F1">
        <w:rPr>
          <w:b/>
        </w:rPr>
        <w:t xml:space="preserve"> </w:t>
      </w:r>
      <w:r w:rsidR="00E06F94">
        <w:rPr>
          <w:b/>
        </w:rPr>
        <w:t>work</w:t>
      </w:r>
      <w:r w:rsidR="003455F1">
        <w:rPr>
          <w:b/>
        </w:rPr>
        <w:t xml:space="preserve"> </w:t>
      </w:r>
      <w:r w:rsidR="00E06F94">
        <w:rPr>
          <w:b/>
        </w:rPr>
        <w:t>so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they</w:t>
      </w:r>
      <w:r w:rsidR="003455F1">
        <w:rPr>
          <w:b/>
        </w:rPr>
        <w:t xml:space="preserve"> </w:t>
      </w:r>
      <w:r w:rsidR="00E06F94">
        <w:rPr>
          <w:b/>
        </w:rPr>
        <w:t>may</w:t>
      </w:r>
      <w:r w:rsidR="003455F1">
        <w:rPr>
          <w:b/>
        </w:rPr>
        <w:t xml:space="preserve"> </w:t>
      </w:r>
      <w:r w:rsidR="00E06F94">
        <w:rPr>
          <w:b/>
        </w:rPr>
        <w:t>enjoy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same</w:t>
      </w:r>
      <w:r w:rsidR="003455F1">
        <w:rPr>
          <w:b/>
        </w:rPr>
        <w:t xml:space="preserve"> </w:t>
      </w:r>
      <w:r w:rsidR="00E06F94">
        <w:rPr>
          <w:b/>
        </w:rPr>
        <w:t>conditions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work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other</w:t>
      </w:r>
      <w:r w:rsidR="003455F1">
        <w:rPr>
          <w:b/>
        </w:rPr>
        <w:t xml:space="preserve"> </w:t>
      </w:r>
      <w:r w:rsidR="00E06F94">
        <w:rPr>
          <w:b/>
        </w:rPr>
        <w:t>sectors;</w:t>
      </w:r>
    </w:p>
    <w:p w14:paraId="7020A6FC" w14:textId="391EC126" w:rsidR="00866BF2" w:rsidRDefault="0056372C" w:rsidP="00E06F94">
      <w:pPr>
        <w:pStyle w:val="SingleTxtG"/>
      </w:pPr>
      <w:r>
        <w:tab/>
      </w:r>
      <w:r w:rsidR="00E06F94" w:rsidRPr="00BB1B17">
        <w:t>(b)</w:t>
      </w:r>
      <w:r w:rsidR="00E06F94">
        <w:tab/>
      </w:r>
      <w:r w:rsidR="00E06F94">
        <w:rPr>
          <w:b/>
        </w:rPr>
        <w:t>Continue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strengthen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mandate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capacity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labour</w:t>
      </w:r>
      <w:r w:rsidR="003455F1">
        <w:rPr>
          <w:b/>
        </w:rPr>
        <w:t xml:space="preserve"> </w:t>
      </w:r>
      <w:r w:rsidR="00E06F94">
        <w:rPr>
          <w:b/>
        </w:rPr>
        <w:t>inspectors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effectively</w:t>
      </w:r>
      <w:r w:rsidR="003455F1">
        <w:rPr>
          <w:b/>
        </w:rPr>
        <w:t xml:space="preserve"> </w:t>
      </w:r>
      <w:r w:rsidR="00E06F94">
        <w:rPr>
          <w:b/>
        </w:rPr>
        <w:t>monitor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conditions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work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these</w:t>
      </w:r>
      <w:r w:rsidR="003455F1">
        <w:rPr>
          <w:b/>
        </w:rPr>
        <w:t xml:space="preserve"> </w:t>
      </w:r>
      <w:r w:rsidR="00E06F94">
        <w:rPr>
          <w:b/>
        </w:rPr>
        <w:t>sectors</w:t>
      </w:r>
      <w:r w:rsidR="003455F1">
        <w:rPr>
          <w:b/>
        </w:rPr>
        <w:t xml:space="preserve"> </w:t>
      </w:r>
      <w:r w:rsidR="00E06F94">
        <w:rPr>
          <w:b/>
        </w:rPr>
        <w:t>and,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much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possible,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informal</w:t>
      </w:r>
      <w:r w:rsidR="003455F1">
        <w:rPr>
          <w:b/>
        </w:rPr>
        <w:t xml:space="preserve"> </w:t>
      </w:r>
      <w:r w:rsidR="00E06F94">
        <w:rPr>
          <w:b/>
        </w:rPr>
        <w:t>sector;</w:t>
      </w:r>
    </w:p>
    <w:p w14:paraId="028C1236" w14:textId="18B205E7" w:rsidR="00866BF2" w:rsidRDefault="0056372C" w:rsidP="00E06F94">
      <w:pPr>
        <w:pStyle w:val="SingleTxtG"/>
      </w:pPr>
      <w:r>
        <w:tab/>
      </w:r>
      <w:r w:rsidR="00E06F94" w:rsidRPr="00BB1B17">
        <w:t>(c)</w:t>
      </w:r>
      <w:r w:rsidR="00E06F94">
        <w:tab/>
      </w:r>
      <w:r w:rsidR="00E06F94">
        <w:rPr>
          <w:b/>
        </w:rPr>
        <w:t>Set</w:t>
      </w:r>
      <w:r w:rsidR="003455F1">
        <w:rPr>
          <w:b/>
        </w:rPr>
        <w:t xml:space="preserve"> </w:t>
      </w:r>
      <w:r w:rsidR="00E06F94">
        <w:rPr>
          <w:b/>
        </w:rPr>
        <w:t>up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mechanisms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report</w:t>
      </w:r>
      <w:r w:rsidR="003455F1">
        <w:rPr>
          <w:b/>
        </w:rPr>
        <w:t xml:space="preserve"> </w:t>
      </w:r>
      <w:r w:rsidR="00E06F94">
        <w:rPr>
          <w:b/>
        </w:rPr>
        <w:t>abuses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exploitation,</w:t>
      </w:r>
      <w:r w:rsidR="003455F1">
        <w:rPr>
          <w:b/>
        </w:rPr>
        <w:t xml:space="preserve"> </w:t>
      </w:r>
      <w:r w:rsidR="00E06F94">
        <w:rPr>
          <w:b/>
        </w:rPr>
        <w:t>taking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vulnerable</w:t>
      </w:r>
      <w:r w:rsidR="003455F1">
        <w:rPr>
          <w:b/>
        </w:rPr>
        <w:t xml:space="preserve"> </w:t>
      </w:r>
      <w:r w:rsidR="00E06F94">
        <w:rPr>
          <w:b/>
        </w:rPr>
        <w:t>position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workers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these</w:t>
      </w:r>
      <w:r w:rsidR="003455F1">
        <w:rPr>
          <w:b/>
        </w:rPr>
        <w:t xml:space="preserve"> </w:t>
      </w:r>
      <w:r w:rsidR="00E06F94">
        <w:rPr>
          <w:b/>
        </w:rPr>
        <w:t>sectors;</w:t>
      </w:r>
    </w:p>
    <w:p w14:paraId="5C77C8C0" w14:textId="734FDDC0" w:rsidR="00866BF2" w:rsidRDefault="0056372C" w:rsidP="00E06F94">
      <w:pPr>
        <w:pStyle w:val="SingleTxtG"/>
      </w:pPr>
      <w:r>
        <w:tab/>
      </w:r>
      <w:r w:rsidR="00E06F94" w:rsidRPr="00BB1B17">
        <w:t>(d)</w:t>
      </w:r>
      <w:r w:rsidR="00E06F94">
        <w:tab/>
      </w:r>
      <w:r w:rsidR="00E06F94">
        <w:rPr>
          <w:b/>
        </w:rPr>
        <w:t>Ratify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ILO</w:t>
      </w:r>
      <w:r w:rsidR="003455F1">
        <w:rPr>
          <w:b/>
        </w:rPr>
        <w:t xml:space="preserve"> </w:t>
      </w:r>
      <w:r w:rsidR="00E06F94">
        <w:rPr>
          <w:b/>
        </w:rPr>
        <w:t>Domestic</w:t>
      </w:r>
      <w:r w:rsidR="003455F1">
        <w:rPr>
          <w:b/>
        </w:rPr>
        <w:t xml:space="preserve"> </w:t>
      </w:r>
      <w:r w:rsidR="00E06F94">
        <w:rPr>
          <w:b/>
        </w:rPr>
        <w:t>Workers</w:t>
      </w:r>
      <w:r w:rsidR="003455F1">
        <w:rPr>
          <w:b/>
        </w:rPr>
        <w:t xml:space="preserve"> </w:t>
      </w:r>
      <w:r w:rsidR="00E06F94">
        <w:rPr>
          <w:b/>
        </w:rPr>
        <w:t>Convention,</w:t>
      </w:r>
      <w:r w:rsidR="003455F1">
        <w:rPr>
          <w:b/>
        </w:rPr>
        <w:t xml:space="preserve"> </w:t>
      </w:r>
      <w:r w:rsidR="00E06F94">
        <w:rPr>
          <w:b/>
        </w:rPr>
        <w:t>2011</w:t>
      </w:r>
      <w:r w:rsidR="003455F1">
        <w:rPr>
          <w:b/>
        </w:rPr>
        <w:t xml:space="preserve"> </w:t>
      </w:r>
      <w:r w:rsidR="00E06F94">
        <w:rPr>
          <w:b/>
        </w:rPr>
        <w:t>(No.</w:t>
      </w:r>
      <w:r w:rsidR="003455F1">
        <w:rPr>
          <w:b/>
        </w:rPr>
        <w:t xml:space="preserve"> </w:t>
      </w:r>
      <w:r w:rsidR="00E06F94">
        <w:rPr>
          <w:b/>
        </w:rPr>
        <w:t>189);</w:t>
      </w:r>
    </w:p>
    <w:p w14:paraId="48A719E1" w14:textId="5E3688F9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(e)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comment</w:t>
      </w:r>
      <w:r w:rsidR="003455F1">
        <w:rPr>
          <w:b/>
        </w:rPr>
        <w:t xml:space="preserve"> </w:t>
      </w:r>
      <w:r w:rsidR="00E06F94">
        <w:rPr>
          <w:b/>
        </w:rPr>
        <w:t>No.</w:t>
      </w:r>
      <w:r w:rsidR="003455F1">
        <w:rPr>
          <w:b/>
        </w:rPr>
        <w:t xml:space="preserve"> </w:t>
      </w:r>
      <w:r w:rsidR="00E06F94">
        <w:rPr>
          <w:b/>
        </w:rPr>
        <w:t>23</w:t>
      </w:r>
      <w:r w:rsidR="003455F1">
        <w:rPr>
          <w:b/>
        </w:rPr>
        <w:t xml:space="preserve"> </w:t>
      </w:r>
      <w:r w:rsidR="00E06F94">
        <w:rPr>
          <w:b/>
        </w:rPr>
        <w:t>(2016)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just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favourable</w:t>
      </w:r>
      <w:r w:rsidR="003455F1">
        <w:rPr>
          <w:b/>
        </w:rPr>
        <w:t xml:space="preserve"> </w:t>
      </w:r>
      <w:r w:rsidR="00E06F94">
        <w:rPr>
          <w:b/>
        </w:rPr>
        <w:t>conditions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work.</w:t>
      </w:r>
    </w:p>
    <w:p w14:paraId="6767FF56" w14:textId="6BF38F74" w:rsidR="00866BF2" w:rsidRDefault="0056372C" w:rsidP="0056372C">
      <w:pPr>
        <w:pStyle w:val="H23G"/>
      </w:pPr>
      <w:r>
        <w:tab/>
      </w:r>
      <w:r>
        <w:tab/>
      </w:r>
      <w:r w:rsidR="00E06F94" w:rsidRPr="009D2664">
        <w:t>Trade</w:t>
      </w:r>
      <w:r w:rsidR="003455F1">
        <w:t xml:space="preserve"> </w:t>
      </w:r>
      <w:r w:rsidR="00E06F94" w:rsidRPr="009D2664">
        <w:t>union</w:t>
      </w:r>
      <w:r w:rsidR="003455F1">
        <w:t xml:space="preserve"> </w:t>
      </w:r>
      <w:r w:rsidR="00E06F94" w:rsidRPr="009D2664">
        <w:t>rights</w:t>
      </w:r>
    </w:p>
    <w:p w14:paraId="75214317" w14:textId="12E87375" w:rsidR="00E06F94" w:rsidRPr="001F49A2" w:rsidRDefault="00E06F94" w:rsidP="00E06F94">
      <w:pPr>
        <w:pStyle w:val="SingleTxtG"/>
        <w:rPr>
          <w:lang w:val="en-US"/>
        </w:rPr>
      </w:pPr>
      <w:r>
        <w:t>28.</w:t>
      </w:r>
      <w:r>
        <w:tab/>
        <w:t>While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the</w:t>
      </w:r>
      <w:r w:rsidR="003455F1">
        <w:t xml:space="preserve"> </w:t>
      </w:r>
      <w:r>
        <w:t>efforts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to</w:t>
      </w:r>
      <w:r w:rsidR="003455F1">
        <w:t xml:space="preserve"> </w:t>
      </w:r>
      <w:r>
        <w:t>ensure</w:t>
      </w:r>
      <w:r w:rsidR="003455F1">
        <w:t xml:space="preserve"> </w:t>
      </w:r>
      <w:r>
        <w:t>respect</w:t>
      </w:r>
      <w:r w:rsidR="003455F1">
        <w:t xml:space="preserve"> </w:t>
      </w:r>
      <w:r>
        <w:t>for</w:t>
      </w:r>
      <w:r w:rsidR="003455F1">
        <w:t xml:space="preserve"> </w:t>
      </w:r>
      <w:r>
        <w:t>trade</w:t>
      </w:r>
      <w:r w:rsidR="003455F1">
        <w:t xml:space="preserve"> </w:t>
      </w:r>
      <w:r>
        <w:t>union</w:t>
      </w:r>
      <w:r w:rsidR="003455F1">
        <w:t xml:space="preserve"> </w:t>
      </w:r>
      <w:r>
        <w:t>rights</w:t>
      </w:r>
      <w:r w:rsidR="003455F1">
        <w:t xml:space="preserve"> </w:t>
      </w:r>
      <w:r>
        <w:t>through</w:t>
      </w:r>
      <w:r w:rsidR="003455F1">
        <w:t xml:space="preserve"> </w:t>
      </w:r>
      <w:r>
        <w:t>the</w:t>
      </w:r>
      <w:r w:rsidR="003455F1">
        <w:t xml:space="preserve"> </w:t>
      </w:r>
      <w:r>
        <w:t>establishment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Tripartite</w:t>
      </w:r>
      <w:r w:rsidR="003455F1">
        <w:t xml:space="preserve"> </w:t>
      </w:r>
      <w:r>
        <w:t>Commission</w:t>
      </w:r>
      <w:r w:rsidR="003455F1">
        <w:t xml:space="preserve"> </w:t>
      </w:r>
      <w:r>
        <w:t>on</w:t>
      </w:r>
      <w:r w:rsidR="003455F1">
        <w:t xml:space="preserve"> </w:t>
      </w:r>
      <w:r>
        <w:t>Labour</w:t>
      </w:r>
      <w:r w:rsidR="003455F1">
        <w:t xml:space="preserve"> </w:t>
      </w:r>
      <w:r>
        <w:t>Relations</w:t>
      </w:r>
      <w:r w:rsidR="003455F1">
        <w:t xml:space="preserve"> </w:t>
      </w:r>
      <w:r>
        <w:t>and</w:t>
      </w:r>
      <w:r w:rsidR="003455F1">
        <w:t xml:space="preserve"> </w:t>
      </w:r>
      <w:r>
        <w:t>Trade</w:t>
      </w:r>
      <w:r w:rsidR="003455F1">
        <w:t xml:space="preserve"> </w:t>
      </w:r>
      <w:r>
        <w:t>Union</w:t>
      </w:r>
      <w:r w:rsidR="003455F1">
        <w:t xml:space="preserve"> </w:t>
      </w:r>
      <w:r>
        <w:t>Freedom,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right</w:t>
      </w:r>
      <w:r w:rsidR="003455F1">
        <w:t xml:space="preserve"> </w:t>
      </w:r>
      <w:r>
        <w:t>to</w:t>
      </w:r>
      <w:r w:rsidR="003455F1">
        <w:t xml:space="preserve"> </w:t>
      </w:r>
      <w:r>
        <w:t>collective</w:t>
      </w:r>
      <w:r w:rsidR="003455F1">
        <w:t xml:space="preserve"> </w:t>
      </w:r>
      <w:r>
        <w:t>bargaining,</w:t>
      </w:r>
      <w:r w:rsidR="003455F1">
        <w:t xml:space="preserve"> </w:t>
      </w:r>
      <w:r>
        <w:t>to</w:t>
      </w:r>
      <w:r w:rsidR="003455F1">
        <w:t xml:space="preserve"> </w:t>
      </w:r>
      <w:r>
        <w:t>strike</w:t>
      </w:r>
      <w:r w:rsidR="003455F1">
        <w:t xml:space="preserve"> </w:t>
      </w:r>
      <w:r>
        <w:t>and</w:t>
      </w:r>
      <w:r w:rsidR="003455F1">
        <w:t xml:space="preserve"> </w:t>
      </w:r>
      <w:r>
        <w:t>to</w:t>
      </w:r>
      <w:r w:rsidR="003455F1">
        <w:t xml:space="preserve"> </w:t>
      </w:r>
      <w:r>
        <w:t>form</w:t>
      </w:r>
      <w:r w:rsidR="003455F1">
        <w:t xml:space="preserve"> </w:t>
      </w:r>
      <w:r>
        <w:t>trade</w:t>
      </w:r>
      <w:r w:rsidR="003455F1">
        <w:t xml:space="preserve"> </w:t>
      </w:r>
      <w:r>
        <w:t>unions</w:t>
      </w:r>
      <w:r w:rsidR="003455F1">
        <w:t xml:space="preserve"> </w:t>
      </w:r>
      <w:r>
        <w:t>remain</w:t>
      </w:r>
      <w:r w:rsidR="003455F1">
        <w:t xml:space="preserve"> </w:t>
      </w:r>
      <w:r>
        <w:t>restricted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party.</w:t>
      </w:r>
      <w:r w:rsidR="003455F1">
        <w:t xml:space="preserve"> </w:t>
      </w:r>
      <w:r>
        <w:t>In</w:t>
      </w:r>
      <w:r w:rsidR="003455F1">
        <w:t xml:space="preserve"> </w:t>
      </w:r>
      <w:r>
        <w:t>particular,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reports</w:t>
      </w:r>
      <w:r w:rsidR="003455F1">
        <w:t xml:space="preserve"> </w:t>
      </w:r>
      <w:r>
        <w:t>that</w:t>
      </w:r>
      <w:r w:rsidR="003455F1">
        <w:t xml:space="preserve"> </w:t>
      </w:r>
      <w:r>
        <w:t>leaders</w:t>
      </w:r>
      <w:r w:rsidR="003455F1">
        <w:t xml:space="preserve"> </w:t>
      </w:r>
      <w:r>
        <w:t>and</w:t>
      </w:r>
      <w:r w:rsidR="003455F1">
        <w:t xml:space="preserve"> </w:t>
      </w:r>
      <w:r>
        <w:t>members</w:t>
      </w:r>
      <w:r w:rsidR="003455F1">
        <w:t xml:space="preserve"> </w:t>
      </w:r>
      <w:r>
        <w:t>of</w:t>
      </w:r>
      <w:r w:rsidR="003455F1">
        <w:t xml:space="preserve"> </w:t>
      </w:r>
      <w:r>
        <w:t>trade</w:t>
      </w:r>
      <w:r w:rsidR="003455F1">
        <w:t xml:space="preserve"> </w:t>
      </w:r>
      <w:r>
        <w:t>unions</w:t>
      </w:r>
      <w:r w:rsidR="003455F1">
        <w:t xml:space="preserve"> </w:t>
      </w:r>
      <w:r>
        <w:t>have</w:t>
      </w:r>
      <w:r w:rsidR="003455F1">
        <w:t xml:space="preserve"> </w:t>
      </w:r>
      <w:r>
        <w:t>been</w:t>
      </w:r>
      <w:r w:rsidR="003455F1">
        <w:t xml:space="preserve"> </w:t>
      </w:r>
      <w:r>
        <w:t>threatened,</w:t>
      </w:r>
      <w:r w:rsidR="003455F1">
        <w:t xml:space="preserve"> </w:t>
      </w:r>
      <w:r>
        <w:t>subjected</w:t>
      </w:r>
      <w:r w:rsidR="003455F1">
        <w:t xml:space="preserve"> </w:t>
      </w:r>
      <w:r>
        <w:t>to</w:t>
      </w:r>
      <w:r w:rsidR="003455F1">
        <w:t xml:space="preserve"> </w:t>
      </w:r>
      <w:r>
        <w:t>violence</w:t>
      </w:r>
      <w:r w:rsidR="003455F1">
        <w:t xml:space="preserve"> </w:t>
      </w:r>
      <w:r>
        <w:t>and</w:t>
      </w:r>
      <w:r w:rsidR="003455F1">
        <w:t xml:space="preserve"> </w:t>
      </w:r>
      <w:r>
        <w:t>even</w:t>
      </w:r>
      <w:r w:rsidR="003455F1">
        <w:t xml:space="preserve"> </w:t>
      </w:r>
      <w:r>
        <w:t>killed</w:t>
      </w:r>
      <w:r w:rsidR="003455F1">
        <w:t xml:space="preserve"> </w:t>
      </w:r>
      <w:r>
        <w:t>(art.</w:t>
      </w:r>
      <w:r w:rsidR="003455F1">
        <w:t xml:space="preserve"> </w:t>
      </w:r>
      <w:r>
        <w:t>8).</w:t>
      </w:r>
    </w:p>
    <w:p w14:paraId="1817B255" w14:textId="263377D5" w:rsidR="00E06F94" w:rsidRPr="001F49A2" w:rsidRDefault="00E06F94" w:rsidP="00E06F94">
      <w:pPr>
        <w:pStyle w:val="SingleTxtG"/>
        <w:rPr>
          <w:b/>
          <w:lang w:val="en-US"/>
        </w:rPr>
      </w:pPr>
      <w:r>
        <w:t>29.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respect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trade</w:t>
      </w:r>
      <w:r w:rsidR="003455F1">
        <w:rPr>
          <w:b/>
        </w:rPr>
        <w:t xml:space="preserve"> </w:t>
      </w:r>
      <w:r>
        <w:rPr>
          <w:b/>
        </w:rPr>
        <w:t>union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workers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conformity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article</w:t>
      </w:r>
      <w:r w:rsidR="003455F1">
        <w:rPr>
          <w:b/>
        </w:rPr>
        <w:t xml:space="preserve"> </w:t>
      </w:r>
      <w:r>
        <w:rPr>
          <w:b/>
        </w:rPr>
        <w:t>8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provisions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ILO</w:t>
      </w:r>
      <w:r w:rsidR="003455F1">
        <w:rPr>
          <w:b/>
        </w:rPr>
        <w:t xml:space="preserve"> </w:t>
      </w:r>
      <w:r>
        <w:rPr>
          <w:b/>
        </w:rPr>
        <w:t>Freedom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Association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Organise</w:t>
      </w:r>
      <w:r w:rsidR="003455F1">
        <w:rPr>
          <w:b/>
        </w:rPr>
        <w:t xml:space="preserve"> </w:t>
      </w:r>
      <w:r>
        <w:rPr>
          <w:b/>
        </w:rPr>
        <w:t>Convention,</w:t>
      </w:r>
      <w:r w:rsidR="003455F1">
        <w:rPr>
          <w:b/>
        </w:rPr>
        <w:t xml:space="preserve"> </w:t>
      </w:r>
      <w:r>
        <w:rPr>
          <w:b/>
        </w:rPr>
        <w:t>1948</w:t>
      </w:r>
      <w:r w:rsidR="003455F1">
        <w:rPr>
          <w:b/>
        </w:rPr>
        <w:t xml:space="preserve"> </w:t>
      </w:r>
      <w:r>
        <w:rPr>
          <w:b/>
        </w:rPr>
        <w:t>(No.</w:t>
      </w:r>
      <w:r w:rsidR="003455F1">
        <w:rPr>
          <w:b/>
        </w:rPr>
        <w:t xml:space="preserve"> </w:t>
      </w:r>
      <w:r>
        <w:rPr>
          <w:b/>
        </w:rPr>
        <w:t>87)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Organise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Collective</w:t>
      </w:r>
      <w:r w:rsidR="003455F1">
        <w:rPr>
          <w:b/>
        </w:rPr>
        <w:t xml:space="preserve"> </w:t>
      </w:r>
      <w:r>
        <w:rPr>
          <w:b/>
        </w:rPr>
        <w:t>Bargaining</w:t>
      </w:r>
      <w:r w:rsidR="003455F1">
        <w:rPr>
          <w:b/>
        </w:rPr>
        <w:t xml:space="preserve"> </w:t>
      </w:r>
      <w:r>
        <w:rPr>
          <w:b/>
        </w:rPr>
        <w:t>Convention,</w:t>
      </w:r>
      <w:r w:rsidR="003455F1">
        <w:rPr>
          <w:b/>
        </w:rPr>
        <w:t xml:space="preserve"> </w:t>
      </w:r>
      <w:r>
        <w:rPr>
          <w:b/>
        </w:rPr>
        <w:t>1949</w:t>
      </w:r>
      <w:r w:rsidR="003455F1">
        <w:rPr>
          <w:b/>
        </w:rPr>
        <w:t xml:space="preserve"> </w:t>
      </w:r>
      <w:r>
        <w:rPr>
          <w:b/>
        </w:rPr>
        <w:t>(No.</w:t>
      </w:r>
      <w:r w:rsidR="003455F1">
        <w:rPr>
          <w:b/>
        </w:rPr>
        <w:t xml:space="preserve"> </w:t>
      </w:r>
      <w:r>
        <w:rPr>
          <w:b/>
        </w:rPr>
        <w:t>98).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pursue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efforts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bolster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work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Tripartite</w:t>
      </w:r>
      <w:r w:rsidR="003455F1">
        <w:rPr>
          <w:b/>
        </w:rPr>
        <w:t xml:space="preserve"> </w:t>
      </w:r>
      <w:r>
        <w:rPr>
          <w:b/>
        </w:rPr>
        <w:t>Commission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Labour</w:t>
      </w:r>
      <w:r w:rsidR="003455F1">
        <w:rPr>
          <w:b/>
        </w:rPr>
        <w:t xml:space="preserve"> </w:t>
      </w:r>
      <w:r>
        <w:rPr>
          <w:b/>
        </w:rPr>
        <w:t>Relations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Trade</w:t>
      </w:r>
      <w:r w:rsidR="003455F1">
        <w:rPr>
          <w:b/>
        </w:rPr>
        <w:t xml:space="preserve"> </w:t>
      </w:r>
      <w:r>
        <w:rPr>
          <w:b/>
        </w:rPr>
        <w:t>Union</w:t>
      </w:r>
      <w:r w:rsidR="003455F1">
        <w:rPr>
          <w:b/>
        </w:rPr>
        <w:t xml:space="preserve"> </w:t>
      </w:r>
      <w:r>
        <w:rPr>
          <w:b/>
        </w:rPr>
        <w:t>Freedom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order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strengthen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dialogue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trade</w:t>
      </w:r>
      <w:r w:rsidR="003455F1">
        <w:rPr>
          <w:b/>
        </w:rPr>
        <w:t xml:space="preserve"> </w:t>
      </w:r>
      <w:r>
        <w:rPr>
          <w:b/>
        </w:rPr>
        <w:t>union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are</w:t>
      </w:r>
      <w:r w:rsidR="003455F1">
        <w:rPr>
          <w:b/>
        </w:rPr>
        <w:t xml:space="preserve"> </w:t>
      </w:r>
      <w:r>
        <w:rPr>
          <w:b/>
        </w:rPr>
        <w:t>respected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practice.</w:t>
      </w:r>
      <w:r w:rsidR="003455F1"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addition,</w:t>
      </w:r>
      <w:r w:rsidR="003455F1">
        <w:rPr>
          <w:b/>
        </w:rPr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calls</w:t>
      </w:r>
      <w:r w:rsidR="003455F1">
        <w:rPr>
          <w:b/>
        </w:rPr>
        <w:t xml:space="preserve"> </w:t>
      </w:r>
      <w:r>
        <w:rPr>
          <w:b/>
        </w:rPr>
        <w:t>upon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establish</w:t>
      </w:r>
      <w:r w:rsidR="003455F1">
        <w:rPr>
          <w:b/>
        </w:rPr>
        <w:t xml:space="preserve"> </w:t>
      </w:r>
      <w:r>
        <w:rPr>
          <w:b/>
        </w:rPr>
        <w:t>mechanisms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trade</w:t>
      </w:r>
      <w:r w:rsidR="003455F1">
        <w:rPr>
          <w:b/>
        </w:rPr>
        <w:t xml:space="preserve"> </w:t>
      </w:r>
      <w:r>
        <w:rPr>
          <w:b/>
        </w:rPr>
        <w:t>union</w:t>
      </w:r>
      <w:r w:rsidR="003455F1">
        <w:rPr>
          <w:b/>
        </w:rPr>
        <w:t xml:space="preserve"> </w:t>
      </w:r>
      <w:r>
        <w:rPr>
          <w:b/>
        </w:rPr>
        <w:t>rights,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investigation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complaints</w:t>
      </w:r>
      <w:r w:rsidR="003455F1">
        <w:rPr>
          <w:b/>
        </w:rPr>
        <w:t xml:space="preserve"> </w:t>
      </w:r>
      <w:r>
        <w:rPr>
          <w:b/>
        </w:rPr>
        <w:t>brought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attention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adequate</w:t>
      </w:r>
      <w:r w:rsidR="003455F1">
        <w:rPr>
          <w:b/>
        </w:rPr>
        <w:t xml:space="preserve"> </w:t>
      </w:r>
      <w:r>
        <w:rPr>
          <w:b/>
        </w:rPr>
        <w:t>compensation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workers</w:t>
      </w:r>
      <w:r w:rsidR="003455F1">
        <w:rPr>
          <w:b/>
        </w:rPr>
        <w:t xml:space="preserve"> </w:t>
      </w:r>
      <w:r>
        <w:rPr>
          <w:b/>
        </w:rPr>
        <w:t>concerned.</w:t>
      </w:r>
    </w:p>
    <w:p w14:paraId="013636B7" w14:textId="63BDCE54" w:rsidR="00866BF2" w:rsidRDefault="0056372C" w:rsidP="0056372C">
      <w:pPr>
        <w:pStyle w:val="H23G"/>
      </w:pPr>
      <w:r>
        <w:tab/>
      </w:r>
      <w:r>
        <w:tab/>
      </w:r>
      <w:r w:rsidR="00E06F94">
        <w:t>Social</w:t>
      </w:r>
      <w:r w:rsidR="003455F1">
        <w:t xml:space="preserve"> </w:t>
      </w:r>
      <w:r w:rsidR="00E06F94">
        <w:t>security</w:t>
      </w:r>
    </w:p>
    <w:p w14:paraId="73C006EA" w14:textId="516E6527" w:rsidR="00E06F94" w:rsidRPr="001F49A2" w:rsidRDefault="00E06F94" w:rsidP="00E06F94">
      <w:pPr>
        <w:pStyle w:val="SingleTxtG"/>
        <w:rPr>
          <w:lang w:val="en-US"/>
        </w:rPr>
      </w:pPr>
      <w:r>
        <w:t>30.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fact</w:t>
      </w:r>
      <w:r w:rsidR="003455F1">
        <w:t xml:space="preserve"> </w:t>
      </w:r>
      <w:r>
        <w:t>that</w:t>
      </w:r>
      <w:r w:rsidR="003455F1">
        <w:t xml:space="preserve"> </w:t>
      </w:r>
      <w:r>
        <w:t>social</w:t>
      </w:r>
      <w:r w:rsidR="003455F1">
        <w:t xml:space="preserve"> </w:t>
      </w:r>
      <w:r>
        <w:t>security</w:t>
      </w:r>
      <w:r w:rsidR="003455F1">
        <w:t xml:space="preserve"> </w:t>
      </w:r>
      <w:r>
        <w:t>benefits</w:t>
      </w:r>
      <w:r w:rsidR="003455F1">
        <w:t xml:space="preserve"> </w:t>
      </w:r>
      <w:r>
        <w:t>are</w:t>
      </w:r>
      <w:r w:rsidR="003455F1">
        <w:t xml:space="preserve"> </w:t>
      </w:r>
      <w:r>
        <w:t>tightly</w:t>
      </w:r>
      <w:r w:rsidR="003455F1">
        <w:t xml:space="preserve"> </w:t>
      </w:r>
      <w:r>
        <w:t>linked</w:t>
      </w:r>
      <w:r w:rsidR="003455F1">
        <w:t xml:space="preserve"> </w:t>
      </w:r>
      <w:r>
        <w:t>to</w:t>
      </w:r>
      <w:r w:rsidR="003455F1">
        <w:t xml:space="preserve"> </w:t>
      </w:r>
      <w:r>
        <w:t>formal</w:t>
      </w:r>
      <w:r w:rsidR="003455F1">
        <w:t xml:space="preserve"> </w:t>
      </w:r>
      <w:r>
        <w:t>employment,</w:t>
      </w:r>
      <w:r w:rsidR="003455F1">
        <w:t xml:space="preserve"> </w:t>
      </w:r>
      <w:r>
        <w:t>as</w:t>
      </w:r>
      <w:r w:rsidR="003455F1">
        <w:t xml:space="preserve"> </w:t>
      </w:r>
      <w:r>
        <w:t>reflected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low</w:t>
      </w:r>
      <w:r w:rsidR="003455F1">
        <w:t xml:space="preserve"> </w:t>
      </w:r>
      <w:r>
        <w:t>coverage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social</w:t>
      </w:r>
      <w:r w:rsidR="003455F1">
        <w:t xml:space="preserve"> </w:t>
      </w:r>
      <w:r>
        <w:t>security</w:t>
      </w:r>
      <w:r w:rsidR="003455F1">
        <w:t xml:space="preserve"> </w:t>
      </w:r>
      <w:r>
        <w:t>system,</w:t>
      </w:r>
      <w:r w:rsidR="003455F1">
        <w:t xml:space="preserve"> </w:t>
      </w:r>
      <w:r>
        <w:t>especially</w:t>
      </w:r>
      <w:r w:rsidR="003455F1">
        <w:t xml:space="preserve"> </w:t>
      </w:r>
      <w:r>
        <w:t>among</w:t>
      </w:r>
      <w:r w:rsidR="003455F1">
        <w:t xml:space="preserve"> </w:t>
      </w:r>
      <w:r>
        <w:t>workers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informal</w:t>
      </w:r>
      <w:r w:rsidR="003455F1">
        <w:t xml:space="preserve"> </w:t>
      </w:r>
      <w:r>
        <w:t>sector</w:t>
      </w:r>
      <w:r w:rsidR="003455F1">
        <w:t xml:space="preserve"> </w:t>
      </w:r>
      <w:r>
        <w:t>and</w:t>
      </w:r>
      <w:r w:rsidR="003455F1">
        <w:t xml:space="preserve"> </w:t>
      </w:r>
      <w:r>
        <w:t>self-employed</w:t>
      </w:r>
      <w:r w:rsidR="003455F1">
        <w:t xml:space="preserve"> </w:t>
      </w:r>
      <w:r>
        <w:t>workers.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not</w:t>
      </w:r>
      <w:r w:rsidR="003455F1">
        <w:t xml:space="preserve"> </w:t>
      </w:r>
      <w:r>
        <w:t>all</w:t>
      </w:r>
      <w:r w:rsidR="003455F1">
        <w:t xml:space="preserve"> </w:t>
      </w:r>
      <w:r>
        <w:t>parts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social</w:t>
      </w:r>
      <w:r w:rsidR="003455F1">
        <w:t xml:space="preserve"> </w:t>
      </w:r>
      <w:r>
        <w:t>security</w:t>
      </w:r>
      <w:r w:rsidR="003455F1">
        <w:t xml:space="preserve"> </w:t>
      </w:r>
      <w:r>
        <w:t>system</w:t>
      </w:r>
      <w:r w:rsidR="003455F1">
        <w:t xml:space="preserve"> </w:t>
      </w:r>
      <w:r>
        <w:t>provide</w:t>
      </w:r>
      <w:r w:rsidR="003455F1">
        <w:t xml:space="preserve"> </w:t>
      </w:r>
      <w:r>
        <w:t>adequate</w:t>
      </w:r>
      <w:r w:rsidR="003455F1">
        <w:t xml:space="preserve"> </w:t>
      </w:r>
      <w:r>
        <w:t>levels</w:t>
      </w:r>
      <w:r w:rsidR="003455F1">
        <w:t xml:space="preserve"> </w:t>
      </w:r>
      <w:r>
        <w:t>of</w:t>
      </w:r>
      <w:r w:rsidR="003455F1">
        <w:t xml:space="preserve"> </w:t>
      </w:r>
      <w:r>
        <w:t>protection</w:t>
      </w:r>
      <w:r w:rsidR="003455F1">
        <w:t xml:space="preserve"> </w:t>
      </w:r>
      <w:r>
        <w:t>(art.</w:t>
      </w:r>
      <w:r w:rsidR="003455F1">
        <w:t xml:space="preserve"> </w:t>
      </w:r>
      <w:r>
        <w:t>9).</w:t>
      </w:r>
    </w:p>
    <w:p w14:paraId="28D62E6E" w14:textId="2355D09A" w:rsidR="00E06F94" w:rsidRPr="001F49A2" w:rsidRDefault="00E06F94" w:rsidP="00E06F94">
      <w:pPr>
        <w:pStyle w:val="SingleTxtG"/>
        <w:rPr>
          <w:lang w:val="en-US"/>
        </w:rPr>
      </w:pPr>
      <w:r>
        <w:t>31.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develop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</w:t>
      </w:r>
      <w:r w:rsidR="003455F1">
        <w:rPr>
          <w:b/>
        </w:rPr>
        <w:t xml:space="preserve"> </w:t>
      </w:r>
      <w:r>
        <w:rPr>
          <w:b/>
        </w:rPr>
        <w:t>system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guarantees</w:t>
      </w:r>
      <w:r w:rsidR="003455F1">
        <w:rPr>
          <w:b/>
        </w:rPr>
        <w:t xml:space="preserve"> </w:t>
      </w:r>
      <w:r>
        <w:rPr>
          <w:b/>
        </w:rPr>
        <w:t>universal</w:t>
      </w:r>
      <w:r w:rsidR="003455F1">
        <w:rPr>
          <w:b/>
        </w:rPr>
        <w:t xml:space="preserve"> </w:t>
      </w:r>
      <w:r>
        <w:rPr>
          <w:b/>
        </w:rPr>
        <w:t>coverage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provides</w:t>
      </w:r>
      <w:r w:rsidR="003455F1">
        <w:rPr>
          <w:b/>
        </w:rPr>
        <w:t xml:space="preserve"> </w:t>
      </w:r>
      <w:r>
        <w:rPr>
          <w:b/>
        </w:rPr>
        <w:t>appropriate</w:t>
      </w:r>
      <w:r w:rsidR="003455F1">
        <w:rPr>
          <w:b/>
        </w:rPr>
        <w:t xml:space="preserve"> </w:t>
      </w:r>
      <w:r>
        <w:rPr>
          <w:b/>
        </w:rPr>
        <w:t>benefits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persons,</w:t>
      </w:r>
      <w:r w:rsidR="003455F1">
        <w:rPr>
          <w:b/>
        </w:rPr>
        <w:t xml:space="preserve"> </w:t>
      </w:r>
      <w:r>
        <w:rPr>
          <w:b/>
        </w:rPr>
        <w:t>workers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families,</w:t>
      </w:r>
      <w:r w:rsidR="003455F1">
        <w:rPr>
          <w:b/>
        </w:rPr>
        <w:t xml:space="preserve"> </w:t>
      </w:r>
      <w:r>
        <w:rPr>
          <w:b/>
        </w:rPr>
        <w:t>especially</w:t>
      </w:r>
      <w:r w:rsidR="003455F1">
        <w:rPr>
          <w:b/>
        </w:rPr>
        <w:t xml:space="preserve"> </w:t>
      </w:r>
      <w:r>
        <w:rPr>
          <w:b/>
        </w:rPr>
        <w:t>those</w:t>
      </w:r>
      <w:r w:rsidR="003455F1">
        <w:rPr>
          <w:b/>
        </w:rPr>
        <w:t xml:space="preserve"> </w:t>
      </w:r>
      <w:r>
        <w:rPr>
          <w:b/>
        </w:rPr>
        <w:t>belonging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most</w:t>
      </w:r>
      <w:r w:rsidR="003455F1">
        <w:rPr>
          <w:b/>
        </w:rPr>
        <w:t xml:space="preserve"> </w:t>
      </w:r>
      <w:r>
        <w:rPr>
          <w:b/>
        </w:rPr>
        <w:t>disadvantaged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marginalized</w:t>
      </w:r>
      <w:r w:rsidR="003455F1">
        <w:rPr>
          <w:b/>
        </w:rPr>
        <w:t xml:space="preserve"> </w:t>
      </w:r>
      <w:r>
        <w:rPr>
          <w:b/>
        </w:rPr>
        <w:t>groups,</w:t>
      </w:r>
      <w:r w:rsidR="003455F1">
        <w:rPr>
          <w:b/>
        </w:rPr>
        <w:t xml:space="preserve"> </w:t>
      </w:r>
      <w:r>
        <w:rPr>
          <w:b/>
        </w:rPr>
        <w:t>so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they</w:t>
      </w:r>
      <w:r w:rsidR="003455F1">
        <w:rPr>
          <w:b/>
        </w:rPr>
        <w:t xml:space="preserve"> </w:t>
      </w:r>
      <w:r>
        <w:rPr>
          <w:b/>
        </w:rPr>
        <w:t>enjoy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decent</w:t>
      </w:r>
      <w:r w:rsidR="003455F1">
        <w:rPr>
          <w:b/>
        </w:rPr>
        <w:t xml:space="preserve"> </w:t>
      </w:r>
      <w:r>
        <w:rPr>
          <w:b/>
        </w:rPr>
        <w:t>standard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living.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steps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set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floor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includes</w:t>
      </w:r>
      <w:r w:rsidR="003455F1">
        <w:rPr>
          <w:b/>
        </w:rPr>
        <w:t xml:space="preserve"> </w:t>
      </w:r>
      <w:r>
        <w:rPr>
          <w:b/>
        </w:rPr>
        <w:t>basic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</w:t>
      </w:r>
      <w:r w:rsidR="003455F1">
        <w:rPr>
          <w:b/>
        </w:rPr>
        <w:t xml:space="preserve"> </w:t>
      </w:r>
      <w:r>
        <w:rPr>
          <w:b/>
        </w:rPr>
        <w:t>guarantees.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draws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866BF2">
        <w:rPr>
          <w:b/>
        </w:rPr>
        <w:t>’</w:t>
      </w:r>
      <w:r>
        <w:rPr>
          <w:b/>
        </w:rPr>
        <w:t>s</w:t>
      </w:r>
      <w:r w:rsidR="003455F1">
        <w:rPr>
          <w:b/>
        </w:rPr>
        <w:t xml:space="preserve"> </w:t>
      </w:r>
      <w:r>
        <w:rPr>
          <w:b/>
        </w:rPr>
        <w:t>attention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19</w:t>
      </w:r>
      <w:r w:rsidR="003455F1">
        <w:rPr>
          <w:b/>
        </w:rPr>
        <w:t xml:space="preserve"> </w:t>
      </w:r>
      <w:r>
        <w:rPr>
          <w:b/>
        </w:rPr>
        <w:t>(2007)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statement</w:t>
      </w:r>
      <w:r w:rsidR="003455F1">
        <w:rPr>
          <w:b/>
        </w:rPr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made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2015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floors:</w:t>
      </w:r>
      <w:r w:rsidR="003455F1">
        <w:rPr>
          <w:b/>
        </w:rPr>
        <w:t xml:space="preserve"> </w:t>
      </w:r>
      <w:r>
        <w:rPr>
          <w:b/>
        </w:rPr>
        <w:t>an</w:t>
      </w:r>
      <w:r w:rsidR="003455F1">
        <w:rPr>
          <w:b/>
        </w:rPr>
        <w:t xml:space="preserve"> </w:t>
      </w:r>
      <w:r>
        <w:rPr>
          <w:b/>
        </w:rPr>
        <w:t>essential</w:t>
      </w:r>
      <w:r w:rsidR="003455F1">
        <w:rPr>
          <w:b/>
        </w:rPr>
        <w:t xml:space="preserve"> </w:t>
      </w:r>
      <w:r>
        <w:rPr>
          <w:b/>
        </w:rPr>
        <w:t>element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security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sustainable</w:t>
      </w:r>
      <w:r w:rsidR="003455F1">
        <w:rPr>
          <w:b/>
        </w:rPr>
        <w:t xml:space="preserve"> </w:t>
      </w:r>
      <w:r>
        <w:rPr>
          <w:b/>
        </w:rPr>
        <w:t>development</w:t>
      </w:r>
      <w:r w:rsidR="003455F1">
        <w:rPr>
          <w:b/>
        </w:rPr>
        <w:t xml:space="preserve"> </w:t>
      </w:r>
      <w:r>
        <w:rPr>
          <w:b/>
        </w:rPr>
        <w:t>goals.</w:t>
      </w:r>
      <w:r w:rsidRPr="00866BF2">
        <w:rPr>
          <w:rStyle w:val="FootnoteReference"/>
        </w:rPr>
        <w:footnoteReference w:id="7"/>
      </w:r>
    </w:p>
    <w:p w14:paraId="3BBFE955" w14:textId="0FA4CAF8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Protection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the</w:t>
      </w:r>
      <w:r w:rsidR="003455F1">
        <w:t xml:space="preserve"> </w:t>
      </w:r>
      <w:r w:rsidR="00E06F94">
        <w:t>family</w:t>
      </w:r>
    </w:p>
    <w:p w14:paraId="4C6744A2" w14:textId="63235A6B" w:rsidR="00E06F94" w:rsidRPr="001F49A2" w:rsidRDefault="00E06F94" w:rsidP="00E06F94">
      <w:pPr>
        <w:pStyle w:val="SingleTxtG"/>
        <w:rPr>
          <w:b/>
          <w:lang w:val="en-US"/>
        </w:rPr>
      </w:pPr>
      <w:r>
        <w:t>32.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persistence</w:t>
      </w:r>
      <w:r w:rsidR="003455F1">
        <w:t xml:space="preserve"> </w:t>
      </w:r>
      <w:r>
        <w:t>of</w:t>
      </w:r>
      <w:r w:rsidR="003455F1">
        <w:t xml:space="preserve"> </w:t>
      </w:r>
      <w:r>
        <w:t>violence</w:t>
      </w:r>
      <w:r w:rsidR="003455F1">
        <w:t xml:space="preserve"> </w:t>
      </w:r>
      <w:r>
        <w:t>against</w:t>
      </w:r>
      <w:r w:rsidR="003455F1">
        <w:t xml:space="preserve"> </w:t>
      </w:r>
      <w:r>
        <w:t>women</w:t>
      </w:r>
      <w:r w:rsidR="003455F1">
        <w:t xml:space="preserve"> </w:t>
      </w:r>
      <w:r>
        <w:t>in</w:t>
      </w:r>
      <w:r w:rsidR="003455F1">
        <w:t xml:space="preserve"> </w:t>
      </w:r>
      <w:r>
        <w:t>all</w:t>
      </w:r>
      <w:r w:rsidR="003455F1">
        <w:t xml:space="preserve"> </w:t>
      </w:r>
      <w:r>
        <w:t>settings,</w:t>
      </w:r>
      <w:r w:rsidR="003455F1">
        <w:t xml:space="preserve"> </w:t>
      </w:r>
      <w:r>
        <w:t>including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family.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children</w:t>
      </w:r>
      <w:r w:rsidR="003455F1">
        <w:t xml:space="preserve"> </w:t>
      </w:r>
      <w:r>
        <w:t>and</w:t>
      </w:r>
      <w:r w:rsidR="003455F1">
        <w:t xml:space="preserve"> </w:t>
      </w:r>
      <w:r>
        <w:t>adolescents,</w:t>
      </w:r>
      <w:r w:rsidR="003455F1">
        <w:t xml:space="preserve"> </w:t>
      </w:r>
      <w:r>
        <w:t>particularly</w:t>
      </w:r>
      <w:r w:rsidR="003455F1">
        <w:t xml:space="preserve"> </w:t>
      </w:r>
      <w:r>
        <w:t>in</w:t>
      </w:r>
      <w:r w:rsidR="003455F1">
        <w:t xml:space="preserve"> </w:t>
      </w:r>
      <w:r>
        <w:t>rural</w:t>
      </w:r>
      <w:r w:rsidR="003455F1">
        <w:t xml:space="preserve"> </w:t>
      </w:r>
      <w:r>
        <w:t>areas,</w:t>
      </w:r>
      <w:r w:rsidR="003455F1">
        <w:t xml:space="preserve"> </w:t>
      </w:r>
      <w:r>
        <w:t>continue</w:t>
      </w:r>
      <w:r w:rsidR="003455F1">
        <w:t xml:space="preserve"> </w:t>
      </w:r>
      <w:r>
        <w:t>to</w:t>
      </w:r>
      <w:r w:rsidR="003455F1">
        <w:t xml:space="preserve"> </w:t>
      </w:r>
      <w:r>
        <w:t>be</w:t>
      </w:r>
      <w:r w:rsidR="003455F1">
        <w:t xml:space="preserve"> </w:t>
      </w:r>
      <w:r>
        <w:t>victims</w:t>
      </w:r>
      <w:r w:rsidR="003455F1">
        <w:t xml:space="preserve"> </w:t>
      </w:r>
      <w:r>
        <w:t>of</w:t>
      </w:r>
      <w:r w:rsidR="003455F1">
        <w:t xml:space="preserve"> </w:t>
      </w:r>
      <w:r>
        <w:t>labour</w:t>
      </w:r>
      <w:r w:rsidR="003455F1">
        <w:t xml:space="preserve"> </w:t>
      </w:r>
      <w:r>
        <w:t>exploitation</w:t>
      </w:r>
      <w:r w:rsidR="003455F1">
        <w:t xml:space="preserve"> </w:t>
      </w:r>
      <w:r>
        <w:t>and</w:t>
      </w:r>
      <w:r w:rsidR="003455F1">
        <w:t xml:space="preserve"> </w:t>
      </w:r>
      <w:r>
        <w:t>physical,</w:t>
      </w:r>
      <w:r w:rsidR="003455F1">
        <w:t xml:space="preserve"> </w:t>
      </w:r>
      <w:r>
        <w:lastRenderedPageBreak/>
        <w:t>psychological</w:t>
      </w:r>
      <w:r w:rsidR="003455F1">
        <w:t xml:space="preserve"> </w:t>
      </w:r>
      <w:r>
        <w:t>and</w:t>
      </w:r>
      <w:r w:rsidR="003455F1">
        <w:t xml:space="preserve"> </w:t>
      </w:r>
      <w:r>
        <w:t>sexual</w:t>
      </w:r>
      <w:r w:rsidR="003455F1">
        <w:t xml:space="preserve"> </w:t>
      </w:r>
      <w:r>
        <w:t>violence,</w:t>
      </w:r>
      <w:r w:rsidR="003455F1">
        <w:t xml:space="preserve"> </w:t>
      </w:r>
      <w:r>
        <w:t>including</w:t>
      </w:r>
      <w:r w:rsidR="003455F1">
        <w:t xml:space="preserve"> </w:t>
      </w:r>
      <w:r>
        <w:t>within</w:t>
      </w:r>
      <w:r w:rsidR="003455F1">
        <w:t xml:space="preserve"> </w:t>
      </w:r>
      <w:r>
        <w:t>the</w:t>
      </w:r>
      <w:r w:rsidR="003455F1">
        <w:t xml:space="preserve"> </w:t>
      </w:r>
      <w:r>
        <w:t>family.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regrets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information</w:t>
      </w:r>
      <w:r w:rsidR="003455F1">
        <w:t xml:space="preserve"> </w:t>
      </w:r>
      <w:r>
        <w:t>provided</w:t>
      </w:r>
      <w:r w:rsidR="003455F1">
        <w:t xml:space="preserve"> </w:t>
      </w:r>
      <w:r>
        <w:t>to</w:t>
      </w:r>
      <w:r w:rsidR="003455F1">
        <w:t xml:space="preserve"> </w:t>
      </w:r>
      <w:r>
        <w:t>it</w:t>
      </w:r>
      <w:r w:rsidR="003455F1">
        <w:t xml:space="preserve"> </w:t>
      </w:r>
      <w:r>
        <w:t>regarding</w:t>
      </w:r>
      <w:r w:rsidR="003455F1">
        <w:t xml:space="preserve"> </w:t>
      </w:r>
      <w:r>
        <w:t>judicial</w:t>
      </w:r>
      <w:r w:rsidR="003455F1">
        <w:t xml:space="preserve"> </w:t>
      </w:r>
      <w:r>
        <w:t>investigations</w:t>
      </w:r>
      <w:r w:rsidR="003455F1">
        <w:t xml:space="preserve"> </w:t>
      </w:r>
      <w:r>
        <w:t>into</w:t>
      </w:r>
      <w:r w:rsidR="003455F1">
        <w:t xml:space="preserve"> </w:t>
      </w:r>
      <w:r>
        <w:t>cases</w:t>
      </w:r>
      <w:r w:rsidR="003455F1">
        <w:t xml:space="preserve"> </w:t>
      </w:r>
      <w:r>
        <w:t>of</w:t>
      </w:r>
      <w:r w:rsidR="003455F1">
        <w:t xml:space="preserve"> </w:t>
      </w:r>
      <w:r>
        <w:t>violence</w:t>
      </w:r>
      <w:r w:rsidR="003455F1">
        <w:t xml:space="preserve"> </w:t>
      </w:r>
      <w:r>
        <w:t>against</w:t>
      </w:r>
      <w:r w:rsidR="003455F1">
        <w:t xml:space="preserve"> </w:t>
      </w:r>
      <w:r>
        <w:t>women,</w:t>
      </w:r>
      <w:r w:rsidR="003455F1">
        <w:t xml:space="preserve"> </w:t>
      </w:r>
      <w:r>
        <w:t>children</w:t>
      </w:r>
      <w:r w:rsidR="003455F1">
        <w:t xml:space="preserve"> </w:t>
      </w:r>
      <w:r>
        <w:t>and</w:t>
      </w:r>
      <w:r w:rsidR="003455F1">
        <w:t xml:space="preserve"> </w:t>
      </w:r>
      <w:r>
        <w:t>adolescents</w:t>
      </w:r>
      <w:r w:rsidR="003455F1">
        <w:t xml:space="preserve"> </w:t>
      </w:r>
      <w:r>
        <w:t>lacked</w:t>
      </w:r>
      <w:r w:rsidR="003455F1">
        <w:t xml:space="preserve"> </w:t>
      </w:r>
      <w:r>
        <w:t>detail</w:t>
      </w:r>
      <w:r w:rsidR="003455F1">
        <w:t xml:space="preserve"> </w:t>
      </w:r>
      <w:r>
        <w:t>and</w:t>
      </w:r>
      <w:r w:rsidR="003455F1">
        <w:t xml:space="preserve"> </w:t>
      </w:r>
      <w:r>
        <w:t>specificity</w:t>
      </w:r>
      <w:r w:rsidR="003455F1">
        <w:t xml:space="preserve"> </w:t>
      </w:r>
      <w:r>
        <w:t>(arts.</w:t>
      </w:r>
      <w:r w:rsidR="003455F1">
        <w:t xml:space="preserve"> </w:t>
      </w:r>
      <w:r>
        <w:t>3</w:t>
      </w:r>
      <w:r w:rsidR="003455F1">
        <w:t xml:space="preserve"> </w:t>
      </w:r>
      <w:r>
        <w:t>and</w:t>
      </w:r>
      <w:r w:rsidR="003455F1">
        <w:t xml:space="preserve"> </w:t>
      </w:r>
      <w:r>
        <w:t>10).</w:t>
      </w:r>
    </w:p>
    <w:p w14:paraId="3054771C" w14:textId="038FFE00" w:rsidR="00866BF2" w:rsidRDefault="00E06F94" w:rsidP="00E06F94">
      <w:pPr>
        <w:pStyle w:val="SingleTxtG"/>
      </w:pPr>
      <w:r w:rsidRPr="00BB1B17">
        <w:t>33.</w:t>
      </w:r>
      <w:r w:rsidRPr="00BB1B17">
        <w:tab/>
      </w:r>
      <w:r w:rsidRPr="00BB1B17">
        <w:rPr>
          <w:b/>
        </w:rPr>
        <w:t>The</w:t>
      </w:r>
      <w:r w:rsidR="003455F1">
        <w:rPr>
          <w:b/>
        </w:rPr>
        <w:t xml:space="preserve"> </w:t>
      </w:r>
      <w:r w:rsidRPr="00BB1B17">
        <w:rPr>
          <w:b/>
        </w:rPr>
        <w:t>Committee</w:t>
      </w:r>
      <w:r w:rsidR="003455F1">
        <w:rPr>
          <w:b/>
        </w:rPr>
        <w:t xml:space="preserve"> </w:t>
      </w:r>
      <w:r w:rsidRPr="00BB1B17">
        <w:rPr>
          <w:b/>
        </w:rPr>
        <w:t>recommends</w:t>
      </w:r>
      <w:r w:rsidR="003455F1">
        <w:rPr>
          <w:b/>
        </w:rPr>
        <w:t xml:space="preserve"> </w:t>
      </w:r>
      <w:r w:rsidRPr="00BB1B17">
        <w:rPr>
          <w:b/>
        </w:rPr>
        <w:t>that</w:t>
      </w:r>
      <w:r w:rsidR="003455F1">
        <w:rPr>
          <w:b/>
        </w:rPr>
        <w:t xml:space="preserve"> </w:t>
      </w:r>
      <w:r w:rsidRPr="00BB1B17">
        <w:rPr>
          <w:b/>
        </w:rPr>
        <w:t>the</w:t>
      </w:r>
      <w:r w:rsidR="003455F1">
        <w:rPr>
          <w:b/>
        </w:rPr>
        <w:t xml:space="preserve"> </w:t>
      </w:r>
      <w:r w:rsidRPr="00BB1B17">
        <w:rPr>
          <w:b/>
        </w:rPr>
        <w:t>State</w:t>
      </w:r>
      <w:r w:rsidR="003455F1">
        <w:rPr>
          <w:b/>
        </w:rPr>
        <w:t xml:space="preserve"> </w:t>
      </w:r>
      <w:r w:rsidRPr="00BB1B17">
        <w:rPr>
          <w:b/>
        </w:rPr>
        <w:t>party:</w:t>
      </w:r>
    </w:p>
    <w:p w14:paraId="0E0C6D05" w14:textId="16059EE6" w:rsidR="00866BF2" w:rsidRDefault="0056372C" w:rsidP="00E06F94">
      <w:pPr>
        <w:pStyle w:val="SingleTxtG"/>
      </w:pPr>
      <w:r>
        <w:tab/>
      </w:r>
      <w:r w:rsidR="00E06F94" w:rsidRPr="00BB1B17">
        <w:t>(a)</w:t>
      </w:r>
      <w:r w:rsidR="00E06F94">
        <w:tab/>
      </w:r>
      <w:r w:rsidR="00E06F94">
        <w:rPr>
          <w:b/>
        </w:rPr>
        <w:t>Conduct</w:t>
      </w:r>
      <w:r w:rsidR="003455F1">
        <w:rPr>
          <w:b/>
        </w:rPr>
        <w:t xml:space="preserve"> </w:t>
      </w:r>
      <w:r w:rsidR="00E06F94">
        <w:rPr>
          <w:b/>
        </w:rPr>
        <w:t>thorough</w:t>
      </w:r>
      <w:r w:rsidR="003455F1">
        <w:rPr>
          <w:b/>
        </w:rPr>
        <w:t xml:space="preserve"> </w:t>
      </w:r>
      <w:r w:rsidR="00E06F94">
        <w:rPr>
          <w:b/>
        </w:rPr>
        <w:t>investigations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cases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violence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women,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adolescents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those</w:t>
      </w:r>
      <w:r w:rsidR="003455F1">
        <w:rPr>
          <w:b/>
        </w:rPr>
        <w:t xml:space="preserve"> </w:t>
      </w:r>
      <w:r w:rsidR="00E06F94">
        <w:rPr>
          <w:b/>
        </w:rPr>
        <w:t>responsible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prosecuted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appropriately</w:t>
      </w:r>
      <w:r w:rsidR="003455F1">
        <w:rPr>
          <w:b/>
        </w:rPr>
        <w:t xml:space="preserve"> </w:t>
      </w:r>
      <w:r w:rsidR="00E06F94">
        <w:rPr>
          <w:b/>
        </w:rPr>
        <w:t>punished;</w:t>
      </w:r>
    </w:p>
    <w:p w14:paraId="7825D9DF" w14:textId="4F46F277" w:rsidR="00866BF2" w:rsidRDefault="0056372C" w:rsidP="00E06F94">
      <w:pPr>
        <w:pStyle w:val="SingleTxtG"/>
      </w:pPr>
      <w:r>
        <w:tab/>
      </w:r>
      <w:r w:rsidR="00E06F94" w:rsidRPr="00BB1B17">
        <w:t>(b)</w:t>
      </w:r>
      <w:r w:rsidR="00E06F94">
        <w:tab/>
      </w:r>
      <w:r w:rsidR="00E06F94">
        <w:rPr>
          <w:b/>
        </w:rPr>
        <w:t>Strengthen</w:t>
      </w:r>
      <w:r w:rsidR="003455F1">
        <w:rPr>
          <w:b/>
        </w:rPr>
        <w:t xml:space="preserve"> </w:t>
      </w:r>
      <w:r w:rsidR="00E06F94">
        <w:rPr>
          <w:b/>
        </w:rPr>
        <w:t>existing</w:t>
      </w:r>
      <w:r w:rsidR="003455F1">
        <w:rPr>
          <w:b/>
        </w:rPr>
        <w:t xml:space="preserve"> </w:t>
      </w:r>
      <w:r w:rsidR="00E06F94">
        <w:rPr>
          <w:b/>
        </w:rPr>
        <w:t>mechanisms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violence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women,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adolescents</w:t>
      </w:r>
      <w:r w:rsidR="003455F1">
        <w:rPr>
          <w:b/>
        </w:rPr>
        <w:t xml:space="preserve"> </w:t>
      </w:r>
      <w:r w:rsidR="00E06F94">
        <w:rPr>
          <w:b/>
        </w:rPr>
        <w:t>through,</w:t>
      </w:r>
      <w:r w:rsidR="003455F1">
        <w:rPr>
          <w:b/>
        </w:rPr>
        <w:t xml:space="preserve"> </w:t>
      </w:r>
      <w:r w:rsidR="00E06F94">
        <w:rPr>
          <w:b/>
        </w:rPr>
        <w:t>inter</w:t>
      </w:r>
      <w:r w:rsidR="003455F1">
        <w:rPr>
          <w:b/>
        </w:rPr>
        <w:t xml:space="preserve"> </w:t>
      </w:r>
      <w:r w:rsidR="00E06F94">
        <w:rPr>
          <w:b/>
        </w:rPr>
        <w:t>alia,</w:t>
      </w:r>
      <w:r w:rsidR="003455F1">
        <w:rPr>
          <w:b/>
        </w:rPr>
        <w:t xml:space="preserve"> </w:t>
      </w:r>
      <w:r w:rsidR="00E06F94">
        <w:rPr>
          <w:b/>
        </w:rPr>
        <w:t>information</w:t>
      </w:r>
      <w:r w:rsidR="003455F1">
        <w:rPr>
          <w:b/>
        </w:rPr>
        <w:t xml:space="preserve"> </w:t>
      </w:r>
      <w:r w:rsidR="00E06F94">
        <w:rPr>
          <w:b/>
        </w:rPr>
        <w:t>campaigns</w:t>
      </w:r>
      <w:r w:rsidR="003455F1">
        <w:rPr>
          <w:b/>
        </w:rPr>
        <w:t xml:space="preserve"> </w:t>
      </w:r>
      <w:r w:rsidR="00E06F94">
        <w:rPr>
          <w:b/>
        </w:rPr>
        <w:t>designed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increase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population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awareness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seriousness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adverse</w:t>
      </w:r>
      <w:r w:rsidR="003455F1">
        <w:rPr>
          <w:b/>
        </w:rPr>
        <w:t xml:space="preserve"> </w:t>
      </w:r>
      <w:r w:rsidR="00E06F94">
        <w:rPr>
          <w:b/>
        </w:rPr>
        <w:t>effects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such</w:t>
      </w:r>
      <w:r w:rsidR="003455F1">
        <w:rPr>
          <w:b/>
        </w:rPr>
        <w:t xml:space="preserve"> </w:t>
      </w:r>
      <w:r w:rsidR="00E06F94">
        <w:rPr>
          <w:b/>
        </w:rPr>
        <w:t>violence;</w:t>
      </w:r>
    </w:p>
    <w:p w14:paraId="316734E7" w14:textId="367139D0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(c)</w:t>
      </w:r>
      <w:r w:rsidR="00E06F94" w:rsidRPr="00BB1B17">
        <w:tab/>
      </w:r>
      <w:r w:rsidR="00E06F94">
        <w:rPr>
          <w:b/>
        </w:rPr>
        <w:t>Provide</w:t>
      </w:r>
      <w:r w:rsidR="003455F1">
        <w:rPr>
          <w:b/>
        </w:rPr>
        <w:t xml:space="preserve"> </w:t>
      </w:r>
      <w:r w:rsidR="00E06F94">
        <w:rPr>
          <w:b/>
        </w:rPr>
        <w:t>training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law</w:t>
      </w:r>
      <w:r w:rsidR="003455F1">
        <w:rPr>
          <w:b/>
        </w:rPr>
        <w:t xml:space="preserve"> </w:t>
      </w:r>
      <w:r w:rsidR="00E06F94">
        <w:rPr>
          <w:b/>
        </w:rPr>
        <w:t>enforcement</w:t>
      </w:r>
      <w:r w:rsidR="003455F1">
        <w:rPr>
          <w:b/>
        </w:rPr>
        <w:t xml:space="preserve"> </w:t>
      </w:r>
      <w:r w:rsidR="00E06F94">
        <w:rPr>
          <w:b/>
        </w:rPr>
        <w:t>personnel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judges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raise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awareness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seriousness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criminal</w:t>
      </w:r>
      <w:r w:rsidR="003455F1">
        <w:rPr>
          <w:b/>
        </w:rPr>
        <w:t xml:space="preserve"> </w:t>
      </w:r>
      <w:r w:rsidR="00E06F94">
        <w:rPr>
          <w:b/>
        </w:rPr>
        <w:t>nature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violence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women,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adolescents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settings,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family;</w:t>
      </w:r>
    </w:p>
    <w:p w14:paraId="0CFE1CFD" w14:textId="63998A89" w:rsidR="00866BF2" w:rsidRDefault="0056372C" w:rsidP="00E06F94">
      <w:pPr>
        <w:pStyle w:val="SingleTxtG"/>
      </w:pPr>
      <w:r>
        <w:tab/>
      </w:r>
      <w:r w:rsidR="00E06F94" w:rsidRPr="00BB1B17">
        <w:t>(d)</w:t>
      </w:r>
      <w:r w:rsidR="00E06F94">
        <w:tab/>
      </w:r>
      <w:r w:rsidR="00E06F94">
        <w:rPr>
          <w:b/>
        </w:rPr>
        <w:t>Redouble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guarantee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protection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women,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adolescents</w:t>
      </w:r>
      <w:r w:rsidR="003455F1">
        <w:rPr>
          <w:b/>
        </w:rPr>
        <w:t xml:space="preserve"> </w:t>
      </w:r>
      <w:r w:rsidR="00E06F94">
        <w:rPr>
          <w:b/>
        </w:rPr>
        <w:t>who</w:t>
      </w:r>
      <w:r w:rsidR="003455F1">
        <w:rPr>
          <w:b/>
        </w:rPr>
        <w:t xml:space="preserve"> </w:t>
      </w:r>
      <w:r w:rsidR="00E06F94">
        <w:rPr>
          <w:b/>
        </w:rPr>
        <w:t>are</w:t>
      </w:r>
      <w:r w:rsidR="003455F1">
        <w:rPr>
          <w:b/>
        </w:rPr>
        <w:t xml:space="preserve"> </w:t>
      </w:r>
      <w:r w:rsidR="00E06F94">
        <w:rPr>
          <w:b/>
        </w:rPr>
        <w:t>victims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violence,</w:t>
      </w:r>
      <w:r w:rsidR="003455F1">
        <w:rPr>
          <w:b/>
        </w:rPr>
        <w:t xml:space="preserve"> </w:t>
      </w:r>
      <w:r w:rsidR="00E06F94">
        <w:rPr>
          <w:b/>
        </w:rPr>
        <w:t>ensuring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they</w:t>
      </w:r>
      <w:r w:rsidR="003455F1">
        <w:rPr>
          <w:b/>
        </w:rPr>
        <w:t xml:space="preserve"> </w:t>
      </w:r>
      <w:r w:rsidR="00E06F94">
        <w:rPr>
          <w:b/>
        </w:rPr>
        <w:t>have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justice</w:t>
      </w:r>
      <w:r w:rsidR="003455F1">
        <w:rPr>
          <w:b/>
        </w:rPr>
        <w:t xml:space="preserve"> </w:t>
      </w:r>
      <w:r w:rsidR="00E06F94">
        <w:rPr>
          <w:b/>
        </w:rPr>
        <w:t>through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remedies,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means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obtaining</w:t>
      </w:r>
      <w:r w:rsidR="003455F1">
        <w:rPr>
          <w:b/>
        </w:rPr>
        <w:t xml:space="preserve"> </w:t>
      </w:r>
      <w:r w:rsidR="00E06F94">
        <w:rPr>
          <w:b/>
        </w:rPr>
        <w:t>reparation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compensation,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shelters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provide</w:t>
      </w:r>
      <w:r w:rsidR="003455F1">
        <w:rPr>
          <w:b/>
        </w:rPr>
        <w:t xml:space="preserve"> </w:t>
      </w:r>
      <w:r w:rsidR="00E06F94">
        <w:rPr>
          <w:b/>
        </w:rPr>
        <w:t>immediate</w:t>
      </w:r>
      <w:r w:rsidR="003455F1">
        <w:rPr>
          <w:b/>
        </w:rPr>
        <w:t xml:space="preserve"> </w:t>
      </w:r>
      <w:r w:rsidR="00E06F94">
        <w:rPr>
          <w:b/>
        </w:rPr>
        <w:t>physical</w:t>
      </w:r>
      <w:r w:rsidR="003455F1">
        <w:rPr>
          <w:b/>
        </w:rPr>
        <w:t xml:space="preserve"> </w:t>
      </w:r>
      <w:r w:rsidR="00E06F94">
        <w:rPr>
          <w:b/>
        </w:rPr>
        <w:t>protection,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well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advice,</w:t>
      </w:r>
      <w:r w:rsidR="003455F1">
        <w:rPr>
          <w:b/>
        </w:rPr>
        <w:t xml:space="preserve"> </w:t>
      </w:r>
      <w:r w:rsidR="00E06F94">
        <w:rPr>
          <w:b/>
        </w:rPr>
        <w:t>medical</w:t>
      </w:r>
      <w:r w:rsidR="003455F1">
        <w:rPr>
          <w:b/>
        </w:rPr>
        <w:t xml:space="preserve"> </w:t>
      </w:r>
      <w:r w:rsidR="00E06F94">
        <w:rPr>
          <w:b/>
        </w:rPr>
        <w:t>care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psychological</w:t>
      </w:r>
      <w:r w:rsidR="003455F1">
        <w:rPr>
          <w:b/>
        </w:rPr>
        <w:t xml:space="preserve"> </w:t>
      </w:r>
      <w:r w:rsidR="00E06F94">
        <w:rPr>
          <w:b/>
        </w:rPr>
        <w:t>services;</w:t>
      </w:r>
    </w:p>
    <w:p w14:paraId="4DF1197C" w14:textId="401B5145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BB1B17">
        <w:t>(e)</w:t>
      </w:r>
      <w:r w:rsidR="00E06F94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combat</w:t>
      </w:r>
      <w:r w:rsidR="003455F1">
        <w:rPr>
          <w:b/>
        </w:rPr>
        <w:t xml:space="preserve"> </w:t>
      </w:r>
      <w:r w:rsidR="00E06F94">
        <w:rPr>
          <w:b/>
        </w:rPr>
        <w:t>child</w:t>
      </w:r>
      <w:r w:rsidR="003455F1">
        <w:rPr>
          <w:b/>
        </w:rPr>
        <w:t xml:space="preserve"> </w:t>
      </w:r>
      <w:r w:rsidR="00E06F94">
        <w:rPr>
          <w:b/>
        </w:rPr>
        <w:t>labour</w:t>
      </w:r>
      <w:r w:rsidR="003455F1">
        <w:rPr>
          <w:b/>
        </w:rPr>
        <w:t xml:space="preserve"> </w:t>
      </w:r>
      <w:r w:rsidR="00E06F94">
        <w:rPr>
          <w:b/>
        </w:rPr>
        <w:t>by</w:t>
      </w:r>
      <w:r w:rsidR="003455F1">
        <w:rPr>
          <w:b/>
        </w:rPr>
        <w:t xml:space="preserve"> </w:t>
      </w:r>
      <w:r w:rsidR="00E06F94">
        <w:rPr>
          <w:b/>
        </w:rPr>
        <w:t>ensuring,</w:t>
      </w:r>
      <w:r w:rsidR="003455F1">
        <w:rPr>
          <w:b/>
        </w:rPr>
        <w:t xml:space="preserve"> </w:t>
      </w:r>
      <w:r w:rsidR="00E06F94">
        <w:rPr>
          <w:b/>
        </w:rPr>
        <w:t>inter</w:t>
      </w:r>
      <w:r w:rsidR="003455F1">
        <w:rPr>
          <w:b/>
        </w:rPr>
        <w:t xml:space="preserve"> </w:t>
      </w:r>
      <w:r w:rsidR="00E06F94">
        <w:rPr>
          <w:b/>
        </w:rPr>
        <w:t>alia,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law</w:t>
      </w:r>
      <w:r w:rsidR="003455F1">
        <w:rPr>
          <w:b/>
        </w:rPr>
        <w:t xml:space="preserve"> </w:t>
      </w:r>
      <w:r w:rsidR="00E06F94">
        <w:rPr>
          <w:b/>
        </w:rPr>
        <w:t>protecting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economic</w:t>
      </w:r>
      <w:r w:rsidR="003455F1">
        <w:rPr>
          <w:b/>
        </w:rPr>
        <w:t xml:space="preserve"> </w:t>
      </w:r>
      <w:r w:rsidR="00E06F94">
        <w:rPr>
          <w:b/>
        </w:rPr>
        <w:t>exploitation</w:t>
      </w:r>
      <w:r w:rsidR="003455F1">
        <w:rPr>
          <w:b/>
        </w:rPr>
        <w:t xml:space="preserve"> </w:t>
      </w:r>
      <w:r w:rsidR="00E06F94">
        <w:rPr>
          <w:b/>
        </w:rPr>
        <w:t>is</w:t>
      </w:r>
      <w:r w:rsidR="003455F1">
        <w:rPr>
          <w:b/>
        </w:rPr>
        <w:t xml:space="preserve"> </w:t>
      </w:r>
      <w:r w:rsidR="00E06F94">
        <w:rPr>
          <w:b/>
        </w:rPr>
        <w:t>vigorously</w:t>
      </w:r>
      <w:r w:rsidR="003455F1">
        <w:rPr>
          <w:b/>
        </w:rPr>
        <w:t xml:space="preserve"> </w:t>
      </w:r>
      <w:r w:rsidR="00E06F94">
        <w:rPr>
          <w:b/>
        </w:rPr>
        <w:t>enforced,</w:t>
      </w:r>
      <w:r w:rsidR="003455F1">
        <w:rPr>
          <w:b/>
        </w:rPr>
        <w:t xml:space="preserve"> </w:t>
      </w:r>
      <w:r w:rsidR="00E06F94">
        <w:rPr>
          <w:b/>
        </w:rPr>
        <w:t>strengthening</w:t>
      </w:r>
      <w:r w:rsidR="003455F1">
        <w:rPr>
          <w:b/>
        </w:rPr>
        <w:t xml:space="preserve"> </w:t>
      </w:r>
      <w:r w:rsidR="00E06F94">
        <w:rPr>
          <w:b/>
        </w:rPr>
        <w:t>child</w:t>
      </w:r>
      <w:r w:rsidR="003455F1">
        <w:rPr>
          <w:b/>
        </w:rPr>
        <w:t xml:space="preserve"> </w:t>
      </w:r>
      <w:r w:rsidR="00E06F94">
        <w:rPr>
          <w:b/>
        </w:rPr>
        <w:t>labour</w:t>
      </w:r>
      <w:r w:rsidR="003455F1">
        <w:rPr>
          <w:b/>
        </w:rPr>
        <w:t xml:space="preserve"> </w:t>
      </w:r>
      <w:r w:rsidR="00E06F94">
        <w:rPr>
          <w:b/>
        </w:rPr>
        <w:t>oversight</w:t>
      </w:r>
      <w:r w:rsidR="003455F1">
        <w:rPr>
          <w:b/>
        </w:rPr>
        <w:t xml:space="preserve"> </w:t>
      </w:r>
      <w:r w:rsidR="00E06F94">
        <w:rPr>
          <w:b/>
        </w:rPr>
        <w:t>mechanisms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increasing</w:t>
      </w:r>
      <w:r w:rsidR="003455F1">
        <w:rPr>
          <w:b/>
        </w:rPr>
        <w:t xml:space="preserve"> </w:t>
      </w:r>
      <w:r w:rsidR="00E06F94">
        <w:rPr>
          <w:b/>
        </w:rPr>
        <w:t>support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poor</w:t>
      </w:r>
      <w:r w:rsidR="003455F1">
        <w:rPr>
          <w:b/>
        </w:rPr>
        <w:t xml:space="preserve"> </w:t>
      </w:r>
      <w:r w:rsidR="00E06F94">
        <w:rPr>
          <w:b/>
        </w:rPr>
        <w:t>families</w:t>
      </w:r>
      <w:r w:rsidR="003455F1">
        <w:rPr>
          <w:b/>
        </w:rPr>
        <w:t xml:space="preserve"> </w:t>
      </w:r>
      <w:r w:rsidR="00E06F94">
        <w:rPr>
          <w:b/>
        </w:rPr>
        <w:t>so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they</w:t>
      </w:r>
      <w:r w:rsidR="003455F1">
        <w:rPr>
          <w:b/>
        </w:rPr>
        <w:t xml:space="preserve"> </w:t>
      </w:r>
      <w:r w:rsidR="00E06F94">
        <w:rPr>
          <w:b/>
        </w:rPr>
        <w:t>can</w:t>
      </w:r>
      <w:r w:rsidR="003455F1">
        <w:rPr>
          <w:b/>
        </w:rPr>
        <w:t xml:space="preserve"> </w:t>
      </w:r>
      <w:r w:rsidR="00E06F94">
        <w:rPr>
          <w:b/>
        </w:rPr>
        <w:t>keep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children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education</w:t>
      </w:r>
      <w:r w:rsidR="003455F1">
        <w:rPr>
          <w:b/>
        </w:rPr>
        <w:t xml:space="preserve"> </w:t>
      </w:r>
      <w:r w:rsidR="00E06F94">
        <w:rPr>
          <w:b/>
        </w:rPr>
        <w:t>system;</w:t>
      </w:r>
    </w:p>
    <w:p w14:paraId="356B8D8D" w14:textId="356D5F38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Poverty</w:t>
      </w:r>
    </w:p>
    <w:p w14:paraId="7A223C73" w14:textId="5CA1737A" w:rsidR="00E06F94" w:rsidRPr="001F49A2" w:rsidRDefault="00E06F94" w:rsidP="00E06F94">
      <w:pPr>
        <w:pStyle w:val="SingleTxtG"/>
        <w:rPr>
          <w:lang w:val="en-US"/>
        </w:rPr>
      </w:pPr>
      <w:r>
        <w:t>34.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persistently</w:t>
      </w:r>
      <w:r w:rsidR="003455F1">
        <w:t xml:space="preserve"> </w:t>
      </w:r>
      <w:r>
        <w:t>high</w:t>
      </w:r>
      <w:r w:rsidR="003455F1">
        <w:t xml:space="preserve"> </w:t>
      </w:r>
      <w:r>
        <w:t>rate</w:t>
      </w:r>
      <w:r w:rsidR="003455F1">
        <w:t xml:space="preserve"> </w:t>
      </w:r>
      <w:r>
        <w:t>of</w:t>
      </w:r>
      <w:r w:rsidR="003455F1">
        <w:t xml:space="preserve"> </w:t>
      </w:r>
      <w:r>
        <w:t>poverty</w:t>
      </w:r>
      <w:r w:rsidR="003455F1">
        <w:t xml:space="preserve"> </w:t>
      </w:r>
      <w:r>
        <w:t>and</w:t>
      </w:r>
      <w:r w:rsidR="003455F1">
        <w:t xml:space="preserve"> </w:t>
      </w:r>
      <w:r>
        <w:t>extreme</w:t>
      </w:r>
      <w:r w:rsidR="003455F1">
        <w:t xml:space="preserve"> </w:t>
      </w:r>
      <w:r>
        <w:t>poverty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party,</w:t>
      </w:r>
      <w:r w:rsidR="003455F1">
        <w:t xml:space="preserve"> </w:t>
      </w:r>
      <w:r>
        <w:t>which</w:t>
      </w:r>
      <w:r w:rsidR="003455F1">
        <w:t xml:space="preserve"> </w:t>
      </w:r>
      <w:r>
        <w:t>affect</w:t>
      </w:r>
      <w:r w:rsidR="003455F1">
        <w:t xml:space="preserve"> </w:t>
      </w:r>
      <w:r>
        <w:t>in</w:t>
      </w:r>
      <w:r w:rsidR="003455F1">
        <w:t xml:space="preserve"> </w:t>
      </w:r>
      <w:r>
        <w:t>particular</w:t>
      </w:r>
      <w:r w:rsidR="003455F1">
        <w:t xml:space="preserve"> </w:t>
      </w:r>
      <w:r w:rsidRPr="00DC1185">
        <w:t>Indigenous</w:t>
      </w:r>
      <w:r w:rsidR="003455F1">
        <w:t xml:space="preserve"> </w:t>
      </w:r>
      <w:r w:rsidRPr="00DC1185">
        <w:t>Peoples</w:t>
      </w:r>
      <w:r>
        <w:t>,</w:t>
      </w:r>
      <w:r w:rsidR="003455F1">
        <w:t xml:space="preserve"> </w:t>
      </w:r>
      <w:r w:rsidRPr="00DC1185">
        <w:t>persons</w:t>
      </w:r>
      <w:r w:rsidR="003455F1">
        <w:t xml:space="preserve"> </w:t>
      </w:r>
      <w:r w:rsidRPr="00DC1185">
        <w:t>of</w:t>
      </w:r>
      <w:r w:rsidR="003455F1">
        <w:t xml:space="preserve"> </w:t>
      </w:r>
      <w:r w:rsidRPr="00DC1185">
        <w:t>African</w:t>
      </w:r>
      <w:r w:rsidR="003455F1">
        <w:t xml:space="preserve"> </w:t>
      </w:r>
      <w:r w:rsidRPr="00DC1185">
        <w:t>descent</w:t>
      </w:r>
      <w:r w:rsidR="003455F1">
        <w:t xml:space="preserve"> </w:t>
      </w:r>
      <w:r>
        <w:t>and</w:t>
      </w:r>
      <w:r w:rsidR="003455F1">
        <w:t xml:space="preserve"> </w:t>
      </w:r>
      <w:r>
        <w:t>persons</w:t>
      </w:r>
      <w:r w:rsidR="003455F1">
        <w:t xml:space="preserve"> </w:t>
      </w:r>
      <w:r>
        <w:t>living</w:t>
      </w:r>
      <w:r w:rsidR="003455F1">
        <w:t xml:space="preserve"> </w:t>
      </w:r>
      <w:r>
        <w:t>in</w:t>
      </w:r>
      <w:r w:rsidR="003455F1">
        <w:t xml:space="preserve"> </w:t>
      </w:r>
      <w:r>
        <w:t>rural</w:t>
      </w:r>
      <w:r w:rsidR="003455F1">
        <w:t xml:space="preserve"> </w:t>
      </w:r>
      <w:r>
        <w:t>areas.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further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persistent</w:t>
      </w:r>
      <w:r w:rsidR="003455F1">
        <w:t xml:space="preserve"> </w:t>
      </w:r>
      <w:r>
        <w:t>income</w:t>
      </w:r>
      <w:r w:rsidR="003455F1">
        <w:t xml:space="preserve"> </w:t>
      </w:r>
      <w:r>
        <w:t>and</w:t>
      </w:r>
      <w:r w:rsidR="003455F1">
        <w:t xml:space="preserve"> </w:t>
      </w:r>
      <w:r>
        <w:t>wealth</w:t>
      </w:r>
      <w:r w:rsidR="003455F1">
        <w:t xml:space="preserve"> </w:t>
      </w:r>
      <w:r>
        <w:t>inequality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(art.</w:t>
      </w:r>
      <w:r w:rsidR="003455F1">
        <w:t xml:space="preserve"> </w:t>
      </w:r>
      <w:r>
        <w:t>11).</w:t>
      </w:r>
    </w:p>
    <w:p w14:paraId="31B4CFDF" w14:textId="3F7C7BC0" w:rsidR="00866BF2" w:rsidRDefault="00E06F94" w:rsidP="00E06F94">
      <w:pPr>
        <w:pStyle w:val="SingleTxtG"/>
      </w:pPr>
      <w:r>
        <w:t>35.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4BFDAD77" w14:textId="63346018" w:rsidR="00866BF2" w:rsidRDefault="0056372C" w:rsidP="00E06F94">
      <w:pPr>
        <w:pStyle w:val="SingleTxtG"/>
      </w:pPr>
      <w:r>
        <w:tab/>
      </w:r>
      <w:r w:rsidR="00E06F94" w:rsidRPr="0049477E">
        <w:t>(a)</w:t>
      </w:r>
      <w:r w:rsidR="00E06F94">
        <w:tab/>
      </w:r>
      <w:r w:rsidR="00E06F94">
        <w:rPr>
          <w:b/>
        </w:rPr>
        <w:t>Step</w:t>
      </w:r>
      <w:r w:rsidR="003455F1">
        <w:rPr>
          <w:b/>
        </w:rPr>
        <w:t xml:space="preserve"> </w:t>
      </w:r>
      <w:r w:rsidR="00E06F94">
        <w:rPr>
          <w:b/>
        </w:rPr>
        <w:t>up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combat</w:t>
      </w:r>
      <w:r w:rsidR="003455F1">
        <w:rPr>
          <w:b/>
        </w:rPr>
        <w:t xml:space="preserve"> </w:t>
      </w:r>
      <w:r w:rsidR="00E06F94">
        <w:rPr>
          <w:b/>
        </w:rPr>
        <w:t>poverty,</w:t>
      </w:r>
      <w:r w:rsidR="003455F1">
        <w:rPr>
          <w:b/>
        </w:rPr>
        <w:t xml:space="preserve"> </w:t>
      </w:r>
      <w:r w:rsidR="00E06F94">
        <w:rPr>
          <w:b/>
        </w:rPr>
        <w:t>especially</w:t>
      </w:r>
      <w:r w:rsidR="003455F1">
        <w:rPr>
          <w:b/>
        </w:rPr>
        <w:t xml:space="preserve"> </w:t>
      </w:r>
      <w:r w:rsidR="00E06F94">
        <w:rPr>
          <w:b/>
        </w:rPr>
        <w:t>extreme</w:t>
      </w:r>
      <w:r w:rsidR="003455F1">
        <w:rPr>
          <w:b/>
        </w:rPr>
        <w:t xml:space="preserve"> </w:t>
      </w:r>
      <w:r w:rsidR="00E06F94">
        <w:rPr>
          <w:b/>
        </w:rPr>
        <w:t>poverty,</w:t>
      </w:r>
      <w:r w:rsidR="003455F1">
        <w:rPr>
          <w:b/>
        </w:rPr>
        <w:t xml:space="preserve"> </w:t>
      </w:r>
      <w:r w:rsidR="00E06F94">
        <w:rPr>
          <w:b/>
        </w:rPr>
        <w:t>by</w:t>
      </w:r>
      <w:r w:rsidR="003455F1">
        <w:rPr>
          <w:b/>
        </w:rPr>
        <w:t xml:space="preserve"> </w:t>
      </w:r>
      <w:r w:rsidR="00E06F94">
        <w:rPr>
          <w:b/>
        </w:rPr>
        <w:t>adopting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national</w:t>
      </w:r>
      <w:r w:rsidR="003455F1">
        <w:rPr>
          <w:b/>
        </w:rPr>
        <w:t xml:space="preserve"> </w:t>
      </w:r>
      <w:r w:rsidR="00E06F94">
        <w:rPr>
          <w:b/>
        </w:rPr>
        <w:t>poverty-reduction</w:t>
      </w:r>
      <w:r w:rsidR="003455F1">
        <w:rPr>
          <w:b/>
        </w:rPr>
        <w:t xml:space="preserve"> </w:t>
      </w:r>
      <w:r w:rsidR="00E06F94">
        <w:rPr>
          <w:b/>
        </w:rPr>
        <w:t>action</w:t>
      </w:r>
      <w:r w:rsidR="003455F1">
        <w:rPr>
          <w:b/>
        </w:rPr>
        <w:t xml:space="preserve"> </w:t>
      </w:r>
      <w:r w:rsidR="00E06F94">
        <w:rPr>
          <w:b/>
        </w:rPr>
        <w:t>plan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includes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gender</w:t>
      </w:r>
      <w:r w:rsidR="003455F1">
        <w:rPr>
          <w:b/>
        </w:rPr>
        <w:t xml:space="preserve"> </w:t>
      </w:r>
      <w:r w:rsidR="00E06F94">
        <w:rPr>
          <w:b/>
        </w:rPr>
        <w:t>focus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sufficient</w:t>
      </w:r>
      <w:r w:rsidR="003455F1">
        <w:rPr>
          <w:b/>
        </w:rPr>
        <w:t xml:space="preserve"> </w:t>
      </w:r>
      <w:r w:rsidR="00E06F94">
        <w:rPr>
          <w:b/>
        </w:rPr>
        <w:t>resources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implementation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duly</w:t>
      </w:r>
      <w:r w:rsidR="003455F1">
        <w:rPr>
          <w:b/>
        </w:rPr>
        <w:t xml:space="preserve"> </w:t>
      </w:r>
      <w:r w:rsidR="00E06F94">
        <w:rPr>
          <w:b/>
        </w:rPr>
        <w:t>addresses</w:t>
      </w:r>
      <w:r w:rsidR="003455F1">
        <w:rPr>
          <w:b/>
        </w:rPr>
        <w:t xml:space="preserve"> </w:t>
      </w:r>
      <w:r w:rsidR="00E06F94">
        <w:rPr>
          <w:b/>
        </w:rPr>
        <w:t>existing</w:t>
      </w:r>
      <w:r w:rsidR="003455F1">
        <w:rPr>
          <w:b/>
        </w:rPr>
        <w:t xml:space="preserve"> </w:t>
      </w:r>
      <w:r w:rsidR="00E06F94">
        <w:rPr>
          <w:b/>
        </w:rPr>
        <w:t>discrepancies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gaps</w:t>
      </w:r>
      <w:r w:rsidR="003455F1">
        <w:rPr>
          <w:b/>
        </w:rPr>
        <w:t xml:space="preserve"> </w:t>
      </w:r>
      <w:r w:rsidR="00E06F94">
        <w:rPr>
          <w:b/>
        </w:rPr>
        <w:t>between</w:t>
      </w:r>
      <w:r w:rsidR="003455F1">
        <w:rPr>
          <w:b/>
        </w:rPr>
        <w:t xml:space="preserve"> </w:t>
      </w:r>
      <w:r w:rsidR="00E06F94">
        <w:rPr>
          <w:b/>
        </w:rPr>
        <w:t>urban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0C1D965E" w14:textId="6EF215E1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49477E">
        <w:t>(b)</w:t>
      </w:r>
      <w:r w:rsidR="00E06F94">
        <w:tab/>
      </w:r>
      <w:r w:rsidR="00E06F94">
        <w:rPr>
          <w:b/>
        </w:rPr>
        <w:t>Adopt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combat</w:t>
      </w:r>
      <w:r w:rsidR="003455F1">
        <w:rPr>
          <w:b/>
        </w:rPr>
        <w:t xml:space="preserve"> </w:t>
      </w:r>
      <w:r w:rsidR="00E06F94">
        <w:rPr>
          <w:b/>
        </w:rPr>
        <w:t>inequality,</w:t>
      </w:r>
      <w:r w:rsidR="003455F1">
        <w:rPr>
          <w:b/>
        </w:rPr>
        <w:t xml:space="preserve"> </w:t>
      </w:r>
      <w:r w:rsidR="00E06F94">
        <w:rPr>
          <w:b/>
        </w:rPr>
        <w:t>taking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needs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most</w:t>
      </w:r>
      <w:r w:rsidR="003455F1">
        <w:rPr>
          <w:b/>
        </w:rPr>
        <w:t xml:space="preserve"> </w:t>
      </w:r>
      <w:r w:rsidR="00E06F94">
        <w:rPr>
          <w:b/>
        </w:rPr>
        <w:t>disadvantaged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marginalized</w:t>
      </w:r>
      <w:r w:rsidR="003455F1">
        <w:rPr>
          <w:b/>
        </w:rPr>
        <w:t xml:space="preserve"> </w:t>
      </w:r>
      <w:r w:rsidR="00E06F94">
        <w:rPr>
          <w:b/>
        </w:rPr>
        <w:t>segments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society,</w:t>
      </w:r>
      <w:r w:rsidR="003455F1">
        <w:rPr>
          <w:b/>
        </w:rPr>
        <w:t xml:space="preserve"> </w:t>
      </w:r>
      <w:r w:rsidR="00E06F94">
        <w:rPr>
          <w:b/>
        </w:rPr>
        <w:t>especially</w:t>
      </w:r>
      <w:r w:rsidR="003455F1">
        <w:rPr>
          <w:b/>
        </w:rPr>
        <w:t xml:space="preserve"> </w:t>
      </w:r>
      <w:r w:rsidR="00E06F94">
        <w:rPr>
          <w:b/>
        </w:rPr>
        <w:t>low-income</w:t>
      </w:r>
      <w:r w:rsidR="003455F1">
        <w:rPr>
          <w:b/>
        </w:rPr>
        <w:t xml:space="preserve"> </w:t>
      </w:r>
      <w:r w:rsidR="00E06F94">
        <w:rPr>
          <w:b/>
        </w:rPr>
        <w:t>groups,</w:t>
      </w:r>
      <w:r w:rsidR="003455F1">
        <w:rPr>
          <w:b/>
        </w:rPr>
        <w:t xml:space="preserve"> </w:t>
      </w:r>
      <w:r w:rsidR="00E06F94" w:rsidRPr="00DC1185">
        <w:rPr>
          <w:b/>
        </w:rPr>
        <w:t>Indigenous</w:t>
      </w:r>
      <w:r w:rsidR="003455F1">
        <w:rPr>
          <w:b/>
        </w:rPr>
        <w:t xml:space="preserve"> </w:t>
      </w:r>
      <w:r w:rsidR="00E06F94" w:rsidRPr="00DC1185">
        <w:rPr>
          <w:b/>
        </w:rPr>
        <w:t>Peoples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 w:rsidRPr="00DC1185">
        <w:rPr>
          <w:b/>
        </w:rPr>
        <w:t>persons</w:t>
      </w:r>
      <w:r w:rsidR="003455F1">
        <w:rPr>
          <w:b/>
        </w:rPr>
        <w:t xml:space="preserve"> </w:t>
      </w:r>
      <w:r w:rsidR="00E06F94" w:rsidRPr="00DC1185">
        <w:rPr>
          <w:b/>
        </w:rPr>
        <w:t>of</w:t>
      </w:r>
      <w:r w:rsidR="003455F1">
        <w:rPr>
          <w:b/>
        </w:rPr>
        <w:t xml:space="preserve"> </w:t>
      </w:r>
      <w:r w:rsidR="00E06F94" w:rsidRPr="00DC1185">
        <w:rPr>
          <w:b/>
        </w:rPr>
        <w:t>African</w:t>
      </w:r>
      <w:r w:rsidR="003455F1">
        <w:rPr>
          <w:b/>
        </w:rPr>
        <w:t xml:space="preserve"> </w:t>
      </w:r>
      <w:r w:rsidR="00E06F94" w:rsidRPr="00DC1185">
        <w:rPr>
          <w:b/>
        </w:rPr>
        <w:t>descent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living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08AA9C77" w14:textId="5D8C7089" w:rsidR="00866BF2" w:rsidRDefault="0056372C" w:rsidP="00E06F94">
      <w:pPr>
        <w:pStyle w:val="SingleTxtG"/>
      </w:pPr>
      <w:r>
        <w:tab/>
      </w:r>
      <w:r w:rsidR="00E06F94" w:rsidRPr="0049477E">
        <w:t>(c)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consideration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2001</w:t>
      </w:r>
      <w:r w:rsidR="003455F1">
        <w:rPr>
          <w:b/>
        </w:rPr>
        <w:t xml:space="preserve"> </w:t>
      </w:r>
      <w:r w:rsidR="00E06F94">
        <w:rPr>
          <w:b/>
        </w:rPr>
        <w:t>statement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poverty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Covenant.</w:t>
      </w:r>
      <w:r w:rsidR="00E06F94" w:rsidRPr="00866BF2">
        <w:rPr>
          <w:rStyle w:val="FootnoteReference"/>
        </w:rPr>
        <w:footnoteReference w:id="8"/>
      </w:r>
    </w:p>
    <w:p w14:paraId="3377CDBF" w14:textId="4E475555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Land</w:t>
      </w:r>
      <w:r w:rsidR="003455F1">
        <w:t xml:space="preserve"> </w:t>
      </w:r>
      <w:r w:rsidR="00E06F94">
        <w:t>disputes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forced</w:t>
      </w:r>
      <w:r w:rsidR="003455F1">
        <w:t xml:space="preserve"> </w:t>
      </w:r>
      <w:r w:rsidR="00E06F94">
        <w:t>evictions</w:t>
      </w:r>
    </w:p>
    <w:p w14:paraId="161CDDD9" w14:textId="2AFFAE22" w:rsidR="00E06F94" w:rsidRPr="001F49A2" w:rsidRDefault="00E06F94" w:rsidP="00E06F94">
      <w:pPr>
        <w:pStyle w:val="SingleTxtG"/>
        <w:rPr>
          <w:lang w:val="en-US"/>
        </w:rPr>
      </w:pPr>
      <w:r>
        <w:t>36.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secure</w:t>
      </w:r>
      <w:r w:rsidR="003455F1">
        <w:t xml:space="preserve"> </w:t>
      </w:r>
      <w:r>
        <w:t>land</w:t>
      </w:r>
      <w:r w:rsidR="003455F1">
        <w:t xml:space="preserve"> </w:t>
      </w:r>
      <w:r>
        <w:t>tenure,</w:t>
      </w:r>
      <w:r w:rsidR="003455F1">
        <w:t xml:space="preserve"> </w:t>
      </w:r>
      <w:r>
        <w:t>which</w:t>
      </w:r>
      <w:r w:rsidR="003455F1">
        <w:t xml:space="preserve"> </w:t>
      </w:r>
      <w:r>
        <w:t>has</w:t>
      </w:r>
      <w:r w:rsidR="003455F1">
        <w:t xml:space="preserve"> </w:t>
      </w:r>
      <w:r>
        <w:t>led</w:t>
      </w:r>
      <w:r w:rsidR="003455F1">
        <w:t xml:space="preserve"> </w:t>
      </w:r>
      <w:r>
        <w:t>to</w:t>
      </w:r>
      <w:r w:rsidR="003455F1">
        <w:t xml:space="preserve"> </w:t>
      </w:r>
      <w:r>
        <w:t>serious</w:t>
      </w:r>
      <w:r w:rsidR="003455F1">
        <w:t xml:space="preserve"> </w:t>
      </w:r>
      <w:r>
        <w:t>social</w:t>
      </w:r>
      <w:r w:rsidR="003455F1">
        <w:t xml:space="preserve"> </w:t>
      </w:r>
      <w:r>
        <w:t>conflict</w:t>
      </w:r>
      <w:r w:rsidR="003455F1">
        <w:t xml:space="preserve"> </w:t>
      </w:r>
      <w:r>
        <w:t>and</w:t>
      </w:r>
      <w:r w:rsidR="003455F1">
        <w:t xml:space="preserve"> </w:t>
      </w:r>
      <w:r>
        <w:t>has</w:t>
      </w:r>
      <w:r w:rsidR="003455F1">
        <w:t xml:space="preserve"> </w:t>
      </w:r>
      <w:r>
        <w:t>undermined</w:t>
      </w:r>
      <w:r w:rsidR="003455F1">
        <w:t xml:space="preserve"> </w:t>
      </w:r>
      <w:r>
        <w:t>the</w:t>
      </w:r>
      <w:r w:rsidR="003455F1">
        <w:t xml:space="preserve"> </w:t>
      </w:r>
      <w:r>
        <w:t>right</w:t>
      </w:r>
      <w:r w:rsidR="003455F1">
        <w:t xml:space="preserve"> </w:t>
      </w:r>
      <w:r>
        <w:t>of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lands,</w:t>
      </w:r>
      <w:r w:rsidR="003455F1">
        <w:t xml:space="preserve"> </w:t>
      </w:r>
      <w:r>
        <w:t>territories</w:t>
      </w:r>
      <w:r w:rsidR="003455F1">
        <w:t xml:space="preserve"> </w:t>
      </w:r>
      <w:r>
        <w:t>and</w:t>
      </w:r>
      <w:r w:rsidR="003455F1">
        <w:t xml:space="preserve"> </w:t>
      </w:r>
      <w:r>
        <w:t>resources</w:t>
      </w:r>
      <w:r w:rsidR="003455F1">
        <w:t xml:space="preserve"> </w:t>
      </w:r>
      <w:r>
        <w:t>that</w:t>
      </w:r>
      <w:r w:rsidR="003455F1">
        <w:t xml:space="preserve"> </w:t>
      </w:r>
      <w:r>
        <w:t>they</w:t>
      </w:r>
      <w:r w:rsidR="003455F1">
        <w:t xml:space="preserve"> </w:t>
      </w:r>
      <w:r>
        <w:t>have</w:t>
      </w:r>
      <w:r w:rsidR="003455F1">
        <w:t xml:space="preserve"> </w:t>
      </w:r>
      <w:r>
        <w:t>traditionally</w:t>
      </w:r>
      <w:r w:rsidR="003455F1">
        <w:t xml:space="preserve"> </w:t>
      </w:r>
      <w:r>
        <w:t>occupied</w:t>
      </w:r>
      <w:r w:rsidR="003455F1">
        <w:t xml:space="preserve"> </w:t>
      </w:r>
      <w:r>
        <w:t>or</w:t>
      </w:r>
      <w:r w:rsidR="003455F1">
        <w:t xml:space="preserve"> </w:t>
      </w:r>
      <w:r>
        <w:t>possessed.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about</w:t>
      </w:r>
      <w:r w:rsidR="003455F1">
        <w:t xml:space="preserve"> </w:t>
      </w:r>
      <w:r>
        <w:t>reports</w:t>
      </w:r>
      <w:r w:rsidR="003455F1">
        <w:t xml:space="preserve"> </w:t>
      </w:r>
      <w:r>
        <w:t>that</w:t>
      </w:r>
      <w:r w:rsidR="003455F1">
        <w:t xml:space="preserve"> </w:t>
      </w:r>
      <w:r>
        <w:t>a</w:t>
      </w:r>
      <w:r w:rsidR="003455F1">
        <w:t xml:space="preserve"> </w:t>
      </w:r>
      <w:r>
        <w:t>considerable</w:t>
      </w:r>
      <w:r w:rsidR="003455F1">
        <w:t xml:space="preserve"> </w:t>
      </w:r>
      <w:r>
        <w:t>number</w:t>
      </w:r>
      <w:r w:rsidR="003455F1">
        <w:t xml:space="preserve"> </w:t>
      </w:r>
      <w:r>
        <w:t>of</w:t>
      </w:r>
      <w:r w:rsidR="003455F1">
        <w:t xml:space="preserve"> </w:t>
      </w:r>
      <w:r>
        <w:t>campesino</w:t>
      </w:r>
      <w:r w:rsidR="003455F1">
        <w:t xml:space="preserve"> </w:t>
      </w:r>
      <w:r>
        <w:t>and</w:t>
      </w:r>
      <w:r w:rsidR="003455F1">
        <w:t xml:space="preserve"> </w:t>
      </w:r>
      <w:r>
        <w:t>Indigenous</w:t>
      </w:r>
      <w:r w:rsidR="003455F1">
        <w:t xml:space="preserve"> </w:t>
      </w:r>
      <w:r>
        <w:t>families</w:t>
      </w:r>
      <w:r w:rsidR="003455F1">
        <w:t xml:space="preserve"> </w:t>
      </w:r>
      <w:r>
        <w:t>have</w:t>
      </w:r>
      <w:r w:rsidR="003455F1">
        <w:t xml:space="preserve"> </w:t>
      </w:r>
      <w:r>
        <w:t>been</w:t>
      </w:r>
      <w:r w:rsidR="003455F1">
        <w:t xml:space="preserve"> </w:t>
      </w:r>
      <w:r>
        <w:t>the</w:t>
      </w:r>
      <w:r w:rsidR="003455F1">
        <w:t xml:space="preserve"> </w:t>
      </w:r>
      <w:r>
        <w:t>victims</w:t>
      </w:r>
      <w:r w:rsidR="003455F1">
        <w:t xml:space="preserve"> </w:t>
      </w:r>
      <w:r>
        <w:t>of</w:t>
      </w:r>
      <w:r w:rsidR="003455F1">
        <w:t xml:space="preserve"> </w:t>
      </w:r>
      <w:r>
        <w:t>forced</w:t>
      </w:r>
      <w:r w:rsidR="003455F1">
        <w:t xml:space="preserve"> </w:t>
      </w:r>
      <w:r>
        <w:t>eviction</w:t>
      </w:r>
      <w:r w:rsidR="003455F1">
        <w:t xml:space="preserve"> </w:t>
      </w:r>
      <w:r>
        <w:t>that,</w:t>
      </w:r>
      <w:r w:rsidR="003455F1">
        <w:t xml:space="preserve"> </w:t>
      </w:r>
      <w:r>
        <w:t>owing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prior</w:t>
      </w:r>
      <w:r w:rsidR="003455F1">
        <w:t xml:space="preserve"> </w:t>
      </w:r>
      <w:r>
        <w:t>notice,</w:t>
      </w:r>
      <w:r w:rsidR="003455F1">
        <w:t xml:space="preserve"> </w:t>
      </w:r>
      <w:r>
        <w:t>the</w:t>
      </w:r>
      <w:r w:rsidR="003455F1">
        <w:t xml:space="preserve"> </w:t>
      </w:r>
      <w:r>
        <w:t>disproportionate</w:t>
      </w:r>
      <w:r w:rsidR="003455F1">
        <w:t xml:space="preserve"> </w:t>
      </w:r>
      <w:r>
        <w:t>use</w:t>
      </w:r>
      <w:r w:rsidR="003455F1">
        <w:t xml:space="preserve"> </w:t>
      </w:r>
      <w:r>
        <w:t>of</w:t>
      </w:r>
      <w:r w:rsidR="003455F1">
        <w:t xml:space="preserve"> </w:t>
      </w:r>
      <w:r>
        <w:t>force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absence</w:t>
      </w:r>
      <w:r w:rsidR="003455F1">
        <w:t xml:space="preserve"> </w:t>
      </w:r>
      <w:r>
        <w:t>of</w:t>
      </w:r>
      <w:r w:rsidR="003455F1">
        <w:t xml:space="preserve"> </w:t>
      </w:r>
      <w:r>
        <w:t>resettlement</w:t>
      </w:r>
      <w:r w:rsidR="003455F1">
        <w:t xml:space="preserve"> </w:t>
      </w:r>
      <w:r>
        <w:t>measures,</w:t>
      </w:r>
      <w:r w:rsidR="003455F1">
        <w:t xml:space="preserve"> </w:t>
      </w:r>
      <w:r>
        <w:t>infringed</w:t>
      </w:r>
      <w:r w:rsidR="003455F1">
        <w:t xml:space="preserve"> </w:t>
      </w:r>
      <w:r>
        <w:t>international</w:t>
      </w:r>
      <w:r w:rsidR="003455F1">
        <w:t xml:space="preserve"> </w:t>
      </w:r>
      <w:r>
        <w:t>human</w:t>
      </w:r>
      <w:r w:rsidR="003455F1">
        <w:t xml:space="preserve"> </w:t>
      </w:r>
      <w:r>
        <w:t>rights</w:t>
      </w:r>
      <w:r w:rsidR="003455F1">
        <w:t xml:space="preserve"> </w:t>
      </w:r>
      <w:r>
        <w:t>standards</w:t>
      </w:r>
      <w:r w:rsidR="003455F1">
        <w:t xml:space="preserve"> </w:t>
      </w:r>
      <w:r>
        <w:t>(art.</w:t>
      </w:r>
      <w:r w:rsidR="003455F1">
        <w:t xml:space="preserve"> </w:t>
      </w:r>
      <w:r>
        <w:t>11).</w:t>
      </w:r>
    </w:p>
    <w:p w14:paraId="2325A5B9" w14:textId="26C750E9" w:rsidR="00866BF2" w:rsidRDefault="00E06F94" w:rsidP="0056372C">
      <w:pPr>
        <w:pStyle w:val="SingleTxtG"/>
        <w:keepNext/>
      </w:pPr>
      <w:r>
        <w:lastRenderedPageBreak/>
        <w:t>37.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41D90C27" w14:textId="00C9E1ED" w:rsidR="00E06F94" w:rsidRPr="001F49A2" w:rsidRDefault="0056372C" w:rsidP="0056372C">
      <w:pPr>
        <w:pStyle w:val="SingleTxtG"/>
        <w:keepNext/>
        <w:rPr>
          <w:b/>
          <w:lang w:val="en-US"/>
        </w:rPr>
      </w:pPr>
      <w:r>
        <w:tab/>
      </w:r>
      <w:r w:rsidR="00E06F94" w:rsidRPr="000012BA">
        <w:t>(a)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equitable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land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natural</w:t>
      </w:r>
      <w:r w:rsidR="003455F1">
        <w:rPr>
          <w:b/>
        </w:rPr>
        <w:t xml:space="preserve"> </w:t>
      </w:r>
      <w:r w:rsidR="00E06F94">
        <w:rPr>
          <w:b/>
        </w:rPr>
        <w:t>resources</w:t>
      </w:r>
      <w:r w:rsidR="003455F1">
        <w:rPr>
          <w:b/>
        </w:rPr>
        <w:t xml:space="preserve"> </w:t>
      </w:r>
      <w:r w:rsidR="00E06F94">
        <w:rPr>
          <w:b/>
        </w:rPr>
        <w:t>by</w:t>
      </w:r>
      <w:r w:rsidR="003455F1">
        <w:rPr>
          <w:b/>
        </w:rPr>
        <w:t xml:space="preserve"> </w:t>
      </w:r>
      <w:r w:rsidR="00E06F94">
        <w:rPr>
          <w:b/>
        </w:rPr>
        <w:t>guaranteeing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security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agricultural</w:t>
      </w:r>
      <w:r w:rsidR="003455F1">
        <w:rPr>
          <w:b/>
        </w:rPr>
        <w:t xml:space="preserve"> </w:t>
      </w:r>
      <w:r w:rsidR="00E06F94">
        <w:rPr>
          <w:b/>
        </w:rPr>
        <w:t>rights,</w:t>
      </w:r>
      <w:r w:rsidR="003455F1">
        <w:rPr>
          <w:b/>
        </w:rPr>
        <w:t xml:space="preserve"> </w:t>
      </w:r>
      <w:r w:rsidR="00E06F94">
        <w:rPr>
          <w:b/>
        </w:rPr>
        <w:t>particularly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small-scale</w:t>
      </w:r>
      <w:r w:rsidR="003455F1">
        <w:rPr>
          <w:b/>
        </w:rPr>
        <w:t xml:space="preserve"> </w:t>
      </w:r>
      <w:r w:rsidR="00E06F94">
        <w:rPr>
          <w:b/>
        </w:rPr>
        <w:t>farmers;</w:t>
      </w:r>
    </w:p>
    <w:p w14:paraId="3EB40FA8" w14:textId="7917979B" w:rsidR="00E06F94" w:rsidRPr="001F49A2" w:rsidRDefault="0056372C" w:rsidP="00E06F94">
      <w:pPr>
        <w:pStyle w:val="SingleTxtG"/>
        <w:rPr>
          <w:rFonts w:eastAsia="Times New Roman"/>
          <w:lang w:val="en-US"/>
        </w:rPr>
      </w:pPr>
      <w:r>
        <w:tab/>
      </w:r>
      <w:r w:rsidR="00E06F94" w:rsidRPr="004C42B3">
        <w:t>(b)</w:t>
      </w:r>
      <w:r w:rsidR="00E06F94">
        <w:tab/>
      </w:r>
      <w:r w:rsidR="00E06F94">
        <w:rPr>
          <w:b/>
        </w:rPr>
        <w:t>Establish</w:t>
      </w:r>
      <w:r w:rsidR="003455F1">
        <w:rPr>
          <w:b/>
        </w:rPr>
        <w:t xml:space="preserve"> </w:t>
      </w:r>
      <w:r w:rsidR="00E06F94">
        <w:rPr>
          <w:b/>
        </w:rPr>
        <w:t>an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mechanism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protect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possess,</w:t>
      </w:r>
      <w:r w:rsidR="003455F1">
        <w:rPr>
          <w:b/>
        </w:rPr>
        <w:t xml:space="preserve"> </w:t>
      </w:r>
      <w:r w:rsidR="00E06F94">
        <w:rPr>
          <w:b/>
        </w:rPr>
        <w:t>use,</w:t>
      </w:r>
      <w:r w:rsidR="003455F1">
        <w:rPr>
          <w:b/>
        </w:rPr>
        <w:t xml:space="preserve"> </w:t>
      </w:r>
      <w:r w:rsidR="00E06F94">
        <w:rPr>
          <w:b/>
        </w:rPr>
        <w:t>develop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control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lands,</w:t>
      </w:r>
      <w:r w:rsidR="003455F1">
        <w:rPr>
          <w:b/>
        </w:rPr>
        <w:t xml:space="preserve"> </w:t>
      </w:r>
      <w:r w:rsidR="00E06F94">
        <w:rPr>
          <w:b/>
        </w:rPr>
        <w:t>territories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resources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full</w:t>
      </w:r>
      <w:r w:rsidR="003455F1">
        <w:rPr>
          <w:b/>
        </w:rPr>
        <w:t xml:space="preserve"> </w:t>
      </w:r>
      <w:r w:rsidR="00E06F94">
        <w:rPr>
          <w:b/>
        </w:rPr>
        <w:t>security,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by</w:t>
      </w:r>
      <w:r w:rsidR="003455F1">
        <w:rPr>
          <w:b/>
        </w:rPr>
        <w:t xml:space="preserve"> </w:t>
      </w:r>
      <w:r w:rsidR="00E06F94">
        <w:rPr>
          <w:b/>
        </w:rPr>
        <w:t>strengthening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process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regularization,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recognition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protection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territories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accordance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international</w:t>
      </w:r>
      <w:r w:rsidR="003455F1">
        <w:rPr>
          <w:b/>
        </w:rPr>
        <w:t xml:space="preserve"> </w:t>
      </w:r>
      <w:r w:rsidR="00E06F94">
        <w:rPr>
          <w:b/>
        </w:rPr>
        <w:t>standards;</w:t>
      </w:r>
    </w:p>
    <w:p w14:paraId="1CC9718E" w14:textId="1719D071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8D1F26">
        <w:t>(c)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against</w:t>
      </w:r>
      <w:r w:rsidR="003455F1">
        <w:rPr>
          <w:b/>
        </w:rPr>
        <w:t xml:space="preserve"> </w:t>
      </w:r>
      <w:r w:rsidR="00E06F94">
        <w:rPr>
          <w:b/>
        </w:rPr>
        <w:t>forced</w:t>
      </w:r>
      <w:r w:rsidR="003455F1">
        <w:rPr>
          <w:b/>
        </w:rPr>
        <w:t xml:space="preserve"> </w:t>
      </w:r>
      <w:r w:rsidR="00E06F94">
        <w:rPr>
          <w:b/>
        </w:rPr>
        <w:t>evictions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accordance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international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law,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victims</w:t>
      </w:r>
      <w:r w:rsidR="003455F1">
        <w:rPr>
          <w:b/>
        </w:rPr>
        <w:t xml:space="preserve"> </w:t>
      </w:r>
      <w:r w:rsidR="00E06F94">
        <w:rPr>
          <w:b/>
        </w:rPr>
        <w:t>have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an</w:t>
      </w:r>
      <w:r w:rsidR="003455F1">
        <w:rPr>
          <w:b/>
        </w:rPr>
        <w:t xml:space="preserve"> </w:t>
      </w:r>
      <w:r w:rsidR="00E06F94">
        <w:rPr>
          <w:b/>
        </w:rPr>
        <w:t>effective</w:t>
      </w:r>
      <w:r w:rsidR="003455F1">
        <w:rPr>
          <w:b/>
        </w:rPr>
        <w:t xml:space="preserve"> </w:t>
      </w:r>
      <w:r w:rsidR="00E06F94">
        <w:rPr>
          <w:b/>
        </w:rPr>
        <w:t>remedy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allows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restitution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property,</w:t>
      </w:r>
      <w:r w:rsidR="003455F1">
        <w:rPr>
          <w:b/>
        </w:rPr>
        <w:t xml:space="preserve"> </w:t>
      </w:r>
      <w:r w:rsidR="00E06F94">
        <w:rPr>
          <w:b/>
        </w:rPr>
        <w:t>return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homes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land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suitable</w:t>
      </w:r>
      <w:r w:rsidR="003455F1">
        <w:rPr>
          <w:b/>
        </w:rPr>
        <w:t xml:space="preserve"> </w:t>
      </w:r>
      <w:r w:rsidR="00E06F94">
        <w:rPr>
          <w:b/>
        </w:rPr>
        <w:t>alternative</w:t>
      </w:r>
      <w:r w:rsidR="003455F1">
        <w:rPr>
          <w:b/>
        </w:rPr>
        <w:t xml:space="preserve"> </w:t>
      </w:r>
      <w:r w:rsidR="00E06F94">
        <w:rPr>
          <w:b/>
        </w:rPr>
        <w:t>thereto,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compensation;</w:t>
      </w:r>
    </w:p>
    <w:p w14:paraId="77162009" w14:textId="52831292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7B3313">
        <w:t>(d)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consideration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 w:rsidRPr="007B3313">
        <w:rPr>
          <w:b/>
        </w:rPr>
        <w:t>general</w:t>
      </w:r>
      <w:r w:rsidR="003455F1">
        <w:rPr>
          <w:b/>
        </w:rPr>
        <w:t xml:space="preserve"> </w:t>
      </w:r>
      <w:r w:rsidR="00E06F94" w:rsidRPr="007B3313">
        <w:rPr>
          <w:b/>
        </w:rPr>
        <w:t>comment</w:t>
      </w:r>
      <w:r w:rsidR="003455F1">
        <w:rPr>
          <w:b/>
        </w:rPr>
        <w:t xml:space="preserve"> </w:t>
      </w:r>
      <w:r w:rsidR="00E06F94" w:rsidRPr="007B3313">
        <w:rPr>
          <w:b/>
        </w:rPr>
        <w:t>No.</w:t>
      </w:r>
      <w:r w:rsidR="003455F1">
        <w:rPr>
          <w:b/>
        </w:rPr>
        <w:t xml:space="preserve"> </w:t>
      </w:r>
      <w:r w:rsidR="00E06F94" w:rsidRPr="007B3313">
        <w:rPr>
          <w:b/>
        </w:rPr>
        <w:t>7</w:t>
      </w:r>
      <w:r w:rsidR="003455F1">
        <w:rPr>
          <w:b/>
        </w:rPr>
        <w:t xml:space="preserve"> </w:t>
      </w:r>
      <w:r w:rsidR="00E06F94" w:rsidRPr="007B3313">
        <w:rPr>
          <w:b/>
        </w:rPr>
        <w:t>(1997)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>
        <w:rPr>
          <w:b/>
        </w:rPr>
        <w:t>which</w:t>
      </w:r>
      <w:r w:rsidR="003455F1">
        <w:rPr>
          <w:b/>
        </w:rPr>
        <w:t xml:space="preserve"> </w:t>
      </w:r>
      <w:r w:rsidR="00E06F94">
        <w:rPr>
          <w:b/>
        </w:rPr>
        <w:t>deals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topic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forced</w:t>
      </w:r>
      <w:r w:rsidR="003455F1">
        <w:rPr>
          <w:b/>
        </w:rPr>
        <w:t xml:space="preserve"> </w:t>
      </w:r>
      <w:r w:rsidR="00E06F94" w:rsidRPr="007B3313">
        <w:rPr>
          <w:b/>
        </w:rPr>
        <w:t>evictions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contains,</w:t>
      </w:r>
      <w:r w:rsidR="003455F1">
        <w:rPr>
          <w:b/>
        </w:rPr>
        <w:t xml:space="preserve"> </w:t>
      </w:r>
      <w:r w:rsidR="00E06F94">
        <w:rPr>
          <w:b/>
        </w:rPr>
        <w:t>among</w:t>
      </w:r>
      <w:r w:rsidR="003455F1">
        <w:rPr>
          <w:b/>
        </w:rPr>
        <w:t xml:space="preserve"> </w:t>
      </w:r>
      <w:r w:rsidR="00E06F94">
        <w:rPr>
          <w:b/>
        </w:rPr>
        <w:t>others,</w:t>
      </w:r>
      <w:r w:rsidR="003455F1">
        <w:rPr>
          <w:b/>
        </w:rPr>
        <w:t xml:space="preserve"> </w:t>
      </w:r>
      <w:r w:rsidR="00E06F94">
        <w:rPr>
          <w:b/>
        </w:rPr>
        <w:t>guidance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appropriate</w:t>
      </w:r>
      <w:r w:rsidR="003455F1">
        <w:rPr>
          <w:b/>
        </w:rPr>
        <w:t xml:space="preserve"> </w:t>
      </w:r>
      <w:r w:rsidR="00E06F94">
        <w:rPr>
          <w:b/>
        </w:rPr>
        <w:t>legal</w:t>
      </w:r>
      <w:r w:rsidR="003455F1">
        <w:rPr>
          <w:b/>
        </w:rPr>
        <w:t xml:space="preserve"> </w:t>
      </w:r>
      <w:r w:rsidR="00E06F94">
        <w:rPr>
          <w:b/>
        </w:rPr>
        <w:t>remedies,</w:t>
      </w:r>
      <w:r w:rsidR="003455F1">
        <w:rPr>
          <w:b/>
        </w:rPr>
        <w:t xml:space="preserve"> </w:t>
      </w:r>
      <w:r w:rsidR="00E06F94">
        <w:rPr>
          <w:b/>
        </w:rPr>
        <w:t>adequate</w:t>
      </w:r>
      <w:r w:rsidR="003455F1">
        <w:rPr>
          <w:b/>
        </w:rPr>
        <w:t xml:space="preserve"> </w:t>
      </w:r>
      <w:r w:rsidR="00E06F94">
        <w:rPr>
          <w:b/>
        </w:rPr>
        <w:t>compensation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consultations.</w:t>
      </w:r>
    </w:p>
    <w:p w14:paraId="7A403195" w14:textId="68759B38" w:rsidR="00866BF2" w:rsidRDefault="0056372C" w:rsidP="0056372C">
      <w:pPr>
        <w:pStyle w:val="H23G"/>
      </w:pPr>
      <w:r>
        <w:tab/>
      </w:r>
      <w:r>
        <w:tab/>
      </w:r>
      <w:r w:rsidR="00E06F94">
        <w:t>Right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food</w:t>
      </w:r>
    </w:p>
    <w:p w14:paraId="26257E2D" w14:textId="5AB3DA92" w:rsidR="00866BF2" w:rsidRDefault="00E06F94" w:rsidP="00E06F94">
      <w:pPr>
        <w:pStyle w:val="SingleTxtG"/>
      </w:pPr>
      <w:r>
        <w:t>38.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the</w:t>
      </w:r>
      <w:r w:rsidR="003455F1">
        <w:t xml:space="preserve"> </w:t>
      </w:r>
      <w:r>
        <w:t>serious</w:t>
      </w:r>
      <w:r w:rsidR="003455F1">
        <w:t xml:space="preserve"> </w:t>
      </w:r>
      <w:r>
        <w:t>situation</w:t>
      </w:r>
      <w:r w:rsidR="003455F1">
        <w:t xml:space="preserve"> </w:t>
      </w:r>
      <w:r>
        <w:t>of</w:t>
      </w:r>
      <w:r w:rsidR="003455F1">
        <w:t xml:space="preserve"> </w:t>
      </w:r>
      <w:r>
        <w:t>food</w:t>
      </w:r>
      <w:r w:rsidR="003455F1">
        <w:t xml:space="preserve"> </w:t>
      </w:r>
      <w:r>
        <w:t>insecurity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high</w:t>
      </w:r>
      <w:r w:rsidR="003455F1">
        <w:t xml:space="preserve"> </w:t>
      </w:r>
      <w:r>
        <w:t>rate</w:t>
      </w:r>
      <w:r w:rsidR="003455F1">
        <w:t xml:space="preserve"> </w:t>
      </w:r>
      <w:r>
        <w:t>of</w:t>
      </w:r>
      <w:r w:rsidR="003455F1">
        <w:t xml:space="preserve"> </w:t>
      </w:r>
      <w:r>
        <w:t>chronic</w:t>
      </w:r>
      <w:r w:rsidR="003455F1">
        <w:t xml:space="preserve"> </w:t>
      </w:r>
      <w:r>
        <w:t>child</w:t>
      </w:r>
      <w:r w:rsidR="003455F1">
        <w:t xml:space="preserve"> </w:t>
      </w:r>
      <w:r>
        <w:t>malnutrition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party,</w:t>
      </w:r>
      <w:r w:rsidR="003455F1">
        <w:t xml:space="preserve"> </w:t>
      </w:r>
      <w:r>
        <w:t>which</w:t>
      </w:r>
      <w:r w:rsidR="003455F1">
        <w:t xml:space="preserve"> </w:t>
      </w:r>
      <w:r>
        <w:t>primarily</w:t>
      </w:r>
      <w:r w:rsidR="003455F1">
        <w:t xml:space="preserve"> </w:t>
      </w:r>
      <w:r>
        <w:t>affect</w:t>
      </w:r>
      <w:r w:rsidR="003455F1">
        <w:t xml:space="preserve"> </w:t>
      </w:r>
      <w:r>
        <w:t>the</w:t>
      </w:r>
      <w:r w:rsidR="003455F1">
        <w:t xml:space="preserve"> </w:t>
      </w:r>
      <w:r>
        <w:t>Indigenous</w:t>
      </w:r>
      <w:r w:rsidR="003455F1">
        <w:t xml:space="preserve"> </w:t>
      </w:r>
      <w:r>
        <w:t>population.</w:t>
      </w:r>
    </w:p>
    <w:p w14:paraId="6481E48A" w14:textId="67C43320" w:rsidR="00E06F94" w:rsidRPr="001F49A2" w:rsidRDefault="00E06F94" w:rsidP="00E06F94">
      <w:pPr>
        <w:pStyle w:val="SingleTxtG"/>
        <w:rPr>
          <w:rFonts w:eastAsia="Times New Roman"/>
          <w:b/>
          <w:lang w:val="en-US"/>
        </w:rPr>
      </w:pPr>
      <w:r>
        <w:t>39.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redouble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efforts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protect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adequate</w:t>
      </w:r>
      <w:r w:rsidR="003455F1">
        <w:rPr>
          <w:b/>
        </w:rPr>
        <w:t xml:space="preserve"> </w:t>
      </w:r>
      <w:r>
        <w:rPr>
          <w:b/>
        </w:rPr>
        <w:t>food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step</w:t>
      </w:r>
      <w:r w:rsidR="003455F1">
        <w:rPr>
          <w:b/>
        </w:rPr>
        <w:t xml:space="preserve"> </w:t>
      </w:r>
      <w:r>
        <w:rPr>
          <w:b/>
        </w:rPr>
        <w:t>up</w:t>
      </w:r>
      <w:r w:rsidR="003455F1">
        <w:rPr>
          <w:b/>
        </w:rPr>
        <w:t xml:space="preserve"> </w:t>
      </w:r>
      <w:r>
        <w:rPr>
          <w:b/>
        </w:rPr>
        <w:t>initiatives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provide</w:t>
      </w:r>
      <w:r w:rsidR="003455F1">
        <w:rPr>
          <w:b/>
        </w:rPr>
        <w:t xml:space="preserve"> </w:t>
      </w:r>
      <w:r>
        <w:rPr>
          <w:b/>
        </w:rPr>
        <w:t>an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response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situation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food</w:t>
      </w:r>
      <w:r w:rsidR="003455F1">
        <w:rPr>
          <w:b/>
        </w:rPr>
        <w:t xml:space="preserve"> </w:t>
      </w:r>
      <w:r>
        <w:rPr>
          <w:b/>
        </w:rPr>
        <w:t>insecurity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chronic</w:t>
      </w:r>
      <w:r w:rsidR="003455F1">
        <w:rPr>
          <w:b/>
        </w:rPr>
        <w:t xml:space="preserve"> </w:t>
      </w:r>
      <w:r>
        <w:rPr>
          <w:b/>
        </w:rPr>
        <w:t>child</w:t>
      </w:r>
      <w:r w:rsidR="003455F1">
        <w:rPr>
          <w:b/>
        </w:rPr>
        <w:t xml:space="preserve"> </w:t>
      </w:r>
      <w:r>
        <w:rPr>
          <w:b/>
        </w:rPr>
        <w:t>malnutrition,</w:t>
      </w:r>
      <w:r w:rsidR="003455F1">
        <w:rPr>
          <w:b/>
        </w:rPr>
        <w:t xml:space="preserve"> </w:t>
      </w:r>
      <w:r>
        <w:rPr>
          <w:b/>
        </w:rPr>
        <w:t>particularly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rural</w:t>
      </w:r>
      <w:r w:rsidR="003455F1">
        <w:rPr>
          <w:b/>
        </w:rPr>
        <w:t xml:space="preserve"> </w:t>
      </w:r>
      <w:r>
        <w:rPr>
          <w:b/>
        </w:rPr>
        <w:t>areas.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further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increase</w:t>
      </w:r>
      <w:r w:rsidR="003455F1">
        <w:rPr>
          <w:b/>
        </w:rPr>
        <w:t xml:space="preserve"> </w:t>
      </w:r>
      <w:r>
        <w:rPr>
          <w:b/>
        </w:rPr>
        <w:t>investment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local</w:t>
      </w:r>
      <w:r w:rsidR="003455F1">
        <w:rPr>
          <w:b/>
        </w:rPr>
        <w:t xml:space="preserve"> </w:t>
      </w:r>
      <w:r>
        <w:rPr>
          <w:b/>
        </w:rPr>
        <w:t>agricultural</w:t>
      </w:r>
      <w:r w:rsidR="003455F1">
        <w:rPr>
          <w:b/>
        </w:rPr>
        <w:t xml:space="preserve"> </w:t>
      </w:r>
      <w:r>
        <w:rPr>
          <w:b/>
        </w:rPr>
        <w:t>production,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possibility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reforming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agricultural</w:t>
      </w:r>
      <w:r w:rsidR="003455F1">
        <w:rPr>
          <w:b/>
        </w:rPr>
        <w:t xml:space="preserve"> </w:t>
      </w:r>
      <w:r>
        <w:rPr>
          <w:b/>
        </w:rPr>
        <w:t>sector,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enhance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productivity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market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small-scale</w:t>
      </w:r>
      <w:r w:rsidR="003455F1">
        <w:rPr>
          <w:b/>
        </w:rPr>
        <w:t xml:space="preserve"> </w:t>
      </w:r>
      <w:r>
        <w:rPr>
          <w:b/>
        </w:rPr>
        <w:t>farmers</w:t>
      </w:r>
      <w:r w:rsidR="003455F1">
        <w:rPr>
          <w:b/>
        </w:rPr>
        <w:t xml:space="preserve"> </w:t>
      </w:r>
      <w:r>
        <w:rPr>
          <w:b/>
        </w:rPr>
        <w:t>so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increase</w:t>
      </w:r>
      <w:r w:rsidR="003455F1">
        <w:rPr>
          <w:b/>
        </w:rPr>
        <w:t xml:space="preserve"> </w:t>
      </w:r>
      <w:r>
        <w:rPr>
          <w:b/>
        </w:rPr>
        <w:t>incomes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rural</w:t>
      </w:r>
      <w:r w:rsidR="003455F1">
        <w:rPr>
          <w:b/>
        </w:rPr>
        <w:t xml:space="preserve"> </w:t>
      </w:r>
      <w:r>
        <w:rPr>
          <w:b/>
        </w:rPr>
        <w:t>areas.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refers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12</w:t>
      </w:r>
      <w:r w:rsidR="003455F1">
        <w:rPr>
          <w:b/>
        </w:rPr>
        <w:t xml:space="preserve"> </w:t>
      </w:r>
      <w:r>
        <w:rPr>
          <w:b/>
        </w:rPr>
        <w:t>(1999)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adequate</w:t>
      </w:r>
      <w:r w:rsidR="003455F1">
        <w:rPr>
          <w:b/>
        </w:rPr>
        <w:t xml:space="preserve"> </w:t>
      </w:r>
      <w:r>
        <w:rPr>
          <w:b/>
        </w:rPr>
        <w:t>food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Voluntary</w:t>
      </w:r>
      <w:r w:rsidR="003455F1">
        <w:rPr>
          <w:b/>
        </w:rPr>
        <w:t xml:space="preserve"> </w:t>
      </w:r>
      <w:r>
        <w:rPr>
          <w:b/>
        </w:rPr>
        <w:t>Guidelines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Support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Progressive</w:t>
      </w:r>
      <w:r w:rsidR="003455F1">
        <w:rPr>
          <w:b/>
        </w:rPr>
        <w:t xml:space="preserve"> </w:t>
      </w:r>
      <w:r>
        <w:rPr>
          <w:b/>
        </w:rPr>
        <w:t>Realization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Adequate</w:t>
      </w:r>
      <w:r w:rsidR="003455F1">
        <w:rPr>
          <w:b/>
        </w:rPr>
        <w:t xml:space="preserve"> </w:t>
      </w:r>
      <w:r>
        <w:rPr>
          <w:b/>
        </w:rPr>
        <w:t>Food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Context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National</w:t>
      </w:r>
      <w:r w:rsidR="003455F1">
        <w:rPr>
          <w:b/>
        </w:rPr>
        <w:t xml:space="preserve"> </w:t>
      </w:r>
      <w:r>
        <w:rPr>
          <w:b/>
        </w:rPr>
        <w:t>Food</w:t>
      </w:r>
      <w:r w:rsidR="003455F1">
        <w:rPr>
          <w:b/>
        </w:rPr>
        <w:t xml:space="preserve"> </w:t>
      </w:r>
      <w:r>
        <w:rPr>
          <w:b/>
        </w:rPr>
        <w:t>Security.</w:t>
      </w:r>
    </w:p>
    <w:p w14:paraId="7D35493C" w14:textId="630D3777" w:rsidR="00866BF2" w:rsidRDefault="0056372C" w:rsidP="0056372C">
      <w:pPr>
        <w:pStyle w:val="H23G"/>
      </w:pPr>
      <w:r>
        <w:tab/>
      </w:r>
      <w:r>
        <w:tab/>
      </w:r>
      <w:r w:rsidR="00E06F94">
        <w:t>Rights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water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sanitation</w:t>
      </w:r>
    </w:p>
    <w:p w14:paraId="5BF96E48" w14:textId="51F1B79C" w:rsidR="00E06F94" w:rsidRPr="001F49A2" w:rsidRDefault="00E06F94" w:rsidP="00E06F94">
      <w:pPr>
        <w:pStyle w:val="SingleTxtG"/>
        <w:rPr>
          <w:color w:val="000000"/>
          <w:lang w:val="en-US"/>
        </w:rPr>
      </w:pPr>
      <w:r>
        <w:t>40.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limited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good</w:t>
      </w:r>
      <w:r w:rsidR="003455F1">
        <w:t xml:space="preserve"> </w:t>
      </w:r>
      <w:r>
        <w:t>quality</w:t>
      </w:r>
      <w:r w:rsidR="003455F1">
        <w:t xml:space="preserve"> </w:t>
      </w:r>
      <w:r>
        <w:t>drinking</w:t>
      </w:r>
      <w:r w:rsidR="003455F1">
        <w:t xml:space="preserve"> </w:t>
      </w:r>
      <w:r>
        <w:t>water</w:t>
      </w:r>
      <w:r w:rsidR="003455F1">
        <w:t xml:space="preserve"> </w:t>
      </w:r>
      <w:r>
        <w:t>and</w:t>
      </w:r>
      <w:r w:rsidR="003455F1">
        <w:t xml:space="preserve"> </w:t>
      </w:r>
      <w:r>
        <w:t>adequate</w:t>
      </w:r>
      <w:r w:rsidR="003455F1">
        <w:t xml:space="preserve"> </w:t>
      </w:r>
      <w:r>
        <w:t>sanitation</w:t>
      </w:r>
      <w:r w:rsidR="003455F1">
        <w:t xml:space="preserve"> </w:t>
      </w:r>
      <w:r>
        <w:t>services,</w:t>
      </w:r>
      <w:r w:rsidR="003455F1">
        <w:t xml:space="preserve"> </w:t>
      </w:r>
      <w:r>
        <w:t>which</w:t>
      </w:r>
      <w:r w:rsidR="003455F1">
        <w:t xml:space="preserve"> </w:t>
      </w:r>
      <w:r>
        <w:t>disproportionately</w:t>
      </w:r>
      <w:r w:rsidR="003455F1">
        <w:t xml:space="preserve"> </w:t>
      </w:r>
      <w:r>
        <w:t>affects</w:t>
      </w:r>
      <w:r w:rsidR="003455F1">
        <w:t xml:space="preserve"> </w:t>
      </w:r>
      <w:r>
        <w:t>the</w:t>
      </w:r>
      <w:r w:rsidR="003455F1">
        <w:t xml:space="preserve"> </w:t>
      </w:r>
      <w:r>
        <w:t>most</w:t>
      </w:r>
      <w:r w:rsidR="003455F1">
        <w:t xml:space="preserve"> </w:t>
      </w:r>
      <w:r>
        <w:t>disadvantaged</w:t>
      </w:r>
      <w:r w:rsidR="003455F1">
        <w:t xml:space="preserve"> </w:t>
      </w:r>
      <w:r>
        <w:t>and</w:t>
      </w:r>
      <w:r w:rsidR="003455F1">
        <w:t xml:space="preserve"> </w:t>
      </w:r>
      <w:r>
        <w:t>marginalized</w:t>
      </w:r>
      <w:r w:rsidR="003455F1">
        <w:t xml:space="preserve"> </w:t>
      </w:r>
      <w:r>
        <w:t>groups,</w:t>
      </w:r>
      <w:r w:rsidR="003455F1">
        <w:t xml:space="preserve"> </w:t>
      </w:r>
      <w:r>
        <w:t>especially</w:t>
      </w:r>
      <w:r w:rsidR="003455F1">
        <w:t xml:space="preserve"> </w:t>
      </w:r>
      <w:r>
        <w:t>in</w:t>
      </w:r>
      <w:r w:rsidR="003455F1">
        <w:t xml:space="preserve"> </w:t>
      </w:r>
      <w:r>
        <w:t>rural</w:t>
      </w:r>
      <w:r w:rsidR="003455F1">
        <w:t xml:space="preserve"> </w:t>
      </w:r>
      <w:r>
        <w:t>areas.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sufficient</w:t>
      </w:r>
      <w:r w:rsidR="003455F1">
        <w:t xml:space="preserve"> </w:t>
      </w:r>
      <w:r>
        <w:t>protection</w:t>
      </w:r>
      <w:r w:rsidR="003455F1">
        <w:t xml:space="preserve"> </w:t>
      </w:r>
      <w:r>
        <w:t>of</w:t>
      </w:r>
      <w:r w:rsidR="003455F1">
        <w:t xml:space="preserve"> </w:t>
      </w:r>
      <w:r>
        <w:t>water</w:t>
      </w:r>
      <w:r w:rsidR="003455F1">
        <w:t xml:space="preserve"> </w:t>
      </w:r>
      <w:r>
        <w:t>resources,</w:t>
      </w:r>
      <w:r w:rsidR="003455F1">
        <w:t xml:space="preserve"> </w:t>
      </w:r>
      <w:r>
        <w:t>particularly</w:t>
      </w:r>
      <w:r w:rsidR="003455F1">
        <w:t xml:space="preserve"> </w:t>
      </w:r>
      <w:r>
        <w:t>from</w:t>
      </w:r>
      <w:r w:rsidR="003455F1">
        <w:t xml:space="preserve"> </w:t>
      </w:r>
      <w:r>
        <w:t>the</w:t>
      </w:r>
      <w:r w:rsidR="003455F1">
        <w:t xml:space="preserve"> </w:t>
      </w:r>
      <w:r>
        <w:t>effects</w:t>
      </w:r>
      <w:r w:rsidR="003455F1">
        <w:t xml:space="preserve"> </w:t>
      </w:r>
      <w:r>
        <w:t>of</w:t>
      </w:r>
      <w:r w:rsidR="003455F1">
        <w:t xml:space="preserve"> </w:t>
      </w:r>
      <w:r>
        <w:t>climate</w:t>
      </w:r>
      <w:r w:rsidR="003455F1">
        <w:t xml:space="preserve"> </w:t>
      </w:r>
      <w:r>
        <w:t>change,</w:t>
      </w:r>
      <w:r w:rsidR="003455F1">
        <w:t xml:space="preserve"> </w:t>
      </w:r>
      <w:r>
        <w:t>and</w:t>
      </w:r>
      <w:r w:rsidR="003455F1">
        <w:t xml:space="preserve"> </w:t>
      </w:r>
      <w:r>
        <w:t>the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progress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adoption</w:t>
      </w:r>
      <w:r w:rsidR="003455F1">
        <w:t xml:space="preserve"> </w:t>
      </w:r>
      <w:r>
        <w:t>of</w:t>
      </w:r>
      <w:r w:rsidR="003455F1">
        <w:t xml:space="preserve"> </w:t>
      </w:r>
      <w:r>
        <w:t>a</w:t>
      </w:r>
      <w:r w:rsidR="003455F1">
        <w:t xml:space="preserve"> </w:t>
      </w:r>
      <w:r>
        <w:t>law</w:t>
      </w:r>
      <w:r w:rsidR="003455F1">
        <w:t xml:space="preserve"> </w:t>
      </w:r>
      <w:r>
        <w:t>on</w:t>
      </w:r>
      <w:r w:rsidR="003455F1">
        <w:t xml:space="preserve"> </w:t>
      </w:r>
      <w:r>
        <w:t>water</w:t>
      </w:r>
      <w:r w:rsidR="003455F1">
        <w:t xml:space="preserve"> </w:t>
      </w:r>
      <w:r>
        <w:t>(art.</w:t>
      </w:r>
      <w:r w:rsidR="003455F1">
        <w:t xml:space="preserve"> </w:t>
      </w:r>
      <w:r>
        <w:t>11).</w:t>
      </w:r>
    </w:p>
    <w:p w14:paraId="0B08B1FA" w14:textId="08EC50E5" w:rsidR="00E06F94" w:rsidRPr="001F49A2" w:rsidRDefault="00E06F94" w:rsidP="00E06F94">
      <w:pPr>
        <w:pStyle w:val="SingleTxtG"/>
        <w:rPr>
          <w:b/>
          <w:color w:val="000000"/>
          <w:lang w:val="en-US"/>
        </w:rPr>
      </w:pPr>
      <w:r>
        <w:t>41.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intensify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efforts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guarantee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drinking</w:t>
      </w:r>
      <w:r w:rsidR="003455F1">
        <w:rPr>
          <w:b/>
        </w:rPr>
        <w:t xml:space="preserve"> </w:t>
      </w:r>
      <w:r>
        <w:rPr>
          <w:b/>
        </w:rPr>
        <w:t>water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sanitation</w:t>
      </w:r>
      <w:r w:rsidR="003455F1">
        <w:rPr>
          <w:b/>
        </w:rPr>
        <w:t xml:space="preserve"> </w:t>
      </w:r>
      <w:r>
        <w:rPr>
          <w:b/>
        </w:rPr>
        <w:t>services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entire</w:t>
      </w:r>
      <w:r w:rsidR="003455F1">
        <w:rPr>
          <w:b/>
        </w:rPr>
        <w:t xml:space="preserve"> </w:t>
      </w:r>
      <w:r>
        <w:rPr>
          <w:b/>
        </w:rPr>
        <w:t>population,</w:t>
      </w:r>
      <w:r w:rsidR="003455F1">
        <w:rPr>
          <w:b/>
        </w:rPr>
        <w:t xml:space="preserve"> </w:t>
      </w:r>
      <w:r>
        <w:rPr>
          <w:b/>
        </w:rPr>
        <w:t>particularly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most</w:t>
      </w:r>
      <w:r w:rsidR="003455F1">
        <w:rPr>
          <w:b/>
        </w:rPr>
        <w:t xml:space="preserve"> </w:t>
      </w:r>
      <w:r>
        <w:rPr>
          <w:b/>
        </w:rPr>
        <w:t>disadvantaged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marginalized</w:t>
      </w:r>
      <w:r w:rsidR="003455F1">
        <w:rPr>
          <w:b/>
        </w:rPr>
        <w:t xml:space="preserve"> </w:t>
      </w:r>
      <w:r>
        <w:rPr>
          <w:b/>
        </w:rPr>
        <w:t>groups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those</w:t>
      </w:r>
      <w:r w:rsidR="003455F1">
        <w:rPr>
          <w:b/>
        </w:rPr>
        <w:t xml:space="preserve"> </w:t>
      </w:r>
      <w:r>
        <w:rPr>
          <w:b/>
        </w:rPr>
        <w:t>living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rural</w:t>
      </w:r>
      <w:r w:rsidR="003455F1">
        <w:rPr>
          <w:b/>
        </w:rPr>
        <w:t xml:space="preserve"> </w:t>
      </w:r>
      <w:r>
        <w:rPr>
          <w:b/>
        </w:rPr>
        <w:t>or</w:t>
      </w:r>
      <w:r w:rsidR="003455F1">
        <w:rPr>
          <w:b/>
        </w:rPr>
        <w:t xml:space="preserve"> </w:t>
      </w:r>
      <w:r>
        <w:rPr>
          <w:b/>
        </w:rPr>
        <w:t>remote</w:t>
      </w:r>
      <w:r w:rsidR="003455F1">
        <w:rPr>
          <w:b/>
        </w:rPr>
        <w:t xml:space="preserve"> </w:t>
      </w:r>
      <w:r>
        <w:rPr>
          <w:b/>
        </w:rPr>
        <w:t>areas</w:t>
      </w:r>
      <w:r w:rsidR="003455F1">
        <w:rPr>
          <w:b/>
        </w:rPr>
        <w:t xml:space="preserve"> </w:t>
      </w:r>
      <w:r>
        <w:rPr>
          <w:b/>
        </w:rPr>
        <w:t>by,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instance,</w:t>
      </w:r>
      <w:r w:rsidR="003455F1">
        <w:rPr>
          <w:b/>
        </w:rPr>
        <w:t xml:space="preserve"> </w:t>
      </w:r>
      <w:r>
        <w:rPr>
          <w:b/>
        </w:rPr>
        <w:t>ensuring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coordination</w:t>
      </w:r>
      <w:r w:rsidR="003455F1">
        <w:rPr>
          <w:b/>
        </w:rPr>
        <w:t xml:space="preserve"> </w:t>
      </w:r>
      <w:r>
        <w:rPr>
          <w:b/>
        </w:rPr>
        <w:t>among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various</w:t>
      </w:r>
      <w:r w:rsidR="003455F1">
        <w:rPr>
          <w:b/>
        </w:rPr>
        <w:t xml:space="preserve"> </w:t>
      </w:r>
      <w:r>
        <w:rPr>
          <w:b/>
        </w:rPr>
        <w:t>levels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government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allocating</w:t>
      </w:r>
      <w:r w:rsidR="003455F1">
        <w:rPr>
          <w:b/>
        </w:rPr>
        <w:t xml:space="preserve"> </w:t>
      </w:r>
      <w:r>
        <w:rPr>
          <w:b/>
        </w:rPr>
        <w:t>sufficient</w:t>
      </w:r>
      <w:r w:rsidR="003455F1">
        <w:rPr>
          <w:b/>
        </w:rPr>
        <w:t xml:space="preserve"> </w:t>
      </w:r>
      <w:r>
        <w:rPr>
          <w:b/>
        </w:rPr>
        <w:t>resources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adequate</w:t>
      </w:r>
      <w:r w:rsidR="003455F1">
        <w:rPr>
          <w:b/>
        </w:rPr>
        <w:t xml:space="preserve"> </w:t>
      </w:r>
      <w:r>
        <w:rPr>
          <w:b/>
        </w:rPr>
        <w:t>provision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these</w:t>
      </w:r>
      <w:r w:rsidR="003455F1">
        <w:rPr>
          <w:b/>
        </w:rPr>
        <w:t xml:space="preserve"> </w:t>
      </w:r>
      <w:r>
        <w:rPr>
          <w:b/>
        </w:rPr>
        <w:t>services.</w:t>
      </w:r>
      <w:r w:rsidR="003455F1"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addition,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duly</w:t>
      </w:r>
      <w:r w:rsidR="003455F1">
        <w:rPr>
          <w:b/>
        </w:rPr>
        <w:t xml:space="preserve"> </w:t>
      </w:r>
      <w:r>
        <w:rPr>
          <w:b/>
        </w:rPr>
        <w:t>protect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water</w:t>
      </w:r>
      <w:r w:rsidR="003455F1">
        <w:rPr>
          <w:b/>
        </w:rPr>
        <w:t xml:space="preserve"> </w:t>
      </w:r>
      <w:r>
        <w:rPr>
          <w:b/>
        </w:rPr>
        <w:t>resources,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by</w:t>
      </w:r>
      <w:r w:rsidR="003455F1">
        <w:rPr>
          <w:b/>
        </w:rPr>
        <w:t xml:space="preserve"> </w:t>
      </w:r>
      <w:r>
        <w:rPr>
          <w:b/>
        </w:rPr>
        <w:t>adopting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law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water</w:t>
      </w:r>
      <w:r w:rsidR="003455F1">
        <w:rPr>
          <w:b/>
        </w:rPr>
        <w:t xml:space="preserve"> </w:t>
      </w:r>
      <w:r>
        <w:rPr>
          <w:b/>
        </w:rPr>
        <w:t>that:</w:t>
      </w:r>
      <w:r w:rsidR="003455F1">
        <w:rPr>
          <w:b/>
        </w:rPr>
        <w:t xml:space="preserve"> </w:t>
      </w:r>
      <w:r>
        <w:rPr>
          <w:b/>
        </w:rPr>
        <w:t>(a)</w:t>
      </w:r>
      <w:r w:rsidR="003455F1">
        <w:rPr>
          <w:b/>
        </w:rPr>
        <w:t xml:space="preserve"> </w:t>
      </w:r>
      <w:r>
        <w:rPr>
          <w:b/>
        </w:rPr>
        <w:t>recognizes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water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human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be</w:t>
      </w:r>
      <w:r w:rsidR="003455F1">
        <w:rPr>
          <w:b/>
        </w:rPr>
        <w:t xml:space="preserve"> </w:t>
      </w:r>
      <w:r>
        <w:rPr>
          <w:b/>
        </w:rPr>
        <w:t>safeguarded</w:t>
      </w:r>
      <w:r w:rsidR="003455F1">
        <w:rPr>
          <w:b/>
        </w:rPr>
        <w:t xml:space="preserve"> </w:t>
      </w:r>
      <w:r>
        <w:rPr>
          <w:b/>
        </w:rPr>
        <w:t>without</w:t>
      </w:r>
      <w:r w:rsidR="003455F1">
        <w:rPr>
          <w:b/>
        </w:rPr>
        <w:t xml:space="preserve"> </w:t>
      </w:r>
      <w:r>
        <w:rPr>
          <w:b/>
        </w:rPr>
        <w:t>discrimination;</w:t>
      </w:r>
      <w:r w:rsidR="003455F1">
        <w:t xml:space="preserve"> </w:t>
      </w:r>
      <w:r>
        <w:rPr>
          <w:b/>
        </w:rPr>
        <w:t>(b)</w:t>
      </w:r>
      <w:r w:rsidR="003455F1">
        <w:rPr>
          <w:b/>
        </w:rPr>
        <w:t xml:space="preserve"> </w:t>
      </w:r>
      <w:r>
        <w:rPr>
          <w:b/>
        </w:rPr>
        <w:t>has</w:t>
      </w:r>
      <w:r w:rsidR="003455F1">
        <w:rPr>
          <w:b/>
        </w:rPr>
        <w:t xml:space="preserve"> </w:t>
      </w:r>
      <w:r>
        <w:rPr>
          <w:b/>
        </w:rPr>
        <w:t>been</w:t>
      </w:r>
      <w:r w:rsidR="003455F1">
        <w:rPr>
          <w:b/>
        </w:rPr>
        <w:t xml:space="preserve"> </w:t>
      </w:r>
      <w:r>
        <w:rPr>
          <w:b/>
        </w:rPr>
        <w:t>endorsed</w:t>
      </w:r>
      <w:r w:rsidR="003455F1">
        <w:rPr>
          <w:b/>
        </w:rPr>
        <w:t xml:space="preserve"> </w:t>
      </w:r>
      <w:r>
        <w:rPr>
          <w:b/>
        </w:rPr>
        <w:t>by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actors;</w:t>
      </w:r>
      <w:r w:rsidR="003455F1">
        <w:t xml:space="preserve"> </w:t>
      </w:r>
      <w:r>
        <w:rPr>
          <w:b/>
        </w:rPr>
        <w:t>(c)</w:t>
      </w:r>
      <w:r w:rsidR="003455F1">
        <w:rPr>
          <w:b/>
        </w:rPr>
        <w:t xml:space="preserve"> </w:t>
      </w:r>
      <w:r>
        <w:rPr>
          <w:b/>
        </w:rPr>
        <w:t>addresses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negative</w:t>
      </w:r>
      <w:r w:rsidR="003455F1">
        <w:rPr>
          <w:b/>
        </w:rPr>
        <w:t xml:space="preserve"> </w:t>
      </w:r>
      <w:r>
        <w:rPr>
          <w:b/>
        </w:rPr>
        <w:t>impacts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economic</w:t>
      </w:r>
      <w:r w:rsidR="003455F1">
        <w:rPr>
          <w:b/>
        </w:rPr>
        <w:t xml:space="preserve"> </w:t>
      </w:r>
      <w:r>
        <w:rPr>
          <w:b/>
        </w:rPr>
        <w:t>activities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natural</w:t>
      </w:r>
      <w:r w:rsidR="003455F1">
        <w:rPr>
          <w:b/>
        </w:rPr>
        <w:t xml:space="preserve"> </w:t>
      </w:r>
      <w:r>
        <w:rPr>
          <w:b/>
        </w:rPr>
        <w:t>resource</w:t>
      </w:r>
      <w:r w:rsidR="003455F1">
        <w:rPr>
          <w:b/>
        </w:rPr>
        <w:t xml:space="preserve"> </w:t>
      </w:r>
      <w:r>
        <w:rPr>
          <w:b/>
        </w:rPr>
        <w:t>exploitation,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well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effects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climate</w:t>
      </w:r>
      <w:r w:rsidR="003455F1">
        <w:rPr>
          <w:b/>
        </w:rPr>
        <w:t xml:space="preserve"> </w:t>
      </w:r>
      <w:r>
        <w:rPr>
          <w:b/>
        </w:rPr>
        <w:t>change;</w:t>
      </w:r>
      <w:r w:rsidR="003455F1">
        <w:t xml:space="preserve"> </w:t>
      </w:r>
      <w:r>
        <w:rPr>
          <w:b/>
        </w:rPr>
        <w:t>(d)</w:t>
      </w:r>
      <w:r w:rsidR="003455F1">
        <w:rPr>
          <w:b/>
        </w:rPr>
        <w:t xml:space="preserve"> </w:t>
      </w:r>
      <w:r>
        <w:rPr>
          <w:b/>
        </w:rPr>
        <w:t>sets</w:t>
      </w:r>
      <w:r w:rsidR="003455F1">
        <w:rPr>
          <w:b/>
        </w:rPr>
        <w:t xml:space="preserve"> </w:t>
      </w:r>
      <w:r>
        <w:rPr>
          <w:b/>
        </w:rPr>
        <w:t>penalties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companies</w:t>
      </w:r>
      <w:r w:rsidR="003455F1">
        <w:rPr>
          <w:b/>
        </w:rPr>
        <w:t xml:space="preserve"> </w:t>
      </w:r>
      <w:r>
        <w:rPr>
          <w:b/>
        </w:rPr>
        <w:t>that,</w:t>
      </w:r>
      <w:r w:rsidR="003455F1">
        <w:rPr>
          <w:b/>
        </w:rPr>
        <w:t xml:space="preserve"> </w:t>
      </w:r>
      <w:r>
        <w:rPr>
          <w:b/>
        </w:rPr>
        <w:t>through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activities,</w:t>
      </w:r>
      <w:r w:rsidR="003455F1">
        <w:rPr>
          <w:b/>
        </w:rPr>
        <w:t xml:space="preserve"> </w:t>
      </w:r>
      <w:r>
        <w:rPr>
          <w:b/>
        </w:rPr>
        <w:t>contaminate</w:t>
      </w:r>
      <w:r w:rsidR="003455F1">
        <w:rPr>
          <w:b/>
        </w:rPr>
        <w:t xml:space="preserve"> </w:t>
      </w:r>
      <w:r>
        <w:rPr>
          <w:b/>
        </w:rPr>
        <w:t>water</w:t>
      </w:r>
      <w:r w:rsidR="003455F1">
        <w:rPr>
          <w:b/>
        </w:rPr>
        <w:t xml:space="preserve"> </w:t>
      </w:r>
      <w:r>
        <w:rPr>
          <w:b/>
        </w:rPr>
        <w:t>resources;</w:t>
      </w:r>
      <w:r w:rsidR="003455F1"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(e)</w:t>
      </w:r>
      <w:r w:rsidR="003455F1">
        <w:rPr>
          <w:b/>
        </w:rPr>
        <w:t xml:space="preserve"> </w:t>
      </w:r>
      <w:r>
        <w:rPr>
          <w:b/>
        </w:rPr>
        <w:t>establishes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proper</w:t>
      </w:r>
      <w:r w:rsidR="003455F1">
        <w:rPr>
          <w:b/>
        </w:rPr>
        <w:t xml:space="preserve"> </w:t>
      </w:r>
      <w:r>
        <w:rPr>
          <w:b/>
        </w:rPr>
        <w:t>sustainable</w:t>
      </w:r>
      <w:r w:rsidR="003455F1">
        <w:rPr>
          <w:b/>
        </w:rPr>
        <w:t xml:space="preserve"> </w:t>
      </w:r>
      <w:r>
        <w:rPr>
          <w:b/>
        </w:rPr>
        <w:t>system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management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treatment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waste</w:t>
      </w:r>
      <w:r w:rsidR="003455F1">
        <w:rPr>
          <w:b/>
        </w:rPr>
        <w:t xml:space="preserve"> </w:t>
      </w:r>
      <w:r>
        <w:rPr>
          <w:b/>
        </w:rPr>
        <w:t>water.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refers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comment</w:t>
      </w:r>
      <w:r w:rsidR="003455F1">
        <w:rPr>
          <w:b/>
        </w:rPr>
        <w:t xml:space="preserve"> </w:t>
      </w:r>
      <w:r>
        <w:rPr>
          <w:b/>
        </w:rPr>
        <w:t>No.</w:t>
      </w:r>
      <w:r w:rsidR="003455F1">
        <w:rPr>
          <w:b/>
        </w:rPr>
        <w:t xml:space="preserve"> </w:t>
      </w:r>
      <w:r>
        <w:rPr>
          <w:b/>
        </w:rPr>
        <w:t>15</w:t>
      </w:r>
      <w:r w:rsidR="003455F1">
        <w:rPr>
          <w:b/>
        </w:rPr>
        <w:t xml:space="preserve"> </w:t>
      </w:r>
      <w:r>
        <w:rPr>
          <w:b/>
        </w:rPr>
        <w:t>(2002)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water.</w:t>
      </w:r>
    </w:p>
    <w:p w14:paraId="53064256" w14:textId="095F8EA1" w:rsidR="00866BF2" w:rsidRDefault="00E06F94" w:rsidP="0056372C">
      <w:pPr>
        <w:pStyle w:val="H23G"/>
      </w:pPr>
      <w:r>
        <w:tab/>
      </w:r>
      <w:r w:rsidR="0056372C">
        <w:tab/>
      </w:r>
      <w:r>
        <w:t>Right</w:t>
      </w:r>
      <w:r w:rsidR="003455F1">
        <w:t xml:space="preserve"> </w:t>
      </w:r>
      <w:r>
        <w:t>to</w:t>
      </w:r>
      <w:r w:rsidR="003455F1">
        <w:t xml:space="preserve"> </w:t>
      </w:r>
      <w:r>
        <w:t>health</w:t>
      </w:r>
    </w:p>
    <w:p w14:paraId="118C161B" w14:textId="7C2D5899" w:rsidR="00E06F94" w:rsidRPr="001F49A2" w:rsidRDefault="00E06F94" w:rsidP="00E06F94">
      <w:pPr>
        <w:pStyle w:val="SingleTxtG"/>
        <w:rPr>
          <w:b/>
          <w:lang w:val="en-US"/>
        </w:rPr>
      </w:pPr>
      <w:r>
        <w:t>42.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that,</w:t>
      </w:r>
      <w:r w:rsidR="003455F1">
        <w:t xml:space="preserve"> </w:t>
      </w:r>
      <w:r>
        <w:t>despite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866BF2">
        <w:t>’</w:t>
      </w:r>
      <w:r>
        <w:t>s</w:t>
      </w:r>
      <w:r w:rsidR="003455F1">
        <w:t xml:space="preserve"> </w:t>
      </w:r>
      <w:r>
        <w:t>efforts</w:t>
      </w:r>
      <w:r w:rsidR="003455F1">
        <w:t xml:space="preserve"> </w:t>
      </w:r>
      <w:r>
        <w:t>to</w:t>
      </w:r>
      <w:r w:rsidR="003455F1">
        <w:t xml:space="preserve"> </w:t>
      </w:r>
      <w:r>
        <w:t>improve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health-care</w:t>
      </w:r>
      <w:r w:rsidR="003455F1">
        <w:t xml:space="preserve"> </w:t>
      </w:r>
      <w:r>
        <w:t>services,</w:t>
      </w:r>
      <w:r w:rsidR="003455F1">
        <w:t xml:space="preserve"> </w:t>
      </w:r>
      <w:r>
        <w:t>the</w:t>
      </w:r>
      <w:r w:rsidR="003455F1">
        <w:t xml:space="preserve"> </w:t>
      </w:r>
      <w:r>
        <w:t>low</w:t>
      </w:r>
      <w:r w:rsidR="003455F1">
        <w:t xml:space="preserve"> </w:t>
      </w:r>
      <w:r>
        <w:t>level</w:t>
      </w:r>
      <w:r w:rsidR="003455F1">
        <w:t xml:space="preserve"> </w:t>
      </w:r>
      <w:r>
        <w:t>of</w:t>
      </w:r>
      <w:r w:rsidR="003455F1">
        <w:t xml:space="preserve"> </w:t>
      </w:r>
      <w:r>
        <w:t>investment</w:t>
      </w:r>
      <w:r w:rsidR="003455F1">
        <w:t xml:space="preserve"> </w:t>
      </w:r>
      <w:r>
        <w:t>in</w:t>
      </w:r>
      <w:r w:rsidR="003455F1">
        <w:t xml:space="preserve"> </w:t>
      </w:r>
      <w:r>
        <w:t>health</w:t>
      </w:r>
      <w:r w:rsidR="003455F1">
        <w:t xml:space="preserve"> </w:t>
      </w:r>
      <w:r>
        <w:t>care</w:t>
      </w:r>
      <w:r w:rsidR="003455F1">
        <w:t xml:space="preserve"> </w:t>
      </w:r>
      <w:r>
        <w:t>continues</w:t>
      </w:r>
      <w:r w:rsidR="003455F1">
        <w:t xml:space="preserve"> </w:t>
      </w:r>
      <w:r>
        <w:t>to</w:t>
      </w:r>
      <w:r w:rsidR="003455F1">
        <w:t xml:space="preserve"> </w:t>
      </w:r>
      <w:r>
        <w:t>limit</w:t>
      </w:r>
      <w:r w:rsidR="003455F1">
        <w:t xml:space="preserve"> </w:t>
      </w:r>
      <w:r>
        <w:lastRenderedPageBreak/>
        <w:t>the</w:t>
      </w:r>
      <w:r w:rsidR="003455F1">
        <w:t xml:space="preserve"> </w:t>
      </w:r>
      <w:r>
        <w:t>accessibility,</w:t>
      </w:r>
      <w:r w:rsidR="003455F1">
        <w:t xml:space="preserve"> </w:t>
      </w:r>
      <w:r>
        <w:t>quality</w:t>
      </w:r>
      <w:r w:rsidR="003455F1">
        <w:t xml:space="preserve"> </w:t>
      </w:r>
      <w:r>
        <w:t>and</w:t>
      </w:r>
      <w:r w:rsidR="003455F1">
        <w:t xml:space="preserve"> </w:t>
      </w:r>
      <w:r>
        <w:t>availability</w:t>
      </w:r>
      <w:r w:rsidR="003455F1">
        <w:t xml:space="preserve"> </w:t>
      </w:r>
      <w:r>
        <w:t>of</w:t>
      </w:r>
      <w:r w:rsidR="003455F1">
        <w:t xml:space="preserve"> </w:t>
      </w:r>
      <w:r>
        <w:t>basic</w:t>
      </w:r>
      <w:r w:rsidR="003455F1">
        <w:t xml:space="preserve"> </w:t>
      </w:r>
      <w:r>
        <w:t>health-care</w:t>
      </w:r>
      <w:r w:rsidR="003455F1">
        <w:t xml:space="preserve"> </w:t>
      </w:r>
      <w:r>
        <w:t>services.</w:t>
      </w:r>
      <w:r w:rsidR="003455F1">
        <w:t xml:space="preserve"> </w:t>
      </w:r>
      <w:r>
        <w:t>Furthermore,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health-care</w:t>
      </w:r>
      <w:r w:rsidR="003455F1">
        <w:t xml:space="preserve"> </w:t>
      </w:r>
      <w:r>
        <w:t>costs</w:t>
      </w:r>
      <w:r w:rsidR="003455F1">
        <w:t xml:space="preserve"> </w:t>
      </w:r>
      <w:r>
        <w:t>are</w:t>
      </w:r>
      <w:r w:rsidR="003455F1">
        <w:t xml:space="preserve"> </w:t>
      </w:r>
      <w:r>
        <w:t>largely</w:t>
      </w:r>
      <w:r w:rsidR="003455F1">
        <w:t xml:space="preserve"> </w:t>
      </w:r>
      <w:r>
        <w:t>borne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individual,</w:t>
      </w:r>
      <w:r w:rsidR="003455F1">
        <w:t xml:space="preserve"> </w:t>
      </w:r>
      <w:r>
        <w:t>thereby</w:t>
      </w:r>
      <w:r w:rsidR="003455F1">
        <w:t xml:space="preserve"> </w:t>
      </w:r>
      <w:r>
        <w:t>perpetuating</w:t>
      </w:r>
      <w:r w:rsidR="003455F1">
        <w:t xml:space="preserve"> </w:t>
      </w:r>
      <w:r>
        <w:t>serious</w:t>
      </w:r>
      <w:r w:rsidR="003455F1">
        <w:t xml:space="preserve"> </w:t>
      </w:r>
      <w:r>
        <w:t>inequalities</w:t>
      </w:r>
      <w:r w:rsidR="003455F1">
        <w:t xml:space="preserve"> </w:t>
      </w:r>
      <w:r>
        <w:t>in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and</w:t>
      </w:r>
      <w:r w:rsidR="003455F1">
        <w:t xml:space="preserve"> </w:t>
      </w:r>
      <w:r>
        <w:t>enjoyment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right</w:t>
      </w:r>
      <w:r w:rsidR="003455F1">
        <w:t xml:space="preserve"> </w:t>
      </w:r>
      <w:r>
        <w:t>to</w:t>
      </w:r>
      <w:r w:rsidR="003455F1">
        <w:t xml:space="preserve"> </w:t>
      </w:r>
      <w:r>
        <w:t>health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most</w:t>
      </w:r>
      <w:r w:rsidR="003455F1">
        <w:t xml:space="preserve"> </w:t>
      </w:r>
      <w:r>
        <w:t>disadvantaged</w:t>
      </w:r>
      <w:r w:rsidR="003455F1">
        <w:t xml:space="preserve"> </w:t>
      </w:r>
      <w:r>
        <w:t>persons</w:t>
      </w:r>
      <w:r w:rsidR="003455F1">
        <w:t xml:space="preserve"> </w:t>
      </w:r>
      <w:r>
        <w:t>and</w:t>
      </w:r>
      <w:r w:rsidR="003455F1">
        <w:t xml:space="preserve"> </w:t>
      </w:r>
      <w:r>
        <w:t>groups,</w:t>
      </w:r>
      <w:r w:rsidR="003455F1">
        <w:t xml:space="preserve"> </w:t>
      </w:r>
      <w:r>
        <w:t>mainly</w:t>
      </w:r>
      <w:r w:rsidR="003455F1">
        <w:t xml:space="preserve"> </w:t>
      </w:r>
      <w:bookmarkStart w:id="1" w:name="_Hlk124858914"/>
      <w:r>
        <w:t>low-income</w:t>
      </w:r>
      <w:r w:rsidR="003455F1">
        <w:t xml:space="preserve"> </w:t>
      </w:r>
      <w:r>
        <w:t>persons</w:t>
      </w:r>
      <w:bookmarkEnd w:id="1"/>
      <w:r>
        <w:t>,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3455F1">
        <w:t xml:space="preserve"> </w:t>
      </w:r>
      <w:r>
        <w:t>and</w:t>
      </w:r>
      <w:r w:rsidR="003455F1">
        <w:t xml:space="preserve"> </w:t>
      </w:r>
      <w:r>
        <w:t>persons</w:t>
      </w:r>
      <w:r w:rsidR="003455F1">
        <w:t xml:space="preserve"> </w:t>
      </w:r>
      <w:r>
        <w:t>living</w:t>
      </w:r>
      <w:r w:rsidR="003455F1">
        <w:t xml:space="preserve"> </w:t>
      </w:r>
      <w:r>
        <w:t>in</w:t>
      </w:r>
      <w:r w:rsidR="003455F1">
        <w:t xml:space="preserve"> </w:t>
      </w:r>
      <w:r>
        <w:t>rural</w:t>
      </w:r>
      <w:r w:rsidR="003455F1">
        <w:t xml:space="preserve"> </w:t>
      </w:r>
      <w:r>
        <w:t>or</w:t>
      </w:r>
      <w:r w:rsidR="003455F1">
        <w:t xml:space="preserve"> </w:t>
      </w:r>
      <w:r>
        <w:t>remote</w:t>
      </w:r>
      <w:r w:rsidR="003455F1">
        <w:t xml:space="preserve"> </w:t>
      </w:r>
      <w:r>
        <w:t>areas.</w:t>
      </w:r>
      <w:r w:rsidR="003455F1">
        <w:t xml:space="preserve"> </w:t>
      </w:r>
      <w:r>
        <w:t>It</w:t>
      </w:r>
      <w:r w:rsidR="003455F1">
        <w:t xml:space="preserve"> </w:t>
      </w:r>
      <w:r>
        <w:t>is</w:t>
      </w:r>
      <w:r w:rsidR="003455F1">
        <w:t xml:space="preserve"> </w:t>
      </w:r>
      <w:r>
        <w:t>also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child</w:t>
      </w:r>
      <w:r w:rsidR="003455F1">
        <w:t xml:space="preserve"> </w:t>
      </w:r>
      <w:r>
        <w:t>mortality</w:t>
      </w:r>
      <w:r w:rsidR="003455F1">
        <w:t xml:space="preserve"> </w:t>
      </w:r>
      <w:r>
        <w:t>remains</w:t>
      </w:r>
      <w:r w:rsidR="003455F1">
        <w:t xml:space="preserve"> </w:t>
      </w:r>
      <w:r>
        <w:t>high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party,</w:t>
      </w:r>
      <w:r w:rsidR="003455F1">
        <w:t xml:space="preserve"> </w:t>
      </w:r>
      <w:r>
        <w:t>especially</w:t>
      </w:r>
      <w:r w:rsidR="003455F1">
        <w:t xml:space="preserve"> </w:t>
      </w:r>
      <w:r>
        <w:t>among</w:t>
      </w:r>
      <w:r w:rsidR="003455F1">
        <w:t xml:space="preserve"> </w:t>
      </w:r>
      <w:r>
        <w:t>low-income</w:t>
      </w:r>
      <w:r w:rsidR="003455F1">
        <w:t xml:space="preserve"> </w:t>
      </w:r>
      <w:r>
        <w:t>groups</w:t>
      </w:r>
      <w:r w:rsidR="003455F1">
        <w:t xml:space="preserve"> </w:t>
      </w:r>
      <w:r>
        <w:t>(art.</w:t>
      </w:r>
      <w:r w:rsidR="003455F1">
        <w:t xml:space="preserve"> </w:t>
      </w:r>
      <w:r>
        <w:t>12).</w:t>
      </w:r>
    </w:p>
    <w:p w14:paraId="508632EC" w14:textId="77DC8FAC" w:rsidR="00866BF2" w:rsidRDefault="00E06F94" w:rsidP="00E06F94">
      <w:pPr>
        <w:pStyle w:val="SingleTxtG"/>
      </w:pPr>
      <w:r>
        <w:t>43.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3E26756E" w14:textId="79896C3C" w:rsidR="00866BF2" w:rsidRDefault="0056372C" w:rsidP="00E06F94">
      <w:pPr>
        <w:pStyle w:val="SingleTxtG"/>
      </w:pPr>
      <w:r>
        <w:tab/>
      </w:r>
      <w:r w:rsidR="00E06F94" w:rsidRPr="00584E86">
        <w:t>(a)</w:t>
      </w:r>
      <w:r w:rsidR="00E06F94">
        <w:tab/>
      </w:r>
      <w:r w:rsidR="00E06F94">
        <w:rPr>
          <w:b/>
        </w:rPr>
        <w:t>Pursue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allocate</w:t>
      </w:r>
      <w:r w:rsidR="003455F1">
        <w:rPr>
          <w:b/>
        </w:rPr>
        <w:t xml:space="preserve"> </w:t>
      </w:r>
      <w:r w:rsidR="00E06F94">
        <w:rPr>
          <w:b/>
        </w:rPr>
        <w:t>sufficient</w:t>
      </w:r>
      <w:r w:rsidR="003455F1">
        <w:rPr>
          <w:b/>
        </w:rPr>
        <w:t xml:space="preserve"> </w:t>
      </w:r>
      <w:r w:rsidR="00E06F94">
        <w:rPr>
          <w:b/>
        </w:rPr>
        <w:t>resources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health-care</w:t>
      </w:r>
      <w:r w:rsidR="003455F1">
        <w:rPr>
          <w:b/>
        </w:rPr>
        <w:t xml:space="preserve"> </w:t>
      </w:r>
      <w:r w:rsidR="00E06F94">
        <w:rPr>
          <w:b/>
        </w:rPr>
        <w:t>sector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view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guaranteeing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improving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accessibility,</w:t>
      </w:r>
      <w:r w:rsidR="003455F1">
        <w:rPr>
          <w:b/>
        </w:rPr>
        <w:t xml:space="preserve"> </w:t>
      </w:r>
      <w:r w:rsidR="00E06F94">
        <w:rPr>
          <w:b/>
        </w:rPr>
        <w:t>availability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quality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health-care</w:t>
      </w:r>
      <w:r w:rsidR="003455F1">
        <w:rPr>
          <w:b/>
        </w:rPr>
        <w:t xml:space="preserve"> </w:t>
      </w:r>
      <w:r w:rsidR="00E06F94">
        <w:rPr>
          <w:b/>
        </w:rPr>
        <w:t>services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without</w:t>
      </w:r>
      <w:r w:rsidR="003455F1">
        <w:rPr>
          <w:b/>
        </w:rPr>
        <w:t xml:space="preserve"> </w:t>
      </w:r>
      <w:r w:rsidR="00E06F94">
        <w:rPr>
          <w:b/>
        </w:rPr>
        <w:t>discrimination,</w:t>
      </w:r>
      <w:r w:rsidR="003455F1">
        <w:rPr>
          <w:b/>
        </w:rPr>
        <w:t xml:space="preserve"> </w:t>
      </w:r>
      <w:r w:rsidR="00E06F94" w:rsidRPr="00BB2571">
        <w:rPr>
          <w:b/>
        </w:rPr>
        <w:t>low-income</w:t>
      </w:r>
      <w:r w:rsidR="003455F1">
        <w:rPr>
          <w:b/>
        </w:rPr>
        <w:t xml:space="preserve"> </w:t>
      </w:r>
      <w:r w:rsidR="00E06F94" w:rsidRPr="00BB2571">
        <w:rPr>
          <w:b/>
        </w:rPr>
        <w:t>persons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>
        <w:rPr>
          <w:b/>
        </w:rPr>
        <w:t>Indigenous</w:t>
      </w:r>
      <w:r w:rsidR="003455F1">
        <w:rPr>
          <w:b/>
        </w:rPr>
        <w:t xml:space="preserve"> </w:t>
      </w:r>
      <w:r w:rsidR="00E06F94">
        <w:rPr>
          <w:b/>
        </w:rPr>
        <w:t>Peoples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living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remote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4D20C656" w14:textId="6A6A7899" w:rsidR="00866BF2" w:rsidRDefault="0056372C" w:rsidP="00E06F94">
      <w:pPr>
        <w:pStyle w:val="SingleTxtG"/>
      </w:pPr>
      <w:r>
        <w:tab/>
      </w:r>
      <w:r w:rsidR="00E06F94" w:rsidRPr="00584E86">
        <w:t>(b)</w:t>
      </w:r>
      <w:r w:rsidR="00E06F94" w:rsidRPr="00584E86">
        <w:tab/>
      </w:r>
      <w:r w:rsidR="00E06F94">
        <w:rPr>
          <w:b/>
        </w:rPr>
        <w:t>Improve</w:t>
      </w:r>
      <w:r w:rsidR="003455F1">
        <w:rPr>
          <w:b/>
        </w:rPr>
        <w:t xml:space="preserve"> </w:t>
      </w:r>
      <w:r w:rsidR="00E06F94">
        <w:rPr>
          <w:b/>
        </w:rPr>
        <w:t>primary</w:t>
      </w:r>
      <w:r w:rsidR="003455F1">
        <w:rPr>
          <w:b/>
        </w:rPr>
        <w:t xml:space="preserve"> </w:t>
      </w:r>
      <w:r w:rsidR="00E06F94">
        <w:rPr>
          <w:b/>
        </w:rPr>
        <w:t>health-care</w:t>
      </w:r>
      <w:r w:rsidR="003455F1">
        <w:rPr>
          <w:b/>
        </w:rPr>
        <w:t xml:space="preserve"> </w:t>
      </w:r>
      <w:r w:rsidR="00E06F94">
        <w:rPr>
          <w:b/>
        </w:rPr>
        <w:t>infrastructure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hospitals</w:t>
      </w:r>
      <w:r w:rsidR="003455F1">
        <w:rPr>
          <w:b/>
        </w:rPr>
        <w:t xml:space="preserve"> </w:t>
      </w:r>
      <w:r w:rsidR="00E06F94">
        <w:rPr>
          <w:b/>
        </w:rPr>
        <w:t>throughout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territory</w:t>
      </w:r>
      <w:r w:rsidR="003455F1">
        <w:rPr>
          <w:b/>
        </w:rPr>
        <w:t xml:space="preserve"> </w:t>
      </w:r>
      <w:r w:rsidR="00E06F94">
        <w:rPr>
          <w:b/>
        </w:rPr>
        <w:t>have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medical</w:t>
      </w:r>
      <w:r w:rsidR="003455F1">
        <w:rPr>
          <w:b/>
        </w:rPr>
        <w:t xml:space="preserve"> </w:t>
      </w:r>
      <w:r w:rsidR="00E06F94">
        <w:rPr>
          <w:b/>
        </w:rPr>
        <w:t>personnel,</w:t>
      </w:r>
      <w:r w:rsidR="003455F1">
        <w:rPr>
          <w:b/>
        </w:rPr>
        <w:t xml:space="preserve"> </w:t>
      </w:r>
      <w:r w:rsidR="00E06F94">
        <w:rPr>
          <w:b/>
        </w:rPr>
        <w:t>supplies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medicines,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emergencies;</w:t>
      </w:r>
    </w:p>
    <w:p w14:paraId="40FC4F51" w14:textId="29DE3B51" w:rsidR="00866BF2" w:rsidRDefault="0056372C" w:rsidP="00E06F94">
      <w:pPr>
        <w:pStyle w:val="SingleTxtG"/>
      </w:pPr>
      <w:r>
        <w:tab/>
      </w:r>
      <w:r w:rsidR="00E06F94" w:rsidRPr="00584E86">
        <w:t>(c)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measures,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affirmative</w:t>
      </w:r>
      <w:r w:rsidR="003455F1">
        <w:rPr>
          <w:b/>
        </w:rPr>
        <w:t xml:space="preserve"> </w:t>
      </w:r>
      <w:r w:rsidR="00E06F94">
        <w:rPr>
          <w:b/>
        </w:rPr>
        <w:t>action,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reduce</w:t>
      </w:r>
      <w:r w:rsidR="003455F1">
        <w:rPr>
          <w:b/>
        </w:rPr>
        <w:t xml:space="preserve"> </w:t>
      </w:r>
      <w:r w:rsidR="00E06F94">
        <w:rPr>
          <w:b/>
        </w:rPr>
        <w:t>existing</w:t>
      </w:r>
      <w:r w:rsidR="003455F1">
        <w:rPr>
          <w:b/>
        </w:rPr>
        <w:t xml:space="preserve"> </w:t>
      </w:r>
      <w:r w:rsidR="00E06F94">
        <w:rPr>
          <w:b/>
        </w:rPr>
        <w:t>inequalities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health</w:t>
      </w:r>
      <w:r w:rsidR="003455F1">
        <w:rPr>
          <w:b/>
        </w:rPr>
        <w:t xml:space="preserve"> </w:t>
      </w:r>
      <w:r w:rsidR="00E06F94">
        <w:rPr>
          <w:b/>
        </w:rPr>
        <w:t>by,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example,</w:t>
      </w:r>
      <w:r w:rsidR="003455F1">
        <w:rPr>
          <w:b/>
        </w:rPr>
        <w:t xml:space="preserve"> </w:t>
      </w:r>
      <w:r w:rsidR="00E06F94">
        <w:rPr>
          <w:b/>
        </w:rPr>
        <w:t>extending</w:t>
      </w:r>
      <w:r w:rsidR="003455F1">
        <w:rPr>
          <w:b/>
        </w:rPr>
        <w:t xml:space="preserve"> </w:t>
      </w:r>
      <w:r w:rsidR="00E06F94">
        <w:rPr>
          <w:b/>
        </w:rPr>
        <w:t>health</w:t>
      </w:r>
      <w:r w:rsidR="003455F1">
        <w:rPr>
          <w:b/>
        </w:rPr>
        <w:t xml:space="preserve"> </w:t>
      </w:r>
      <w:r w:rsidR="00E06F94">
        <w:rPr>
          <w:b/>
        </w:rPr>
        <w:t>insurance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most</w:t>
      </w:r>
      <w:r w:rsidR="003455F1">
        <w:rPr>
          <w:b/>
        </w:rPr>
        <w:t xml:space="preserve"> </w:t>
      </w:r>
      <w:r w:rsidR="00E06F94">
        <w:rPr>
          <w:b/>
        </w:rPr>
        <w:t>disadvantaged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marginalized</w:t>
      </w:r>
      <w:r w:rsidR="003455F1">
        <w:rPr>
          <w:b/>
        </w:rPr>
        <w:t xml:space="preserve"> </w:t>
      </w:r>
      <w:r w:rsidR="00E06F94">
        <w:rPr>
          <w:b/>
        </w:rPr>
        <w:t>groups,</w:t>
      </w:r>
      <w:r w:rsidR="003455F1">
        <w:rPr>
          <w:b/>
        </w:rPr>
        <w:t xml:space="preserve"> </w:t>
      </w:r>
      <w:r w:rsidR="00E06F94">
        <w:rPr>
          <w:b/>
        </w:rPr>
        <w:t>mainly</w:t>
      </w:r>
      <w:r w:rsidR="003455F1">
        <w:rPr>
          <w:b/>
        </w:rPr>
        <w:t xml:space="preserve"> </w:t>
      </w:r>
      <w:r w:rsidR="00E06F94">
        <w:rPr>
          <w:b/>
        </w:rPr>
        <w:t>low-income</w:t>
      </w:r>
      <w:r w:rsidR="003455F1">
        <w:rPr>
          <w:b/>
        </w:rPr>
        <w:t xml:space="preserve"> </w:t>
      </w:r>
      <w:r w:rsidR="00E06F94">
        <w:rPr>
          <w:b/>
        </w:rPr>
        <w:t>persons,</w:t>
      </w:r>
      <w:r w:rsidR="003455F1">
        <w:rPr>
          <w:b/>
        </w:rPr>
        <w:t xml:space="preserve"> </w:t>
      </w:r>
      <w:r w:rsidR="00E06F94" w:rsidRPr="00DC1185">
        <w:rPr>
          <w:b/>
        </w:rPr>
        <w:t>Indigenous</w:t>
      </w:r>
      <w:r w:rsidR="003455F1">
        <w:rPr>
          <w:b/>
        </w:rPr>
        <w:t xml:space="preserve"> </w:t>
      </w:r>
      <w:r w:rsidR="00E06F94" w:rsidRPr="00DC1185">
        <w:rPr>
          <w:b/>
        </w:rPr>
        <w:t>Peoples</w:t>
      </w:r>
      <w:r w:rsidR="00E06F94">
        <w:rPr>
          <w:b/>
        </w:rPr>
        <w:t>,</w:t>
      </w:r>
      <w:r w:rsidR="003455F1">
        <w:rPr>
          <w:b/>
        </w:rPr>
        <w:t xml:space="preserve"> </w:t>
      </w:r>
      <w:r w:rsidR="00E06F94" w:rsidRPr="00DC1185">
        <w:rPr>
          <w:b/>
        </w:rPr>
        <w:t>persons</w:t>
      </w:r>
      <w:r w:rsidR="003455F1">
        <w:rPr>
          <w:b/>
        </w:rPr>
        <w:t xml:space="preserve"> </w:t>
      </w:r>
      <w:r w:rsidR="00E06F94" w:rsidRPr="00DC1185">
        <w:rPr>
          <w:b/>
        </w:rPr>
        <w:t>of</w:t>
      </w:r>
      <w:r w:rsidR="003455F1">
        <w:rPr>
          <w:b/>
        </w:rPr>
        <w:t xml:space="preserve"> </w:t>
      </w:r>
      <w:r w:rsidR="00E06F94" w:rsidRPr="00DC1185">
        <w:rPr>
          <w:b/>
        </w:rPr>
        <w:t>African</w:t>
      </w:r>
      <w:r w:rsidR="003455F1">
        <w:rPr>
          <w:b/>
        </w:rPr>
        <w:t xml:space="preserve"> </w:t>
      </w:r>
      <w:r w:rsidR="00E06F94" w:rsidRPr="00DC1185">
        <w:rPr>
          <w:b/>
        </w:rPr>
        <w:t>descent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persons</w:t>
      </w:r>
      <w:r w:rsidR="003455F1">
        <w:rPr>
          <w:b/>
        </w:rPr>
        <w:t xml:space="preserve"> </w:t>
      </w:r>
      <w:r w:rsidR="00E06F94">
        <w:rPr>
          <w:b/>
        </w:rPr>
        <w:t>living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remote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6739E5F5" w14:textId="0B63A131" w:rsidR="00866BF2" w:rsidRDefault="0056372C" w:rsidP="00E06F94">
      <w:pPr>
        <w:pStyle w:val="SingleTxtG"/>
      </w:pPr>
      <w:r>
        <w:tab/>
      </w:r>
      <w:r w:rsidR="00E06F94" w:rsidRPr="00584E86">
        <w:t>(d)</w:t>
      </w:r>
      <w:r w:rsidR="00E06F94">
        <w:tab/>
      </w:r>
      <w:r w:rsidR="00E06F94">
        <w:rPr>
          <w:b/>
        </w:rPr>
        <w:t>Redouble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further</w:t>
      </w:r>
      <w:r w:rsidR="003455F1">
        <w:rPr>
          <w:b/>
        </w:rPr>
        <w:t xml:space="preserve"> </w:t>
      </w:r>
      <w:r w:rsidR="00E06F94">
        <w:rPr>
          <w:b/>
        </w:rPr>
        <w:t>decrease</w:t>
      </w:r>
      <w:r w:rsidR="003455F1">
        <w:rPr>
          <w:b/>
        </w:rPr>
        <w:t xml:space="preserve"> </w:t>
      </w:r>
      <w:r w:rsidR="00E06F94">
        <w:rPr>
          <w:b/>
        </w:rPr>
        <w:t>child</w:t>
      </w:r>
      <w:r w:rsidR="003455F1">
        <w:rPr>
          <w:b/>
        </w:rPr>
        <w:t xml:space="preserve"> </w:t>
      </w:r>
      <w:r w:rsidR="00E06F94">
        <w:rPr>
          <w:b/>
        </w:rPr>
        <w:t>mortality;</w:t>
      </w:r>
    </w:p>
    <w:p w14:paraId="7F290519" w14:textId="1B63FA83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584E86">
        <w:t>(e)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consideration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comment</w:t>
      </w:r>
      <w:r w:rsidR="003455F1">
        <w:rPr>
          <w:b/>
        </w:rPr>
        <w:t xml:space="preserve"> </w:t>
      </w:r>
      <w:r w:rsidR="00E06F94">
        <w:rPr>
          <w:b/>
        </w:rPr>
        <w:t>No.</w:t>
      </w:r>
      <w:r w:rsidR="003455F1">
        <w:rPr>
          <w:b/>
        </w:rPr>
        <w:t xml:space="preserve"> </w:t>
      </w:r>
      <w:r w:rsidR="00E06F94">
        <w:rPr>
          <w:b/>
        </w:rPr>
        <w:t>14</w:t>
      </w:r>
      <w:r w:rsidR="003455F1">
        <w:rPr>
          <w:b/>
        </w:rPr>
        <w:t xml:space="preserve"> </w:t>
      </w:r>
      <w:r w:rsidR="00E06F94">
        <w:rPr>
          <w:b/>
        </w:rPr>
        <w:t>(2000)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highest</w:t>
      </w:r>
      <w:r w:rsidR="003455F1">
        <w:rPr>
          <w:b/>
        </w:rPr>
        <w:t xml:space="preserve"> </w:t>
      </w:r>
      <w:r w:rsidR="00E06F94">
        <w:rPr>
          <w:b/>
        </w:rPr>
        <w:t>attainable</w:t>
      </w:r>
      <w:r w:rsidR="003455F1">
        <w:rPr>
          <w:b/>
        </w:rPr>
        <w:t xml:space="preserve"> </w:t>
      </w:r>
      <w:r w:rsidR="00E06F94">
        <w:rPr>
          <w:b/>
        </w:rPr>
        <w:t>standard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health.</w:t>
      </w:r>
    </w:p>
    <w:p w14:paraId="63B58651" w14:textId="1AE4D8AF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Drug</w:t>
      </w:r>
      <w:r w:rsidR="003455F1">
        <w:t xml:space="preserve"> </w:t>
      </w:r>
      <w:r w:rsidR="00E06F94">
        <w:t>policy</w:t>
      </w:r>
    </w:p>
    <w:p w14:paraId="45EEC38B" w14:textId="61393895" w:rsidR="00E06F94" w:rsidRPr="001F49A2" w:rsidRDefault="00E06F94" w:rsidP="00E06F94">
      <w:pPr>
        <w:pStyle w:val="SingleTxtG"/>
        <w:rPr>
          <w:lang w:val="en-US"/>
        </w:rPr>
      </w:pPr>
      <w:r>
        <w:t>44.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fact</w:t>
      </w:r>
      <w:r w:rsidR="003455F1">
        <w:t xml:space="preserve"> </w:t>
      </w:r>
      <w:r>
        <w:t>that</w:t>
      </w:r>
      <w:r w:rsidR="003455F1">
        <w:t xml:space="preserve"> </w:t>
      </w:r>
      <w:r>
        <w:t>drug</w:t>
      </w:r>
      <w:r w:rsidR="003455F1">
        <w:t xml:space="preserve"> </w:t>
      </w:r>
      <w:r>
        <w:t>use</w:t>
      </w:r>
      <w:r w:rsidR="003455F1">
        <w:t xml:space="preserve"> </w:t>
      </w:r>
      <w:r>
        <w:t>is</w:t>
      </w:r>
      <w:r w:rsidR="003455F1">
        <w:t xml:space="preserve"> </w:t>
      </w:r>
      <w:r>
        <w:t>an</w:t>
      </w:r>
      <w:r w:rsidR="003455F1">
        <w:t xml:space="preserve"> </w:t>
      </w:r>
      <w:r>
        <w:t>offence</w:t>
      </w:r>
      <w:r w:rsidR="003455F1">
        <w:t xml:space="preserve"> </w:t>
      </w:r>
      <w:r>
        <w:t>may</w:t>
      </w:r>
      <w:r w:rsidR="003455F1">
        <w:t xml:space="preserve"> </w:t>
      </w:r>
      <w:r>
        <w:t>prevent</w:t>
      </w:r>
      <w:r w:rsidR="003455F1">
        <w:t xml:space="preserve"> </w:t>
      </w:r>
      <w:r>
        <w:t>users</w:t>
      </w:r>
      <w:r w:rsidR="003455F1">
        <w:t xml:space="preserve"> </w:t>
      </w:r>
      <w:r>
        <w:t>from</w:t>
      </w:r>
      <w:r w:rsidR="003455F1">
        <w:t xml:space="preserve"> </w:t>
      </w:r>
      <w:r>
        <w:t>having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appropriate</w:t>
      </w:r>
      <w:r w:rsidR="003455F1">
        <w:t xml:space="preserve"> </w:t>
      </w:r>
      <w:r>
        <w:t>harm-reduction</w:t>
      </w:r>
      <w:r w:rsidR="003455F1">
        <w:t xml:space="preserve"> </w:t>
      </w:r>
      <w:r>
        <w:t>programmes</w:t>
      </w:r>
      <w:r w:rsidR="003455F1">
        <w:t xml:space="preserve"> </w:t>
      </w:r>
      <w:r>
        <w:t>and</w:t>
      </w:r>
      <w:r w:rsidR="003455F1">
        <w:t xml:space="preserve"> </w:t>
      </w:r>
      <w:r>
        <w:t>addiction</w:t>
      </w:r>
      <w:r w:rsidR="003455F1">
        <w:t xml:space="preserve"> </w:t>
      </w:r>
      <w:r>
        <w:t>treatment</w:t>
      </w:r>
      <w:r w:rsidR="003455F1">
        <w:t xml:space="preserve"> </w:t>
      </w:r>
      <w:r>
        <w:t>services</w:t>
      </w:r>
      <w:r w:rsidR="003455F1">
        <w:t xml:space="preserve"> </w:t>
      </w:r>
      <w:r>
        <w:t>that</w:t>
      </w:r>
      <w:r w:rsidR="003455F1">
        <w:t xml:space="preserve"> </w:t>
      </w:r>
      <w:r>
        <w:t>are</w:t>
      </w:r>
      <w:r w:rsidR="003455F1">
        <w:t xml:space="preserve"> </w:t>
      </w:r>
      <w:r>
        <w:t>evidence-based</w:t>
      </w:r>
      <w:r w:rsidR="003455F1">
        <w:t xml:space="preserve"> </w:t>
      </w:r>
      <w:r>
        <w:t>and</w:t>
      </w:r>
      <w:r w:rsidR="003455F1">
        <w:t xml:space="preserve"> </w:t>
      </w:r>
      <w:r>
        <w:t>respectful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rights</w:t>
      </w:r>
      <w:r w:rsidR="003455F1">
        <w:t xml:space="preserve"> </w:t>
      </w:r>
      <w:r>
        <w:t>of</w:t>
      </w:r>
      <w:r w:rsidR="003455F1">
        <w:t xml:space="preserve"> </w:t>
      </w:r>
      <w:r>
        <w:t>drug</w:t>
      </w:r>
      <w:r w:rsidR="003455F1">
        <w:t xml:space="preserve"> </w:t>
      </w:r>
      <w:r>
        <w:t>users</w:t>
      </w:r>
      <w:r w:rsidR="003455F1">
        <w:t xml:space="preserve"> </w:t>
      </w:r>
      <w:r>
        <w:t>(art.</w:t>
      </w:r>
      <w:r w:rsidR="003455F1">
        <w:t xml:space="preserve"> </w:t>
      </w:r>
      <w:r>
        <w:t>12).</w:t>
      </w:r>
    </w:p>
    <w:p w14:paraId="00F6E066" w14:textId="2EA963B1" w:rsidR="00866BF2" w:rsidRDefault="00E06F94" w:rsidP="00E06F94">
      <w:pPr>
        <w:pStyle w:val="SingleTxtG"/>
      </w:pPr>
      <w:r>
        <w:t>45.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consider</w:t>
      </w:r>
      <w:r w:rsidR="003455F1">
        <w:rPr>
          <w:b/>
        </w:rPr>
        <w:t xml:space="preserve"> </w:t>
      </w:r>
      <w:r>
        <w:rPr>
          <w:b/>
        </w:rPr>
        <w:t>decriminalizing</w:t>
      </w:r>
      <w:r w:rsidR="003455F1">
        <w:rPr>
          <w:b/>
        </w:rPr>
        <w:t xml:space="preserve"> </w:t>
      </w:r>
      <w:r>
        <w:rPr>
          <w:b/>
        </w:rPr>
        <w:t>drug</w:t>
      </w:r>
      <w:r w:rsidR="003455F1">
        <w:rPr>
          <w:b/>
        </w:rPr>
        <w:t xml:space="preserve"> </w:t>
      </w:r>
      <w:r>
        <w:rPr>
          <w:b/>
        </w:rPr>
        <w:t>use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availability,</w:t>
      </w:r>
      <w:r w:rsidR="003455F1">
        <w:rPr>
          <w:b/>
        </w:rPr>
        <w:t xml:space="preserve"> </w:t>
      </w:r>
      <w:r>
        <w:rPr>
          <w:b/>
        </w:rPr>
        <w:t>accessibility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quality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psychoactive</w:t>
      </w:r>
      <w:r w:rsidR="003455F1">
        <w:rPr>
          <w:b/>
        </w:rPr>
        <w:t xml:space="preserve"> </w:t>
      </w:r>
      <w:r>
        <w:rPr>
          <w:b/>
        </w:rPr>
        <w:t>substance</w:t>
      </w:r>
      <w:r w:rsidR="003455F1">
        <w:rPr>
          <w:b/>
        </w:rPr>
        <w:t xml:space="preserve"> </w:t>
      </w:r>
      <w:r>
        <w:rPr>
          <w:b/>
        </w:rPr>
        <w:t>abuse</w:t>
      </w:r>
      <w:r w:rsidR="003455F1">
        <w:rPr>
          <w:b/>
        </w:rPr>
        <w:t xml:space="preserve"> </w:t>
      </w:r>
      <w:r>
        <w:rPr>
          <w:b/>
        </w:rPr>
        <w:t>prevention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harm-reduction</w:t>
      </w:r>
      <w:r w:rsidR="003455F1">
        <w:rPr>
          <w:b/>
        </w:rPr>
        <w:t xml:space="preserve"> </w:t>
      </w:r>
      <w:r>
        <w:rPr>
          <w:b/>
        </w:rPr>
        <w:t>programmes.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drug</w:t>
      </w:r>
      <w:r w:rsidR="003455F1">
        <w:rPr>
          <w:b/>
        </w:rPr>
        <w:t xml:space="preserve"> </w:t>
      </w:r>
      <w:r>
        <w:rPr>
          <w:b/>
        </w:rPr>
        <w:t>users</w:t>
      </w:r>
      <w:r w:rsidR="003455F1">
        <w:rPr>
          <w:b/>
        </w:rPr>
        <w:t xml:space="preserve"> </w:t>
      </w:r>
      <w:r>
        <w:rPr>
          <w:b/>
        </w:rPr>
        <w:t>have</w:t>
      </w:r>
      <w:r w:rsidR="003455F1">
        <w:rPr>
          <w:b/>
        </w:rPr>
        <w:t xml:space="preserve"> </w:t>
      </w:r>
      <w:r>
        <w:rPr>
          <w:b/>
        </w:rPr>
        <w:t>access,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request,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addiction</w:t>
      </w:r>
      <w:r w:rsidR="003455F1">
        <w:rPr>
          <w:b/>
        </w:rPr>
        <w:t xml:space="preserve"> </w:t>
      </w:r>
      <w:r>
        <w:rPr>
          <w:b/>
        </w:rPr>
        <w:t>treatment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evidence-based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respectful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rights.</w:t>
      </w:r>
    </w:p>
    <w:p w14:paraId="3FE12AFA" w14:textId="72B085D2" w:rsidR="00866BF2" w:rsidRDefault="0056372C" w:rsidP="0056372C">
      <w:pPr>
        <w:pStyle w:val="H23G"/>
      </w:pPr>
      <w:r>
        <w:tab/>
      </w:r>
      <w:r>
        <w:tab/>
      </w:r>
      <w:r w:rsidR="00E06F94">
        <w:t>Sexual</w:t>
      </w:r>
      <w:r w:rsidR="003455F1">
        <w:t xml:space="preserve"> </w:t>
      </w:r>
      <w:r w:rsidR="00E06F94">
        <w:t>and</w:t>
      </w:r>
      <w:r w:rsidR="003455F1">
        <w:t xml:space="preserve"> </w:t>
      </w:r>
      <w:r w:rsidR="00E06F94">
        <w:t>reproductive</w:t>
      </w:r>
      <w:r w:rsidR="003455F1">
        <w:t xml:space="preserve"> </w:t>
      </w:r>
      <w:r w:rsidR="00E06F94">
        <w:t>health</w:t>
      </w:r>
    </w:p>
    <w:p w14:paraId="2F4535B3" w14:textId="742B8285" w:rsidR="00E06F94" w:rsidRPr="001F49A2" w:rsidRDefault="00E06F94" w:rsidP="00E06F94">
      <w:pPr>
        <w:pStyle w:val="SingleTxtG"/>
        <w:rPr>
          <w:color w:val="000000"/>
          <w:lang w:val="en-US"/>
        </w:rPr>
      </w:pPr>
      <w:r>
        <w:t>46.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fact</w:t>
      </w:r>
      <w:r w:rsidR="003455F1">
        <w:t xml:space="preserve"> </w:t>
      </w:r>
      <w:r>
        <w:t>that</w:t>
      </w:r>
      <w:r w:rsidR="003455F1">
        <w:t xml:space="preserve"> </w:t>
      </w:r>
      <w:r>
        <w:t>the</w:t>
      </w:r>
      <w:r w:rsidR="003455F1">
        <w:t xml:space="preserve"> </w:t>
      </w:r>
      <w:r>
        <w:t>only</w:t>
      </w:r>
      <w:r w:rsidR="003455F1">
        <w:t xml:space="preserve"> </w:t>
      </w:r>
      <w:r>
        <w:t>exception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abortion</w:t>
      </w:r>
      <w:r w:rsidR="003455F1">
        <w:t xml:space="preserve"> </w:t>
      </w:r>
      <w:r>
        <w:t>ban</w:t>
      </w:r>
      <w:r w:rsidR="003455F1">
        <w:t xml:space="preserve"> </w:t>
      </w:r>
      <w:r>
        <w:t>is</w:t>
      </w:r>
      <w:r w:rsidR="003455F1">
        <w:t xml:space="preserve"> </w:t>
      </w:r>
      <w:r>
        <w:t>therapeutic</w:t>
      </w:r>
      <w:r w:rsidR="003455F1">
        <w:t xml:space="preserve"> </w:t>
      </w:r>
      <w:r>
        <w:t>abortion</w:t>
      </w:r>
      <w:r w:rsidR="003455F1">
        <w:t xml:space="preserve"> </w:t>
      </w:r>
      <w:r>
        <w:t>for</w:t>
      </w:r>
      <w:r w:rsidR="003455F1">
        <w:t xml:space="preserve"> </w:t>
      </w:r>
      <w:r>
        <w:t>the</w:t>
      </w:r>
      <w:r w:rsidR="003455F1">
        <w:t xml:space="preserve"> </w:t>
      </w:r>
      <w:r>
        <w:t>purpose</w:t>
      </w:r>
      <w:r w:rsidR="003455F1">
        <w:t xml:space="preserve"> </w:t>
      </w:r>
      <w:r>
        <w:t>of</w:t>
      </w:r>
      <w:r w:rsidR="003455F1">
        <w:t xml:space="preserve"> </w:t>
      </w:r>
      <w:r>
        <w:t>protecting</w:t>
      </w:r>
      <w:r w:rsidR="003455F1">
        <w:t xml:space="preserve"> </w:t>
      </w:r>
      <w:r>
        <w:t>the</w:t>
      </w:r>
      <w:r w:rsidR="003455F1">
        <w:t xml:space="preserve"> </w:t>
      </w:r>
      <w:r>
        <w:t>mother</w:t>
      </w:r>
      <w:r w:rsidR="00866BF2">
        <w:t>’</w:t>
      </w:r>
      <w:r>
        <w:t>s</w:t>
      </w:r>
      <w:r w:rsidR="003455F1">
        <w:t xml:space="preserve"> </w:t>
      </w:r>
      <w:r>
        <w:t>life</w:t>
      </w:r>
      <w:r w:rsidR="003455F1">
        <w:t xml:space="preserve"> </w:t>
      </w:r>
      <w:r>
        <w:t>and</w:t>
      </w:r>
      <w:r w:rsidR="003455F1">
        <w:t xml:space="preserve"> </w:t>
      </w:r>
      <w:r>
        <w:t>that</w:t>
      </w:r>
      <w:r w:rsidR="003455F1">
        <w:t xml:space="preserve"> </w:t>
      </w:r>
      <w:r>
        <w:t>this</w:t>
      </w:r>
      <w:r w:rsidR="003455F1">
        <w:t xml:space="preserve"> </w:t>
      </w:r>
      <w:r>
        <w:t>exception</w:t>
      </w:r>
      <w:r w:rsidR="003455F1">
        <w:t xml:space="preserve"> </w:t>
      </w:r>
      <w:r>
        <w:t>is</w:t>
      </w:r>
      <w:r w:rsidR="003455F1">
        <w:t xml:space="preserve"> </w:t>
      </w:r>
      <w:r>
        <w:t>subject</w:t>
      </w:r>
      <w:r w:rsidR="003455F1">
        <w:t xml:space="preserve"> </w:t>
      </w:r>
      <w:r>
        <w:t>to</w:t>
      </w:r>
      <w:r w:rsidR="003455F1">
        <w:t xml:space="preserve"> </w:t>
      </w:r>
      <w:r>
        <w:t>strict</w:t>
      </w:r>
      <w:r w:rsidR="003455F1">
        <w:t xml:space="preserve"> </w:t>
      </w:r>
      <w:r>
        <w:t>conditions.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high</w:t>
      </w:r>
      <w:r w:rsidR="003455F1">
        <w:t xml:space="preserve"> </w:t>
      </w:r>
      <w:r>
        <w:t>rates</w:t>
      </w:r>
      <w:r w:rsidR="003455F1">
        <w:t xml:space="preserve"> </w:t>
      </w:r>
      <w:r>
        <w:t>of</w:t>
      </w:r>
      <w:r w:rsidR="003455F1">
        <w:t xml:space="preserve"> </w:t>
      </w:r>
      <w:r>
        <w:t>teenage</w:t>
      </w:r>
      <w:r w:rsidR="003455F1">
        <w:t xml:space="preserve"> </w:t>
      </w:r>
      <w:r>
        <w:t>pregnancy</w:t>
      </w:r>
      <w:r w:rsidR="003455F1">
        <w:t xml:space="preserve"> </w:t>
      </w:r>
      <w:r>
        <w:t>and</w:t>
      </w:r>
      <w:r w:rsidR="003455F1">
        <w:t xml:space="preserve"> </w:t>
      </w:r>
      <w:r>
        <w:t>maternal</w:t>
      </w:r>
      <w:r w:rsidR="003455F1">
        <w:t xml:space="preserve"> </w:t>
      </w:r>
      <w:r>
        <w:t>mortality</w:t>
      </w:r>
      <w:r w:rsidR="003455F1">
        <w:t xml:space="preserve"> </w:t>
      </w:r>
      <w:r>
        <w:t>which</w:t>
      </w:r>
      <w:r w:rsidR="003455F1">
        <w:t xml:space="preserve"> </w:t>
      </w:r>
      <w:r>
        <w:t>are</w:t>
      </w:r>
      <w:r w:rsidR="003455F1">
        <w:t xml:space="preserve"> </w:t>
      </w:r>
      <w:r>
        <w:t>due,</w:t>
      </w:r>
      <w:r w:rsidR="003455F1">
        <w:t xml:space="preserve"> </w:t>
      </w:r>
      <w:r>
        <w:t>among</w:t>
      </w:r>
      <w:r w:rsidR="003455F1">
        <w:t xml:space="preserve"> </w:t>
      </w:r>
      <w:r>
        <w:t>other</w:t>
      </w:r>
      <w:r w:rsidR="003455F1">
        <w:t xml:space="preserve"> </w:t>
      </w:r>
      <w:r>
        <w:t>factors,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unavailability</w:t>
      </w:r>
      <w:r w:rsidR="003455F1">
        <w:t xml:space="preserve"> </w:t>
      </w:r>
      <w:r>
        <w:t>of</w:t>
      </w:r>
      <w:r w:rsidR="003455F1">
        <w:t xml:space="preserve"> </w:t>
      </w:r>
      <w:r>
        <w:t>and</w:t>
      </w:r>
      <w:r w:rsidR="003455F1">
        <w:t xml:space="preserve"> </w:t>
      </w:r>
      <w:r>
        <w:t>lack</w:t>
      </w:r>
      <w:r w:rsidR="003455F1">
        <w:t xml:space="preserve"> </w:t>
      </w:r>
      <w:r>
        <w:t>of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appropriate</w:t>
      </w:r>
      <w:r w:rsidR="003455F1">
        <w:t xml:space="preserve"> </w:t>
      </w:r>
      <w:r>
        <w:t>sexual</w:t>
      </w:r>
      <w:r w:rsidR="003455F1">
        <w:t xml:space="preserve"> </w:t>
      </w:r>
      <w:r>
        <w:t>and</w:t>
      </w:r>
      <w:r w:rsidR="003455F1">
        <w:t xml:space="preserve"> </w:t>
      </w:r>
      <w:r>
        <w:t>reproductive</w:t>
      </w:r>
      <w:r w:rsidR="003455F1">
        <w:t xml:space="preserve"> </w:t>
      </w:r>
      <w:r>
        <w:t>health</w:t>
      </w:r>
      <w:r w:rsidR="003455F1">
        <w:t xml:space="preserve"> </w:t>
      </w:r>
      <w:r>
        <w:t>services</w:t>
      </w:r>
      <w:r w:rsidR="003455F1">
        <w:t xml:space="preserve"> </w:t>
      </w:r>
      <w:r>
        <w:t>and</w:t>
      </w:r>
      <w:r w:rsidR="003455F1">
        <w:t xml:space="preserve"> </w:t>
      </w:r>
      <w:r>
        <w:t>information</w:t>
      </w:r>
      <w:r w:rsidR="003455F1">
        <w:t xml:space="preserve"> </w:t>
      </w:r>
      <w:r>
        <w:t>(art.</w:t>
      </w:r>
      <w:r w:rsidR="003455F1">
        <w:t xml:space="preserve"> </w:t>
      </w:r>
      <w:r>
        <w:t>12).</w:t>
      </w:r>
    </w:p>
    <w:p w14:paraId="2F14B3CA" w14:textId="5E9EC9DB" w:rsidR="00866BF2" w:rsidRDefault="00E06F94" w:rsidP="00E06F94">
      <w:pPr>
        <w:pStyle w:val="SingleTxtG"/>
      </w:pPr>
      <w:r>
        <w:t>47.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1D018A8A" w14:textId="45630134" w:rsidR="00E06F94" w:rsidRPr="001F49A2" w:rsidRDefault="0056372C" w:rsidP="00E06F94">
      <w:pPr>
        <w:pStyle w:val="SingleTxtG"/>
        <w:rPr>
          <w:lang w:val="en-US"/>
        </w:rPr>
      </w:pPr>
      <w:r>
        <w:tab/>
      </w:r>
      <w:r w:rsidR="00E06F94" w:rsidRPr="00877247">
        <w:t>(a)</w:t>
      </w:r>
      <w:r w:rsidR="00E06F94">
        <w:tab/>
      </w:r>
      <w:r w:rsidR="00E06F94">
        <w:rPr>
          <w:b/>
        </w:rPr>
        <w:t>Review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current</w:t>
      </w:r>
      <w:r w:rsidR="003455F1">
        <w:rPr>
          <w:b/>
        </w:rPr>
        <w:t xml:space="preserve"> </w:t>
      </w:r>
      <w:r w:rsidR="00E06F94">
        <w:rPr>
          <w:b/>
        </w:rPr>
        <w:t>prohibition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abortion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order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render</w:t>
      </w:r>
      <w:r w:rsidR="003455F1">
        <w:rPr>
          <w:b/>
        </w:rPr>
        <w:t xml:space="preserve"> </w:t>
      </w:r>
      <w:r w:rsidR="00E06F94">
        <w:rPr>
          <w:b/>
        </w:rPr>
        <w:t>it</w:t>
      </w:r>
      <w:r w:rsidR="003455F1">
        <w:rPr>
          <w:b/>
        </w:rPr>
        <w:t xml:space="preserve"> </w:t>
      </w:r>
      <w:r w:rsidR="00E06F94">
        <w:rPr>
          <w:b/>
        </w:rPr>
        <w:t>compatible</w:t>
      </w:r>
      <w:r w:rsidR="003455F1">
        <w:rPr>
          <w:b/>
        </w:rPr>
        <w:t xml:space="preserve"> </w:t>
      </w:r>
      <w:r w:rsidR="00E06F94">
        <w:rPr>
          <w:b/>
        </w:rPr>
        <w:t>with</w:t>
      </w:r>
      <w:r w:rsidR="003455F1">
        <w:rPr>
          <w:b/>
        </w:rPr>
        <w:t xml:space="preserve"> </w:t>
      </w:r>
      <w:r w:rsidR="00E06F94">
        <w:rPr>
          <w:b/>
        </w:rPr>
        <w:t>other</w:t>
      </w:r>
      <w:r w:rsidR="003455F1">
        <w:rPr>
          <w:b/>
        </w:rPr>
        <w:t xml:space="preserve"> </w:t>
      </w:r>
      <w:r w:rsidR="00E06F94">
        <w:rPr>
          <w:b/>
        </w:rPr>
        <w:t>fundamental</w:t>
      </w:r>
      <w:r w:rsidR="003455F1">
        <w:rPr>
          <w:b/>
        </w:rPr>
        <w:t xml:space="preserve"> </w:t>
      </w:r>
      <w:r w:rsidR="00E06F94">
        <w:rPr>
          <w:b/>
        </w:rPr>
        <w:t>rights,</w:t>
      </w:r>
      <w:r w:rsidR="003455F1">
        <w:rPr>
          <w:b/>
        </w:rPr>
        <w:t xml:space="preserve"> </w:t>
      </w:r>
      <w:r w:rsidR="00E06F94">
        <w:rPr>
          <w:b/>
        </w:rPr>
        <w:t>such</w:t>
      </w:r>
      <w:r w:rsidR="003455F1">
        <w:rPr>
          <w:b/>
        </w:rPr>
        <w:t xml:space="preserve"> </w:t>
      </w:r>
      <w:r w:rsidR="00E06F94">
        <w:rPr>
          <w:b/>
        </w:rPr>
        <w:t>as</w:t>
      </w:r>
      <w:r w:rsidR="003455F1">
        <w:rPr>
          <w:b/>
        </w:rPr>
        <w:t xml:space="preserve"> </w:t>
      </w:r>
      <w:r w:rsidR="00E06F94">
        <w:rPr>
          <w:b/>
        </w:rPr>
        <w:t>women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health,</w:t>
      </w:r>
      <w:r w:rsidR="003455F1">
        <w:rPr>
          <w:b/>
        </w:rPr>
        <w:t xml:space="preserve"> </w:t>
      </w:r>
      <w:r w:rsidR="00E06F94">
        <w:rPr>
          <w:b/>
        </w:rPr>
        <w:t>life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dignity;</w:t>
      </w:r>
    </w:p>
    <w:p w14:paraId="5F2C8422" w14:textId="4991C089" w:rsidR="00E06F94" w:rsidRPr="001F49A2" w:rsidRDefault="0056372C" w:rsidP="00E06F94">
      <w:pPr>
        <w:pStyle w:val="SingleTxtG"/>
        <w:rPr>
          <w:b/>
          <w:lang w:val="en-US"/>
        </w:rPr>
      </w:pPr>
      <w:r>
        <w:tab/>
      </w:r>
      <w:r w:rsidR="00E06F94" w:rsidRPr="00877247">
        <w:t>(b)</w:t>
      </w:r>
      <w:r w:rsidR="00E06F94">
        <w:tab/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accessibility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availability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appropriate,</w:t>
      </w:r>
      <w:r w:rsidR="003455F1">
        <w:rPr>
          <w:b/>
        </w:rPr>
        <w:t xml:space="preserve"> </w:t>
      </w:r>
      <w:r w:rsidR="00E06F94">
        <w:rPr>
          <w:b/>
        </w:rPr>
        <w:t>good</w:t>
      </w:r>
      <w:r w:rsidR="003455F1">
        <w:rPr>
          <w:b/>
        </w:rPr>
        <w:t xml:space="preserve"> </w:t>
      </w:r>
      <w:r w:rsidR="00E06F94">
        <w:rPr>
          <w:b/>
        </w:rPr>
        <w:t>quality</w:t>
      </w:r>
      <w:r w:rsidR="003455F1">
        <w:rPr>
          <w:b/>
        </w:rPr>
        <w:t xml:space="preserve"> </w:t>
      </w:r>
      <w:r w:rsidR="00E06F94">
        <w:rPr>
          <w:b/>
        </w:rPr>
        <w:t>sexual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reproductive</w:t>
      </w:r>
      <w:r w:rsidR="003455F1">
        <w:rPr>
          <w:b/>
        </w:rPr>
        <w:t xml:space="preserve"> </w:t>
      </w:r>
      <w:r w:rsidR="00E06F94">
        <w:rPr>
          <w:b/>
        </w:rPr>
        <w:t>health</w:t>
      </w:r>
      <w:r w:rsidR="003455F1">
        <w:rPr>
          <w:b/>
        </w:rPr>
        <w:t xml:space="preserve"> </w:t>
      </w:r>
      <w:r w:rsidR="00E06F94">
        <w:rPr>
          <w:b/>
        </w:rPr>
        <w:t>services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information,</w:t>
      </w:r>
      <w:r w:rsidR="003455F1">
        <w:rPr>
          <w:b/>
        </w:rPr>
        <w:t xml:space="preserve"> </w:t>
      </w:r>
      <w:r w:rsidR="00E06F94">
        <w:rPr>
          <w:b/>
        </w:rPr>
        <w:t>including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family</w:t>
      </w:r>
      <w:r w:rsidR="003455F1">
        <w:rPr>
          <w:b/>
        </w:rPr>
        <w:t xml:space="preserve"> </w:t>
      </w:r>
      <w:r w:rsidR="00E06F94">
        <w:rPr>
          <w:b/>
        </w:rPr>
        <w:t>planning,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women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adolescent</w:t>
      </w:r>
      <w:r w:rsidR="003455F1">
        <w:rPr>
          <w:b/>
        </w:rPr>
        <w:t xml:space="preserve"> </w:t>
      </w:r>
      <w:r w:rsidR="00E06F94">
        <w:rPr>
          <w:b/>
        </w:rPr>
        <w:t>girls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State</w:t>
      </w:r>
      <w:r w:rsidR="003455F1">
        <w:rPr>
          <w:b/>
        </w:rPr>
        <w:t xml:space="preserve"> </w:t>
      </w:r>
      <w:r w:rsidR="00E06F94">
        <w:rPr>
          <w:b/>
        </w:rPr>
        <w:t>party,</w:t>
      </w:r>
      <w:r w:rsidR="003455F1">
        <w:rPr>
          <w:b/>
        </w:rPr>
        <w:t xml:space="preserve"> </w:t>
      </w:r>
      <w:r w:rsidR="00E06F94">
        <w:rPr>
          <w:b/>
        </w:rPr>
        <w:t>especially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rural</w:t>
      </w:r>
      <w:r w:rsidR="003455F1">
        <w:rPr>
          <w:b/>
        </w:rPr>
        <w:t xml:space="preserve"> </w:t>
      </w:r>
      <w:r w:rsidR="00E06F94">
        <w:rPr>
          <w:b/>
        </w:rPr>
        <w:t>or</w:t>
      </w:r>
      <w:r w:rsidR="003455F1">
        <w:rPr>
          <w:b/>
        </w:rPr>
        <w:t xml:space="preserve"> </w:t>
      </w:r>
      <w:r w:rsidR="00E06F94">
        <w:rPr>
          <w:b/>
        </w:rPr>
        <w:t>remote</w:t>
      </w:r>
      <w:r w:rsidR="003455F1">
        <w:rPr>
          <w:b/>
        </w:rPr>
        <w:t xml:space="preserve"> </w:t>
      </w:r>
      <w:r w:rsidR="00E06F94">
        <w:rPr>
          <w:b/>
        </w:rPr>
        <w:t>areas;</w:t>
      </w:r>
    </w:p>
    <w:p w14:paraId="2AE9BF97" w14:textId="4A944B7B" w:rsidR="00866BF2" w:rsidRDefault="0056372C" w:rsidP="00E06F94">
      <w:pPr>
        <w:pStyle w:val="SingleTxtG"/>
      </w:pPr>
      <w:r>
        <w:rPr>
          <w:b/>
        </w:rPr>
        <w:tab/>
      </w:r>
      <w:r w:rsidR="00E06F94" w:rsidRPr="0056372C">
        <w:rPr>
          <w:bCs/>
        </w:rPr>
        <w:t>(c</w:t>
      </w:r>
      <w:r w:rsidR="00E06F94">
        <w:t>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legislative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administrative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prevent</w:t>
      </w:r>
      <w:r w:rsidR="003455F1">
        <w:rPr>
          <w:b/>
        </w:rPr>
        <w:t xml:space="preserve"> </w:t>
      </w:r>
      <w:r w:rsidR="00E06F94">
        <w:rPr>
          <w:b/>
        </w:rPr>
        <w:t>maternal</w:t>
      </w:r>
      <w:r w:rsidR="003455F1">
        <w:rPr>
          <w:b/>
        </w:rPr>
        <w:t xml:space="preserve"> </w:t>
      </w:r>
      <w:r w:rsidR="00E06F94">
        <w:rPr>
          <w:b/>
        </w:rPr>
        <w:t>mortality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morbidity,</w:t>
      </w:r>
      <w:r w:rsidR="003455F1">
        <w:rPr>
          <w:b/>
        </w:rPr>
        <w:t xml:space="preserve"> </w:t>
      </w:r>
      <w:r w:rsidR="00E06F94">
        <w:rPr>
          <w:b/>
        </w:rPr>
        <w:t>taking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technical</w:t>
      </w:r>
      <w:r w:rsidR="003455F1">
        <w:rPr>
          <w:b/>
        </w:rPr>
        <w:t xml:space="preserve"> </w:t>
      </w:r>
      <w:r w:rsidR="00E06F94">
        <w:rPr>
          <w:b/>
        </w:rPr>
        <w:t>guidance</w:t>
      </w:r>
      <w:r w:rsidR="003455F1">
        <w:rPr>
          <w:b/>
        </w:rPr>
        <w:t xml:space="preserve"> </w:t>
      </w:r>
      <w:r w:rsidR="00E06F94">
        <w:rPr>
          <w:b/>
        </w:rPr>
        <w:t>provided</w:t>
      </w:r>
      <w:r w:rsidR="003455F1">
        <w:rPr>
          <w:b/>
        </w:rPr>
        <w:t xml:space="preserve"> </w:t>
      </w:r>
      <w:r w:rsidR="00E06F94">
        <w:rPr>
          <w:b/>
        </w:rPr>
        <w:t>by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Office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United</w:t>
      </w:r>
      <w:r w:rsidR="003455F1">
        <w:rPr>
          <w:b/>
        </w:rPr>
        <w:t xml:space="preserve"> </w:t>
      </w:r>
      <w:r w:rsidR="00E06F94">
        <w:rPr>
          <w:b/>
        </w:rPr>
        <w:t>Nations</w:t>
      </w:r>
      <w:r w:rsidR="003455F1">
        <w:rPr>
          <w:b/>
        </w:rPr>
        <w:t xml:space="preserve"> </w:t>
      </w:r>
      <w:r w:rsidR="00E06F94">
        <w:rPr>
          <w:b/>
        </w:rPr>
        <w:t>High</w:t>
      </w:r>
      <w:r w:rsidR="003455F1">
        <w:rPr>
          <w:b/>
        </w:rPr>
        <w:t xml:space="preserve"> </w:t>
      </w:r>
      <w:r w:rsidR="00E06F94">
        <w:rPr>
          <w:b/>
        </w:rPr>
        <w:t>Commissioner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lastRenderedPageBreak/>
        <w:t>application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human</w:t>
      </w:r>
      <w:r w:rsidR="003455F1">
        <w:rPr>
          <w:b/>
        </w:rPr>
        <w:t xml:space="preserve"> </w:t>
      </w:r>
      <w:r w:rsidR="00E06F94">
        <w:rPr>
          <w:b/>
        </w:rPr>
        <w:t>rights-based</w:t>
      </w:r>
      <w:r w:rsidR="003455F1">
        <w:rPr>
          <w:b/>
        </w:rPr>
        <w:t xml:space="preserve"> </w:t>
      </w:r>
      <w:r w:rsidR="00E06F94">
        <w:rPr>
          <w:b/>
        </w:rPr>
        <w:t>approach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implementation</w:t>
      </w:r>
      <w:r w:rsidR="003455F1">
        <w:rPr>
          <w:b/>
        </w:rPr>
        <w:t xml:space="preserve"> </w:t>
      </w:r>
      <w:r w:rsidR="00E06F94">
        <w:rPr>
          <w:b/>
        </w:rPr>
        <w:t>of</w:t>
      </w:r>
      <w:r w:rsidR="003455F1">
        <w:rPr>
          <w:b/>
        </w:rPr>
        <w:t xml:space="preserve"> </w:t>
      </w:r>
      <w:r w:rsidR="00E06F94">
        <w:rPr>
          <w:b/>
        </w:rPr>
        <w:t>policies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programmes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reduce</w:t>
      </w:r>
      <w:r w:rsidR="003455F1">
        <w:rPr>
          <w:b/>
        </w:rPr>
        <w:t xml:space="preserve"> </w:t>
      </w:r>
      <w:r w:rsidR="00E06F94">
        <w:rPr>
          <w:b/>
        </w:rPr>
        <w:t>preventable</w:t>
      </w:r>
      <w:r w:rsidR="003455F1">
        <w:rPr>
          <w:b/>
        </w:rPr>
        <w:t xml:space="preserve"> </w:t>
      </w:r>
      <w:r w:rsidR="00E06F94">
        <w:rPr>
          <w:b/>
        </w:rPr>
        <w:t>maternal</w:t>
      </w:r>
      <w:r w:rsidR="003455F1">
        <w:rPr>
          <w:b/>
        </w:rPr>
        <w:t xml:space="preserve"> </w:t>
      </w:r>
      <w:r w:rsidR="00E06F94">
        <w:rPr>
          <w:b/>
        </w:rPr>
        <w:t>morbidity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mortality;</w:t>
      </w:r>
      <w:r w:rsidR="00E06F94" w:rsidRPr="009A0C94">
        <w:rPr>
          <w:rStyle w:val="FootnoteReference"/>
        </w:rPr>
        <w:footnoteReference w:id="9"/>
      </w:r>
    </w:p>
    <w:p w14:paraId="2E42F398" w14:textId="10EC7316" w:rsidR="00E06F94" w:rsidRPr="001F49A2" w:rsidRDefault="0056372C" w:rsidP="00E06F94">
      <w:pPr>
        <w:pStyle w:val="SingleTxtG"/>
        <w:rPr>
          <w:b/>
          <w:lang w:val="en-US"/>
        </w:rPr>
      </w:pPr>
      <w:r>
        <w:rPr>
          <w:bCs/>
        </w:rPr>
        <w:tab/>
      </w:r>
      <w:r w:rsidR="00E06F94" w:rsidRPr="0056372C">
        <w:rPr>
          <w:bCs/>
        </w:rPr>
        <w:t>(d)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into</w:t>
      </w:r>
      <w:r w:rsidR="003455F1">
        <w:rPr>
          <w:b/>
        </w:rPr>
        <w:t xml:space="preserve"> </w:t>
      </w:r>
      <w:r w:rsidR="00E06F94">
        <w:rPr>
          <w:b/>
        </w:rPr>
        <w:t>account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Committee</w:t>
      </w:r>
      <w:r w:rsidR="00866BF2">
        <w:rPr>
          <w:b/>
        </w:rPr>
        <w:t>’</w:t>
      </w:r>
      <w:r w:rsidR="00E06F94">
        <w:rPr>
          <w:b/>
        </w:rPr>
        <w:t>s</w:t>
      </w:r>
      <w:r w:rsidR="003455F1">
        <w:rPr>
          <w:b/>
        </w:rPr>
        <w:t xml:space="preserve"> </w:t>
      </w:r>
      <w:r w:rsidR="00E06F94">
        <w:rPr>
          <w:b/>
        </w:rPr>
        <w:t>general</w:t>
      </w:r>
      <w:r w:rsidR="003455F1">
        <w:rPr>
          <w:b/>
        </w:rPr>
        <w:t xml:space="preserve"> </w:t>
      </w:r>
      <w:r w:rsidR="00E06F94">
        <w:rPr>
          <w:b/>
        </w:rPr>
        <w:t>comment</w:t>
      </w:r>
      <w:r w:rsidR="003455F1">
        <w:rPr>
          <w:b/>
        </w:rPr>
        <w:t xml:space="preserve"> </w:t>
      </w:r>
      <w:r w:rsidR="00E06F94">
        <w:rPr>
          <w:b/>
        </w:rPr>
        <w:t>No.</w:t>
      </w:r>
      <w:r w:rsidR="003455F1">
        <w:rPr>
          <w:b/>
        </w:rPr>
        <w:t xml:space="preserve"> </w:t>
      </w:r>
      <w:r w:rsidR="00E06F94">
        <w:rPr>
          <w:b/>
        </w:rPr>
        <w:t>22</w:t>
      </w:r>
      <w:r w:rsidR="003455F1">
        <w:rPr>
          <w:b/>
        </w:rPr>
        <w:t xml:space="preserve"> </w:t>
      </w:r>
      <w:r w:rsidR="00E06F94">
        <w:rPr>
          <w:b/>
        </w:rPr>
        <w:t>(2016)</w:t>
      </w:r>
      <w:r w:rsidR="003455F1">
        <w:rPr>
          <w:b/>
        </w:rPr>
        <w:t xml:space="preserve"> </w:t>
      </w:r>
      <w:r w:rsidR="00E06F94">
        <w:rPr>
          <w:b/>
        </w:rPr>
        <w:t>on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right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sexual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reproductive</w:t>
      </w:r>
      <w:r w:rsidR="003455F1">
        <w:rPr>
          <w:b/>
        </w:rPr>
        <w:t xml:space="preserve"> </w:t>
      </w:r>
      <w:r w:rsidR="00E06F94">
        <w:rPr>
          <w:b/>
        </w:rPr>
        <w:t>health.</w:t>
      </w:r>
    </w:p>
    <w:p w14:paraId="5987DF11" w14:textId="3EE0D204" w:rsidR="00E06F94" w:rsidRPr="001F49A2" w:rsidRDefault="0056372C" w:rsidP="0056372C">
      <w:pPr>
        <w:pStyle w:val="H23G"/>
        <w:rPr>
          <w:lang w:val="en-US"/>
        </w:rPr>
      </w:pPr>
      <w:r>
        <w:tab/>
      </w:r>
      <w:r>
        <w:tab/>
      </w:r>
      <w:r w:rsidR="00E06F94">
        <w:t>Access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vaccines</w:t>
      </w:r>
      <w:r w:rsidR="003455F1">
        <w:t xml:space="preserve"> </w:t>
      </w:r>
      <w:r w:rsidR="00E06F94">
        <w:t>against</w:t>
      </w:r>
      <w:r w:rsidR="003455F1">
        <w:t xml:space="preserve"> </w:t>
      </w:r>
      <w:r w:rsidR="00E06F94">
        <w:t>coronavirus</w:t>
      </w:r>
      <w:r w:rsidR="003455F1">
        <w:t xml:space="preserve"> </w:t>
      </w:r>
      <w:r w:rsidR="00E06F94">
        <w:t>disease</w:t>
      </w:r>
      <w:r w:rsidR="003455F1">
        <w:t xml:space="preserve"> </w:t>
      </w:r>
      <w:r w:rsidR="00E06F94">
        <w:t>(COVID-19)</w:t>
      </w:r>
    </w:p>
    <w:p w14:paraId="7D6C2175" w14:textId="54A436D1" w:rsidR="00866BF2" w:rsidRDefault="00E06F94" w:rsidP="00E06F94">
      <w:pPr>
        <w:pStyle w:val="SingleTxtG"/>
      </w:pPr>
      <w:r>
        <w:t>48.</w:t>
      </w:r>
      <w:r>
        <w:tab/>
        <w:t>While</w:t>
      </w:r>
      <w:r w:rsidR="003455F1">
        <w:t xml:space="preserve"> </w:t>
      </w:r>
      <w:r>
        <w:t>it</w:t>
      </w:r>
      <w:r w:rsidR="003455F1">
        <w:t xml:space="preserve"> </w:t>
      </w:r>
      <w:r>
        <w:t>takes</w:t>
      </w:r>
      <w:r w:rsidR="003455F1">
        <w:t xml:space="preserve"> </w:t>
      </w:r>
      <w:r>
        <w:t>note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explanations</w:t>
      </w:r>
      <w:r w:rsidR="003455F1">
        <w:t xml:space="preserve"> </w:t>
      </w:r>
      <w:r>
        <w:t>provided</w:t>
      </w:r>
      <w:r w:rsidR="003455F1">
        <w:t xml:space="preserve"> </w:t>
      </w:r>
      <w:r>
        <w:t>by</w:t>
      </w:r>
      <w:r w:rsidR="003455F1">
        <w:t xml:space="preserve"> </w:t>
      </w:r>
      <w:r>
        <w:t>the</w:t>
      </w:r>
      <w:r w:rsidR="003455F1">
        <w:t xml:space="preserve"> </w:t>
      </w:r>
      <w:r>
        <w:t>delegation,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how</w:t>
      </w:r>
      <w:r w:rsidR="003455F1">
        <w:t xml:space="preserve"> </w:t>
      </w:r>
      <w:r>
        <w:t>few</w:t>
      </w:r>
      <w:r w:rsidR="003455F1">
        <w:t xml:space="preserve"> </w:t>
      </w:r>
      <w:r>
        <w:t>people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</w:t>
      </w:r>
      <w:r w:rsidR="003455F1">
        <w:t xml:space="preserve"> </w:t>
      </w:r>
      <w:r>
        <w:t>have</w:t>
      </w:r>
      <w:r w:rsidR="003455F1">
        <w:t xml:space="preserve"> </w:t>
      </w:r>
      <w:r>
        <w:t>been</w:t>
      </w:r>
      <w:r w:rsidR="003455F1">
        <w:t xml:space="preserve"> </w:t>
      </w:r>
      <w:r>
        <w:t>vaccinated</w:t>
      </w:r>
      <w:r w:rsidR="003455F1">
        <w:t xml:space="preserve"> </w:t>
      </w:r>
      <w:r>
        <w:t>against</w:t>
      </w:r>
      <w:r w:rsidR="003455F1">
        <w:t xml:space="preserve"> </w:t>
      </w:r>
      <w:r>
        <w:t>COVID-19.</w:t>
      </w:r>
    </w:p>
    <w:p w14:paraId="350C30C6" w14:textId="3E6CF1D1" w:rsidR="00E06F94" w:rsidRPr="001F49A2" w:rsidRDefault="00E06F94" w:rsidP="00E06F94">
      <w:pPr>
        <w:pStyle w:val="SingleTxtG"/>
        <w:rPr>
          <w:b/>
          <w:lang w:val="en-US"/>
        </w:rPr>
      </w:pPr>
      <w:r>
        <w:t>49.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adopt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vaccination</w:t>
      </w:r>
      <w:r w:rsidR="003455F1">
        <w:rPr>
          <w:b/>
        </w:rPr>
        <w:t xml:space="preserve"> </w:t>
      </w:r>
      <w:r>
        <w:rPr>
          <w:b/>
        </w:rPr>
        <w:t>plan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guarantees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persons,</w:t>
      </w:r>
      <w:r w:rsidR="003455F1">
        <w:rPr>
          <w:b/>
        </w:rPr>
        <w:t xml:space="preserve"> </w:t>
      </w:r>
      <w:r>
        <w:rPr>
          <w:b/>
        </w:rPr>
        <w:t>without</w:t>
      </w:r>
      <w:r w:rsidR="003455F1">
        <w:rPr>
          <w:b/>
        </w:rPr>
        <w:t xml:space="preserve"> </w:t>
      </w:r>
      <w:r>
        <w:rPr>
          <w:b/>
        </w:rPr>
        <w:t>discrimination,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safe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effective</w:t>
      </w:r>
      <w:r w:rsidR="003455F1">
        <w:rPr>
          <w:b/>
        </w:rPr>
        <w:t xml:space="preserve"> </w:t>
      </w:r>
      <w:r>
        <w:rPr>
          <w:b/>
        </w:rPr>
        <w:t>vaccines</w:t>
      </w:r>
      <w:r w:rsidR="003455F1">
        <w:rPr>
          <w:b/>
        </w:rPr>
        <w:t xml:space="preserve"> </w:t>
      </w:r>
      <w:r>
        <w:rPr>
          <w:b/>
        </w:rPr>
        <w:t>against</w:t>
      </w:r>
      <w:r w:rsidR="003455F1">
        <w:rPr>
          <w:b/>
        </w:rPr>
        <w:t xml:space="preserve"> </w:t>
      </w:r>
      <w:r>
        <w:rPr>
          <w:b/>
        </w:rPr>
        <w:t>COVID-19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culturally</w:t>
      </w:r>
      <w:r w:rsidR="003455F1">
        <w:rPr>
          <w:b/>
        </w:rPr>
        <w:t xml:space="preserve"> </w:t>
      </w:r>
      <w:r>
        <w:rPr>
          <w:b/>
        </w:rPr>
        <w:t>appropriate</w:t>
      </w:r>
      <w:r w:rsidR="003455F1">
        <w:rPr>
          <w:b/>
        </w:rPr>
        <w:t xml:space="preserve"> </w:t>
      </w:r>
      <w:r>
        <w:rPr>
          <w:b/>
        </w:rPr>
        <w:t>information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 w:rsidRPr="00DC1185">
        <w:rPr>
          <w:b/>
        </w:rPr>
        <w:t>Indigenous</w:t>
      </w:r>
      <w:r w:rsidR="003455F1">
        <w:rPr>
          <w:b/>
        </w:rPr>
        <w:t xml:space="preserve"> </w:t>
      </w:r>
      <w:r w:rsidRPr="00DC1185">
        <w:rPr>
          <w:b/>
        </w:rPr>
        <w:t>Peoples</w:t>
      </w:r>
      <w:r w:rsidR="003455F1">
        <w:rPr>
          <w:b/>
        </w:rPr>
        <w:t xml:space="preserve"> </w:t>
      </w:r>
      <w:r w:rsidRPr="00DC1185">
        <w:rPr>
          <w:b/>
        </w:rPr>
        <w:t>and</w:t>
      </w:r>
      <w:r w:rsidR="003455F1">
        <w:rPr>
          <w:b/>
        </w:rPr>
        <w:t xml:space="preserve"> </w:t>
      </w:r>
      <w:r w:rsidRPr="00DC1185">
        <w:rPr>
          <w:b/>
        </w:rPr>
        <w:t>persons</w:t>
      </w:r>
      <w:r w:rsidR="003455F1">
        <w:rPr>
          <w:b/>
        </w:rPr>
        <w:t xml:space="preserve"> </w:t>
      </w:r>
      <w:r w:rsidRPr="00DC1185">
        <w:rPr>
          <w:b/>
        </w:rPr>
        <w:t>of</w:t>
      </w:r>
      <w:r w:rsidR="003455F1">
        <w:rPr>
          <w:b/>
        </w:rPr>
        <w:t xml:space="preserve"> </w:t>
      </w:r>
      <w:r w:rsidRPr="00DC1185">
        <w:rPr>
          <w:b/>
        </w:rPr>
        <w:t>African</w:t>
      </w:r>
      <w:r w:rsidR="003455F1">
        <w:rPr>
          <w:b/>
        </w:rPr>
        <w:t xml:space="preserve"> </w:t>
      </w:r>
      <w:r w:rsidRPr="00DC1185">
        <w:rPr>
          <w:b/>
        </w:rPr>
        <w:t>descent</w:t>
      </w:r>
      <w:r>
        <w:rPr>
          <w:b/>
        </w:rPr>
        <w:t>.</w:t>
      </w:r>
    </w:p>
    <w:p w14:paraId="68E65731" w14:textId="1707386B" w:rsidR="00866BF2" w:rsidRDefault="005E5272" w:rsidP="005E5272">
      <w:pPr>
        <w:pStyle w:val="H23G"/>
      </w:pPr>
      <w:r>
        <w:tab/>
      </w:r>
      <w:r>
        <w:tab/>
      </w:r>
      <w:r w:rsidR="00E06F94">
        <w:t>Impact</w:t>
      </w:r>
      <w:r w:rsidR="003455F1">
        <w:t xml:space="preserve"> </w:t>
      </w:r>
      <w:r w:rsidR="00E06F94">
        <w:t>of</w:t>
      </w:r>
      <w:r w:rsidR="003455F1">
        <w:t xml:space="preserve"> </w:t>
      </w:r>
      <w:r w:rsidR="00E06F94">
        <w:t>the</w:t>
      </w:r>
      <w:r w:rsidR="003455F1">
        <w:t xml:space="preserve"> </w:t>
      </w:r>
      <w:r w:rsidR="00E06F94">
        <w:t>COVID-19</w:t>
      </w:r>
      <w:r w:rsidR="003455F1">
        <w:t xml:space="preserve"> </w:t>
      </w:r>
      <w:r w:rsidR="00E06F94">
        <w:t>pandemic</w:t>
      </w:r>
      <w:r w:rsidR="003455F1">
        <w:t xml:space="preserve"> </w:t>
      </w:r>
      <w:r w:rsidR="00E06F94">
        <w:t>on</w:t>
      </w:r>
      <w:r w:rsidR="003455F1">
        <w:t xml:space="preserve"> </w:t>
      </w:r>
      <w:r w:rsidR="00E06F94">
        <w:t>the</w:t>
      </w:r>
      <w:r w:rsidR="003455F1">
        <w:t xml:space="preserve"> </w:t>
      </w:r>
      <w:r w:rsidR="00E06F94">
        <w:t>right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education</w:t>
      </w:r>
    </w:p>
    <w:p w14:paraId="3CA1D7AA" w14:textId="66DA273A" w:rsidR="00E06F94" w:rsidRPr="001F49A2" w:rsidRDefault="00E06F94" w:rsidP="00E06F94">
      <w:pPr>
        <w:pStyle w:val="SingleTxtG"/>
        <w:rPr>
          <w:rFonts w:ascii="Times New Roman,Bold" w:eastAsia="Times New Roman" w:hAnsi="Times New Roman,Bold"/>
          <w:lang w:val="en-US"/>
        </w:rPr>
      </w:pPr>
      <w:r>
        <w:t>50.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the</w:t>
      </w:r>
      <w:r w:rsidR="003455F1">
        <w:t xml:space="preserve"> </w:t>
      </w:r>
      <w:r>
        <w:t>negative</w:t>
      </w:r>
      <w:r w:rsidR="003455F1">
        <w:t xml:space="preserve"> </w:t>
      </w:r>
      <w:r>
        <w:t>impact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prevention</w:t>
      </w:r>
      <w:r w:rsidR="003455F1">
        <w:t xml:space="preserve"> </w:t>
      </w:r>
      <w:r>
        <w:t>measures</w:t>
      </w:r>
      <w:r w:rsidR="003455F1">
        <w:t xml:space="preserve"> </w:t>
      </w:r>
      <w:r>
        <w:t>adopted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context</w:t>
      </w:r>
      <w:r w:rsidR="003455F1">
        <w:t xml:space="preserve"> </w:t>
      </w:r>
      <w:r>
        <w:t>of</w:t>
      </w:r>
      <w:r w:rsidR="003455F1">
        <w:t xml:space="preserve"> </w:t>
      </w:r>
      <w:r>
        <w:t>the</w:t>
      </w:r>
      <w:r w:rsidR="003455F1">
        <w:t xml:space="preserve"> </w:t>
      </w:r>
      <w:r>
        <w:t>COVID-19</w:t>
      </w:r>
      <w:r w:rsidR="003455F1">
        <w:t xml:space="preserve"> </w:t>
      </w:r>
      <w:r>
        <w:t>pandemic</w:t>
      </w:r>
      <w:r w:rsidR="003455F1">
        <w:t xml:space="preserve"> </w:t>
      </w:r>
      <w:r>
        <w:t>on</w:t>
      </w:r>
      <w:r w:rsidR="003455F1">
        <w:t xml:space="preserve"> </w:t>
      </w:r>
      <w:r>
        <w:t>the</w:t>
      </w:r>
      <w:r w:rsidR="003455F1">
        <w:t xml:space="preserve"> </w:t>
      </w:r>
      <w:r>
        <w:t>right</w:t>
      </w:r>
      <w:r w:rsidR="003455F1">
        <w:t xml:space="preserve"> </w:t>
      </w:r>
      <w:r>
        <w:t>to</w:t>
      </w:r>
      <w:r w:rsidR="003455F1">
        <w:t xml:space="preserve"> </w:t>
      </w:r>
      <w:r>
        <w:t>education</w:t>
      </w:r>
      <w:r w:rsidR="003455F1">
        <w:t xml:space="preserve"> </w:t>
      </w:r>
      <w:r>
        <w:t>given</w:t>
      </w:r>
      <w:r w:rsidR="003455F1">
        <w:t xml:space="preserve"> </w:t>
      </w:r>
      <w:r>
        <w:t>that</w:t>
      </w:r>
      <w:r w:rsidR="003455F1">
        <w:t xml:space="preserve"> </w:t>
      </w:r>
      <w:r>
        <w:t>most</w:t>
      </w:r>
      <w:r w:rsidR="003455F1">
        <w:t xml:space="preserve"> </w:t>
      </w:r>
      <w:r>
        <w:t>students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time</w:t>
      </w:r>
      <w:r w:rsidR="003455F1">
        <w:t xml:space="preserve"> </w:t>
      </w:r>
      <w:r>
        <w:t>did</w:t>
      </w:r>
      <w:r w:rsidR="003455F1">
        <w:t xml:space="preserve"> </w:t>
      </w:r>
      <w:r>
        <w:t>not,</w:t>
      </w:r>
      <w:r w:rsidR="003455F1">
        <w:t xml:space="preserve"> </w:t>
      </w:r>
      <w:r>
        <w:t>and</w:t>
      </w:r>
      <w:r w:rsidR="003455F1">
        <w:t xml:space="preserve"> </w:t>
      </w:r>
      <w:r>
        <w:t>still</w:t>
      </w:r>
      <w:r w:rsidR="003455F1">
        <w:t xml:space="preserve"> </w:t>
      </w:r>
      <w:r>
        <w:t>do</w:t>
      </w:r>
      <w:r w:rsidR="003455F1">
        <w:t xml:space="preserve"> </w:t>
      </w:r>
      <w:r>
        <w:t>not,</w:t>
      </w:r>
      <w:r w:rsidR="003455F1">
        <w:t xml:space="preserve"> </w:t>
      </w:r>
      <w:r>
        <w:t>have</w:t>
      </w:r>
      <w:r w:rsidR="003455F1">
        <w:t xml:space="preserve"> </w:t>
      </w:r>
      <w:r>
        <w:t>access</w:t>
      </w:r>
      <w:r w:rsidR="003455F1">
        <w:t xml:space="preserve"> </w:t>
      </w:r>
      <w:r>
        <w:t>to</w:t>
      </w:r>
      <w:r w:rsidR="003455F1">
        <w:t xml:space="preserve"> </w:t>
      </w:r>
      <w:r>
        <w:t>the</w:t>
      </w:r>
      <w:r w:rsidR="003455F1">
        <w:t xml:space="preserve"> </w:t>
      </w:r>
      <w:r>
        <w:t>Internet</w:t>
      </w:r>
      <w:r w:rsidR="003455F1">
        <w:t xml:space="preserve"> </w:t>
      </w:r>
      <w:r>
        <w:t>or</w:t>
      </w:r>
      <w:r w:rsidR="003455F1">
        <w:t xml:space="preserve"> </w:t>
      </w:r>
      <w:r>
        <w:t>technological</w:t>
      </w:r>
      <w:r w:rsidR="003455F1">
        <w:t xml:space="preserve"> </w:t>
      </w:r>
      <w:r>
        <w:t>and</w:t>
      </w:r>
      <w:r w:rsidR="003455F1">
        <w:t xml:space="preserve"> </w:t>
      </w:r>
      <w:r>
        <w:t>digital</w:t>
      </w:r>
      <w:r w:rsidR="003455F1">
        <w:t xml:space="preserve"> </w:t>
      </w:r>
      <w:r>
        <w:t>resources</w:t>
      </w:r>
      <w:r w:rsidR="003455F1">
        <w:t xml:space="preserve"> </w:t>
      </w:r>
      <w:r>
        <w:t>to</w:t>
      </w:r>
      <w:r w:rsidR="003455F1">
        <w:t xml:space="preserve"> </w:t>
      </w:r>
      <w:r>
        <w:t>pursue</w:t>
      </w:r>
      <w:r w:rsidR="003455F1">
        <w:t xml:space="preserve"> </w:t>
      </w:r>
      <w:r>
        <w:t>their</w:t>
      </w:r>
      <w:r w:rsidR="003455F1">
        <w:t xml:space="preserve"> </w:t>
      </w:r>
      <w:r>
        <w:t>studies</w:t>
      </w:r>
      <w:r w:rsidR="003455F1">
        <w:t xml:space="preserve"> </w:t>
      </w:r>
      <w:r>
        <w:t>online</w:t>
      </w:r>
      <w:r w:rsidR="003455F1">
        <w:t xml:space="preserve"> </w:t>
      </w:r>
      <w:r>
        <w:t>(arts.</w:t>
      </w:r>
      <w:r w:rsidR="003455F1">
        <w:t xml:space="preserve"> </w:t>
      </w:r>
      <w:r>
        <w:t>13</w:t>
      </w:r>
      <w:r w:rsidR="003455F1">
        <w:t xml:space="preserve"> </w:t>
      </w:r>
      <w:r>
        <w:t>and</w:t>
      </w:r>
      <w:r w:rsidR="003455F1">
        <w:t xml:space="preserve"> </w:t>
      </w:r>
      <w:r>
        <w:t>14).</w:t>
      </w:r>
    </w:p>
    <w:p w14:paraId="27DB721F" w14:textId="0FE25FA6" w:rsidR="00E06F94" w:rsidRPr="001F49A2" w:rsidRDefault="00E06F94" w:rsidP="00E06F94">
      <w:pPr>
        <w:pStyle w:val="SingleTxtG"/>
        <w:rPr>
          <w:b/>
          <w:shd w:val="clear" w:color="auto" w:fill="FFFFFF"/>
          <w:lang w:val="en-US"/>
        </w:rPr>
      </w:pPr>
      <w:r>
        <w:t>51.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improve</w:t>
      </w:r>
      <w:r w:rsidR="003455F1">
        <w:rPr>
          <w:b/>
        </w:rPr>
        <w:t xml:space="preserve"> </w:t>
      </w:r>
      <w:r>
        <w:rPr>
          <w:b/>
        </w:rPr>
        <w:t>access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Internet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technological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digital</w:t>
      </w:r>
      <w:r w:rsidR="003455F1">
        <w:rPr>
          <w:b/>
        </w:rPr>
        <w:t xml:space="preserve"> </w:t>
      </w:r>
      <w:r>
        <w:rPr>
          <w:b/>
        </w:rPr>
        <w:t>resources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students,</w:t>
      </w:r>
      <w:r w:rsidR="003455F1">
        <w:rPr>
          <w:b/>
        </w:rPr>
        <w:t xml:space="preserve"> </w:t>
      </w:r>
      <w:r>
        <w:rPr>
          <w:b/>
        </w:rPr>
        <w:t>especially</w:t>
      </w:r>
      <w:r w:rsidR="003455F1">
        <w:rPr>
          <w:b/>
        </w:rPr>
        <w:t xml:space="preserve"> </w:t>
      </w:r>
      <w:r>
        <w:rPr>
          <w:b/>
        </w:rPr>
        <w:t>those</w:t>
      </w:r>
      <w:r w:rsidR="003455F1">
        <w:rPr>
          <w:b/>
        </w:rPr>
        <w:t xml:space="preserve"> </w:t>
      </w:r>
      <w:r>
        <w:rPr>
          <w:b/>
        </w:rPr>
        <w:t>from</w:t>
      </w:r>
      <w:r w:rsidR="003455F1">
        <w:rPr>
          <w:b/>
        </w:rPr>
        <w:t xml:space="preserve"> </w:t>
      </w:r>
      <w:r>
        <w:rPr>
          <w:b/>
        </w:rPr>
        <w:t>low-income</w:t>
      </w:r>
      <w:r w:rsidR="003455F1">
        <w:rPr>
          <w:b/>
        </w:rPr>
        <w:t xml:space="preserve"> </w:t>
      </w:r>
      <w:r>
        <w:rPr>
          <w:b/>
        </w:rPr>
        <w:t>families,</w:t>
      </w:r>
      <w:r w:rsidR="003455F1">
        <w:rPr>
          <w:b/>
        </w:rPr>
        <w:t xml:space="preserve"> </w:t>
      </w:r>
      <w:r>
        <w:rPr>
          <w:b/>
        </w:rPr>
        <w:t>those</w:t>
      </w:r>
      <w:r w:rsidR="003455F1">
        <w:rPr>
          <w:b/>
        </w:rPr>
        <w:t xml:space="preserve"> </w:t>
      </w:r>
      <w:r>
        <w:rPr>
          <w:b/>
        </w:rPr>
        <w:t>belonging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Indigenous</w:t>
      </w:r>
      <w:r w:rsidR="003455F1">
        <w:rPr>
          <w:b/>
        </w:rPr>
        <w:t xml:space="preserve"> </w:t>
      </w:r>
      <w:r>
        <w:rPr>
          <w:b/>
        </w:rPr>
        <w:t>Peoples</w:t>
      </w:r>
      <w:r w:rsidR="003455F1">
        <w:rPr>
          <w:b/>
        </w:rPr>
        <w:t xml:space="preserve"> </w:t>
      </w:r>
      <w:r>
        <w:rPr>
          <w:b/>
        </w:rPr>
        <w:t>or</w:t>
      </w:r>
      <w:r w:rsidR="003455F1">
        <w:rPr>
          <w:b/>
        </w:rPr>
        <w:t xml:space="preserve"> </w:t>
      </w:r>
      <w:r>
        <w:rPr>
          <w:b/>
        </w:rPr>
        <w:t>peoples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African</w:t>
      </w:r>
      <w:r w:rsidR="003455F1">
        <w:rPr>
          <w:b/>
        </w:rPr>
        <w:t xml:space="preserve"> </w:t>
      </w:r>
      <w:r>
        <w:rPr>
          <w:b/>
        </w:rPr>
        <w:t>descent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those</w:t>
      </w:r>
      <w:r w:rsidR="003455F1">
        <w:rPr>
          <w:b/>
        </w:rPr>
        <w:t xml:space="preserve"> </w:t>
      </w:r>
      <w:r>
        <w:rPr>
          <w:b/>
        </w:rPr>
        <w:t>living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rural</w:t>
      </w:r>
      <w:r w:rsidR="003455F1">
        <w:rPr>
          <w:b/>
        </w:rPr>
        <w:t xml:space="preserve"> </w:t>
      </w:r>
      <w:r>
        <w:rPr>
          <w:b/>
        </w:rPr>
        <w:t>or</w:t>
      </w:r>
      <w:r w:rsidR="003455F1">
        <w:rPr>
          <w:b/>
        </w:rPr>
        <w:t xml:space="preserve"> </w:t>
      </w:r>
      <w:r>
        <w:rPr>
          <w:b/>
        </w:rPr>
        <w:t>remote</w:t>
      </w:r>
      <w:r w:rsidR="003455F1">
        <w:rPr>
          <w:b/>
        </w:rPr>
        <w:t xml:space="preserve"> </w:t>
      </w:r>
      <w:r>
        <w:rPr>
          <w:b/>
        </w:rPr>
        <w:t>areas,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education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accessible,</w:t>
      </w:r>
      <w:r w:rsidR="003455F1">
        <w:rPr>
          <w:b/>
        </w:rPr>
        <w:t xml:space="preserve"> </w:t>
      </w:r>
      <w:r>
        <w:rPr>
          <w:b/>
        </w:rPr>
        <w:t>available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affordable</w:t>
      </w:r>
      <w:r w:rsidR="003455F1">
        <w:rPr>
          <w:b/>
        </w:rPr>
        <w:t xml:space="preserve"> </w:t>
      </w:r>
      <w:r>
        <w:rPr>
          <w:b/>
        </w:rPr>
        <w:t>without</w:t>
      </w:r>
      <w:r w:rsidR="003455F1">
        <w:rPr>
          <w:b/>
        </w:rPr>
        <w:t xml:space="preserve"> </w:t>
      </w:r>
      <w:r>
        <w:rPr>
          <w:b/>
        </w:rPr>
        <w:t>discrimination.</w:t>
      </w:r>
    </w:p>
    <w:p w14:paraId="46E48995" w14:textId="3609DAAB" w:rsidR="00866BF2" w:rsidRDefault="00866BF2" w:rsidP="00866BF2">
      <w:pPr>
        <w:pStyle w:val="H23G"/>
      </w:pPr>
      <w:r>
        <w:tab/>
      </w:r>
      <w:r>
        <w:tab/>
      </w:r>
      <w:r w:rsidR="00E06F94">
        <w:t>Right</w:t>
      </w:r>
      <w:r w:rsidR="003455F1">
        <w:t xml:space="preserve"> </w:t>
      </w:r>
      <w:r w:rsidR="00E06F94">
        <w:t>to</w:t>
      </w:r>
      <w:r w:rsidR="003455F1">
        <w:t xml:space="preserve"> </w:t>
      </w:r>
      <w:r w:rsidR="00E06F94">
        <w:t>education</w:t>
      </w:r>
    </w:p>
    <w:p w14:paraId="61D9C8DD" w14:textId="40EEEF2D" w:rsidR="00E06F94" w:rsidRPr="001F49A2" w:rsidRDefault="00E06F94" w:rsidP="00E06F94">
      <w:pPr>
        <w:pStyle w:val="SingleTxtG"/>
        <w:rPr>
          <w:rFonts w:eastAsia="Times New Roman"/>
          <w:lang w:val="en-US"/>
        </w:rPr>
      </w:pPr>
      <w:r>
        <w:t>52.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notes</w:t>
      </w:r>
      <w:r w:rsidR="003455F1">
        <w:t xml:space="preserve"> </w:t>
      </w:r>
      <w:r>
        <w:t>with</w:t>
      </w:r>
      <w:r w:rsidR="003455F1">
        <w:t xml:space="preserve"> </w:t>
      </w:r>
      <w:r>
        <w:t>concern</w:t>
      </w:r>
      <w:r w:rsidR="003455F1">
        <w:t xml:space="preserve"> </w:t>
      </w:r>
      <w:r>
        <w:t>the</w:t>
      </w:r>
      <w:r w:rsidR="003455F1">
        <w:t xml:space="preserve"> </w:t>
      </w:r>
      <w:r>
        <w:t>high</w:t>
      </w:r>
      <w:r w:rsidR="003455F1">
        <w:t xml:space="preserve"> </w:t>
      </w:r>
      <w:r>
        <w:t>dropout</w:t>
      </w:r>
      <w:r w:rsidR="003455F1">
        <w:t xml:space="preserve"> </w:t>
      </w:r>
      <w:r>
        <w:t>rate</w:t>
      </w:r>
      <w:r w:rsidR="003455F1">
        <w:t xml:space="preserve"> </w:t>
      </w:r>
      <w:r>
        <w:t>among</w:t>
      </w:r>
      <w:r w:rsidR="003455F1">
        <w:t xml:space="preserve"> </w:t>
      </w:r>
      <w:r>
        <w:t>girls,</w:t>
      </w:r>
      <w:r w:rsidR="003455F1">
        <w:t xml:space="preserve"> </w:t>
      </w:r>
      <w:r>
        <w:t>especially</w:t>
      </w:r>
      <w:r w:rsidR="003455F1">
        <w:t xml:space="preserve"> </w:t>
      </w:r>
      <w:r>
        <w:t>in</w:t>
      </w:r>
      <w:r w:rsidR="003455F1">
        <w:t xml:space="preserve"> </w:t>
      </w:r>
      <w:r>
        <w:t>rural</w:t>
      </w:r>
      <w:r w:rsidR="003455F1">
        <w:t xml:space="preserve"> </w:t>
      </w:r>
      <w:r>
        <w:t>areas,</w:t>
      </w:r>
      <w:r w:rsidR="003455F1">
        <w:t xml:space="preserve"> </w:t>
      </w:r>
      <w:r>
        <w:t>since</w:t>
      </w:r>
      <w:r w:rsidR="003455F1">
        <w:t xml:space="preserve"> </w:t>
      </w:r>
      <w:r>
        <w:t>they</w:t>
      </w:r>
      <w:r w:rsidR="003455F1">
        <w:t xml:space="preserve"> </w:t>
      </w:r>
      <w:r>
        <w:t>cannot</w:t>
      </w:r>
      <w:r w:rsidR="003455F1">
        <w:t xml:space="preserve"> </w:t>
      </w:r>
      <w:r>
        <w:t>continue</w:t>
      </w:r>
      <w:r w:rsidR="003455F1">
        <w:t xml:space="preserve"> </w:t>
      </w:r>
      <w:r>
        <w:t>their</w:t>
      </w:r>
      <w:r w:rsidR="003455F1">
        <w:t xml:space="preserve"> </w:t>
      </w:r>
      <w:r>
        <w:t>studies</w:t>
      </w:r>
      <w:r w:rsidR="003455F1">
        <w:t xml:space="preserve"> </w:t>
      </w:r>
      <w:r>
        <w:t>due</w:t>
      </w:r>
      <w:r w:rsidR="003455F1">
        <w:t xml:space="preserve"> </w:t>
      </w:r>
      <w:r>
        <w:t>to</w:t>
      </w:r>
      <w:r w:rsidR="003455F1">
        <w:t xml:space="preserve"> </w:t>
      </w:r>
      <w:r>
        <w:t>early</w:t>
      </w:r>
      <w:r w:rsidR="003455F1">
        <w:t xml:space="preserve"> </w:t>
      </w:r>
      <w:r>
        <w:t>pregnancy,</w:t>
      </w:r>
      <w:r w:rsidR="003455F1">
        <w:t xml:space="preserve"> </w:t>
      </w:r>
      <w:r>
        <w:t>as</w:t>
      </w:r>
      <w:r w:rsidR="003455F1">
        <w:t xml:space="preserve"> </w:t>
      </w:r>
      <w:r>
        <w:t>well</w:t>
      </w:r>
      <w:r w:rsidR="003455F1">
        <w:t xml:space="preserve"> </w:t>
      </w:r>
      <w:r w:rsidRPr="009E7C3F">
        <w:t>as</w:t>
      </w:r>
      <w:r w:rsidR="003455F1">
        <w:t xml:space="preserve"> </w:t>
      </w:r>
      <w:r w:rsidRPr="009E7C3F">
        <w:t>the</w:t>
      </w:r>
      <w:r w:rsidR="003455F1">
        <w:t xml:space="preserve"> </w:t>
      </w:r>
      <w:r w:rsidRPr="009E7C3F">
        <w:t>lack</w:t>
      </w:r>
      <w:r w:rsidR="003455F1">
        <w:t xml:space="preserve"> </w:t>
      </w:r>
      <w:r w:rsidRPr="009E7C3F">
        <w:t>of</w:t>
      </w:r>
      <w:r w:rsidR="003455F1">
        <w:t xml:space="preserve"> </w:t>
      </w:r>
      <w:r w:rsidRPr="009E7C3F">
        <w:t>appropriate</w:t>
      </w:r>
      <w:r w:rsidR="003455F1">
        <w:t xml:space="preserve"> </w:t>
      </w:r>
      <w:r w:rsidRPr="009E7C3F">
        <w:t>sexual</w:t>
      </w:r>
      <w:r w:rsidR="003455F1">
        <w:t xml:space="preserve"> </w:t>
      </w:r>
      <w:r w:rsidRPr="009E7C3F">
        <w:t>and</w:t>
      </w:r>
      <w:r w:rsidR="003455F1">
        <w:t xml:space="preserve"> </w:t>
      </w:r>
      <w:r w:rsidRPr="009E7C3F">
        <w:t>reproductive</w:t>
      </w:r>
      <w:r w:rsidR="003455F1">
        <w:t xml:space="preserve"> </w:t>
      </w:r>
      <w:r w:rsidRPr="009E7C3F">
        <w:t>education</w:t>
      </w:r>
      <w:r w:rsidR="003455F1">
        <w:t xml:space="preserve"> </w:t>
      </w:r>
      <w:r w:rsidRPr="009E7C3F">
        <w:t>programmes</w:t>
      </w:r>
      <w:r>
        <w:t>.</w:t>
      </w:r>
      <w:r w:rsidR="003455F1">
        <w:t xml:space="preserve"> </w:t>
      </w:r>
      <w:r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that</w:t>
      </w:r>
      <w:r w:rsidR="003455F1">
        <w:t xml:space="preserve"> </w:t>
      </w:r>
      <w:r>
        <w:t>illiteracy</w:t>
      </w:r>
      <w:r w:rsidR="003455F1">
        <w:t xml:space="preserve"> </w:t>
      </w:r>
      <w:r>
        <w:t>remains</w:t>
      </w:r>
      <w:r w:rsidR="003455F1">
        <w:t xml:space="preserve"> </w:t>
      </w:r>
      <w:r>
        <w:t>high,</w:t>
      </w:r>
      <w:r w:rsidR="003455F1">
        <w:t xml:space="preserve"> </w:t>
      </w:r>
      <w:r>
        <w:t>particularly</w:t>
      </w:r>
      <w:r w:rsidR="003455F1">
        <w:t xml:space="preserve"> </w:t>
      </w:r>
      <w:r>
        <w:t>among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3455F1">
        <w:t xml:space="preserve"> </w:t>
      </w:r>
      <w:r>
        <w:t>(arts.</w:t>
      </w:r>
      <w:r w:rsidR="003455F1">
        <w:t xml:space="preserve"> </w:t>
      </w:r>
      <w:r>
        <w:t>13</w:t>
      </w:r>
      <w:r w:rsidR="003455F1">
        <w:t xml:space="preserve"> </w:t>
      </w:r>
      <w:r>
        <w:t>and</w:t>
      </w:r>
      <w:r w:rsidR="003455F1">
        <w:t xml:space="preserve"> </w:t>
      </w:r>
      <w:r>
        <w:t>14).</w:t>
      </w:r>
    </w:p>
    <w:p w14:paraId="4B21AFE9" w14:textId="0A24D78F" w:rsidR="00866BF2" w:rsidRDefault="00E06F94" w:rsidP="00E06F94">
      <w:pPr>
        <w:pStyle w:val="SingleTxtG"/>
      </w:pPr>
      <w:r>
        <w:t>53.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party:</w:t>
      </w:r>
    </w:p>
    <w:p w14:paraId="1D632FCA" w14:textId="10AF162B" w:rsidR="00866BF2" w:rsidRDefault="005E5272" w:rsidP="00E06F94">
      <w:pPr>
        <w:pStyle w:val="SingleTxtG"/>
      </w:pPr>
      <w:r>
        <w:tab/>
      </w:r>
      <w:r w:rsidR="00E06F94" w:rsidRPr="00307B75">
        <w:t>(a)</w:t>
      </w:r>
      <w:r w:rsidR="00E06F94">
        <w:tab/>
      </w:r>
      <w:r w:rsidR="00E06F94">
        <w:rPr>
          <w:b/>
        </w:rPr>
        <w:t>Take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measures</w:t>
      </w:r>
      <w:r w:rsidR="003455F1">
        <w:rPr>
          <w:b/>
        </w:rPr>
        <w:t xml:space="preserve"> </w:t>
      </w:r>
      <w:r w:rsidR="00E06F94">
        <w:rPr>
          <w:b/>
        </w:rPr>
        <w:t>necessary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reduce</w:t>
      </w:r>
      <w:r w:rsidR="003455F1">
        <w:rPr>
          <w:b/>
        </w:rPr>
        <w:t xml:space="preserve"> </w:t>
      </w:r>
      <w:r w:rsidR="00E06F94">
        <w:rPr>
          <w:b/>
        </w:rPr>
        <w:t>the</w:t>
      </w:r>
      <w:r w:rsidR="003455F1">
        <w:rPr>
          <w:b/>
        </w:rPr>
        <w:t xml:space="preserve"> </w:t>
      </w:r>
      <w:r w:rsidR="00E06F94">
        <w:rPr>
          <w:b/>
        </w:rPr>
        <w:t>high,</w:t>
      </w:r>
      <w:r w:rsidR="003455F1">
        <w:rPr>
          <w:b/>
        </w:rPr>
        <w:t xml:space="preserve"> </w:t>
      </w:r>
      <w:r w:rsidR="00E06F94">
        <w:rPr>
          <w:b/>
        </w:rPr>
        <w:t>early</w:t>
      </w:r>
      <w:r w:rsidR="003455F1">
        <w:rPr>
          <w:b/>
        </w:rPr>
        <w:t xml:space="preserve"> </w:t>
      </w:r>
      <w:r w:rsidR="00E06F94">
        <w:rPr>
          <w:b/>
        </w:rPr>
        <w:t>pregnancy-related</w:t>
      </w:r>
      <w:r w:rsidR="003455F1">
        <w:rPr>
          <w:b/>
        </w:rPr>
        <w:t xml:space="preserve"> </w:t>
      </w:r>
      <w:r w:rsidR="00E06F94">
        <w:rPr>
          <w:b/>
        </w:rPr>
        <w:t>dropout</w:t>
      </w:r>
      <w:r w:rsidR="003455F1">
        <w:rPr>
          <w:b/>
        </w:rPr>
        <w:t xml:space="preserve"> </w:t>
      </w:r>
      <w:r w:rsidR="00E06F94">
        <w:rPr>
          <w:b/>
        </w:rPr>
        <w:t>rate</w:t>
      </w:r>
      <w:r w:rsidR="003455F1">
        <w:rPr>
          <w:b/>
        </w:rPr>
        <w:t xml:space="preserve"> </w:t>
      </w:r>
      <w:r w:rsidR="00E06F94">
        <w:rPr>
          <w:b/>
        </w:rPr>
        <w:t>among</w:t>
      </w:r>
      <w:r w:rsidR="003455F1">
        <w:rPr>
          <w:b/>
        </w:rPr>
        <w:t xml:space="preserve"> </w:t>
      </w:r>
      <w:r w:rsidR="00E06F94">
        <w:rPr>
          <w:b/>
        </w:rPr>
        <w:t>girls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guarantee</w:t>
      </w:r>
      <w:r w:rsidR="003455F1">
        <w:rPr>
          <w:b/>
        </w:rPr>
        <w:t xml:space="preserve"> </w:t>
      </w:r>
      <w:r w:rsidR="00E06F94">
        <w:rPr>
          <w:b/>
        </w:rPr>
        <w:t>their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education;</w:t>
      </w:r>
    </w:p>
    <w:p w14:paraId="3AADCBC1" w14:textId="088E5718" w:rsidR="00866BF2" w:rsidRDefault="005E5272" w:rsidP="00E06F94">
      <w:pPr>
        <w:pStyle w:val="SingleTxtG"/>
      </w:pPr>
      <w:r>
        <w:tab/>
      </w:r>
      <w:r w:rsidR="00E06F94" w:rsidRPr="00307B75">
        <w:t>(b)</w:t>
      </w:r>
      <w:r w:rsidR="00E06F94">
        <w:tab/>
      </w:r>
      <w:r w:rsidR="00E06F94">
        <w:rPr>
          <w:b/>
        </w:rPr>
        <w:t>Introduce</w:t>
      </w:r>
      <w:r w:rsidR="003455F1">
        <w:rPr>
          <w:b/>
        </w:rPr>
        <w:t xml:space="preserve"> </w:t>
      </w:r>
      <w:r w:rsidR="00E06F94">
        <w:rPr>
          <w:b/>
        </w:rPr>
        <w:t>comprehensive,</w:t>
      </w:r>
      <w:r w:rsidR="003455F1">
        <w:rPr>
          <w:b/>
        </w:rPr>
        <w:t xml:space="preserve"> </w:t>
      </w:r>
      <w:r w:rsidR="00E06F94">
        <w:rPr>
          <w:b/>
        </w:rPr>
        <w:t>age-appropriate</w:t>
      </w:r>
      <w:r w:rsidR="003455F1">
        <w:rPr>
          <w:b/>
        </w:rPr>
        <w:t xml:space="preserve"> </w:t>
      </w:r>
      <w:r w:rsidR="00E06F94">
        <w:rPr>
          <w:b/>
        </w:rPr>
        <w:t>sexual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reproductive</w:t>
      </w:r>
      <w:r w:rsidR="003455F1">
        <w:rPr>
          <w:b/>
        </w:rPr>
        <w:t xml:space="preserve"> </w:t>
      </w:r>
      <w:r w:rsidR="00E06F94">
        <w:rPr>
          <w:b/>
        </w:rPr>
        <w:t>health</w:t>
      </w:r>
      <w:r w:rsidR="003455F1">
        <w:rPr>
          <w:b/>
        </w:rPr>
        <w:t xml:space="preserve"> </w:t>
      </w:r>
      <w:r w:rsidR="00E06F94">
        <w:rPr>
          <w:b/>
        </w:rPr>
        <w:t>education</w:t>
      </w:r>
      <w:r w:rsidR="003455F1">
        <w:rPr>
          <w:b/>
        </w:rPr>
        <w:t xml:space="preserve"> </w:t>
      </w:r>
      <w:r w:rsidR="00E06F94">
        <w:rPr>
          <w:b/>
        </w:rPr>
        <w:t>for</w:t>
      </w:r>
      <w:r w:rsidR="003455F1">
        <w:rPr>
          <w:b/>
        </w:rPr>
        <w:t xml:space="preserve"> </w:t>
      </w:r>
      <w:r w:rsidR="00E06F94">
        <w:rPr>
          <w:b/>
        </w:rPr>
        <w:t>both</w:t>
      </w:r>
      <w:r w:rsidR="003455F1">
        <w:rPr>
          <w:b/>
        </w:rPr>
        <w:t xml:space="preserve"> </w:t>
      </w:r>
      <w:r w:rsidR="00E06F94">
        <w:rPr>
          <w:b/>
        </w:rPr>
        <w:t>genders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primary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secondary</w:t>
      </w:r>
      <w:r w:rsidR="003455F1">
        <w:rPr>
          <w:b/>
        </w:rPr>
        <w:t xml:space="preserve"> </w:t>
      </w:r>
      <w:r w:rsidR="00E06F94">
        <w:rPr>
          <w:b/>
        </w:rPr>
        <w:t>curricula;</w:t>
      </w:r>
    </w:p>
    <w:p w14:paraId="03203F95" w14:textId="54DBF46F" w:rsidR="00866BF2" w:rsidRDefault="005E5272" w:rsidP="00E06F94">
      <w:pPr>
        <w:pStyle w:val="SingleTxtG"/>
      </w:pPr>
      <w:r>
        <w:tab/>
      </w:r>
      <w:r w:rsidR="00E06F94" w:rsidRPr="00307B75">
        <w:t>(c)</w:t>
      </w:r>
      <w:r w:rsidR="00E06F94" w:rsidRPr="004442A9">
        <w:rPr>
          <w:b/>
        </w:rPr>
        <w:tab/>
      </w:r>
      <w:r w:rsidR="00E06F94">
        <w:rPr>
          <w:b/>
        </w:rPr>
        <w:t>Redouble</w:t>
      </w:r>
      <w:r w:rsidR="003455F1">
        <w:rPr>
          <w:b/>
        </w:rPr>
        <w:t xml:space="preserve"> </w:t>
      </w:r>
      <w:r w:rsidR="00E06F94">
        <w:rPr>
          <w:b/>
        </w:rPr>
        <w:t>its</w:t>
      </w:r>
      <w:r w:rsidR="003455F1">
        <w:rPr>
          <w:b/>
        </w:rPr>
        <w:t xml:space="preserve"> </w:t>
      </w:r>
      <w:r w:rsidR="00E06F94">
        <w:rPr>
          <w:b/>
        </w:rPr>
        <w:t>efforts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ensure</w:t>
      </w:r>
      <w:r w:rsidR="003455F1">
        <w:rPr>
          <w:b/>
        </w:rPr>
        <w:t xml:space="preserve"> </w:t>
      </w:r>
      <w:r w:rsidR="00E06F94">
        <w:rPr>
          <w:b/>
        </w:rPr>
        <w:t>that</w:t>
      </w:r>
      <w:r w:rsidR="003455F1">
        <w:rPr>
          <w:b/>
        </w:rPr>
        <w:t xml:space="preserve"> </w:t>
      </w:r>
      <w:r w:rsidR="00E06F94">
        <w:rPr>
          <w:b/>
        </w:rPr>
        <w:t>all</w:t>
      </w:r>
      <w:r w:rsidR="003455F1">
        <w:rPr>
          <w:b/>
        </w:rPr>
        <w:t xml:space="preserve"> </w:t>
      </w:r>
      <w:r w:rsidR="00E06F94">
        <w:rPr>
          <w:b/>
        </w:rPr>
        <w:t>children,</w:t>
      </w:r>
      <w:r w:rsidR="003455F1">
        <w:rPr>
          <w:b/>
        </w:rPr>
        <w:t xml:space="preserve"> </w:t>
      </w:r>
      <w:r w:rsidR="00E06F94">
        <w:rPr>
          <w:b/>
        </w:rPr>
        <w:t>adolescents</w:t>
      </w:r>
      <w:r w:rsidR="003455F1">
        <w:rPr>
          <w:b/>
        </w:rPr>
        <w:t xml:space="preserve"> </w:t>
      </w:r>
      <w:r w:rsidR="00E06F94">
        <w:rPr>
          <w:b/>
        </w:rPr>
        <w:t>and</w:t>
      </w:r>
      <w:r w:rsidR="003455F1">
        <w:rPr>
          <w:b/>
        </w:rPr>
        <w:t xml:space="preserve"> </w:t>
      </w:r>
      <w:r w:rsidR="00E06F94">
        <w:rPr>
          <w:b/>
        </w:rPr>
        <w:t>adults</w:t>
      </w:r>
      <w:r w:rsidR="003455F1">
        <w:rPr>
          <w:b/>
        </w:rPr>
        <w:t xml:space="preserve"> </w:t>
      </w:r>
      <w:r w:rsidR="00E06F94">
        <w:rPr>
          <w:b/>
        </w:rPr>
        <w:t>without</w:t>
      </w:r>
      <w:r w:rsidR="003455F1">
        <w:rPr>
          <w:b/>
        </w:rPr>
        <w:t xml:space="preserve"> </w:t>
      </w:r>
      <w:r w:rsidR="00E06F94">
        <w:rPr>
          <w:b/>
        </w:rPr>
        <w:t>a</w:t>
      </w:r>
      <w:r w:rsidR="003455F1">
        <w:rPr>
          <w:b/>
        </w:rPr>
        <w:t xml:space="preserve"> </w:t>
      </w:r>
      <w:r w:rsidR="00E06F94">
        <w:rPr>
          <w:b/>
        </w:rPr>
        <w:t>basic</w:t>
      </w:r>
      <w:r w:rsidR="003455F1">
        <w:rPr>
          <w:b/>
        </w:rPr>
        <w:t xml:space="preserve"> </w:t>
      </w:r>
      <w:r w:rsidR="00E06F94">
        <w:rPr>
          <w:b/>
        </w:rPr>
        <w:t>education</w:t>
      </w:r>
      <w:r w:rsidR="003455F1">
        <w:rPr>
          <w:b/>
        </w:rPr>
        <w:t xml:space="preserve"> </w:t>
      </w:r>
      <w:r w:rsidR="00E06F94">
        <w:rPr>
          <w:b/>
        </w:rPr>
        <w:t>have</w:t>
      </w:r>
      <w:r w:rsidR="003455F1">
        <w:rPr>
          <w:b/>
        </w:rPr>
        <w:t xml:space="preserve"> </w:t>
      </w:r>
      <w:r w:rsidR="00E06F94">
        <w:rPr>
          <w:b/>
        </w:rPr>
        <w:t>access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education</w:t>
      </w:r>
      <w:r w:rsidR="003455F1">
        <w:rPr>
          <w:b/>
        </w:rPr>
        <w:t xml:space="preserve"> </w:t>
      </w:r>
      <w:r w:rsidR="00E06F94">
        <w:rPr>
          <w:b/>
        </w:rPr>
        <w:t>in</w:t>
      </w:r>
      <w:r w:rsidR="003455F1">
        <w:rPr>
          <w:b/>
        </w:rPr>
        <w:t xml:space="preserve"> </w:t>
      </w:r>
      <w:r w:rsidR="00E06F94">
        <w:rPr>
          <w:b/>
        </w:rPr>
        <w:t>order</w:t>
      </w:r>
      <w:r w:rsidR="003455F1">
        <w:rPr>
          <w:b/>
        </w:rPr>
        <w:t xml:space="preserve"> </w:t>
      </w:r>
      <w:r w:rsidR="00E06F94">
        <w:rPr>
          <w:b/>
        </w:rPr>
        <w:t>to</w:t>
      </w:r>
      <w:r w:rsidR="003455F1">
        <w:rPr>
          <w:b/>
        </w:rPr>
        <w:t xml:space="preserve"> </w:t>
      </w:r>
      <w:r w:rsidR="00E06F94">
        <w:rPr>
          <w:b/>
        </w:rPr>
        <w:t>reduce</w:t>
      </w:r>
      <w:r w:rsidR="003455F1">
        <w:rPr>
          <w:b/>
        </w:rPr>
        <w:t xml:space="preserve"> </w:t>
      </w:r>
      <w:r w:rsidR="00E06F94">
        <w:rPr>
          <w:b/>
        </w:rPr>
        <w:t>illiteracy.</w:t>
      </w:r>
    </w:p>
    <w:p w14:paraId="6D771116" w14:textId="641EE767" w:rsidR="00866BF2" w:rsidRDefault="005E5272" w:rsidP="005E5272">
      <w:pPr>
        <w:pStyle w:val="H23G"/>
      </w:pPr>
      <w:r>
        <w:tab/>
      </w:r>
      <w:r>
        <w:tab/>
      </w:r>
      <w:r w:rsidR="00E06F94">
        <w:t>Cultural</w:t>
      </w:r>
      <w:r w:rsidR="003455F1">
        <w:t xml:space="preserve"> </w:t>
      </w:r>
      <w:r w:rsidR="00E06F94">
        <w:t>rights</w:t>
      </w:r>
    </w:p>
    <w:p w14:paraId="1E343B8E" w14:textId="2F1C9CFE" w:rsidR="00E06F94" w:rsidRPr="001F49A2" w:rsidRDefault="00E06F94" w:rsidP="00E06F94">
      <w:pPr>
        <w:pStyle w:val="SingleTxtG"/>
        <w:rPr>
          <w:lang w:val="en-US"/>
        </w:rPr>
      </w:pPr>
      <w:r>
        <w:t>54.</w:t>
      </w:r>
      <w:r>
        <w:tab/>
        <w:t>The</w:t>
      </w:r>
      <w:r w:rsidR="003455F1">
        <w:t xml:space="preserve"> </w:t>
      </w:r>
      <w:r>
        <w:t>Committee</w:t>
      </w:r>
      <w:r w:rsidR="003455F1">
        <w:t xml:space="preserve"> </w:t>
      </w:r>
      <w:r>
        <w:t>is</w:t>
      </w:r>
      <w:r w:rsidR="003455F1">
        <w:t xml:space="preserve"> </w:t>
      </w:r>
      <w:r>
        <w:t>concerned</w:t>
      </w:r>
      <w:r w:rsidR="003455F1">
        <w:t xml:space="preserve"> </w:t>
      </w:r>
      <w:r>
        <w:t>at</w:t>
      </w:r>
      <w:r w:rsidR="003455F1">
        <w:t xml:space="preserve"> </w:t>
      </w:r>
      <w:r>
        <w:t>the</w:t>
      </w:r>
      <w:r w:rsidR="003455F1">
        <w:t xml:space="preserve"> </w:t>
      </w:r>
      <w:r>
        <w:t>continuous</w:t>
      </w:r>
      <w:r w:rsidR="003455F1">
        <w:t xml:space="preserve"> </w:t>
      </w:r>
      <w:r>
        <w:t>persecution</w:t>
      </w:r>
      <w:r w:rsidR="003455F1">
        <w:t xml:space="preserve"> </w:t>
      </w:r>
      <w:r>
        <w:t>of</w:t>
      </w:r>
      <w:r w:rsidR="003455F1">
        <w:t xml:space="preserve"> </w:t>
      </w:r>
      <w:r>
        <w:t>community-based</w:t>
      </w:r>
      <w:r w:rsidR="003455F1">
        <w:t xml:space="preserve"> </w:t>
      </w:r>
      <w:r>
        <w:t>Indigenous</w:t>
      </w:r>
      <w:r w:rsidR="003455F1">
        <w:t xml:space="preserve"> </w:t>
      </w:r>
      <w:r>
        <w:t>radio</w:t>
      </w:r>
      <w:r w:rsidR="003455F1">
        <w:t xml:space="preserve"> </w:t>
      </w:r>
      <w:r>
        <w:t>stations</w:t>
      </w:r>
      <w:r w:rsidR="003455F1">
        <w:t xml:space="preserve"> </w:t>
      </w:r>
      <w:r>
        <w:t>in</w:t>
      </w:r>
      <w:r w:rsidR="003455F1">
        <w:t xml:space="preserve"> </w:t>
      </w:r>
      <w:r>
        <w:t>the</w:t>
      </w:r>
      <w:r w:rsidR="003455F1">
        <w:t xml:space="preserve"> </w:t>
      </w:r>
      <w:r>
        <w:t>State</w:t>
      </w:r>
      <w:r w:rsidR="003455F1">
        <w:t xml:space="preserve"> </w:t>
      </w:r>
      <w:r>
        <w:t>party,</w:t>
      </w:r>
      <w:r w:rsidR="003455F1">
        <w:t xml:space="preserve"> </w:t>
      </w:r>
      <w:r>
        <w:t>which</w:t>
      </w:r>
      <w:r w:rsidR="003455F1">
        <w:t xml:space="preserve"> </w:t>
      </w:r>
      <w:r>
        <w:t>significantly</w:t>
      </w:r>
      <w:r w:rsidR="003455F1">
        <w:t xml:space="preserve"> </w:t>
      </w:r>
      <w:r>
        <w:t>curbs</w:t>
      </w:r>
      <w:r w:rsidR="003455F1">
        <w:t xml:space="preserve"> </w:t>
      </w:r>
      <w:r>
        <w:t>Indigenous</w:t>
      </w:r>
      <w:r w:rsidR="003455F1">
        <w:t xml:space="preserve"> </w:t>
      </w:r>
      <w:r>
        <w:t>Peoples</w:t>
      </w:r>
      <w:r w:rsidR="00866BF2">
        <w:t>’</w:t>
      </w:r>
      <w:r w:rsidR="003455F1">
        <w:t xml:space="preserve"> </w:t>
      </w:r>
      <w:r>
        <w:t>enjoyment</w:t>
      </w:r>
      <w:r w:rsidR="003455F1">
        <w:t xml:space="preserve"> </w:t>
      </w:r>
      <w:r>
        <w:t>of</w:t>
      </w:r>
      <w:r w:rsidR="003455F1">
        <w:t xml:space="preserve"> </w:t>
      </w:r>
      <w:r>
        <w:t>freedom</w:t>
      </w:r>
      <w:r w:rsidR="003455F1">
        <w:t xml:space="preserve"> </w:t>
      </w:r>
      <w:r>
        <w:t>of</w:t>
      </w:r>
      <w:r w:rsidR="003455F1">
        <w:t xml:space="preserve"> </w:t>
      </w:r>
      <w:r>
        <w:t>expression</w:t>
      </w:r>
      <w:r w:rsidR="003455F1">
        <w:t xml:space="preserve"> </w:t>
      </w:r>
      <w:r>
        <w:t>and</w:t>
      </w:r>
      <w:r w:rsidR="003455F1">
        <w:t xml:space="preserve"> </w:t>
      </w:r>
      <w:r>
        <w:t>cultural</w:t>
      </w:r>
      <w:r w:rsidR="003455F1">
        <w:t xml:space="preserve"> </w:t>
      </w:r>
      <w:r>
        <w:t>rights.</w:t>
      </w:r>
    </w:p>
    <w:p w14:paraId="5F858032" w14:textId="1EAEF9A2" w:rsidR="00866BF2" w:rsidRDefault="00E06F94" w:rsidP="00E06F94">
      <w:pPr>
        <w:pStyle w:val="SingleTxtG"/>
      </w:pPr>
      <w:r>
        <w:t>55.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adopt,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involvement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Indigenous</w:t>
      </w:r>
      <w:r w:rsidR="003455F1">
        <w:rPr>
          <w:b/>
        </w:rPr>
        <w:t xml:space="preserve"> </w:t>
      </w:r>
      <w:r>
        <w:rPr>
          <w:b/>
        </w:rPr>
        <w:t>Peoples,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legal</w:t>
      </w:r>
      <w:r w:rsidR="003455F1">
        <w:rPr>
          <w:b/>
        </w:rPr>
        <w:t xml:space="preserve"> </w:t>
      </w:r>
      <w:r>
        <w:rPr>
          <w:b/>
        </w:rPr>
        <w:t>framework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community-based</w:t>
      </w:r>
      <w:r w:rsidR="003455F1">
        <w:rPr>
          <w:b/>
        </w:rPr>
        <w:t xml:space="preserve"> </w:t>
      </w:r>
      <w:r>
        <w:rPr>
          <w:b/>
        </w:rPr>
        <w:t>media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respects</w:t>
      </w:r>
      <w:r w:rsidR="003455F1">
        <w:rPr>
          <w:b/>
        </w:rPr>
        <w:t xml:space="preserve"> </w:t>
      </w:r>
      <w:r>
        <w:rPr>
          <w:b/>
        </w:rPr>
        <w:t>their</w:t>
      </w:r>
      <w:r w:rsidR="003455F1">
        <w:rPr>
          <w:b/>
        </w:rPr>
        <w:t xml:space="preserve"> </w:t>
      </w:r>
      <w:r>
        <w:rPr>
          <w:b/>
        </w:rPr>
        <w:t>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part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cultural</w:t>
      </w:r>
      <w:r w:rsidR="003455F1">
        <w:rPr>
          <w:b/>
        </w:rPr>
        <w:t xml:space="preserve"> </w:t>
      </w:r>
      <w:r>
        <w:rPr>
          <w:b/>
        </w:rPr>
        <w:t>life.</w:t>
      </w:r>
      <w:r w:rsidR="003455F1"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also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prevent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arbitrary</w:t>
      </w:r>
      <w:r w:rsidR="003455F1">
        <w:rPr>
          <w:b/>
        </w:rPr>
        <w:t xml:space="preserve"> </w:t>
      </w:r>
      <w:r>
        <w:rPr>
          <w:b/>
        </w:rPr>
        <w:t>use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criminal</w:t>
      </w:r>
      <w:r w:rsidR="003455F1">
        <w:rPr>
          <w:b/>
        </w:rPr>
        <w:t xml:space="preserve"> </w:t>
      </w:r>
      <w:r>
        <w:rPr>
          <w:b/>
        </w:rPr>
        <w:t>law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prosecute</w:t>
      </w:r>
      <w:r w:rsidR="003455F1">
        <w:rPr>
          <w:b/>
        </w:rPr>
        <w:t xml:space="preserve"> </w:t>
      </w:r>
      <w:r>
        <w:rPr>
          <w:b/>
        </w:rPr>
        <w:t>operators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community-based</w:t>
      </w:r>
      <w:r w:rsidR="003455F1">
        <w:rPr>
          <w:b/>
        </w:rPr>
        <w:t xml:space="preserve"> </w:t>
      </w:r>
      <w:r>
        <w:rPr>
          <w:b/>
        </w:rPr>
        <w:t>Indigenous</w:t>
      </w:r>
      <w:r w:rsidR="003455F1">
        <w:rPr>
          <w:b/>
        </w:rPr>
        <w:t xml:space="preserve"> </w:t>
      </w:r>
      <w:r>
        <w:rPr>
          <w:b/>
        </w:rPr>
        <w:t>radio</w:t>
      </w:r>
      <w:r w:rsidR="003455F1">
        <w:rPr>
          <w:b/>
        </w:rPr>
        <w:t xml:space="preserve"> </w:t>
      </w:r>
      <w:r>
        <w:rPr>
          <w:b/>
        </w:rPr>
        <w:t>stations.</w:t>
      </w:r>
      <w:r w:rsidR="003455F1">
        <w:t xml:space="preserve"> </w:t>
      </w:r>
      <w:r>
        <w:rPr>
          <w:b/>
        </w:rPr>
        <w:t>Lastly,</w:t>
      </w:r>
      <w:r w:rsidR="003455F1">
        <w:rPr>
          <w:b/>
        </w:rPr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urges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measures</w:t>
      </w:r>
      <w:r w:rsidR="003455F1">
        <w:rPr>
          <w:b/>
        </w:rPr>
        <w:t xml:space="preserve"> </w:t>
      </w:r>
      <w:r>
        <w:rPr>
          <w:b/>
        </w:rPr>
        <w:t>necessary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comply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judgment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case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  <w:i/>
          <w:iCs/>
        </w:rPr>
        <w:t>Maya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Kaqchikel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Indigenous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Peoples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of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Sumpango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et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al.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v.</w:t>
      </w:r>
      <w:r w:rsidR="003455F1">
        <w:rPr>
          <w:b/>
          <w:i/>
          <w:iCs/>
        </w:rPr>
        <w:t xml:space="preserve"> </w:t>
      </w:r>
      <w:r>
        <w:rPr>
          <w:b/>
          <w:i/>
          <w:iCs/>
        </w:rPr>
        <w:t>Guatemala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6</w:t>
      </w:r>
      <w:r w:rsidR="003455F1">
        <w:rPr>
          <w:b/>
        </w:rPr>
        <w:t xml:space="preserve"> </w:t>
      </w:r>
      <w:r>
        <w:rPr>
          <w:b/>
        </w:rPr>
        <w:t>October</w:t>
      </w:r>
      <w:r w:rsidR="003455F1">
        <w:rPr>
          <w:b/>
        </w:rPr>
        <w:t xml:space="preserve"> </w:t>
      </w:r>
      <w:r>
        <w:rPr>
          <w:b/>
        </w:rPr>
        <w:t>2021.</w:t>
      </w:r>
    </w:p>
    <w:p w14:paraId="4CB0BFB1" w14:textId="00FD39A4" w:rsidR="00E06F94" w:rsidRPr="001F49A2" w:rsidRDefault="005E5272" w:rsidP="005E5272">
      <w:pPr>
        <w:pStyle w:val="H1G"/>
        <w:rPr>
          <w:i/>
          <w:iCs/>
          <w:lang w:val="en-US"/>
        </w:rPr>
      </w:pPr>
      <w:r>
        <w:lastRenderedPageBreak/>
        <w:tab/>
      </w:r>
      <w:r w:rsidR="00E06F94">
        <w:t>D.</w:t>
      </w:r>
      <w:r w:rsidR="00E06F94">
        <w:tab/>
        <w:t>Other</w:t>
      </w:r>
      <w:r w:rsidR="003455F1">
        <w:t xml:space="preserve"> </w:t>
      </w:r>
      <w:r w:rsidR="00E06F94">
        <w:t>recommendations</w:t>
      </w:r>
    </w:p>
    <w:p w14:paraId="06C6C50C" w14:textId="1D3BD409" w:rsidR="00866BF2" w:rsidRDefault="00E06F94" w:rsidP="00E06F94">
      <w:pPr>
        <w:pStyle w:val="SingleTxtG"/>
      </w:pPr>
      <w:r>
        <w:t>56.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encourages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ratify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Optional</w:t>
      </w:r>
      <w:r w:rsidR="003455F1">
        <w:rPr>
          <w:b/>
        </w:rPr>
        <w:t xml:space="preserve"> </w:t>
      </w:r>
      <w:r>
        <w:rPr>
          <w:b/>
        </w:rPr>
        <w:t>Protocol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International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Economic,</w:t>
      </w:r>
      <w:r w:rsidR="003455F1">
        <w:rPr>
          <w:b/>
        </w:rPr>
        <w:t xml:space="preserve"> </w:t>
      </w:r>
      <w:r>
        <w:rPr>
          <w:b/>
        </w:rPr>
        <w:t>Social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Cultural</w:t>
      </w:r>
      <w:r w:rsidR="003455F1">
        <w:rPr>
          <w:b/>
        </w:rPr>
        <w:t xml:space="preserve"> </w:t>
      </w:r>
      <w:r>
        <w:rPr>
          <w:b/>
        </w:rPr>
        <w:t>Rights.</w:t>
      </w:r>
    </w:p>
    <w:p w14:paraId="21FADCDB" w14:textId="52723EF7" w:rsidR="00866BF2" w:rsidRDefault="00E06F94" w:rsidP="00E06F94">
      <w:pPr>
        <w:pStyle w:val="SingleTxtG"/>
      </w:pPr>
      <w:r>
        <w:t>57.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consider</w:t>
      </w:r>
      <w:r w:rsidR="003455F1">
        <w:rPr>
          <w:b/>
        </w:rPr>
        <w:t xml:space="preserve"> </w:t>
      </w:r>
      <w:r>
        <w:rPr>
          <w:b/>
        </w:rPr>
        <w:t>ratifying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International</w:t>
      </w:r>
      <w:r w:rsidR="003455F1">
        <w:rPr>
          <w:b/>
        </w:rPr>
        <w:t xml:space="preserve"> </w:t>
      </w:r>
      <w:r>
        <w:rPr>
          <w:b/>
        </w:rPr>
        <w:t>Convention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Protection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Persons</w:t>
      </w:r>
      <w:r w:rsidR="003455F1">
        <w:rPr>
          <w:b/>
        </w:rPr>
        <w:t xml:space="preserve"> </w:t>
      </w:r>
      <w:r>
        <w:rPr>
          <w:b/>
        </w:rPr>
        <w:t>from</w:t>
      </w:r>
      <w:r w:rsidR="003455F1">
        <w:rPr>
          <w:b/>
        </w:rPr>
        <w:t xml:space="preserve"> </w:t>
      </w:r>
      <w:r>
        <w:rPr>
          <w:b/>
        </w:rPr>
        <w:t>Enforced</w:t>
      </w:r>
      <w:r w:rsidR="003455F1">
        <w:rPr>
          <w:b/>
        </w:rPr>
        <w:t xml:space="preserve"> </w:t>
      </w:r>
      <w:r>
        <w:rPr>
          <w:b/>
        </w:rPr>
        <w:t>Disappearance,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Second</w:t>
      </w:r>
      <w:r w:rsidR="003455F1">
        <w:rPr>
          <w:b/>
        </w:rPr>
        <w:t xml:space="preserve"> </w:t>
      </w:r>
      <w:r>
        <w:rPr>
          <w:b/>
        </w:rPr>
        <w:t>Optional</w:t>
      </w:r>
      <w:r w:rsidR="003455F1">
        <w:rPr>
          <w:b/>
        </w:rPr>
        <w:t xml:space="preserve"> </w:t>
      </w:r>
      <w:r>
        <w:rPr>
          <w:b/>
        </w:rPr>
        <w:t>Protocol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International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Civil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Political</w:t>
      </w:r>
      <w:r w:rsidR="003455F1">
        <w:rPr>
          <w:b/>
        </w:rPr>
        <w:t xml:space="preserve"> </w:t>
      </w:r>
      <w:r>
        <w:rPr>
          <w:b/>
        </w:rPr>
        <w:t>Rights,</w:t>
      </w:r>
      <w:r w:rsidR="003455F1">
        <w:rPr>
          <w:b/>
        </w:rPr>
        <w:t xml:space="preserve"> </w:t>
      </w:r>
      <w:r>
        <w:rPr>
          <w:b/>
        </w:rPr>
        <w:t>aiming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abolition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death</w:t>
      </w:r>
      <w:r w:rsidR="003455F1">
        <w:rPr>
          <w:b/>
        </w:rPr>
        <w:t xml:space="preserve"> </w:t>
      </w:r>
      <w:r>
        <w:rPr>
          <w:b/>
        </w:rPr>
        <w:t>penalty,</w:t>
      </w:r>
      <w:r w:rsidR="003455F1"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Optional</w:t>
      </w:r>
      <w:r w:rsidR="003455F1">
        <w:rPr>
          <w:b/>
        </w:rPr>
        <w:t xml:space="preserve"> </w:t>
      </w:r>
      <w:r>
        <w:rPr>
          <w:b/>
        </w:rPr>
        <w:t>Protocol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Convention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Child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communications</w:t>
      </w:r>
      <w:r w:rsidR="003455F1">
        <w:rPr>
          <w:b/>
        </w:rPr>
        <w:t xml:space="preserve"> </w:t>
      </w:r>
      <w:r>
        <w:rPr>
          <w:b/>
        </w:rPr>
        <w:t>procedure.</w:t>
      </w:r>
    </w:p>
    <w:p w14:paraId="0A9BF40D" w14:textId="7BD35514" w:rsidR="00E06F94" w:rsidRPr="001F49A2" w:rsidRDefault="00E06F94" w:rsidP="00E06F94">
      <w:pPr>
        <w:pStyle w:val="SingleTxtG"/>
        <w:rPr>
          <w:b/>
          <w:lang w:val="en-US"/>
        </w:rPr>
      </w:pPr>
      <w:r>
        <w:t>58.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recommends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take</w:t>
      </w:r>
      <w:r w:rsidR="003455F1">
        <w:rPr>
          <w:b/>
        </w:rPr>
        <w:t xml:space="preserve"> </w:t>
      </w:r>
      <w:r>
        <w:rPr>
          <w:b/>
        </w:rPr>
        <w:t>fully</w:t>
      </w:r>
      <w:r w:rsidR="003455F1">
        <w:rPr>
          <w:b/>
        </w:rPr>
        <w:t xml:space="preserve"> </w:t>
      </w:r>
      <w:r>
        <w:rPr>
          <w:b/>
        </w:rPr>
        <w:t>into</w:t>
      </w:r>
      <w:r w:rsidR="003455F1">
        <w:rPr>
          <w:b/>
        </w:rPr>
        <w:t xml:space="preserve"> </w:t>
      </w:r>
      <w:r>
        <w:rPr>
          <w:b/>
        </w:rPr>
        <w:t>account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obligations</w:t>
      </w:r>
      <w:r w:rsidR="003455F1">
        <w:rPr>
          <w:b/>
        </w:rPr>
        <w:t xml:space="preserve"> </w:t>
      </w:r>
      <w:r>
        <w:rPr>
          <w:b/>
        </w:rPr>
        <w:t>under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full</w:t>
      </w:r>
      <w:r w:rsidR="003455F1">
        <w:rPr>
          <w:b/>
        </w:rPr>
        <w:t xml:space="preserve"> </w:t>
      </w:r>
      <w:r>
        <w:rPr>
          <w:b/>
        </w:rPr>
        <w:t>enjoyment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enshrined</w:t>
      </w:r>
      <w:r w:rsidR="003455F1">
        <w:rPr>
          <w:b/>
        </w:rPr>
        <w:t xml:space="preserve"> </w:t>
      </w:r>
      <w:r>
        <w:rPr>
          <w:b/>
        </w:rPr>
        <w:t>therein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implementation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2030</w:t>
      </w:r>
      <w:r w:rsidR="003455F1">
        <w:rPr>
          <w:b/>
        </w:rPr>
        <w:t xml:space="preserve"> </w:t>
      </w:r>
      <w:r>
        <w:rPr>
          <w:b/>
        </w:rPr>
        <w:t>Agenda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Sustainable</w:t>
      </w:r>
      <w:r w:rsidR="003455F1">
        <w:rPr>
          <w:b/>
        </w:rPr>
        <w:t xml:space="preserve"> </w:t>
      </w:r>
      <w:r>
        <w:rPr>
          <w:b/>
        </w:rPr>
        <w:t>Development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national</w:t>
      </w:r>
      <w:r w:rsidR="003455F1">
        <w:rPr>
          <w:b/>
        </w:rPr>
        <w:t xml:space="preserve"> </w:t>
      </w:r>
      <w:r>
        <w:rPr>
          <w:b/>
        </w:rPr>
        <w:t>level.</w:t>
      </w:r>
      <w:r w:rsidR="003455F1">
        <w:t xml:space="preserve"> </w:t>
      </w:r>
      <w:r>
        <w:rPr>
          <w:b/>
        </w:rPr>
        <w:t>Achievement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Sustainable</w:t>
      </w:r>
      <w:r w:rsidR="003455F1">
        <w:rPr>
          <w:b/>
        </w:rPr>
        <w:t xml:space="preserve"> </w:t>
      </w:r>
      <w:r>
        <w:rPr>
          <w:b/>
        </w:rPr>
        <w:t>Development</w:t>
      </w:r>
      <w:r w:rsidR="003455F1">
        <w:rPr>
          <w:b/>
        </w:rPr>
        <w:t xml:space="preserve"> </w:t>
      </w:r>
      <w:r>
        <w:rPr>
          <w:b/>
        </w:rPr>
        <w:t>Goals</w:t>
      </w:r>
      <w:r w:rsidR="003455F1">
        <w:rPr>
          <w:b/>
        </w:rPr>
        <w:t xml:space="preserve"> </w:t>
      </w:r>
      <w:r>
        <w:rPr>
          <w:b/>
        </w:rPr>
        <w:t>would</w:t>
      </w:r>
      <w:r w:rsidR="003455F1">
        <w:rPr>
          <w:b/>
        </w:rPr>
        <w:t xml:space="preserve"> </w:t>
      </w:r>
      <w:r>
        <w:rPr>
          <w:b/>
        </w:rPr>
        <w:t>be</w:t>
      </w:r>
      <w:r w:rsidR="003455F1">
        <w:rPr>
          <w:b/>
        </w:rPr>
        <w:t xml:space="preserve"> </w:t>
      </w:r>
      <w:r>
        <w:rPr>
          <w:b/>
        </w:rPr>
        <w:t>significantly</w:t>
      </w:r>
      <w:r w:rsidR="003455F1">
        <w:rPr>
          <w:b/>
        </w:rPr>
        <w:t xml:space="preserve"> </w:t>
      </w:r>
      <w:r>
        <w:rPr>
          <w:b/>
        </w:rPr>
        <w:t>facilitated</w:t>
      </w:r>
      <w:r w:rsidR="003455F1">
        <w:rPr>
          <w:b/>
        </w:rPr>
        <w:t xml:space="preserve"> </w:t>
      </w:r>
      <w:r>
        <w:rPr>
          <w:b/>
        </w:rPr>
        <w:t>by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establishing</w:t>
      </w:r>
      <w:r w:rsidR="003455F1">
        <w:rPr>
          <w:b/>
        </w:rPr>
        <w:t xml:space="preserve"> </w:t>
      </w:r>
      <w:r>
        <w:rPr>
          <w:b/>
        </w:rPr>
        <w:t>independent</w:t>
      </w:r>
      <w:r w:rsidR="003455F1">
        <w:rPr>
          <w:b/>
        </w:rPr>
        <w:t xml:space="preserve"> </w:t>
      </w:r>
      <w:r>
        <w:rPr>
          <w:b/>
        </w:rPr>
        <w:t>mechanisms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monitor</w:t>
      </w:r>
      <w:r w:rsidR="003455F1">
        <w:rPr>
          <w:b/>
        </w:rPr>
        <w:t xml:space="preserve"> </w:t>
      </w:r>
      <w:r>
        <w:rPr>
          <w:b/>
        </w:rPr>
        <w:t>progress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treating</w:t>
      </w:r>
      <w:r w:rsidR="003455F1">
        <w:rPr>
          <w:b/>
        </w:rPr>
        <w:t xml:space="preserve"> </w:t>
      </w:r>
      <w:r>
        <w:rPr>
          <w:b/>
        </w:rPr>
        <w:t>beneficiaries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public</w:t>
      </w:r>
      <w:r w:rsidR="003455F1">
        <w:rPr>
          <w:b/>
        </w:rPr>
        <w:t xml:space="preserve"> </w:t>
      </w:r>
      <w:r>
        <w:rPr>
          <w:b/>
        </w:rPr>
        <w:t>programmes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holders</w:t>
      </w:r>
      <w:r w:rsidR="003455F1">
        <w:rPr>
          <w:b/>
        </w:rPr>
        <w:t xml:space="preserve"> </w:t>
      </w:r>
      <w:r>
        <w:rPr>
          <w:b/>
        </w:rPr>
        <w:t>who</w:t>
      </w:r>
      <w:r w:rsidR="003455F1">
        <w:rPr>
          <w:b/>
        </w:rPr>
        <w:t xml:space="preserve"> </w:t>
      </w:r>
      <w:r>
        <w:rPr>
          <w:b/>
        </w:rPr>
        <w:t>can</w:t>
      </w:r>
      <w:r w:rsidR="003455F1">
        <w:rPr>
          <w:b/>
        </w:rPr>
        <w:t xml:space="preserve"> </w:t>
      </w:r>
      <w:r>
        <w:rPr>
          <w:b/>
        </w:rPr>
        <w:t>claim</w:t>
      </w:r>
      <w:r w:rsidR="003455F1">
        <w:rPr>
          <w:b/>
        </w:rPr>
        <w:t xml:space="preserve"> </w:t>
      </w:r>
      <w:r>
        <w:rPr>
          <w:b/>
        </w:rPr>
        <w:t>entitlements.</w:t>
      </w:r>
      <w:r w:rsidR="003455F1">
        <w:t xml:space="preserve"> </w:t>
      </w:r>
      <w:r>
        <w:rPr>
          <w:b/>
        </w:rPr>
        <w:t>Implementing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Goals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basis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principles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participation,</w:t>
      </w:r>
      <w:r w:rsidR="003455F1">
        <w:rPr>
          <w:b/>
        </w:rPr>
        <w:t xml:space="preserve"> </w:t>
      </w:r>
      <w:r>
        <w:rPr>
          <w:b/>
        </w:rPr>
        <w:t>accountability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non-discrimination</w:t>
      </w:r>
      <w:r w:rsidR="003455F1">
        <w:rPr>
          <w:b/>
        </w:rPr>
        <w:t xml:space="preserve"> </w:t>
      </w:r>
      <w:r>
        <w:rPr>
          <w:b/>
        </w:rPr>
        <w:t>would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no</w:t>
      </w:r>
      <w:r w:rsidR="003455F1">
        <w:rPr>
          <w:b/>
        </w:rPr>
        <w:t xml:space="preserve"> </w:t>
      </w:r>
      <w:r>
        <w:rPr>
          <w:b/>
        </w:rPr>
        <w:t>one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left</w:t>
      </w:r>
      <w:r w:rsidR="003455F1">
        <w:rPr>
          <w:b/>
        </w:rPr>
        <w:t xml:space="preserve"> </w:t>
      </w:r>
      <w:r>
        <w:rPr>
          <w:b/>
        </w:rPr>
        <w:t>behind.</w:t>
      </w:r>
      <w:r w:rsidR="003455F1"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this</w:t>
      </w:r>
      <w:r w:rsidR="003455F1">
        <w:rPr>
          <w:b/>
        </w:rPr>
        <w:t xml:space="preserve"> </w:t>
      </w:r>
      <w:r>
        <w:rPr>
          <w:b/>
        </w:rPr>
        <w:t>regard,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draws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866BF2">
        <w:rPr>
          <w:b/>
        </w:rPr>
        <w:t>’</w:t>
      </w:r>
      <w:r>
        <w:rPr>
          <w:b/>
        </w:rPr>
        <w:t>s</w:t>
      </w:r>
      <w:r w:rsidR="003455F1">
        <w:rPr>
          <w:b/>
        </w:rPr>
        <w:t xml:space="preserve"> </w:t>
      </w:r>
      <w:r>
        <w:rPr>
          <w:b/>
        </w:rPr>
        <w:t>attention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statement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pledge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leave</w:t>
      </w:r>
      <w:r w:rsidR="003455F1">
        <w:rPr>
          <w:b/>
        </w:rPr>
        <w:t xml:space="preserve"> </w:t>
      </w:r>
      <w:r>
        <w:rPr>
          <w:b/>
        </w:rPr>
        <w:t>no</w:t>
      </w:r>
      <w:r w:rsidR="003455F1">
        <w:rPr>
          <w:b/>
        </w:rPr>
        <w:t xml:space="preserve"> </w:t>
      </w:r>
      <w:r>
        <w:rPr>
          <w:b/>
        </w:rPr>
        <w:t>one</w:t>
      </w:r>
      <w:r w:rsidR="003455F1">
        <w:rPr>
          <w:b/>
        </w:rPr>
        <w:t xml:space="preserve"> </w:t>
      </w:r>
      <w:r>
        <w:rPr>
          <w:b/>
        </w:rPr>
        <w:t>behind.</w:t>
      </w:r>
      <w:r w:rsidRPr="009A0C94">
        <w:rPr>
          <w:rStyle w:val="FootnoteReference"/>
        </w:rPr>
        <w:footnoteReference w:id="10"/>
      </w:r>
    </w:p>
    <w:p w14:paraId="1BEE5A4F" w14:textId="74817DA1" w:rsidR="00E06F94" w:rsidRPr="001F49A2" w:rsidRDefault="00E06F94" w:rsidP="00E06F94">
      <w:pPr>
        <w:pStyle w:val="SingleTxtG"/>
        <w:rPr>
          <w:b/>
          <w:lang w:val="en-US"/>
        </w:rPr>
      </w:pPr>
      <w:r>
        <w:t>59.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requests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disseminate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present</w:t>
      </w:r>
      <w:r w:rsidR="003455F1">
        <w:rPr>
          <w:b/>
        </w:rPr>
        <w:t xml:space="preserve"> </w:t>
      </w:r>
      <w:r>
        <w:rPr>
          <w:b/>
        </w:rPr>
        <w:t>concluding</w:t>
      </w:r>
      <w:r w:rsidR="003455F1">
        <w:rPr>
          <w:b/>
        </w:rPr>
        <w:t xml:space="preserve"> </w:t>
      </w:r>
      <w:r>
        <w:rPr>
          <w:b/>
        </w:rPr>
        <w:t>observations</w:t>
      </w:r>
      <w:r w:rsidR="003455F1">
        <w:rPr>
          <w:b/>
        </w:rPr>
        <w:t xml:space="preserve"> </w:t>
      </w:r>
      <w:r>
        <w:rPr>
          <w:b/>
        </w:rPr>
        <w:t>widely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all</w:t>
      </w:r>
      <w:r w:rsidR="003455F1">
        <w:rPr>
          <w:b/>
        </w:rPr>
        <w:t xml:space="preserve"> </w:t>
      </w:r>
      <w:r>
        <w:rPr>
          <w:b/>
        </w:rPr>
        <w:t>levels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society,</w:t>
      </w:r>
      <w:r w:rsidR="003455F1">
        <w:rPr>
          <w:b/>
        </w:rPr>
        <w:t xml:space="preserve"> </w:t>
      </w:r>
      <w:r>
        <w:rPr>
          <w:b/>
        </w:rPr>
        <w:t>including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national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municipal</w:t>
      </w:r>
      <w:r w:rsidR="003455F1">
        <w:rPr>
          <w:b/>
        </w:rPr>
        <w:t xml:space="preserve"> </w:t>
      </w:r>
      <w:r>
        <w:rPr>
          <w:b/>
        </w:rPr>
        <w:t>levels,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particular</w:t>
      </w:r>
      <w:r w:rsidR="003455F1">
        <w:rPr>
          <w:b/>
        </w:rPr>
        <w:t xml:space="preserve"> </w:t>
      </w:r>
      <w:r>
        <w:rPr>
          <w:b/>
        </w:rPr>
        <w:t>among</w:t>
      </w:r>
      <w:r w:rsidR="003455F1">
        <w:rPr>
          <w:b/>
        </w:rPr>
        <w:t xml:space="preserve"> </w:t>
      </w:r>
      <w:r>
        <w:rPr>
          <w:b/>
        </w:rPr>
        <w:t>parliamentarians,</w:t>
      </w:r>
      <w:r w:rsidR="003455F1">
        <w:rPr>
          <w:b/>
        </w:rPr>
        <w:t xml:space="preserve"> </w:t>
      </w:r>
      <w:r>
        <w:rPr>
          <w:b/>
        </w:rPr>
        <w:t>public</w:t>
      </w:r>
      <w:r w:rsidR="003455F1">
        <w:rPr>
          <w:b/>
        </w:rPr>
        <w:t xml:space="preserve"> </w:t>
      </w:r>
      <w:r>
        <w:rPr>
          <w:b/>
        </w:rPr>
        <w:t>officials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judicial</w:t>
      </w:r>
      <w:r w:rsidR="003455F1">
        <w:rPr>
          <w:b/>
        </w:rPr>
        <w:t xml:space="preserve"> </w:t>
      </w:r>
      <w:r>
        <w:rPr>
          <w:b/>
        </w:rPr>
        <w:t>authorities,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it</w:t>
      </w:r>
      <w:r w:rsidR="003455F1">
        <w:rPr>
          <w:b/>
        </w:rPr>
        <w:t xml:space="preserve"> </w:t>
      </w:r>
      <w:r>
        <w:rPr>
          <w:b/>
        </w:rPr>
        <w:t>inform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next</w:t>
      </w:r>
      <w:r w:rsidR="003455F1">
        <w:rPr>
          <w:b/>
        </w:rPr>
        <w:t xml:space="preserve"> </w:t>
      </w:r>
      <w:r>
        <w:rPr>
          <w:b/>
        </w:rPr>
        <w:t>periodic</w:t>
      </w:r>
      <w:r w:rsidR="003455F1">
        <w:rPr>
          <w:b/>
        </w:rPr>
        <w:t xml:space="preserve"> </w:t>
      </w:r>
      <w:r>
        <w:rPr>
          <w:b/>
        </w:rPr>
        <w:t>report</w:t>
      </w:r>
      <w:r w:rsidR="003455F1">
        <w:rPr>
          <w:b/>
        </w:rPr>
        <w:t xml:space="preserve"> </w:t>
      </w:r>
      <w:r>
        <w:rPr>
          <w:b/>
        </w:rPr>
        <w:t>about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steps</w:t>
      </w:r>
      <w:r w:rsidR="003455F1">
        <w:rPr>
          <w:b/>
        </w:rPr>
        <w:t xml:space="preserve"> </w:t>
      </w:r>
      <w:r>
        <w:rPr>
          <w:b/>
        </w:rPr>
        <w:t>taken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implement</w:t>
      </w:r>
      <w:r w:rsidR="003455F1">
        <w:rPr>
          <w:b/>
        </w:rPr>
        <w:t xml:space="preserve"> </w:t>
      </w:r>
      <w:r>
        <w:rPr>
          <w:b/>
        </w:rPr>
        <w:t>them.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emphasizes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crucial</w:t>
      </w:r>
      <w:r w:rsidR="003455F1">
        <w:rPr>
          <w:b/>
        </w:rPr>
        <w:t xml:space="preserve"> </w:t>
      </w:r>
      <w:r>
        <w:rPr>
          <w:b/>
        </w:rPr>
        <w:t>role</w:t>
      </w:r>
      <w:r w:rsidR="003455F1">
        <w:rPr>
          <w:b/>
        </w:rPr>
        <w:t xml:space="preserve"> </w:t>
      </w:r>
      <w:r>
        <w:rPr>
          <w:b/>
        </w:rPr>
        <w:t>that</w:t>
      </w:r>
      <w:r w:rsidR="003455F1">
        <w:rPr>
          <w:b/>
        </w:rPr>
        <w:t xml:space="preserve"> </w:t>
      </w:r>
      <w:r>
        <w:rPr>
          <w:b/>
        </w:rPr>
        <w:t>parliament</w:t>
      </w:r>
      <w:r w:rsidR="003455F1">
        <w:rPr>
          <w:b/>
        </w:rPr>
        <w:t xml:space="preserve"> </w:t>
      </w:r>
      <w:r>
        <w:rPr>
          <w:b/>
        </w:rPr>
        <w:t>plays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implementing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present</w:t>
      </w:r>
      <w:r w:rsidR="003455F1">
        <w:rPr>
          <w:b/>
        </w:rPr>
        <w:t xml:space="preserve"> </w:t>
      </w:r>
      <w:r>
        <w:rPr>
          <w:b/>
        </w:rPr>
        <w:t>concluding</w:t>
      </w:r>
      <w:r w:rsidR="003455F1">
        <w:rPr>
          <w:b/>
        </w:rPr>
        <w:t xml:space="preserve"> </w:t>
      </w:r>
      <w:r>
        <w:rPr>
          <w:b/>
        </w:rPr>
        <w:t>observations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encourages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ensure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involvement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future</w:t>
      </w:r>
      <w:r w:rsidR="003455F1">
        <w:rPr>
          <w:b/>
        </w:rPr>
        <w:t xml:space="preserve"> </w:t>
      </w:r>
      <w:r>
        <w:rPr>
          <w:b/>
        </w:rPr>
        <w:t>reporting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follow-up</w:t>
      </w:r>
      <w:r w:rsidR="003455F1">
        <w:rPr>
          <w:b/>
        </w:rPr>
        <w:t xml:space="preserve"> </w:t>
      </w:r>
      <w:r>
        <w:rPr>
          <w:b/>
        </w:rPr>
        <w:t>procedures.</w:t>
      </w:r>
      <w:r w:rsidR="003455F1"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encourages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engage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Office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Human</w:t>
      </w:r>
      <w:r w:rsidR="003455F1">
        <w:rPr>
          <w:b/>
        </w:rPr>
        <w:t xml:space="preserve"> </w:t>
      </w:r>
      <w:r>
        <w:rPr>
          <w:b/>
        </w:rPr>
        <w:t>Rights</w:t>
      </w:r>
      <w:r w:rsidR="003455F1">
        <w:rPr>
          <w:b/>
        </w:rPr>
        <w:t xml:space="preserve"> </w:t>
      </w:r>
      <w:r>
        <w:rPr>
          <w:b/>
        </w:rPr>
        <w:t>Advocate,</w:t>
      </w:r>
      <w:r w:rsidR="003455F1">
        <w:rPr>
          <w:b/>
        </w:rPr>
        <w:t xml:space="preserve"> </w:t>
      </w:r>
      <w:r>
        <w:rPr>
          <w:b/>
        </w:rPr>
        <w:t>non-governmental</w:t>
      </w:r>
      <w:r w:rsidR="003455F1">
        <w:rPr>
          <w:b/>
        </w:rPr>
        <w:t xml:space="preserve"> </w:t>
      </w:r>
      <w:r>
        <w:rPr>
          <w:b/>
        </w:rPr>
        <w:t>organizations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other</w:t>
      </w:r>
      <w:r w:rsidR="003455F1">
        <w:rPr>
          <w:b/>
        </w:rPr>
        <w:t xml:space="preserve"> </w:t>
      </w:r>
      <w:r>
        <w:rPr>
          <w:b/>
        </w:rPr>
        <w:t>members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civil</w:t>
      </w:r>
      <w:r w:rsidR="003455F1">
        <w:rPr>
          <w:b/>
        </w:rPr>
        <w:t xml:space="preserve"> </w:t>
      </w:r>
      <w:r>
        <w:rPr>
          <w:b/>
        </w:rPr>
        <w:t>society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follow-up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present</w:t>
      </w:r>
      <w:r w:rsidR="003455F1">
        <w:rPr>
          <w:b/>
        </w:rPr>
        <w:t xml:space="preserve"> </w:t>
      </w:r>
      <w:r>
        <w:rPr>
          <w:b/>
        </w:rPr>
        <w:t>concluding</w:t>
      </w:r>
      <w:r w:rsidR="003455F1">
        <w:rPr>
          <w:b/>
        </w:rPr>
        <w:t xml:space="preserve"> </w:t>
      </w:r>
      <w:r>
        <w:rPr>
          <w:b/>
        </w:rPr>
        <w:t>observations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process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consultation</w:t>
      </w:r>
      <w:r w:rsidR="003455F1">
        <w:rPr>
          <w:b/>
        </w:rPr>
        <w:t xml:space="preserve"> </w:t>
      </w:r>
      <w:r>
        <w:rPr>
          <w:b/>
        </w:rPr>
        <w:t>at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national</w:t>
      </w:r>
      <w:r w:rsidR="003455F1">
        <w:rPr>
          <w:b/>
        </w:rPr>
        <w:t xml:space="preserve"> </w:t>
      </w:r>
      <w:r>
        <w:rPr>
          <w:b/>
        </w:rPr>
        <w:t>level</w:t>
      </w:r>
      <w:r w:rsidR="003455F1">
        <w:rPr>
          <w:b/>
        </w:rPr>
        <w:t xml:space="preserve"> </w:t>
      </w:r>
      <w:r>
        <w:rPr>
          <w:b/>
        </w:rPr>
        <w:t>prior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submission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next</w:t>
      </w:r>
      <w:r w:rsidR="003455F1">
        <w:rPr>
          <w:b/>
        </w:rPr>
        <w:t xml:space="preserve"> </w:t>
      </w:r>
      <w:r>
        <w:rPr>
          <w:b/>
        </w:rPr>
        <w:t>periodic</w:t>
      </w:r>
      <w:r w:rsidR="003455F1">
        <w:rPr>
          <w:b/>
        </w:rPr>
        <w:t xml:space="preserve"> </w:t>
      </w:r>
      <w:r>
        <w:rPr>
          <w:b/>
        </w:rPr>
        <w:t>report.</w:t>
      </w:r>
    </w:p>
    <w:p w14:paraId="477DE0FA" w14:textId="09287855" w:rsidR="00866BF2" w:rsidRDefault="00E06F94" w:rsidP="00E06F94">
      <w:pPr>
        <w:pStyle w:val="SingleTxtG"/>
      </w:pPr>
      <w:r>
        <w:t>60.</w:t>
      </w:r>
      <w:r>
        <w:tab/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accordance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procedure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follow-up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concluding</w:t>
      </w:r>
      <w:r w:rsidR="003455F1">
        <w:rPr>
          <w:b/>
        </w:rPr>
        <w:t xml:space="preserve"> </w:t>
      </w:r>
      <w:r>
        <w:rPr>
          <w:b/>
        </w:rPr>
        <w:t>observations</w:t>
      </w:r>
      <w:r w:rsidR="003455F1">
        <w:rPr>
          <w:b/>
        </w:rPr>
        <w:t xml:space="preserve"> </w:t>
      </w:r>
      <w:r>
        <w:rPr>
          <w:b/>
        </w:rPr>
        <w:t>adopted</w:t>
      </w:r>
      <w:r w:rsidR="003455F1">
        <w:rPr>
          <w:b/>
        </w:rPr>
        <w:t xml:space="preserve"> </w:t>
      </w:r>
      <w:r>
        <w:rPr>
          <w:b/>
        </w:rPr>
        <w:t>by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requested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provide,</w:t>
      </w:r>
      <w:r w:rsidR="003455F1">
        <w:rPr>
          <w:b/>
        </w:rPr>
        <w:t xml:space="preserve"> </w:t>
      </w:r>
      <w:r>
        <w:rPr>
          <w:b/>
        </w:rPr>
        <w:t>within</w:t>
      </w:r>
      <w:r w:rsidR="003455F1">
        <w:rPr>
          <w:b/>
        </w:rPr>
        <w:t xml:space="preserve"> </w:t>
      </w:r>
      <w:r>
        <w:rPr>
          <w:b/>
        </w:rPr>
        <w:t>24</w:t>
      </w:r>
      <w:r w:rsidR="003455F1">
        <w:rPr>
          <w:b/>
        </w:rPr>
        <w:t xml:space="preserve"> </w:t>
      </w:r>
      <w:r>
        <w:rPr>
          <w:b/>
        </w:rPr>
        <w:t>months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adoption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present</w:t>
      </w:r>
      <w:r w:rsidR="003455F1">
        <w:rPr>
          <w:b/>
        </w:rPr>
        <w:t xml:space="preserve"> </w:t>
      </w:r>
      <w:r>
        <w:rPr>
          <w:b/>
        </w:rPr>
        <w:t>concluding</w:t>
      </w:r>
      <w:r w:rsidR="003455F1">
        <w:rPr>
          <w:b/>
        </w:rPr>
        <w:t xml:space="preserve"> </w:t>
      </w:r>
      <w:r>
        <w:rPr>
          <w:b/>
        </w:rPr>
        <w:t>observations,</w:t>
      </w:r>
      <w:r w:rsidR="003455F1">
        <w:rPr>
          <w:b/>
        </w:rPr>
        <w:t xml:space="preserve"> </w:t>
      </w:r>
      <w:r>
        <w:rPr>
          <w:b/>
        </w:rPr>
        <w:t>information</w:t>
      </w:r>
      <w:r w:rsidR="003455F1">
        <w:rPr>
          <w:b/>
        </w:rPr>
        <w:t xml:space="preserve"> </w:t>
      </w:r>
      <w:r>
        <w:rPr>
          <w:b/>
        </w:rPr>
        <w:t>on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implementation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recommendations</w:t>
      </w:r>
      <w:r w:rsidR="003455F1">
        <w:rPr>
          <w:b/>
        </w:rPr>
        <w:t xml:space="preserve"> </w:t>
      </w:r>
      <w:r>
        <w:rPr>
          <w:b/>
        </w:rPr>
        <w:t>contained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paragraphs</w:t>
      </w:r>
      <w:r w:rsidR="003455F1">
        <w:rPr>
          <w:b/>
        </w:rPr>
        <w:t xml:space="preserve"> </w:t>
      </w:r>
      <w:r>
        <w:rPr>
          <w:b/>
        </w:rPr>
        <w:t>15</w:t>
      </w:r>
      <w:r w:rsidR="003455F1">
        <w:rPr>
          <w:b/>
        </w:rPr>
        <w:t xml:space="preserve"> </w:t>
      </w:r>
      <w:r>
        <w:rPr>
          <w:b/>
        </w:rPr>
        <w:t>(a)</w:t>
      </w:r>
      <w:r w:rsidR="003455F1">
        <w:rPr>
          <w:b/>
        </w:rPr>
        <w:t xml:space="preserve"> </w:t>
      </w:r>
      <w:r>
        <w:rPr>
          <w:b/>
        </w:rPr>
        <w:t>(right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Indigenous</w:t>
      </w:r>
      <w:r w:rsidR="003455F1">
        <w:rPr>
          <w:b/>
        </w:rPr>
        <w:t xml:space="preserve"> </w:t>
      </w:r>
      <w:r>
        <w:rPr>
          <w:b/>
        </w:rPr>
        <w:t>Peoples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prior</w:t>
      </w:r>
      <w:r w:rsidR="003455F1">
        <w:rPr>
          <w:b/>
        </w:rPr>
        <w:t xml:space="preserve"> </w:t>
      </w:r>
      <w:r>
        <w:rPr>
          <w:b/>
        </w:rPr>
        <w:t>consultation),</w:t>
      </w:r>
      <w:r w:rsidR="003455F1">
        <w:rPr>
          <w:b/>
        </w:rPr>
        <w:t xml:space="preserve"> </w:t>
      </w:r>
      <w:r>
        <w:rPr>
          <w:b/>
        </w:rPr>
        <w:t>19</w:t>
      </w:r>
      <w:r w:rsidR="003455F1">
        <w:rPr>
          <w:b/>
        </w:rPr>
        <w:t xml:space="preserve"> </w:t>
      </w:r>
      <w:r>
        <w:rPr>
          <w:b/>
        </w:rPr>
        <w:t>(c)</w:t>
      </w:r>
      <w:r w:rsidR="003455F1">
        <w:rPr>
          <w:b/>
        </w:rPr>
        <w:t xml:space="preserve"> </w:t>
      </w:r>
      <w:r>
        <w:rPr>
          <w:b/>
        </w:rPr>
        <w:t>(non-discrimination)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53</w:t>
      </w:r>
      <w:r w:rsidR="003455F1">
        <w:rPr>
          <w:b/>
        </w:rPr>
        <w:t xml:space="preserve"> </w:t>
      </w:r>
      <w:r>
        <w:rPr>
          <w:b/>
        </w:rPr>
        <w:t>(a)</w:t>
      </w:r>
      <w:r w:rsidR="003455F1">
        <w:rPr>
          <w:b/>
        </w:rPr>
        <w:t xml:space="preserve"> </w:t>
      </w:r>
      <w:r>
        <w:rPr>
          <w:b/>
        </w:rPr>
        <w:t>and</w:t>
      </w:r>
      <w:r w:rsidR="003455F1">
        <w:rPr>
          <w:b/>
        </w:rPr>
        <w:t xml:space="preserve"> </w:t>
      </w:r>
      <w:r>
        <w:rPr>
          <w:b/>
        </w:rPr>
        <w:t>(b)</w:t>
      </w:r>
      <w:r w:rsidR="003455F1">
        <w:rPr>
          <w:b/>
        </w:rPr>
        <w:t xml:space="preserve"> </w:t>
      </w:r>
      <w:r>
        <w:rPr>
          <w:b/>
        </w:rPr>
        <w:t>(right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education)</w:t>
      </w:r>
      <w:r w:rsidR="003455F1">
        <w:rPr>
          <w:b/>
        </w:rPr>
        <w:t xml:space="preserve"> </w:t>
      </w:r>
      <w:r>
        <w:rPr>
          <w:b/>
        </w:rPr>
        <w:t>above.</w:t>
      </w:r>
    </w:p>
    <w:p w14:paraId="28E46469" w14:textId="2B6F0202" w:rsidR="00E06F94" w:rsidRPr="001F49A2" w:rsidRDefault="00E06F94" w:rsidP="00E06F94">
      <w:pPr>
        <w:pStyle w:val="SingleTxtG"/>
        <w:rPr>
          <w:b/>
          <w:lang w:val="en-US"/>
        </w:rPr>
      </w:pPr>
      <w:r>
        <w:t>61.</w:t>
      </w:r>
      <w:r>
        <w:tab/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Committee</w:t>
      </w:r>
      <w:r w:rsidR="003455F1">
        <w:rPr>
          <w:b/>
        </w:rPr>
        <w:t xml:space="preserve"> </w:t>
      </w:r>
      <w:r>
        <w:rPr>
          <w:b/>
        </w:rPr>
        <w:t>requests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State</w:t>
      </w:r>
      <w:r w:rsidR="003455F1">
        <w:rPr>
          <w:b/>
        </w:rPr>
        <w:t xml:space="preserve"> </w:t>
      </w:r>
      <w:r>
        <w:rPr>
          <w:b/>
        </w:rPr>
        <w:t>party</w:t>
      </w:r>
      <w:r w:rsidR="003455F1">
        <w:rPr>
          <w:b/>
        </w:rPr>
        <w:t xml:space="preserve"> </w:t>
      </w:r>
      <w:r>
        <w:rPr>
          <w:b/>
        </w:rPr>
        <w:t>to</w:t>
      </w:r>
      <w:r w:rsidR="003455F1">
        <w:rPr>
          <w:b/>
        </w:rPr>
        <w:t xml:space="preserve"> </w:t>
      </w:r>
      <w:r>
        <w:rPr>
          <w:b/>
        </w:rPr>
        <w:t>submit</w:t>
      </w:r>
      <w:r w:rsidR="003455F1">
        <w:rPr>
          <w:b/>
        </w:rPr>
        <w:t xml:space="preserve"> </w:t>
      </w:r>
      <w:r>
        <w:rPr>
          <w:b/>
        </w:rPr>
        <w:t>its</w:t>
      </w:r>
      <w:r w:rsidR="003455F1">
        <w:rPr>
          <w:b/>
        </w:rPr>
        <w:t xml:space="preserve"> </w:t>
      </w:r>
      <w:r>
        <w:rPr>
          <w:b/>
        </w:rPr>
        <w:t>fifth</w:t>
      </w:r>
      <w:r w:rsidR="003455F1">
        <w:rPr>
          <w:b/>
        </w:rPr>
        <w:t xml:space="preserve"> </w:t>
      </w:r>
      <w:r>
        <w:rPr>
          <w:b/>
        </w:rPr>
        <w:t>periodic</w:t>
      </w:r>
      <w:r w:rsidR="003455F1">
        <w:rPr>
          <w:b/>
        </w:rPr>
        <w:t xml:space="preserve"> </w:t>
      </w:r>
      <w:r>
        <w:rPr>
          <w:b/>
        </w:rPr>
        <w:t>report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accordance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article</w:t>
      </w:r>
      <w:r w:rsidR="003455F1">
        <w:rPr>
          <w:b/>
        </w:rPr>
        <w:t xml:space="preserve"> </w:t>
      </w:r>
      <w:r>
        <w:rPr>
          <w:b/>
        </w:rPr>
        <w:t>16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Covenant</w:t>
      </w:r>
      <w:r w:rsidR="003455F1">
        <w:rPr>
          <w:b/>
        </w:rPr>
        <w:t xml:space="preserve"> </w:t>
      </w:r>
      <w:r>
        <w:rPr>
          <w:b/>
        </w:rPr>
        <w:t>by</w:t>
      </w:r>
      <w:r w:rsidR="003455F1">
        <w:rPr>
          <w:b/>
        </w:rPr>
        <w:t xml:space="preserve"> </w:t>
      </w:r>
      <w:r>
        <w:rPr>
          <w:b/>
        </w:rPr>
        <w:t>31</w:t>
      </w:r>
      <w:r w:rsidR="003455F1">
        <w:rPr>
          <w:b/>
        </w:rPr>
        <w:t xml:space="preserve"> </w:t>
      </w:r>
      <w:r>
        <w:rPr>
          <w:b/>
        </w:rPr>
        <w:t>October</w:t>
      </w:r>
      <w:r w:rsidR="003455F1">
        <w:rPr>
          <w:b/>
        </w:rPr>
        <w:t xml:space="preserve"> </w:t>
      </w:r>
      <w:r>
        <w:rPr>
          <w:b/>
        </w:rPr>
        <w:t>2027,</w:t>
      </w:r>
      <w:r w:rsidR="003455F1">
        <w:rPr>
          <w:b/>
        </w:rPr>
        <w:t xml:space="preserve"> </w:t>
      </w:r>
      <w:r>
        <w:rPr>
          <w:b/>
        </w:rPr>
        <w:t>unless</w:t>
      </w:r>
      <w:r w:rsidR="003455F1">
        <w:rPr>
          <w:b/>
        </w:rPr>
        <w:t xml:space="preserve"> </w:t>
      </w:r>
      <w:r>
        <w:rPr>
          <w:b/>
        </w:rPr>
        <w:t>otherwise</w:t>
      </w:r>
      <w:r w:rsidR="003455F1">
        <w:rPr>
          <w:b/>
        </w:rPr>
        <w:t xml:space="preserve"> </w:t>
      </w:r>
      <w:r>
        <w:rPr>
          <w:b/>
        </w:rPr>
        <w:t>notified</w:t>
      </w:r>
      <w:r w:rsidR="003455F1">
        <w:rPr>
          <w:b/>
        </w:rPr>
        <w:t xml:space="preserve"> </w:t>
      </w:r>
      <w:r>
        <w:rPr>
          <w:b/>
        </w:rPr>
        <w:t>as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result</w:t>
      </w:r>
      <w:r w:rsidR="003455F1">
        <w:rPr>
          <w:b/>
        </w:rPr>
        <w:t xml:space="preserve"> </w:t>
      </w:r>
      <w:r>
        <w:rPr>
          <w:b/>
        </w:rPr>
        <w:t>of</w:t>
      </w:r>
      <w:r w:rsidR="003455F1">
        <w:rPr>
          <w:b/>
        </w:rPr>
        <w:t xml:space="preserve"> </w:t>
      </w:r>
      <w:r>
        <w:rPr>
          <w:b/>
        </w:rPr>
        <w:t>a</w:t>
      </w:r>
      <w:r w:rsidR="003455F1">
        <w:rPr>
          <w:b/>
        </w:rPr>
        <w:t xml:space="preserve"> </w:t>
      </w:r>
      <w:r>
        <w:rPr>
          <w:b/>
        </w:rPr>
        <w:t>change</w:t>
      </w:r>
      <w:r w:rsidR="003455F1">
        <w:rPr>
          <w:b/>
        </w:rPr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review</w:t>
      </w:r>
      <w:r w:rsidR="003455F1">
        <w:rPr>
          <w:b/>
        </w:rPr>
        <w:t xml:space="preserve"> </w:t>
      </w:r>
      <w:r>
        <w:rPr>
          <w:b/>
        </w:rPr>
        <w:t>cycle.</w:t>
      </w:r>
      <w:r w:rsidR="003455F1">
        <w:t xml:space="preserve"> </w:t>
      </w:r>
      <w:r>
        <w:rPr>
          <w:b/>
        </w:rPr>
        <w:t>In</w:t>
      </w:r>
      <w:r w:rsidR="003455F1">
        <w:rPr>
          <w:b/>
        </w:rPr>
        <w:t xml:space="preserve"> </w:t>
      </w:r>
      <w:r>
        <w:rPr>
          <w:b/>
        </w:rPr>
        <w:t>accordance</w:t>
      </w:r>
      <w:r w:rsidR="003455F1">
        <w:rPr>
          <w:b/>
        </w:rPr>
        <w:t xml:space="preserve"> </w:t>
      </w:r>
      <w:r>
        <w:rPr>
          <w:b/>
        </w:rPr>
        <w:t>with</w:t>
      </w:r>
      <w:r w:rsidR="003455F1">
        <w:rPr>
          <w:b/>
        </w:rPr>
        <w:t xml:space="preserve"> </w:t>
      </w:r>
      <w:r>
        <w:rPr>
          <w:b/>
        </w:rPr>
        <w:t>General</w:t>
      </w:r>
      <w:r w:rsidR="003455F1">
        <w:rPr>
          <w:b/>
        </w:rPr>
        <w:t xml:space="preserve"> </w:t>
      </w:r>
      <w:r>
        <w:rPr>
          <w:b/>
        </w:rPr>
        <w:t>Assembly</w:t>
      </w:r>
      <w:r w:rsidR="003455F1">
        <w:rPr>
          <w:b/>
        </w:rPr>
        <w:t xml:space="preserve"> </w:t>
      </w:r>
      <w:r>
        <w:rPr>
          <w:b/>
        </w:rPr>
        <w:t>resolution</w:t>
      </w:r>
      <w:r w:rsidR="003455F1">
        <w:rPr>
          <w:b/>
        </w:rPr>
        <w:t xml:space="preserve"> </w:t>
      </w:r>
      <w:r>
        <w:rPr>
          <w:b/>
        </w:rPr>
        <w:t>68/268,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word</w:t>
      </w:r>
      <w:r w:rsidR="003455F1">
        <w:rPr>
          <w:b/>
        </w:rPr>
        <w:t xml:space="preserve"> </w:t>
      </w:r>
      <w:r>
        <w:rPr>
          <w:b/>
        </w:rPr>
        <w:t>limit</w:t>
      </w:r>
      <w:r w:rsidR="003455F1">
        <w:rPr>
          <w:b/>
        </w:rPr>
        <w:t xml:space="preserve"> </w:t>
      </w:r>
      <w:r>
        <w:rPr>
          <w:b/>
        </w:rPr>
        <w:t>for</w:t>
      </w:r>
      <w:r w:rsidR="003455F1">
        <w:rPr>
          <w:b/>
        </w:rPr>
        <w:t xml:space="preserve"> </w:t>
      </w:r>
      <w:r>
        <w:rPr>
          <w:b/>
        </w:rPr>
        <w:t>the</w:t>
      </w:r>
      <w:r w:rsidR="003455F1">
        <w:rPr>
          <w:b/>
        </w:rPr>
        <w:t xml:space="preserve"> </w:t>
      </w:r>
      <w:r>
        <w:rPr>
          <w:b/>
        </w:rPr>
        <w:t>report</w:t>
      </w:r>
      <w:r w:rsidR="003455F1">
        <w:rPr>
          <w:b/>
        </w:rPr>
        <w:t xml:space="preserve"> </w:t>
      </w:r>
      <w:r>
        <w:rPr>
          <w:b/>
        </w:rPr>
        <w:t>is</w:t>
      </w:r>
      <w:r w:rsidR="003455F1">
        <w:rPr>
          <w:b/>
        </w:rPr>
        <w:t xml:space="preserve"> </w:t>
      </w:r>
      <w:r>
        <w:rPr>
          <w:b/>
        </w:rPr>
        <w:t>21,200</w:t>
      </w:r>
      <w:r w:rsidR="003455F1">
        <w:rPr>
          <w:b/>
        </w:rPr>
        <w:t xml:space="preserve"> </w:t>
      </w:r>
      <w:r>
        <w:rPr>
          <w:b/>
        </w:rPr>
        <w:t>words.</w:t>
      </w:r>
    </w:p>
    <w:p w14:paraId="23D25754" w14:textId="61CD9096" w:rsidR="007268F9" w:rsidRPr="003455F1" w:rsidRDefault="005E5272" w:rsidP="005E5272">
      <w:pPr>
        <w:spacing w:before="240"/>
        <w:jc w:val="center"/>
        <w:rPr>
          <w:u w:val="single"/>
        </w:rPr>
      </w:pPr>
      <w:r w:rsidRPr="003455F1">
        <w:rPr>
          <w:u w:val="single"/>
        </w:rPr>
        <w:tab/>
      </w:r>
      <w:r w:rsidRPr="003455F1">
        <w:rPr>
          <w:u w:val="single"/>
        </w:rPr>
        <w:tab/>
      </w:r>
      <w:r w:rsidRPr="003455F1">
        <w:rPr>
          <w:u w:val="single"/>
        </w:rPr>
        <w:tab/>
      </w:r>
    </w:p>
    <w:sectPr w:rsidR="007268F9" w:rsidRPr="003455F1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5F29" w14:textId="77777777" w:rsidR="0051641C" w:rsidRPr="00FB1744" w:rsidRDefault="0051641C" w:rsidP="00FB1744">
      <w:pPr>
        <w:pStyle w:val="Footer"/>
      </w:pPr>
    </w:p>
  </w:endnote>
  <w:endnote w:type="continuationSeparator" w:id="0">
    <w:p w14:paraId="61C3CB73" w14:textId="77777777" w:rsidR="0051641C" w:rsidRPr="00FB1744" w:rsidRDefault="0051641C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E49A" w14:textId="77777777" w:rsidR="00E06F94" w:rsidRDefault="00E06F94" w:rsidP="00E06F94">
    <w:pPr>
      <w:pStyle w:val="Footer"/>
      <w:tabs>
        <w:tab w:val="right" w:pos="9638"/>
      </w:tabs>
    </w:pPr>
    <w:r w:rsidRPr="00E06F94">
      <w:rPr>
        <w:b/>
        <w:bCs/>
        <w:sz w:val="18"/>
      </w:rPr>
      <w:fldChar w:fldCharType="begin"/>
    </w:r>
    <w:r w:rsidRPr="00E06F94">
      <w:rPr>
        <w:b/>
        <w:bCs/>
        <w:sz w:val="18"/>
      </w:rPr>
      <w:instrText xml:space="preserve"> PAGE  \* MERGEFORMAT </w:instrText>
    </w:r>
    <w:r w:rsidRPr="00E06F94">
      <w:rPr>
        <w:b/>
        <w:bCs/>
        <w:sz w:val="18"/>
      </w:rPr>
      <w:fldChar w:fldCharType="separate"/>
    </w:r>
    <w:r w:rsidRPr="00E06F94">
      <w:rPr>
        <w:b/>
        <w:bCs/>
        <w:noProof/>
        <w:sz w:val="18"/>
      </w:rPr>
      <w:t>2</w:t>
    </w:r>
    <w:r w:rsidRPr="00E06F94">
      <w:rPr>
        <w:b/>
        <w:bCs/>
        <w:sz w:val="18"/>
      </w:rPr>
      <w:fldChar w:fldCharType="end"/>
    </w:r>
    <w:r>
      <w:tab/>
      <w:t>GE.22-25449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2685" w14:textId="77777777" w:rsidR="00E06F94" w:rsidRDefault="00E06F94" w:rsidP="00E06F94">
    <w:pPr>
      <w:pStyle w:val="Footer"/>
      <w:tabs>
        <w:tab w:val="right" w:pos="9638"/>
      </w:tabs>
    </w:pPr>
    <w:r>
      <w:t>GE.22-25449</w:t>
    </w:r>
    <w:r>
      <w:tab/>
    </w:r>
    <w:r w:rsidRPr="00E06F94">
      <w:rPr>
        <w:b/>
        <w:bCs/>
        <w:sz w:val="18"/>
      </w:rPr>
      <w:fldChar w:fldCharType="begin"/>
    </w:r>
    <w:r w:rsidRPr="00E06F94">
      <w:rPr>
        <w:b/>
        <w:bCs/>
        <w:sz w:val="18"/>
      </w:rPr>
      <w:instrText xml:space="preserve"> PAGE  \* MERGEFORMAT </w:instrText>
    </w:r>
    <w:r w:rsidRPr="00E06F94">
      <w:rPr>
        <w:b/>
        <w:bCs/>
        <w:sz w:val="18"/>
      </w:rPr>
      <w:fldChar w:fldCharType="separate"/>
    </w:r>
    <w:r w:rsidRPr="00E06F94">
      <w:rPr>
        <w:b/>
        <w:bCs/>
        <w:noProof/>
        <w:sz w:val="18"/>
      </w:rPr>
      <w:t>3</w:t>
    </w:r>
    <w:r w:rsidRPr="00E06F9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599" w14:textId="77777777" w:rsidR="00C448F7" w:rsidRDefault="00E06F94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1268A9" wp14:editId="6645E2A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3DBF4" w14:textId="7E4C7821" w:rsidR="00E06F94" w:rsidRPr="00E06F94" w:rsidRDefault="00E06F94" w:rsidP="00E06F94">
    <w:pPr>
      <w:pStyle w:val="Footer"/>
      <w:tabs>
        <w:tab w:val="right" w:pos="7370"/>
      </w:tabs>
      <w:rPr>
        <w:sz w:val="20"/>
      </w:rPr>
    </w:pPr>
    <w:r>
      <w:rPr>
        <w:sz w:val="20"/>
      </w:rPr>
      <w:t>GE.22-25449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14F08B" wp14:editId="185CD01A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1B4">
      <w:rPr>
        <w:sz w:val="20"/>
      </w:rPr>
      <w:t xml:space="preserve">    170123    170123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673" w14:textId="77777777" w:rsidR="0051641C" w:rsidRPr="00FB1744" w:rsidRDefault="0051641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D06A684" w14:textId="77777777" w:rsidR="0051641C" w:rsidRPr="00FB1744" w:rsidRDefault="0051641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E81CA4B" w14:textId="202713E9" w:rsidR="00E06F94" w:rsidRPr="00E06F94" w:rsidRDefault="00E06F94" w:rsidP="00460E0E">
      <w:pPr>
        <w:pStyle w:val="FootnoteText"/>
      </w:pPr>
      <w:r>
        <w:rPr>
          <w:rStyle w:val="FootnoteReference"/>
        </w:rPr>
        <w:tab/>
      </w:r>
      <w:r w:rsidRPr="00E06F9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Adopted by the Committee at its seventy-second session (26 September–14 October 2022).</w:t>
      </w:r>
    </w:p>
  </w:footnote>
  <w:footnote w:id="2">
    <w:p w14:paraId="67004B1A" w14:textId="5F9D1923" w:rsidR="00E06F94" w:rsidRPr="00E06F94" w:rsidRDefault="00E06F94" w:rsidP="00460E0E">
      <w:pPr>
        <w:pStyle w:val="FootnoteText"/>
        <w:rPr>
          <w:lang w:val="es-ES"/>
        </w:rPr>
      </w:pPr>
      <w:r w:rsidRPr="00C102DF"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  <w:lang w:val="es-ES"/>
        </w:rPr>
        <w:t xml:space="preserve"> </w:t>
      </w:r>
      <w:r w:rsidRPr="00E06F94">
        <w:rPr>
          <w:lang w:val="es-ES"/>
        </w:rPr>
        <w:tab/>
      </w:r>
      <w:r w:rsidRPr="00E06F94">
        <w:rPr>
          <w:lang w:val="es-ES"/>
        </w:rPr>
        <w:tab/>
      </w:r>
      <w:hyperlink r:id="rId1" w:history="1">
        <w:r w:rsidRPr="009A0C94">
          <w:rPr>
            <w:rStyle w:val="Hyperlink"/>
            <w:lang w:val="es-ES"/>
          </w:rPr>
          <w:t>E/C.12/G</w:t>
        </w:r>
        <w:r w:rsidRPr="009A0C94">
          <w:rPr>
            <w:rStyle w:val="Hyperlink"/>
            <w:lang w:val="es-ES"/>
          </w:rPr>
          <w:t>T</w:t>
        </w:r>
        <w:r w:rsidRPr="009A0C94">
          <w:rPr>
            <w:rStyle w:val="Hyperlink"/>
            <w:lang w:val="es-ES"/>
          </w:rPr>
          <w:t>M/4</w:t>
        </w:r>
      </w:hyperlink>
      <w:r w:rsidRPr="00EE2153">
        <w:rPr>
          <w:lang w:val="es-ES"/>
        </w:rPr>
        <w:t>.</w:t>
      </w:r>
    </w:p>
  </w:footnote>
  <w:footnote w:id="3">
    <w:p w14:paraId="114E1870" w14:textId="0509BDB0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  <w:lang w:val="es-ES"/>
        </w:rPr>
        <w:t xml:space="preserve"> </w:t>
      </w:r>
      <w:r w:rsidRPr="00E06F94">
        <w:rPr>
          <w:lang w:val="es-ES"/>
        </w:rPr>
        <w:tab/>
      </w:r>
      <w:r w:rsidRPr="00E06F94">
        <w:rPr>
          <w:lang w:val="es-ES"/>
        </w:rPr>
        <w:tab/>
        <w:t xml:space="preserve">See </w:t>
      </w:r>
      <w:hyperlink r:id="rId2" w:history="1">
        <w:r w:rsidRPr="009A0C94">
          <w:rPr>
            <w:rStyle w:val="Hyperlink"/>
            <w:lang w:val="es-ES"/>
          </w:rPr>
          <w:t>E/C.12/2022</w:t>
        </w:r>
        <w:r w:rsidRPr="009A0C94">
          <w:rPr>
            <w:rStyle w:val="Hyperlink"/>
            <w:lang w:val="es-ES"/>
          </w:rPr>
          <w:t>/</w:t>
        </w:r>
        <w:r w:rsidRPr="009A0C94">
          <w:rPr>
            <w:rStyle w:val="Hyperlink"/>
            <w:lang w:val="es-ES"/>
          </w:rPr>
          <w:t>SR.42</w:t>
        </w:r>
      </w:hyperlink>
      <w:r w:rsidRPr="00E06F94">
        <w:rPr>
          <w:lang w:val="es-ES"/>
        </w:rPr>
        <w:t xml:space="preserve"> and </w:t>
      </w:r>
      <w:hyperlink r:id="rId3" w:history="1">
        <w:r w:rsidRPr="009A0C94">
          <w:rPr>
            <w:rStyle w:val="Hyperlink"/>
            <w:lang w:val="es-ES"/>
          </w:rPr>
          <w:t>E/C.12/2022/SR.</w:t>
        </w:r>
        <w:r w:rsidRPr="009A0C94">
          <w:rPr>
            <w:rStyle w:val="Hyperlink"/>
            <w:lang w:val="es-ES"/>
          </w:rPr>
          <w:t>4</w:t>
        </w:r>
        <w:r w:rsidRPr="009A0C94">
          <w:rPr>
            <w:rStyle w:val="Hyperlink"/>
            <w:lang w:val="es-ES"/>
          </w:rPr>
          <w:t>4</w:t>
        </w:r>
      </w:hyperlink>
      <w:r w:rsidRPr="00E06F94">
        <w:rPr>
          <w:lang w:val="es-ES"/>
        </w:rPr>
        <w:t>.</w:t>
      </w:r>
    </w:p>
  </w:footnote>
  <w:footnote w:id="4">
    <w:p w14:paraId="7C0C3B0E" w14:textId="2C09BCA8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  <w:lang w:val="es-ES"/>
        </w:rPr>
        <w:t xml:space="preserve"> </w:t>
      </w:r>
      <w:r w:rsidRPr="00E06F94">
        <w:rPr>
          <w:lang w:val="es-ES"/>
        </w:rPr>
        <w:tab/>
      </w:r>
      <w:r w:rsidRPr="00E06F94">
        <w:rPr>
          <w:lang w:val="es-ES"/>
        </w:rPr>
        <w:tab/>
      </w:r>
      <w:hyperlink r:id="rId4" w:history="1">
        <w:r w:rsidRPr="009A0C94">
          <w:rPr>
            <w:rStyle w:val="Hyperlink"/>
            <w:lang w:val="es-ES"/>
          </w:rPr>
          <w:t>E/C.12/GT</w:t>
        </w:r>
        <w:r w:rsidRPr="009A0C94">
          <w:rPr>
            <w:rStyle w:val="Hyperlink"/>
            <w:lang w:val="es-ES"/>
          </w:rPr>
          <w:t>M</w:t>
        </w:r>
        <w:r w:rsidRPr="009A0C94">
          <w:rPr>
            <w:rStyle w:val="Hyperlink"/>
            <w:lang w:val="es-ES"/>
          </w:rPr>
          <w:t>/RQ/4</w:t>
        </w:r>
      </w:hyperlink>
      <w:r w:rsidRPr="00E06F94">
        <w:rPr>
          <w:lang w:val="es-ES"/>
        </w:rPr>
        <w:t>.</w:t>
      </w:r>
    </w:p>
  </w:footnote>
  <w:footnote w:id="5">
    <w:p w14:paraId="7C427507" w14:textId="1AF15D5A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  <w:lang w:val="es-ES"/>
        </w:rPr>
        <w:t xml:space="preserve"> </w:t>
      </w:r>
      <w:r w:rsidRPr="00E06F94">
        <w:rPr>
          <w:lang w:val="es-ES"/>
        </w:rPr>
        <w:tab/>
      </w:r>
      <w:hyperlink r:id="rId5" w:history="1">
        <w:r w:rsidRPr="009A0C94">
          <w:rPr>
            <w:rStyle w:val="Hyperlink"/>
            <w:lang w:val="es-ES"/>
          </w:rPr>
          <w:t>E/C.12/2</w:t>
        </w:r>
        <w:r w:rsidRPr="009A0C94">
          <w:rPr>
            <w:rStyle w:val="Hyperlink"/>
            <w:lang w:val="es-ES"/>
          </w:rPr>
          <w:t>0</w:t>
        </w:r>
        <w:r w:rsidRPr="009A0C94">
          <w:rPr>
            <w:rStyle w:val="Hyperlink"/>
            <w:lang w:val="es-ES"/>
          </w:rPr>
          <w:t>16/2</w:t>
        </w:r>
      </w:hyperlink>
      <w:r w:rsidRPr="00EE2153">
        <w:rPr>
          <w:lang w:val="es-ES"/>
        </w:rPr>
        <w:t>.</w:t>
      </w:r>
    </w:p>
  </w:footnote>
  <w:footnote w:id="6">
    <w:p w14:paraId="1C9091F2" w14:textId="75A88B87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  <w:lang w:val="es-ES"/>
        </w:rPr>
        <w:t xml:space="preserve"> </w:t>
      </w:r>
      <w:r w:rsidRPr="00E06F94">
        <w:rPr>
          <w:lang w:val="es-ES"/>
        </w:rPr>
        <w:tab/>
      </w:r>
      <w:r w:rsidRPr="00E06F94">
        <w:rPr>
          <w:lang w:val="es-ES"/>
        </w:rPr>
        <w:tab/>
      </w:r>
      <w:hyperlink r:id="rId6" w:history="1">
        <w:r w:rsidRPr="009A0C94">
          <w:rPr>
            <w:rStyle w:val="Hyperlink"/>
            <w:lang w:val="es-ES"/>
          </w:rPr>
          <w:t>E/C.12/GTM</w:t>
        </w:r>
        <w:r w:rsidRPr="009A0C94">
          <w:rPr>
            <w:rStyle w:val="Hyperlink"/>
            <w:lang w:val="es-ES"/>
          </w:rPr>
          <w:t>/</w:t>
        </w:r>
        <w:r w:rsidRPr="009A0C94">
          <w:rPr>
            <w:rStyle w:val="Hyperlink"/>
            <w:lang w:val="es-ES"/>
          </w:rPr>
          <w:t>C</w:t>
        </w:r>
        <w:r w:rsidRPr="009A0C94">
          <w:rPr>
            <w:rStyle w:val="Hyperlink"/>
            <w:lang w:val="es-ES"/>
          </w:rPr>
          <w:t>O/3</w:t>
        </w:r>
        <w:r w:rsidRPr="00EE2153">
          <w:rPr>
            <w:rStyle w:val="Hyperlink"/>
            <w:color w:val="auto"/>
            <w:lang w:val="es-ES"/>
          </w:rPr>
          <w:t>,</w:t>
        </w:r>
      </w:hyperlink>
      <w:r w:rsidRPr="00E06F94">
        <w:rPr>
          <w:lang w:val="es-ES"/>
        </w:rPr>
        <w:t xml:space="preserve"> para. 8.</w:t>
      </w:r>
    </w:p>
  </w:footnote>
  <w:footnote w:id="7">
    <w:p w14:paraId="713BA2E3" w14:textId="65C92D91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</w:rPr>
        <w:t xml:space="preserve"> </w:t>
      </w:r>
      <w:r w:rsidRPr="00E06F94">
        <w:rPr>
          <w:lang w:val="es-ES"/>
        </w:rPr>
        <w:tab/>
      </w:r>
      <w:hyperlink r:id="rId7" w:history="1">
        <w:r w:rsidRPr="009A0C94">
          <w:rPr>
            <w:rStyle w:val="Hyperlink"/>
            <w:lang w:val="es-ES"/>
          </w:rPr>
          <w:t>E/C.12/20</w:t>
        </w:r>
        <w:r w:rsidRPr="009A0C94">
          <w:rPr>
            <w:rStyle w:val="Hyperlink"/>
            <w:lang w:val="es-ES"/>
          </w:rPr>
          <w:t>1</w:t>
        </w:r>
        <w:r w:rsidRPr="009A0C94">
          <w:rPr>
            <w:rStyle w:val="Hyperlink"/>
            <w:lang w:val="es-ES"/>
          </w:rPr>
          <w:t>5/1</w:t>
        </w:r>
      </w:hyperlink>
      <w:r w:rsidRPr="00EE2153">
        <w:rPr>
          <w:lang w:val="es-ES"/>
        </w:rPr>
        <w:t>.</w:t>
      </w:r>
    </w:p>
  </w:footnote>
  <w:footnote w:id="8">
    <w:p w14:paraId="17E4E497" w14:textId="2BB8DC73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</w:rPr>
        <w:t xml:space="preserve"> </w:t>
      </w:r>
      <w:r w:rsidRPr="00E06F94">
        <w:rPr>
          <w:lang w:val="es-ES"/>
        </w:rPr>
        <w:tab/>
      </w:r>
      <w:hyperlink r:id="rId8" w:history="1">
        <w:r w:rsidRPr="009A0C94">
          <w:rPr>
            <w:rStyle w:val="Hyperlink"/>
            <w:lang w:val="es-ES"/>
          </w:rPr>
          <w:t>E/C.12</w:t>
        </w:r>
        <w:r w:rsidRPr="009A0C94">
          <w:rPr>
            <w:rStyle w:val="Hyperlink"/>
            <w:lang w:val="es-ES"/>
          </w:rPr>
          <w:t>/</w:t>
        </w:r>
        <w:r w:rsidRPr="009A0C94">
          <w:rPr>
            <w:rStyle w:val="Hyperlink"/>
            <w:lang w:val="es-ES"/>
          </w:rPr>
          <w:t>2001/10</w:t>
        </w:r>
      </w:hyperlink>
      <w:r w:rsidRPr="001C29C9">
        <w:rPr>
          <w:lang w:val="es-ES"/>
        </w:rPr>
        <w:t>.</w:t>
      </w:r>
    </w:p>
  </w:footnote>
  <w:footnote w:id="9">
    <w:p w14:paraId="43222DBA" w14:textId="5447897E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</w:rPr>
        <w:t xml:space="preserve"> </w:t>
      </w:r>
      <w:r w:rsidRPr="00E06F94">
        <w:rPr>
          <w:lang w:val="es-ES"/>
        </w:rPr>
        <w:tab/>
      </w:r>
      <w:hyperlink r:id="rId9" w:history="1">
        <w:r w:rsidRPr="009A0C94">
          <w:rPr>
            <w:rStyle w:val="Hyperlink"/>
            <w:lang w:val="es-ES"/>
          </w:rPr>
          <w:t>A/HR</w:t>
        </w:r>
        <w:r w:rsidRPr="009A0C94">
          <w:rPr>
            <w:rStyle w:val="Hyperlink"/>
            <w:lang w:val="es-ES"/>
          </w:rPr>
          <w:t>C</w:t>
        </w:r>
        <w:r w:rsidRPr="009A0C94">
          <w:rPr>
            <w:rStyle w:val="Hyperlink"/>
            <w:lang w:val="es-ES"/>
          </w:rPr>
          <w:t>/21/22</w:t>
        </w:r>
        <w:r w:rsidRPr="001C29C9">
          <w:rPr>
            <w:rStyle w:val="Hyperlink"/>
            <w:color w:val="auto"/>
            <w:lang w:val="es-ES"/>
          </w:rPr>
          <w:t>.</w:t>
        </w:r>
      </w:hyperlink>
    </w:p>
  </w:footnote>
  <w:footnote w:id="10">
    <w:p w14:paraId="11410D3E" w14:textId="52495D3A" w:rsidR="00E06F94" w:rsidRPr="00E06F94" w:rsidRDefault="00E06F94" w:rsidP="00460E0E">
      <w:pPr>
        <w:pStyle w:val="FootnoteText"/>
        <w:rPr>
          <w:lang w:val="es-ES"/>
        </w:rPr>
      </w:pPr>
      <w:r w:rsidRPr="00E06F94">
        <w:rPr>
          <w:lang w:val="es-ES"/>
        </w:rPr>
        <w:tab/>
      </w:r>
      <w:r w:rsidRPr="009A0C94">
        <w:rPr>
          <w:rStyle w:val="FootnoteReference"/>
        </w:rPr>
        <w:footnoteRef/>
      </w:r>
      <w:r w:rsidRPr="009A0C94">
        <w:rPr>
          <w:rStyle w:val="FootnoteReference"/>
        </w:rPr>
        <w:t xml:space="preserve"> </w:t>
      </w:r>
      <w:r w:rsidRPr="00E06F94">
        <w:rPr>
          <w:lang w:val="es-ES"/>
        </w:rPr>
        <w:tab/>
      </w:r>
      <w:hyperlink r:id="rId10" w:history="1">
        <w:r w:rsidRPr="009A0C94">
          <w:rPr>
            <w:rStyle w:val="Hyperlink"/>
            <w:lang w:val="es-ES"/>
          </w:rPr>
          <w:t>E/C.12/2019/1.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3C9B" w14:textId="77777777" w:rsidR="00E06F94" w:rsidRDefault="00E06F94" w:rsidP="00E06F94">
    <w:pPr>
      <w:pStyle w:val="Header"/>
    </w:pPr>
    <w:r>
      <w:t>E/C.12/GTM/CO/4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CD3" w14:textId="77777777" w:rsidR="00E06F94" w:rsidRDefault="00E06F94" w:rsidP="00E06F94">
    <w:pPr>
      <w:pStyle w:val="Header"/>
      <w:jc w:val="right"/>
    </w:pPr>
    <w:r>
      <w:t>E/C.12/GTM/CO/4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10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603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5ED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9AE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0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00B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6F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47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08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51641C"/>
    <w:rsid w:val="00046E92"/>
    <w:rsid w:val="000D1B89"/>
    <w:rsid w:val="000F6E29"/>
    <w:rsid w:val="001170DC"/>
    <w:rsid w:val="001C29C9"/>
    <w:rsid w:val="00247E2C"/>
    <w:rsid w:val="002D6C53"/>
    <w:rsid w:val="002F5595"/>
    <w:rsid w:val="00334F6A"/>
    <w:rsid w:val="00342AC8"/>
    <w:rsid w:val="003455F1"/>
    <w:rsid w:val="00384D02"/>
    <w:rsid w:val="003B4550"/>
    <w:rsid w:val="0043448D"/>
    <w:rsid w:val="00460E0E"/>
    <w:rsid w:val="00461253"/>
    <w:rsid w:val="005042C2"/>
    <w:rsid w:val="00506C12"/>
    <w:rsid w:val="0051641C"/>
    <w:rsid w:val="0056372C"/>
    <w:rsid w:val="0056599A"/>
    <w:rsid w:val="00585AE1"/>
    <w:rsid w:val="00587690"/>
    <w:rsid w:val="00587F16"/>
    <w:rsid w:val="005E5272"/>
    <w:rsid w:val="00671529"/>
    <w:rsid w:val="006A5598"/>
    <w:rsid w:val="007016C4"/>
    <w:rsid w:val="00717266"/>
    <w:rsid w:val="0072060B"/>
    <w:rsid w:val="007268F9"/>
    <w:rsid w:val="007C52B0"/>
    <w:rsid w:val="00866BF2"/>
    <w:rsid w:val="009411B4"/>
    <w:rsid w:val="009A0C94"/>
    <w:rsid w:val="009D0139"/>
    <w:rsid w:val="009F5CDC"/>
    <w:rsid w:val="00A429CD"/>
    <w:rsid w:val="00A775CF"/>
    <w:rsid w:val="00AB3C7E"/>
    <w:rsid w:val="00AF3493"/>
    <w:rsid w:val="00B06045"/>
    <w:rsid w:val="00B87BF5"/>
    <w:rsid w:val="00BB36EA"/>
    <w:rsid w:val="00C35A27"/>
    <w:rsid w:val="00C448F7"/>
    <w:rsid w:val="00C61D8F"/>
    <w:rsid w:val="00C861B4"/>
    <w:rsid w:val="00E02C2B"/>
    <w:rsid w:val="00E06F94"/>
    <w:rsid w:val="00E51851"/>
    <w:rsid w:val="00E665C4"/>
    <w:rsid w:val="00E929D6"/>
    <w:rsid w:val="00ED6C48"/>
    <w:rsid w:val="00EE2153"/>
    <w:rsid w:val="00EF76C5"/>
    <w:rsid w:val="00F65F5D"/>
    <w:rsid w:val="00F83829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C052C"/>
  <w15:docId w15:val="{C4493CE2-3619-4E8A-AC17-88AF4296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9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C94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A0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C94"/>
    <w:rPr>
      <w:color w:val="0000FF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6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60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0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E/C.12/2001/10" TargetMode="External"/><Relationship Id="rId3" Type="http://schemas.openxmlformats.org/officeDocument/2006/relationships/hyperlink" Target="http://undocs.org/en/E/C.12/2022/SR.44" TargetMode="External"/><Relationship Id="rId7" Type="http://schemas.openxmlformats.org/officeDocument/2006/relationships/hyperlink" Target="http://undocs.org/en/E/C.12/2015/1" TargetMode="External"/><Relationship Id="rId2" Type="http://schemas.openxmlformats.org/officeDocument/2006/relationships/hyperlink" Target="http://undocs.org/en/E/C.12/2022/SR.42%20" TargetMode="External"/><Relationship Id="rId1" Type="http://schemas.openxmlformats.org/officeDocument/2006/relationships/hyperlink" Target="http://undocs.org/en/E/C.12/GTM/4" TargetMode="External"/><Relationship Id="rId6" Type="http://schemas.openxmlformats.org/officeDocument/2006/relationships/hyperlink" Target="http://undocs.org/en/E/C.12/GTM/CO/3" TargetMode="External"/><Relationship Id="rId5" Type="http://schemas.openxmlformats.org/officeDocument/2006/relationships/hyperlink" Target="http://undocs.org/en/E/C.12/2016/2" TargetMode="External"/><Relationship Id="rId10" Type="http://schemas.openxmlformats.org/officeDocument/2006/relationships/hyperlink" Target="http://undocs.org/en/E/C.12/2019/1.%0d" TargetMode="External"/><Relationship Id="rId4" Type="http://schemas.openxmlformats.org/officeDocument/2006/relationships/hyperlink" Target="http://undocs.org/en/E/C.12/GTM/RQ/4" TargetMode="External"/><Relationship Id="rId9" Type="http://schemas.openxmlformats.org/officeDocument/2006/relationships/hyperlink" Target="http://undocs.org/en/A/HRC/21/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11</Pages>
  <Words>5667</Words>
  <Characters>32047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E/C.12/GTM/CO/4</vt:lpstr>
    </vt:vector>
  </TitlesOfParts>
  <Company>DCM</Company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E/C.12/GTM/CO/4</dc:title>
  <dc:subject>2225449</dc:subject>
  <dc:creator>Brigoli</dc:creator>
  <cp:keywords/>
  <dc:description/>
  <cp:lastModifiedBy>Ma. Cristina Brigoli</cp:lastModifiedBy>
  <cp:revision>2</cp:revision>
  <dcterms:created xsi:type="dcterms:W3CDTF">2023-01-17T16:19:00Z</dcterms:created>
  <dcterms:modified xsi:type="dcterms:W3CDTF">2023-01-17T16:19:00Z</dcterms:modified>
</cp:coreProperties>
</file>