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F08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F08CB" w:rsidP="008F08CB">
            <w:pPr>
              <w:jc w:val="right"/>
            </w:pPr>
            <w:r w:rsidRPr="008F08CB">
              <w:rPr>
                <w:sz w:val="40"/>
              </w:rPr>
              <w:t>E</w:t>
            </w:r>
            <w:r>
              <w:t>/C.12/CPV/CO/1</w:t>
            </w:r>
          </w:p>
        </w:tc>
      </w:tr>
      <w:tr w:rsidR="002D5AAC" w:rsidRPr="008F08CB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D2ED0" wp14:editId="2679B78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F08CB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F08CB" w:rsidRDefault="008F08CB" w:rsidP="008F0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November 2018</w:t>
            </w:r>
          </w:p>
          <w:p w:rsidR="008F08CB" w:rsidRDefault="008F08CB" w:rsidP="008F0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F08CB" w:rsidRPr="00D62A45" w:rsidRDefault="008F08CB" w:rsidP="008F08C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F08CB" w:rsidRPr="008F08CB" w:rsidRDefault="008F08CB" w:rsidP="008F08CB">
      <w:pPr>
        <w:spacing w:before="120"/>
        <w:rPr>
          <w:sz w:val="24"/>
          <w:szCs w:val="24"/>
        </w:rPr>
      </w:pPr>
      <w:r w:rsidRPr="008F08CB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8F08CB">
        <w:rPr>
          <w:b/>
          <w:bCs/>
          <w:sz w:val="24"/>
          <w:szCs w:val="24"/>
        </w:rPr>
        <w:t>и культурным правам</w:t>
      </w:r>
    </w:p>
    <w:p w:rsidR="008F08CB" w:rsidRPr="006E131C" w:rsidRDefault="008F08CB" w:rsidP="008F08CB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Заключительные замечания по первоначальному докладу Кабо-Верде</w:t>
      </w:r>
      <w:r w:rsidRPr="000304B1">
        <w:rPr>
          <w:b w:val="0"/>
          <w:bCs/>
          <w:sz w:val="20"/>
        </w:rPr>
        <w:footnoteReference w:customMarkFollows="1" w:id="1"/>
        <w:t>*</w:t>
      </w:r>
    </w:p>
    <w:p w:rsidR="008F08CB" w:rsidRPr="00FC5341" w:rsidRDefault="008F08CB" w:rsidP="008F08CB">
      <w:pPr>
        <w:pStyle w:val="SingleTxtG"/>
      </w:pPr>
      <w:r>
        <w:t>1.</w:t>
      </w:r>
      <w:r>
        <w:tab/>
        <w:t>Комитет рассмотрел первоначальный доклад Кабо-Ве</w:t>
      </w:r>
      <w:r w:rsidR="006B6AD6">
        <w:t>рде (E/C.12/CPV/1) на своих 45-м и 46-</w:t>
      </w:r>
      <w:r>
        <w:t>м заседаниях (см. E/C.12/2018/SR.45 и 46), состоявшихся 4 октября 2018 года, и принял настоящие заключ</w:t>
      </w:r>
      <w:r w:rsidR="00AA05FC">
        <w:t>ительные замечания на своем 58-</w:t>
      </w:r>
      <w:r>
        <w:t xml:space="preserve">м заседании, состоявшемся 12 октября 2018 года. </w:t>
      </w:r>
    </w:p>
    <w:p w:rsidR="008F08CB" w:rsidRPr="006E131C" w:rsidRDefault="006B6AD6" w:rsidP="008F08CB">
      <w:pPr>
        <w:pStyle w:val="H1G"/>
      </w:pPr>
      <w:r>
        <w:tab/>
      </w:r>
      <w:r w:rsidR="008F08CB">
        <w:t>A.</w:t>
      </w:r>
      <w:r w:rsidR="008F08CB">
        <w:tab/>
      </w:r>
      <w:r w:rsidR="008F08CB">
        <w:rPr>
          <w:bCs/>
        </w:rPr>
        <w:t>Введение</w:t>
      </w:r>
    </w:p>
    <w:p w:rsidR="008F08CB" w:rsidRPr="006E131C" w:rsidRDefault="008F08CB" w:rsidP="008F08CB">
      <w:pPr>
        <w:pStyle w:val="SingleTxtG"/>
      </w:pPr>
      <w:r>
        <w:t>2.</w:t>
      </w:r>
      <w:r>
        <w:tab/>
        <w:t>Комитет приветствует первоначальный доклад Кабо-Верде, хотя он был представлен с большой задержкой. Комитет выражает свою признательность за открытый и конструктивный диалог с высокопоставленной делегацией государства-участника и приветствует тот факт, что на первоначальном докладе благоприятно сказались консультации с организациями гражданского общества.</w:t>
      </w:r>
    </w:p>
    <w:p w:rsidR="008F08CB" w:rsidRPr="006E131C" w:rsidRDefault="00AA05FC" w:rsidP="008F08CB">
      <w:pPr>
        <w:pStyle w:val="H1G"/>
      </w:pPr>
      <w:r>
        <w:tab/>
      </w:r>
      <w:r w:rsidR="008F08CB">
        <w:t>B.</w:t>
      </w:r>
      <w:r w:rsidR="008F08CB">
        <w:tab/>
      </w:r>
      <w:r w:rsidR="008F08CB">
        <w:rPr>
          <w:bCs/>
        </w:rPr>
        <w:t>Позитивные аспекты</w:t>
      </w:r>
    </w:p>
    <w:p w:rsidR="008F08CB" w:rsidRPr="006E131C" w:rsidRDefault="008F08CB" w:rsidP="008F08CB">
      <w:pPr>
        <w:pStyle w:val="SingleTxtG"/>
      </w:pPr>
      <w:r>
        <w:t>3.</w:t>
      </w:r>
      <w:r>
        <w:tab/>
        <w:t xml:space="preserve">Комитет приветствует законодательные, институциональные и политические меры, принятые в целях обеспечения защиты экономических, социальных и культурных прав в государстве-участнике, в частности введение национальной минимальной заработной платы на основании Декрета-закона № 6/2014 и принятие Национальной программы борьбы с нищетой, Стратегического плана устойчивого развития и Национального плана по гендерному равенству. </w:t>
      </w:r>
    </w:p>
    <w:p w:rsidR="008F08CB" w:rsidRPr="006E131C" w:rsidRDefault="00AA05FC" w:rsidP="008F08CB">
      <w:pPr>
        <w:pStyle w:val="H1G"/>
      </w:pPr>
      <w:r>
        <w:tab/>
      </w:r>
      <w:r w:rsidR="008F08CB">
        <w:t>C.</w:t>
      </w:r>
      <w:r w:rsidR="008F08CB">
        <w:tab/>
      </w:r>
      <w:r w:rsidR="008F08CB">
        <w:rPr>
          <w:bCs/>
        </w:rPr>
        <w:t>Основные вопросы, вызывающие озабоченность, и рекомендации</w:t>
      </w:r>
    </w:p>
    <w:p w:rsidR="008F08CB" w:rsidRPr="006E131C" w:rsidRDefault="008F08CB" w:rsidP="008F08CB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:rsidR="008F08CB" w:rsidRPr="006E131C" w:rsidRDefault="008F08CB" w:rsidP="008F08CB">
      <w:pPr>
        <w:pStyle w:val="SingleTxtG"/>
      </w:pPr>
      <w:r>
        <w:t>4.</w:t>
      </w:r>
      <w:r>
        <w:tab/>
        <w:t>Комитет обеспокоен тем, что Национальная комиссия по правам человека и гражданству не пользуется достаточной независимостью или автономностью, равно как и не имеет ресурсов, необходимых для ее работы (статья 2 (1)).</w:t>
      </w:r>
    </w:p>
    <w:p w:rsidR="008F08CB" w:rsidRPr="006E131C" w:rsidRDefault="008F08CB" w:rsidP="008F08CB">
      <w:pPr>
        <w:pStyle w:val="SingleTxtG"/>
        <w:rPr>
          <w:b/>
          <w:bCs/>
        </w:rPr>
      </w:pPr>
      <w:r w:rsidRPr="00AA05FC">
        <w:t>5.</w:t>
      </w:r>
      <w:r w:rsidRPr="00B753EF">
        <w:rPr>
          <w:b/>
        </w:rPr>
        <w:tab/>
        <w:t>Комитет рекомендует государству-участнику ускорить утверждение статутного предложения, представленного Национальной комиссией по правам человека и гражданству, что должно привести ее в соответствие с принципами, касающимися статуса национальных учреждений, занимающихся поощрением и защитой прав человека (Парижские принципы).</w:t>
      </w:r>
      <w:r>
        <w:t xml:space="preserve"> </w:t>
      </w:r>
      <w:r>
        <w:rPr>
          <w:b/>
          <w:bCs/>
        </w:rPr>
        <w:t xml:space="preserve">Комитет также рекомендует </w:t>
      </w:r>
      <w:r>
        <w:rPr>
          <w:b/>
          <w:bCs/>
        </w:rPr>
        <w:lastRenderedPageBreak/>
        <w:t>государству-участнику выделить достаточные ресурсы для Комиссии, с тем чтобы она могла функционировать на независимой и эффективной основе.</w:t>
      </w:r>
    </w:p>
    <w:p w:rsidR="008F08CB" w:rsidRPr="006E131C" w:rsidRDefault="008F08CB" w:rsidP="008F08CB">
      <w:pPr>
        <w:pStyle w:val="H23G"/>
      </w:pPr>
      <w:r>
        <w:tab/>
      </w:r>
      <w:r>
        <w:tab/>
      </w:r>
      <w:r>
        <w:rPr>
          <w:bCs/>
        </w:rPr>
        <w:t>Применение Пакта во внутреннем праве</w:t>
      </w:r>
    </w:p>
    <w:p w:rsidR="008F08CB" w:rsidRPr="006E131C" w:rsidRDefault="008F08CB" w:rsidP="008F08CB">
      <w:pPr>
        <w:pStyle w:val="SingleTxtG"/>
      </w:pPr>
      <w:r>
        <w:t>6.</w:t>
      </w:r>
      <w:r>
        <w:tab/>
        <w:t>Комитет обеспокоен тем, что на Пакт не было сделано ссылок в каких-либо судебных решениях в государстве-участнике, несмотря на положения статьи 12 его Конституции, в которых говорится, что ратифицированные международные договоры являются частью внутреннего права.</w:t>
      </w:r>
    </w:p>
    <w:p w:rsidR="008F08CB" w:rsidRPr="006E131C" w:rsidRDefault="008F08CB" w:rsidP="008F08CB">
      <w:pPr>
        <w:pStyle w:val="SingleTxtG"/>
        <w:rPr>
          <w:b/>
          <w:bCs/>
        </w:rPr>
      </w:pPr>
      <w:r w:rsidRPr="00AA05FC">
        <w:t>7.</w:t>
      </w:r>
      <w:r w:rsidRPr="00B753EF">
        <w:rPr>
          <w:b/>
        </w:rPr>
        <w:tab/>
        <w:t>Комитет рекомендует государству-участнику повысить уровень осведомленности судей, юристов и государственных должностных лиц о возможности защиты в судебном порядке прав, закрепленных в Пакте, в том числе через посредство программ профессиональной подготовки, в целях поощрения прямых ссылок на эти права в судах государства-участника.</w:t>
      </w:r>
      <w:r>
        <w:t xml:space="preserve"> </w:t>
      </w:r>
      <w:r>
        <w:rPr>
          <w:b/>
          <w:bCs/>
        </w:rPr>
        <w:t xml:space="preserve">Комитет обращает внимание государства-участника на </w:t>
      </w:r>
      <w:r w:rsidR="00AA05FC">
        <w:rPr>
          <w:b/>
          <w:bCs/>
        </w:rPr>
        <w:t>свое замечание общего порядка № </w:t>
      </w:r>
      <w:r>
        <w:rPr>
          <w:b/>
          <w:bCs/>
        </w:rPr>
        <w:t>9 (1998) о применении Пакта во внутреннем праве.</w:t>
      </w:r>
    </w:p>
    <w:p w:rsidR="008F08CB" w:rsidRPr="006E131C" w:rsidRDefault="008F08CB" w:rsidP="008F08CB">
      <w:pPr>
        <w:pStyle w:val="H23G"/>
      </w:pPr>
      <w:r>
        <w:tab/>
      </w:r>
      <w:r>
        <w:tab/>
        <w:t xml:space="preserve">Изменение климата и уменьшение опасности бедствий </w:t>
      </w:r>
    </w:p>
    <w:p w:rsidR="008F08CB" w:rsidRPr="006E131C" w:rsidRDefault="008F08CB" w:rsidP="008F08CB">
      <w:pPr>
        <w:pStyle w:val="SingleTxtG"/>
      </w:pPr>
      <w:r>
        <w:t>8.</w:t>
      </w:r>
      <w:r>
        <w:tab/>
        <w:t xml:space="preserve">Комитет обеспокоен последствиями стихийных бедствий и периодических засух в государстве-участнике для находящихся в наиболее уязвимом положении людей и реализации их экономических, социальных и культурных прав, которые могут усугубляться воздействием изменения климата. 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9.</w:t>
      </w:r>
      <w:r>
        <w:tab/>
      </w:r>
      <w:r w:rsidRPr="00B753EF">
        <w:rPr>
          <w:b/>
        </w:rPr>
        <w:t xml:space="preserve">Комитет рекомендует государству-участнику: а) повысить эффективность государственной политики и стратегий, направленных на смягчение последствий стихийных бедствий и изменения климата для населения и снижение уязвимости общин, в том числе тех лиц, чьи средства к существованию зависят от климатических условий, таких как фермеры; b) повысить </w:t>
      </w:r>
      <w:r>
        <w:rPr>
          <w:b/>
        </w:rPr>
        <w:t>структурную</w:t>
      </w:r>
      <w:r w:rsidRPr="00B753EF">
        <w:rPr>
          <w:b/>
        </w:rPr>
        <w:t xml:space="preserve"> безопасность домов и инфраструктуры;</w:t>
      </w:r>
      <w:r>
        <w:t xml:space="preserve"> </w:t>
      </w:r>
      <w:r>
        <w:rPr>
          <w:b/>
          <w:bCs/>
        </w:rPr>
        <w:t>и c) регулярно обновлять свои планы действий на случай чрезвычайных обстоятельств  и планы переселения в консультации с заинтересованными общинами.</w:t>
      </w:r>
    </w:p>
    <w:p w:rsidR="008F08CB" w:rsidRPr="006E131C" w:rsidRDefault="008F08CB" w:rsidP="008F08CB">
      <w:pPr>
        <w:pStyle w:val="H23G"/>
      </w:pPr>
      <w:r>
        <w:tab/>
      </w:r>
      <w:r>
        <w:tab/>
        <w:t xml:space="preserve">Неравенство </w:t>
      </w:r>
    </w:p>
    <w:p w:rsidR="008F08CB" w:rsidRPr="006E131C" w:rsidRDefault="008F08CB" w:rsidP="008F08CB">
      <w:pPr>
        <w:pStyle w:val="SingleTxtG"/>
      </w:pPr>
      <w:r>
        <w:t>10.</w:t>
      </w:r>
      <w:r>
        <w:tab/>
        <w:t>Комитет по-прежнему выражает озабоченность в связи с сохраняющимся неравенством в государстве-участнике, а также в связи с разницей между островами, несмотря на некоторый достигнутый прогресс (статья 2 (1)).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11.</w:t>
      </w:r>
      <w:r>
        <w:tab/>
      </w:r>
      <w:r w:rsidRPr="00B753EF">
        <w:rPr>
          <w:b/>
        </w:rPr>
        <w:t>Комитет рекомендует государству-участнику обеспечить, чтобы экономическая, социальная и фискальная политика, включая Стратегический план устойчивого развития, преследовала цель положить конец неравному осуществлению прав, закрепленных в Пакте. В частности, Комитет рекомендует государству-участнику: а) обеспечить, чтобы показатели,</w:t>
      </w:r>
      <w:r>
        <w:rPr>
          <w:b/>
        </w:rPr>
        <w:t xml:space="preserve"> </w:t>
      </w:r>
      <w:r w:rsidRPr="00B753EF">
        <w:rPr>
          <w:b/>
        </w:rPr>
        <w:t xml:space="preserve">предусмотренные программой </w:t>
      </w:r>
      <w:r>
        <w:rPr>
          <w:b/>
        </w:rPr>
        <w:t xml:space="preserve">создания </w:t>
      </w:r>
      <w:r w:rsidRPr="00B753EF">
        <w:rPr>
          <w:b/>
        </w:rPr>
        <w:t>социальной базы данных,</w:t>
      </w:r>
      <w:r>
        <w:rPr>
          <w:b/>
        </w:rPr>
        <w:t xml:space="preserve"> которая </w:t>
      </w:r>
      <w:r w:rsidRPr="00B753EF">
        <w:rPr>
          <w:b/>
        </w:rPr>
        <w:t>предназначен</w:t>
      </w:r>
      <w:r>
        <w:rPr>
          <w:b/>
        </w:rPr>
        <w:t>а</w:t>
      </w:r>
      <w:r w:rsidRPr="00B753EF">
        <w:rPr>
          <w:b/>
        </w:rPr>
        <w:t xml:space="preserve"> </w:t>
      </w:r>
      <w:proofErr w:type="gramStart"/>
      <w:r w:rsidRPr="00B753EF">
        <w:rPr>
          <w:b/>
        </w:rPr>
        <w:t>для картировании</w:t>
      </w:r>
      <w:proofErr w:type="gramEnd"/>
      <w:r w:rsidRPr="00B753EF">
        <w:rPr>
          <w:b/>
        </w:rPr>
        <w:t xml:space="preserve"> домохозяйств, живущих в условиях нищеты, являлись эффективными для отслеживания проявлений неравенства; b) разработать свои базовые инфраструктурные программы, с тем чтобы улучшить доступ к базовым услугам, в том числе для тех, кто живет на менее развитых островах.</w:t>
      </w:r>
      <w:r>
        <w:t xml:space="preserve"> </w:t>
      </w:r>
    </w:p>
    <w:p w:rsidR="008F08CB" w:rsidRPr="006E131C" w:rsidRDefault="008F08CB" w:rsidP="008F08CB">
      <w:pPr>
        <w:pStyle w:val="H23G"/>
      </w:pPr>
      <w:r>
        <w:tab/>
      </w:r>
      <w:r>
        <w:tab/>
        <w:t>Максимальные имеющиеся ресурсы</w:t>
      </w:r>
    </w:p>
    <w:p w:rsidR="008F08CB" w:rsidRPr="006E131C" w:rsidRDefault="008F08CB" w:rsidP="008F08CB">
      <w:pPr>
        <w:pStyle w:val="SingleTxtG"/>
      </w:pPr>
      <w:r>
        <w:t>12.</w:t>
      </w:r>
      <w:r>
        <w:tab/>
        <w:t xml:space="preserve">Принимая во внимание решения, принятые государством-участником для контроля над бюджетным дефицитом в целях повышения конкурентоспособности национальной экономики, Комитет озабочен тем негативным воздействием, которое могут оказать меры жесткой экономии на находящихся в неблагоприятном положении и </w:t>
      </w:r>
      <w:proofErr w:type="spellStart"/>
      <w:r>
        <w:t>маргинализированных</w:t>
      </w:r>
      <w:proofErr w:type="spellEnd"/>
      <w:r>
        <w:t xml:space="preserve"> лиц. Комитет отмечает, что финансовая поддержка, получаемая путем международного сотрудничества, уменьшилась с того момента, как государство-участник стало страной со средним уровнем дохода (статья 2 (1)).</w:t>
      </w:r>
    </w:p>
    <w:p w:rsidR="008F08CB" w:rsidRPr="006E131C" w:rsidRDefault="008F08CB" w:rsidP="00AA05FC">
      <w:pPr>
        <w:pStyle w:val="SingleTxtG"/>
        <w:keepNext/>
        <w:keepLines/>
        <w:rPr>
          <w:b/>
          <w:bCs/>
        </w:rPr>
      </w:pPr>
      <w:r>
        <w:lastRenderedPageBreak/>
        <w:t>13.</w:t>
      </w:r>
      <w:r>
        <w:tab/>
      </w:r>
      <w:r w:rsidRPr="00B753EF">
        <w:rPr>
          <w:b/>
        </w:rPr>
        <w:t>Комитет рекомендует государству-участнику:</w:t>
      </w:r>
      <w:r>
        <w:t xml:space="preserve"> 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a)</w:t>
      </w:r>
      <w:r w:rsidRPr="00AA05FC">
        <w:rPr>
          <w:b/>
        </w:rPr>
        <w:tab/>
        <w:t>о</w:t>
      </w:r>
      <w:r w:rsidRPr="00AA05FC">
        <w:rPr>
          <w:b/>
          <w:bCs/>
        </w:rPr>
        <w:t>беспечить выделение адекватных бюджетных ассигнований на социальные нужды в интересах наиболее обездоленных групп населения при принятии бюджетных корректировок;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b)</w:t>
      </w:r>
      <w:r w:rsidRPr="00AA05FC">
        <w:rPr>
          <w:b/>
        </w:rPr>
        <w:tab/>
      </w:r>
      <w:r w:rsidRPr="00AA05FC">
        <w:rPr>
          <w:b/>
          <w:bCs/>
        </w:rPr>
        <w:t>повысить эффективность плани</w:t>
      </w:r>
      <w:r w:rsidR="00AA05FC">
        <w:rPr>
          <w:b/>
          <w:bCs/>
        </w:rPr>
        <w:t>рования и реализации бюджета, с </w:t>
      </w:r>
      <w:r w:rsidRPr="00AA05FC">
        <w:rPr>
          <w:b/>
          <w:bCs/>
        </w:rPr>
        <w:t>тем чтобы избежать недоиспользования ресурсов;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c)</w:t>
      </w:r>
      <w:r w:rsidRPr="00AA05FC">
        <w:rPr>
          <w:b/>
        </w:rPr>
        <w:tab/>
        <w:t xml:space="preserve">обеспечить, чтобы государственная политика гарантировала пользование минимальным базовым объемом прав в любое время; 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d)</w:t>
      </w:r>
      <w:r w:rsidRPr="00AA05FC">
        <w:rPr>
          <w:b/>
        </w:rPr>
        <w:tab/>
        <w:t>п</w:t>
      </w:r>
      <w:r w:rsidRPr="00AA05FC">
        <w:rPr>
          <w:b/>
          <w:bCs/>
        </w:rPr>
        <w:t>ересмотреть свою фискальную политику в целях улучшения своих возможностей по мобилизации внутренних ресурсов, необходимых для замещения сокращенной суммы международной помощи;</w:t>
      </w:r>
    </w:p>
    <w:p w:rsidR="008F08CB" w:rsidRPr="006E131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e)</w:t>
      </w:r>
      <w:r w:rsidRPr="00AA05FC">
        <w:rPr>
          <w:b/>
        </w:rPr>
        <w:tab/>
        <w:t>п</w:t>
      </w:r>
      <w:r w:rsidRPr="00AA05FC">
        <w:rPr>
          <w:b/>
          <w:bCs/>
        </w:rPr>
        <w:t>р</w:t>
      </w:r>
      <w:r>
        <w:rPr>
          <w:b/>
          <w:bCs/>
        </w:rPr>
        <w:t>одолжать обращаться за помощью к соответствующим международным организациям и учреждениям, занимающимся вопросами развития.</w:t>
      </w:r>
    </w:p>
    <w:p w:rsidR="008F08CB" w:rsidRPr="006E131C" w:rsidRDefault="008F08CB" w:rsidP="008F08CB">
      <w:pPr>
        <w:pStyle w:val="H23G"/>
      </w:pPr>
      <w:r>
        <w:tab/>
      </w:r>
      <w:r>
        <w:tab/>
        <w:t>Коррупция</w:t>
      </w:r>
    </w:p>
    <w:p w:rsidR="008F08CB" w:rsidRPr="006E131C" w:rsidRDefault="008F08CB" w:rsidP="008F08CB">
      <w:pPr>
        <w:pStyle w:val="SingleTxtG"/>
      </w:pPr>
      <w:r>
        <w:t>14.</w:t>
      </w:r>
      <w:r>
        <w:tab/>
        <w:t xml:space="preserve">Комитет обеспокоен сохранением коррупционной практики, несмотря на ряд мер, принятых государством-участником. 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15.</w:t>
      </w:r>
      <w:r>
        <w:tab/>
      </w:r>
      <w:r w:rsidRPr="00FC5708">
        <w:rPr>
          <w:b/>
        </w:rPr>
        <w:t>Комитет рекомендует государству-участнику устранить коренные причины коррупции и продолжать усилия, направленные на борьбу с этой практикой путем осуществления текущих инициатив и реформ, касающихся налогообложения, закупок, надзора и отмывания денег, и обеспечения эффективного осуществления комплексного плана борьбы с коррупцией.</w:t>
      </w:r>
      <w:r>
        <w:t xml:space="preserve"> </w:t>
      </w:r>
      <w:r>
        <w:rPr>
          <w:b/>
          <w:bCs/>
        </w:rPr>
        <w:t>Кроме того, Комитет рекомендует государству-участнику обеспечить безопасную и благоприятную обстановку для активистов по борьбе с коррупцией и их защиту от насилия, угроз, возмездия, негативной дискриминации, давления или любых иных произвольных действий, с которыми они могут столкнуться вследствие их деятельности по борьбе с коррупцией.</w:t>
      </w:r>
    </w:p>
    <w:p w:rsidR="008F08CB" w:rsidRPr="006E131C" w:rsidRDefault="008F08CB" w:rsidP="008F08CB">
      <w:pPr>
        <w:pStyle w:val="H23G"/>
      </w:pPr>
      <w:r>
        <w:tab/>
      </w:r>
      <w:r>
        <w:tab/>
      </w:r>
      <w:proofErr w:type="spellStart"/>
      <w:r>
        <w:t>Недискриминация</w:t>
      </w:r>
      <w:proofErr w:type="spellEnd"/>
      <w:r>
        <w:t xml:space="preserve"> </w:t>
      </w:r>
    </w:p>
    <w:p w:rsidR="008F08CB" w:rsidRPr="006E131C" w:rsidRDefault="008F08CB" w:rsidP="008F08CB">
      <w:pPr>
        <w:pStyle w:val="SingleTxtG"/>
      </w:pPr>
      <w:r>
        <w:t>16.</w:t>
      </w:r>
      <w:r>
        <w:tab/>
        <w:t>Комитет отмечает, что существуют правовые положения, запрещающие дискриминацию в определенных областях, хотя он по-прежнему обеспокоен отсутствием всеобъемлющего антидискриминационного законодательства в государстве-участнике (статья 2 (2)).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17.</w:t>
      </w:r>
      <w:r>
        <w:tab/>
      </w:r>
      <w:r w:rsidRPr="00FC5708">
        <w:rPr>
          <w:b/>
        </w:rPr>
        <w:t>Комитет рекомендует государству-участнику рассмотреть вопрос о принятии всеобъемлющего антидискриминационного законодательства, запрещающего все формы дискриминации, включая косвенную дискриминацию, по признакам, перечисленным в статье 2 (2) Пакта. Комитет также рекомендует государству-участнику активизировать его усилия для обеспечения соблюдения существующих законодательных положений, кас</w:t>
      </w:r>
      <w:r w:rsidR="00AA05FC">
        <w:rPr>
          <w:b/>
        </w:rPr>
        <w:t>ающихся дискриминации, и </w:t>
      </w:r>
      <w:r w:rsidRPr="00FC5708">
        <w:rPr>
          <w:b/>
        </w:rPr>
        <w:t xml:space="preserve">обеспечить, чтобы лица, виновные в совершении дискриминационных актов, были привлечены к </w:t>
      </w:r>
      <w:proofErr w:type="gramStart"/>
      <w:r w:rsidRPr="00FC5708">
        <w:rPr>
          <w:b/>
        </w:rPr>
        <w:t>ответственности</w:t>
      </w:r>
      <w:proofErr w:type="gramEnd"/>
      <w:r w:rsidRPr="00FC5708">
        <w:rPr>
          <w:b/>
        </w:rPr>
        <w:t xml:space="preserve"> и чтобы жертвы имели доступ к эффективным средствам правовой защиты. Кроме того, Комитет рекомендует государству-участнику провести информационно-просветительские кампании по борьбе со стереотипами в отношении лиц и групп, подвергающихся риску дискриминации, таких как лица, живущие с ВИЧ/ СПИДом. Комитет обращает внимание государства-участника на свое замечание общего порядка № 20 (2009) о </w:t>
      </w:r>
      <w:proofErr w:type="spellStart"/>
      <w:r w:rsidRPr="00FC5708">
        <w:rPr>
          <w:b/>
        </w:rPr>
        <w:t>недискриминации</w:t>
      </w:r>
      <w:proofErr w:type="spellEnd"/>
      <w:r w:rsidRPr="00FC5708">
        <w:rPr>
          <w:b/>
        </w:rPr>
        <w:t xml:space="preserve"> в сфере экономических, социальных и культурных прав.</w:t>
      </w:r>
    </w:p>
    <w:p w:rsidR="008F08CB" w:rsidRPr="006E131C" w:rsidRDefault="008F08CB" w:rsidP="008F08CB">
      <w:pPr>
        <w:pStyle w:val="H23G"/>
      </w:pPr>
      <w:r>
        <w:tab/>
      </w:r>
      <w:r>
        <w:tab/>
        <w:t xml:space="preserve">Права инвалидов </w:t>
      </w:r>
    </w:p>
    <w:p w:rsidR="008F08CB" w:rsidRPr="006E131C" w:rsidRDefault="008F08CB" w:rsidP="008F08CB">
      <w:pPr>
        <w:pStyle w:val="SingleTxtG"/>
      </w:pPr>
      <w:r>
        <w:t>18.</w:t>
      </w:r>
      <w:r>
        <w:tab/>
        <w:t xml:space="preserve">Принимая к сведению усилия, предпринятые государством-участником для поощрения и защиты прав инвалидов, Комитет остается обеспокоен тем, что эти лица по-прежнему сталкиваются с барьерами, препятствующими их полной интеграции в </w:t>
      </w:r>
      <w:r>
        <w:lastRenderedPageBreak/>
        <w:t>общество и способствующими их социальной изоляции. В частности, Комитет обеспокоен тем, что:</w:t>
      </w:r>
    </w:p>
    <w:p w:rsidR="008F08CB" w:rsidRPr="006E131C" w:rsidRDefault="008F08CB" w:rsidP="008F08CB">
      <w:pPr>
        <w:pStyle w:val="SingleTxtG"/>
        <w:ind w:firstLine="567"/>
      </w:pPr>
      <w:r>
        <w:tab/>
        <w:t>a)</w:t>
      </w:r>
      <w:r>
        <w:tab/>
        <w:t xml:space="preserve">многие объекты и услуги, открытые или предоставляемые для населения, не отвечают требованиям в отношении доступности, установленным законодательством; </w:t>
      </w:r>
    </w:p>
    <w:p w:rsidR="008F08CB" w:rsidRPr="006E131C" w:rsidRDefault="008F08CB" w:rsidP="008F08CB">
      <w:pPr>
        <w:pStyle w:val="SingleTxtG"/>
        <w:ind w:firstLine="567"/>
      </w:pPr>
      <w:r>
        <w:tab/>
        <w:t>b)</w:t>
      </w:r>
      <w:r>
        <w:tab/>
        <w:t xml:space="preserve">уровень занятости среди инвалидов является низким, частично вследствие того, что нормативные положения, касающиеся их найма, не получают достаточной огласки, а объявления о приеме на работу, как правило, не являются доступными для людей с нарушением зрения; </w:t>
      </w:r>
    </w:p>
    <w:p w:rsidR="008F08CB" w:rsidRPr="006E131C" w:rsidRDefault="008F08CB" w:rsidP="008F08CB">
      <w:pPr>
        <w:pStyle w:val="SingleTxtG"/>
        <w:ind w:firstLine="567"/>
      </w:pPr>
      <w:r>
        <w:tab/>
        <w:t>c)</w:t>
      </w:r>
      <w:r>
        <w:tab/>
        <w:t xml:space="preserve">рабочие места не предусматривают разумное приспособление для содействия занятости инвалидов; </w:t>
      </w:r>
    </w:p>
    <w:p w:rsidR="008F08CB" w:rsidRPr="006E131C" w:rsidRDefault="008F08CB" w:rsidP="008F08CB">
      <w:pPr>
        <w:pStyle w:val="SingleTxtG"/>
        <w:ind w:firstLine="567"/>
      </w:pPr>
      <w:r>
        <w:tab/>
        <w:t>d)</w:t>
      </w:r>
      <w:r>
        <w:tab/>
        <w:t>негативные стереотипы и предрассудки в отношении лиц с интеллектуальной или психосоциальной инвалидностью широко распространены (статьи 2 (2), 6 и 7).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8F08CB" w:rsidRPr="00FC5708" w:rsidRDefault="008F08CB" w:rsidP="008F08CB">
      <w:pPr>
        <w:pStyle w:val="SingleTxtG"/>
        <w:ind w:firstLine="567"/>
        <w:rPr>
          <w:b/>
          <w:bCs/>
        </w:rPr>
      </w:pPr>
      <w:r>
        <w:tab/>
      </w:r>
      <w:r w:rsidRPr="00FC5708">
        <w:rPr>
          <w:b/>
        </w:rPr>
        <w:t>a)</w:t>
      </w:r>
      <w:r w:rsidRPr="00FC5708">
        <w:rPr>
          <w:b/>
        </w:rPr>
        <w:tab/>
        <w:t xml:space="preserve">активизировать свои усилия для обеспечения соблюдения законодательства, касающегося доступа к объектам и услугам, открытым или предоставляемым для населения, и провести оценку соответствующего законодательства и принять коррективные меры; </w:t>
      </w:r>
    </w:p>
    <w:p w:rsidR="008F08CB" w:rsidRPr="00FC5708" w:rsidRDefault="008F08CB" w:rsidP="008F08CB">
      <w:pPr>
        <w:pStyle w:val="SingleTxtG"/>
        <w:ind w:firstLine="567"/>
        <w:rPr>
          <w:b/>
          <w:bCs/>
        </w:rPr>
      </w:pPr>
      <w:r w:rsidRPr="00FC5708">
        <w:rPr>
          <w:b/>
        </w:rPr>
        <w:tab/>
        <w:t>b)</w:t>
      </w:r>
      <w:r w:rsidRPr="00FC5708">
        <w:rPr>
          <w:b/>
        </w:rPr>
        <w:tab/>
        <w:t xml:space="preserve">предать должной огласке существующие нормативные положения о занятости инвалидов и оценить их эффективность; </w:t>
      </w:r>
    </w:p>
    <w:p w:rsidR="008F08CB" w:rsidRPr="00FC5708" w:rsidRDefault="008F08CB" w:rsidP="008F08CB">
      <w:pPr>
        <w:pStyle w:val="SingleTxtG"/>
        <w:ind w:firstLine="567"/>
        <w:rPr>
          <w:b/>
          <w:bCs/>
        </w:rPr>
      </w:pPr>
      <w:r w:rsidRPr="00FC5708">
        <w:rPr>
          <w:b/>
        </w:rPr>
        <w:tab/>
        <w:t>c)</w:t>
      </w:r>
      <w:r w:rsidRPr="00FC5708">
        <w:rPr>
          <w:b/>
        </w:rPr>
        <w:tab/>
        <w:t xml:space="preserve">обеспечить, чтобы объявления о приеме на работу для лиц с нарушением зрения были доступными, и поощрять предоставление разумного приспособления на рабочем месте; </w:t>
      </w:r>
    </w:p>
    <w:p w:rsidR="008F08CB" w:rsidRPr="006E131C" w:rsidRDefault="008F08CB" w:rsidP="008F08CB">
      <w:pPr>
        <w:pStyle w:val="SingleTxtG"/>
        <w:ind w:firstLine="567"/>
        <w:rPr>
          <w:b/>
          <w:bCs/>
        </w:rPr>
      </w:pPr>
      <w:r w:rsidRPr="00FC5708">
        <w:rPr>
          <w:b/>
        </w:rPr>
        <w:tab/>
        <w:t>d)</w:t>
      </w:r>
      <w:r w:rsidRPr="00FC5708">
        <w:rPr>
          <w:b/>
        </w:rPr>
        <w:tab/>
      </w:r>
      <w:r>
        <w:rPr>
          <w:b/>
          <w:bCs/>
        </w:rPr>
        <w:t>повышать осведомленность о потенциале и вкладе инвалидов.</w:t>
      </w:r>
    </w:p>
    <w:p w:rsidR="008F08CB" w:rsidRPr="006E131C" w:rsidRDefault="008F08CB" w:rsidP="008F08CB">
      <w:pPr>
        <w:pStyle w:val="H23G"/>
      </w:pPr>
      <w:r>
        <w:tab/>
      </w:r>
      <w:r>
        <w:tab/>
      </w:r>
      <w:r>
        <w:rPr>
          <w:bCs/>
        </w:rPr>
        <w:t>Права однополых пар</w:t>
      </w:r>
    </w:p>
    <w:p w:rsidR="008F08CB" w:rsidRPr="006E131C" w:rsidRDefault="008F08CB" w:rsidP="008F08CB">
      <w:pPr>
        <w:pStyle w:val="SingleTxtG"/>
      </w:pPr>
      <w:r>
        <w:t>20.</w:t>
      </w:r>
      <w:r>
        <w:tab/>
        <w:t>Комитет с обеспокоенностью отмечает, что однополые пары не могут юридически оформить их союз в государстве-участнике (статья 2 (2)).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 предпринять шаги для юридического оформления однополых союзов с целью предоставления однополым парам тех же прав и защиты, как и гетеросексуальным парам.</w:t>
      </w:r>
    </w:p>
    <w:p w:rsidR="008F08CB" w:rsidRPr="006E131C" w:rsidRDefault="008F08CB" w:rsidP="008F08CB">
      <w:pPr>
        <w:pStyle w:val="H23G"/>
      </w:pPr>
      <w:r>
        <w:tab/>
      </w:r>
      <w:r>
        <w:tab/>
      </w:r>
      <w:r>
        <w:rPr>
          <w:bCs/>
        </w:rPr>
        <w:t>Равенство мужчин и женщин</w:t>
      </w:r>
    </w:p>
    <w:p w:rsidR="008F08CB" w:rsidRPr="006E131C" w:rsidRDefault="008F08CB" w:rsidP="008F08CB">
      <w:pPr>
        <w:pStyle w:val="SingleTxtG"/>
      </w:pPr>
      <w:r>
        <w:t>22.</w:t>
      </w:r>
      <w:r>
        <w:tab/>
        <w:t xml:space="preserve">Комитет обеспокоен тем, что, несмотря на принятие Национального плана по гендерному равенству, гендерное неравенство по-прежнему широко распространено в государстве-участнике. Комитет обеспокоен тем, что женщины </w:t>
      </w:r>
      <w:proofErr w:type="spellStart"/>
      <w:r>
        <w:t>недопредставлены</w:t>
      </w:r>
      <w:proofErr w:type="spellEnd"/>
      <w:r>
        <w:t xml:space="preserve"> в судебной системе, Национальной ассамблее и на гражданской службе. Комитет также обеспокоен тем, что значительные гендерные стереотипы, существующие в государстве-участнике, препятствуют полноценному и равному участию женщин в политической и общественной жизни (статья 3).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в контексте осуществления Национального плана по гендерному равенству: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a)</w:t>
      </w:r>
      <w:r w:rsidRPr="00AA05FC">
        <w:rPr>
          <w:b/>
        </w:rPr>
        <w:tab/>
        <w:t>у</w:t>
      </w:r>
      <w:r w:rsidRPr="00AA05FC">
        <w:rPr>
          <w:b/>
          <w:bCs/>
        </w:rPr>
        <w:t>скорить принятие законодательства по вопросам гендерного равенства;</w:t>
      </w:r>
    </w:p>
    <w:p w:rsidR="008F08CB" w:rsidRPr="00FC5708" w:rsidRDefault="008F08CB" w:rsidP="008F08CB">
      <w:pPr>
        <w:pStyle w:val="SingleTxtG"/>
        <w:ind w:firstLine="567"/>
        <w:rPr>
          <w:b/>
          <w:bCs/>
        </w:rPr>
      </w:pPr>
      <w:r>
        <w:tab/>
      </w:r>
      <w:r w:rsidRPr="00FC5708">
        <w:rPr>
          <w:b/>
        </w:rPr>
        <w:t>b)</w:t>
      </w:r>
      <w:r w:rsidRPr="00FC5708">
        <w:rPr>
          <w:b/>
        </w:rPr>
        <w:tab/>
        <w:t xml:space="preserve">поощрять распределение домашних обязанностей и обязанностей по уходу между мужчинами и женщинами, в том числе путем введения отпуска для отца; </w:t>
      </w:r>
    </w:p>
    <w:p w:rsidR="008F08CB" w:rsidRPr="00FC5708" w:rsidRDefault="008F08CB" w:rsidP="008F08CB">
      <w:pPr>
        <w:pStyle w:val="SingleTxtG"/>
        <w:ind w:firstLine="567"/>
        <w:rPr>
          <w:b/>
          <w:bCs/>
        </w:rPr>
      </w:pPr>
      <w:r w:rsidRPr="00FC5708">
        <w:rPr>
          <w:b/>
        </w:rPr>
        <w:tab/>
        <w:t>c)</w:t>
      </w:r>
      <w:r w:rsidRPr="00FC5708">
        <w:rPr>
          <w:b/>
        </w:rPr>
        <w:tab/>
        <w:t xml:space="preserve">развернуть кампании среди законодателей, политических партий, судебных органов и общественности в целях борьбы с гендерными стереотипами и повышения осведомленности о преимуществах гендерного равенства; </w:t>
      </w:r>
    </w:p>
    <w:p w:rsidR="008F08CB" w:rsidRPr="006E131C" w:rsidRDefault="008F08CB" w:rsidP="008F08CB">
      <w:pPr>
        <w:pStyle w:val="SingleTxtG"/>
        <w:ind w:firstLine="567"/>
        <w:rPr>
          <w:b/>
          <w:bCs/>
        </w:rPr>
      </w:pPr>
      <w:r w:rsidRPr="00FC5708">
        <w:rPr>
          <w:b/>
        </w:rPr>
        <w:lastRenderedPageBreak/>
        <w:tab/>
        <w:t>d)</w:t>
      </w:r>
      <w:r>
        <w:tab/>
        <w:t>о</w:t>
      </w:r>
      <w:r>
        <w:rPr>
          <w:b/>
          <w:bCs/>
        </w:rPr>
        <w:t>беспечить возможности профессиональной подготовки и стимулы для женщин в целях поощрения их участия в общественной и политической жизни.</w:t>
      </w:r>
    </w:p>
    <w:p w:rsidR="008F08CB" w:rsidRPr="006E131C" w:rsidRDefault="008F08CB" w:rsidP="008F08CB">
      <w:pPr>
        <w:pStyle w:val="H23G"/>
      </w:pPr>
      <w:r>
        <w:tab/>
      </w:r>
      <w:r>
        <w:tab/>
      </w:r>
      <w:r>
        <w:rPr>
          <w:bCs/>
        </w:rPr>
        <w:t>Безработица среди молодежи</w:t>
      </w:r>
    </w:p>
    <w:p w:rsidR="008F08CB" w:rsidRPr="006E131C" w:rsidRDefault="008F08CB" w:rsidP="008F08CB">
      <w:pPr>
        <w:pStyle w:val="SingleTxtG"/>
      </w:pPr>
      <w:r>
        <w:t>24.</w:t>
      </w:r>
      <w:r>
        <w:tab/>
        <w:t>Комитет обеспокоен крайне высоким уровнем безработицы среди молодежи, особенно молодых женщин. Он с обеспокоенностью отмечает, что учебные планы программ подготовки в рамках формального образования не приспособлены к потребностям рынка труда, что затрудняет для молодых людей возможности гарантированного получения первой работы (статьи 3, 6 и 12).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активизировать меры по сокращению безработицы среди молодых выпускников учебных заведений, особенно молодых женщин, как в городских, так и в сельских районах, в том числе посредством: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a)</w:t>
      </w:r>
      <w:r w:rsidRPr="00AA05FC">
        <w:rPr>
          <w:b/>
        </w:rPr>
        <w:tab/>
        <w:t>р</w:t>
      </w:r>
      <w:r w:rsidRPr="00AA05FC">
        <w:rPr>
          <w:b/>
          <w:bCs/>
        </w:rPr>
        <w:t>азработки учебных планов и программ профессиональной подготовки, которые позволяют им приобретать навыки, требующиеся на рынке труда;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b)</w:t>
      </w:r>
      <w:r w:rsidRPr="00AA05FC">
        <w:rPr>
          <w:b/>
        </w:rPr>
        <w:tab/>
        <w:t xml:space="preserve">расширения охвата своей национальной программы стажировки специалистов и программ профессионально-технической подготовки; 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c)</w:t>
      </w:r>
      <w:r w:rsidRPr="00AA05FC">
        <w:rPr>
          <w:b/>
        </w:rPr>
        <w:tab/>
      </w:r>
      <w:r w:rsidRPr="00AA05FC">
        <w:rPr>
          <w:b/>
          <w:bCs/>
        </w:rPr>
        <w:t>оценки эффективности созданных налоговых стимулов для найма молодежи;</w:t>
      </w:r>
    </w:p>
    <w:p w:rsidR="008F08CB" w:rsidRPr="00FC5341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d)</w:t>
      </w:r>
      <w:r w:rsidRPr="00AA05FC">
        <w:rPr>
          <w:b/>
        </w:rPr>
        <w:tab/>
        <w:t>о</w:t>
      </w:r>
      <w:r w:rsidRPr="00AA05FC">
        <w:rPr>
          <w:b/>
          <w:bCs/>
        </w:rPr>
        <w:t>б</w:t>
      </w:r>
      <w:r>
        <w:rPr>
          <w:b/>
          <w:bCs/>
        </w:rPr>
        <w:t>еспечения того, чтобы эти меры также учитывали потребности молодых женщин, ищущих работу.</w:t>
      </w:r>
    </w:p>
    <w:p w:rsidR="008F08CB" w:rsidRPr="00B753EF" w:rsidRDefault="008F08CB" w:rsidP="008F08CB">
      <w:pPr>
        <w:pStyle w:val="H23G"/>
      </w:pPr>
      <w:r>
        <w:tab/>
      </w:r>
      <w:r>
        <w:tab/>
      </w:r>
      <w:r>
        <w:rPr>
          <w:bCs/>
        </w:rPr>
        <w:t>Занятость женщин</w:t>
      </w:r>
    </w:p>
    <w:p w:rsidR="008F08CB" w:rsidRPr="00FC5341" w:rsidRDefault="008F08CB" w:rsidP="008F08CB">
      <w:pPr>
        <w:pStyle w:val="SingleTxtG"/>
      </w:pPr>
      <w:r>
        <w:t>26.</w:t>
      </w:r>
      <w:r>
        <w:tab/>
        <w:t>Комитет обеспокоен низким уровнем участия женщин на рынке труда (на</w:t>
      </w:r>
      <w:r w:rsidR="00AA05FC">
        <w:rPr>
          <w:lang w:val="en-US"/>
        </w:rPr>
        <w:t> </w:t>
      </w:r>
      <w:r>
        <w:t>10</w:t>
      </w:r>
      <w:r w:rsidR="00AA05FC" w:rsidRPr="00AA05FC">
        <w:t>%</w:t>
      </w:r>
      <w:r w:rsidR="00AA05FC">
        <w:t> </w:t>
      </w:r>
      <w:r>
        <w:t>ниже уровня участия мужчин) и высоким уровнем безработицы среди женщин. Комитет также обеспокоен широким и сохраняющимся разрывом в заработной плате между мужчинами и женщинами, вертикальной и горизонтальной сегрегацией на рынке труда и высокой долей женщин в условиях нестабильной занятости. Кроме того, он отмечает, что женщины вовлечены главным образом в неформальный сектор экономики, и как следствие, они в меньшей степени охвачены системами социального обеспечения, предполагающими уплату предварительных взносов, и чаще получают не предполагающие уплату предварительных взносов социальные пенсии, которые в настоящее время покрывают лишь 20</w:t>
      </w:r>
      <w:r w:rsidR="00AA05FC" w:rsidRPr="00AA05FC">
        <w:t>%</w:t>
      </w:r>
      <w:r>
        <w:t xml:space="preserve"> прожиточного минимума. Поэтому женщины имеют более низкие доходы и более низкие пенсии, что делает их особенно уязвимыми для нищеты, особенно в пожилом возрасте (статьи 6, 7 и 10).</w:t>
      </w:r>
    </w:p>
    <w:p w:rsidR="008F08CB" w:rsidRPr="006E131C" w:rsidRDefault="008F08CB" w:rsidP="008F08CB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государству-участнику принять меры, направленные на поощрение и облегчение участия женщин на рынке труда и устранение барьеров, препятствующих их участию, в том числе путем: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>
        <w:tab/>
      </w:r>
      <w:r w:rsidRPr="00AA05FC">
        <w:rPr>
          <w:b/>
        </w:rPr>
        <w:t>a)</w:t>
      </w:r>
      <w:r w:rsidRPr="00AA05FC">
        <w:rPr>
          <w:b/>
        </w:rPr>
        <w:tab/>
        <w:t>у</w:t>
      </w:r>
      <w:r w:rsidRPr="00AA05FC">
        <w:rPr>
          <w:b/>
          <w:bCs/>
        </w:rPr>
        <w:t>странения коренных причин низкого уровня участия женщин на рынке труда, включая стереотипы и традиционные гендерные роли;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b)</w:t>
      </w:r>
      <w:r w:rsidRPr="00AA05FC">
        <w:rPr>
          <w:b/>
        </w:rPr>
        <w:tab/>
        <w:t xml:space="preserve">борьбы с дискриминацией в отношении женщин в процессах найма на работу; </w:t>
      </w:r>
    </w:p>
    <w:p w:rsidR="008F08CB" w:rsidRPr="00AB615E" w:rsidRDefault="008F08CB" w:rsidP="008F08CB">
      <w:pPr>
        <w:pStyle w:val="SingleTxtG"/>
        <w:ind w:firstLine="567"/>
        <w:rPr>
          <w:b/>
          <w:bCs/>
        </w:rPr>
      </w:pPr>
      <w:r w:rsidRPr="00AB615E">
        <w:rPr>
          <w:b/>
        </w:rPr>
        <w:t>c)</w:t>
      </w:r>
      <w:r w:rsidRPr="00AB615E">
        <w:rPr>
          <w:b/>
        </w:rPr>
        <w:tab/>
        <w:t xml:space="preserve">принятия мер для оказания поддержки работающим женщинам при переходе на полную занятость в формальном секторе экономики, в том числе посредством разработки доступных решений по уходу за детьми и других мер, с тем чтобы помочь мужчинам и женщинам совмещать профессиональную и семейную жизнь; </w:t>
      </w:r>
    </w:p>
    <w:p w:rsidR="008F08CB" w:rsidRPr="00AB615E" w:rsidRDefault="008F08CB" w:rsidP="008F08CB">
      <w:pPr>
        <w:pStyle w:val="SingleTxtG"/>
        <w:ind w:firstLine="567"/>
        <w:rPr>
          <w:b/>
          <w:bCs/>
        </w:rPr>
      </w:pPr>
      <w:r w:rsidRPr="00AB615E">
        <w:rPr>
          <w:b/>
        </w:rPr>
        <w:tab/>
        <w:t>d)</w:t>
      </w:r>
      <w:r w:rsidRPr="00AB615E">
        <w:rPr>
          <w:b/>
        </w:rPr>
        <w:tab/>
        <w:t>продления срока отпуска по бере</w:t>
      </w:r>
      <w:r w:rsidR="00AA05FC">
        <w:rPr>
          <w:b/>
        </w:rPr>
        <w:t>менности и родам до не менее 14 </w:t>
      </w:r>
      <w:r w:rsidRPr="00AB615E">
        <w:rPr>
          <w:b/>
        </w:rPr>
        <w:t>недель,</w:t>
      </w:r>
      <w:r>
        <w:rPr>
          <w:b/>
        </w:rPr>
        <w:t xml:space="preserve"> </w:t>
      </w:r>
      <w:r w:rsidRPr="00AB615E">
        <w:rPr>
          <w:b/>
        </w:rPr>
        <w:t xml:space="preserve">как рекомендовано Международной организацией труда (МОТ); 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lastRenderedPageBreak/>
        <w:tab/>
        <w:t>e)</w:t>
      </w:r>
      <w:r w:rsidRPr="00AA05FC">
        <w:rPr>
          <w:b/>
        </w:rPr>
        <w:tab/>
        <w:t>с</w:t>
      </w:r>
      <w:r w:rsidRPr="00AA05FC">
        <w:rPr>
          <w:b/>
          <w:bCs/>
        </w:rPr>
        <w:t xml:space="preserve">одействия карьерному росту женщин, с тем чтобы позволить им занять высокопоставленные должности и должности в секторах, в которых они </w:t>
      </w:r>
      <w:proofErr w:type="spellStart"/>
      <w:r w:rsidRPr="00AA05FC">
        <w:rPr>
          <w:b/>
          <w:bCs/>
        </w:rPr>
        <w:t>недопредставлены</w:t>
      </w:r>
      <w:proofErr w:type="spellEnd"/>
      <w:r w:rsidRPr="00AA05FC">
        <w:rPr>
          <w:b/>
          <w:bCs/>
        </w:rPr>
        <w:t>, в целях преодоления вертикальной и горизонтальной гендерной сегрегации на рынке труда;</w:t>
      </w:r>
    </w:p>
    <w:p w:rsidR="008F08CB" w:rsidRPr="001F2AB6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f)</w:t>
      </w:r>
      <w:r w:rsidRPr="00AA05FC">
        <w:rPr>
          <w:b/>
        </w:rPr>
        <w:tab/>
        <w:t>о</w:t>
      </w:r>
      <w:r>
        <w:rPr>
          <w:b/>
          <w:bCs/>
        </w:rPr>
        <w:t>беспечения соблюдения правовых положений о равной плате за труд равной ценности для мужчин и женщин;</w:t>
      </w:r>
    </w:p>
    <w:p w:rsidR="008F08CB" w:rsidRPr="00AB615E" w:rsidRDefault="008F08CB" w:rsidP="008F08CB">
      <w:pPr>
        <w:pStyle w:val="SingleTxtG"/>
        <w:ind w:firstLine="567"/>
        <w:rPr>
          <w:b/>
          <w:bCs/>
        </w:rPr>
      </w:pPr>
      <w:r>
        <w:tab/>
      </w:r>
      <w:r w:rsidRPr="00AB615E">
        <w:rPr>
          <w:b/>
        </w:rPr>
        <w:t>g)</w:t>
      </w:r>
      <w:r w:rsidRPr="00AB615E">
        <w:rPr>
          <w:b/>
        </w:rPr>
        <w:tab/>
        <w:t>обеспечения того, чтобы социальные пособия эффективно смягчали влияние случаев перерывов в профессиональной деятельности и других неблагоприятных факторов, с которыми женщины сталкиваются на протяжении всей своей трудовой жизни и которые препя</w:t>
      </w:r>
      <w:r w:rsidR="008074DD">
        <w:rPr>
          <w:b/>
        </w:rPr>
        <w:t>тствую</w:t>
      </w:r>
      <w:r w:rsidRPr="00AB615E">
        <w:rPr>
          <w:b/>
        </w:rPr>
        <w:t xml:space="preserve">т осуществлению ими права на надлежащий уровень жизни, в том числе в пожилом возрасте. </w:t>
      </w:r>
    </w:p>
    <w:p w:rsidR="008F08CB" w:rsidRPr="00E42B5C" w:rsidRDefault="008F08CB" w:rsidP="008F08CB">
      <w:pPr>
        <w:pStyle w:val="H23G"/>
      </w:pPr>
      <w:r>
        <w:tab/>
      </w:r>
      <w:r>
        <w:tab/>
        <w:t>Минимальная заработная плата</w:t>
      </w:r>
    </w:p>
    <w:p w:rsidR="008F08CB" w:rsidRPr="001F2AB6" w:rsidRDefault="008F08CB" w:rsidP="008F08CB">
      <w:pPr>
        <w:pStyle w:val="SingleTxtG"/>
      </w:pPr>
      <w:r>
        <w:t>28.</w:t>
      </w:r>
      <w:r>
        <w:tab/>
        <w:t>Комитет обеспокоен тем, что многие работодатели, особенно в сельскохозяйственном секторе и в сфере домашних услуг, не соблюдают установленное законом обязательство выплачивать минимальную заработную плату. Кроме того, Комитет обеспокоен тем, что нынешняя минимальная заработная плата не обеспечивает удовлетворительное существование дл</w:t>
      </w:r>
      <w:r w:rsidR="00AA05FC">
        <w:t>я трудящихся и их семей (статья </w:t>
      </w:r>
      <w:r>
        <w:t>7).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29.</w:t>
      </w:r>
      <w:r>
        <w:tab/>
      </w:r>
      <w:r w:rsidRPr="008B3846">
        <w:rPr>
          <w:b/>
        </w:rPr>
        <w:t>Комитет рекомендует государству-участнику более эффективно обеспечивать соблюдение минимального размера заработной платы, в том числе посредством проведения инспекций в таких секторах, как сельское хозяйство и домашние услуги. Комитет также рекомендует государству-участнику обеспечить, чтобы минимальная заработная плата обеспечивала удовлетворительное существование для трудящихся и их семей, в том числе посредством периодического пересмотра ее размера и ее индексации, по крайней мере, с учетом стоимости жизни.</w:t>
      </w:r>
      <w:r>
        <w:t xml:space="preserve">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Справедливые и благоприятные условия труда</w:t>
      </w:r>
    </w:p>
    <w:p w:rsidR="008F08CB" w:rsidRPr="001F2AB6" w:rsidRDefault="008F08CB" w:rsidP="008F08CB">
      <w:pPr>
        <w:pStyle w:val="SingleTxtG"/>
      </w:pPr>
      <w:r>
        <w:t>30.</w:t>
      </w:r>
      <w:r>
        <w:tab/>
        <w:t>Комитет озабочен тем, что без надлежащих гарантий реформы в сфере труда, предпринятые в 2015 году, с тем чтобы сделать страну более привлекательной для инвесторов, и либерализация рынка труда усилят отсутствие гарантий занятости и в несоразмерной степени скажутся на наиболее уязвимых трудящихся (статья 7).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31.</w:t>
      </w:r>
      <w:r>
        <w:tab/>
      </w:r>
      <w:r w:rsidRPr="008B3846">
        <w:rPr>
          <w:b/>
        </w:rPr>
        <w:t>Признавая необходимость обеспечить равновесие между надежностью занятости и гибкостью экономики, Комитет рекомендует государству-участнику гарантировать права трудящихся, особенно наиболее уязвимых. Комитет обращает внимание государства-участника на свое замечание общего порядка</w:t>
      </w:r>
      <w:r w:rsidR="00AA05FC">
        <w:rPr>
          <w:b/>
          <w:lang w:val="en-US"/>
        </w:rPr>
        <w:t> </w:t>
      </w:r>
      <w:r w:rsidRPr="008B3846">
        <w:rPr>
          <w:b/>
        </w:rPr>
        <w:t>№</w:t>
      </w:r>
      <w:r w:rsidR="00AA05FC">
        <w:rPr>
          <w:b/>
          <w:lang w:val="en-US"/>
        </w:rPr>
        <w:t> </w:t>
      </w:r>
      <w:r w:rsidRPr="008B3846">
        <w:rPr>
          <w:b/>
        </w:rPr>
        <w:t>23 (2016) о праве на справедливые и благоприятные условия труда.</w:t>
      </w:r>
      <w:r>
        <w:t xml:space="preserve">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Домашняя прислуга</w:t>
      </w:r>
    </w:p>
    <w:p w:rsidR="008F08CB" w:rsidRPr="001F2AB6" w:rsidRDefault="008F08CB" w:rsidP="008F08CB">
      <w:pPr>
        <w:pStyle w:val="SingleTxtG"/>
      </w:pPr>
      <w:r>
        <w:t>32.</w:t>
      </w:r>
      <w:r>
        <w:tab/>
        <w:t>Комитет обеспокоен тем, что работающие в качестве домашней прислуги лица в государстве-участнике не пользуются правом на справедливые и благоприятные условия труда.</w:t>
      </w:r>
    </w:p>
    <w:p w:rsidR="008F08CB" w:rsidRPr="00BF6768" w:rsidRDefault="008F08CB" w:rsidP="008F08CB">
      <w:pPr>
        <w:pStyle w:val="SingleTxtG"/>
        <w:rPr>
          <w:b/>
          <w:bCs/>
        </w:rPr>
      </w:pPr>
      <w:r>
        <w:t>33.</w:t>
      </w:r>
      <w:r>
        <w:tab/>
      </w:r>
      <w:r w:rsidRPr="008B3846">
        <w:rPr>
          <w:b/>
        </w:rPr>
        <w:t>Комитет рекомендует государству-участнику принять эффективные меры для распространения и более действенного обеспечения соблюдения правовых положений, касающихся прав на труд и социальное обеспечение лиц, работающих в качестве домашней прислуги, и для обеспечения того, чтобы домашние работники пользовались своими правами.</w:t>
      </w:r>
      <w:r>
        <w:t xml:space="preserve"> </w:t>
      </w:r>
      <w:r>
        <w:rPr>
          <w:b/>
          <w:bCs/>
        </w:rPr>
        <w:t>Кроме того, Комитет призывает государств</w:t>
      </w:r>
      <w:r w:rsidR="008074DD">
        <w:rPr>
          <w:b/>
          <w:bCs/>
        </w:rPr>
        <w:t>о</w:t>
      </w:r>
      <w:r>
        <w:rPr>
          <w:b/>
          <w:bCs/>
        </w:rPr>
        <w:t>-участник ратифицировать Конвенцию МОТ о домашних работниках 2011 года (№ 189).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Неформальная экономика</w:t>
      </w:r>
    </w:p>
    <w:p w:rsidR="008F08CB" w:rsidRPr="001F2AB6" w:rsidRDefault="008F08CB" w:rsidP="008F08CB">
      <w:pPr>
        <w:pStyle w:val="SingleTxtG"/>
      </w:pPr>
      <w:r>
        <w:t>34.</w:t>
      </w:r>
      <w:r>
        <w:tab/>
        <w:t>Комитет обеспокоен тем, что значительная доля населения государства-участника занята в неформальном секторе экономики, не имея доступа к социальному обеспечению и защите трудовых прав (статьи 7 и 9).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lastRenderedPageBreak/>
        <w:t>35.</w:t>
      </w:r>
      <w:r>
        <w:tab/>
      </w:r>
      <w:r w:rsidRPr="008B3846">
        <w:rPr>
          <w:b/>
        </w:rPr>
        <w:t>Комитет рекомендует государству-участнику активизировать свои усилия с целью вовлечения большего числа работников в формальный сектор экономики, содействия формализации неформальных предприятий и увеличения доли трудящихся, охваченных трудовым законодательством и системой социального обеспечения, предполагающей уплату предварительных взносов.</w:t>
      </w:r>
      <w:r>
        <w:t xml:space="preserve">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Профсоюзные права</w:t>
      </w:r>
    </w:p>
    <w:p w:rsidR="008F08CB" w:rsidRPr="001F2AB6" w:rsidRDefault="008F08CB" w:rsidP="008F08CB">
      <w:pPr>
        <w:pStyle w:val="SingleTxtG"/>
      </w:pPr>
      <w:r>
        <w:t>36.</w:t>
      </w:r>
      <w:r>
        <w:tab/>
        <w:t>Отмечая, что свобода членства в профессиональных союзах и право на забастовку гарантируются Конституцией государства-участника, Комитет выражает обеспокоенность тем, что профсоюзы сообщали о посягательствах на право на забастовку (статья 8).</w:t>
      </w:r>
    </w:p>
    <w:p w:rsidR="008F08CB" w:rsidRPr="008074DD" w:rsidRDefault="008F08CB" w:rsidP="008F08CB">
      <w:pPr>
        <w:pStyle w:val="SingleTxtG"/>
        <w:rPr>
          <w:b/>
          <w:bCs/>
        </w:rPr>
      </w:pPr>
      <w:r>
        <w:t>37.</w:t>
      </w:r>
      <w:r>
        <w:tab/>
      </w:r>
      <w:r w:rsidRPr="008074DD">
        <w:rPr>
          <w:b/>
        </w:rPr>
        <w:t xml:space="preserve">Признавая необходимость поддержания минимальных основных услуг, Комитет рекомендует государству-участнику обеспечить, чтобы право на забастовку </w:t>
      </w:r>
      <w:proofErr w:type="gramStart"/>
      <w:r w:rsidRPr="008074DD">
        <w:rPr>
          <w:b/>
        </w:rPr>
        <w:t>охранялось</w:t>
      </w:r>
      <w:proofErr w:type="gramEnd"/>
      <w:r w:rsidRPr="008074DD">
        <w:rPr>
          <w:b/>
        </w:rPr>
        <w:t xml:space="preserve"> и чтобы ограничения права на забастовку для определенных секторов трудовой деятельности </w:t>
      </w:r>
      <w:r w:rsidR="008074DD">
        <w:rPr>
          <w:b/>
        </w:rPr>
        <w:t>толковались в строгом смысле, в </w:t>
      </w:r>
      <w:r w:rsidRPr="008074DD">
        <w:rPr>
          <w:b/>
        </w:rPr>
        <w:t xml:space="preserve">соответствии с принципами Международной организации труда (МОТ), касающимися права на забастовку.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Право на социальное обеспечение</w:t>
      </w:r>
    </w:p>
    <w:p w:rsidR="008F08CB" w:rsidRPr="001F2AB6" w:rsidRDefault="008F08CB" w:rsidP="008F08CB">
      <w:pPr>
        <w:pStyle w:val="SingleTxtG"/>
      </w:pPr>
      <w:r>
        <w:t>38.</w:t>
      </w:r>
      <w:r>
        <w:tab/>
        <w:t>Комитет обеспокоен тем, что базовые социальные пенсии, в настоящее время установленные в размере 5</w:t>
      </w:r>
      <w:r w:rsidR="00AA05FC" w:rsidRPr="00AA05FC">
        <w:t xml:space="preserve"> </w:t>
      </w:r>
      <w:r>
        <w:t>000 эскудо в месяц, не обеспечивают надлежащий уровень жизни для пенсионеров. Кроме того, Комитет обеспокоен тем, что на практике многие работодатели не регистрируют домашних работников в системе социального обеспечения, или они не выплачивают свою долю обязательных взносов. Комитет также отмечает, что финансовая устойчивость системы социального обеспечения в государстве-участнике находится под давлением (статья 9).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39.</w:t>
      </w:r>
      <w:r>
        <w:tab/>
      </w:r>
      <w:r w:rsidRPr="008B3846">
        <w:rPr>
          <w:b/>
        </w:rPr>
        <w:t>Комитет рекомендует государству-</w:t>
      </w:r>
      <w:r w:rsidR="00AA05FC">
        <w:rPr>
          <w:b/>
        </w:rPr>
        <w:t>участнику обеспечить, чтобы: a) </w:t>
      </w:r>
      <w:r>
        <w:rPr>
          <w:b/>
        </w:rPr>
        <w:t>пособия</w:t>
      </w:r>
      <w:r w:rsidRPr="008B3846">
        <w:rPr>
          <w:b/>
        </w:rPr>
        <w:t xml:space="preserve"> были адекватными, в том числе за счет индексации изменений базовой социальной пенсии  с учетом стоимости жизни; b) эффективного контроля регистрации работников в системе социального обеспечения и выплаты обязательных взносов, в частности для лиц, работающих в качестве домашней прислуги; и c) эффективного управление и надзора за работой системы социального обеспечения, с тем чтобы гарантировать ее финансовую устойчивость</w:t>
      </w:r>
      <w:r>
        <w:t xml:space="preserve">. </w:t>
      </w:r>
      <w:r>
        <w:rPr>
          <w:b/>
          <w:bCs/>
        </w:rPr>
        <w:t>Комитет обращает внимание государства-участника на свое замечание общего порядка № 19 (2007) о праве на социальное обеспечение.</w:t>
      </w:r>
    </w:p>
    <w:p w:rsidR="008F08CB" w:rsidRPr="001F2AB6" w:rsidRDefault="008F08CB" w:rsidP="008F08CB">
      <w:pPr>
        <w:pStyle w:val="SingleTxtG"/>
      </w:pPr>
      <w:r>
        <w:t>40.</w:t>
      </w:r>
      <w:r>
        <w:tab/>
        <w:t>Отмечая, что государство-участник заключило соглашения о социальном обеспечении с несколькими странами, принимающими трудящихся-мигрантов из Кабо-Верде, Комитет обеспокоен тем, что не все мигранты из государства-участника имеют доступ к социальной защите (статья 9).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41.</w:t>
      </w:r>
      <w:r>
        <w:tab/>
      </w:r>
      <w:r w:rsidRPr="008B3846">
        <w:rPr>
          <w:b/>
        </w:rPr>
        <w:t xml:space="preserve">Комитет рекомендует государству-участнику продолжать свои усилия по установлению контактов с принимающими странами и </w:t>
      </w:r>
      <w:proofErr w:type="spellStart"/>
      <w:r w:rsidRPr="008B3846">
        <w:rPr>
          <w:b/>
        </w:rPr>
        <w:t>кабо-вердинскими</w:t>
      </w:r>
      <w:proofErr w:type="spellEnd"/>
      <w:r w:rsidRPr="008B3846">
        <w:rPr>
          <w:b/>
        </w:rPr>
        <w:t xml:space="preserve"> мигрантами, с тем чтобы гарантировать их права на социальное обеспечение.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Защита детей</w:t>
      </w:r>
    </w:p>
    <w:p w:rsidR="008F08CB" w:rsidRPr="001F2AB6" w:rsidRDefault="008F08CB" w:rsidP="008F08CB">
      <w:pPr>
        <w:pStyle w:val="SingleTxtG"/>
      </w:pPr>
      <w:r>
        <w:t>42.</w:t>
      </w:r>
      <w:r>
        <w:tab/>
        <w:t>Комитет обеспокоен высокой долей дете</w:t>
      </w:r>
      <w:r w:rsidR="008074DD">
        <w:t>й, живущих в условиях нищеты, в </w:t>
      </w:r>
      <w:r>
        <w:t>частности тех, кто живет в неполных семьях (статьи 10 и 11).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Комитет рекомендует государству-участнику выделить адекватные ресурсы и установить четкие показатели для осуществления Национальной программы борьбы с нищетой и Стратегического плана устойчивого развития и продолжать принимать целенаправленные меры по преодолению нищеты детей и домашних хозяйств в городских и сельских районах.</w:t>
      </w:r>
    </w:p>
    <w:p w:rsidR="008F08CB" w:rsidRPr="001F2AB6" w:rsidRDefault="008F08CB" w:rsidP="008F08CB">
      <w:pPr>
        <w:pStyle w:val="SingleTxtG"/>
      </w:pPr>
      <w:r>
        <w:t>44.</w:t>
      </w:r>
      <w:r>
        <w:tab/>
        <w:t xml:space="preserve">Комитет обеспокоен сохранением эксплуатации детей и насилия в отношении детей, в том числе сексуального насилия, в государстве-участнике. Он также обеспокоен тем, что, несмотря на его запрет, детский труд по-прежнему широко </w:t>
      </w:r>
      <w:r>
        <w:lastRenderedPageBreak/>
        <w:t>распространен в государстве-участнике, в частност</w:t>
      </w:r>
      <w:r w:rsidR="00AA05FC">
        <w:t>и вследствие нищеты (статьи 7 и </w:t>
      </w:r>
      <w:r>
        <w:t>10).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45.</w:t>
      </w:r>
      <w:r>
        <w:tab/>
      </w:r>
      <w:r w:rsidRPr="002053D2">
        <w:rPr>
          <w:b/>
        </w:rPr>
        <w:t>Комитет рекомендует государству-участнику продолжать свои усилия по защите детей от жестокого обращения, насилия и эксплуатации, в том числе посредством эффективного осуществления национального плана по борьбе с насилием в отношении детей и их эксплуатацией, проведения информационно-просветительских кампаний и адресных информационно-просветительских программ для учителей и медицинских специа</w:t>
      </w:r>
      <w:r w:rsidR="00AA05FC">
        <w:rPr>
          <w:b/>
        </w:rPr>
        <w:t>листов, работающих с детьми. Он </w:t>
      </w:r>
      <w:r w:rsidRPr="002053D2">
        <w:rPr>
          <w:b/>
        </w:rPr>
        <w:t>также рекомендует государству-участнику продолжать принимать эффективные меры по предупреждению и искоренению детского труда, такие как охват его поддержкой семей и домохозяйств, находящихся в неблагоприятном положении, и предоставление им стимулов для удержания детей в школе.</w:t>
      </w:r>
      <w:r>
        <w:t xml:space="preserve">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Регистрация рождения</w:t>
      </w:r>
    </w:p>
    <w:p w:rsidR="008F08CB" w:rsidRPr="001F2AB6" w:rsidRDefault="008F08CB" w:rsidP="008F08CB">
      <w:pPr>
        <w:pStyle w:val="SingleTxtG"/>
      </w:pPr>
      <w:r>
        <w:t>46.</w:t>
      </w:r>
      <w:r>
        <w:tab/>
        <w:t>Комитет приветствует усилия государства-участника по увеличению числа зарегистрированных рождений, в частности посредством постановления о том, чтобы родители регистрировали своего новорожденного ребенка в больнице. Однако он обеспокоен тем, что дети, которые не были рождены в больницах, не регистрируются (статья 10).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47.</w:t>
      </w:r>
      <w:r>
        <w:tab/>
        <w:t>К</w:t>
      </w:r>
      <w:r w:rsidRPr="002053D2">
        <w:rPr>
          <w:b/>
        </w:rPr>
        <w:t xml:space="preserve">омитет рекомендует государству-участнику продолжать работу по повышению осведомленности населения о необходимости регистрации рождений и о негативных последствиях, которые может иметь </w:t>
      </w:r>
      <w:proofErr w:type="spellStart"/>
      <w:r w:rsidRPr="002053D2">
        <w:rPr>
          <w:b/>
        </w:rPr>
        <w:t>нерегистрация</w:t>
      </w:r>
      <w:proofErr w:type="spellEnd"/>
      <w:r w:rsidRPr="002053D2">
        <w:rPr>
          <w:b/>
        </w:rPr>
        <w:t xml:space="preserve"> для осуществления детьми их экономических, социальных и культурных прав.</w:t>
      </w:r>
      <w:r>
        <w:t xml:space="preserve"> </w:t>
      </w:r>
      <w:r>
        <w:rPr>
          <w:b/>
          <w:bCs/>
        </w:rPr>
        <w:t>Кроме того, Комитет настоятельно призывает государство-участник устранять препятствия для регистрации рождения детей, особенно в сельских районах.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 xml:space="preserve">Сексуальное и гендерное насилие </w:t>
      </w:r>
    </w:p>
    <w:p w:rsidR="008F08CB" w:rsidRPr="001F2AB6" w:rsidRDefault="008F08CB" w:rsidP="008F08CB">
      <w:pPr>
        <w:pStyle w:val="SingleTxtG"/>
      </w:pPr>
      <w:r>
        <w:t>48.</w:t>
      </w:r>
      <w:r>
        <w:tab/>
        <w:t>Комитет испытывает озабоченность в связи с распространенностью гендерного насилия в государстве-участнике, ограниченным обеспечением соблюдения Закона</w:t>
      </w:r>
      <w:r w:rsidR="00AA05FC">
        <w:rPr>
          <w:lang w:val="en-US"/>
        </w:rPr>
        <w:t> </w:t>
      </w:r>
      <w:r w:rsidR="00AA05FC">
        <w:t>№ </w:t>
      </w:r>
      <w:r>
        <w:t>84/VII/2011 о гендерном насилии и нехваткой ресурсов, выделяемых на адекватные ответные меры. Он с обеспокоенностью отмечает отсутствие профессиональной подготовки для сотрудников правоохранительных органов, судебных работников и медицинского персонала по вопросам рассмотрения случаев гендерного насилия и отсутствие услуг по направлению жертв к соответствующим специалистам. Он также с обеспокоенностью отмечает, что боязнь стигматизации и дискриминации нередко удерживает лиц, переживших гендерное насилие, от сообщения о правонарушениях, что способствует б</w:t>
      </w:r>
      <w:r w:rsidR="00AA05FC">
        <w:t>езнаказанности виновных (статья </w:t>
      </w:r>
      <w:r>
        <w:t>10).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49.</w:t>
      </w:r>
      <w:r>
        <w:tab/>
      </w:r>
      <w:r w:rsidRPr="002053D2">
        <w:rPr>
          <w:b/>
        </w:rPr>
        <w:t>Комитет рекомендует государству-участнику выделить необходимые людские и финансовые ресурсы для обеспечения полного соблюдения Закона</w:t>
      </w:r>
      <w:r w:rsidR="00AA05FC">
        <w:rPr>
          <w:b/>
          <w:lang w:val="en-US"/>
        </w:rPr>
        <w:t> </w:t>
      </w:r>
      <w:r w:rsidRPr="002053D2">
        <w:rPr>
          <w:b/>
        </w:rPr>
        <w:t>№</w:t>
      </w:r>
      <w:r w:rsidR="00AA05FC">
        <w:rPr>
          <w:b/>
          <w:lang w:val="en-US"/>
        </w:rPr>
        <w:t> </w:t>
      </w:r>
      <w:r w:rsidRPr="002053D2">
        <w:rPr>
          <w:b/>
        </w:rPr>
        <w:t xml:space="preserve">84/VII/2011 о гендерном насилии и принять соответствующие меры по предотвращению гендерного насилия, по улучшению судебного реагирования на случаи гендерного насилия и оказанию скоординированной поддержки жертвам. В частности, он рекомендует государству-участнику: а) обеспечивать наличие приютов и </w:t>
      </w:r>
      <w:r>
        <w:rPr>
          <w:b/>
        </w:rPr>
        <w:t>убежищ</w:t>
      </w:r>
      <w:r w:rsidRPr="002053D2">
        <w:rPr>
          <w:b/>
        </w:rPr>
        <w:t xml:space="preserve">; b) предоставлять для сотрудников правоохранительных органов, судебных работников и медицинского персонала подготовку по вопросам рассмотрения случаев гендерного насилия и оказания помощи пережившим его лицам; и c) проводить кампании, направленные на повышение осведомленности о соответствующем законодательстве по вопросам гендерного насилия и существующих услугах для жертв, а также в целях уменьшения стигматизации и предрассудков по отношению к жертвам.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Право на жилище</w:t>
      </w:r>
    </w:p>
    <w:p w:rsidR="008F08CB" w:rsidRPr="001F2AB6" w:rsidRDefault="008F08CB" w:rsidP="008F08CB">
      <w:pPr>
        <w:pStyle w:val="SingleTxtG"/>
      </w:pPr>
      <w:r>
        <w:t>50.</w:t>
      </w:r>
      <w:r>
        <w:tab/>
        <w:t xml:space="preserve">Комитет испытывает обеспокоенность по поводу трудностей, с которыми сталкиваются отдельные лица и семьи, находящихся в уязвимом положении, в плане доступа к достаточному жилищу, и по поводу роста неформальных поселений. </w:t>
      </w:r>
      <w:r>
        <w:lastRenderedPageBreak/>
        <w:t>Он</w:t>
      </w:r>
      <w:r w:rsidR="00AA05FC">
        <w:t> </w:t>
      </w:r>
      <w:r>
        <w:t>также обеспокоен плохими и нездоровыми условиями жизни в неформальных поселениях, что приводит к высокому уровню насилия и преступности (статья 11).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51.</w:t>
      </w:r>
      <w:r>
        <w:tab/>
      </w:r>
      <w:r w:rsidRPr="00C725A0">
        <w:rPr>
          <w:b/>
        </w:rPr>
        <w:t>Комитет рекомендует государству-участнику продолжать свои усилия по сокращению числа лиц, живущих в нездоровых и небезопасных условиях, в том числе путем благоустройства неформальных поселений и предоставления доступа к недорогостоящим базовым услугам, включая водоснабжение, канализацию и электроснабжение. Комитет также рекомендует государству-участнику обеспечить доступ к недорогому и достаточному жилью для наиболее уязвимых лиц и групп лиц, в частности посредством разработки программы жилищного строительства «Дом для всех» (</w:t>
      </w:r>
      <w:proofErr w:type="spellStart"/>
      <w:r w:rsidRPr="00C725A0">
        <w:rPr>
          <w:b/>
        </w:rPr>
        <w:t>Casa</w:t>
      </w:r>
      <w:proofErr w:type="spellEnd"/>
      <w:r w:rsidRPr="00C725A0">
        <w:rPr>
          <w:b/>
        </w:rPr>
        <w:t xml:space="preserve"> </w:t>
      </w:r>
      <w:proofErr w:type="spellStart"/>
      <w:r w:rsidRPr="00C725A0">
        <w:rPr>
          <w:b/>
        </w:rPr>
        <w:t>Para</w:t>
      </w:r>
      <w:proofErr w:type="spellEnd"/>
      <w:r w:rsidRPr="00C725A0">
        <w:rPr>
          <w:b/>
        </w:rPr>
        <w:t xml:space="preserve"> </w:t>
      </w:r>
      <w:proofErr w:type="spellStart"/>
      <w:r w:rsidRPr="00C725A0">
        <w:rPr>
          <w:b/>
        </w:rPr>
        <w:t>Todos</w:t>
      </w:r>
      <w:proofErr w:type="spellEnd"/>
      <w:r w:rsidRPr="00C725A0">
        <w:rPr>
          <w:b/>
        </w:rPr>
        <w:t xml:space="preserve">) и посредством оказания помощи с учетом потребностей людей и семей с низким уровнем дохода. 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Право на воду</w:t>
      </w:r>
    </w:p>
    <w:p w:rsidR="008F08CB" w:rsidRPr="001F2AB6" w:rsidRDefault="008F08CB" w:rsidP="008F08CB">
      <w:pPr>
        <w:pStyle w:val="SingleTxtG"/>
      </w:pPr>
      <w:r>
        <w:t>52.</w:t>
      </w:r>
      <w:r>
        <w:tab/>
        <w:t>Комитет с обеспокоенностью отмечает, что многие люди, проживающие в сельских районах, не имеют доступа к системе общественного водоснабжения. Таким образом, они прибегают к другим источникам воды, которые не всегда пригодны для питья и являются значительно более дорогостоящим (статья 11).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продолжать его усилия по обеспечению безопасной и недорогой питьевой вод</w:t>
      </w:r>
      <w:r w:rsidR="008074DD">
        <w:rPr>
          <w:b/>
          <w:bCs/>
        </w:rPr>
        <w:t>ой</w:t>
      </w:r>
      <w:r>
        <w:rPr>
          <w:b/>
          <w:bCs/>
        </w:rPr>
        <w:t xml:space="preserve"> для всех путем увеличения мощностей по опреснению воды, расширения сети распределения и увеличения числа домохозяйств, подключенных к системам общественного водоснабжения на всей территории страны, в том числе в отдаленных и сельских районах.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Право на здоровье</w:t>
      </w:r>
    </w:p>
    <w:p w:rsidR="008F08CB" w:rsidRPr="001F2AB6" w:rsidRDefault="008F08CB" w:rsidP="008F08CB">
      <w:pPr>
        <w:pStyle w:val="SingleTxtG"/>
      </w:pPr>
      <w:r>
        <w:t>54.</w:t>
      </w:r>
      <w:r>
        <w:tab/>
        <w:t>Комитет обеспокоен отсутствием подготовки медицинских работников по вопросам у</w:t>
      </w:r>
      <w:r w:rsidR="008074DD">
        <w:t>хода за лицами, живущими с ВИЧ/</w:t>
      </w:r>
      <w:r>
        <w:t>СПИДом, которые по-прежнему подвергаются стигматизации в системе здравоохранения. Он также обеспокоен отсутствием конфиденциальности в отношении их статуса (статьи 2 (2) и 12).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рекомендует государству-участнику предпринять шаги для обеспечения т</w:t>
      </w:r>
      <w:r w:rsidR="008074DD">
        <w:rPr>
          <w:b/>
          <w:bCs/>
        </w:rPr>
        <w:t>ого, чтобы лица, живущие с ВИЧ/</w:t>
      </w:r>
      <w:r>
        <w:rPr>
          <w:b/>
          <w:bCs/>
        </w:rPr>
        <w:t>СПИДом, пользовались своим правом на наивысший достижимый уровень здоровья без дискриминации, в том числе посредством создания адекватных программ подготовки для медицинского персонала на различных уровнях в целях борьбы со стереотипами и стигматизацией, а также предоставить им знания и инструменты, необходимые для оказания надлежа</w:t>
      </w:r>
      <w:r w:rsidR="008074DD">
        <w:rPr>
          <w:b/>
          <w:bCs/>
        </w:rPr>
        <w:t>щих услуг лицам, живущим с ВИЧ/</w:t>
      </w:r>
      <w:r>
        <w:rPr>
          <w:b/>
          <w:bCs/>
        </w:rPr>
        <w:t>СПИДом, включая защиту их права на частную жизнь.</w:t>
      </w:r>
    </w:p>
    <w:p w:rsidR="008F08CB" w:rsidRPr="001F2AB6" w:rsidRDefault="008F08CB" w:rsidP="008F08CB">
      <w:pPr>
        <w:pStyle w:val="SingleTxtG"/>
      </w:pPr>
      <w:r>
        <w:t>56.</w:t>
      </w:r>
      <w:r>
        <w:tab/>
        <w:t>Комитет обеспокоен нехваткой квалифицированного медицинского персонала для оказания услуг инвалидам, особенно в области сексуального и репродуктивного здоровья. Комитет также выражает обеспокоенность в связи с тем, что медицинское оборудование в медицинских учреждениях часто не приспособлено для инвалидов (статьи 2 (2) и 12).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57.</w:t>
      </w:r>
      <w:r>
        <w:tab/>
      </w:r>
      <w:r w:rsidRPr="00C725A0">
        <w:rPr>
          <w:b/>
        </w:rPr>
        <w:t>Комитет рекомендует государству-участнику предпринять шаги для обеспечения того, чтобы инвалиды могли пользоваться своим правом на наивысший достижимый уровень здоровья без дискриминации.</w:t>
      </w:r>
      <w:r>
        <w:t xml:space="preserve"> </w:t>
      </w:r>
      <w:r>
        <w:rPr>
          <w:b/>
          <w:bCs/>
        </w:rPr>
        <w:t>В частности, он рекомендует государству-участнику: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a)</w:t>
      </w:r>
      <w:r w:rsidRPr="00AA05FC">
        <w:rPr>
          <w:b/>
        </w:rPr>
        <w:tab/>
        <w:t xml:space="preserve">обеспечить подготовку медицинского персонала на различных уровнях в целях борьбы со стереотипами и стигматизацией и предоставления надлежащих услуг для инвалидов, в том числе в области сексуального и репродуктивного здоровья; </w:t>
      </w:r>
    </w:p>
    <w:p w:rsidR="008F08CB" w:rsidRPr="00AA05FC" w:rsidRDefault="008F08CB" w:rsidP="008F08CB">
      <w:pPr>
        <w:pStyle w:val="SingleTxtG"/>
        <w:ind w:firstLine="567"/>
        <w:rPr>
          <w:b/>
          <w:bCs/>
        </w:rPr>
      </w:pPr>
      <w:r w:rsidRPr="00AA05FC">
        <w:rPr>
          <w:b/>
        </w:rPr>
        <w:tab/>
        <w:t>b)</w:t>
      </w:r>
      <w:r w:rsidRPr="00AA05FC">
        <w:rPr>
          <w:b/>
        </w:rPr>
        <w:tab/>
        <w:t xml:space="preserve">наблюдать за деятельностью государственных и частных медицинских учреждений под углом зрения доступности на регулярной основе и адаптировать их к потребностям инвалидов и обеспечить, чтобы информация была доступной для лиц с нарушением зрения. </w:t>
      </w:r>
    </w:p>
    <w:p w:rsidR="008F08CB" w:rsidRPr="001F2AB6" w:rsidRDefault="008F08CB" w:rsidP="008F08CB">
      <w:pPr>
        <w:pStyle w:val="SingleTxtG"/>
      </w:pPr>
      <w:r>
        <w:lastRenderedPageBreak/>
        <w:t>58.</w:t>
      </w:r>
      <w:r>
        <w:tab/>
      </w:r>
      <w:proofErr w:type="gramStart"/>
      <w:r>
        <w:t>С</w:t>
      </w:r>
      <w:proofErr w:type="gramEnd"/>
      <w:r>
        <w:t xml:space="preserve"> удовлетворением отмечая увеличение числа врачей и медсестер, занятых в государстве-участнике в последние годы, Комитет выражает обеспокоенность по поводу нехватки специалистов на некоторых островах Кабо-Верде. Он также обеспокоен нехваткой надлежащих транспортных средств для эвакуации больных в критических ситуациях на острова, где расположены больницы (статья 11).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59.</w:t>
      </w:r>
      <w:r>
        <w:tab/>
      </w:r>
      <w:r w:rsidRPr="00C725A0">
        <w:rPr>
          <w:b/>
        </w:rPr>
        <w:t>Комитет рекомендует государству-участнику укрепить систему медицинской эвакуации и направления в больницы, чтобы обеспечить бесперебойное и быстрое курирование пациентов, и выделить надлежащие бюджетные ассигнования на людские, материальные и финансовые ресурсы, необходимые для эвакуации, включая транспортировку и техническое обслуживание.</w:t>
      </w:r>
      <w:r>
        <w:t xml:space="preserve"> </w:t>
      </w:r>
      <w:r>
        <w:rPr>
          <w:b/>
          <w:bCs/>
        </w:rPr>
        <w:t>Он также рекомендует, чтобы государство-участник приняло на работу большее число врачей-специалистов, в том числе на менее заселенных островах.</w:t>
      </w:r>
    </w:p>
    <w:p w:rsidR="008F08CB" w:rsidRPr="001F2AB6" w:rsidRDefault="008F08CB" w:rsidP="008F08CB">
      <w:pPr>
        <w:pStyle w:val="SingleTxtG"/>
      </w:pPr>
      <w:r>
        <w:t>60.</w:t>
      </w:r>
      <w:r>
        <w:tab/>
        <w:t>Комитет также обеспокоен нехваткой необходимых услуг для лиц с психическими расстройствами и тем, что многие из этих лиц остаются на улице без ухода или заперты в своих домах родственниками (статья 11).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61.</w:t>
      </w:r>
      <w:r>
        <w:tab/>
      </w:r>
      <w:r w:rsidRPr="00C725A0">
        <w:rPr>
          <w:b/>
        </w:rPr>
        <w:t>Комитет рекомендует государству-участнику разработать на базе общин систему охраны психического здоровья с выделением адекватных ресурсов, в том числе на наем квалифицированного персонала.</w:t>
      </w:r>
      <w:r>
        <w:t xml:space="preserve"> </w:t>
      </w:r>
      <w:r>
        <w:rPr>
          <w:b/>
          <w:bCs/>
        </w:rPr>
        <w:t>Кроме того, он рекомендует государству-участнику провести мероприятия по повышению осведомленности о проблемах психического здоровья и его расстройствах среди общественности и по сокращению стигматизации, связанной с ними.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Право на образование</w:t>
      </w:r>
    </w:p>
    <w:p w:rsidR="008F08CB" w:rsidRPr="001F2AB6" w:rsidRDefault="008F08CB" w:rsidP="008F08CB">
      <w:pPr>
        <w:pStyle w:val="SingleTxtG"/>
      </w:pPr>
      <w:r>
        <w:t>62.</w:t>
      </w:r>
      <w:r>
        <w:tab/>
        <w:t>Отмечая, что дети имеют право на бесплатное школьное образование до седьмого класса и что государство-участник планирует распространить это право на восьмой класс, Комитет выражает обеспокоенность по поводу трудностей, с которыми сталкиваются находящиеся в неблагоприятном положении домашние хозяйства применительно к косвенным расходам, таким как расходы на транспорт и питание. Комитет с обеспокоенностью отмечает, что, несмотря на усилия по улучшению доступности, дети-инвалиды по-прежнему имеют ограниченный доступ к системе образования (статья 13).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63.</w:t>
      </w:r>
      <w:r>
        <w:tab/>
      </w:r>
      <w:r w:rsidRPr="00B61619">
        <w:rPr>
          <w:b/>
        </w:rPr>
        <w:t xml:space="preserve">Комитет рекомендует государству-участнику выделить необходимые ресурсы для осуществления Стратегического </w:t>
      </w:r>
      <w:r w:rsidR="00AA05FC">
        <w:rPr>
          <w:b/>
        </w:rPr>
        <w:t>плана в области образования. Он </w:t>
      </w:r>
      <w:r w:rsidRPr="00B61619">
        <w:rPr>
          <w:b/>
        </w:rPr>
        <w:t>настоятельно призывает государство-участник устранять препятствия для равного доступа и осуществления права на образование, в том ч</w:t>
      </w:r>
      <w:r w:rsidR="00AA05FC">
        <w:rPr>
          <w:b/>
        </w:rPr>
        <w:t xml:space="preserve">исле </w:t>
      </w:r>
      <w:proofErr w:type="gramStart"/>
      <w:r w:rsidR="00AA05FC">
        <w:rPr>
          <w:b/>
        </w:rPr>
        <w:t>путем</w:t>
      </w:r>
      <w:proofErr w:type="gramEnd"/>
      <w:r w:rsidR="00AA05FC">
        <w:rPr>
          <w:b/>
        </w:rPr>
        <w:t xml:space="preserve"> а) </w:t>
      </w:r>
      <w:r w:rsidRPr="00B61619">
        <w:rPr>
          <w:b/>
        </w:rPr>
        <w:t>расширения своей поддержки находящихся в неблагоприятном положении домохозяйств, в частности путем покрытия платы за обучение после седьмого класса и предоставления школьного транспорта и горячего питания</w:t>
      </w:r>
      <w:r w:rsidRPr="00AA05FC">
        <w:rPr>
          <w:b/>
        </w:rPr>
        <w:t xml:space="preserve">; </w:t>
      </w:r>
      <w:r w:rsidR="00AA05FC">
        <w:rPr>
          <w:b/>
          <w:bCs/>
        </w:rPr>
        <w:t>b) </w:t>
      </w:r>
      <w:r>
        <w:rPr>
          <w:b/>
          <w:bCs/>
        </w:rPr>
        <w:t>интеграции детей-инвалидов в обычные школы и повышения доступности школьных зданий и учебных материалов.</w:t>
      </w:r>
    </w:p>
    <w:p w:rsidR="008F08CB" w:rsidRPr="001F2AB6" w:rsidRDefault="008F08CB" w:rsidP="008F08CB">
      <w:pPr>
        <w:pStyle w:val="SingleTxtG"/>
      </w:pPr>
      <w:r>
        <w:t>64.</w:t>
      </w:r>
      <w:r>
        <w:tab/>
        <w:t>Приветствуя недавние изменения в законодательстве, чтобы отменить исключение из школ беременных девочек, и меры к тому, чтобы они могли продолжать посещать школу, Комитет выражает обеспокоенность по поводу возрастающего числа детей и молодежи, в частности девочек, которые выбывают из школы (статья 13).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65.</w:t>
      </w:r>
      <w:r>
        <w:tab/>
      </w:r>
      <w:r w:rsidRPr="00B61619">
        <w:rPr>
          <w:b/>
        </w:rPr>
        <w:t>Комитет рекомендует государству-участнику провести исследование причин ухода из школы и принять меры для удержания в школе мальчиков и девочек, такие как разработка кампаний по повышению осведомленности населения о важном значении образования;</w:t>
      </w:r>
      <w:r>
        <w:t xml:space="preserve"> </w:t>
      </w:r>
      <w:r>
        <w:rPr>
          <w:b/>
          <w:bCs/>
        </w:rPr>
        <w:t>и обеспечение стимулов для уязвимых семей, чтобы они оставляли детей в школе и поощряли их к окончанию своего образования, прежде чем они начнут работать.</w:t>
      </w:r>
    </w:p>
    <w:p w:rsidR="008F08CB" w:rsidRPr="001F2AB6" w:rsidRDefault="008F08CB" w:rsidP="008F08CB">
      <w:pPr>
        <w:pStyle w:val="SingleTxtG"/>
      </w:pPr>
      <w:r>
        <w:t>66.</w:t>
      </w:r>
      <w:r>
        <w:tab/>
        <w:t>Приветствуя пересмотр школьных программ и введение новых предметов, Комитет по-прежнему обеспокоен тем, что не все учителя надлежащим образом подготовлены для прохождения этих новых учебных программ (статья 13).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lastRenderedPageBreak/>
        <w:t>67.</w:t>
      </w:r>
      <w:r>
        <w:tab/>
      </w:r>
      <w:r w:rsidRPr="00B61619">
        <w:rPr>
          <w:b/>
        </w:rPr>
        <w:t xml:space="preserve">Комитет рекомендует государству-участнику продолжать обновлять учебные программы с целью включения таких </w:t>
      </w:r>
      <w:r>
        <w:rPr>
          <w:b/>
        </w:rPr>
        <w:t>предметов</w:t>
      </w:r>
      <w:r w:rsidRPr="00B61619">
        <w:rPr>
          <w:b/>
        </w:rPr>
        <w:t>, как гражданское воспитание, сексуальное и репродуктивное здоровье, права человека и гендерное равенство.</w:t>
      </w:r>
      <w:r>
        <w:t xml:space="preserve"> </w:t>
      </w:r>
      <w:r>
        <w:rPr>
          <w:b/>
          <w:bCs/>
        </w:rPr>
        <w:t>Он также рекомендует государству-участнику принимать на работу учителей, с тем чтобы обеспечить качественное образование, и организовать для них регулярное обучение по новой учебной программе.</w:t>
      </w:r>
    </w:p>
    <w:p w:rsidR="008F08CB" w:rsidRPr="001F2AB6" w:rsidRDefault="008F08CB" w:rsidP="008F08CB">
      <w:pPr>
        <w:pStyle w:val="H23G"/>
      </w:pPr>
      <w:r>
        <w:tab/>
      </w:r>
      <w:r>
        <w:tab/>
      </w:r>
      <w:r>
        <w:rPr>
          <w:bCs/>
        </w:rPr>
        <w:t>Культурные права</w:t>
      </w:r>
    </w:p>
    <w:p w:rsidR="008F08CB" w:rsidRPr="001F2AB6" w:rsidRDefault="008F08CB" w:rsidP="008F08CB">
      <w:pPr>
        <w:pStyle w:val="SingleTxtG"/>
      </w:pPr>
      <w:r>
        <w:t>68.</w:t>
      </w:r>
      <w:r>
        <w:tab/>
        <w:t xml:space="preserve">Комитет выражает обеспокоенность в связи с тем, что </w:t>
      </w:r>
      <w:proofErr w:type="spellStart"/>
      <w:r>
        <w:t>кабо-вердинский</w:t>
      </w:r>
      <w:proofErr w:type="spellEnd"/>
      <w:r>
        <w:t xml:space="preserve"> креольский язык не получил достаточного признания в общественной и культурной жизни и в средствах массовой информации, несмотря на усилия, прилагаемые государством-участником (статья 15).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69.</w:t>
      </w:r>
      <w:r>
        <w:tab/>
      </w:r>
      <w:r w:rsidRPr="007E7B8A">
        <w:rPr>
          <w:b/>
        </w:rPr>
        <w:t xml:space="preserve">Комитет рекомендует государству-участнику продолжать свои усилия, направленные на поощрение использования </w:t>
      </w:r>
      <w:proofErr w:type="spellStart"/>
      <w:r w:rsidRPr="007E7B8A">
        <w:rPr>
          <w:b/>
        </w:rPr>
        <w:t>кабо-вердинского</w:t>
      </w:r>
      <w:proofErr w:type="spellEnd"/>
      <w:r w:rsidRPr="007E7B8A">
        <w:rPr>
          <w:b/>
        </w:rPr>
        <w:t xml:space="preserve"> креольского языка в качестве национального языка Кабо-Верде.</w:t>
      </w:r>
      <w:r>
        <w:t xml:space="preserve"> </w:t>
      </w:r>
    </w:p>
    <w:p w:rsidR="008F08CB" w:rsidRPr="001F2AB6" w:rsidRDefault="00AA05FC" w:rsidP="008F08CB">
      <w:pPr>
        <w:pStyle w:val="H1G"/>
      </w:pPr>
      <w:r>
        <w:tab/>
      </w:r>
      <w:r w:rsidR="008F08CB">
        <w:t>D.</w:t>
      </w:r>
      <w:r w:rsidR="008F08CB">
        <w:tab/>
      </w:r>
      <w:proofErr w:type="gramStart"/>
      <w:r w:rsidR="008F08CB">
        <w:rPr>
          <w:bCs/>
        </w:rPr>
        <w:t>Другие</w:t>
      </w:r>
      <w:proofErr w:type="gramEnd"/>
      <w:r w:rsidR="008F08CB">
        <w:rPr>
          <w:bCs/>
        </w:rPr>
        <w:t xml:space="preserve"> рекомендации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70.</w:t>
      </w:r>
      <w:r>
        <w:tab/>
      </w:r>
      <w:r w:rsidRPr="007E7B8A">
        <w:rPr>
          <w:b/>
        </w:rPr>
        <w:t>Комитет рекомендует государству-участнику в полной мере учитывать свои обязательства в соответствии с Пактом и обеспечивать полную реализацию закрепленных в нем прав в ходе осуществления на национальном уровне Повестки дня в области устойчивого развития на период до 2030 года, при необходимости пользуясь международной поддержкой и сотрудничеством. Государство-участник могло бы существенно содействовать достижению целей устойчивого развития путем создания независимых механизмов мониторинга прогресса и обращения с бенефициарами программ государственной помощи как с правообладателями, которые могут запрашивать причитающиеся им льготы.</w:t>
      </w:r>
      <w:r>
        <w:t xml:space="preserve"> </w:t>
      </w:r>
      <w:r>
        <w:rPr>
          <w:b/>
          <w:bCs/>
        </w:rPr>
        <w:t xml:space="preserve">Достижение целей на основе принципов участия, подотчетности и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будет способствовать обеспечению того, чтобы никто не был забыт.</w:t>
      </w:r>
    </w:p>
    <w:p w:rsidR="008F08CB" w:rsidRPr="00BF6768" w:rsidRDefault="008F08CB" w:rsidP="008F08CB">
      <w:pPr>
        <w:pStyle w:val="SingleTxtG"/>
        <w:rPr>
          <w:b/>
          <w:bCs/>
        </w:rPr>
      </w:pPr>
      <w:r>
        <w:t>71.</w:t>
      </w:r>
      <w:r>
        <w:tab/>
      </w:r>
      <w:r w:rsidRPr="007E7B8A">
        <w:rPr>
          <w:b/>
        </w:rPr>
        <w:t>Комитет рекомендует государству-участнику предпринять шаги в целях поэтапной разработки и применения соответствующих показателей осуществления экономических, социальных и культурных прав для облегчения оценки прогресса, достигнутого государством-участником в деле выполнения его обязательств по Пакту применительно к различным слоям населения.</w:t>
      </w:r>
      <w:r>
        <w:t xml:space="preserve"> </w:t>
      </w:r>
      <w:r>
        <w:rPr>
          <w:b/>
          <w:bCs/>
        </w:rPr>
        <w:t>В этой связи Комитет обращает внимание государства-участника, в частности, на концептуальные и методологические рамки для показателей в области прав человека, разработанные Управлением Верховного комиссара Организации Объединенных Наций по правам человека (см. HRI/MC/2008/3).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72.</w:t>
      </w:r>
      <w:r>
        <w:tab/>
      </w:r>
      <w:r w:rsidRPr="007E7B8A">
        <w:rPr>
          <w:b/>
        </w:rPr>
        <w:t>Комитет просит государство-участник обеспечить широкое распространение настоящих заключительных замечаний среди всех слоев общества, в том числе на национальном, облас</w:t>
      </w:r>
      <w:r w:rsidR="008074DD">
        <w:rPr>
          <w:b/>
        </w:rPr>
        <w:t>тном и муниципальном уровнях, в </w:t>
      </w:r>
      <w:r w:rsidRPr="007E7B8A">
        <w:rPr>
          <w:b/>
        </w:rPr>
        <w:t>частности среди парламентариев, государственных должностных лиц и судебных органов, и проинформировать Комитет в своем следующем периодическом докладе о шагах, предпринятых с целью их выполнения. Комитет рекомендует государству-участнику привлечь Национальную комиссию по правам человека и гражданству, неправительственные организации и других членов гражданского общества к процессу принятия последующих мер в соответствии с настоящими заключительными замечаниями, а также к процессу консультаций на национальном уровне перед представлением своего следующего периодического доклада.</w:t>
      </w:r>
    </w:p>
    <w:p w:rsidR="008F08CB" w:rsidRPr="001F2AB6" w:rsidRDefault="008F08CB" w:rsidP="008F08CB">
      <w:pPr>
        <w:pStyle w:val="SingleTxtG"/>
        <w:rPr>
          <w:b/>
          <w:bCs/>
        </w:rPr>
      </w:pPr>
      <w:r>
        <w:t>73.</w:t>
      </w:r>
      <w:r>
        <w:tab/>
      </w:r>
      <w:r w:rsidRPr="007E7B8A">
        <w:rPr>
          <w:b/>
        </w:rPr>
        <w:t xml:space="preserve">В соответствии с процедурой последующей деятельности по выполнению принятых Комитетом заключительных замечаний Комитет просит государство-участник в течение 24 месяцев с момента принятия настоящих заключительных замечаний предоставить информацию о выполнении рекомендаций, </w:t>
      </w:r>
      <w:r w:rsidRPr="007E7B8A">
        <w:rPr>
          <w:b/>
        </w:rPr>
        <w:lastRenderedPageBreak/>
        <w:t>содержащихся в пунктах 5 (национально</w:t>
      </w:r>
      <w:r w:rsidR="0095027B">
        <w:rPr>
          <w:b/>
        </w:rPr>
        <w:t>е правозащитное учреждение), 17 </w:t>
      </w:r>
      <w:r w:rsidRPr="007E7B8A">
        <w:rPr>
          <w:b/>
        </w:rPr>
        <w:t>(</w:t>
      </w:r>
      <w:proofErr w:type="spellStart"/>
      <w:r w:rsidRPr="007E7B8A">
        <w:rPr>
          <w:b/>
        </w:rPr>
        <w:t>недискриминация</w:t>
      </w:r>
      <w:proofErr w:type="spellEnd"/>
      <w:r w:rsidRPr="007E7B8A">
        <w:rPr>
          <w:b/>
        </w:rPr>
        <w:t xml:space="preserve">) и 25 (безработица среди молодежи) выше. </w:t>
      </w:r>
    </w:p>
    <w:p w:rsidR="00381C24" w:rsidRDefault="008F08CB" w:rsidP="008F08CB">
      <w:pPr>
        <w:pStyle w:val="SingleTxtG"/>
      </w:pPr>
      <w:r>
        <w:t>74.</w:t>
      </w:r>
      <w:r>
        <w:tab/>
      </w:r>
      <w:r w:rsidRPr="007E7B8A">
        <w:rPr>
          <w:b/>
        </w:rPr>
        <w:t>Комитет просит государство-участник представить свой второй периодический доклад, который должен быть подготовлен в соответствии с руководящими принципами представления докладов, принятыми Комитетом в 2008 году (E/C.12/2008/2), к 31 октября 2023 года. Кроме того, он предлагает государству-участнику при необходимости обновить свой общий базовый докуме</w:t>
      </w:r>
      <w:bookmarkStart w:id="0" w:name="_GoBack"/>
      <w:bookmarkEnd w:id="0"/>
      <w:r w:rsidRPr="007E7B8A">
        <w:rPr>
          <w:b/>
        </w:rPr>
        <w:t>нт в соответствии с согласованными руководящими принципами представления докладов согласно международным договорам о правах человека (см. HRI/GEN/2/Rev.6, глава I).</w:t>
      </w:r>
    </w:p>
    <w:p w:rsidR="008F08CB" w:rsidRPr="008F08CB" w:rsidRDefault="008F08CB" w:rsidP="008F08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08CB" w:rsidRPr="008F08CB" w:rsidSect="008F08C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B5" w:rsidRPr="00A312BC" w:rsidRDefault="00B335B5" w:rsidP="00A312BC"/>
  </w:endnote>
  <w:endnote w:type="continuationSeparator" w:id="0">
    <w:p w:rsidR="00B335B5" w:rsidRPr="00A312BC" w:rsidRDefault="00B335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B" w:rsidRPr="008F08CB" w:rsidRDefault="008F08CB">
    <w:pPr>
      <w:pStyle w:val="aa"/>
    </w:pPr>
    <w:r w:rsidRPr="008F08CB">
      <w:rPr>
        <w:b/>
        <w:sz w:val="18"/>
      </w:rPr>
      <w:fldChar w:fldCharType="begin"/>
    </w:r>
    <w:r w:rsidRPr="008F08CB">
      <w:rPr>
        <w:b/>
        <w:sz w:val="18"/>
      </w:rPr>
      <w:instrText xml:space="preserve"> PAGE  \* MERGEFORMAT </w:instrText>
    </w:r>
    <w:r w:rsidRPr="008F08CB">
      <w:rPr>
        <w:b/>
        <w:sz w:val="18"/>
      </w:rPr>
      <w:fldChar w:fldCharType="separate"/>
    </w:r>
    <w:r w:rsidR="00756D6E">
      <w:rPr>
        <w:b/>
        <w:noProof/>
        <w:sz w:val="18"/>
      </w:rPr>
      <w:t>12</w:t>
    </w:r>
    <w:r w:rsidRPr="008F08CB">
      <w:rPr>
        <w:b/>
        <w:sz w:val="18"/>
      </w:rPr>
      <w:fldChar w:fldCharType="end"/>
    </w:r>
    <w:r>
      <w:rPr>
        <w:b/>
        <w:sz w:val="18"/>
      </w:rPr>
      <w:tab/>
    </w:r>
    <w:r>
      <w:t>GE.18-20339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B" w:rsidRPr="008F08CB" w:rsidRDefault="008F08CB" w:rsidP="008F08CB">
    <w:pPr>
      <w:pStyle w:val="aa"/>
      <w:tabs>
        <w:tab w:val="clear" w:pos="9639"/>
        <w:tab w:val="right" w:pos="9638"/>
      </w:tabs>
      <w:rPr>
        <w:b/>
        <w:sz w:val="18"/>
      </w:rPr>
    </w:pPr>
    <w:r>
      <w:t>GE.18-20339</w:t>
    </w:r>
    <w:r>
      <w:tab/>
    </w:r>
    <w:r w:rsidRPr="008F08CB">
      <w:rPr>
        <w:b/>
        <w:sz w:val="18"/>
      </w:rPr>
      <w:fldChar w:fldCharType="begin"/>
    </w:r>
    <w:r w:rsidRPr="008F08CB">
      <w:rPr>
        <w:b/>
        <w:sz w:val="18"/>
      </w:rPr>
      <w:instrText xml:space="preserve"> PAGE  \* MERGEFORMAT </w:instrText>
    </w:r>
    <w:r w:rsidRPr="008F08CB">
      <w:rPr>
        <w:b/>
        <w:sz w:val="18"/>
      </w:rPr>
      <w:fldChar w:fldCharType="separate"/>
    </w:r>
    <w:r w:rsidR="00756D6E">
      <w:rPr>
        <w:b/>
        <w:noProof/>
        <w:sz w:val="18"/>
      </w:rPr>
      <w:t>11</w:t>
    </w:r>
    <w:r w:rsidRPr="008F08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F08CB" w:rsidRDefault="008F08CB" w:rsidP="008F08C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20339  (</w:t>
    </w:r>
    <w:proofErr w:type="gramEnd"/>
    <w:r>
      <w:t>R)</w:t>
    </w:r>
    <w:r w:rsidR="00AA05FC">
      <w:rPr>
        <w:lang w:val="en-US"/>
      </w:rPr>
      <w:t xml:space="preserve">  110119  140119</w:t>
    </w:r>
    <w:r>
      <w:br/>
    </w:r>
    <w:r w:rsidRPr="008F08CB">
      <w:rPr>
        <w:rFonts w:ascii="C39T30Lfz" w:hAnsi="C39T30Lfz"/>
        <w:kern w:val="14"/>
        <w:sz w:val="56"/>
      </w:rPr>
      <w:t></w:t>
    </w:r>
    <w:r w:rsidRPr="008F08CB">
      <w:rPr>
        <w:rFonts w:ascii="C39T30Lfz" w:hAnsi="C39T30Lfz"/>
        <w:kern w:val="14"/>
        <w:sz w:val="56"/>
      </w:rPr>
      <w:t></w:t>
    </w:r>
    <w:r w:rsidRPr="008F08CB">
      <w:rPr>
        <w:rFonts w:ascii="C39T30Lfz" w:hAnsi="C39T30Lfz"/>
        <w:kern w:val="14"/>
        <w:sz w:val="56"/>
      </w:rPr>
      <w:t></w:t>
    </w:r>
    <w:r w:rsidRPr="008F08CB">
      <w:rPr>
        <w:rFonts w:ascii="C39T30Lfz" w:hAnsi="C39T30Lfz"/>
        <w:kern w:val="14"/>
        <w:sz w:val="56"/>
      </w:rPr>
      <w:t></w:t>
    </w:r>
    <w:r w:rsidRPr="008F08CB">
      <w:rPr>
        <w:rFonts w:ascii="C39T30Lfz" w:hAnsi="C39T30Lfz"/>
        <w:kern w:val="14"/>
        <w:sz w:val="56"/>
      </w:rPr>
      <w:t></w:t>
    </w:r>
    <w:r w:rsidRPr="008F08CB">
      <w:rPr>
        <w:rFonts w:ascii="C39T30Lfz" w:hAnsi="C39T30Lfz"/>
        <w:kern w:val="14"/>
        <w:sz w:val="56"/>
      </w:rPr>
      <w:t></w:t>
    </w:r>
    <w:r w:rsidRPr="008F08CB">
      <w:rPr>
        <w:rFonts w:ascii="C39T30Lfz" w:hAnsi="C39T30Lfz"/>
        <w:kern w:val="14"/>
        <w:sz w:val="56"/>
      </w:rPr>
      <w:t></w:t>
    </w:r>
    <w:r w:rsidRPr="008F08CB">
      <w:rPr>
        <w:rFonts w:ascii="C39T30Lfz" w:hAnsi="C39T30Lfz"/>
        <w:kern w:val="14"/>
        <w:sz w:val="56"/>
      </w:rPr>
      <w:t></w:t>
    </w:r>
    <w:r w:rsidRPr="008F08C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C.12/CPV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PV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B5" w:rsidRPr="001075E9" w:rsidRDefault="00B335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35B5" w:rsidRDefault="00B335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F08CB" w:rsidRPr="00FC5341" w:rsidRDefault="008F08CB" w:rsidP="008F08CB">
      <w:pPr>
        <w:pStyle w:val="af"/>
      </w:pPr>
      <w:r>
        <w:tab/>
      </w:r>
      <w:r w:rsidRPr="00AA05FC">
        <w:rPr>
          <w:sz w:val="20"/>
        </w:rPr>
        <w:t>*</w:t>
      </w:r>
      <w:r>
        <w:tab/>
        <w:t>Приняты Комитетом на его шестьдесят четвертой сессии (24 сентября – 12 октября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B" w:rsidRPr="008F08CB" w:rsidRDefault="008F08CB">
    <w:pPr>
      <w:pStyle w:val="a5"/>
    </w:pPr>
    <w:fldSimple w:instr=" TITLE  \* MERGEFORMAT ">
      <w:r w:rsidR="00756D6E">
        <w:t>E/C.12/CPV/CO/1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CB" w:rsidRPr="008F08CB" w:rsidRDefault="008F08CB" w:rsidP="008F08CB">
    <w:pPr>
      <w:pStyle w:val="a5"/>
      <w:jc w:val="right"/>
    </w:pPr>
    <w:fldSimple w:instr=" TITLE  \* MERGEFORMAT ">
      <w:r w:rsidR="00756D6E">
        <w:t>E/C.12/CPV/CO/1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5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B6AD6"/>
    <w:rsid w:val="006C2031"/>
    <w:rsid w:val="006D461A"/>
    <w:rsid w:val="006F35EE"/>
    <w:rsid w:val="007021FF"/>
    <w:rsid w:val="00712895"/>
    <w:rsid w:val="00734ACB"/>
    <w:rsid w:val="00756D6E"/>
    <w:rsid w:val="00757357"/>
    <w:rsid w:val="00792497"/>
    <w:rsid w:val="00806737"/>
    <w:rsid w:val="008074DD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8F08CB"/>
    <w:rsid w:val="00906890"/>
    <w:rsid w:val="00911BE4"/>
    <w:rsid w:val="0095027B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A05FC"/>
    <w:rsid w:val="00AB2DBD"/>
    <w:rsid w:val="00AB4B51"/>
    <w:rsid w:val="00AC3430"/>
    <w:rsid w:val="00B10CC7"/>
    <w:rsid w:val="00B335B5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25B1F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64234"/>
  <w15:docId w15:val="{270CBC06-3B13-4F2B-AF4F-BE17E52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basedOn w:val="a0"/>
    <w:link w:val="SingleTxtG"/>
    <w:rsid w:val="008F08C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4</TotalTime>
  <Pages>12</Pages>
  <Words>4311</Words>
  <Characters>30788</Characters>
  <Application>Microsoft Office Word</Application>
  <DocSecurity>0</DocSecurity>
  <Lines>563</Lines>
  <Paragraphs>143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E/C.12/CPV/CO/1</vt:lpstr>
      <vt:lpstr>A/</vt:lpstr>
      <vt:lpstr>A/</vt:lpstr>
    </vt:vector>
  </TitlesOfParts>
  <Company>DCM</Company>
  <LinksUpToDate>false</LinksUpToDate>
  <CharactersWithSpaces>35088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E/C.12/CPV/CO/1</dc:title>
  <dc:subject/>
  <dc:creator>Marina KOROTKOVA</dc:creator>
  <cp:keywords/>
  <cp:lastModifiedBy>Marina Korotkova</cp:lastModifiedBy>
  <cp:revision>3</cp:revision>
  <cp:lastPrinted>2019-01-14T14:48:00Z</cp:lastPrinted>
  <dcterms:created xsi:type="dcterms:W3CDTF">2019-01-14T14:45:00Z</dcterms:created>
  <dcterms:modified xsi:type="dcterms:W3CDTF">2019-01-14T14:49:00Z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