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0F4">
        <w:trPr>
          <w:trHeight w:hRule="exact" w:val="851"/>
        </w:trPr>
        <w:tc>
          <w:tcPr>
            <w:tcW w:w="1274" w:type="dxa"/>
            <w:tcBorders>
              <w:bottom w:val="single" w:sz="4" w:space="0" w:color="auto"/>
            </w:tcBorders>
            <w:shd w:val="clear" w:color="auto" w:fill="auto"/>
          </w:tcPr>
          <w:p w:rsidR="006B3E27" w:rsidRPr="00BA50F4" w:rsidRDefault="006B3E27" w:rsidP="00BA50F4">
            <w:pPr>
              <w:bidi w:val="0"/>
              <w:jc w:val="right"/>
              <w:rPr>
                <w:szCs w:val="20"/>
              </w:rPr>
            </w:pPr>
          </w:p>
        </w:tc>
        <w:tc>
          <w:tcPr>
            <w:tcW w:w="4963" w:type="dxa"/>
            <w:tcBorders>
              <w:bottom w:val="single" w:sz="4" w:space="0" w:color="auto"/>
            </w:tcBorders>
            <w:shd w:val="clear" w:color="auto" w:fill="auto"/>
            <w:vAlign w:val="bottom"/>
          </w:tcPr>
          <w:p w:rsidR="006B3E27" w:rsidRPr="00BA50F4" w:rsidRDefault="006B3E27" w:rsidP="00BA50F4">
            <w:pPr>
              <w:spacing w:after="80" w:line="480" w:lineRule="exact"/>
              <w:jc w:val="left"/>
              <w:rPr>
                <w:sz w:val="40"/>
                <w:szCs w:val="40"/>
                <w:rtl/>
              </w:rPr>
            </w:pPr>
            <w:r w:rsidRPr="00BA50F4">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BA50F4" w:rsidRDefault="00F71B77" w:rsidP="0075680F">
            <w:pPr>
              <w:bidi w:val="0"/>
              <w:spacing w:after="20"/>
              <w:jc w:val="left"/>
              <w:rPr>
                <w:szCs w:val="20"/>
              </w:rPr>
            </w:pPr>
            <w:r w:rsidRPr="00F71B77">
              <w:rPr>
                <w:sz w:val="40"/>
                <w:szCs w:val="20"/>
              </w:rPr>
              <w:t>E</w:t>
            </w:r>
            <w:r>
              <w:rPr>
                <w:szCs w:val="20"/>
              </w:rPr>
              <w:t>/C.12/SDN/Q/2</w:t>
            </w:r>
          </w:p>
        </w:tc>
      </w:tr>
      <w:tr w:rsidR="006B3E27" w:rsidRPr="00ED7442" w:rsidTr="00BA50F4">
        <w:trPr>
          <w:trHeight w:hRule="exact" w:val="2835"/>
        </w:trPr>
        <w:tc>
          <w:tcPr>
            <w:tcW w:w="1274" w:type="dxa"/>
            <w:tcBorders>
              <w:top w:val="single" w:sz="4" w:space="0" w:color="auto"/>
              <w:bottom w:val="single" w:sz="12" w:space="0" w:color="auto"/>
            </w:tcBorders>
            <w:shd w:val="clear" w:color="auto" w:fill="auto"/>
          </w:tcPr>
          <w:p w:rsidR="006B3E27" w:rsidRPr="00BA50F4" w:rsidRDefault="00BA50F4" w:rsidP="00BA50F4">
            <w:pPr>
              <w:jc w:val="center"/>
              <w:rPr>
                <w:sz w:val="56"/>
                <w:szCs w:val="56"/>
                <w:rtl/>
              </w:rPr>
            </w:pPr>
            <w:r w:rsidRPr="00BA50F4">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5pt;height:48pt;visibility:visible">
                  <v:imagedata r:id="rId7" o:title="" croptop="-909f" cropbottom="-909f" cropleft="-34f" cropright="-34f"/>
                </v:shape>
              </w:pict>
            </w:r>
          </w:p>
        </w:tc>
        <w:tc>
          <w:tcPr>
            <w:tcW w:w="4963" w:type="dxa"/>
            <w:tcBorders>
              <w:top w:val="single" w:sz="4" w:space="0" w:color="auto"/>
              <w:bottom w:val="single" w:sz="12" w:space="0" w:color="auto"/>
            </w:tcBorders>
            <w:shd w:val="clear" w:color="auto" w:fill="auto"/>
          </w:tcPr>
          <w:p w:rsidR="006B3E27" w:rsidRPr="00BA50F4" w:rsidRDefault="00606EDF" w:rsidP="00BA50F4">
            <w:pPr>
              <w:spacing w:before="120" w:after="40" w:line="640" w:lineRule="exact"/>
              <w:jc w:val="left"/>
              <w:rPr>
                <w:b/>
                <w:bCs/>
                <w:sz w:val="56"/>
                <w:szCs w:val="56"/>
              </w:rPr>
            </w:pPr>
            <w:r w:rsidRPr="00BA50F4">
              <w:rPr>
                <w:rFonts w:hint="cs"/>
                <w:b/>
                <w:bCs/>
                <w:sz w:val="56"/>
                <w:szCs w:val="56"/>
                <w:rtl/>
              </w:rPr>
              <w:t>ا</w:t>
            </w:r>
            <w:r w:rsidR="008930DB" w:rsidRPr="00BA50F4">
              <w:rPr>
                <w:rFonts w:hint="cs"/>
                <w:b/>
                <w:bCs/>
                <w:sz w:val="56"/>
                <w:szCs w:val="56"/>
                <w:rtl/>
              </w:rPr>
              <w:t>لمجلس الاقتصادي والاجتماعي</w:t>
            </w:r>
          </w:p>
        </w:tc>
        <w:tc>
          <w:tcPr>
            <w:tcW w:w="3402" w:type="dxa"/>
            <w:tcBorders>
              <w:top w:val="single" w:sz="4" w:space="0" w:color="auto"/>
              <w:bottom w:val="single" w:sz="12" w:space="0" w:color="auto"/>
            </w:tcBorders>
            <w:shd w:val="clear" w:color="auto" w:fill="auto"/>
          </w:tcPr>
          <w:p w:rsidR="006B3E27" w:rsidRDefault="00F71B77" w:rsidP="00F71B77">
            <w:pPr>
              <w:bidi w:val="0"/>
              <w:spacing w:before="240"/>
              <w:jc w:val="left"/>
              <w:rPr>
                <w:szCs w:val="20"/>
              </w:rPr>
            </w:pPr>
            <w:r>
              <w:rPr>
                <w:szCs w:val="20"/>
              </w:rPr>
              <w:t>Distr.: General</w:t>
            </w:r>
          </w:p>
          <w:p w:rsidR="00F71B77" w:rsidRDefault="00F71B77" w:rsidP="00F71B77">
            <w:pPr>
              <w:bidi w:val="0"/>
              <w:jc w:val="left"/>
              <w:rPr>
                <w:szCs w:val="20"/>
              </w:rPr>
            </w:pPr>
            <w:r>
              <w:rPr>
                <w:szCs w:val="20"/>
              </w:rPr>
              <w:t>10 December 2014</w:t>
            </w:r>
          </w:p>
          <w:p w:rsidR="00F71B77" w:rsidRDefault="00F71B77" w:rsidP="00F71B77">
            <w:pPr>
              <w:bidi w:val="0"/>
              <w:jc w:val="left"/>
              <w:rPr>
                <w:szCs w:val="20"/>
              </w:rPr>
            </w:pPr>
            <w:r>
              <w:rPr>
                <w:szCs w:val="20"/>
              </w:rPr>
              <w:t>Arabic</w:t>
            </w:r>
          </w:p>
          <w:p w:rsidR="00F71B77" w:rsidRPr="00BA50F4" w:rsidRDefault="00F71B77" w:rsidP="00F71B77">
            <w:pPr>
              <w:bidi w:val="0"/>
              <w:jc w:val="left"/>
              <w:rPr>
                <w:szCs w:val="20"/>
              </w:rPr>
            </w:pPr>
            <w:r>
              <w:rPr>
                <w:szCs w:val="20"/>
              </w:rPr>
              <w:t>Original: English</w:t>
            </w:r>
          </w:p>
        </w:tc>
      </w:tr>
    </w:tbl>
    <w:p w:rsidR="00F71B77" w:rsidRPr="00F71B77" w:rsidRDefault="00F71B77" w:rsidP="00F71B77">
      <w:pPr>
        <w:pStyle w:val="SingleTxtGA"/>
        <w:spacing w:before="120" w:after="0"/>
        <w:ind w:left="0" w:right="0"/>
        <w:rPr>
          <w:rFonts w:hint="cs"/>
          <w:b/>
          <w:bCs/>
          <w:sz w:val="26"/>
          <w:szCs w:val="36"/>
          <w:rtl/>
        </w:rPr>
      </w:pPr>
      <w:r w:rsidRPr="00F71B77">
        <w:rPr>
          <w:b/>
          <w:bCs/>
          <w:sz w:val="26"/>
          <w:szCs w:val="36"/>
          <w:rtl/>
        </w:rPr>
        <w:t>لجنة الحقوق الاقتصادية والاجتماعية والثقافية</w:t>
      </w:r>
    </w:p>
    <w:p w:rsidR="00F71B77" w:rsidRPr="00C57FB6" w:rsidRDefault="00F71B77" w:rsidP="00F71B77">
      <w:pPr>
        <w:pStyle w:val="HChGA"/>
      </w:pPr>
      <w:r>
        <w:rPr>
          <w:rFonts w:hint="cs"/>
          <w:rtl/>
        </w:rPr>
        <w:tab/>
      </w:r>
      <w:r w:rsidRPr="00C57FB6">
        <w:rPr>
          <w:rtl/>
        </w:rPr>
        <w:tab/>
        <w:t>قائمة القضايا فيما يتعلق بالتقرير الدوري الثاني المقدم من السودان</w:t>
      </w:r>
      <w:r w:rsidRPr="00F71B77">
        <w:rPr>
          <w:rStyle w:val="FootnoteReference"/>
          <w:position w:val="6"/>
          <w:sz w:val="20"/>
          <w:vertAlign w:val="baseline"/>
          <w:rtl/>
        </w:rPr>
        <w:footnoteReference w:customMarkFollows="1" w:id="1"/>
        <w:t>*</w:t>
      </w:r>
    </w:p>
    <w:p w:rsidR="00F71B77" w:rsidRPr="00C57FB6" w:rsidRDefault="00F71B77" w:rsidP="00F71B77">
      <w:pPr>
        <w:pStyle w:val="HChGA"/>
      </w:pPr>
      <w:r w:rsidRPr="00C57FB6">
        <w:rPr>
          <w:rtl/>
        </w:rPr>
        <w:tab/>
        <w:t>أولاً</w:t>
      </w:r>
      <w:r>
        <w:rPr>
          <w:rtl/>
        </w:rPr>
        <w:t>-</w:t>
      </w:r>
      <w:r>
        <w:rPr>
          <w:rtl/>
        </w:rPr>
        <w:tab/>
        <w:t>معلومات عامة</w:t>
      </w:r>
    </w:p>
    <w:p w:rsidR="00F71B77" w:rsidRPr="00C57FB6" w:rsidRDefault="00F71B77" w:rsidP="00F71B77">
      <w:pPr>
        <w:pStyle w:val="SingleTxtGA"/>
      </w:pPr>
      <w:r w:rsidRPr="00C57FB6">
        <w:rPr>
          <w:rtl/>
        </w:rPr>
        <w:t>١-</w:t>
      </w:r>
      <w:r>
        <w:rPr>
          <w:rFonts w:hint="cs"/>
          <w:rtl/>
        </w:rPr>
        <w:tab/>
      </w:r>
      <w:r w:rsidRPr="00C57FB6">
        <w:rPr>
          <w:rtl/>
        </w:rPr>
        <w:t xml:space="preserve">يرجى تقديم معلومات عن أثر التدابير التي اتخذتها الدولة الطرف لضمان حرية عمل منظمات المجتمع المدني، بما في ذلك تلك العاملة في ميدان الحقوق الاقتصادية والاجتماعية والثقافية. </w:t>
      </w:r>
    </w:p>
    <w:p w:rsidR="00F71B77" w:rsidRPr="00C57FB6" w:rsidRDefault="00F71B77" w:rsidP="00F71B77">
      <w:pPr>
        <w:pStyle w:val="HChGA"/>
      </w:pPr>
      <w:r>
        <w:rPr>
          <w:rtl/>
        </w:rPr>
        <w:tab/>
        <w:t>ثانياً-</w:t>
      </w:r>
      <w:r>
        <w:rPr>
          <w:rtl/>
        </w:rPr>
        <w:tab/>
      </w:r>
      <w:r w:rsidRPr="00C57FB6">
        <w:rPr>
          <w:rtl/>
        </w:rPr>
        <w:t>المسائل المتعلقة بال</w:t>
      </w:r>
      <w:r>
        <w:rPr>
          <w:rtl/>
        </w:rPr>
        <w:t>أحكام العامة للعهد (المواد 1-5)</w:t>
      </w:r>
    </w:p>
    <w:p w:rsidR="00F71B77" w:rsidRPr="00C57FB6" w:rsidRDefault="00F71B77" w:rsidP="00F71B77">
      <w:pPr>
        <w:pStyle w:val="H1GA"/>
      </w:pPr>
      <w:r>
        <w:rPr>
          <w:rFonts w:hint="cs"/>
          <w:rtl/>
        </w:rPr>
        <w:tab/>
      </w:r>
      <w:r w:rsidRPr="00C57FB6">
        <w:rPr>
          <w:rtl/>
        </w:rPr>
        <w:tab/>
        <w:t xml:space="preserve">الفقرة 2 من المادة 1 </w:t>
      </w:r>
      <w:r>
        <w:rPr>
          <w:rFonts w:hint="cs"/>
          <w:rtl/>
        </w:rPr>
        <w:t>-</w:t>
      </w:r>
      <w:r>
        <w:rPr>
          <w:rtl/>
        </w:rPr>
        <w:t xml:space="preserve"> </w:t>
      </w:r>
      <w:r w:rsidRPr="00C57FB6">
        <w:rPr>
          <w:rtl/>
        </w:rPr>
        <w:t xml:space="preserve">الثروات والموارد الطبيعية </w:t>
      </w:r>
    </w:p>
    <w:p w:rsidR="00F71B77" w:rsidRPr="00C57FB6" w:rsidRDefault="00F71B77" w:rsidP="00F71B77">
      <w:pPr>
        <w:pStyle w:val="SingleTxtGA"/>
      </w:pPr>
      <w:r w:rsidRPr="00C57FB6">
        <w:rPr>
          <w:rtl/>
        </w:rPr>
        <w:t>٢</w:t>
      </w:r>
      <w:r>
        <w:rPr>
          <w:rtl/>
        </w:rPr>
        <w:t>-</w:t>
      </w:r>
      <w:r>
        <w:rPr>
          <w:rtl/>
        </w:rPr>
        <w:tab/>
      </w:r>
      <w:r w:rsidRPr="00C57FB6">
        <w:rPr>
          <w:rtl/>
        </w:rPr>
        <w:t>يرجى تقديم معلومات عن مدى كفالة الحصول على الموافقة الحرة والمسبقة والمستنيرة، بموجب القانون وفي الممارسة العملية، من المتضررين من المشاريع الإنمائية، من قبيل بناء السد المشار إليه في الفقرة 84 من تقرير الدولة الطرف (</w:t>
      </w:r>
      <w:r w:rsidRPr="00C57FB6">
        <w:t>E/C.12/SDN/2</w:t>
      </w:r>
      <w:r w:rsidRPr="00C57FB6">
        <w:rPr>
          <w:rtl/>
        </w:rPr>
        <w:t>).</w:t>
      </w:r>
      <w:r>
        <w:rPr>
          <w:rtl/>
        </w:rPr>
        <w:t xml:space="preserve"> </w:t>
      </w:r>
      <w:r w:rsidRPr="00C57FB6">
        <w:rPr>
          <w:rtl/>
        </w:rPr>
        <w:t xml:space="preserve">ويرجى توضيح كيف تكفل الدولة الطرف استغلال الموارد الطبيعية بصورة تؤدي إلى تحسن ملموس في التمتع بالحقوق الاقتصادية والاجتماعية والثقافية لسكانها. </w:t>
      </w:r>
    </w:p>
    <w:p w:rsidR="00F71B77" w:rsidRPr="00C57FB6" w:rsidRDefault="00F71B77" w:rsidP="006E64C1">
      <w:pPr>
        <w:pStyle w:val="H1GA"/>
      </w:pPr>
      <w:r>
        <w:rPr>
          <w:rFonts w:hint="cs"/>
          <w:rtl/>
        </w:rPr>
        <w:tab/>
      </w:r>
      <w:r>
        <w:rPr>
          <w:rtl/>
        </w:rPr>
        <w:tab/>
      </w:r>
      <w:r w:rsidRPr="00C57FB6">
        <w:rPr>
          <w:rtl/>
        </w:rPr>
        <w:t xml:space="preserve">الفقرة </w:t>
      </w:r>
      <w:r w:rsidR="006E64C1">
        <w:rPr>
          <w:rFonts w:hint="cs"/>
          <w:rtl/>
        </w:rPr>
        <w:t>1</w:t>
      </w:r>
      <w:r w:rsidRPr="00C57FB6">
        <w:rPr>
          <w:rtl/>
        </w:rPr>
        <w:t xml:space="preserve"> من المادة </w:t>
      </w:r>
      <w:r w:rsidR="006E64C1">
        <w:rPr>
          <w:rFonts w:hint="cs"/>
          <w:rtl/>
        </w:rPr>
        <w:t xml:space="preserve">2 </w:t>
      </w:r>
      <w:r>
        <w:rPr>
          <w:rtl/>
        </w:rPr>
        <w:t xml:space="preserve">- </w:t>
      </w:r>
      <w:r w:rsidR="00FE7331">
        <w:rPr>
          <w:rtl/>
        </w:rPr>
        <w:t>توفير الحد الأقصى من الموارد</w:t>
      </w:r>
    </w:p>
    <w:p w:rsidR="00F71B77" w:rsidRPr="00C57FB6" w:rsidRDefault="00F71B77" w:rsidP="00F71B77">
      <w:pPr>
        <w:pStyle w:val="SingleTxtGA"/>
      </w:pPr>
      <w:r w:rsidRPr="00C57FB6">
        <w:rPr>
          <w:rtl/>
        </w:rPr>
        <w:t>٣</w:t>
      </w:r>
      <w:r>
        <w:rPr>
          <w:rtl/>
        </w:rPr>
        <w:t>-</w:t>
      </w:r>
      <w:r>
        <w:rPr>
          <w:rtl/>
        </w:rPr>
        <w:tab/>
      </w:r>
      <w:r w:rsidRPr="00C57FB6">
        <w:rPr>
          <w:rtl/>
        </w:rPr>
        <w:t>يرجى بيان ما إذا كانت تدابير مكافحة الفساد الواردة في الفقرات من 89 إلى 92 من تقرير الدولة الطرف قد أفضت إلى ملاحقات قضائية وإدانات.</w:t>
      </w:r>
      <w:r>
        <w:rPr>
          <w:rtl/>
        </w:rPr>
        <w:t xml:space="preserve"> </w:t>
      </w:r>
      <w:r w:rsidRPr="00C57FB6">
        <w:rPr>
          <w:rtl/>
        </w:rPr>
        <w:t>ويرجى تقديم معلومات عن أي حالات من هذا القبيل والجزاءات التي فُرضت، إن وجدت، ضد مسؤولين</w:t>
      </w:r>
      <w:r>
        <w:rPr>
          <w:rtl/>
        </w:rPr>
        <w:t xml:space="preserve"> رفيعي المستوى أُدينوا بالفساد.</w:t>
      </w:r>
    </w:p>
    <w:p w:rsidR="00F71B77" w:rsidRPr="00C57FB6" w:rsidRDefault="00F71B77" w:rsidP="00F71B77">
      <w:pPr>
        <w:pStyle w:val="SingleTxtGA"/>
      </w:pPr>
      <w:r w:rsidRPr="00C57FB6">
        <w:rPr>
          <w:rtl/>
        </w:rPr>
        <w:t>٤</w:t>
      </w:r>
      <w:r>
        <w:rPr>
          <w:rtl/>
        </w:rPr>
        <w:t>-</w:t>
      </w:r>
      <w:r>
        <w:rPr>
          <w:rtl/>
        </w:rPr>
        <w:tab/>
      </w:r>
      <w:r w:rsidRPr="00C57FB6">
        <w:rPr>
          <w:rtl/>
        </w:rPr>
        <w:t>يرجى تقديم بيانات إحصائية محدّثة عن النسبة المئوية من ميزانية الدولة المخصصة لحفظ السلام، على النحو المشار إليه في الفقرة 275 من تقرير الدولة الطرف، وللقطاعات ذات الصلة بالحقوق ال</w:t>
      </w:r>
      <w:r>
        <w:rPr>
          <w:rtl/>
        </w:rPr>
        <w:t>اقتصادية والاجتماعية والثقافية.</w:t>
      </w:r>
    </w:p>
    <w:p w:rsidR="00F71B77" w:rsidRPr="00C57FB6" w:rsidRDefault="00F71B77" w:rsidP="00F71B77">
      <w:pPr>
        <w:pStyle w:val="H1GA"/>
      </w:pPr>
      <w:r w:rsidRPr="00C57FB6">
        <w:rPr>
          <w:rtl/>
        </w:rPr>
        <w:tab/>
      </w:r>
      <w:r w:rsidRPr="00C57FB6">
        <w:rPr>
          <w:rtl/>
        </w:rPr>
        <w:tab/>
        <w:t>الف</w:t>
      </w:r>
      <w:r>
        <w:rPr>
          <w:rtl/>
        </w:rPr>
        <w:t>قرة 2 من المادة 2 - عدم التمييز</w:t>
      </w:r>
    </w:p>
    <w:p w:rsidR="00F71B77" w:rsidRPr="00C57FB6" w:rsidRDefault="00F71B77" w:rsidP="00F71B77">
      <w:pPr>
        <w:pStyle w:val="SingleTxtGA"/>
      </w:pPr>
      <w:r w:rsidRPr="00C57FB6">
        <w:rPr>
          <w:rtl/>
        </w:rPr>
        <w:t>٥</w:t>
      </w:r>
      <w:r>
        <w:rPr>
          <w:rtl/>
        </w:rPr>
        <w:t>-</w:t>
      </w:r>
      <w:r>
        <w:rPr>
          <w:rtl/>
        </w:rPr>
        <w:tab/>
      </w:r>
      <w:r w:rsidRPr="00C57FB6">
        <w:rPr>
          <w:rtl/>
        </w:rPr>
        <w:t>يرجى تقديم معلومات عن التدابير المتخذة لسد الفجوة التشريعية في مجال الحماية من التمييز القائم ع</w:t>
      </w:r>
      <w:r>
        <w:rPr>
          <w:rtl/>
        </w:rPr>
        <w:t>لى جميع الأسس الواردة في العهد.</w:t>
      </w:r>
    </w:p>
    <w:p w:rsidR="00F71B77" w:rsidRPr="00C57FB6" w:rsidRDefault="00F71B77" w:rsidP="00F71B77">
      <w:pPr>
        <w:pStyle w:val="SingleTxtGA"/>
      </w:pPr>
      <w:r w:rsidRPr="00C57FB6">
        <w:rPr>
          <w:rtl/>
        </w:rPr>
        <w:t>٦</w:t>
      </w:r>
      <w:r>
        <w:rPr>
          <w:rtl/>
        </w:rPr>
        <w:t>-</w:t>
      </w:r>
      <w:r>
        <w:rPr>
          <w:rtl/>
        </w:rPr>
        <w:tab/>
      </w:r>
      <w:r w:rsidRPr="00C57FB6">
        <w:rPr>
          <w:rtl/>
        </w:rPr>
        <w:t>يرجى بيان إلى أي حد أدى تنفيذ الخطة الاستراتيجية الربع قرنية الموجهة نحو النمو للفترة 2007-2031، والتدابير مثل تلك المبينة في الفقرتين 73 و156 من تقرير الدولة، إلى التخفيض التدريجي للتباينات في التمتع بالحقوق الاقتصادية والاجتماعية والثقافية بين الولايات،</w:t>
      </w:r>
      <w:r>
        <w:rPr>
          <w:rtl/>
        </w:rPr>
        <w:t xml:space="preserve"> وبين المناطق الحضرية والريفية.</w:t>
      </w:r>
    </w:p>
    <w:p w:rsidR="00F71B77" w:rsidRPr="00C57FB6" w:rsidRDefault="00F71B77" w:rsidP="00F71B77">
      <w:pPr>
        <w:pStyle w:val="H1GA"/>
      </w:pPr>
      <w:r w:rsidRPr="00C57FB6">
        <w:rPr>
          <w:rtl/>
        </w:rPr>
        <w:tab/>
      </w:r>
      <w:r w:rsidRPr="00C57FB6">
        <w:rPr>
          <w:rtl/>
        </w:rPr>
        <w:tab/>
        <w:t xml:space="preserve">المادة 3 - المساواة في الحقوق بين الرجال والنساء </w:t>
      </w:r>
    </w:p>
    <w:p w:rsidR="00F71B77" w:rsidRPr="00C57FB6" w:rsidRDefault="00F71B77" w:rsidP="00F71B77">
      <w:pPr>
        <w:pStyle w:val="SingleTxtGA"/>
      </w:pPr>
      <w:r w:rsidRPr="00C57FB6">
        <w:rPr>
          <w:rtl/>
        </w:rPr>
        <w:t>٧</w:t>
      </w:r>
      <w:r>
        <w:rPr>
          <w:rtl/>
        </w:rPr>
        <w:t>-</w:t>
      </w:r>
      <w:r>
        <w:rPr>
          <w:rtl/>
        </w:rPr>
        <w:tab/>
      </w:r>
      <w:r w:rsidRPr="00C57FB6">
        <w:rPr>
          <w:rtl/>
        </w:rPr>
        <w:t>يرجى تقديم معلومات عن تدابير التمييز الإيجابي المتخذة، على النحو المنصوص عليه في الفقرة 2 من المادة من الدستور، وعن تأثيرها في التمتع بالحقوق الاقتصادي</w:t>
      </w:r>
      <w:r>
        <w:rPr>
          <w:rtl/>
        </w:rPr>
        <w:t>ة والاجتماعية والثقافية للمرأة.</w:t>
      </w:r>
    </w:p>
    <w:p w:rsidR="00F71B77" w:rsidRPr="00C57FB6" w:rsidRDefault="00F71B77" w:rsidP="00F71B77">
      <w:pPr>
        <w:pStyle w:val="SingleTxtGA"/>
      </w:pPr>
      <w:r w:rsidRPr="00C57FB6">
        <w:rPr>
          <w:rtl/>
        </w:rPr>
        <w:t>٨</w:t>
      </w:r>
      <w:r>
        <w:rPr>
          <w:rtl/>
        </w:rPr>
        <w:t>-</w:t>
      </w:r>
      <w:r>
        <w:rPr>
          <w:rtl/>
        </w:rPr>
        <w:tab/>
      </w:r>
      <w:r w:rsidRPr="00C57FB6">
        <w:rPr>
          <w:rtl/>
        </w:rPr>
        <w:t>ويرجى إبلاغ اللجنة بشأن فعالية الخطوات المتخذة لمعالجة العوامل الثقافية والاجتماعية التي تحد من تطلع المرأة لتولي المناصب العليا، على النحو المشار إليه في ال</w:t>
      </w:r>
      <w:r>
        <w:rPr>
          <w:rtl/>
        </w:rPr>
        <w:t>فقرة 146 من تقرير الدولة الطرف.</w:t>
      </w:r>
    </w:p>
    <w:p w:rsidR="00F71B77" w:rsidRPr="00C57FB6" w:rsidRDefault="00F71B77" w:rsidP="00F71B77">
      <w:pPr>
        <w:pStyle w:val="HChGA"/>
      </w:pPr>
      <w:r>
        <w:rPr>
          <w:rFonts w:hint="cs"/>
          <w:rtl/>
        </w:rPr>
        <w:tab/>
      </w:r>
      <w:r w:rsidRPr="00C57FB6">
        <w:rPr>
          <w:rtl/>
        </w:rPr>
        <w:t>ثالثا</w:t>
      </w:r>
      <w:r>
        <w:rPr>
          <w:rFonts w:hint="cs"/>
          <w:rtl/>
        </w:rPr>
        <w:t>ً</w:t>
      </w:r>
      <w:r w:rsidRPr="00C57FB6">
        <w:rPr>
          <w:rtl/>
        </w:rPr>
        <w:t>-</w:t>
      </w:r>
      <w:r w:rsidRPr="00C57FB6">
        <w:rPr>
          <w:rtl/>
        </w:rPr>
        <w:tab/>
        <w:t>القضايا المتعلقة بأحكام بعينه</w:t>
      </w:r>
      <w:r>
        <w:rPr>
          <w:rtl/>
        </w:rPr>
        <w:t>ا في العهد (المواد من 6 إلى 15)</w:t>
      </w:r>
    </w:p>
    <w:p w:rsidR="00F71B77" w:rsidRPr="00C57FB6" w:rsidRDefault="00F71B77" w:rsidP="00F71B77">
      <w:pPr>
        <w:pStyle w:val="H1GA"/>
      </w:pPr>
      <w:r w:rsidRPr="00C57FB6">
        <w:rPr>
          <w:rtl/>
        </w:rPr>
        <w:tab/>
      </w:r>
      <w:r w:rsidRPr="00C57FB6">
        <w:rPr>
          <w:rtl/>
        </w:rPr>
        <w:tab/>
        <w:t>المادة 6</w:t>
      </w:r>
      <w:r>
        <w:rPr>
          <w:rtl/>
        </w:rPr>
        <w:t xml:space="preserve"> </w:t>
      </w:r>
      <w:r w:rsidRPr="00C57FB6">
        <w:rPr>
          <w:rtl/>
        </w:rPr>
        <w:t>-</w:t>
      </w:r>
      <w:r>
        <w:rPr>
          <w:rtl/>
        </w:rPr>
        <w:t xml:space="preserve"> الحق في العمل</w:t>
      </w:r>
    </w:p>
    <w:p w:rsidR="00F71B77" w:rsidRPr="00C57FB6" w:rsidRDefault="00F71B77" w:rsidP="00F71B77">
      <w:pPr>
        <w:pStyle w:val="SingleTxtGA"/>
      </w:pPr>
      <w:r w:rsidRPr="00C57FB6">
        <w:rPr>
          <w:rtl/>
        </w:rPr>
        <w:t>٩</w:t>
      </w:r>
      <w:r>
        <w:rPr>
          <w:rtl/>
        </w:rPr>
        <w:t>-</w:t>
      </w:r>
      <w:r>
        <w:rPr>
          <w:rtl/>
        </w:rPr>
        <w:tab/>
      </w:r>
      <w:r w:rsidRPr="00C57FB6">
        <w:rPr>
          <w:rtl/>
        </w:rPr>
        <w:t>يرجى تقديم معلومات عن أثر التدابير، مثل الخطة المتعلقة بالخدمة العامة المذكورة في</w:t>
      </w:r>
      <w:r>
        <w:rPr>
          <w:rFonts w:hint="cs"/>
          <w:rtl/>
        </w:rPr>
        <w:t> </w:t>
      </w:r>
      <w:r w:rsidRPr="00C57FB6">
        <w:rPr>
          <w:rtl/>
        </w:rPr>
        <w:t>الفقرتين 113</w:t>
      </w:r>
      <w:r>
        <w:rPr>
          <w:rtl/>
        </w:rPr>
        <w:t xml:space="preserve"> و</w:t>
      </w:r>
      <w:r w:rsidRPr="00C57FB6">
        <w:rPr>
          <w:rtl/>
        </w:rPr>
        <w:t>114 من تقرير الدولة الطرف، من أجل الحد من ارتفاع معدلات البطالة في</w:t>
      </w:r>
      <w:r>
        <w:rPr>
          <w:rFonts w:hint="cs"/>
          <w:rtl/>
        </w:rPr>
        <w:t> </w:t>
      </w:r>
      <w:r w:rsidRPr="00C57FB6">
        <w:rPr>
          <w:rtl/>
        </w:rPr>
        <w:t>الدولة الطرف، لا سيما بين الشابات والرجال في المناطق الحضرية.</w:t>
      </w:r>
      <w:r>
        <w:rPr>
          <w:rtl/>
        </w:rPr>
        <w:t xml:space="preserve"> </w:t>
      </w:r>
      <w:r w:rsidRPr="00C57FB6">
        <w:rPr>
          <w:rtl/>
        </w:rPr>
        <w:t>ويرجى أيض</w:t>
      </w:r>
      <w:r>
        <w:rPr>
          <w:rtl/>
        </w:rPr>
        <w:t xml:space="preserve">اً </w:t>
      </w:r>
      <w:r w:rsidRPr="00C57FB6">
        <w:rPr>
          <w:rtl/>
        </w:rPr>
        <w:t>تقديم معلومات عن التدابير المتخذة لضمان أن الاستثمارات الأجنبية تولد المزي</w:t>
      </w:r>
      <w:r>
        <w:rPr>
          <w:rtl/>
        </w:rPr>
        <w:t>د من فرص العمل للسكان المحليين.</w:t>
      </w:r>
    </w:p>
    <w:p w:rsidR="00F71B77" w:rsidRPr="00C57FB6" w:rsidRDefault="00F71B77" w:rsidP="00F71B77">
      <w:pPr>
        <w:pStyle w:val="SingleTxtGA"/>
      </w:pPr>
      <w:r w:rsidRPr="00C57FB6">
        <w:rPr>
          <w:rtl/>
        </w:rPr>
        <w:t>١٠</w:t>
      </w:r>
      <w:r>
        <w:rPr>
          <w:rtl/>
        </w:rPr>
        <w:t>-</w:t>
      </w:r>
      <w:r>
        <w:rPr>
          <w:rtl/>
        </w:rPr>
        <w:tab/>
      </w:r>
      <w:r w:rsidRPr="00C57FB6">
        <w:rPr>
          <w:rtl/>
        </w:rPr>
        <w:t>يرجى تقديم معلومات عن أثر التدابير التي اتخذتها الدولة الطرف لتحسين ظروف عمل</w:t>
      </w:r>
      <w:r>
        <w:rPr>
          <w:rtl/>
        </w:rPr>
        <w:t xml:space="preserve"> المرأة في الاقتصاد غير الرسمي.</w:t>
      </w:r>
    </w:p>
    <w:p w:rsidR="00F71B77" w:rsidRPr="00C57FB6" w:rsidRDefault="00F71B77" w:rsidP="00F71B77">
      <w:pPr>
        <w:pStyle w:val="H1GA"/>
      </w:pPr>
      <w:r>
        <w:rPr>
          <w:rFonts w:hint="cs"/>
          <w:rtl/>
        </w:rPr>
        <w:tab/>
      </w:r>
      <w:r>
        <w:rPr>
          <w:rtl/>
        </w:rPr>
        <w:tab/>
      </w:r>
      <w:r w:rsidRPr="00C57FB6">
        <w:rPr>
          <w:rtl/>
        </w:rPr>
        <w:t xml:space="preserve">المادة 7 - الحق في التمتع بشروط عمل عادلة ومواتية </w:t>
      </w:r>
    </w:p>
    <w:p w:rsidR="00F71B77" w:rsidRPr="00C57FB6" w:rsidRDefault="00F71B77" w:rsidP="00F71B77">
      <w:pPr>
        <w:pStyle w:val="SingleTxtGA"/>
      </w:pPr>
      <w:r w:rsidRPr="00C57FB6">
        <w:rPr>
          <w:rtl/>
        </w:rPr>
        <w:t>١١</w:t>
      </w:r>
      <w:r>
        <w:rPr>
          <w:rtl/>
        </w:rPr>
        <w:t>-</w:t>
      </w:r>
      <w:r>
        <w:rPr>
          <w:rtl/>
        </w:rPr>
        <w:tab/>
      </w:r>
      <w:r w:rsidRPr="00C57FB6">
        <w:rPr>
          <w:rtl/>
        </w:rPr>
        <w:t>يرجى تقديم بيانات إحصائية، مصنفة بحسب القطاع والسنة، عن عمليات تفتيش أماكن العمل في الدولة الطرف، بما في ذلك النسبة المئوية للشركات التي خضعت لعمليات التفتيش، والمخالفات ا</w:t>
      </w:r>
      <w:r>
        <w:rPr>
          <w:rtl/>
        </w:rPr>
        <w:t>لتي حُددت والجزاءات التي فُرضت.</w:t>
      </w:r>
    </w:p>
    <w:p w:rsidR="00F71B77" w:rsidRPr="00C57FB6" w:rsidRDefault="00F71B77" w:rsidP="00F71B77">
      <w:pPr>
        <w:pStyle w:val="H1GA"/>
      </w:pPr>
      <w:r>
        <w:rPr>
          <w:rtl/>
        </w:rPr>
        <w:tab/>
      </w:r>
      <w:r>
        <w:rPr>
          <w:rtl/>
        </w:rPr>
        <w:tab/>
        <w:t>المادة 8 - الحقوق النقابية</w:t>
      </w:r>
    </w:p>
    <w:p w:rsidR="00F71B77" w:rsidRPr="00C57FB6" w:rsidRDefault="00F71B77" w:rsidP="006E64C1">
      <w:pPr>
        <w:pStyle w:val="SingleTxtGA"/>
      </w:pPr>
      <w:r w:rsidRPr="00C57FB6">
        <w:rPr>
          <w:rtl/>
        </w:rPr>
        <w:t>١٢</w:t>
      </w:r>
      <w:r>
        <w:rPr>
          <w:rtl/>
        </w:rPr>
        <w:t>-</w:t>
      </w:r>
      <w:r>
        <w:rPr>
          <w:rtl/>
        </w:rPr>
        <w:tab/>
      </w:r>
      <w:r w:rsidRPr="00C57FB6">
        <w:rPr>
          <w:rtl/>
        </w:rPr>
        <w:t>يرجى تقديم معلومات عن مدى احترام الحق في الإضراب في الممارسة العملية، بما في ذلك تقديم بيانات عن عدد الإضرابات.</w:t>
      </w:r>
      <w:r>
        <w:rPr>
          <w:rtl/>
        </w:rPr>
        <w:t xml:space="preserve"> </w:t>
      </w:r>
      <w:r w:rsidRPr="00C57FB6">
        <w:rPr>
          <w:rtl/>
        </w:rPr>
        <w:t>ويرجى أيض</w:t>
      </w:r>
      <w:r>
        <w:rPr>
          <w:rtl/>
        </w:rPr>
        <w:t xml:space="preserve">اً </w:t>
      </w:r>
      <w:r w:rsidRPr="00C57FB6">
        <w:rPr>
          <w:rtl/>
        </w:rPr>
        <w:t>بيان ما إذا كان هذا الحق مكفول</w:t>
      </w:r>
      <w:r>
        <w:rPr>
          <w:rtl/>
        </w:rPr>
        <w:t xml:space="preserve">اً </w:t>
      </w:r>
      <w:r w:rsidRPr="00C57FB6">
        <w:rPr>
          <w:rtl/>
        </w:rPr>
        <w:t>لجميع موظفي الخدمة المدنية.</w:t>
      </w:r>
      <w:r>
        <w:rPr>
          <w:rtl/>
        </w:rPr>
        <w:t xml:space="preserve"> </w:t>
      </w:r>
      <w:r w:rsidRPr="00C57FB6">
        <w:rPr>
          <w:rtl/>
        </w:rPr>
        <w:t xml:space="preserve">ويرجى </w:t>
      </w:r>
      <w:r w:rsidR="006E64C1">
        <w:rPr>
          <w:rFonts w:hint="cs"/>
          <w:rtl/>
        </w:rPr>
        <w:t>إ</w:t>
      </w:r>
      <w:r w:rsidRPr="00C57FB6">
        <w:rPr>
          <w:rtl/>
        </w:rPr>
        <w:t>طلاع اللجنة على أي خطط لتغيير نظام احتكار نقابات العمال في الدولة الطرف، وذلك من أجل احترام الحق في تشكيل النقابات وحق الشخص في الا</w:t>
      </w:r>
      <w:r>
        <w:rPr>
          <w:rtl/>
        </w:rPr>
        <w:t>نضمام إلى النقابة التي يختارها.</w:t>
      </w:r>
    </w:p>
    <w:p w:rsidR="00F71B77" w:rsidRPr="00C57FB6" w:rsidRDefault="00F71B77" w:rsidP="00F71B77">
      <w:pPr>
        <w:pStyle w:val="H1GA"/>
      </w:pPr>
      <w:r w:rsidRPr="00C57FB6">
        <w:rPr>
          <w:rtl/>
        </w:rPr>
        <w:tab/>
      </w:r>
      <w:r w:rsidRPr="00C57FB6">
        <w:rPr>
          <w:rtl/>
        </w:rPr>
        <w:tab/>
        <w:t>المادة 9</w:t>
      </w:r>
      <w:r>
        <w:rPr>
          <w:rtl/>
        </w:rPr>
        <w:t xml:space="preserve"> - الحق في الضمان الاجتماعي</w:t>
      </w:r>
    </w:p>
    <w:p w:rsidR="00F71B77" w:rsidRPr="00C57FB6" w:rsidRDefault="00F71B77" w:rsidP="00F71B77">
      <w:pPr>
        <w:pStyle w:val="SingleTxtGA"/>
      </w:pPr>
      <w:r w:rsidRPr="00C57FB6">
        <w:rPr>
          <w:rtl/>
        </w:rPr>
        <w:t>١٣</w:t>
      </w:r>
      <w:r>
        <w:rPr>
          <w:rtl/>
        </w:rPr>
        <w:t>-</w:t>
      </w:r>
      <w:r>
        <w:rPr>
          <w:rtl/>
        </w:rPr>
        <w:tab/>
      </w:r>
      <w:r w:rsidRPr="00C57FB6">
        <w:rPr>
          <w:rtl/>
        </w:rPr>
        <w:t>يرجى تقديم بيانات إحصائية محدّثة عن النسبة المئوية للسكان المشمولين بالصندوق القومي للمعاشات وخطة التضامن.</w:t>
      </w:r>
      <w:r>
        <w:rPr>
          <w:rtl/>
        </w:rPr>
        <w:t xml:space="preserve"> </w:t>
      </w:r>
      <w:r w:rsidRPr="00C57FB6">
        <w:rPr>
          <w:rtl/>
        </w:rPr>
        <w:t>ويرجى أيض</w:t>
      </w:r>
      <w:r>
        <w:rPr>
          <w:rtl/>
        </w:rPr>
        <w:t xml:space="preserve">اً </w:t>
      </w:r>
      <w:r w:rsidRPr="00C57FB6">
        <w:rPr>
          <w:rtl/>
        </w:rPr>
        <w:t>تقديم معلومات عن الخطط الرامية إلى توسيع نطاق التغطية بالضمان الاجتماعي ليشمل العاملين في الا</w:t>
      </w:r>
      <w:r>
        <w:rPr>
          <w:rtl/>
        </w:rPr>
        <w:t>قتصاد غير الرسمي.</w:t>
      </w:r>
    </w:p>
    <w:p w:rsidR="00F71B77" w:rsidRPr="00C57FB6" w:rsidRDefault="00F71B77" w:rsidP="00F71B77">
      <w:pPr>
        <w:pStyle w:val="H1GA"/>
      </w:pPr>
      <w:r>
        <w:rPr>
          <w:rFonts w:hint="cs"/>
          <w:rtl/>
        </w:rPr>
        <w:tab/>
      </w:r>
      <w:r>
        <w:rPr>
          <w:rtl/>
        </w:rPr>
        <w:tab/>
      </w:r>
      <w:r w:rsidRPr="00C57FB6">
        <w:rPr>
          <w:rtl/>
        </w:rPr>
        <w:t>الم</w:t>
      </w:r>
      <w:r>
        <w:rPr>
          <w:rtl/>
        </w:rPr>
        <w:t>ادة 10 - حماية الأسرة ومساعدتها</w:t>
      </w:r>
    </w:p>
    <w:p w:rsidR="00F71B77" w:rsidRPr="00C57FB6" w:rsidRDefault="00F71B77" w:rsidP="00F71B77">
      <w:pPr>
        <w:pStyle w:val="SingleTxtGA"/>
      </w:pPr>
      <w:r w:rsidRPr="00C57FB6">
        <w:rPr>
          <w:rtl/>
        </w:rPr>
        <w:t>١٤</w:t>
      </w:r>
      <w:r>
        <w:rPr>
          <w:rtl/>
        </w:rPr>
        <w:t>-</w:t>
      </w:r>
      <w:r>
        <w:rPr>
          <w:rtl/>
        </w:rPr>
        <w:tab/>
      </w:r>
      <w:r w:rsidRPr="00C57FB6">
        <w:rPr>
          <w:rtl/>
        </w:rPr>
        <w:t>يرجى تقديم بيانات إحصائية، مصنفة حسب نوع الجنس والسن والمناطق الحضرية أو الريفية، بشأن الفقر في الدولة الطرف.</w:t>
      </w:r>
      <w:r>
        <w:rPr>
          <w:rtl/>
        </w:rPr>
        <w:t xml:space="preserve"> </w:t>
      </w:r>
      <w:r w:rsidRPr="00C57FB6">
        <w:rPr>
          <w:rtl/>
        </w:rPr>
        <w:t xml:space="preserve">ويرجى تقديم معلومات عن التدابير المتخذة لتوفير الخدمات الأساسية والحماية لأطفال الشوارع، بما في ذلك </w:t>
      </w:r>
      <w:r>
        <w:rPr>
          <w:rFonts w:hint="cs"/>
          <w:rtl/>
        </w:rPr>
        <w:t>إ</w:t>
      </w:r>
      <w:r w:rsidRPr="00C57FB6">
        <w:rPr>
          <w:rtl/>
        </w:rPr>
        <w:t>لحاقهم بالمدارس، فضل</w:t>
      </w:r>
      <w:r>
        <w:rPr>
          <w:rtl/>
        </w:rPr>
        <w:t xml:space="preserve">اً </w:t>
      </w:r>
      <w:r w:rsidRPr="00C57FB6">
        <w:rPr>
          <w:rtl/>
        </w:rPr>
        <w:t>عن حمايتهم من الاستغلال الاقتصادي والج</w:t>
      </w:r>
      <w:r>
        <w:rPr>
          <w:rtl/>
        </w:rPr>
        <w:t>نسي غير ذلك من أشكال الاستغلال.</w:t>
      </w:r>
    </w:p>
    <w:p w:rsidR="00F71B77" w:rsidRPr="00C57FB6" w:rsidRDefault="00F71B77" w:rsidP="00F71B77">
      <w:pPr>
        <w:pStyle w:val="SingleTxtGA"/>
      </w:pPr>
      <w:r w:rsidRPr="00C57FB6">
        <w:rPr>
          <w:rtl/>
        </w:rPr>
        <w:t>١٥</w:t>
      </w:r>
      <w:r>
        <w:rPr>
          <w:rtl/>
        </w:rPr>
        <w:t>-</w:t>
      </w:r>
      <w:r>
        <w:rPr>
          <w:rtl/>
        </w:rPr>
        <w:tab/>
      </w:r>
      <w:r w:rsidRPr="00C57FB6">
        <w:rPr>
          <w:rtl/>
        </w:rPr>
        <w:t>ومع الإشارة إلى أن التدابير المبينة في الفقرات 121</w:t>
      </w:r>
      <w:r>
        <w:rPr>
          <w:rtl/>
        </w:rPr>
        <w:t xml:space="preserve"> و</w:t>
      </w:r>
      <w:r w:rsidRPr="00C57FB6">
        <w:rPr>
          <w:rtl/>
        </w:rPr>
        <w:t>122 من تقرير الدولة، من قبيل تمويل المؤسسات التجارية والخدمية الصغيرة وتوفير بطاقات التأمين الصحي، التي تستهدف المشمولين بصندوق المعاشات في الدولة الطرف البالغ عددهم 000 173 شخص، يرجى تقديم معلومات عن التدابير التي اتخذتها الدولة الطرف لتوفير الخدمات المعيشة والاجتماعية الأساسية لكبار السن الذين لا يتلقون معاشا</w:t>
      </w:r>
      <w:r>
        <w:rPr>
          <w:rtl/>
        </w:rPr>
        <w:t>ت تقاعدية، وعن أثر تلك الخدمات.</w:t>
      </w:r>
    </w:p>
    <w:p w:rsidR="00F71B77" w:rsidRPr="00C57FB6" w:rsidRDefault="00F71B77" w:rsidP="00F71B77">
      <w:pPr>
        <w:pStyle w:val="H1GA"/>
      </w:pPr>
      <w:r w:rsidRPr="00C57FB6">
        <w:rPr>
          <w:rtl/>
        </w:rPr>
        <w:tab/>
      </w:r>
      <w:r w:rsidRPr="00C57FB6">
        <w:rPr>
          <w:rtl/>
        </w:rPr>
        <w:tab/>
        <w:t>المادة 11</w:t>
      </w:r>
      <w:r>
        <w:rPr>
          <w:rtl/>
        </w:rPr>
        <w:t xml:space="preserve"> </w:t>
      </w:r>
      <w:r w:rsidRPr="00C57FB6">
        <w:rPr>
          <w:rtl/>
        </w:rPr>
        <w:t>-</w:t>
      </w:r>
      <w:r>
        <w:rPr>
          <w:rtl/>
        </w:rPr>
        <w:t xml:space="preserve"> الحق في مستوي معيشي ملائم</w:t>
      </w:r>
    </w:p>
    <w:p w:rsidR="00F71B77" w:rsidRPr="00C57FB6" w:rsidRDefault="00F71B77" w:rsidP="00F71B77">
      <w:pPr>
        <w:pStyle w:val="SingleTxtGA"/>
      </w:pPr>
      <w:r w:rsidRPr="00C57FB6">
        <w:rPr>
          <w:rtl/>
        </w:rPr>
        <w:t>١٦</w:t>
      </w:r>
      <w:r>
        <w:rPr>
          <w:rtl/>
        </w:rPr>
        <w:t>-</w:t>
      </w:r>
      <w:r>
        <w:rPr>
          <w:rtl/>
        </w:rPr>
        <w:tab/>
      </w:r>
      <w:r w:rsidRPr="00C57FB6">
        <w:rPr>
          <w:rtl/>
        </w:rPr>
        <w:t>يرجى بيان ما إذا كان ارتفاع معدل التضخم قد أدى إلى تفاقم مستوى الفقر، لا</w:t>
      </w:r>
      <w:r>
        <w:rPr>
          <w:rFonts w:hint="cs"/>
          <w:rtl/>
        </w:rPr>
        <w:t> </w:t>
      </w:r>
      <w:r w:rsidRPr="00C57FB6">
        <w:rPr>
          <w:rtl/>
        </w:rPr>
        <w:t>سيما بالنسبة لأشد الأفراد والجماعات حرمان</w:t>
      </w:r>
      <w:r>
        <w:rPr>
          <w:rtl/>
        </w:rPr>
        <w:t xml:space="preserve">اً </w:t>
      </w:r>
      <w:r w:rsidRPr="00C57FB6">
        <w:rPr>
          <w:rtl/>
        </w:rPr>
        <w:t>وتهميش</w:t>
      </w:r>
      <w:r>
        <w:rPr>
          <w:rtl/>
        </w:rPr>
        <w:t>اً.</w:t>
      </w:r>
    </w:p>
    <w:p w:rsidR="00F71B77" w:rsidRPr="00C57FB6" w:rsidRDefault="00F71B77" w:rsidP="00F71B77">
      <w:pPr>
        <w:pStyle w:val="SingleTxtGA"/>
      </w:pPr>
      <w:r w:rsidRPr="00C57FB6">
        <w:rPr>
          <w:rtl/>
        </w:rPr>
        <w:t>١٧</w:t>
      </w:r>
      <w:r>
        <w:rPr>
          <w:rtl/>
        </w:rPr>
        <w:t>-</w:t>
      </w:r>
      <w:r>
        <w:rPr>
          <w:rtl/>
        </w:rPr>
        <w:tab/>
      </w:r>
      <w:r w:rsidRPr="00C57FB6">
        <w:rPr>
          <w:rtl/>
        </w:rPr>
        <w:t>يرجى تقديم معلومات، تشمل بيانات إحصائية، عن أثر المشروع القومي للإسكان والتعمير، المشار إليه في الفقرة 149 من تقرير الدولة الطرف، على الحد من التشرد، بما في ذلك في أوساط المشردين داخلي</w:t>
      </w:r>
      <w:r>
        <w:rPr>
          <w:rtl/>
        </w:rPr>
        <w:t>اً،</w:t>
      </w:r>
      <w:r w:rsidRPr="00C57FB6">
        <w:rPr>
          <w:rtl/>
        </w:rPr>
        <w:t xml:space="preserve"> وإمكانية حصول الأفراد والفئات الأشد حرماناً وتهميشاً في الدولة الطرف </w:t>
      </w:r>
      <w:r>
        <w:rPr>
          <w:rtl/>
        </w:rPr>
        <w:t>على السكن اللائق بتكلفة ميسورة.</w:t>
      </w:r>
    </w:p>
    <w:p w:rsidR="00F71B77" w:rsidRPr="00C57FB6" w:rsidRDefault="00F71B77" w:rsidP="00F71B77">
      <w:pPr>
        <w:pStyle w:val="SingleTxtGA"/>
      </w:pPr>
      <w:r w:rsidRPr="00C57FB6">
        <w:rPr>
          <w:rtl/>
        </w:rPr>
        <w:t>١٨</w:t>
      </w:r>
      <w:r>
        <w:rPr>
          <w:rtl/>
        </w:rPr>
        <w:t>-</w:t>
      </w:r>
      <w:r>
        <w:rPr>
          <w:rtl/>
        </w:rPr>
        <w:tab/>
      </w:r>
      <w:r w:rsidRPr="00C57FB6">
        <w:rPr>
          <w:rtl/>
        </w:rPr>
        <w:t>يرجى تقديم معلومات عن أثر التدابير المتخذة من أجل رفع مستوى الأحياء الحضرية الفقيرة، وعن الحالة الراهنة للأسر التي تم ترحيلها من الأحياء العشوائية وأعيد توطينها في مدن جديدة، على النحو المذكور في ال</w:t>
      </w:r>
      <w:r>
        <w:rPr>
          <w:rtl/>
        </w:rPr>
        <w:t>فقرة 154 من تقرير الدولة الطرف.</w:t>
      </w:r>
    </w:p>
    <w:p w:rsidR="00F71B77" w:rsidRPr="00C57FB6" w:rsidRDefault="00F71B77" w:rsidP="00F71B77">
      <w:pPr>
        <w:pStyle w:val="SingleTxtGA"/>
      </w:pPr>
      <w:r w:rsidRPr="00C57FB6">
        <w:rPr>
          <w:rtl/>
        </w:rPr>
        <w:t>١٩</w:t>
      </w:r>
      <w:r>
        <w:rPr>
          <w:rtl/>
        </w:rPr>
        <w:t>-</w:t>
      </w:r>
      <w:r>
        <w:rPr>
          <w:rtl/>
        </w:rPr>
        <w:tab/>
      </w:r>
      <w:r w:rsidRPr="00C57FB6">
        <w:rPr>
          <w:rtl/>
        </w:rPr>
        <w:t>يرجى تقديم معلومات عن أثر التدابير المتخذة من أجل توفير المياه للسكان في جميع الولايات.</w:t>
      </w:r>
      <w:r>
        <w:rPr>
          <w:rtl/>
        </w:rPr>
        <w:t xml:space="preserve"> </w:t>
      </w:r>
      <w:r w:rsidRPr="00C57FB6">
        <w:rPr>
          <w:rtl/>
        </w:rPr>
        <w:t>ويرجى تقديم معلومات عن التدابير المتخذة لتحسين خدمات الصرف الص</w:t>
      </w:r>
      <w:r>
        <w:rPr>
          <w:rtl/>
        </w:rPr>
        <w:t>حي في المناطق الحضرية والريفية.</w:t>
      </w:r>
    </w:p>
    <w:p w:rsidR="00F71B77" w:rsidRPr="00C57FB6" w:rsidRDefault="00F71B77" w:rsidP="00F71B77">
      <w:pPr>
        <w:pStyle w:val="SingleTxtGA"/>
      </w:pPr>
      <w:r w:rsidRPr="00C57FB6">
        <w:rPr>
          <w:rtl/>
        </w:rPr>
        <w:t>٢٠</w:t>
      </w:r>
      <w:r>
        <w:rPr>
          <w:rtl/>
        </w:rPr>
        <w:t>-</w:t>
      </w:r>
      <w:r>
        <w:rPr>
          <w:rtl/>
        </w:rPr>
        <w:tab/>
      </w:r>
      <w:r w:rsidRPr="00C57FB6">
        <w:rPr>
          <w:rtl/>
        </w:rPr>
        <w:t>يرجى إبلاغ اللجنة بأثر الخطوات التي اتخذتها الدولة الطرف من أجل مكافحة انعدام الأمن الغذائي وكفالة القدرة على تحمل تكاليف الغذاء وإمكانية الحصول عليه، بما في ذلك بالنسبة للأشخاص المشردين داخلي</w:t>
      </w:r>
      <w:r>
        <w:rPr>
          <w:rtl/>
        </w:rPr>
        <w:t>اً.</w:t>
      </w:r>
    </w:p>
    <w:p w:rsidR="00F71B77" w:rsidRPr="00C57FB6" w:rsidRDefault="00F71B77" w:rsidP="00F71B77">
      <w:pPr>
        <w:pStyle w:val="H1GA"/>
      </w:pPr>
      <w:r>
        <w:rPr>
          <w:rtl/>
        </w:rPr>
        <w:tab/>
      </w:r>
      <w:r>
        <w:rPr>
          <w:rtl/>
        </w:rPr>
        <w:tab/>
        <w:t>المادة 12 - الحق في الصحة</w:t>
      </w:r>
    </w:p>
    <w:p w:rsidR="00F71B77" w:rsidRPr="00C57FB6" w:rsidRDefault="00F71B77" w:rsidP="00F71B77">
      <w:pPr>
        <w:pStyle w:val="SingleTxtGA"/>
      </w:pPr>
      <w:r w:rsidRPr="00C57FB6">
        <w:rPr>
          <w:rtl/>
        </w:rPr>
        <w:t>٢١</w:t>
      </w:r>
      <w:r>
        <w:rPr>
          <w:rtl/>
        </w:rPr>
        <w:t>-</w:t>
      </w:r>
      <w:r>
        <w:rPr>
          <w:rtl/>
        </w:rPr>
        <w:tab/>
      </w:r>
      <w:r w:rsidRPr="00C57FB6">
        <w:rPr>
          <w:rtl/>
        </w:rPr>
        <w:t>يرجى تقديم معلومات عن أثر مراقبة الأسعار والأنظمة ذات الصلة على الحصول على أدوية مأمونة ومعقولة التكلفة.</w:t>
      </w:r>
      <w:r>
        <w:rPr>
          <w:rtl/>
        </w:rPr>
        <w:t xml:space="preserve"> </w:t>
      </w:r>
      <w:r w:rsidRPr="00C57FB6">
        <w:rPr>
          <w:rtl/>
        </w:rPr>
        <w:t>ويرجى أيض</w:t>
      </w:r>
      <w:r>
        <w:rPr>
          <w:rtl/>
        </w:rPr>
        <w:t xml:space="preserve">اً </w:t>
      </w:r>
      <w:r w:rsidRPr="00C57FB6">
        <w:rPr>
          <w:rtl/>
        </w:rPr>
        <w:t xml:space="preserve">تقديم معلومات عن أثر التدابير المتخذة للتصدي للتفاوت في الحصول على الرعاية الصحية، بالنظر إلى أن الأشخاص ميسوري الحال يحصلون على خدمات جيدة النوعية </w:t>
      </w:r>
      <w:r>
        <w:rPr>
          <w:rtl/>
        </w:rPr>
        <w:t>في مرافق الرعاية الصحية الخاصة.</w:t>
      </w:r>
    </w:p>
    <w:p w:rsidR="00F71B77" w:rsidRPr="00C57FB6" w:rsidRDefault="00F71B77" w:rsidP="006E64C1">
      <w:pPr>
        <w:pStyle w:val="SingleTxtGA"/>
      </w:pPr>
      <w:r w:rsidRPr="00C57FB6">
        <w:rPr>
          <w:rtl/>
        </w:rPr>
        <w:t>٢٢-</w:t>
      </w:r>
      <w:r>
        <w:rPr>
          <w:rFonts w:hint="cs"/>
          <w:rtl/>
        </w:rPr>
        <w:tab/>
      </w:r>
      <w:r w:rsidRPr="00C57FB6">
        <w:rPr>
          <w:rtl/>
        </w:rPr>
        <w:t>يرجى تقديم معلومات عن فعالية التدابير المتخذة من أجل ضمان الحصول على الخدمات الأساسية في مجال الصحة الجنسية والإنجابية، لا سيما في المناطق الريفية ومعسكرات المشردين داخلي</w:t>
      </w:r>
      <w:r>
        <w:rPr>
          <w:rtl/>
        </w:rPr>
        <w:t xml:space="preserve">اً. </w:t>
      </w:r>
      <w:r w:rsidRPr="00C57FB6">
        <w:rPr>
          <w:rtl/>
        </w:rPr>
        <w:t>ويرجى تقديم معلومات عن التدابير المتخذة لتدريب القابلات.</w:t>
      </w:r>
      <w:r>
        <w:rPr>
          <w:rtl/>
        </w:rPr>
        <w:t xml:space="preserve"> </w:t>
      </w:r>
      <w:r w:rsidRPr="00C57FB6">
        <w:rPr>
          <w:rtl/>
        </w:rPr>
        <w:t>ويرجى تقديم معلومات أيضاً عن التدابير</w:t>
      </w:r>
      <w:r>
        <w:rPr>
          <w:rtl/>
        </w:rPr>
        <w:t xml:space="preserve"> المتخذة للحد من حمل المراهقات.</w:t>
      </w:r>
    </w:p>
    <w:p w:rsidR="00F71B77" w:rsidRPr="00C57FB6" w:rsidRDefault="00F71B77" w:rsidP="00F71B77">
      <w:pPr>
        <w:pStyle w:val="SingleTxtGA"/>
      </w:pPr>
      <w:r w:rsidRPr="00C57FB6">
        <w:rPr>
          <w:rtl/>
        </w:rPr>
        <w:t>٢٣</w:t>
      </w:r>
      <w:r>
        <w:rPr>
          <w:rtl/>
        </w:rPr>
        <w:t>-</w:t>
      </w:r>
      <w:r>
        <w:rPr>
          <w:rtl/>
        </w:rPr>
        <w:tab/>
      </w:r>
      <w:r w:rsidRPr="00C57FB6">
        <w:rPr>
          <w:rtl/>
        </w:rPr>
        <w:t>يرجى تقديم معلومات إضافية عن أثر التدابير الرامية إلى معالجة الوصم الاجتماعي والتمييز ضد الأشخاص المصابين أو المتأثرين بفيروس نقص المناعة البشرية/الإيدز، وتأثير التدابير المتخذة على إعمال حقهم في التعليم والسكن والرعا</w:t>
      </w:r>
      <w:r>
        <w:rPr>
          <w:rtl/>
        </w:rPr>
        <w:t>ية الصحية والمساعدة الاجتماعية.</w:t>
      </w:r>
    </w:p>
    <w:p w:rsidR="00F71B77" w:rsidRPr="00C57FB6" w:rsidRDefault="00F71B77" w:rsidP="00F71B77">
      <w:pPr>
        <w:pStyle w:val="H1GA"/>
      </w:pPr>
      <w:r w:rsidRPr="00C57FB6">
        <w:rPr>
          <w:rtl/>
        </w:rPr>
        <w:tab/>
      </w:r>
      <w:r w:rsidRPr="00C57FB6">
        <w:rPr>
          <w:rtl/>
        </w:rPr>
        <w:tab/>
        <w:t>المادتان 13 و14</w:t>
      </w:r>
      <w:r>
        <w:rPr>
          <w:rFonts w:hint="cs"/>
          <w:rtl/>
        </w:rPr>
        <w:t xml:space="preserve"> </w:t>
      </w:r>
      <w:r w:rsidRPr="00C57FB6">
        <w:rPr>
          <w:rtl/>
        </w:rPr>
        <w:t>-</w:t>
      </w:r>
      <w:r>
        <w:rPr>
          <w:rtl/>
        </w:rPr>
        <w:t xml:space="preserve"> الحق في التعليم</w:t>
      </w:r>
    </w:p>
    <w:p w:rsidR="00F71B77" w:rsidRPr="00C57FB6" w:rsidRDefault="00F71B77" w:rsidP="00F71B77">
      <w:pPr>
        <w:pStyle w:val="SingleTxtGA"/>
      </w:pPr>
      <w:r w:rsidRPr="00C57FB6">
        <w:rPr>
          <w:rtl/>
        </w:rPr>
        <w:t>٢٤</w:t>
      </w:r>
      <w:r>
        <w:rPr>
          <w:rtl/>
        </w:rPr>
        <w:t>-</w:t>
      </w:r>
      <w:r>
        <w:rPr>
          <w:rtl/>
        </w:rPr>
        <w:tab/>
      </w:r>
      <w:r w:rsidRPr="00C57FB6">
        <w:rPr>
          <w:rtl/>
        </w:rPr>
        <w:t>يرجى تقديم معلومات عن التدابير المتخذة من أجل تحسين فرص الحصول على التعليم، لا سيما في المناطق الريفية النائية، ومد يد العون للأطفال الذين لم يلتحقوا أبداً بالمدارس.</w:t>
      </w:r>
      <w:r>
        <w:rPr>
          <w:rtl/>
        </w:rPr>
        <w:t xml:space="preserve"> </w:t>
      </w:r>
      <w:r w:rsidRPr="00C57FB6">
        <w:rPr>
          <w:rtl/>
        </w:rPr>
        <w:t>ويرجى أيضاً تقديم معلومات عن أثر برامج محو ا</w:t>
      </w:r>
      <w:r>
        <w:rPr>
          <w:rtl/>
        </w:rPr>
        <w:t>لأمية التي تنفذها الدولة الطرف.</w:t>
      </w:r>
    </w:p>
    <w:p w:rsidR="00F71B77" w:rsidRPr="00C57FB6" w:rsidRDefault="00F71B77" w:rsidP="00F71B77">
      <w:pPr>
        <w:pStyle w:val="H1GA"/>
      </w:pPr>
      <w:r w:rsidRPr="00C57FB6">
        <w:rPr>
          <w:rtl/>
        </w:rPr>
        <w:tab/>
      </w:r>
      <w:r w:rsidRPr="00C57FB6">
        <w:rPr>
          <w:rtl/>
        </w:rPr>
        <w:tab/>
        <w:t>المادة 15</w:t>
      </w:r>
      <w:r>
        <w:rPr>
          <w:rtl/>
        </w:rPr>
        <w:t xml:space="preserve"> </w:t>
      </w:r>
      <w:r w:rsidRPr="00C57FB6">
        <w:rPr>
          <w:rtl/>
        </w:rPr>
        <w:t>-</w:t>
      </w:r>
      <w:r>
        <w:rPr>
          <w:rtl/>
        </w:rPr>
        <w:t xml:space="preserve"> الحقوق الثقافية</w:t>
      </w:r>
    </w:p>
    <w:p w:rsidR="00F71B77" w:rsidRDefault="00F71B77" w:rsidP="00F71B77">
      <w:pPr>
        <w:pStyle w:val="SingleTxtGA"/>
        <w:rPr>
          <w:rtl/>
        </w:rPr>
      </w:pPr>
      <w:r w:rsidRPr="00C57FB6">
        <w:rPr>
          <w:rtl/>
        </w:rPr>
        <w:t>٢٥</w:t>
      </w:r>
      <w:r>
        <w:rPr>
          <w:rtl/>
        </w:rPr>
        <w:t>-</w:t>
      </w:r>
      <w:r>
        <w:rPr>
          <w:rtl/>
        </w:rPr>
        <w:tab/>
      </w:r>
      <w:r w:rsidRPr="00C57FB6">
        <w:rPr>
          <w:rtl/>
        </w:rPr>
        <w:t xml:space="preserve">يرجى تقديم معلومات عن مدى فعالية التدابير التي تضمن تمتع جميع المجموعات </w:t>
      </w:r>
      <w:proofErr w:type="spellStart"/>
      <w:r w:rsidRPr="00C57FB6">
        <w:rPr>
          <w:rtl/>
        </w:rPr>
        <w:t>الإثنية</w:t>
      </w:r>
      <w:proofErr w:type="spellEnd"/>
      <w:r w:rsidRPr="00C57FB6">
        <w:rPr>
          <w:rtl/>
        </w:rPr>
        <w:t xml:space="preserve"> بالحقوق الثقافية على قدم المساواة، مع الحفاظ على هوياتها الثقافية وتعزيز التفاهم بين الثقافات في الوقت نفسه.</w:t>
      </w:r>
      <w:r>
        <w:rPr>
          <w:rtl/>
        </w:rPr>
        <w:t xml:space="preserve"> </w:t>
      </w:r>
      <w:r w:rsidRPr="00C57FB6">
        <w:rPr>
          <w:rtl/>
        </w:rPr>
        <w:t>وبالإضافة إلى ذلك، يرجى تقديم معلومات عن وضع وحماية اللغات غير اللغتين الرسميتين (العربي</w:t>
      </w:r>
      <w:r>
        <w:rPr>
          <w:rtl/>
        </w:rPr>
        <w:t>ة والإنكليزية) في الدولة الطرف</w:t>
      </w:r>
      <w:r>
        <w:rPr>
          <w:rFonts w:hint="cs"/>
          <w:rtl/>
        </w:rPr>
        <w:t>.</w:t>
      </w:r>
    </w:p>
    <w:p w:rsidR="00F71B77" w:rsidRPr="00D650AC" w:rsidRDefault="00F71B77" w:rsidP="00F71B77">
      <w:pPr>
        <w:spacing w:before="120"/>
        <w:jc w:val="center"/>
        <w:rPr>
          <w:u w:val="single"/>
        </w:rPr>
      </w:pPr>
      <w:r>
        <w:rPr>
          <w:u w:val="single"/>
          <w:rtl/>
        </w:rPr>
        <w:tab/>
      </w:r>
      <w:r>
        <w:rPr>
          <w:u w:val="single"/>
          <w:rtl/>
        </w:rPr>
        <w:tab/>
      </w:r>
      <w:r>
        <w:rPr>
          <w:u w:val="single"/>
          <w:rtl/>
        </w:rPr>
        <w:tab/>
      </w:r>
    </w:p>
    <w:sectPr w:rsidR="00F71B77" w:rsidRPr="00D650AC" w:rsidSect="00F71B7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6C" w:rsidRPr="002901D9" w:rsidRDefault="00FF2A6C" w:rsidP="002901D9">
      <w:pPr>
        <w:spacing w:after="60" w:line="240" w:lineRule="auto"/>
        <w:rPr>
          <w:i/>
          <w:iCs/>
        </w:rPr>
      </w:pPr>
      <w:r>
        <w:rPr>
          <w:rFonts w:hint="cs"/>
          <w:i/>
          <w:iCs/>
          <w:rtl/>
        </w:rPr>
        <w:t>الحواشي</w:t>
      </w:r>
    </w:p>
  </w:endnote>
  <w:endnote w:type="continuationSeparator" w:id="0">
    <w:p w:rsidR="00FF2A6C" w:rsidRDefault="00FF2A6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7" w:rsidRPr="00F71B77" w:rsidRDefault="00F71B77" w:rsidP="00F71B77">
    <w:pPr>
      <w:pStyle w:val="Footer"/>
      <w:tabs>
        <w:tab w:val="right" w:pos="9598"/>
      </w:tabs>
    </w:pPr>
    <w:r>
      <w:t>GE.14-24049</w:t>
    </w:r>
    <w:r>
      <w:tab/>
    </w:r>
    <w:r w:rsidRPr="00F71B77">
      <w:rPr>
        <w:b/>
        <w:sz w:val="18"/>
      </w:rPr>
      <w:fldChar w:fldCharType="begin"/>
    </w:r>
    <w:r w:rsidRPr="00F71B77">
      <w:rPr>
        <w:b/>
        <w:sz w:val="18"/>
      </w:rPr>
      <w:instrText xml:space="preserve"> PAGE  \* MERGEFORMAT </w:instrText>
    </w:r>
    <w:r w:rsidRPr="00F71B77">
      <w:rPr>
        <w:b/>
        <w:sz w:val="18"/>
      </w:rPr>
      <w:fldChar w:fldCharType="separate"/>
    </w:r>
    <w:r w:rsidR="00494247">
      <w:rPr>
        <w:b/>
        <w:noProof/>
        <w:sz w:val="18"/>
      </w:rPr>
      <w:t>4</w:t>
    </w:r>
    <w:r w:rsidRPr="00F71B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71B77" w:rsidRDefault="00F71B77" w:rsidP="006959B0">
    <w:pPr>
      <w:pStyle w:val="Footer"/>
      <w:tabs>
        <w:tab w:val="right" w:pos="9599"/>
      </w:tabs>
      <w:jc w:val="left"/>
      <w:rPr>
        <w:b/>
        <w:sz w:val="18"/>
        <w:lang w:val="en-US"/>
      </w:rPr>
    </w:pPr>
    <w:r w:rsidRPr="00F71B77">
      <w:rPr>
        <w:b/>
        <w:sz w:val="18"/>
        <w:lang w:val="en-US"/>
      </w:rPr>
      <w:fldChar w:fldCharType="begin"/>
    </w:r>
    <w:r w:rsidRPr="00F71B77">
      <w:rPr>
        <w:b/>
        <w:sz w:val="18"/>
        <w:lang w:val="en-US"/>
      </w:rPr>
      <w:instrText xml:space="preserve"> PAGE  \* MERGEFORMAT </w:instrText>
    </w:r>
    <w:r w:rsidRPr="00F71B77">
      <w:rPr>
        <w:b/>
        <w:sz w:val="18"/>
        <w:lang w:val="en-US"/>
      </w:rPr>
      <w:fldChar w:fldCharType="separate"/>
    </w:r>
    <w:r w:rsidR="00494247">
      <w:rPr>
        <w:b/>
        <w:noProof/>
        <w:sz w:val="18"/>
        <w:lang w:val="en-US"/>
      </w:rPr>
      <w:t>5</w:t>
    </w:r>
    <w:r w:rsidRPr="00F71B77">
      <w:rPr>
        <w:b/>
        <w:sz w:val="18"/>
        <w:lang w:val="en-US"/>
      </w:rPr>
      <w:fldChar w:fldCharType="end"/>
    </w:r>
    <w:r>
      <w:rPr>
        <w:b/>
        <w:sz w:val="18"/>
        <w:lang w:val="en-US"/>
      </w:rPr>
      <w:tab/>
    </w:r>
    <w:r>
      <w:rPr>
        <w:lang w:val="en-US"/>
      </w:rPr>
      <w:t>GE.14-24049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F71B77" w:rsidP="00FE7331">
    <w:pPr>
      <w:pStyle w:val="Footer"/>
      <w:jc w:val="right"/>
    </w:pPr>
    <w:r>
      <w:rPr>
        <w:sz w:val="20"/>
      </w:rPr>
      <w:t>(A)   GE.14-24049</w:t>
    </w:r>
    <w:r w:rsidR="00BA50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PleaseRecycleArabic" style="position:absolute;left:0;text-align:left;margin-left:59.4pt;margin-top:645.95pt;width:91.5pt;height:25.5pt;z-index:-2;visibility:visible;mso-position-horizontal-relative:margin;mso-position-vertical-relative:margin" wrapcoords="-177 0 -177 20965 21600 20965 21600 0 -177 0" o:allowincell="f">
          <v:imagedata r:id="rId1" o:title="PleaseRecycleArabic" croptop="2992f" cropbottom="2992f"/>
          <w10:wrap type="tight" anchorx="margin" anchory="margin"/>
          <w10:anchorlock/>
        </v:shape>
      </w:pict>
    </w:r>
    <w:r w:rsidR="00FE7331">
      <w:rPr>
        <w:sz w:val="20"/>
      </w:rPr>
      <w:t xml:space="preserve">    161214    171214</w:t>
    </w:r>
    <w:r w:rsidR="0075680F">
      <w:br/>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sidRPr="0075680F">
      <w:rPr>
        <w:rFonts w:ascii="C39T30Lfz" w:hAnsi="C39T30Lfz"/>
        <w:sz w:val="56"/>
      </w:rPr>
      <w:t></w:t>
    </w:r>
    <w:r w:rsidR="0075680F">
      <w:rPr>
        <w:noProof/>
        <w:lang w:val="en-US"/>
      </w:rPr>
      <w:pict>
        <v:shape id="_x0000_s2050" type="#_x0000_t75" style="position:absolute;left:0;text-align:left;margin-left:.05pt;margin-top:0;width:50.25pt;height:50.25pt;z-index:2;mso-position-horizontal-relative:text;mso-position-vertical-relative:text">
          <v:imagedata r:id="rId2" o:title="2&amp;Size=2&amp;Lang=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6C" w:rsidRDefault="00FF2A6C" w:rsidP="0054762C">
      <w:pPr>
        <w:pStyle w:val="Footer"/>
        <w:bidi/>
        <w:spacing w:after="80" w:line="200" w:lineRule="exact"/>
        <w:ind w:left="680"/>
      </w:pPr>
      <w:r>
        <w:rPr>
          <w:rtl/>
        </w:rPr>
        <w:t>__________</w:t>
      </w:r>
    </w:p>
  </w:footnote>
  <w:footnote w:type="continuationSeparator" w:id="0">
    <w:p w:rsidR="00FF2A6C" w:rsidRDefault="00FF2A6C" w:rsidP="00656392">
      <w:pPr>
        <w:spacing w:line="240" w:lineRule="auto"/>
      </w:pPr>
      <w:r>
        <w:continuationSeparator/>
      </w:r>
    </w:p>
  </w:footnote>
  <w:footnote w:id="1">
    <w:p w:rsidR="00F71B77" w:rsidRPr="00EE5324" w:rsidRDefault="00F71B77" w:rsidP="0075680F">
      <w:pPr>
        <w:pStyle w:val="FootnoteText1"/>
        <w:spacing w:after="240"/>
        <w:ind w:left="1242" w:hanging="369"/>
        <w:rPr>
          <w:rtl/>
          <w:lang w:val="en-GB"/>
        </w:rPr>
      </w:pPr>
      <w:r>
        <w:rPr>
          <w:rtl/>
        </w:rPr>
        <w:t>*</w:t>
      </w:r>
      <w:r>
        <w:rPr>
          <w:rtl/>
        </w:rPr>
        <w:tab/>
      </w:r>
      <w:r w:rsidRPr="00EE5324">
        <w:rPr>
          <w:rtl/>
          <w:lang w:val="en-GB"/>
        </w:rPr>
        <w:t>اعتمدها الفريق العامل لما قبل الدورة</w:t>
      </w:r>
      <w:r>
        <w:rPr>
          <w:rtl/>
          <w:lang w:val="en-GB"/>
        </w:rPr>
        <w:t xml:space="preserve"> في دورته الرابعة والخمسين (1-5</w:t>
      </w:r>
      <w:r>
        <w:rPr>
          <w:rFonts w:hint="cs"/>
          <w:rtl/>
          <w:lang w:val="en-GB"/>
        </w:rPr>
        <w:t> </w:t>
      </w:r>
      <w:r w:rsidRPr="00EE5324">
        <w:rPr>
          <w:rtl/>
          <w:lang w:val="en-GB"/>
        </w:rPr>
        <w:t>كانون الأول/ديسمبر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7" w:rsidRPr="00F71B77" w:rsidRDefault="00F71B77" w:rsidP="00F71B77">
    <w:pPr>
      <w:pStyle w:val="Header"/>
      <w:jc w:val="right"/>
    </w:pPr>
    <w:r w:rsidRPr="00F71B77">
      <w:t>E/C.12/SDN/Q/2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77" w:rsidRPr="00F71B77" w:rsidRDefault="00F71B77" w:rsidP="00F71B77">
    <w:pPr>
      <w:pStyle w:val="Header"/>
      <w:jc w:val="left"/>
    </w:pPr>
    <w:r w:rsidRPr="00F71B77">
      <w:t>E/C.12/SDN/Q/2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0F4"/>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3E159A"/>
    <w:rsid w:val="00420D7B"/>
    <w:rsid w:val="00450B21"/>
    <w:rsid w:val="00453B63"/>
    <w:rsid w:val="00455780"/>
    <w:rsid w:val="00494247"/>
    <w:rsid w:val="004B0A1C"/>
    <w:rsid w:val="004D298E"/>
    <w:rsid w:val="00517BC9"/>
    <w:rsid w:val="0054472E"/>
    <w:rsid w:val="0054762C"/>
    <w:rsid w:val="005662A9"/>
    <w:rsid w:val="0056710B"/>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E64C1"/>
    <w:rsid w:val="00733704"/>
    <w:rsid w:val="0075680F"/>
    <w:rsid w:val="0078071A"/>
    <w:rsid w:val="007A70BB"/>
    <w:rsid w:val="00852A9A"/>
    <w:rsid w:val="008930DB"/>
    <w:rsid w:val="008F49E1"/>
    <w:rsid w:val="0090370F"/>
    <w:rsid w:val="009269D2"/>
    <w:rsid w:val="00942135"/>
    <w:rsid w:val="009521B0"/>
    <w:rsid w:val="009A7E9F"/>
    <w:rsid w:val="009E5018"/>
    <w:rsid w:val="00A12B37"/>
    <w:rsid w:val="00A50EC0"/>
    <w:rsid w:val="00A52CC3"/>
    <w:rsid w:val="00AB6758"/>
    <w:rsid w:val="00B13763"/>
    <w:rsid w:val="00B477A4"/>
    <w:rsid w:val="00B54045"/>
    <w:rsid w:val="00BA50F4"/>
    <w:rsid w:val="00C30766"/>
    <w:rsid w:val="00C438D7"/>
    <w:rsid w:val="00C53FE8"/>
    <w:rsid w:val="00C81B50"/>
    <w:rsid w:val="00CD1801"/>
    <w:rsid w:val="00D10EF1"/>
    <w:rsid w:val="00D42810"/>
    <w:rsid w:val="00D914A7"/>
    <w:rsid w:val="00DD13C3"/>
    <w:rsid w:val="00DD596E"/>
    <w:rsid w:val="00DD621E"/>
    <w:rsid w:val="00DF0575"/>
    <w:rsid w:val="00E70E04"/>
    <w:rsid w:val="00EC05A7"/>
    <w:rsid w:val="00EC4B6B"/>
    <w:rsid w:val="00ED7442"/>
    <w:rsid w:val="00EF1EE5"/>
    <w:rsid w:val="00F07BC9"/>
    <w:rsid w:val="00F71B77"/>
    <w:rsid w:val="00F763B4"/>
    <w:rsid w:val="00F900C3"/>
    <w:rsid w:val="00FE7331"/>
    <w:rsid w:val="00FF2A6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lang w:val="en-US"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1163</Words>
  <Characters>5991</Characters>
  <Application>Microsoft Office Word</Application>
  <DocSecurity>4</DocSecurity>
  <Lines>117</Lines>
  <Paragraphs>59</Paragraphs>
  <ScaleCrop>false</ScaleCrop>
  <HeadingPairs>
    <vt:vector size="2" baseType="variant">
      <vt:variant>
        <vt:lpstr>Title</vt:lpstr>
      </vt:variant>
      <vt:variant>
        <vt:i4>1</vt:i4>
      </vt:variant>
    </vt:vector>
  </HeadingPairs>
  <TitlesOfParts>
    <vt:vector size="1" baseType="lpstr">
      <vt:lpstr>E/C.12/SDN/Q/2</vt:lpstr>
    </vt:vector>
  </TitlesOfParts>
  <Company>DCM</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E/C.12/SDN/Q/2</dc:title>
  <dc:subject>ABD AL SHAKOUR</dc:subject>
  <dc:creator>UNO</dc:creator>
  <cp:keywords/>
  <dc:description/>
  <cp:lastModifiedBy>El-Maseri M.</cp:lastModifiedBy>
  <cp:revision>2</cp:revision>
  <cp:lastPrinted>2014-12-17T08:57:00Z</cp:lastPrinted>
  <dcterms:created xsi:type="dcterms:W3CDTF">2014-12-17T13:17:00Z</dcterms:created>
  <dcterms:modified xsi:type="dcterms:W3CDTF">2014-12-17T13:17:00Z</dcterms:modified>
</cp:coreProperties>
</file>