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14:paraId="3CA7CFF6" w14:textId="77777777" w:rsidTr="0002432E">
        <w:trPr>
          <w:trHeight w:hRule="exact" w:val="851"/>
        </w:trPr>
        <w:tc>
          <w:tcPr>
            <w:tcW w:w="1276" w:type="dxa"/>
            <w:tcBorders>
              <w:bottom w:val="single" w:sz="4" w:space="0" w:color="auto"/>
            </w:tcBorders>
          </w:tcPr>
          <w:p w14:paraId="76BAB468" w14:textId="77777777" w:rsidR="0080236C" w:rsidRPr="00DB58B5" w:rsidRDefault="0080236C" w:rsidP="0037651B"/>
        </w:tc>
        <w:tc>
          <w:tcPr>
            <w:tcW w:w="2268" w:type="dxa"/>
            <w:tcBorders>
              <w:bottom w:val="single" w:sz="4" w:space="0" w:color="auto"/>
            </w:tcBorders>
            <w:vAlign w:val="bottom"/>
          </w:tcPr>
          <w:p w14:paraId="73A7FC87" w14:textId="77777777"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E8FC5E6" w14:textId="77777777" w:rsidR="0080236C" w:rsidRPr="00DB58B5" w:rsidRDefault="0037651B" w:rsidP="0037651B">
            <w:pPr>
              <w:jc w:val="right"/>
            </w:pPr>
            <w:r w:rsidRPr="0037651B">
              <w:rPr>
                <w:sz w:val="40"/>
              </w:rPr>
              <w:t>E</w:t>
            </w:r>
            <w:r>
              <w:t>/C.12/66/D/37/2018</w:t>
            </w:r>
          </w:p>
        </w:tc>
      </w:tr>
      <w:tr w:rsidR="0080236C" w:rsidRPr="00DB58B5" w14:paraId="6102BF9B" w14:textId="77777777" w:rsidTr="0002432E">
        <w:trPr>
          <w:trHeight w:hRule="exact" w:val="2835"/>
        </w:trPr>
        <w:tc>
          <w:tcPr>
            <w:tcW w:w="1276" w:type="dxa"/>
            <w:tcBorders>
              <w:top w:val="single" w:sz="4" w:space="0" w:color="auto"/>
              <w:bottom w:val="single" w:sz="12" w:space="0" w:color="auto"/>
            </w:tcBorders>
          </w:tcPr>
          <w:p w14:paraId="0CE1EE2E" w14:textId="77777777" w:rsidR="0080236C" w:rsidRPr="00DB58B5" w:rsidRDefault="0080236C" w:rsidP="0002432E">
            <w:pPr>
              <w:spacing w:before="120"/>
              <w:jc w:val="center"/>
            </w:pPr>
            <w:r>
              <w:rPr>
                <w:noProof/>
                <w:lang w:eastAsia="fr-CH"/>
              </w:rPr>
              <w:drawing>
                <wp:inline distT="0" distB="0" distL="0" distR="0" wp14:anchorId="2AB23A0B" wp14:editId="1269885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27B1E12" w14:textId="77777777"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83D7DB1" w14:textId="77777777" w:rsidR="0080236C" w:rsidRDefault="0037651B" w:rsidP="0002432E">
            <w:pPr>
              <w:spacing w:before="240"/>
            </w:pPr>
            <w:r>
              <w:t>Distr. générale</w:t>
            </w:r>
          </w:p>
          <w:p w14:paraId="4A0BD162" w14:textId="77777777" w:rsidR="0037651B" w:rsidRDefault="0037651B" w:rsidP="0037651B">
            <w:pPr>
              <w:spacing w:line="240" w:lineRule="exact"/>
            </w:pPr>
            <w:r>
              <w:t>29 novembre 2019</w:t>
            </w:r>
          </w:p>
          <w:p w14:paraId="426C6D86" w14:textId="77777777" w:rsidR="0037651B" w:rsidRDefault="0037651B" w:rsidP="0037651B">
            <w:pPr>
              <w:spacing w:line="240" w:lineRule="exact"/>
            </w:pPr>
            <w:r>
              <w:t>Français</w:t>
            </w:r>
          </w:p>
          <w:p w14:paraId="54B28E1D" w14:textId="77777777" w:rsidR="0037651B" w:rsidRPr="00DB58B5" w:rsidRDefault="0037651B" w:rsidP="0037651B">
            <w:pPr>
              <w:spacing w:line="240" w:lineRule="exact"/>
            </w:pPr>
            <w:r>
              <w:t>Original : espagnol</w:t>
            </w:r>
          </w:p>
        </w:tc>
      </w:tr>
    </w:tbl>
    <w:p w14:paraId="417D8BAE" w14:textId="77777777" w:rsidR="0037651B" w:rsidRPr="00C622E0" w:rsidRDefault="0037651B" w:rsidP="0037651B">
      <w:pPr>
        <w:suppressAutoHyphens w:val="0"/>
        <w:spacing w:before="120"/>
        <w:rPr>
          <w:b/>
          <w:sz w:val="24"/>
          <w:szCs w:val="24"/>
        </w:rPr>
      </w:pPr>
      <w:r w:rsidRPr="00C622E0">
        <w:rPr>
          <w:b/>
          <w:sz w:val="24"/>
          <w:szCs w:val="24"/>
          <w:lang w:val="fr-FR"/>
        </w:rPr>
        <w:t>Comité des droits économiques, sociaux et culturels</w:t>
      </w:r>
    </w:p>
    <w:p w14:paraId="08645B0C" w14:textId="77777777" w:rsidR="0037651B" w:rsidRPr="00C622E0" w:rsidRDefault="0037651B" w:rsidP="0037651B">
      <w:pPr>
        <w:pStyle w:val="HChG"/>
      </w:pPr>
      <w:r w:rsidRPr="00C622E0">
        <w:tab/>
      </w:r>
      <w:r w:rsidRPr="00C622E0">
        <w:tab/>
      </w:r>
      <w:r>
        <w:rPr>
          <w:color w:val="000000"/>
          <w:sz w:val="27"/>
          <w:szCs w:val="27"/>
        </w:rPr>
        <w:t xml:space="preserve">Constatations adoptées par le Comité au titre du Protocole facultatif se rapportant au Pacte international relatif </w:t>
      </w:r>
      <w:r>
        <w:rPr>
          <w:color w:val="000000"/>
          <w:sz w:val="27"/>
          <w:szCs w:val="27"/>
        </w:rPr>
        <w:br/>
        <w:t xml:space="preserve">aux droits économiques, sociaux et culturels, </w:t>
      </w:r>
      <w:r>
        <w:rPr>
          <w:color w:val="000000"/>
          <w:sz w:val="27"/>
          <w:szCs w:val="27"/>
        </w:rPr>
        <w:br/>
        <w:t xml:space="preserve">concernant la </w:t>
      </w:r>
      <w:r>
        <w:t>c</w:t>
      </w:r>
      <w:r w:rsidRPr="00C622E0">
        <w:t xml:space="preserve">ommunication </w:t>
      </w:r>
      <w:r w:rsidRPr="00C622E0">
        <w:rPr>
          <w:rFonts w:eastAsia="MS Mincho"/>
        </w:rPr>
        <w:t>n</w:t>
      </w:r>
      <w:r w:rsidRPr="00C622E0">
        <w:rPr>
          <w:rFonts w:eastAsia="MS Mincho"/>
          <w:vertAlign w:val="superscript"/>
        </w:rPr>
        <w:t>o</w:t>
      </w:r>
      <w:r w:rsidRPr="00C622E0">
        <w:t> 37/2018</w:t>
      </w:r>
      <w:r w:rsidRPr="0037651B">
        <w:rPr>
          <w:rStyle w:val="Appelnotedebasdep"/>
          <w:b w:val="0"/>
          <w:sz w:val="20"/>
          <w:vertAlign w:val="baseline"/>
        </w:rPr>
        <w:footnoteReference w:customMarkFollows="1" w:id="2"/>
        <w:t>*</w:t>
      </w:r>
    </w:p>
    <w:tbl>
      <w:tblPr>
        <w:tblStyle w:val="Grilledutableau"/>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94"/>
        <w:gridCol w:w="4110"/>
      </w:tblGrid>
      <w:tr w:rsidR="0037651B" w:rsidRPr="00C622E0" w14:paraId="329961D4" w14:textId="77777777" w:rsidTr="002E2778">
        <w:tc>
          <w:tcPr>
            <w:tcW w:w="2694" w:type="dxa"/>
          </w:tcPr>
          <w:p w14:paraId="0D057DC1" w14:textId="77777777" w:rsidR="0037651B" w:rsidRPr="00C622E0" w:rsidRDefault="0037651B" w:rsidP="0037651B">
            <w:pPr>
              <w:pStyle w:val="SingleTxtG"/>
              <w:ind w:left="0" w:right="0"/>
              <w:jc w:val="left"/>
              <w:rPr>
                <w:i/>
              </w:rPr>
            </w:pPr>
            <w:r w:rsidRPr="00C622E0">
              <w:rPr>
                <w:i/>
              </w:rPr>
              <w:t>Communication présentée par</w:t>
            </w:r>
            <w:r w:rsidRPr="00C622E0">
              <w:t> :</w:t>
            </w:r>
          </w:p>
        </w:tc>
        <w:tc>
          <w:tcPr>
            <w:tcW w:w="4110" w:type="dxa"/>
          </w:tcPr>
          <w:p w14:paraId="26B616E7" w14:textId="77777777" w:rsidR="0037651B" w:rsidRPr="00C622E0" w:rsidRDefault="0037651B" w:rsidP="0037651B">
            <w:pPr>
              <w:pStyle w:val="SingleTxtG"/>
              <w:ind w:left="0" w:right="0"/>
              <w:jc w:val="left"/>
            </w:pPr>
            <w:proofErr w:type="spellStart"/>
            <w:r w:rsidRPr="00C622E0">
              <w:t>Maribel</w:t>
            </w:r>
            <w:proofErr w:type="spellEnd"/>
            <w:r w:rsidRPr="00C622E0">
              <w:t xml:space="preserve"> Viviana </w:t>
            </w:r>
            <w:proofErr w:type="spellStart"/>
            <w:r w:rsidRPr="00C622E0">
              <w:t>López</w:t>
            </w:r>
            <w:proofErr w:type="spellEnd"/>
            <w:r w:rsidRPr="00C622E0">
              <w:t xml:space="preserve"> </w:t>
            </w:r>
            <w:proofErr w:type="spellStart"/>
            <w:r w:rsidRPr="00C622E0">
              <w:t>Albán</w:t>
            </w:r>
            <w:proofErr w:type="spellEnd"/>
            <w:r w:rsidRPr="00C622E0">
              <w:t xml:space="preserve"> (représentée </w:t>
            </w:r>
            <w:r>
              <w:br/>
            </w:r>
            <w:r w:rsidRPr="00C622E0">
              <w:t>par un avocat)</w:t>
            </w:r>
          </w:p>
        </w:tc>
      </w:tr>
      <w:tr w:rsidR="0037651B" w:rsidRPr="00C622E0" w14:paraId="70C6C273" w14:textId="77777777" w:rsidTr="002E2778">
        <w:tc>
          <w:tcPr>
            <w:tcW w:w="2694" w:type="dxa"/>
          </w:tcPr>
          <w:p w14:paraId="414AC78D" w14:textId="77777777" w:rsidR="0037651B" w:rsidRPr="00C622E0" w:rsidRDefault="0037651B" w:rsidP="0037651B">
            <w:pPr>
              <w:pStyle w:val="SingleTxtG"/>
              <w:ind w:left="0" w:right="0"/>
              <w:jc w:val="left"/>
              <w:rPr>
                <w:i/>
              </w:rPr>
            </w:pPr>
            <w:r w:rsidRPr="00C622E0">
              <w:rPr>
                <w:i/>
              </w:rPr>
              <w:t>Au nom de</w:t>
            </w:r>
            <w:r w:rsidRPr="00C622E0">
              <w:t> :</w:t>
            </w:r>
          </w:p>
        </w:tc>
        <w:tc>
          <w:tcPr>
            <w:tcW w:w="4110" w:type="dxa"/>
          </w:tcPr>
          <w:p w14:paraId="6CD63546" w14:textId="14190DF0" w:rsidR="0037651B" w:rsidRPr="00C622E0" w:rsidRDefault="007C00F1" w:rsidP="0037651B">
            <w:pPr>
              <w:pStyle w:val="SingleTxtG"/>
              <w:ind w:left="0" w:right="0"/>
              <w:jc w:val="left"/>
            </w:pPr>
            <w:proofErr w:type="spellStart"/>
            <w:r w:rsidRPr="007C00F1">
              <w:t>Maribel</w:t>
            </w:r>
            <w:proofErr w:type="spellEnd"/>
            <w:r w:rsidRPr="007C00F1">
              <w:t xml:space="preserve"> Viviana </w:t>
            </w:r>
            <w:proofErr w:type="spellStart"/>
            <w:r w:rsidRPr="007C00F1">
              <w:t>López</w:t>
            </w:r>
            <w:proofErr w:type="spellEnd"/>
            <w:r w:rsidRPr="007C00F1">
              <w:t xml:space="preserve"> </w:t>
            </w:r>
            <w:proofErr w:type="spellStart"/>
            <w:r w:rsidRPr="007C00F1">
              <w:t>Albán</w:t>
            </w:r>
            <w:proofErr w:type="spellEnd"/>
            <w:r w:rsidR="0037651B" w:rsidRPr="00C622E0">
              <w:t xml:space="preserve"> et ses enfants</w:t>
            </w:r>
          </w:p>
        </w:tc>
      </w:tr>
      <w:tr w:rsidR="0037651B" w:rsidRPr="00C622E0" w14:paraId="0B4732C3" w14:textId="77777777" w:rsidTr="002E2778">
        <w:tc>
          <w:tcPr>
            <w:tcW w:w="2694" w:type="dxa"/>
          </w:tcPr>
          <w:p w14:paraId="141EB815" w14:textId="77777777" w:rsidR="0037651B" w:rsidRPr="00C622E0" w:rsidRDefault="0037651B" w:rsidP="0037651B">
            <w:pPr>
              <w:pStyle w:val="SingleTxtG"/>
              <w:ind w:left="0" w:right="0"/>
              <w:jc w:val="left"/>
              <w:rPr>
                <w:i/>
              </w:rPr>
            </w:pPr>
            <w:r w:rsidRPr="00C622E0">
              <w:rPr>
                <w:i/>
              </w:rPr>
              <w:t>État partie</w:t>
            </w:r>
            <w:r w:rsidRPr="00C622E0">
              <w:t> :</w:t>
            </w:r>
          </w:p>
        </w:tc>
        <w:tc>
          <w:tcPr>
            <w:tcW w:w="4110" w:type="dxa"/>
          </w:tcPr>
          <w:p w14:paraId="7988AC4E" w14:textId="20387426" w:rsidR="0037651B" w:rsidRPr="00C622E0" w:rsidRDefault="0037651B" w:rsidP="0037651B">
            <w:pPr>
              <w:pStyle w:val="SingleTxtG"/>
              <w:ind w:left="0" w:right="0"/>
              <w:jc w:val="left"/>
            </w:pPr>
            <w:r w:rsidRPr="00C622E0">
              <w:t>Espagne</w:t>
            </w:r>
            <w:bookmarkStart w:id="0" w:name="_GoBack"/>
            <w:bookmarkEnd w:id="0"/>
          </w:p>
        </w:tc>
      </w:tr>
      <w:tr w:rsidR="0037651B" w:rsidRPr="00C622E0" w14:paraId="4565BEE8" w14:textId="77777777" w:rsidTr="002E2778">
        <w:tc>
          <w:tcPr>
            <w:tcW w:w="2694" w:type="dxa"/>
          </w:tcPr>
          <w:p w14:paraId="45731138" w14:textId="77777777" w:rsidR="0037651B" w:rsidRPr="00C622E0" w:rsidRDefault="0037651B" w:rsidP="0037651B">
            <w:pPr>
              <w:pStyle w:val="SingleTxtG"/>
              <w:ind w:left="0" w:right="0"/>
              <w:jc w:val="left"/>
              <w:rPr>
                <w:i/>
              </w:rPr>
            </w:pPr>
            <w:r w:rsidRPr="00C622E0">
              <w:rPr>
                <w:i/>
              </w:rPr>
              <w:t>Date de la communication</w:t>
            </w:r>
            <w:r w:rsidRPr="00C622E0">
              <w:t> :</w:t>
            </w:r>
          </w:p>
        </w:tc>
        <w:tc>
          <w:tcPr>
            <w:tcW w:w="4110" w:type="dxa"/>
          </w:tcPr>
          <w:p w14:paraId="6A687BE4" w14:textId="77777777" w:rsidR="0037651B" w:rsidRPr="00C622E0" w:rsidRDefault="0037651B" w:rsidP="0037651B">
            <w:pPr>
              <w:pStyle w:val="SingleTxtG"/>
              <w:ind w:left="0" w:right="0"/>
              <w:jc w:val="left"/>
            </w:pPr>
            <w:r w:rsidRPr="00C622E0">
              <w:t>20 juin 2018 (date de la lettre initiale)</w:t>
            </w:r>
          </w:p>
        </w:tc>
      </w:tr>
      <w:tr w:rsidR="0037651B" w:rsidRPr="00C622E0" w14:paraId="2E2F546E" w14:textId="77777777" w:rsidTr="002E2778">
        <w:tc>
          <w:tcPr>
            <w:tcW w:w="2694" w:type="dxa"/>
          </w:tcPr>
          <w:p w14:paraId="6B59A564" w14:textId="77777777" w:rsidR="0037651B" w:rsidRPr="00C622E0" w:rsidRDefault="0037651B" w:rsidP="0037651B">
            <w:pPr>
              <w:pStyle w:val="SingleTxtG"/>
              <w:ind w:left="0" w:right="0"/>
              <w:jc w:val="left"/>
              <w:rPr>
                <w:i/>
              </w:rPr>
            </w:pPr>
            <w:r w:rsidRPr="00C622E0">
              <w:rPr>
                <w:i/>
              </w:rPr>
              <w:t>Date des constatations</w:t>
            </w:r>
            <w:r w:rsidRPr="00C622E0">
              <w:t> :</w:t>
            </w:r>
          </w:p>
        </w:tc>
        <w:tc>
          <w:tcPr>
            <w:tcW w:w="4110" w:type="dxa"/>
            <w:vAlign w:val="bottom"/>
          </w:tcPr>
          <w:p w14:paraId="692AE8BC" w14:textId="77777777" w:rsidR="0037651B" w:rsidRPr="00C622E0" w:rsidRDefault="0037651B" w:rsidP="0037651B">
            <w:pPr>
              <w:pStyle w:val="SingleTxtG"/>
              <w:ind w:left="0" w:right="0"/>
              <w:jc w:val="left"/>
            </w:pPr>
            <w:r>
              <w:t>11 octobre 2019</w:t>
            </w:r>
          </w:p>
        </w:tc>
      </w:tr>
      <w:tr w:rsidR="0037651B" w:rsidRPr="00C622E0" w14:paraId="52086B51" w14:textId="77777777" w:rsidTr="002E2778">
        <w:tc>
          <w:tcPr>
            <w:tcW w:w="2694" w:type="dxa"/>
          </w:tcPr>
          <w:p w14:paraId="68C6DB85" w14:textId="77777777" w:rsidR="0037651B" w:rsidRPr="00C622E0" w:rsidRDefault="0037651B" w:rsidP="0037651B">
            <w:pPr>
              <w:pStyle w:val="SingleTxtG"/>
              <w:ind w:left="0" w:right="0"/>
              <w:jc w:val="left"/>
              <w:rPr>
                <w:i/>
              </w:rPr>
            </w:pPr>
            <w:r w:rsidRPr="00C622E0">
              <w:rPr>
                <w:i/>
              </w:rPr>
              <w:t>Objet</w:t>
            </w:r>
            <w:r w:rsidRPr="00C622E0">
              <w:t> :</w:t>
            </w:r>
          </w:p>
        </w:tc>
        <w:tc>
          <w:tcPr>
            <w:tcW w:w="4110" w:type="dxa"/>
            <w:vAlign w:val="bottom"/>
          </w:tcPr>
          <w:p w14:paraId="2FE07C2C" w14:textId="77777777" w:rsidR="0037651B" w:rsidRPr="00C622E0" w:rsidRDefault="0037651B" w:rsidP="0037651B">
            <w:pPr>
              <w:pStyle w:val="SingleTxtG"/>
              <w:ind w:left="0" w:right="0"/>
              <w:jc w:val="left"/>
            </w:pPr>
            <w:r w:rsidRPr="00C622E0">
              <w:t>Expulsion de l</w:t>
            </w:r>
            <w:r>
              <w:t>’</w:t>
            </w:r>
            <w:r w:rsidRPr="00C622E0">
              <w:t>auteure de son domicile</w:t>
            </w:r>
            <w:r w:rsidRPr="00C622E0">
              <w:rPr>
                <w:i/>
              </w:rPr>
              <w:t xml:space="preserve"> </w:t>
            </w:r>
          </w:p>
        </w:tc>
      </w:tr>
      <w:tr w:rsidR="0037651B" w:rsidRPr="00C622E0" w14:paraId="7CEC26A2" w14:textId="77777777" w:rsidTr="002E2778">
        <w:tc>
          <w:tcPr>
            <w:tcW w:w="2694" w:type="dxa"/>
          </w:tcPr>
          <w:p w14:paraId="2809D945" w14:textId="77777777" w:rsidR="0037651B" w:rsidRPr="00C622E0" w:rsidRDefault="0037651B" w:rsidP="0037651B">
            <w:pPr>
              <w:pStyle w:val="SingleTxtG"/>
              <w:ind w:left="0" w:right="0"/>
              <w:jc w:val="left"/>
              <w:rPr>
                <w:i/>
              </w:rPr>
            </w:pPr>
            <w:r w:rsidRPr="00C622E0">
              <w:rPr>
                <w:i/>
              </w:rPr>
              <w:t>Question(s) de procédure</w:t>
            </w:r>
            <w:r w:rsidRPr="00C622E0">
              <w:t> :</w:t>
            </w:r>
          </w:p>
        </w:tc>
        <w:tc>
          <w:tcPr>
            <w:tcW w:w="4110" w:type="dxa"/>
            <w:vAlign w:val="bottom"/>
          </w:tcPr>
          <w:p w14:paraId="1CE0F38D" w14:textId="77777777" w:rsidR="0037651B" w:rsidRPr="00C622E0" w:rsidRDefault="0037651B" w:rsidP="0037651B">
            <w:pPr>
              <w:pStyle w:val="SingleTxtG"/>
              <w:ind w:left="0" w:right="0"/>
              <w:jc w:val="left"/>
            </w:pPr>
            <w:r w:rsidRPr="00C622E0">
              <w:t xml:space="preserve">Recevabilité </w:t>
            </w:r>
            <w:r w:rsidRPr="00C622E0">
              <w:rPr>
                <w:i/>
              </w:rPr>
              <w:t xml:space="preserve">ratione materiae </w:t>
            </w:r>
          </w:p>
        </w:tc>
      </w:tr>
      <w:tr w:rsidR="0037651B" w:rsidRPr="00C622E0" w14:paraId="567C5BB3" w14:textId="77777777" w:rsidTr="002E2778">
        <w:tc>
          <w:tcPr>
            <w:tcW w:w="2694" w:type="dxa"/>
          </w:tcPr>
          <w:p w14:paraId="0A9320D2" w14:textId="77777777" w:rsidR="0037651B" w:rsidRPr="00C622E0" w:rsidRDefault="0037651B" w:rsidP="0037651B">
            <w:pPr>
              <w:pStyle w:val="SingleTxtG"/>
              <w:keepNext/>
              <w:ind w:left="0" w:right="0"/>
              <w:jc w:val="left"/>
              <w:rPr>
                <w:i/>
              </w:rPr>
            </w:pPr>
            <w:r w:rsidRPr="00C622E0">
              <w:rPr>
                <w:i/>
              </w:rPr>
              <w:t>Question(s) de fond</w:t>
            </w:r>
            <w:r w:rsidRPr="00C622E0">
              <w:t> :</w:t>
            </w:r>
          </w:p>
        </w:tc>
        <w:tc>
          <w:tcPr>
            <w:tcW w:w="4110" w:type="dxa"/>
            <w:vAlign w:val="bottom"/>
          </w:tcPr>
          <w:p w14:paraId="495ED774" w14:textId="77777777" w:rsidR="0037651B" w:rsidRPr="00C622E0" w:rsidRDefault="0037651B" w:rsidP="0037651B">
            <w:pPr>
              <w:pStyle w:val="SingleTxtG"/>
              <w:keepNext/>
              <w:ind w:left="0" w:right="0"/>
              <w:jc w:val="left"/>
            </w:pPr>
            <w:r w:rsidRPr="00C622E0">
              <w:t>Droit à un logement convenable</w:t>
            </w:r>
            <w:r w:rsidRPr="00C622E0">
              <w:rPr>
                <w:color w:val="FF0000"/>
              </w:rPr>
              <w:t xml:space="preserve"> </w:t>
            </w:r>
          </w:p>
        </w:tc>
      </w:tr>
      <w:tr w:rsidR="0037651B" w:rsidRPr="00C622E0" w14:paraId="6F37C346" w14:textId="77777777" w:rsidTr="002E2778">
        <w:tc>
          <w:tcPr>
            <w:tcW w:w="2694" w:type="dxa"/>
          </w:tcPr>
          <w:p w14:paraId="7BD6C4B4" w14:textId="77777777" w:rsidR="0037651B" w:rsidRPr="00C622E0" w:rsidRDefault="0037651B" w:rsidP="0037651B">
            <w:pPr>
              <w:pStyle w:val="SingleTxtG"/>
              <w:ind w:left="0" w:right="0"/>
              <w:jc w:val="left"/>
              <w:rPr>
                <w:i/>
              </w:rPr>
            </w:pPr>
            <w:r w:rsidRPr="00C622E0">
              <w:rPr>
                <w:i/>
              </w:rPr>
              <w:t>Article(s) du Pacte</w:t>
            </w:r>
            <w:r w:rsidRPr="00C622E0">
              <w:t> :</w:t>
            </w:r>
            <w:r w:rsidRPr="00C622E0">
              <w:rPr>
                <w:i/>
              </w:rPr>
              <w:t xml:space="preserve"> </w:t>
            </w:r>
          </w:p>
        </w:tc>
        <w:tc>
          <w:tcPr>
            <w:tcW w:w="4110" w:type="dxa"/>
            <w:vAlign w:val="bottom"/>
          </w:tcPr>
          <w:p w14:paraId="7945360F" w14:textId="77777777" w:rsidR="0037651B" w:rsidRPr="00C622E0" w:rsidRDefault="0037651B" w:rsidP="0037651B">
            <w:pPr>
              <w:pStyle w:val="SingleTxtG"/>
              <w:ind w:left="0" w:right="0"/>
              <w:jc w:val="left"/>
            </w:pPr>
            <w:r w:rsidRPr="00C622E0">
              <w:t xml:space="preserve">11 </w:t>
            </w:r>
          </w:p>
        </w:tc>
      </w:tr>
      <w:tr w:rsidR="0037651B" w:rsidRPr="00C622E0" w14:paraId="116F0A41" w14:textId="77777777" w:rsidTr="002E2778">
        <w:tc>
          <w:tcPr>
            <w:tcW w:w="2694" w:type="dxa"/>
          </w:tcPr>
          <w:p w14:paraId="494B4EF0" w14:textId="77777777" w:rsidR="0037651B" w:rsidRPr="00C622E0" w:rsidRDefault="0037651B" w:rsidP="0037651B">
            <w:pPr>
              <w:pStyle w:val="SingleTxtG"/>
              <w:ind w:left="0" w:right="0"/>
              <w:jc w:val="left"/>
              <w:rPr>
                <w:i/>
              </w:rPr>
            </w:pPr>
            <w:r w:rsidRPr="00C622E0">
              <w:rPr>
                <w:i/>
              </w:rPr>
              <w:t>Article(s) du Protocole facultatif</w:t>
            </w:r>
            <w:r w:rsidRPr="00C622E0">
              <w:t> :</w:t>
            </w:r>
            <w:r w:rsidRPr="00C622E0">
              <w:rPr>
                <w:i/>
              </w:rPr>
              <w:t xml:space="preserve"> </w:t>
            </w:r>
          </w:p>
        </w:tc>
        <w:tc>
          <w:tcPr>
            <w:tcW w:w="4110" w:type="dxa"/>
            <w:vAlign w:val="bottom"/>
          </w:tcPr>
          <w:p w14:paraId="6920266D" w14:textId="77777777" w:rsidR="0037651B" w:rsidRPr="00C622E0" w:rsidRDefault="0037651B" w:rsidP="0037651B">
            <w:pPr>
              <w:pStyle w:val="SingleTxtG"/>
              <w:ind w:left="0" w:right="0"/>
              <w:jc w:val="left"/>
            </w:pPr>
            <w:r w:rsidRPr="00C622E0">
              <w:t xml:space="preserve">2 et 5 </w:t>
            </w:r>
          </w:p>
        </w:tc>
      </w:tr>
    </w:tbl>
    <w:p w14:paraId="6BE90D3E" w14:textId="77777777" w:rsidR="0037651B" w:rsidRPr="00C622E0" w:rsidRDefault="0037651B" w:rsidP="0037651B">
      <w:pPr>
        <w:pStyle w:val="SingleTxtG"/>
        <w:rPr>
          <w:lang w:eastAsia="es-ES"/>
        </w:rPr>
      </w:pPr>
      <w:r w:rsidRPr="00C622E0">
        <w:br w:type="page"/>
      </w:r>
      <w:r w:rsidRPr="00C622E0">
        <w:rPr>
          <w:lang w:eastAsia="es-ES"/>
        </w:rPr>
        <w:lastRenderedPageBreak/>
        <w:t>1.1</w:t>
      </w:r>
      <w:r w:rsidRPr="00C622E0">
        <w:rPr>
          <w:lang w:eastAsia="es-ES"/>
        </w:rPr>
        <w:tab/>
        <w:t>L</w:t>
      </w:r>
      <w:r>
        <w:rPr>
          <w:lang w:eastAsia="es-ES"/>
        </w:rPr>
        <w:t>’</w:t>
      </w:r>
      <w:r w:rsidRPr="00C622E0">
        <w:rPr>
          <w:lang w:eastAsia="es-ES"/>
        </w:rPr>
        <w:t xml:space="preserve">auteure de la communication est Maribel Viviana López Albán, de nationalité espagnole, née le 28 août 1979, à Quito (Équateur). Elle agit en son nom et au nom de cinq </w:t>
      </w:r>
      <w:r>
        <w:rPr>
          <w:lang w:eastAsia="es-ES"/>
        </w:rPr>
        <w:t xml:space="preserve">de six </w:t>
      </w:r>
      <w:r w:rsidRPr="00C622E0">
        <w:rPr>
          <w:lang w:eastAsia="es-ES"/>
        </w:rPr>
        <w:t>enfants</w:t>
      </w:r>
      <w:r>
        <w:rPr>
          <w:lang w:eastAsia="es-ES"/>
        </w:rPr>
        <w:t>, tous</w:t>
      </w:r>
      <w:r w:rsidRPr="00C622E0">
        <w:rPr>
          <w:lang w:eastAsia="es-ES"/>
        </w:rPr>
        <w:t xml:space="preserve"> mineurs</w:t>
      </w:r>
      <w:r>
        <w:rPr>
          <w:lang w:eastAsia="es-ES"/>
        </w:rPr>
        <w:t xml:space="preserve"> et </w:t>
      </w:r>
      <w:r w:rsidRPr="00C622E0">
        <w:rPr>
          <w:lang w:eastAsia="es-ES"/>
        </w:rPr>
        <w:t>de nationalité espagnole, nés en 2001, 2004, 2006 et pour deux d</w:t>
      </w:r>
      <w:r>
        <w:rPr>
          <w:lang w:eastAsia="es-ES"/>
        </w:rPr>
        <w:t>’</w:t>
      </w:r>
      <w:r w:rsidRPr="00C622E0">
        <w:rPr>
          <w:lang w:eastAsia="es-ES"/>
        </w:rPr>
        <w:t xml:space="preserve">entre eux, en 2011. </w:t>
      </w:r>
      <w:r w:rsidRPr="00BD7EF6">
        <w:rPr>
          <w:lang w:eastAsia="es-ES"/>
        </w:rPr>
        <w:t>L</w:t>
      </w:r>
      <w:r>
        <w:rPr>
          <w:lang w:eastAsia="es-ES"/>
        </w:rPr>
        <w:t>’</w:t>
      </w:r>
      <w:r w:rsidRPr="00BD7EF6">
        <w:rPr>
          <w:lang w:eastAsia="es-ES"/>
        </w:rPr>
        <w:t>auteur</w:t>
      </w:r>
      <w:r>
        <w:rPr>
          <w:lang w:eastAsia="es-ES"/>
        </w:rPr>
        <w:t>e</w:t>
      </w:r>
      <w:r w:rsidRPr="00BD7EF6">
        <w:rPr>
          <w:lang w:eastAsia="es-ES"/>
        </w:rPr>
        <w:t xml:space="preserve"> affirme qu</w:t>
      </w:r>
      <w:r>
        <w:rPr>
          <w:lang w:eastAsia="es-ES"/>
        </w:rPr>
        <w:t>’</w:t>
      </w:r>
      <w:r w:rsidRPr="00BD7EF6">
        <w:rPr>
          <w:lang w:eastAsia="es-ES"/>
        </w:rPr>
        <w:t xml:space="preserve">elle et ses enfants sont victimes </w:t>
      </w:r>
      <w:r>
        <w:rPr>
          <w:lang w:eastAsia="es-ES"/>
        </w:rPr>
        <w:t>d’</w:t>
      </w:r>
      <w:r w:rsidRPr="00C622E0">
        <w:rPr>
          <w:lang w:eastAsia="es-ES"/>
        </w:rPr>
        <w:t>une violation du paragraphe</w:t>
      </w:r>
      <w:r w:rsidR="007256F3">
        <w:rPr>
          <w:lang w:eastAsia="es-ES"/>
        </w:rPr>
        <w:t> </w:t>
      </w:r>
      <w:r w:rsidRPr="00C622E0">
        <w:rPr>
          <w:lang w:eastAsia="es-ES"/>
        </w:rPr>
        <w:t>1 de l</w:t>
      </w:r>
      <w:r>
        <w:rPr>
          <w:lang w:eastAsia="es-ES"/>
        </w:rPr>
        <w:t>’</w:t>
      </w:r>
      <w:r w:rsidRPr="00C622E0">
        <w:rPr>
          <w:lang w:eastAsia="es-ES"/>
        </w:rPr>
        <w:t>article</w:t>
      </w:r>
      <w:r w:rsidR="007256F3">
        <w:rPr>
          <w:lang w:eastAsia="es-ES"/>
        </w:rPr>
        <w:t> </w:t>
      </w:r>
      <w:r w:rsidRPr="00C622E0">
        <w:rPr>
          <w:lang w:eastAsia="es-ES"/>
        </w:rPr>
        <w:t>11 du Pacte par l</w:t>
      </w:r>
      <w:r>
        <w:rPr>
          <w:lang w:eastAsia="es-ES"/>
        </w:rPr>
        <w:t>’</w:t>
      </w:r>
      <w:r w:rsidRPr="00C622E0">
        <w:rPr>
          <w:lang w:eastAsia="es-ES"/>
        </w:rPr>
        <w:t xml:space="preserve">État partie. </w:t>
      </w:r>
      <w:r w:rsidRPr="0067399F">
        <w:rPr>
          <w:lang w:eastAsia="es-ES"/>
        </w:rPr>
        <w:t xml:space="preserve">Le </w:t>
      </w:r>
      <w:r>
        <w:rPr>
          <w:lang w:eastAsia="es-ES"/>
        </w:rPr>
        <w:t>P</w:t>
      </w:r>
      <w:r w:rsidRPr="0067399F">
        <w:rPr>
          <w:lang w:eastAsia="es-ES"/>
        </w:rPr>
        <w:t>rotocole facultatif est entré en vigueur pour l</w:t>
      </w:r>
      <w:r>
        <w:rPr>
          <w:lang w:eastAsia="es-ES"/>
        </w:rPr>
        <w:t>’</w:t>
      </w:r>
      <w:r w:rsidRPr="0067399F">
        <w:rPr>
          <w:lang w:eastAsia="es-ES"/>
        </w:rPr>
        <w:t>État partie le 5</w:t>
      </w:r>
      <w:r w:rsidR="007256F3">
        <w:rPr>
          <w:lang w:eastAsia="es-ES"/>
        </w:rPr>
        <w:t> </w:t>
      </w:r>
      <w:r w:rsidRPr="0067399F">
        <w:rPr>
          <w:lang w:eastAsia="es-ES"/>
        </w:rPr>
        <w:t xml:space="preserve">mai 2013. </w:t>
      </w:r>
      <w:r w:rsidRPr="00C622E0">
        <w:rPr>
          <w:lang w:eastAsia="es-ES"/>
        </w:rPr>
        <w:t>Les auteurs sont représentés par un avocat.</w:t>
      </w:r>
    </w:p>
    <w:p w14:paraId="66ADF51D" w14:textId="77777777" w:rsidR="0037651B" w:rsidRPr="00C622E0" w:rsidRDefault="0037651B" w:rsidP="0037651B">
      <w:pPr>
        <w:pStyle w:val="SingleTxtG"/>
        <w:rPr>
          <w:lang w:eastAsia="es-ES"/>
        </w:rPr>
      </w:pPr>
      <w:r w:rsidRPr="00C622E0">
        <w:rPr>
          <w:lang w:eastAsia="es-ES"/>
        </w:rPr>
        <w:t>1.2</w:t>
      </w:r>
      <w:r w:rsidRPr="00C622E0">
        <w:rPr>
          <w:lang w:eastAsia="es-ES"/>
        </w:rPr>
        <w:tab/>
        <w:t>Le 22 juin 2018, le Comité, agissant par l</w:t>
      </w:r>
      <w:r>
        <w:rPr>
          <w:lang w:eastAsia="es-ES"/>
        </w:rPr>
        <w:t>’</w:t>
      </w:r>
      <w:r w:rsidRPr="00C622E0">
        <w:rPr>
          <w:lang w:eastAsia="es-ES"/>
        </w:rPr>
        <w:t>intermédiaire de son groupe de travail, a enregistré la communication et a demandé à l</w:t>
      </w:r>
      <w:r>
        <w:rPr>
          <w:lang w:eastAsia="es-ES"/>
        </w:rPr>
        <w:t>’</w:t>
      </w:r>
      <w:r w:rsidRPr="00C622E0">
        <w:rPr>
          <w:lang w:eastAsia="es-ES"/>
        </w:rPr>
        <w:t>État partie de surseoir à l</w:t>
      </w:r>
      <w:r>
        <w:rPr>
          <w:lang w:eastAsia="es-ES"/>
        </w:rPr>
        <w:t>’</w:t>
      </w:r>
      <w:r w:rsidRPr="00C622E0">
        <w:rPr>
          <w:lang w:eastAsia="es-ES"/>
        </w:rPr>
        <w:t>expulsion de l</w:t>
      </w:r>
      <w:r>
        <w:rPr>
          <w:lang w:eastAsia="es-ES"/>
        </w:rPr>
        <w:t>’</w:t>
      </w:r>
      <w:r w:rsidRPr="00C622E0">
        <w:rPr>
          <w:lang w:eastAsia="es-ES"/>
        </w:rPr>
        <w:t>auteure et de ses enfants tant que ladite communication était en cours d</w:t>
      </w:r>
      <w:r>
        <w:rPr>
          <w:lang w:eastAsia="es-ES"/>
        </w:rPr>
        <w:t>’</w:t>
      </w:r>
      <w:r w:rsidRPr="00C622E0">
        <w:rPr>
          <w:lang w:eastAsia="es-ES"/>
        </w:rPr>
        <w:t xml:space="preserve">examen ou de leur accorder un logement convenable, </w:t>
      </w:r>
      <w:r w:rsidRPr="00C622E0">
        <w:t>après avoir dûment consulté l</w:t>
      </w:r>
      <w:r>
        <w:t>’</w:t>
      </w:r>
      <w:r w:rsidRPr="00C622E0">
        <w:t>auteure, l</w:t>
      </w:r>
      <w:r>
        <w:t>’</w:t>
      </w:r>
      <w:r w:rsidRPr="00C622E0">
        <w:t xml:space="preserve">objectif étant </w:t>
      </w:r>
      <w:r w:rsidRPr="00C622E0">
        <w:rPr>
          <w:lang w:eastAsia="es-ES"/>
        </w:rPr>
        <w:t>d</w:t>
      </w:r>
      <w:r>
        <w:rPr>
          <w:lang w:eastAsia="es-ES"/>
        </w:rPr>
        <w:t>’</w:t>
      </w:r>
      <w:r w:rsidRPr="00C622E0">
        <w:rPr>
          <w:lang w:eastAsia="es-ES"/>
        </w:rPr>
        <w:t>éviter de leur infliger un préjudice irréparable.</w:t>
      </w:r>
    </w:p>
    <w:p w14:paraId="3AA14176" w14:textId="77777777" w:rsidR="0037651B" w:rsidRPr="00C622E0" w:rsidRDefault="0037651B" w:rsidP="0037651B">
      <w:pPr>
        <w:pStyle w:val="SingleTxtG"/>
        <w:rPr>
          <w:lang w:eastAsia="es-ES"/>
        </w:rPr>
      </w:pPr>
      <w:r w:rsidRPr="00C622E0">
        <w:rPr>
          <w:lang w:eastAsia="es-ES"/>
        </w:rPr>
        <w:t>1.3</w:t>
      </w:r>
      <w:r w:rsidRPr="00C622E0">
        <w:rPr>
          <w:lang w:eastAsia="es-ES"/>
        </w:rPr>
        <w:tab/>
        <w:t>Dans les présentes constatations, le Comité fait d</w:t>
      </w:r>
      <w:r>
        <w:rPr>
          <w:lang w:eastAsia="es-ES"/>
        </w:rPr>
        <w:t>’</w:t>
      </w:r>
      <w:r w:rsidRPr="00C622E0">
        <w:rPr>
          <w:lang w:eastAsia="es-ES"/>
        </w:rPr>
        <w:t xml:space="preserve">abord la synthèse des informations et des arguments présentés par les parties, sans exprimer ses vues. Il examine ensuite les questions de recevabilité et de fond que la communication soulève. Enfin, il formule des conclusions et des recommandations. </w:t>
      </w:r>
      <w:r w:rsidRPr="00C622E0">
        <w:rPr>
          <w:noProof/>
          <w:lang w:eastAsia="en-GB"/>
        </w:rPr>
        <w:drawing>
          <wp:anchor distT="0" distB="0" distL="114300" distR="114300" simplePos="0" relativeHeight="251659264" behindDoc="0" locked="1" layoutInCell="1" allowOverlap="1" wp14:anchorId="2B344AA7" wp14:editId="1020A18B">
            <wp:simplePos x="0" y="0"/>
            <wp:positionH relativeFrom="margin">
              <wp:posOffset>5039995</wp:posOffset>
            </wp:positionH>
            <wp:positionV relativeFrom="margin">
              <wp:posOffset>10043795</wp:posOffset>
            </wp:positionV>
            <wp:extent cx="1085850" cy="228600"/>
            <wp:effectExtent l="0" t="0" r="0" b="0"/>
            <wp:wrapNone/>
            <wp:docPr id="10" name="Picture 4"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Spanis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sidRPr="00C622E0">
        <w:rPr>
          <w:noProof/>
          <w:lang w:eastAsia="en-GB"/>
        </w:rPr>
        <w:drawing>
          <wp:anchor distT="0" distB="0" distL="114300" distR="114300" simplePos="0" relativeHeight="251657216" behindDoc="0" locked="1" layoutInCell="1" allowOverlap="1" wp14:anchorId="4EE1FFCD" wp14:editId="4F1F3F0D">
            <wp:simplePos x="0" y="0"/>
            <wp:positionH relativeFrom="margin">
              <wp:posOffset>5039995</wp:posOffset>
            </wp:positionH>
            <wp:positionV relativeFrom="margin">
              <wp:posOffset>10043795</wp:posOffset>
            </wp:positionV>
            <wp:extent cx="1085850" cy="228600"/>
            <wp:effectExtent l="0" t="0" r="0" b="0"/>
            <wp:wrapNone/>
            <wp:docPr id="9"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cycle_Spanis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p>
    <w:p w14:paraId="5759233C" w14:textId="77777777" w:rsidR="0037651B" w:rsidRPr="00C622E0" w:rsidRDefault="0037651B" w:rsidP="0037651B">
      <w:pPr>
        <w:pStyle w:val="H1G"/>
        <w:rPr>
          <w:lang w:eastAsia="es-ES"/>
        </w:rPr>
      </w:pPr>
      <w:r w:rsidRPr="00C622E0">
        <w:rPr>
          <w:lang w:eastAsia="es-ES"/>
        </w:rPr>
        <w:tab/>
        <w:t>A.</w:t>
      </w:r>
      <w:r w:rsidRPr="00C622E0">
        <w:rPr>
          <w:lang w:eastAsia="es-ES"/>
        </w:rPr>
        <w:tab/>
        <w:t>Résumé des informations et des arguments présentés par les parties</w:t>
      </w:r>
    </w:p>
    <w:p w14:paraId="11A986B2" w14:textId="77777777" w:rsidR="0037651B" w:rsidRPr="00C622E0" w:rsidRDefault="0037651B" w:rsidP="0037651B">
      <w:pPr>
        <w:pStyle w:val="H23G"/>
        <w:rPr>
          <w:lang w:eastAsia="es-ES"/>
        </w:rPr>
      </w:pPr>
      <w:r w:rsidRPr="00C622E0">
        <w:rPr>
          <w:lang w:eastAsia="es-ES"/>
        </w:rPr>
        <w:tab/>
      </w:r>
      <w:r w:rsidRPr="00C622E0">
        <w:rPr>
          <w:lang w:eastAsia="es-ES"/>
        </w:rPr>
        <w:tab/>
        <w:t>Rappel des faits présentés par l</w:t>
      </w:r>
      <w:r>
        <w:rPr>
          <w:lang w:eastAsia="es-ES"/>
        </w:rPr>
        <w:t>’</w:t>
      </w:r>
      <w:r w:rsidRPr="00C622E0">
        <w:rPr>
          <w:lang w:eastAsia="es-ES"/>
        </w:rPr>
        <w:t>auteure</w:t>
      </w:r>
      <w:r w:rsidRPr="00C622E0">
        <w:rPr>
          <w:rStyle w:val="Appelnotedebasdep"/>
          <w:b w:val="0"/>
        </w:rPr>
        <w:footnoteReference w:id="3"/>
      </w:r>
    </w:p>
    <w:p w14:paraId="2FA12299" w14:textId="77777777" w:rsidR="0037651B" w:rsidRPr="00C622E0" w:rsidRDefault="0037651B" w:rsidP="0037651B">
      <w:pPr>
        <w:pStyle w:val="H4G"/>
        <w:rPr>
          <w:b/>
          <w:lang w:eastAsia="es-ES"/>
        </w:rPr>
      </w:pPr>
      <w:r w:rsidRPr="00C622E0">
        <w:rPr>
          <w:lang w:eastAsia="es-ES"/>
        </w:rPr>
        <w:tab/>
      </w:r>
      <w:r w:rsidRPr="00C622E0">
        <w:rPr>
          <w:lang w:eastAsia="es-ES"/>
        </w:rPr>
        <w:tab/>
        <w:t>Faits antérieurs à l</w:t>
      </w:r>
      <w:r>
        <w:rPr>
          <w:lang w:eastAsia="es-ES"/>
        </w:rPr>
        <w:t>’</w:t>
      </w:r>
      <w:r w:rsidRPr="00C622E0">
        <w:rPr>
          <w:lang w:eastAsia="es-ES"/>
        </w:rPr>
        <w:t>enregistrement de la communication</w:t>
      </w:r>
    </w:p>
    <w:p w14:paraId="53B90971" w14:textId="77777777" w:rsidR="0037651B" w:rsidRPr="00C622E0" w:rsidRDefault="0037651B" w:rsidP="0037651B">
      <w:pPr>
        <w:pStyle w:val="SingleTxtG"/>
        <w:rPr>
          <w:lang w:eastAsia="es-ES"/>
        </w:rPr>
      </w:pPr>
      <w:r w:rsidRPr="00C622E0">
        <w:rPr>
          <w:lang w:eastAsia="es-ES"/>
        </w:rPr>
        <w:t>2.1</w:t>
      </w:r>
      <w:r w:rsidRPr="00C622E0">
        <w:rPr>
          <w:lang w:eastAsia="es-ES"/>
        </w:rPr>
        <w:tab/>
      </w:r>
      <w:r>
        <w:rPr>
          <w:lang w:eastAsia="es-ES"/>
        </w:rPr>
        <w:t>L’</w:t>
      </w:r>
      <w:r w:rsidRPr="00C622E0">
        <w:rPr>
          <w:lang w:eastAsia="es-ES"/>
        </w:rPr>
        <w:t xml:space="preserve">auteure </w:t>
      </w:r>
      <w:r>
        <w:rPr>
          <w:lang w:eastAsia="es-ES"/>
        </w:rPr>
        <w:t xml:space="preserve">affirme </w:t>
      </w:r>
      <w:r w:rsidRPr="00C622E0">
        <w:rPr>
          <w:lang w:eastAsia="es-ES"/>
        </w:rPr>
        <w:t>a</w:t>
      </w:r>
      <w:r>
        <w:rPr>
          <w:lang w:eastAsia="es-ES"/>
        </w:rPr>
        <w:t>voir</w:t>
      </w:r>
      <w:r w:rsidRPr="00C622E0">
        <w:rPr>
          <w:lang w:eastAsia="es-ES"/>
        </w:rPr>
        <w:t xml:space="preserve"> conclu </w:t>
      </w:r>
      <w:r>
        <w:rPr>
          <w:lang w:eastAsia="es-ES"/>
        </w:rPr>
        <w:t>l</w:t>
      </w:r>
      <w:r w:rsidRPr="00C622E0">
        <w:rPr>
          <w:lang w:eastAsia="es-ES"/>
        </w:rPr>
        <w:t>e 1</w:t>
      </w:r>
      <w:r w:rsidRPr="00C622E0">
        <w:rPr>
          <w:vertAlign w:val="superscript"/>
          <w:lang w:eastAsia="es-ES"/>
        </w:rPr>
        <w:t>er</w:t>
      </w:r>
      <w:r w:rsidRPr="00C622E0">
        <w:rPr>
          <w:lang w:eastAsia="es-ES"/>
        </w:rPr>
        <w:t> mars 2013</w:t>
      </w:r>
      <w:r>
        <w:rPr>
          <w:lang w:eastAsia="es-ES"/>
        </w:rPr>
        <w:t xml:space="preserve"> </w:t>
      </w:r>
      <w:r w:rsidRPr="00C622E0">
        <w:rPr>
          <w:lang w:eastAsia="es-ES"/>
        </w:rPr>
        <w:t>un bail pour la location d</w:t>
      </w:r>
      <w:r>
        <w:rPr>
          <w:lang w:eastAsia="es-ES"/>
        </w:rPr>
        <w:t>’</w:t>
      </w:r>
      <w:r w:rsidRPr="00C622E0">
        <w:rPr>
          <w:lang w:eastAsia="es-ES"/>
        </w:rPr>
        <w:t>un appartement qu</w:t>
      </w:r>
      <w:r>
        <w:rPr>
          <w:lang w:eastAsia="es-ES"/>
        </w:rPr>
        <w:t>’</w:t>
      </w:r>
      <w:r w:rsidRPr="00C622E0">
        <w:rPr>
          <w:lang w:eastAsia="es-ES"/>
        </w:rPr>
        <w:t>elle comptait occuper avec ses six enfants (dont l</w:t>
      </w:r>
      <w:r>
        <w:rPr>
          <w:lang w:eastAsia="es-ES"/>
        </w:rPr>
        <w:t>’</w:t>
      </w:r>
      <w:r w:rsidRPr="00C622E0">
        <w:rPr>
          <w:lang w:eastAsia="es-ES"/>
        </w:rPr>
        <w:t>un est maintenant majeur) contre le paiement d</w:t>
      </w:r>
      <w:r>
        <w:rPr>
          <w:lang w:eastAsia="es-ES"/>
        </w:rPr>
        <w:t>’</w:t>
      </w:r>
      <w:r w:rsidRPr="00C622E0">
        <w:rPr>
          <w:lang w:eastAsia="es-ES"/>
        </w:rPr>
        <w:t>un loyer mensuel de 850 euros. Après avoir payé ce loyer tous les mois pendant un an, elle a découvert que le bailleur n</w:t>
      </w:r>
      <w:r>
        <w:rPr>
          <w:lang w:eastAsia="es-ES"/>
        </w:rPr>
        <w:t>’</w:t>
      </w:r>
      <w:r w:rsidRPr="00C622E0">
        <w:rPr>
          <w:lang w:eastAsia="es-ES"/>
        </w:rPr>
        <w:t>était pas le propriétaire de l</w:t>
      </w:r>
      <w:r>
        <w:rPr>
          <w:lang w:eastAsia="es-ES"/>
        </w:rPr>
        <w:t>’</w:t>
      </w:r>
      <w:r w:rsidRPr="00C622E0">
        <w:rPr>
          <w:lang w:eastAsia="es-ES"/>
        </w:rPr>
        <w:t>appartement et ne possédait aucun titre attestant de son droit de propriété, si bien qu</w:t>
      </w:r>
      <w:r>
        <w:rPr>
          <w:lang w:eastAsia="es-ES"/>
        </w:rPr>
        <w:t>’</w:t>
      </w:r>
      <w:r w:rsidRPr="00C622E0">
        <w:rPr>
          <w:lang w:eastAsia="es-ES"/>
        </w:rPr>
        <w:t>elle a cessé de s</w:t>
      </w:r>
      <w:r>
        <w:rPr>
          <w:lang w:eastAsia="es-ES"/>
        </w:rPr>
        <w:t>’</w:t>
      </w:r>
      <w:r w:rsidRPr="00C622E0">
        <w:rPr>
          <w:lang w:eastAsia="es-ES"/>
        </w:rPr>
        <w:t>acquitter du loyer.</w:t>
      </w:r>
    </w:p>
    <w:p w14:paraId="7CAC274A" w14:textId="77777777" w:rsidR="0037651B" w:rsidRPr="00C622E0" w:rsidRDefault="0037651B" w:rsidP="0037651B">
      <w:pPr>
        <w:pStyle w:val="SingleTxtG"/>
        <w:rPr>
          <w:lang w:eastAsia="es-ES"/>
        </w:rPr>
      </w:pPr>
      <w:r w:rsidRPr="00C622E0">
        <w:rPr>
          <w:lang w:eastAsia="es-ES"/>
        </w:rPr>
        <w:t>2.2</w:t>
      </w:r>
      <w:r w:rsidRPr="00C622E0">
        <w:rPr>
          <w:lang w:eastAsia="es-ES"/>
        </w:rPr>
        <w:tab/>
        <w:t>Le 15 décembre 2014, la banque propriétaire de l</w:t>
      </w:r>
      <w:r>
        <w:rPr>
          <w:lang w:eastAsia="es-ES"/>
        </w:rPr>
        <w:t>’</w:t>
      </w:r>
      <w:r w:rsidRPr="00C622E0">
        <w:rPr>
          <w:lang w:eastAsia="es-ES"/>
        </w:rPr>
        <w:t>appartement a porté plainte contre l</w:t>
      </w:r>
      <w:r>
        <w:rPr>
          <w:lang w:eastAsia="es-ES"/>
        </w:rPr>
        <w:t>’</w:t>
      </w:r>
      <w:r w:rsidRPr="00C622E0">
        <w:rPr>
          <w:lang w:eastAsia="es-ES"/>
        </w:rPr>
        <w:t xml:space="preserve">auteure pour occupation illégale des lieux devant le tribunal pénal </w:t>
      </w:r>
      <w:r w:rsidRPr="00C622E0">
        <w:rPr>
          <w:rFonts w:eastAsia="MS Mincho"/>
          <w:lang w:eastAsia="es-ES"/>
        </w:rPr>
        <w:t>n</w:t>
      </w:r>
      <w:r w:rsidRPr="00C622E0">
        <w:rPr>
          <w:rFonts w:eastAsia="MS Mincho"/>
          <w:vertAlign w:val="superscript"/>
          <w:lang w:eastAsia="es-ES"/>
        </w:rPr>
        <w:t>o</w:t>
      </w:r>
      <w:r w:rsidRPr="00C622E0">
        <w:rPr>
          <w:lang w:eastAsia="es-ES"/>
        </w:rPr>
        <w:t> 15 de Madrid.</w:t>
      </w:r>
    </w:p>
    <w:p w14:paraId="736C29A8" w14:textId="77777777" w:rsidR="0037651B" w:rsidRPr="00C622E0" w:rsidRDefault="0037651B" w:rsidP="0037651B">
      <w:pPr>
        <w:pStyle w:val="SingleTxtG"/>
        <w:rPr>
          <w:lang w:eastAsia="es-ES"/>
        </w:rPr>
      </w:pPr>
      <w:r w:rsidRPr="00C622E0">
        <w:rPr>
          <w:lang w:eastAsia="es-ES"/>
        </w:rPr>
        <w:t>2.3</w:t>
      </w:r>
      <w:r w:rsidRPr="00C622E0">
        <w:rPr>
          <w:lang w:eastAsia="es-ES"/>
        </w:rPr>
        <w:tab/>
        <w:t xml:space="preserve">Le 2 décembre 2016, le tribunal pénal </w:t>
      </w:r>
      <w:r w:rsidRPr="00C622E0">
        <w:rPr>
          <w:rFonts w:eastAsia="MS Mincho"/>
          <w:lang w:eastAsia="es-ES"/>
        </w:rPr>
        <w:t>n</w:t>
      </w:r>
      <w:r w:rsidRPr="00C622E0">
        <w:rPr>
          <w:rFonts w:eastAsia="MS Mincho"/>
          <w:vertAlign w:val="superscript"/>
          <w:lang w:eastAsia="es-ES"/>
        </w:rPr>
        <w:t>o</w:t>
      </w:r>
      <w:r w:rsidRPr="00C622E0">
        <w:rPr>
          <w:lang w:eastAsia="es-ES"/>
        </w:rPr>
        <w:t> 15 a déclaré l</w:t>
      </w:r>
      <w:r>
        <w:rPr>
          <w:lang w:eastAsia="es-ES"/>
        </w:rPr>
        <w:t>’</w:t>
      </w:r>
      <w:r w:rsidRPr="00C622E0">
        <w:rPr>
          <w:lang w:eastAsia="es-ES"/>
        </w:rPr>
        <w:t>auteure coupable de l</w:t>
      </w:r>
      <w:r>
        <w:rPr>
          <w:lang w:eastAsia="es-ES"/>
        </w:rPr>
        <w:t>’</w:t>
      </w:r>
      <w:r w:rsidRPr="00C622E0">
        <w:rPr>
          <w:lang w:eastAsia="es-ES"/>
        </w:rPr>
        <w:t>infraction mineure d</w:t>
      </w:r>
      <w:r>
        <w:rPr>
          <w:lang w:eastAsia="es-ES"/>
        </w:rPr>
        <w:t>’</w:t>
      </w:r>
      <w:r w:rsidRPr="00C622E0">
        <w:rPr>
          <w:lang w:eastAsia="es-ES"/>
        </w:rPr>
        <w:t>usurpation et l</w:t>
      </w:r>
      <w:r>
        <w:rPr>
          <w:lang w:eastAsia="es-ES"/>
        </w:rPr>
        <w:t>’</w:t>
      </w:r>
      <w:r w:rsidRPr="00C622E0">
        <w:rPr>
          <w:lang w:eastAsia="es-ES"/>
        </w:rPr>
        <w:t xml:space="preserve">a condamnée à payer une amende de 44 euros et à restituer le logement à son propriétaire. </w:t>
      </w:r>
      <w:r>
        <w:rPr>
          <w:lang w:eastAsia="es-ES"/>
        </w:rPr>
        <w:t>L</w:t>
      </w:r>
      <w:r w:rsidRPr="00C622E0">
        <w:rPr>
          <w:lang w:eastAsia="es-ES"/>
        </w:rPr>
        <w:t>e tribunal a estimé que le bail produit par l</w:t>
      </w:r>
      <w:r>
        <w:rPr>
          <w:lang w:eastAsia="es-ES"/>
        </w:rPr>
        <w:t>’</w:t>
      </w:r>
      <w:r w:rsidRPr="00C622E0">
        <w:rPr>
          <w:lang w:eastAsia="es-ES"/>
        </w:rPr>
        <w:t>auteure n</w:t>
      </w:r>
      <w:r>
        <w:rPr>
          <w:lang w:eastAsia="es-ES"/>
        </w:rPr>
        <w:t>’</w:t>
      </w:r>
      <w:r w:rsidRPr="00C622E0">
        <w:rPr>
          <w:lang w:eastAsia="es-ES"/>
        </w:rPr>
        <w:t>offrait pas toute certitude et crédibilité, d</w:t>
      </w:r>
      <w:r>
        <w:rPr>
          <w:lang w:eastAsia="es-ES"/>
        </w:rPr>
        <w:t>’</w:t>
      </w:r>
      <w:r w:rsidRPr="00C622E0">
        <w:rPr>
          <w:lang w:eastAsia="es-ES"/>
        </w:rPr>
        <w:t>autant que l</w:t>
      </w:r>
      <w:r>
        <w:rPr>
          <w:lang w:eastAsia="es-ES"/>
        </w:rPr>
        <w:t>’</w:t>
      </w:r>
      <w:r w:rsidRPr="00C622E0">
        <w:rPr>
          <w:lang w:eastAsia="es-ES"/>
        </w:rPr>
        <w:t>auteure ne l</w:t>
      </w:r>
      <w:r>
        <w:rPr>
          <w:lang w:eastAsia="es-ES"/>
        </w:rPr>
        <w:t>’</w:t>
      </w:r>
      <w:r w:rsidRPr="00C622E0">
        <w:rPr>
          <w:lang w:eastAsia="es-ES"/>
        </w:rPr>
        <w:t>avait pas accompagné d</w:t>
      </w:r>
      <w:r>
        <w:rPr>
          <w:lang w:eastAsia="es-ES"/>
        </w:rPr>
        <w:t>’</w:t>
      </w:r>
      <w:r w:rsidRPr="00C622E0">
        <w:rPr>
          <w:lang w:eastAsia="es-ES"/>
        </w:rPr>
        <w:t>une preuve du paiement du loyer présumé au bailleur. Ayant considéré que les faits établis constituaient une infraction mineure d</w:t>
      </w:r>
      <w:r>
        <w:rPr>
          <w:lang w:eastAsia="es-ES"/>
        </w:rPr>
        <w:t>’</w:t>
      </w:r>
      <w:r w:rsidRPr="00C622E0">
        <w:rPr>
          <w:lang w:eastAsia="es-ES"/>
        </w:rPr>
        <w:t>usurpation, le tribunal a décidé d</w:t>
      </w:r>
      <w:r>
        <w:rPr>
          <w:lang w:eastAsia="es-ES"/>
        </w:rPr>
        <w:t>’</w:t>
      </w:r>
      <w:r w:rsidRPr="00C622E0">
        <w:rPr>
          <w:lang w:eastAsia="es-ES"/>
        </w:rPr>
        <w:t>exonérer partiellement l</w:t>
      </w:r>
      <w:r>
        <w:rPr>
          <w:lang w:eastAsia="es-ES"/>
        </w:rPr>
        <w:t>’</w:t>
      </w:r>
      <w:r w:rsidRPr="00C622E0">
        <w:rPr>
          <w:lang w:eastAsia="es-ES"/>
        </w:rPr>
        <w:t>auteure de sa responsabilité en raison de son état de nécessité</w:t>
      </w:r>
      <w:r>
        <w:rPr>
          <w:lang w:eastAsia="es-ES"/>
        </w:rPr>
        <w:t xml:space="preserve">, qui pouvait justifier en partie </w:t>
      </w:r>
      <w:r w:rsidRPr="00C622E0">
        <w:rPr>
          <w:lang w:eastAsia="es-ES"/>
        </w:rPr>
        <w:t>ses agissements</w:t>
      </w:r>
      <w:r w:rsidR="007256F3">
        <w:rPr>
          <w:lang w:eastAsia="es-ES"/>
        </w:rPr>
        <w:t> </w:t>
      </w:r>
      <w:r w:rsidRPr="00C622E0">
        <w:rPr>
          <w:lang w:eastAsia="es-ES"/>
        </w:rPr>
        <w:t>; de fait, selon les documents produits</w:t>
      </w:r>
      <w:r w:rsidRPr="00C622E0">
        <w:rPr>
          <w:rStyle w:val="Appelnotedebasdep"/>
        </w:rPr>
        <w:footnoteReference w:id="4"/>
      </w:r>
      <w:r w:rsidRPr="00C622E0">
        <w:rPr>
          <w:lang w:eastAsia="es-ES"/>
        </w:rPr>
        <w:t>, il était très difficile pour l</w:t>
      </w:r>
      <w:r>
        <w:rPr>
          <w:lang w:eastAsia="es-ES"/>
        </w:rPr>
        <w:t>’</w:t>
      </w:r>
      <w:r w:rsidRPr="00C622E0">
        <w:rPr>
          <w:lang w:eastAsia="es-ES"/>
        </w:rPr>
        <w:t>auteure de subvenir aux besoins du foyer avec ses faibles revenus. Dans sa décision, le tribunal a estimé que l</w:t>
      </w:r>
      <w:r>
        <w:rPr>
          <w:lang w:eastAsia="es-ES"/>
        </w:rPr>
        <w:t>’</w:t>
      </w:r>
      <w:r w:rsidRPr="00C622E0">
        <w:rPr>
          <w:lang w:eastAsia="es-ES"/>
        </w:rPr>
        <w:t>auteure se trouvait bien en état de grande nécessité, mais non d</w:t>
      </w:r>
      <w:r>
        <w:rPr>
          <w:lang w:eastAsia="es-ES"/>
        </w:rPr>
        <w:t>’</w:t>
      </w:r>
      <w:r w:rsidRPr="00C622E0">
        <w:rPr>
          <w:lang w:eastAsia="es-ES"/>
        </w:rPr>
        <w:t>indigence totale, et qu</w:t>
      </w:r>
      <w:r>
        <w:rPr>
          <w:lang w:eastAsia="es-ES"/>
        </w:rPr>
        <w:t>’</w:t>
      </w:r>
      <w:r w:rsidRPr="00C622E0">
        <w:rPr>
          <w:lang w:eastAsia="es-ES"/>
        </w:rPr>
        <w:t>elle avait la possibilité de mettre fin au litige par d</w:t>
      </w:r>
      <w:r>
        <w:rPr>
          <w:lang w:eastAsia="es-ES"/>
        </w:rPr>
        <w:t>’</w:t>
      </w:r>
      <w:r w:rsidRPr="00C622E0">
        <w:rPr>
          <w:lang w:eastAsia="es-ES"/>
        </w:rPr>
        <w:t>autres moyens, licites, si bien qu</w:t>
      </w:r>
      <w:r>
        <w:rPr>
          <w:lang w:eastAsia="es-ES"/>
        </w:rPr>
        <w:t>’</w:t>
      </w:r>
      <w:r w:rsidRPr="00C622E0">
        <w:rPr>
          <w:lang w:eastAsia="es-ES"/>
        </w:rPr>
        <w:t>il ne l</w:t>
      </w:r>
      <w:r>
        <w:rPr>
          <w:lang w:eastAsia="es-ES"/>
        </w:rPr>
        <w:t>’</w:t>
      </w:r>
      <w:r w:rsidRPr="00C622E0">
        <w:rPr>
          <w:lang w:eastAsia="es-ES"/>
        </w:rPr>
        <w:t>a pas exonérée de toute responsabilité pour cause d</w:t>
      </w:r>
      <w:r>
        <w:rPr>
          <w:lang w:eastAsia="es-ES"/>
        </w:rPr>
        <w:t>’</w:t>
      </w:r>
      <w:r w:rsidRPr="00C622E0">
        <w:rPr>
          <w:lang w:eastAsia="es-ES"/>
        </w:rPr>
        <w:t>état de nécessité.</w:t>
      </w:r>
    </w:p>
    <w:p w14:paraId="178701E7" w14:textId="77777777" w:rsidR="0037651B" w:rsidRPr="00C622E0" w:rsidRDefault="0037651B" w:rsidP="0037651B">
      <w:pPr>
        <w:pStyle w:val="SingleTxtG"/>
        <w:rPr>
          <w:lang w:eastAsia="es-ES"/>
        </w:rPr>
      </w:pPr>
      <w:r w:rsidRPr="00C622E0">
        <w:rPr>
          <w:lang w:eastAsia="es-ES"/>
        </w:rPr>
        <w:t>2.4</w:t>
      </w:r>
      <w:r w:rsidRPr="00C622E0">
        <w:rPr>
          <w:lang w:eastAsia="es-ES"/>
        </w:rPr>
        <w:tab/>
        <w:t>Le 19 janvier 2017, l</w:t>
      </w:r>
      <w:r>
        <w:rPr>
          <w:lang w:eastAsia="es-ES"/>
        </w:rPr>
        <w:t>’</w:t>
      </w:r>
      <w:r w:rsidRPr="00C622E0">
        <w:rPr>
          <w:lang w:eastAsia="es-ES"/>
        </w:rPr>
        <w:t>auteure a formé un recours contre la décision rendue le 2 décembre 2016, par lequel elle demandait à être disculpée puisqu</w:t>
      </w:r>
      <w:r>
        <w:rPr>
          <w:lang w:eastAsia="es-ES"/>
        </w:rPr>
        <w:t>’</w:t>
      </w:r>
      <w:r w:rsidRPr="00C622E0">
        <w:rPr>
          <w:lang w:eastAsia="es-ES"/>
        </w:rPr>
        <w:t>il existait un acte juridique attestant de la réception du bien immobilier (le bail) ou à être exonérée totalement, et non partiellement, de sa responsabilité en raison de son état de nécessité. Le 25</w:t>
      </w:r>
      <w:r>
        <w:rPr>
          <w:lang w:eastAsia="es-ES"/>
        </w:rPr>
        <w:t> </w:t>
      </w:r>
      <w:r w:rsidRPr="00C622E0">
        <w:rPr>
          <w:lang w:eastAsia="es-ES"/>
        </w:rPr>
        <w:t>juillet 2017, l</w:t>
      </w:r>
      <w:r>
        <w:rPr>
          <w:lang w:eastAsia="es-ES"/>
        </w:rPr>
        <w:t>’</w:t>
      </w:r>
      <w:r w:rsidRPr="00C622E0">
        <w:rPr>
          <w:lang w:eastAsia="es-ES"/>
        </w:rPr>
        <w:t>Audiencia Provincial de Madrid a rejeté le recours, au motif que l</w:t>
      </w:r>
      <w:r>
        <w:rPr>
          <w:lang w:eastAsia="es-ES"/>
        </w:rPr>
        <w:t>’</w:t>
      </w:r>
      <w:r w:rsidRPr="00C622E0">
        <w:rPr>
          <w:lang w:eastAsia="es-ES"/>
        </w:rPr>
        <w:t>auteure avait continué d</w:t>
      </w:r>
      <w:r>
        <w:rPr>
          <w:lang w:eastAsia="es-ES"/>
        </w:rPr>
        <w:t>’</w:t>
      </w:r>
      <w:r w:rsidRPr="00C622E0">
        <w:rPr>
          <w:lang w:eastAsia="es-ES"/>
        </w:rPr>
        <w:t>occuper l</w:t>
      </w:r>
      <w:r>
        <w:rPr>
          <w:lang w:eastAsia="es-ES"/>
        </w:rPr>
        <w:t>’</w:t>
      </w:r>
      <w:r w:rsidRPr="00C622E0">
        <w:rPr>
          <w:lang w:eastAsia="es-ES"/>
        </w:rPr>
        <w:t xml:space="preserve">appartement même après avoir appris que celui-ci appartenait à </w:t>
      </w:r>
      <w:r w:rsidRPr="00C622E0">
        <w:rPr>
          <w:lang w:eastAsia="es-ES"/>
        </w:rPr>
        <w:lastRenderedPageBreak/>
        <w:t>la banque. Cette instance a considéré en outre que les circonstances familiales et économiques avaient été dûment appréciées en première instance, et a confirmé le jugement d</w:t>
      </w:r>
      <w:r>
        <w:rPr>
          <w:lang w:eastAsia="es-ES"/>
        </w:rPr>
        <w:t>’</w:t>
      </w:r>
      <w:r w:rsidRPr="00C622E0">
        <w:rPr>
          <w:lang w:eastAsia="es-ES"/>
        </w:rPr>
        <w:t>irresponsabilité partielle.</w:t>
      </w:r>
    </w:p>
    <w:p w14:paraId="3160B5BD" w14:textId="77777777" w:rsidR="0037651B" w:rsidRPr="00C622E0" w:rsidRDefault="0037651B" w:rsidP="0037651B">
      <w:pPr>
        <w:pStyle w:val="SingleTxtG"/>
        <w:rPr>
          <w:lang w:eastAsia="es-ES"/>
        </w:rPr>
      </w:pPr>
      <w:r w:rsidRPr="00C622E0">
        <w:rPr>
          <w:lang w:eastAsia="es-ES"/>
        </w:rPr>
        <w:t>2.5</w:t>
      </w:r>
      <w:r w:rsidRPr="00C622E0">
        <w:rPr>
          <w:lang w:eastAsia="es-ES"/>
        </w:rPr>
        <w:tab/>
        <w:t>En mars 2017, l</w:t>
      </w:r>
      <w:r>
        <w:rPr>
          <w:lang w:eastAsia="es-ES"/>
        </w:rPr>
        <w:t>’</w:t>
      </w:r>
      <w:r w:rsidRPr="00C622E0">
        <w:rPr>
          <w:lang w:eastAsia="es-ES"/>
        </w:rPr>
        <w:t>auteure a demandé à conclure un bail avec la banque propriétaire de l</w:t>
      </w:r>
      <w:r>
        <w:rPr>
          <w:lang w:eastAsia="es-ES"/>
        </w:rPr>
        <w:t>’</w:t>
      </w:r>
      <w:r w:rsidRPr="00C622E0">
        <w:rPr>
          <w:lang w:eastAsia="es-ES"/>
        </w:rPr>
        <w:t>appartement afin de régulariser sa situation.</w:t>
      </w:r>
    </w:p>
    <w:p w14:paraId="6628DDB0" w14:textId="77777777" w:rsidR="0037651B" w:rsidRPr="00C622E0" w:rsidRDefault="0037651B" w:rsidP="0037651B">
      <w:pPr>
        <w:pStyle w:val="SingleTxtG"/>
        <w:rPr>
          <w:lang w:eastAsia="es-ES"/>
        </w:rPr>
      </w:pPr>
      <w:r w:rsidRPr="00C622E0">
        <w:rPr>
          <w:lang w:eastAsia="es-ES"/>
        </w:rPr>
        <w:t>2.6</w:t>
      </w:r>
      <w:r w:rsidRPr="00C622E0">
        <w:rPr>
          <w:lang w:eastAsia="es-ES"/>
        </w:rPr>
        <w:tab/>
        <w:t>À une date indéterminée, le Service des attributions de la Sous-direction générale des attributions et de l</w:t>
      </w:r>
      <w:r>
        <w:rPr>
          <w:lang w:eastAsia="es-ES"/>
        </w:rPr>
        <w:t>’</w:t>
      </w:r>
      <w:r w:rsidRPr="00C622E0">
        <w:rPr>
          <w:lang w:eastAsia="es-ES"/>
        </w:rPr>
        <w:t>aide au citoyen de la Communauté de Madrid a rejeté la demande de logement que l</w:t>
      </w:r>
      <w:r>
        <w:rPr>
          <w:lang w:eastAsia="es-ES"/>
        </w:rPr>
        <w:t>’</w:t>
      </w:r>
      <w:r w:rsidRPr="00C622E0">
        <w:rPr>
          <w:lang w:eastAsia="es-ES"/>
        </w:rPr>
        <w:t>auteure avait présentée à l</w:t>
      </w:r>
      <w:r>
        <w:rPr>
          <w:lang w:eastAsia="es-ES"/>
        </w:rPr>
        <w:t>’</w:t>
      </w:r>
      <w:r w:rsidRPr="00C622E0">
        <w:rPr>
          <w:lang w:eastAsia="es-ES"/>
        </w:rPr>
        <w:t>Office du logement social de la Communauté de Madrid. Dans sa décision, le Service des attributions expliquait qu</w:t>
      </w:r>
      <w:r>
        <w:rPr>
          <w:lang w:eastAsia="es-ES"/>
        </w:rPr>
        <w:t>’</w:t>
      </w:r>
      <w:r w:rsidRPr="00C622E0">
        <w:rPr>
          <w:lang w:eastAsia="es-ES"/>
        </w:rPr>
        <w:t>il ressortait de l</w:t>
      </w:r>
      <w:r>
        <w:rPr>
          <w:lang w:eastAsia="es-ES"/>
        </w:rPr>
        <w:t>’</w:t>
      </w:r>
      <w:r w:rsidRPr="00C622E0">
        <w:rPr>
          <w:lang w:eastAsia="es-ES"/>
        </w:rPr>
        <w:t xml:space="preserve">examen des pièces présentées par </w:t>
      </w:r>
      <w:r>
        <w:rPr>
          <w:lang w:eastAsia="es-ES"/>
        </w:rPr>
        <w:t>l’auteure</w:t>
      </w:r>
      <w:r w:rsidRPr="00C622E0">
        <w:rPr>
          <w:lang w:eastAsia="es-ES"/>
        </w:rPr>
        <w:t xml:space="preserve"> que celle-ci occupait son logement actuel en l</w:t>
      </w:r>
      <w:r>
        <w:rPr>
          <w:lang w:eastAsia="es-ES"/>
        </w:rPr>
        <w:t>’</w:t>
      </w:r>
      <w:r w:rsidRPr="00C622E0">
        <w:rPr>
          <w:lang w:eastAsia="es-ES"/>
        </w:rPr>
        <w:t>absence d</w:t>
      </w:r>
      <w:r>
        <w:rPr>
          <w:lang w:eastAsia="es-ES"/>
        </w:rPr>
        <w:t>’</w:t>
      </w:r>
      <w:r w:rsidRPr="00C622E0">
        <w:rPr>
          <w:lang w:eastAsia="es-ES"/>
        </w:rPr>
        <w:t>un titre valable, ce qui constituait un motif de rejet d</w:t>
      </w:r>
      <w:r>
        <w:rPr>
          <w:lang w:eastAsia="es-ES"/>
        </w:rPr>
        <w:t>’</w:t>
      </w:r>
      <w:r w:rsidRPr="00C622E0">
        <w:rPr>
          <w:lang w:eastAsia="es-ES"/>
        </w:rPr>
        <w:t>une demande, selon l</w:t>
      </w:r>
      <w:r>
        <w:rPr>
          <w:lang w:eastAsia="es-ES"/>
        </w:rPr>
        <w:t>’</w:t>
      </w:r>
      <w:r w:rsidRPr="00C622E0">
        <w:rPr>
          <w:lang w:eastAsia="es-ES"/>
        </w:rPr>
        <w:t>alinéa</w:t>
      </w:r>
      <w:r w:rsidR="007256F3">
        <w:rPr>
          <w:lang w:eastAsia="es-ES"/>
        </w:rPr>
        <w:t> </w:t>
      </w:r>
      <w:r w:rsidRPr="00C622E0">
        <w:rPr>
          <w:lang w:eastAsia="es-ES"/>
        </w:rPr>
        <w:t xml:space="preserve">f) </w:t>
      </w:r>
      <w:r>
        <w:rPr>
          <w:lang w:eastAsia="es-ES"/>
        </w:rPr>
        <w:t>du paragraphe</w:t>
      </w:r>
      <w:r w:rsidR="007256F3">
        <w:rPr>
          <w:lang w:eastAsia="es-ES"/>
        </w:rPr>
        <w:t> </w:t>
      </w:r>
      <w:r>
        <w:rPr>
          <w:lang w:eastAsia="es-ES"/>
        </w:rPr>
        <w:t xml:space="preserve">1 </w:t>
      </w:r>
      <w:r w:rsidRPr="00C622E0">
        <w:rPr>
          <w:lang w:eastAsia="es-ES"/>
        </w:rPr>
        <w:t>de l</w:t>
      </w:r>
      <w:r>
        <w:rPr>
          <w:lang w:eastAsia="es-ES"/>
        </w:rPr>
        <w:t>’</w:t>
      </w:r>
      <w:r w:rsidRPr="00C622E0">
        <w:rPr>
          <w:lang w:eastAsia="es-ES"/>
        </w:rPr>
        <w:t>article</w:t>
      </w:r>
      <w:r w:rsidR="007256F3">
        <w:rPr>
          <w:lang w:eastAsia="es-ES"/>
        </w:rPr>
        <w:t> </w:t>
      </w:r>
      <w:r w:rsidRPr="00C622E0">
        <w:rPr>
          <w:lang w:eastAsia="es-ES"/>
        </w:rPr>
        <w:t xml:space="preserve">14 du décret </w:t>
      </w:r>
      <w:r w:rsidRPr="00C622E0">
        <w:rPr>
          <w:rFonts w:eastAsia="MS Mincho"/>
          <w:lang w:eastAsia="es-ES"/>
        </w:rPr>
        <w:t>n</w:t>
      </w:r>
      <w:r w:rsidRPr="00C622E0">
        <w:rPr>
          <w:rFonts w:eastAsia="MS Mincho"/>
          <w:vertAlign w:val="superscript"/>
          <w:lang w:eastAsia="es-ES"/>
        </w:rPr>
        <w:t>o</w:t>
      </w:r>
      <w:r>
        <w:rPr>
          <w:lang w:eastAsia="es-ES"/>
        </w:rPr>
        <w:t> </w:t>
      </w:r>
      <w:r w:rsidRPr="00C622E0">
        <w:rPr>
          <w:lang w:eastAsia="es-ES"/>
        </w:rPr>
        <w:t>52/2016, du 31</w:t>
      </w:r>
      <w:r>
        <w:rPr>
          <w:lang w:eastAsia="es-ES"/>
        </w:rPr>
        <w:t> </w:t>
      </w:r>
      <w:r w:rsidRPr="00C622E0">
        <w:rPr>
          <w:lang w:eastAsia="es-ES"/>
        </w:rPr>
        <w:t>mai</w:t>
      </w:r>
      <w:r>
        <w:rPr>
          <w:lang w:eastAsia="es-ES"/>
        </w:rPr>
        <w:t xml:space="preserve"> 2016</w:t>
      </w:r>
      <w:r w:rsidRPr="00C622E0">
        <w:rPr>
          <w:lang w:eastAsia="es-ES"/>
        </w:rPr>
        <w:t>, régissant la procédure d</w:t>
      </w:r>
      <w:r>
        <w:rPr>
          <w:lang w:eastAsia="es-ES"/>
        </w:rPr>
        <w:t>’</w:t>
      </w:r>
      <w:r w:rsidRPr="00C622E0">
        <w:rPr>
          <w:lang w:eastAsia="es-ES"/>
        </w:rPr>
        <w:t>attribution d</w:t>
      </w:r>
      <w:r>
        <w:rPr>
          <w:lang w:eastAsia="es-ES"/>
        </w:rPr>
        <w:t>’</w:t>
      </w:r>
      <w:r w:rsidRPr="00C622E0">
        <w:rPr>
          <w:lang w:eastAsia="es-ES"/>
        </w:rPr>
        <w:t>un logement social</w:t>
      </w:r>
      <w:r w:rsidRPr="00C622E0">
        <w:rPr>
          <w:rStyle w:val="Appelnotedebasdep"/>
        </w:rPr>
        <w:footnoteReference w:id="5"/>
      </w:r>
      <w:r w:rsidRPr="00C622E0">
        <w:rPr>
          <w:lang w:eastAsia="es-ES"/>
        </w:rPr>
        <w:t>.</w:t>
      </w:r>
    </w:p>
    <w:p w14:paraId="48CD9476" w14:textId="77777777" w:rsidR="0037651B" w:rsidRPr="00C622E0" w:rsidRDefault="0037651B" w:rsidP="0037651B">
      <w:pPr>
        <w:pStyle w:val="SingleTxtG"/>
        <w:rPr>
          <w:lang w:eastAsia="es-ES"/>
        </w:rPr>
      </w:pPr>
      <w:r w:rsidRPr="00C622E0">
        <w:rPr>
          <w:lang w:eastAsia="es-ES"/>
        </w:rPr>
        <w:t>2.7</w:t>
      </w:r>
      <w:r w:rsidRPr="00C622E0">
        <w:rPr>
          <w:lang w:eastAsia="es-ES"/>
        </w:rPr>
        <w:tab/>
        <w:t>Le 1</w:t>
      </w:r>
      <w:r w:rsidRPr="00C622E0">
        <w:rPr>
          <w:vertAlign w:val="superscript"/>
          <w:lang w:eastAsia="es-ES"/>
        </w:rPr>
        <w:t>er</w:t>
      </w:r>
      <w:r>
        <w:rPr>
          <w:lang w:eastAsia="es-ES"/>
        </w:rPr>
        <w:t> </w:t>
      </w:r>
      <w:r w:rsidRPr="00C622E0">
        <w:rPr>
          <w:lang w:eastAsia="es-ES"/>
        </w:rPr>
        <w:t>septembre 2017, la banque a demandé l</w:t>
      </w:r>
      <w:r>
        <w:rPr>
          <w:lang w:eastAsia="es-ES"/>
        </w:rPr>
        <w:t>’</w:t>
      </w:r>
      <w:r w:rsidRPr="00C622E0">
        <w:rPr>
          <w:lang w:eastAsia="es-ES"/>
        </w:rPr>
        <w:t>expulsion forcée (éviction) de l</w:t>
      </w:r>
      <w:r>
        <w:rPr>
          <w:lang w:eastAsia="es-ES"/>
        </w:rPr>
        <w:t>’</w:t>
      </w:r>
      <w:r w:rsidRPr="00C622E0">
        <w:rPr>
          <w:lang w:eastAsia="es-ES"/>
        </w:rPr>
        <w:t>auteure, en exécution de la décision rendue le 2</w:t>
      </w:r>
      <w:r>
        <w:rPr>
          <w:lang w:eastAsia="es-ES"/>
        </w:rPr>
        <w:t> </w:t>
      </w:r>
      <w:r w:rsidRPr="00C622E0">
        <w:rPr>
          <w:lang w:eastAsia="es-ES"/>
        </w:rPr>
        <w:t>décembre 2016. Le 31</w:t>
      </w:r>
      <w:r>
        <w:rPr>
          <w:lang w:eastAsia="es-ES"/>
        </w:rPr>
        <w:t> </w:t>
      </w:r>
      <w:r w:rsidRPr="00C622E0">
        <w:rPr>
          <w:lang w:eastAsia="es-ES"/>
        </w:rPr>
        <w:t xml:space="preserve">janvier 2018, le tribunal pénal </w:t>
      </w:r>
      <w:r w:rsidRPr="00C622E0">
        <w:rPr>
          <w:rFonts w:eastAsia="MS Mincho"/>
          <w:lang w:eastAsia="es-ES"/>
        </w:rPr>
        <w:t>n</w:t>
      </w:r>
      <w:r w:rsidRPr="00C622E0">
        <w:rPr>
          <w:rFonts w:eastAsia="MS Mincho"/>
          <w:vertAlign w:val="superscript"/>
          <w:lang w:eastAsia="es-ES"/>
        </w:rPr>
        <w:t>o</w:t>
      </w:r>
      <w:r>
        <w:rPr>
          <w:lang w:eastAsia="es-ES"/>
        </w:rPr>
        <w:t> </w:t>
      </w:r>
      <w:r w:rsidRPr="00C622E0">
        <w:rPr>
          <w:lang w:eastAsia="es-ES"/>
        </w:rPr>
        <w:t>28 de Madrid a sommé l</w:t>
      </w:r>
      <w:r>
        <w:rPr>
          <w:lang w:eastAsia="es-ES"/>
        </w:rPr>
        <w:t>’</w:t>
      </w:r>
      <w:r w:rsidRPr="00C622E0">
        <w:rPr>
          <w:lang w:eastAsia="es-ES"/>
        </w:rPr>
        <w:t>auteure de libérer l</w:t>
      </w:r>
      <w:r>
        <w:rPr>
          <w:lang w:eastAsia="es-ES"/>
        </w:rPr>
        <w:t>’</w:t>
      </w:r>
      <w:r w:rsidRPr="00C622E0">
        <w:rPr>
          <w:lang w:eastAsia="es-ES"/>
        </w:rPr>
        <w:t>appartement dans un délai d</w:t>
      </w:r>
      <w:r>
        <w:rPr>
          <w:lang w:eastAsia="es-ES"/>
        </w:rPr>
        <w:t>’</w:t>
      </w:r>
      <w:r w:rsidRPr="00C622E0">
        <w:rPr>
          <w:lang w:eastAsia="es-ES"/>
        </w:rPr>
        <w:t>un mois, sous peine d</w:t>
      </w:r>
      <w:r>
        <w:rPr>
          <w:lang w:eastAsia="es-ES"/>
        </w:rPr>
        <w:t>’</w:t>
      </w:r>
      <w:r w:rsidRPr="00C622E0">
        <w:rPr>
          <w:lang w:eastAsia="es-ES"/>
        </w:rPr>
        <w:t>en être expulsée si elle ne le quittait pas volontairement. Le 1</w:t>
      </w:r>
      <w:r w:rsidRPr="00C622E0">
        <w:rPr>
          <w:vertAlign w:val="superscript"/>
          <w:lang w:eastAsia="es-ES"/>
        </w:rPr>
        <w:t>er</w:t>
      </w:r>
      <w:r>
        <w:rPr>
          <w:lang w:eastAsia="es-ES"/>
        </w:rPr>
        <w:t> </w:t>
      </w:r>
      <w:r w:rsidRPr="00C622E0">
        <w:rPr>
          <w:lang w:eastAsia="es-ES"/>
        </w:rPr>
        <w:t>février 2018, l</w:t>
      </w:r>
      <w:r>
        <w:rPr>
          <w:lang w:eastAsia="es-ES"/>
        </w:rPr>
        <w:t>’</w:t>
      </w:r>
      <w:r w:rsidRPr="00C622E0">
        <w:rPr>
          <w:lang w:eastAsia="es-ES"/>
        </w:rPr>
        <w:t>auteure a demandé que le délai qui lui était accordé soit prorogé d</w:t>
      </w:r>
      <w:r>
        <w:rPr>
          <w:lang w:eastAsia="es-ES"/>
        </w:rPr>
        <w:t>’</w:t>
      </w:r>
      <w:r w:rsidRPr="00C622E0">
        <w:rPr>
          <w:lang w:eastAsia="es-ES"/>
        </w:rPr>
        <w:t>un mois, compte tenu de sa situation de vulnérabilité particulière. Cette demande a été rejetée par décision datée du 9</w:t>
      </w:r>
      <w:r>
        <w:rPr>
          <w:lang w:eastAsia="es-ES"/>
        </w:rPr>
        <w:t> </w:t>
      </w:r>
      <w:r w:rsidRPr="00C622E0">
        <w:rPr>
          <w:lang w:eastAsia="es-ES"/>
        </w:rPr>
        <w:t>février 2018. L</w:t>
      </w:r>
      <w:r>
        <w:rPr>
          <w:lang w:eastAsia="es-ES"/>
        </w:rPr>
        <w:t>’</w:t>
      </w:r>
      <w:r w:rsidRPr="00C622E0">
        <w:rPr>
          <w:lang w:eastAsia="es-ES"/>
        </w:rPr>
        <w:t>auteure a formé un recours en révision, qui a été rejeté par décision datée du 1</w:t>
      </w:r>
      <w:r w:rsidRPr="00C622E0">
        <w:rPr>
          <w:vertAlign w:val="superscript"/>
          <w:lang w:eastAsia="es-ES"/>
        </w:rPr>
        <w:t>er</w:t>
      </w:r>
      <w:r>
        <w:rPr>
          <w:lang w:eastAsia="es-ES"/>
        </w:rPr>
        <w:t> </w:t>
      </w:r>
      <w:r w:rsidRPr="00C622E0">
        <w:rPr>
          <w:lang w:eastAsia="es-ES"/>
        </w:rPr>
        <w:t>mars 2018. Elle a fait appel de cette décision.</w:t>
      </w:r>
    </w:p>
    <w:p w14:paraId="11C53F72" w14:textId="77777777" w:rsidR="0037651B" w:rsidRPr="00C622E0" w:rsidRDefault="0037651B" w:rsidP="0037651B">
      <w:pPr>
        <w:pStyle w:val="SingleTxtG"/>
        <w:rPr>
          <w:lang w:eastAsia="es-ES"/>
        </w:rPr>
      </w:pPr>
      <w:r w:rsidRPr="00C622E0">
        <w:rPr>
          <w:lang w:eastAsia="es-ES"/>
        </w:rPr>
        <w:t>2.8</w:t>
      </w:r>
      <w:r w:rsidRPr="00C622E0">
        <w:rPr>
          <w:lang w:eastAsia="es-ES"/>
        </w:rPr>
        <w:tab/>
        <w:t>Le 14</w:t>
      </w:r>
      <w:r>
        <w:rPr>
          <w:lang w:eastAsia="es-ES"/>
        </w:rPr>
        <w:t> </w:t>
      </w:r>
      <w:r w:rsidRPr="00C622E0">
        <w:rPr>
          <w:lang w:eastAsia="es-ES"/>
        </w:rPr>
        <w:t>mars 2018, le tribunal a confirmé l</w:t>
      </w:r>
      <w:r>
        <w:rPr>
          <w:lang w:eastAsia="es-ES"/>
        </w:rPr>
        <w:t>’</w:t>
      </w:r>
      <w:r w:rsidRPr="00C622E0">
        <w:rPr>
          <w:lang w:eastAsia="es-ES"/>
        </w:rPr>
        <w:t>expulsion de l</w:t>
      </w:r>
      <w:r>
        <w:rPr>
          <w:lang w:eastAsia="es-ES"/>
        </w:rPr>
        <w:t>’</w:t>
      </w:r>
      <w:r w:rsidRPr="00C622E0">
        <w:rPr>
          <w:lang w:eastAsia="es-ES"/>
        </w:rPr>
        <w:t xml:space="preserve">auteure, </w:t>
      </w:r>
      <w:r>
        <w:rPr>
          <w:lang w:eastAsia="es-ES"/>
        </w:rPr>
        <w:t>qui devait avoir lieu</w:t>
      </w:r>
      <w:r w:rsidRPr="00C622E0">
        <w:rPr>
          <w:lang w:eastAsia="es-ES"/>
        </w:rPr>
        <w:t xml:space="preserve"> à compter du 1</w:t>
      </w:r>
      <w:r w:rsidRPr="00C622E0">
        <w:rPr>
          <w:vertAlign w:val="superscript"/>
          <w:lang w:eastAsia="es-ES"/>
        </w:rPr>
        <w:t>er</w:t>
      </w:r>
      <w:r>
        <w:rPr>
          <w:lang w:eastAsia="es-ES"/>
        </w:rPr>
        <w:t> </w:t>
      </w:r>
      <w:r w:rsidRPr="00C622E0">
        <w:rPr>
          <w:lang w:eastAsia="es-ES"/>
        </w:rPr>
        <w:t>mars 2018</w:t>
      </w:r>
      <w:r w:rsidRPr="00C622E0">
        <w:rPr>
          <w:rStyle w:val="Appelnotedebasdep"/>
        </w:rPr>
        <w:footnoteReference w:id="6"/>
      </w:r>
      <w:r w:rsidRPr="00C622E0">
        <w:rPr>
          <w:lang w:eastAsia="es-ES"/>
        </w:rPr>
        <w:t>. Le 20</w:t>
      </w:r>
      <w:r>
        <w:rPr>
          <w:lang w:eastAsia="es-ES"/>
        </w:rPr>
        <w:t> </w:t>
      </w:r>
      <w:r w:rsidRPr="00C622E0">
        <w:rPr>
          <w:lang w:eastAsia="es-ES"/>
        </w:rPr>
        <w:t>avril 2018, la date de l</w:t>
      </w:r>
      <w:r>
        <w:rPr>
          <w:lang w:eastAsia="es-ES"/>
        </w:rPr>
        <w:t>’</w:t>
      </w:r>
      <w:r w:rsidRPr="00C622E0">
        <w:rPr>
          <w:lang w:eastAsia="es-ES"/>
        </w:rPr>
        <w:t>expulsion a été fixée au 16</w:t>
      </w:r>
      <w:r>
        <w:rPr>
          <w:lang w:eastAsia="es-ES"/>
        </w:rPr>
        <w:t> </w:t>
      </w:r>
      <w:r w:rsidRPr="00C622E0">
        <w:rPr>
          <w:lang w:eastAsia="es-ES"/>
        </w:rPr>
        <w:t>mai 2018. Le 7</w:t>
      </w:r>
      <w:r>
        <w:rPr>
          <w:lang w:eastAsia="es-ES"/>
        </w:rPr>
        <w:t> </w:t>
      </w:r>
      <w:r w:rsidRPr="00C622E0">
        <w:rPr>
          <w:lang w:eastAsia="es-ES"/>
        </w:rPr>
        <w:t>mai 2018, l</w:t>
      </w:r>
      <w:r>
        <w:rPr>
          <w:lang w:eastAsia="es-ES"/>
        </w:rPr>
        <w:t>’</w:t>
      </w:r>
      <w:r w:rsidRPr="00C622E0">
        <w:rPr>
          <w:lang w:eastAsia="es-ES"/>
        </w:rPr>
        <w:t>auteure a demandé le report de son expulsion en raison de sa situation de vulnérabilité particulière. Cette demande a été rejetée le 10</w:t>
      </w:r>
      <w:r>
        <w:rPr>
          <w:lang w:eastAsia="es-ES"/>
        </w:rPr>
        <w:t> </w:t>
      </w:r>
      <w:r w:rsidRPr="00C622E0">
        <w:rPr>
          <w:lang w:eastAsia="es-ES"/>
        </w:rPr>
        <w:t>mai 2018. L</w:t>
      </w:r>
      <w:r>
        <w:rPr>
          <w:lang w:eastAsia="es-ES"/>
        </w:rPr>
        <w:t>’</w:t>
      </w:r>
      <w:r w:rsidRPr="00C622E0">
        <w:rPr>
          <w:lang w:eastAsia="es-ES"/>
        </w:rPr>
        <w:t>auteure a formé un recours en révision, qui a été rejeté par décision datée du 31</w:t>
      </w:r>
      <w:r>
        <w:rPr>
          <w:lang w:eastAsia="es-ES"/>
        </w:rPr>
        <w:t> </w:t>
      </w:r>
      <w:r w:rsidRPr="00C622E0">
        <w:rPr>
          <w:lang w:eastAsia="es-ES"/>
        </w:rPr>
        <w:t>mai 2018. Elle a fait appel de cette décision.</w:t>
      </w:r>
    </w:p>
    <w:p w14:paraId="571FC451" w14:textId="77777777" w:rsidR="0037651B" w:rsidRPr="00C622E0" w:rsidRDefault="0037651B" w:rsidP="0037651B">
      <w:pPr>
        <w:pStyle w:val="SingleTxtG"/>
        <w:rPr>
          <w:lang w:eastAsia="es-ES"/>
        </w:rPr>
      </w:pPr>
      <w:r w:rsidRPr="00C622E0">
        <w:rPr>
          <w:lang w:eastAsia="es-ES"/>
        </w:rPr>
        <w:t>2.9</w:t>
      </w:r>
      <w:r w:rsidRPr="00C622E0">
        <w:rPr>
          <w:lang w:eastAsia="es-ES"/>
        </w:rPr>
        <w:tab/>
        <w:t>Le 8</w:t>
      </w:r>
      <w:r>
        <w:rPr>
          <w:lang w:eastAsia="es-ES"/>
        </w:rPr>
        <w:t> </w:t>
      </w:r>
      <w:r w:rsidRPr="00C622E0">
        <w:rPr>
          <w:lang w:eastAsia="es-ES"/>
        </w:rPr>
        <w:t xml:space="preserve">mai 2018, les services sociaux de la ville de Madrid ont transmis au tribunal pénal </w:t>
      </w:r>
      <w:r w:rsidRPr="00C622E0">
        <w:rPr>
          <w:rFonts w:eastAsia="MS Mincho"/>
          <w:lang w:eastAsia="es-ES"/>
        </w:rPr>
        <w:t>n</w:t>
      </w:r>
      <w:r w:rsidRPr="00C622E0">
        <w:rPr>
          <w:rFonts w:eastAsia="MS Mincho"/>
          <w:vertAlign w:val="superscript"/>
          <w:lang w:eastAsia="es-ES"/>
        </w:rPr>
        <w:t>o</w:t>
      </w:r>
      <w:r>
        <w:rPr>
          <w:lang w:eastAsia="es-ES"/>
        </w:rPr>
        <w:t> </w:t>
      </w:r>
      <w:r w:rsidRPr="00C622E0">
        <w:rPr>
          <w:lang w:eastAsia="es-ES"/>
        </w:rPr>
        <w:t>28 de Madrid un rapport sur la situation socioéconomique de la famille, qui précisait que l</w:t>
      </w:r>
      <w:r>
        <w:rPr>
          <w:lang w:eastAsia="es-ES"/>
        </w:rPr>
        <w:t>’</w:t>
      </w:r>
      <w:r w:rsidRPr="00C622E0">
        <w:rPr>
          <w:lang w:eastAsia="es-ES"/>
        </w:rPr>
        <w:t>auteure ne disposait que de 655</w:t>
      </w:r>
      <w:r>
        <w:rPr>
          <w:lang w:eastAsia="es-ES"/>
        </w:rPr>
        <w:t> </w:t>
      </w:r>
      <w:r w:rsidRPr="00C622E0">
        <w:rPr>
          <w:lang w:eastAsia="es-ES"/>
        </w:rPr>
        <w:t>euros par mois au titre du revenu minimum d</w:t>
      </w:r>
      <w:r>
        <w:rPr>
          <w:lang w:eastAsia="es-ES"/>
        </w:rPr>
        <w:t>’</w:t>
      </w:r>
      <w:r w:rsidRPr="00C622E0">
        <w:rPr>
          <w:lang w:eastAsia="es-ES"/>
        </w:rPr>
        <w:t>insertion et qu</w:t>
      </w:r>
      <w:r>
        <w:rPr>
          <w:lang w:eastAsia="es-ES"/>
        </w:rPr>
        <w:t>’</w:t>
      </w:r>
      <w:r w:rsidRPr="00C622E0">
        <w:rPr>
          <w:lang w:eastAsia="es-ES"/>
        </w:rPr>
        <w:t>elle n</w:t>
      </w:r>
      <w:r>
        <w:rPr>
          <w:lang w:eastAsia="es-ES"/>
        </w:rPr>
        <w:t>’</w:t>
      </w:r>
      <w:r w:rsidRPr="00C622E0">
        <w:rPr>
          <w:lang w:eastAsia="es-ES"/>
        </w:rPr>
        <w:t>avait pas pu prétendre à un logement social en raison du grand nombre de personnes dans le foyer. Le 9</w:t>
      </w:r>
      <w:r>
        <w:rPr>
          <w:lang w:eastAsia="es-ES"/>
        </w:rPr>
        <w:t> </w:t>
      </w:r>
      <w:r w:rsidRPr="00C622E0">
        <w:rPr>
          <w:lang w:eastAsia="es-ES"/>
        </w:rPr>
        <w:t>mai 2018, l</w:t>
      </w:r>
      <w:r>
        <w:rPr>
          <w:lang w:eastAsia="es-ES"/>
        </w:rPr>
        <w:t>’</w:t>
      </w:r>
      <w:r w:rsidRPr="00C622E0">
        <w:rPr>
          <w:lang w:eastAsia="es-ES"/>
        </w:rPr>
        <w:t>auteure a demandé un logement social d</w:t>
      </w:r>
      <w:r>
        <w:rPr>
          <w:lang w:eastAsia="es-ES"/>
        </w:rPr>
        <w:t>’</w:t>
      </w:r>
      <w:r w:rsidRPr="00C622E0">
        <w:rPr>
          <w:lang w:eastAsia="es-ES"/>
        </w:rPr>
        <w:t>urgence à l</w:t>
      </w:r>
      <w:r>
        <w:rPr>
          <w:lang w:eastAsia="es-ES"/>
        </w:rPr>
        <w:t>’</w:t>
      </w:r>
      <w:r w:rsidRPr="00C622E0">
        <w:rPr>
          <w:lang w:eastAsia="es-ES"/>
        </w:rPr>
        <w:t>entreprise municipale du logement et du sol de Madrid.</w:t>
      </w:r>
    </w:p>
    <w:p w14:paraId="78BB3156" w14:textId="77777777" w:rsidR="0037651B" w:rsidRPr="00C622E0" w:rsidRDefault="0037651B" w:rsidP="0037651B">
      <w:pPr>
        <w:pStyle w:val="SingleTxtG"/>
        <w:rPr>
          <w:lang w:eastAsia="es-ES"/>
        </w:rPr>
      </w:pPr>
      <w:r w:rsidRPr="00C622E0">
        <w:rPr>
          <w:lang w:eastAsia="es-ES"/>
        </w:rPr>
        <w:t>2.10</w:t>
      </w:r>
      <w:r w:rsidRPr="00C622E0">
        <w:rPr>
          <w:lang w:eastAsia="es-ES"/>
        </w:rPr>
        <w:tab/>
        <w:t>Le 16</w:t>
      </w:r>
      <w:r>
        <w:rPr>
          <w:lang w:eastAsia="es-ES"/>
        </w:rPr>
        <w:t> </w:t>
      </w:r>
      <w:r w:rsidRPr="00C622E0">
        <w:rPr>
          <w:lang w:eastAsia="es-ES"/>
        </w:rPr>
        <w:t>mai 2018, une commission judiciaire s</w:t>
      </w:r>
      <w:r>
        <w:rPr>
          <w:lang w:eastAsia="es-ES"/>
        </w:rPr>
        <w:t>’</w:t>
      </w:r>
      <w:r w:rsidRPr="00C622E0">
        <w:rPr>
          <w:lang w:eastAsia="es-ES"/>
        </w:rPr>
        <w:t>est présentée au domicile de l</w:t>
      </w:r>
      <w:r>
        <w:rPr>
          <w:lang w:eastAsia="es-ES"/>
        </w:rPr>
        <w:t>’</w:t>
      </w:r>
      <w:r w:rsidRPr="00C622E0">
        <w:rPr>
          <w:lang w:eastAsia="es-ES"/>
        </w:rPr>
        <w:t>auteure pour procéder à l</w:t>
      </w:r>
      <w:r>
        <w:rPr>
          <w:lang w:eastAsia="es-ES"/>
        </w:rPr>
        <w:t>’</w:t>
      </w:r>
      <w:r w:rsidRPr="00C622E0">
        <w:rPr>
          <w:lang w:eastAsia="es-ES"/>
        </w:rPr>
        <w:t xml:space="preserve">expulsion. </w:t>
      </w:r>
      <w:r>
        <w:rPr>
          <w:lang w:eastAsia="es-ES"/>
        </w:rPr>
        <w:t>L</w:t>
      </w:r>
      <w:r w:rsidRPr="00C622E0">
        <w:rPr>
          <w:lang w:eastAsia="es-ES"/>
        </w:rPr>
        <w:t>a procédure n</w:t>
      </w:r>
      <w:r>
        <w:rPr>
          <w:lang w:eastAsia="es-ES"/>
        </w:rPr>
        <w:t>’</w:t>
      </w:r>
      <w:r w:rsidRPr="00C622E0">
        <w:rPr>
          <w:lang w:eastAsia="es-ES"/>
        </w:rPr>
        <w:t>a pu être menée à bien, car des personnes se sont attroupées devant l</w:t>
      </w:r>
      <w:r>
        <w:rPr>
          <w:lang w:eastAsia="es-ES"/>
        </w:rPr>
        <w:t>’</w:t>
      </w:r>
      <w:r w:rsidRPr="00C622E0">
        <w:rPr>
          <w:lang w:eastAsia="es-ES"/>
        </w:rPr>
        <w:t>appartement en soutien à l</w:t>
      </w:r>
      <w:r>
        <w:rPr>
          <w:lang w:eastAsia="es-ES"/>
        </w:rPr>
        <w:t>’</w:t>
      </w:r>
      <w:r w:rsidRPr="00C622E0">
        <w:rPr>
          <w:lang w:eastAsia="es-ES"/>
        </w:rPr>
        <w:t>auteure. La date de l</w:t>
      </w:r>
      <w:r>
        <w:rPr>
          <w:lang w:eastAsia="es-ES"/>
        </w:rPr>
        <w:t>’</w:t>
      </w:r>
      <w:r w:rsidRPr="00C622E0">
        <w:rPr>
          <w:lang w:eastAsia="es-ES"/>
        </w:rPr>
        <w:t>expulsion a été reportée au 25</w:t>
      </w:r>
      <w:r>
        <w:rPr>
          <w:lang w:eastAsia="es-ES"/>
        </w:rPr>
        <w:t> </w:t>
      </w:r>
      <w:r w:rsidRPr="00C622E0">
        <w:rPr>
          <w:lang w:eastAsia="es-ES"/>
        </w:rPr>
        <w:t>juin 2018 par la commission judiciaire elle-même et a été notifiée à l</w:t>
      </w:r>
      <w:r>
        <w:rPr>
          <w:lang w:eastAsia="es-ES"/>
        </w:rPr>
        <w:t>’</w:t>
      </w:r>
      <w:r w:rsidRPr="00C622E0">
        <w:rPr>
          <w:lang w:eastAsia="es-ES"/>
        </w:rPr>
        <w:t>auteure sans délai.</w:t>
      </w:r>
    </w:p>
    <w:p w14:paraId="4060AF3F" w14:textId="77777777" w:rsidR="0037651B" w:rsidRPr="00C622E0" w:rsidRDefault="0037651B" w:rsidP="0037651B">
      <w:pPr>
        <w:pStyle w:val="SingleTxtG"/>
        <w:rPr>
          <w:lang w:eastAsia="es-ES"/>
        </w:rPr>
      </w:pPr>
      <w:r w:rsidRPr="00C622E0">
        <w:rPr>
          <w:lang w:eastAsia="es-ES"/>
        </w:rPr>
        <w:t>2.11</w:t>
      </w:r>
      <w:r w:rsidRPr="00C622E0">
        <w:rPr>
          <w:lang w:eastAsia="es-ES"/>
        </w:rPr>
        <w:tab/>
        <w:t>Le 21</w:t>
      </w:r>
      <w:r>
        <w:rPr>
          <w:lang w:eastAsia="es-ES"/>
        </w:rPr>
        <w:t> </w:t>
      </w:r>
      <w:r w:rsidRPr="00C622E0">
        <w:rPr>
          <w:lang w:eastAsia="es-ES"/>
        </w:rPr>
        <w:t>juin 2018, l</w:t>
      </w:r>
      <w:r>
        <w:rPr>
          <w:lang w:eastAsia="es-ES"/>
        </w:rPr>
        <w:t>’</w:t>
      </w:r>
      <w:r w:rsidRPr="00C622E0">
        <w:rPr>
          <w:lang w:eastAsia="es-ES"/>
        </w:rPr>
        <w:t>auteure a demandé un nouveau report de l</w:t>
      </w:r>
      <w:r>
        <w:rPr>
          <w:lang w:eastAsia="es-ES"/>
        </w:rPr>
        <w:t>’</w:t>
      </w:r>
      <w:r w:rsidRPr="00C622E0">
        <w:rPr>
          <w:lang w:eastAsia="es-ES"/>
        </w:rPr>
        <w:t>expulsion.</w:t>
      </w:r>
    </w:p>
    <w:p w14:paraId="582FD93B" w14:textId="77777777" w:rsidR="0037651B" w:rsidRPr="00C622E0" w:rsidRDefault="0037651B" w:rsidP="0037651B">
      <w:pPr>
        <w:pStyle w:val="H4G"/>
        <w:rPr>
          <w:lang w:eastAsia="es-ES"/>
        </w:rPr>
      </w:pPr>
      <w:r w:rsidRPr="00C622E0">
        <w:rPr>
          <w:lang w:eastAsia="es-ES"/>
        </w:rPr>
        <w:tab/>
      </w:r>
      <w:r w:rsidRPr="00C622E0">
        <w:rPr>
          <w:lang w:eastAsia="es-ES"/>
        </w:rPr>
        <w:tab/>
        <w:t>Faits postérieurs à l</w:t>
      </w:r>
      <w:r>
        <w:rPr>
          <w:lang w:eastAsia="es-ES"/>
        </w:rPr>
        <w:t>’</w:t>
      </w:r>
      <w:r w:rsidRPr="00C622E0">
        <w:rPr>
          <w:lang w:eastAsia="es-ES"/>
        </w:rPr>
        <w:t>enregistrement de la communication</w:t>
      </w:r>
    </w:p>
    <w:p w14:paraId="3EAD8201" w14:textId="77777777" w:rsidR="0037651B" w:rsidRPr="00C622E0" w:rsidRDefault="0037651B" w:rsidP="0037651B">
      <w:pPr>
        <w:pStyle w:val="SingleTxtG"/>
        <w:rPr>
          <w:lang w:eastAsia="es-ES"/>
        </w:rPr>
      </w:pPr>
      <w:r w:rsidRPr="00C622E0">
        <w:rPr>
          <w:lang w:eastAsia="es-ES"/>
        </w:rPr>
        <w:t>2.12</w:t>
      </w:r>
      <w:r w:rsidRPr="00C622E0">
        <w:rPr>
          <w:lang w:eastAsia="es-ES"/>
        </w:rPr>
        <w:tab/>
        <w:t>Le 25</w:t>
      </w:r>
      <w:r>
        <w:rPr>
          <w:lang w:eastAsia="es-ES"/>
        </w:rPr>
        <w:t> </w:t>
      </w:r>
      <w:r w:rsidRPr="00C622E0">
        <w:rPr>
          <w:lang w:eastAsia="es-ES"/>
        </w:rPr>
        <w:t>juin 2018, à 7</w:t>
      </w:r>
      <w:r>
        <w:rPr>
          <w:lang w:eastAsia="es-ES"/>
        </w:rPr>
        <w:t> </w:t>
      </w:r>
      <w:r w:rsidRPr="00C622E0">
        <w:rPr>
          <w:lang w:eastAsia="es-ES"/>
        </w:rPr>
        <w:t>heures, une trentaine au moins d</w:t>
      </w:r>
      <w:r>
        <w:rPr>
          <w:lang w:eastAsia="es-ES"/>
        </w:rPr>
        <w:t>’</w:t>
      </w:r>
      <w:r w:rsidRPr="00C622E0">
        <w:rPr>
          <w:lang w:eastAsia="es-ES"/>
        </w:rPr>
        <w:t>agents de l</w:t>
      </w:r>
      <w:r>
        <w:rPr>
          <w:lang w:eastAsia="es-ES"/>
        </w:rPr>
        <w:t>’</w:t>
      </w:r>
      <w:r w:rsidRPr="00C622E0">
        <w:rPr>
          <w:lang w:eastAsia="es-ES"/>
        </w:rPr>
        <w:t>unité anti</w:t>
      </w:r>
      <w:r w:rsidRPr="00C622E0">
        <w:rPr>
          <w:lang w:eastAsia="es-ES"/>
        </w:rPr>
        <w:noBreakHyphen/>
        <w:t>émeutes de la police nationale se sont déployés pour former un cordon de sécurité autour du domicile de l</w:t>
      </w:r>
      <w:r>
        <w:rPr>
          <w:lang w:eastAsia="es-ES"/>
        </w:rPr>
        <w:t>’</w:t>
      </w:r>
      <w:r w:rsidRPr="00C622E0">
        <w:rPr>
          <w:lang w:eastAsia="es-ES"/>
        </w:rPr>
        <w:t>auteure. Selon celle-ci, cette opération a suscité beaucoup de tension et de stress parmi tous les membres de la famille, notamment les enfants. Les membres du service d</w:t>
      </w:r>
      <w:r>
        <w:rPr>
          <w:lang w:eastAsia="es-ES"/>
        </w:rPr>
        <w:t>’</w:t>
      </w:r>
      <w:r w:rsidRPr="00C622E0">
        <w:rPr>
          <w:lang w:eastAsia="es-ES"/>
        </w:rPr>
        <w:t>assistance du Conseil des services sociaux ont été les premiers à entrer dans l</w:t>
      </w:r>
      <w:r>
        <w:rPr>
          <w:lang w:eastAsia="es-ES"/>
        </w:rPr>
        <w:t>’</w:t>
      </w:r>
      <w:r w:rsidRPr="00C622E0">
        <w:rPr>
          <w:lang w:eastAsia="es-ES"/>
        </w:rPr>
        <w:t>immeuble ; ils ont dit à la famille qu</w:t>
      </w:r>
      <w:r>
        <w:rPr>
          <w:lang w:eastAsia="es-ES"/>
        </w:rPr>
        <w:t>’</w:t>
      </w:r>
      <w:r w:rsidRPr="00C622E0">
        <w:rPr>
          <w:lang w:eastAsia="es-ES"/>
        </w:rPr>
        <w:t>elle ne pourrait pas bénéficier d</w:t>
      </w:r>
      <w:r>
        <w:rPr>
          <w:lang w:eastAsia="es-ES"/>
        </w:rPr>
        <w:t>’</w:t>
      </w:r>
      <w:r w:rsidRPr="00C622E0">
        <w:rPr>
          <w:lang w:eastAsia="es-ES"/>
        </w:rPr>
        <w:t>un logement d</w:t>
      </w:r>
      <w:r>
        <w:rPr>
          <w:lang w:eastAsia="es-ES"/>
        </w:rPr>
        <w:t>’</w:t>
      </w:r>
      <w:r w:rsidRPr="00C622E0">
        <w:rPr>
          <w:lang w:eastAsia="es-ES"/>
        </w:rPr>
        <w:t>urgence, mais seulement de quelques nuitées dans un petit hôtel, située dans la zone industrielle de Vallecas. Ils ont précisé que cet établissement n</w:t>
      </w:r>
      <w:r>
        <w:rPr>
          <w:lang w:eastAsia="es-ES"/>
        </w:rPr>
        <w:t>’</w:t>
      </w:r>
      <w:r w:rsidRPr="00C622E0">
        <w:rPr>
          <w:lang w:eastAsia="es-ES"/>
        </w:rPr>
        <w:t xml:space="preserve">acceptait pas les animaux de compagnie. </w:t>
      </w:r>
      <w:r>
        <w:rPr>
          <w:lang w:eastAsia="es-ES"/>
        </w:rPr>
        <w:t>L’</w:t>
      </w:r>
      <w:r w:rsidRPr="00C622E0">
        <w:rPr>
          <w:lang w:eastAsia="es-ES"/>
        </w:rPr>
        <w:t xml:space="preserve">auteure a décidé </w:t>
      </w:r>
      <w:r>
        <w:rPr>
          <w:lang w:eastAsia="es-ES"/>
        </w:rPr>
        <w:t>d’</w:t>
      </w:r>
      <w:r w:rsidRPr="00C622E0">
        <w:rPr>
          <w:lang w:eastAsia="es-ES"/>
        </w:rPr>
        <w:t xml:space="preserve">ouvrir </w:t>
      </w:r>
      <w:r>
        <w:rPr>
          <w:lang w:eastAsia="es-ES"/>
        </w:rPr>
        <w:t xml:space="preserve">la porte </w:t>
      </w:r>
      <w:r w:rsidRPr="00C622E0">
        <w:rPr>
          <w:lang w:eastAsia="es-ES"/>
        </w:rPr>
        <w:t>et a quitté l</w:t>
      </w:r>
      <w:r>
        <w:rPr>
          <w:lang w:eastAsia="es-ES"/>
        </w:rPr>
        <w:t>’</w:t>
      </w:r>
      <w:r w:rsidRPr="00C622E0">
        <w:rPr>
          <w:lang w:eastAsia="es-ES"/>
        </w:rPr>
        <w:t xml:space="preserve">appartement avec les effets </w:t>
      </w:r>
      <w:r w:rsidRPr="00C622E0">
        <w:rPr>
          <w:lang w:eastAsia="es-ES"/>
        </w:rPr>
        <w:lastRenderedPageBreak/>
        <w:t>personnels qu</w:t>
      </w:r>
      <w:r>
        <w:rPr>
          <w:lang w:eastAsia="es-ES"/>
        </w:rPr>
        <w:t>’</w:t>
      </w:r>
      <w:r w:rsidRPr="00C622E0">
        <w:rPr>
          <w:lang w:eastAsia="es-ES"/>
        </w:rPr>
        <w:t>elle et les personnes venues la soutenir avaient pu récupérer, laissant la plupart de ses biens derrière elle. Un représentant de la société propriétaire du logement présent au moment de l</w:t>
      </w:r>
      <w:r>
        <w:rPr>
          <w:lang w:eastAsia="es-ES"/>
        </w:rPr>
        <w:t>’</w:t>
      </w:r>
      <w:r w:rsidRPr="00C622E0">
        <w:rPr>
          <w:lang w:eastAsia="es-ES"/>
        </w:rPr>
        <w:t>expulsion s</w:t>
      </w:r>
      <w:r>
        <w:rPr>
          <w:lang w:eastAsia="es-ES"/>
        </w:rPr>
        <w:t>’</w:t>
      </w:r>
      <w:r w:rsidRPr="00C622E0">
        <w:rPr>
          <w:lang w:eastAsia="es-ES"/>
        </w:rPr>
        <w:t>est engagé à autoriser un déménagement ultérieur. La société propriétaire a ensuite scellé la porte avec une plaque métallique. Après avoir passé deux nuits à l</w:t>
      </w:r>
      <w:r>
        <w:rPr>
          <w:lang w:eastAsia="es-ES"/>
        </w:rPr>
        <w:t>’</w:t>
      </w:r>
      <w:r w:rsidRPr="00C622E0">
        <w:rPr>
          <w:lang w:eastAsia="es-ES"/>
        </w:rPr>
        <w:t>hôtel, la famille a été conduite au foyer de Pinar de San José, où elle a partagé un dortoir avec une autre famille composée d</w:t>
      </w:r>
      <w:r>
        <w:rPr>
          <w:lang w:eastAsia="es-ES"/>
        </w:rPr>
        <w:t>’</w:t>
      </w:r>
      <w:r w:rsidRPr="00C622E0">
        <w:rPr>
          <w:lang w:eastAsia="es-ES"/>
        </w:rPr>
        <w:t>enfants, jusqu</w:t>
      </w:r>
      <w:r>
        <w:rPr>
          <w:lang w:eastAsia="es-ES"/>
        </w:rPr>
        <w:t>’</w:t>
      </w:r>
      <w:r w:rsidRPr="00C622E0">
        <w:rPr>
          <w:lang w:eastAsia="es-ES"/>
        </w:rPr>
        <w:t>en octobre 2018.</w:t>
      </w:r>
    </w:p>
    <w:p w14:paraId="2161247A" w14:textId="77777777" w:rsidR="0037651B" w:rsidRPr="00C622E0" w:rsidRDefault="0037651B" w:rsidP="0037651B">
      <w:pPr>
        <w:pStyle w:val="SingleTxtG"/>
        <w:rPr>
          <w:lang w:eastAsia="es-ES"/>
        </w:rPr>
      </w:pPr>
      <w:r w:rsidRPr="00C622E0">
        <w:rPr>
          <w:lang w:eastAsia="es-ES"/>
        </w:rPr>
        <w:t>2.13</w:t>
      </w:r>
      <w:r w:rsidRPr="00C622E0">
        <w:rPr>
          <w:lang w:eastAsia="es-ES"/>
        </w:rPr>
        <w:tab/>
        <w:t>Le 3</w:t>
      </w:r>
      <w:r>
        <w:rPr>
          <w:lang w:eastAsia="es-ES"/>
        </w:rPr>
        <w:t> </w:t>
      </w:r>
      <w:r w:rsidRPr="00C622E0">
        <w:rPr>
          <w:lang w:eastAsia="es-ES"/>
        </w:rPr>
        <w:t xml:space="preserve">juillet 2018, le tribunal pénal </w:t>
      </w:r>
      <w:r w:rsidRPr="00C622E0">
        <w:rPr>
          <w:rFonts w:eastAsia="MS Mincho"/>
          <w:lang w:eastAsia="es-ES"/>
        </w:rPr>
        <w:t>n</w:t>
      </w:r>
      <w:r w:rsidRPr="00C622E0">
        <w:rPr>
          <w:rFonts w:eastAsia="MS Mincho"/>
          <w:vertAlign w:val="superscript"/>
          <w:lang w:eastAsia="es-ES"/>
        </w:rPr>
        <w:t>o</w:t>
      </w:r>
      <w:r>
        <w:rPr>
          <w:lang w:eastAsia="es-ES"/>
        </w:rPr>
        <w:t> </w:t>
      </w:r>
      <w:r w:rsidRPr="00C622E0">
        <w:rPr>
          <w:lang w:eastAsia="es-ES"/>
        </w:rPr>
        <w:t>28 de Madrid a rejeté l</w:t>
      </w:r>
      <w:r>
        <w:rPr>
          <w:lang w:eastAsia="es-ES"/>
        </w:rPr>
        <w:t>’</w:t>
      </w:r>
      <w:r w:rsidRPr="00C622E0">
        <w:rPr>
          <w:lang w:eastAsia="es-ES"/>
        </w:rPr>
        <w:t>appel formé par l</w:t>
      </w:r>
      <w:r>
        <w:rPr>
          <w:lang w:eastAsia="es-ES"/>
        </w:rPr>
        <w:t>’</w:t>
      </w:r>
      <w:r w:rsidRPr="00C622E0">
        <w:rPr>
          <w:lang w:eastAsia="es-ES"/>
        </w:rPr>
        <w:t>auteure contre la décision rendue le 31</w:t>
      </w:r>
      <w:r>
        <w:rPr>
          <w:lang w:eastAsia="es-ES"/>
        </w:rPr>
        <w:t> </w:t>
      </w:r>
      <w:r w:rsidRPr="00C622E0">
        <w:rPr>
          <w:lang w:eastAsia="es-ES"/>
        </w:rPr>
        <w:t>mai 2018, celui-ci n</w:t>
      </w:r>
      <w:r>
        <w:rPr>
          <w:lang w:eastAsia="es-ES"/>
        </w:rPr>
        <w:t>’</w:t>
      </w:r>
      <w:r w:rsidRPr="00C622E0">
        <w:rPr>
          <w:lang w:eastAsia="es-ES"/>
        </w:rPr>
        <w:t>ayant plus de raison d</w:t>
      </w:r>
      <w:r>
        <w:rPr>
          <w:lang w:eastAsia="es-ES"/>
        </w:rPr>
        <w:t>’</w:t>
      </w:r>
      <w:r w:rsidRPr="00C622E0">
        <w:rPr>
          <w:lang w:eastAsia="es-ES"/>
        </w:rPr>
        <w:t>être puisque l</w:t>
      </w:r>
      <w:r>
        <w:rPr>
          <w:lang w:eastAsia="es-ES"/>
        </w:rPr>
        <w:t>’</w:t>
      </w:r>
      <w:r w:rsidRPr="00C622E0">
        <w:rPr>
          <w:lang w:eastAsia="es-ES"/>
        </w:rPr>
        <w:t>expulsion avait déjà eu lieu.</w:t>
      </w:r>
    </w:p>
    <w:p w14:paraId="26C11412" w14:textId="77777777" w:rsidR="0037651B" w:rsidRPr="00C622E0" w:rsidRDefault="0037651B" w:rsidP="0037651B">
      <w:pPr>
        <w:pStyle w:val="SingleTxtG"/>
        <w:rPr>
          <w:lang w:eastAsia="es-ES"/>
        </w:rPr>
      </w:pPr>
      <w:r w:rsidRPr="00C622E0">
        <w:rPr>
          <w:lang w:eastAsia="es-ES"/>
        </w:rPr>
        <w:t>2.14</w:t>
      </w:r>
      <w:r w:rsidRPr="00C622E0">
        <w:rPr>
          <w:lang w:eastAsia="es-ES"/>
        </w:rPr>
        <w:tab/>
        <w:t>Le 5</w:t>
      </w:r>
      <w:r>
        <w:rPr>
          <w:lang w:eastAsia="es-ES"/>
        </w:rPr>
        <w:t> </w:t>
      </w:r>
      <w:r w:rsidRPr="00C622E0">
        <w:rPr>
          <w:lang w:eastAsia="es-ES"/>
        </w:rPr>
        <w:t>juillet 2018, le Comité a de nouveau prié l</w:t>
      </w:r>
      <w:r>
        <w:rPr>
          <w:lang w:eastAsia="es-ES"/>
        </w:rPr>
        <w:t>’</w:t>
      </w:r>
      <w:r w:rsidRPr="00C622E0">
        <w:rPr>
          <w:lang w:eastAsia="es-ES"/>
        </w:rPr>
        <w:t>État partie de prendre des mesures de protection solides, étant donné que l</w:t>
      </w:r>
      <w:r>
        <w:rPr>
          <w:lang w:eastAsia="es-ES"/>
        </w:rPr>
        <w:t>’</w:t>
      </w:r>
      <w:r w:rsidRPr="00C622E0">
        <w:rPr>
          <w:lang w:eastAsia="es-ES"/>
        </w:rPr>
        <w:t>expulsion avait déjà eu lieu, et d</w:t>
      </w:r>
      <w:r>
        <w:rPr>
          <w:lang w:eastAsia="es-ES"/>
        </w:rPr>
        <w:t>’</w:t>
      </w:r>
      <w:r w:rsidRPr="00C622E0">
        <w:rPr>
          <w:lang w:eastAsia="es-ES"/>
        </w:rPr>
        <w:t>attribuer, sans délai et en réelle concertation avec l</w:t>
      </w:r>
      <w:r>
        <w:rPr>
          <w:lang w:eastAsia="es-ES"/>
        </w:rPr>
        <w:t>’</w:t>
      </w:r>
      <w:r w:rsidRPr="00C622E0">
        <w:rPr>
          <w:lang w:eastAsia="es-ES"/>
        </w:rPr>
        <w:t>auteure, un logement de remplacement stable et convenable à celle-ci et à ses enfants pour leur épargner d</w:t>
      </w:r>
      <w:r>
        <w:rPr>
          <w:lang w:eastAsia="es-ES"/>
        </w:rPr>
        <w:t>’</w:t>
      </w:r>
      <w:r w:rsidRPr="00C622E0">
        <w:rPr>
          <w:lang w:eastAsia="es-ES"/>
        </w:rPr>
        <w:t>autres préjudices irréparables. Le même jour, les services sociaux de Madrid ont présenté un rapport dans lequel ils recommandaient d</w:t>
      </w:r>
      <w:r>
        <w:rPr>
          <w:lang w:eastAsia="es-ES"/>
        </w:rPr>
        <w:t>’</w:t>
      </w:r>
      <w:r w:rsidRPr="00C622E0">
        <w:rPr>
          <w:lang w:eastAsia="es-ES"/>
        </w:rPr>
        <w:t>attribuer à l</w:t>
      </w:r>
      <w:r>
        <w:rPr>
          <w:lang w:eastAsia="es-ES"/>
        </w:rPr>
        <w:t>’</w:t>
      </w:r>
      <w:r w:rsidRPr="00C622E0">
        <w:rPr>
          <w:lang w:eastAsia="es-ES"/>
        </w:rPr>
        <w:t>auteure et à sa famille l</w:t>
      </w:r>
      <w:r>
        <w:rPr>
          <w:lang w:eastAsia="es-ES"/>
        </w:rPr>
        <w:t>’</w:t>
      </w:r>
      <w:r w:rsidRPr="00C622E0">
        <w:rPr>
          <w:lang w:eastAsia="es-ES"/>
        </w:rPr>
        <w:t>un des logements destinés aux personnes en situation de grande nécessité gérés par la Communauté de Madrid. Le 1</w:t>
      </w:r>
      <w:r w:rsidRPr="00C622E0">
        <w:rPr>
          <w:vertAlign w:val="superscript"/>
          <w:lang w:eastAsia="es-ES"/>
        </w:rPr>
        <w:t>er</w:t>
      </w:r>
      <w:r>
        <w:rPr>
          <w:lang w:eastAsia="es-ES"/>
        </w:rPr>
        <w:t> </w:t>
      </w:r>
      <w:r w:rsidRPr="00C622E0">
        <w:rPr>
          <w:lang w:eastAsia="es-ES"/>
        </w:rPr>
        <w:t>août 2018, l</w:t>
      </w:r>
      <w:r>
        <w:rPr>
          <w:lang w:eastAsia="es-ES"/>
        </w:rPr>
        <w:t>’</w:t>
      </w:r>
      <w:r w:rsidRPr="00C622E0">
        <w:rPr>
          <w:lang w:eastAsia="es-ES"/>
        </w:rPr>
        <w:t>auteure a présenté une autre demande de logement public auprès de l</w:t>
      </w:r>
      <w:r>
        <w:rPr>
          <w:lang w:eastAsia="es-ES"/>
        </w:rPr>
        <w:t>’</w:t>
      </w:r>
      <w:r w:rsidRPr="00C622E0">
        <w:rPr>
          <w:lang w:eastAsia="es-ES"/>
        </w:rPr>
        <w:t>Office du logement social de la Communauté de Madrid ; cette demande a été acceptée et l</w:t>
      </w:r>
      <w:r>
        <w:rPr>
          <w:lang w:eastAsia="es-ES"/>
        </w:rPr>
        <w:t>’</w:t>
      </w:r>
      <w:r w:rsidRPr="00C622E0">
        <w:rPr>
          <w:lang w:eastAsia="es-ES"/>
        </w:rPr>
        <w:t>auteure a été inscrite sur une liste d</w:t>
      </w:r>
      <w:r>
        <w:rPr>
          <w:lang w:eastAsia="es-ES"/>
        </w:rPr>
        <w:t>’</w:t>
      </w:r>
      <w:r w:rsidRPr="00C622E0">
        <w:rPr>
          <w:lang w:eastAsia="es-ES"/>
        </w:rPr>
        <w:t>attente. Cependant, l</w:t>
      </w:r>
      <w:r>
        <w:rPr>
          <w:lang w:eastAsia="es-ES"/>
        </w:rPr>
        <w:t>’</w:t>
      </w:r>
      <w:r w:rsidRPr="00C622E0">
        <w:rPr>
          <w:lang w:eastAsia="es-ES"/>
        </w:rPr>
        <w:t>Office a conclu qu</w:t>
      </w:r>
      <w:r>
        <w:rPr>
          <w:lang w:eastAsia="es-ES"/>
        </w:rPr>
        <w:t>’</w:t>
      </w:r>
      <w:r w:rsidRPr="00C622E0">
        <w:rPr>
          <w:lang w:eastAsia="es-ES"/>
        </w:rPr>
        <w:t>en l</w:t>
      </w:r>
      <w:r>
        <w:rPr>
          <w:lang w:eastAsia="es-ES"/>
        </w:rPr>
        <w:t>’</w:t>
      </w:r>
      <w:r w:rsidRPr="00C622E0">
        <w:rPr>
          <w:lang w:eastAsia="es-ES"/>
        </w:rPr>
        <w:t>espèce, il n</w:t>
      </w:r>
      <w:r>
        <w:rPr>
          <w:lang w:eastAsia="es-ES"/>
        </w:rPr>
        <w:t>’</w:t>
      </w:r>
      <w:r w:rsidRPr="00C622E0">
        <w:rPr>
          <w:lang w:eastAsia="es-ES"/>
        </w:rPr>
        <w:t>y avait aucun motif d</w:t>
      </w:r>
      <w:r>
        <w:rPr>
          <w:lang w:eastAsia="es-ES"/>
        </w:rPr>
        <w:t>’</w:t>
      </w:r>
      <w:r w:rsidRPr="00C622E0">
        <w:rPr>
          <w:lang w:eastAsia="es-ES"/>
        </w:rPr>
        <w:t>engager une procédure d</w:t>
      </w:r>
      <w:r>
        <w:rPr>
          <w:lang w:eastAsia="es-ES"/>
        </w:rPr>
        <w:t>’</w:t>
      </w:r>
      <w:r w:rsidRPr="00C622E0">
        <w:rPr>
          <w:lang w:eastAsia="es-ES"/>
        </w:rPr>
        <w:t>urgence sociale.</w:t>
      </w:r>
    </w:p>
    <w:p w14:paraId="582BAF69" w14:textId="77777777" w:rsidR="0037651B" w:rsidRPr="00C622E0" w:rsidRDefault="0037651B" w:rsidP="0037651B">
      <w:pPr>
        <w:pStyle w:val="SingleTxtG"/>
        <w:rPr>
          <w:lang w:eastAsia="es-ES"/>
        </w:rPr>
      </w:pPr>
      <w:r w:rsidRPr="00C622E0">
        <w:rPr>
          <w:lang w:eastAsia="es-ES"/>
        </w:rPr>
        <w:t>2.15</w:t>
      </w:r>
      <w:r w:rsidRPr="00C622E0">
        <w:rPr>
          <w:lang w:eastAsia="es-ES"/>
        </w:rPr>
        <w:tab/>
        <w:t>L</w:t>
      </w:r>
      <w:r>
        <w:rPr>
          <w:lang w:eastAsia="es-ES"/>
        </w:rPr>
        <w:t>’</w:t>
      </w:r>
      <w:r w:rsidRPr="00C622E0">
        <w:rPr>
          <w:lang w:eastAsia="es-ES"/>
        </w:rPr>
        <w:t>un des enfants ayant été agressé physiquement dans le foyer où la famille séjournait, celle-ci a été transférée dans un autre foyer. Grâce aux associations qui ont soutenu la famille dans sa demande de logement, 93</w:t>
      </w:r>
      <w:r>
        <w:rPr>
          <w:lang w:eastAsia="es-ES"/>
        </w:rPr>
        <w:t> </w:t>
      </w:r>
      <w:r w:rsidRPr="00C622E0">
        <w:rPr>
          <w:lang w:eastAsia="es-ES"/>
        </w:rPr>
        <w:t xml:space="preserve">000 signatures ont été recueillies et une réunion a été organisée avec le Conseiller au logement de la </w:t>
      </w:r>
      <w:r>
        <w:rPr>
          <w:lang w:eastAsia="es-ES"/>
        </w:rPr>
        <w:t>Communauté</w:t>
      </w:r>
      <w:r w:rsidRPr="00C622E0">
        <w:rPr>
          <w:lang w:eastAsia="es-ES"/>
        </w:rPr>
        <w:t xml:space="preserve"> de Madrid, qui s</w:t>
      </w:r>
      <w:r>
        <w:rPr>
          <w:lang w:eastAsia="es-ES"/>
        </w:rPr>
        <w:t>’</w:t>
      </w:r>
      <w:r w:rsidRPr="00C622E0">
        <w:rPr>
          <w:lang w:eastAsia="es-ES"/>
        </w:rPr>
        <w:t>est engagé à reloger rapidement la famille. En octobre 2018, la famille a été informée qu</w:t>
      </w:r>
      <w:r>
        <w:rPr>
          <w:lang w:eastAsia="es-ES"/>
        </w:rPr>
        <w:t>’</w:t>
      </w:r>
      <w:r w:rsidRPr="00C622E0">
        <w:rPr>
          <w:lang w:eastAsia="es-ES"/>
        </w:rPr>
        <w:t>elle devrait quitter le foyer ; un attroupement s</w:t>
      </w:r>
      <w:r>
        <w:rPr>
          <w:lang w:eastAsia="es-ES"/>
        </w:rPr>
        <w:t>’</w:t>
      </w:r>
      <w:r w:rsidRPr="00C622E0">
        <w:rPr>
          <w:lang w:eastAsia="es-ES"/>
        </w:rPr>
        <w:t>est formé devant l</w:t>
      </w:r>
      <w:r>
        <w:rPr>
          <w:lang w:eastAsia="es-ES"/>
        </w:rPr>
        <w:t>’</w:t>
      </w:r>
      <w:r w:rsidRPr="00C622E0">
        <w:rPr>
          <w:lang w:eastAsia="es-ES"/>
        </w:rPr>
        <w:t>établissement pour l</w:t>
      </w:r>
      <w:r>
        <w:rPr>
          <w:lang w:eastAsia="es-ES"/>
        </w:rPr>
        <w:t>’</w:t>
      </w:r>
      <w:r w:rsidRPr="00C622E0">
        <w:rPr>
          <w:lang w:eastAsia="es-ES"/>
        </w:rPr>
        <w:t>empêcher. Les membres de la famille ont ensuite été relogés dans un autre foyer, situé Puerta de Toledo, où ils partageaient deux chambres, étaient séparés par sexe, et était tenus de rentrer avant 22</w:t>
      </w:r>
      <w:r>
        <w:rPr>
          <w:lang w:eastAsia="es-ES"/>
        </w:rPr>
        <w:t> </w:t>
      </w:r>
      <w:r w:rsidRPr="00C622E0">
        <w:rPr>
          <w:lang w:eastAsia="es-ES"/>
        </w:rPr>
        <w:t>heures. En novembre</w:t>
      </w:r>
      <w:r>
        <w:rPr>
          <w:lang w:eastAsia="es-ES"/>
        </w:rPr>
        <w:t xml:space="preserve"> 2018</w:t>
      </w:r>
      <w:r w:rsidRPr="00C622E0">
        <w:rPr>
          <w:lang w:eastAsia="es-ES"/>
        </w:rPr>
        <w:t>, par l</w:t>
      </w:r>
      <w:r>
        <w:rPr>
          <w:lang w:eastAsia="es-ES"/>
        </w:rPr>
        <w:t>’</w:t>
      </w:r>
      <w:r w:rsidRPr="00C622E0">
        <w:rPr>
          <w:lang w:eastAsia="es-ES"/>
        </w:rPr>
        <w:t>intermédiaire d</w:t>
      </w:r>
      <w:r>
        <w:rPr>
          <w:lang w:eastAsia="es-ES"/>
        </w:rPr>
        <w:t>’</w:t>
      </w:r>
      <w:r w:rsidRPr="00C622E0">
        <w:rPr>
          <w:lang w:eastAsia="es-ES"/>
        </w:rPr>
        <w:t xml:space="preserve">une association, la famille a </w:t>
      </w:r>
      <w:r>
        <w:rPr>
          <w:lang w:eastAsia="es-ES"/>
        </w:rPr>
        <w:t>obtenu</w:t>
      </w:r>
      <w:r w:rsidRPr="00C622E0">
        <w:rPr>
          <w:lang w:eastAsia="es-ES"/>
        </w:rPr>
        <w:t xml:space="preserve"> un appartement pour une période de six mois.</w:t>
      </w:r>
    </w:p>
    <w:p w14:paraId="1EF523D1" w14:textId="77777777" w:rsidR="0037651B" w:rsidRPr="00C622E0" w:rsidRDefault="0037651B" w:rsidP="0037651B">
      <w:pPr>
        <w:pStyle w:val="H23G"/>
        <w:rPr>
          <w:lang w:eastAsia="es-ES"/>
        </w:rPr>
      </w:pPr>
      <w:r w:rsidRPr="00C622E0">
        <w:rPr>
          <w:lang w:eastAsia="es-ES"/>
        </w:rPr>
        <w:tab/>
      </w:r>
      <w:r w:rsidRPr="00C622E0">
        <w:rPr>
          <w:lang w:eastAsia="es-ES"/>
        </w:rPr>
        <w:tab/>
        <w:t>Teneur de la plainte</w:t>
      </w:r>
    </w:p>
    <w:p w14:paraId="3D6BC625" w14:textId="77777777" w:rsidR="0037651B" w:rsidRPr="00C622E0" w:rsidRDefault="0037651B" w:rsidP="0037651B">
      <w:pPr>
        <w:pStyle w:val="SingleTxtG"/>
        <w:rPr>
          <w:lang w:eastAsia="es-ES"/>
        </w:rPr>
      </w:pPr>
      <w:r w:rsidRPr="00C622E0">
        <w:rPr>
          <w:lang w:eastAsia="es-ES"/>
        </w:rPr>
        <w:t>3.</w:t>
      </w:r>
      <w:r w:rsidRPr="00C622E0">
        <w:rPr>
          <w:lang w:eastAsia="es-ES"/>
        </w:rPr>
        <w:tab/>
        <w:t>Dans sa lettre initiale, l</w:t>
      </w:r>
      <w:r>
        <w:rPr>
          <w:lang w:eastAsia="es-ES"/>
        </w:rPr>
        <w:t>’</w:t>
      </w:r>
      <w:r w:rsidRPr="00C622E0">
        <w:rPr>
          <w:lang w:eastAsia="es-ES"/>
        </w:rPr>
        <w:t>auteure affirmait que l</w:t>
      </w:r>
      <w:r>
        <w:rPr>
          <w:lang w:eastAsia="es-ES"/>
        </w:rPr>
        <w:t>’</w:t>
      </w:r>
      <w:r w:rsidRPr="00C622E0">
        <w:rPr>
          <w:lang w:eastAsia="es-ES"/>
        </w:rPr>
        <w:t>expulsion dont elle et ses enfants avaient fait l</w:t>
      </w:r>
      <w:r>
        <w:rPr>
          <w:lang w:eastAsia="es-ES"/>
        </w:rPr>
        <w:t>’</w:t>
      </w:r>
      <w:r w:rsidRPr="00C622E0">
        <w:rPr>
          <w:lang w:eastAsia="es-ES"/>
        </w:rPr>
        <w:t>objet constituait une violation de l</w:t>
      </w:r>
      <w:r>
        <w:rPr>
          <w:lang w:eastAsia="es-ES"/>
        </w:rPr>
        <w:t>’</w:t>
      </w:r>
      <w:r w:rsidRPr="00C622E0">
        <w:rPr>
          <w:lang w:eastAsia="es-ES"/>
        </w:rPr>
        <w:t>article 11 du Pacte, parce qu</w:t>
      </w:r>
      <w:r>
        <w:rPr>
          <w:lang w:eastAsia="es-ES"/>
        </w:rPr>
        <w:t>’</w:t>
      </w:r>
      <w:r w:rsidRPr="00C622E0">
        <w:rPr>
          <w:lang w:eastAsia="es-ES"/>
        </w:rPr>
        <w:t>elle ne disposait pas d</w:t>
      </w:r>
      <w:r>
        <w:rPr>
          <w:lang w:eastAsia="es-ES"/>
        </w:rPr>
        <w:t>’</w:t>
      </w:r>
      <w:r w:rsidRPr="00C622E0">
        <w:rPr>
          <w:lang w:eastAsia="es-ES"/>
        </w:rPr>
        <w:t>un logement de remplacement convenable. Elle expliquait que ses revenus ne lui permettaient pas de trouver un autre logement, puisqu</w:t>
      </w:r>
      <w:r>
        <w:rPr>
          <w:lang w:eastAsia="es-ES"/>
        </w:rPr>
        <w:t>’</w:t>
      </w:r>
      <w:r w:rsidRPr="00C622E0">
        <w:rPr>
          <w:lang w:eastAsia="es-ES"/>
        </w:rPr>
        <w:t>elle recevait seulement 735,90</w:t>
      </w:r>
      <w:r>
        <w:rPr>
          <w:lang w:eastAsia="es-ES"/>
        </w:rPr>
        <w:t> </w:t>
      </w:r>
      <w:r w:rsidRPr="00C622E0">
        <w:rPr>
          <w:lang w:eastAsia="es-ES"/>
        </w:rPr>
        <w:t>euros par mois au titre du revenu minimum d</w:t>
      </w:r>
      <w:r>
        <w:rPr>
          <w:lang w:eastAsia="es-ES"/>
        </w:rPr>
        <w:t>’</w:t>
      </w:r>
      <w:r w:rsidRPr="00C622E0">
        <w:rPr>
          <w:lang w:eastAsia="es-ES"/>
        </w:rPr>
        <w:t>insertion. Elle ajoutait que les pouvoirs publics ne lui avaient proposé aucune solution de relogement à l</w:t>
      </w:r>
      <w:r>
        <w:rPr>
          <w:lang w:eastAsia="es-ES"/>
        </w:rPr>
        <w:t>’</w:t>
      </w:r>
      <w:r w:rsidRPr="00C622E0">
        <w:rPr>
          <w:lang w:eastAsia="es-ES"/>
        </w:rPr>
        <w:t>approche de son expulsion.</w:t>
      </w:r>
    </w:p>
    <w:p w14:paraId="6A9D3C46" w14:textId="77777777" w:rsidR="0037651B" w:rsidRPr="00C622E0" w:rsidRDefault="0037651B" w:rsidP="0037651B">
      <w:pPr>
        <w:pStyle w:val="H23G"/>
        <w:rPr>
          <w:lang w:eastAsia="es-ES"/>
        </w:rPr>
      </w:pPr>
      <w:r w:rsidRPr="00C622E0">
        <w:rPr>
          <w:lang w:eastAsia="es-ES"/>
        </w:rPr>
        <w:tab/>
      </w:r>
      <w:r w:rsidRPr="00C622E0">
        <w:rPr>
          <w:lang w:eastAsia="es-ES"/>
        </w:rPr>
        <w:tab/>
        <w:t>Observations de l</w:t>
      </w:r>
      <w:r>
        <w:rPr>
          <w:lang w:eastAsia="es-ES"/>
        </w:rPr>
        <w:t>’</w:t>
      </w:r>
      <w:r w:rsidRPr="00C622E0">
        <w:rPr>
          <w:lang w:eastAsia="es-ES"/>
        </w:rPr>
        <w:t>État partie sur la recevabilité et sur le fond</w:t>
      </w:r>
    </w:p>
    <w:p w14:paraId="2D1E4A88" w14:textId="77777777" w:rsidR="0037651B" w:rsidRPr="00C622E0" w:rsidRDefault="0037651B" w:rsidP="0037651B">
      <w:pPr>
        <w:pStyle w:val="SingleTxtG"/>
        <w:keepLines/>
        <w:rPr>
          <w:lang w:eastAsia="es-ES"/>
        </w:rPr>
      </w:pPr>
      <w:r w:rsidRPr="00C622E0">
        <w:rPr>
          <w:lang w:eastAsia="es-ES"/>
        </w:rPr>
        <w:t>4.1</w:t>
      </w:r>
      <w:r w:rsidRPr="00C622E0">
        <w:rPr>
          <w:lang w:eastAsia="es-ES"/>
        </w:rPr>
        <w:tab/>
        <w:t>Le 27</w:t>
      </w:r>
      <w:r>
        <w:rPr>
          <w:lang w:eastAsia="es-ES"/>
        </w:rPr>
        <w:t> </w:t>
      </w:r>
      <w:r w:rsidRPr="00C622E0">
        <w:rPr>
          <w:lang w:eastAsia="es-ES"/>
        </w:rPr>
        <w:t>février 2019, l</w:t>
      </w:r>
      <w:r>
        <w:rPr>
          <w:lang w:eastAsia="es-ES"/>
        </w:rPr>
        <w:t>’</w:t>
      </w:r>
      <w:r w:rsidRPr="00C622E0">
        <w:rPr>
          <w:lang w:eastAsia="es-ES"/>
        </w:rPr>
        <w:t xml:space="preserve">État partie a présenté </w:t>
      </w:r>
      <w:r w:rsidRPr="00C622E0">
        <w:t xml:space="preserve">des observations sur </w:t>
      </w:r>
      <w:r w:rsidRPr="00C622E0">
        <w:rPr>
          <w:lang w:eastAsia="es-ES"/>
        </w:rPr>
        <w:t>la recevabilité et sur le fond de la communication. Il a d</w:t>
      </w:r>
      <w:r>
        <w:rPr>
          <w:lang w:eastAsia="es-ES"/>
        </w:rPr>
        <w:t>’</w:t>
      </w:r>
      <w:r w:rsidRPr="00C622E0">
        <w:rPr>
          <w:lang w:eastAsia="es-ES"/>
        </w:rPr>
        <w:t>abord mentionné diverses mesures qui ont été adoptées dans le but de protéger le droit à un logement convenable sur son territoire. Dans le cadre de ses compétences, l</w:t>
      </w:r>
      <w:r>
        <w:rPr>
          <w:lang w:eastAsia="es-ES"/>
        </w:rPr>
        <w:t>’</w:t>
      </w:r>
      <w:r w:rsidRPr="00C622E0">
        <w:rPr>
          <w:lang w:eastAsia="es-ES"/>
        </w:rPr>
        <w:t>État partie applique un moratoire aux procédures d</w:t>
      </w:r>
      <w:r>
        <w:rPr>
          <w:lang w:eastAsia="es-ES"/>
        </w:rPr>
        <w:t>’</w:t>
      </w:r>
      <w:r w:rsidRPr="00C622E0">
        <w:rPr>
          <w:lang w:eastAsia="es-ES"/>
        </w:rPr>
        <w:t>expulsion découlant de saisies immobilières et visant des personnes vulnérables jusqu</w:t>
      </w:r>
      <w:r>
        <w:rPr>
          <w:lang w:eastAsia="es-ES"/>
        </w:rPr>
        <w:t>’</w:t>
      </w:r>
      <w:r w:rsidRPr="00C622E0">
        <w:rPr>
          <w:lang w:eastAsia="es-ES"/>
        </w:rPr>
        <w:t xml:space="preserve">en 2020. De plus, le décret-loi royal </w:t>
      </w:r>
      <w:r w:rsidRPr="0037462A">
        <w:rPr>
          <w:rFonts w:eastAsia="MS Mincho"/>
          <w:lang w:eastAsia="es-ES"/>
        </w:rPr>
        <w:t>n</w:t>
      </w:r>
      <w:r w:rsidRPr="0037462A">
        <w:rPr>
          <w:rFonts w:eastAsia="MS Mincho"/>
          <w:vertAlign w:val="superscript"/>
          <w:lang w:eastAsia="es-ES"/>
        </w:rPr>
        <w:t>o</w:t>
      </w:r>
      <w:r>
        <w:rPr>
          <w:lang w:eastAsia="es-ES"/>
        </w:rPr>
        <w:t> </w:t>
      </w:r>
      <w:r w:rsidRPr="00C622E0">
        <w:rPr>
          <w:lang w:eastAsia="es-ES"/>
        </w:rPr>
        <w:t>21/2018 a été adopté en décembre 2018, avec un ensemble de mesures d</w:t>
      </w:r>
      <w:r>
        <w:rPr>
          <w:lang w:eastAsia="es-ES"/>
        </w:rPr>
        <w:t>’</w:t>
      </w:r>
      <w:r w:rsidRPr="00C622E0">
        <w:rPr>
          <w:lang w:eastAsia="es-ES"/>
        </w:rPr>
        <w:t>urgence destinées à améliorer l</w:t>
      </w:r>
      <w:r>
        <w:rPr>
          <w:lang w:eastAsia="es-ES"/>
        </w:rPr>
        <w:t>’</w:t>
      </w:r>
      <w:r w:rsidRPr="00C622E0">
        <w:rPr>
          <w:lang w:eastAsia="es-ES"/>
        </w:rPr>
        <w:t>accès au logement ; cependant, il a cessé d</w:t>
      </w:r>
      <w:r>
        <w:rPr>
          <w:lang w:eastAsia="es-ES"/>
        </w:rPr>
        <w:t>’</w:t>
      </w:r>
      <w:r w:rsidRPr="00C622E0">
        <w:rPr>
          <w:lang w:eastAsia="es-ES"/>
        </w:rPr>
        <w:t>avoir effet le 22</w:t>
      </w:r>
      <w:r>
        <w:rPr>
          <w:lang w:eastAsia="es-ES"/>
        </w:rPr>
        <w:t> </w:t>
      </w:r>
      <w:r w:rsidRPr="00C622E0">
        <w:rPr>
          <w:lang w:eastAsia="es-ES"/>
        </w:rPr>
        <w:t>janvier 2019, faute de l</w:t>
      </w:r>
      <w:r>
        <w:rPr>
          <w:lang w:eastAsia="es-ES"/>
        </w:rPr>
        <w:t>’</w:t>
      </w:r>
      <w:r w:rsidRPr="00C622E0">
        <w:rPr>
          <w:lang w:eastAsia="es-ES"/>
        </w:rPr>
        <w:t>approbation du Congrès des députés</w:t>
      </w:r>
      <w:r w:rsidRPr="00C622E0">
        <w:rPr>
          <w:rStyle w:val="Appelnotedebasdep"/>
        </w:rPr>
        <w:footnoteReference w:id="7"/>
      </w:r>
      <w:r w:rsidRPr="00C622E0">
        <w:rPr>
          <w:lang w:eastAsia="es-ES"/>
        </w:rPr>
        <w:t>. L</w:t>
      </w:r>
      <w:r>
        <w:rPr>
          <w:lang w:eastAsia="es-ES"/>
        </w:rPr>
        <w:t>’</w:t>
      </w:r>
      <w:r w:rsidRPr="00C622E0">
        <w:rPr>
          <w:lang w:eastAsia="es-ES"/>
        </w:rPr>
        <w:t>État partie signale que d</w:t>
      </w:r>
      <w:r>
        <w:rPr>
          <w:lang w:eastAsia="es-ES"/>
        </w:rPr>
        <w:t>’</w:t>
      </w:r>
      <w:r w:rsidRPr="00C622E0">
        <w:rPr>
          <w:lang w:eastAsia="es-ES"/>
        </w:rPr>
        <w:t>autres mesures sont en cours d</w:t>
      </w:r>
      <w:r>
        <w:rPr>
          <w:lang w:eastAsia="es-ES"/>
        </w:rPr>
        <w:t>’</w:t>
      </w:r>
      <w:r w:rsidRPr="00C622E0">
        <w:rPr>
          <w:lang w:eastAsia="es-ES"/>
        </w:rPr>
        <w:t xml:space="preserve">élaboration pour renforcer la sécurité juridique des locataires et </w:t>
      </w:r>
      <w:r>
        <w:rPr>
          <w:lang w:eastAsia="es-ES"/>
        </w:rPr>
        <w:t>favoriser</w:t>
      </w:r>
      <w:r w:rsidRPr="00C622E0">
        <w:rPr>
          <w:lang w:eastAsia="es-ES"/>
        </w:rPr>
        <w:t xml:space="preserve"> la construction de logements sociaux</w:t>
      </w:r>
      <w:r w:rsidRPr="00C622E0">
        <w:rPr>
          <w:rStyle w:val="Appelnotedebasdep"/>
        </w:rPr>
        <w:footnoteReference w:id="8"/>
      </w:r>
      <w:r w:rsidRPr="00C622E0">
        <w:rPr>
          <w:lang w:eastAsia="es-ES"/>
        </w:rPr>
        <w:t>.</w:t>
      </w:r>
    </w:p>
    <w:p w14:paraId="7E1E1BF8" w14:textId="77777777" w:rsidR="0037651B" w:rsidRPr="00C622E0" w:rsidRDefault="0037651B" w:rsidP="0037651B">
      <w:pPr>
        <w:pStyle w:val="SingleTxtG"/>
        <w:rPr>
          <w:lang w:eastAsia="es-ES"/>
        </w:rPr>
      </w:pPr>
      <w:r w:rsidRPr="00C622E0">
        <w:rPr>
          <w:lang w:eastAsia="es-ES"/>
        </w:rPr>
        <w:lastRenderedPageBreak/>
        <w:t>4.2</w:t>
      </w:r>
      <w:r w:rsidRPr="00C622E0">
        <w:rPr>
          <w:lang w:eastAsia="es-ES"/>
        </w:rPr>
        <w:tab/>
        <w:t>L</w:t>
      </w:r>
      <w:r>
        <w:rPr>
          <w:lang w:eastAsia="es-ES"/>
        </w:rPr>
        <w:t>’</w:t>
      </w:r>
      <w:r w:rsidRPr="00C622E0">
        <w:rPr>
          <w:lang w:eastAsia="es-ES"/>
        </w:rPr>
        <w:t>État partie met en avant d</w:t>
      </w:r>
      <w:r>
        <w:rPr>
          <w:lang w:eastAsia="es-ES"/>
        </w:rPr>
        <w:t>’</w:t>
      </w:r>
      <w:r w:rsidRPr="00C622E0">
        <w:rPr>
          <w:lang w:eastAsia="es-ES"/>
        </w:rPr>
        <w:t>autres instruments tels que la Stratégie nationale intégrale pour les sans-abri 2015-2020 et le Plan national de logement 2018-2021</w:t>
      </w:r>
      <w:r w:rsidRPr="00C622E0">
        <w:rPr>
          <w:rStyle w:val="Appelnotedebasdep"/>
        </w:rPr>
        <w:footnoteReference w:id="9"/>
      </w:r>
      <w:r w:rsidRPr="00C622E0">
        <w:rPr>
          <w:lang w:eastAsia="es-ES"/>
        </w:rPr>
        <w:t>. Il ajoute que, dans le cadre de leurs compétences, les communautés autonomes ont adopté diverses lois sur le logement.</w:t>
      </w:r>
    </w:p>
    <w:p w14:paraId="6423EDC1" w14:textId="77777777" w:rsidR="0037651B" w:rsidRPr="00C622E0" w:rsidRDefault="0037651B" w:rsidP="0037651B">
      <w:pPr>
        <w:pStyle w:val="SingleTxtG"/>
        <w:rPr>
          <w:lang w:eastAsia="es-ES"/>
        </w:rPr>
      </w:pPr>
      <w:r w:rsidRPr="00C622E0">
        <w:rPr>
          <w:lang w:eastAsia="es-ES"/>
        </w:rPr>
        <w:t>4.3</w:t>
      </w:r>
      <w:r w:rsidRPr="00C622E0">
        <w:rPr>
          <w:lang w:eastAsia="es-ES"/>
        </w:rPr>
        <w:tab/>
        <w:t>L</w:t>
      </w:r>
      <w:r>
        <w:rPr>
          <w:lang w:eastAsia="es-ES"/>
        </w:rPr>
        <w:t>’</w:t>
      </w:r>
      <w:r w:rsidRPr="00C622E0">
        <w:rPr>
          <w:lang w:eastAsia="es-ES"/>
        </w:rPr>
        <w:t>État partie affirme que les organes conventionnels ne doivent pas agir comme des juridictions de troisième instance et que leur examen doit donc se fonder sur les faits établis et sur l</w:t>
      </w:r>
      <w:r>
        <w:rPr>
          <w:lang w:eastAsia="es-ES"/>
        </w:rPr>
        <w:t>’</w:t>
      </w:r>
      <w:r w:rsidRPr="00C622E0">
        <w:rPr>
          <w:lang w:eastAsia="es-ES"/>
        </w:rPr>
        <w:t>appréciation et la qualification de ces faits par les tribunaux nationaux</w:t>
      </w:r>
      <w:r w:rsidRPr="00C622E0">
        <w:rPr>
          <w:rStyle w:val="Appelnotedebasdep"/>
        </w:rPr>
        <w:footnoteReference w:id="10"/>
      </w:r>
      <w:r w:rsidRPr="00C622E0">
        <w:rPr>
          <w:lang w:eastAsia="es-ES"/>
        </w:rPr>
        <w:t>. En l</w:t>
      </w:r>
      <w:r>
        <w:rPr>
          <w:lang w:eastAsia="es-ES"/>
        </w:rPr>
        <w:t>’</w:t>
      </w:r>
      <w:r w:rsidRPr="00C622E0">
        <w:rPr>
          <w:lang w:eastAsia="es-ES"/>
        </w:rPr>
        <w:t xml:space="preserve">espèce, selon la décision rendue par le tribunal pénal </w:t>
      </w:r>
      <w:r w:rsidRPr="0037462A">
        <w:rPr>
          <w:rFonts w:eastAsia="MS Mincho"/>
          <w:lang w:eastAsia="es-ES"/>
        </w:rPr>
        <w:t>n</w:t>
      </w:r>
      <w:r w:rsidRPr="0037462A">
        <w:rPr>
          <w:rFonts w:eastAsia="MS Mincho"/>
          <w:vertAlign w:val="superscript"/>
          <w:lang w:eastAsia="es-ES"/>
        </w:rPr>
        <w:t>o</w:t>
      </w:r>
      <w:r>
        <w:rPr>
          <w:lang w:eastAsia="es-ES"/>
        </w:rPr>
        <w:t> </w:t>
      </w:r>
      <w:r w:rsidRPr="00C622E0">
        <w:rPr>
          <w:lang w:eastAsia="es-ES"/>
        </w:rPr>
        <w:t>15 de Madrid, l</w:t>
      </w:r>
      <w:r>
        <w:rPr>
          <w:lang w:eastAsia="es-ES"/>
        </w:rPr>
        <w:t>’</w:t>
      </w:r>
      <w:r w:rsidRPr="00C622E0">
        <w:rPr>
          <w:lang w:eastAsia="es-ES"/>
        </w:rPr>
        <w:t>auteure est entrée en possession du logement par occupation illégale. En conséquence, la mesure d</w:t>
      </w:r>
      <w:r>
        <w:rPr>
          <w:lang w:eastAsia="es-ES"/>
        </w:rPr>
        <w:t>’</w:t>
      </w:r>
      <w:r w:rsidRPr="00C622E0">
        <w:rPr>
          <w:lang w:eastAsia="es-ES"/>
        </w:rPr>
        <w:t>expulsion est pleinement fondée. L</w:t>
      </w:r>
      <w:r>
        <w:rPr>
          <w:lang w:eastAsia="es-ES"/>
        </w:rPr>
        <w:t>’</w:t>
      </w:r>
      <w:r w:rsidRPr="00C622E0">
        <w:rPr>
          <w:lang w:eastAsia="es-ES"/>
        </w:rPr>
        <w:t>État partie fait observer que l</w:t>
      </w:r>
      <w:r>
        <w:rPr>
          <w:lang w:eastAsia="es-ES"/>
        </w:rPr>
        <w:t>’</w:t>
      </w:r>
      <w:r w:rsidRPr="00C622E0">
        <w:rPr>
          <w:lang w:eastAsia="es-ES"/>
        </w:rPr>
        <w:t>auteure n</w:t>
      </w:r>
      <w:r>
        <w:rPr>
          <w:lang w:eastAsia="es-ES"/>
        </w:rPr>
        <w:t>’</w:t>
      </w:r>
      <w:r w:rsidRPr="00C622E0">
        <w:rPr>
          <w:lang w:eastAsia="es-ES"/>
        </w:rPr>
        <w:t>a pas contesté la loyauté de la procédure, ni la régularité de l</w:t>
      </w:r>
      <w:r>
        <w:rPr>
          <w:lang w:eastAsia="es-ES"/>
        </w:rPr>
        <w:t>’</w:t>
      </w:r>
      <w:r w:rsidRPr="00C622E0">
        <w:rPr>
          <w:lang w:eastAsia="es-ES"/>
        </w:rPr>
        <w:t>exécution de la décision.</w:t>
      </w:r>
    </w:p>
    <w:p w14:paraId="5164FE46" w14:textId="77777777" w:rsidR="0037651B" w:rsidRPr="0037462A" w:rsidRDefault="0037651B" w:rsidP="0037651B">
      <w:pPr>
        <w:pStyle w:val="SingleTxtG"/>
        <w:rPr>
          <w:spacing w:val="-1"/>
          <w:lang w:eastAsia="es-ES"/>
        </w:rPr>
      </w:pPr>
      <w:r w:rsidRPr="0037462A">
        <w:rPr>
          <w:spacing w:val="-1"/>
          <w:lang w:eastAsia="es-ES"/>
        </w:rPr>
        <w:t>4.4</w:t>
      </w:r>
      <w:r w:rsidRPr="0037462A">
        <w:rPr>
          <w:spacing w:val="-1"/>
          <w:lang w:eastAsia="es-ES"/>
        </w:rPr>
        <w:tab/>
        <w:t>L</w:t>
      </w:r>
      <w:r>
        <w:rPr>
          <w:spacing w:val="-1"/>
          <w:lang w:eastAsia="es-ES"/>
        </w:rPr>
        <w:t>’</w:t>
      </w:r>
      <w:r w:rsidRPr="0037462A">
        <w:rPr>
          <w:spacing w:val="-1"/>
          <w:lang w:eastAsia="es-ES"/>
        </w:rPr>
        <w:t>auteure réside dans la Communauté de Madrid, où la gestion des logements sociaux est assurée par l</w:t>
      </w:r>
      <w:r>
        <w:rPr>
          <w:spacing w:val="-1"/>
          <w:lang w:eastAsia="es-ES"/>
        </w:rPr>
        <w:t>’</w:t>
      </w:r>
      <w:r w:rsidRPr="0037462A">
        <w:rPr>
          <w:spacing w:val="-1"/>
          <w:lang w:eastAsia="es-ES"/>
        </w:rPr>
        <w:t xml:space="preserve">Institut du logement de Madrid, créé par le décret </w:t>
      </w:r>
      <w:r w:rsidRPr="0037462A">
        <w:rPr>
          <w:rFonts w:eastAsia="MS Mincho"/>
          <w:spacing w:val="-1"/>
          <w:lang w:eastAsia="es-ES"/>
        </w:rPr>
        <w:t>n</w:t>
      </w:r>
      <w:r w:rsidRPr="0037462A">
        <w:rPr>
          <w:rFonts w:eastAsia="MS Mincho"/>
          <w:spacing w:val="-1"/>
          <w:vertAlign w:val="superscript"/>
          <w:lang w:eastAsia="es-ES"/>
        </w:rPr>
        <w:t>o</w:t>
      </w:r>
      <w:r w:rsidRPr="0037462A">
        <w:rPr>
          <w:spacing w:val="-1"/>
          <w:lang w:eastAsia="es-ES"/>
        </w:rPr>
        <w:t> 19/2006, du 9 février. Selon ce décret, le requérant doit satisfaire au critère suivant : ne pas occuper un logement ou un bien immobilier sans titre suffisant à cet effet. La Communauté de Madrid a en outre créé un parc de logements d</w:t>
      </w:r>
      <w:r>
        <w:rPr>
          <w:spacing w:val="-1"/>
          <w:lang w:eastAsia="es-ES"/>
        </w:rPr>
        <w:t>’</w:t>
      </w:r>
      <w:r w:rsidRPr="0037462A">
        <w:rPr>
          <w:spacing w:val="-1"/>
          <w:lang w:eastAsia="es-ES"/>
        </w:rPr>
        <w:t>urgence sociale pour apporter une solution rapide aux personnes et aux familles qui, pour des raisons conjoncturelles, ont de grandes difficultés à trouver un logement. Dans la quasi-totalité des cas, les logements d</w:t>
      </w:r>
      <w:r>
        <w:rPr>
          <w:spacing w:val="-1"/>
          <w:lang w:eastAsia="es-ES"/>
        </w:rPr>
        <w:t>’</w:t>
      </w:r>
      <w:r w:rsidRPr="0037462A">
        <w:rPr>
          <w:spacing w:val="-1"/>
          <w:lang w:eastAsia="es-ES"/>
        </w:rPr>
        <w:t>urgence sont attribués par ordre de priorité, en fonction des besoins des requérants. Sont considérées comme des situations de grande nécessité justifiant l</w:t>
      </w:r>
      <w:r>
        <w:rPr>
          <w:spacing w:val="-1"/>
          <w:lang w:eastAsia="es-ES"/>
        </w:rPr>
        <w:t>’</w:t>
      </w:r>
      <w:r w:rsidRPr="0037462A">
        <w:rPr>
          <w:spacing w:val="-1"/>
          <w:lang w:eastAsia="es-ES"/>
        </w:rPr>
        <w:t>attribution d</w:t>
      </w:r>
      <w:r>
        <w:rPr>
          <w:spacing w:val="-1"/>
          <w:lang w:eastAsia="es-ES"/>
        </w:rPr>
        <w:t>’</w:t>
      </w:r>
      <w:r w:rsidRPr="0037462A">
        <w:rPr>
          <w:spacing w:val="-1"/>
          <w:lang w:eastAsia="es-ES"/>
        </w:rPr>
        <w:t>un logement d</w:t>
      </w:r>
      <w:r>
        <w:rPr>
          <w:spacing w:val="-1"/>
          <w:lang w:eastAsia="es-ES"/>
        </w:rPr>
        <w:t>’</w:t>
      </w:r>
      <w:r w:rsidRPr="0037462A">
        <w:rPr>
          <w:spacing w:val="-1"/>
          <w:lang w:eastAsia="es-ES"/>
        </w:rPr>
        <w:t>urgence : le risque d</w:t>
      </w:r>
      <w:r>
        <w:rPr>
          <w:spacing w:val="-1"/>
          <w:lang w:eastAsia="es-ES"/>
        </w:rPr>
        <w:t>’</w:t>
      </w:r>
      <w:r w:rsidRPr="0037462A">
        <w:rPr>
          <w:spacing w:val="-1"/>
          <w:lang w:eastAsia="es-ES"/>
        </w:rPr>
        <w:t>expulsion à court terme ; le fait d</w:t>
      </w:r>
      <w:r>
        <w:rPr>
          <w:spacing w:val="-1"/>
          <w:lang w:eastAsia="es-ES"/>
        </w:rPr>
        <w:t>’</w:t>
      </w:r>
      <w:r w:rsidRPr="0037462A">
        <w:rPr>
          <w:spacing w:val="-1"/>
          <w:lang w:eastAsia="es-ES"/>
        </w:rPr>
        <w:t>être victime de violences au motif de son sexe, de sa race, de son orientation ou identité sexuelle, de sa religion, de ses croyances ou de son handicap ; le fait d</w:t>
      </w:r>
      <w:r>
        <w:rPr>
          <w:spacing w:val="-1"/>
          <w:lang w:eastAsia="es-ES"/>
        </w:rPr>
        <w:t>’</w:t>
      </w:r>
      <w:r w:rsidRPr="0037462A">
        <w:rPr>
          <w:spacing w:val="-1"/>
          <w:lang w:eastAsia="es-ES"/>
        </w:rPr>
        <w:t>être mal logé ou d</w:t>
      </w:r>
      <w:r>
        <w:rPr>
          <w:spacing w:val="-1"/>
          <w:lang w:eastAsia="es-ES"/>
        </w:rPr>
        <w:t>’</w:t>
      </w:r>
      <w:r w:rsidRPr="0037462A">
        <w:rPr>
          <w:spacing w:val="-1"/>
          <w:lang w:eastAsia="es-ES"/>
        </w:rPr>
        <w:t>habiter dans un logement ne satisfaisant pas aux normes applicables ; le fait de résider dans un logement exigu ou dont le loyer représente plus de 30 % des revenus du ménage ; ou l</w:t>
      </w:r>
      <w:r>
        <w:rPr>
          <w:spacing w:val="-1"/>
          <w:lang w:eastAsia="es-ES"/>
        </w:rPr>
        <w:t>’</w:t>
      </w:r>
      <w:r w:rsidRPr="0037462A">
        <w:rPr>
          <w:spacing w:val="-1"/>
          <w:lang w:eastAsia="es-ES"/>
        </w:rPr>
        <w:t>occupation précaire du logement, selon un droit de jouissance accordé par le propriétaire.</w:t>
      </w:r>
    </w:p>
    <w:p w14:paraId="2A7B9242" w14:textId="77777777" w:rsidR="0037651B" w:rsidRPr="00C622E0" w:rsidRDefault="0037651B" w:rsidP="0037651B">
      <w:pPr>
        <w:pStyle w:val="SingleTxtG"/>
        <w:rPr>
          <w:lang w:eastAsia="es-ES"/>
        </w:rPr>
      </w:pPr>
      <w:r w:rsidRPr="00C622E0">
        <w:rPr>
          <w:lang w:eastAsia="es-ES"/>
        </w:rPr>
        <w:t>4.5</w:t>
      </w:r>
      <w:r w:rsidRPr="00C622E0">
        <w:rPr>
          <w:lang w:eastAsia="es-ES"/>
        </w:rPr>
        <w:tab/>
        <w:t>À compter du 1</w:t>
      </w:r>
      <w:r w:rsidRPr="00C622E0">
        <w:rPr>
          <w:vertAlign w:val="superscript"/>
          <w:lang w:eastAsia="es-ES"/>
        </w:rPr>
        <w:t>er</w:t>
      </w:r>
      <w:r>
        <w:rPr>
          <w:lang w:eastAsia="es-ES"/>
        </w:rPr>
        <w:t> </w:t>
      </w:r>
      <w:r w:rsidRPr="00C622E0">
        <w:rPr>
          <w:lang w:eastAsia="es-ES"/>
        </w:rPr>
        <w:t>août 2018, une fois écarté l</w:t>
      </w:r>
      <w:r>
        <w:rPr>
          <w:lang w:eastAsia="es-ES"/>
        </w:rPr>
        <w:t>’</w:t>
      </w:r>
      <w:r w:rsidRPr="00C622E0">
        <w:rPr>
          <w:lang w:eastAsia="es-ES"/>
        </w:rPr>
        <w:t>obstacle juridique que représentait l</w:t>
      </w:r>
      <w:r>
        <w:rPr>
          <w:lang w:eastAsia="es-ES"/>
        </w:rPr>
        <w:t>’</w:t>
      </w:r>
      <w:r w:rsidRPr="00C622E0">
        <w:rPr>
          <w:lang w:eastAsia="es-ES"/>
        </w:rPr>
        <w:t>occupation d</w:t>
      </w:r>
      <w:r>
        <w:rPr>
          <w:lang w:eastAsia="es-ES"/>
        </w:rPr>
        <w:t>’</w:t>
      </w:r>
      <w:r w:rsidRPr="00C622E0">
        <w:rPr>
          <w:lang w:eastAsia="es-ES"/>
        </w:rPr>
        <w:t>un appartement sans titre valable, le dossier de demande de logement de l</w:t>
      </w:r>
      <w:r>
        <w:rPr>
          <w:lang w:eastAsia="es-ES"/>
        </w:rPr>
        <w:t>’</w:t>
      </w:r>
      <w:r w:rsidRPr="00C622E0">
        <w:rPr>
          <w:lang w:eastAsia="es-ES"/>
        </w:rPr>
        <w:t>auteure a été acceptée au titre de la procédure d</w:t>
      </w:r>
      <w:r>
        <w:rPr>
          <w:lang w:eastAsia="es-ES"/>
        </w:rPr>
        <w:t>’</w:t>
      </w:r>
      <w:r w:rsidRPr="00C622E0">
        <w:rPr>
          <w:lang w:eastAsia="es-ES"/>
        </w:rPr>
        <w:t>attribution pour cause de grande nécessité, comptabilisant 16</w:t>
      </w:r>
      <w:r>
        <w:rPr>
          <w:lang w:eastAsia="es-ES"/>
        </w:rPr>
        <w:t> </w:t>
      </w:r>
      <w:r w:rsidRPr="00C622E0">
        <w:rPr>
          <w:lang w:eastAsia="es-ES"/>
        </w:rPr>
        <w:t>points selon le barème applicable et se plaçant à la 51</w:t>
      </w:r>
      <w:r w:rsidRPr="00C622E0">
        <w:rPr>
          <w:vertAlign w:val="superscript"/>
          <w:lang w:eastAsia="es-ES"/>
        </w:rPr>
        <w:t>e</w:t>
      </w:r>
      <w:r>
        <w:rPr>
          <w:lang w:eastAsia="es-ES"/>
        </w:rPr>
        <w:t> </w:t>
      </w:r>
      <w:r w:rsidRPr="00C622E0">
        <w:rPr>
          <w:lang w:eastAsia="es-ES"/>
        </w:rPr>
        <w:t>place sur la liste d</w:t>
      </w:r>
      <w:r>
        <w:rPr>
          <w:lang w:eastAsia="es-ES"/>
        </w:rPr>
        <w:t>’</w:t>
      </w:r>
      <w:r w:rsidRPr="00C622E0">
        <w:rPr>
          <w:lang w:eastAsia="es-ES"/>
        </w:rPr>
        <w:t>attente pour un logement de quatre chambres. En raison des principes de publicité, de transparence et d</w:t>
      </w:r>
      <w:r>
        <w:rPr>
          <w:lang w:eastAsia="es-ES"/>
        </w:rPr>
        <w:t>’</w:t>
      </w:r>
      <w:r w:rsidRPr="00C622E0">
        <w:rPr>
          <w:lang w:eastAsia="es-ES"/>
        </w:rPr>
        <w:t>équité qui régissent les attributions de logements publics, le nombre de points obtenus par la demande de l</w:t>
      </w:r>
      <w:r>
        <w:rPr>
          <w:lang w:eastAsia="es-ES"/>
        </w:rPr>
        <w:t>’</w:t>
      </w:r>
      <w:r w:rsidRPr="00C622E0">
        <w:rPr>
          <w:lang w:eastAsia="es-ES"/>
        </w:rPr>
        <w:t>auteure et sa place dans la liste d</w:t>
      </w:r>
      <w:r>
        <w:rPr>
          <w:lang w:eastAsia="es-ES"/>
        </w:rPr>
        <w:t>’</w:t>
      </w:r>
      <w:r w:rsidRPr="00C622E0">
        <w:rPr>
          <w:lang w:eastAsia="es-ES"/>
        </w:rPr>
        <w:t>attente ne peuvent pas être modifiés.</w:t>
      </w:r>
    </w:p>
    <w:p w14:paraId="61A6A4BF" w14:textId="77777777" w:rsidR="0037651B" w:rsidRPr="0037462A" w:rsidRDefault="0037651B" w:rsidP="0037651B">
      <w:pPr>
        <w:pStyle w:val="SingleTxtG"/>
        <w:rPr>
          <w:spacing w:val="-1"/>
          <w:lang w:eastAsia="es-ES"/>
        </w:rPr>
      </w:pPr>
      <w:r w:rsidRPr="0037462A">
        <w:rPr>
          <w:spacing w:val="-1"/>
          <w:lang w:eastAsia="es-ES"/>
        </w:rPr>
        <w:t>4.6</w:t>
      </w:r>
      <w:r w:rsidRPr="0037462A">
        <w:rPr>
          <w:spacing w:val="-1"/>
          <w:lang w:eastAsia="es-ES"/>
        </w:rPr>
        <w:tab/>
        <w:t>En vue d</w:t>
      </w:r>
      <w:r>
        <w:rPr>
          <w:spacing w:val="-1"/>
          <w:lang w:eastAsia="es-ES"/>
        </w:rPr>
        <w:t>’</w:t>
      </w:r>
      <w:r w:rsidRPr="0037462A">
        <w:rPr>
          <w:spacing w:val="-1"/>
          <w:lang w:eastAsia="es-ES"/>
        </w:rPr>
        <w:t>accroître les ressources disponibles, l</w:t>
      </w:r>
      <w:r>
        <w:rPr>
          <w:spacing w:val="-1"/>
          <w:lang w:eastAsia="es-ES"/>
        </w:rPr>
        <w:t>’</w:t>
      </w:r>
      <w:r w:rsidRPr="0037462A">
        <w:rPr>
          <w:spacing w:val="-1"/>
          <w:lang w:eastAsia="es-ES"/>
        </w:rPr>
        <w:t>Office du logement social (anciennement, l</w:t>
      </w:r>
      <w:r>
        <w:rPr>
          <w:spacing w:val="-1"/>
          <w:lang w:eastAsia="es-ES"/>
        </w:rPr>
        <w:t>’</w:t>
      </w:r>
      <w:r w:rsidRPr="0037462A">
        <w:rPr>
          <w:spacing w:val="-1"/>
          <w:lang w:eastAsia="es-ES"/>
        </w:rPr>
        <w:t>Institut du logement de Madrid) a cédé un total de 32 immeubles, représentant 2</w:t>
      </w:r>
      <w:r>
        <w:rPr>
          <w:spacing w:val="-1"/>
          <w:lang w:eastAsia="es-ES"/>
        </w:rPr>
        <w:t> </w:t>
      </w:r>
      <w:r w:rsidRPr="0037462A">
        <w:rPr>
          <w:spacing w:val="-1"/>
          <w:lang w:eastAsia="es-ES"/>
        </w:rPr>
        <w:t>935</w:t>
      </w:r>
      <w:r>
        <w:rPr>
          <w:spacing w:val="-1"/>
          <w:lang w:eastAsia="es-ES"/>
        </w:rPr>
        <w:t> </w:t>
      </w:r>
      <w:r w:rsidRPr="0037462A">
        <w:rPr>
          <w:spacing w:val="-1"/>
          <w:lang w:eastAsia="es-ES"/>
        </w:rPr>
        <w:t>logements, à un organisme qui s</w:t>
      </w:r>
      <w:r>
        <w:rPr>
          <w:spacing w:val="-1"/>
          <w:lang w:eastAsia="es-ES"/>
        </w:rPr>
        <w:t>’</w:t>
      </w:r>
      <w:r w:rsidRPr="0037462A">
        <w:rPr>
          <w:spacing w:val="-1"/>
          <w:lang w:eastAsia="es-ES"/>
        </w:rPr>
        <w:t>est subrogé à l</w:t>
      </w:r>
      <w:r>
        <w:rPr>
          <w:spacing w:val="-1"/>
          <w:lang w:eastAsia="es-ES"/>
        </w:rPr>
        <w:t>’</w:t>
      </w:r>
      <w:r w:rsidRPr="0037462A">
        <w:rPr>
          <w:spacing w:val="-1"/>
          <w:lang w:eastAsia="es-ES"/>
        </w:rPr>
        <w:t>Institut du logement dans l</w:t>
      </w:r>
      <w:r>
        <w:rPr>
          <w:spacing w:val="-1"/>
          <w:lang w:eastAsia="es-ES"/>
        </w:rPr>
        <w:t>’</w:t>
      </w:r>
      <w:r w:rsidRPr="0037462A">
        <w:rPr>
          <w:spacing w:val="-1"/>
          <w:lang w:eastAsia="es-ES"/>
        </w:rPr>
        <w:t>ensemble de ses droits et de ses obligations. Depuis cette transaction, l</w:t>
      </w:r>
      <w:r>
        <w:rPr>
          <w:spacing w:val="-1"/>
          <w:lang w:eastAsia="es-ES"/>
        </w:rPr>
        <w:t>’</w:t>
      </w:r>
      <w:r w:rsidRPr="0037462A">
        <w:rPr>
          <w:spacing w:val="-1"/>
          <w:lang w:eastAsia="es-ES"/>
        </w:rPr>
        <w:t xml:space="preserve">Institut du logement a augmenté ses actifs en menant à bonne fin au moins </w:t>
      </w:r>
      <w:r>
        <w:rPr>
          <w:spacing w:val="-1"/>
          <w:lang w:eastAsia="es-ES"/>
        </w:rPr>
        <w:t>6</w:t>
      </w:r>
      <w:r w:rsidR="001514A8">
        <w:rPr>
          <w:spacing w:val="-1"/>
          <w:lang w:eastAsia="es-ES"/>
        </w:rPr>
        <w:t> </w:t>
      </w:r>
      <w:r w:rsidRPr="0037462A">
        <w:rPr>
          <w:spacing w:val="-1"/>
          <w:lang w:eastAsia="es-ES"/>
        </w:rPr>
        <w:t xml:space="preserve">nouveaux projets immobiliers ; quelque </w:t>
      </w:r>
      <w:r>
        <w:rPr>
          <w:spacing w:val="-1"/>
          <w:lang w:eastAsia="es-ES"/>
        </w:rPr>
        <w:t xml:space="preserve">1 000 </w:t>
      </w:r>
      <w:r w:rsidRPr="0037462A">
        <w:rPr>
          <w:spacing w:val="-1"/>
          <w:lang w:eastAsia="es-ES"/>
        </w:rPr>
        <w:t>logements ainsi construits ont été mis à la disposition des citoyens.</w:t>
      </w:r>
    </w:p>
    <w:p w14:paraId="510B2B1F" w14:textId="77777777" w:rsidR="0037651B" w:rsidRPr="00C622E0" w:rsidRDefault="0037651B" w:rsidP="0037651B">
      <w:pPr>
        <w:pStyle w:val="SingleTxtG"/>
        <w:rPr>
          <w:lang w:eastAsia="es-ES"/>
        </w:rPr>
      </w:pPr>
      <w:r w:rsidRPr="00C622E0">
        <w:rPr>
          <w:lang w:eastAsia="es-ES"/>
        </w:rPr>
        <w:t>4.7</w:t>
      </w:r>
      <w:r w:rsidRPr="00C622E0">
        <w:rPr>
          <w:lang w:eastAsia="es-ES"/>
        </w:rPr>
        <w:tab/>
        <w:t>En l</w:t>
      </w:r>
      <w:r>
        <w:rPr>
          <w:lang w:eastAsia="es-ES"/>
        </w:rPr>
        <w:t>’</w:t>
      </w:r>
      <w:r w:rsidRPr="00C622E0">
        <w:rPr>
          <w:lang w:eastAsia="es-ES"/>
        </w:rPr>
        <w:t>espèce, la ville de Madrid est également compétente en matière d</w:t>
      </w:r>
      <w:r>
        <w:rPr>
          <w:lang w:eastAsia="es-ES"/>
        </w:rPr>
        <w:t>’</w:t>
      </w:r>
      <w:r w:rsidRPr="00C622E0">
        <w:rPr>
          <w:lang w:eastAsia="es-ES"/>
        </w:rPr>
        <w:t>aide sociale primaire, puisqu</w:t>
      </w:r>
      <w:r>
        <w:rPr>
          <w:lang w:eastAsia="es-ES"/>
        </w:rPr>
        <w:t>’</w:t>
      </w:r>
      <w:r w:rsidRPr="00C622E0">
        <w:rPr>
          <w:lang w:eastAsia="es-ES"/>
        </w:rPr>
        <w:t>il lui incombe de fournir un logement d</w:t>
      </w:r>
      <w:r>
        <w:rPr>
          <w:lang w:eastAsia="es-ES"/>
        </w:rPr>
        <w:t>’</w:t>
      </w:r>
      <w:r w:rsidRPr="00C622E0">
        <w:rPr>
          <w:lang w:eastAsia="es-ES"/>
        </w:rPr>
        <w:t>urgence temporaire, collectif ou partagé, aux personnes sans abri et en situation d</w:t>
      </w:r>
      <w:r>
        <w:rPr>
          <w:lang w:eastAsia="es-ES"/>
        </w:rPr>
        <w:t>’</w:t>
      </w:r>
      <w:r w:rsidRPr="00C622E0">
        <w:rPr>
          <w:lang w:eastAsia="es-ES"/>
        </w:rPr>
        <w:t>exclusion sociale. Elle s</w:t>
      </w:r>
      <w:r>
        <w:rPr>
          <w:lang w:eastAsia="es-ES"/>
        </w:rPr>
        <w:t>’</w:t>
      </w:r>
      <w:r w:rsidRPr="00C622E0">
        <w:rPr>
          <w:lang w:eastAsia="es-ES"/>
        </w:rPr>
        <w:t>est en outre dotée d</w:t>
      </w:r>
      <w:r>
        <w:rPr>
          <w:lang w:eastAsia="es-ES"/>
        </w:rPr>
        <w:t>’</w:t>
      </w:r>
      <w:r w:rsidRPr="00C622E0">
        <w:rPr>
          <w:lang w:eastAsia="es-ES"/>
        </w:rPr>
        <w:t>une entreprise municipale du logement et du sol, qui dispose d</w:t>
      </w:r>
      <w:r>
        <w:rPr>
          <w:lang w:eastAsia="es-ES"/>
        </w:rPr>
        <w:t>’</w:t>
      </w:r>
      <w:r w:rsidRPr="00C622E0">
        <w:rPr>
          <w:lang w:eastAsia="es-ES"/>
        </w:rPr>
        <w:t>un parc de 6</w:t>
      </w:r>
      <w:r>
        <w:rPr>
          <w:lang w:eastAsia="es-ES"/>
        </w:rPr>
        <w:t> </w:t>
      </w:r>
      <w:r w:rsidRPr="00C622E0">
        <w:rPr>
          <w:lang w:eastAsia="es-ES"/>
        </w:rPr>
        <w:t>061 logements publics, et prévoit la construction de 4</w:t>
      </w:r>
      <w:r>
        <w:rPr>
          <w:lang w:eastAsia="es-ES"/>
        </w:rPr>
        <w:t> </w:t>
      </w:r>
      <w:r w:rsidRPr="00C622E0">
        <w:rPr>
          <w:lang w:eastAsia="es-ES"/>
        </w:rPr>
        <w:t>200 autres logements. Un programme permet de reloger les personnes qui risquent de perdre leur logement, ou qui l</w:t>
      </w:r>
      <w:r>
        <w:rPr>
          <w:lang w:eastAsia="es-ES"/>
        </w:rPr>
        <w:t>’</w:t>
      </w:r>
      <w:r w:rsidRPr="00C622E0">
        <w:rPr>
          <w:lang w:eastAsia="es-ES"/>
        </w:rPr>
        <w:t>ont perdu récemment, par décision définitive pour non-paiement du loyer, ou les personnes mal logées ou occupant des logements inadaptés à leurs besoins. Dans le cas considéré, la ville de Madrid a toujours consulté l</w:t>
      </w:r>
      <w:r>
        <w:rPr>
          <w:lang w:eastAsia="es-ES"/>
        </w:rPr>
        <w:t>’</w:t>
      </w:r>
      <w:r w:rsidRPr="00C622E0">
        <w:rPr>
          <w:lang w:eastAsia="es-ES"/>
        </w:rPr>
        <w:t>auteure, de manière appropriée et efficace. Le Service de conseil aux occupants en situation d</w:t>
      </w:r>
      <w:r>
        <w:rPr>
          <w:lang w:eastAsia="es-ES"/>
        </w:rPr>
        <w:t>’</w:t>
      </w:r>
      <w:r w:rsidRPr="00C622E0">
        <w:rPr>
          <w:lang w:eastAsia="es-ES"/>
        </w:rPr>
        <w:t>urgence a pris ses fonctions le 5</w:t>
      </w:r>
      <w:r>
        <w:rPr>
          <w:lang w:eastAsia="es-ES"/>
        </w:rPr>
        <w:t> </w:t>
      </w:r>
      <w:r w:rsidRPr="00C622E0">
        <w:rPr>
          <w:lang w:eastAsia="es-ES"/>
        </w:rPr>
        <w:t>février 2018, à la demande des services sociaux. Il a tenté de servir d</w:t>
      </w:r>
      <w:r>
        <w:rPr>
          <w:lang w:eastAsia="es-ES"/>
        </w:rPr>
        <w:t>’</w:t>
      </w:r>
      <w:r w:rsidRPr="00C622E0">
        <w:rPr>
          <w:lang w:eastAsia="es-ES"/>
        </w:rPr>
        <w:t>intermédiaire avec l</w:t>
      </w:r>
      <w:r>
        <w:rPr>
          <w:lang w:eastAsia="es-ES"/>
        </w:rPr>
        <w:t>’</w:t>
      </w:r>
      <w:r w:rsidRPr="00C622E0">
        <w:rPr>
          <w:lang w:eastAsia="es-ES"/>
        </w:rPr>
        <w:t>organisme financier propriétaire de l</w:t>
      </w:r>
      <w:r>
        <w:rPr>
          <w:lang w:eastAsia="es-ES"/>
        </w:rPr>
        <w:t>’</w:t>
      </w:r>
      <w:r w:rsidRPr="00C622E0">
        <w:rPr>
          <w:lang w:eastAsia="es-ES"/>
        </w:rPr>
        <w:t>immeuble et de régulariser la situation de l</w:t>
      </w:r>
      <w:r>
        <w:rPr>
          <w:lang w:eastAsia="es-ES"/>
        </w:rPr>
        <w:t>’</w:t>
      </w:r>
      <w:r w:rsidRPr="00C622E0">
        <w:rPr>
          <w:lang w:eastAsia="es-ES"/>
        </w:rPr>
        <w:t>auteure par la voie de la location sociale, mais il est seulement parvenu à reporter la procédure d</w:t>
      </w:r>
      <w:r>
        <w:rPr>
          <w:lang w:eastAsia="es-ES"/>
        </w:rPr>
        <w:t>’</w:t>
      </w:r>
      <w:r w:rsidRPr="00C622E0">
        <w:rPr>
          <w:lang w:eastAsia="es-ES"/>
        </w:rPr>
        <w:t xml:space="preserve">expulsion de </w:t>
      </w:r>
      <w:r w:rsidRPr="00C622E0">
        <w:rPr>
          <w:lang w:eastAsia="es-ES"/>
        </w:rPr>
        <w:lastRenderedPageBreak/>
        <w:t>deux mois. Les services sociaux ont proposé une solution d</w:t>
      </w:r>
      <w:r>
        <w:rPr>
          <w:lang w:eastAsia="es-ES"/>
        </w:rPr>
        <w:t>’</w:t>
      </w:r>
      <w:r w:rsidRPr="00C622E0">
        <w:rPr>
          <w:lang w:eastAsia="es-ES"/>
        </w:rPr>
        <w:t>hébergement collectif temporaire, assortie de mesures d</w:t>
      </w:r>
      <w:r>
        <w:rPr>
          <w:lang w:eastAsia="es-ES"/>
        </w:rPr>
        <w:t>’</w:t>
      </w:r>
      <w:r w:rsidRPr="00C622E0">
        <w:rPr>
          <w:lang w:eastAsia="es-ES"/>
        </w:rPr>
        <w:t>accompagnement social, dans le cadre des ressources municipales disponibles. L</w:t>
      </w:r>
      <w:r>
        <w:rPr>
          <w:lang w:eastAsia="es-ES"/>
        </w:rPr>
        <w:t>’</w:t>
      </w:r>
      <w:r w:rsidRPr="00C622E0">
        <w:rPr>
          <w:lang w:eastAsia="es-ES"/>
        </w:rPr>
        <w:t>auteure et sa famille se sont installés dans le logement en question le 27</w:t>
      </w:r>
      <w:r>
        <w:rPr>
          <w:lang w:eastAsia="es-ES"/>
        </w:rPr>
        <w:t> </w:t>
      </w:r>
      <w:r w:rsidRPr="00C622E0">
        <w:rPr>
          <w:lang w:eastAsia="es-ES"/>
        </w:rPr>
        <w:t>juin 2018. Le 9</w:t>
      </w:r>
      <w:r>
        <w:rPr>
          <w:lang w:eastAsia="es-ES"/>
        </w:rPr>
        <w:t> </w:t>
      </w:r>
      <w:r w:rsidRPr="00C622E0">
        <w:rPr>
          <w:lang w:eastAsia="es-ES"/>
        </w:rPr>
        <w:t>mai 2018, l</w:t>
      </w:r>
      <w:r>
        <w:rPr>
          <w:lang w:eastAsia="es-ES"/>
        </w:rPr>
        <w:t>’</w:t>
      </w:r>
      <w:r w:rsidRPr="00C622E0">
        <w:rPr>
          <w:lang w:eastAsia="es-ES"/>
        </w:rPr>
        <w:t>auteure a présenté une demande de logement à l</w:t>
      </w:r>
      <w:r>
        <w:rPr>
          <w:lang w:eastAsia="es-ES"/>
        </w:rPr>
        <w:t>’</w:t>
      </w:r>
      <w:r w:rsidRPr="00C622E0">
        <w:rPr>
          <w:lang w:eastAsia="es-ES"/>
        </w:rPr>
        <w:t>entreprise municipale du logement et du sol et a été inscrite sur le programme de prise en charge prioritaire, avec 76</w:t>
      </w:r>
      <w:r>
        <w:rPr>
          <w:lang w:eastAsia="es-ES"/>
        </w:rPr>
        <w:t> </w:t>
      </w:r>
      <w:r w:rsidRPr="00C622E0">
        <w:rPr>
          <w:lang w:eastAsia="es-ES"/>
        </w:rPr>
        <w:t>points. Actuellement, l</w:t>
      </w:r>
      <w:r>
        <w:rPr>
          <w:lang w:eastAsia="es-ES"/>
        </w:rPr>
        <w:t>’</w:t>
      </w:r>
      <w:r w:rsidRPr="00C622E0">
        <w:rPr>
          <w:lang w:eastAsia="es-ES"/>
        </w:rPr>
        <w:t>accès à un logement nécessite un nombre de points plus élevé. L</w:t>
      </w:r>
      <w:r>
        <w:rPr>
          <w:lang w:eastAsia="es-ES"/>
        </w:rPr>
        <w:t>’</w:t>
      </w:r>
      <w:r w:rsidRPr="00C622E0">
        <w:rPr>
          <w:lang w:eastAsia="es-ES"/>
        </w:rPr>
        <w:t>État partie estime que l</w:t>
      </w:r>
      <w:r>
        <w:rPr>
          <w:lang w:eastAsia="es-ES"/>
        </w:rPr>
        <w:t>’</w:t>
      </w:r>
      <w:r w:rsidRPr="00C622E0">
        <w:rPr>
          <w:lang w:eastAsia="es-ES"/>
        </w:rPr>
        <w:t>auteure a bénéficié d</w:t>
      </w:r>
      <w:r>
        <w:rPr>
          <w:lang w:eastAsia="es-ES"/>
        </w:rPr>
        <w:t>’</w:t>
      </w:r>
      <w:r w:rsidRPr="00C622E0">
        <w:rPr>
          <w:lang w:eastAsia="es-ES"/>
        </w:rPr>
        <w:t>une solution de logement et d</w:t>
      </w:r>
      <w:r>
        <w:rPr>
          <w:lang w:eastAsia="es-ES"/>
        </w:rPr>
        <w:t>’</w:t>
      </w:r>
      <w:r w:rsidRPr="00C622E0">
        <w:rPr>
          <w:lang w:eastAsia="es-ES"/>
        </w:rPr>
        <w:t>une procédure d</w:t>
      </w:r>
      <w:r>
        <w:rPr>
          <w:lang w:eastAsia="es-ES"/>
        </w:rPr>
        <w:t>’</w:t>
      </w:r>
      <w:r w:rsidRPr="00C622E0">
        <w:rPr>
          <w:lang w:eastAsia="es-ES"/>
        </w:rPr>
        <w:t>intervention sociale.</w:t>
      </w:r>
    </w:p>
    <w:p w14:paraId="34822824" w14:textId="77777777" w:rsidR="0037651B" w:rsidRPr="0037462A" w:rsidRDefault="0037651B" w:rsidP="0037651B">
      <w:pPr>
        <w:pStyle w:val="SingleTxtG"/>
        <w:rPr>
          <w:spacing w:val="-1"/>
          <w:lang w:eastAsia="es-ES"/>
        </w:rPr>
      </w:pPr>
      <w:r w:rsidRPr="0037462A">
        <w:rPr>
          <w:spacing w:val="-1"/>
          <w:lang w:eastAsia="es-ES"/>
        </w:rPr>
        <w:t>4.8</w:t>
      </w:r>
      <w:r w:rsidRPr="0037462A">
        <w:rPr>
          <w:spacing w:val="-1"/>
          <w:lang w:eastAsia="es-ES"/>
        </w:rPr>
        <w:tab/>
        <w:t>L</w:t>
      </w:r>
      <w:r>
        <w:rPr>
          <w:spacing w:val="-1"/>
          <w:lang w:eastAsia="es-ES"/>
        </w:rPr>
        <w:t>’</w:t>
      </w:r>
      <w:r w:rsidRPr="0037462A">
        <w:rPr>
          <w:spacing w:val="-1"/>
          <w:lang w:eastAsia="es-ES"/>
        </w:rPr>
        <w:t>État partie affirme en outre que l</w:t>
      </w:r>
      <w:r>
        <w:rPr>
          <w:spacing w:val="-1"/>
          <w:lang w:eastAsia="es-ES"/>
        </w:rPr>
        <w:t>’</w:t>
      </w:r>
      <w:r w:rsidRPr="0037462A">
        <w:rPr>
          <w:spacing w:val="-1"/>
          <w:lang w:eastAsia="es-ES"/>
        </w:rPr>
        <w:t>auteure n</w:t>
      </w:r>
      <w:r>
        <w:rPr>
          <w:spacing w:val="-1"/>
          <w:lang w:eastAsia="es-ES"/>
        </w:rPr>
        <w:t>’</w:t>
      </w:r>
      <w:r w:rsidRPr="0037462A">
        <w:rPr>
          <w:spacing w:val="-1"/>
          <w:lang w:eastAsia="es-ES"/>
        </w:rPr>
        <w:t>a pas fait l</w:t>
      </w:r>
      <w:r>
        <w:rPr>
          <w:spacing w:val="-1"/>
          <w:lang w:eastAsia="es-ES"/>
        </w:rPr>
        <w:t>’</w:t>
      </w:r>
      <w:r w:rsidRPr="0037462A">
        <w:rPr>
          <w:spacing w:val="-1"/>
          <w:lang w:eastAsia="es-ES"/>
        </w:rPr>
        <w:t>objet d</w:t>
      </w:r>
      <w:r>
        <w:rPr>
          <w:spacing w:val="-1"/>
          <w:lang w:eastAsia="es-ES"/>
        </w:rPr>
        <w:t>’</w:t>
      </w:r>
      <w:r w:rsidRPr="0037462A">
        <w:rPr>
          <w:spacing w:val="-1"/>
          <w:lang w:eastAsia="es-ES"/>
        </w:rPr>
        <w:t xml:space="preserve">une expulsion forcée au sens des observations générales </w:t>
      </w:r>
      <w:r>
        <w:rPr>
          <w:spacing w:val="-1"/>
          <w:lang w:eastAsia="es-ES"/>
        </w:rPr>
        <w:t xml:space="preserve">du Comité </w:t>
      </w:r>
      <w:r w:rsidRPr="0037462A">
        <w:rPr>
          <w:spacing w:val="-1"/>
          <w:lang w:eastAsia="es-ES"/>
        </w:rPr>
        <w:t>n</w:t>
      </w:r>
      <w:r w:rsidRPr="0037462A">
        <w:rPr>
          <w:spacing w:val="-1"/>
          <w:vertAlign w:val="superscript"/>
          <w:lang w:eastAsia="es-ES"/>
        </w:rPr>
        <w:t>o</w:t>
      </w:r>
      <w:r w:rsidRPr="0037462A">
        <w:rPr>
          <w:spacing w:val="-1"/>
          <w:lang w:eastAsia="es-ES"/>
        </w:rPr>
        <w:t xml:space="preserve"> 4 </w:t>
      </w:r>
      <w:r>
        <w:rPr>
          <w:spacing w:val="-1"/>
          <w:lang w:eastAsia="es-ES"/>
        </w:rPr>
        <w:t xml:space="preserve">(1991) sur le droit à un logement suffisant </w:t>
      </w:r>
      <w:r w:rsidRPr="0037462A">
        <w:rPr>
          <w:spacing w:val="-1"/>
          <w:lang w:eastAsia="es-ES"/>
        </w:rPr>
        <w:t>et n</w:t>
      </w:r>
      <w:r w:rsidRPr="0037462A">
        <w:rPr>
          <w:spacing w:val="-1"/>
          <w:vertAlign w:val="superscript"/>
          <w:lang w:eastAsia="es-ES"/>
        </w:rPr>
        <w:t>o</w:t>
      </w:r>
      <w:r w:rsidR="001514A8">
        <w:rPr>
          <w:spacing w:val="-1"/>
          <w:lang w:eastAsia="es-ES"/>
        </w:rPr>
        <w:t> </w:t>
      </w:r>
      <w:r w:rsidRPr="0037462A">
        <w:rPr>
          <w:spacing w:val="-1"/>
          <w:lang w:eastAsia="es-ES"/>
        </w:rPr>
        <w:t>7</w:t>
      </w:r>
      <w:r>
        <w:rPr>
          <w:spacing w:val="-1"/>
          <w:lang w:eastAsia="es-ES"/>
        </w:rPr>
        <w:t xml:space="preserve"> (1997) sur les expulsions forcées</w:t>
      </w:r>
      <w:r w:rsidRPr="0037462A">
        <w:rPr>
          <w:spacing w:val="-1"/>
          <w:lang w:eastAsia="es-ES"/>
        </w:rPr>
        <w:t>, puisque celles-ci ne couvrent pas l</w:t>
      </w:r>
      <w:r>
        <w:rPr>
          <w:spacing w:val="-1"/>
          <w:lang w:eastAsia="es-ES"/>
        </w:rPr>
        <w:t>’</w:t>
      </w:r>
      <w:r w:rsidRPr="0037462A">
        <w:rPr>
          <w:spacing w:val="-1"/>
          <w:lang w:eastAsia="es-ES"/>
        </w:rPr>
        <w:t>expulsion pour usurpation. La définition de l</w:t>
      </w:r>
      <w:r>
        <w:rPr>
          <w:spacing w:val="-1"/>
          <w:lang w:eastAsia="es-ES"/>
        </w:rPr>
        <w:t>’</w:t>
      </w:r>
      <w:r w:rsidRPr="0037462A">
        <w:rPr>
          <w:spacing w:val="-1"/>
          <w:lang w:eastAsia="es-ES"/>
        </w:rPr>
        <w:t>infraction d</w:t>
      </w:r>
      <w:r>
        <w:rPr>
          <w:spacing w:val="-1"/>
          <w:lang w:eastAsia="es-ES"/>
        </w:rPr>
        <w:t>’</w:t>
      </w:r>
      <w:r w:rsidRPr="0037462A">
        <w:rPr>
          <w:spacing w:val="-1"/>
          <w:lang w:eastAsia="es-ES"/>
        </w:rPr>
        <w:t>usurpation figure à l</w:t>
      </w:r>
      <w:r>
        <w:rPr>
          <w:spacing w:val="-1"/>
          <w:lang w:eastAsia="es-ES"/>
        </w:rPr>
        <w:t>’</w:t>
      </w:r>
      <w:r w:rsidRPr="0037462A">
        <w:rPr>
          <w:spacing w:val="-1"/>
          <w:lang w:eastAsia="es-ES"/>
        </w:rPr>
        <w:t>article 245 du Code pénal et a été interprétée par la jurisprudence du Tribunal suprême</w:t>
      </w:r>
      <w:r w:rsidRPr="0037462A">
        <w:rPr>
          <w:rStyle w:val="Appelnotedebasdep"/>
          <w:spacing w:val="-1"/>
        </w:rPr>
        <w:footnoteReference w:id="11"/>
      </w:r>
      <w:r w:rsidRPr="0037462A">
        <w:rPr>
          <w:spacing w:val="-1"/>
          <w:lang w:eastAsia="es-ES"/>
        </w:rPr>
        <w:t>. Le bien juridique protégé est la propriété immobilière, visée à l</w:t>
      </w:r>
      <w:r>
        <w:rPr>
          <w:spacing w:val="-1"/>
          <w:lang w:eastAsia="es-ES"/>
        </w:rPr>
        <w:t>’</w:t>
      </w:r>
      <w:r w:rsidRPr="0037462A">
        <w:rPr>
          <w:spacing w:val="-1"/>
          <w:lang w:eastAsia="es-ES"/>
        </w:rPr>
        <w:t>article</w:t>
      </w:r>
      <w:r w:rsidRPr="0037462A">
        <w:rPr>
          <w:spacing w:val="-1"/>
        </w:rPr>
        <w:t xml:space="preserve"> 17 de la Déclaration universelle des droits de l</w:t>
      </w:r>
      <w:r>
        <w:rPr>
          <w:spacing w:val="-1"/>
        </w:rPr>
        <w:t>’</w:t>
      </w:r>
      <w:r w:rsidRPr="0037462A">
        <w:rPr>
          <w:spacing w:val="-1"/>
        </w:rPr>
        <w:t xml:space="preserve">homme. </w:t>
      </w:r>
      <w:r w:rsidRPr="0037462A">
        <w:rPr>
          <w:spacing w:val="-1"/>
          <w:lang w:eastAsia="es-ES"/>
        </w:rPr>
        <w:t>Cependant, le système juridique espagnol ne punit l</w:t>
      </w:r>
      <w:r>
        <w:rPr>
          <w:spacing w:val="-1"/>
          <w:lang w:eastAsia="es-ES"/>
        </w:rPr>
        <w:t>’</w:t>
      </w:r>
      <w:r w:rsidRPr="0037462A">
        <w:rPr>
          <w:spacing w:val="-1"/>
          <w:lang w:eastAsia="es-ES"/>
        </w:rPr>
        <w:t>occupation de locaux non destinés à l</w:t>
      </w:r>
      <w:r>
        <w:rPr>
          <w:spacing w:val="-1"/>
          <w:lang w:eastAsia="es-ES"/>
        </w:rPr>
        <w:t>’</w:t>
      </w:r>
      <w:r w:rsidRPr="0037462A">
        <w:rPr>
          <w:spacing w:val="-1"/>
          <w:lang w:eastAsia="es-ES"/>
        </w:rPr>
        <w:t>habitation qu</w:t>
      </w:r>
      <w:r>
        <w:rPr>
          <w:spacing w:val="-1"/>
          <w:lang w:eastAsia="es-ES"/>
        </w:rPr>
        <w:t>’</w:t>
      </w:r>
      <w:r w:rsidRPr="0037462A">
        <w:rPr>
          <w:spacing w:val="-1"/>
          <w:lang w:eastAsia="es-ES"/>
        </w:rPr>
        <w:t xml:space="preserve">en cas de comportements présentant un risque ou un danger élevé pour le bien juridique protégé par le droit pénal ; il existe une abondante doctrine jurisprudentielle selon laquelle, par exemple, </w:t>
      </w:r>
      <w:r>
        <w:rPr>
          <w:spacing w:val="-1"/>
          <w:lang w:eastAsia="es-ES"/>
        </w:rPr>
        <w:t>l’infraction</w:t>
      </w:r>
      <w:r w:rsidRPr="0037462A">
        <w:rPr>
          <w:spacing w:val="-1"/>
          <w:lang w:eastAsia="es-ES"/>
        </w:rPr>
        <w:t xml:space="preserve"> pénale </w:t>
      </w:r>
      <w:r>
        <w:rPr>
          <w:spacing w:val="-1"/>
          <w:lang w:eastAsia="es-ES"/>
        </w:rPr>
        <w:t xml:space="preserve">d’usurpation </w:t>
      </w:r>
      <w:r w:rsidRPr="0037462A">
        <w:rPr>
          <w:spacing w:val="-1"/>
          <w:lang w:eastAsia="es-ES"/>
        </w:rPr>
        <w:t>est disproportionnée s</w:t>
      </w:r>
      <w:r>
        <w:rPr>
          <w:spacing w:val="-1"/>
          <w:lang w:eastAsia="es-ES"/>
        </w:rPr>
        <w:t>’</w:t>
      </w:r>
      <w:r w:rsidRPr="0037462A">
        <w:rPr>
          <w:spacing w:val="-1"/>
          <w:lang w:eastAsia="es-ES"/>
        </w:rPr>
        <w:t>il s</w:t>
      </w:r>
      <w:r>
        <w:rPr>
          <w:spacing w:val="-1"/>
          <w:lang w:eastAsia="es-ES"/>
        </w:rPr>
        <w:t>’</w:t>
      </w:r>
      <w:r w:rsidRPr="0037462A">
        <w:rPr>
          <w:spacing w:val="-1"/>
          <w:lang w:eastAsia="es-ES"/>
        </w:rPr>
        <w:t>agit de propriétés abandonnées ou en mauvais état</w:t>
      </w:r>
      <w:r w:rsidRPr="0037462A">
        <w:rPr>
          <w:rStyle w:val="Appelnotedebasdep"/>
          <w:spacing w:val="-1"/>
        </w:rPr>
        <w:footnoteReference w:id="12"/>
      </w:r>
      <w:r w:rsidRPr="0037462A">
        <w:rPr>
          <w:spacing w:val="-1"/>
          <w:lang w:eastAsia="es-ES"/>
        </w:rPr>
        <w:t>. De même, il est souvent question, dans la jurisprudence, de déterminer si l</w:t>
      </w:r>
      <w:r>
        <w:rPr>
          <w:spacing w:val="-1"/>
          <w:lang w:eastAsia="es-ES"/>
        </w:rPr>
        <w:t>’</w:t>
      </w:r>
      <w:r w:rsidRPr="0037462A">
        <w:rPr>
          <w:spacing w:val="-1"/>
          <w:lang w:eastAsia="es-ES"/>
        </w:rPr>
        <w:t>auteur de l</w:t>
      </w:r>
      <w:r>
        <w:rPr>
          <w:spacing w:val="-1"/>
          <w:lang w:eastAsia="es-ES"/>
        </w:rPr>
        <w:t>’</w:t>
      </w:r>
      <w:r w:rsidRPr="0037462A">
        <w:rPr>
          <w:spacing w:val="-1"/>
          <w:lang w:eastAsia="es-ES"/>
        </w:rPr>
        <w:t>infraction peut être exonéré de sa responsabilité pour cause d</w:t>
      </w:r>
      <w:r>
        <w:rPr>
          <w:spacing w:val="-1"/>
          <w:lang w:eastAsia="es-ES"/>
        </w:rPr>
        <w:t>’</w:t>
      </w:r>
      <w:r w:rsidRPr="0037462A">
        <w:rPr>
          <w:spacing w:val="-1"/>
          <w:lang w:eastAsia="es-ES"/>
        </w:rPr>
        <w:t>état de nécessité et, par voie de conséquence, d</w:t>
      </w:r>
      <w:r>
        <w:rPr>
          <w:spacing w:val="-1"/>
          <w:lang w:eastAsia="es-ES"/>
        </w:rPr>
        <w:t>’</w:t>
      </w:r>
      <w:r w:rsidRPr="0037462A">
        <w:rPr>
          <w:spacing w:val="-1"/>
          <w:lang w:eastAsia="es-ES"/>
        </w:rPr>
        <w:t>évaluer sa vulnérabilité sociale ; pour qu</w:t>
      </w:r>
      <w:r>
        <w:rPr>
          <w:spacing w:val="-1"/>
          <w:lang w:eastAsia="es-ES"/>
        </w:rPr>
        <w:t>’</w:t>
      </w:r>
      <w:r w:rsidRPr="0037462A">
        <w:rPr>
          <w:spacing w:val="-1"/>
          <w:lang w:eastAsia="es-ES"/>
        </w:rPr>
        <w:t>il y ait exonération de responsabilité, il faut qu</w:t>
      </w:r>
      <w:r>
        <w:rPr>
          <w:spacing w:val="-1"/>
          <w:lang w:eastAsia="es-ES"/>
        </w:rPr>
        <w:t>’</w:t>
      </w:r>
      <w:r w:rsidRPr="0037462A">
        <w:rPr>
          <w:spacing w:val="-1"/>
          <w:lang w:eastAsia="es-ES"/>
        </w:rPr>
        <w:t>au moment où les faits sont commis, leur auteur se trouve dans une situation économique précaire et rencontre, du fait de son indigence, de graves difficultés qui le contraignent à occuper le logement, que cette situation précaire soit durable et qu</w:t>
      </w:r>
      <w:r>
        <w:rPr>
          <w:spacing w:val="-1"/>
          <w:lang w:eastAsia="es-ES"/>
        </w:rPr>
        <w:t>’</w:t>
      </w:r>
      <w:r w:rsidRPr="0037462A">
        <w:rPr>
          <w:spacing w:val="-1"/>
          <w:lang w:eastAsia="es-ES"/>
        </w:rPr>
        <w:t xml:space="preserve">aucune autre solution de logement ne soit possible pendant ce laps de temps. Il ressort également de la jurisprudence </w:t>
      </w:r>
      <w:r>
        <w:rPr>
          <w:spacing w:val="-1"/>
          <w:lang w:eastAsia="es-ES"/>
        </w:rPr>
        <w:t xml:space="preserve">espagnole </w:t>
      </w:r>
      <w:r w:rsidRPr="0037462A">
        <w:rPr>
          <w:spacing w:val="-1"/>
          <w:lang w:eastAsia="es-ES"/>
        </w:rPr>
        <w:t>que l</w:t>
      </w:r>
      <w:r>
        <w:rPr>
          <w:spacing w:val="-1"/>
          <w:lang w:eastAsia="es-ES"/>
        </w:rPr>
        <w:t>’</w:t>
      </w:r>
      <w:r w:rsidRPr="0037462A">
        <w:rPr>
          <w:spacing w:val="-1"/>
          <w:lang w:eastAsia="es-ES"/>
        </w:rPr>
        <w:t>état de nécessité peut justifier l</w:t>
      </w:r>
      <w:r>
        <w:rPr>
          <w:spacing w:val="-1"/>
          <w:lang w:eastAsia="es-ES"/>
        </w:rPr>
        <w:t>’</w:t>
      </w:r>
      <w:r w:rsidRPr="0037462A">
        <w:rPr>
          <w:spacing w:val="-1"/>
          <w:lang w:eastAsia="es-ES"/>
        </w:rPr>
        <w:t>occupation temporaire du bien immobilier d</w:t>
      </w:r>
      <w:r>
        <w:rPr>
          <w:spacing w:val="-1"/>
          <w:lang w:eastAsia="es-ES"/>
        </w:rPr>
        <w:t>’</w:t>
      </w:r>
      <w:r w:rsidRPr="0037462A">
        <w:rPr>
          <w:spacing w:val="-1"/>
          <w:lang w:eastAsia="es-ES"/>
        </w:rPr>
        <w:t>un tiers, mais pas le fait de l</w:t>
      </w:r>
      <w:r>
        <w:rPr>
          <w:spacing w:val="-1"/>
          <w:lang w:eastAsia="es-ES"/>
        </w:rPr>
        <w:t>’</w:t>
      </w:r>
      <w:r w:rsidRPr="0037462A">
        <w:rPr>
          <w:spacing w:val="-1"/>
          <w:lang w:eastAsia="es-ES"/>
        </w:rPr>
        <w:t>occuper et d</w:t>
      </w:r>
      <w:r>
        <w:rPr>
          <w:spacing w:val="-1"/>
          <w:lang w:eastAsia="es-ES"/>
        </w:rPr>
        <w:t>’</w:t>
      </w:r>
      <w:r w:rsidRPr="0037462A">
        <w:rPr>
          <w:spacing w:val="-1"/>
          <w:lang w:eastAsia="es-ES"/>
        </w:rPr>
        <w:t>y séjourner pendant une longue période.</w:t>
      </w:r>
    </w:p>
    <w:p w14:paraId="004ACBCB" w14:textId="77777777" w:rsidR="0037651B" w:rsidRPr="00C622E0" w:rsidRDefault="0037651B" w:rsidP="0037651B">
      <w:pPr>
        <w:pStyle w:val="SingleTxtG"/>
        <w:rPr>
          <w:lang w:eastAsia="es-ES"/>
        </w:rPr>
      </w:pPr>
      <w:r w:rsidRPr="00C622E0">
        <w:rPr>
          <w:lang w:eastAsia="es-ES"/>
        </w:rPr>
        <w:t>4.9</w:t>
      </w:r>
      <w:r w:rsidRPr="00C622E0">
        <w:rPr>
          <w:lang w:eastAsia="es-ES"/>
        </w:rPr>
        <w:tab/>
        <w:t>L</w:t>
      </w:r>
      <w:r>
        <w:rPr>
          <w:lang w:eastAsia="es-ES"/>
        </w:rPr>
        <w:t>’</w:t>
      </w:r>
      <w:r w:rsidRPr="00C622E0">
        <w:rPr>
          <w:lang w:eastAsia="es-ES"/>
        </w:rPr>
        <w:t>État partie affirme qu</w:t>
      </w:r>
      <w:r>
        <w:rPr>
          <w:lang w:eastAsia="es-ES"/>
        </w:rPr>
        <w:t>’</w:t>
      </w:r>
      <w:r w:rsidRPr="00C622E0">
        <w:rPr>
          <w:lang w:eastAsia="es-ES"/>
        </w:rPr>
        <w:t>en l</w:t>
      </w:r>
      <w:r>
        <w:rPr>
          <w:lang w:eastAsia="es-ES"/>
        </w:rPr>
        <w:t>’</w:t>
      </w:r>
      <w:r w:rsidRPr="00C622E0">
        <w:rPr>
          <w:lang w:eastAsia="es-ES"/>
        </w:rPr>
        <w:t>espèce, l</w:t>
      </w:r>
      <w:r>
        <w:rPr>
          <w:lang w:eastAsia="es-ES"/>
        </w:rPr>
        <w:t>’</w:t>
      </w:r>
      <w:r w:rsidRPr="00C622E0">
        <w:rPr>
          <w:lang w:eastAsia="es-ES"/>
        </w:rPr>
        <w:t>occupation du logement n</w:t>
      </w:r>
      <w:r>
        <w:rPr>
          <w:lang w:eastAsia="es-ES"/>
        </w:rPr>
        <w:t>’</w:t>
      </w:r>
      <w:r w:rsidRPr="00C622E0">
        <w:rPr>
          <w:lang w:eastAsia="es-ES"/>
        </w:rPr>
        <w:t>est pas protégée par l</w:t>
      </w:r>
      <w:r>
        <w:rPr>
          <w:lang w:eastAsia="es-ES"/>
        </w:rPr>
        <w:t>’</w:t>
      </w:r>
      <w:r w:rsidRPr="00C622E0">
        <w:rPr>
          <w:lang w:eastAsia="es-ES"/>
        </w:rPr>
        <w:t>article</w:t>
      </w:r>
      <w:r w:rsidR="001514A8">
        <w:rPr>
          <w:lang w:eastAsia="es-ES"/>
        </w:rPr>
        <w:t> </w:t>
      </w:r>
      <w:r w:rsidRPr="00C622E0">
        <w:rPr>
          <w:lang w:eastAsia="es-ES"/>
        </w:rPr>
        <w:t>11 du Pacte, si bien que la restitution du bien immobilier à son propriétaire ne constitue pas un cas d</w:t>
      </w:r>
      <w:r>
        <w:rPr>
          <w:lang w:eastAsia="es-ES"/>
        </w:rPr>
        <w:t>’</w:t>
      </w:r>
      <w:r w:rsidRPr="00C622E0">
        <w:rPr>
          <w:lang w:eastAsia="es-ES"/>
        </w:rPr>
        <w:t>expulsion forcée au sens de l</w:t>
      </w:r>
      <w:r>
        <w:rPr>
          <w:lang w:eastAsia="es-ES"/>
        </w:rPr>
        <w:t>’</w:t>
      </w:r>
      <w:r w:rsidRPr="00C622E0">
        <w:rPr>
          <w:lang w:eastAsia="es-ES"/>
        </w:rPr>
        <w:t xml:space="preserve">article 11 du Pacte et de la doctrine du Comité. </w:t>
      </w:r>
      <w:r>
        <w:rPr>
          <w:lang w:eastAsia="es-ES"/>
        </w:rPr>
        <w:t>Selon le</w:t>
      </w:r>
      <w:r w:rsidRPr="00C622E0">
        <w:rPr>
          <w:lang w:eastAsia="es-ES"/>
        </w:rPr>
        <w:t xml:space="preserve"> paragraphe</w:t>
      </w:r>
      <w:r w:rsidR="001514A8">
        <w:rPr>
          <w:lang w:eastAsia="es-ES"/>
        </w:rPr>
        <w:t> </w:t>
      </w:r>
      <w:r w:rsidRPr="00C622E0">
        <w:rPr>
          <w:lang w:eastAsia="es-ES"/>
        </w:rPr>
        <w:t>3 de l</w:t>
      </w:r>
      <w:r>
        <w:rPr>
          <w:lang w:eastAsia="es-ES"/>
        </w:rPr>
        <w:t>’</w:t>
      </w:r>
      <w:r w:rsidRPr="00C622E0">
        <w:rPr>
          <w:lang w:eastAsia="es-ES"/>
        </w:rPr>
        <w:t xml:space="preserve">observation générale </w:t>
      </w:r>
      <w:r w:rsidRPr="0037462A">
        <w:rPr>
          <w:rFonts w:eastAsia="MS Mincho"/>
          <w:lang w:eastAsia="es-ES"/>
        </w:rPr>
        <w:t>n</w:t>
      </w:r>
      <w:r w:rsidRPr="0037462A">
        <w:rPr>
          <w:rFonts w:eastAsia="MS Mincho"/>
          <w:vertAlign w:val="superscript"/>
          <w:lang w:eastAsia="es-ES"/>
        </w:rPr>
        <w:t>o</w:t>
      </w:r>
      <w:r>
        <w:rPr>
          <w:lang w:eastAsia="es-ES"/>
        </w:rPr>
        <w:t> </w:t>
      </w:r>
      <w:r w:rsidRPr="00C622E0">
        <w:rPr>
          <w:lang w:eastAsia="es-ES"/>
        </w:rPr>
        <w:t xml:space="preserve">7, </w:t>
      </w:r>
      <w:r w:rsidRPr="00C622E0">
        <w:t>l</w:t>
      </w:r>
      <w:r>
        <w:t>’</w:t>
      </w:r>
      <w:r w:rsidRPr="00C622E0">
        <w:t>interdiction frappant les expulsions forcées ne s</w:t>
      </w:r>
      <w:r>
        <w:t>’</w:t>
      </w:r>
      <w:r w:rsidRPr="00C622E0">
        <w:t>applique toutefois pas à celles qui sont opérées par la force dans le respect de la loi et conformément aux dispositions des Pactes internationaux relatifs aux droits de l</w:t>
      </w:r>
      <w:r>
        <w:t>’</w:t>
      </w:r>
      <w:r w:rsidRPr="00C622E0">
        <w:t>homme</w:t>
      </w:r>
      <w:r w:rsidRPr="00C622E0">
        <w:rPr>
          <w:lang w:eastAsia="es-ES"/>
        </w:rPr>
        <w:t>. Dans ses principes de base et directives concernant les expulsions et les déplacements liés au développement</w:t>
      </w:r>
      <w:r w:rsidRPr="00C622E0">
        <w:rPr>
          <w:rStyle w:val="Appelnotedebasdep"/>
        </w:rPr>
        <w:footnoteReference w:id="13"/>
      </w:r>
      <w:r w:rsidRPr="00C622E0">
        <w:rPr>
          <w:lang w:eastAsia="es-ES"/>
        </w:rPr>
        <w:t>, le Rapporteur spécial sur le logement convenable ne mentionne pas les cas d</w:t>
      </w:r>
      <w:r>
        <w:rPr>
          <w:lang w:eastAsia="es-ES"/>
        </w:rPr>
        <w:t>’</w:t>
      </w:r>
      <w:r w:rsidRPr="00C622E0">
        <w:rPr>
          <w:lang w:eastAsia="es-ES"/>
        </w:rPr>
        <w:t>occupation illégale. Enfin, la fiche d</w:t>
      </w:r>
      <w:r>
        <w:rPr>
          <w:lang w:eastAsia="es-ES"/>
        </w:rPr>
        <w:t>’</w:t>
      </w:r>
      <w:r w:rsidRPr="00C622E0">
        <w:rPr>
          <w:lang w:eastAsia="es-ES"/>
        </w:rPr>
        <w:t xml:space="preserve">information </w:t>
      </w:r>
      <w:r w:rsidRPr="0037462A">
        <w:rPr>
          <w:rFonts w:eastAsia="MS Mincho"/>
          <w:lang w:eastAsia="es-ES"/>
        </w:rPr>
        <w:t>n</w:t>
      </w:r>
      <w:r w:rsidRPr="0037462A">
        <w:rPr>
          <w:rFonts w:eastAsia="MS Mincho"/>
          <w:vertAlign w:val="superscript"/>
          <w:lang w:eastAsia="es-ES"/>
        </w:rPr>
        <w:t>o</w:t>
      </w:r>
      <w:r>
        <w:rPr>
          <w:lang w:eastAsia="es-ES"/>
        </w:rPr>
        <w:t> </w:t>
      </w:r>
      <w:r w:rsidRPr="00C622E0">
        <w:rPr>
          <w:lang w:eastAsia="es-ES"/>
        </w:rPr>
        <w:t xml:space="preserve">25 </w:t>
      </w:r>
      <w:r>
        <w:rPr>
          <w:lang w:eastAsia="es-ES"/>
        </w:rPr>
        <w:t>du Haut</w:t>
      </w:r>
      <w:r w:rsidR="001514A8">
        <w:rPr>
          <w:lang w:eastAsia="es-ES"/>
        </w:rPr>
        <w:noBreakHyphen/>
      </w:r>
      <w:r>
        <w:rPr>
          <w:lang w:eastAsia="es-ES"/>
        </w:rPr>
        <w:t xml:space="preserve">Commissariat </w:t>
      </w:r>
      <w:r w:rsidRPr="00C622E0">
        <w:rPr>
          <w:lang w:eastAsia="es-ES"/>
        </w:rPr>
        <w:t>des Nations Unies</w:t>
      </w:r>
      <w:r>
        <w:rPr>
          <w:lang w:eastAsia="es-ES"/>
        </w:rPr>
        <w:t xml:space="preserve"> aux droits de l’homme</w:t>
      </w:r>
      <w:r w:rsidRPr="00C622E0">
        <w:rPr>
          <w:lang w:eastAsia="es-ES"/>
        </w:rPr>
        <w:t xml:space="preserve">, intitulée </w:t>
      </w:r>
      <w:r>
        <w:rPr>
          <w:lang w:eastAsia="es-ES"/>
        </w:rPr>
        <w:t>« </w:t>
      </w:r>
      <w:r w:rsidRPr="00C622E0">
        <w:rPr>
          <w:lang w:eastAsia="es-ES"/>
        </w:rPr>
        <w:t>L</w:t>
      </w:r>
      <w:r>
        <w:rPr>
          <w:lang w:eastAsia="es-ES"/>
        </w:rPr>
        <w:t>’</w:t>
      </w:r>
      <w:r w:rsidRPr="00C622E0">
        <w:rPr>
          <w:lang w:eastAsia="es-ES"/>
        </w:rPr>
        <w:t>éviction forcée et les droits de l</w:t>
      </w:r>
      <w:r>
        <w:rPr>
          <w:lang w:eastAsia="es-ES"/>
        </w:rPr>
        <w:t>’</w:t>
      </w:r>
      <w:r w:rsidRPr="00C622E0">
        <w:rPr>
          <w:lang w:eastAsia="es-ES"/>
        </w:rPr>
        <w:t>homme</w:t>
      </w:r>
      <w:r>
        <w:rPr>
          <w:lang w:eastAsia="es-ES"/>
        </w:rPr>
        <w:t> »</w:t>
      </w:r>
      <w:r w:rsidRPr="00C622E0">
        <w:rPr>
          <w:lang w:eastAsia="es-ES"/>
        </w:rPr>
        <w:t>, définit la pratique de l</w:t>
      </w:r>
      <w:r>
        <w:rPr>
          <w:lang w:eastAsia="es-ES"/>
        </w:rPr>
        <w:t>’</w:t>
      </w:r>
      <w:r w:rsidRPr="00C622E0">
        <w:rPr>
          <w:lang w:eastAsia="es-ES"/>
        </w:rPr>
        <w:t>éviction forcée comme l</w:t>
      </w:r>
      <w:r>
        <w:rPr>
          <w:lang w:eastAsia="es-ES"/>
        </w:rPr>
        <w:t>’</w:t>
      </w:r>
      <w:r w:rsidRPr="00C622E0">
        <w:rPr>
          <w:lang w:eastAsia="es-ES"/>
        </w:rPr>
        <w:t>expulsion de tout individu, famille ou communauté chassés de leur foyer, de leur terre ou de leur environnement, contre leur volonté ou d</w:t>
      </w:r>
      <w:r>
        <w:rPr>
          <w:lang w:eastAsia="es-ES"/>
        </w:rPr>
        <w:t>’</w:t>
      </w:r>
      <w:r w:rsidRPr="00C622E0">
        <w:rPr>
          <w:lang w:eastAsia="es-ES"/>
        </w:rPr>
        <w:t>une façon directement ou indirectement attribuable à l</w:t>
      </w:r>
      <w:r>
        <w:rPr>
          <w:lang w:eastAsia="es-ES"/>
        </w:rPr>
        <w:t>’</w:t>
      </w:r>
      <w:r w:rsidRPr="00C622E0">
        <w:rPr>
          <w:lang w:eastAsia="es-ES"/>
        </w:rPr>
        <w:t>État et mentionne les motifs possibles d</w:t>
      </w:r>
      <w:r>
        <w:rPr>
          <w:lang w:eastAsia="es-ES"/>
        </w:rPr>
        <w:t>’</w:t>
      </w:r>
      <w:r w:rsidRPr="00C622E0">
        <w:rPr>
          <w:lang w:eastAsia="es-ES"/>
        </w:rPr>
        <w:t>éviction forcée, parmi lesquels ne figure pas le cas de l</w:t>
      </w:r>
      <w:r>
        <w:rPr>
          <w:lang w:eastAsia="es-ES"/>
        </w:rPr>
        <w:t>’</w:t>
      </w:r>
      <w:r w:rsidRPr="00C622E0">
        <w:rPr>
          <w:lang w:eastAsia="es-ES"/>
        </w:rPr>
        <w:t xml:space="preserve">occupation illégale. De plus, </w:t>
      </w:r>
      <w:r>
        <w:rPr>
          <w:lang w:eastAsia="es-ES"/>
        </w:rPr>
        <w:t>au paragraphe</w:t>
      </w:r>
      <w:r w:rsidR="001514A8">
        <w:rPr>
          <w:lang w:eastAsia="es-ES"/>
        </w:rPr>
        <w:t> </w:t>
      </w:r>
      <w:r>
        <w:rPr>
          <w:lang w:eastAsia="es-ES"/>
        </w:rPr>
        <w:t>8</w:t>
      </w:r>
      <w:r w:rsidR="001514A8">
        <w:rPr>
          <w:lang w:eastAsia="es-ES"/>
        </w:rPr>
        <w:t> </w:t>
      </w:r>
      <w:r>
        <w:rPr>
          <w:lang w:eastAsia="es-ES"/>
        </w:rPr>
        <w:t xml:space="preserve">a) de son </w:t>
      </w:r>
      <w:r w:rsidRPr="00C622E0">
        <w:rPr>
          <w:lang w:eastAsia="es-ES"/>
        </w:rPr>
        <w:t xml:space="preserve">observation générale </w:t>
      </w:r>
      <w:r w:rsidRPr="0037462A">
        <w:rPr>
          <w:rFonts w:eastAsia="MS Mincho"/>
          <w:lang w:eastAsia="es-ES"/>
        </w:rPr>
        <w:t>n</w:t>
      </w:r>
      <w:r w:rsidRPr="0037462A">
        <w:rPr>
          <w:rFonts w:eastAsia="MS Mincho"/>
          <w:vertAlign w:val="superscript"/>
          <w:lang w:eastAsia="es-ES"/>
        </w:rPr>
        <w:t>o</w:t>
      </w:r>
      <w:r>
        <w:rPr>
          <w:lang w:eastAsia="es-ES"/>
        </w:rPr>
        <w:t> </w:t>
      </w:r>
      <w:r w:rsidRPr="00C622E0">
        <w:rPr>
          <w:lang w:eastAsia="es-ES"/>
        </w:rPr>
        <w:t>4</w:t>
      </w:r>
      <w:r>
        <w:rPr>
          <w:lang w:eastAsia="es-ES"/>
        </w:rPr>
        <w:t>, le Comité</w:t>
      </w:r>
      <w:r w:rsidRPr="00C622E0">
        <w:rPr>
          <w:lang w:eastAsia="es-ES"/>
        </w:rPr>
        <w:t xml:space="preserve"> mentionne uniquement des formes d</w:t>
      </w:r>
      <w:r>
        <w:rPr>
          <w:lang w:eastAsia="es-ES"/>
        </w:rPr>
        <w:t>’</w:t>
      </w:r>
      <w:r w:rsidRPr="00C622E0">
        <w:rPr>
          <w:lang w:eastAsia="es-ES"/>
        </w:rPr>
        <w:t xml:space="preserve">occupation licites : </w:t>
      </w:r>
      <w:r>
        <w:t>i</w:t>
      </w:r>
      <w:r w:rsidRPr="00C622E0">
        <w:t>l existe diverses formes d</w:t>
      </w:r>
      <w:r>
        <w:t>’</w:t>
      </w:r>
      <w:r w:rsidRPr="00C622E0">
        <w:t xml:space="preserve">occupation </w:t>
      </w:r>
      <w:r>
        <w:t>−</w:t>
      </w:r>
      <w:r w:rsidRPr="00C622E0">
        <w:t xml:space="preserve"> la location (par le secteur public ou privé), la copropriété, le bail, la propriété, l</w:t>
      </w:r>
      <w:r>
        <w:t>’</w:t>
      </w:r>
      <w:r w:rsidRPr="00C622E0">
        <w:t>hébergement d</w:t>
      </w:r>
      <w:r>
        <w:t>’</w:t>
      </w:r>
      <w:r w:rsidRPr="00C622E0">
        <w:t>urgence et l</w:t>
      </w:r>
      <w:r>
        <w:t>’</w:t>
      </w:r>
      <w:r w:rsidRPr="00C622E0">
        <w:t>occupation précaire, qu</w:t>
      </w:r>
      <w:r>
        <w:t>’</w:t>
      </w:r>
      <w:r w:rsidRPr="00C622E0">
        <w:t>il s</w:t>
      </w:r>
      <w:r>
        <w:t>’</w:t>
      </w:r>
      <w:r w:rsidRPr="00C622E0">
        <w:t xml:space="preserve">agisse de terres ou de locaux. </w:t>
      </w:r>
      <w:r w:rsidRPr="00C622E0">
        <w:rPr>
          <w:lang w:eastAsia="es-ES"/>
        </w:rPr>
        <w:t>Enfin, le respect de la légalité est établi ou présumé dans l</w:t>
      </w:r>
      <w:r>
        <w:rPr>
          <w:lang w:eastAsia="es-ES"/>
        </w:rPr>
        <w:t>’</w:t>
      </w:r>
      <w:r w:rsidRPr="00C622E0">
        <w:rPr>
          <w:lang w:eastAsia="es-ES"/>
        </w:rPr>
        <w:t xml:space="preserve">observation générale </w:t>
      </w:r>
      <w:r w:rsidRPr="0037462A">
        <w:rPr>
          <w:rFonts w:eastAsia="MS Mincho"/>
          <w:lang w:eastAsia="es-ES"/>
        </w:rPr>
        <w:t>n</w:t>
      </w:r>
      <w:r w:rsidRPr="0037462A">
        <w:rPr>
          <w:rFonts w:eastAsia="MS Mincho"/>
          <w:vertAlign w:val="superscript"/>
          <w:lang w:eastAsia="es-ES"/>
        </w:rPr>
        <w:t>o</w:t>
      </w:r>
      <w:r>
        <w:rPr>
          <w:lang w:eastAsia="es-ES"/>
        </w:rPr>
        <w:t> </w:t>
      </w:r>
      <w:r w:rsidRPr="00C622E0">
        <w:rPr>
          <w:lang w:eastAsia="es-ES"/>
        </w:rPr>
        <w:t xml:space="preserve">7, dont le paragraphe 11 dispose </w:t>
      </w:r>
      <w:r>
        <w:rPr>
          <w:lang w:eastAsia="es-ES"/>
        </w:rPr>
        <w:t>que, </w:t>
      </w:r>
      <w:r>
        <w:t>s</w:t>
      </w:r>
      <w:r w:rsidRPr="00C622E0">
        <w:t>i certaines expulsions peuvent être légitimes, par exemple en cas de non</w:t>
      </w:r>
      <w:r w:rsidRPr="00C622E0">
        <w:noBreakHyphen/>
        <w:t>paiement persistant du loyer ou de dommages causés sans motif raisonnable à un bien loué, il incombe cependant aux autorités compétentes de veiller à ce qu</w:t>
      </w:r>
      <w:r>
        <w:t>’</w:t>
      </w:r>
      <w:r w:rsidRPr="00C622E0">
        <w:t>elles soient effectuées selon les modalités définies par une loi compatible avec le Pacte et à ce que toutes les voies de recours prévues par la loi soient accessibles aux personnes visées.</w:t>
      </w:r>
      <w:r w:rsidRPr="00C622E0">
        <w:rPr>
          <w:lang w:eastAsia="es-ES"/>
        </w:rPr>
        <w:t xml:space="preserve"> Il en résulte que l</w:t>
      </w:r>
      <w:r>
        <w:rPr>
          <w:lang w:eastAsia="es-ES"/>
        </w:rPr>
        <w:t>’</w:t>
      </w:r>
      <w:r w:rsidRPr="00C622E0">
        <w:rPr>
          <w:lang w:eastAsia="es-ES"/>
        </w:rPr>
        <w:t>occupation du logement par l</w:t>
      </w:r>
      <w:r>
        <w:rPr>
          <w:lang w:eastAsia="es-ES"/>
        </w:rPr>
        <w:t>’</w:t>
      </w:r>
      <w:r w:rsidRPr="00C622E0">
        <w:rPr>
          <w:lang w:eastAsia="es-ES"/>
        </w:rPr>
        <w:t xml:space="preserve">auteure ne fait pas partie des formes </w:t>
      </w:r>
      <w:r w:rsidRPr="00C622E0">
        <w:rPr>
          <w:lang w:eastAsia="es-ES"/>
        </w:rPr>
        <w:lastRenderedPageBreak/>
        <w:t>d</w:t>
      </w:r>
      <w:r>
        <w:rPr>
          <w:lang w:eastAsia="es-ES"/>
        </w:rPr>
        <w:t>’</w:t>
      </w:r>
      <w:r w:rsidRPr="00C622E0">
        <w:rPr>
          <w:lang w:eastAsia="es-ES"/>
        </w:rPr>
        <w:t>occupation pacifiques protégées par l</w:t>
      </w:r>
      <w:r>
        <w:rPr>
          <w:lang w:eastAsia="es-ES"/>
        </w:rPr>
        <w:t>’</w:t>
      </w:r>
      <w:r w:rsidRPr="00C622E0">
        <w:rPr>
          <w:lang w:eastAsia="es-ES"/>
        </w:rPr>
        <w:t>article</w:t>
      </w:r>
      <w:r w:rsidR="001514A8">
        <w:rPr>
          <w:lang w:eastAsia="es-ES"/>
        </w:rPr>
        <w:t> </w:t>
      </w:r>
      <w:r w:rsidRPr="00C622E0">
        <w:rPr>
          <w:lang w:eastAsia="es-ES"/>
        </w:rPr>
        <w:t>11 du Pacte. Toute autre considération reviendrait à valider, au nom du droit au logement, un comportement contraire au droit pénal et une atteinte au droit à la propriété détenu par le propriétaire du</w:t>
      </w:r>
      <w:r>
        <w:rPr>
          <w:lang w:eastAsia="es-ES"/>
        </w:rPr>
        <w:t> </w:t>
      </w:r>
      <w:r w:rsidRPr="00C622E0">
        <w:rPr>
          <w:lang w:eastAsia="es-ES"/>
        </w:rPr>
        <w:t>logement.</w:t>
      </w:r>
    </w:p>
    <w:p w14:paraId="5078CEA3" w14:textId="77777777" w:rsidR="0037651B" w:rsidRPr="00C622E0" w:rsidRDefault="0037651B" w:rsidP="0037651B">
      <w:pPr>
        <w:pStyle w:val="SingleTxtG"/>
        <w:rPr>
          <w:lang w:eastAsia="es-ES"/>
        </w:rPr>
      </w:pPr>
      <w:r w:rsidRPr="00C622E0">
        <w:rPr>
          <w:lang w:eastAsia="es-ES"/>
        </w:rPr>
        <w:t>4.10</w:t>
      </w:r>
      <w:r w:rsidRPr="00C622E0">
        <w:rPr>
          <w:lang w:eastAsia="es-ES"/>
        </w:rPr>
        <w:tab/>
        <w:t>L</w:t>
      </w:r>
      <w:r>
        <w:rPr>
          <w:lang w:eastAsia="es-ES"/>
        </w:rPr>
        <w:t>’</w:t>
      </w:r>
      <w:r w:rsidRPr="00C622E0">
        <w:rPr>
          <w:lang w:eastAsia="es-ES"/>
        </w:rPr>
        <w:t>État partie conclut que la situation de l</w:t>
      </w:r>
      <w:r>
        <w:rPr>
          <w:lang w:eastAsia="es-ES"/>
        </w:rPr>
        <w:t>’</w:t>
      </w:r>
      <w:r w:rsidRPr="00C622E0">
        <w:rPr>
          <w:lang w:eastAsia="es-ES"/>
        </w:rPr>
        <w:t>auteure n</w:t>
      </w:r>
      <w:r>
        <w:rPr>
          <w:lang w:eastAsia="es-ES"/>
        </w:rPr>
        <w:t>’</w:t>
      </w:r>
      <w:r w:rsidRPr="00C622E0">
        <w:rPr>
          <w:lang w:eastAsia="es-ES"/>
        </w:rPr>
        <w:t>est pas un cas d</w:t>
      </w:r>
      <w:r>
        <w:rPr>
          <w:lang w:eastAsia="es-ES"/>
        </w:rPr>
        <w:t>’</w:t>
      </w:r>
      <w:r w:rsidRPr="00C622E0">
        <w:rPr>
          <w:lang w:eastAsia="es-ES"/>
        </w:rPr>
        <w:t xml:space="preserve">expulsion forcée, que la décision du tribunal pénal </w:t>
      </w:r>
      <w:r w:rsidRPr="0037462A">
        <w:rPr>
          <w:rFonts w:eastAsia="MS Mincho"/>
          <w:lang w:eastAsia="es-ES"/>
        </w:rPr>
        <w:t>n</w:t>
      </w:r>
      <w:r w:rsidRPr="0037462A">
        <w:rPr>
          <w:rFonts w:eastAsia="MS Mincho"/>
          <w:vertAlign w:val="superscript"/>
          <w:lang w:eastAsia="es-ES"/>
        </w:rPr>
        <w:t>o</w:t>
      </w:r>
      <w:r>
        <w:rPr>
          <w:lang w:eastAsia="es-ES"/>
        </w:rPr>
        <w:t> </w:t>
      </w:r>
      <w:r w:rsidRPr="00C622E0">
        <w:rPr>
          <w:lang w:eastAsia="es-ES"/>
        </w:rPr>
        <w:t>15 de Madrid protège le droit du titulaire du bien immobilier à la propriété et que l</w:t>
      </w:r>
      <w:r>
        <w:rPr>
          <w:lang w:eastAsia="es-ES"/>
        </w:rPr>
        <w:t>’</w:t>
      </w:r>
      <w:r w:rsidRPr="00C622E0">
        <w:rPr>
          <w:lang w:eastAsia="es-ES"/>
        </w:rPr>
        <w:t>auteure a bénéficié de l</w:t>
      </w:r>
      <w:r>
        <w:rPr>
          <w:lang w:eastAsia="es-ES"/>
        </w:rPr>
        <w:t>’</w:t>
      </w:r>
      <w:r w:rsidRPr="00C622E0">
        <w:rPr>
          <w:lang w:eastAsia="es-ES"/>
        </w:rPr>
        <w:t>attention constante des administrations publiques espagnoles dans la mesure des moyens à leur disposition, et attend actuellement de se voir attribuer un logement public.</w:t>
      </w:r>
    </w:p>
    <w:p w14:paraId="459C1D48" w14:textId="77777777" w:rsidR="0037651B" w:rsidRPr="00C622E0" w:rsidRDefault="0037651B" w:rsidP="0037651B">
      <w:pPr>
        <w:pStyle w:val="H23G"/>
        <w:rPr>
          <w:lang w:eastAsia="es-ES"/>
        </w:rPr>
      </w:pPr>
      <w:r w:rsidRPr="00C622E0">
        <w:rPr>
          <w:lang w:eastAsia="es-ES"/>
        </w:rPr>
        <w:tab/>
      </w:r>
      <w:r w:rsidRPr="00C622E0">
        <w:rPr>
          <w:lang w:eastAsia="es-ES"/>
        </w:rPr>
        <w:tab/>
        <w:t>Commentaires de l</w:t>
      </w:r>
      <w:r>
        <w:rPr>
          <w:lang w:eastAsia="es-ES"/>
        </w:rPr>
        <w:t>’</w:t>
      </w:r>
      <w:r w:rsidRPr="00C622E0">
        <w:rPr>
          <w:lang w:eastAsia="es-ES"/>
        </w:rPr>
        <w:t>auteure sur les observations de l</w:t>
      </w:r>
      <w:r>
        <w:rPr>
          <w:lang w:eastAsia="es-ES"/>
        </w:rPr>
        <w:t>’</w:t>
      </w:r>
      <w:r w:rsidRPr="00C622E0">
        <w:rPr>
          <w:lang w:eastAsia="es-ES"/>
        </w:rPr>
        <w:t>État partie concernant la recevabilité et le fond</w:t>
      </w:r>
    </w:p>
    <w:p w14:paraId="111C21C2" w14:textId="77777777" w:rsidR="001514A8" w:rsidRDefault="0037651B" w:rsidP="0037651B">
      <w:pPr>
        <w:pStyle w:val="SingleTxtG"/>
        <w:rPr>
          <w:lang w:eastAsia="es-ES"/>
        </w:rPr>
      </w:pPr>
      <w:r w:rsidRPr="00C622E0">
        <w:rPr>
          <w:lang w:eastAsia="es-ES"/>
        </w:rPr>
        <w:t>5.1</w:t>
      </w:r>
      <w:r w:rsidRPr="00C622E0">
        <w:rPr>
          <w:lang w:eastAsia="es-ES"/>
        </w:rPr>
        <w:tab/>
        <w:t>Le 8</w:t>
      </w:r>
      <w:r>
        <w:rPr>
          <w:lang w:eastAsia="es-ES"/>
        </w:rPr>
        <w:t> </w:t>
      </w:r>
      <w:r w:rsidRPr="00C622E0">
        <w:rPr>
          <w:lang w:eastAsia="es-ES"/>
        </w:rPr>
        <w:t>mai 2019, l</w:t>
      </w:r>
      <w:r>
        <w:rPr>
          <w:lang w:eastAsia="es-ES"/>
        </w:rPr>
        <w:t>’</w:t>
      </w:r>
      <w:r w:rsidRPr="00C622E0">
        <w:rPr>
          <w:lang w:eastAsia="es-ES"/>
        </w:rPr>
        <w:t>auteure a soumis ses commentaires sur les observations formulées par l</w:t>
      </w:r>
      <w:r>
        <w:rPr>
          <w:lang w:eastAsia="es-ES"/>
        </w:rPr>
        <w:t>’</w:t>
      </w:r>
      <w:r w:rsidRPr="00C622E0">
        <w:rPr>
          <w:lang w:eastAsia="es-ES"/>
        </w:rPr>
        <w:t>État partie. Elle affirme que les mesures adoptées au cours des années qui ont précédé les faits mentionnés dans la communication n</w:t>
      </w:r>
      <w:r>
        <w:rPr>
          <w:lang w:eastAsia="es-ES"/>
        </w:rPr>
        <w:t>’</w:t>
      </w:r>
      <w:r w:rsidRPr="00C622E0">
        <w:rPr>
          <w:lang w:eastAsia="es-ES"/>
        </w:rPr>
        <w:t>ont aucun rapport avec l</w:t>
      </w:r>
      <w:r>
        <w:rPr>
          <w:lang w:eastAsia="es-ES"/>
        </w:rPr>
        <w:t>’</w:t>
      </w:r>
      <w:r w:rsidRPr="00C622E0">
        <w:rPr>
          <w:lang w:eastAsia="es-ES"/>
        </w:rPr>
        <w:t>objet de celle-ci et qu</w:t>
      </w:r>
      <w:r>
        <w:rPr>
          <w:lang w:eastAsia="es-ES"/>
        </w:rPr>
        <w:t>’</w:t>
      </w:r>
      <w:r w:rsidRPr="00C622E0">
        <w:rPr>
          <w:lang w:eastAsia="es-ES"/>
        </w:rPr>
        <w:t>elles sont en outre insuffisantes, si l</w:t>
      </w:r>
      <w:r>
        <w:rPr>
          <w:lang w:eastAsia="es-ES"/>
        </w:rPr>
        <w:t>’</w:t>
      </w:r>
      <w:r w:rsidRPr="00C622E0">
        <w:rPr>
          <w:lang w:eastAsia="es-ES"/>
        </w:rPr>
        <w:t xml:space="preserve">on en juge par le nombre de cas où des personnes sont privées de protection. De plus, les mesures prévues par le décret-loi royal </w:t>
      </w:r>
      <w:r w:rsidRPr="0037462A">
        <w:rPr>
          <w:rFonts w:eastAsia="MS Mincho"/>
          <w:lang w:eastAsia="es-ES"/>
        </w:rPr>
        <w:t>n</w:t>
      </w:r>
      <w:r w:rsidRPr="0037462A">
        <w:rPr>
          <w:rFonts w:eastAsia="MS Mincho"/>
          <w:vertAlign w:val="superscript"/>
          <w:lang w:eastAsia="es-ES"/>
        </w:rPr>
        <w:t>o</w:t>
      </w:r>
      <w:r>
        <w:rPr>
          <w:lang w:eastAsia="es-ES"/>
        </w:rPr>
        <w:t> </w:t>
      </w:r>
      <w:r w:rsidRPr="00C622E0">
        <w:rPr>
          <w:lang w:eastAsia="es-ES"/>
        </w:rPr>
        <w:t>21/2018 concernent les contrats de bail à loyer, si bien qu</w:t>
      </w:r>
      <w:r>
        <w:rPr>
          <w:lang w:eastAsia="es-ES"/>
        </w:rPr>
        <w:t>’</w:t>
      </w:r>
      <w:r w:rsidRPr="00C622E0">
        <w:rPr>
          <w:lang w:eastAsia="es-ES"/>
        </w:rPr>
        <w:t>elles ne s</w:t>
      </w:r>
      <w:r>
        <w:rPr>
          <w:lang w:eastAsia="es-ES"/>
        </w:rPr>
        <w:t>’</w:t>
      </w:r>
      <w:r w:rsidRPr="00C622E0">
        <w:rPr>
          <w:lang w:eastAsia="es-ES"/>
        </w:rPr>
        <w:t>appliquent pas non plus à la situation de l</w:t>
      </w:r>
      <w:r>
        <w:rPr>
          <w:lang w:eastAsia="es-ES"/>
        </w:rPr>
        <w:t>’</w:t>
      </w:r>
      <w:r w:rsidRPr="00C622E0">
        <w:rPr>
          <w:lang w:eastAsia="es-ES"/>
        </w:rPr>
        <w:t>auteure.</w:t>
      </w:r>
    </w:p>
    <w:p w14:paraId="7F47D7B4" w14:textId="77777777" w:rsidR="0037651B" w:rsidRPr="00C622E0" w:rsidRDefault="0037651B" w:rsidP="0037651B">
      <w:pPr>
        <w:pStyle w:val="SingleTxtG"/>
        <w:rPr>
          <w:lang w:eastAsia="es-ES"/>
        </w:rPr>
      </w:pPr>
      <w:r w:rsidRPr="00C622E0">
        <w:rPr>
          <w:lang w:eastAsia="es-ES"/>
        </w:rPr>
        <w:t>5.2</w:t>
      </w:r>
      <w:r w:rsidRPr="00C622E0">
        <w:rPr>
          <w:lang w:eastAsia="es-ES"/>
        </w:rPr>
        <w:tab/>
        <w:t>En ce qui concerne les lois sur le logement en vigueur dans les communautés autonomes qui ont été mentionnées par l</w:t>
      </w:r>
      <w:r>
        <w:rPr>
          <w:lang w:eastAsia="es-ES"/>
        </w:rPr>
        <w:t>’</w:t>
      </w:r>
      <w:r w:rsidRPr="00C622E0">
        <w:rPr>
          <w:lang w:eastAsia="es-ES"/>
        </w:rPr>
        <w:t>État partie, aucune ne concerne Madrid et leur efficacité est très limitée, puisqu</w:t>
      </w:r>
      <w:r>
        <w:rPr>
          <w:lang w:eastAsia="es-ES"/>
        </w:rPr>
        <w:t>’</w:t>
      </w:r>
      <w:r w:rsidRPr="00C622E0">
        <w:rPr>
          <w:lang w:eastAsia="es-ES"/>
        </w:rPr>
        <w:t>elles ont été suspendues par le Tribunal constitutionnel après le recours formé par le Gouvernement central. L</w:t>
      </w:r>
      <w:r>
        <w:rPr>
          <w:lang w:eastAsia="es-ES"/>
        </w:rPr>
        <w:t>’</w:t>
      </w:r>
      <w:r w:rsidRPr="00C622E0">
        <w:rPr>
          <w:lang w:eastAsia="es-ES"/>
        </w:rPr>
        <w:t>auteure affirme que le manque de coordination entre les différentes administrations, qui est évident dans son cas, constitue en soi une violation</w:t>
      </w:r>
      <w:r w:rsidRPr="00C622E0">
        <w:rPr>
          <w:rStyle w:val="Appelnotedebasdep"/>
        </w:rPr>
        <w:footnoteReference w:id="14"/>
      </w:r>
      <w:r w:rsidRPr="00C622E0">
        <w:rPr>
          <w:lang w:eastAsia="es-ES"/>
        </w:rPr>
        <w:t>.</w:t>
      </w:r>
    </w:p>
    <w:p w14:paraId="022B187E" w14:textId="77777777" w:rsidR="0037651B" w:rsidRPr="0037462A" w:rsidRDefault="0037651B" w:rsidP="0037651B">
      <w:pPr>
        <w:pStyle w:val="SingleTxtG"/>
        <w:rPr>
          <w:spacing w:val="-1"/>
          <w:lang w:eastAsia="es-ES"/>
        </w:rPr>
      </w:pPr>
      <w:r w:rsidRPr="0037462A">
        <w:rPr>
          <w:spacing w:val="-1"/>
          <w:lang w:eastAsia="es-ES"/>
        </w:rPr>
        <w:t>5.3</w:t>
      </w:r>
      <w:r w:rsidRPr="0037462A">
        <w:rPr>
          <w:spacing w:val="-1"/>
          <w:lang w:eastAsia="es-ES"/>
        </w:rPr>
        <w:tab/>
        <w:t>L</w:t>
      </w:r>
      <w:r>
        <w:rPr>
          <w:spacing w:val="-1"/>
          <w:lang w:eastAsia="es-ES"/>
        </w:rPr>
        <w:t>’</w:t>
      </w:r>
      <w:r w:rsidRPr="0037462A">
        <w:rPr>
          <w:spacing w:val="-1"/>
          <w:lang w:eastAsia="es-ES"/>
        </w:rPr>
        <w:t>auteure considère que, si l</w:t>
      </w:r>
      <w:r>
        <w:rPr>
          <w:spacing w:val="-1"/>
          <w:lang w:eastAsia="es-ES"/>
        </w:rPr>
        <w:t>’</w:t>
      </w:r>
      <w:r w:rsidRPr="0037462A">
        <w:rPr>
          <w:spacing w:val="-1"/>
          <w:lang w:eastAsia="es-ES"/>
        </w:rPr>
        <w:t>État partie avait donné suite aux recommandations faites par le Comité dans l</w:t>
      </w:r>
      <w:r>
        <w:rPr>
          <w:spacing w:val="-1"/>
          <w:lang w:eastAsia="es-ES"/>
        </w:rPr>
        <w:t>’</w:t>
      </w:r>
      <w:r w:rsidRPr="0037462A">
        <w:rPr>
          <w:spacing w:val="-1"/>
          <w:lang w:eastAsia="es-ES"/>
        </w:rPr>
        <w:t xml:space="preserve">affaire </w:t>
      </w:r>
      <w:r w:rsidRPr="0037462A">
        <w:rPr>
          <w:i/>
          <w:spacing w:val="-1"/>
          <w:lang w:eastAsia="es-ES"/>
        </w:rPr>
        <w:t xml:space="preserve">Ben Djazia et </w:t>
      </w:r>
      <w:r>
        <w:rPr>
          <w:i/>
          <w:spacing w:val="-1"/>
          <w:lang w:eastAsia="es-ES"/>
        </w:rPr>
        <w:t>Bellili</w:t>
      </w:r>
      <w:r w:rsidRPr="0037462A">
        <w:rPr>
          <w:i/>
          <w:spacing w:val="-1"/>
          <w:lang w:eastAsia="es-ES"/>
        </w:rPr>
        <w:t xml:space="preserve"> c. Espagne</w:t>
      </w:r>
      <w:r w:rsidRPr="0037462A">
        <w:rPr>
          <w:rStyle w:val="Appelnotedebasdep"/>
          <w:spacing w:val="-1"/>
        </w:rPr>
        <w:footnoteReference w:id="15"/>
      </w:r>
      <w:r w:rsidRPr="0037462A">
        <w:rPr>
          <w:spacing w:val="-1"/>
          <w:lang w:eastAsia="es-ES"/>
        </w:rPr>
        <w:t>, cela aurait contribué à prévenir la violation survenue en l</w:t>
      </w:r>
      <w:r>
        <w:rPr>
          <w:spacing w:val="-1"/>
          <w:lang w:eastAsia="es-ES"/>
        </w:rPr>
        <w:t>’</w:t>
      </w:r>
      <w:r w:rsidRPr="0037462A">
        <w:rPr>
          <w:spacing w:val="-1"/>
          <w:lang w:eastAsia="es-ES"/>
        </w:rPr>
        <w:t>espèce. Les constatations du Comité n</w:t>
      </w:r>
      <w:r>
        <w:rPr>
          <w:spacing w:val="-1"/>
          <w:lang w:eastAsia="es-ES"/>
        </w:rPr>
        <w:t>’</w:t>
      </w:r>
      <w:r w:rsidRPr="0037462A">
        <w:rPr>
          <w:spacing w:val="-1"/>
          <w:lang w:eastAsia="es-ES"/>
        </w:rPr>
        <w:t xml:space="preserve">ont pas été publiées au Journal officiel </w:t>
      </w:r>
      <w:r w:rsidRPr="0037462A">
        <w:rPr>
          <w:spacing w:val="-1"/>
        </w:rPr>
        <w:t>(</w:t>
      </w:r>
      <w:r w:rsidRPr="0037462A">
        <w:rPr>
          <w:i/>
          <w:iCs/>
          <w:spacing w:val="-1"/>
        </w:rPr>
        <w:t>Boletín Oficial del Estado</w:t>
      </w:r>
      <w:r w:rsidRPr="0037462A">
        <w:rPr>
          <w:spacing w:val="-1"/>
        </w:rPr>
        <w:t>)</w:t>
      </w:r>
      <w:r w:rsidRPr="0037462A">
        <w:rPr>
          <w:spacing w:val="-1"/>
          <w:lang w:eastAsia="es-ES"/>
        </w:rPr>
        <w:t>, mais dans le Bulletin du Ministère de la justice, sans être diffusées auprès des populations concernées et des groupes en situation de vulnérabilité en matière d</w:t>
      </w:r>
      <w:r>
        <w:rPr>
          <w:spacing w:val="-1"/>
          <w:lang w:eastAsia="es-ES"/>
        </w:rPr>
        <w:t>’</w:t>
      </w:r>
      <w:r w:rsidRPr="0037462A">
        <w:rPr>
          <w:spacing w:val="-1"/>
          <w:lang w:eastAsia="es-ES"/>
        </w:rPr>
        <w:t>accès au logement. De plus, l</w:t>
      </w:r>
      <w:r>
        <w:rPr>
          <w:spacing w:val="-1"/>
          <w:lang w:eastAsia="es-ES"/>
        </w:rPr>
        <w:t>’</w:t>
      </w:r>
      <w:r w:rsidRPr="0037462A">
        <w:rPr>
          <w:spacing w:val="-1"/>
          <w:lang w:eastAsia="es-ES"/>
        </w:rPr>
        <w:t>État partie ne s</w:t>
      </w:r>
      <w:r>
        <w:rPr>
          <w:spacing w:val="-1"/>
          <w:lang w:eastAsia="es-ES"/>
        </w:rPr>
        <w:t>’</w:t>
      </w:r>
      <w:r w:rsidRPr="0037462A">
        <w:rPr>
          <w:spacing w:val="-1"/>
          <w:lang w:eastAsia="es-ES"/>
        </w:rPr>
        <w:t>est pas assuré de la tenue de consultations véritables et efficaces avant l</w:t>
      </w:r>
      <w:r>
        <w:rPr>
          <w:spacing w:val="-1"/>
          <w:lang w:eastAsia="es-ES"/>
        </w:rPr>
        <w:t>’</w:t>
      </w:r>
      <w:r w:rsidRPr="0037462A">
        <w:rPr>
          <w:spacing w:val="-1"/>
          <w:lang w:eastAsia="es-ES"/>
        </w:rPr>
        <w:t xml:space="preserve">expulsion de personnes sans ressources. </w:t>
      </w:r>
      <w:r>
        <w:rPr>
          <w:spacing w:val="-1"/>
          <w:lang w:eastAsia="es-ES"/>
        </w:rPr>
        <w:t>L</w:t>
      </w:r>
      <w:r w:rsidRPr="0037462A">
        <w:rPr>
          <w:spacing w:val="-1"/>
          <w:lang w:eastAsia="es-ES"/>
        </w:rPr>
        <w:t>es organes judiciaires délivrent des ordres d</w:t>
      </w:r>
      <w:r>
        <w:rPr>
          <w:spacing w:val="-1"/>
          <w:lang w:eastAsia="es-ES"/>
        </w:rPr>
        <w:t>’</w:t>
      </w:r>
      <w:r w:rsidRPr="0037462A">
        <w:rPr>
          <w:spacing w:val="-1"/>
          <w:lang w:eastAsia="es-ES"/>
        </w:rPr>
        <w:t>expulsion sans même tenir compte du nombre de personnes qui occupent le logement et vont parfois jusqu</w:t>
      </w:r>
      <w:r>
        <w:rPr>
          <w:spacing w:val="-1"/>
          <w:lang w:eastAsia="es-ES"/>
        </w:rPr>
        <w:t>’</w:t>
      </w:r>
      <w:r w:rsidRPr="0037462A">
        <w:rPr>
          <w:spacing w:val="-1"/>
          <w:lang w:eastAsia="es-ES"/>
        </w:rPr>
        <w:t>à ordonner l</w:t>
      </w:r>
      <w:r>
        <w:rPr>
          <w:spacing w:val="-1"/>
          <w:lang w:eastAsia="es-ES"/>
        </w:rPr>
        <w:t>’</w:t>
      </w:r>
      <w:r w:rsidRPr="0037462A">
        <w:rPr>
          <w:spacing w:val="-1"/>
          <w:lang w:eastAsia="es-ES"/>
        </w:rPr>
        <w:t>éviction des « occupants inconnus »</w:t>
      </w:r>
      <w:r w:rsidRPr="0037462A">
        <w:rPr>
          <w:rStyle w:val="Appelnotedebasdep"/>
          <w:spacing w:val="-1"/>
        </w:rPr>
        <w:footnoteReference w:id="16"/>
      </w:r>
      <w:r w:rsidRPr="0037462A">
        <w:rPr>
          <w:spacing w:val="-1"/>
          <w:lang w:eastAsia="es-ES"/>
        </w:rPr>
        <w:t>, qui sont ainsi privés de tout type de protection. De surcroît, une proposition de loi vise actuellement à faciliter encore les expulsions pour occupation sans titre juridique, en empêcher les occupants d</w:t>
      </w:r>
      <w:r>
        <w:rPr>
          <w:spacing w:val="-1"/>
          <w:lang w:eastAsia="es-ES"/>
        </w:rPr>
        <w:t>’</w:t>
      </w:r>
      <w:r w:rsidRPr="0037462A">
        <w:rPr>
          <w:spacing w:val="-1"/>
          <w:lang w:eastAsia="es-ES"/>
        </w:rPr>
        <w:t xml:space="preserve">intervenir dans la procédure. </w:t>
      </w:r>
      <w:r>
        <w:rPr>
          <w:spacing w:val="-1"/>
          <w:lang w:eastAsia="es-ES"/>
        </w:rPr>
        <w:t>E</w:t>
      </w:r>
      <w:r w:rsidRPr="0037462A">
        <w:rPr>
          <w:spacing w:val="-1"/>
          <w:lang w:eastAsia="es-ES"/>
        </w:rPr>
        <w:t>n 2018, les expulsions ont augmenté de 6,73 % dans la Communauté de Madrid et de 2,56 % sur l</w:t>
      </w:r>
      <w:r>
        <w:rPr>
          <w:spacing w:val="-1"/>
          <w:lang w:eastAsia="es-ES"/>
        </w:rPr>
        <w:t>’</w:t>
      </w:r>
      <w:r w:rsidRPr="0037462A">
        <w:rPr>
          <w:spacing w:val="-1"/>
          <w:lang w:eastAsia="es-ES"/>
        </w:rPr>
        <w:t>ensemble du territoire espagnol, selon les données du Conseil général du pouvoir judiciaire</w:t>
      </w:r>
      <w:r w:rsidRPr="0037462A">
        <w:rPr>
          <w:rStyle w:val="Appelnotedebasdep"/>
          <w:spacing w:val="-1"/>
        </w:rPr>
        <w:footnoteReference w:id="17"/>
      </w:r>
      <w:r w:rsidRPr="0037462A">
        <w:rPr>
          <w:spacing w:val="-1"/>
          <w:lang w:eastAsia="es-ES"/>
        </w:rPr>
        <w:t>.</w:t>
      </w:r>
    </w:p>
    <w:p w14:paraId="4A57563E" w14:textId="77777777" w:rsidR="0037651B" w:rsidRPr="00C622E0" w:rsidRDefault="0037651B" w:rsidP="0037651B">
      <w:pPr>
        <w:pStyle w:val="SingleTxtG"/>
        <w:rPr>
          <w:lang w:eastAsia="es-ES"/>
        </w:rPr>
      </w:pPr>
      <w:r w:rsidRPr="00C622E0">
        <w:rPr>
          <w:lang w:eastAsia="es-ES"/>
        </w:rPr>
        <w:t>5.4</w:t>
      </w:r>
      <w:r w:rsidRPr="00C622E0">
        <w:rPr>
          <w:lang w:eastAsia="es-ES"/>
        </w:rPr>
        <w:tab/>
        <w:t>L</w:t>
      </w:r>
      <w:r>
        <w:rPr>
          <w:lang w:eastAsia="es-ES"/>
        </w:rPr>
        <w:t>’</w:t>
      </w:r>
      <w:r w:rsidRPr="00C622E0">
        <w:rPr>
          <w:lang w:eastAsia="es-ES"/>
        </w:rPr>
        <w:t>auteure souligne que, comme cela a été établi par la décision rendue le 2</w:t>
      </w:r>
      <w:r>
        <w:rPr>
          <w:lang w:eastAsia="es-ES"/>
        </w:rPr>
        <w:t> </w:t>
      </w:r>
      <w:r w:rsidRPr="00C622E0">
        <w:rPr>
          <w:lang w:eastAsia="es-ES"/>
        </w:rPr>
        <w:t>décembre 2016, elle se trouvait en état de nécessité lorsqu</w:t>
      </w:r>
      <w:r>
        <w:rPr>
          <w:lang w:eastAsia="es-ES"/>
        </w:rPr>
        <w:t>’</w:t>
      </w:r>
      <w:r w:rsidRPr="00C622E0">
        <w:rPr>
          <w:lang w:eastAsia="es-ES"/>
        </w:rPr>
        <w:t>elle occupait son logement sans titre juridique. De plus, son logement appartenait à une banque qui avait reçu des fonds publics en 2012 et dont les actifs provenaient pour 60</w:t>
      </w:r>
      <w:r>
        <w:rPr>
          <w:lang w:eastAsia="es-ES"/>
        </w:rPr>
        <w:t> </w:t>
      </w:r>
      <w:r w:rsidRPr="00C622E0">
        <w:rPr>
          <w:lang w:eastAsia="es-ES"/>
        </w:rPr>
        <w:t>% de fonds publics en 2017</w:t>
      </w:r>
      <w:r w:rsidRPr="00C622E0">
        <w:rPr>
          <w:rStyle w:val="Appelnotedebasdep"/>
        </w:rPr>
        <w:footnoteReference w:id="18"/>
      </w:r>
      <w:r w:rsidRPr="00C622E0">
        <w:rPr>
          <w:lang w:eastAsia="es-ES"/>
        </w:rPr>
        <w:t>. En conséquence, son cas ne peut pas être traité de la même manière que si le propriétaire de l</w:t>
      </w:r>
      <w:r>
        <w:rPr>
          <w:lang w:eastAsia="es-ES"/>
        </w:rPr>
        <w:t>’</w:t>
      </w:r>
      <w:r w:rsidRPr="00C622E0">
        <w:rPr>
          <w:lang w:eastAsia="es-ES"/>
        </w:rPr>
        <w:t>appartement est une personne physique. Le logement que l</w:t>
      </w:r>
      <w:r>
        <w:rPr>
          <w:lang w:eastAsia="es-ES"/>
        </w:rPr>
        <w:t>’</w:t>
      </w:r>
      <w:r w:rsidRPr="00C622E0">
        <w:rPr>
          <w:lang w:eastAsia="es-ES"/>
        </w:rPr>
        <w:t>auteure occupait, en plus d</w:t>
      </w:r>
      <w:r>
        <w:rPr>
          <w:lang w:eastAsia="es-ES"/>
        </w:rPr>
        <w:t>’</w:t>
      </w:r>
      <w:r w:rsidRPr="00C622E0">
        <w:rPr>
          <w:lang w:eastAsia="es-ES"/>
        </w:rPr>
        <w:t>être vide et sans usage connu, faisait partie des domaines de l</w:t>
      </w:r>
      <w:r>
        <w:rPr>
          <w:lang w:eastAsia="es-ES"/>
        </w:rPr>
        <w:t>’</w:t>
      </w:r>
      <w:r w:rsidRPr="00C622E0">
        <w:rPr>
          <w:lang w:eastAsia="es-ES"/>
        </w:rPr>
        <w:t>État puisqu</w:t>
      </w:r>
      <w:r>
        <w:rPr>
          <w:lang w:eastAsia="es-ES"/>
        </w:rPr>
        <w:t>’</w:t>
      </w:r>
      <w:r w:rsidRPr="00C622E0">
        <w:rPr>
          <w:lang w:eastAsia="es-ES"/>
        </w:rPr>
        <w:t>il était la propriété d</w:t>
      </w:r>
      <w:r>
        <w:rPr>
          <w:lang w:eastAsia="es-ES"/>
        </w:rPr>
        <w:t>’</w:t>
      </w:r>
      <w:r w:rsidRPr="00C622E0">
        <w:rPr>
          <w:lang w:eastAsia="es-ES"/>
        </w:rPr>
        <w:t>une banque renflouée par des fonds publics. L</w:t>
      </w:r>
      <w:r>
        <w:rPr>
          <w:lang w:eastAsia="es-ES"/>
        </w:rPr>
        <w:t>’</w:t>
      </w:r>
      <w:r w:rsidRPr="00C622E0">
        <w:rPr>
          <w:lang w:eastAsia="es-ES"/>
        </w:rPr>
        <w:t xml:space="preserve">auteure ajoute que, selon la loi </w:t>
      </w:r>
      <w:r w:rsidRPr="0037462A">
        <w:rPr>
          <w:rFonts w:eastAsia="MS Mincho"/>
          <w:lang w:eastAsia="es-ES"/>
        </w:rPr>
        <w:t>n</w:t>
      </w:r>
      <w:r w:rsidRPr="0037462A">
        <w:rPr>
          <w:rFonts w:eastAsia="MS Mincho"/>
          <w:vertAlign w:val="superscript"/>
          <w:lang w:eastAsia="es-ES"/>
        </w:rPr>
        <w:t>o</w:t>
      </w:r>
      <w:r>
        <w:rPr>
          <w:lang w:eastAsia="es-ES"/>
        </w:rPr>
        <w:t> </w:t>
      </w:r>
      <w:r w:rsidRPr="00C622E0">
        <w:rPr>
          <w:lang w:eastAsia="es-ES"/>
        </w:rPr>
        <w:t>1/2013</w:t>
      </w:r>
      <w:r w:rsidRPr="00C622E0">
        <w:rPr>
          <w:rStyle w:val="Appelnotedebasdep"/>
        </w:rPr>
        <w:footnoteReference w:id="19"/>
      </w:r>
      <w:r w:rsidRPr="00C622E0">
        <w:rPr>
          <w:lang w:eastAsia="es-ES"/>
        </w:rPr>
        <w:t xml:space="preserve">, ce logement, dans la mesure où il avait été acquis par une banque après le </w:t>
      </w:r>
      <w:r w:rsidRPr="00C622E0">
        <w:rPr>
          <w:lang w:eastAsia="es-ES"/>
        </w:rPr>
        <w:lastRenderedPageBreak/>
        <w:t>non</w:t>
      </w:r>
      <w:r w:rsidRPr="00C622E0">
        <w:rPr>
          <w:lang w:eastAsia="es-ES"/>
        </w:rPr>
        <w:noBreakHyphen/>
        <w:t>paiement d</w:t>
      </w:r>
      <w:r>
        <w:rPr>
          <w:lang w:eastAsia="es-ES"/>
        </w:rPr>
        <w:t>’</w:t>
      </w:r>
      <w:r w:rsidRPr="00C622E0">
        <w:rPr>
          <w:lang w:eastAsia="es-ES"/>
        </w:rPr>
        <w:t>une dette hypothécaire, aurait pu être mis à la disposition de personnes sans ressources, comme elle. Or, bien que l</w:t>
      </w:r>
      <w:r>
        <w:rPr>
          <w:lang w:eastAsia="es-ES"/>
        </w:rPr>
        <w:t>’</w:t>
      </w:r>
      <w:r w:rsidRPr="00C622E0">
        <w:rPr>
          <w:lang w:eastAsia="es-ES"/>
        </w:rPr>
        <w:t>auteure ait présenté plusieurs demandes de logement social, la banque a refusé tout accord et a maintenu son action pénale. Enfin, la banque a vendu le logement à une société d</w:t>
      </w:r>
      <w:r>
        <w:rPr>
          <w:lang w:eastAsia="es-ES"/>
        </w:rPr>
        <w:t>’</w:t>
      </w:r>
      <w:r w:rsidRPr="00C622E0">
        <w:rPr>
          <w:lang w:eastAsia="es-ES"/>
        </w:rPr>
        <w:t>investissement spécialisée dans l</w:t>
      </w:r>
      <w:r>
        <w:rPr>
          <w:lang w:eastAsia="es-ES"/>
        </w:rPr>
        <w:t xml:space="preserve">’acquisition </w:t>
      </w:r>
      <w:r w:rsidRPr="00C622E0">
        <w:rPr>
          <w:lang w:eastAsia="es-ES"/>
        </w:rPr>
        <w:t>de biens immobiliers par voie de saisie ou d</w:t>
      </w:r>
      <w:r>
        <w:rPr>
          <w:lang w:eastAsia="es-ES"/>
        </w:rPr>
        <w:t>’</w:t>
      </w:r>
      <w:r w:rsidRPr="00C622E0">
        <w:rPr>
          <w:lang w:eastAsia="es-ES"/>
        </w:rPr>
        <w:t>expulsion, ce qui a abouti à l</w:t>
      </w:r>
      <w:r>
        <w:rPr>
          <w:lang w:eastAsia="es-ES"/>
        </w:rPr>
        <w:t>’</w:t>
      </w:r>
      <w:r w:rsidRPr="00C622E0">
        <w:rPr>
          <w:lang w:eastAsia="es-ES"/>
        </w:rPr>
        <w:t>éviction de l</w:t>
      </w:r>
      <w:r>
        <w:rPr>
          <w:lang w:eastAsia="es-ES"/>
        </w:rPr>
        <w:t>’</w:t>
      </w:r>
      <w:r w:rsidRPr="00C622E0">
        <w:rPr>
          <w:lang w:eastAsia="es-ES"/>
        </w:rPr>
        <w:t>auteure, le 25</w:t>
      </w:r>
      <w:r>
        <w:rPr>
          <w:lang w:eastAsia="es-ES"/>
        </w:rPr>
        <w:t> </w:t>
      </w:r>
      <w:r w:rsidRPr="00C622E0">
        <w:rPr>
          <w:lang w:eastAsia="es-ES"/>
        </w:rPr>
        <w:t>juin 2018.</w:t>
      </w:r>
    </w:p>
    <w:p w14:paraId="13945268" w14:textId="77777777" w:rsidR="0037651B" w:rsidRPr="00C622E0" w:rsidRDefault="0037651B" w:rsidP="0037651B">
      <w:pPr>
        <w:pStyle w:val="SingleTxtG"/>
        <w:rPr>
          <w:lang w:eastAsia="es-ES"/>
        </w:rPr>
      </w:pPr>
      <w:r w:rsidRPr="00C622E0">
        <w:rPr>
          <w:lang w:eastAsia="es-ES"/>
        </w:rPr>
        <w:t>5.5</w:t>
      </w:r>
      <w:r w:rsidRPr="00C622E0">
        <w:rPr>
          <w:lang w:eastAsia="es-ES"/>
        </w:rPr>
        <w:tab/>
        <w:t>En réaction aux explications de l</w:t>
      </w:r>
      <w:r>
        <w:rPr>
          <w:lang w:eastAsia="es-ES"/>
        </w:rPr>
        <w:t>’</w:t>
      </w:r>
      <w:r w:rsidRPr="00C622E0">
        <w:rPr>
          <w:lang w:eastAsia="es-ES"/>
        </w:rPr>
        <w:t>État partie sur les conditions d</w:t>
      </w:r>
      <w:r>
        <w:rPr>
          <w:lang w:eastAsia="es-ES"/>
        </w:rPr>
        <w:t>’</w:t>
      </w:r>
      <w:r w:rsidRPr="00C622E0">
        <w:rPr>
          <w:lang w:eastAsia="es-ES"/>
        </w:rPr>
        <w:t>attribution des logements sociaux ou d</w:t>
      </w:r>
      <w:r>
        <w:rPr>
          <w:lang w:eastAsia="es-ES"/>
        </w:rPr>
        <w:t>’</w:t>
      </w:r>
      <w:r w:rsidRPr="00C622E0">
        <w:rPr>
          <w:lang w:eastAsia="es-ES"/>
        </w:rPr>
        <w:t>urgence en vigueur dans la Communauté de Madrid, qui excluent les personnes occupant un logement sans titre juridique, l</w:t>
      </w:r>
      <w:r>
        <w:rPr>
          <w:lang w:eastAsia="es-ES"/>
        </w:rPr>
        <w:t>’</w:t>
      </w:r>
      <w:r w:rsidRPr="00C622E0">
        <w:rPr>
          <w:lang w:eastAsia="es-ES"/>
        </w:rPr>
        <w:t>auteure considère que de telles dispositions sont contraires au Pacte et empêchent les personnes qui se trouvent dans une situation comme la sienne de s</w:t>
      </w:r>
      <w:r>
        <w:rPr>
          <w:lang w:eastAsia="es-ES"/>
        </w:rPr>
        <w:t>’</w:t>
      </w:r>
      <w:r w:rsidRPr="00C622E0">
        <w:rPr>
          <w:lang w:eastAsia="es-ES"/>
        </w:rPr>
        <w:t>en sortir dans le respect des règles.</w:t>
      </w:r>
    </w:p>
    <w:p w14:paraId="3C2A2E02" w14:textId="77777777" w:rsidR="0037651B" w:rsidRPr="00C622E0" w:rsidRDefault="0037651B" w:rsidP="0037651B">
      <w:pPr>
        <w:pStyle w:val="SingleTxtG"/>
        <w:rPr>
          <w:lang w:eastAsia="es-ES"/>
        </w:rPr>
      </w:pPr>
      <w:r w:rsidRPr="00C622E0">
        <w:rPr>
          <w:lang w:eastAsia="es-ES"/>
        </w:rPr>
        <w:t>5.6</w:t>
      </w:r>
      <w:r w:rsidRPr="00C622E0">
        <w:rPr>
          <w:lang w:eastAsia="es-ES"/>
        </w:rPr>
        <w:tab/>
        <w:t>L</w:t>
      </w:r>
      <w:r>
        <w:rPr>
          <w:lang w:eastAsia="es-ES"/>
        </w:rPr>
        <w:t>’</w:t>
      </w:r>
      <w:r w:rsidRPr="00C622E0">
        <w:rPr>
          <w:lang w:eastAsia="es-ES"/>
        </w:rPr>
        <w:t>auteure rappelle qu</w:t>
      </w:r>
      <w:r>
        <w:rPr>
          <w:lang w:eastAsia="es-ES"/>
        </w:rPr>
        <w:t>’</w:t>
      </w:r>
      <w:r w:rsidRPr="00C622E0">
        <w:rPr>
          <w:lang w:eastAsia="es-ES"/>
        </w:rPr>
        <w:t xml:space="preserve">elle a </w:t>
      </w:r>
      <w:r>
        <w:rPr>
          <w:lang w:eastAsia="es-ES"/>
        </w:rPr>
        <w:t>présenté plusieurs demandes de</w:t>
      </w:r>
      <w:r w:rsidRPr="00C622E0">
        <w:rPr>
          <w:lang w:eastAsia="es-ES"/>
        </w:rPr>
        <w:t xml:space="preserve"> suspension de la procédure, qu</w:t>
      </w:r>
      <w:r>
        <w:rPr>
          <w:lang w:eastAsia="es-ES"/>
        </w:rPr>
        <w:t>’</w:t>
      </w:r>
      <w:r w:rsidRPr="00C622E0">
        <w:rPr>
          <w:lang w:eastAsia="es-ES"/>
        </w:rPr>
        <w:t>elle a invoqué la demande de mesures provisoires formulée par le Comité, qu</w:t>
      </w:r>
      <w:r>
        <w:rPr>
          <w:lang w:eastAsia="es-ES"/>
        </w:rPr>
        <w:t>’</w:t>
      </w:r>
      <w:r w:rsidRPr="00C622E0">
        <w:rPr>
          <w:lang w:eastAsia="es-ES"/>
        </w:rPr>
        <w:t>elle a présenté une demande de logement public d</w:t>
      </w:r>
      <w:r>
        <w:rPr>
          <w:lang w:eastAsia="es-ES"/>
        </w:rPr>
        <w:t>’</w:t>
      </w:r>
      <w:r w:rsidRPr="00C622E0">
        <w:rPr>
          <w:lang w:eastAsia="es-ES"/>
        </w:rPr>
        <w:t>urgence, qu</w:t>
      </w:r>
      <w:r>
        <w:rPr>
          <w:lang w:eastAsia="es-ES"/>
        </w:rPr>
        <w:t>’</w:t>
      </w:r>
      <w:r w:rsidRPr="00C622E0">
        <w:rPr>
          <w:lang w:eastAsia="es-ES"/>
        </w:rPr>
        <w:t>elle s</w:t>
      </w:r>
      <w:r>
        <w:rPr>
          <w:lang w:eastAsia="es-ES"/>
        </w:rPr>
        <w:t>’</w:t>
      </w:r>
      <w:r w:rsidRPr="00C622E0">
        <w:rPr>
          <w:lang w:eastAsia="es-ES"/>
        </w:rPr>
        <w:t>est adressée aux services sociaux de la ville de Madrid, lesquels ont mis en évidence sa situation d</w:t>
      </w:r>
      <w:r>
        <w:rPr>
          <w:lang w:eastAsia="es-ES"/>
        </w:rPr>
        <w:t>’</w:t>
      </w:r>
      <w:r w:rsidRPr="00C622E0">
        <w:rPr>
          <w:lang w:eastAsia="es-ES"/>
        </w:rPr>
        <w:t>exclusion sociale dans leurs rapports, et que, malgré tous ses efforts, le 25</w:t>
      </w:r>
      <w:r>
        <w:rPr>
          <w:lang w:eastAsia="es-ES"/>
        </w:rPr>
        <w:t> </w:t>
      </w:r>
      <w:r w:rsidRPr="00C622E0">
        <w:rPr>
          <w:lang w:eastAsia="es-ES"/>
        </w:rPr>
        <w:t>juin 2018, à l</w:t>
      </w:r>
      <w:r>
        <w:rPr>
          <w:lang w:eastAsia="es-ES"/>
        </w:rPr>
        <w:t>’</w:t>
      </w:r>
      <w:r w:rsidRPr="00C622E0">
        <w:rPr>
          <w:lang w:eastAsia="es-ES"/>
        </w:rPr>
        <w:t>issue d</w:t>
      </w:r>
      <w:r>
        <w:rPr>
          <w:lang w:eastAsia="es-ES"/>
        </w:rPr>
        <w:t>’</w:t>
      </w:r>
      <w:r w:rsidRPr="00C622E0">
        <w:rPr>
          <w:lang w:eastAsia="es-ES"/>
        </w:rPr>
        <w:t>un déploiement policier complétement disproportionné, sa famille et elle ont été expulsées de leur logement et conduites dans un foyer.</w:t>
      </w:r>
    </w:p>
    <w:p w14:paraId="3933CE7B" w14:textId="77777777" w:rsidR="0037651B" w:rsidRPr="00C622E0" w:rsidRDefault="0037651B" w:rsidP="0037651B">
      <w:pPr>
        <w:pStyle w:val="SingleTxtG"/>
        <w:rPr>
          <w:lang w:eastAsia="es-ES"/>
        </w:rPr>
      </w:pPr>
      <w:r w:rsidRPr="00C622E0">
        <w:rPr>
          <w:lang w:eastAsia="es-ES"/>
        </w:rPr>
        <w:t>5.7</w:t>
      </w:r>
      <w:r w:rsidRPr="00C622E0">
        <w:rPr>
          <w:lang w:eastAsia="es-ES"/>
        </w:rPr>
        <w:tab/>
        <w:t>L</w:t>
      </w:r>
      <w:r>
        <w:rPr>
          <w:lang w:eastAsia="es-ES"/>
        </w:rPr>
        <w:t>’</w:t>
      </w:r>
      <w:r w:rsidRPr="00C622E0">
        <w:rPr>
          <w:lang w:eastAsia="es-ES"/>
        </w:rPr>
        <w:t>auteure affirme que ses enfants ont été très affectés par l</w:t>
      </w:r>
      <w:r>
        <w:rPr>
          <w:lang w:eastAsia="es-ES"/>
        </w:rPr>
        <w:t>’</w:t>
      </w:r>
      <w:r w:rsidRPr="00C622E0">
        <w:rPr>
          <w:lang w:eastAsia="es-ES"/>
        </w:rPr>
        <w:t>expulsion. Elle dit que l</w:t>
      </w:r>
      <w:r>
        <w:rPr>
          <w:lang w:eastAsia="es-ES"/>
        </w:rPr>
        <w:t>’</w:t>
      </w:r>
      <w:r w:rsidRPr="00C622E0">
        <w:rPr>
          <w:lang w:eastAsia="es-ES"/>
        </w:rPr>
        <w:t>absence de domicile fixe a eu des effets dommageables sur les résultats scolaires de ses enfants et que son fils de 18</w:t>
      </w:r>
      <w:r>
        <w:rPr>
          <w:lang w:eastAsia="es-ES"/>
        </w:rPr>
        <w:t> </w:t>
      </w:r>
      <w:r w:rsidRPr="00C622E0">
        <w:rPr>
          <w:lang w:eastAsia="es-ES"/>
        </w:rPr>
        <w:t>ans, scolarisé au moment de l</w:t>
      </w:r>
      <w:r>
        <w:rPr>
          <w:lang w:eastAsia="es-ES"/>
        </w:rPr>
        <w:t>’</w:t>
      </w:r>
      <w:r w:rsidRPr="00C622E0">
        <w:rPr>
          <w:lang w:eastAsia="es-ES"/>
        </w:rPr>
        <w:t>expulsion, s</w:t>
      </w:r>
      <w:r>
        <w:rPr>
          <w:lang w:eastAsia="es-ES"/>
        </w:rPr>
        <w:t>’</w:t>
      </w:r>
      <w:r w:rsidRPr="00C622E0">
        <w:rPr>
          <w:lang w:eastAsia="es-ES"/>
        </w:rPr>
        <w:t>est inscrit au programme de garantie pour la jeunesse. Son fils de 14</w:t>
      </w:r>
      <w:r>
        <w:rPr>
          <w:lang w:eastAsia="es-ES"/>
        </w:rPr>
        <w:t> </w:t>
      </w:r>
      <w:r w:rsidRPr="00C622E0">
        <w:rPr>
          <w:lang w:eastAsia="es-ES"/>
        </w:rPr>
        <w:t>ans a redoublé et a dû bénéficier d</w:t>
      </w:r>
      <w:r>
        <w:rPr>
          <w:lang w:eastAsia="es-ES"/>
        </w:rPr>
        <w:t>’</w:t>
      </w:r>
      <w:r w:rsidRPr="00C622E0">
        <w:rPr>
          <w:lang w:eastAsia="es-ES"/>
        </w:rPr>
        <w:t>une aide psychologique, en particulier parce qu</w:t>
      </w:r>
      <w:r>
        <w:rPr>
          <w:lang w:eastAsia="es-ES"/>
        </w:rPr>
        <w:t>’</w:t>
      </w:r>
      <w:r w:rsidRPr="00C622E0">
        <w:rPr>
          <w:lang w:eastAsia="es-ES"/>
        </w:rPr>
        <w:t>il avait honte de vivre dans un foyer. Sa fille de 12</w:t>
      </w:r>
      <w:r>
        <w:rPr>
          <w:lang w:eastAsia="es-ES"/>
        </w:rPr>
        <w:t> </w:t>
      </w:r>
      <w:r w:rsidRPr="00C622E0">
        <w:rPr>
          <w:lang w:eastAsia="es-ES"/>
        </w:rPr>
        <w:t>ans a eu besoin d</w:t>
      </w:r>
      <w:r>
        <w:rPr>
          <w:lang w:eastAsia="es-ES"/>
        </w:rPr>
        <w:t>’</w:t>
      </w:r>
      <w:r w:rsidRPr="00C622E0">
        <w:rPr>
          <w:lang w:eastAsia="es-ES"/>
        </w:rPr>
        <w:t xml:space="preserve">être suivie par une assistante sociale et de </w:t>
      </w:r>
      <w:r>
        <w:rPr>
          <w:lang w:eastAsia="es-ES"/>
        </w:rPr>
        <w:t>suivre</w:t>
      </w:r>
      <w:r w:rsidRPr="00C622E0">
        <w:rPr>
          <w:lang w:eastAsia="es-ES"/>
        </w:rPr>
        <w:t xml:space="preserve"> des cours de soutien scolaire de la Croix</w:t>
      </w:r>
      <w:r w:rsidRPr="00C622E0">
        <w:rPr>
          <w:lang w:eastAsia="es-ES"/>
        </w:rPr>
        <w:noBreakHyphen/>
        <w:t>Rouge. Ses deux fils de 8</w:t>
      </w:r>
      <w:r>
        <w:rPr>
          <w:lang w:eastAsia="es-ES"/>
        </w:rPr>
        <w:t> </w:t>
      </w:r>
      <w:r w:rsidRPr="00C622E0">
        <w:rPr>
          <w:lang w:eastAsia="es-ES"/>
        </w:rPr>
        <w:t>ans ont très mal vécu le séjour dans le foyer ; l</w:t>
      </w:r>
      <w:r>
        <w:rPr>
          <w:lang w:eastAsia="es-ES"/>
        </w:rPr>
        <w:t>’</w:t>
      </w:r>
      <w:r w:rsidRPr="00C622E0">
        <w:rPr>
          <w:lang w:eastAsia="es-ES"/>
        </w:rPr>
        <w:t>un d</w:t>
      </w:r>
      <w:r>
        <w:rPr>
          <w:lang w:eastAsia="es-ES"/>
        </w:rPr>
        <w:t>’</w:t>
      </w:r>
      <w:r w:rsidRPr="00C622E0">
        <w:rPr>
          <w:lang w:eastAsia="es-ES"/>
        </w:rPr>
        <w:t>eux a développé une peur panique de la police à la suite de l</w:t>
      </w:r>
      <w:r>
        <w:rPr>
          <w:lang w:eastAsia="es-ES"/>
        </w:rPr>
        <w:t>’</w:t>
      </w:r>
      <w:r w:rsidRPr="00C622E0">
        <w:rPr>
          <w:lang w:eastAsia="es-ES"/>
        </w:rPr>
        <w:t>expulsion par les agents de l</w:t>
      </w:r>
      <w:r>
        <w:rPr>
          <w:lang w:eastAsia="es-ES"/>
        </w:rPr>
        <w:t>’</w:t>
      </w:r>
      <w:r w:rsidRPr="00C622E0">
        <w:rPr>
          <w:lang w:eastAsia="es-ES"/>
        </w:rPr>
        <w:t>unité anti-émeutes et évite les fêtes ou les attroupements. Son autre fils de 8</w:t>
      </w:r>
      <w:r>
        <w:rPr>
          <w:lang w:eastAsia="es-ES"/>
        </w:rPr>
        <w:t> </w:t>
      </w:r>
      <w:r w:rsidRPr="00C622E0">
        <w:rPr>
          <w:lang w:eastAsia="es-ES"/>
        </w:rPr>
        <w:t>ans souffre d</w:t>
      </w:r>
      <w:r>
        <w:rPr>
          <w:lang w:eastAsia="es-ES"/>
        </w:rPr>
        <w:t>’</w:t>
      </w:r>
      <w:r w:rsidRPr="00C622E0">
        <w:rPr>
          <w:lang w:eastAsia="es-ES"/>
        </w:rPr>
        <w:t>une dermatite atopique chronique, qui a été aggravée par les matelas en plastique du foyer. La séparation par sexe appliquée dans le foyer a également posé des problèmes. Alors âgé de 7</w:t>
      </w:r>
      <w:r>
        <w:rPr>
          <w:lang w:eastAsia="es-ES"/>
        </w:rPr>
        <w:t> </w:t>
      </w:r>
      <w:r w:rsidRPr="00C622E0">
        <w:rPr>
          <w:lang w:eastAsia="es-ES"/>
        </w:rPr>
        <w:t>ans, son fils n</w:t>
      </w:r>
      <w:r>
        <w:rPr>
          <w:lang w:eastAsia="es-ES"/>
        </w:rPr>
        <w:t>’</w:t>
      </w:r>
      <w:r w:rsidRPr="00C622E0">
        <w:rPr>
          <w:lang w:eastAsia="es-ES"/>
        </w:rPr>
        <w:t>était pas prêt à être séparé de sa mère en pareilles circonstances. L</w:t>
      </w:r>
      <w:r>
        <w:rPr>
          <w:lang w:eastAsia="es-ES"/>
        </w:rPr>
        <w:t>’</w:t>
      </w:r>
      <w:r w:rsidRPr="00C622E0">
        <w:rPr>
          <w:lang w:eastAsia="es-ES"/>
        </w:rPr>
        <w:t xml:space="preserve">auteure indique que, selon le personnel du centre scolaire, les jumeaux ont été constamment lésés dans leur apprentissage par les distances </w:t>
      </w:r>
      <w:r>
        <w:rPr>
          <w:lang w:eastAsia="es-ES"/>
        </w:rPr>
        <w:t>qu’ils doivent</w:t>
      </w:r>
      <w:r w:rsidRPr="00C622E0">
        <w:rPr>
          <w:lang w:eastAsia="es-ES"/>
        </w:rPr>
        <w:t xml:space="preserve"> parcourir pour se rendre en classe et ont fréquemment raté des heures de cours.</w:t>
      </w:r>
    </w:p>
    <w:p w14:paraId="138510AA" w14:textId="77777777" w:rsidR="0037651B" w:rsidRPr="007727D6" w:rsidRDefault="0037651B" w:rsidP="0037651B">
      <w:pPr>
        <w:pStyle w:val="SingleTxtG"/>
        <w:rPr>
          <w:spacing w:val="-1"/>
          <w:lang w:eastAsia="es-ES"/>
        </w:rPr>
      </w:pPr>
      <w:r w:rsidRPr="007727D6">
        <w:rPr>
          <w:spacing w:val="-1"/>
          <w:lang w:eastAsia="es-ES"/>
        </w:rPr>
        <w:t>5.8</w:t>
      </w:r>
      <w:r w:rsidRPr="007727D6">
        <w:rPr>
          <w:spacing w:val="-1"/>
          <w:lang w:eastAsia="es-ES"/>
        </w:rPr>
        <w:tab/>
        <w:t>L</w:t>
      </w:r>
      <w:r>
        <w:rPr>
          <w:spacing w:val="-1"/>
          <w:lang w:eastAsia="es-ES"/>
        </w:rPr>
        <w:t>’</w:t>
      </w:r>
      <w:r w:rsidRPr="007727D6">
        <w:rPr>
          <w:spacing w:val="-1"/>
          <w:lang w:eastAsia="es-ES"/>
        </w:rPr>
        <w:t>auteure estime que son expulsion constitue une expulsion forcée et que l</w:t>
      </w:r>
      <w:r>
        <w:rPr>
          <w:spacing w:val="-1"/>
          <w:lang w:eastAsia="es-ES"/>
        </w:rPr>
        <w:t>’</w:t>
      </w:r>
      <w:r w:rsidRPr="007727D6">
        <w:rPr>
          <w:spacing w:val="-1"/>
          <w:lang w:eastAsia="es-ES"/>
        </w:rPr>
        <w:t>État partie a manqué à ses obligations à l</w:t>
      </w:r>
      <w:r>
        <w:rPr>
          <w:spacing w:val="-1"/>
          <w:lang w:eastAsia="es-ES"/>
        </w:rPr>
        <w:t>’</w:t>
      </w:r>
      <w:r w:rsidRPr="007727D6">
        <w:rPr>
          <w:spacing w:val="-1"/>
          <w:lang w:eastAsia="es-ES"/>
        </w:rPr>
        <w:t>égard d</w:t>
      </w:r>
      <w:r>
        <w:rPr>
          <w:spacing w:val="-1"/>
          <w:lang w:eastAsia="es-ES"/>
        </w:rPr>
        <w:t>’</w:t>
      </w:r>
      <w:r w:rsidRPr="007727D6">
        <w:rPr>
          <w:spacing w:val="-1"/>
          <w:lang w:eastAsia="es-ES"/>
        </w:rPr>
        <w:t>une famille dans le besoin. De plus, l</w:t>
      </w:r>
      <w:r>
        <w:rPr>
          <w:spacing w:val="-1"/>
          <w:lang w:eastAsia="es-ES"/>
        </w:rPr>
        <w:t>’</w:t>
      </w:r>
      <w:r w:rsidRPr="007727D6">
        <w:rPr>
          <w:spacing w:val="-1"/>
          <w:lang w:eastAsia="es-ES"/>
        </w:rPr>
        <w:t>expulsion a été menée contre la demande expresse du Comité, ce qui constitue une violation du Protocole facultatif. Les événements qui ont suivi l</w:t>
      </w:r>
      <w:r>
        <w:rPr>
          <w:spacing w:val="-1"/>
          <w:lang w:eastAsia="es-ES"/>
        </w:rPr>
        <w:t>’</w:t>
      </w:r>
      <w:r w:rsidRPr="007727D6">
        <w:rPr>
          <w:spacing w:val="-1"/>
          <w:lang w:eastAsia="es-ES"/>
        </w:rPr>
        <w:t>expulsion ont causé un préjudice encore plus grand à l</w:t>
      </w:r>
      <w:r>
        <w:rPr>
          <w:spacing w:val="-1"/>
          <w:lang w:eastAsia="es-ES"/>
        </w:rPr>
        <w:t>’</w:t>
      </w:r>
      <w:r w:rsidRPr="007727D6">
        <w:rPr>
          <w:spacing w:val="-1"/>
          <w:lang w:eastAsia="es-ES"/>
        </w:rPr>
        <w:t>auteure et à ses enfants. L</w:t>
      </w:r>
      <w:r>
        <w:rPr>
          <w:spacing w:val="-1"/>
          <w:lang w:eastAsia="es-ES"/>
        </w:rPr>
        <w:t>’</w:t>
      </w:r>
      <w:r w:rsidRPr="007727D6">
        <w:rPr>
          <w:spacing w:val="-1"/>
          <w:lang w:eastAsia="es-ES"/>
        </w:rPr>
        <w:t>auteure considère que le parc locatif présente de graves insuffisances alors que le pays dispose de ressources considérables et qu</w:t>
      </w:r>
      <w:r>
        <w:rPr>
          <w:spacing w:val="-1"/>
          <w:lang w:eastAsia="es-ES"/>
        </w:rPr>
        <w:t>’</w:t>
      </w:r>
      <w:r w:rsidRPr="007727D6">
        <w:rPr>
          <w:spacing w:val="-1"/>
          <w:lang w:eastAsia="es-ES"/>
        </w:rPr>
        <w:t>il a en outre déjà fait l</w:t>
      </w:r>
      <w:r>
        <w:rPr>
          <w:spacing w:val="-1"/>
          <w:lang w:eastAsia="es-ES"/>
        </w:rPr>
        <w:t>’</w:t>
      </w:r>
      <w:r w:rsidRPr="007727D6">
        <w:rPr>
          <w:spacing w:val="-1"/>
          <w:lang w:eastAsia="es-ES"/>
        </w:rPr>
        <w:t>objet d</w:t>
      </w:r>
      <w:r>
        <w:rPr>
          <w:spacing w:val="-1"/>
          <w:lang w:eastAsia="es-ES"/>
        </w:rPr>
        <w:t>’</w:t>
      </w:r>
      <w:r w:rsidRPr="007727D6">
        <w:rPr>
          <w:spacing w:val="-1"/>
          <w:lang w:eastAsia="es-ES"/>
        </w:rPr>
        <w:t>une décision du Comité sur le même sujet.</w:t>
      </w:r>
    </w:p>
    <w:p w14:paraId="72DD0446" w14:textId="77777777" w:rsidR="0037651B" w:rsidRPr="00C622E0" w:rsidRDefault="0037651B" w:rsidP="0037651B">
      <w:pPr>
        <w:pStyle w:val="H1G"/>
        <w:rPr>
          <w:lang w:eastAsia="es-ES"/>
        </w:rPr>
      </w:pPr>
      <w:r w:rsidRPr="00C622E0">
        <w:rPr>
          <w:lang w:eastAsia="es-ES"/>
        </w:rPr>
        <w:tab/>
        <w:t>B.</w:t>
      </w:r>
      <w:r w:rsidRPr="00C622E0">
        <w:rPr>
          <w:lang w:eastAsia="es-ES"/>
        </w:rPr>
        <w:tab/>
        <w:t>Examen de la recevabilité</w:t>
      </w:r>
    </w:p>
    <w:p w14:paraId="23F9EC50" w14:textId="77777777" w:rsidR="0037651B" w:rsidRPr="00C622E0" w:rsidRDefault="0037651B" w:rsidP="0037651B">
      <w:pPr>
        <w:pStyle w:val="SingleTxtG"/>
        <w:rPr>
          <w:rFonts w:eastAsia="Times New Roman"/>
          <w:lang w:eastAsia="es-ES"/>
        </w:rPr>
      </w:pPr>
      <w:r w:rsidRPr="00C622E0">
        <w:rPr>
          <w:rFonts w:eastAsia="Times New Roman"/>
          <w:lang w:eastAsia="es-ES"/>
        </w:rPr>
        <w:t>6.1</w:t>
      </w:r>
      <w:r w:rsidRPr="00C622E0">
        <w:rPr>
          <w:rFonts w:eastAsia="Times New Roman"/>
          <w:lang w:eastAsia="es-ES"/>
        </w:rPr>
        <w:tab/>
      </w:r>
      <w:r w:rsidRPr="00C622E0">
        <w:t>Avant d</w:t>
      </w:r>
      <w:r>
        <w:t>’</w:t>
      </w:r>
      <w:r w:rsidRPr="00C622E0">
        <w:t>examiner tout grief formulé dans une communication, le Comité doit, conformément à l</w:t>
      </w:r>
      <w:r>
        <w:t>’</w:t>
      </w:r>
      <w:r w:rsidRPr="00C622E0">
        <w:t>article 9 de son règlement intérieur, déterminer si la communication est recevable au regard du Protocole facultatif se rapportant au Pacte.</w:t>
      </w:r>
    </w:p>
    <w:p w14:paraId="45EB8EB5" w14:textId="77777777" w:rsidR="0037651B" w:rsidRPr="00C622E0" w:rsidRDefault="0037651B" w:rsidP="0037651B">
      <w:pPr>
        <w:pStyle w:val="SingleTxtG"/>
        <w:rPr>
          <w:lang w:eastAsia="es-ES"/>
        </w:rPr>
      </w:pPr>
      <w:r w:rsidRPr="00C622E0">
        <w:rPr>
          <w:lang w:eastAsia="es-ES"/>
        </w:rPr>
        <w:t>6.2</w:t>
      </w:r>
      <w:r w:rsidRPr="00C622E0">
        <w:rPr>
          <w:lang w:eastAsia="es-ES"/>
        </w:rPr>
        <w:tab/>
        <w:t>Le Comité prend note des arguments de l</w:t>
      </w:r>
      <w:r>
        <w:rPr>
          <w:lang w:eastAsia="es-ES"/>
        </w:rPr>
        <w:t>’</w:t>
      </w:r>
      <w:r w:rsidRPr="00C622E0">
        <w:rPr>
          <w:lang w:eastAsia="es-ES"/>
        </w:rPr>
        <w:t>État partie selon lesquels, en l</w:t>
      </w:r>
      <w:r>
        <w:rPr>
          <w:lang w:eastAsia="es-ES"/>
        </w:rPr>
        <w:t>’</w:t>
      </w:r>
      <w:r w:rsidRPr="00C622E0">
        <w:rPr>
          <w:lang w:eastAsia="es-ES"/>
        </w:rPr>
        <w:t>espèce, il n</w:t>
      </w:r>
      <w:r>
        <w:rPr>
          <w:lang w:eastAsia="es-ES"/>
        </w:rPr>
        <w:t>’</w:t>
      </w:r>
      <w:r w:rsidRPr="00C622E0">
        <w:rPr>
          <w:lang w:eastAsia="es-ES"/>
        </w:rPr>
        <w:t xml:space="preserve">est pas question </w:t>
      </w:r>
      <w:r>
        <w:rPr>
          <w:lang w:eastAsia="es-ES"/>
        </w:rPr>
        <w:t>d’</w:t>
      </w:r>
      <w:r w:rsidRPr="001D7861">
        <w:rPr>
          <w:lang w:eastAsia="es-ES"/>
        </w:rPr>
        <w:t>une expulsion au sens des observations générales n</w:t>
      </w:r>
      <w:r w:rsidRPr="001514A8">
        <w:rPr>
          <w:vertAlign w:val="superscript"/>
          <w:lang w:eastAsia="es-ES"/>
        </w:rPr>
        <w:t>os</w:t>
      </w:r>
      <w:r w:rsidR="001514A8">
        <w:rPr>
          <w:lang w:eastAsia="es-ES"/>
        </w:rPr>
        <w:t> </w:t>
      </w:r>
      <w:r w:rsidRPr="001D7861">
        <w:rPr>
          <w:lang w:eastAsia="es-ES"/>
        </w:rPr>
        <w:t xml:space="preserve">4 et 7 du Comité, qui donnent une interprétation faisant autorité du Pacte, et que </w:t>
      </w:r>
      <w:r>
        <w:rPr>
          <w:lang w:eastAsia="es-ES"/>
        </w:rPr>
        <w:t>la présente communication</w:t>
      </w:r>
      <w:r w:rsidRPr="001D7861">
        <w:rPr>
          <w:lang w:eastAsia="es-ES"/>
        </w:rPr>
        <w:t xml:space="preserve"> ne relève donc pas de la compétence du Comité (voir </w:t>
      </w:r>
      <w:r w:rsidRPr="007727D6">
        <w:rPr>
          <w:i/>
          <w:szCs w:val="18"/>
          <w:lang w:val="fr-FR"/>
        </w:rPr>
        <w:t>supra</w:t>
      </w:r>
      <w:r w:rsidRPr="007727D6">
        <w:rPr>
          <w:szCs w:val="18"/>
          <w:lang w:val="fr-FR"/>
        </w:rPr>
        <w:t>, par. 4.10</w:t>
      </w:r>
      <w:r w:rsidRPr="001D7861">
        <w:rPr>
          <w:lang w:eastAsia="es-ES"/>
        </w:rPr>
        <w:t>).</w:t>
      </w:r>
      <w:r w:rsidRPr="00C622E0">
        <w:rPr>
          <w:lang w:eastAsia="es-ES"/>
        </w:rPr>
        <w:t xml:space="preserve"> Le Comité rappelle que, comme il l</w:t>
      </w:r>
      <w:r>
        <w:rPr>
          <w:lang w:eastAsia="es-ES"/>
        </w:rPr>
        <w:t>’</w:t>
      </w:r>
      <w:r w:rsidRPr="00C622E0">
        <w:rPr>
          <w:lang w:eastAsia="es-ES"/>
        </w:rPr>
        <w:t>a précisé au paragraphe</w:t>
      </w:r>
      <w:r w:rsidR="001514A8">
        <w:rPr>
          <w:lang w:eastAsia="es-ES"/>
        </w:rPr>
        <w:t> </w:t>
      </w:r>
      <w:r w:rsidRPr="00C622E0">
        <w:rPr>
          <w:lang w:eastAsia="es-ES"/>
        </w:rPr>
        <w:t xml:space="preserve">11 de son observation générale </w:t>
      </w:r>
      <w:r w:rsidRPr="007727D6">
        <w:rPr>
          <w:rFonts w:eastAsia="MS Mincho"/>
          <w:lang w:eastAsia="es-ES"/>
        </w:rPr>
        <w:t>n</w:t>
      </w:r>
      <w:r w:rsidRPr="007727D6">
        <w:rPr>
          <w:rFonts w:eastAsia="MS Mincho"/>
          <w:vertAlign w:val="superscript"/>
          <w:lang w:eastAsia="es-ES"/>
        </w:rPr>
        <w:t>o</w:t>
      </w:r>
      <w:r>
        <w:rPr>
          <w:lang w:eastAsia="es-ES"/>
        </w:rPr>
        <w:t> </w:t>
      </w:r>
      <w:r w:rsidRPr="00C622E0">
        <w:rPr>
          <w:lang w:eastAsia="es-ES"/>
        </w:rPr>
        <w:t>7, même lorsque certaines expulsions peuvent être légitimes, par exemple en cas de non-paiement persistant du loyer ou de dommages causés sans motif raisonnable à un bien loué, il incombe aux autorités compétentes de veiller à ce qu</w:t>
      </w:r>
      <w:r>
        <w:rPr>
          <w:lang w:eastAsia="es-ES"/>
        </w:rPr>
        <w:t>’</w:t>
      </w:r>
      <w:r w:rsidRPr="00C622E0">
        <w:rPr>
          <w:lang w:eastAsia="es-ES"/>
        </w:rPr>
        <w:t>elles soient effectuées selon les modalités définies par une loi compatible avec le Pacte et à ce que toutes les voies de recours prévues par la loi soient accessibles aux personnes visées. Ces considérations s</w:t>
      </w:r>
      <w:r>
        <w:rPr>
          <w:lang w:eastAsia="es-ES"/>
        </w:rPr>
        <w:t>’</w:t>
      </w:r>
      <w:r w:rsidRPr="00C622E0">
        <w:rPr>
          <w:lang w:eastAsia="es-ES"/>
        </w:rPr>
        <w:t xml:space="preserve">appliquent également à </w:t>
      </w:r>
      <w:r w:rsidRPr="00C622E0">
        <w:rPr>
          <w:lang w:eastAsia="es-ES"/>
        </w:rPr>
        <w:lastRenderedPageBreak/>
        <w:t>l</w:t>
      </w:r>
      <w:r>
        <w:rPr>
          <w:lang w:eastAsia="es-ES"/>
        </w:rPr>
        <w:t>’</w:t>
      </w:r>
      <w:r w:rsidRPr="00C622E0">
        <w:rPr>
          <w:lang w:eastAsia="es-ES"/>
        </w:rPr>
        <w:t xml:space="preserve">occupation sans titre juridique, </w:t>
      </w:r>
      <w:r w:rsidRPr="00AA52E2">
        <w:rPr>
          <w:lang w:eastAsia="es-ES"/>
        </w:rPr>
        <w:t>puisque le résultat de cette occupation peut être, pour certaines personnes, une forme de logement, et pourrait donc entrer dans le champ de la protection du droit au logement. Par conséquent, si l</w:t>
      </w:r>
      <w:r>
        <w:rPr>
          <w:lang w:eastAsia="es-ES"/>
        </w:rPr>
        <w:t>’</w:t>
      </w:r>
      <w:r w:rsidRPr="00AA52E2">
        <w:rPr>
          <w:lang w:eastAsia="es-ES"/>
        </w:rPr>
        <w:t xml:space="preserve">absence de titre juridique peut justifier une expulsion, les procédures </w:t>
      </w:r>
      <w:r>
        <w:rPr>
          <w:lang w:eastAsia="es-ES"/>
        </w:rPr>
        <w:t>qui conduisent</w:t>
      </w:r>
      <w:r w:rsidRPr="00AA52E2">
        <w:rPr>
          <w:lang w:eastAsia="es-ES"/>
        </w:rPr>
        <w:t xml:space="preserve"> à l</w:t>
      </w:r>
      <w:r>
        <w:rPr>
          <w:lang w:eastAsia="es-ES"/>
        </w:rPr>
        <w:t>’</w:t>
      </w:r>
      <w:r w:rsidRPr="00AA52E2">
        <w:rPr>
          <w:lang w:eastAsia="es-ES"/>
        </w:rPr>
        <w:t>ordre d</w:t>
      </w:r>
      <w:r>
        <w:rPr>
          <w:lang w:eastAsia="es-ES"/>
        </w:rPr>
        <w:t>’</w:t>
      </w:r>
      <w:r w:rsidRPr="00AA52E2">
        <w:rPr>
          <w:lang w:eastAsia="es-ES"/>
        </w:rPr>
        <w:t>expulsion ou à l</w:t>
      </w:r>
      <w:r>
        <w:rPr>
          <w:lang w:eastAsia="es-ES"/>
        </w:rPr>
        <w:t>’</w:t>
      </w:r>
      <w:r w:rsidRPr="00AA52E2">
        <w:rPr>
          <w:lang w:eastAsia="es-ES"/>
        </w:rPr>
        <w:t>exécution de l</w:t>
      </w:r>
      <w:r>
        <w:rPr>
          <w:lang w:eastAsia="es-ES"/>
        </w:rPr>
        <w:t>’</w:t>
      </w:r>
      <w:r w:rsidRPr="00AA52E2">
        <w:rPr>
          <w:lang w:eastAsia="es-ES"/>
        </w:rPr>
        <w:t xml:space="preserve">expulsion elle-même doivent être menées </w:t>
      </w:r>
      <w:r w:rsidRPr="00C622E0">
        <w:rPr>
          <w:lang w:eastAsia="es-ES"/>
        </w:rPr>
        <w:t>selon une procédure conforme au Pacte et sous réserve de garantir l</w:t>
      </w:r>
      <w:r>
        <w:rPr>
          <w:lang w:eastAsia="es-ES"/>
        </w:rPr>
        <w:t>’</w:t>
      </w:r>
      <w:r w:rsidRPr="00C622E0">
        <w:rPr>
          <w:lang w:eastAsia="es-ES"/>
        </w:rPr>
        <w:t>accès aux voies de recours prévues par la loi aux personnes visées. Le Comité prend note que l</w:t>
      </w:r>
      <w:r>
        <w:rPr>
          <w:lang w:eastAsia="es-ES"/>
        </w:rPr>
        <w:t>’</w:t>
      </w:r>
      <w:r w:rsidRPr="00C622E0">
        <w:rPr>
          <w:lang w:eastAsia="es-ES"/>
        </w:rPr>
        <w:t xml:space="preserve">État partie cite </w:t>
      </w:r>
      <w:r>
        <w:rPr>
          <w:lang w:eastAsia="es-ES"/>
        </w:rPr>
        <w:t>le paragraphe</w:t>
      </w:r>
      <w:r w:rsidR="001514A8">
        <w:rPr>
          <w:lang w:eastAsia="es-ES"/>
        </w:rPr>
        <w:t> </w:t>
      </w:r>
      <w:r>
        <w:rPr>
          <w:lang w:eastAsia="es-ES"/>
        </w:rPr>
        <w:t xml:space="preserve">3 de </w:t>
      </w:r>
      <w:r w:rsidRPr="00C622E0">
        <w:rPr>
          <w:lang w:eastAsia="es-ES"/>
        </w:rPr>
        <w:t>l</w:t>
      </w:r>
      <w:r>
        <w:rPr>
          <w:lang w:eastAsia="es-ES"/>
        </w:rPr>
        <w:t>’</w:t>
      </w:r>
      <w:r w:rsidRPr="00C622E0">
        <w:rPr>
          <w:lang w:eastAsia="es-ES"/>
        </w:rPr>
        <w:t xml:space="preserve">observation générale </w:t>
      </w:r>
      <w:r w:rsidRPr="007727D6">
        <w:rPr>
          <w:rFonts w:eastAsia="MS Mincho"/>
          <w:lang w:eastAsia="es-ES"/>
        </w:rPr>
        <w:t>n</w:t>
      </w:r>
      <w:r w:rsidRPr="007727D6">
        <w:rPr>
          <w:rFonts w:eastAsia="MS Mincho"/>
          <w:vertAlign w:val="superscript"/>
          <w:lang w:eastAsia="es-ES"/>
        </w:rPr>
        <w:t>o</w:t>
      </w:r>
      <w:r>
        <w:rPr>
          <w:lang w:eastAsia="es-ES"/>
        </w:rPr>
        <w:t> </w:t>
      </w:r>
      <w:r w:rsidRPr="00C622E0">
        <w:rPr>
          <w:lang w:eastAsia="es-ES"/>
        </w:rPr>
        <w:t xml:space="preserve">7, selon </w:t>
      </w:r>
      <w:r>
        <w:rPr>
          <w:lang w:eastAsia="es-ES"/>
        </w:rPr>
        <w:t>lequel</w:t>
      </w:r>
      <w:r w:rsidR="001514A8">
        <w:rPr>
          <w:lang w:eastAsia="es-ES"/>
        </w:rPr>
        <w:t xml:space="preserve"> </w:t>
      </w:r>
      <w:r w:rsidRPr="00C622E0">
        <w:rPr>
          <w:lang w:eastAsia="es-ES"/>
        </w:rPr>
        <w:t>l</w:t>
      </w:r>
      <w:r>
        <w:rPr>
          <w:lang w:eastAsia="es-ES"/>
        </w:rPr>
        <w:t>’</w:t>
      </w:r>
      <w:r w:rsidRPr="00C622E0">
        <w:t>interdiction frappant les expulsions forcées ne s</w:t>
      </w:r>
      <w:r>
        <w:t>’</w:t>
      </w:r>
      <w:r w:rsidRPr="00C622E0">
        <w:t>applique toutefois pas à celles qui sont opérées par la force dans le respect de la loi et conformément aux dispositions des Pactes internationaux relatifs aux droits de l</w:t>
      </w:r>
      <w:r>
        <w:t>’</w:t>
      </w:r>
      <w:r w:rsidRPr="00C622E0">
        <w:t>homme</w:t>
      </w:r>
      <w:r w:rsidRPr="00C622E0">
        <w:rPr>
          <w:lang w:eastAsia="es-ES"/>
        </w:rPr>
        <w:t>. Le Comité constate que l</w:t>
      </w:r>
      <w:r>
        <w:rPr>
          <w:lang w:eastAsia="es-ES"/>
        </w:rPr>
        <w:t>’</w:t>
      </w:r>
      <w:r w:rsidRPr="00C622E0">
        <w:rPr>
          <w:lang w:eastAsia="es-ES"/>
        </w:rPr>
        <w:t>auteure n</w:t>
      </w:r>
      <w:r>
        <w:rPr>
          <w:lang w:eastAsia="es-ES"/>
        </w:rPr>
        <w:t>’</w:t>
      </w:r>
      <w:r w:rsidRPr="00C622E0">
        <w:rPr>
          <w:lang w:eastAsia="es-ES"/>
        </w:rPr>
        <w:t xml:space="preserve">affirme pas que son expulsion était </w:t>
      </w:r>
      <w:r w:rsidRPr="006E27BF">
        <w:rPr>
          <w:lang w:eastAsia="es-ES"/>
        </w:rPr>
        <w:t>contraire au droit interne</w:t>
      </w:r>
      <w:r w:rsidRPr="00C622E0">
        <w:rPr>
          <w:lang w:eastAsia="es-ES"/>
        </w:rPr>
        <w:t xml:space="preserve">. </w:t>
      </w:r>
      <w:r w:rsidRPr="001F4E96">
        <w:rPr>
          <w:lang w:eastAsia="es-ES"/>
        </w:rPr>
        <w:t>Elle se plaint plutôt du fait que l</w:t>
      </w:r>
      <w:r>
        <w:rPr>
          <w:lang w:eastAsia="es-ES"/>
        </w:rPr>
        <w:t>’</w:t>
      </w:r>
      <w:r w:rsidRPr="001F4E96">
        <w:rPr>
          <w:lang w:eastAsia="es-ES"/>
        </w:rPr>
        <w:t>expulsion n</w:t>
      </w:r>
      <w:r>
        <w:rPr>
          <w:lang w:eastAsia="es-ES"/>
        </w:rPr>
        <w:t>’</w:t>
      </w:r>
      <w:r w:rsidRPr="001F4E96">
        <w:rPr>
          <w:lang w:eastAsia="es-ES"/>
        </w:rPr>
        <w:t>était pas conforme aux dispositions du Pacte, comme l</w:t>
      </w:r>
      <w:r>
        <w:rPr>
          <w:lang w:eastAsia="es-ES"/>
        </w:rPr>
        <w:t>’</w:t>
      </w:r>
      <w:r w:rsidRPr="001F4E96">
        <w:rPr>
          <w:lang w:eastAsia="es-ES"/>
        </w:rPr>
        <w:t xml:space="preserve">indique la </w:t>
      </w:r>
      <w:r>
        <w:rPr>
          <w:lang w:eastAsia="es-ES"/>
        </w:rPr>
        <w:t>fin</w:t>
      </w:r>
      <w:r w:rsidRPr="001F4E96">
        <w:rPr>
          <w:lang w:eastAsia="es-ES"/>
        </w:rPr>
        <w:t xml:space="preserve"> de la phrase </w:t>
      </w:r>
      <w:r>
        <w:rPr>
          <w:lang w:eastAsia="es-ES"/>
        </w:rPr>
        <w:t>précitée</w:t>
      </w:r>
      <w:r w:rsidRPr="001F4E96">
        <w:rPr>
          <w:lang w:eastAsia="es-ES"/>
        </w:rPr>
        <w:t xml:space="preserve"> de l</w:t>
      </w:r>
      <w:r>
        <w:rPr>
          <w:lang w:eastAsia="es-ES"/>
        </w:rPr>
        <w:t>’o</w:t>
      </w:r>
      <w:r w:rsidRPr="001F4E96">
        <w:rPr>
          <w:lang w:eastAsia="es-ES"/>
        </w:rPr>
        <w:t>bservation générale n</w:t>
      </w:r>
      <w:r w:rsidR="001514A8" w:rsidRPr="001514A8">
        <w:rPr>
          <w:vertAlign w:val="superscript"/>
          <w:lang w:eastAsia="es-ES"/>
        </w:rPr>
        <w:t>o</w:t>
      </w:r>
      <w:r w:rsidR="001514A8">
        <w:rPr>
          <w:lang w:eastAsia="es-ES"/>
        </w:rPr>
        <w:t> </w:t>
      </w:r>
      <w:r w:rsidRPr="001F4E96">
        <w:rPr>
          <w:lang w:eastAsia="es-ES"/>
        </w:rPr>
        <w:t>7</w:t>
      </w:r>
      <w:r w:rsidRPr="00C622E0">
        <w:rPr>
          <w:lang w:eastAsia="es-ES"/>
        </w:rPr>
        <w:t>. En conséquence, le Comité considère que la communication satisfait à l</w:t>
      </w:r>
      <w:r>
        <w:rPr>
          <w:lang w:eastAsia="es-ES"/>
        </w:rPr>
        <w:t>’</w:t>
      </w:r>
      <w:r w:rsidRPr="00C622E0">
        <w:rPr>
          <w:lang w:eastAsia="es-ES"/>
        </w:rPr>
        <w:t>obligation de se rapporter à une violation éventuelle d</w:t>
      </w:r>
      <w:r>
        <w:rPr>
          <w:lang w:eastAsia="es-ES"/>
        </w:rPr>
        <w:t>’</w:t>
      </w:r>
      <w:r w:rsidRPr="00C622E0">
        <w:rPr>
          <w:lang w:eastAsia="es-ES"/>
        </w:rPr>
        <w:t>un droit consacré par le Pacte, conformément à l</w:t>
      </w:r>
      <w:r>
        <w:rPr>
          <w:lang w:eastAsia="es-ES"/>
        </w:rPr>
        <w:t>’</w:t>
      </w:r>
      <w:r w:rsidRPr="00C622E0">
        <w:rPr>
          <w:lang w:eastAsia="es-ES"/>
        </w:rPr>
        <w:t>article</w:t>
      </w:r>
      <w:r w:rsidR="001514A8">
        <w:rPr>
          <w:lang w:eastAsia="es-ES"/>
        </w:rPr>
        <w:t> </w:t>
      </w:r>
      <w:r w:rsidRPr="00C622E0">
        <w:rPr>
          <w:lang w:eastAsia="es-ES"/>
        </w:rPr>
        <w:t>2 du Protocole facultatif.</w:t>
      </w:r>
    </w:p>
    <w:p w14:paraId="78CE80D4" w14:textId="77777777" w:rsidR="0037651B" w:rsidRPr="00C622E0" w:rsidRDefault="0037651B" w:rsidP="0037651B">
      <w:pPr>
        <w:pStyle w:val="SingleTxtG"/>
        <w:rPr>
          <w:lang w:eastAsia="es-ES"/>
        </w:rPr>
      </w:pPr>
      <w:r w:rsidRPr="00C622E0">
        <w:rPr>
          <w:lang w:eastAsia="es-ES"/>
        </w:rPr>
        <w:t>6.3</w:t>
      </w:r>
      <w:r w:rsidRPr="00C622E0">
        <w:rPr>
          <w:lang w:eastAsia="es-ES"/>
        </w:rPr>
        <w:tab/>
        <w:t>Le Comité constate que la communication satisfait aux autres critères de recevabilité prévus aux articles</w:t>
      </w:r>
      <w:r w:rsidR="001514A8">
        <w:rPr>
          <w:lang w:eastAsia="es-ES"/>
        </w:rPr>
        <w:t> </w:t>
      </w:r>
      <w:r w:rsidRPr="00C622E0">
        <w:rPr>
          <w:lang w:eastAsia="es-ES"/>
        </w:rPr>
        <w:t>2 et 3 du Protocole facultatif et, par voie de conséquence, la déclare recevable et procède à son examen quant au fond.</w:t>
      </w:r>
    </w:p>
    <w:p w14:paraId="2531455F" w14:textId="77777777" w:rsidR="0037651B" w:rsidRPr="00C622E0" w:rsidRDefault="0037651B" w:rsidP="0037651B">
      <w:pPr>
        <w:pStyle w:val="H1G"/>
        <w:rPr>
          <w:lang w:eastAsia="es-ES"/>
        </w:rPr>
      </w:pPr>
      <w:r w:rsidRPr="00C622E0">
        <w:rPr>
          <w:lang w:eastAsia="es-ES"/>
        </w:rPr>
        <w:tab/>
        <w:t>C.</w:t>
      </w:r>
      <w:r w:rsidRPr="00C622E0">
        <w:rPr>
          <w:lang w:eastAsia="es-ES"/>
        </w:rPr>
        <w:tab/>
        <w:t>Examen au fond</w:t>
      </w:r>
    </w:p>
    <w:p w14:paraId="6E3F06D4" w14:textId="77777777" w:rsidR="0037651B" w:rsidRPr="00C622E0" w:rsidRDefault="0037651B" w:rsidP="0037651B">
      <w:pPr>
        <w:pStyle w:val="H23G"/>
        <w:rPr>
          <w:lang w:eastAsia="es-ES"/>
        </w:rPr>
      </w:pPr>
      <w:r w:rsidRPr="00C622E0">
        <w:rPr>
          <w:lang w:eastAsia="es-ES"/>
        </w:rPr>
        <w:tab/>
      </w:r>
      <w:r w:rsidRPr="00C622E0">
        <w:rPr>
          <w:lang w:eastAsia="es-ES"/>
        </w:rPr>
        <w:tab/>
        <w:t>Faits et questions juridiques</w:t>
      </w:r>
    </w:p>
    <w:p w14:paraId="02F5F180" w14:textId="77777777" w:rsidR="0037651B" w:rsidRPr="00C622E0" w:rsidRDefault="0037651B" w:rsidP="0037651B">
      <w:pPr>
        <w:pStyle w:val="SingleTxtG"/>
        <w:rPr>
          <w:lang w:eastAsia="es-ES"/>
        </w:rPr>
      </w:pPr>
      <w:r w:rsidRPr="00C622E0">
        <w:rPr>
          <w:lang w:eastAsia="es-ES"/>
        </w:rPr>
        <w:t>7.1</w:t>
      </w:r>
      <w:r w:rsidRPr="00C622E0">
        <w:rPr>
          <w:lang w:eastAsia="es-ES"/>
        </w:rPr>
        <w:tab/>
        <w:t>Le Comité a examiné la présente communication en tenant compte de toutes les informations qui lui avaient été communiquées, conformément aux dispositions de l</w:t>
      </w:r>
      <w:r>
        <w:rPr>
          <w:lang w:eastAsia="es-ES"/>
        </w:rPr>
        <w:t>’</w:t>
      </w:r>
      <w:r w:rsidRPr="00C622E0">
        <w:rPr>
          <w:lang w:eastAsia="es-ES"/>
        </w:rPr>
        <w:t>article</w:t>
      </w:r>
      <w:r>
        <w:rPr>
          <w:lang w:eastAsia="es-ES"/>
        </w:rPr>
        <w:t> </w:t>
      </w:r>
      <w:r w:rsidRPr="00C622E0">
        <w:rPr>
          <w:lang w:eastAsia="es-ES"/>
        </w:rPr>
        <w:t>8 du Protocole facultatif.</w:t>
      </w:r>
    </w:p>
    <w:p w14:paraId="303E5FFE" w14:textId="77777777" w:rsidR="0037651B" w:rsidRDefault="0037651B" w:rsidP="0037651B">
      <w:pPr>
        <w:pStyle w:val="SingleTxtG"/>
        <w:keepLines/>
        <w:rPr>
          <w:lang w:eastAsia="es-ES"/>
        </w:rPr>
      </w:pPr>
      <w:r w:rsidRPr="00C622E0">
        <w:rPr>
          <w:lang w:eastAsia="es-ES"/>
        </w:rPr>
        <w:t>7.2</w:t>
      </w:r>
      <w:r w:rsidRPr="00C622E0">
        <w:rPr>
          <w:lang w:eastAsia="es-ES"/>
        </w:rPr>
        <w:tab/>
      </w:r>
      <w:r w:rsidRPr="00480B34">
        <w:rPr>
          <w:lang w:eastAsia="es-ES"/>
        </w:rPr>
        <w:t>Le Comité procède ensuite à l</w:t>
      </w:r>
      <w:r>
        <w:rPr>
          <w:lang w:eastAsia="es-ES"/>
        </w:rPr>
        <w:t>’</w:t>
      </w:r>
      <w:r w:rsidRPr="00480B34">
        <w:rPr>
          <w:lang w:eastAsia="es-ES"/>
        </w:rPr>
        <w:t>examen de ce qu</w:t>
      </w:r>
      <w:r>
        <w:rPr>
          <w:lang w:eastAsia="es-ES"/>
        </w:rPr>
        <w:t>’</w:t>
      </w:r>
      <w:r w:rsidRPr="00480B34">
        <w:rPr>
          <w:lang w:eastAsia="es-ES"/>
        </w:rPr>
        <w:t xml:space="preserve">il considère être les faits avérés. </w:t>
      </w:r>
      <w:r w:rsidRPr="00C622E0">
        <w:rPr>
          <w:lang w:eastAsia="es-ES"/>
        </w:rPr>
        <w:t>L</w:t>
      </w:r>
      <w:r>
        <w:rPr>
          <w:lang w:eastAsia="es-ES"/>
        </w:rPr>
        <w:t>’</w:t>
      </w:r>
      <w:r w:rsidRPr="00C622E0">
        <w:rPr>
          <w:lang w:eastAsia="es-ES"/>
        </w:rPr>
        <w:t>auteure affirme qu</w:t>
      </w:r>
      <w:r>
        <w:rPr>
          <w:lang w:eastAsia="es-ES"/>
        </w:rPr>
        <w:t>’</w:t>
      </w:r>
      <w:r w:rsidRPr="00C622E0">
        <w:rPr>
          <w:lang w:eastAsia="es-ES"/>
        </w:rPr>
        <w:t>elle a loué un appartement auprès d</w:t>
      </w:r>
      <w:r>
        <w:rPr>
          <w:lang w:eastAsia="es-ES"/>
        </w:rPr>
        <w:t>’</w:t>
      </w:r>
      <w:r w:rsidRPr="00C622E0">
        <w:rPr>
          <w:lang w:eastAsia="es-ES"/>
        </w:rPr>
        <w:t>une personne qui s</w:t>
      </w:r>
      <w:r>
        <w:rPr>
          <w:lang w:eastAsia="es-ES"/>
        </w:rPr>
        <w:t>’</w:t>
      </w:r>
      <w:r w:rsidRPr="00C622E0">
        <w:rPr>
          <w:lang w:eastAsia="es-ES"/>
        </w:rPr>
        <w:t xml:space="preserve">est révélée ne pas en être la propriétaire, en mars 2013. </w:t>
      </w:r>
      <w:r w:rsidRPr="004C6A1B">
        <w:rPr>
          <w:lang w:eastAsia="es-ES"/>
        </w:rPr>
        <w:t>Toutefois, le Comité note que l</w:t>
      </w:r>
      <w:r>
        <w:rPr>
          <w:lang w:eastAsia="es-ES"/>
        </w:rPr>
        <w:t>’</w:t>
      </w:r>
      <w:r w:rsidRPr="004C6A1B">
        <w:rPr>
          <w:lang w:eastAsia="es-ES"/>
        </w:rPr>
        <w:t>auteur</w:t>
      </w:r>
      <w:r>
        <w:rPr>
          <w:lang w:eastAsia="es-ES"/>
        </w:rPr>
        <w:t>e</w:t>
      </w:r>
      <w:r w:rsidRPr="004C6A1B">
        <w:rPr>
          <w:lang w:eastAsia="es-ES"/>
        </w:rPr>
        <w:t xml:space="preserve"> ne fournit aucun document à l</w:t>
      </w:r>
      <w:r>
        <w:rPr>
          <w:lang w:eastAsia="es-ES"/>
        </w:rPr>
        <w:t>’</w:t>
      </w:r>
      <w:r w:rsidRPr="004C6A1B">
        <w:rPr>
          <w:lang w:eastAsia="es-ES"/>
        </w:rPr>
        <w:t>appui de cette affirmation, qui a été examinée et rejetée par les autorités judiciaires nationales. En l</w:t>
      </w:r>
      <w:r>
        <w:rPr>
          <w:lang w:eastAsia="es-ES"/>
        </w:rPr>
        <w:t>’</w:t>
      </w:r>
      <w:r w:rsidRPr="004C6A1B">
        <w:rPr>
          <w:lang w:eastAsia="es-ES"/>
        </w:rPr>
        <w:t xml:space="preserve">absence de </w:t>
      </w:r>
      <w:r>
        <w:rPr>
          <w:lang w:eastAsia="es-ES"/>
        </w:rPr>
        <w:t>tout élément indiquant</w:t>
      </w:r>
      <w:r w:rsidRPr="004C6A1B">
        <w:rPr>
          <w:lang w:eastAsia="es-ES"/>
        </w:rPr>
        <w:t xml:space="preserve"> que cette décision était arbitraire ou constituait en soi une violation d</w:t>
      </w:r>
      <w:r>
        <w:rPr>
          <w:lang w:eastAsia="es-ES"/>
        </w:rPr>
        <w:t>’</w:t>
      </w:r>
      <w:r w:rsidRPr="004C6A1B">
        <w:rPr>
          <w:lang w:eastAsia="es-ES"/>
        </w:rPr>
        <w:t xml:space="preserve">un droit </w:t>
      </w:r>
      <w:r>
        <w:rPr>
          <w:lang w:eastAsia="es-ES"/>
        </w:rPr>
        <w:t>consacré</w:t>
      </w:r>
      <w:r w:rsidRPr="004C6A1B">
        <w:rPr>
          <w:lang w:eastAsia="es-ES"/>
        </w:rPr>
        <w:t xml:space="preserve"> par le Pacte, le Comité ne réévaluera pas </w:t>
      </w:r>
      <w:r>
        <w:rPr>
          <w:lang w:eastAsia="es-ES"/>
        </w:rPr>
        <w:t>ces</w:t>
      </w:r>
      <w:r w:rsidRPr="004C6A1B">
        <w:rPr>
          <w:lang w:eastAsia="es-ES"/>
        </w:rPr>
        <w:t xml:space="preserve"> faits, estimant qu</w:t>
      </w:r>
      <w:r>
        <w:rPr>
          <w:lang w:eastAsia="es-ES"/>
        </w:rPr>
        <w:t>’</w:t>
      </w:r>
      <w:r w:rsidRPr="004C6A1B">
        <w:rPr>
          <w:lang w:eastAsia="es-ES"/>
        </w:rPr>
        <w:t>ils n</w:t>
      </w:r>
      <w:r>
        <w:rPr>
          <w:lang w:eastAsia="es-ES"/>
        </w:rPr>
        <w:t>’</w:t>
      </w:r>
      <w:r w:rsidRPr="004C6A1B">
        <w:rPr>
          <w:lang w:eastAsia="es-ES"/>
        </w:rPr>
        <w:t>ont pas été suffisamment étayés, aux fins de cet examen. Il est établi que l</w:t>
      </w:r>
      <w:r>
        <w:rPr>
          <w:lang w:eastAsia="es-ES"/>
        </w:rPr>
        <w:t>’</w:t>
      </w:r>
      <w:r w:rsidRPr="004C6A1B">
        <w:rPr>
          <w:lang w:eastAsia="es-ES"/>
        </w:rPr>
        <w:t>auteur</w:t>
      </w:r>
      <w:r>
        <w:rPr>
          <w:lang w:eastAsia="es-ES"/>
        </w:rPr>
        <w:t>e</w:t>
      </w:r>
      <w:r w:rsidRPr="004C6A1B">
        <w:rPr>
          <w:lang w:eastAsia="es-ES"/>
        </w:rPr>
        <w:t xml:space="preserve"> et ses enfants vivaient dans une maison sans le consentement de son propriétaire légal en raison d</w:t>
      </w:r>
      <w:r>
        <w:rPr>
          <w:lang w:eastAsia="es-ES"/>
        </w:rPr>
        <w:t>’</w:t>
      </w:r>
      <w:r w:rsidRPr="004C6A1B">
        <w:rPr>
          <w:lang w:eastAsia="es-ES"/>
        </w:rPr>
        <w:t xml:space="preserve">un état de nécessité. </w:t>
      </w:r>
      <w:r w:rsidRPr="001D22DE">
        <w:rPr>
          <w:lang w:eastAsia="es-ES"/>
        </w:rPr>
        <w:t>L</w:t>
      </w:r>
      <w:r>
        <w:rPr>
          <w:lang w:eastAsia="es-ES"/>
        </w:rPr>
        <w:t>’</w:t>
      </w:r>
      <w:r w:rsidRPr="001D22DE">
        <w:rPr>
          <w:lang w:eastAsia="es-ES"/>
        </w:rPr>
        <w:t>auteur</w:t>
      </w:r>
      <w:r>
        <w:rPr>
          <w:lang w:eastAsia="es-ES"/>
        </w:rPr>
        <w:t>e</w:t>
      </w:r>
      <w:r w:rsidRPr="001D22DE">
        <w:rPr>
          <w:lang w:eastAsia="es-ES"/>
        </w:rPr>
        <w:t xml:space="preserve"> a été condamnée pour usurpation d</w:t>
      </w:r>
      <w:r>
        <w:rPr>
          <w:lang w:eastAsia="es-ES"/>
        </w:rPr>
        <w:t>’</w:t>
      </w:r>
      <w:r w:rsidRPr="001D22DE">
        <w:rPr>
          <w:lang w:eastAsia="es-ES"/>
        </w:rPr>
        <w:t>identité, considérée comme une dispense partielle de nécessité, et sommée de quitter la maison qu</w:t>
      </w:r>
      <w:r>
        <w:rPr>
          <w:lang w:eastAsia="es-ES"/>
        </w:rPr>
        <w:t>’</w:t>
      </w:r>
      <w:r w:rsidRPr="001D22DE">
        <w:rPr>
          <w:lang w:eastAsia="es-ES"/>
        </w:rPr>
        <w:t>elle occupait. Pendant la période où l</w:t>
      </w:r>
      <w:r>
        <w:rPr>
          <w:lang w:eastAsia="es-ES"/>
        </w:rPr>
        <w:t>’</w:t>
      </w:r>
      <w:r w:rsidRPr="001D22DE">
        <w:rPr>
          <w:lang w:eastAsia="es-ES"/>
        </w:rPr>
        <w:t>auteur</w:t>
      </w:r>
      <w:r>
        <w:rPr>
          <w:lang w:eastAsia="es-ES"/>
        </w:rPr>
        <w:t>e</w:t>
      </w:r>
      <w:r w:rsidRPr="001D22DE">
        <w:rPr>
          <w:lang w:eastAsia="es-ES"/>
        </w:rPr>
        <w:t xml:space="preserve"> occupait la maison, elle a </w:t>
      </w:r>
      <w:r>
        <w:rPr>
          <w:lang w:eastAsia="es-ES"/>
        </w:rPr>
        <w:t>présenté</w:t>
      </w:r>
      <w:r w:rsidRPr="001D22DE">
        <w:rPr>
          <w:lang w:eastAsia="es-ES"/>
        </w:rPr>
        <w:t xml:space="preserve"> une demande de logement social, </w:t>
      </w:r>
      <w:r w:rsidRPr="00C622E0">
        <w:rPr>
          <w:lang w:eastAsia="es-ES"/>
        </w:rPr>
        <w:t>qui a été rejetée parce qu</w:t>
      </w:r>
      <w:r>
        <w:rPr>
          <w:lang w:eastAsia="es-ES"/>
        </w:rPr>
        <w:t>’</w:t>
      </w:r>
      <w:r w:rsidRPr="00C622E0">
        <w:rPr>
          <w:lang w:eastAsia="es-ES"/>
        </w:rPr>
        <w:t>elle occupait un appartement sans titre juridique valable</w:t>
      </w:r>
      <w:r w:rsidRPr="001D22DE">
        <w:rPr>
          <w:lang w:eastAsia="es-ES"/>
        </w:rPr>
        <w:t xml:space="preserve">. </w:t>
      </w:r>
      <w:r w:rsidRPr="00C622E0">
        <w:rPr>
          <w:lang w:eastAsia="es-ES"/>
        </w:rPr>
        <w:t>Le 25</w:t>
      </w:r>
      <w:r>
        <w:rPr>
          <w:lang w:eastAsia="es-ES"/>
        </w:rPr>
        <w:t> </w:t>
      </w:r>
      <w:r w:rsidRPr="00C622E0">
        <w:rPr>
          <w:lang w:eastAsia="es-ES"/>
        </w:rPr>
        <w:t>juin</w:t>
      </w:r>
      <w:r>
        <w:rPr>
          <w:lang w:eastAsia="es-ES"/>
        </w:rPr>
        <w:t xml:space="preserve"> 2018</w:t>
      </w:r>
      <w:r w:rsidRPr="00C622E0">
        <w:rPr>
          <w:lang w:eastAsia="es-ES"/>
        </w:rPr>
        <w:t>, l</w:t>
      </w:r>
      <w:r>
        <w:rPr>
          <w:lang w:eastAsia="es-ES"/>
        </w:rPr>
        <w:t>’</w:t>
      </w:r>
      <w:r w:rsidRPr="00C622E0">
        <w:rPr>
          <w:lang w:eastAsia="es-ES"/>
        </w:rPr>
        <w:t xml:space="preserve">auteure et ses enfants ont été expulsés. </w:t>
      </w:r>
    </w:p>
    <w:p w14:paraId="63F5585C" w14:textId="77777777" w:rsidR="0037651B" w:rsidRDefault="0037651B" w:rsidP="0037651B">
      <w:pPr>
        <w:pStyle w:val="SingleTxtG"/>
        <w:keepLines/>
        <w:rPr>
          <w:lang w:eastAsia="es-ES"/>
        </w:rPr>
      </w:pPr>
      <w:r w:rsidRPr="00623193">
        <w:rPr>
          <w:lang w:eastAsia="es-ES"/>
        </w:rPr>
        <w:t>7.3</w:t>
      </w:r>
      <w:r>
        <w:rPr>
          <w:lang w:eastAsia="es-ES"/>
        </w:rPr>
        <w:tab/>
      </w:r>
      <w:r w:rsidRPr="00623193">
        <w:rPr>
          <w:lang w:eastAsia="es-ES"/>
        </w:rPr>
        <w:t>Après l</w:t>
      </w:r>
      <w:r>
        <w:rPr>
          <w:lang w:eastAsia="es-ES"/>
        </w:rPr>
        <w:t>’</w:t>
      </w:r>
      <w:r w:rsidRPr="00623193">
        <w:rPr>
          <w:lang w:eastAsia="es-ES"/>
        </w:rPr>
        <w:t>expulsion, les services sociaux ont proposé à l</w:t>
      </w:r>
      <w:r>
        <w:rPr>
          <w:lang w:eastAsia="es-ES"/>
        </w:rPr>
        <w:t>’</w:t>
      </w:r>
      <w:r w:rsidRPr="00623193">
        <w:rPr>
          <w:lang w:eastAsia="es-ES"/>
        </w:rPr>
        <w:t>auteur</w:t>
      </w:r>
      <w:r>
        <w:rPr>
          <w:lang w:eastAsia="es-ES"/>
        </w:rPr>
        <w:t>e</w:t>
      </w:r>
      <w:r w:rsidRPr="00623193">
        <w:rPr>
          <w:lang w:eastAsia="es-ES"/>
        </w:rPr>
        <w:t xml:space="preserve"> et à sa famille une solution de logement dans un </w:t>
      </w:r>
      <w:r>
        <w:rPr>
          <w:lang w:eastAsia="es-ES"/>
        </w:rPr>
        <w:t>foyer</w:t>
      </w:r>
      <w:r w:rsidRPr="00623193">
        <w:rPr>
          <w:lang w:eastAsia="es-ES"/>
        </w:rPr>
        <w:t xml:space="preserve"> temporaire et partagé (voir </w:t>
      </w:r>
      <w:r w:rsidRPr="00644232">
        <w:rPr>
          <w:i/>
          <w:lang w:eastAsia="es-ES"/>
        </w:rPr>
        <w:t>supra</w:t>
      </w:r>
      <w:r>
        <w:rPr>
          <w:lang w:eastAsia="es-ES"/>
        </w:rPr>
        <w:t>, par.</w:t>
      </w:r>
      <w:r w:rsidR="001514A8">
        <w:rPr>
          <w:lang w:eastAsia="es-ES"/>
        </w:rPr>
        <w:t> </w:t>
      </w:r>
      <w:r w:rsidRPr="00623193">
        <w:rPr>
          <w:lang w:eastAsia="es-ES"/>
        </w:rPr>
        <w:t>4.7). La famille</w:t>
      </w:r>
      <w:r>
        <w:rPr>
          <w:lang w:eastAsia="es-ES"/>
        </w:rPr>
        <w:t xml:space="preserve"> </w:t>
      </w:r>
      <w:r w:rsidRPr="00C622E0">
        <w:rPr>
          <w:lang w:eastAsia="es-ES"/>
        </w:rPr>
        <w:t>a séjourné dans un premier foyer, jusqu</w:t>
      </w:r>
      <w:r>
        <w:rPr>
          <w:lang w:eastAsia="es-ES"/>
        </w:rPr>
        <w:t>’</w:t>
      </w:r>
      <w:r w:rsidRPr="00C622E0">
        <w:rPr>
          <w:lang w:eastAsia="es-ES"/>
        </w:rPr>
        <w:t>en octobre 2018, et dans un second, d</w:t>
      </w:r>
      <w:r>
        <w:rPr>
          <w:lang w:eastAsia="es-ES"/>
        </w:rPr>
        <w:t>’</w:t>
      </w:r>
      <w:r w:rsidRPr="00C622E0">
        <w:rPr>
          <w:lang w:eastAsia="es-ES"/>
        </w:rPr>
        <w:t>octobre à novembre de la même année</w:t>
      </w:r>
      <w:r w:rsidRPr="00623193">
        <w:rPr>
          <w:lang w:eastAsia="es-ES"/>
        </w:rPr>
        <w:t>.</w:t>
      </w:r>
      <w:r>
        <w:rPr>
          <w:lang w:eastAsia="es-ES"/>
        </w:rPr>
        <w:t xml:space="preserve"> </w:t>
      </w:r>
      <w:r w:rsidRPr="00E95174">
        <w:rPr>
          <w:lang w:eastAsia="es-ES"/>
        </w:rPr>
        <w:t>L</w:t>
      </w:r>
      <w:r>
        <w:rPr>
          <w:lang w:eastAsia="es-ES"/>
        </w:rPr>
        <w:t>’</w:t>
      </w:r>
      <w:r w:rsidRPr="00E95174">
        <w:rPr>
          <w:lang w:eastAsia="es-ES"/>
        </w:rPr>
        <w:t>auteur</w:t>
      </w:r>
      <w:r>
        <w:rPr>
          <w:lang w:eastAsia="es-ES"/>
        </w:rPr>
        <w:t>e</w:t>
      </w:r>
      <w:r w:rsidRPr="00E95174">
        <w:rPr>
          <w:lang w:eastAsia="es-ES"/>
        </w:rPr>
        <w:t xml:space="preserve"> soutient que dans le deuxième </w:t>
      </w:r>
      <w:r>
        <w:rPr>
          <w:lang w:eastAsia="es-ES"/>
        </w:rPr>
        <w:t>foyer</w:t>
      </w:r>
      <w:r w:rsidRPr="00E95174">
        <w:rPr>
          <w:lang w:eastAsia="es-ES"/>
        </w:rPr>
        <w:t xml:space="preserve">, les membres de la famille </w:t>
      </w:r>
      <w:r>
        <w:rPr>
          <w:lang w:eastAsia="es-ES"/>
        </w:rPr>
        <w:t>étaient</w:t>
      </w:r>
      <w:r w:rsidRPr="00E95174">
        <w:rPr>
          <w:lang w:eastAsia="es-ES"/>
        </w:rPr>
        <w:t xml:space="preserve"> séparés par sexe et </w:t>
      </w:r>
      <w:r>
        <w:rPr>
          <w:lang w:eastAsia="es-ES"/>
        </w:rPr>
        <w:t>revient sur</w:t>
      </w:r>
      <w:r w:rsidRPr="00E95174">
        <w:rPr>
          <w:lang w:eastAsia="es-ES"/>
        </w:rPr>
        <w:t xml:space="preserve"> les conséquences de leur passage dans </w:t>
      </w:r>
      <w:r>
        <w:rPr>
          <w:lang w:eastAsia="es-ES"/>
        </w:rPr>
        <w:t>ces foyers</w:t>
      </w:r>
      <w:r w:rsidRPr="00E95174">
        <w:rPr>
          <w:lang w:eastAsia="es-ES"/>
        </w:rPr>
        <w:t xml:space="preserve"> (voir </w:t>
      </w:r>
      <w:r w:rsidRPr="00644232">
        <w:rPr>
          <w:i/>
          <w:lang w:eastAsia="es-ES"/>
        </w:rPr>
        <w:t>supra</w:t>
      </w:r>
      <w:r>
        <w:rPr>
          <w:lang w:eastAsia="es-ES"/>
        </w:rPr>
        <w:t>, par.</w:t>
      </w:r>
      <w:r w:rsidR="001514A8">
        <w:rPr>
          <w:lang w:eastAsia="es-ES"/>
        </w:rPr>
        <w:t> </w:t>
      </w:r>
      <w:r w:rsidRPr="00E95174">
        <w:rPr>
          <w:lang w:eastAsia="es-ES"/>
        </w:rPr>
        <w:t>5.7).</w:t>
      </w:r>
      <w:r>
        <w:rPr>
          <w:lang w:eastAsia="es-ES"/>
        </w:rPr>
        <w:t xml:space="preserve"> </w:t>
      </w:r>
      <w:r w:rsidRPr="008E1154">
        <w:rPr>
          <w:lang w:eastAsia="es-ES"/>
        </w:rPr>
        <w:t>Toutefois, ces conséquences n</w:t>
      </w:r>
      <w:r>
        <w:rPr>
          <w:lang w:eastAsia="es-ES"/>
        </w:rPr>
        <w:t>’</w:t>
      </w:r>
      <w:r w:rsidRPr="008E1154">
        <w:rPr>
          <w:lang w:eastAsia="es-ES"/>
        </w:rPr>
        <w:t xml:space="preserve">ont pas été documentées </w:t>
      </w:r>
      <w:r>
        <w:rPr>
          <w:lang w:eastAsia="es-ES"/>
        </w:rPr>
        <w:t>ni portées à l’attention des</w:t>
      </w:r>
      <w:r w:rsidRPr="008E1154">
        <w:rPr>
          <w:lang w:eastAsia="es-ES"/>
        </w:rPr>
        <w:t xml:space="preserve"> autorités nationales et ne peuvent donc pas avoir le poids de faits avérés.</w:t>
      </w:r>
    </w:p>
    <w:p w14:paraId="564B9E08" w14:textId="77777777" w:rsidR="0037651B" w:rsidRPr="00C622E0" w:rsidRDefault="0037651B" w:rsidP="0037651B">
      <w:pPr>
        <w:pStyle w:val="SingleTxtG"/>
        <w:keepLines/>
        <w:rPr>
          <w:lang w:eastAsia="es-ES"/>
        </w:rPr>
      </w:pPr>
      <w:r>
        <w:rPr>
          <w:lang w:eastAsia="es-ES"/>
        </w:rPr>
        <w:lastRenderedPageBreak/>
        <w:t>7.4</w:t>
      </w:r>
      <w:r>
        <w:rPr>
          <w:lang w:eastAsia="es-ES"/>
        </w:rPr>
        <w:tab/>
      </w:r>
      <w:r w:rsidRPr="00C622E0">
        <w:rPr>
          <w:lang w:eastAsia="es-ES"/>
        </w:rPr>
        <w:t>L</w:t>
      </w:r>
      <w:r>
        <w:rPr>
          <w:lang w:eastAsia="es-ES"/>
        </w:rPr>
        <w:t>’</w:t>
      </w:r>
      <w:r w:rsidRPr="00C622E0">
        <w:rPr>
          <w:lang w:eastAsia="es-ES"/>
        </w:rPr>
        <w:t>auteure affirme que cette expulsion constitue une violation de son droit et de celui de ses enfants à un logement convenable, car il n</w:t>
      </w:r>
      <w:r>
        <w:rPr>
          <w:lang w:eastAsia="es-ES"/>
        </w:rPr>
        <w:t>’</w:t>
      </w:r>
      <w:r w:rsidRPr="00C622E0">
        <w:rPr>
          <w:lang w:eastAsia="es-ES"/>
        </w:rPr>
        <w:t>a pas été tenu compte du fait qu</w:t>
      </w:r>
      <w:r>
        <w:rPr>
          <w:lang w:eastAsia="es-ES"/>
        </w:rPr>
        <w:t>’</w:t>
      </w:r>
      <w:r w:rsidRPr="00C622E0">
        <w:rPr>
          <w:lang w:eastAsia="es-ES"/>
        </w:rPr>
        <w:t>elle n</w:t>
      </w:r>
      <w:r>
        <w:rPr>
          <w:lang w:eastAsia="es-ES"/>
        </w:rPr>
        <w:t>’</w:t>
      </w:r>
      <w:r w:rsidRPr="00C622E0">
        <w:rPr>
          <w:lang w:eastAsia="es-ES"/>
        </w:rPr>
        <w:t>avait pas d</w:t>
      </w:r>
      <w:r>
        <w:rPr>
          <w:lang w:eastAsia="es-ES"/>
        </w:rPr>
        <w:t>’</w:t>
      </w:r>
      <w:r w:rsidRPr="00C622E0">
        <w:rPr>
          <w:lang w:eastAsia="es-ES"/>
        </w:rPr>
        <w:t>autre logement, ni des conséquences de l</w:t>
      </w:r>
      <w:r>
        <w:rPr>
          <w:lang w:eastAsia="es-ES"/>
        </w:rPr>
        <w:t>’</w:t>
      </w:r>
      <w:r w:rsidRPr="00C622E0">
        <w:rPr>
          <w:lang w:eastAsia="es-ES"/>
        </w:rPr>
        <w:t>ordre d</w:t>
      </w:r>
      <w:r>
        <w:rPr>
          <w:lang w:eastAsia="es-ES"/>
        </w:rPr>
        <w:t>’</w:t>
      </w:r>
      <w:r w:rsidRPr="00C622E0">
        <w:rPr>
          <w:lang w:eastAsia="es-ES"/>
        </w:rPr>
        <w:t>expulsion. Elle dit que les autorités ne lui ont pas proposé un logement public et les ont chassées de leur logis, elle et sa famille, parce qu</w:t>
      </w:r>
      <w:r>
        <w:rPr>
          <w:lang w:eastAsia="es-ES"/>
        </w:rPr>
        <w:t>’</w:t>
      </w:r>
      <w:r w:rsidRPr="00C622E0">
        <w:rPr>
          <w:lang w:eastAsia="es-ES"/>
        </w:rPr>
        <w:t>elle n</w:t>
      </w:r>
      <w:r>
        <w:rPr>
          <w:lang w:eastAsia="es-ES"/>
        </w:rPr>
        <w:t>’</w:t>
      </w:r>
      <w:r w:rsidRPr="00C622E0">
        <w:rPr>
          <w:lang w:eastAsia="es-ES"/>
        </w:rPr>
        <w:t>était pas en possession d</w:t>
      </w:r>
      <w:r>
        <w:rPr>
          <w:lang w:eastAsia="es-ES"/>
        </w:rPr>
        <w:t>’</w:t>
      </w:r>
      <w:r w:rsidRPr="00C622E0">
        <w:rPr>
          <w:lang w:eastAsia="es-ES"/>
        </w:rPr>
        <w:t xml:space="preserve">un titre juridique valable. Elle soutient que cette obligation de détenir un titre juridique place </w:t>
      </w:r>
      <w:r w:rsidRPr="001928EC">
        <w:rPr>
          <w:lang w:eastAsia="es-ES"/>
        </w:rPr>
        <w:t xml:space="preserve">les personnes dans des situations comme la sienne </w:t>
      </w:r>
      <w:r w:rsidRPr="00C622E0">
        <w:rPr>
          <w:lang w:eastAsia="es-ES"/>
        </w:rPr>
        <w:t>dans un cercle vicieux et constitue en soi une violation du droit au logement (</w:t>
      </w:r>
      <w:r>
        <w:rPr>
          <w:lang w:eastAsia="es-ES"/>
        </w:rPr>
        <w:t xml:space="preserve">voir </w:t>
      </w:r>
      <w:r w:rsidRPr="00644232">
        <w:rPr>
          <w:i/>
          <w:lang w:eastAsia="es-ES"/>
        </w:rPr>
        <w:t>supra</w:t>
      </w:r>
      <w:r>
        <w:rPr>
          <w:i/>
          <w:lang w:eastAsia="es-ES"/>
        </w:rPr>
        <w:t xml:space="preserve">, </w:t>
      </w:r>
      <w:r>
        <w:rPr>
          <w:lang w:eastAsia="es-ES"/>
        </w:rPr>
        <w:t>par. </w:t>
      </w:r>
      <w:r w:rsidRPr="00C622E0">
        <w:rPr>
          <w:lang w:eastAsia="es-ES"/>
        </w:rPr>
        <w:t>5.5). L</w:t>
      </w:r>
      <w:r>
        <w:rPr>
          <w:lang w:eastAsia="es-ES"/>
        </w:rPr>
        <w:t>’</w:t>
      </w:r>
      <w:r w:rsidRPr="00C622E0">
        <w:rPr>
          <w:lang w:eastAsia="es-ES"/>
        </w:rPr>
        <w:t>auteure affirme en outre que son expulsion constitue une violation de l</w:t>
      </w:r>
      <w:r>
        <w:rPr>
          <w:lang w:eastAsia="es-ES"/>
        </w:rPr>
        <w:t>’</w:t>
      </w:r>
      <w:r w:rsidRPr="00C622E0">
        <w:rPr>
          <w:lang w:eastAsia="es-ES"/>
        </w:rPr>
        <w:t>article</w:t>
      </w:r>
      <w:r w:rsidR="001514A8">
        <w:rPr>
          <w:lang w:eastAsia="es-ES"/>
        </w:rPr>
        <w:t> </w:t>
      </w:r>
      <w:r w:rsidRPr="00C622E0">
        <w:rPr>
          <w:lang w:eastAsia="es-ES"/>
        </w:rPr>
        <w:t>5 du Protocole facultatif (</w:t>
      </w:r>
      <w:r>
        <w:rPr>
          <w:lang w:eastAsia="es-ES"/>
        </w:rPr>
        <w:t xml:space="preserve">voir </w:t>
      </w:r>
      <w:r w:rsidRPr="00644232">
        <w:rPr>
          <w:i/>
          <w:lang w:eastAsia="es-ES"/>
        </w:rPr>
        <w:t>supra</w:t>
      </w:r>
      <w:r>
        <w:rPr>
          <w:lang w:eastAsia="es-ES"/>
        </w:rPr>
        <w:t>, par. </w:t>
      </w:r>
      <w:r w:rsidRPr="00C622E0">
        <w:rPr>
          <w:lang w:eastAsia="es-ES"/>
        </w:rPr>
        <w:t>5.8).</w:t>
      </w:r>
      <w:r>
        <w:rPr>
          <w:lang w:eastAsia="es-ES"/>
        </w:rPr>
        <w:t xml:space="preserve"> </w:t>
      </w:r>
      <w:r w:rsidRPr="00C622E0">
        <w:rPr>
          <w:lang w:eastAsia="es-ES"/>
        </w:rPr>
        <w:t>L</w:t>
      </w:r>
      <w:r>
        <w:rPr>
          <w:lang w:eastAsia="es-ES"/>
        </w:rPr>
        <w:t>’</w:t>
      </w:r>
      <w:r w:rsidRPr="00C622E0">
        <w:rPr>
          <w:lang w:eastAsia="es-ES"/>
        </w:rPr>
        <w:t>État partie allègue que, l</w:t>
      </w:r>
      <w:r>
        <w:rPr>
          <w:lang w:eastAsia="es-ES"/>
        </w:rPr>
        <w:t>’</w:t>
      </w:r>
      <w:r w:rsidRPr="00C622E0">
        <w:rPr>
          <w:lang w:eastAsia="es-ES"/>
        </w:rPr>
        <w:t>auteure ayant été déclarée coupable de l</w:t>
      </w:r>
      <w:r>
        <w:rPr>
          <w:lang w:eastAsia="es-ES"/>
        </w:rPr>
        <w:t>’</w:t>
      </w:r>
      <w:r w:rsidRPr="00C622E0">
        <w:rPr>
          <w:lang w:eastAsia="es-ES"/>
        </w:rPr>
        <w:t>infraction d</w:t>
      </w:r>
      <w:r>
        <w:rPr>
          <w:lang w:eastAsia="es-ES"/>
        </w:rPr>
        <w:t>’</w:t>
      </w:r>
      <w:r w:rsidRPr="00C622E0">
        <w:rPr>
          <w:lang w:eastAsia="es-ES"/>
        </w:rPr>
        <w:t>usurpation, l</w:t>
      </w:r>
      <w:r>
        <w:rPr>
          <w:lang w:eastAsia="es-ES"/>
        </w:rPr>
        <w:t>’</w:t>
      </w:r>
      <w:r w:rsidRPr="00C622E0">
        <w:rPr>
          <w:lang w:eastAsia="es-ES"/>
        </w:rPr>
        <w:t>expulsion était la mesure la plus appropriée (</w:t>
      </w:r>
      <w:r>
        <w:rPr>
          <w:lang w:eastAsia="es-ES"/>
        </w:rPr>
        <w:t xml:space="preserve">voir </w:t>
      </w:r>
      <w:r w:rsidRPr="00644232">
        <w:rPr>
          <w:i/>
          <w:lang w:eastAsia="es-ES"/>
        </w:rPr>
        <w:t>supra</w:t>
      </w:r>
      <w:r>
        <w:rPr>
          <w:lang w:eastAsia="es-ES"/>
        </w:rPr>
        <w:t>, par. </w:t>
      </w:r>
      <w:r w:rsidRPr="00C622E0">
        <w:rPr>
          <w:lang w:eastAsia="es-ES"/>
        </w:rPr>
        <w:t>4.5 et 4.9). Il affirme aussi que l</w:t>
      </w:r>
      <w:r>
        <w:rPr>
          <w:lang w:eastAsia="es-ES"/>
        </w:rPr>
        <w:t>’</w:t>
      </w:r>
      <w:r w:rsidRPr="00C622E0">
        <w:rPr>
          <w:lang w:eastAsia="es-ES"/>
        </w:rPr>
        <w:t>auteure a présenté une demande de logement social et figure actuellement sur une liste d</w:t>
      </w:r>
      <w:r>
        <w:rPr>
          <w:lang w:eastAsia="es-ES"/>
        </w:rPr>
        <w:t>’</w:t>
      </w:r>
      <w:r w:rsidRPr="00C622E0">
        <w:rPr>
          <w:lang w:eastAsia="es-ES"/>
        </w:rPr>
        <w:t>attente (</w:t>
      </w:r>
      <w:r>
        <w:rPr>
          <w:lang w:eastAsia="es-ES"/>
        </w:rPr>
        <w:t xml:space="preserve">voir </w:t>
      </w:r>
      <w:r w:rsidRPr="00644232">
        <w:rPr>
          <w:i/>
          <w:lang w:eastAsia="es-ES"/>
        </w:rPr>
        <w:t>supra</w:t>
      </w:r>
      <w:r>
        <w:rPr>
          <w:lang w:eastAsia="es-ES"/>
        </w:rPr>
        <w:t>, par. </w:t>
      </w:r>
      <w:r w:rsidRPr="00C622E0">
        <w:rPr>
          <w:lang w:eastAsia="es-ES"/>
        </w:rPr>
        <w:t>4.5)</w:t>
      </w:r>
      <w:r>
        <w:rPr>
          <w:lang w:eastAsia="es-ES"/>
        </w:rPr>
        <w:t xml:space="preserve"> et que la </w:t>
      </w:r>
      <w:r w:rsidRPr="00C622E0">
        <w:rPr>
          <w:lang w:eastAsia="es-ES"/>
        </w:rPr>
        <w:t>solution d</w:t>
      </w:r>
      <w:r>
        <w:rPr>
          <w:lang w:eastAsia="es-ES"/>
        </w:rPr>
        <w:t>’</w:t>
      </w:r>
      <w:r w:rsidRPr="00C622E0">
        <w:rPr>
          <w:lang w:eastAsia="es-ES"/>
        </w:rPr>
        <w:t xml:space="preserve">hébergement </w:t>
      </w:r>
      <w:r w:rsidRPr="00BF14D1">
        <w:rPr>
          <w:lang w:eastAsia="es-ES"/>
        </w:rPr>
        <w:t xml:space="preserve">dans un foyer constituait une alternative de logement dans les limites </w:t>
      </w:r>
      <w:r w:rsidRPr="00C622E0">
        <w:rPr>
          <w:lang w:eastAsia="es-ES"/>
        </w:rPr>
        <w:t>dans le cadre des ressources municipales disponibles</w:t>
      </w:r>
      <w:r>
        <w:rPr>
          <w:lang w:eastAsia="es-ES"/>
        </w:rPr>
        <w:t>.</w:t>
      </w:r>
    </w:p>
    <w:p w14:paraId="2DFA863A" w14:textId="77777777" w:rsidR="0037651B" w:rsidRPr="00C622E0" w:rsidRDefault="0037651B" w:rsidP="0037651B">
      <w:pPr>
        <w:pStyle w:val="SingleTxtG"/>
        <w:rPr>
          <w:lang w:eastAsia="es-ES"/>
        </w:rPr>
      </w:pPr>
      <w:r w:rsidRPr="00C622E0">
        <w:rPr>
          <w:lang w:eastAsia="es-ES"/>
        </w:rPr>
        <w:t>7.5</w:t>
      </w:r>
      <w:r w:rsidRPr="00C622E0">
        <w:rPr>
          <w:lang w:eastAsia="es-ES"/>
        </w:rPr>
        <w:tab/>
        <w:t>Compte tenu des faits pertinents tels qu</w:t>
      </w:r>
      <w:r>
        <w:rPr>
          <w:lang w:eastAsia="es-ES"/>
        </w:rPr>
        <w:t>’</w:t>
      </w:r>
      <w:r w:rsidRPr="00C622E0">
        <w:rPr>
          <w:lang w:eastAsia="es-ES"/>
        </w:rPr>
        <w:t>ils ont été déterminés par le Comité et des observations des parties, les questions soulevées par la présente communication sont les suivantes : premièrement, est-ce que l</w:t>
      </w:r>
      <w:r>
        <w:rPr>
          <w:lang w:eastAsia="es-ES"/>
        </w:rPr>
        <w:t>’</w:t>
      </w:r>
      <w:r w:rsidRPr="00C622E0">
        <w:rPr>
          <w:lang w:eastAsia="es-ES"/>
        </w:rPr>
        <w:t>expulsion de l</w:t>
      </w:r>
      <w:r>
        <w:rPr>
          <w:lang w:eastAsia="es-ES"/>
        </w:rPr>
        <w:t>’</w:t>
      </w:r>
      <w:r w:rsidRPr="00C622E0">
        <w:rPr>
          <w:lang w:eastAsia="es-ES"/>
        </w:rPr>
        <w:t>auteure et de ses enfants au motif qu</w:t>
      </w:r>
      <w:r>
        <w:rPr>
          <w:lang w:eastAsia="es-ES"/>
        </w:rPr>
        <w:t>’</w:t>
      </w:r>
      <w:r w:rsidRPr="00C622E0">
        <w:rPr>
          <w:lang w:eastAsia="es-ES"/>
        </w:rPr>
        <w:t xml:space="preserve">ils occupaient leur logement sans titre juridique valable et leur transfert dans un foyer constituent une violation du droit à un logement convenable </w:t>
      </w:r>
      <w:r>
        <w:rPr>
          <w:lang w:eastAsia="es-ES"/>
        </w:rPr>
        <w:t>reconnu au</w:t>
      </w:r>
      <w:r w:rsidRPr="00C622E0">
        <w:rPr>
          <w:lang w:eastAsia="es-ES"/>
        </w:rPr>
        <w:t xml:space="preserve"> paragraphe</w:t>
      </w:r>
      <w:r w:rsidR="001514A8">
        <w:rPr>
          <w:lang w:eastAsia="es-ES"/>
        </w:rPr>
        <w:t> </w:t>
      </w:r>
      <w:r w:rsidRPr="00C622E0">
        <w:rPr>
          <w:lang w:eastAsia="es-ES"/>
        </w:rPr>
        <w:t>1 de l</w:t>
      </w:r>
      <w:r>
        <w:rPr>
          <w:lang w:eastAsia="es-ES"/>
        </w:rPr>
        <w:t>’</w:t>
      </w:r>
      <w:r w:rsidRPr="00C622E0">
        <w:rPr>
          <w:lang w:eastAsia="es-ES"/>
        </w:rPr>
        <w:t>article</w:t>
      </w:r>
      <w:r w:rsidR="001514A8">
        <w:rPr>
          <w:lang w:eastAsia="es-ES"/>
        </w:rPr>
        <w:t> </w:t>
      </w:r>
      <w:r w:rsidRPr="00C622E0">
        <w:rPr>
          <w:lang w:eastAsia="es-ES"/>
        </w:rPr>
        <w:t>11 du Pacte</w:t>
      </w:r>
      <w:r>
        <w:rPr>
          <w:lang w:eastAsia="es-ES"/>
        </w:rPr>
        <w:t> </w:t>
      </w:r>
      <w:r w:rsidRPr="00C622E0">
        <w:rPr>
          <w:lang w:eastAsia="es-ES"/>
        </w:rPr>
        <w:t>? Deuxièmement, est-ce que le rejet de la première demande de logement au motif que l</w:t>
      </w:r>
      <w:r>
        <w:rPr>
          <w:lang w:eastAsia="es-ES"/>
        </w:rPr>
        <w:t>’</w:t>
      </w:r>
      <w:r w:rsidRPr="00C622E0">
        <w:rPr>
          <w:lang w:eastAsia="es-ES"/>
        </w:rPr>
        <w:t>auteure occupait un appartement sans titre juridique valable constitue une violation de ce même droit</w:t>
      </w:r>
      <w:r>
        <w:rPr>
          <w:lang w:eastAsia="es-ES"/>
        </w:rPr>
        <w:t> </w:t>
      </w:r>
      <w:r w:rsidRPr="00C622E0">
        <w:rPr>
          <w:lang w:eastAsia="es-ES"/>
        </w:rPr>
        <w:t>? Enfin, le Comité examinera si, en l</w:t>
      </w:r>
      <w:r>
        <w:rPr>
          <w:lang w:eastAsia="es-ES"/>
        </w:rPr>
        <w:t>’</w:t>
      </w:r>
      <w:r w:rsidRPr="00C622E0">
        <w:rPr>
          <w:lang w:eastAsia="es-ES"/>
        </w:rPr>
        <w:t>espèce, il y a eu une violation de l</w:t>
      </w:r>
      <w:r>
        <w:rPr>
          <w:lang w:eastAsia="es-ES"/>
        </w:rPr>
        <w:t>’</w:t>
      </w:r>
      <w:r w:rsidRPr="00C622E0">
        <w:rPr>
          <w:lang w:eastAsia="es-ES"/>
        </w:rPr>
        <w:t>article</w:t>
      </w:r>
      <w:r w:rsidR="006C13B1">
        <w:rPr>
          <w:lang w:eastAsia="es-ES"/>
        </w:rPr>
        <w:t> </w:t>
      </w:r>
      <w:r w:rsidRPr="00C622E0">
        <w:rPr>
          <w:lang w:eastAsia="es-ES"/>
        </w:rPr>
        <w:t>5 du Protocole facultatif, dans la mesure où l</w:t>
      </w:r>
      <w:r>
        <w:rPr>
          <w:lang w:eastAsia="es-ES"/>
        </w:rPr>
        <w:t>’</w:t>
      </w:r>
      <w:r w:rsidRPr="00C622E0">
        <w:rPr>
          <w:lang w:eastAsia="es-ES"/>
        </w:rPr>
        <w:t>État partie a procédé à l</w:t>
      </w:r>
      <w:r>
        <w:rPr>
          <w:lang w:eastAsia="es-ES"/>
        </w:rPr>
        <w:t>’</w:t>
      </w:r>
      <w:r w:rsidRPr="00C622E0">
        <w:rPr>
          <w:lang w:eastAsia="es-ES"/>
        </w:rPr>
        <w:t>expulsion de l</w:t>
      </w:r>
      <w:r>
        <w:rPr>
          <w:lang w:eastAsia="es-ES"/>
        </w:rPr>
        <w:t>’</w:t>
      </w:r>
      <w:r w:rsidRPr="00C622E0">
        <w:rPr>
          <w:lang w:eastAsia="es-ES"/>
        </w:rPr>
        <w:t>auteure alors que le Comité lui avait demandé d</w:t>
      </w:r>
      <w:r>
        <w:rPr>
          <w:lang w:eastAsia="es-ES"/>
        </w:rPr>
        <w:t>’</w:t>
      </w:r>
      <w:r w:rsidRPr="00C622E0">
        <w:rPr>
          <w:lang w:eastAsia="es-ES"/>
        </w:rPr>
        <w:t>adopter des mesures provisoires. Pour répondre à ces questions, le Comité commencera par rappeler sa doctrine sur la protection contre les expulsions forcées</w:t>
      </w:r>
      <w:r>
        <w:rPr>
          <w:lang w:eastAsia="es-ES"/>
        </w:rPr>
        <w:t xml:space="preserve"> Il </w:t>
      </w:r>
      <w:r w:rsidRPr="00C622E0">
        <w:rPr>
          <w:lang w:eastAsia="es-ES"/>
        </w:rPr>
        <w:t>analyser</w:t>
      </w:r>
      <w:r>
        <w:rPr>
          <w:lang w:eastAsia="es-ES"/>
        </w:rPr>
        <w:t>a ensuite</w:t>
      </w:r>
      <w:r w:rsidRPr="00C622E0">
        <w:rPr>
          <w:lang w:eastAsia="es-ES"/>
        </w:rPr>
        <w:t xml:space="preserve"> le cas concret de l</w:t>
      </w:r>
      <w:r>
        <w:rPr>
          <w:lang w:eastAsia="es-ES"/>
        </w:rPr>
        <w:t>’</w:t>
      </w:r>
      <w:r w:rsidRPr="00C622E0">
        <w:rPr>
          <w:lang w:eastAsia="es-ES"/>
        </w:rPr>
        <w:t>expulsion de l</w:t>
      </w:r>
      <w:r>
        <w:rPr>
          <w:lang w:eastAsia="es-ES"/>
        </w:rPr>
        <w:t>’</w:t>
      </w:r>
      <w:r w:rsidRPr="00C622E0">
        <w:rPr>
          <w:lang w:eastAsia="es-ES"/>
        </w:rPr>
        <w:t>auteure et répondr</w:t>
      </w:r>
      <w:r>
        <w:rPr>
          <w:lang w:eastAsia="es-ES"/>
        </w:rPr>
        <w:t>a</w:t>
      </w:r>
      <w:r w:rsidRPr="00C622E0">
        <w:rPr>
          <w:lang w:eastAsia="es-ES"/>
        </w:rPr>
        <w:t xml:space="preserve"> aux questions soulevées par la présente communication.</w:t>
      </w:r>
    </w:p>
    <w:p w14:paraId="7EFC396E" w14:textId="77777777" w:rsidR="0037651B" w:rsidRPr="00C622E0" w:rsidRDefault="0037651B" w:rsidP="0037651B">
      <w:pPr>
        <w:pStyle w:val="H23G"/>
        <w:rPr>
          <w:lang w:eastAsia="es-ES"/>
        </w:rPr>
      </w:pPr>
      <w:r w:rsidRPr="00C622E0">
        <w:rPr>
          <w:lang w:eastAsia="es-ES"/>
        </w:rPr>
        <w:tab/>
      </w:r>
      <w:r w:rsidRPr="00C622E0">
        <w:rPr>
          <w:lang w:eastAsia="es-ES"/>
        </w:rPr>
        <w:tab/>
        <w:t>La protection contre les expulsions forcées</w:t>
      </w:r>
    </w:p>
    <w:p w14:paraId="2D34336A" w14:textId="77777777" w:rsidR="0037651B" w:rsidRPr="00C622E0" w:rsidRDefault="0037651B" w:rsidP="0037651B">
      <w:pPr>
        <w:pStyle w:val="SingleTxtG"/>
        <w:rPr>
          <w:lang w:eastAsia="es-ES"/>
        </w:rPr>
      </w:pPr>
      <w:r w:rsidRPr="00C622E0">
        <w:rPr>
          <w:lang w:eastAsia="es-ES"/>
        </w:rPr>
        <w:t>8.1</w:t>
      </w:r>
      <w:r w:rsidRPr="00C622E0">
        <w:rPr>
          <w:lang w:eastAsia="es-ES"/>
        </w:rPr>
        <w:tab/>
        <w:t>Le droit de chacun à un logement convenable est un droit fondamental duquel dépend la jouissance de tous les droits économiques, sociaux et culturels</w:t>
      </w:r>
      <w:r w:rsidRPr="00C622E0">
        <w:rPr>
          <w:rStyle w:val="Appelnotedebasdep"/>
        </w:rPr>
        <w:footnoteReference w:id="20"/>
      </w:r>
      <w:r w:rsidRPr="00C622E0">
        <w:rPr>
          <w:lang w:eastAsia="es-ES"/>
        </w:rPr>
        <w:t xml:space="preserve"> ; il </w:t>
      </w:r>
      <w:r w:rsidRPr="00C622E0">
        <w:t>est intégralement lié à d</w:t>
      </w:r>
      <w:r>
        <w:t>’</w:t>
      </w:r>
      <w:r w:rsidRPr="00C622E0">
        <w:t>autres droits de l</w:t>
      </w:r>
      <w:r>
        <w:t>’</w:t>
      </w:r>
      <w:r w:rsidRPr="00C622E0">
        <w:t>homme, y compris ceux consacrés par le Pacte international relatif aux droits civils et politiques</w:t>
      </w:r>
      <w:r w:rsidRPr="00C622E0">
        <w:rPr>
          <w:rStyle w:val="Appelnotedebasdep"/>
        </w:rPr>
        <w:footnoteReference w:id="21"/>
      </w:r>
      <w:r w:rsidRPr="00C622E0">
        <w:rPr>
          <w:lang w:eastAsia="es-ES"/>
        </w:rPr>
        <w:t xml:space="preserve">. Le </w:t>
      </w:r>
      <w:r w:rsidRPr="00C622E0">
        <w:t>droit au logement doit être assuré à tous sans distinction de revenus ou de toutes autres ressources économiques</w:t>
      </w:r>
      <w:r w:rsidRPr="00C622E0">
        <w:rPr>
          <w:rStyle w:val="Appelnotedebasdep"/>
        </w:rPr>
        <w:footnoteReference w:id="22"/>
      </w:r>
      <w:r w:rsidRPr="00C622E0">
        <w:rPr>
          <w:lang w:eastAsia="es-ES"/>
        </w:rPr>
        <w:t>, et les États parties doivent prendre toutes les mesures nécessaires et agir au maximum de leurs ressources disponibles pour parvenir à la pleine réalisation de ce droit</w:t>
      </w:r>
      <w:r w:rsidRPr="00C622E0">
        <w:rPr>
          <w:rStyle w:val="Appelnotedebasdep"/>
        </w:rPr>
        <w:footnoteReference w:id="23"/>
      </w:r>
      <w:r w:rsidRPr="00C622E0">
        <w:rPr>
          <w:lang w:eastAsia="es-ES"/>
        </w:rPr>
        <w:t>.</w:t>
      </w:r>
    </w:p>
    <w:p w14:paraId="46A52620" w14:textId="77777777" w:rsidR="0037651B" w:rsidRPr="00C622E0" w:rsidRDefault="0037651B" w:rsidP="0037651B">
      <w:pPr>
        <w:pStyle w:val="SingleTxtG"/>
        <w:rPr>
          <w:lang w:eastAsia="es-ES"/>
        </w:rPr>
      </w:pPr>
      <w:r w:rsidRPr="00C622E0">
        <w:rPr>
          <w:lang w:eastAsia="es-ES"/>
        </w:rPr>
        <w:t>8.2</w:t>
      </w:r>
      <w:r w:rsidRPr="00C622E0">
        <w:rPr>
          <w:lang w:eastAsia="es-ES"/>
        </w:rPr>
        <w:tab/>
        <w:t xml:space="preserve">Les expulsions forcées sont </w:t>
      </w:r>
      <w:r w:rsidRPr="00C622E0">
        <w:rPr>
          <w:i/>
          <w:lang w:eastAsia="es-ES"/>
        </w:rPr>
        <w:t>prima facie</w:t>
      </w:r>
      <w:r w:rsidRPr="00C622E0">
        <w:rPr>
          <w:lang w:eastAsia="es-ES"/>
        </w:rPr>
        <w:t xml:space="preserve"> contraires aux dispositions du Pacte et ne peuvent </w:t>
      </w:r>
      <w:r w:rsidRPr="00C622E0">
        <w:t>être justifiées que dans les situations les plus exceptionnelles</w:t>
      </w:r>
      <w:r w:rsidRPr="00C622E0">
        <w:rPr>
          <w:rStyle w:val="Appelnotedebasdep"/>
        </w:rPr>
        <w:footnoteReference w:id="24"/>
      </w:r>
      <w:r w:rsidRPr="00C622E0">
        <w:rPr>
          <w:lang w:eastAsia="es-ES"/>
        </w:rPr>
        <w:t> ; les autorités compétentes doivent veiller à ce que les expulsions soient conformes à une législation compatible avec le Pacte et aux principes généraux qui veulent que toutes mesures prises soient raisonnables et proportionnées au regard de l</w:t>
      </w:r>
      <w:r>
        <w:rPr>
          <w:lang w:eastAsia="es-ES"/>
        </w:rPr>
        <w:t>’</w:t>
      </w:r>
      <w:r w:rsidRPr="00C622E0">
        <w:rPr>
          <w:lang w:eastAsia="es-ES"/>
        </w:rPr>
        <w:t>objectif légitime de l</w:t>
      </w:r>
      <w:r>
        <w:rPr>
          <w:lang w:eastAsia="es-ES"/>
        </w:rPr>
        <w:t>’</w:t>
      </w:r>
      <w:r w:rsidRPr="00C622E0">
        <w:rPr>
          <w:lang w:eastAsia="es-ES"/>
        </w:rPr>
        <w:t>expulsion et des conséquences de l</w:t>
      </w:r>
      <w:r>
        <w:rPr>
          <w:lang w:eastAsia="es-ES"/>
        </w:rPr>
        <w:t>’</w:t>
      </w:r>
      <w:r w:rsidRPr="00C622E0">
        <w:rPr>
          <w:lang w:eastAsia="es-ES"/>
        </w:rPr>
        <w:t>expulsion sur les personnes visées</w:t>
      </w:r>
      <w:r w:rsidRPr="00C622E0">
        <w:rPr>
          <w:rStyle w:val="Appelnotedebasdep"/>
        </w:rPr>
        <w:footnoteReference w:id="25"/>
      </w:r>
      <w:r w:rsidRPr="00C622E0">
        <w:rPr>
          <w:lang w:eastAsia="es-ES"/>
        </w:rPr>
        <w:t>.</w:t>
      </w:r>
    </w:p>
    <w:p w14:paraId="48B47171" w14:textId="77777777" w:rsidR="0037651B" w:rsidRPr="00C622E0" w:rsidRDefault="0037651B" w:rsidP="0037651B">
      <w:pPr>
        <w:pStyle w:val="SingleTxtG"/>
        <w:rPr>
          <w:lang w:eastAsia="es-ES"/>
        </w:rPr>
      </w:pPr>
      <w:r w:rsidRPr="00C622E0">
        <w:rPr>
          <w:lang w:eastAsia="es-ES"/>
        </w:rPr>
        <w:t>8.3</w:t>
      </w:r>
      <w:r w:rsidRPr="00C622E0">
        <w:rPr>
          <w:lang w:eastAsia="es-ES"/>
        </w:rPr>
        <w:tab/>
        <w:t>Pour que l</w:t>
      </w:r>
      <w:r>
        <w:rPr>
          <w:lang w:eastAsia="es-ES"/>
        </w:rPr>
        <w:t>’</w:t>
      </w:r>
      <w:r w:rsidRPr="00C622E0">
        <w:rPr>
          <w:lang w:eastAsia="es-ES"/>
        </w:rPr>
        <w:t>expulsion soit compatible avec les dispositions du Pacte, il faut qu</w:t>
      </w:r>
      <w:r>
        <w:rPr>
          <w:lang w:eastAsia="es-ES"/>
        </w:rPr>
        <w:t>’</w:t>
      </w:r>
      <w:r w:rsidRPr="00C622E0">
        <w:rPr>
          <w:lang w:eastAsia="es-ES"/>
        </w:rPr>
        <w:t>elle constitue une mesure prévue par la loi et appliquée en dernier recours, et que la personne visée ait préalablement eu accès à un recours utile, dans le cadre duquel il a pu être déterminé que l</w:t>
      </w:r>
      <w:r>
        <w:rPr>
          <w:lang w:eastAsia="es-ES"/>
        </w:rPr>
        <w:t>’</w:t>
      </w:r>
      <w:r w:rsidRPr="00C622E0">
        <w:rPr>
          <w:lang w:eastAsia="es-ES"/>
        </w:rPr>
        <w:t>expulsion était dûment justifiée, par exemple par l</w:t>
      </w:r>
      <w:r>
        <w:rPr>
          <w:lang w:eastAsia="es-ES"/>
        </w:rPr>
        <w:t>’</w:t>
      </w:r>
      <w:r w:rsidRPr="00C622E0">
        <w:rPr>
          <w:lang w:eastAsia="es-ES"/>
        </w:rPr>
        <w:t>absence de titre juridique d</w:t>
      </w:r>
      <w:r>
        <w:rPr>
          <w:lang w:eastAsia="es-ES"/>
        </w:rPr>
        <w:t>’</w:t>
      </w:r>
      <w:r w:rsidRPr="00C622E0">
        <w:rPr>
          <w:lang w:eastAsia="es-ES"/>
        </w:rPr>
        <w:t>occupation. De surcroît, il faut qu</w:t>
      </w:r>
      <w:r>
        <w:rPr>
          <w:lang w:eastAsia="es-ES"/>
        </w:rPr>
        <w:t>’</w:t>
      </w:r>
      <w:r w:rsidRPr="00C622E0">
        <w:rPr>
          <w:lang w:eastAsia="es-ES"/>
        </w:rPr>
        <w:t>il n</w:t>
      </w:r>
      <w:r>
        <w:rPr>
          <w:lang w:eastAsia="es-ES"/>
        </w:rPr>
        <w:t>’</w:t>
      </w:r>
      <w:r w:rsidRPr="00C622E0">
        <w:rPr>
          <w:lang w:eastAsia="es-ES"/>
        </w:rPr>
        <w:t>existe pas d</w:t>
      </w:r>
      <w:r>
        <w:rPr>
          <w:lang w:eastAsia="es-ES"/>
        </w:rPr>
        <w:t>’</w:t>
      </w:r>
      <w:r w:rsidRPr="00C622E0">
        <w:rPr>
          <w:lang w:eastAsia="es-ES"/>
        </w:rPr>
        <w:t xml:space="preserve">autres solutions </w:t>
      </w:r>
      <w:r>
        <w:rPr>
          <w:lang w:eastAsia="es-ES"/>
        </w:rPr>
        <w:t>ni</w:t>
      </w:r>
      <w:r w:rsidRPr="00C622E0">
        <w:rPr>
          <w:lang w:eastAsia="es-ES"/>
        </w:rPr>
        <w:t xml:space="preserve"> de mesures </w:t>
      </w:r>
      <w:r>
        <w:rPr>
          <w:lang w:eastAsia="es-ES"/>
        </w:rPr>
        <w:t xml:space="preserve">qui portent </w:t>
      </w:r>
      <w:r w:rsidRPr="00C622E0">
        <w:rPr>
          <w:lang w:eastAsia="es-ES"/>
        </w:rPr>
        <w:t xml:space="preserve">moins </w:t>
      </w:r>
      <w:r>
        <w:rPr>
          <w:lang w:eastAsia="es-ES"/>
        </w:rPr>
        <w:t>atteinte au droit au logement</w:t>
      </w:r>
      <w:r w:rsidRPr="00C622E0">
        <w:rPr>
          <w:lang w:eastAsia="es-ES"/>
        </w:rPr>
        <w:t>, qu</w:t>
      </w:r>
      <w:r>
        <w:rPr>
          <w:lang w:eastAsia="es-ES"/>
        </w:rPr>
        <w:t>’</w:t>
      </w:r>
      <w:r w:rsidRPr="00C622E0">
        <w:rPr>
          <w:lang w:eastAsia="es-ES"/>
        </w:rPr>
        <w:t xml:space="preserve">il y ait une véritable consultation préalable entre les autorités et la personne touchée, et que celle-ci ne se </w:t>
      </w:r>
      <w:r w:rsidRPr="00C622E0">
        <w:rPr>
          <w:lang w:eastAsia="es-ES"/>
        </w:rPr>
        <w:lastRenderedPageBreak/>
        <w:t>retrouve pas dans une situation qui constitue une violation d</w:t>
      </w:r>
      <w:r>
        <w:rPr>
          <w:lang w:eastAsia="es-ES"/>
        </w:rPr>
        <w:t>’</w:t>
      </w:r>
      <w:r w:rsidRPr="00C622E0">
        <w:rPr>
          <w:lang w:eastAsia="es-ES"/>
        </w:rPr>
        <w:t>autres droits garantis par le Pacte ou d</w:t>
      </w:r>
      <w:r>
        <w:rPr>
          <w:lang w:eastAsia="es-ES"/>
        </w:rPr>
        <w:t>’</w:t>
      </w:r>
      <w:r w:rsidRPr="00C622E0">
        <w:rPr>
          <w:lang w:eastAsia="es-ES"/>
        </w:rPr>
        <w:t>autres droits de l</w:t>
      </w:r>
      <w:r>
        <w:rPr>
          <w:lang w:eastAsia="es-ES"/>
        </w:rPr>
        <w:t>’</w:t>
      </w:r>
      <w:r w:rsidRPr="00C622E0">
        <w:rPr>
          <w:lang w:eastAsia="es-ES"/>
        </w:rPr>
        <w:t>homme, ou qui l</w:t>
      </w:r>
      <w:r>
        <w:rPr>
          <w:lang w:eastAsia="es-ES"/>
        </w:rPr>
        <w:t>’</w:t>
      </w:r>
      <w:r w:rsidRPr="00C622E0">
        <w:rPr>
          <w:lang w:eastAsia="es-ES"/>
        </w:rPr>
        <w:t>expose à pareille violation</w:t>
      </w:r>
      <w:r w:rsidRPr="00C622E0">
        <w:rPr>
          <w:rStyle w:val="Appelnotedebasdep"/>
        </w:rPr>
        <w:footnoteReference w:id="26"/>
      </w:r>
      <w:r w:rsidRPr="00C622E0">
        <w:rPr>
          <w:lang w:eastAsia="es-ES"/>
        </w:rPr>
        <w:t>.</w:t>
      </w:r>
    </w:p>
    <w:p w14:paraId="4D70D165" w14:textId="77777777" w:rsidR="0037651B" w:rsidRPr="00C622E0" w:rsidRDefault="0037651B" w:rsidP="0037651B">
      <w:pPr>
        <w:pStyle w:val="H23G"/>
        <w:rPr>
          <w:lang w:eastAsia="es-ES"/>
        </w:rPr>
      </w:pPr>
      <w:r w:rsidRPr="00C622E0">
        <w:rPr>
          <w:lang w:eastAsia="es-ES"/>
        </w:rPr>
        <w:tab/>
      </w:r>
      <w:r w:rsidRPr="00C622E0">
        <w:rPr>
          <w:lang w:eastAsia="es-ES"/>
        </w:rPr>
        <w:tab/>
        <w:t>L</w:t>
      </w:r>
      <w:r>
        <w:rPr>
          <w:lang w:eastAsia="es-ES"/>
        </w:rPr>
        <w:t>’</w:t>
      </w:r>
      <w:r w:rsidRPr="00C622E0">
        <w:rPr>
          <w:lang w:eastAsia="es-ES"/>
        </w:rPr>
        <w:t>obligation de l</w:t>
      </w:r>
      <w:r>
        <w:rPr>
          <w:lang w:eastAsia="es-ES"/>
        </w:rPr>
        <w:t>’</w:t>
      </w:r>
      <w:r w:rsidRPr="00C622E0">
        <w:rPr>
          <w:lang w:eastAsia="es-ES"/>
        </w:rPr>
        <w:t>État de fournir un logement de remplacement en cas de nécessité</w:t>
      </w:r>
    </w:p>
    <w:p w14:paraId="7C1DE542" w14:textId="77777777" w:rsidR="0037651B" w:rsidRPr="00C622E0" w:rsidRDefault="0037651B" w:rsidP="0037651B">
      <w:pPr>
        <w:pStyle w:val="SingleTxtG"/>
        <w:rPr>
          <w:rFonts w:eastAsia="Times New Roman"/>
          <w:lang w:eastAsia="es-ES"/>
        </w:rPr>
      </w:pPr>
      <w:r w:rsidRPr="00C622E0">
        <w:rPr>
          <w:rFonts w:eastAsia="Times New Roman"/>
          <w:lang w:eastAsia="es-ES"/>
        </w:rPr>
        <w:t>9.1</w:t>
      </w:r>
      <w:r w:rsidRPr="00C622E0">
        <w:rPr>
          <w:rFonts w:eastAsia="Times New Roman"/>
          <w:lang w:eastAsia="es-ES"/>
        </w:rPr>
        <w:tab/>
      </w:r>
      <w:r w:rsidRPr="00C622E0">
        <w:t>En particulier, il ne faudrait pas que, suite à une expulsion, une personne se retrouve sans toit ou puisse être victime d</w:t>
      </w:r>
      <w:r>
        <w:t>’</w:t>
      </w:r>
      <w:r w:rsidRPr="00C622E0">
        <w:t>une violation d</w:t>
      </w:r>
      <w:r>
        <w:t>’</w:t>
      </w:r>
      <w:r w:rsidRPr="00C622E0">
        <w:t>autres droits de l</w:t>
      </w:r>
      <w:r>
        <w:t>’</w:t>
      </w:r>
      <w:r w:rsidRPr="00C622E0">
        <w:t>homme. Lorsqu</w:t>
      </w:r>
      <w:r>
        <w:t>’</w:t>
      </w:r>
      <w:r w:rsidRPr="00C622E0">
        <w:t>une personne ne peut subvenir à ses besoins, l</w:t>
      </w:r>
      <w:r>
        <w:t>’</w:t>
      </w:r>
      <w:r w:rsidRPr="00C622E0">
        <w:t>État partie doit, par tous les moyens appropriés, au maximum de ses ressources disponibles, veiller à ce que d</w:t>
      </w:r>
      <w:r>
        <w:t>’</w:t>
      </w:r>
      <w:r w:rsidRPr="00C622E0">
        <w:t>autres possibilités de logement, de réinstallation ou d</w:t>
      </w:r>
      <w:r>
        <w:t>’</w:t>
      </w:r>
      <w:r w:rsidRPr="00C622E0">
        <w:t>accès à une terre productive, selon le cas, lui soient offertes</w:t>
      </w:r>
      <w:r w:rsidRPr="00C622E0">
        <w:rPr>
          <w:rStyle w:val="Appelnotedebasdep"/>
        </w:rPr>
        <w:footnoteReference w:id="27"/>
      </w:r>
      <w:r w:rsidRPr="00C622E0">
        <w:rPr>
          <w:rFonts w:eastAsia="Times New Roman"/>
          <w:lang w:eastAsia="es-ES"/>
        </w:rPr>
        <w:t>. L</w:t>
      </w:r>
      <w:r>
        <w:rPr>
          <w:rFonts w:eastAsia="Times New Roman"/>
          <w:lang w:eastAsia="es-ES"/>
        </w:rPr>
        <w:t>’</w:t>
      </w:r>
      <w:r w:rsidRPr="00C622E0">
        <w:rPr>
          <w:rFonts w:eastAsia="Times New Roman"/>
          <w:lang w:eastAsia="es-ES"/>
        </w:rPr>
        <w:t>État partie est tenu de prendre des mesures raisonnables en vue de reloger les personnes qui se retrouvent sans abri par suite d</w:t>
      </w:r>
      <w:r>
        <w:rPr>
          <w:rFonts w:eastAsia="Times New Roman"/>
          <w:lang w:eastAsia="es-ES"/>
        </w:rPr>
        <w:t>’</w:t>
      </w:r>
      <w:r w:rsidRPr="00C622E0">
        <w:rPr>
          <w:rFonts w:eastAsia="Times New Roman"/>
          <w:lang w:eastAsia="es-ES"/>
        </w:rPr>
        <w:t>une expulsion, et ce, que cette mesure ait été prise à l</w:t>
      </w:r>
      <w:r>
        <w:rPr>
          <w:rFonts w:eastAsia="Times New Roman"/>
          <w:lang w:eastAsia="es-ES"/>
        </w:rPr>
        <w:t>’</w:t>
      </w:r>
      <w:r w:rsidRPr="00C622E0">
        <w:rPr>
          <w:rFonts w:eastAsia="Times New Roman"/>
          <w:lang w:eastAsia="es-ES"/>
        </w:rPr>
        <w:t>initiative des autorités publiques ou d</w:t>
      </w:r>
      <w:r>
        <w:rPr>
          <w:rFonts w:eastAsia="Times New Roman"/>
          <w:lang w:eastAsia="es-ES"/>
        </w:rPr>
        <w:t>’</w:t>
      </w:r>
      <w:r w:rsidRPr="00C622E0">
        <w:rPr>
          <w:rFonts w:eastAsia="Times New Roman"/>
          <w:lang w:eastAsia="es-ES"/>
        </w:rPr>
        <w:t>une entité privée, par exemple le propriétaire</w:t>
      </w:r>
      <w:r w:rsidRPr="00C622E0">
        <w:rPr>
          <w:rStyle w:val="Appelnotedebasdep"/>
        </w:rPr>
        <w:footnoteReference w:id="28"/>
      </w:r>
      <w:r w:rsidRPr="00C622E0">
        <w:rPr>
          <w:rFonts w:eastAsia="Times New Roman"/>
          <w:lang w:eastAsia="es-ES"/>
        </w:rPr>
        <w:t xml:space="preserve">. </w:t>
      </w:r>
      <w:r w:rsidRPr="00C622E0">
        <w:t>Lorsqu</w:t>
      </w:r>
      <w:r>
        <w:t>’</w:t>
      </w:r>
      <w:r w:rsidRPr="00C622E0">
        <w:t>une personne est expulsée sans que les autorités ne lui octroient ou ne lui garantissent un autre logement, l</w:t>
      </w:r>
      <w:r>
        <w:t>’</w:t>
      </w:r>
      <w:r w:rsidRPr="00C622E0">
        <w:t>État partie doit démontrer qu</w:t>
      </w:r>
      <w:r>
        <w:t>’</w:t>
      </w:r>
      <w:r w:rsidRPr="00C622E0">
        <w:t>il a examiné les circonstances de l</w:t>
      </w:r>
      <w:r>
        <w:t>’</w:t>
      </w:r>
      <w:r w:rsidRPr="00C622E0">
        <w:t>affaire et que, bien qu</w:t>
      </w:r>
      <w:r>
        <w:t>’</w:t>
      </w:r>
      <w:r w:rsidRPr="00C622E0">
        <w:t>il ait pris toutes les mesures raisonnables et agi au maximum des ressources disponibles, il n</w:t>
      </w:r>
      <w:r>
        <w:t>’</w:t>
      </w:r>
      <w:r w:rsidRPr="00C622E0">
        <w:t>a pas pu garantir l</w:t>
      </w:r>
      <w:r>
        <w:t>’</w:t>
      </w:r>
      <w:r w:rsidRPr="00C622E0">
        <w:t>exercice du droit au logement de l</w:t>
      </w:r>
      <w:r>
        <w:t>’</w:t>
      </w:r>
      <w:r w:rsidRPr="00C622E0">
        <w:t>intéressé. Les informations fournies par l</w:t>
      </w:r>
      <w:r>
        <w:t>’</w:t>
      </w:r>
      <w:r w:rsidRPr="00C622E0">
        <w:t>État partie doivent permettre au Comité de déterminer si les mesures adoptées sont raisonnables, comme prévu au paragraphe</w:t>
      </w:r>
      <w:r w:rsidR="006C13B1">
        <w:t> </w:t>
      </w:r>
      <w:r w:rsidRPr="00C622E0">
        <w:t>4 de l</w:t>
      </w:r>
      <w:r>
        <w:t>’</w:t>
      </w:r>
      <w:r w:rsidRPr="00C622E0">
        <w:t>article</w:t>
      </w:r>
      <w:r w:rsidR="006C13B1">
        <w:t> </w:t>
      </w:r>
      <w:r w:rsidRPr="00C622E0">
        <w:t>8 du Protocole facultatif</w:t>
      </w:r>
      <w:r w:rsidRPr="00C622E0">
        <w:rPr>
          <w:rStyle w:val="Appelnotedebasdep"/>
        </w:rPr>
        <w:footnoteReference w:id="29"/>
      </w:r>
      <w:r w:rsidRPr="00C622E0">
        <w:rPr>
          <w:rFonts w:eastAsia="Times New Roman"/>
          <w:lang w:eastAsia="es-ES"/>
        </w:rPr>
        <w:t>.</w:t>
      </w:r>
    </w:p>
    <w:p w14:paraId="21F0FF74" w14:textId="77777777" w:rsidR="0037651B" w:rsidRPr="00C622E0" w:rsidRDefault="0037651B" w:rsidP="0037651B">
      <w:pPr>
        <w:pStyle w:val="SingleTxtG"/>
        <w:rPr>
          <w:lang w:eastAsia="es-ES"/>
        </w:rPr>
      </w:pPr>
      <w:r w:rsidRPr="00C622E0">
        <w:rPr>
          <w:lang w:eastAsia="es-ES"/>
        </w:rPr>
        <w:t>9.2</w:t>
      </w:r>
      <w:r w:rsidRPr="00C622E0">
        <w:rPr>
          <w:lang w:eastAsia="es-ES"/>
        </w:rPr>
        <w:tab/>
        <w:t>L</w:t>
      </w:r>
      <w:r>
        <w:rPr>
          <w:lang w:eastAsia="es-ES"/>
        </w:rPr>
        <w:t>’</w:t>
      </w:r>
      <w:r w:rsidRPr="00C622E0">
        <w:rPr>
          <w:lang w:eastAsia="es-ES"/>
        </w:rPr>
        <w:t>obligation de reloger les personnes expulsées devenues sans-logis suppose que, conformément au paragraphe</w:t>
      </w:r>
      <w:r w:rsidR="006C13B1">
        <w:rPr>
          <w:lang w:eastAsia="es-ES"/>
        </w:rPr>
        <w:t> </w:t>
      </w:r>
      <w:r w:rsidRPr="00C622E0">
        <w:rPr>
          <w:lang w:eastAsia="es-ES"/>
        </w:rPr>
        <w:t>1 de l</w:t>
      </w:r>
      <w:r>
        <w:rPr>
          <w:lang w:eastAsia="es-ES"/>
        </w:rPr>
        <w:t>’</w:t>
      </w:r>
      <w:r w:rsidRPr="00C622E0">
        <w:rPr>
          <w:lang w:eastAsia="es-ES"/>
        </w:rPr>
        <w:t>article</w:t>
      </w:r>
      <w:r w:rsidR="006C13B1">
        <w:rPr>
          <w:lang w:eastAsia="es-ES"/>
        </w:rPr>
        <w:t> </w:t>
      </w:r>
      <w:r w:rsidRPr="00C622E0">
        <w:rPr>
          <w:lang w:eastAsia="es-ES"/>
        </w:rPr>
        <w:t>2 du Pacte, les États parties prennent toutes les mesures nécessaires et agissent au maximum de leurs ressources disponibles pour garantir le droit au logement. À cette fin, ils peuvent opter pour des politiques très diverses</w:t>
      </w:r>
      <w:r w:rsidRPr="00C622E0">
        <w:rPr>
          <w:rStyle w:val="Appelnotedebasdep"/>
        </w:rPr>
        <w:footnoteReference w:id="30"/>
      </w:r>
      <w:r w:rsidRPr="00C622E0">
        <w:rPr>
          <w:lang w:eastAsia="es-ES"/>
        </w:rPr>
        <w:t xml:space="preserve">. Cependant, toute mesure prise doit être délibérée et concrète et viser </w:t>
      </w:r>
      <w:r w:rsidRPr="00C622E0">
        <w:t>aussi clairement que possible à la réalisation du droit au logement</w:t>
      </w:r>
      <w:r w:rsidRPr="00C622E0">
        <w:rPr>
          <w:rStyle w:val="Appelnotedebasdep"/>
        </w:rPr>
        <w:footnoteReference w:id="31"/>
      </w:r>
      <w:r w:rsidRPr="00C622E0">
        <w:rPr>
          <w:lang w:eastAsia="es-ES"/>
        </w:rPr>
        <w:t>, de la manière la plus rapide et la plus efficace possible. Les mesures de relogement après expulsion doivent être proportionnées à l</w:t>
      </w:r>
      <w:r>
        <w:rPr>
          <w:lang w:eastAsia="es-ES"/>
        </w:rPr>
        <w:t>’</w:t>
      </w:r>
      <w:r w:rsidRPr="00C622E0">
        <w:rPr>
          <w:lang w:eastAsia="es-ES"/>
        </w:rPr>
        <w:t>état de nécessité des personnes touchées et à l</w:t>
      </w:r>
      <w:r>
        <w:rPr>
          <w:lang w:eastAsia="es-ES"/>
        </w:rPr>
        <w:t>’</w:t>
      </w:r>
      <w:r w:rsidRPr="00C622E0">
        <w:rPr>
          <w:lang w:eastAsia="es-ES"/>
        </w:rPr>
        <w:t xml:space="preserve">urgence de la situation, et </w:t>
      </w:r>
      <w:r>
        <w:rPr>
          <w:lang w:eastAsia="es-ES"/>
        </w:rPr>
        <w:t xml:space="preserve">doivent </w:t>
      </w:r>
      <w:r w:rsidRPr="00C622E0">
        <w:rPr>
          <w:lang w:eastAsia="es-ES"/>
        </w:rPr>
        <w:t>respecter la dignité de la personne. De plus, les États parties doivent prendre des mesures cohérentes et coordonnées pour remédier aux défaillances institutionnelles et aux facteurs structurels à l</w:t>
      </w:r>
      <w:r>
        <w:rPr>
          <w:lang w:eastAsia="es-ES"/>
        </w:rPr>
        <w:t>’</w:t>
      </w:r>
      <w:r w:rsidRPr="00C622E0">
        <w:rPr>
          <w:lang w:eastAsia="es-ES"/>
        </w:rPr>
        <w:t>origine du manque de logements</w:t>
      </w:r>
      <w:r w:rsidRPr="00C622E0">
        <w:rPr>
          <w:rStyle w:val="Appelnotedebasdep"/>
        </w:rPr>
        <w:footnoteReference w:id="32"/>
      </w:r>
      <w:r w:rsidRPr="00C622E0">
        <w:rPr>
          <w:lang w:eastAsia="es-ES"/>
        </w:rPr>
        <w:t>.</w:t>
      </w:r>
    </w:p>
    <w:p w14:paraId="3584BCF7" w14:textId="77777777" w:rsidR="0037651B" w:rsidRDefault="0037651B" w:rsidP="0037651B">
      <w:pPr>
        <w:pStyle w:val="SingleTxtG"/>
        <w:rPr>
          <w:rFonts w:eastAsia="Times New Roman"/>
          <w:lang w:eastAsia="es-ES"/>
        </w:rPr>
      </w:pPr>
      <w:r w:rsidRPr="00C622E0">
        <w:rPr>
          <w:rFonts w:eastAsia="Times New Roman"/>
          <w:lang w:eastAsia="es-ES"/>
        </w:rPr>
        <w:t>9.3</w:t>
      </w:r>
      <w:r w:rsidRPr="00C622E0">
        <w:rPr>
          <w:rFonts w:eastAsia="Times New Roman"/>
          <w:lang w:eastAsia="es-ES"/>
        </w:rPr>
        <w:tab/>
        <w:t xml:space="preserve">Le logement de remplacement doit être convenable. </w:t>
      </w:r>
      <w:r w:rsidRPr="00C622E0">
        <w:t>L</w:t>
      </w:r>
      <w:r>
        <w:t>’</w:t>
      </w:r>
      <w:r w:rsidRPr="00C622E0">
        <w:t xml:space="preserve">adéquation aux besoins </w:t>
      </w:r>
      <w:r>
        <w:t>est</w:t>
      </w:r>
      <w:r w:rsidRPr="00C622E0">
        <w:t xml:space="preserve"> en partie </w:t>
      </w:r>
      <w:r>
        <w:t xml:space="preserve">fonction </w:t>
      </w:r>
      <w:r w:rsidRPr="00C622E0">
        <w:t>de facteurs sociaux, économiques, culturels, climatiques, écologiques et autres, mais le Comité est d</w:t>
      </w:r>
      <w:r>
        <w:t>’</w:t>
      </w:r>
      <w:r w:rsidRPr="00C622E0">
        <w:t>avis qu</w:t>
      </w:r>
      <w:r>
        <w:t>’</w:t>
      </w:r>
      <w:r w:rsidRPr="00C622E0">
        <w:t>en tout état de cause, on peut identifier certains aspects du droit qui doivent être pris en considération à cette fin dans n</w:t>
      </w:r>
      <w:r>
        <w:t>’</w:t>
      </w:r>
      <w:r w:rsidRPr="00C622E0">
        <w:t>importe quel contexte. Ce sont notamment la sécurité légale de l</w:t>
      </w:r>
      <w:r>
        <w:t>’</w:t>
      </w:r>
      <w:r w:rsidRPr="00C622E0">
        <w:t>occupation ;</w:t>
      </w:r>
      <w:r w:rsidRPr="00C622E0">
        <w:rPr>
          <w:rFonts w:eastAsia="Times New Roman"/>
          <w:lang w:eastAsia="es-ES"/>
        </w:rPr>
        <w:t xml:space="preserve"> l</w:t>
      </w:r>
      <w:r>
        <w:rPr>
          <w:rFonts w:eastAsia="Times New Roman"/>
          <w:lang w:eastAsia="es-ES"/>
        </w:rPr>
        <w:t>’</w:t>
      </w:r>
      <w:r w:rsidRPr="00C622E0">
        <w:t>existence de services, matériaux, équipements et infrastructures ;</w:t>
      </w:r>
      <w:r w:rsidRPr="00C622E0">
        <w:rPr>
          <w:rFonts w:eastAsia="Times New Roman"/>
          <w:lang w:eastAsia="es-ES"/>
        </w:rPr>
        <w:t xml:space="preserve"> la capacité de paiement ; l</w:t>
      </w:r>
      <w:r>
        <w:rPr>
          <w:rFonts w:eastAsia="Times New Roman"/>
          <w:lang w:eastAsia="es-ES"/>
        </w:rPr>
        <w:t>’</w:t>
      </w:r>
      <w:r w:rsidRPr="00C622E0">
        <w:rPr>
          <w:rFonts w:eastAsia="Times New Roman"/>
          <w:lang w:eastAsia="es-ES"/>
        </w:rPr>
        <w:t>habitabilité ; la facilité d</w:t>
      </w:r>
      <w:r>
        <w:rPr>
          <w:rFonts w:eastAsia="Times New Roman"/>
          <w:lang w:eastAsia="es-ES"/>
        </w:rPr>
        <w:t>’</w:t>
      </w:r>
      <w:r w:rsidRPr="00C622E0">
        <w:rPr>
          <w:rFonts w:eastAsia="Times New Roman"/>
          <w:lang w:eastAsia="es-ES"/>
        </w:rPr>
        <w:t>accès ; l</w:t>
      </w:r>
      <w:r>
        <w:rPr>
          <w:rFonts w:eastAsia="Times New Roman"/>
          <w:lang w:eastAsia="es-ES"/>
        </w:rPr>
        <w:t>’</w:t>
      </w:r>
      <w:r w:rsidRPr="00C622E0">
        <w:rPr>
          <w:rFonts w:eastAsia="Times New Roman"/>
          <w:lang w:eastAsia="es-ES"/>
        </w:rPr>
        <w:t>emplacement, qui doit permettre l</w:t>
      </w:r>
      <w:r>
        <w:rPr>
          <w:rFonts w:eastAsia="Times New Roman"/>
          <w:lang w:eastAsia="es-ES"/>
        </w:rPr>
        <w:t>’</w:t>
      </w:r>
      <w:r w:rsidRPr="00C622E0">
        <w:rPr>
          <w:rFonts w:eastAsia="Times New Roman"/>
          <w:lang w:eastAsia="es-ES"/>
        </w:rPr>
        <w:t xml:space="preserve">accès aux services sociaux (éducation, emploi et services de santé) ; et le respect du milieu culturel, de manière à </w:t>
      </w:r>
      <w:r w:rsidRPr="00C622E0">
        <w:t>permettre l</w:t>
      </w:r>
      <w:r>
        <w:t>’</w:t>
      </w:r>
      <w:r w:rsidRPr="00C622E0">
        <w:t>expression de l</w:t>
      </w:r>
      <w:r>
        <w:t>’</w:t>
      </w:r>
      <w:r w:rsidRPr="00C622E0">
        <w:t>identité culturelle et de la diversité</w:t>
      </w:r>
      <w:r w:rsidRPr="00C622E0">
        <w:rPr>
          <w:rStyle w:val="Appelnotedebasdep"/>
        </w:rPr>
        <w:footnoteReference w:id="33"/>
      </w:r>
      <w:r w:rsidRPr="00C622E0">
        <w:rPr>
          <w:rFonts w:eastAsia="Times New Roman"/>
          <w:lang w:eastAsia="es-ES"/>
        </w:rPr>
        <w:t>.</w:t>
      </w:r>
      <w:r>
        <w:rPr>
          <w:rFonts w:eastAsia="Times New Roman"/>
          <w:lang w:eastAsia="es-ES"/>
        </w:rPr>
        <w:t xml:space="preserve"> </w:t>
      </w:r>
      <w:r w:rsidRPr="00994C09">
        <w:rPr>
          <w:rFonts w:eastAsia="Times New Roman"/>
          <w:lang w:eastAsia="es-ES"/>
        </w:rPr>
        <w:t xml:space="preserve">Le droit des membres de la famille </w:t>
      </w:r>
      <w:r>
        <w:rPr>
          <w:rFonts w:eastAsia="Times New Roman"/>
          <w:lang w:eastAsia="es-ES"/>
        </w:rPr>
        <w:t>de</w:t>
      </w:r>
      <w:r w:rsidRPr="00994C09">
        <w:rPr>
          <w:rFonts w:eastAsia="Times New Roman"/>
          <w:lang w:eastAsia="es-ES"/>
        </w:rPr>
        <w:t xml:space="preserve"> ne pas être séparés doit également être pris en compte.</w:t>
      </w:r>
    </w:p>
    <w:p w14:paraId="40520F92" w14:textId="77777777" w:rsidR="0037651B" w:rsidRPr="00C622E0" w:rsidRDefault="0037651B" w:rsidP="0037651B">
      <w:pPr>
        <w:pStyle w:val="SingleTxtG"/>
        <w:rPr>
          <w:rFonts w:eastAsia="Times New Roman"/>
          <w:lang w:eastAsia="es-ES"/>
        </w:rPr>
      </w:pPr>
      <w:r w:rsidRPr="00F8764F">
        <w:rPr>
          <w:rFonts w:eastAsia="Times New Roman"/>
          <w:lang w:eastAsia="es-ES"/>
        </w:rPr>
        <w:t>9.4</w:t>
      </w:r>
      <w:r w:rsidR="006C13B1">
        <w:rPr>
          <w:rFonts w:eastAsia="Times New Roman"/>
          <w:lang w:eastAsia="es-ES"/>
        </w:rPr>
        <w:tab/>
      </w:r>
      <w:r w:rsidRPr="00F8764F">
        <w:rPr>
          <w:rFonts w:eastAsia="Times New Roman"/>
          <w:lang w:eastAsia="es-ES"/>
        </w:rPr>
        <w:t>Dans certaines circonstances, les États parties peuvent démontrer que, bien qu</w:t>
      </w:r>
      <w:r>
        <w:rPr>
          <w:rFonts w:eastAsia="Times New Roman"/>
          <w:lang w:eastAsia="es-ES"/>
        </w:rPr>
        <w:t>’</w:t>
      </w:r>
      <w:r w:rsidRPr="00F8764F">
        <w:rPr>
          <w:rFonts w:eastAsia="Times New Roman"/>
          <w:lang w:eastAsia="es-ES"/>
        </w:rPr>
        <w:t>ils aient fait tous les efforts possibles au maximum de leurs ressources disponibles, il a été impossible de fournir un logement de remplacement permanent à une personne expulsée.</w:t>
      </w:r>
      <w:r>
        <w:rPr>
          <w:rFonts w:eastAsia="Times New Roman"/>
          <w:lang w:eastAsia="es-ES"/>
        </w:rPr>
        <w:t xml:space="preserve"> En pareilles</w:t>
      </w:r>
      <w:r w:rsidRPr="00200574">
        <w:rPr>
          <w:rFonts w:eastAsia="Times New Roman"/>
          <w:lang w:eastAsia="es-ES"/>
        </w:rPr>
        <w:t xml:space="preserve"> circonstances, il est possible d</w:t>
      </w:r>
      <w:r>
        <w:rPr>
          <w:rFonts w:eastAsia="Times New Roman"/>
          <w:lang w:eastAsia="es-ES"/>
        </w:rPr>
        <w:t xml:space="preserve">’octroyer </w:t>
      </w:r>
      <w:r w:rsidRPr="00200574">
        <w:rPr>
          <w:rFonts w:eastAsia="Times New Roman"/>
          <w:lang w:eastAsia="es-ES"/>
        </w:rPr>
        <w:t>un hébergement d</w:t>
      </w:r>
      <w:r>
        <w:rPr>
          <w:rFonts w:eastAsia="Times New Roman"/>
          <w:lang w:eastAsia="es-ES"/>
        </w:rPr>
        <w:t>’</w:t>
      </w:r>
      <w:r w:rsidRPr="00200574">
        <w:rPr>
          <w:rFonts w:eastAsia="Times New Roman"/>
          <w:lang w:eastAsia="es-ES"/>
        </w:rPr>
        <w:t xml:space="preserve">urgence temporaire </w:t>
      </w:r>
      <w:r w:rsidRPr="00200574">
        <w:rPr>
          <w:rFonts w:eastAsia="Times New Roman"/>
          <w:lang w:eastAsia="es-ES"/>
        </w:rPr>
        <w:lastRenderedPageBreak/>
        <w:t>qui ne répond pas à toutes les exigences d</w:t>
      </w:r>
      <w:r>
        <w:rPr>
          <w:rFonts w:eastAsia="Times New Roman"/>
          <w:lang w:eastAsia="es-ES"/>
        </w:rPr>
        <w:t>’</w:t>
      </w:r>
      <w:r w:rsidRPr="00200574">
        <w:rPr>
          <w:rFonts w:eastAsia="Times New Roman"/>
          <w:lang w:eastAsia="es-ES"/>
        </w:rPr>
        <w:t xml:space="preserve">un logement </w:t>
      </w:r>
      <w:r>
        <w:rPr>
          <w:rFonts w:eastAsia="Times New Roman"/>
          <w:lang w:eastAsia="es-ES"/>
        </w:rPr>
        <w:t>convenable</w:t>
      </w:r>
      <w:r w:rsidRPr="00200574">
        <w:rPr>
          <w:rFonts w:eastAsia="Times New Roman"/>
          <w:lang w:eastAsia="es-ES"/>
        </w:rPr>
        <w:t>.</w:t>
      </w:r>
      <w:r>
        <w:rPr>
          <w:rFonts w:eastAsia="Times New Roman"/>
          <w:lang w:eastAsia="es-ES"/>
        </w:rPr>
        <w:t xml:space="preserve"> L</w:t>
      </w:r>
      <w:r w:rsidRPr="00200574">
        <w:rPr>
          <w:rFonts w:eastAsia="Times New Roman"/>
          <w:lang w:eastAsia="es-ES"/>
        </w:rPr>
        <w:t>es États doivent</w:t>
      </w:r>
      <w:r>
        <w:rPr>
          <w:rFonts w:eastAsia="Times New Roman"/>
          <w:lang w:eastAsia="es-ES"/>
        </w:rPr>
        <w:t xml:space="preserve"> toutefois</w:t>
      </w:r>
      <w:r w:rsidRPr="00200574">
        <w:rPr>
          <w:rFonts w:eastAsia="Times New Roman"/>
          <w:lang w:eastAsia="es-ES"/>
        </w:rPr>
        <w:t xml:space="preserve"> veiller à ce que </w:t>
      </w:r>
      <w:r>
        <w:rPr>
          <w:rFonts w:eastAsia="Times New Roman"/>
          <w:lang w:eastAsia="es-ES"/>
        </w:rPr>
        <w:t>c</w:t>
      </w:r>
      <w:r w:rsidRPr="00200574">
        <w:rPr>
          <w:rFonts w:eastAsia="Times New Roman"/>
          <w:lang w:eastAsia="es-ES"/>
        </w:rPr>
        <w:t>e</w:t>
      </w:r>
      <w:r>
        <w:rPr>
          <w:rFonts w:eastAsia="Times New Roman"/>
          <w:lang w:eastAsia="es-ES"/>
        </w:rPr>
        <w:t xml:space="preserve">t hébergement </w:t>
      </w:r>
      <w:r w:rsidRPr="00200574">
        <w:rPr>
          <w:rFonts w:eastAsia="Times New Roman"/>
          <w:lang w:eastAsia="es-ES"/>
        </w:rPr>
        <w:t xml:space="preserve">temporaire </w:t>
      </w:r>
      <w:r>
        <w:rPr>
          <w:rFonts w:eastAsia="Times New Roman"/>
          <w:lang w:eastAsia="es-ES"/>
        </w:rPr>
        <w:t>respecte</w:t>
      </w:r>
      <w:r w:rsidRPr="00200574">
        <w:rPr>
          <w:rFonts w:eastAsia="Times New Roman"/>
          <w:lang w:eastAsia="es-ES"/>
        </w:rPr>
        <w:t xml:space="preserve"> la dignité des personnes expulsées, réponde à toutes les exigences de sécurité et ne devienne pas une solution permanente, mais </w:t>
      </w:r>
      <w:r>
        <w:rPr>
          <w:rFonts w:eastAsia="Times New Roman"/>
          <w:lang w:eastAsia="es-ES"/>
        </w:rPr>
        <w:t xml:space="preserve">constitue une étape </w:t>
      </w:r>
      <w:r w:rsidRPr="00200574">
        <w:rPr>
          <w:rFonts w:eastAsia="Times New Roman"/>
          <w:lang w:eastAsia="es-ES"/>
        </w:rPr>
        <w:t>vers un logement adéquat.</w:t>
      </w:r>
    </w:p>
    <w:p w14:paraId="272C2497" w14:textId="77777777" w:rsidR="0037651B" w:rsidRPr="00C622E0" w:rsidRDefault="0037651B" w:rsidP="0037651B">
      <w:pPr>
        <w:pStyle w:val="H23G"/>
        <w:rPr>
          <w:lang w:eastAsia="es-ES"/>
        </w:rPr>
      </w:pPr>
      <w:r w:rsidRPr="00C622E0">
        <w:rPr>
          <w:lang w:eastAsia="es-ES"/>
        </w:rPr>
        <w:tab/>
      </w:r>
      <w:r w:rsidRPr="00C622E0">
        <w:rPr>
          <w:lang w:eastAsia="es-ES"/>
        </w:rPr>
        <w:tab/>
        <w:t>Les critères de relogement et les occupations sans titre</w:t>
      </w:r>
    </w:p>
    <w:p w14:paraId="63847272" w14:textId="77777777" w:rsidR="0037651B" w:rsidRPr="00C622E0" w:rsidRDefault="0037651B" w:rsidP="0037651B">
      <w:pPr>
        <w:pStyle w:val="SingleTxtG"/>
      </w:pPr>
      <w:r w:rsidRPr="00C622E0">
        <w:rPr>
          <w:lang w:eastAsia="es-ES"/>
        </w:rPr>
        <w:t>10.1</w:t>
      </w:r>
      <w:r w:rsidRPr="00C622E0">
        <w:rPr>
          <w:lang w:eastAsia="es-ES"/>
        </w:rPr>
        <w:tab/>
        <w:t>Le Comité estime que, pour rationaliser l</w:t>
      </w:r>
      <w:r>
        <w:rPr>
          <w:lang w:eastAsia="es-ES"/>
        </w:rPr>
        <w:t>’</w:t>
      </w:r>
      <w:r w:rsidRPr="00C622E0">
        <w:rPr>
          <w:lang w:eastAsia="es-ES"/>
        </w:rPr>
        <w:t>utilisation des ressources mises à la disposition des services sociaux, les États parties peuvent subordonner l</w:t>
      </w:r>
      <w:r>
        <w:rPr>
          <w:lang w:eastAsia="es-ES"/>
        </w:rPr>
        <w:t>’</w:t>
      </w:r>
      <w:r w:rsidRPr="00C622E0">
        <w:rPr>
          <w:lang w:eastAsia="es-ES"/>
        </w:rPr>
        <w:t>octroi de prestations sociales, par exemple l</w:t>
      </w:r>
      <w:r>
        <w:rPr>
          <w:lang w:eastAsia="es-ES"/>
        </w:rPr>
        <w:t>’</w:t>
      </w:r>
      <w:r w:rsidRPr="00C622E0">
        <w:rPr>
          <w:lang w:eastAsia="es-ES"/>
        </w:rPr>
        <w:t>attribution d</w:t>
      </w:r>
      <w:r>
        <w:rPr>
          <w:lang w:eastAsia="es-ES"/>
        </w:rPr>
        <w:t>’</w:t>
      </w:r>
      <w:r w:rsidRPr="00C622E0">
        <w:rPr>
          <w:lang w:eastAsia="es-ES"/>
        </w:rPr>
        <w:t>un logement de remplacement, au respect de certaines exigences ou conditions. De même, les États peuvent prendre des mesures pour protéger la propriété privée et empêcher les occupations illégales et de mauvaise foi. Cependant, les conditions d</w:t>
      </w:r>
      <w:r>
        <w:rPr>
          <w:lang w:eastAsia="es-ES"/>
        </w:rPr>
        <w:t>’</w:t>
      </w:r>
      <w:r w:rsidRPr="00C622E0">
        <w:rPr>
          <w:lang w:eastAsia="es-ES"/>
        </w:rPr>
        <w:t>accès aux services sociaux doivent être raisonnables et définies avec la plus grande précaution, non seulement pour éviter la stigmatisation, mais aussi parce que lorsqu</w:t>
      </w:r>
      <w:r>
        <w:rPr>
          <w:lang w:eastAsia="es-ES"/>
        </w:rPr>
        <w:t>’</w:t>
      </w:r>
      <w:r w:rsidRPr="00C622E0">
        <w:rPr>
          <w:lang w:eastAsia="es-ES"/>
        </w:rPr>
        <w:t>une personne demande à être relogée, son comportement ne saurait en soi justifier que l</w:t>
      </w:r>
      <w:r>
        <w:rPr>
          <w:lang w:eastAsia="es-ES"/>
        </w:rPr>
        <w:t>’</w:t>
      </w:r>
      <w:r w:rsidRPr="00C622E0">
        <w:rPr>
          <w:lang w:eastAsia="es-ES"/>
        </w:rPr>
        <w:t>État partie ne lui octroie pas un logement social</w:t>
      </w:r>
      <w:r w:rsidRPr="00C622E0">
        <w:rPr>
          <w:rStyle w:val="Appelnotedebasdep"/>
        </w:rPr>
        <w:footnoteReference w:id="34"/>
      </w:r>
      <w:r w:rsidRPr="00C622E0">
        <w:rPr>
          <w:lang w:eastAsia="es-ES"/>
        </w:rPr>
        <w:t xml:space="preserve">. De plus, </w:t>
      </w:r>
      <w:r w:rsidRPr="00C622E0">
        <w:t xml:space="preserve">les tribunaux </w:t>
      </w:r>
      <w:r w:rsidRPr="00C622E0">
        <w:rPr>
          <w:lang w:eastAsia="es-ES"/>
        </w:rPr>
        <w:t>et les autorités administratives doivent faire preuve de prudence dans leur interprétation et leur application de lois</w:t>
      </w:r>
      <w:r>
        <w:rPr>
          <w:lang w:eastAsia="es-ES"/>
        </w:rPr>
        <w:t xml:space="preserve"> relatives à l’accès au logement social ou au logement de remplacement</w:t>
      </w:r>
      <w:r w:rsidRPr="00C622E0">
        <w:rPr>
          <w:lang w:eastAsia="es-ES"/>
        </w:rPr>
        <w:t>, afin de ne pas perpétuer la discrimination et la stigmatisation généralisées dont font l</w:t>
      </w:r>
      <w:r>
        <w:rPr>
          <w:lang w:eastAsia="es-ES"/>
        </w:rPr>
        <w:t>’</w:t>
      </w:r>
      <w:r w:rsidRPr="00C622E0">
        <w:rPr>
          <w:lang w:eastAsia="es-ES"/>
        </w:rPr>
        <w:t>objet les personnes qui vivent dans la pauvreté et qui occupent des lieux, par nécessité ou de bonne foi, sans titre juridique valable</w:t>
      </w:r>
      <w:r w:rsidRPr="00C622E0">
        <w:rPr>
          <w:rStyle w:val="Appelnotedebasdep"/>
        </w:rPr>
        <w:footnoteReference w:id="35"/>
      </w:r>
      <w:r w:rsidRPr="00C622E0">
        <w:rPr>
          <w:lang w:eastAsia="es-ES"/>
        </w:rPr>
        <w:t>.</w:t>
      </w:r>
    </w:p>
    <w:p w14:paraId="6B276517" w14:textId="77777777" w:rsidR="0037651B" w:rsidRPr="00C622E0" w:rsidRDefault="0037651B" w:rsidP="0037651B">
      <w:pPr>
        <w:pStyle w:val="SingleTxtG"/>
      </w:pPr>
      <w:r w:rsidRPr="00C622E0">
        <w:rPr>
          <w:rFonts w:eastAsia="Times New Roman"/>
          <w:lang w:eastAsia="es-ES"/>
        </w:rPr>
        <w:t>10.2</w:t>
      </w:r>
      <w:r w:rsidRPr="00C622E0">
        <w:rPr>
          <w:rFonts w:eastAsia="Times New Roman"/>
          <w:lang w:eastAsia="es-ES"/>
        </w:rPr>
        <w:tab/>
      </w:r>
      <w:r w:rsidRPr="008C7A68">
        <w:t>En outre, dans la mesure où le manque de logements disponibles et accessibles résulte de</w:t>
      </w:r>
      <w:r>
        <w:t xml:space="preserve"> l’accroissement des</w:t>
      </w:r>
      <w:r w:rsidRPr="008C7A68">
        <w:t xml:space="preserve"> inégalité</w:t>
      </w:r>
      <w:r>
        <w:t>s</w:t>
      </w:r>
      <w:r w:rsidRPr="008C7A68">
        <w:t xml:space="preserve"> et de la spéculation sur les marchés du logement, les États parties </w:t>
      </w:r>
      <w:r>
        <w:t>doivent</w:t>
      </w:r>
      <w:r w:rsidRPr="008C7A68">
        <w:t xml:space="preserve"> s</w:t>
      </w:r>
      <w:r>
        <w:t>’</w:t>
      </w:r>
      <w:r w:rsidRPr="008C7A68">
        <w:t xml:space="preserve">attaquer à ces causes structurelles </w:t>
      </w:r>
      <w:r w:rsidRPr="00C622E0">
        <w:t>en prenant des mesures adéquates, opportunes et coordonnées auxquelles il consacre le maximum de ses ressources disponibles</w:t>
      </w:r>
      <w:r w:rsidRPr="00C622E0">
        <w:rPr>
          <w:rStyle w:val="Appelnotedebasdep"/>
        </w:rPr>
        <w:footnoteReference w:id="36"/>
      </w:r>
      <w:r w:rsidRPr="00C622E0">
        <w:rPr>
          <w:rFonts w:eastAsia="Times New Roman"/>
          <w:lang w:eastAsia="es-ES"/>
        </w:rPr>
        <w:t>.</w:t>
      </w:r>
    </w:p>
    <w:p w14:paraId="615E0FDA" w14:textId="77777777" w:rsidR="0037651B" w:rsidRPr="00C622E0" w:rsidRDefault="0037651B" w:rsidP="0037651B">
      <w:pPr>
        <w:pStyle w:val="H23G"/>
        <w:rPr>
          <w:lang w:eastAsia="es-ES"/>
        </w:rPr>
      </w:pPr>
      <w:r w:rsidRPr="00C622E0">
        <w:rPr>
          <w:lang w:eastAsia="es-ES"/>
        </w:rPr>
        <w:tab/>
      </w:r>
      <w:r w:rsidRPr="00C622E0">
        <w:rPr>
          <w:lang w:eastAsia="es-ES"/>
        </w:rPr>
        <w:tab/>
        <w:t>L</w:t>
      </w:r>
      <w:r>
        <w:rPr>
          <w:lang w:eastAsia="es-ES"/>
        </w:rPr>
        <w:t>’</w:t>
      </w:r>
      <w:r w:rsidRPr="00C622E0">
        <w:rPr>
          <w:lang w:eastAsia="es-ES"/>
        </w:rPr>
        <w:t>examen de la proportionnalité dans le cas de l</w:t>
      </w:r>
      <w:r>
        <w:rPr>
          <w:lang w:eastAsia="es-ES"/>
        </w:rPr>
        <w:t>’</w:t>
      </w:r>
      <w:r w:rsidRPr="00C622E0">
        <w:rPr>
          <w:lang w:eastAsia="es-ES"/>
        </w:rPr>
        <w:t>expulsion de l</w:t>
      </w:r>
      <w:r>
        <w:rPr>
          <w:lang w:eastAsia="es-ES"/>
        </w:rPr>
        <w:t>’</w:t>
      </w:r>
      <w:r w:rsidRPr="00C622E0">
        <w:rPr>
          <w:lang w:eastAsia="es-ES"/>
        </w:rPr>
        <w:t>auteure</w:t>
      </w:r>
    </w:p>
    <w:p w14:paraId="7092F8A2" w14:textId="77777777" w:rsidR="0037651B" w:rsidRPr="007727D6" w:rsidRDefault="0037651B" w:rsidP="0037651B">
      <w:pPr>
        <w:pStyle w:val="SingleTxtG"/>
        <w:rPr>
          <w:spacing w:val="-1"/>
          <w:lang w:eastAsia="es-ES"/>
        </w:rPr>
      </w:pPr>
      <w:r w:rsidRPr="007727D6">
        <w:rPr>
          <w:spacing w:val="-1"/>
          <w:lang w:eastAsia="es-ES"/>
        </w:rPr>
        <w:t>11.1</w:t>
      </w:r>
      <w:r w:rsidRPr="007727D6">
        <w:rPr>
          <w:spacing w:val="-1"/>
          <w:lang w:eastAsia="es-ES"/>
        </w:rPr>
        <w:tab/>
        <w:t>Le Comité va maintenant analyser si l</w:t>
      </w:r>
      <w:r>
        <w:rPr>
          <w:spacing w:val="-1"/>
          <w:lang w:eastAsia="es-ES"/>
        </w:rPr>
        <w:t>’</w:t>
      </w:r>
      <w:r w:rsidRPr="007727D6">
        <w:rPr>
          <w:spacing w:val="-1"/>
          <w:lang w:eastAsia="es-ES"/>
        </w:rPr>
        <w:t>expulsion de l</w:t>
      </w:r>
      <w:r>
        <w:rPr>
          <w:spacing w:val="-1"/>
          <w:lang w:eastAsia="es-ES"/>
        </w:rPr>
        <w:t>’</w:t>
      </w:r>
      <w:r w:rsidRPr="007727D6">
        <w:rPr>
          <w:spacing w:val="-1"/>
          <w:lang w:eastAsia="es-ES"/>
        </w:rPr>
        <w:t>auteure constitue une violation du droit de celle-ci à un logement convenable</w:t>
      </w:r>
      <w:r w:rsidRPr="005E6D6D">
        <w:rPr>
          <w:spacing w:val="-1"/>
          <w:lang w:eastAsia="es-ES"/>
        </w:rPr>
        <w:t xml:space="preserve"> ou si </w:t>
      </w:r>
      <w:r>
        <w:rPr>
          <w:spacing w:val="-1"/>
          <w:lang w:eastAsia="es-ES"/>
        </w:rPr>
        <w:t>la mesure</w:t>
      </w:r>
      <w:r w:rsidRPr="005E6D6D">
        <w:rPr>
          <w:spacing w:val="-1"/>
          <w:lang w:eastAsia="es-ES"/>
        </w:rPr>
        <w:t xml:space="preserve"> pouvait être justifiée comme une limitation </w:t>
      </w:r>
      <w:r>
        <w:rPr>
          <w:spacing w:val="-1"/>
          <w:lang w:eastAsia="es-ES"/>
        </w:rPr>
        <w:t>du</w:t>
      </w:r>
      <w:r w:rsidRPr="005E6D6D">
        <w:rPr>
          <w:spacing w:val="-1"/>
          <w:lang w:eastAsia="es-ES"/>
        </w:rPr>
        <w:t xml:space="preserve"> droit au logement au </w:t>
      </w:r>
      <w:r>
        <w:rPr>
          <w:spacing w:val="-1"/>
          <w:lang w:eastAsia="es-ES"/>
        </w:rPr>
        <w:t>sens</w:t>
      </w:r>
      <w:r w:rsidRPr="005E6D6D">
        <w:rPr>
          <w:spacing w:val="-1"/>
          <w:lang w:eastAsia="es-ES"/>
        </w:rPr>
        <w:t xml:space="preserve"> de l</w:t>
      </w:r>
      <w:r>
        <w:rPr>
          <w:spacing w:val="-1"/>
          <w:lang w:eastAsia="es-ES"/>
        </w:rPr>
        <w:t>’</w:t>
      </w:r>
      <w:r w:rsidRPr="005E6D6D">
        <w:rPr>
          <w:spacing w:val="-1"/>
          <w:lang w:eastAsia="es-ES"/>
        </w:rPr>
        <w:t>article</w:t>
      </w:r>
      <w:r w:rsidR="006C13B1">
        <w:rPr>
          <w:spacing w:val="-1"/>
          <w:lang w:eastAsia="es-ES"/>
        </w:rPr>
        <w:t> </w:t>
      </w:r>
      <w:r w:rsidRPr="005E6D6D">
        <w:rPr>
          <w:spacing w:val="-1"/>
          <w:lang w:eastAsia="es-ES"/>
        </w:rPr>
        <w:t>4 du Pacte</w:t>
      </w:r>
      <w:r w:rsidRPr="007727D6">
        <w:rPr>
          <w:spacing w:val="-1"/>
          <w:lang w:eastAsia="es-ES"/>
        </w:rPr>
        <w:t xml:space="preserve">. </w:t>
      </w:r>
      <w:r>
        <w:rPr>
          <w:spacing w:val="-1"/>
          <w:lang w:eastAsia="es-ES"/>
        </w:rPr>
        <w:t>L’</w:t>
      </w:r>
      <w:r w:rsidRPr="007727D6">
        <w:rPr>
          <w:spacing w:val="-1"/>
          <w:lang w:eastAsia="es-ES"/>
        </w:rPr>
        <w:t xml:space="preserve">auteure a emménagé dans </w:t>
      </w:r>
      <w:r>
        <w:rPr>
          <w:spacing w:val="-1"/>
          <w:lang w:eastAsia="es-ES"/>
        </w:rPr>
        <w:t>l’</w:t>
      </w:r>
      <w:r w:rsidRPr="007727D6">
        <w:rPr>
          <w:spacing w:val="-1"/>
          <w:lang w:eastAsia="es-ES"/>
        </w:rPr>
        <w:t>appartement le 1</w:t>
      </w:r>
      <w:r w:rsidRPr="007727D6">
        <w:rPr>
          <w:spacing w:val="-1"/>
          <w:vertAlign w:val="superscript"/>
          <w:lang w:eastAsia="es-ES"/>
        </w:rPr>
        <w:t>er</w:t>
      </w:r>
      <w:r w:rsidRPr="007727D6">
        <w:rPr>
          <w:spacing w:val="-1"/>
          <w:lang w:eastAsia="es-ES"/>
        </w:rPr>
        <w:t> mars 2013</w:t>
      </w:r>
      <w:r>
        <w:rPr>
          <w:spacing w:val="-1"/>
          <w:lang w:eastAsia="es-ES"/>
        </w:rPr>
        <w:t>. L</w:t>
      </w:r>
      <w:r w:rsidRPr="007727D6">
        <w:rPr>
          <w:spacing w:val="-1"/>
          <w:lang w:eastAsia="es-ES"/>
        </w:rPr>
        <w:t>e 2 décembre 2016, suite à la plainte déposée par la banque propriétaire de l</w:t>
      </w:r>
      <w:r>
        <w:rPr>
          <w:spacing w:val="-1"/>
          <w:lang w:eastAsia="es-ES"/>
        </w:rPr>
        <w:t>’</w:t>
      </w:r>
      <w:r w:rsidRPr="007727D6">
        <w:rPr>
          <w:spacing w:val="-1"/>
          <w:lang w:eastAsia="es-ES"/>
        </w:rPr>
        <w:t xml:space="preserve">appartement, le tribunal pénal </w:t>
      </w:r>
      <w:r w:rsidRPr="007727D6">
        <w:rPr>
          <w:rFonts w:eastAsia="MS Mincho"/>
          <w:spacing w:val="-1"/>
          <w:lang w:eastAsia="es-ES"/>
        </w:rPr>
        <w:t>n</w:t>
      </w:r>
      <w:r w:rsidRPr="007727D6">
        <w:rPr>
          <w:rFonts w:eastAsia="MS Mincho"/>
          <w:spacing w:val="-1"/>
          <w:vertAlign w:val="superscript"/>
          <w:lang w:eastAsia="es-ES"/>
        </w:rPr>
        <w:t>o</w:t>
      </w:r>
      <w:r w:rsidRPr="007727D6">
        <w:rPr>
          <w:spacing w:val="-1"/>
          <w:lang w:eastAsia="es-ES"/>
        </w:rPr>
        <w:t> 15 l</w:t>
      </w:r>
      <w:r>
        <w:rPr>
          <w:spacing w:val="-1"/>
          <w:lang w:eastAsia="es-ES"/>
        </w:rPr>
        <w:t>’</w:t>
      </w:r>
      <w:r w:rsidRPr="007727D6">
        <w:rPr>
          <w:spacing w:val="-1"/>
          <w:lang w:eastAsia="es-ES"/>
        </w:rPr>
        <w:t>a déclarée coupable de l</w:t>
      </w:r>
      <w:r>
        <w:rPr>
          <w:spacing w:val="-1"/>
          <w:lang w:eastAsia="es-ES"/>
        </w:rPr>
        <w:t>’</w:t>
      </w:r>
      <w:r w:rsidRPr="007727D6">
        <w:rPr>
          <w:spacing w:val="-1"/>
          <w:lang w:eastAsia="es-ES"/>
        </w:rPr>
        <w:t>infraction mineure d</w:t>
      </w:r>
      <w:r>
        <w:rPr>
          <w:spacing w:val="-1"/>
          <w:lang w:eastAsia="es-ES"/>
        </w:rPr>
        <w:t>’</w:t>
      </w:r>
      <w:r w:rsidRPr="007727D6">
        <w:rPr>
          <w:spacing w:val="-1"/>
          <w:lang w:eastAsia="es-ES"/>
        </w:rPr>
        <w:t>usurpation, mais l</w:t>
      </w:r>
      <w:r>
        <w:rPr>
          <w:spacing w:val="-1"/>
          <w:lang w:eastAsia="es-ES"/>
        </w:rPr>
        <w:t>’</w:t>
      </w:r>
      <w:r w:rsidRPr="007727D6">
        <w:rPr>
          <w:spacing w:val="-1"/>
          <w:lang w:eastAsia="es-ES"/>
        </w:rPr>
        <w:t>a exonérée partiellement de sa responsabilité pour cause d</w:t>
      </w:r>
      <w:r>
        <w:rPr>
          <w:spacing w:val="-1"/>
          <w:lang w:eastAsia="es-ES"/>
        </w:rPr>
        <w:t>’</w:t>
      </w:r>
      <w:r w:rsidRPr="007727D6">
        <w:rPr>
          <w:spacing w:val="-1"/>
          <w:lang w:eastAsia="es-ES"/>
        </w:rPr>
        <w:t>état de nécessité. Le tribunal a ordonné à l</w:t>
      </w:r>
      <w:r>
        <w:rPr>
          <w:spacing w:val="-1"/>
          <w:lang w:eastAsia="es-ES"/>
        </w:rPr>
        <w:t>’</w:t>
      </w:r>
      <w:r w:rsidRPr="007727D6">
        <w:rPr>
          <w:spacing w:val="-1"/>
          <w:lang w:eastAsia="es-ES"/>
        </w:rPr>
        <w:t>auteure de restituer l</w:t>
      </w:r>
      <w:r>
        <w:rPr>
          <w:spacing w:val="-1"/>
          <w:lang w:eastAsia="es-ES"/>
        </w:rPr>
        <w:t>’</w:t>
      </w:r>
      <w:r w:rsidRPr="007727D6">
        <w:rPr>
          <w:spacing w:val="-1"/>
          <w:lang w:eastAsia="es-ES"/>
        </w:rPr>
        <w:t>appartement à la banque</w:t>
      </w:r>
      <w:r>
        <w:rPr>
          <w:spacing w:val="-1"/>
          <w:lang w:eastAsia="es-ES"/>
        </w:rPr>
        <w:t xml:space="preserve">. Cette </w:t>
      </w:r>
      <w:r w:rsidRPr="007727D6">
        <w:rPr>
          <w:spacing w:val="-1"/>
          <w:lang w:eastAsia="es-ES"/>
        </w:rPr>
        <w:t>décision a ensuite été confirmée par l</w:t>
      </w:r>
      <w:r>
        <w:rPr>
          <w:spacing w:val="-1"/>
          <w:lang w:eastAsia="es-ES"/>
        </w:rPr>
        <w:t>’</w:t>
      </w:r>
      <w:r w:rsidRPr="007727D6">
        <w:rPr>
          <w:spacing w:val="-1"/>
          <w:lang w:eastAsia="es-ES"/>
        </w:rPr>
        <w:t>Audiencia Provincial de Madrid, le 25 juillet 2017.</w:t>
      </w:r>
    </w:p>
    <w:p w14:paraId="515941E8" w14:textId="77777777" w:rsidR="0037651B" w:rsidRPr="00C622E0" w:rsidRDefault="0037651B" w:rsidP="0037651B">
      <w:pPr>
        <w:pStyle w:val="SingleTxtG"/>
        <w:rPr>
          <w:lang w:eastAsia="es-ES"/>
        </w:rPr>
      </w:pPr>
      <w:r w:rsidRPr="00C622E0">
        <w:rPr>
          <w:lang w:eastAsia="es-ES"/>
        </w:rPr>
        <w:t>11.2</w:t>
      </w:r>
      <w:r w:rsidRPr="00C622E0">
        <w:rPr>
          <w:lang w:eastAsia="es-ES"/>
        </w:rPr>
        <w:tab/>
        <w:t>Le Comité constate que l</w:t>
      </w:r>
      <w:r>
        <w:rPr>
          <w:lang w:eastAsia="es-ES"/>
        </w:rPr>
        <w:t>’</w:t>
      </w:r>
      <w:r w:rsidRPr="00C622E0">
        <w:rPr>
          <w:lang w:eastAsia="es-ES"/>
        </w:rPr>
        <w:t>auteure n</w:t>
      </w:r>
      <w:r>
        <w:rPr>
          <w:lang w:eastAsia="es-ES"/>
        </w:rPr>
        <w:t>’</w:t>
      </w:r>
      <w:r w:rsidRPr="00C622E0">
        <w:rPr>
          <w:lang w:eastAsia="es-ES"/>
        </w:rPr>
        <w:t>a pas obéi à l</w:t>
      </w:r>
      <w:r>
        <w:rPr>
          <w:lang w:eastAsia="es-ES"/>
        </w:rPr>
        <w:t>’</w:t>
      </w:r>
      <w:r w:rsidRPr="00C622E0">
        <w:rPr>
          <w:lang w:eastAsia="es-ES"/>
        </w:rPr>
        <w:t>ordre de restitution et est demeurée dans l</w:t>
      </w:r>
      <w:r>
        <w:rPr>
          <w:lang w:eastAsia="es-ES"/>
        </w:rPr>
        <w:t>’</w:t>
      </w:r>
      <w:r w:rsidRPr="00C622E0">
        <w:rPr>
          <w:lang w:eastAsia="es-ES"/>
        </w:rPr>
        <w:t>appartement, et qu</w:t>
      </w:r>
      <w:r>
        <w:rPr>
          <w:lang w:eastAsia="es-ES"/>
        </w:rPr>
        <w:t>’</w:t>
      </w:r>
      <w:r w:rsidRPr="00C622E0">
        <w:rPr>
          <w:lang w:eastAsia="es-ES"/>
        </w:rPr>
        <w:t>elle a été expulsée de force, le 25</w:t>
      </w:r>
      <w:r>
        <w:rPr>
          <w:lang w:eastAsia="es-ES"/>
        </w:rPr>
        <w:t> </w:t>
      </w:r>
      <w:r w:rsidRPr="00C622E0">
        <w:rPr>
          <w:lang w:eastAsia="es-ES"/>
        </w:rPr>
        <w:t>juin 2018.</w:t>
      </w:r>
    </w:p>
    <w:p w14:paraId="68424037" w14:textId="77777777" w:rsidR="0037651B" w:rsidRPr="007727D6" w:rsidRDefault="0037651B" w:rsidP="0037651B">
      <w:pPr>
        <w:pStyle w:val="SingleTxtG"/>
        <w:rPr>
          <w:spacing w:val="-1"/>
          <w:lang w:eastAsia="es-ES"/>
        </w:rPr>
      </w:pPr>
      <w:r w:rsidRPr="007727D6">
        <w:rPr>
          <w:spacing w:val="-1"/>
          <w:lang w:eastAsia="es-ES"/>
        </w:rPr>
        <w:t>11.3</w:t>
      </w:r>
      <w:r w:rsidRPr="007727D6">
        <w:rPr>
          <w:spacing w:val="-1"/>
          <w:lang w:eastAsia="es-ES"/>
        </w:rPr>
        <w:tab/>
        <w:t>L</w:t>
      </w:r>
      <w:r>
        <w:rPr>
          <w:spacing w:val="-1"/>
          <w:lang w:eastAsia="es-ES"/>
        </w:rPr>
        <w:t>’</w:t>
      </w:r>
      <w:r w:rsidRPr="007727D6">
        <w:rPr>
          <w:spacing w:val="-1"/>
          <w:lang w:eastAsia="es-ES"/>
        </w:rPr>
        <w:t>auteure, dans ses demandes de suspension de la procédure, a mentionné qu</w:t>
      </w:r>
      <w:r>
        <w:rPr>
          <w:spacing w:val="-1"/>
          <w:lang w:eastAsia="es-ES"/>
        </w:rPr>
        <w:t>’</w:t>
      </w:r>
      <w:r w:rsidRPr="007727D6">
        <w:rPr>
          <w:spacing w:val="-1"/>
          <w:lang w:eastAsia="es-ES"/>
        </w:rPr>
        <w:t>elle se trouvait dans une situation de grande vulnérabilité économique et qu</w:t>
      </w:r>
      <w:r>
        <w:rPr>
          <w:spacing w:val="-1"/>
          <w:lang w:eastAsia="es-ES"/>
        </w:rPr>
        <w:t>’</w:t>
      </w:r>
      <w:r w:rsidRPr="007727D6">
        <w:rPr>
          <w:spacing w:val="-1"/>
          <w:lang w:eastAsia="es-ES"/>
        </w:rPr>
        <w:t>elle n</w:t>
      </w:r>
      <w:r>
        <w:rPr>
          <w:spacing w:val="-1"/>
          <w:lang w:eastAsia="es-ES"/>
        </w:rPr>
        <w:t>’</w:t>
      </w:r>
      <w:r w:rsidRPr="007727D6">
        <w:rPr>
          <w:spacing w:val="-1"/>
          <w:lang w:eastAsia="es-ES"/>
        </w:rPr>
        <w:t>avait aucun endroit où loger en cas d</w:t>
      </w:r>
      <w:r>
        <w:rPr>
          <w:spacing w:val="-1"/>
          <w:lang w:eastAsia="es-ES"/>
        </w:rPr>
        <w:t>’</w:t>
      </w:r>
      <w:r w:rsidRPr="007727D6">
        <w:rPr>
          <w:spacing w:val="-1"/>
          <w:lang w:eastAsia="es-ES"/>
        </w:rPr>
        <w:t xml:space="preserve">expulsion. De plus, le 8 mai 2018, les services sociaux de la ville de Madrid ont communiqué au tribunal pénal </w:t>
      </w:r>
      <w:r w:rsidRPr="007727D6">
        <w:rPr>
          <w:rFonts w:eastAsia="MS Mincho"/>
          <w:spacing w:val="-1"/>
          <w:lang w:eastAsia="es-ES"/>
        </w:rPr>
        <w:t>n</w:t>
      </w:r>
      <w:r w:rsidRPr="007727D6">
        <w:rPr>
          <w:rFonts w:eastAsia="MS Mincho"/>
          <w:spacing w:val="-1"/>
          <w:vertAlign w:val="superscript"/>
          <w:lang w:eastAsia="es-ES"/>
        </w:rPr>
        <w:t>o</w:t>
      </w:r>
      <w:r w:rsidRPr="007727D6">
        <w:rPr>
          <w:spacing w:val="-1"/>
          <w:lang w:eastAsia="es-ES"/>
        </w:rPr>
        <w:t> 28 de Madrid un rapport dans lequel ils expliquaient ne pas avoir pu attribuer un logement social à l</w:t>
      </w:r>
      <w:r>
        <w:rPr>
          <w:spacing w:val="-1"/>
          <w:lang w:eastAsia="es-ES"/>
        </w:rPr>
        <w:t>’</w:t>
      </w:r>
      <w:r w:rsidRPr="007727D6">
        <w:rPr>
          <w:spacing w:val="-1"/>
          <w:lang w:eastAsia="es-ES"/>
        </w:rPr>
        <w:t>auteure et à sa famille. Le Comité prend note des allégations de l</w:t>
      </w:r>
      <w:r>
        <w:rPr>
          <w:spacing w:val="-1"/>
          <w:lang w:eastAsia="es-ES"/>
        </w:rPr>
        <w:t>’</w:t>
      </w:r>
      <w:r w:rsidRPr="007727D6">
        <w:rPr>
          <w:spacing w:val="-1"/>
          <w:lang w:eastAsia="es-ES"/>
        </w:rPr>
        <w:t>auteure selon lesquelles son droit au logement n</w:t>
      </w:r>
      <w:r>
        <w:rPr>
          <w:spacing w:val="-1"/>
          <w:lang w:eastAsia="es-ES"/>
        </w:rPr>
        <w:t>’</w:t>
      </w:r>
      <w:r w:rsidRPr="007727D6">
        <w:rPr>
          <w:spacing w:val="-1"/>
          <w:lang w:eastAsia="es-ES"/>
        </w:rPr>
        <w:t>a pas été pris en considération par les autorités judiciaires. À cet égard, il constate que, bien que les demandes de suspension de la procédure aient été rejetées, le 9 février 2018 et le 10 mai 2018, la mesure d</w:t>
      </w:r>
      <w:r>
        <w:rPr>
          <w:spacing w:val="-1"/>
          <w:lang w:eastAsia="es-ES"/>
        </w:rPr>
        <w:t>’</w:t>
      </w:r>
      <w:r w:rsidRPr="007727D6">
        <w:rPr>
          <w:spacing w:val="-1"/>
          <w:lang w:eastAsia="es-ES"/>
        </w:rPr>
        <w:t>expulsion n</w:t>
      </w:r>
      <w:r>
        <w:rPr>
          <w:spacing w:val="-1"/>
          <w:lang w:eastAsia="es-ES"/>
        </w:rPr>
        <w:t>’</w:t>
      </w:r>
      <w:r w:rsidRPr="007727D6">
        <w:rPr>
          <w:spacing w:val="-1"/>
          <w:lang w:eastAsia="es-ES"/>
        </w:rPr>
        <w:t>a été appliquée que le 25 juin 2018, soit un an et demi après la décision rendue en première instance.</w:t>
      </w:r>
    </w:p>
    <w:p w14:paraId="50A65D24" w14:textId="77777777" w:rsidR="0037651B" w:rsidRPr="00C622E0" w:rsidRDefault="0037651B" w:rsidP="0037651B">
      <w:pPr>
        <w:pStyle w:val="SingleTxtG"/>
        <w:rPr>
          <w:lang w:eastAsia="es-ES"/>
        </w:rPr>
      </w:pPr>
      <w:r w:rsidRPr="00C622E0">
        <w:rPr>
          <w:lang w:eastAsia="es-ES"/>
        </w:rPr>
        <w:lastRenderedPageBreak/>
        <w:t>11.4</w:t>
      </w:r>
      <w:r w:rsidRPr="00C622E0">
        <w:rPr>
          <w:lang w:eastAsia="es-ES"/>
        </w:rPr>
        <w:tab/>
        <w:t>Le Comité constate que l</w:t>
      </w:r>
      <w:r>
        <w:rPr>
          <w:lang w:eastAsia="es-ES"/>
        </w:rPr>
        <w:t>’</w:t>
      </w:r>
      <w:r w:rsidRPr="00C622E0">
        <w:rPr>
          <w:lang w:eastAsia="es-ES"/>
        </w:rPr>
        <w:t>auteure a pu faire appel des décisions rendues en première instance et a bénéficié de l</w:t>
      </w:r>
      <w:r>
        <w:rPr>
          <w:lang w:eastAsia="es-ES"/>
        </w:rPr>
        <w:t>’</w:t>
      </w:r>
      <w:r w:rsidRPr="00C622E0">
        <w:rPr>
          <w:lang w:eastAsia="es-ES"/>
        </w:rPr>
        <w:t>assistance d</w:t>
      </w:r>
      <w:r>
        <w:rPr>
          <w:lang w:eastAsia="es-ES"/>
        </w:rPr>
        <w:t>’</w:t>
      </w:r>
      <w:r w:rsidRPr="00C622E0">
        <w:rPr>
          <w:lang w:eastAsia="es-ES"/>
        </w:rPr>
        <w:t>un avocat. Il prend note que, comme l</w:t>
      </w:r>
      <w:r>
        <w:rPr>
          <w:lang w:eastAsia="es-ES"/>
        </w:rPr>
        <w:t>’</w:t>
      </w:r>
      <w:r w:rsidRPr="00C622E0">
        <w:rPr>
          <w:lang w:eastAsia="es-ES"/>
        </w:rPr>
        <w:t>État partie le signale, l</w:t>
      </w:r>
      <w:r>
        <w:rPr>
          <w:lang w:eastAsia="es-ES"/>
        </w:rPr>
        <w:t>’</w:t>
      </w:r>
      <w:r w:rsidRPr="00C622E0">
        <w:rPr>
          <w:lang w:eastAsia="es-ES"/>
        </w:rPr>
        <w:t>auteure n</w:t>
      </w:r>
      <w:r>
        <w:rPr>
          <w:lang w:eastAsia="es-ES"/>
        </w:rPr>
        <w:t>’</w:t>
      </w:r>
      <w:r w:rsidRPr="00C622E0">
        <w:rPr>
          <w:lang w:eastAsia="es-ES"/>
        </w:rPr>
        <w:t>a pas contesté la loyauté de la procédure, ni la régularité de l</w:t>
      </w:r>
      <w:r>
        <w:rPr>
          <w:lang w:eastAsia="es-ES"/>
        </w:rPr>
        <w:t>’</w:t>
      </w:r>
      <w:r w:rsidRPr="00C622E0">
        <w:rPr>
          <w:lang w:eastAsia="es-ES"/>
        </w:rPr>
        <w:t>exécution de la décision.</w:t>
      </w:r>
    </w:p>
    <w:p w14:paraId="194FFBC8" w14:textId="77777777" w:rsidR="0037651B" w:rsidRPr="00C622E0" w:rsidRDefault="0037651B" w:rsidP="0037651B">
      <w:pPr>
        <w:pStyle w:val="SingleTxtG"/>
        <w:rPr>
          <w:lang w:eastAsia="es-ES"/>
        </w:rPr>
      </w:pPr>
      <w:r w:rsidRPr="00C622E0">
        <w:rPr>
          <w:lang w:eastAsia="es-ES"/>
        </w:rPr>
        <w:t>11.5</w:t>
      </w:r>
      <w:r w:rsidRPr="00C622E0">
        <w:rPr>
          <w:lang w:eastAsia="es-ES"/>
        </w:rPr>
        <w:tab/>
        <w:t>Le Comité constate également que, pour l</w:t>
      </w:r>
      <w:r>
        <w:rPr>
          <w:lang w:eastAsia="es-ES"/>
        </w:rPr>
        <w:t>’</w:t>
      </w:r>
      <w:r w:rsidRPr="00C622E0">
        <w:rPr>
          <w:lang w:eastAsia="es-ES"/>
        </w:rPr>
        <w:t>État partie, le fait d</w:t>
      </w:r>
      <w:r>
        <w:rPr>
          <w:lang w:eastAsia="es-ES"/>
        </w:rPr>
        <w:t>’</w:t>
      </w:r>
      <w:r w:rsidRPr="00C622E0">
        <w:rPr>
          <w:lang w:eastAsia="es-ES"/>
        </w:rPr>
        <w:t>autoriser l</w:t>
      </w:r>
      <w:r>
        <w:rPr>
          <w:lang w:eastAsia="es-ES"/>
        </w:rPr>
        <w:t>’</w:t>
      </w:r>
      <w:r w:rsidRPr="00C622E0">
        <w:rPr>
          <w:lang w:eastAsia="es-ES"/>
        </w:rPr>
        <w:t>auteure à rester dans l</w:t>
      </w:r>
      <w:r>
        <w:rPr>
          <w:lang w:eastAsia="es-ES"/>
        </w:rPr>
        <w:t>’</w:t>
      </w:r>
      <w:r w:rsidRPr="00C622E0">
        <w:rPr>
          <w:lang w:eastAsia="es-ES"/>
        </w:rPr>
        <w:t xml:space="preserve">appartement reviendrait à valider, au nom du droit au logement, un comportement contraire au droit pénal et une atteinte au droit à la propriété </w:t>
      </w:r>
      <w:r>
        <w:rPr>
          <w:lang w:eastAsia="es-ES"/>
        </w:rPr>
        <w:t>reconnu par la législation nationale au</w:t>
      </w:r>
      <w:r w:rsidRPr="00C622E0">
        <w:rPr>
          <w:lang w:eastAsia="es-ES"/>
        </w:rPr>
        <w:t xml:space="preserve"> propriétaire du logement. Il précise que le droit à la propriété n</w:t>
      </w:r>
      <w:r>
        <w:rPr>
          <w:lang w:eastAsia="es-ES"/>
        </w:rPr>
        <w:t>’</w:t>
      </w:r>
      <w:r w:rsidRPr="00C622E0">
        <w:rPr>
          <w:lang w:eastAsia="es-ES"/>
        </w:rPr>
        <w:t xml:space="preserve">est pas un droit énoncé dans le Pacte, mais reconnaît </w:t>
      </w:r>
      <w:r>
        <w:rPr>
          <w:lang w:eastAsia="es-ES"/>
        </w:rPr>
        <w:t>l’intérêt légitime</w:t>
      </w:r>
      <w:r w:rsidRPr="00C622E0">
        <w:rPr>
          <w:lang w:eastAsia="es-ES"/>
        </w:rPr>
        <w:t xml:space="preserve"> </w:t>
      </w:r>
      <w:r>
        <w:rPr>
          <w:lang w:eastAsia="es-ES"/>
        </w:rPr>
        <w:t>qu’a</w:t>
      </w:r>
      <w:r w:rsidRPr="00C622E0">
        <w:rPr>
          <w:lang w:eastAsia="es-ES"/>
        </w:rPr>
        <w:t xml:space="preserve"> l</w:t>
      </w:r>
      <w:r>
        <w:rPr>
          <w:lang w:eastAsia="es-ES"/>
        </w:rPr>
        <w:t>’</w:t>
      </w:r>
      <w:r w:rsidRPr="00C622E0">
        <w:rPr>
          <w:lang w:eastAsia="es-ES"/>
        </w:rPr>
        <w:t>État partie de garantir la protection de tous les droits existants dans son système juridique, pour autant que ce ne soit pas contraire aux droits consacrés par le Pacte. L</w:t>
      </w:r>
      <w:r>
        <w:rPr>
          <w:lang w:eastAsia="es-ES"/>
        </w:rPr>
        <w:t>’</w:t>
      </w:r>
      <w:r w:rsidRPr="00C622E0">
        <w:rPr>
          <w:lang w:eastAsia="es-ES"/>
        </w:rPr>
        <w:t>auteure ayant été déclarée coupable de l</w:t>
      </w:r>
      <w:r>
        <w:rPr>
          <w:lang w:eastAsia="es-ES"/>
        </w:rPr>
        <w:t>’</w:t>
      </w:r>
      <w:r w:rsidRPr="00C622E0">
        <w:rPr>
          <w:lang w:eastAsia="es-ES"/>
        </w:rPr>
        <w:t>infraction mineure d</w:t>
      </w:r>
      <w:r>
        <w:rPr>
          <w:lang w:eastAsia="es-ES"/>
        </w:rPr>
        <w:t>’</w:t>
      </w:r>
      <w:r w:rsidRPr="00C622E0">
        <w:rPr>
          <w:lang w:eastAsia="es-ES"/>
        </w:rPr>
        <w:t>usurpation, le Comité estime qu</w:t>
      </w:r>
      <w:r>
        <w:rPr>
          <w:lang w:eastAsia="es-ES"/>
        </w:rPr>
        <w:t>’</w:t>
      </w:r>
      <w:r w:rsidRPr="00C622E0">
        <w:rPr>
          <w:lang w:eastAsia="es-ES"/>
        </w:rPr>
        <w:t>il existait un motif pouvant justifier la mesure d</w:t>
      </w:r>
      <w:r>
        <w:rPr>
          <w:lang w:eastAsia="es-ES"/>
        </w:rPr>
        <w:t>’</w:t>
      </w:r>
      <w:r w:rsidRPr="00C622E0">
        <w:rPr>
          <w:lang w:eastAsia="es-ES"/>
        </w:rPr>
        <w:t xml:space="preserve">expulsion décidée à son égard. Il relève toutefois que, selon les informations figurant dans la décision rendue par le tribunal pénal </w:t>
      </w:r>
      <w:r w:rsidRPr="007727D6">
        <w:rPr>
          <w:rFonts w:eastAsia="MS Mincho"/>
          <w:lang w:eastAsia="es-ES"/>
        </w:rPr>
        <w:t>n</w:t>
      </w:r>
      <w:r w:rsidRPr="007727D6">
        <w:rPr>
          <w:rFonts w:eastAsia="MS Mincho"/>
          <w:vertAlign w:val="superscript"/>
          <w:lang w:eastAsia="es-ES"/>
        </w:rPr>
        <w:t>o</w:t>
      </w:r>
      <w:r>
        <w:rPr>
          <w:lang w:eastAsia="es-ES"/>
        </w:rPr>
        <w:t> </w:t>
      </w:r>
      <w:r w:rsidRPr="00C622E0">
        <w:rPr>
          <w:lang w:eastAsia="es-ES"/>
        </w:rPr>
        <w:t>28 de Madrid, le 31</w:t>
      </w:r>
      <w:r>
        <w:rPr>
          <w:lang w:eastAsia="es-ES"/>
        </w:rPr>
        <w:t> </w:t>
      </w:r>
      <w:r w:rsidRPr="00C622E0">
        <w:rPr>
          <w:lang w:eastAsia="es-ES"/>
        </w:rPr>
        <w:t>janvier 2018, ledit tribunal n</w:t>
      </w:r>
      <w:r>
        <w:rPr>
          <w:lang w:eastAsia="es-ES"/>
        </w:rPr>
        <w:t>’</w:t>
      </w:r>
      <w:r w:rsidRPr="00C622E0">
        <w:rPr>
          <w:lang w:eastAsia="es-ES"/>
        </w:rPr>
        <w:t>a pas examiné la proportionnalité entre l</w:t>
      </w:r>
      <w:r>
        <w:rPr>
          <w:lang w:eastAsia="es-ES"/>
        </w:rPr>
        <w:t>’</w:t>
      </w:r>
      <w:r w:rsidRPr="00C622E0">
        <w:rPr>
          <w:lang w:eastAsia="es-ES"/>
        </w:rPr>
        <w:t>objectif de l</w:t>
      </w:r>
      <w:r>
        <w:rPr>
          <w:lang w:eastAsia="es-ES"/>
        </w:rPr>
        <w:t>’</w:t>
      </w:r>
      <w:r w:rsidRPr="00C622E0">
        <w:rPr>
          <w:lang w:eastAsia="es-ES"/>
        </w:rPr>
        <w:t>expulsion et les conséquences de l</w:t>
      </w:r>
      <w:r>
        <w:rPr>
          <w:lang w:eastAsia="es-ES"/>
        </w:rPr>
        <w:t>’</w:t>
      </w:r>
      <w:r w:rsidRPr="00C622E0">
        <w:rPr>
          <w:lang w:eastAsia="es-ES"/>
        </w:rPr>
        <w:t>expulsion pour les personnes visées</w:t>
      </w:r>
      <w:r>
        <w:rPr>
          <w:lang w:eastAsia="es-ES"/>
        </w:rPr>
        <w:t xml:space="preserve">. </w:t>
      </w:r>
      <w:r w:rsidRPr="00C622E0">
        <w:rPr>
          <w:lang w:eastAsia="es-ES"/>
        </w:rPr>
        <w:t>En effet, entre autres choses, le tribunal n</w:t>
      </w:r>
      <w:r>
        <w:rPr>
          <w:lang w:eastAsia="es-ES"/>
        </w:rPr>
        <w:t>’</w:t>
      </w:r>
      <w:r w:rsidRPr="00C622E0">
        <w:rPr>
          <w:lang w:eastAsia="es-ES"/>
        </w:rPr>
        <w:t>a pas évalué le bénéfice de la mesure, à savoir la protection du droit à la propriété détenu par l</w:t>
      </w:r>
      <w:r>
        <w:rPr>
          <w:lang w:eastAsia="es-ES"/>
        </w:rPr>
        <w:t>’</w:t>
      </w:r>
      <w:r w:rsidRPr="00C622E0">
        <w:rPr>
          <w:lang w:eastAsia="es-ES"/>
        </w:rPr>
        <w:t xml:space="preserve">entité propriétaire du bien immobilier, par rapport aux effets que cette mesure pourrait avoir sur les droits des personnes visées. </w:t>
      </w:r>
      <w:r w:rsidRPr="00EB4FD8">
        <w:rPr>
          <w:lang w:eastAsia="es-ES"/>
        </w:rPr>
        <w:t>L</w:t>
      </w:r>
      <w:r>
        <w:rPr>
          <w:lang w:eastAsia="es-ES"/>
        </w:rPr>
        <w:t>’examen</w:t>
      </w:r>
      <w:r w:rsidRPr="00EB4FD8">
        <w:rPr>
          <w:lang w:eastAsia="es-ES"/>
        </w:rPr>
        <w:t xml:space="preserve"> de la proportionnalité d</w:t>
      </w:r>
      <w:r>
        <w:rPr>
          <w:lang w:eastAsia="es-ES"/>
        </w:rPr>
        <w:t>’</w:t>
      </w:r>
      <w:r w:rsidRPr="00EB4FD8">
        <w:rPr>
          <w:lang w:eastAsia="es-ES"/>
        </w:rPr>
        <w:t xml:space="preserve">une expulsion ne consiste donc pas seulement à </w:t>
      </w:r>
      <w:r>
        <w:rPr>
          <w:lang w:eastAsia="es-ES"/>
        </w:rPr>
        <w:t>déterminer</w:t>
      </w:r>
      <w:r w:rsidRPr="00EB4FD8">
        <w:rPr>
          <w:lang w:eastAsia="es-ES"/>
        </w:rPr>
        <w:t xml:space="preserve"> les conséquences de la mesure </w:t>
      </w:r>
      <w:r>
        <w:rPr>
          <w:lang w:eastAsia="es-ES"/>
        </w:rPr>
        <w:t>pour</w:t>
      </w:r>
      <w:r w:rsidRPr="00EB4FD8">
        <w:rPr>
          <w:lang w:eastAsia="es-ES"/>
        </w:rPr>
        <w:t xml:space="preserve"> les personnes expulsées, mais aussi la nécessité pour le propriétaire de reprendre possession </w:t>
      </w:r>
      <w:r>
        <w:rPr>
          <w:lang w:eastAsia="es-ES"/>
        </w:rPr>
        <w:t>de son</w:t>
      </w:r>
      <w:r w:rsidRPr="00EB4FD8">
        <w:rPr>
          <w:lang w:eastAsia="es-ES"/>
        </w:rPr>
        <w:t xml:space="preserve"> bien. </w:t>
      </w:r>
      <w:r w:rsidRPr="001C4D48">
        <w:rPr>
          <w:lang w:eastAsia="es-ES"/>
        </w:rPr>
        <w:t xml:space="preserve">Il </w:t>
      </w:r>
      <w:r>
        <w:rPr>
          <w:lang w:eastAsia="es-ES"/>
        </w:rPr>
        <w:t>est indispensable</w:t>
      </w:r>
      <w:r w:rsidRPr="001C4D48">
        <w:rPr>
          <w:lang w:eastAsia="es-ES"/>
        </w:rPr>
        <w:t xml:space="preserve"> de faire la distinction entre les biens </w:t>
      </w:r>
      <w:r>
        <w:rPr>
          <w:lang w:eastAsia="es-ES"/>
        </w:rPr>
        <w:t>dont des</w:t>
      </w:r>
      <w:r w:rsidRPr="001C4D48">
        <w:rPr>
          <w:lang w:eastAsia="es-ES"/>
        </w:rPr>
        <w:t xml:space="preserve"> particuliers ont besoin </w:t>
      </w:r>
      <w:r>
        <w:rPr>
          <w:lang w:eastAsia="es-ES"/>
        </w:rPr>
        <w:t>pour se loger</w:t>
      </w:r>
      <w:r w:rsidRPr="001C4D48">
        <w:rPr>
          <w:lang w:eastAsia="es-ES"/>
        </w:rPr>
        <w:t xml:space="preserve"> ou </w:t>
      </w:r>
      <w:r>
        <w:rPr>
          <w:lang w:eastAsia="es-ES"/>
        </w:rPr>
        <w:t>se procurer</w:t>
      </w:r>
      <w:r w:rsidRPr="001C4D48">
        <w:rPr>
          <w:lang w:eastAsia="es-ES"/>
        </w:rPr>
        <w:t xml:space="preserve"> un revenu de subsistance, et les biens des institutions financières, comme </w:t>
      </w:r>
      <w:r>
        <w:rPr>
          <w:lang w:eastAsia="es-ES"/>
        </w:rPr>
        <w:t>dans la présente affaire</w:t>
      </w:r>
      <w:r w:rsidRPr="001C4D48">
        <w:rPr>
          <w:lang w:eastAsia="es-ES"/>
        </w:rPr>
        <w:t xml:space="preserve">. </w:t>
      </w:r>
      <w:r w:rsidRPr="00F04DAD">
        <w:rPr>
          <w:lang w:eastAsia="es-ES"/>
        </w:rPr>
        <w:t>Le fait de conclure qu</w:t>
      </w:r>
      <w:r>
        <w:rPr>
          <w:lang w:eastAsia="es-ES"/>
        </w:rPr>
        <w:t>’</w:t>
      </w:r>
      <w:r w:rsidRPr="00F04DAD">
        <w:rPr>
          <w:lang w:eastAsia="es-ES"/>
        </w:rPr>
        <w:t>une expulsion n</w:t>
      </w:r>
      <w:r>
        <w:rPr>
          <w:lang w:eastAsia="es-ES"/>
        </w:rPr>
        <w:t>’</w:t>
      </w:r>
      <w:r w:rsidRPr="00F04DAD">
        <w:rPr>
          <w:lang w:eastAsia="es-ES"/>
        </w:rPr>
        <w:t xml:space="preserve">est pas une mesure raisonnable à un moment donné ne signifie pas nécessairement </w:t>
      </w:r>
      <w:r>
        <w:rPr>
          <w:lang w:eastAsia="es-ES"/>
        </w:rPr>
        <w:t>que les occupants ne pourront pas faire l’objet d’un</w:t>
      </w:r>
      <w:r w:rsidRPr="00F04DAD">
        <w:rPr>
          <w:lang w:eastAsia="es-ES"/>
        </w:rPr>
        <w:t xml:space="preserve"> ordre d</w:t>
      </w:r>
      <w:r>
        <w:rPr>
          <w:lang w:eastAsia="es-ES"/>
        </w:rPr>
        <w:t>’</w:t>
      </w:r>
      <w:r w:rsidRPr="00F04DAD">
        <w:rPr>
          <w:lang w:eastAsia="es-ES"/>
        </w:rPr>
        <w:t>expulsion</w:t>
      </w:r>
      <w:r>
        <w:rPr>
          <w:lang w:eastAsia="es-ES"/>
        </w:rPr>
        <w:t xml:space="preserve">. </w:t>
      </w:r>
      <w:r w:rsidRPr="00E8352B">
        <w:rPr>
          <w:lang w:eastAsia="es-ES"/>
        </w:rPr>
        <w:t xml:space="preserve">Toutefois, </w:t>
      </w:r>
      <w:r>
        <w:rPr>
          <w:lang w:eastAsia="es-ES"/>
        </w:rPr>
        <w:t>en application des</w:t>
      </w:r>
      <w:r w:rsidRPr="00E8352B">
        <w:rPr>
          <w:lang w:eastAsia="es-ES"/>
        </w:rPr>
        <w:t xml:space="preserve"> principes</w:t>
      </w:r>
      <w:r>
        <w:rPr>
          <w:lang w:eastAsia="es-ES"/>
        </w:rPr>
        <w:t xml:space="preserve"> de</w:t>
      </w:r>
      <w:r w:rsidRPr="00E8352B">
        <w:rPr>
          <w:lang w:eastAsia="es-ES"/>
        </w:rPr>
        <w:t xml:space="preserve"> </w:t>
      </w:r>
      <w:r w:rsidRPr="00644232">
        <w:rPr>
          <w:lang w:eastAsia="es-ES"/>
        </w:rPr>
        <w:t>raisonnabilité</w:t>
      </w:r>
      <w:r>
        <w:rPr>
          <w:lang w:eastAsia="es-ES"/>
        </w:rPr>
        <w:t xml:space="preserve"> </w:t>
      </w:r>
      <w:r w:rsidRPr="00E8352B">
        <w:rPr>
          <w:lang w:eastAsia="es-ES"/>
        </w:rPr>
        <w:t>et de proportionnalit</w:t>
      </w:r>
      <w:r>
        <w:rPr>
          <w:lang w:eastAsia="es-ES"/>
        </w:rPr>
        <w:t xml:space="preserve">é, il est possible de suspendre ou de reporter </w:t>
      </w:r>
      <w:r w:rsidRPr="00E8352B">
        <w:rPr>
          <w:lang w:eastAsia="es-ES"/>
        </w:rPr>
        <w:t>l</w:t>
      </w:r>
      <w:r>
        <w:rPr>
          <w:lang w:eastAsia="es-ES"/>
        </w:rPr>
        <w:t>’</w:t>
      </w:r>
      <w:r w:rsidRPr="00E8352B">
        <w:rPr>
          <w:lang w:eastAsia="es-ES"/>
        </w:rPr>
        <w:t>ordre d</w:t>
      </w:r>
      <w:r>
        <w:rPr>
          <w:lang w:eastAsia="es-ES"/>
        </w:rPr>
        <w:t>’</w:t>
      </w:r>
      <w:r w:rsidRPr="00E8352B">
        <w:rPr>
          <w:lang w:eastAsia="es-ES"/>
        </w:rPr>
        <w:t xml:space="preserve">expulsion pour </w:t>
      </w:r>
      <w:r>
        <w:rPr>
          <w:lang w:eastAsia="es-ES"/>
        </w:rPr>
        <w:t>ne pas</w:t>
      </w:r>
      <w:r w:rsidRPr="00E8352B">
        <w:rPr>
          <w:lang w:eastAsia="es-ES"/>
        </w:rPr>
        <w:t xml:space="preserve"> exposer les personnes </w:t>
      </w:r>
      <w:r>
        <w:rPr>
          <w:lang w:eastAsia="es-ES"/>
        </w:rPr>
        <w:t>visées</w:t>
      </w:r>
      <w:r w:rsidRPr="00E8352B">
        <w:rPr>
          <w:lang w:eastAsia="es-ES"/>
        </w:rPr>
        <w:t xml:space="preserve"> à des situations de dénuement ou à des violations d</w:t>
      </w:r>
      <w:r>
        <w:rPr>
          <w:lang w:eastAsia="es-ES"/>
        </w:rPr>
        <w:t>’</w:t>
      </w:r>
      <w:r w:rsidRPr="00E8352B">
        <w:rPr>
          <w:lang w:eastAsia="es-ES"/>
        </w:rPr>
        <w:t xml:space="preserve">autres droits </w:t>
      </w:r>
      <w:r>
        <w:rPr>
          <w:lang w:eastAsia="es-ES"/>
        </w:rPr>
        <w:t>énoncés</w:t>
      </w:r>
      <w:r w:rsidRPr="00E8352B">
        <w:rPr>
          <w:lang w:eastAsia="es-ES"/>
        </w:rPr>
        <w:t xml:space="preserve"> dans le Pacte. </w:t>
      </w:r>
      <w:r w:rsidRPr="006B2A20">
        <w:rPr>
          <w:lang w:eastAsia="es-ES"/>
        </w:rPr>
        <w:t>Un ordre d</w:t>
      </w:r>
      <w:r>
        <w:rPr>
          <w:lang w:eastAsia="es-ES"/>
        </w:rPr>
        <w:t>’</w:t>
      </w:r>
      <w:r w:rsidRPr="006B2A20">
        <w:rPr>
          <w:lang w:eastAsia="es-ES"/>
        </w:rPr>
        <w:t xml:space="preserve">expulsion peut également être </w:t>
      </w:r>
      <w:r>
        <w:rPr>
          <w:lang w:eastAsia="es-ES"/>
        </w:rPr>
        <w:t>subordonné</w:t>
      </w:r>
      <w:r w:rsidRPr="006B2A20">
        <w:rPr>
          <w:lang w:eastAsia="es-ES"/>
        </w:rPr>
        <w:t xml:space="preserve"> à d</w:t>
      </w:r>
      <w:r>
        <w:rPr>
          <w:lang w:eastAsia="es-ES"/>
        </w:rPr>
        <w:t>’</w:t>
      </w:r>
      <w:r w:rsidRPr="006B2A20">
        <w:rPr>
          <w:lang w:eastAsia="es-ES"/>
        </w:rPr>
        <w:t>autres facteurs tels que l</w:t>
      </w:r>
      <w:r>
        <w:rPr>
          <w:lang w:eastAsia="es-ES"/>
        </w:rPr>
        <w:t>’</w:t>
      </w:r>
      <w:r w:rsidRPr="006B2A20">
        <w:rPr>
          <w:lang w:eastAsia="es-ES"/>
        </w:rPr>
        <w:t>obligation pour les autorités administratives d</w:t>
      </w:r>
      <w:r>
        <w:rPr>
          <w:lang w:eastAsia="es-ES"/>
        </w:rPr>
        <w:t>’</w:t>
      </w:r>
      <w:r w:rsidRPr="006B2A20">
        <w:rPr>
          <w:lang w:eastAsia="es-ES"/>
        </w:rPr>
        <w:t xml:space="preserve">intervenir pour aider les occupants à </w:t>
      </w:r>
      <w:r>
        <w:rPr>
          <w:lang w:eastAsia="es-ES"/>
        </w:rPr>
        <w:t>faire face aux</w:t>
      </w:r>
      <w:r w:rsidRPr="006B2A20">
        <w:rPr>
          <w:lang w:eastAsia="es-ES"/>
        </w:rPr>
        <w:t xml:space="preserve"> conséquences de l</w:t>
      </w:r>
      <w:r>
        <w:rPr>
          <w:lang w:eastAsia="es-ES"/>
        </w:rPr>
        <w:t>’</w:t>
      </w:r>
      <w:r w:rsidRPr="006B2A20">
        <w:rPr>
          <w:lang w:eastAsia="es-ES"/>
        </w:rPr>
        <w:t>expulsion</w:t>
      </w:r>
      <w:r>
        <w:rPr>
          <w:lang w:eastAsia="es-ES"/>
        </w:rPr>
        <w:t xml:space="preserve">. </w:t>
      </w:r>
    </w:p>
    <w:p w14:paraId="2C7AE8FF" w14:textId="77777777" w:rsidR="0037651B" w:rsidRPr="00644232" w:rsidRDefault="0037651B" w:rsidP="0037651B">
      <w:pPr>
        <w:pStyle w:val="SingleTxtG"/>
        <w:rPr>
          <w:lang w:val="fr-FR" w:eastAsia="es-ES"/>
        </w:rPr>
      </w:pPr>
      <w:r w:rsidRPr="00644232">
        <w:rPr>
          <w:lang w:val="fr-FR" w:eastAsia="es-ES"/>
        </w:rPr>
        <w:t>11.6</w:t>
      </w:r>
      <w:r w:rsidRPr="00644232">
        <w:rPr>
          <w:lang w:val="fr-FR" w:eastAsia="es-ES"/>
        </w:rPr>
        <w:tab/>
      </w:r>
      <w:r w:rsidRPr="00866DBA">
        <w:rPr>
          <w:lang w:val="fr-FR" w:eastAsia="es-ES"/>
        </w:rPr>
        <w:t>En l</w:t>
      </w:r>
      <w:r>
        <w:rPr>
          <w:lang w:val="fr-FR" w:eastAsia="es-ES"/>
        </w:rPr>
        <w:t>’</w:t>
      </w:r>
      <w:r w:rsidRPr="00866DBA">
        <w:rPr>
          <w:lang w:val="fr-FR" w:eastAsia="es-ES"/>
        </w:rPr>
        <w:t>espèce, bien que l</w:t>
      </w:r>
      <w:r>
        <w:rPr>
          <w:lang w:val="fr-FR" w:eastAsia="es-ES"/>
        </w:rPr>
        <w:t>’</w:t>
      </w:r>
      <w:r w:rsidRPr="00866DBA">
        <w:rPr>
          <w:lang w:val="fr-FR" w:eastAsia="es-ES"/>
        </w:rPr>
        <w:t>auteur</w:t>
      </w:r>
      <w:r>
        <w:rPr>
          <w:lang w:val="fr-FR" w:eastAsia="es-ES"/>
        </w:rPr>
        <w:t>e</w:t>
      </w:r>
      <w:r w:rsidRPr="00866DBA">
        <w:rPr>
          <w:lang w:val="fr-FR" w:eastAsia="es-ES"/>
        </w:rPr>
        <w:t xml:space="preserve"> ait affirmé que la mesure porterait atteinte à son droit à un logement convenable, ce grief n</w:t>
      </w:r>
      <w:r>
        <w:rPr>
          <w:lang w:val="fr-FR" w:eastAsia="es-ES"/>
        </w:rPr>
        <w:t>’</w:t>
      </w:r>
      <w:r w:rsidRPr="00866DBA">
        <w:rPr>
          <w:lang w:val="fr-FR" w:eastAsia="es-ES"/>
        </w:rPr>
        <w:t>a pas amené le tribunal pénal n</w:t>
      </w:r>
      <w:r w:rsidR="006C13B1" w:rsidRPr="006C13B1">
        <w:rPr>
          <w:vertAlign w:val="superscript"/>
          <w:lang w:val="fr-FR" w:eastAsia="es-ES"/>
        </w:rPr>
        <w:t>o</w:t>
      </w:r>
      <w:r w:rsidR="006C13B1">
        <w:rPr>
          <w:lang w:val="fr-FR" w:eastAsia="es-ES"/>
        </w:rPr>
        <w:t> </w:t>
      </w:r>
      <w:r w:rsidRPr="00866DBA">
        <w:rPr>
          <w:lang w:val="fr-FR" w:eastAsia="es-ES"/>
        </w:rPr>
        <w:t xml:space="preserve">28 ou toute autre autorité judiciaire à examiner la proportionnalité de </w:t>
      </w:r>
      <w:r>
        <w:rPr>
          <w:lang w:val="fr-FR" w:eastAsia="es-ES"/>
        </w:rPr>
        <w:t>cette mesure</w:t>
      </w:r>
      <w:r w:rsidRPr="00866DBA">
        <w:rPr>
          <w:lang w:val="fr-FR" w:eastAsia="es-ES"/>
        </w:rPr>
        <w:t>, comme l</w:t>
      </w:r>
      <w:r>
        <w:rPr>
          <w:lang w:val="fr-FR" w:eastAsia="es-ES"/>
        </w:rPr>
        <w:t>’</w:t>
      </w:r>
      <w:r w:rsidRPr="00866DBA">
        <w:rPr>
          <w:lang w:val="fr-FR" w:eastAsia="es-ES"/>
        </w:rPr>
        <w:t>exige l</w:t>
      </w:r>
      <w:r>
        <w:rPr>
          <w:lang w:val="fr-FR" w:eastAsia="es-ES"/>
        </w:rPr>
        <w:t>’</w:t>
      </w:r>
      <w:r w:rsidRPr="00866DBA">
        <w:rPr>
          <w:lang w:val="fr-FR" w:eastAsia="es-ES"/>
        </w:rPr>
        <w:t>article</w:t>
      </w:r>
      <w:r w:rsidR="006C13B1">
        <w:rPr>
          <w:lang w:val="fr-FR" w:eastAsia="es-ES"/>
        </w:rPr>
        <w:t> </w:t>
      </w:r>
      <w:r w:rsidRPr="00866DBA">
        <w:rPr>
          <w:lang w:val="fr-FR" w:eastAsia="es-ES"/>
        </w:rPr>
        <w:t>4 du Pacte.</w:t>
      </w:r>
      <w:r w:rsidRPr="006E4154">
        <w:rPr>
          <w:lang w:eastAsia="es-ES"/>
        </w:rPr>
        <w:t xml:space="preserve"> </w:t>
      </w:r>
      <w:r>
        <w:rPr>
          <w:lang w:eastAsia="es-ES"/>
        </w:rPr>
        <w:t>L</w:t>
      </w:r>
      <w:r w:rsidRPr="00C622E0">
        <w:rPr>
          <w:lang w:eastAsia="es-ES"/>
        </w:rPr>
        <w:t xml:space="preserve">e tribunal pénal </w:t>
      </w:r>
      <w:r w:rsidRPr="007727D6">
        <w:rPr>
          <w:rFonts w:eastAsia="MS Mincho"/>
          <w:lang w:eastAsia="es-ES"/>
        </w:rPr>
        <w:t>n</w:t>
      </w:r>
      <w:r w:rsidRPr="007727D6">
        <w:rPr>
          <w:rFonts w:eastAsia="MS Mincho"/>
          <w:vertAlign w:val="superscript"/>
          <w:lang w:eastAsia="es-ES"/>
        </w:rPr>
        <w:t>o</w:t>
      </w:r>
      <w:r>
        <w:rPr>
          <w:lang w:eastAsia="es-ES"/>
        </w:rPr>
        <w:t> </w:t>
      </w:r>
      <w:r w:rsidRPr="00C622E0">
        <w:rPr>
          <w:lang w:eastAsia="es-ES"/>
        </w:rPr>
        <w:t>15 de Madrid a bien examiné la proportionnalité entre le dommage que l</w:t>
      </w:r>
      <w:r>
        <w:rPr>
          <w:lang w:eastAsia="es-ES"/>
        </w:rPr>
        <w:t>’</w:t>
      </w:r>
      <w:r w:rsidRPr="00C622E0">
        <w:rPr>
          <w:lang w:eastAsia="es-ES"/>
        </w:rPr>
        <w:t>auteure a causé en se rendant coupable d</w:t>
      </w:r>
      <w:r>
        <w:rPr>
          <w:lang w:eastAsia="es-ES"/>
        </w:rPr>
        <w:t>’</w:t>
      </w:r>
      <w:r w:rsidRPr="00C622E0">
        <w:rPr>
          <w:lang w:eastAsia="es-ES"/>
        </w:rPr>
        <w:t>usurpation et les difficultés dont elle a tenté de se libérer en commettant un tel acte, ce qui a valu à celle-ci d</w:t>
      </w:r>
      <w:r>
        <w:rPr>
          <w:lang w:eastAsia="es-ES"/>
        </w:rPr>
        <w:t>’</w:t>
      </w:r>
      <w:r w:rsidRPr="00C622E0">
        <w:rPr>
          <w:lang w:eastAsia="es-ES"/>
        </w:rPr>
        <w:t>être partiellement exonérée de responsabilité pour cause d</w:t>
      </w:r>
      <w:r>
        <w:rPr>
          <w:lang w:eastAsia="es-ES"/>
        </w:rPr>
        <w:t>’</w:t>
      </w:r>
      <w:r w:rsidRPr="00C622E0">
        <w:rPr>
          <w:lang w:eastAsia="es-ES"/>
        </w:rPr>
        <w:t>état de nécessité.</w:t>
      </w:r>
      <w:r>
        <w:rPr>
          <w:lang w:eastAsia="es-ES"/>
        </w:rPr>
        <w:t xml:space="preserve"> </w:t>
      </w:r>
      <w:r w:rsidRPr="00C622E0">
        <w:rPr>
          <w:lang w:eastAsia="es-ES"/>
        </w:rPr>
        <w:t>Cependant,</w:t>
      </w:r>
      <w:r>
        <w:rPr>
          <w:lang w:eastAsia="es-ES"/>
        </w:rPr>
        <w:t xml:space="preserve"> </w:t>
      </w:r>
      <w:r w:rsidRPr="00C622E0">
        <w:rPr>
          <w:lang w:eastAsia="es-ES"/>
        </w:rPr>
        <w:t>aucun examen de la proportionnalité n</w:t>
      </w:r>
      <w:r>
        <w:rPr>
          <w:lang w:eastAsia="es-ES"/>
        </w:rPr>
        <w:t>’</w:t>
      </w:r>
      <w:r w:rsidRPr="00C622E0">
        <w:rPr>
          <w:lang w:eastAsia="es-ES"/>
        </w:rPr>
        <w:t xml:space="preserve">a précédé la décision par laquelle ce même tribunal </w:t>
      </w:r>
      <w:r>
        <w:rPr>
          <w:lang w:eastAsia="es-ES"/>
        </w:rPr>
        <w:t>a ordonné</w:t>
      </w:r>
      <w:r w:rsidRPr="00C622E0">
        <w:rPr>
          <w:lang w:eastAsia="es-ES"/>
        </w:rPr>
        <w:t xml:space="preserve"> à l</w:t>
      </w:r>
      <w:r>
        <w:rPr>
          <w:lang w:eastAsia="es-ES"/>
        </w:rPr>
        <w:t>’</w:t>
      </w:r>
      <w:r w:rsidRPr="00C622E0">
        <w:rPr>
          <w:lang w:eastAsia="es-ES"/>
        </w:rPr>
        <w:t>auteure de restituer l</w:t>
      </w:r>
      <w:r>
        <w:rPr>
          <w:lang w:eastAsia="es-ES"/>
        </w:rPr>
        <w:t>’</w:t>
      </w:r>
      <w:r w:rsidRPr="00C622E0">
        <w:rPr>
          <w:lang w:eastAsia="es-ES"/>
        </w:rPr>
        <w:t>appartement à son propriétaire</w:t>
      </w:r>
      <w:r>
        <w:rPr>
          <w:lang w:eastAsia="es-ES"/>
        </w:rPr>
        <w:t xml:space="preserve">. </w:t>
      </w:r>
      <w:r w:rsidRPr="001B0373">
        <w:rPr>
          <w:lang w:eastAsia="es-ES"/>
        </w:rPr>
        <w:t>La législation de l</w:t>
      </w:r>
      <w:r>
        <w:rPr>
          <w:lang w:eastAsia="es-ES"/>
        </w:rPr>
        <w:t>’</w:t>
      </w:r>
      <w:r w:rsidRPr="001B0373">
        <w:rPr>
          <w:lang w:eastAsia="es-ES"/>
        </w:rPr>
        <w:t>État partie n</w:t>
      </w:r>
      <w:r>
        <w:rPr>
          <w:lang w:eastAsia="es-ES"/>
        </w:rPr>
        <w:t>’</w:t>
      </w:r>
      <w:r w:rsidRPr="001B0373">
        <w:rPr>
          <w:lang w:eastAsia="es-ES"/>
        </w:rPr>
        <w:t>a pas non plus prévu pour l</w:t>
      </w:r>
      <w:r>
        <w:rPr>
          <w:lang w:eastAsia="es-ES"/>
        </w:rPr>
        <w:t>’</w:t>
      </w:r>
      <w:r w:rsidRPr="001B0373">
        <w:rPr>
          <w:lang w:eastAsia="es-ES"/>
        </w:rPr>
        <w:t>auteur</w:t>
      </w:r>
      <w:r>
        <w:rPr>
          <w:lang w:eastAsia="es-ES"/>
        </w:rPr>
        <w:t>e</w:t>
      </w:r>
      <w:r w:rsidRPr="001B0373">
        <w:rPr>
          <w:lang w:eastAsia="es-ES"/>
        </w:rPr>
        <w:t xml:space="preserve"> d</w:t>
      </w:r>
      <w:r>
        <w:rPr>
          <w:lang w:eastAsia="es-ES"/>
        </w:rPr>
        <w:t>’</w:t>
      </w:r>
      <w:r w:rsidRPr="001B0373">
        <w:rPr>
          <w:lang w:eastAsia="es-ES"/>
        </w:rPr>
        <w:t>autre mécanisme judiciaire permettant de contester l</w:t>
      </w:r>
      <w:r>
        <w:rPr>
          <w:lang w:eastAsia="es-ES"/>
        </w:rPr>
        <w:t>’</w:t>
      </w:r>
      <w:r w:rsidRPr="001B0373">
        <w:rPr>
          <w:lang w:eastAsia="es-ES"/>
        </w:rPr>
        <w:t>ordre d</w:t>
      </w:r>
      <w:r>
        <w:rPr>
          <w:lang w:eastAsia="es-ES"/>
        </w:rPr>
        <w:t>’</w:t>
      </w:r>
      <w:r w:rsidRPr="001B0373">
        <w:rPr>
          <w:lang w:eastAsia="es-ES"/>
        </w:rPr>
        <w:t>expulsion, qui devait être exécuté presque immédiatement, de sorte qu</w:t>
      </w:r>
      <w:r>
        <w:rPr>
          <w:lang w:eastAsia="es-ES"/>
        </w:rPr>
        <w:t>’</w:t>
      </w:r>
      <w:r w:rsidRPr="001B0373">
        <w:rPr>
          <w:lang w:eastAsia="es-ES"/>
        </w:rPr>
        <w:t>une autre autorité judiciaire aurait pu évaluer la proportionnalité de l</w:t>
      </w:r>
      <w:r>
        <w:rPr>
          <w:lang w:eastAsia="es-ES"/>
        </w:rPr>
        <w:t>’</w:t>
      </w:r>
      <w:r w:rsidRPr="001B0373">
        <w:rPr>
          <w:lang w:eastAsia="es-ES"/>
        </w:rPr>
        <w:t>expulsion ou les conditions dans lesquelles elle devait être effectuée.</w:t>
      </w:r>
    </w:p>
    <w:p w14:paraId="0249411A" w14:textId="77777777" w:rsidR="0037651B" w:rsidRPr="00C622E0" w:rsidRDefault="0037651B" w:rsidP="0037651B">
      <w:pPr>
        <w:pStyle w:val="SingleTxtG"/>
        <w:rPr>
          <w:lang w:eastAsia="es-ES"/>
        </w:rPr>
      </w:pPr>
      <w:r>
        <w:rPr>
          <w:lang w:eastAsia="es-ES"/>
        </w:rPr>
        <w:t>11.7</w:t>
      </w:r>
      <w:r>
        <w:rPr>
          <w:lang w:eastAsia="es-ES"/>
        </w:rPr>
        <w:tab/>
      </w:r>
      <w:r w:rsidRPr="006562E6">
        <w:rPr>
          <w:lang w:eastAsia="es-ES"/>
        </w:rPr>
        <w:t>Le Comité estime que l</w:t>
      </w:r>
      <w:r>
        <w:rPr>
          <w:lang w:eastAsia="es-ES"/>
        </w:rPr>
        <w:t>’</w:t>
      </w:r>
      <w:r w:rsidRPr="006562E6">
        <w:rPr>
          <w:lang w:eastAsia="es-ES"/>
        </w:rPr>
        <w:t xml:space="preserve">État partie devrait élaborer un cadre normatif régissant les expulsions de personnes </w:t>
      </w:r>
      <w:r>
        <w:rPr>
          <w:lang w:eastAsia="es-ES"/>
        </w:rPr>
        <w:t>qui occupent</w:t>
      </w:r>
      <w:r w:rsidRPr="006562E6">
        <w:rPr>
          <w:lang w:eastAsia="es-ES"/>
        </w:rPr>
        <w:t xml:space="preserve"> des biens sans titre </w:t>
      </w:r>
      <w:r>
        <w:rPr>
          <w:lang w:eastAsia="es-ES"/>
        </w:rPr>
        <w:t>juridique</w:t>
      </w:r>
      <w:r w:rsidRPr="006562E6">
        <w:rPr>
          <w:lang w:eastAsia="es-ES"/>
        </w:rPr>
        <w:t xml:space="preserve">, lorsque ces biens </w:t>
      </w:r>
      <w:r>
        <w:rPr>
          <w:lang w:eastAsia="es-ES"/>
        </w:rPr>
        <w:t>leur servent de</w:t>
      </w:r>
      <w:r w:rsidRPr="006562E6">
        <w:rPr>
          <w:lang w:eastAsia="es-ES"/>
        </w:rPr>
        <w:t xml:space="preserve"> logement. </w:t>
      </w:r>
      <w:r w:rsidRPr="00E50874">
        <w:rPr>
          <w:lang w:eastAsia="es-ES"/>
        </w:rPr>
        <w:t>Ce cadre devrait énoncer les critères que les autorités judiciaires devraient prendre en considération lors de l</w:t>
      </w:r>
      <w:r>
        <w:rPr>
          <w:lang w:eastAsia="es-ES"/>
        </w:rPr>
        <w:t>’</w:t>
      </w:r>
      <w:r w:rsidRPr="00E50874">
        <w:rPr>
          <w:lang w:eastAsia="es-ES"/>
        </w:rPr>
        <w:t>évaluation des demandes d</w:t>
      </w:r>
      <w:r>
        <w:rPr>
          <w:lang w:eastAsia="es-ES"/>
        </w:rPr>
        <w:t>’</w:t>
      </w:r>
      <w:r w:rsidRPr="00E50874">
        <w:rPr>
          <w:lang w:eastAsia="es-ES"/>
        </w:rPr>
        <w:t xml:space="preserve">expulsion </w:t>
      </w:r>
      <w:r>
        <w:rPr>
          <w:lang w:eastAsia="es-ES"/>
        </w:rPr>
        <w:t>en pareilles</w:t>
      </w:r>
      <w:r w:rsidRPr="00E50874">
        <w:rPr>
          <w:lang w:eastAsia="es-ES"/>
        </w:rPr>
        <w:t xml:space="preserve"> circonstances, par exemple, le fait que la personne a occupé le logement de bonne foi ou non, la situation personnelle des occupants et des personnes à leur charge, et le fait qu</w:t>
      </w:r>
      <w:r>
        <w:rPr>
          <w:lang w:eastAsia="es-ES"/>
        </w:rPr>
        <w:t>’</w:t>
      </w:r>
      <w:r w:rsidRPr="00E50874">
        <w:rPr>
          <w:lang w:eastAsia="es-ES"/>
        </w:rPr>
        <w:t xml:space="preserve">ils </w:t>
      </w:r>
      <w:r>
        <w:rPr>
          <w:lang w:eastAsia="es-ES"/>
        </w:rPr>
        <w:t>ont</w:t>
      </w:r>
      <w:r w:rsidRPr="00E50874">
        <w:rPr>
          <w:lang w:eastAsia="es-ES"/>
        </w:rPr>
        <w:t xml:space="preserve"> coopéré avec les autorités pour trouver des solutions adaptées. </w:t>
      </w:r>
      <w:r w:rsidRPr="006E6682">
        <w:rPr>
          <w:lang w:eastAsia="es-ES"/>
        </w:rPr>
        <w:t>Toutefois, l</w:t>
      </w:r>
      <w:r>
        <w:rPr>
          <w:lang w:eastAsia="es-ES"/>
        </w:rPr>
        <w:t>’</w:t>
      </w:r>
      <w:r w:rsidRPr="006E6682">
        <w:rPr>
          <w:lang w:eastAsia="es-ES"/>
        </w:rPr>
        <w:t xml:space="preserve">État partie </w:t>
      </w:r>
      <w:r>
        <w:rPr>
          <w:lang w:eastAsia="es-ES"/>
        </w:rPr>
        <w:t>portera atteinte au</w:t>
      </w:r>
      <w:r w:rsidRPr="006E6682">
        <w:rPr>
          <w:lang w:eastAsia="es-ES"/>
        </w:rPr>
        <w:t xml:space="preserve"> droit à un logement </w:t>
      </w:r>
      <w:r>
        <w:rPr>
          <w:lang w:eastAsia="es-ES"/>
        </w:rPr>
        <w:t>convenable</w:t>
      </w:r>
      <w:r w:rsidRPr="006E6682">
        <w:rPr>
          <w:lang w:eastAsia="es-ES"/>
        </w:rPr>
        <w:t xml:space="preserve"> s</w:t>
      </w:r>
      <w:r>
        <w:rPr>
          <w:lang w:eastAsia="es-ES"/>
        </w:rPr>
        <w:t>’</w:t>
      </w:r>
      <w:r w:rsidRPr="006E6682">
        <w:rPr>
          <w:lang w:eastAsia="es-ES"/>
        </w:rPr>
        <w:t xml:space="preserve">il </w:t>
      </w:r>
      <w:r>
        <w:rPr>
          <w:lang w:eastAsia="es-ES"/>
        </w:rPr>
        <w:t>ordonne</w:t>
      </w:r>
      <w:r w:rsidRPr="006E6682">
        <w:rPr>
          <w:lang w:eastAsia="es-ES"/>
        </w:rPr>
        <w:t xml:space="preserve"> qu</w:t>
      </w:r>
      <w:r>
        <w:rPr>
          <w:lang w:eastAsia="es-ES"/>
        </w:rPr>
        <w:t>’</w:t>
      </w:r>
      <w:r w:rsidRPr="006E6682">
        <w:rPr>
          <w:lang w:eastAsia="es-ES"/>
        </w:rPr>
        <w:t xml:space="preserve">une personne occupant un logement sans titre </w:t>
      </w:r>
      <w:r>
        <w:rPr>
          <w:lang w:eastAsia="es-ES"/>
        </w:rPr>
        <w:t>juridique</w:t>
      </w:r>
      <w:r w:rsidRPr="006E6682">
        <w:rPr>
          <w:lang w:eastAsia="es-ES"/>
        </w:rPr>
        <w:t xml:space="preserve"> doit être expulsée immédiatement, quelles que soient les circonstances dans lesquelles l</w:t>
      </w:r>
      <w:r>
        <w:rPr>
          <w:lang w:eastAsia="es-ES"/>
        </w:rPr>
        <w:t>’</w:t>
      </w:r>
      <w:r w:rsidRPr="006E6682">
        <w:rPr>
          <w:lang w:eastAsia="es-ES"/>
        </w:rPr>
        <w:t>ordre d</w:t>
      </w:r>
      <w:r>
        <w:rPr>
          <w:lang w:eastAsia="es-ES"/>
        </w:rPr>
        <w:t>’</w:t>
      </w:r>
      <w:r w:rsidRPr="006E6682">
        <w:rPr>
          <w:lang w:eastAsia="es-ES"/>
        </w:rPr>
        <w:t xml:space="preserve">expulsion serait exécuté. </w:t>
      </w:r>
      <w:r w:rsidRPr="00C622E0">
        <w:rPr>
          <w:lang w:eastAsia="es-ES"/>
        </w:rPr>
        <w:t>En conséquence, le Comité estime que la mesure d</w:t>
      </w:r>
      <w:r>
        <w:rPr>
          <w:lang w:eastAsia="es-ES"/>
        </w:rPr>
        <w:t>’</w:t>
      </w:r>
      <w:r w:rsidRPr="00C622E0">
        <w:rPr>
          <w:lang w:eastAsia="es-ES"/>
        </w:rPr>
        <w:t>expulsion, en ce qu</w:t>
      </w:r>
      <w:r>
        <w:rPr>
          <w:lang w:eastAsia="es-ES"/>
        </w:rPr>
        <w:t>’</w:t>
      </w:r>
      <w:r w:rsidRPr="00C622E0">
        <w:rPr>
          <w:lang w:eastAsia="es-ES"/>
        </w:rPr>
        <w:t>elle n</w:t>
      </w:r>
      <w:r>
        <w:rPr>
          <w:lang w:eastAsia="es-ES"/>
        </w:rPr>
        <w:t>’</w:t>
      </w:r>
      <w:r w:rsidRPr="00C622E0">
        <w:rPr>
          <w:lang w:eastAsia="es-ES"/>
        </w:rPr>
        <w:t>a pas été précédée d</w:t>
      </w:r>
      <w:r>
        <w:rPr>
          <w:lang w:eastAsia="es-ES"/>
        </w:rPr>
        <w:t>’</w:t>
      </w:r>
      <w:r w:rsidRPr="00C622E0">
        <w:rPr>
          <w:lang w:eastAsia="es-ES"/>
        </w:rPr>
        <w:t xml:space="preserve">un examen de la proportionnalité entre le but poursuivi et les conséquences pour les personnes expulsées, </w:t>
      </w:r>
      <w:r>
        <w:rPr>
          <w:lang w:eastAsia="es-ES"/>
        </w:rPr>
        <w:t>contrairement aux conditions définies dans l’article</w:t>
      </w:r>
      <w:r w:rsidR="006C13B1">
        <w:rPr>
          <w:lang w:eastAsia="es-ES"/>
        </w:rPr>
        <w:t> </w:t>
      </w:r>
      <w:r>
        <w:rPr>
          <w:lang w:eastAsia="es-ES"/>
        </w:rPr>
        <w:t xml:space="preserve">4, </w:t>
      </w:r>
      <w:r w:rsidRPr="00C622E0">
        <w:rPr>
          <w:lang w:eastAsia="es-ES"/>
        </w:rPr>
        <w:t xml:space="preserve">constitue une violation par </w:t>
      </w:r>
      <w:r w:rsidRPr="00C622E0">
        <w:rPr>
          <w:lang w:eastAsia="es-ES"/>
        </w:rPr>
        <w:lastRenderedPageBreak/>
        <w:t>l</w:t>
      </w:r>
      <w:r>
        <w:rPr>
          <w:lang w:eastAsia="es-ES"/>
        </w:rPr>
        <w:t>’</w:t>
      </w:r>
      <w:r w:rsidRPr="00C622E0">
        <w:rPr>
          <w:lang w:eastAsia="es-ES"/>
        </w:rPr>
        <w:t>État partie du droit au logement que l</w:t>
      </w:r>
      <w:r>
        <w:rPr>
          <w:lang w:eastAsia="es-ES"/>
        </w:rPr>
        <w:t>’</w:t>
      </w:r>
      <w:r w:rsidRPr="00C622E0">
        <w:rPr>
          <w:lang w:eastAsia="es-ES"/>
        </w:rPr>
        <w:t>auteure et ses enfants tiennent de l</w:t>
      </w:r>
      <w:r>
        <w:rPr>
          <w:lang w:eastAsia="es-ES"/>
        </w:rPr>
        <w:t>’</w:t>
      </w:r>
      <w:r w:rsidRPr="00C622E0">
        <w:rPr>
          <w:lang w:eastAsia="es-ES"/>
        </w:rPr>
        <w:t>article</w:t>
      </w:r>
      <w:r w:rsidR="006C13B1">
        <w:rPr>
          <w:lang w:eastAsia="es-ES"/>
        </w:rPr>
        <w:t> </w:t>
      </w:r>
      <w:r w:rsidRPr="00C622E0">
        <w:rPr>
          <w:lang w:eastAsia="es-ES"/>
        </w:rPr>
        <w:t>11 du Pacte.</w:t>
      </w:r>
    </w:p>
    <w:p w14:paraId="4F533A57" w14:textId="77777777" w:rsidR="0037651B" w:rsidRPr="00C622E0" w:rsidRDefault="0037651B" w:rsidP="0037651B">
      <w:pPr>
        <w:pStyle w:val="H23G"/>
        <w:rPr>
          <w:lang w:eastAsia="es-ES"/>
        </w:rPr>
      </w:pPr>
      <w:r w:rsidRPr="00C622E0">
        <w:rPr>
          <w:lang w:eastAsia="es-ES"/>
        </w:rPr>
        <w:tab/>
      </w:r>
      <w:r w:rsidRPr="00C622E0">
        <w:rPr>
          <w:lang w:eastAsia="es-ES"/>
        </w:rPr>
        <w:tab/>
        <w:t>L</w:t>
      </w:r>
      <w:r>
        <w:rPr>
          <w:lang w:eastAsia="es-ES"/>
        </w:rPr>
        <w:t>’</w:t>
      </w:r>
      <w:r w:rsidRPr="00C622E0">
        <w:rPr>
          <w:lang w:eastAsia="es-ES"/>
        </w:rPr>
        <w:t>accès de l</w:t>
      </w:r>
      <w:r>
        <w:rPr>
          <w:lang w:eastAsia="es-ES"/>
        </w:rPr>
        <w:t>’</w:t>
      </w:r>
      <w:r w:rsidRPr="00C622E0">
        <w:rPr>
          <w:lang w:eastAsia="es-ES"/>
        </w:rPr>
        <w:t>auteure au logement public</w:t>
      </w:r>
    </w:p>
    <w:p w14:paraId="46F208C7" w14:textId="77777777" w:rsidR="0037651B" w:rsidRPr="00C622E0" w:rsidRDefault="0037651B" w:rsidP="0037651B">
      <w:pPr>
        <w:pStyle w:val="SingleTxtG"/>
        <w:rPr>
          <w:lang w:eastAsia="es-ES"/>
        </w:rPr>
      </w:pPr>
      <w:r w:rsidRPr="00C622E0">
        <w:rPr>
          <w:lang w:eastAsia="es-ES"/>
        </w:rPr>
        <w:t>12.1</w:t>
      </w:r>
      <w:r w:rsidRPr="00C622E0">
        <w:rPr>
          <w:lang w:eastAsia="es-ES"/>
        </w:rPr>
        <w:tab/>
        <w:t xml:space="preserve">Le Comité </w:t>
      </w:r>
      <w:r>
        <w:rPr>
          <w:lang w:eastAsia="es-ES"/>
        </w:rPr>
        <w:t>constate</w:t>
      </w:r>
      <w:r w:rsidRPr="00C622E0">
        <w:rPr>
          <w:lang w:eastAsia="es-ES"/>
        </w:rPr>
        <w:t xml:space="preserve"> que l</w:t>
      </w:r>
      <w:r>
        <w:rPr>
          <w:lang w:eastAsia="es-ES"/>
        </w:rPr>
        <w:t>’</w:t>
      </w:r>
      <w:r w:rsidRPr="00C622E0">
        <w:rPr>
          <w:lang w:eastAsia="es-ES"/>
        </w:rPr>
        <w:t>auteure a tenté de remédier à sa situation d</w:t>
      </w:r>
      <w:r>
        <w:rPr>
          <w:lang w:eastAsia="es-ES"/>
        </w:rPr>
        <w:t>’</w:t>
      </w:r>
      <w:r w:rsidRPr="00C622E0">
        <w:rPr>
          <w:lang w:eastAsia="es-ES"/>
        </w:rPr>
        <w:t>occupante sans titre juridique valable et de faire cesser l</w:t>
      </w:r>
      <w:r>
        <w:rPr>
          <w:lang w:eastAsia="es-ES"/>
        </w:rPr>
        <w:t>’</w:t>
      </w:r>
      <w:r w:rsidRPr="00C622E0">
        <w:rPr>
          <w:lang w:eastAsia="es-ES"/>
        </w:rPr>
        <w:t>infraction, en demandant un logement social pendant la période où elle se trouvait dans cet état de grande précarité, et que cette demande a été rejetée au motif que tout requérant est tenu de ne pas occuper un appartement ou un bien immobilier sans titre valable ou sans le consentement de son propriétaire, selon les dispositions applicables. Le Comité constate que l</w:t>
      </w:r>
      <w:r>
        <w:rPr>
          <w:lang w:eastAsia="es-ES"/>
        </w:rPr>
        <w:t>’</w:t>
      </w:r>
      <w:r w:rsidRPr="00C622E0">
        <w:rPr>
          <w:lang w:eastAsia="es-ES"/>
        </w:rPr>
        <w:t>État partie ne conteste pas le fait que la famille de l</w:t>
      </w:r>
      <w:r>
        <w:rPr>
          <w:lang w:eastAsia="es-ES"/>
        </w:rPr>
        <w:t>’</w:t>
      </w:r>
      <w:r w:rsidRPr="00C622E0">
        <w:rPr>
          <w:lang w:eastAsia="es-ES"/>
        </w:rPr>
        <w:t>auteure a besoin d</w:t>
      </w:r>
      <w:r>
        <w:rPr>
          <w:lang w:eastAsia="es-ES"/>
        </w:rPr>
        <w:t>’</w:t>
      </w:r>
      <w:r w:rsidRPr="00C622E0">
        <w:rPr>
          <w:lang w:eastAsia="es-ES"/>
        </w:rPr>
        <w:t>un logement social et qu</w:t>
      </w:r>
      <w:r>
        <w:rPr>
          <w:lang w:eastAsia="es-ES"/>
        </w:rPr>
        <w:t>’</w:t>
      </w:r>
      <w:r w:rsidRPr="00C622E0">
        <w:rPr>
          <w:lang w:eastAsia="es-ES"/>
        </w:rPr>
        <w:t>il se contente d</w:t>
      </w:r>
      <w:r>
        <w:rPr>
          <w:lang w:eastAsia="es-ES"/>
        </w:rPr>
        <w:t>’</w:t>
      </w:r>
      <w:r w:rsidRPr="00C622E0">
        <w:rPr>
          <w:lang w:eastAsia="es-ES"/>
        </w:rPr>
        <w:t>affirmer qu</w:t>
      </w:r>
      <w:r>
        <w:rPr>
          <w:lang w:eastAsia="es-ES"/>
        </w:rPr>
        <w:t>’</w:t>
      </w:r>
      <w:r w:rsidRPr="00C622E0">
        <w:rPr>
          <w:lang w:eastAsia="es-ES"/>
        </w:rPr>
        <w:t>avant son expulsion, l</w:t>
      </w:r>
      <w:r>
        <w:rPr>
          <w:lang w:eastAsia="es-ES"/>
        </w:rPr>
        <w:t>’</w:t>
      </w:r>
      <w:r w:rsidRPr="00C622E0">
        <w:rPr>
          <w:lang w:eastAsia="es-ES"/>
        </w:rPr>
        <w:t>auteure ne pouvait pas déposer une demande de logement auprès des organismes de logement public de la Communauté de Madrid. Le Comité comprend que le critère susmentionné puisse avoir pour objectif de réduire les cas d</w:t>
      </w:r>
      <w:r>
        <w:rPr>
          <w:lang w:eastAsia="es-ES"/>
        </w:rPr>
        <w:t>’</w:t>
      </w:r>
      <w:r w:rsidRPr="00C622E0">
        <w:rPr>
          <w:lang w:eastAsia="es-ES"/>
        </w:rPr>
        <w:t>occupation illégale de logements</w:t>
      </w:r>
      <w:r>
        <w:rPr>
          <w:lang w:eastAsia="es-ES"/>
        </w:rPr>
        <w:t xml:space="preserve">, mais il </w:t>
      </w:r>
      <w:r w:rsidRPr="00C622E0">
        <w:rPr>
          <w:lang w:eastAsia="es-ES"/>
        </w:rPr>
        <w:t xml:space="preserve">prend note </w:t>
      </w:r>
      <w:r>
        <w:rPr>
          <w:lang w:eastAsia="es-ES"/>
        </w:rPr>
        <w:t xml:space="preserve">du fait </w:t>
      </w:r>
      <w:r w:rsidRPr="00C622E0">
        <w:rPr>
          <w:lang w:eastAsia="es-ES"/>
        </w:rPr>
        <w:t>que l</w:t>
      </w:r>
      <w:r>
        <w:rPr>
          <w:lang w:eastAsia="es-ES"/>
        </w:rPr>
        <w:t>’</w:t>
      </w:r>
      <w:r w:rsidRPr="00C622E0">
        <w:rPr>
          <w:lang w:eastAsia="es-ES"/>
        </w:rPr>
        <w:t>État partie n</w:t>
      </w:r>
      <w:r>
        <w:rPr>
          <w:lang w:eastAsia="es-ES"/>
        </w:rPr>
        <w:t>’</w:t>
      </w:r>
      <w:r w:rsidRPr="00C622E0">
        <w:rPr>
          <w:lang w:eastAsia="es-ES"/>
        </w:rPr>
        <w:t>avance aucun argument susceptible de justifier le critère en vertu duquel l</w:t>
      </w:r>
      <w:r>
        <w:rPr>
          <w:lang w:eastAsia="es-ES"/>
        </w:rPr>
        <w:t>’</w:t>
      </w:r>
      <w:r w:rsidRPr="00C622E0">
        <w:rPr>
          <w:lang w:eastAsia="es-ES"/>
        </w:rPr>
        <w:t>auteure a été exclue de la liste des requérants de logements. L</w:t>
      </w:r>
      <w:r>
        <w:rPr>
          <w:lang w:eastAsia="es-ES"/>
        </w:rPr>
        <w:t>’</w:t>
      </w:r>
      <w:r w:rsidRPr="00C622E0">
        <w:rPr>
          <w:lang w:eastAsia="es-ES"/>
        </w:rPr>
        <w:t>État partie n</w:t>
      </w:r>
      <w:r>
        <w:rPr>
          <w:lang w:eastAsia="es-ES"/>
        </w:rPr>
        <w:t>’</w:t>
      </w:r>
      <w:r w:rsidRPr="00C622E0">
        <w:rPr>
          <w:lang w:eastAsia="es-ES"/>
        </w:rPr>
        <w:t>a pas non plus établi qu</w:t>
      </w:r>
      <w:r>
        <w:rPr>
          <w:lang w:eastAsia="es-ES"/>
        </w:rPr>
        <w:t>’</w:t>
      </w:r>
      <w:r w:rsidRPr="00C622E0">
        <w:rPr>
          <w:lang w:eastAsia="es-ES"/>
        </w:rPr>
        <w:t>il existait d</w:t>
      </w:r>
      <w:r>
        <w:rPr>
          <w:lang w:eastAsia="es-ES"/>
        </w:rPr>
        <w:t>’</w:t>
      </w:r>
      <w:r w:rsidRPr="00C622E0">
        <w:rPr>
          <w:lang w:eastAsia="es-ES"/>
        </w:rPr>
        <w:t>autres mesures, moins préjudiciables pour les personnes, pour lutter contre les occupations illégales, par exemple la réduction du nombre de logements inhabités.</w:t>
      </w:r>
    </w:p>
    <w:p w14:paraId="4E479DB9" w14:textId="77777777" w:rsidR="0037651B" w:rsidRPr="007727D6" w:rsidRDefault="0037651B" w:rsidP="0037651B">
      <w:pPr>
        <w:pStyle w:val="SingleTxtG"/>
        <w:rPr>
          <w:spacing w:val="-1"/>
          <w:lang w:eastAsia="es-ES"/>
        </w:rPr>
      </w:pPr>
      <w:r w:rsidRPr="007727D6">
        <w:rPr>
          <w:spacing w:val="-1"/>
          <w:lang w:eastAsia="es-ES"/>
        </w:rPr>
        <w:t>12.2</w:t>
      </w:r>
      <w:r w:rsidRPr="007727D6">
        <w:rPr>
          <w:spacing w:val="-1"/>
          <w:lang w:eastAsia="es-ES"/>
        </w:rPr>
        <w:tab/>
        <w:t>Le Comité estime que le critère auquel l</w:t>
      </w:r>
      <w:r>
        <w:rPr>
          <w:spacing w:val="-1"/>
          <w:lang w:eastAsia="es-ES"/>
        </w:rPr>
        <w:t>’</w:t>
      </w:r>
      <w:r w:rsidRPr="007727D6">
        <w:rPr>
          <w:spacing w:val="-1"/>
          <w:lang w:eastAsia="es-ES"/>
        </w:rPr>
        <w:t>auteure doit satisfaire pour figurer sur la liste des requérants d</w:t>
      </w:r>
      <w:r>
        <w:rPr>
          <w:spacing w:val="-1"/>
          <w:lang w:eastAsia="es-ES"/>
        </w:rPr>
        <w:t>’</w:t>
      </w:r>
      <w:r w:rsidRPr="007727D6">
        <w:rPr>
          <w:spacing w:val="-1"/>
          <w:lang w:eastAsia="es-ES"/>
        </w:rPr>
        <w:t>un logement public la place dans une impasse, en l</w:t>
      </w:r>
      <w:r>
        <w:rPr>
          <w:spacing w:val="-1"/>
          <w:lang w:eastAsia="es-ES"/>
        </w:rPr>
        <w:t>’</w:t>
      </w:r>
      <w:r w:rsidRPr="007727D6">
        <w:rPr>
          <w:spacing w:val="-1"/>
          <w:lang w:eastAsia="es-ES"/>
        </w:rPr>
        <w:t>obligeant soit à séjourner temporairement avec ses enfants dans un foyer, soit à vivre dans l</w:t>
      </w:r>
      <w:r>
        <w:rPr>
          <w:spacing w:val="-1"/>
          <w:lang w:eastAsia="es-ES"/>
        </w:rPr>
        <w:t>’</w:t>
      </w:r>
      <w:r w:rsidRPr="007727D6">
        <w:rPr>
          <w:spacing w:val="-1"/>
          <w:lang w:eastAsia="es-ES"/>
        </w:rPr>
        <w:t xml:space="preserve">indigence, avant de pouvoir prétendre à un logement social. </w:t>
      </w:r>
      <w:r w:rsidRPr="00FD7AB0">
        <w:rPr>
          <w:spacing w:val="-1"/>
          <w:lang w:eastAsia="es-ES"/>
        </w:rPr>
        <w:t xml:space="preserve">En outre, </w:t>
      </w:r>
      <w:r>
        <w:rPr>
          <w:spacing w:val="-1"/>
          <w:lang w:eastAsia="es-ES"/>
        </w:rPr>
        <w:t>il</w:t>
      </w:r>
      <w:r w:rsidRPr="00FD7AB0">
        <w:rPr>
          <w:spacing w:val="-1"/>
          <w:lang w:eastAsia="es-ES"/>
        </w:rPr>
        <w:t xml:space="preserve"> considère que cette restriction de l</w:t>
      </w:r>
      <w:r>
        <w:rPr>
          <w:spacing w:val="-1"/>
          <w:lang w:eastAsia="es-ES"/>
        </w:rPr>
        <w:t>’</w:t>
      </w:r>
      <w:r w:rsidRPr="00FD7AB0">
        <w:rPr>
          <w:spacing w:val="-1"/>
          <w:lang w:eastAsia="es-ES"/>
        </w:rPr>
        <w:t xml:space="preserve">accès au logement social peut avoir pour </w:t>
      </w:r>
      <w:r>
        <w:rPr>
          <w:spacing w:val="-1"/>
          <w:lang w:eastAsia="es-ES"/>
        </w:rPr>
        <w:t>effet</w:t>
      </w:r>
      <w:r w:rsidRPr="00FD7AB0">
        <w:rPr>
          <w:spacing w:val="-1"/>
          <w:lang w:eastAsia="es-ES"/>
        </w:rPr>
        <w:t xml:space="preserve"> que les actes </w:t>
      </w:r>
      <w:r>
        <w:rPr>
          <w:spacing w:val="-1"/>
          <w:lang w:eastAsia="es-ES"/>
        </w:rPr>
        <w:t>des</w:t>
      </w:r>
      <w:r w:rsidRPr="00FD7AB0">
        <w:rPr>
          <w:spacing w:val="-1"/>
          <w:lang w:eastAsia="es-ES"/>
        </w:rPr>
        <w:t xml:space="preserve"> parents </w:t>
      </w:r>
      <w:r>
        <w:rPr>
          <w:spacing w:val="-1"/>
          <w:lang w:eastAsia="es-ES"/>
        </w:rPr>
        <w:t>se répercutent</w:t>
      </w:r>
      <w:r w:rsidRPr="00FD7AB0">
        <w:rPr>
          <w:spacing w:val="-1"/>
          <w:lang w:eastAsia="es-ES"/>
        </w:rPr>
        <w:t xml:space="preserve"> sur les enfants. </w:t>
      </w:r>
      <w:r w:rsidRPr="007727D6">
        <w:rPr>
          <w:spacing w:val="-1"/>
          <w:lang w:eastAsia="es-ES"/>
        </w:rPr>
        <w:t>Il convient de noter qu</w:t>
      </w:r>
      <w:r>
        <w:rPr>
          <w:spacing w:val="-1"/>
          <w:lang w:eastAsia="es-ES"/>
        </w:rPr>
        <w:t>’</w:t>
      </w:r>
      <w:r w:rsidRPr="007727D6">
        <w:rPr>
          <w:spacing w:val="-1"/>
          <w:lang w:eastAsia="es-ES"/>
        </w:rPr>
        <w:t>en l</w:t>
      </w:r>
      <w:r>
        <w:rPr>
          <w:spacing w:val="-1"/>
          <w:lang w:eastAsia="es-ES"/>
        </w:rPr>
        <w:t>’</w:t>
      </w:r>
      <w:r w:rsidRPr="007727D6">
        <w:rPr>
          <w:spacing w:val="-1"/>
          <w:lang w:eastAsia="es-ES"/>
        </w:rPr>
        <w:t>espèce, l</w:t>
      </w:r>
      <w:r>
        <w:rPr>
          <w:spacing w:val="-1"/>
          <w:lang w:eastAsia="es-ES"/>
        </w:rPr>
        <w:t>’</w:t>
      </w:r>
      <w:r w:rsidRPr="007727D6">
        <w:rPr>
          <w:spacing w:val="-1"/>
          <w:lang w:eastAsia="es-ES"/>
        </w:rPr>
        <w:t>État partie n</w:t>
      </w:r>
      <w:r>
        <w:rPr>
          <w:spacing w:val="-1"/>
          <w:lang w:eastAsia="es-ES"/>
        </w:rPr>
        <w:t>’</w:t>
      </w:r>
      <w:r w:rsidRPr="007727D6">
        <w:rPr>
          <w:spacing w:val="-1"/>
          <w:lang w:eastAsia="es-ES"/>
        </w:rPr>
        <w:t>a pas démontré ni affirmé qu</w:t>
      </w:r>
      <w:r>
        <w:rPr>
          <w:spacing w:val="-1"/>
          <w:lang w:eastAsia="es-ES"/>
        </w:rPr>
        <w:t>’</w:t>
      </w:r>
      <w:r w:rsidRPr="007727D6">
        <w:rPr>
          <w:spacing w:val="-1"/>
          <w:lang w:eastAsia="es-ES"/>
        </w:rPr>
        <w:t>avant l</w:t>
      </w:r>
      <w:r>
        <w:rPr>
          <w:spacing w:val="-1"/>
          <w:lang w:eastAsia="es-ES"/>
        </w:rPr>
        <w:t>’</w:t>
      </w:r>
      <w:r w:rsidRPr="007727D6">
        <w:rPr>
          <w:spacing w:val="-1"/>
          <w:lang w:eastAsia="es-ES"/>
        </w:rPr>
        <w:t>expulsion, il était dans l</w:t>
      </w:r>
      <w:r>
        <w:rPr>
          <w:spacing w:val="-1"/>
          <w:lang w:eastAsia="es-ES"/>
        </w:rPr>
        <w:t>’</w:t>
      </w:r>
      <w:r w:rsidRPr="007727D6">
        <w:rPr>
          <w:spacing w:val="-1"/>
          <w:lang w:eastAsia="es-ES"/>
        </w:rPr>
        <w:t>incapacité de reloger l</w:t>
      </w:r>
      <w:r>
        <w:rPr>
          <w:spacing w:val="-1"/>
          <w:lang w:eastAsia="es-ES"/>
        </w:rPr>
        <w:t>’</w:t>
      </w:r>
      <w:r w:rsidRPr="007727D6">
        <w:rPr>
          <w:spacing w:val="-1"/>
          <w:lang w:eastAsia="es-ES"/>
        </w:rPr>
        <w:t>auteure et sa famille par manque de ressources, mais a dit qu</w:t>
      </w:r>
      <w:r>
        <w:rPr>
          <w:spacing w:val="-1"/>
          <w:lang w:eastAsia="es-ES"/>
        </w:rPr>
        <w:t>’</w:t>
      </w:r>
      <w:r w:rsidRPr="007727D6">
        <w:rPr>
          <w:spacing w:val="-1"/>
          <w:lang w:eastAsia="es-ES"/>
        </w:rPr>
        <w:t>il avait refusé l</w:t>
      </w:r>
      <w:r>
        <w:rPr>
          <w:spacing w:val="-1"/>
          <w:lang w:eastAsia="es-ES"/>
        </w:rPr>
        <w:t>’</w:t>
      </w:r>
      <w:r w:rsidRPr="007727D6">
        <w:rPr>
          <w:spacing w:val="-1"/>
          <w:lang w:eastAsia="es-ES"/>
        </w:rPr>
        <w:t>inscription de l</w:t>
      </w:r>
      <w:r>
        <w:rPr>
          <w:spacing w:val="-1"/>
          <w:lang w:eastAsia="es-ES"/>
        </w:rPr>
        <w:t>’</w:t>
      </w:r>
      <w:r w:rsidRPr="007727D6">
        <w:rPr>
          <w:spacing w:val="-1"/>
          <w:lang w:eastAsia="es-ES"/>
        </w:rPr>
        <w:t>auteure sur la liste d</w:t>
      </w:r>
      <w:r>
        <w:rPr>
          <w:spacing w:val="-1"/>
          <w:lang w:eastAsia="es-ES"/>
        </w:rPr>
        <w:t>’</w:t>
      </w:r>
      <w:r w:rsidRPr="007727D6">
        <w:rPr>
          <w:spacing w:val="-1"/>
          <w:lang w:eastAsia="es-ES"/>
        </w:rPr>
        <w:t>attente au motif que celle-ci occupait un appartement sans titre valable, ce qui avait privé l</w:t>
      </w:r>
      <w:r>
        <w:rPr>
          <w:spacing w:val="-1"/>
          <w:lang w:eastAsia="es-ES"/>
        </w:rPr>
        <w:t>’</w:t>
      </w:r>
      <w:r w:rsidRPr="007727D6">
        <w:rPr>
          <w:spacing w:val="-1"/>
          <w:lang w:eastAsia="es-ES"/>
        </w:rPr>
        <w:t>auteure de toute possibilité d</w:t>
      </w:r>
      <w:r>
        <w:rPr>
          <w:spacing w:val="-1"/>
          <w:lang w:eastAsia="es-ES"/>
        </w:rPr>
        <w:t>’</w:t>
      </w:r>
      <w:r w:rsidRPr="007727D6">
        <w:rPr>
          <w:spacing w:val="-1"/>
          <w:lang w:eastAsia="es-ES"/>
        </w:rPr>
        <w:t>accès aux logements de remplacement disponibles. Le Comité estime que l</w:t>
      </w:r>
      <w:r>
        <w:rPr>
          <w:spacing w:val="-1"/>
          <w:lang w:eastAsia="es-ES"/>
        </w:rPr>
        <w:t>’</w:t>
      </w:r>
      <w:r w:rsidRPr="007727D6">
        <w:rPr>
          <w:spacing w:val="-1"/>
          <w:lang w:eastAsia="es-ES"/>
        </w:rPr>
        <w:t>application du critère en cause est incompatible avec la nature du droit à un logement convenable. Au vu de ce qui précède, il conclut que l</w:t>
      </w:r>
      <w:r>
        <w:rPr>
          <w:spacing w:val="-1"/>
          <w:lang w:eastAsia="es-ES"/>
        </w:rPr>
        <w:t>’</w:t>
      </w:r>
      <w:r w:rsidRPr="007727D6">
        <w:rPr>
          <w:spacing w:val="-1"/>
          <w:lang w:eastAsia="es-ES"/>
        </w:rPr>
        <w:t>exclusion de l</w:t>
      </w:r>
      <w:r>
        <w:rPr>
          <w:spacing w:val="-1"/>
          <w:lang w:eastAsia="es-ES"/>
        </w:rPr>
        <w:t>’</w:t>
      </w:r>
      <w:r w:rsidRPr="007727D6">
        <w:rPr>
          <w:spacing w:val="-1"/>
          <w:lang w:eastAsia="es-ES"/>
        </w:rPr>
        <w:t>auteure du programme de logements sociaux, sans qu</w:t>
      </w:r>
      <w:r>
        <w:rPr>
          <w:spacing w:val="-1"/>
          <w:lang w:eastAsia="es-ES"/>
        </w:rPr>
        <w:t>’</w:t>
      </w:r>
      <w:r w:rsidRPr="007727D6">
        <w:rPr>
          <w:spacing w:val="-1"/>
          <w:lang w:eastAsia="es-ES"/>
        </w:rPr>
        <w:t>il soit tenu compte de son état de nécessité, l</w:t>
      </w:r>
      <w:r>
        <w:rPr>
          <w:spacing w:val="-1"/>
          <w:lang w:eastAsia="es-ES"/>
        </w:rPr>
        <w:t>’</w:t>
      </w:r>
      <w:r w:rsidRPr="007727D6">
        <w:rPr>
          <w:spacing w:val="-1"/>
          <w:lang w:eastAsia="es-ES"/>
        </w:rPr>
        <w:t>a maintenue en situation irrégulière et a conduit à son expulsion. En conséquence, le Comité estime que cette exclusion constitue une violation par l</w:t>
      </w:r>
      <w:r>
        <w:rPr>
          <w:spacing w:val="-1"/>
          <w:lang w:eastAsia="es-ES"/>
        </w:rPr>
        <w:t>’</w:t>
      </w:r>
      <w:r w:rsidRPr="007727D6">
        <w:rPr>
          <w:spacing w:val="-1"/>
          <w:lang w:eastAsia="es-ES"/>
        </w:rPr>
        <w:t>État partie du droit au logement que l</w:t>
      </w:r>
      <w:r>
        <w:rPr>
          <w:spacing w:val="-1"/>
          <w:lang w:eastAsia="es-ES"/>
        </w:rPr>
        <w:t>’</w:t>
      </w:r>
      <w:r w:rsidRPr="007727D6">
        <w:rPr>
          <w:spacing w:val="-1"/>
          <w:lang w:eastAsia="es-ES"/>
        </w:rPr>
        <w:t>auteure et ses enfants tiennent de l</w:t>
      </w:r>
      <w:r>
        <w:rPr>
          <w:spacing w:val="-1"/>
          <w:lang w:eastAsia="es-ES"/>
        </w:rPr>
        <w:t>’</w:t>
      </w:r>
      <w:r w:rsidRPr="007727D6">
        <w:rPr>
          <w:spacing w:val="-1"/>
          <w:lang w:eastAsia="es-ES"/>
        </w:rPr>
        <w:t>article</w:t>
      </w:r>
      <w:r w:rsidR="00F60855">
        <w:rPr>
          <w:spacing w:val="-1"/>
          <w:lang w:eastAsia="es-ES"/>
        </w:rPr>
        <w:t> </w:t>
      </w:r>
      <w:r w:rsidRPr="007727D6">
        <w:rPr>
          <w:spacing w:val="-1"/>
          <w:lang w:eastAsia="es-ES"/>
        </w:rPr>
        <w:t>11 du</w:t>
      </w:r>
      <w:r>
        <w:rPr>
          <w:spacing w:val="-1"/>
          <w:lang w:eastAsia="es-ES"/>
        </w:rPr>
        <w:t xml:space="preserve"> </w:t>
      </w:r>
      <w:r w:rsidRPr="007727D6">
        <w:rPr>
          <w:spacing w:val="-1"/>
          <w:lang w:eastAsia="es-ES"/>
        </w:rPr>
        <w:t>Pacte.</w:t>
      </w:r>
    </w:p>
    <w:p w14:paraId="2C7A9D79" w14:textId="77777777" w:rsidR="0037651B" w:rsidRPr="00C622E0" w:rsidRDefault="0037651B" w:rsidP="0037651B">
      <w:pPr>
        <w:pStyle w:val="H23G"/>
        <w:rPr>
          <w:lang w:eastAsia="es-ES"/>
        </w:rPr>
      </w:pPr>
      <w:r w:rsidRPr="00C622E0">
        <w:rPr>
          <w:lang w:eastAsia="es-ES"/>
        </w:rPr>
        <w:tab/>
      </w:r>
      <w:r w:rsidRPr="00C622E0">
        <w:rPr>
          <w:lang w:eastAsia="es-ES"/>
        </w:rPr>
        <w:tab/>
        <w:t>Les mesures provisoires et l</w:t>
      </w:r>
      <w:r>
        <w:rPr>
          <w:lang w:eastAsia="es-ES"/>
        </w:rPr>
        <w:t>’</w:t>
      </w:r>
      <w:r w:rsidRPr="00C622E0">
        <w:rPr>
          <w:lang w:eastAsia="es-ES"/>
        </w:rPr>
        <w:t>expulsion de l</w:t>
      </w:r>
      <w:r>
        <w:rPr>
          <w:lang w:eastAsia="es-ES"/>
        </w:rPr>
        <w:t>’</w:t>
      </w:r>
      <w:r w:rsidRPr="00C622E0">
        <w:rPr>
          <w:lang w:eastAsia="es-ES"/>
        </w:rPr>
        <w:t>auteure</w:t>
      </w:r>
    </w:p>
    <w:p w14:paraId="76F7E792" w14:textId="77777777" w:rsidR="0037651B" w:rsidRDefault="0037651B" w:rsidP="0037651B">
      <w:pPr>
        <w:pStyle w:val="SingleTxtG"/>
        <w:rPr>
          <w:lang w:eastAsia="es-ES"/>
        </w:rPr>
      </w:pPr>
      <w:r w:rsidRPr="00C622E0">
        <w:rPr>
          <w:lang w:eastAsia="es-ES"/>
        </w:rPr>
        <w:t>13.1</w:t>
      </w:r>
      <w:r w:rsidRPr="00C622E0">
        <w:rPr>
          <w:lang w:eastAsia="es-ES"/>
        </w:rPr>
        <w:tab/>
      </w:r>
      <w:r>
        <w:rPr>
          <w:lang w:eastAsia="es-ES"/>
        </w:rPr>
        <w:t>S</w:t>
      </w:r>
      <w:r w:rsidRPr="00C622E0">
        <w:rPr>
          <w:lang w:eastAsia="es-ES"/>
        </w:rPr>
        <w:t>elon l</w:t>
      </w:r>
      <w:r>
        <w:rPr>
          <w:lang w:eastAsia="es-ES"/>
        </w:rPr>
        <w:t>’</w:t>
      </w:r>
      <w:r w:rsidRPr="00C622E0">
        <w:rPr>
          <w:lang w:eastAsia="es-ES"/>
        </w:rPr>
        <w:t>auteure, l</w:t>
      </w:r>
      <w:r>
        <w:rPr>
          <w:lang w:eastAsia="es-ES"/>
        </w:rPr>
        <w:t>’</w:t>
      </w:r>
      <w:r w:rsidRPr="00C622E0">
        <w:rPr>
          <w:lang w:eastAsia="es-ES"/>
        </w:rPr>
        <w:t>expulsion dont elle a fait l</w:t>
      </w:r>
      <w:r>
        <w:rPr>
          <w:lang w:eastAsia="es-ES"/>
        </w:rPr>
        <w:t>’</w:t>
      </w:r>
      <w:r w:rsidRPr="00C622E0">
        <w:rPr>
          <w:lang w:eastAsia="es-ES"/>
        </w:rPr>
        <w:t>objet alors que le Comité avait demandé l</w:t>
      </w:r>
      <w:r>
        <w:rPr>
          <w:lang w:eastAsia="es-ES"/>
        </w:rPr>
        <w:t>’</w:t>
      </w:r>
      <w:r w:rsidRPr="00C622E0">
        <w:rPr>
          <w:lang w:eastAsia="es-ES"/>
        </w:rPr>
        <w:t>adoption de mesures provisoires constitue une violation de l</w:t>
      </w:r>
      <w:r>
        <w:rPr>
          <w:lang w:eastAsia="es-ES"/>
        </w:rPr>
        <w:t>’</w:t>
      </w:r>
      <w:r w:rsidRPr="00C622E0">
        <w:rPr>
          <w:lang w:eastAsia="es-ES"/>
        </w:rPr>
        <w:t>article</w:t>
      </w:r>
      <w:r w:rsidR="00612661">
        <w:rPr>
          <w:lang w:eastAsia="es-ES"/>
        </w:rPr>
        <w:t> </w:t>
      </w:r>
      <w:r w:rsidRPr="00C622E0">
        <w:rPr>
          <w:lang w:eastAsia="es-ES"/>
        </w:rPr>
        <w:t xml:space="preserve">5 du Protocole facultatif. </w:t>
      </w:r>
      <w:r>
        <w:rPr>
          <w:lang w:eastAsia="es-ES"/>
        </w:rPr>
        <w:t>L</w:t>
      </w:r>
      <w:r w:rsidRPr="00C622E0">
        <w:rPr>
          <w:lang w:eastAsia="es-ES"/>
        </w:rPr>
        <w:t>e 22</w:t>
      </w:r>
      <w:r>
        <w:rPr>
          <w:lang w:eastAsia="es-ES"/>
        </w:rPr>
        <w:t> </w:t>
      </w:r>
      <w:r w:rsidRPr="00C622E0">
        <w:rPr>
          <w:lang w:eastAsia="es-ES"/>
        </w:rPr>
        <w:t xml:space="preserve">juin 2018, </w:t>
      </w:r>
      <w:r>
        <w:rPr>
          <w:lang w:eastAsia="es-ES"/>
        </w:rPr>
        <w:t>le Comité</w:t>
      </w:r>
      <w:r w:rsidRPr="00C622E0">
        <w:rPr>
          <w:lang w:eastAsia="es-ES"/>
        </w:rPr>
        <w:t xml:space="preserve"> a prié l</w:t>
      </w:r>
      <w:r>
        <w:rPr>
          <w:lang w:eastAsia="es-ES"/>
        </w:rPr>
        <w:t>’</w:t>
      </w:r>
      <w:r w:rsidRPr="00C622E0">
        <w:rPr>
          <w:lang w:eastAsia="es-ES"/>
        </w:rPr>
        <w:t>État partie de surseoir à l</w:t>
      </w:r>
      <w:r>
        <w:rPr>
          <w:lang w:eastAsia="es-ES"/>
        </w:rPr>
        <w:t>’</w:t>
      </w:r>
      <w:r w:rsidRPr="00C622E0">
        <w:rPr>
          <w:lang w:eastAsia="es-ES"/>
        </w:rPr>
        <w:t>expulsion de l</w:t>
      </w:r>
      <w:r>
        <w:rPr>
          <w:lang w:eastAsia="es-ES"/>
        </w:rPr>
        <w:t>’</w:t>
      </w:r>
      <w:r w:rsidRPr="00C622E0">
        <w:rPr>
          <w:lang w:eastAsia="es-ES"/>
        </w:rPr>
        <w:t>auteure et de ses enfants tant que la communication était en cours d</w:t>
      </w:r>
      <w:r>
        <w:rPr>
          <w:lang w:eastAsia="es-ES"/>
        </w:rPr>
        <w:t>’</w:t>
      </w:r>
      <w:r w:rsidRPr="00C622E0">
        <w:rPr>
          <w:lang w:eastAsia="es-ES"/>
        </w:rPr>
        <w:t xml:space="preserve">examen ou de leur accorder un logement convenable, </w:t>
      </w:r>
      <w:r w:rsidRPr="00C622E0">
        <w:t>après avoir dûment consulté l</w:t>
      </w:r>
      <w:r>
        <w:t>’</w:t>
      </w:r>
      <w:r w:rsidRPr="00C622E0">
        <w:t>auteure, l</w:t>
      </w:r>
      <w:r>
        <w:t>’</w:t>
      </w:r>
      <w:r w:rsidRPr="00C622E0">
        <w:t xml:space="preserve">objectif étant </w:t>
      </w:r>
      <w:r w:rsidRPr="00C622E0">
        <w:rPr>
          <w:lang w:eastAsia="es-ES"/>
        </w:rPr>
        <w:t>d</w:t>
      </w:r>
      <w:r>
        <w:rPr>
          <w:lang w:eastAsia="es-ES"/>
        </w:rPr>
        <w:t>’</w:t>
      </w:r>
      <w:r w:rsidRPr="00C622E0">
        <w:rPr>
          <w:lang w:eastAsia="es-ES"/>
        </w:rPr>
        <w:t>éviter de leur infliger un préjudice irréparable. Il constate que l</w:t>
      </w:r>
      <w:r>
        <w:rPr>
          <w:lang w:eastAsia="es-ES"/>
        </w:rPr>
        <w:t>’</w:t>
      </w:r>
      <w:r w:rsidRPr="00C622E0">
        <w:rPr>
          <w:lang w:eastAsia="es-ES"/>
        </w:rPr>
        <w:t>auteure a été expulsée le 25</w:t>
      </w:r>
      <w:r>
        <w:rPr>
          <w:lang w:eastAsia="es-ES"/>
        </w:rPr>
        <w:t> </w:t>
      </w:r>
      <w:r w:rsidRPr="00C622E0">
        <w:rPr>
          <w:lang w:eastAsia="es-ES"/>
        </w:rPr>
        <w:t>juin 2018. Il relève que l</w:t>
      </w:r>
      <w:r>
        <w:rPr>
          <w:lang w:eastAsia="es-ES"/>
        </w:rPr>
        <w:t>’</w:t>
      </w:r>
      <w:r w:rsidRPr="00C622E0">
        <w:rPr>
          <w:lang w:eastAsia="es-ES"/>
        </w:rPr>
        <w:t>État partie considère qu</w:t>
      </w:r>
      <w:r>
        <w:rPr>
          <w:lang w:eastAsia="es-ES"/>
        </w:rPr>
        <w:t>’</w:t>
      </w:r>
      <w:r w:rsidRPr="00C622E0">
        <w:rPr>
          <w:lang w:eastAsia="es-ES"/>
        </w:rPr>
        <w:t>en relogeant l</w:t>
      </w:r>
      <w:r>
        <w:rPr>
          <w:lang w:eastAsia="es-ES"/>
        </w:rPr>
        <w:t>’</w:t>
      </w:r>
      <w:r w:rsidRPr="00C622E0">
        <w:rPr>
          <w:lang w:eastAsia="es-ES"/>
        </w:rPr>
        <w:t>auteure et ses enfants dans des foyers, il a fourni une solution d</w:t>
      </w:r>
      <w:r>
        <w:rPr>
          <w:lang w:eastAsia="es-ES"/>
        </w:rPr>
        <w:t>’</w:t>
      </w:r>
      <w:r w:rsidRPr="00C622E0">
        <w:rPr>
          <w:lang w:eastAsia="es-ES"/>
        </w:rPr>
        <w:t>hébergement collectif temporaire, assortie de mesures d</w:t>
      </w:r>
      <w:r>
        <w:rPr>
          <w:lang w:eastAsia="es-ES"/>
        </w:rPr>
        <w:t>’</w:t>
      </w:r>
      <w:r w:rsidRPr="00C622E0">
        <w:rPr>
          <w:lang w:eastAsia="es-ES"/>
        </w:rPr>
        <w:t xml:space="preserve">accompagnement social, dans le cadre des ressources municipales disponibles. Le Comité </w:t>
      </w:r>
      <w:r>
        <w:rPr>
          <w:lang w:eastAsia="es-ES"/>
        </w:rPr>
        <w:t>note</w:t>
      </w:r>
      <w:r w:rsidRPr="00C622E0">
        <w:rPr>
          <w:lang w:eastAsia="es-ES"/>
        </w:rPr>
        <w:t xml:space="preserve"> </w:t>
      </w:r>
      <w:r>
        <w:rPr>
          <w:lang w:eastAsia="es-ES"/>
        </w:rPr>
        <w:t>toutefois</w:t>
      </w:r>
      <w:r w:rsidRPr="00C622E0">
        <w:rPr>
          <w:lang w:eastAsia="es-ES"/>
        </w:rPr>
        <w:t xml:space="preserve"> que l</w:t>
      </w:r>
      <w:r>
        <w:rPr>
          <w:lang w:eastAsia="es-ES"/>
        </w:rPr>
        <w:t>’</w:t>
      </w:r>
      <w:r w:rsidRPr="00C622E0">
        <w:rPr>
          <w:lang w:eastAsia="es-ES"/>
        </w:rPr>
        <w:t>auteure ne considère pas les foyers comme des logements de remplacement et qu</w:t>
      </w:r>
      <w:r>
        <w:rPr>
          <w:lang w:eastAsia="es-ES"/>
        </w:rPr>
        <w:t>’</w:t>
      </w:r>
      <w:r w:rsidRPr="00C622E0">
        <w:rPr>
          <w:lang w:eastAsia="es-ES"/>
        </w:rPr>
        <w:t>elle affirme que ses enfants ont pâti d</w:t>
      </w:r>
      <w:r>
        <w:rPr>
          <w:lang w:eastAsia="es-ES"/>
        </w:rPr>
        <w:t>’</w:t>
      </w:r>
      <w:r w:rsidRPr="00C622E0">
        <w:rPr>
          <w:lang w:eastAsia="es-ES"/>
        </w:rPr>
        <w:t>y séjourner. Il prend note que l</w:t>
      </w:r>
      <w:r>
        <w:rPr>
          <w:lang w:eastAsia="es-ES"/>
        </w:rPr>
        <w:t>’</w:t>
      </w:r>
      <w:r w:rsidRPr="00C622E0">
        <w:rPr>
          <w:lang w:eastAsia="es-ES"/>
        </w:rPr>
        <w:t>auteure, selon ses affirmations, est restée dans le premier foyer jusqu</w:t>
      </w:r>
      <w:r>
        <w:rPr>
          <w:lang w:eastAsia="es-ES"/>
        </w:rPr>
        <w:t>’</w:t>
      </w:r>
      <w:r w:rsidRPr="00C622E0">
        <w:rPr>
          <w:lang w:eastAsia="es-ES"/>
        </w:rPr>
        <w:t>à ce qu</w:t>
      </w:r>
      <w:r>
        <w:rPr>
          <w:lang w:eastAsia="es-ES"/>
        </w:rPr>
        <w:t>’</w:t>
      </w:r>
      <w:r w:rsidRPr="00C622E0">
        <w:rPr>
          <w:lang w:eastAsia="es-ES"/>
        </w:rPr>
        <w:t>il lui soit demandé de partir, en octobre, et qu</w:t>
      </w:r>
      <w:r>
        <w:rPr>
          <w:lang w:eastAsia="es-ES"/>
        </w:rPr>
        <w:t>’</w:t>
      </w:r>
      <w:r w:rsidRPr="00C622E0">
        <w:rPr>
          <w:lang w:eastAsia="es-ES"/>
        </w:rPr>
        <w:t>elle n</w:t>
      </w:r>
      <w:r>
        <w:rPr>
          <w:lang w:eastAsia="es-ES"/>
        </w:rPr>
        <w:t>’</w:t>
      </w:r>
      <w:r w:rsidRPr="00C622E0">
        <w:rPr>
          <w:lang w:eastAsia="es-ES"/>
        </w:rPr>
        <w:t>a pu obtenir une place dans un second foyer, où elle est demeurée jusqu</w:t>
      </w:r>
      <w:r>
        <w:rPr>
          <w:lang w:eastAsia="es-ES"/>
        </w:rPr>
        <w:t>’</w:t>
      </w:r>
      <w:r w:rsidRPr="00C622E0">
        <w:rPr>
          <w:lang w:eastAsia="es-ES"/>
        </w:rPr>
        <w:t>en novembre, qu</w:t>
      </w:r>
      <w:r>
        <w:rPr>
          <w:lang w:eastAsia="es-ES"/>
        </w:rPr>
        <w:t>’</w:t>
      </w:r>
      <w:r w:rsidRPr="00C622E0">
        <w:rPr>
          <w:lang w:eastAsia="es-ES"/>
        </w:rPr>
        <w:t>à l</w:t>
      </w:r>
      <w:r>
        <w:rPr>
          <w:lang w:eastAsia="es-ES"/>
        </w:rPr>
        <w:t>’</w:t>
      </w:r>
      <w:r w:rsidRPr="00C622E0">
        <w:rPr>
          <w:lang w:eastAsia="es-ES"/>
        </w:rPr>
        <w:t>issue d</w:t>
      </w:r>
      <w:r>
        <w:rPr>
          <w:lang w:eastAsia="es-ES"/>
        </w:rPr>
        <w:t>’</w:t>
      </w:r>
      <w:r w:rsidRPr="00C622E0">
        <w:rPr>
          <w:lang w:eastAsia="es-ES"/>
        </w:rPr>
        <w:t>une manifestation citoyenne. L</w:t>
      </w:r>
      <w:r>
        <w:rPr>
          <w:lang w:eastAsia="es-ES"/>
        </w:rPr>
        <w:t>’</w:t>
      </w:r>
      <w:r w:rsidRPr="00C622E0">
        <w:rPr>
          <w:lang w:eastAsia="es-ES"/>
        </w:rPr>
        <w:t>auteure affirme également que, dans ce second foyer, les membres de la famille ont été séparés par sexe et que ses fils, âgés de 8</w:t>
      </w:r>
      <w:r>
        <w:rPr>
          <w:lang w:eastAsia="es-ES"/>
        </w:rPr>
        <w:t> </w:t>
      </w:r>
      <w:r w:rsidRPr="00C622E0">
        <w:rPr>
          <w:lang w:eastAsia="es-ES"/>
        </w:rPr>
        <w:t>ans, ont donc dû dormir loin de leur mère.</w:t>
      </w:r>
    </w:p>
    <w:p w14:paraId="1F7BCA38" w14:textId="77777777" w:rsidR="0037651B" w:rsidRPr="00C622E0" w:rsidRDefault="0037651B" w:rsidP="0037651B">
      <w:pPr>
        <w:pStyle w:val="SingleTxtG"/>
        <w:rPr>
          <w:lang w:eastAsia="es-ES"/>
        </w:rPr>
      </w:pPr>
      <w:r>
        <w:rPr>
          <w:lang w:eastAsia="es-ES"/>
        </w:rPr>
        <w:t>13.2</w:t>
      </w:r>
      <w:r>
        <w:rPr>
          <w:lang w:eastAsia="es-ES"/>
        </w:rPr>
        <w:tab/>
      </w:r>
      <w:r w:rsidRPr="00C622E0">
        <w:rPr>
          <w:lang w:eastAsia="es-ES"/>
        </w:rPr>
        <w:t>Le Comité rappelle que, pour qu</w:t>
      </w:r>
      <w:r>
        <w:rPr>
          <w:lang w:eastAsia="es-ES"/>
        </w:rPr>
        <w:t>’</w:t>
      </w:r>
      <w:r w:rsidRPr="00C622E0">
        <w:rPr>
          <w:lang w:eastAsia="es-ES"/>
        </w:rPr>
        <w:t>un logement soit convenable, il doit s</w:t>
      </w:r>
      <w:r>
        <w:rPr>
          <w:lang w:eastAsia="es-ES"/>
        </w:rPr>
        <w:t>’</w:t>
      </w:r>
      <w:r w:rsidRPr="00C622E0">
        <w:rPr>
          <w:lang w:eastAsia="es-ES"/>
        </w:rPr>
        <w:t>accompagner d</w:t>
      </w:r>
      <w:r>
        <w:rPr>
          <w:lang w:eastAsia="es-ES"/>
        </w:rPr>
        <w:t>’</w:t>
      </w:r>
      <w:r w:rsidRPr="00C622E0">
        <w:rPr>
          <w:lang w:eastAsia="es-ES"/>
        </w:rPr>
        <w:t>une sécurité de jouissance, ce que les foyers n</w:t>
      </w:r>
      <w:r>
        <w:rPr>
          <w:lang w:eastAsia="es-ES"/>
        </w:rPr>
        <w:t>’</w:t>
      </w:r>
      <w:r w:rsidRPr="00C622E0">
        <w:rPr>
          <w:lang w:eastAsia="es-ES"/>
        </w:rPr>
        <w:t>offraient pas. À cet égard, il relève que le plus long séjour de l</w:t>
      </w:r>
      <w:r>
        <w:rPr>
          <w:lang w:eastAsia="es-ES"/>
        </w:rPr>
        <w:t>’</w:t>
      </w:r>
      <w:r w:rsidRPr="00C622E0">
        <w:rPr>
          <w:lang w:eastAsia="es-ES"/>
        </w:rPr>
        <w:t>auteure et de ses enfants dans un foyer a duré trois mois, période à l</w:t>
      </w:r>
      <w:r>
        <w:rPr>
          <w:lang w:eastAsia="es-ES"/>
        </w:rPr>
        <w:t>’</w:t>
      </w:r>
      <w:r w:rsidRPr="00C622E0">
        <w:rPr>
          <w:lang w:eastAsia="es-ES"/>
        </w:rPr>
        <w:t>issue de laquelle il leur a été demandé de partir. La situation s</w:t>
      </w:r>
      <w:r>
        <w:rPr>
          <w:lang w:eastAsia="es-ES"/>
        </w:rPr>
        <w:t>’</w:t>
      </w:r>
      <w:r w:rsidRPr="00C622E0">
        <w:rPr>
          <w:lang w:eastAsia="es-ES"/>
        </w:rPr>
        <w:t xml:space="preserve">est améliorée par la suite, </w:t>
      </w:r>
      <w:r w:rsidRPr="00C622E0">
        <w:rPr>
          <w:lang w:eastAsia="es-ES"/>
        </w:rPr>
        <w:lastRenderedPageBreak/>
        <w:t>grâce à l</w:t>
      </w:r>
      <w:r>
        <w:rPr>
          <w:lang w:eastAsia="es-ES"/>
        </w:rPr>
        <w:t>’</w:t>
      </w:r>
      <w:r w:rsidRPr="00C622E0">
        <w:rPr>
          <w:lang w:eastAsia="es-ES"/>
        </w:rPr>
        <w:t>intervention d</w:t>
      </w:r>
      <w:r>
        <w:rPr>
          <w:lang w:eastAsia="es-ES"/>
        </w:rPr>
        <w:t>’</w:t>
      </w:r>
      <w:r w:rsidRPr="00C622E0">
        <w:rPr>
          <w:lang w:eastAsia="es-ES"/>
        </w:rPr>
        <w:t>un groupe de citoyens. En conséquence, les foyers constituaient, comme l</w:t>
      </w:r>
      <w:r>
        <w:rPr>
          <w:lang w:eastAsia="es-ES"/>
        </w:rPr>
        <w:t>’</w:t>
      </w:r>
      <w:r w:rsidRPr="00C622E0">
        <w:rPr>
          <w:lang w:eastAsia="es-ES"/>
        </w:rPr>
        <w:t>État partie l</w:t>
      </w:r>
      <w:r>
        <w:rPr>
          <w:lang w:eastAsia="es-ES"/>
        </w:rPr>
        <w:t>’</w:t>
      </w:r>
      <w:r w:rsidRPr="00C622E0">
        <w:rPr>
          <w:lang w:eastAsia="es-ES"/>
        </w:rPr>
        <w:t>a affirmé, une solution d</w:t>
      </w:r>
      <w:r>
        <w:rPr>
          <w:lang w:eastAsia="es-ES"/>
        </w:rPr>
        <w:t>’</w:t>
      </w:r>
      <w:r w:rsidRPr="00C622E0">
        <w:rPr>
          <w:lang w:eastAsia="es-ES"/>
        </w:rPr>
        <w:t>hébergement temporaire, mais non un logement convenable.</w:t>
      </w:r>
    </w:p>
    <w:p w14:paraId="6B099BAF" w14:textId="77777777" w:rsidR="0037651B" w:rsidRPr="00C622E0" w:rsidRDefault="0037651B" w:rsidP="0037651B">
      <w:pPr>
        <w:pStyle w:val="SingleTxtG"/>
        <w:keepLines/>
        <w:rPr>
          <w:lang w:eastAsia="es-ES"/>
        </w:rPr>
      </w:pPr>
      <w:r w:rsidRPr="00C622E0">
        <w:rPr>
          <w:lang w:eastAsia="es-ES"/>
        </w:rPr>
        <w:t>13.</w:t>
      </w:r>
      <w:r>
        <w:rPr>
          <w:lang w:eastAsia="es-ES"/>
        </w:rPr>
        <w:t>3</w:t>
      </w:r>
      <w:r w:rsidRPr="00C622E0">
        <w:rPr>
          <w:lang w:eastAsia="es-ES"/>
        </w:rPr>
        <w:tab/>
        <w:t>Ayant conclu que la solution proposée à l</w:t>
      </w:r>
      <w:r>
        <w:rPr>
          <w:lang w:eastAsia="es-ES"/>
        </w:rPr>
        <w:t>’</w:t>
      </w:r>
      <w:r w:rsidRPr="00C622E0">
        <w:rPr>
          <w:lang w:eastAsia="es-ES"/>
        </w:rPr>
        <w:t>auteure ne constituait pas un logement convenable, et en l</w:t>
      </w:r>
      <w:r>
        <w:rPr>
          <w:lang w:eastAsia="es-ES"/>
        </w:rPr>
        <w:t>’</w:t>
      </w:r>
      <w:r w:rsidRPr="00C622E0">
        <w:rPr>
          <w:lang w:eastAsia="es-ES"/>
        </w:rPr>
        <w:t>absence d</w:t>
      </w:r>
      <w:r>
        <w:rPr>
          <w:lang w:eastAsia="es-ES"/>
        </w:rPr>
        <w:t>’</w:t>
      </w:r>
      <w:r w:rsidRPr="00C622E0">
        <w:rPr>
          <w:lang w:eastAsia="es-ES"/>
        </w:rPr>
        <w:t>autres raisons avancées par l</w:t>
      </w:r>
      <w:r>
        <w:rPr>
          <w:lang w:eastAsia="es-ES"/>
        </w:rPr>
        <w:t>’</w:t>
      </w:r>
      <w:r w:rsidRPr="00C622E0">
        <w:rPr>
          <w:lang w:eastAsia="es-ES"/>
        </w:rPr>
        <w:t>État partie pour expliquer pourquoi les mesures provisoires n</w:t>
      </w:r>
      <w:r>
        <w:rPr>
          <w:lang w:eastAsia="es-ES"/>
        </w:rPr>
        <w:t>’</w:t>
      </w:r>
      <w:r w:rsidRPr="00C622E0">
        <w:rPr>
          <w:lang w:eastAsia="es-ES"/>
        </w:rPr>
        <w:t>ont pas pu être respectées, le Comité</w:t>
      </w:r>
      <w:r w:rsidRPr="0004529A">
        <w:rPr>
          <w:lang w:eastAsia="es-ES"/>
        </w:rPr>
        <w:t>, conformément à sa jurisprudence sur l</w:t>
      </w:r>
      <w:r>
        <w:rPr>
          <w:lang w:eastAsia="es-ES"/>
        </w:rPr>
        <w:t>’</w:t>
      </w:r>
      <w:r w:rsidRPr="0004529A">
        <w:rPr>
          <w:lang w:eastAsia="es-ES"/>
        </w:rPr>
        <w:t>obligation des États parties de se conformer de bonne foi aux mesures provisoires</w:t>
      </w:r>
      <w:r>
        <w:rPr>
          <w:rStyle w:val="Appelnotedebasdep"/>
          <w:lang w:val="es-ES_tradnl"/>
        </w:rPr>
        <w:footnoteReference w:id="37"/>
      </w:r>
      <w:r w:rsidRPr="0004529A">
        <w:rPr>
          <w:lang w:eastAsia="es-ES"/>
        </w:rPr>
        <w:t xml:space="preserve">, </w:t>
      </w:r>
      <w:r w:rsidRPr="00C622E0">
        <w:rPr>
          <w:lang w:eastAsia="es-ES"/>
        </w:rPr>
        <w:t>estime qu</w:t>
      </w:r>
      <w:r>
        <w:rPr>
          <w:lang w:eastAsia="es-ES"/>
        </w:rPr>
        <w:t>’</w:t>
      </w:r>
      <w:r w:rsidRPr="00C622E0">
        <w:rPr>
          <w:lang w:eastAsia="es-ES"/>
        </w:rPr>
        <w:t>en l</w:t>
      </w:r>
      <w:r>
        <w:rPr>
          <w:lang w:eastAsia="es-ES"/>
        </w:rPr>
        <w:t>’</w:t>
      </w:r>
      <w:r w:rsidRPr="00C622E0">
        <w:rPr>
          <w:lang w:eastAsia="es-ES"/>
        </w:rPr>
        <w:t>espèce, l</w:t>
      </w:r>
      <w:r>
        <w:rPr>
          <w:lang w:eastAsia="es-ES"/>
        </w:rPr>
        <w:t>’</w:t>
      </w:r>
      <w:r w:rsidRPr="00C622E0">
        <w:rPr>
          <w:lang w:eastAsia="es-ES"/>
        </w:rPr>
        <w:t>État partie a violé l</w:t>
      </w:r>
      <w:r>
        <w:rPr>
          <w:lang w:eastAsia="es-ES"/>
        </w:rPr>
        <w:t>’</w:t>
      </w:r>
      <w:r w:rsidRPr="00C622E0">
        <w:rPr>
          <w:lang w:eastAsia="es-ES"/>
        </w:rPr>
        <w:t>article</w:t>
      </w:r>
      <w:r w:rsidR="00612661">
        <w:rPr>
          <w:lang w:eastAsia="es-ES"/>
        </w:rPr>
        <w:t> </w:t>
      </w:r>
      <w:r w:rsidRPr="00C622E0">
        <w:rPr>
          <w:lang w:eastAsia="es-ES"/>
        </w:rPr>
        <w:t>5 du Protocole facultatif.</w:t>
      </w:r>
    </w:p>
    <w:p w14:paraId="6AA68481" w14:textId="77777777" w:rsidR="0037651B" w:rsidRPr="00C622E0" w:rsidRDefault="0037651B" w:rsidP="0037651B">
      <w:pPr>
        <w:pStyle w:val="H1G"/>
        <w:rPr>
          <w:lang w:eastAsia="es-ES"/>
        </w:rPr>
      </w:pPr>
      <w:r w:rsidRPr="00C622E0">
        <w:rPr>
          <w:lang w:eastAsia="es-ES"/>
        </w:rPr>
        <w:tab/>
        <w:t>D.</w:t>
      </w:r>
      <w:r w:rsidRPr="00C622E0">
        <w:rPr>
          <w:lang w:eastAsia="es-ES"/>
        </w:rPr>
        <w:tab/>
        <w:t>Conclusion et recommandations</w:t>
      </w:r>
    </w:p>
    <w:p w14:paraId="1136337D" w14:textId="77777777" w:rsidR="0037651B" w:rsidRPr="00C622E0" w:rsidRDefault="0037651B" w:rsidP="0037651B">
      <w:pPr>
        <w:pStyle w:val="SingleTxtG"/>
        <w:rPr>
          <w:lang w:eastAsia="es-ES"/>
        </w:rPr>
      </w:pPr>
      <w:r w:rsidRPr="00C622E0">
        <w:rPr>
          <w:lang w:eastAsia="es-ES"/>
        </w:rPr>
        <w:t>14.</w:t>
      </w:r>
      <w:r w:rsidRPr="00C622E0">
        <w:rPr>
          <w:lang w:eastAsia="es-ES"/>
        </w:rPr>
        <w:tab/>
        <w:t>Compte tenu de toutes les informations communiquées et des circonstances particulières de l</w:t>
      </w:r>
      <w:r>
        <w:rPr>
          <w:lang w:eastAsia="es-ES"/>
        </w:rPr>
        <w:t>’</w:t>
      </w:r>
      <w:r w:rsidRPr="00C622E0">
        <w:rPr>
          <w:lang w:eastAsia="es-ES"/>
        </w:rPr>
        <w:t>affaire, le Comité considère que l</w:t>
      </w:r>
      <w:r>
        <w:rPr>
          <w:lang w:eastAsia="es-ES"/>
        </w:rPr>
        <w:t>’</w:t>
      </w:r>
      <w:r w:rsidRPr="00C622E0">
        <w:rPr>
          <w:lang w:eastAsia="es-ES"/>
        </w:rPr>
        <w:t>expulsion de l</w:t>
      </w:r>
      <w:r>
        <w:rPr>
          <w:lang w:eastAsia="es-ES"/>
        </w:rPr>
        <w:t>’</w:t>
      </w:r>
      <w:r w:rsidRPr="00C622E0">
        <w:rPr>
          <w:lang w:eastAsia="es-ES"/>
        </w:rPr>
        <w:t>auteure et de ses enfants sans que les autorités aient examiné la proportionnalité de cette mesure constitue une violation du droit de l</w:t>
      </w:r>
      <w:r>
        <w:rPr>
          <w:lang w:eastAsia="es-ES"/>
        </w:rPr>
        <w:t>’</w:t>
      </w:r>
      <w:r w:rsidRPr="00C622E0">
        <w:rPr>
          <w:lang w:eastAsia="es-ES"/>
        </w:rPr>
        <w:t>auteure à un logement convenable. De même, le Comité considère que le rejet de la demande de logement public présentée par l</w:t>
      </w:r>
      <w:r>
        <w:rPr>
          <w:lang w:eastAsia="es-ES"/>
        </w:rPr>
        <w:t>’</w:t>
      </w:r>
      <w:r w:rsidRPr="00C622E0">
        <w:rPr>
          <w:lang w:eastAsia="es-ES"/>
        </w:rPr>
        <w:t>auteure sans qu</w:t>
      </w:r>
      <w:r>
        <w:rPr>
          <w:lang w:eastAsia="es-ES"/>
        </w:rPr>
        <w:t>’</w:t>
      </w:r>
      <w:r w:rsidRPr="00C622E0">
        <w:rPr>
          <w:lang w:eastAsia="es-ES"/>
        </w:rPr>
        <w:t>il soit tenu compte de son état de nécessité et au seul motif qu</w:t>
      </w:r>
      <w:r>
        <w:rPr>
          <w:lang w:eastAsia="es-ES"/>
        </w:rPr>
        <w:t>’</w:t>
      </w:r>
      <w:r w:rsidRPr="00C622E0">
        <w:rPr>
          <w:lang w:eastAsia="es-ES"/>
        </w:rPr>
        <w:t>elle occupait son logement sans titre juridique constitue en soi une violation du droit de l</w:t>
      </w:r>
      <w:r>
        <w:rPr>
          <w:lang w:eastAsia="es-ES"/>
        </w:rPr>
        <w:t>’</w:t>
      </w:r>
      <w:r w:rsidRPr="00C622E0">
        <w:rPr>
          <w:lang w:eastAsia="es-ES"/>
        </w:rPr>
        <w:t>auteure à un logement convenable.</w:t>
      </w:r>
    </w:p>
    <w:p w14:paraId="67620817" w14:textId="77777777" w:rsidR="0037651B" w:rsidRPr="00C622E0" w:rsidRDefault="0037651B" w:rsidP="0037651B">
      <w:pPr>
        <w:pStyle w:val="SingleTxtG"/>
        <w:rPr>
          <w:lang w:eastAsia="es-ES"/>
        </w:rPr>
      </w:pPr>
      <w:r w:rsidRPr="00C622E0">
        <w:rPr>
          <w:lang w:eastAsia="es-ES"/>
        </w:rPr>
        <w:t>15.</w:t>
      </w:r>
      <w:r w:rsidRPr="00C622E0">
        <w:rPr>
          <w:lang w:eastAsia="es-ES"/>
        </w:rPr>
        <w:tab/>
        <w:t>Le Comité, agissant en application du paragraphe</w:t>
      </w:r>
      <w:r w:rsidR="00612661">
        <w:rPr>
          <w:lang w:eastAsia="es-ES"/>
        </w:rPr>
        <w:t> </w:t>
      </w:r>
      <w:r w:rsidRPr="00C622E0">
        <w:rPr>
          <w:lang w:eastAsia="es-ES"/>
        </w:rPr>
        <w:t>1 de l</w:t>
      </w:r>
      <w:r>
        <w:rPr>
          <w:lang w:eastAsia="es-ES"/>
        </w:rPr>
        <w:t>’</w:t>
      </w:r>
      <w:r w:rsidRPr="00C622E0">
        <w:rPr>
          <w:lang w:eastAsia="es-ES"/>
        </w:rPr>
        <w:t>article</w:t>
      </w:r>
      <w:r w:rsidR="00612661">
        <w:rPr>
          <w:lang w:eastAsia="es-ES"/>
        </w:rPr>
        <w:t> </w:t>
      </w:r>
      <w:r w:rsidRPr="00C622E0">
        <w:rPr>
          <w:lang w:eastAsia="es-ES"/>
        </w:rPr>
        <w:t>9 du Protocole facultatif, estime que l</w:t>
      </w:r>
      <w:r>
        <w:rPr>
          <w:lang w:eastAsia="es-ES"/>
        </w:rPr>
        <w:t>’</w:t>
      </w:r>
      <w:r w:rsidRPr="00C622E0">
        <w:rPr>
          <w:lang w:eastAsia="es-ES"/>
        </w:rPr>
        <w:t>État partie a porté atteinte au droit que l</w:t>
      </w:r>
      <w:r>
        <w:rPr>
          <w:lang w:eastAsia="es-ES"/>
        </w:rPr>
        <w:t>’</w:t>
      </w:r>
      <w:r w:rsidRPr="00C622E0">
        <w:rPr>
          <w:lang w:eastAsia="es-ES"/>
        </w:rPr>
        <w:t>auteure et ses enfants tiennent du paragraphe</w:t>
      </w:r>
      <w:r w:rsidR="00612661">
        <w:rPr>
          <w:lang w:eastAsia="es-ES"/>
        </w:rPr>
        <w:t> </w:t>
      </w:r>
      <w:r w:rsidRPr="00C622E0">
        <w:rPr>
          <w:lang w:eastAsia="es-ES"/>
        </w:rPr>
        <w:t>1 de l</w:t>
      </w:r>
      <w:r>
        <w:rPr>
          <w:lang w:eastAsia="es-ES"/>
        </w:rPr>
        <w:t>’</w:t>
      </w:r>
      <w:r w:rsidRPr="00C622E0">
        <w:rPr>
          <w:lang w:eastAsia="es-ES"/>
        </w:rPr>
        <w:t>article</w:t>
      </w:r>
      <w:r w:rsidR="00612661">
        <w:rPr>
          <w:lang w:eastAsia="es-ES"/>
        </w:rPr>
        <w:t> </w:t>
      </w:r>
      <w:r w:rsidRPr="00C622E0">
        <w:rPr>
          <w:lang w:eastAsia="es-ES"/>
        </w:rPr>
        <w:t>11 du Pacte. Il estime également que l</w:t>
      </w:r>
      <w:r>
        <w:rPr>
          <w:lang w:eastAsia="es-ES"/>
        </w:rPr>
        <w:t>’</w:t>
      </w:r>
      <w:r w:rsidRPr="00C622E0">
        <w:rPr>
          <w:lang w:eastAsia="es-ES"/>
        </w:rPr>
        <w:t>État partie a violé l</w:t>
      </w:r>
      <w:r>
        <w:rPr>
          <w:lang w:eastAsia="es-ES"/>
        </w:rPr>
        <w:t>’</w:t>
      </w:r>
      <w:r w:rsidRPr="00C622E0">
        <w:rPr>
          <w:lang w:eastAsia="es-ES"/>
        </w:rPr>
        <w:t>article</w:t>
      </w:r>
      <w:r w:rsidR="00612661">
        <w:rPr>
          <w:lang w:eastAsia="es-ES"/>
        </w:rPr>
        <w:t> </w:t>
      </w:r>
      <w:r w:rsidRPr="00C622E0">
        <w:rPr>
          <w:lang w:eastAsia="es-ES"/>
        </w:rPr>
        <w:t>5 du Protocole facultatif. À la lumière des constatations formulées dans la présente communication, le Comité adresse à l</w:t>
      </w:r>
      <w:r>
        <w:rPr>
          <w:lang w:eastAsia="es-ES"/>
        </w:rPr>
        <w:t>’</w:t>
      </w:r>
      <w:r w:rsidRPr="00C622E0">
        <w:rPr>
          <w:lang w:eastAsia="es-ES"/>
        </w:rPr>
        <w:t>État partie les recommandations qui suivent.</w:t>
      </w:r>
    </w:p>
    <w:p w14:paraId="36DD57B6" w14:textId="77777777" w:rsidR="0037651B" w:rsidRPr="00C622E0" w:rsidRDefault="0037651B" w:rsidP="0037651B">
      <w:pPr>
        <w:pStyle w:val="H23G"/>
        <w:rPr>
          <w:lang w:eastAsia="es-ES"/>
        </w:rPr>
      </w:pPr>
      <w:r w:rsidRPr="00C622E0">
        <w:rPr>
          <w:lang w:eastAsia="es-ES"/>
        </w:rPr>
        <w:tab/>
      </w:r>
      <w:r w:rsidRPr="00C622E0">
        <w:rPr>
          <w:lang w:eastAsia="es-ES"/>
        </w:rPr>
        <w:tab/>
        <w:t>Recommandations concernant l</w:t>
      </w:r>
      <w:r>
        <w:rPr>
          <w:lang w:eastAsia="es-ES"/>
        </w:rPr>
        <w:t>’</w:t>
      </w:r>
      <w:r w:rsidRPr="00C622E0">
        <w:rPr>
          <w:lang w:eastAsia="es-ES"/>
        </w:rPr>
        <w:t>auteure et ses enfants</w:t>
      </w:r>
    </w:p>
    <w:p w14:paraId="647AB689" w14:textId="77777777" w:rsidR="0037651B" w:rsidRPr="00C622E0" w:rsidRDefault="0037651B" w:rsidP="0037651B">
      <w:pPr>
        <w:pStyle w:val="SingleTxtG"/>
        <w:rPr>
          <w:lang w:eastAsia="es-ES"/>
        </w:rPr>
      </w:pPr>
      <w:r w:rsidRPr="00C622E0">
        <w:rPr>
          <w:lang w:eastAsia="es-ES"/>
        </w:rPr>
        <w:t>16.</w:t>
      </w:r>
      <w:r w:rsidRPr="00C622E0">
        <w:rPr>
          <w:lang w:eastAsia="es-ES"/>
        </w:rPr>
        <w:tab/>
        <w:t>L</w:t>
      </w:r>
      <w:r>
        <w:rPr>
          <w:lang w:eastAsia="es-ES"/>
        </w:rPr>
        <w:t>’</w:t>
      </w:r>
      <w:r w:rsidRPr="00C622E0">
        <w:rPr>
          <w:lang w:eastAsia="es-ES"/>
        </w:rPr>
        <w:t>État partie est tenu d</w:t>
      </w:r>
      <w:r>
        <w:rPr>
          <w:lang w:eastAsia="es-ES"/>
        </w:rPr>
        <w:t>’</w:t>
      </w:r>
      <w:r w:rsidRPr="00C622E0">
        <w:rPr>
          <w:lang w:eastAsia="es-ES"/>
        </w:rPr>
        <w:t>accorder une réparation effective à l</w:t>
      </w:r>
      <w:r>
        <w:rPr>
          <w:lang w:eastAsia="es-ES"/>
        </w:rPr>
        <w:t>’</w:t>
      </w:r>
      <w:r w:rsidRPr="00C622E0">
        <w:rPr>
          <w:lang w:eastAsia="es-ES"/>
        </w:rPr>
        <w:t>auteure et à ses enfants, en particulier : a)</w:t>
      </w:r>
      <w:r>
        <w:rPr>
          <w:lang w:eastAsia="es-ES"/>
        </w:rPr>
        <w:t> </w:t>
      </w:r>
      <w:r w:rsidRPr="00C622E0">
        <w:rPr>
          <w:lang w:eastAsia="es-ES"/>
        </w:rPr>
        <w:t>s</w:t>
      </w:r>
      <w:r>
        <w:rPr>
          <w:lang w:eastAsia="es-ES"/>
        </w:rPr>
        <w:t>’</w:t>
      </w:r>
      <w:r w:rsidRPr="00C622E0">
        <w:rPr>
          <w:lang w:eastAsia="es-ES"/>
        </w:rPr>
        <w:t>ils ne disposent pas d</w:t>
      </w:r>
      <w:r>
        <w:rPr>
          <w:lang w:eastAsia="es-ES"/>
        </w:rPr>
        <w:t>’</w:t>
      </w:r>
      <w:r w:rsidRPr="00C622E0">
        <w:rPr>
          <w:lang w:eastAsia="es-ES"/>
        </w:rPr>
        <w:t>un logement convenable, de réévaluer leur état de nécessité et leur rang de priorité dans la liste d</w:t>
      </w:r>
      <w:r>
        <w:rPr>
          <w:lang w:eastAsia="es-ES"/>
        </w:rPr>
        <w:t>’</w:t>
      </w:r>
      <w:r w:rsidRPr="00C622E0">
        <w:rPr>
          <w:lang w:eastAsia="es-ES"/>
        </w:rPr>
        <w:t>attente pour un logement, compte tenu de la date de dépôt de la demande auprès des services de la Communauté de Madrid, afin de leur attribuer un logement public ou de les faire bénéficier de toute autre mesure qui leur permette de vivre dans un logement convenable, selon les critères établis dans la présente communication ; b)</w:t>
      </w:r>
      <w:r>
        <w:rPr>
          <w:lang w:eastAsia="es-ES"/>
        </w:rPr>
        <w:t> </w:t>
      </w:r>
      <w:r w:rsidRPr="00C622E0">
        <w:rPr>
          <w:lang w:eastAsia="es-ES"/>
        </w:rPr>
        <w:t>d</w:t>
      </w:r>
      <w:r>
        <w:rPr>
          <w:lang w:eastAsia="es-ES"/>
        </w:rPr>
        <w:t>’</w:t>
      </w:r>
      <w:r w:rsidRPr="00C622E0">
        <w:rPr>
          <w:lang w:eastAsia="es-ES"/>
        </w:rPr>
        <w:t>indemniser l</w:t>
      </w:r>
      <w:r>
        <w:rPr>
          <w:lang w:eastAsia="es-ES"/>
        </w:rPr>
        <w:t>’</w:t>
      </w:r>
      <w:r w:rsidRPr="00C622E0">
        <w:rPr>
          <w:lang w:eastAsia="es-ES"/>
        </w:rPr>
        <w:t xml:space="preserve">auteure et ses enfants pour les violations subies ; et </w:t>
      </w:r>
      <w:r>
        <w:rPr>
          <w:lang w:eastAsia="es-ES"/>
        </w:rPr>
        <w:t>c</w:t>
      </w:r>
      <w:r w:rsidRPr="00C622E0">
        <w:rPr>
          <w:lang w:eastAsia="es-ES"/>
        </w:rPr>
        <w:t>)</w:t>
      </w:r>
      <w:r>
        <w:rPr>
          <w:lang w:eastAsia="es-ES"/>
        </w:rPr>
        <w:t> </w:t>
      </w:r>
      <w:r w:rsidRPr="00C622E0">
        <w:rPr>
          <w:lang w:eastAsia="es-ES"/>
        </w:rPr>
        <w:t>de rembourser à l</w:t>
      </w:r>
      <w:r>
        <w:rPr>
          <w:lang w:eastAsia="es-ES"/>
        </w:rPr>
        <w:t>’</w:t>
      </w:r>
      <w:r w:rsidRPr="00C622E0">
        <w:rPr>
          <w:lang w:eastAsia="es-ES"/>
        </w:rPr>
        <w:t>auteure les frais de justice qui ont raisonnablement pu être engagés dans le cadre de la présente communication.</w:t>
      </w:r>
    </w:p>
    <w:p w14:paraId="52B9824E" w14:textId="77777777" w:rsidR="0037651B" w:rsidRPr="00C622E0" w:rsidRDefault="0037651B" w:rsidP="0037651B">
      <w:pPr>
        <w:pStyle w:val="H23G"/>
        <w:rPr>
          <w:lang w:eastAsia="es-ES"/>
        </w:rPr>
      </w:pPr>
      <w:r w:rsidRPr="00C622E0">
        <w:rPr>
          <w:lang w:eastAsia="es-ES"/>
        </w:rPr>
        <w:tab/>
      </w:r>
      <w:r w:rsidRPr="00C622E0">
        <w:rPr>
          <w:lang w:eastAsia="es-ES"/>
        </w:rPr>
        <w:tab/>
        <w:t>Recommandations générales</w:t>
      </w:r>
    </w:p>
    <w:p w14:paraId="31C8D0B0" w14:textId="77777777" w:rsidR="0037651B" w:rsidRPr="00C622E0" w:rsidRDefault="0037651B" w:rsidP="0037651B">
      <w:pPr>
        <w:pStyle w:val="SingleTxtG"/>
        <w:rPr>
          <w:lang w:eastAsia="es-ES"/>
        </w:rPr>
      </w:pPr>
      <w:r w:rsidRPr="00C622E0">
        <w:rPr>
          <w:lang w:eastAsia="es-ES"/>
        </w:rPr>
        <w:t>17.</w:t>
      </w:r>
      <w:r w:rsidRPr="00C622E0">
        <w:rPr>
          <w:lang w:eastAsia="es-ES"/>
        </w:rPr>
        <w:tab/>
        <w:t>Le Comité estime que les réparations recommandées dans le contexte de communications émanant de particuliers peuvent être assorties de garanties de non</w:t>
      </w:r>
      <w:r w:rsidRPr="00C622E0">
        <w:rPr>
          <w:lang w:eastAsia="es-ES"/>
        </w:rPr>
        <w:noBreakHyphen/>
        <w:t>répétition et rappelle que l</w:t>
      </w:r>
      <w:r>
        <w:rPr>
          <w:lang w:eastAsia="es-ES"/>
        </w:rPr>
        <w:t>’</w:t>
      </w:r>
      <w:r w:rsidRPr="00C622E0">
        <w:rPr>
          <w:lang w:eastAsia="es-ES"/>
        </w:rPr>
        <w:t>État partie est tenu de prévenir des violations analogues à l</w:t>
      </w:r>
      <w:r>
        <w:rPr>
          <w:lang w:eastAsia="es-ES"/>
        </w:rPr>
        <w:t>’</w:t>
      </w:r>
      <w:r w:rsidRPr="00C622E0">
        <w:rPr>
          <w:lang w:eastAsia="es-ES"/>
        </w:rPr>
        <w:t xml:space="preserve">avenir. </w:t>
      </w:r>
      <w:r>
        <w:rPr>
          <w:lang w:eastAsia="es-ES"/>
        </w:rPr>
        <w:t>L’</w:t>
      </w:r>
      <w:r w:rsidRPr="00C622E0">
        <w:rPr>
          <w:lang w:eastAsia="es-ES"/>
        </w:rPr>
        <w:t>État partie doit s</w:t>
      </w:r>
      <w:r>
        <w:rPr>
          <w:lang w:eastAsia="es-ES"/>
        </w:rPr>
        <w:t>’</w:t>
      </w:r>
      <w:r w:rsidRPr="00C622E0">
        <w:rPr>
          <w:lang w:eastAsia="es-ES"/>
        </w:rPr>
        <w:t>assurer que sa législation et son application des lois sont conformes aux obligations énoncées dans le Pacte. En particulier, l</w:t>
      </w:r>
      <w:r>
        <w:rPr>
          <w:lang w:eastAsia="es-ES"/>
        </w:rPr>
        <w:t>’</w:t>
      </w:r>
      <w:r w:rsidRPr="00C622E0">
        <w:rPr>
          <w:lang w:eastAsia="es-ES"/>
        </w:rPr>
        <w:t>État partie est tenu :</w:t>
      </w:r>
    </w:p>
    <w:p w14:paraId="7FFACE6B" w14:textId="77777777" w:rsidR="0037651B" w:rsidRPr="00C622E0" w:rsidRDefault="0037651B" w:rsidP="0037651B">
      <w:pPr>
        <w:pStyle w:val="SingleTxtG"/>
        <w:ind w:firstLine="567"/>
        <w:rPr>
          <w:lang w:eastAsia="es-ES"/>
        </w:rPr>
      </w:pPr>
      <w:r w:rsidRPr="00C622E0">
        <w:rPr>
          <w:lang w:eastAsia="es-ES"/>
        </w:rPr>
        <w:t>a)</w:t>
      </w:r>
      <w:r w:rsidRPr="00C622E0">
        <w:rPr>
          <w:lang w:eastAsia="es-ES"/>
        </w:rPr>
        <w:tab/>
      </w:r>
      <w:r>
        <w:rPr>
          <w:lang w:eastAsia="es-ES"/>
        </w:rPr>
        <w:t>D’</w:t>
      </w:r>
      <w:r w:rsidRPr="006562E6">
        <w:rPr>
          <w:lang w:eastAsia="es-ES"/>
        </w:rPr>
        <w:t>élaborer un cadre normatif régissant les expulsions de personnes</w:t>
      </w:r>
      <w:r w:rsidRPr="00C622E0" w:rsidDel="002B2EC2">
        <w:rPr>
          <w:lang w:eastAsia="es-ES"/>
        </w:rPr>
        <w:t xml:space="preserve"> </w:t>
      </w:r>
      <w:r>
        <w:rPr>
          <w:lang w:eastAsia="es-ES"/>
        </w:rPr>
        <w:t xml:space="preserve">de leur logement, </w:t>
      </w:r>
      <w:r w:rsidRPr="002B2EC2">
        <w:rPr>
          <w:lang w:eastAsia="es-ES"/>
        </w:rPr>
        <w:t>en prévoyant l</w:t>
      </w:r>
      <w:r>
        <w:rPr>
          <w:lang w:eastAsia="es-ES"/>
        </w:rPr>
        <w:t>’</w:t>
      </w:r>
      <w:r w:rsidRPr="002B2EC2">
        <w:rPr>
          <w:lang w:eastAsia="es-ES"/>
        </w:rPr>
        <w:t xml:space="preserve">obligation pour </w:t>
      </w:r>
      <w:r w:rsidRPr="00C622E0">
        <w:rPr>
          <w:lang w:eastAsia="es-ES"/>
        </w:rPr>
        <w:t xml:space="preserve">les autorités judiciaires </w:t>
      </w:r>
      <w:r>
        <w:rPr>
          <w:lang w:eastAsia="es-ES"/>
        </w:rPr>
        <w:t>d’</w:t>
      </w:r>
      <w:r w:rsidRPr="00C622E0">
        <w:rPr>
          <w:lang w:eastAsia="es-ES"/>
        </w:rPr>
        <w:t>examine</w:t>
      </w:r>
      <w:r>
        <w:rPr>
          <w:lang w:eastAsia="es-ES"/>
        </w:rPr>
        <w:t>r</w:t>
      </w:r>
      <w:r w:rsidRPr="00C622E0">
        <w:rPr>
          <w:lang w:eastAsia="es-ES"/>
        </w:rPr>
        <w:t xml:space="preserve"> la proportionnalité entre le but poursuivi par la mesure et ses conséquences pour les personnes visées, ainsi que la compatibilité de la mesure avec le Pacte</w:t>
      </w:r>
      <w:r w:rsidR="00612661">
        <w:rPr>
          <w:lang w:eastAsia="es-ES"/>
        </w:rPr>
        <w:t xml:space="preserve"> </w:t>
      </w:r>
      <w:r w:rsidRPr="002B2EC2">
        <w:rPr>
          <w:lang w:eastAsia="es-ES"/>
        </w:rPr>
        <w:t>dans tous les cas, y compris ceux d</w:t>
      </w:r>
      <w:r>
        <w:rPr>
          <w:lang w:eastAsia="es-ES"/>
        </w:rPr>
        <w:t>’</w:t>
      </w:r>
      <w:r w:rsidRPr="002B2EC2">
        <w:rPr>
          <w:lang w:eastAsia="es-ES"/>
        </w:rPr>
        <w:t xml:space="preserve">occupation sans titre </w:t>
      </w:r>
      <w:r>
        <w:rPr>
          <w:lang w:eastAsia="es-ES"/>
        </w:rPr>
        <w:t>juridique</w:t>
      </w:r>
      <w:r w:rsidR="00612661">
        <w:rPr>
          <w:lang w:eastAsia="es-ES"/>
        </w:rPr>
        <w:t> </w:t>
      </w:r>
      <w:r w:rsidRPr="00C622E0">
        <w:rPr>
          <w:lang w:eastAsia="es-ES"/>
        </w:rPr>
        <w:t>;</w:t>
      </w:r>
    </w:p>
    <w:p w14:paraId="53CDE0F2" w14:textId="77777777" w:rsidR="0037651B" w:rsidRDefault="0037651B" w:rsidP="0037651B">
      <w:pPr>
        <w:pStyle w:val="SingleTxtG"/>
        <w:ind w:firstLine="567"/>
        <w:rPr>
          <w:lang w:eastAsia="es-ES"/>
        </w:rPr>
      </w:pPr>
      <w:r w:rsidRPr="00C622E0">
        <w:rPr>
          <w:lang w:eastAsia="es-ES"/>
        </w:rPr>
        <w:t>b)</w:t>
      </w:r>
      <w:r w:rsidRPr="00C622E0">
        <w:rPr>
          <w:lang w:eastAsia="es-ES"/>
        </w:rPr>
        <w:tab/>
      </w:r>
      <w:r>
        <w:rPr>
          <w:lang w:eastAsia="es-ES"/>
        </w:rPr>
        <w:t>De v</w:t>
      </w:r>
      <w:r w:rsidRPr="006273B9">
        <w:rPr>
          <w:lang w:eastAsia="es-ES"/>
        </w:rPr>
        <w:t xml:space="preserve">eiller à ce que les personnes </w:t>
      </w:r>
      <w:r>
        <w:rPr>
          <w:lang w:eastAsia="es-ES"/>
        </w:rPr>
        <w:t>sous le coup</w:t>
      </w:r>
      <w:r w:rsidRPr="006273B9">
        <w:rPr>
          <w:lang w:eastAsia="es-ES"/>
        </w:rPr>
        <w:t xml:space="preserve"> d</w:t>
      </w:r>
      <w:r>
        <w:rPr>
          <w:lang w:eastAsia="es-ES"/>
        </w:rPr>
        <w:t>’</w:t>
      </w:r>
      <w:r w:rsidRPr="006273B9">
        <w:rPr>
          <w:lang w:eastAsia="es-ES"/>
        </w:rPr>
        <w:t>un ordre d</w:t>
      </w:r>
      <w:r>
        <w:rPr>
          <w:lang w:eastAsia="es-ES"/>
        </w:rPr>
        <w:t>’</w:t>
      </w:r>
      <w:r w:rsidRPr="006273B9">
        <w:rPr>
          <w:lang w:eastAsia="es-ES"/>
        </w:rPr>
        <w:t>expulsion puissent s</w:t>
      </w:r>
      <w:r>
        <w:rPr>
          <w:lang w:eastAsia="es-ES"/>
        </w:rPr>
        <w:t>’</w:t>
      </w:r>
      <w:r w:rsidRPr="006273B9">
        <w:rPr>
          <w:lang w:eastAsia="es-ES"/>
        </w:rPr>
        <w:t xml:space="preserve">opposer à la décision ou faire appel de celle-ci afin que les autorités judiciaires puissent examiner la proportionnalité entre le but légitime poursuivi </w:t>
      </w:r>
      <w:r>
        <w:rPr>
          <w:lang w:eastAsia="es-ES"/>
        </w:rPr>
        <w:t>par</w:t>
      </w:r>
      <w:r w:rsidRPr="006273B9">
        <w:rPr>
          <w:lang w:eastAsia="es-ES"/>
        </w:rPr>
        <w:t xml:space="preserve"> la mesure et ses conséquences pour les personnes expulsées, ainsi que sa compatibilité avec le Pacte dans tous les cas, y compris ceux d</w:t>
      </w:r>
      <w:r>
        <w:rPr>
          <w:lang w:eastAsia="es-ES"/>
        </w:rPr>
        <w:t>’</w:t>
      </w:r>
      <w:r w:rsidRPr="006273B9">
        <w:rPr>
          <w:lang w:eastAsia="es-ES"/>
        </w:rPr>
        <w:t xml:space="preserve">occupation sans titre </w:t>
      </w:r>
      <w:r>
        <w:rPr>
          <w:lang w:eastAsia="es-ES"/>
        </w:rPr>
        <w:t>juridique ;</w:t>
      </w:r>
    </w:p>
    <w:p w14:paraId="1C3B8A58" w14:textId="77777777" w:rsidR="0037651B" w:rsidRPr="00C622E0" w:rsidRDefault="0037651B" w:rsidP="0037651B">
      <w:pPr>
        <w:pStyle w:val="SingleTxtG"/>
        <w:ind w:firstLine="567"/>
        <w:rPr>
          <w:lang w:eastAsia="es-ES"/>
        </w:rPr>
      </w:pPr>
      <w:r>
        <w:rPr>
          <w:lang w:eastAsia="es-ES"/>
        </w:rPr>
        <w:t>c)</w:t>
      </w:r>
      <w:r>
        <w:rPr>
          <w:lang w:eastAsia="es-ES"/>
        </w:rPr>
        <w:tab/>
      </w:r>
      <w:r w:rsidRPr="00C622E0">
        <w:rPr>
          <w:lang w:eastAsia="es-ES"/>
        </w:rPr>
        <w:t>De prendre les mesures nécessaires pour que chacun puisse accéder, dans des conditions d</w:t>
      </w:r>
      <w:r>
        <w:rPr>
          <w:lang w:eastAsia="es-ES"/>
        </w:rPr>
        <w:t>’</w:t>
      </w:r>
      <w:r w:rsidRPr="00C622E0">
        <w:rPr>
          <w:lang w:eastAsia="es-ES"/>
        </w:rPr>
        <w:t xml:space="preserve">égalité, au parc de logements </w:t>
      </w:r>
      <w:r>
        <w:rPr>
          <w:lang w:eastAsia="es-ES"/>
        </w:rPr>
        <w:t>sociaux</w:t>
      </w:r>
      <w:r w:rsidRPr="00C622E0">
        <w:rPr>
          <w:lang w:eastAsia="es-ES"/>
        </w:rPr>
        <w:t xml:space="preserve">, en supprimant toute exigence </w:t>
      </w:r>
      <w:r>
        <w:rPr>
          <w:lang w:eastAsia="es-ES"/>
        </w:rPr>
        <w:lastRenderedPageBreak/>
        <w:t xml:space="preserve">déraisonnable </w:t>
      </w:r>
      <w:r w:rsidRPr="00C622E0">
        <w:rPr>
          <w:lang w:eastAsia="es-ES"/>
        </w:rPr>
        <w:t>susceptible d</w:t>
      </w:r>
      <w:r>
        <w:rPr>
          <w:lang w:eastAsia="es-ES"/>
        </w:rPr>
        <w:t>’</w:t>
      </w:r>
      <w:r w:rsidRPr="00C622E0">
        <w:rPr>
          <w:lang w:eastAsia="es-ES"/>
        </w:rPr>
        <w:t>exclure une personne exposée au risque d</w:t>
      </w:r>
      <w:r>
        <w:rPr>
          <w:lang w:eastAsia="es-ES"/>
        </w:rPr>
        <w:t>’</w:t>
      </w:r>
      <w:r w:rsidRPr="00C622E0">
        <w:rPr>
          <w:lang w:eastAsia="es-ES"/>
        </w:rPr>
        <w:t>indigence. En particulier, l</w:t>
      </w:r>
      <w:r>
        <w:rPr>
          <w:lang w:eastAsia="es-ES"/>
        </w:rPr>
        <w:t>’</w:t>
      </w:r>
      <w:r w:rsidRPr="00C622E0">
        <w:rPr>
          <w:lang w:eastAsia="es-ES"/>
        </w:rPr>
        <w:t xml:space="preserve">État partie doit faire en sorte que toutes les personnes qui occupent un logement sans titre juridique </w:t>
      </w:r>
      <w:r>
        <w:rPr>
          <w:lang w:eastAsia="es-ES"/>
        </w:rPr>
        <w:t xml:space="preserve">pour cause d’état de nécessité </w:t>
      </w:r>
      <w:r w:rsidRPr="00C622E0">
        <w:rPr>
          <w:lang w:eastAsia="es-ES"/>
        </w:rPr>
        <w:t>ne soient plus automatiquement exclues des listes de requérants ;</w:t>
      </w:r>
    </w:p>
    <w:p w14:paraId="3337110F" w14:textId="77777777" w:rsidR="0037651B" w:rsidRPr="00C622E0" w:rsidRDefault="0037651B" w:rsidP="0037651B">
      <w:pPr>
        <w:pStyle w:val="SingleTxtG"/>
        <w:ind w:firstLine="567"/>
        <w:rPr>
          <w:lang w:eastAsia="es-ES"/>
        </w:rPr>
      </w:pPr>
      <w:r>
        <w:rPr>
          <w:lang w:eastAsia="es-ES"/>
        </w:rPr>
        <w:t>d</w:t>
      </w:r>
      <w:r w:rsidRPr="00C622E0">
        <w:rPr>
          <w:lang w:eastAsia="es-ES"/>
        </w:rPr>
        <w:t>)</w:t>
      </w:r>
      <w:r w:rsidRPr="00C622E0">
        <w:rPr>
          <w:lang w:eastAsia="es-ES"/>
        </w:rPr>
        <w:tab/>
        <w:t>De prendre les mesures nécessaires pour que les procédures d</w:t>
      </w:r>
      <w:r>
        <w:rPr>
          <w:lang w:eastAsia="es-ES"/>
        </w:rPr>
        <w:t>’</w:t>
      </w:r>
      <w:r w:rsidRPr="00C622E0">
        <w:rPr>
          <w:lang w:eastAsia="es-ES"/>
        </w:rPr>
        <w:t>expulsion visant des personnes sans ressources suffisantes pour trouver un autre logement ne soient exécutées qu</w:t>
      </w:r>
      <w:r>
        <w:rPr>
          <w:lang w:eastAsia="es-ES"/>
        </w:rPr>
        <w:t>’</w:t>
      </w:r>
      <w:r w:rsidRPr="00C622E0">
        <w:rPr>
          <w:lang w:eastAsia="es-ES"/>
        </w:rPr>
        <w:t>une fois que ces personnes ont été véritablement consultées et que l</w:t>
      </w:r>
      <w:r>
        <w:rPr>
          <w:lang w:eastAsia="es-ES"/>
        </w:rPr>
        <w:t>’</w:t>
      </w:r>
      <w:r w:rsidRPr="00C622E0">
        <w:rPr>
          <w:lang w:eastAsia="es-ES"/>
        </w:rPr>
        <w:t>État partie a mis tout en œuvre et a agi au maximum de ses ressources disponibles pour que les personnes expulsées soient relogées, surtout lorsque l</w:t>
      </w:r>
      <w:r>
        <w:rPr>
          <w:lang w:eastAsia="es-ES"/>
        </w:rPr>
        <w:t>’</w:t>
      </w:r>
      <w:r w:rsidRPr="00C622E0">
        <w:rPr>
          <w:lang w:eastAsia="es-ES"/>
        </w:rPr>
        <w:t>expulsion concerne des familles, des personnes âgées, des enfants et d</w:t>
      </w:r>
      <w:r>
        <w:rPr>
          <w:lang w:eastAsia="es-ES"/>
        </w:rPr>
        <w:t>’</w:t>
      </w:r>
      <w:r w:rsidRPr="00C622E0">
        <w:rPr>
          <w:lang w:eastAsia="es-ES"/>
        </w:rPr>
        <w:t>autres personnes en situation de vulnérabilité ;</w:t>
      </w:r>
    </w:p>
    <w:p w14:paraId="6296440A" w14:textId="77777777" w:rsidR="0037651B" w:rsidRPr="00C622E0" w:rsidRDefault="0037651B" w:rsidP="0037651B">
      <w:pPr>
        <w:pStyle w:val="SingleTxtG"/>
        <w:ind w:firstLine="567"/>
        <w:rPr>
          <w:lang w:eastAsia="es-ES"/>
        </w:rPr>
      </w:pPr>
      <w:r>
        <w:rPr>
          <w:lang w:eastAsia="es-ES"/>
        </w:rPr>
        <w:t>e</w:t>
      </w:r>
      <w:r w:rsidRPr="00C622E0">
        <w:rPr>
          <w:lang w:eastAsia="es-ES"/>
        </w:rPr>
        <w:t>)</w:t>
      </w:r>
      <w:r w:rsidRPr="00C622E0">
        <w:rPr>
          <w:lang w:eastAsia="es-ES"/>
        </w:rPr>
        <w:tab/>
        <w:t>D</w:t>
      </w:r>
      <w:r>
        <w:rPr>
          <w:lang w:eastAsia="es-ES"/>
        </w:rPr>
        <w:t>’</w:t>
      </w:r>
      <w:r w:rsidRPr="00C622E0">
        <w:rPr>
          <w:lang w:eastAsia="es-ES"/>
        </w:rPr>
        <w:t>élaborer et de mettre en œuvre, en concertation avec les communautés autonomes et à l</w:t>
      </w:r>
      <w:r>
        <w:rPr>
          <w:lang w:eastAsia="es-ES"/>
        </w:rPr>
        <w:t>’</w:t>
      </w:r>
      <w:r w:rsidRPr="00C622E0">
        <w:rPr>
          <w:lang w:eastAsia="es-ES"/>
        </w:rPr>
        <w:t>aide de toutes les ressources disponibles, un programme global et détaillé visant à garantir le droit à un logement convenable aux personnes à faible revenu, conformément à l</w:t>
      </w:r>
      <w:r>
        <w:rPr>
          <w:lang w:eastAsia="es-ES"/>
        </w:rPr>
        <w:t>’</w:t>
      </w:r>
      <w:r w:rsidRPr="00C622E0">
        <w:rPr>
          <w:lang w:eastAsia="es-ES"/>
        </w:rPr>
        <w:t xml:space="preserve">observation générale </w:t>
      </w:r>
      <w:r w:rsidRPr="007727D6">
        <w:rPr>
          <w:rFonts w:eastAsia="MS Mincho"/>
          <w:lang w:eastAsia="es-ES"/>
        </w:rPr>
        <w:t>n</w:t>
      </w:r>
      <w:r w:rsidRPr="007727D6">
        <w:rPr>
          <w:rFonts w:eastAsia="MS Mincho"/>
          <w:vertAlign w:val="superscript"/>
          <w:lang w:eastAsia="es-ES"/>
        </w:rPr>
        <w:t>o</w:t>
      </w:r>
      <w:r>
        <w:rPr>
          <w:lang w:eastAsia="es-ES"/>
        </w:rPr>
        <w:t> </w:t>
      </w:r>
      <w:r w:rsidRPr="00C622E0">
        <w:rPr>
          <w:lang w:eastAsia="es-ES"/>
        </w:rPr>
        <w:t>4</w:t>
      </w:r>
      <w:r w:rsidRPr="00C622E0">
        <w:rPr>
          <w:rStyle w:val="Appelnotedebasdep"/>
        </w:rPr>
        <w:footnoteReference w:id="38"/>
      </w:r>
      <w:r w:rsidRPr="00C622E0">
        <w:rPr>
          <w:lang w:eastAsia="es-ES"/>
        </w:rPr>
        <w:t>. Ce programme devra mentionner les ressources, les mesures, les délais et les critères d</w:t>
      </w:r>
      <w:r>
        <w:rPr>
          <w:lang w:eastAsia="es-ES"/>
        </w:rPr>
        <w:t>’</w:t>
      </w:r>
      <w:r w:rsidRPr="00C622E0">
        <w:rPr>
          <w:lang w:eastAsia="es-ES"/>
        </w:rPr>
        <w:t>évaluation qui permettront de garantir, de manière raisonnable et vérifiable, le droit au logement à ces personnes ;</w:t>
      </w:r>
    </w:p>
    <w:p w14:paraId="39BD1A6F" w14:textId="77777777" w:rsidR="0037651B" w:rsidRPr="00C622E0" w:rsidRDefault="0037651B" w:rsidP="0037651B">
      <w:pPr>
        <w:pStyle w:val="SingleTxtG"/>
        <w:ind w:firstLine="567"/>
        <w:rPr>
          <w:lang w:eastAsia="es-ES"/>
        </w:rPr>
      </w:pPr>
      <w:r>
        <w:rPr>
          <w:lang w:eastAsia="es-ES"/>
        </w:rPr>
        <w:t>f</w:t>
      </w:r>
      <w:r w:rsidRPr="00C622E0">
        <w:rPr>
          <w:lang w:eastAsia="es-ES"/>
        </w:rPr>
        <w:t>)</w:t>
      </w:r>
      <w:r w:rsidRPr="00C622E0">
        <w:rPr>
          <w:lang w:eastAsia="es-ES"/>
        </w:rPr>
        <w:tab/>
        <w:t>D</w:t>
      </w:r>
      <w:r>
        <w:rPr>
          <w:lang w:eastAsia="es-ES"/>
        </w:rPr>
        <w:t>’</w:t>
      </w:r>
      <w:r w:rsidRPr="00C622E0">
        <w:rPr>
          <w:lang w:eastAsia="es-ES"/>
        </w:rPr>
        <w:t>établir un protocole pour l</w:t>
      </w:r>
      <w:r>
        <w:rPr>
          <w:lang w:eastAsia="es-ES"/>
        </w:rPr>
        <w:t>’</w:t>
      </w:r>
      <w:r w:rsidRPr="00C622E0">
        <w:rPr>
          <w:lang w:eastAsia="es-ES"/>
        </w:rPr>
        <w:t>accession aux demandes de mesures provisoires formulées par le Comité, en informant toutes les autorités concernées de la nécessité de se conformer auxdites demandes pour garantir l</w:t>
      </w:r>
      <w:r>
        <w:rPr>
          <w:lang w:eastAsia="es-ES"/>
        </w:rPr>
        <w:t>’</w:t>
      </w:r>
      <w:r w:rsidRPr="00C622E0">
        <w:rPr>
          <w:lang w:eastAsia="es-ES"/>
        </w:rPr>
        <w:t>intégrité de la procédure.</w:t>
      </w:r>
    </w:p>
    <w:p w14:paraId="26ABF642" w14:textId="77777777" w:rsidR="0037651B" w:rsidRDefault="0037651B" w:rsidP="0037651B">
      <w:pPr>
        <w:pStyle w:val="SingleTxtG"/>
        <w:rPr>
          <w:lang w:eastAsia="es-ES"/>
        </w:rPr>
      </w:pPr>
      <w:r w:rsidRPr="00C622E0">
        <w:rPr>
          <w:lang w:eastAsia="es-ES"/>
        </w:rPr>
        <w:t>18.</w:t>
      </w:r>
      <w:r w:rsidRPr="00C622E0">
        <w:rPr>
          <w:lang w:eastAsia="es-ES"/>
        </w:rPr>
        <w:tab/>
        <w:t>En vertu du paragraphe</w:t>
      </w:r>
      <w:r w:rsidR="00612661">
        <w:rPr>
          <w:lang w:eastAsia="es-ES"/>
        </w:rPr>
        <w:t> </w:t>
      </w:r>
      <w:r w:rsidRPr="00C622E0">
        <w:rPr>
          <w:lang w:eastAsia="es-ES"/>
        </w:rPr>
        <w:t>2 de l</w:t>
      </w:r>
      <w:r>
        <w:rPr>
          <w:lang w:eastAsia="es-ES"/>
        </w:rPr>
        <w:t>’</w:t>
      </w:r>
      <w:r w:rsidRPr="00C622E0">
        <w:rPr>
          <w:lang w:eastAsia="es-ES"/>
        </w:rPr>
        <w:t>article</w:t>
      </w:r>
      <w:r w:rsidR="00612661">
        <w:rPr>
          <w:lang w:eastAsia="es-ES"/>
        </w:rPr>
        <w:t> </w:t>
      </w:r>
      <w:r w:rsidRPr="00C622E0">
        <w:rPr>
          <w:lang w:eastAsia="es-ES"/>
        </w:rPr>
        <w:t>9 du Protocole facultatif et du paragraphe</w:t>
      </w:r>
      <w:r w:rsidR="00612661">
        <w:rPr>
          <w:lang w:eastAsia="es-ES"/>
        </w:rPr>
        <w:t> </w:t>
      </w:r>
      <w:r w:rsidRPr="00C622E0">
        <w:rPr>
          <w:lang w:eastAsia="es-ES"/>
        </w:rPr>
        <w:t>1 de l</w:t>
      </w:r>
      <w:r>
        <w:rPr>
          <w:lang w:eastAsia="es-ES"/>
        </w:rPr>
        <w:t>’</w:t>
      </w:r>
      <w:r w:rsidRPr="00C622E0">
        <w:rPr>
          <w:lang w:eastAsia="es-ES"/>
        </w:rPr>
        <w:t>article</w:t>
      </w:r>
      <w:r w:rsidR="00612661">
        <w:rPr>
          <w:lang w:eastAsia="es-ES"/>
        </w:rPr>
        <w:t> </w:t>
      </w:r>
      <w:r w:rsidRPr="00C622E0">
        <w:rPr>
          <w:lang w:eastAsia="es-ES"/>
        </w:rPr>
        <w:t>18 du Règlement intérieur provisoire relatif au Protocole facultatif, l</w:t>
      </w:r>
      <w:r>
        <w:rPr>
          <w:lang w:eastAsia="es-ES"/>
        </w:rPr>
        <w:t>’</w:t>
      </w:r>
      <w:r w:rsidRPr="00C622E0">
        <w:rPr>
          <w:lang w:eastAsia="es-ES"/>
        </w:rPr>
        <w:t>État partie doit soumettre au Comité, dans un délai de six mois, une réponse écrite contenant des informations sur les mesures qu</w:t>
      </w:r>
      <w:r>
        <w:rPr>
          <w:lang w:eastAsia="es-ES"/>
        </w:rPr>
        <w:t>’</w:t>
      </w:r>
      <w:r w:rsidRPr="00C622E0">
        <w:rPr>
          <w:lang w:eastAsia="es-ES"/>
        </w:rPr>
        <w:t>il a prises à la lumière des constatations et des recommandations du Comité. L</w:t>
      </w:r>
      <w:r>
        <w:rPr>
          <w:lang w:eastAsia="es-ES"/>
        </w:rPr>
        <w:t>’</w:t>
      </w:r>
      <w:r w:rsidRPr="00C622E0">
        <w:rPr>
          <w:lang w:eastAsia="es-ES"/>
        </w:rPr>
        <w:t>État partie est également prié de publier les constatations du Comité et de les diffuser largement, sous une forme accessible, afin qu</w:t>
      </w:r>
      <w:r>
        <w:rPr>
          <w:lang w:eastAsia="es-ES"/>
        </w:rPr>
        <w:t>’</w:t>
      </w:r>
      <w:r w:rsidRPr="00C622E0">
        <w:rPr>
          <w:lang w:eastAsia="es-ES"/>
        </w:rPr>
        <w:t>elles soient portées à la connaissance de tous les secteurs de la population.</w:t>
      </w:r>
    </w:p>
    <w:p w14:paraId="2E1304F7" w14:textId="77777777" w:rsidR="00612661" w:rsidRPr="00612661" w:rsidRDefault="00612661" w:rsidP="00612661">
      <w:pPr>
        <w:pStyle w:val="SingleTxtG"/>
        <w:spacing w:before="240" w:after="0"/>
        <w:jc w:val="center"/>
        <w:rPr>
          <w:u w:val="single"/>
          <w:lang w:eastAsia="es-ES"/>
        </w:rPr>
      </w:pPr>
      <w:r>
        <w:rPr>
          <w:u w:val="single"/>
          <w:lang w:eastAsia="es-ES"/>
        </w:rPr>
        <w:tab/>
      </w:r>
      <w:r>
        <w:rPr>
          <w:u w:val="single"/>
          <w:lang w:eastAsia="es-ES"/>
        </w:rPr>
        <w:tab/>
      </w:r>
      <w:r>
        <w:rPr>
          <w:u w:val="single"/>
          <w:lang w:eastAsia="es-ES"/>
        </w:rPr>
        <w:tab/>
      </w:r>
    </w:p>
    <w:sectPr w:rsidR="00612661" w:rsidRPr="00612661" w:rsidSect="0037651B">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CC437" w14:textId="77777777" w:rsidR="007256F3" w:rsidRDefault="007256F3" w:rsidP="00F95C08">
      <w:pPr>
        <w:spacing w:line="240" w:lineRule="auto"/>
      </w:pPr>
    </w:p>
  </w:endnote>
  <w:endnote w:type="continuationSeparator" w:id="0">
    <w:p w14:paraId="2271C2E7" w14:textId="77777777" w:rsidR="007256F3" w:rsidRPr="00AC3823" w:rsidRDefault="007256F3" w:rsidP="00AC3823">
      <w:pPr>
        <w:pStyle w:val="Pieddepage"/>
      </w:pPr>
    </w:p>
  </w:endnote>
  <w:endnote w:type="continuationNotice" w:id="1">
    <w:p w14:paraId="47846BDD" w14:textId="77777777" w:rsidR="007256F3" w:rsidRDefault="007256F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BCC8F" w14:textId="77777777" w:rsidR="007256F3" w:rsidRPr="0037651B" w:rsidRDefault="007256F3" w:rsidP="0037651B">
    <w:pPr>
      <w:pStyle w:val="Pieddepage"/>
      <w:tabs>
        <w:tab w:val="right" w:pos="9638"/>
      </w:tabs>
    </w:pPr>
    <w:r w:rsidRPr="0037651B">
      <w:rPr>
        <w:b/>
        <w:sz w:val="18"/>
      </w:rPr>
      <w:fldChar w:fldCharType="begin"/>
    </w:r>
    <w:r w:rsidRPr="0037651B">
      <w:rPr>
        <w:b/>
        <w:sz w:val="18"/>
      </w:rPr>
      <w:instrText xml:space="preserve"> PAGE  \* MERGEFORMAT </w:instrText>
    </w:r>
    <w:r w:rsidRPr="0037651B">
      <w:rPr>
        <w:b/>
        <w:sz w:val="18"/>
      </w:rPr>
      <w:fldChar w:fldCharType="separate"/>
    </w:r>
    <w:r w:rsidRPr="0037651B">
      <w:rPr>
        <w:b/>
        <w:noProof/>
        <w:sz w:val="18"/>
      </w:rPr>
      <w:t>2</w:t>
    </w:r>
    <w:r w:rsidRPr="0037651B">
      <w:rPr>
        <w:b/>
        <w:sz w:val="18"/>
      </w:rPr>
      <w:fldChar w:fldCharType="end"/>
    </w:r>
    <w:r>
      <w:rPr>
        <w:b/>
        <w:sz w:val="18"/>
      </w:rPr>
      <w:tab/>
    </w:r>
    <w:r>
      <w:t>GE.19-20582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21867" w14:textId="77777777" w:rsidR="007256F3" w:rsidRPr="0037651B" w:rsidRDefault="007256F3" w:rsidP="0037651B">
    <w:pPr>
      <w:pStyle w:val="Pieddepage"/>
      <w:tabs>
        <w:tab w:val="right" w:pos="9638"/>
      </w:tabs>
      <w:rPr>
        <w:b/>
        <w:sz w:val="18"/>
      </w:rPr>
    </w:pPr>
    <w:r>
      <w:t>GE.19-20582</w:t>
    </w:r>
    <w:r>
      <w:tab/>
    </w:r>
    <w:r w:rsidRPr="0037651B">
      <w:rPr>
        <w:b/>
        <w:sz w:val="18"/>
      </w:rPr>
      <w:fldChar w:fldCharType="begin"/>
    </w:r>
    <w:r w:rsidRPr="0037651B">
      <w:rPr>
        <w:b/>
        <w:sz w:val="18"/>
      </w:rPr>
      <w:instrText xml:space="preserve"> PAGE  \* MERGEFORMAT </w:instrText>
    </w:r>
    <w:r w:rsidRPr="0037651B">
      <w:rPr>
        <w:b/>
        <w:sz w:val="18"/>
      </w:rPr>
      <w:fldChar w:fldCharType="separate"/>
    </w:r>
    <w:r w:rsidRPr="0037651B">
      <w:rPr>
        <w:b/>
        <w:noProof/>
        <w:sz w:val="18"/>
      </w:rPr>
      <w:t>3</w:t>
    </w:r>
    <w:r w:rsidRPr="0037651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8EE53" w14:textId="77777777" w:rsidR="007256F3" w:rsidRPr="0037651B" w:rsidRDefault="007256F3" w:rsidP="0037651B">
    <w:pPr>
      <w:pStyle w:val="Pieddepage"/>
      <w:spacing w:before="120"/>
      <w:rPr>
        <w:sz w:val="20"/>
      </w:rPr>
    </w:pPr>
    <w:r>
      <w:rPr>
        <w:sz w:val="20"/>
      </w:rPr>
      <w:t>GE.</w:t>
    </w:r>
    <w:r>
      <w:rPr>
        <w:noProof/>
        <w:lang w:eastAsia="fr-CH"/>
      </w:rPr>
      <w:drawing>
        <wp:anchor distT="0" distB="0" distL="114300" distR="114300" simplePos="0" relativeHeight="251661312" behindDoc="0" locked="0" layoutInCell="1" allowOverlap="0" wp14:anchorId="3BA67E1E" wp14:editId="7D410D9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19-20582  (F)    180520    180520</w:t>
    </w:r>
    <w:r>
      <w:rPr>
        <w:sz w:val="20"/>
      </w:rPr>
      <w:br/>
    </w:r>
    <w:r w:rsidRPr="0037651B">
      <w:rPr>
        <w:rFonts w:ascii="C39T30Lfz" w:hAnsi="C39T30Lfz"/>
        <w:sz w:val="56"/>
      </w:rPr>
      <w:t></w:t>
    </w:r>
    <w:r w:rsidRPr="0037651B">
      <w:rPr>
        <w:rFonts w:ascii="C39T30Lfz" w:hAnsi="C39T30Lfz"/>
        <w:sz w:val="56"/>
      </w:rPr>
      <w:t></w:t>
    </w:r>
    <w:r w:rsidRPr="0037651B">
      <w:rPr>
        <w:rFonts w:ascii="C39T30Lfz" w:hAnsi="C39T30Lfz"/>
        <w:sz w:val="56"/>
      </w:rPr>
      <w:t></w:t>
    </w:r>
    <w:r w:rsidRPr="0037651B">
      <w:rPr>
        <w:rFonts w:ascii="C39T30Lfz" w:hAnsi="C39T30Lfz"/>
        <w:sz w:val="56"/>
      </w:rPr>
      <w:t></w:t>
    </w:r>
    <w:r w:rsidRPr="0037651B">
      <w:rPr>
        <w:rFonts w:ascii="C39T30Lfz" w:hAnsi="C39T30Lfz"/>
        <w:sz w:val="56"/>
      </w:rPr>
      <w:t></w:t>
    </w:r>
    <w:r w:rsidRPr="0037651B">
      <w:rPr>
        <w:rFonts w:ascii="C39T30Lfz" w:hAnsi="C39T30Lfz"/>
        <w:sz w:val="56"/>
      </w:rPr>
      <w:t></w:t>
    </w:r>
    <w:r w:rsidRPr="0037651B">
      <w:rPr>
        <w:rFonts w:ascii="C39T30Lfz" w:hAnsi="C39T30Lfz"/>
        <w:sz w:val="56"/>
      </w:rPr>
      <w:t></w:t>
    </w:r>
    <w:r w:rsidRPr="0037651B">
      <w:rPr>
        <w:rFonts w:ascii="C39T30Lfz" w:hAnsi="C39T30Lfz"/>
        <w:sz w:val="56"/>
      </w:rPr>
      <w:t></w:t>
    </w:r>
    <w:r w:rsidRPr="0037651B">
      <w:rPr>
        <w:rFonts w:ascii="C39T30Lfz" w:hAnsi="C39T30Lfz"/>
        <w:sz w:val="56"/>
      </w:rPr>
      <w:t></w:t>
    </w:r>
    <w:r>
      <w:rPr>
        <w:noProof/>
        <w:sz w:val="20"/>
      </w:rPr>
      <w:drawing>
        <wp:anchor distT="0" distB="0" distL="114300" distR="114300" simplePos="0" relativeHeight="251654144" behindDoc="0" locked="0" layoutInCell="1" allowOverlap="1" wp14:anchorId="43B2C7F3" wp14:editId="3CAD7F62">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E/C.12/66/D/37/201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6/D/37/201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2BEEB" w14:textId="77777777" w:rsidR="007256F3" w:rsidRPr="00AC3823" w:rsidRDefault="007256F3" w:rsidP="00AC3823">
      <w:pPr>
        <w:pStyle w:val="Pieddepage"/>
        <w:tabs>
          <w:tab w:val="right" w:pos="2155"/>
        </w:tabs>
        <w:spacing w:after="80" w:line="240" w:lineRule="atLeast"/>
        <w:ind w:left="680"/>
        <w:rPr>
          <w:u w:val="single"/>
        </w:rPr>
      </w:pPr>
      <w:r>
        <w:rPr>
          <w:u w:val="single"/>
        </w:rPr>
        <w:tab/>
      </w:r>
    </w:p>
  </w:footnote>
  <w:footnote w:type="continuationSeparator" w:id="0">
    <w:p w14:paraId="21208099" w14:textId="77777777" w:rsidR="007256F3" w:rsidRPr="00AC3823" w:rsidRDefault="007256F3" w:rsidP="00AC3823">
      <w:pPr>
        <w:pStyle w:val="Pieddepage"/>
        <w:tabs>
          <w:tab w:val="right" w:pos="2155"/>
        </w:tabs>
        <w:spacing w:after="80" w:line="240" w:lineRule="atLeast"/>
        <w:ind w:left="680"/>
        <w:rPr>
          <w:u w:val="single"/>
        </w:rPr>
      </w:pPr>
      <w:r>
        <w:rPr>
          <w:u w:val="single"/>
        </w:rPr>
        <w:tab/>
      </w:r>
    </w:p>
  </w:footnote>
  <w:footnote w:type="continuationNotice" w:id="1">
    <w:p w14:paraId="46FB73CC" w14:textId="77777777" w:rsidR="007256F3" w:rsidRPr="00AC3823" w:rsidRDefault="007256F3">
      <w:pPr>
        <w:spacing w:line="240" w:lineRule="auto"/>
        <w:rPr>
          <w:sz w:val="2"/>
          <w:szCs w:val="2"/>
        </w:rPr>
      </w:pPr>
    </w:p>
  </w:footnote>
  <w:footnote w:id="2">
    <w:p w14:paraId="77642632" w14:textId="77777777" w:rsidR="007256F3" w:rsidRPr="00644232" w:rsidRDefault="007256F3" w:rsidP="0037651B">
      <w:pPr>
        <w:pStyle w:val="Notedebasdepage"/>
        <w:rPr>
          <w:lang w:val="fr-FR"/>
        </w:rPr>
      </w:pPr>
      <w:r w:rsidRPr="0037651B">
        <w:rPr>
          <w:rStyle w:val="Appelnotedebasdep"/>
          <w:vertAlign w:val="baseline"/>
          <w:lang w:val="fr-FR"/>
        </w:rPr>
        <w:tab/>
      </w:r>
      <w:r w:rsidRPr="0037651B">
        <w:rPr>
          <w:rStyle w:val="Appelnotedebasdep"/>
          <w:sz w:val="20"/>
          <w:vertAlign w:val="baseline"/>
          <w:lang w:val="fr-FR"/>
        </w:rPr>
        <w:t>*</w:t>
      </w:r>
      <w:r w:rsidRPr="00644232">
        <w:rPr>
          <w:rStyle w:val="Appelnotedebasdep"/>
          <w:sz w:val="20"/>
          <w:lang w:val="fr-FR"/>
        </w:rPr>
        <w:tab/>
      </w:r>
      <w:r w:rsidRPr="00644232">
        <w:rPr>
          <w:lang w:val="fr-FR"/>
        </w:rPr>
        <w:t xml:space="preserve">Adoptées par le Comité à sa </w:t>
      </w:r>
      <w:r>
        <w:rPr>
          <w:lang w:val="fr-FR"/>
        </w:rPr>
        <w:t>soixante</w:t>
      </w:r>
      <w:r>
        <w:rPr>
          <w:lang w:val="fr-FR"/>
        </w:rPr>
        <w:noBreakHyphen/>
        <w:t xml:space="preserve">sixième session </w:t>
      </w:r>
      <w:r w:rsidRPr="00644232">
        <w:rPr>
          <w:lang w:val="fr-FR"/>
        </w:rPr>
        <w:t>(30</w:t>
      </w:r>
      <w:r>
        <w:rPr>
          <w:lang w:val="fr-FR"/>
        </w:rPr>
        <w:t> </w:t>
      </w:r>
      <w:r w:rsidRPr="00C625A9">
        <w:rPr>
          <w:lang w:val="fr-FR"/>
        </w:rPr>
        <w:t>septembre</w:t>
      </w:r>
      <w:r>
        <w:rPr>
          <w:lang w:val="fr-FR"/>
        </w:rPr>
        <w:noBreakHyphen/>
      </w:r>
      <w:r w:rsidRPr="00644232">
        <w:rPr>
          <w:lang w:val="fr-FR"/>
        </w:rPr>
        <w:t>18</w:t>
      </w:r>
      <w:r>
        <w:rPr>
          <w:lang w:val="fr-FR"/>
        </w:rPr>
        <w:t> </w:t>
      </w:r>
      <w:r w:rsidRPr="00C625A9">
        <w:rPr>
          <w:lang w:val="fr-FR"/>
        </w:rPr>
        <w:t>octobre</w:t>
      </w:r>
      <w:r w:rsidRPr="00644232">
        <w:rPr>
          <w:lang w:val="fr-FR"/>
        </w:rPr>
        <w:t xml:space="preserve"> 2019).</w:t>
      </w:r>
    </w:p>
  </w:footnote>
  <w:footnote w:id="3">
    <w:p w14:paraId="581A342A" w14:textId="77777777" w:rsidR="007256F3" w:rsidRPr="007727D6" w:rsidRDefault="007256F3" w:rsidP="0037651B">
      <w:pPr>
        <w:pStyle w:val="Notedebasdepage"/>
        <w:rPr>
          <w:szCs w:val="18"/>
          <w:lang w:val="fr-FR"/>
        </w:rPr>
      </w:pPr>
      <w:r w:rsidRPr="00C625A9">
        <w:rPr>
          <w:szCs w:val="18"/>
          <w:lang w:val="fr-FR"/>
        </w:rPr>
        <w:tab/>
      </w:r>
      <w:r w:rsidRPr="007727D6">
        <w:rPr>
          <w:rStyle w:val="Appelnotedebasdep"/>
          <w:szCs w:val="18"/>
        </w:rPr>
        <w:footnoteRef/>
      </w:r>
      <w:r w:rsidRPr="007727D6">
        <w:rPr>
          <w:szCs w:val="18"/>
          <w:lang w:val="fr-FR"/>
        </w:rPr>
        <w:tab/>
        <w:t>Les faits ont été reconstitués à partir de la lettre initiale et des informations fournies par la suite par les parties dans leurs observations et commentaires sur le fond.</w:t>
      </w:r>
    </w:p>
  </w:footnote>
  <w:footnote w:id="4">
    <w:p w14:paraId="00500D99" w14:textId="77777777" w:rsidR="007256F3" w:rsidRPr="007727D6" w:rsidRDefault="007256F3" w:rsidP="0037651B">
      <w:pPr>
        <w:pStyle w:val="Notedebasdepage"/>
        <w:rPr>
          <w:szCs w:val="18"/>
          <w:lang w:val="fr-FR"/>
        </w:rPr>
      </w:pPr>
      <w:r w:rsidRPr="007727D6">
        <w:rPr>
          <w:szCs w:val="18"/>
          <w:lang w:val="fr-FR"/>
        </w:rPr>
        <w:tab/>
      </w:r>
      <w:r w:rsidRPr="007727D6">
        <w:rPr>
          <w:rStyle w:val="Appelnotedebasdep"/>
          <w:szCs w:val="18"/>
        </w:rPr>
        <w:footnoteRef/>
      </w:r>
      <w:r w:rsidRPr="007727D6">
        <w:rPr>
          <w:szCs w:val="18"/>
          <w:lang w:val="fr-FR"/>
        </w:rPr>
        <w:tab/>
        <w:t>Pendant la procédure pénale, l’auteure recevait un revenu minimum d’insertion d’un montant de 241,18 euros, qui constituait la seule et unique source de revenu du ménage, son enfant majeur y compris.</w:t>
      </w:r>
    </w:p>
  </w:footnote>
  <w:footnote w:id="5">
    <w:p w14:paraId="1A264DFF" w14:textId="77777777" w:rsidR="007256F3" w:rsidRPr="007727D6" w:rsidRDefault="007256F3" w:rsidP="0037651B">
      <w:pPr>
        <w:pStyle w:val="Notedebasdepage"/>
        <w:rPr>
          <w:spacing w:val="-1"/>
          <w:szCs w:val="18"/>
          <w:lang w:val="fr-FR"/>
        </w:rPr>
      </w:pPr>
      <w:r w:rsidRPr="007727D6">
        <w:rPr>
          <w:szCs w:val="18"/>
          <w:lang w:val="fr-FR"/>
        </w:rPr>
        <w:tab/>
      </w:r>
      <w:r w:rsidRPr="007727D6">
        <w:rPr>
          <w:rStyle w:val="Appelnotedebasdep"/>
          <w:szCs w:val="18"/>
        </w:rPr>
        <w:footnoteRef/>
      </w:r>
      <w:r w:rsidRPr="007727D6">
        <w:rPr>
          <w:szCs w:val="18"/>
          <w:lang w:val="fr-FR"/>
        </w:rPr>
        <w:tab/>
      </w:r>
      <w:r w:rsidRPr="007727D6">
        <w:rPr>
          <w:spacing w:val="-1"/>
          <w:szCs w:val="18"/>
          <w:lang w:val="fr-FR"/>
        </w:rPr>
        <w:t>L’auteure a joint à sa communication une copie de cette décision, mais sur laquelle ne figure aucune date. Elle affirme qu’en raison des difficultés rencontrées pour conserver ses biens après son expulsion, elle n’a pas pu trouver d’autres documents mentionnant les dates de la demande et de la décision.</w:t>
      </w:r>
    </w:p>
  </w:footnote>
  <w:footnote w:id="6">
    <w:p w14:paraId="4A8AF7F2" w14:textId="77777777" w:rsidR="007256F3" w:rsidRPr="007727D6" w:rsidRDefault="007256F3" w:rsidP="0037651B">
      <w:pPr>
        <w:pStyle w:val="Notedebasdepage"/>
        <w:rPr>
          <w:szCs w:val="18"/>
          <w:lang w:val="fr-FR"/>
        </w:rPr>
      </w:pPr>
      <w:r w:rsidRPr="007727D6">
        <w:rPr>
          <w:szCs w:val="18"/>
          <w:lang w:val="fr-FR"/>
        </w:rPr>
        <w:tab/>
      </w:r>
      <w:r w:rsidRPr="007727D6">
        <w:rPr>
          <w:rStyle w:val="Appelnotedebasdep"/>
          <w:szCs w:val="18"/>
        </w:rPr>
        <w:footnoteRef/>
      </w:r>
      <w:r w:rsidRPr="007727D6">
        <w:rPr>
          <w:szCs w:val="18"/>
          <w:lang w:val="fr-FR"/>
        </w:rPr>
        <w:tab/>
        <w:t>Il s’agit de la date mentionnée dans la décision du tribunal.</w:t>
      </w:r>
    </w:p>
  </w:footnote>
  <w:footnote w:id="7">
    <w:p w14:paraId="5056CB9F" w14:textId="77777777" w:rsidR="007256F3" w:rsidRPr="007727D6" w:rsidRDefault="007256F3" w:rsidP="0037651B">
      <w:pPr>
        <w:pStyle w:val="Notedebasdepage"/>
        <w:rPr>
          <w:szCs w:val="18"/>
          <w:lang w:val="fr-FR"/>
        </w:rPr>
      </w:pPr>
      <w:r w:rsidRPr="007727D6">
        <w:rPr>
          <w:szCs w:val="18"/>
          <w:lang w:val="fr-FR"/>
        </w:rPr>
        <w:tab/>
      </w:r>
      <w:r w:rsidRPr="007727D6">
        <w:rPr>
          <w:rStyle w:val="Appelnotedebasdep"/>
          <w:szCs w:val="18"/>
        </w:rPr>
        <w:footnoteRef/>
      </w:r>
      <w:r w:rsidRPr="007727D6">
        <w:rPr>
          <w:szCs w:val="18"/>
          <w:lang w:val="fr-FR"/>
        </w:rPr>
        <w:tab/>
        <w:t>L’État partie décrit les dispositions du décret</w:t>
      </w:r>
      <w:r>
        <w:rPr>
          <w:szCs w:val="18"/>
          <w:lang w:val="fr-FR"/>
        </w:rPr>
        <w:t>-loi</w:t>
      </w:r>
      <w:r w:rsidRPr="007727D6">
        <w:rPr>
          <w:szCs w:val="18"/>
          <w:lang w:val="fr-FR"/>
        </w:rPr>
        <w:t xml:space="preserve"> royal, sans expliquer comment elles s’appliquent en l’espèce.</w:t>
      </w:r>
    </w:p>
  </w:footnote>
  <w:footnote w:id="8">
    <w:p w14:paraId="2CCE7478" w14:textId="77777777" w:rsidR="007256F3" w:rsidRPr="007727D6" w:rsidRDefault="007256F3" w:rsidP="0037651B">
      <w:pPr>
        <w:pStyle w:val="Notedebasdepage"/>
        <w:rPr>
          <w:szCs w:val="18"/>
          <w:lang w:val="fr-FR"/>
        </w:rPr>
      </w:pPr>
      <w:r w:rsidRPr="007727D6">
        <w:rPr>
          <w:szCs w:val="18"/>
          <w:lang w:val="fr-FR"/>
        </w:rPr>
        <w:tab/>
      </w:r>
      <w:r w:rsidRPr="007727D6">
        <w:rPr>
          <w:rStyle w:val="Appelnotedebasdep"/>
          <w:szCs w:val="18"/>
        </w:rPr>
        <w:footnoteRef/>
      </w:r>
      <w:r w:rsidRPr="007727D6">
        <w:rPr>
          <w:szCs w:val="18"/>
          <w:lang w:val="fr-FR"/>
        </w:rPr>
        <w:tab/>
        <w:t>L’État partie décrit chacune de ces politiques sans expliquer comment elles s’appliquent en l’espèce.</w:t>
      </w:r>
    </w:p>
  </w:footnote>
  <w:footnote w:id="9">
    <w:p w14:paraId="0756F40B" w14:textId="77777777" w:rsidR="007256F3" w:rsidRPr="007727D6" w:rsidRDefault="007256F3" w:rsidP="0037651B">
      <w:pPr>
        <w:pStyle w:val="Notedebasdepage"/>
        <w:rPr>
          <w:szCs w:val="18"/>
          <w:lang w:val="fr-FR"/>
        </w:rPr>
      </w:pPr>
      <w:r w:rsidRPr="007727D6">
        <w:rPr>
          <w:szCs w:val="18"/>
          <w:lang w:val="fr-FR"/>
        </w:rPr>
        <w:tab/>
      </w:r>
      <w:r w:rsidRPr="007727D6">
        <w:rPr>
          <w:rStyle w:val="Appelnotedebasdep"/>
          <w:szCs w:val="18"/>
        </w:rPr>
        <w:footnoteRef/>
      </w:r>
      <w:r w:rsidRPr="007727D6">
        <w:rPr>
          <w:szCs w:val="18"/>
          <w:lang w:val="fr-FR"/>
        </w:rPr>
        <w:tab/>
        <w:t>L’État partie décrit ces politiques sans expliquer comment elles s’appliquent en l’espèce.</w:t>
      </w:r>
    </w:p>
  </w:footnote>
  <w:footnote w:id="10">
    <w:p w14:paraId="2DDCF24F" w14:textId="77777777" w:rsidR="007256F3" w:rsidRPr="007727D6" w:rsidRDefault="007256F3" w:rsidP="0037651B">
      <w:pPr>
        <w:pStyle w:val="Notedebasdepage"/>
        <w:rPr>
          <w:szCs w:val="18"/>
          <w:lang w:val="fr-FR"/>
        </w:rPr>
      </w:pPr>
      <w:r w:rsidRPr="007727D6">
        <w:rPr>
          <w:szCs w:val="18"/>
          <w:lang w:val="fr-FR"/>
        </w:rPr>
        <w:tab/>
      </w:r>
      <w:r w:rsidRPr="007727D6">
        <w:rPr>
          <w:rStyle w:val="Appelnotedebasdep"/>
          <w:szCs w:val="18"/>
        </w:rPr>
        <w:footnoteRef/>
      </w:r>
      <w:r w:rsidRPr="007727D6">
        <w:rPr>
          <w:szCs w:val="18"/>
          <w:lang w:val="fr-FR"/>
        </w:rPr>
        <w:tab/>
        <w:t xml:space="preserve">Voir </w:t>
      </w:r>
      <w:r>
        <w:rPr>
          <w:szCs w:val="18"/>
          <w:lang w:val="fr-FR"/>
        </w:rPr>
        <w:t xml:space="preserve">Comité des droits de l’homme, </w:t>
      </w:r>
      <w:r w:rsidRPr="007727D6">
        <w:rPr>
          <w:i/>
          <w:szCs w:val="18"/>
          <w:lang w:val="fr-FR"/>
        </w:rPr>
        <w:t>J. H. c. Finlande</w:t>
      </w:r>
      <w:r>
        <w:rPr>
          <w:i/>
          <w:szCs w:val="18"/>
          <w:lang w:val="fr-FR"/>
        </w:rPr>
        <w:t xml:space="preserve">, </w:t>
      </w:r>
      <w:r w:rsidRPr="00644232">
        <w:rPr>
          <w:szCs w:val="18"/>
          <w:lang w:val="fr-FR"/>
        </w:rPr>
        <w:t>communication n</w:t>
      </w:r>
      <w:r w:rsidRPr="0037651B">
        <w:rPr>
          <w:szCs w:val="18"/>
          <w:vertAlign w:val="superscript"/>
          <w:lang w:val="fr-FR"/>
        </w:rPr>
        <w:t>o</w:t>
      </w:r>
      <w:r>
        <w:rPr>
          <w:szCs w:val="18"/>
          <w:lang w:val="fr-FR"/>
        </w:rPr>
        <w:t> </w:t>
      </w:r>
      <w:r w:rsidRPr="00644232">
        <w:rPr>
          <w:szCs w:val="18"/>
          <w:lang w:val="fr-FR"/>
        </w:rPr>
        <w:t>300/1988</w:t>
      </w:r>
      <w:r w:rsidRPr="00D079DD">
        <w:rPr>
          <w:szCs w:val="18"/>
          <w:lang w:val="fr-FR"/>
        </w:rPr>
        <w:t>.</w:t>
      </w:r>
    </w:p>
  </w:footnote>
  <w:footnote w:id="11">
    <w:p w14:paraId="10488FE7" w14:textId="77777777" w:rsidR="007256F3" w:rsidRPr="007727D6" w:rsidRDefault="007256F3" w:rsidP="0037651B">
      <w:pPr>
        <w:pStyle w:val="Notedebasdepage"/>
        <w:rPr>
          <w:i/>
          <w:szCs w:val="18"/>
          <w:lang w:val="fr-FR"/>
        </w:rPr>
      </w:pPr>
      <w:r w:rsidRPr="007727D6">
        <w:rPr>
          <w:szCs w:val="18"/>
          <w:lang w:val="fr-FR"/>
        </w:rPr>
        <w:tab/>
      </w:r>
      <w:r w:rsidRPr="007727D6">
        <w:rPr>
          <w:rStyle w:val="Appelnotedebasdep"/>
          <w:szCs w:val="18"/>
        </w:rPr>
        <w:footnoteRef/>
      </w:r>
      <w:r w:rsidRPr="007727D6">
        <w:rPr>
          <w:szCs w:val="18"/>
          <w:lang w:val="fr-FR"/>
        </w:rPr>
        <w:tab/>
        <w:t xml:space="preserve">Voir </w:t>
      </w:r>
      <w:r>
        <w:rPr>
          <w:szCs w:val="18"/>
          <w:lang w:val="fr-FR"/>
        </w:rPr>
        <w:t>l’</w:t>
      </w:r>
      <w:r w:rsidRPr="007727D6">
        <w:rPr>
          <w:szCs w:val="18"/>
          <w:lang w:val="fr-FR"/>
        </w:rPr>
        <w:t xml:space="preserve">arrêt du Tribunal suprême </w:t>
      </w:r>
      <w:r>
        <w:rPr>
          <w:szCs w:val="18"/>
          <w:lang w:val="fr-FR"/>
        </w:rPr>
        <w:t>n</w:t>
      </w:r>
      <w:r w:rsidRPr="0037651B">
        <w:rPr>
          <w:szCs w:val="18"/>
          <w:vertAlign w:val="superscript"/>
          <w:lang w:val="fr-FR"/>
        </w:rPr>
        <w:t>o</w:t>
      </w:r>
      <w:r>
        <w:rPr>
          <w:szCs w:val="18"/>
          <w:lang w:val="fr-FR"/>
        </w:rPr>
        <w:t xml:space="preserve"> 800/2014 </w:t>
      </w:r>
      <w:r w:rsidRPr="007727D6">
        <w:rPr>
          <w:szCs w:val="18"/>
          <w:lang w:val="fr-FR"/>
        </w:rPr>
        <w:t>du 12</w:t>
      </w:r>
      <w:r w:rsidR="001514A8">
        <w:rPr>
          <w:szCs w:val="18"/>
          <w:lang w:val="fr-FR"/>
        </w:rPr>
        <w:t> </w:t>
      </w:r>
      <w:r>
        <w:rPr>
          <w:szCs w:val="18"/>
          <w:lang w:val="fr-FR"/>
        </w:rPr>
        <w:t>novembre</w:t>
      </w:r>
      <w:r w:rsidRPr="007727D6">
        <w:rPr>
          <w:szCs w:val="18"/>
          <w:lang w:val="fr-FR"/>
        </w:rPr>
        <w:t xml:space="preserve"> 2014.</w:t>
      </w:r>
    </w:p>
  </w:footnote>
  <w:footnote w:id="12">
    <w:p w14:paraId="4AC5442B" w14:textId="77777777" w:rsidR="007256F3" w:rsidRPr="007727D6" w:rsidRDefault="007256F3" w:rsidP="0037651B">
      <w:pPr>
        <w:pStyle w:val="Notedebasdepage"/>
        <w:rPr>
          <w:szCs w:val="18"/>
          <w:lang w:val="fr-FR"/>
        </w:rPr>
      </w:pPr>
      <w:r w:rsidRPr="007727D6">
        <w:rPr>
          <w:szCs w:val="18"/>
          <w:lang w:val="fr-FR"/>
        </w:rPr>
        <w:tab/>
      </w:r>
      <w:r w:rsidRPr="007727D6">
        <w:rPr>
          <w:rStyle w:val="Appelnotedebasdep"/>
          <w:szCs w:val="18"/>
        </w:rPr>
        <w:footnoteRef/>
      </w:r>
      <w:r w:rsidRPr="007727D6">
        <w:rPr>
          <w:szCs w:val="18"/>
          <w:lang w:val="fr-FR"/>
        </w:rPr>
        <w:tab/>
        <w:t xml:space="preserve">Voir </w:t>
      </w:r>
      <w:r>
        <w:rPr>
          <w:szCs w:val="18"/>
          <w:lang w:val="fr-FR"/>
        </w:rPr>
        <w:t xml:space="preserve">les </w:t>
      </w:r>
      <w:r w:rsidRPr="007727D6">
        <w:rPr>
          <w:szCs w:val="18"/>
          <w:lang w:val="fr-FR"/>
        </w:rPr>
        <w:t>arrêts de l’Audiencia Provincial de Ségovie du 29</w:t>
      </w:r>
      <w:r w:rsidR="001514A8">
        <w:rPr>
          <w:szCs w:val="18"/>
          <w:lang w:val="fr-FR"/>
        </w:rPr>
        <w:t> </w:t>
      </w:r>
      <w:r w:rsidRPr="007727D6">
        <w:rPr>
          <w:szCs w:val="18"/>
          <w:lang w:val="fr-FR"/>
        </w:rPr>
        <w:t>octobre 1998, de l’Audiencia Provincial de Gérone du 5</w:t>
      </w:r>
      <w:r w:rsidR="001514A8">
        <w:rPr>
          <w:szCs w:val="18"/>
          <w:lang w:val="fr-FR"/>
        </w:rPr>
        <w:t> </w:t>
      </w:r>
      <w:r w:rsidRPr="007727D6">
        <w:rPr>
          <w:szCs w:val="18"/>
          <w:lang w:val="fr-FR"/>
        </w:rPr>
        <w:t>février 1999 et de l’Audiencia Provincial de Valence du 4</w:t>
      </w:r>
      <w:r w:rsidR="001514A8">
        <w:rPr>
          <w:szCs w:val="18"/>
          <w:lang w:val="fr-FR"/>
        </w:rPr>
        <w:t> </w:t>
      </w:r>
      <w:r w:rsidRPr="007727D6">
        <w:rPr>
          <w:szCs w:val="18"/>
          <w:lang w:val="fr-FR"/>
        </w:rPr>
        <w:t>février 2000.</w:t>
      </w:r>
    </w:p>
  </w:footnote>
  <w:footnote w:id="13">
    <w:p w14:paraId="0CD508C1" w14:textId="77777777" w:rsidR="007256F3" w:rsidRPr="007727D6" w:rsidRDefault="007256F3" w:rsidP="0037651B">
      <w:pPr>
        <w:pStyle w:val="Notedebasdepage"/>
        <w:rPr>
          <w:szCs w:val="18"/>
          <w:lang w:val="fr-FR"/>
        </w:rPr>
      </w:pPr>
      <w:r w:rsidRPr="007727D6">
        <w:rPr>
          <w:szCs w:val="18"/>
          <w:lang w:val="fr-FR"/>
        </w:rPr>
        <w:tab/>
      </w:r>
      <w:r w:rsidRPr="007727D6">
        <w:rPr>
          <w:rStyle w:val="Appelnotedebasdep"/>
          <w:szCs w:val="18"/>
        </w:rPr>
        <w:footnoteRef/>
      </w:r>
      <w:r w:rsidRPr="007727D6">
        <w:rPr>
          <w:szCs w:val="18"/>
          <w:lang w:val="fr-FR"/>
        </w:rPr>
        <w:tab/>
        <w:t>A/HRC/4/18, annexe I.</w:t>
      </w:r>
    </w:p>
  </w:footnote>
  <w:footnote w:id="14">
    <w:p w14:paraId="63BD9380" w14:textId="77777777" w:rsidR="007256F3" w:rsidRPr="007727D6" w:rsidRDefault="007256F3" w:rsidP="0037651B">
      <w:pPr>
        <w:pStyle w:val="Notedebasdepage"/>
        <w:rPr>
          <w:bCs/>
          <w:i/>
          <w:iCs/>
          <w:szCs w:val="18"/>
        </w:rPr>
      </w:pPr>
      <w:r w:rsidRPr="007727D6">
        <w:rPr>
          <w:szCs w:val="18"/>
          <w:lang w:val="fr-FR"/>
        </w:rPr>
        <w:tab/>
      </w:r>
      <w:r w:rsidRPr="007727D6">
        <w:rPr>
          <w:rStyle w:val="Appelnotedebasdep"/>
          <w:szCs w:val="18"/>
        </w:rPr>
        <w:footnoteRef/>
      </w:r>
      <w:r w:rsidRPr="007727D6">
        <w:rPr>
          <w:szCs w:val="18"/>
          <w:lang w:val="fr-FR"/>
        </w:rPr>
        <w:tab/>
        <w:t>L’auteure renvoie à l’article 27 de la Convention de Vienne sur le droit des traités.</w:t>
      </w:r>
    </w:p>
  </w:footnote>
  <w:footnote w:id="15">
    <w:p w14:paraId="7AD088F6" w14:textId="77777777" w:rsidR="007256F3" w:rsidRPr="007727D6" w:rsidRDefault="007256F3" w:rsidP="0037651B">
      <w:pPr>
        <w:pStyle w:val="Notedebasdepage"/>
        <w:rPr>
          <w:i/>
          <w:szCs w:val="18"/>
          <w:lang w:val="fr-FR"/>
        </w:rPr>
      </w:pPr>
      <w:r w:rsidRPr="007727D6">
        <w:rPr>
          <w:szCs w:val="18"/>
          <w:lang w:val="fr-FR"/>
        </w:rPr>
        <w:tab/>
      </w:r>
      <w:r w:rsidRPr="007727D6">
        <w:rPr>
          <w:rStyle w:val="Appelnotedebasdep"/>
          <w:szCs w:val="18"/>
        </w:rPr>
        <w:footnoteRef/>
      </w:r>
      <w:r w:rsidRPr="007727D6">
        <w:rPr>
          <w:szCs w:val="18"/>
          <w:lang w:val="fr-FR"/>
        </w:rPr>
        <w:tab/>
        <w:t xml:space="preserve">Voir </w:t>
      </w:r>
      <w:r w:rsidRPr="007727D6">
        <w:rPr>
          <w:i/>
          <w:szCs w:val="18"/>
          <w:lang w:val="fr-FR"/>
        </w:rPr>
        <w:t xml:space="preserve">Ben Djazia et </w:t>
      </w:r>
      <w:r>
        <w:rPr>
          <w:i/>
          <w:szCs w:val="18"/>
          <w:lang w:val="fr-FR"/>
        </w:rPr>
        <w:t>Bellili</w:t>
      </w:r>
      <w:r w:rsidRPr="007727D6">
        <w:rPr>
          <w:i/>
          <w:szCs w:val="18"/>
          <w:lang w:val="fr-FR"/>
        </w:rPr>
        <w:t xml:space="preserve"> c. Espagne</w:t>
      </w:r>
      <w:r>
        <w:rPr>
          <w:szCs w:val="18"/>
          <w:lang w:val="fr-FR"/>
        </w:rPr>
        <w:t xml:space="preserve"> (</w:t>
      </w:r>
      <w:r w:rsidRPr="007727D6">
        <w:rPr>
          <w:szCs w:val="18"/>
          <w:lang w:val="fr-FR"/>
        </w:rPr>
        <w:t>E/C.12/61/D/5/2015</w:t>
      </w:r>
      <w:r>
        <w:rPr>
          <w:szCs w:val="18"/>
          <w:lang w:val="fr-FR"/>
        </w:rPr>
        <w:t>)</w:t>
      </w:r>
      <w:r w:rsidRPr="007727D6">
        <w:rPr>
          <w:szCs w:val="18"/>
          <w:lang w:val="fr-FR"/>
        </w:rPr>
        <w:t>, par. 2</w:t>
      </w:r>
      <w:r>
        <w:rPr>
          <w:szCs w:val="18"/>
          <w:lang w:val="fr-FR"/>
        </w:rPr>
        <w:t>1</w:t>
      </w:r>
      <w:r w:rsidRPr="007727D6">
        <w:rPr>
          <w:szCs w:val="18"/>
          <w:lang w:val="fr-FR"/>
        </w:rPr>
        <w:t>.</w:t>
      </w:r>
    </w:p>
  </w:footnote>
  <w:footnote w:id="16">
    <w:p w14:paraId="2D23420D" w14:textId="77777777" w:rsidR="007256F3" w:rsidRPr="007727D6" w:rsidRDefault="007256F3" w:rsidP="0037651B">
      <w:pPr>
        <w:pStyle w:val="Notedebasdepage"/>
        <w:rPr>
          <w:szCs w:val="18"/>
          <w:lang w:val="fr-FR"/>
        </w:rPr>
      </w:pPr>
      <w:r w:rsidRPr="007727D6">
        <w:rPr>
          <w:szCs w:val="18"/>
          <w:lang w:val="fr-FR"/>
        </w:rPr>
        <w:tab/>
      </w:r>
      <w:r w:rsidRPr="007727D6">
        <w:rPr>
          <w:rStyle w:val="Appelnotedebasdep"/>
          <w:szCs w:val="18"/>
        </w:rPr>
        <w:footnoteRef/>
      </w:r>
      <w:r w:rsidRPr="007727D6">
        <w:rPr>
          <w:szCs w:val="18"/>
          <w:lang w:val="fr-FR"/>
        </w:rPr>
        <w:tab/>
      </w:r>
      <w:r>
        <w:rPr>
          <w:szCs w:val="18"/>
          <w:lang w:val="fr-FR"/>
        </w:rPr>
        <w:t>L</w:t>
      </w:r>
      <w:r w:rsidRPr="007727D6">
        <w:rPr>
          <w:szCs w:val="18"/>
          <w:lang w:val="fr-FR"/>
        </w:rPr>
        <w:t xml:space="preserve">oi </w:t>
      </w:r>
      <w:r w:rsidRPr="007727D6">
        <w:rPr>
          <w:rFonts w:eastAsia="MS Mincho"/>
          <w:szCs w:val="18"/>
          <w:lang w:val="fr-FR"/>
        </w:rPr>
        <w:t>n</w:t>
      </w:r>
      <w:r w:rsidRPr="007727D6">
        <w:rPr>
          <w:rFonts w:eastAsia="MS Mincho"/>
          <w:szCs w:val="18"/>
          <w:vertAlign w:val="superscript"/>
          <w:lang w:val="fr-FR"/>
        </w:rPr>
        <w:t>o</w:t>
      </w:r>
      <w:r w:rsidRPr="007727D6">
        <w:rPr>
          <w:szCs w:val="18"/>
          <w:lang w:val="fr-FR"/>
        </w:rPr>
        <w:t> 1/2000</w:t>
      </w:r>
      <w:r>
        <w:rPr>
          <w:szCs w:val="18"/>
          <w:lang w:val="fr-FR"/>
        </w:rPr>
        <w:t xml:space="preserve"> </w:t>
      </w:r>
      <w:r w:rsidRPr="007727D6">
        <w:rPr>
          <w:szCs w:val="18"/>
          <w:lang w:val="fr-FR"/>
        </w:rPr>
        <w:t>de procédure civile</w:t>
      </w:r>
      <w:r>
        <w:rPr>
          <w:szCs w:val="18"/>
          <w:lang w:val="fr-FR"/>
        </w:rPr>
        <w:t>,</w:t>
      </w:r>
      <w:r w:rsidRPr="007727D6">
        <w:rPr>
          <w:szCs w:val="18"/>
          <w:lang w:val="fr-FR"/>
        </w:rPr>
        <w:t xml:space="preserve"> du 7</w:t>
      </w:r>
      <w:r w:rsidR="001514A8">
        <w:rPr>
          <w:szCs w:val="18"/>
          <w:lang w:val="fr-FR"/>
        </w:rPr>
        <w:t> </w:t>
      </w:r>
      <w:r w:rsidRPr="007727D6">
        <w:rPr>
          <w:szCs w:val="18"/>
          <w:lang w:val="fr-FR"/>
        </w:rPr>
        <w:t>janvier</w:t>
      </w:r>
      <w:r>
        <w:rPr>
          <w:szCs w:val="18"/>
          <w:lang w:val="fr-FR"/>
        </w:rPr>
        <w:t xml:space="preserve">, </w:t>
      </w:r>
      <w:r w:rsidRPr="007727D6">
        <w:rPr>
          <w:szCs w:val="18"/>
          <w:lang w:val="fr-FR"/>
        </w:rPr>
        <w:t>art</w:t>
      </w:r>
      <w:r>
        <w:rPr>
          <w:szCs w:val="18"/>
          <w:lang w:val="fr-FR"/>
        </w:rPr>
        <w:t>.</w:t>
      </w:r>
      <w:r w:rsidR="001514A8">
        <w:rPr>
          <w:szCs w:val="18"/>
          <w:lang w:val="fr-FR"/>
        </w:rPr>
        <w:t> </w:t>
      </w:r>
      <w:r w:rsidRPr="007727D6">
        <w:rPr>
          <w:szCs w:val="18"/>
          <w:lang w:val="fr-FR"/>
        </w:rPr>
        <w:t>437</w:t>
      </w:r>
      <w:r>
        <w:rPr>
          <w:szCs w:val="18"/>
          <w:lang w:val="fr-FR"/>
        </w:rPr>
        <w:t>, par.</w:t>
      </w:r>
      <w:r w:rsidR="001514A8">
        <w:rPr>
          <w:szCs w:val="18"/>
          <w:lang w:val="fr-FR"/>
        </w:rPr>
        <w:t> </w:t>
      </w:r>
      <w:r>
        <w:rPr>
          <w:szCs w:val="18"/>
          <w:lang w:val="fr-FR"/>
        </w:rPr>
        <w:t>3</w:t>
      </w:r>
      <w:r w:rsidR="001514A8">
        <w:rPr>
          <w:szCs w:val="18"/>
          <w:lang w:val="fr-FR"/>
        </w:rPr>
        <w:t> </w:t>
      </w:r>
      <w:r w:rsidRPr="001514A8">
        <w:rPr>
          <w:i/>
          <w:szCs w:val="18"/>
          <w:lang w:val="fr-FR"/>
        </w:rPr>
        <w:t>bis</w:t>
      </w:r>
      <w:r>
        <w:rPr>
          <w:szCs w:val="18"/>
          <w:lang w:val="fr-FR"/>
        </w:rPr>
        <w:t>.</w:t>
      </w:r>
    </w:p>
  </w:footnote>
  <w:footnote w:id="17">
    <w:p w14:paraId="3CA9A9CA" w14:textId="77777777" w:rsidR="007256F3" w:rsidRPr="001514A8" w:rsidRDefault="007256F3" w:rsidP="0037651B">
      <w:pPr>
        <w:pStyle w:val="Notedebasdepage"/>
        <w:rPr>
          <w:szCs w:val="18"/>
          <w:lang w:val="fr-FR"/>
        </w:rPr>
      </w:pPr>
      <w:r w:rsidRPr="007727D6">
        <w:rPr>
          <w:szCs w:val="18"/>
          <w:lang w:val="fr-FR"/>
        </w:rPr>
        <w:tab/>
      </w:r>
      <w:r w:rsidRPr="007727D6">
        <w:rPr>
          <w:rStyle w:val="Appelnotedebasdep"/>
          <w:szCs w:val="18"/>
        </w:rPr>
        <w:footnoteRef/>
      </w:r>
      <w:r w:rsidRPr="001514A8">
        <w:rPr>
          <w:szCs w:val="18"/>
          <w:lang w:val="fr-FR"/>
        </w:rPr>
        <w:tab/>
        <w:t>http://www.poderjudicial.es/cgpj/es/Temas/Estadistica-Judicial/Estadistica-por-temas/Datospenales--civiles-y-laborales/Civil-y-laboral/Efecto-de-la-Crisis-en-los-organos-judiciales/.</w:t>
      </w:r>
    </w:p>
  </w:footnote>
  <w:footnote w:id="18">
    <w:p w14:paraId="53E385A5" w14:textId="77777777" w:rsidR="007256F3" w:rsidRPr="007727D6" w:rsidRDefault="007256F3" w:rsidP="0037651B">
      <w:pPr>
        <w:pStyle w:val="Notedebasdepage"/>
        <w:rPr>
          <w:szCs w:val="18"/>
          <w:lang w:val="fr-FR"/>
        </w:rPr>
      </w:pPr>
      <w:r w:rsidRPr="001514A8">
        <w:rPr>
          <w:szCs w:val="18"/>
          <w:lang w:val="fr-FR"/>
        </w:rPr>
        <w:tab/>
      </w:r>
      <w:r w:rsidRPr="007727D6">
        <w:rPr>
          <w:rStyle w:val="Appelnotedebasdep"/>
          <w:szCs w:val="18"/>
        </w:rPr>
        <w:footnoteRef/>
      </w:r>
      <w:r w:rsidRPr="007727D6">
        <w:rPr>
          <w:szCs w:val="18"/>
          <w:lang w:val="fr-FR"/>
        </w:rPr>
        <w:tab/>
        <w:t>Par l’intermédiaire du Fonds de restructuration ordonnée des banques.</w:t>
      </w:r>
    </w:p>
  </w:footnote>
  <w:footnote w:id="19">
    <w:p w14:paraId="5A8AEDEC" w14:textId="77777777" w:rsidR="007256F3" w:rsidRPr="007727D6" w:rsidRDefault="007256F3" w:rsidP="0037651B">
      <w:pPr>
        <w:pStyle w:val="Notedebasdepage"/>
        <w:rPr>
          <w:i/>
          <w:szCs w:val="18"/>
          <w:lang w:val="fr-FR"/>
        </w:rPr>
      </w:pPr>
      <w:r w:rsidRPr="007727D6">
        <w:rPr>
          <w:szCs w:val="18"/>
          <w:lang w:val="fr-FR"/>
        </w:rPr>
        <w:tab/>
      </w:r>
      <w:r w:rsidRPr="007727D6">
        <w:rPr>
          <w:rStyle w:val="Appelnotedebasdep"/>
          <w:szCs w:val="18"/>
        </w:rPr>
        <w:footnoteRef/>
      </w:r>
      <w:r w:rsidRPr="007727D6">
        <w:rPr>
          <w:szCs w:val="18"/>
          <w:lang w:val="fr-FR"/>
        </w:rPr>
        <w:tab/>
        <w:t xml:space="preserve">Loi </w:t>
      </w:r>
      <w:r w:rsidRPr="007727D6">
        <w:rPr>
          <w:rFonts w:eastAsia="MS Mincho"/>
          <w:szCs w:val="18"/>
          <w:lang w:val="fr-FR"/>
        </w:rPr>
        <w:t>n</w:t>
      </w:r>
      <w:r w:rsidRPr="007727D6">
        <w:rPr>
          <w:rFonts w:eastAsia="MS Mincho"/>
          <w:szCs w:val="18"/>
          <w:vertAlign w:val="superscript"/>
          <w:lang w:val="fr-FR"/>
        </w:rPr>
        <w:t>o</w:t>
      </w:r>
      <w:r w:rsidRPr="007727D6">
        <w:rPr>
          <w:szCs w:val="18"/>
          <w:lang w:val="fr-FR"/>
        </w:rPr>
        <w:t xml:space="preserve"> 1/2013 </w:t>
      </w:r>
      <w:r>
        <w:rPr>
          <w:szCs w:val="18"/>
          <w:lang w:val="fr-FR"/>
        </w:rPr>
        <w:t>du 14</w:t>
      </w:r>
      <w:r w:rsidR="001514A8">
        <w:rPr>
          <w:szCs w:val="18"/>
          <w:lang w:val="fr-FR"/>
        </w:rPr>
        <w:t> </w:t>
      </w:r>
      <w:r>
        <w:rPr>
          <w:szCs w:val="18"/>
          <w:lang w:val="fr-FR"/>
        </w:rPr>
        <w:t xml:space="preserve">mai </w:t>
      </w:r>
      <w:r w:rsidRPr="007727D6">
        <w:rPr>
          <w:szCs w:val="18"/>
        </w:rPr>
        <w:t>sur les mesures visant à renforcer la protection des débiteurs hypothécaires, la</w:t>
      </w:r>
      <w:r w:rsidR="001514A8">
        <w:rPr>
          <w:szCs w:val="18"/>
        </w:rPr>
        <w:t xml:space="preserve"> </w:t>
      </w:r>
      <w:r w:rsidRPr="007727D6">
        <w:rPr>
          <w:szCs w:val="18"/>
        </w:rPr>
        <w:t>restructuration de la dette et le loyer social</w:t>
      </w:r>
      <w:r w:rsidRPr="007727D6">
        <w:rPr>
          <w:szCs w:val="18"/>
          <w:lang w:val="fr-FR"/>
        </w:rPr>
        <w:t>.</w:t>
      </w:r>
    </w:p>
  </w:footnote>
  <w:footnote w:id="20">
    <w:p w14:paraId="1ED64E8D" w14:textId="77777777" w:rsidR="007256F3" w:rsidRPr="007727D6" w:rsidRDefault="007256F3" w:rsidP="0037651B">
      <w:pPr>
        <w:pStyle w:val="Notedebasdepage"/>
        <w:rPr>
          <w:szCs w:val="18"/>
          <w:lang w:val="fr-FR"/>
        </w:rPr>
      </w:pPr>
      <w:r w:rsidRPr="007727D6">
        <w:rPr>
          <w:szCs w:val="18"/>
          <w:lang w:val="fr-FR"/>
        </w:rPr>
        <w:tab/>
      </w:r>
      <w:r w:rsidRPr="007727D6">
        <w:rPr>
          <w:rStyle w:val="Appelnotedebasdep"/>
          <w:szCs w:val="18"/>
        </w:rPr>
        <w:footnoteRef/>
      </w:r>
      <w:r w:rsidRPr="007727D6">
        <w:rPr>
          <w:szCs w:val="18"/>
          <w:lang w:val="fr-FR"/>
        </w:rPr>
        <w:tab/>
        <w:t xml:space="preserve">Observation générale </w:t>
      </w:r>
      <w:r w:rsidRPr="007727D6">
        <w:rPr>
          <w:rFonts w:eastAsia="MS Mincho"/>
          <w:szCs w:val="18"/>
          <w:lang w:val="fr-FR"/>
        </w:rPr>
        <w:t>n</w:t>
      </w:r>
      <w:r w:rsidRPr="007727D6">
        <w:rPr>
          <w:rFonts w:eastAsia="MS Mincho"/>
          <w:szCs w:val="18"/>
          <w:vertAlign w:val="superscript"/>
          <w:lang w:val="fr-FR"/>
        </w:rPr>
        <w:t>o</w:t>
      </w:r>
      <w:r w:rsidRPr="007727D6">
        <w:rPr>
          <w:szCs w:val="18"/>
          <w:lang w:val="fr-FR"/>
        </w:rPr>
        <w:t> 4, par. 1.</w:t>
      </w:r>
    </w:p>
  </w:footnote>
  <w:footnote w:id="21">
    <w:p w14:paraId="1E904C91" w14:textId="77777777" w:rsidR="007256F3" w:rsidRPr="007727D6" w:rsidRDefault="007256F3" w:rsidP="0037651B">
      <w:pPr>
        <w:pStyle w:val="Notedebasdepage"/>
        <w:rPr>
          <w:szCs w:val="18"/>
          <w:lang w:val="fr-FR"/>
        </w:rPr>
      </w:pPr>
      <w:r w:rsidRPr="007727D6">
        <w:rPr>
          <w:szCs w:val="18"/>
          <w:lang w:val="fr-FR"/>
        </w:rPr>
        <w:tab/>
      </w:r>
      <w:r w:rsidRPr="007727D6">
        <w:rPr>
          <w:rStyle w:val="Appelnotedebasdep"/>
          <w:szCs w:val="18"/>
        </w:rPr>
        <w:footnoteRef/>
      </w:r>
      <w:r w:rsidRPr="007727D6">
        <w:rPr>
          <w:szCs w:val="18"/>
          <w:lang w:val="fr-FR"/>
        </w:rPr>
        <w:tab/>
      </w:r>
      <w:r w:rsidRPr="007727D6">
        <w:rPr>
          <w:iCs/>
          <w:szCs w:val="18"/>
          <w:lang w:val="fr-FR"/>
        </w:rPr>
        <w:t>Ibid</w:t>
      </w:r>
      <w:r w:rsidRPr="007727D6">
        <w:rPr>
          <w:i/>
          <w:szCs w:val="18"/>
          <w:lang w:val="fr-FR"/>
        </w:rPr>
        <w:t>.</w:t>
      </w:r>
      <w:r w:rsidRPr="007727D6">
        <w:rPr>
          <w:szCs w:val="18"/>
          <w:lang w:val="fr-FR"/>
        </w:rPr>
        <w:t>, par. 7 et 9.</w:t>
      </w:r>
    </w:p>
  </w:footnote>
  <w:footnote w:id="22">
    <w:p w14:paraId="20D62C3F" w14:textId="77777777" w:rsidR="007256F3" w:rsidRPr="007727D6" w:rsidRDefault="007256F3" w:rsidP="0037651B">
      <w:pPr>
        <w:pStyle w:val="Notedebasdepage"/>
        <w:rPr>
          <w:szCs w:val="18"/>
          <w:lang w:val="fr-FR"/>
        </w:rPr>
      </w:pPr>
      <w:r w:rsidRPr="007727D6">
        <w:rPr>
          <w:szCs w:val="18"/>
          <w:lang w:val="fr-FR"/>
        </w:rPr>
        <w:tab/>
      </w:r>
      <w:r w:rsidRPr="007727D6">
        <w:rPr>
          <w:rStyle w:val="Appelnotedebasdep"/>
          <w:szCs w:val="18"/>
        </w:rPr>
        <w:footnoteRef/>
      </w:r>
      <w:r w:rsidRPr="007727D6">
        <w:rPr>
          <w:szCs w:val="18"/>
          <w:lang w:val="fr-FR"/>
        </w:rPr>
        <w:tab/>
      </w:r>
      <w:r w:rsidRPr="007727D6">
        <w:rPr>
          <w:iCs/>
          <w:szCs w:val="18"/>
          <w:lang w:val="fr-FR"/>
        </w:rPr>
        <w:t>Ibid</w:t>
      </w:r>
      <w:r w:rsidRPr="007727D6">
        <w:rPr>
          <w:i/>
          <w:szCs w:val="18"/>
          <w:lang w:val="fr-FR"/>
        </w:rPr>
        <w:t>.</w:t>
      </w:r>
      <w:r w:rsidRPr="007727D6">
        <w:rPr>
          <w:szCs w:val="18"/>
          <w:lang w:val="fr-FR"/>
        </w:rPr>
        <w:t>, par. 7.</w:t>
      </w:r>
    </w:p>
  </w:footnote>
  <w:footnote w:id="23">
    <w:p w14:paraId="536C30FF" w14:textId="77777777" w:rsidR="007256F3" w:rsidRPr="007727D6" w:rsidRDefault="007256F3" w:rsidP="0037651B">
      <w:pPr>
        <w:pStyle w:val="Notedebasdepage"/>
        <w:rPr>
          <w:szCs w:val="18"/>
          <w:lang w:val="fr-FR"/>
        </w:rPr>
      </w:pPr>
      <w:r w:rsidRPr="007727D6">
        <w:rPr>
          <w:szCs w:val="18"/>
          <w:lang w:val="fr-FR"/>
        </w:rPr>
        <w:tab/>
      </w:r>
      <w:r w:rsidRPr="007727D6">
        <w:rPr>
          <w:rStyle w:val="Appelnotedebasdep"/>
          <w:szCs w:val="18"/>
        </w:rPr>
        <w:footnoteRef/>
      </w:r>
      <w:r w:rsidRPr="007727D6">
        <w:rPr>
          <w:szCs w:val="18"/>
          <w:lang w:val="fr-FR"/>
        </w:rPr>
        <w:tab/>
      </w:r>
      <w:r w:rsidRPr="007727D6">
        <w:rPr>
          <w:iCs/>
          <w:szCs w:val="18"/>
          <w:lang w:val="fr-FR"/>
        </w:rPr>
        <w:t>Ibid</w:t>
      </w:r>
      <w:r w:rsidRPr="007727D6">
        <w:rPr>
          <w:i/>
          <w:szCs w:val="18"/>
          <w:lang w:val="fr-FR"/>
        </w:rPr>
        <w:t>.</w:t>
      </w:r>
      <w:r w:rsidRPr="007727D6">
        <w:rPr>
          <w:szCs w:val="18"/>
          <w:lang w:val="fr-FR"/>
        </w:rPr>
        <w:t>, par. 12.</w:t>
      </w:r>
    </w:p>
  </w:footnote>
  <w:footnote w:id="24">
    <w:p w14:paraId="78A084BE" w14:textId="77777777" w:rsidR="007256F3" w:rsidRPr="007727D6" w:rsidRDefault="007256F3" w:rsidP="0037651B">
      <w:pPr>
        <w:pStyle w:val="Notedebasdepage"/>
        <w:rPr>
          <w:szCs w:val="18"/>
          <w:lang w:val="fr-FR"/>
        </w:rPr>
      </w:pPr>
      <w:r w:rsidRPr="007727D6">
        <w:rPr>
          <w:szCs w:val="18"/>
          <w:lang w:val="fr-FR"/>
        </w:rPr>
        <w:tab/>
      </w:r>
      <w:r w:rsidRPr="007727D6">
        <w:rPr>
          <w:rStyle w:val="Appelnotedebasdep"/>
          <w:szCs w:val="18"/>
        </w:rPr>
        <w:footnoteRef/>
      </w:r>
      <w:r w:rsidRPr="007727D6">
        <w:rPr>
          <w:szCs w:val="18"/>
          <w:lang w:val="fr-FR"/>
        </w:rPr>
        <w:tab/>
      </w:r>
      <w:r w:rsidRPr="007727D6">
        <w:rPr>
          <w:iCs/>
          <w:szCs w:val="18"/>
          <w:lang w:val="fr-FR"/>
        </w:rPr>
        <w:t>Ibid</w:t>
      </w:r>
      <w:r w:rsidRPr="007727D6">
        <w:rPr>
          <w:i/>
          <w:szCs w:val="18"/>
          <w:lang w:val="fr-FR"/>
        </w:rPr>
        <w:t>.</w:t>
      </w:r>
      <w:r w:rsidRPr="007727D6">
        <w:rPr>
          <w:szCs w:val="18"/>
          <w:lang w:val="fr-FR"/>
        </w:rPr>
        <w:t xml:space="preserve">, par. 18, et observation générale </w:t>
      </w:r>
      <w:r w:rsidRPr="007727D6">
        <w:rPr>
          <w:rFonts w:eastAsia="MS Mincho"/>
          <w:szCs w:val="18"/>
          <w:lang w:val="fr-FR"/>
        </w:rPr>
        <w:t>n</w:t>
      </w:r>
      <w:r w:rsidRPr="007727D6">
        <w:rPr>
          <w:rFonts w:eastAsia="MS Mincho"/>
          <w:szCs w:val="18"/>
          <w:vertAlign w:val="superscript"/>
          <w:lang w:val="fr-FR"/>
        </w:rPr>
        <w:t>o</w:t>
      </w:r>
      <w:r w:rsidRPr="007727D6">
        <w:rPr>
          <w:szCs w:val="18"/>
          <w:lang w:val="fr-FR"/>
        </w:rPr>
        <w:t> 7, par. 1.</w:t>
      </w:r>
    </w:p>
  </w:footnote>
  <w:footnote w:id="25">
    <w:p w14:paraId="4111729F" w14:textId="77777777" w:rsidR="007256F3" w:rsidRPr="007727D6" w:rsidRDefault="007256F3" w:rsidP="0037651B">
      <w:pPr>
        <w:pStyle w:val="Notedebasdepage"/>
        <w:rPr>
          <w:szCs w:val="18"/>
          <w:lang w:val="fr-FR"/>
        </w:rPr>
      </w:pPr>
      <w:r w:rsidRPr="007727D6">
        <w:rPr>
          <w:szCs w:val="18"/>
          <w:lang w:val="fr-FR"/>
        </w:rPr>
        <w:tab/>
      </w:r>
      <w:r w:rsidRPr="007727D6">
        <w:rPr>
          <w:rStyle w:val="Appelnotedebasdep"/>
          <w:szCs w:val="18"/>
        </w:rPr>
        <w:footnoteRef/>
      </w:r>
      <w:r w:rsidRPr="007727D6">
        <w:rPr>
          <w:szCs w:val="18"/>
          <w:lang w:val="fr-FR"/>
        </w:rPr>
        <w:tab/>
        <w:t xml:space="preserve">Voir </w:t>
      </w:r>
      <w:r w:rsidRPr="007727D6">
        <w:rPr>
          <w:i/>
          <w:szCs w:val="18"/>
          <w:lang w:val="fr-FR"/>
        </w:rPr>
        <w:t>Ben Djazia et Bellili c. Espagne</w:t>
      </w:r>
      <w:r w:rsidRPr="007727D6">
        <w:rPr>
          <w:szCs w:val="18"/>
          <w:lang w:val="fr-FR"/>
        </w:rPr>
        <w:t>, par. 13.4.</w:t>
      </w:r>
    </w:p>
  </w:footnote>
  <w:footnote w:id="26">
    <w:p w14:paraId="55671281" w14:textId="77777777" w:rsidR="007256F3" w:rsidRPr="007727D6" w:rsidRDefault="007256F3" w:rsidP="0037651B">
      <w:pPr>
        <w:pStyle w:val="Notedebasdepage"/>
        <w:rPr>
          <w:szCs w:val="18"/>
          <w:lang w:val="fr-FR"/>
        </w:rPr>
      </w:pPr>
      <w:r w:rsidRPr="007727D6">
        <w:rPr>
          <w:szCs w:val="18"/>
          <w:lang w:val="fr-FR"/>
        </w:rPr>
        <w:tab/>
      </w:r>
      <w:r w:rsidRPr="007727D6">
        <w:rPr>
          <w:rStyle w:val="Appelnotedebasdep"/>
          <w:szCs w:val="18"/>
        </w:rPr>
        <w:footnoteRef/>
      </w:r>
      <w:r w:rsidRPr="007727D6">
        <w:rPr>
          <w:szCs w:val="18"/>
          <w:lang w:val="fr-FR"/>
        </w:rPr>
        <w:tab/>
      </w:r>
      <w:r w:rsidRPr="006C13B1">
        <w:rPr>
          <w:szCs w:val="18"/>
          <w:lang w:val="fr-FR"/>
        </w:rPr>
        <w:t>Ibid</w:t>
      </w:r>
      <w:r>
        <w:rPr>
          <w:szCs w:val="18"/>
          <w:lang w:val="fr-FR"/>
        </w:rPr>
        <w:t>.</w:t>
      </w:r>
      <w:r w:rsidRPr="007727D6">
        <w:rPr>
          <w:szCs w:val="18"/>
          <w:lang w:val="fr-FR"/>
        </w:rPr>
        <w:t>, par. 15.1.</w:t>
      </w:r>
    </w:p>
  </w:footnote>
  <w:footnote w:id="27">
    <w:p w14:paraId="6E3DC969" w14:textId="77777777" w:rsidR="007256F3" w:rsidRPr="007727D6" w:rsidRDefault="007256F3" w:rsidP="0037651B">
      <w:pPr>
        <w:pStyle w:val="Notedebasdepage"/>
        <w:rPr>
          <w:szCs w:val="18"/>
          <w:lang w:val="fr-FR"/>
        </w:rPr>
      </w:pPr>
      <w:r w:rsidRPr="007727D6">
        <w:rPr>
          <w:szCs w:val="18"/>
          <w:lang w:val="fr-FR"/>
        </w:rPr>
        <w:tab/>
      </w:r>
      <w:r w:rsidRPr="007727D6">
        <w:rPr>
          <w:rStyle w:val="Appelnotedebasdep"/>
          <w:szCs w:val="18"/>
        </w:rPr>
        <w:footnoteRef/>
      </w:r>
      <w:r w:rsidRPr="007727D6">
        <w:rPr>
          <w:szCs w:val="18"/>
          <w:lang w:val="fr-FR"/>
        </w:rPr>
        <w:tab/>
        <w:t xml:space="preserve">Observation générale </w:t>
      </w:r>
      <w:r w:rsidRPr="007727D6">
        <w:rPr>
          <w:rFonts w:eastAsia="MS Mincho"/>
          <w:szCs w:val="18"/>
          <w:lang w:val="fr-FR"/>
        </w:rPr>
        <w:t>n</w:t>
      </w:r>
      <w:r w:rsidRPr="007727D6">
        <w:rPr>
          <w:rFonts w:eastAsia="MS Mincho"/>
          <w:szCs w:val="18"/>
          <w:vertAlign w:val="superscript"/>
          <w:lang w:val="fr-FR"/>
        </w:rPr>
        <w:t>o</w:t>
      </w:r>
      <w:r w:rsidRPr="007727D6">
        <w:rPr>
          <w:szCs w:val="18"/>
          <w:lang w:val="fr-FR"/>
        </w:rPr>
        <w:t> 7, par. 16.</w:t>
      </w:r>
    </w:p>
  </w:footnote>
  <w:footnote w:id="28">
    <w:p w14:paraId="5364A639" w14:textId="77777777" w:rsidR="007256F3" w:rsidRPr="007727D6" w:rsidRDefault="007256F3" w:rsidP="0037651B">
      <w:pPr>
        <w:pStyle w:val="Notedebasdepage"/>
        <w:rPr>
          <w:szCs w:val="18"/>
          <w:lang w:val="fr-FR"/>
        </w:rPr>
      </w:pPr>
      <w:r w:rsidRPr="007727D6">
        <w:rPr>
          <w:szCs w:val="18"/>
          <w:lang w:val="fr-FR"/>
        </w:rPr>
        <w:tab/>
      </w:r>
      <w:r w:rsidRPr="007727D6">
        <w:rPr>
          <w:rStyle w:val="Appelnotedebasdep"/>
          <w:szCs w:val="18"/>
        </w:rPr>
        <w:footnoteRef/>
      </w:r>
      <w:r w:rsidRPr="007727D6">
        <w:rPr>
          <w:szCs w:val="18"/>
          <w:lang w:val="fr-FR"/>
        </w:rPr>
        <w:tab/>
      </w:r>
      <w:r w:rsidRPr="007727D6">
        <w:rPr>
          <w:i/>
          <w:szCs w:val="18"/>
          <w:lang w:val="fr-FR"/>
        </w:rPr>
        <w:t>Ben Djazia et Bellili c. Espagne</w:t>
      </w:r>
      <w:r w:rsidRPr="007727D6">
        <w:rPr>
          <w:szCs w:val="18"/>
          <w:lang w:val="fr-FR"/>
        </w:rPr>
        <w:t xml:space="preserve"> (E/C.12/61/D/5/2015), par. 15.2.</w:t>
      </w:r>
    </w:p>
  </w:footnote>
  <w:footnote w:id="29">
    <w:p w14:paraId="5749B3E5" w14:textId="77777777" w:rsidR="007256F3" w:rsidRPr="007727D6" w:rsidRDefault="007256F3" w:rsidP="0037651B">
      <w:pPr>
        <w:pStyle w:val="Notedebasdepage"/>
        <w:rPr>
          <w:szCs w:val="18"/>
          <w:lang w:val="fr-FR"/>
        </w:rPr>
      </w:pPr>
      <w:r w:rsidRPr="007727D6">
        <w:rPr>
          <w:szCs w:val="18"/>
          <w:lang w:val="fr-FR"/>
        </w:rPr>
        <w:tab/>
      </w:r>
      <w:r w:rsidRPr="007727D6">
        <w:rPr>
          <w:rStyle w:val="Appelnotedebasdep"/>
          <w:szCs w:val="18"/>
        </w:rPr>
        <w:footnoteRef/>
      </w:r>
      <w:r w:rsidRPr="007727D6">
        <w:rPr>
          <w:szCs w:val="18"/>
          <w:lang w:val="fr-FR"/>
        </w:rPr>
        <w:tab/>
      </w:r>
      <w:r w:rsidRPr="006C13B1">
        <w:rPr>
          <w:szCs w:val="18"/>
          <w:lang w:val="fr-FR"/>
        </w:rPr>
        <w:t>Ibid</w:t>
      </w:r>
      <w:r>
        <w:rPr>
          <w:szCs w:val="18"/>
          <w:lang w:val="fr-FR"/>
        </w:rPr>
        <w:t>.</w:t>
      </w:r>
      <w:r w:rsidRPr="007727D6">
        <w:rPr>
          <w:szCs w:val="18"/>
          <w:lang w:val="fr-FR"/>
        </w:rPr>
        <w:t>, par. 15.5</w:t>
      </w:r>
      <w:r>
        <w:rPr>
          <w:szCs w:val="18"/>
          <w:lang w:val="fr-FR"/>
        </w:rPr>
        <w:t xml:space="preserve">. Voir aussi la </w:t>
      </w:r>
      <w:r w:rsidRPr="007727D6">
        <w:rPr>
          <w:szCs w:val="18"/>
          <w:lang w:val="fr-FR"/>
        </w:rPr>
        <w:t>déclaration du Comité</w:t>
      </w:r>
      <w:r w:rsidRPr="007727D6">
        <w:rPr>
          <w:bCs/>
          <w:szCs w:val="18"/>
        </w:rPr>
        <w:t xml:space="preserve"> </w:t>
      </w:r>
      <w:r w:rsidRPr="007727D6">
        <w:rPr>
          <w:szCs w:val="18"/>
          <w:lang w:val="fr-FR"/>
        </w:rPr>
        <w:t xml:space="preserve">intitulée « Appréciation de l’obligation d’agir </w:t>
      </w:r>
      <w:r>
        <w:rPr>
          <w:szCs w:val="18"/>
          <w:lang w:val="fr-FR"/>
        </w:rPr>
        <w:t>“</w:t>
      </w:r>
      <w:r w:rsidRPr="007727D6">
        <w:rPr>
          <w:szCs w:val="18"/>
          <w:lang w:val="fr-FR"/>
        </w:rPr>
        <w:t>au maximum de ses ressources disponibles</w:t>
      </w:r>
      <w:r>
        <w:rPr>
          <w:szCs w:val="18"/>
          <w:lang w:val="fr-FR"/>
        </w:rPr>
        <w:t>”</w:t>
      </w:r>
      <w:r w:rsidRPr="007727D6">
        <w:rPr>
          <w:szCs w:val="18"/>
          <w:lang w:val="fr-FR"/>
        </w:rPr>
        <w:t xml:space="preserve"> dans le contexte du Protocole facultatif au Pacte » (</w:t>
      </w:r>
      <w:r>
        <w:rPr>
          <w:szCs w:val="18"/>
          <w:lang w:val="fr-FR"/>
        </w:rPr>
        <w:t>E/C.12/</w:t>
      </w:r>
      <w:r w:rsidRPr="007727D6">
        <w:rPr>
          <w:szCs w:val="18"/>
          <w:lang w:val="fr-FR"/>
        </w:rPr>
        <w:t>2007</w:t>
      </w:r>
      <w:r>
        <w:rPr>
          <w:szCs w:val="18"/>
          <w:lang w:val="fr-FR"/>
        </w:rPr>
        <w:t>/1</w:t>
      </w:r>
      <w:r w:rsidRPr="007727D6">
        <w:rPr>
          <w:szCs w:val="18"/>
          <w:lang w:val="fr-FR"/>
        </w:rPr>
        <w:t>).</w:t>
      </w:r>
    </w:p>
  </w:footnote>
  <w:footnote w:id="30">
    <w:p w14:paraId="41873434" w14:textId="77777777" w:rsidR="007256F3" w:rsidRPr="007727D6" w:rsidRDefault="007256F3" w:rsidP="0037651B">
      <w:pPr>
        <w:pStyle w:val="Notedebasdepage"/>
        <w:rPr>
          <w:szCs w:val="18"/>
          <w:lang w:val="fr-FR"/>
        </w:rPr>
      </w:pPr>
      <w:r w:rsidRPr="007727D6">
        <w:rPr>
          <w:szCs w:val="18"/>
          <w:lang w:val="fr-FR"/>
        </w:rPr>
        <w:tab/>
      </w:r>
      <w:r w:rsidRPr="007727D6">
        <w:rPr>
          <w:rStyle w:val="Appelnotedebasdep"/>
          <w:szCs w:val="18"/>
        </w:rPr>
        <w:footnoteRef/>
      </w:r>
      <w:r w:rsidRPr="007727D6">
        <w:rPr>
          <w:szCs w:val="18"/>
          <w:lang w:val="fr-FR"/>
        </w:rPr>
        <w:tab/>
        <w:t xml:space="preserve">Observation générale </w:t>
      </w:r>
      <w:r w:rsidRPr="007727D6">
        <w:rPr>
          <w:rFonts w:eastAsia="MS Mincho"/>
          <w:szCs w:val="18"/>
          <w:lang w:val="fr-FR"/>
        </w:rPr>
        <w:t>n</w:t>
      </w:r>
      <w:r w:rsidRPr="007727D6">
        <w:rPr>
          <w:rFonts w:eastAsia="MS Mincho"/>
          <w:szCs w:val="18"/>
          <w:vertAlign w:val="superscript"/>
          <w:lang w:val="fr-FR"/>
        </w:rPr>
        <w:t>o</w:t>
      </w:r>
      <w:r w:rsidRPr="007727D6">
        <w:rPr>
          <w:szCs w:val="18"/>
          <w:lang w:val="fr-FR"/>
        </w:rPr>
        <w:t> 4, par. 8 c). Voir aussi le paragraphe 13.</w:t>
      </w:r>
    </w:p>
  </w:footnote>
  <w:footnote w:id="31">
    <w:p w14:paraId="7AEA8AD3" w14:textId="77777777" w:rsidR="007256F3" w:rsidRPr="007727D6" w:rsidRDefault="007256F3" w:rsidP="0037651B">
      <w:pPr>
        <w:pStyle w:val="Notedebasdepage"/>
        <w:rPr>
          <w:bCs/>
          <w:i/>
          <w:iCs/>
          <w:szCs w:val="18"/>
          <w:lang w:val="fr-FR"/>
        </w:rPr>
      </w:pPr>
      <w:r w:rsidRPr="007727D6">
        <w:rPr>
          <w:szCs w:val="18"/>
          <w:lang w:val="fr-FR"/>
        </w:rPr>
        <w:tab/>
      </w:r>
      <w:r w:rsidRPr="007727D6">
        <w:rPr>
          <w:rStyle w:val="Appelnotedebasdep"/>
          <w:szCs w:val="18"/>
        </w:rPr>
        <w:footnoteRef/>
      </w:r>
      <w:r w:rsidRPr="007727D6">
        <w:rPr>
          <w:szCs w:val="18"/>
          <w:lang w:val="fr-FR"/>
        </w:rPr>
        <w:tab/>
        <w:t xml:space="preserve">Observation générale </w:t>
      </w:r>
      <w:r w:rsidRPr="007727D6">
        <w:rPr>
          <w:rFonts w:eastAsia="MS Mincho"/>
          <w:szCs w:val="18"/>
          <w:lang w:val="fr-FR"/>
        </w:rPr>
        <w:t>n</w:t>
      </w:r>
      <w:r w:rsidRPr="007727D6">
        <w:rPr>
          <w:rFonts w:eastAsia="MS Mincho"/>
          <w:szCs w:val="18"/>
          <w:vertAlign w:val="superscript"/>
          <w:lang w:val="fr-FR"/>
        </w:rPr>
        <w:t>o</w:t>
      </w:r>
      <w:r w:rsidRPr="007727D6">
        <w:rPr>
          <w:szCs w:val="18"/>
          <w:lang w:val="fr-FR"/>
        </w:rPr>
        <w:t> 3</w:t>
      </w:r>
      <w:r>
        <w:rPr>
          <w:szCs w:val="18"/>
          <w:lang w:val="fr-FR"/>
        </w:rPr>
        <w:t xml:space="preserve"> (1990) sur la nature des obligations des États parties</w:t>
      </w:r>
      <w:r w:rsidRPr="007727D6">
        <w:rPr>
          <w:szCs w:val="18"/>
          <w:lang w:val="fr-FR"/>
        </w:rPr>
        <w:t>, par. 2. Voir aussi la lettre du 16 mai 2012 adressée par le Président du Comité aux États parties au Pacte.</w:t>
      </w:r>
    </w:p>
  </w:footnote>
  <w:footnote w:id="32">
    <w:p w14:paraId="12DCBBFD" w14:textId="77777777" w:rsidR="007256F3" w:rsidRPr="007727D6" w:rsidRDefault="007256F3" w:rsidP="0037651B">
      <w:pPr>
        <w:pStyle w:val="Notedebasdepage"/>
        <w:rPr>
          <w:bCs/>
          <w:i/>
          <w:iCs/>
          <w:szCs w:val="18"/>
          <w:lang w:val="fr-FR"/>
        </w:rPr>
      </w:pPr>
      <w:r w:rsidRPr="007727D6">
        <w:rPr>
          <w:szCs w:val="18"/>
          <w:lang w:val="fr-FR"/>
        </w:rPr>
        <w:tab/>
      </w:r>
      <w:r w:rsidRPr="007727D6">
        <w:rPr>
          <w:rStyle w:val="Appelnotedebasdep"/>
          <w:szCs w:val="18"/>
        </w:rPr>
        <w:footnoteRef/>
      </w:r>
      <w:r w:rsidRPr="007727D6">
        <w:rPr>
          <w:szCs w:val="18"/>
          <w:lang w:val="fr-FR"/>
        </w:rPr>
        <w:tab/>
        <w:t xml:space="preserve">Voir, par exemple, </w:t>
      </w:r>
      <w:r>
        <w:rPr>
          <w:szCs w:val="18"/>
          <w:lang w:val="fr-FR"/>
        </w:rPr>
        <w:t>le rapport</w:t>
      </w:r>
      <w:r w:rsidRPr="007727D6">
        <w:rPr>
          <w:szCs w:val="18"/>
          <w:lang w:val="fr-FR"/>
        </w:rPr>
        <w:t xml:space="preserve"> de la Rapporteuse spéciale sur le logement convenable en tant qu’élément du droit à un niveau de vie suffisant, ainsi que sur le droit à la non-discrimination à cet égard, et son rapport (A/HRC/31/54), par. 28 à 38.</w:t>
      </w:r>
    </w:p>
  </w:footnote>
  <w:footnote w:id="33">
    <w:p w14:paraId="39248BCA" w14:textId="77777777" w:rsidR="007256F3" w:rsidRPr="007727D6" w:rsidRDefault="007256F3" w:rsidP="0037651B">
      <w:pPr>
        <w:pStyle w:val="Notedebasdepage"/>
        <w:rPr>
          <w:szCs w:val="18"/>
          <w:lang w:val="fr-FR"/>
        </w:rPr>
      </w:pPr>
      <w:r w:rsidRPr="007727D6">
        <w:rPr>
          <w:szCs w:val="18"/>
          <w:lang w:val="fr-FR"/>
        </w:rPr>
        <w:tab/>
      </w:r>
      <w:r w:rsidRPr="007727D6">
        <w:rPr>
          <w:rStyle w:val="Appelnotedebasdep"/>
          <w:szCs w:val="18"/>
        </w:rPr>
        <w:footnoteRef/>
      </w:r>
      <w:r w:rsidRPr="007727D6">
        <w:rPr>
          <w:szCs w:val="18"/>
          <w:lang w:val="fr-FR"/>
        </w:rPr>
        <w:tab/>
      </w:r>
      <w:r>
        <w:rPr>
          <w:szCs w:val="18"/>
          <w:lang w:val="fr-FR"/>
        </w:rPr>
        <w:t>O</w:t>
      </w:r>
      <w:r w:rsidRPr="007727D6">
        <w:rPr>
          <w:szCs w:val="18"/>
          <w:lang w:val="fr-FR"/>
        </w:rPr>
        <w:t xml:space="preserve">bservation générale </w:t>
      </w:r>
      <w:r w:rsidRPr="007727D6">
        <w:rPr>
          <w:rFonts w:eastAsia="MS Mincho"/>
          <w:szCs w:val="18"/>
          <w:lang w:val="fr-FR"/>
        </w:rPr>
        <w:t>n</w:t>
      </w:r>
      <w:r w:rsidRPr="007727D6">
        <w:rPr>
          <w:rFonts w:eastAsia="MS Mincho"/>
          <w:szCs w:val="18"/>
          <w:vertAlign w:val="superscript"/>
          <w:lang w:val="fr-FR"/>
        </w:rPr>
        <w:t>o</w:t>
      </w:r>
      <w:r>
        <w:rPr>
          <w:szCs w:val="18"/>
          <w:lang w:val="fr-FR"/>
        </w:rPr>
        <w:t> </w:t>
      </w:r>
      <w:r w:rsidRPr="007727D6">
        <w:rPr>
          <w:szCs w:val="18"/>
          <w:lang w:val="fr-FR"/>
        </w:rPr>
        <w:t>4, par. 8.</w:t>
      </w:r>
    </w:p>
  </w:footnote>
  <w:footnote w:id="34">
    <w:p w14:paraId="4A1384AC" w14:textId="77777777" w:rsidR="007256F3" w:rsidRPr="007727D6" w:rsidRDefault="007256F3" w:rsidP="0037651B">
      <w:pPr>
        <w:pStyle w:val="Notedebasdepage"/>
        <w:rPr>
          <w:szCs w:val="18"/>
          <w:lang w:val="fr-FR"/>
        </w:rPr>
      </w:pPr>
      <w:r w:rsidRPr="007727D6">
        <w:rPr>
          <w:szCs w:val="18"/>
          <w:lang w:val="fr-FR"/>
        </w:rPr>
        <w:tab/>
      </w:r>
      <w:r w:rsidRPr="007727D6">
        <w:rPr>
          <w:rStyle w:val="Appelnotedebasdep"/>
          <w:szCs w:val="18"/>
        </w:rPr>
        <w:footnoteRef/>
      </w:r>
      <w:r w:rsidRPr="007727D6">
        <w:rPr>
          <w:szCs w:val="18"/>
          <w:lang w:val="fr-FR"/>
        </w:rPr>
        <w:tab/>
        <w:t xml:space="preserve">Voir </w:t>
      </w:r>
      <w:r w:rsidRPr="007727D6">
        <w:rPr>
          <w:i/>
          <w:iCs/>
          <w:szCs w:val="18"/>
          <w:lang w:val="fr-FR"/>
        </w:rPr>
        <w:t>Ben Djazia</w:t>
      </w:r>
      <w:r>
        <w:rPr>
          <w:i/>
          <w:iCs/>
          <w:szCs w:val="18"/>
          <w:lang w:val="fr-FR"/>
        </w:rPr>
        <w:t xml:space="preserve"> et Bellili</w:t>
      </w:r>
      <w:r w:rsidRPr="007727D6">
        <w:rPr>
          <w:i/>
          <w:szCs w:val="18"/>
          <w:lang w:val="fr-FR"/>
        </w:rPr>
        <w:t xml:space="preserve"> c. </w:t>
      </w:r>
      <w:r w:rsidRPr="007727D6">
        <w:rPr>
          <w:i/>
          <w:iCs/>
          <w:szCs w:val="18"/>
          <w:lang w:val="fr-FR"/>
        </w:rPr>
        <w:t>Espagne</w:t>
      </w:r>
      <w:r w:rsidRPr="007727D6">
        <w:rPr>
          <w:szCs w:val="18"/>
          <w:lang w:val="fr-FR"/>
        </w:rPr>
        <w:t>, par. 17.2</w:t>
      </w:r>
      <w:r>
        <w:rPr>
          <w:szCs w:val="18"/>
          <w:lang w:val="fr-FR"/>
        </w:rPr>
        <w:t>. R</w:t>
      </w:r>
      <w:r w:rsidRPr="007727D6">
        <w:rPr>
          <w:szCs w:val="18"/>
          <w:lang w:val="fr-FR"/>
        </w:rPr>
        <w:t>apport de la Rapporteuse spéciale sur le logement convenable en tant qu’élément du droit à un niveau de vie suffisant, ainsi que sur le droit à la non-discrimination à cet égard (A/HRC/40/61), par. 41.</w:t>
      </w:r>
    </w:p>
  </w:footnote>
  <w:footnote w:id="35">
    <w:p w14:paraId="69D58E7A" w14:textId="77777777" w:rsidR="007256F3" w:rsidRPr="007727D6" w:rsidRDefault="007256F3" w:rsidP="0037651B">
      <w:pPr>
        <w:pStyle w:val="Notedebasdepage"/>
        <w:rPr>
          <w:spacing w:val="-1"/>
          <w:szCs w:val="18"/>
          <w:lang w:val="fr-FR"/>
        </w:rPr>
      </w:pPr>
      <w:r w:rsidRPr="007727D6">
        <w:rPr>
          <w:spacing w:val="-1"/>
          <w:szCs w:val="18"/>
          <w:lang w:val="fr-FR"/>
        </w:rPr>
        <w:tab/>
      </w:r>
      <w:r w:rsidRPr="007727D6">
        <w:rPr>
          <w:rStyle w:val="Appelnotedebasdep"/>
          <w:spacing w:val="-1"/>
          <w:szCs w:val="18"/>
        </w:rPr>
        <w:footnoteRef/>
      </w:r>
      <w:r w:rsidRPr="007727D6">
        <w:rPr>
          <w:spacing w:val="-1"/>
          <w:szCs w:val="18"/>
          <w:lang w:val="fr-FR"/>
        </w:rPr>
        <w:tab/>
        <w:t>Rapport de la Rapporteuse spéciale sur le logement convenable en tant qu’élément du droit à un niveau de vie suffisant, ainsi que sur le droit à la non-discrimination à cet égard (A/HRC/40/61), par. 41.</w:t>
      </w:r>
    </w:p>
  </w:footnote>
  <w:footnote w:id="36">
    <w:p w14:paraId="40C7CFE9" w14:textId="77777777" w:rsidR="007256F3" w:rsidRPr="007727D6" w:rsidRDefault="007256F3" w:rsidP="0037651B">
      <w:pPr>
        <w:pStyle w:val="Notedebasdepage"/>
        <w:rPr>
          <w:szCs w:val="18"/>
          <w:lang w:val="fr-FR"/>
        </w:rPr>
      </w:pPr>
      <w:r w:rsidRPr="007727D6">
        <w:rPr>
          <w:szCs w:val="18"/>
          <w:lang w:val="fr-FR"/>
        </w:rPr>
        <w:tab/>
      </w:r>
      <w:r w:rsidRPr="007727D6">
        <w:rPr>
          <w:rStyle w:val="Appelnotedebasdep"/>
          <w:szCs w:val="18"/>
        </w:rPr>
        <w:footnoteRef/>
      </w:r>
      <w:r w:rsidRPr="007727D6">
        <w:rPr>
          <w:szCs w:val="18"/>
          <w:lang w:val="fr-FR"/>
        </w:rPr>
        <w:tab/>
        <w:t xml:space="preserve">Voir </w:t>
      </w:r>
      <w:r w:rsidRPr="007727D6">
        <w:rPr>
          <w:i/>
          <w:iCs/>
          <w:szCs w:val="18"/>
          <w:lang w:val="fr-FR"/>
        </w:rPr>
        <w:t>Ben Djazia</w:t>
      </w:r>
      <w:r w:rsidRPr="007727D6">
        <w:rPr>
          <w:i/>
          <w:szCs w:val="18"/>
          <w:lang w:val="fr-FR"/>
        </w:rPr>
        <w:t xml:space="preserve"> </w:t>
      </w:r>
      <w:r>
        <w:rPr>
          <w:i/>
          <w:szCs w:val="18"/>
          <w:lang w:val="fr-FR"/>
        </w:rPr>
        <w:t xml:space="preserve">et Bellili </w:t>
      </w:r>
      <w:r w:rsidRPr="007727D6">
        <w:rPr>
          <w:i/>
          <w:szCs w:val="18"/>
          <w:lang w:val="fr-FR"/>
        </w:rPr>
        <w:t xml:space="preserve">c. </w:t>
      </w:r>
      <w:r w:rsidRPr="007727D6">
        <w:rPr>
          <w:i/>
          <w:iCs/>
          <w:szCs w:val="18"/>
          <w:lang w:val="fr-FR"/>
        </w:rPr>
        <w:t>Espagne</w:t>
      </w:r>
      <w:bookmarkStart w:id="1" w:name="_Hlk18328324"/>
      <w:r w:rsidRPr="007727D6">
        <w:rPr>
          <w:szCs w:val="18"/>
          <w:lang w:val="fr-FR"/>
        </w:rPr>
        <w:t>, par. 17.2</w:t>
      </w:r>
      <w:bookmarkEnd w:id="1"/>
      <w:r>
        <w:rPr>
          <w:szCs w:val="18"/>
          <w:lang w:val="fr-FR"/>
        </w:rPr>
        <w:t>. R</w:t>
      </w:r>
      <w:r w:rsidRPr="007727D6">
        <w:rPr>
          <w:szCs w:val="18"/>
          <w:lang w:val="fr-FR"/>
        </w:rPr>
        <w:t>apport de la Rapporteuse spéciale sur le logement convenable en tant qu’élément du droit à un niveau de vie suffisant, ainsi que sur le droit à la non</w:t>
      </w:r>
      <w:r w:rsidR="006C13B1">
        <w:rPr>
          <w:szCs w:val="18"/>
          <w:lang w:val="fr-FR"/>
        </w:rPr>
        <w:noBreakHyphen/>
      </w:r>
      <w:r w:rsidRPr="007727D6">
        <w:rPr>
          <w:szCs w:val="18"/>
          <w:lang w:val="fr-FR"/>
        </w:rPr>
        <w:t>discrimination à cet égard (A/HRC/34/51), par. 27 à 29.</w:t>
      </w:r>
    </w:p>
  </w:footnote>
  <w:footnote w:id="37">
    <w:p w14:paraId="4C800592" w14:textId="77777777" w:rsidR="007256F3" w:rsidRDefault="007256F3" w:rsidP="0037651B">
      <w:pPr>
        <w:pStyle w:val="Notedebasdepage"/>
      </w:pPr>
      <w:r>
        <w:tab/>
      </w:r>
      <w:r>
        <w:rPr>
          <w:rStyle w:val="Appelnotedebasdep"/>
        </w:rPr>
        <w:footnoteRef/>
      </w:r>
      <w:r w:rsidRPr="00644232">
        <w:rPr>
          <w:lang w:val="fr-FR"/>
        </w:rPr>
        <w:tab/>
      </w:r>
      <w:r w:rsidRPr="00644232">
        <w:rPr>
          <w:i/>
          <w:iCs/>
          <w:lang w:val="fr-FR"/>
        </w:rPr>
        <w:t>S. S. R. c. Espagne</w:t>
      </w:r>
      <w:r w:rsidRPr="00644232">
        <w:rPr>
          <w:lang w:val="fr-FR"/>
        </w:rPr>
        <w:t xml:space="preserve"> (E/C.12/66/D/51/2018), par.</w:t>
      </w:r>
      <w:r w:rsidR="00612661">
        <w:rPr>
          <w:lang w:val="fr-FR"/>
        </w:rPr>
        <w:t> </w:t>
      </w:r>
      <w:r>
        <w:t>7.7.</w:t>
      </w:r>
    </w:p>
  </w:footnote>
  <w:footnote w:id="38">
    <w:p w14:paraId="66628967" w14:textId="77777777" w:rsidR="007256F3" w:rsidRPr="007727D6" w:rsidRDefault="007256F3" w:rsidP="0037651B">
      <w:pPr>
        <w:pStyle w:val="Notedebasdepage"/>
        <w:rPr>
          <w:szCs w:val="18"/>
          <w:lang w:val="fr-FR"/>
        </w:rPr>
      </w:pPr>
      <w:r w:rsidRPr="007727D6">
        <w:rPr>
          <w:szCs w:val="18"/>
          <w:lang w:val="fr-FR"/>
        </w:rPr>
        <w:tab/>
      </w:r>
      <w:r w:rsidRPr="007727D6">
        <w:rPr>
          <w:rStyle w:val="Appelnotedebasdep"/>
          <w:szCs w:val="18"/>
        </w:rPr>
        <w:footnoteRef/>
      </w:r>
      <w:r w:rsidRPr="007727D6">
        <w:rPr>
          <w:szCs w:val="18"/>
          <w:lang w:val="fr-FR"/>
        </w:rPr>
        <w:tab/>
        <w:t>Voir aussi les observations finales du Comité concernant le sixième rapport périodique de l’Espagne (E/C.12/ESP/CO/6), par. 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753CD" w14:textId="22D57665" w:rsidR="007256F3" w:rsidRPr="0037651B" w:rsidRDefault="007256F3">
    <w:pPr>
      <w:pStyle w:val="En-tte"/>
    </w:pPr>
    <w:fldSimple w:instr=" TITLE  \* MERGEFORMAT ">
      <w:r w:rsidR="0003032A">
        <w:t>E/C.12/66/D/37/2018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2DF5B" w14:textId="124F7FED" w:rsidR="007256F3" w:rsidRPr="0037651B" w:rsidRDefault="007256F3" w:rsidP="0037651B">
    <w:pPr>
      <w:pStyle w:val="En-tte"/>
      <w:jc w:val="right"/>
    </w:pPr>
    <w:fldSimple w:instr=" TITLE  \* MERGEFORMAT ">
      <w:r w:rsidR="0003032A">
        <w:t>E/C.12/66/D/37/2018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71EC3"/>
    <w:rsid w:val="00017F94"/>
    <w:rsid w:val="00023842"/>
    <w:rsid w:val="0002432E"/>
    <w:rsid w:val="0003032A"/>
    <w:rsid w:val="000334F9"/>
    <w:rsid w:val="0007796D"/>
    <w:rsid w:val="000B7790"/>
    <w:rsid w:val="00111F2F"/>
    <w:rsid w:val="0014365E"/>
    <w:rsid w:val="001514A8"/>
    <w:rsid w:val="00176178"/>
    <w:rsid w:val="001C3868"/>
    <w:rsid w:val="001F525A"/>
    <w:rsid w:val="00223272"/>
    <w:rsid w:val="0024779E"/>
    <w:rsid w:val="00266ACE"/>
    <w:rsid w:val="00271EC3"/>
    <w:rsid w:val="002832AC"/>
    <w:rsid w:val="002D7C93"/>
    <w:rsid w:val="002E2778"/>
    <w:rsid w:val="0037651B"/>
    <w:rsid w:val="00441C3B"/>
    <w:rsid w:val="00446FE5"/>
    <w:rsid w:val="00452396"/>
    <w:rsid w:val="004E468C"/>
    <w:rsid w:val="005505B7"/>
    <w:rsid w:val="00573BE5"/>
    <w:rsid w:val="00586ED3"/>
    <w:rsid w:val="00596AA9"/>
    <w:rsid w:val="00612661"/>
    <w:rsid w:val="006C13B1"/>
    <w:rsid w:val="0071601D"/>
    <w:rsid w:val="007256F3"/>
    <w:rsid w:val="007A62E6"/>
    <w:rsid w:val="007C00F1"/>
    <w:rsid w:val="0080236C"/>
    <w:rsid w:val="0080684C"/>
    <w:rsid w:val="00871C75"/>
    <w:rsid w:val="008776DC"/>
    <w:rsid w:val="00957BBC"/>
    <w:rsid w:val="00967489"/>
    <w:rsid w:val="009705C8"/>
    <w:rsid w:val="009C1CF4"/>
    <w:rsid w:val="00A26E14"/>
    <w:rsid w:val="00A30353"/>
    <w:rsid w:val="00A3048A"/>
    <w:rsid w:val="00AA42FA"/>
    <w:rsid w:val="00AC3823"/>
    <w:rsid w:val="00AE323C"/>
    <w:rsid w:val="00AF290F"/>
    <w:rsid w:val="00B00181"/>
    <w:rsid w:val="00B00B0D"/>
    <w:rsid w:val="00B765F7"/>
    <w:rsid w:val="00BA0CA9"/>
    <w:rsid w:val="00BE42F2"/>
    <w:rsid w:val="00C02897"/>
    <w:rsid w:val="00D3439C"/>
    <w:rsid w:val="00D50AF0"/>
    <w:rsid w:val="00D75300"/>
    <w:rsid w:val="00DB1831"/>
    <w:rsid w:val="00DD3BFD"/>
    <w:rsid w:val="00DF6678"/>
    <w:rsid w:val="00EF2E22"/>
    <w:rsid w:val="00F60855"/>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0ACE91"/>
  <w15:docId w15:val="{B07FE8E2-BF67-4CD0-B25A-B413073AF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1C3868"/>
    <w:pPr>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clear" w:pos="1701"/>
      </w:tabs>
      <w:spacing w:after="120"/>
      <w:ind w:right="1134"/>
      <w:jc w:val="both"/>
    </w:pPr>
  </w:style>
  <w:style w:type="character" w:styleId="Appelnotedebasdep">
    <w:name w:val="footnote reference"/>
    <w:aliases w:val="4_G,Footnote number,ftref,Footnotes refss"/>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Footnote Text Char Char Char Char Char,Footnote Text Char Char Char Char,Footnote reference,FA Fu,Footnote Text Char Char Char,Footnote Text Char1 Char1,Footnote Text Char1 Char Char Char Char, Char,Footnote Reference1,Char"/>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Text Char1 Char1 Car,Footnote Text Char1 Char Char Char Char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37651B"/>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2</TotalTime>
  <Pages>16</Pages>
  <Words>9843</Words>
  <Characters>51972</Characters>
  <Application>Microsoft Office Word</Application>
  <DocSecurity>0</DocSecurity>
  <Lines>764</Lines>
  <Paragraphs>148</Paragraphs>
  <ScaleCrop>false</ScaleCrop>
  <HeadingPairs>
    <vt:vector size="2" baseType="variant">
      <vt:variant>
        <vt:lpstr>Titre</vt:lpstr>
      </vt:variant>
      <vt:variant>
        <vt:i4>1</vt:i4>
      </vt:variant>
    </vt:vector>
  </HeadingPairs>
  <TitlesOfParts>
    <vt:vector size="1" baseType="lpstr">
      <vt:lpstr>E/C.12/66/D/37/2018</vt:lpstr>
    </vt:vector>
  </TitlesOfParts>
  <Company>DCM</Company>
  <LinksUpToDate>false</LinksUpToDate>
  <CharactersWithSpaces>61667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E/C.12/66/D/37/2018</dc:title>
  <dc:subject/>
  <dc:creator>Christine CHAUTAGNAT</dc:creator>
  <cp:keywords/>
  <cp:lastModifiedBy>Christine Chautagnat</cp:lastModifiedBy>
  <cp:revision>3</cp:revision>
  <cp:lastPrinted>2020-05-18T09:10:00Z</cp:lastPrinted>
  <dcterms:created xsi:type="dcterms:W3CDTF">2020-05-18T09:10:00Z</dcterms:created>
  <dcterms:modified xsi:type="dcterms:W3CDTF">2020-05-18T09:12:00Z</dcterms:modified>
</cp:coreProperties>
</file>