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85D991E" w14:textId="77777777" w:rsidTr="004F6A18">
        <w:trPr>
          <w:trHeight w:hRule="exact" w:val="851"/>
        </w:trPr>
        <w:tc>
          <w:tcPr>
            <w:tcW w:w="1280" w:type="dxa"/>
            <w:tcBorders>
              <w:bottom w:val="single" w:sz="4" w:space="0" w:color="auto"/>
            </w:tcBorders>
            <w:shd w:val="clear" w:color="auto" w:fill="auto"/>
          </w:tcPr>
          <w:p w14:paraId="01C67B41" w14:textId="77777777" w:rsidR="002D5AAC" w:rsidRDefault="002D5AAC" w:rsidP="00887C91">
            <w:pPr>
              <w:suppressAutoHyphens/>
            </w:pPr>
          </w:p>
        </w:tc>
        <w:tc>
          <w:tcPr>
            <w:tcW w:w="2273" w:type="dxa"/>
            <w:tcBorders>
              <w:bottom w:val="single" w:sz="4" w:space="0" w:color="auto"/>
            </w:tcBorders>
            <w:shd w:val="clear" w:color="auto" w:fill="auto"/>
            <w:vAlign w:val="bottom"/>
          </w:tcPr>
          <w:p w14:paraId="36731500" w14:textId="77777777" w:rsidR="002D5AAC" w:rsidRPr="00887C91" w:rsidRDefault="00BD33EE" w:rsidP="00887C91">
            <w:pPr>
              <w:suppressAutoHyphens/>
              <w:spacing w:after="80" w:line="300" w:lineRule="exact"/>
              <w:rPr>
                <w:sz w:val="28"/>
              </w:rPr>
            </w:pPr>
            <w:r w:rsidRPr="00887C91">
              <w:rPr>
                <w:sz w:val="28"/>
              </w:rPr>
              <w:t>Naciones Unidas</w:t>
            </w:r>
          </w:p>
        </w:tc>
        <w:tc>
          <w:tcPr>
            <w:tcW w:w="6086" w:type="dxa"/>
            <w:gridSpan w:val="2"/>
            <w:tcBorders>
              <w:bottom w:val="single" w:sz="4" w:space="0" w:color="auto"/>
            </w:tcBorders>
            <w:shd w:val="clear" w:color="auto" w:fill="auto"/>
            <w:vAlign w:val="bottom"/>
          </w:tcPr>
          <w:p w14:paraId="77F9772B" w14:textId="63586BBE" w:rsidR="002D5AAC" w:rsidRDefault="004F6A18" w:rsidP="004B725C">
            <w:pPr>
              <w:suppressAutoHyphens/>
              <w:jc w:val="right"/>
            </w:pPr>
            <w:r w:rsidRPr="004F6A18">
              <w:rPr>
                <w:sz w:val="40"/>
              </w:rPr>
              <w:t>E</w:t>
            </w:r>
            <w:r w:rsidR="00AC4D3D">
              <w:t>/</w:t>
            </w:r>
            <w:proofErr w:type="spellStart"/>
            <w:r w:rsidR="00AC4D3D">
              <w:t>C.12</w:t>
            </w:r>
            <w:proofErr w:type="spellEnd"/>
            <w:r w:rsidR="00AC4D3D">
              <w:t>/61</w:t>
            </w:r>
            <w:r w:rsidR="004B725C">
              <w:t>/D/5</w:t>
            </w:r>
            <w:r>
              <w:t>/201</w:t>
            </w:r>
            <w:r w:rsidR="004B725C">
              <w:t>5</w:t>
            </w:r>
          </w:p>
        </w:tc>
      </w:tr>
      <w:tr w:rsidR="002D5AAC" w14:paraId="167DEE1C" w14:textId="77777777" w:rsidTr="004F6A18">
        <w:trPr>
          <w:trHeight w:hRule="exact" w:val="2835"/>
        </w:trPr>
        <w:tc>
          <w:tcPr>
            <w:tcW w:w="1280" w:type="dxa"/>
            <w:tcBorders>
              <w:top w:val="single" w:sz="4" w:space="0" w:color="auto"/>
              <w:bottom w:val="single" w:sz="12" w:space="0" w:color="auto"/>
            </w:tcBorders>
            <w:shd w:val="clear" w:color="auto" w:fill="auto"/>
          </w:tcPr>
          <w:p w14:paraId="79C7EE55" w14:textId="393D505B" w:rsidR="002D5AAC" w:rsidRDefault="00987522" w:rsidP="00887C91">
            <w:pPr>
              <w:suppressAutoHyphens/>
              <w:spacing w:before="120"/>
              <w:jc w:val="center"/>
            </w:pPr>
            <w:r>
              <w:rPr>
                <w:noProof/>
              </w:rPr>
              <w:drawing>
                <wp:inline distT="0" distB="0" distL="0" distR="0" wp14:anchorId="4982FE3A" wp14:editId="61B35E80">
                  <wp:extent cx="717550" cy="590550"/>
                  <wp:effectExtent l="0" t="0" r="635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060F3C4D" w14:textId="77777777" w:rsidR="002D5AAC" w:rsidRPr="00887C91" w:rsidRDefault="004B19F2" w:rsidP="00887C91">
            <w:pPr>
              <w:suppressAutoHyphens/>
              <w:spacing w:before="120" w:line="420" w:lineRule="exact"/>
              <w:rPr>
                <w:b/>
                <w:sz w:val="40"/>
                <w:szCs w:val="40"/>
              </w:rPr>
            </w:pPr>
            <w:r w:rsidRPr="00887C91">
              <w:rPr>
                <w:b/>
                <w:sz w:val="40"/>
                <w:szCs w:val="40"/>
              </w:rPr>
              <w:t>Consejo Económico y Social</w:t>
            </w:r>
          </w:p>
        </w:tc>
        <w:tc>
          <w:tcPr>
            <w:tcW w:w="2819" w:type="dxa"/>
            <w:tcBorders>
              <w:top w:val="single" w:sz="4" w:space="0" w:color="auto"/>
              <w:bottom w:val="single" w:sz="12" w:space="0" w:color="auto"/>
            </w:tcBorders>
            <w:shd w:val="clear" w:color="auto" w:fill="auto"/>
          </w:tcPr>
          <w:p w14:paraId="11890E8C" w14:textId="31633673" w:rsidR="002D5AAC" w:rsidRDefault="004F6A18" w:rsidP="004F6A18">
            <w:pPr>
              <w:suppressAutoHyphens/>
              <w:spacing w:before="240" w:line="240" w:lineRule="exact"/>
            </w:pPr>
            <w:proofErr w:type="spellStart"/>
            <w:r>
              <w:t>Distr</w:t>
            </w:r>
            <w:proofErr w:type="spellEnd"/>
            <w:r>
              <w:t xml:space="preserve">. </w:t>
            </w:r>
            <w:r w:rsidR="0097505A">
              <w:t>g</w:t>
            </w:r>
            <w:r w:rsidR="00D17817">
              <w:t>eneral</w:t>
            </w:r>
          </w:p>
          <w:p w14:paraId="51FFC9A7" w14:textId="6E1134F4" w:rsidR="004F6A18" w:rsidRDefault="00987522" w:rsidP="004F6A18">
            <w:pPr>
              <w:suppressAutoHyphens/>
              <w:spacing w:line="240" w:lineRule="exact"/>
            </w:pPr>
            <w:r>
              <w:t>21</w:t>
            </w:r>
            <w:r w:rsidR="000A26E2">
              <w:t xml:space="preserve"> </w:t>
            </w:r>
            <w:r w:rsidR="00D17817">
              <w:t>de ju</w:t>
            </w:r>
            <w:r w:rsidR="0097505A">
              <w:t>l</w:t>
            </w:r>
            <w:r w:rsidR="00D17817">
              <w:t>io</w:t>
            </w:r>
            <w:r w:rsidR="002401C4">
              <w:t xml:space="preserve"> </w:t>
            </w:r>
            <w:r w:rsidR="004F6A18">
              <w:t>de 201</w:t>
            </w:r>
            <w:r w:rsidR="004B725C">
              <w:t>7</w:t>
            </w:r>
          </w:p>
          <w:p w14:paraId="5CE7FFBB" w14:textId="77777777" w:rsidR="004F6A18" w:rsidRDefault="004F6A18" w:rsidP="004F6A18">
            <w:pPr>
              <w:suppressAutoHyphens/>
              <w:spacing w:line="240" w:lineRule="exact"/>
            </w:pPr>
          </w:p>
          <w:p w14:paraId="4B4A90A2" w14:textId="77777777" w:rsidR="004F6A18" w:rsidRDefault="004F6A18" w:rsidP="004F6A18">
            <w:pPr>
              <w:suppressAutoHyphens/>
              <w:spacing w:line="240" w:lineRule="exact"/>
            </w:pPr>
            <w:r>
              <w:t>Original: español</w:t>
            </w:r>
          </w:p>
          <w:p w14:paraId="069B7FAE" w14:textId="32928970" w:rsidR="00E66E60" w:rsidRDefault="00E66E60" w:rsidP="004F6A18">
            <w:pPr>
              <w:suppressAutoHyphens/>
              <w:spacing w:line="240" w:lineRule="exact"/>
            </w:pPr>
          </w:p>
        </w:tc>
      </w:tr>
    </w:tbl>
    <w:p w14:paraId="78246EFA" w14:textId="77777777" w:rsidR="004F6A18" w:rsidRPr="00EC58FE" w:rsidRDefault="004F6A18" w:rsidP="004F6A18">
      <w:pPr>
        <w:spacing w:before="120"/>
        <w:rPr>
          <w:b/>
          <w:sz w:val="24"/>
          <w:szCs w:val="24"/>
        </w:rPr>
      </w:pPr>
      <w:r w:rsidRPr="00EC58FE">
        <w:rPr>
          <w:b/>
          <w:sz w:val="24"/>
          <w:szCs w:val="24"/>
        </w:rPr>
        <w:t>Comité de Derechos Económicos, Sociales y Culturales</w:t>
      </w:r>
    </w:p>
    <w:p w14:paraId="2E06B462" w14:textId="5012922C" w:rsidR="00D4263A" w:rsidRPr="005B1B75" w:rsidRDefault="004F6A18" w:rsidP="0048522D">
      <w:pPr>
        <w:pStyle w:val="HChG"/>
        <w:rPr>
          <w:lang w:val="es-ES_tradnl"/>
        </w:rPr>
      </w:pPr>
      <w:r w:rsidRPr="005B1B75">
        <w:rPr>
          <w:lang w:val="es-ES_tradnl"/>
        </w:rPr>
        <w:tab/>
      </w:r>
      <w:r w:rsidRPr="005B1B75">
        <w:rPr>
          <w:lang w:val="es-ES_tradnl"/>
        </w:rPr>
        <w:tab/>
      </w:r>
      <w:r w:rsidR="00731D13" w:rsidRPr="005B1B75">
        <w:rPr>
          <w:lang w:val="es-ES_tradnl"/>
        </w:rPr>
        <w:t xml:space="preserve">Dictamen aprobado por el Comité en virtud del </w:t>
      </w:r>
      <w:r w:rsidR="00D445DC" w:rsidRPr="005B1B75">
        <w:rPr>
          <w:lang w:val="es-ES_tradnl"/>
        </w:rPr>
        <w:br/>
      </w:r>
      <w:r w:rsidR="00731D13" w:rsidRPr="005B1B75">
        <w:rPr>
          <w:lang w:val="es-ES_tradnl"/>
        </w:rPr>
        <w:t xml:space="preserve">Protocolo Facultativo del Pacto Internacional de </w:t>
      </w:r>
      <w:r w:rsidR="00D445DC" w:rsidRPr="005B1B75">
        <w:rPr>
          <w:lang w:val="es-ES_tradnl"/>
        </w:rPr>
        <w:br/>
      </w:r>
      <w:r w:rsidR="00731D13" w:rsidRPr="005B1B75">
        <w:rPr>
          <w:lang w:val="es-ES_tradnl"/>
        </w:rPr>
        <w:t xml:space="preserve">Derechos Económicos, Sociales y Culturales respecto </w:t>
      </w:r>
      <w:bookmarkStart w:id="0" w:name="_GoBack"/>
      <w:bookmarkEnd w:id="0"/>
      <w:r w:rsidR="00D445DC" w:rsidRPr="005B1B75">
        <w:rPr>
          <w:lang w:val="es-ES_tradnl"/>
        </w:rPr>
        <w:br/>
      </w:r>
      <w:r w:rsidR="00731D13" w:rsidRPr="005B1B75">
        <w:rPr>
          <w:lang w:val="es-ES_tradnl"/>
        </w:rPr>
        <w:t>de la comunicación núm. 5/2015</w:t>
      </w:r>
      <w:r w:rsidR="00731D13" w:rsidRPr="005B1B75">
        <w:rPr>
          <w:b w:val="0"/>
          <w:sz w:val="20"/>
          <w:lang w:val="es-ES_tradnl"/>
        </w:rPr>
        <w:footnoteReference w:customMarkFollows="1" w:id="1"/>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52"/>
        <w:gridCol w:w="4253"/>
      </w:tblGrid>
      <w:tr w:rsidR="002D405D" w:rsidRPr="005B1B75" w14:paraId="4116BED7" w14:textId="77777777" w:rsidTr="003F74F9">
        <w:tc>
          <w:tcPr>
            <w:tcW w:w="2552" w:type="dxa"/>
          </w:tcPr>
          <w:p w14:paraId="302762AF" w14:textId="77777777" w:rsidR="002D405D" w:rsidRPr="005B1B75" w:rsidRDefault="002D405D" w:rsidP="003F74F9">
            <w:pPr>
              <w:pStyle w:val="SingleTxtG"/>
              <w:ind w:left="0" w:right="0"/>
              <w:jc w:val="left"/>
              <w:rPr>
                <w:i/>
                <w:lang w:val="es-ES_tradnl"/>
              </w:rPr>
            </w:pPr>
            <w:r w:rsidRPr="005B1B75">
              <w:rPr>
                <w:i/>
                <w:lang w:val="es-ES_tradnl"/>
              </w:rPr>
              <w:t>Presentada por:</w:t>
            </w:r>
          </w:p>
        </w:tc>
        <w:tc>
          <w:tcPr>
            <w:tcW w:w="4253" w:type="dxa"/>
          </w:tcPr>
          <w:p w14:paraId="720190A3" w14:textId="40057367" w:rsidR="002D405D" w:rsidRPr="005B1B75" w:rsidRDefault="005B1B75" w:rsidP="003F74F9">
            <w:pPr>
              <w:pStyle w:val="SingleTxtG"/>
              <w:ind w:left="0" w:right="0"/>
              <w:jc w:val="left"/>
              <w:rPr>
                <w:lang w:val="es-ES_tradnl"/>
              </w:rPr>
            </w:pPr>
            <w:r w:rsidRPr="005B1B75">
              <w:rPr>
                <w:lang w:val="es-ES_tradnl"/>
              </w:rPr>
              <w:t xml:space="preserve">Mohamed Ben </w:t>
            </w:r>
            <w:proofErr w:type="spellStart"/>
            <w:r w:rsidRPr="005B1B75">
              <w:rPr>
                <w:lang w:val="es-ES_tradnl"/>
              </w:rPr>
              <w:t>Djazia</w:t>
            </w:r>
            <w:proofErr w:type="spellEnd"/>
            <w:r w:rsidRPr="005B1B75">
              <w:rPr>
                <w:lang w:val="es-ES_tradnl"/>
              </w:rPr>
              <w:t xml:space="preserve"> y </w:t>
            </w:r>
            <w:proofErr w:type="spellStart"/>
            <w:r w:rsidRPr="005B1B75">
              <w:rPr>
                <w:lang w:val="es-ES_tradnl"/>
              </w:rPr>
              <w:t>Naouel</w:t>
            </w:r>
            <w:proofErr w:type="spellEnd"/>
            <w:r w:rsidRPr="005B1B75">
              <w:rPr>
                <w:lang w:val="es-ES_tradnl"/>
              </w:rPr>
              <w:t xml:space="preserve"> </w:t>
            </w:r>
            <w:proofErr w:type="spellStart"/>
            <w:r w:rsidRPr="005B1B75">
              <w:rPr>
                <w:lang w:val="es-ES_tradnl"/>
              </w:rPr>
              <w:t>Bellili</w:t>
            </w:r>
            <w:proofErr w:type="spellEnd"/>
            <w:r w:rsidRPr="005B1B75">
              <w:rPr>
                <w:lang w:val="es-ES_tradnl"/>
              </w:rPr>
              <w:t xml:space="preserve"> (representados por el abogado Javier Rubio)</w:t>
            </w:r>
          </w:p>
        </w:tc>
      </w:tr>
      <w:tr w:rsidR="002D405D" w:rsidRPr="005B1B75" w14:paraId="1E024E54" w14:textId="77777777" w:rsidTr="003F74F9">
        <w:tc>
          <w:tcPr>
            <w:tcW w:w="2552" w:type="dxa"/>
          </w:tcPr>
          <w:p w14:paraId="20A4213D" w14:textId="28AE4D19" w:rsidR="002D405D" w:rsidRPr="005B1B75" w:rsidRDefault="002D405D" w:rsidP="003F74F9">
            <w:pPr>
              <w:pStyle w:val="SingleTxtG"/>
              <w:ind w:left="0" w:right="0"/>
              <w:jc w:val="left"/>
              <w:rPr>
                <w:i/>
                <w:lang w:val="es-ES_tradnl"/>
              </w:rPr>
            </w:pPr>
            <w:r w:rsidRPr="005B1B75">
              <w:rPr>
                <w:i/>
                <w:lang w:val="es-ES_tradnl"/>
              </w:rPr>
              <w:t>Presunta</w:t>
            </w:r>
            <w:r w:rsidR="005B1B75">
              <w:rPr>
                <w:i/>
                <w:lang w:val="es-ES_tradnl"/>
              </w:rPr>
              <w:t>s</w:t>
            </w:r>
            <w:r w:rsidRPr="005B1B75">
              <w:rPr>
                <w:i/>
                <w:lang w:val="es-ES_tradnl"/>
              </w:rPr>
              <w:t xml:space="preserve"> víctima</w:t>
            </w:r>
            <w:r w:rsidR="005B1B75">
              <w:rPr>
                <w:i/>
                <w:lang w:val="es-ES_tradnl"/>
              </w:rPr>
              <w:t>s</w:t>
            </w:r>
            <w:r w:rsidRPr="005B1B75">
              <w:rPr>
                <w:i/>
                <w:lang w:val="es-ES_tradnl"/>
              </w:rPr>
              <w:t>:</w:t>
            </w:r>
          </w:p>
        </w:tc>
        <w:tc>
          <w:tcPr>
            <w:tcW w:w="4253" w:type="dxa"/>
          </w:tcPr>
          <w:p w14:paraId="539BE08C" w14:textId="4AC2C8C9" w:rsidR="002D405D" w:rsidRPr="005B1B75" w:rsidRDefault="005B1B75" w:rsidP="003F74F9">
            <w:pPr>
              <w:pStyle w:val="SingleTxtG"/>
              <w:ind w:left="0" w:right="0"/>
              <w:jc w:val="left"/>
              <w:rPr>
                <w:lang w:val="es-ES_tradnl"/>
              </w:rPr>
            </w:pPr>
            <w:r w:rsidRPr="005B1B75">
              <w:rPr>
                <w:lang w:val="es-ES_tradnl"/>
              </w:rPr>
              <w:t>Los autores y sus dos hijos menores de edad</w:t>
            </w:r>
          </w:p>
        </w:tc>
      </w:tr>
      <w:tr w:rsidR="002D405D" w:rsidRPr="005B1B75" w14:paraId="60E04071" w14:textId="77777777" w:rsidTr="003F74F9">
        <w:tc>
          <w:tcPr>
            <w:tcW w:w="2552" w:type="dxa"/>
          </w:tcPr>
          <w:p w14:paraId="59839C78" w14:textId="77777777" w:rsidR="002D405D" w:rsidRPr="005B1B75" w:rsidRDefault="002D405D" w:rsidP="003F74F9">
            <w:pPr>
              <w:pStyle w:val="SingleTxtG"/>
              <w:ind w:left="0" w:right="0"/>
              <w:jc w:val="left"/>
              <w:rPr>
                <w:i/>
                <w:lang w:val="es-ES_tradnl"/>
              </w:rPr>
            </w:pPr>
            <w:r w:rsidRPr="005B1B75">
              <w:rPr>
                <w:i/>
                <w:lang w:val="es-ES_tradnl"/>
              </w:rPr>
              <w:t>Estado parte:</w:t>
            </w:r>
          </w:p>
        </w:tc>
        <w:tc>
          <w:tcPr>
            <w:tcW w:w="4253" w:type="dxa"/>
          </w:tcPr>
          <w:p w14:paraId="29168B06" w14:textId="5276B60A" w:rsidR="002D405D" w:rsidRPr="005B1B75" w:rsidRDefault="005B1B75" w:rsidP="003F74F9">
            <w:pPr>
              <w:pStyle w:val="SingleTxtG"/>
              <w:ind w:left="0" w:right="0"/>
              <w:jc w:val="left"/>
              <w:rPr>
                <w:lang w:val="es-ES_tradnl"/>
              </w:rPr>
            </w:pPr>
            <w:r w:rsidRPr="005B1B75">
              <w:rPr>
                <w:lang w:val="es-ES_tradnl"/>
              </w:rPr>
              <w:t>España</w:t>
            </w:r>
          </w:p>
        </w:tc>
      </w:tr>
      <w:tr w:rsidR="002D405D" w:rsidRPr="005B1B75" w14:paraId="5793528D" w14:textId="77777777" w:rsidTr="003F74F9">
        <w:tc>
          <w:tcPr>
            <w:tcW w:w="2552" w:type="dxa"/>
          </w:tcPr>
          <w:p w14:paraId="16151209" w14:textId="77777777" w:rsidR="002D405D" w:rsidRPr="005B1B75" w:rsidRDefault="002D405D" w:rsidP="003F74F9">
            <w:pPr>
              <w:pStyle w:val="SingleTxtG"/>
              <w:ind w:left="0" w:right="0"/>
              <w:jc w:val="left"/>
              <w:rPr>
                <w:i/>
                <w:lang w:val="es-ES_tradnl"/>
              </w:rPr>
            </w:pPr>
            <w:r w:rsidRPr="005B1B75">
              <w:rPr>
                <w:i/>
                <w:lang w:val="es-ES_tradnl"/>
              </w:rPr>
              <w:t>Fecha de la comunicación:</w:t>
            </w:r>
          </w:p>
        </w:tc>
        <w:tc>
          <w:tcPr>
            <w:tcW w:w="4253" w:type="dxa"/>
          </w:tcPr>
          <w:p w14:paraId="416194B9" w14:textId="0FF499A0" w:rsidR="002D405D" w:rsidRPr="005B1B75" w:rsidRDefault="005B1B75" w:rsidP="003F74F9">
            <w:pPr>
              <w:pStyle w:val="SingleTxtG"/>
              <w:ind w:left="0" w:right="0"/>
              <w:jc w:val="left"/>
              <w:rPr>
                <w:lang w:val="es-ES_tradnl"/>
              </w:rPr>
            </w:pPr>
            <w:r w:rsidRPr="005B1B75">
              <w:rPr>
                <w:lang w:val="es-ES_tradnl"/>
              </w:rPr>
              <w:t>20 de febrero de 2015</w:t>
            </w:r>
          </w:p>
        </w:tc>
      </w:tr>
      <w:tr w:rsidR="002D405D" w:rsidRPr="005B1B75" w14:paraId="604F3F26" w14:textId="77777777" w:rsidTr="003F74F9">
        <w:tc>
          <w:tcPr>
            <w:tcW w:w="2552" w:type="dxa"/>
          </w:tcPr>
          <w:p w14:paraId="6171B95A" w14:textId="5D5F4935" w:rsidR="002D405D" w:rsidRPr="005B1B75" w:rsidRDefault="002D405D" w:rsidP="005B1B75">
            <w:pPr>
              <w:pStyle w:val="SingleTxtG"/>
              <w:ind w:left="0" w:right="0"/>
              <w:jc w:val="left"/>
              <w:rPr>
                <w:i/>
                <w:lang w:val="es-ES_tradnl"/>
              </w:rPr>
            </w:pPr>
            <w:r w:rsidRPr="005B1B75">
              <w:rPr>
                <w:i/>
                <w:lang w:val="es-ES_tradnl"/>
              </w:rPr>
              <w:t>Fecha de adopción</w:t>
            </w:r>
            <w:r w:rsidRPr="005B1B75">
              <w:rPr>
                <w:i/>
                <w:lang w:val="es-ES_tradnl"/>
              </w:rPr>
              <w:br/>
              <w:t>del</w:t>
            </w:r>
            <w:r w:rsidR="005B1B75" w:rsidRPr="005B1B75">
              <w:rPr>
                <w:i/>
                <w:lang w:val="es-ES_tradnl"/>
              </w:rPr>
              <w:t xml:space="preserve"> dictamen</w:t>
            </w:r>
            <w:r w:rsidRPr="005B1B75">
              <w:rPr>
                <w:i/>
                <w:lang w:val="es-ES_tradnl"/>
              </w:rPr>
              <w:t>:</w:t>
            </w:r>
          </w:p>
        </w:tc>
        <w:tc>
          <w:tcPr>
            <w:tcW w:w="4253" w:type="dxa"/>
            <w:vAlign w:val="bottom"/>
          </w:tcPr>
          <w:p w14:paraId="62E0ACBA" w14:textId="3AD453AB" w:rsidR="002D405D" w:rsidRPr="005B1B75" w:rsidRDefault="005B1B75" w:rsidP="003F74F9">
            <w:pPr>
              <w:pStyle w:val="SingleTxtG"/>
              <w:ind w:left="0" w:right="0"/>
              <w:jc w:val="left"/>
              <w:rPr>
                <w:lang w:val="es-ES_tradnl"/>
              </w:rPr>
            </w:pPr>
            <w:r w:rsidRPr="005B1B75">
              <w:rPr>
                <w:lang w:val="es-ES_tradnl"/>
              </w:rPr>
              <w:t>20 de junio de 2017</w:t>
            </w:r>
          </w:p>
        </w:tc>
      </w:tr>
      <w:tr w:rsidR="002D405D" w:rsidRPr="005B1B75" w14:paraId="37BF0903" w14:textId="77777777" w:rsidTr="003F74F9">
        <w:tc>
          <w:tcPr>
            <w:tcW w:w="2552" w:type="dxa"/>
          </w:tcPr>
          <w:p w14:paraId="5B367E01" w14:textId="77777777" w:rsidR="002D405D" w:rsidRPr="005B1B75" w:rsidRDefault="002D405D" w:rsidP="003F74F9">
            <w:pPr>
              <w:pStyle w:val="SingleTxtG"/>
              <w:ind w:left="0" w:right="0"/>
              <w:jc w:val="left"/>
              <w:rPr>
                <w:i/>
                <w:lang w:val="es-ES_tradnl"/>
              </w:rPr>
            </w:pPr>
            <w:r w:rsidRPr="005B1B75">
              <w:rPr>
                <w:i/>
                <w:lang w:val="es-ES_tradnl"/>
              </w:rPr>
              <w:t>Asunto:</w:t>
            </w:r>
          </w:p>
        </w:tc>
        <w:tc>
          <w:tcPr>
            <w:tcW w:w="4253" w:type="dxa"/>
            <w:vAlign w:val="bottom"/>
          </w:tcPr>
          <w:p w14:paraId="548CC71A" w14:textId="03B75EB4" w:rsidR="002D405D" w:rsidRPr="005B1B75" w:rsidRDefault="005B1B75" w:rsidP="003F74F9">
            <w:pPr>
              <w:pStyle w:val="SingleTxtG"/>
              <w:ind w:left="0" w:right="0"/>
              <w:jc w:val="left"/>
              <w:rPr>
                <w:lang w:val="es-ES_tradnl"/>
              </w:rPr>
            </w:pPr>
            <w:r w:rsidRPr="005B1B75">
              <w:rPr>
                <w:lang w:val="es-ES_tradnl"/>
              </w:rPr>
              <w:t>Desalojo de arrendatario como resultado de proceso judicial iniciado por la arrendadora</w:t>
            </w:r>
          </w:p>
        </w:tc>
      </w:tr>
      <w:tr w:rsidR="002D405D" w:rsidRPr="005B1B75" w14:paraId="5B0B2394" w14:textId="77777777" w:rsidTr="003F74F9">
        <w:tc>
          <w:tcPr>
            <w:tcW w:w="2552" w:type="dxa"/>
          </w:tcPr>
          <w:p w14:paraId="36C98664" w14:textId="77777777" w:rsidR="002D405D" w:rsidRPr="005B1B75" w:rsidRDefault="002D405D" w:rsidP="003F74F9">
            <w:pPr>
              <w:pStyle w:val="SingleTxtG"/>
              <w:ind w:left="0" w:right="0"/>
              <w:jc w:val="left"/>
              <w:rPr>
                <w:i/>
                <w:lang w:val="es-ES_tradnl"/>
              </w:rPr>
            </w:pPr>
            <w:r w:rsidRPr="005B1B75">
              <w:rPr>
                <w:i/>
                <w:lang w:val="es-ES_tradnl"/>
              </w:rPr>
              <w:t>Cuestiones de procedimiento:</w:t>
            </w:r>
          </w:p>
        </w:tc>
        <w:tc>
          <w:tcPr>
            <w:tcW w:w="4253" w:type="dxa"/>
            <w:vAlign w:val="bottom"/>
          </w:tcPr>
          <w:p w14:paraId="6C357D0C" w14:textId="737E9346" w:rsidR="002D405D" w:rsidRPr="005B1B75" w:rsidRDefault="005B1B75" w:rsidP="003F74F9">
            <w:pPr>
              <w:pStyle w:val="SingleTxtG"/>
              <w:ind w:left="0" w:right="0"/>
              <w:jc w:val="left"/>
              <w:rPr>
                <w:lang w:val="es-ES_tradnl"/>
              </w:rPr>
            </w:pPr>
            <w:r w:rsidRPr="00823C3D">
              <w:rPr>
                <w:lang w:val="es-ES_tradnl"/>
              </w:rPr>
              <w:t>Abuso del derecho a presentar comunicaciones;</w:t>
            </w:r>
            <w:r w:rsidRPr="005B1B75">
              <w:rPr>
                <w:lang w:val="es-ES_tradnl"/>
              </w:rPr>
              <w:t xml:space="preserve"> insuficiente fundamentación de las alegaciones; comunicación que no revela una clara desventaja</w:t>
            </w:r>
          </w:p>
        </w:tc>
      </w:tr>
      <w:tr w:rsidR="002D405D" w:rsidRPr="005B1B75" w14:paraId="1BA900A4" w14:textId="77777777" w:rsidTr="003F74F9">
        <w:tc>
          <w:tcPr>
            <w:tcW w:w="2552" w:type="dxa"/>
          </w:tcPr>
          <w:p w14:paraId="5560C619" w14:textId="77777777" w:rsidR="002D405D" w:rsidRPr="005B1B75" w:rsidRDefault="002D405D" w:rsidP="003F74F9">
            <w:pPr>
              <w:pStyle w:val="SingleTxtG"/>
              <w:ind w:left="0" w:right="0"/>
              <w:jc w:val="left"/>
              <w:rPr>
                <w:i/>
                <w:lang w:val="es-ES_tradnl"/>
              </w:rPr>
            </w:pPr>
            <w:r w:rsidRPr="005B1B75">
              <w:rPr>
                <w:i/>
                <w:lang w:val="es-ES_tradnl"/>
              </w:rPr>
              <w:t>Cuestiones de fondo:</w:t>
            </w:r>
          </w:p>
        </w:tc>
        <w:tc>
          <w:tcPr>
            <w:tcW w:w="4253" w:type="dxa"/>
            <w:vAlign w:val="bottom"/>
          </w:tcPr>
          <w:p w14:paraId="7C9C850B" w14:textId="3B130465" w:rsidR="002D405D" w:rsidRPr="005B1B75" w:rsidRDefault="005B1B75" w:rsidP="005B1B75">
            <w:pPr>
              <w:pStyle w:val="SingleTxtG"/>
              <w:ind w:left="0" w:right="0"/>
              <w:jc w:val="left"/>
              <w:rPr>
                <w:lang w:val="es-ES_tradnl"/>
              </w:rPr>
            </w:pPr>
            <w:r w:rsidRPr="005B1B75">
              <w:rPr>
                <w:lang w:val="es-ES_tradnl"/>
              </w:rPr>
              <w:t>Medidas para lograr la plena efectividad de los derechos del Pacto; derecho a una vivienda adecuada</w:t>
            </w:r>
          </w:p>
        </w:tc>
      </w:tr>
      <w:tr w:rsidR="002D405D" w:rsidRPr="005B1B75" w14:paraId="1278CB0A" w14:textId="77777777" w:rsidTr="003F74F9">
        <w:tc>
          <w:tcPr>
            <w:tcW w:w="2552" w:type="dxa"/>
          </w:tcPr>
          <w:p w14:paraId="3D8A60FB" w14:textId="7ACA40CF" w:rsidR="002D405D" w:rsidRPr="005B1B75" w:rsidRDefault="002D405D" w:rsidP="005B1B75">
            <w:pPr>
              <w:pStyle w:val="SingleTxtG"/>
              <w:ind w:left="0" w:right="0"/>
              <w:jc w:val="left"/>
              <w:rPr>
                <w:i/>
                <w:lang w:val="es-ES_tradnl"/>
              </w:rPr>
            </w:pPr>
            <w:r w:rsidRPr="005B1B75">
              <w:rPr>
                <w:i/>
                <w:lang w:val="es-ES_tradnl"/>
              </w:rPr>
              <w:t>Artículo del Pacto:</w:t>
            </w:r>
          </w:p>
        </w:tc>
        <w:tc>
          <w:tcPr>
            <w:tcW w:w="4253" w:type="dxa"/>
            <w:vAlign w:val="bottom"/>
          </w:tcPr>
          <w:p w14:paraId="00B74904" w14:textId="639C6E0E" w:rsidR="002D405D" w:rsidRPr="005B1B75" w:rsidRDefault="005B1B75" w:rsidP="00823C3D">
            <w:pPr>
              <w:pStyle w:val="SingleTxtG"/>
              <w:ind w:left="0" w:right="0"/>
              <w:jc w:val="left"/>
              <w:rPr>
                <w:lang w:val="es-ES_tradnl"/>
              </w:rPr>
            </w:pPr>
            <w:r w:rsidRPr="005B1B75">
              <w:rPr>
                <w:lang w:val="es-ES_tradnl"/>
              </w:rPr>
              <w:t>11, párr</w:t>
            </w:r>
            <w:r w:rsidR="00823C3D">
              <w:rPr>
                <w:lang w:val="es-ES_tradnl"/>
              </w:rPr>
              <w:t>.</w:t>
            </w:r>
            <w:r w:rsidRPr="005B1B75">
              <w:rPr>
                <w:lang w:val="es-ES_tradnl"/>
              </w:rPr>
              <w:t xml:space="preserve"> 1</w:t>
            </w:r>
          </w:p>
        </w:tc>
      </w:tr>
      <w:tr w:rsidR="002D405D" w:rsidRPr="005B1B75" w14:paraId="1801AEC8" w14:textId="77777777" w:rsidTr="003F74F9">
        <w:tc>
          <w:tcPr>
            <w:tcW w:w="2552" w:type="dxa"/>
          </w:tcPr>
          <w:p w14:paraId="3F11F508" w14:textId="77777777" w:rsidR="002D405D" w:rsidRPr="005B1B75" w:rsidRDefault="002D405D" w:rsidP="003F74F9">
            <w:pPr>
              <w:pStyle w:val="SingleTxtG"/>
              <w:ind w:left="0" w:right="0"/>
              <w:jc w:val="left"/>
              <w:rPr>
                <w:i/>
                <w:lang w:val="es-ES_tradnl"/>
              </w:rPr>
            </w:pPr>
            <w:r w:rsidRPr="005B1B75">
              <w:rPr>
                <w:i/>
                <w:lang w:val="es-ES_tradnl"/>
              </w:rPr>
              <w:t>Artículos del Protocolo</w:t>
            </w:r>
            <w:r w:rsidRPr="005B1B75">
              <w:rPr>
                <w:i/>
                <w:lang w:val="es-ES_tradnl"/>
              </w:rPr>
              <w:br/>
              <w:t>Facultativo:</w:t>
            </w:r>
          </w:p>
        </w:tc>
        <w:tc>
          <w:tcPr>
            <w:tcW w:w="4253" w:type="dxa"/>
            <w:vAlign w:val="bottom"/>
          </w:tcPr>
          <w:p w14:paraId="2EF2144E" w14:textId="33675792" w:rsidR="002D405D" w:rsidRPr="005B1B75" w:rsidRDefault="005B1B75" w:rsidP="003F74F9">
            <w:pPr>
              <w:pStyle w:val="SingleTxtG"/>
              <w:ind w:left="0" w:right="0"/>
              <w:jc w:val="left"/>
              <w:rPr>
                <w:lang w:val="es-ES_tradnl"/>
              </w:rPr>
            </w:pPr>
            <w:r w:rsidRPr="005B1B75">
              <w:rPr>
                <w:lang w:val="es-ES_tradnl"/>
              </w:rPr>
              <w:t>3, apartados e) y f); y 4</w:t>
            </w:r>
          </w:p>
        </w:tc>
      </w:tr>
    </w:tbl>
    <w:p w14:paraId="72D28B46" w14:textId="20932418" w:rsidR="006C1799" w:rsidRPr="005B1B75" w:rsidRDefault="00483110" w:rsidP="005B1B75">
      <w:pPr>
        <w:pStyle w:val="SingleTxtG"/>
        <w:spacing w:before="120"/>
        <w:rPr>
          <w:lang w:val="es-ES_tradnl"/>
        </w:rPr>
      </w:pPr>
      <w:r w:rsidRPr="005B1B75">
        <w:rPr>
          <w:lang w:val="es-ES_tradnl"/>
        </w:rPr>
        <w:t>1.1</w:t>
      </w:r>
      <w:r w:rsidRPr="005B1B75">
        <w:rPr>
          <w:lang w:val="es-ES_tradnl"/>
        </w:rPr>
        <w:tab/>
        <w:t xml:space="preserve">Los autores de la </w:t>
      </w:r>
      <w:r w:rsidR="006C1799" w:rsidRPr="005B1B75">
        <w:rPr>
          <w:lang w:val="es-ES_tradnl"/>
        </w:rPr>
        <w:t xml:space="preserve">comunicación </w:t>
      </w:r>
      <w:r w:rsidRPr="005B1B75">
        <w:rPr>
          <w:lang w:val="es-ES_tradnl"/>
        </w:rPr>
        <w:t xml:space="preserve">son Mohamed Ben </w:t>
      </w:r>
      <w:proofErr w:type="spellStart"/>
      <w:r w:rsidRPr="005B1B75">
        <w:rPr>
          <w:lang w:val="es-ES_tradnl"/>
        </w:rPr>
        <w:t>Djazia</w:t>
      </w:r>
      <w:proofErr w:type="spellEnd"/>
      <w:r w:rsidRPr="005B1B75">
        <w:rPr>
          <w:lang w:val="es-ES_tradnl"/>
        </w:rPr>
        <w:t xml:space="preserve">, de nacionalidad española y </w:t>
      </w:r>
      <w:proofErr w:type="spellStart"/>
      <w:r w:rsidRPr="005B1B75">
        <w:rPr>
          <w:lang w:val="es-ES_tradnl"/>
        </w:rPr>
        <w:t>Naouel</w:t>
      </w:r>
      <w:proofErr w:type="spellEnd"/>
      <w:r w:rsidRPr="005B1B75">
        <w:rPr>
          <w:lang w:val="es-ES_tradnl"/>
        </w:rPr>
        <w:t xml:space="preserve"> </w:t>
      </w:r>
      <w:proofErr w:type="spellStart"/>
      <w:r w:rsidRPr="005B1B75">
        <w:rPr>
          <w:lang w:val="es-ES_tradnl"/>
        </w:rPr>
        <w:t>Bellili</w:t>
      </w:r>
      <w:proofErr w:type="spellEnd"/>
      <w:r w:rsidRPr="005B1B75">
        <w:rPr>
          <w:lang w:val="es-ES_tradnl"/>
        </w:rPr>
        <w:t xml:space="preserve">, de nacionalidad argelina, nacidos el 25 de abril de </w:t>
      </w:r>
      <w:r w:rsidR="0098179B" w:rsidRPr="005B1B75">
        <w:rPr>
          <w:lang w:val="es-ES_tradnl"/>
        </w:rPr>
        <w:t>1959 y el 17 de enero de 1984, respectivamente. Los autores presentan la comunicación en su propio nombre y en el de sus hijos menores de edad, ambos de nacionalidad española, nacidos el 6 de mayo de 2010 y el 13 de septiembre de 2012. Los autores sostienen que fueron víctimas de una violación de</w:t>
      </w:r>
      <w:r w:rsidR="006C1799" w:rsidRPr="005B1B75">
        <w:rPr>
          <w:lang w:val="es-ES_tradnl"/>
        </w:rPr>
        <w:t xml:space="preserve"> los derechos que le</w:t>
      </w:r>
      <w:r w:rsidR="00A85592" w:rsidRPr="005B1B75">
        <w:rPr>
          <w:lang w:val="es-ES_tradnl"/>
        </w:rPr>
        <w:t>s</w:t>
      </w:r>
      <w:r w:rsidR="006C1799" w:rsidRPr="005B1B75">
        <w:rPr>
          <w:lang w:val="es-ES_tradnl"/>
        </w:rPr>
        <w:t xml:space="preserve"> asisten en virtud del artículo 11</w:t>
      </w:r>
      <w:r w:rsidR="00ED2B84" w:rsidRPr="005B1B75">
        <w:rPr>
          <w:lang w:val="es-ES_tradnl"/>
        </w:rPr>
        <w:t xml:space="preserve">, párr. </w:t>
      </w:r>
      <w:r w:rsidR="0098179B" w:rsidRPr="005B1B75">
        <w:rPr>
          <w:lang w:val="es-ES_tradnl"/>
        </w:rPr>
        <w:t>1</w:t>
      </w:r>
      <w:r w:rsidR="00A250E0" w:rsidRPr="005B1B75">
        <w:rPr>
          <w:lang w:val="es-ES_tradnl"/>
        </w:rPr>
        <w:t>,</w:t>
      </w:r>
      <w:r w:rsidR="0098179B" w:rsidRPr="005B1B75">
        <w:rPr>
          <w:lang w:val="es-ES_tradnl"/>
        </w:rPr>
        <w:t xml:space="preserve"> del</w:t>
      </w:r>
      <w:r w:rsidR="006C1799" w:rsidRPr="005B1B75">
        <w:rPr>
          <w:lang w:val="es-ES_tradnl"/>
        </w:rPr>
        <w:t xml:space="preserve"> Pacto por el Estado parte</w:t>
      </w:r>
      <w:r w:rsidR="0098179B" w:rsidRPr="005B1B75">
        <w:rPr>
          <w:lang w:val="es-ES_tradnl"/>
        </w:rPr>
        <w:t xml:space="preserve">. </w:t>
      </w:r>
      <w:r w:rsidR="00ED2B84" w:rsidRPr="005B1B75">
        <w:rPr>
          <w:lang w:val="es-ES_tradnl"/>
        </w:rPr>
        <w:t xml:space="preserve">El Protocolo Facultativo entró en vigor para el Estado parte el 5 de mayo de 2013. </w:t>
      </w:r>
      <w:r w:rsidR="0098179B" w:rsidRPr="005B1B75">
        <w:rPr>
          <w:lang w:val="es-ES_tradnl"/>
        </w:rPr>
        <w:t>Los</w:t>
      </w:r>
      <w:r w:rsidR="006C1799" w:rsidRPr="005B1B75">
        <w:rPr>
          <w:lang w:val="es-ES_tradnl"/>
        </w:rPr>
        <w:t xml:space="preserve"> autor</w:t>
      </w:r>
      <w:r w:rsidR="0098179B" w:rsidRPr="005B1B75">
        <w:rPr>
          <w:lang w:val="es-ES_tradnl"/>
        </w:rPr>
        <w:t>es</w:t>
      </w:r>
      <w:r w:rsidR="006C1799" w:rsidRPr="005B1B75">
        <w:rPr>
          <w:lang w:val="es-ES_tradnl"/>
        </w:rPr>
        <w:t xml:space="preserve"> está</w:t>
      </w:r>
      <w:r w:rsidR="0098179B" w:rsidRPr="005B1B75">
        <w:rPr>
          <w:lang w:val="es-ES_tradnl"/>
        </w:rPr>
        <w:t>n representados</w:t>
      </w:r>
      <w:r w:rsidR="006C1799" w:rsidRPr="005B1B75">
        <w:rPr>
          <w:lang w:val="es-ES_tradnl"/>
        </w:rPr>
        <w:t xml:space="preserve"> por abogado.</w:t>
      </w:r>
    </w:p>
    <w:p w14:paraId="1235F152" w14:textId="460E31D4" w:rsidR="00527E71" w:rsidRPr="005B1B75" w:rsidRDefault="006C1799" w:rsidP="00D4263A">
      <w:pPr>
        <w:pStyle w:val="SingleTxtG"/>
        <w:rPr>
          <w:lang w:val="es-ES_tradnl"/>
        </w:rPr>
      </w:pPr>
      <w:r w:rsidRPr="005B1B75">
        <w:rPr>
          <w:lang w:val="es-ES_tradnl"/>
        </w:rPr>
        <w:t>1.2</w:t>
      </w:r>
      <w:r w:rsidRPr="005B1B75">
        <w:rPr>
          <w:lang w:val="es-ES_tradnl"/>
        </w:rPr>
        <w:tab/>
        <w:t xml:space="preserve">En el presente dictamen el Comité resume </w:t>
      </w:r>
      <w:r w:rsidR="00ED2B84" w:rsidRPr="005B1B75">
        <w:rPr>
          <w:lang w:val="es-ES_tradnl"/>
        </w:rPr>
        <w:t xml:space="preserve">en primer lugar </w:t>
      </w:r>
      <w:r w:rsidRPr="005B1B75">
        <w:rPr>
          <w:lang w:val="es-ES_tradnl"/>
        </w:rPr>
        <w:t>la información y los alegatos presentados por las partes</w:t>
      </w:r>
      <w:r w:rsidR="00527E71" w:rsidRPr="005B1B75">
        <w:rPr>
          <w:lang w:val="es-ES_tradnl"/>
        </w:rPr>
        <w:t xml:space="preserve"> y los terceros intervinientes (</w:t>
      </w:r>
      <w:proofErr w:type="spellStart"/>
      <w:r w:rsidR="00ED2B84" w:rsidRPr="005B1B75">
        <w:rPr>
          <w:lang w:val="es-ES_tradnl"/>
        </w:rPr>
        <w:t>párrs</w:t>
      </w:r>
      <w:proofErr w:type="spellEnd"/>
      <w:r w:rsidR="00ED2B84" w:rsidRPr="005B1B75">
        <w:rPr>
          <w:lang w:val="es-ES_tradnl"/>
        </w:rPr>
        <w:t xml:space="preserve">. </w:t>
      </w:r>
      <w:r w:rsidR="00527E71" w:rsidRPr="005B1B75">
        <w:rPr>
          <w:lang w:val="es-ES_tradnl"/>
        </w:rPr>
        <w:t>2.1</w:t>
      </w:r>
      <w:r w:rsidR="00ED2B84" w:rsidRPr="005B1B75">
        <w:rPr>
          <w:lang w:val="es-ES_tradnl"/>
        </w:rPr>
        <w:t xml:space="preserve"> a </w:t>
      </w:r>
      <w:r w:rsidR="00527E71" w:rsidRPr="005B1B75">
        <w:rPr>
          <w:lang w:val="es-ES_tradnl"/>
        </w:rPr>
        <w:t>10</w:t>
      </w:r>
      <w:r w:rsidR="00ED2B84" w:rsidRPr="005B1B75">
        <w:rPr>
          <w:lang w:val="es-ES_tradnl"/>
        </w:rPr>
        <w:t xml:space="preserve"> </w:t>
      </w:r>
      <w:r w:rsidR="00ED2B84" w:rsidRPr="009E41B4">
        <w:rPr>
          <w:i/>
          <w:lang w:val="es-ES_tradnl"/>
        </w:rPr>
        <w:t>infra</w:t>
      </w:r>
      <w:r w:rsidR="00527E71" w:rsidRPr="005B1B75">
        <w:rPr>
          <w:lang w:val="es-ES_tradnl"/>
        </w:rPr>
        <w:t xml:space="preserve">), sin reflejar las </w:t>
      </w:r>
      <w:r w:rsidR="002D0785" w:rsidRPr="005B1B75">
        <w:rPr>
          <w:lang w:val="es-ES_tradnl"/>
        </w:rPr>
        <w:t xml:space="preserve">posturas </w:t>
      </w:r>
      <w:r w:rsidR="00527E71" w:rsidRPr="005B1B75">
        <w:rPr>
          <w:lang w:val="es-ES_tradnl"/>
        </w:rPr>
        <w:t>del Comité</w:t>
      </w:r>
      <w:r w:rsidRPr="005B1B75">
        <w:rPr>
          <w:lang w:val="es-ES_tradnl"/>
        </w:rPr>
        <w:t xml:space="preserve">; seguidamente examina las cuestiones de admisibilidad y </w:t>
      </w:r>
      <w:r w:rsidRPr="005B1B75">
        <w:rPr>
          <w:lang w:val="es-ES_tradnl"/>
        </w:rPr>
        <w:lastRenderedPageBreak/>
        <w:t>fondo planteados en la comunicación; y finalmente establece sus conclusiones y recomendaciones.</w:t>
      </w:r>
      <w:r w:rsidR="00987522">
        <w:rPr>
          <w:noProof/>
        </w:rPr>
        <w:drawing>
          <wp:anchor distT="0" distB="0" distL="114300" distR="114300" simplePos="0" relativeHeight="251661312" behindDoc="0" locked="1" layoutInCell="1" allowOverlap="1" wp14:anchorId="586CCD0C" wp14:editId="29448E27">
            <wp:simplePos x="0" y="0"/>
            <wp:positionH relativeFrom="margin">
              <wp:posOffset>5039995</wp:posOffset>
            </wp:positionH>
            <wp:positionV relativeFrom="margin">
              <wp:posOffset>10043795</wp:posOffset>
            </wp:positionV>
            <wp:extent cx="1085850" cy="228600"/>
            <wp:effectExtent l="0" t="0" r="0" b="0"/>
            <wp:wrapNone/>
            <wp:docPr id="10" name="Picture 4"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Spanis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sidR="00987522">
        <w:rPr>
          <w:noProof/>
        </w:rPr>
        <w:drawing>
          <wp:anchor distT="0" distB="0" distL="114300" distR="114300" simplePos="0" relativeHeight="251659264" behindDoc="0" locked="1" layoutInCell="1" allowOverlap="1" wp14:anchorId="568B7116" wp14:editId="56323F4F">
            <wp:simplePos x="0" y="0"/>
            <wp:positionH relativeFrom="margin">
              <wp:posOffset>5039995</wp:posOffset>
            </wp:positionH>
            <wp:positionV relativeFrom="margin">
              <wp:posOffset>10043795</wp:posOffset>
            </wp:positionV>
            <wp:extent cx="1085850" cy="228600"/>
            <wp:effectExtent l="0" t="0" r="0" b="0"/>
            <wp:wrapNone/>
            <wp:docPr id="9"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cycle_Spanis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sidR="00B904A4">
        <w:rPr>
          <w:lang w:val="es-ES_tradnl"/>
        </w:rPr>
        <w:t xml:space="preserve"> </w:t>
      </w:r>
      <w:r w:rsidR="00987522">
        <w:rPr>
          <w:noProof/>
        </w:rPr>
        <w:drawing>
          <wp:anchor distT="0" distB="0" distL="114300" distR="114300" simplePos="0" relativeHeight="251665408" behindDoc="0" locked="1" layoutInCell="1" allowOverlap="1" wp14:anchorId="01DCC4F2" wp14:editId="76FD6B07">
            <wp:simplePos x="0" y="0"/>
            <wp:positionH relativeFrom="margin">
              <wp:posOffset>4343400</wp:posOffset>
            </wp:positionH>
            <wp:positionV relativeFrom="margin">
              <wp:posOffset>9230995</wp:posOffset>
            </wp:positionV>
            <wp:extent cx="1085850" cy="228600"/>
            <wp:effectExtent l="0" t="0" r="0" b="0"/>
            <wp:wrapNone/>
            <wp:docPr id="8" name="Picture 6"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cycle_Spanis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p>
    <w:p w14:paraId="3A77980D" w14:textId="77777777" w:rsidR="006C1799" w:rsidRPr="005B1B75" w:rsidRDefault="006C1799" w:rsidP="002D405D">
      <w:pPr>
        <w:pStyle w:val="H1G"/>
        <w:rPr>
          <w:lang w:val="es-ES_tradnl"/>
        </w:rPr>
      </w:pPr>
      <w:r w:rsidRPr="005B1B75">
        <w:rPr>
          <w:lang w:val="es-ES_tradnl"/>
        </w:rPr>
        <w:tab/>
        <w:t>A.</w:t>
      </w:r>
      <w:r w:rsidRPr="005B1B75">
        <w:rPr>
          <w:lang w:val="es-ES_tradnl"/>
        </w:rPr>
        <w:tab/>
        <w:t>Resumen de la información y alegatos de las partes</w:t>
      </w:r>
    </w:p>
    <w:p w14:paraId="19110C95" w14:textId="46AC4E3E" w:rsidR="006C1799" w:rsidRPr="005B1B75" w:rsidRDefault="006C1799" w:rsidP="00D445DC">
      <w:pPr>
        <w:pStyle w:val="H23G"/>
        <w:rPr>
          <w:lang w:val="es-ES_tradnl"/>
        </w:rPr>
      </w:pPr>
      <w:r w:rsidRPr="005B1B75">
        <w:rPr>
          <w:lang w:val="es-ES_tradnl"/>
        </w:rPr>
        <w:tab/>
      </w:r>
      <w:r w:rsidRPr="005B1B75">
        <w:rPr>
          <w:lang w:val="es-ES_tradnl"/>
        </w:rPr>
        <w:tab/>
        <w:t xml:space="preserve">Los hechos expuestos por </w:t>
      </w:r>
      <w:r w:rsidR="0098179B" w:rsidRPr="005B1B75">
        <w:rPr>
          <w:lang w:val="es-ES_tradnl"/>
        </w:rPr>
        <w:t>los autores</w:t>
      </w:r>
      <w:r w:rsidR="00987522">
        <w:rPr>
          <w:noProof/>
        </w:rPr>
        <w:drawing>
          <wp:anchor distT="0" distB="0" distL="114300" distR="114300" simplePos="0" relativeHeight="251663360" behindDoc="0" locked="1" layoutInCell="1" allowOverlap="1" wp14:anchorId="7C4C7088" wp14:editId="588A24A2">
            <wp:simplePos x="0" y="0"/>
            <wp:positionH relativeFrom="margin">
              <wp:posOffset>5039995</wp:posOffset>
            </wp:positionH>
            <wp:positionV relativeFrom="margin">
              <wp:posOffset>10043795</wp:posOffset>
            </wp:positionV>
            <wp:extent cx="1085850" cy="228600"/>
            <wp:effectExtent l="0" t="0" r="0" b="0"/>
            <wp:wrapNone/>
            <wp:docPr id="2" name="Picture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cycle_Spanis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p>
    <w:p w14:paraId="3E1C6C26" w14:textId="18B6CF15" w:rsidR="005D7A57" w:rsidRPr="005B1B75" w:rsidRDefault="008B53A8" w:rsidP="0048522D">
      <w:pPr>
        <w:pStyle w:val="SingleTxtG"/>
        <w:rPr>
          <w:lang w:val="es-ES_tradnl"/>
        </w:rPr>
      </w:pPr>
      <w:r w:rsidRPr="005B1B75">
        <w:rPr>
          <w:lang w:val="es-ES_tradnl"/>
        </w:rPr>
        <w:t xml:space="preserve">2.1 </w:t>
      </w:r>
      <w:r w:rsidR="00906683" w:rsidRPr="005B1B75">
        <w:rPr>
          <w:lang w:val="es-ES_tradnl"/>
        </w:rPr>
        <w:tab/>
      </w:r>
      <w:r w:rsidRPr="005B1B75">
        <w:rPr>
          <w:lang w:val="es-ES_tradnl"/>
        </w:rPr>
        <w:t xml:space="preserve">Los autores alegan que Mohamed Ben </w:t>
      </w:r>
      <w:proofErr w:type="spellStart"/>
      <w:r w:rsidRPr="005B1B75">
        <w:rPr>
          <w:lang w:val="es-ES_tradnl"/>
        </w:rPr>
        <w:t>Djazia</w:t>
      </w:r>
      <w:proofErr w:type="spellEnd"/>
      <w:r w:rsidRPr="005B1B75">
        <w:rPr>
          <w:lang w:val="es-ES_tradnl"/>
        </w:rPr>
        <w:t xml:space="preserve"> vivía en una habitación alquilada en un piso de Madrid desde</w:t>
      </w:r>
      <w:r w:rsidR="00CA1DDA" w:rsidRPr="005B1B75">
        <w:rPr>
          <w:lang w:val="es-ES_tradnl"/>
        </w:rPr>
        <w:t xml:space="preserve"> el</w:t>
      </w:r>
      <w:r w:rsidR="00674382" w:rsidRPr="005B1B75">
        <w:rPr>
          <w:lang w:val="es-ES_tradnl"/>
        </w:rPr>
        <w:t xml:space="preserve"> 15 de julio de </w:t>
      </w:r>
      <w:r w:rsidRPr="005B1B75">
        <w:rPr>
          <w:lang w:val="es-ES_tradnl"/>
        </w:rPr>
        <w:t xml:space="preserve">1998. En 2009, </w:t>
      </w:r>
      <w:r w:rsidR="001B7E8F" w:rsidRPr="005B1B75">
        <w:rPr>
          <w:lang w:val="es-ES_tradnl"/>
        </w:rPr>
        <w:t>l</w:t>
      </w:r>
      <w:r w:rsidR="009E41B4">
        <w:rPr>
          <w:lang w:val="es-ES_tradnl"/>
        </w:rPr>
        <w:t>os autores se casaron y la Sra. </w:t>
      </w:r>
      <w:proofErr w:type="spellStart"/>
      <w:r w:rsidR="001B7E8F" w:rsidRPr="005B1B75">
        <w:rPr>
          <w:lang w:val="es-ES_tradnl"/>
        </w:rPr>
        <w:t>Bellili</w:t>
      </w:r>
      <w:proofErr w:type="spellEnd"/>
      <w:r w:rsidRPr="005B1B75">
        <w:rPr>
          <w:lang w:val="es-ES_tradnl"/>
        </w:rPr>
        <w:t xml:space="preserve"> se trasladó a </w:t>
      </w:r>
      <w:r w:rsidR="001B7E8F" w:rsidRPr="005B1B75">
        <w:rPr>
          <w:lang w:val="es-ES_tradnl"/>
        </w:rPr>
        <w:t>la</w:t>
      </w:r>
      <w:r w:rsidRPr="005B1B75">
        <w:rPr>
          <w:lang w:val="es-ES_tradnl"/>
        </w:rPr>
        <w:t xml:space="preserve"> habitación, donde continuaron viviendo después del nacimiento de sus </w:t>
      </w:r>
      <w:r w:rsidR="00674382" w:rsidRPr="005B1B75">
        <w:rPr>
          <w:lang w:val="es-ES_tradnl"/>
        </w:rPr>
        <w:t xml:space="preserve">dos </w:t>
      </w:r>
      <w:r w:rsidRPr="005B1B75">
        <w:rPr>
          <w:lang w:val="es-ES_tradnl"/>
        </w:rPr>
        <w:t>hijos.</w:t>
      </w:r>
      <w:r w:rsidR="00CA1DDA" w:rsidRPr="005B1B75">
        <w:rPr>
          <w:lang w:val="es-ES_tradnl"/>
        </w:rPr>
        <w:t xml:space="preserve"> </w:t>
      </w:r>
      <w:r w:rsidRPr="005B1B75">
        <w:rPr>
          <w:lang w:val="es-ES_tradnl"/>
        </w:rPr>
        <w:t xml:space="preserve">Los autores pagaban regularmente </w:t>
      </w:r>
      <w:r w:rsidR="001B7E8F" w:rsidRPr="005B1B75">
        <w:rPr>
          <w:lang w:val="es-ES_tradnl"/>
        </w:rPr>
        <w:t>la renta mensual</w:t>
      </w:r>
      <w:r w:rsidR="004130F8" w:rsidRPr="005B1B75">
        <w:rPr>
          <w:lang w:val="es-ES_tradnl"/>
        </w:rPr>
        <w:t xml:space="preserve">. </w:t>
      </w:r>
    </w:p>
    <w:p w14:paraId="636DB43C" w14:textId="641EDE20" w:rsidR="008B53A8" w:rsidRPr="005B1B75" w:rsidRDefault="005D7A57" w:rsidP="0048522D">
      <w:pPr>
        <w:pStyle w:val="SingleTxtG"/>
        <w:rPr>
          <w:lang w:val="es-ES_tradnl"/>
        </w:rPr>
      </w:pPr>
      <w:r w:rsidRPr="005B1B75">
        <w:rPr>
          <w:lang w:val="es-ES_tradnl"/>
        </w:rPr>
        <w:t>2.2</w:t>
      </w:r>
      <w:r w:rsidR="005A2A00" w:rsidRPr="005B1B75">
        <w:rPr>
          <w:lang w:val="es-ES_tradnl"/>
        </w:rPr>
        <w:t xml:space="preserve"> </w:t>
      </w:r>
      <w:r w:rsidR="00817ACB" w:rsidRPr="005B1B75">
        <w:rPr>
          <w:lang w:val="es-ES_tradnl"/>
        </w:rPr>
        <w:tab/>
      </w:r>
      <w:r w:rsidR="00466D95" w:rsidRPr="005B1B75">
        <w:rPr>
          <w:lang w:val="es-ES_tradnl"/>
        </w:rPr>
        <w:t>D</w:t>
      </w:r>
      <w:r w:rsidR="008B53A8" w:rsidRPr="005B1B75">
        <w:rPr>
          <w:lang w:val="es-ES_tradnl"/>
        </w:rPr>
        <w:t xml:space="preserve">ebido a sus bajos ingresos, desde 1999 el Sr. Ben </w:t>
      </w:r>
      <w:proofErr w:type="spellStart"/>
      <w:r w:rsidR="008B53A8" w:rsidRPr="005B1B75">
        <w:rPr>
          <w:lang w:val="es-ES_tradnl"/>
        </w:rPr>
        <w:t>Djazia</w:t>
      </w:r>
      <w:proofErr w:type="spellEnd"/>
      <w:r w:rsidR="008B53A8" w:rsidRPr="005B1B75">
        <w:rPr>
          <w:lang w:val="es-ES_tradnl"/>
        </w:rPr>
        <w:t xml:space="preserve"> solicitó al Instituto de la Vivienda de Madrid (</w:t>
      </w:r>
      <w:proofErr w:type="spellStart"/>
      <w:r w:rsidR="008B53A8" w:rsidRPr="005B1B75">
        <w:rPr>
          <w:lang w:val="es-ES_tradnl"/>
        </w:rPr>
        <w:t>IVIMA</w:t>
      </w:r>
      <w:proofErr w:type="spellEnd"/>
      <w:r w:rsidR="008B53A8" w:rsidRPr="005B1B75">
        <w:rPr>
          <w:lang w:val="es-ES_tradnl"/>
        </w:rPr>
        <w:t xml:space="preserve">) una vivienda </w:t>
      </w:r>
      <w:r w:rsidR="002452D1" w:rsidRPr="005B1B75">
        <w:rPr>
          <w:lang w:val="es-ES_tradnl"/>
        </w:rPr>
        <w:t>pública</w:t>
      </w:r>
      <w:r w:rsidR="008B53A8" w:rsidRPr="005B1B75">
        <w:rPr>
          <w:lang w:val="es-ES_tradnl"/>
        </w:rPr>
        <w:t>.</w:t>
      </w:r>
      <w:r w:rsidRPr="005B1B75">
        <w:rPr>
          <w:lang w:val="es-ES_tradnl"/>
        </w:rPr>
        <w:t xml:space="preserve"> El </w:t>
      </w:r>
      <w:r w:rsidR="002D0785" w:rsidRPr="005B1B75">
        <w:rPr>
          <w:lang w:val="es-ES_tradnl"/>
        </w:rPr>
        <w:t xml:space="preserve">Sr. Ben </w:t>
      </w:r>
      <w:proofErr w:type="spellStart"/>
      <w:r w:rsidR="002D0785" w:rsidRPr="005B1B75">
        <w:rPr>
          <w:lang w:val="es-ES_tradnl"/>
        </w:rPr>
        <w:t>Djazia</w:t>
      </w:r>
      <w:proofErr w:type="spellEnd"/>
      <w:r w:rsidRPr="005B1B75">
        <w:rPr>
          <w:lang w:val="es-ES_tradnl"/>
        </w:rPr>
        <w:t xml:space="preserve"> presentó </w:t>
      </w:r>
      <w:r w:rsidR="00ED2B84" w:rsidRPr="005B1B75">
        <w:rPr>
          <w:lang w:val="es-ES_tradnl"/>
        </w:rPr>
        <w:t xml:space="preserve">13 </w:t>
      </w:r>
      <w:r w:rsidRPr="005B1B75">
        <w:rPr>
          <w:lang w:val="es-ES_tradnl"/>
        </w:rPr>
        <w:t>solicitudes de vivienda social sin éxito entre 1999 y 2011</w:t>
      </w:r>
      <w:r w:rsidR="00554968" w:rsidRPr="009E41B4">
        <w:rPr>
          <w:sz w:val="18"/>
          <w:szCs w:val="18"/>
          <w:vertAlign w:val="superscript"/>
          <w:lang w:val="es-ES_tradnl"/>
        </w:rPr>
        <w:footnoteReference w:id="2"/>
      </w:r>
      <w:r w:rsidR="00ED2B84" w:rsidRPr="005B1B75">
        <w:rPr>
          <w:lang w:val="es-ES_tradnl"/>
        </w:rPr>
        <w:t>.</w:t>
      </w:r>
    </w:p>
    <w:p w14:paraId="02A8581D" w14:textId="7FFFC9F5" w:rsidR="008B53A8" w:rsidRPr="005B1B75" w:rsidRDefault="008B53A8" w:rsidP="0048522D">
      <w:pPr>
        <w:pStyle w:val="SingleTxtG"/>
        <w:rPr>
          <w:lang w:val="es-ES_tradnl"/>
        </w:rPr>
      </w:pPr>
      <w:r w:rsidRPr="005B1B75">
        <w:rPr>
          <w:lang w:val="es-ES_tradnl"/>
        </w:rPr>
        <w:t>2.</w:t>
      </w:r>
      <w:r w:rsidR="005D7A57" w:rsidRPr="005B1B75">
        <w:rPr>
          <w:lang w:val="es-ES_tradnl"/>
        </w:rPr>
        <w:t>3</w:t>
      </w:r>
      <w:r w:rsidRPr="005B1B75">
        <w:rPr>
          <w:lang w:val="es-ES_tradnl"/>
        </w:rPr>
        <w:t xml:space="preserve"> </w:t>
      </w:r>
      <w:r w:rsidR="00674382" w:rsidRPr="005B1B75">
        <w:rPr>
          <w:lang w:val="es-ES_tradnl"/>
        </w:rPr>
        <w:tab/>
      </w:r>
      <w:r w:rsidR="00685080" w:rsidRPr="005B1B75">
        <w:rPr>
          <w:lang w:val="es-ES_tradnl"/>
        </w:rPr>
        <w:t xml:space="preserve">El </w:t>
      </w:r>
      <w:r w:rsidR="002D0785" w:rsidRPr="005B1B75">
        <w:rPr>
          <w:lang w:val="es-ES_tradnl"/>
        </w:rPr>
        <w:t xml:space="preserve">Sr. Ben </w:t>
      </w:r>
      <w:proofErr w:type="spellStart"/>
      <w:r w:rsidR="002D0785" w:rsidRPr="005B1B75">
        <w:rPr>
          <w:lang w:val="es-ES_tradnl"/>
        </w:rPr>
        <w:t>Djazia</w:t>
      </w:r>
      <w:proofErr w:type="spellEnd"/>
      <w:r w:rsidR="00685080" w:rsidRPr="005B1B75">
        <w:rPr>
          <w:lang w:val="es-ES_tradnl"/>
        </w:rPr>
        <w:t xml:space="preserve"> percibió</w:t>
      </w:r>
      <w:r w:rsidRPr="005B1B75">
        <w:rPr>
          <w:lang w:val="es-ES_tradnl"/>
        </w:rPr>
        <w:t xml:space="preserve"> </w:t>
      </w:r>
      <w:r w:rsidR="00CA1DDA" w:rsidRPr="005B1B75">
        <w:rPr>
          <w:lang w:val="es-ES_tradnl"/>
        </w:rPr>
        <w:t>un monto mensual como subsidio d</w:t>
      </w:r>
      <w:r w:rsidRPr="005B1B75">
        <w:rPr>
          <w:lang w:val="es-ES_tradnl"/>
        </w:rPr>
        <w:t>e desempleo hasta el 21 de junio de 2012</w:t>
      </w:r>
      <w:r w:rsidR="00CA1DDA" w:rsidRPr="009E41B4">
        <w:rPr>
          <w:sz w:val="18"/>
          <w:szCs w:val="18"/>
          <w:vertAlign w:val="superscript"/>
          <w:lang w:val="es-ES_tradnl"/>
        </w:rPr>
        <w:footnoteReference w:id="3"/>
      </w:r>
      <w:r w:rsidR="00ED2B84" w:rsidRPr="005B1B75">
        <w:rPr>
          <w:lang w:val="es-ES_tradnl"/>
        </w:rPr>
        <w:t>.</w:t>
      </w:r>
      <w:r w:rsidRPr="005B1B75">
        <w:rPr>
          <w:lang w:val="es-ES_tradnl"/>
        </w:rPr>
        <w:t xml:space="preserve"> </w:t>
      </w:r>
      <w:r w:rsidR="00466D95" w:rsidRPr="005B1B75">
        <w:rPr>
          <w:lang w:val="es-ES_tradnl"/>
        </w:rPr>
        <w:t>A</w:t>
      </w:r>
      <w:r w:rsidR="00111F22" w:rsidRPr="005B1B75">
        <w:rPr>
          <w:lang w:val="es-ES_tradnl"/>
        </w:rPr>
        <w:t xml:space="preserve">l no tener un </w:t>
      </w:r>
      <w:r w:rsidRPr="005B1B75">
        <w:rPr>
          <w:lang w:val="es-ES_tradnl"/>
        </w:rPr>
        <w:t xml:space="preserve">ingreso familiar, no pudieron pagar </w:t>
      </w:r>
      <w:r w:rsidR="00111F22" w:rsidRPr="005B1B75">
        <w:rPr>
          <w:lang w:val="es-ES_tradnl"/>
        </w:rPr>
        <w:t xml:space="preserve">el </w:t>
      </w:r>
      <w:r w:rsidRPr="005B1B75">
        <w:rPr>
          <w:lang w:val="es-ES_tradnl"/>
        </w:rPr>
        <w:t>monto correspondiente a</w:t>
      </w:r>
      <w:r w:rsidR="001B7E8F" w:rsidRPr="005B1B75">
        <w:rPr>
          <w:lang w:val="es-ES_tradnl"/>
        </w:rPr>
        <w:t xml:space="preserve"> la renta mensual </w:t>
      </w:r>
      <w:r w:rsidRPr="005B1B75">
        <w:rPr>
          <w:lang w:val="es-ES_tradnl"/>
        </w:rPr>
        <w:t xml:space="preserve">de </w:t>
      </w:r>
      <w:r w:rsidR="001B7E8F" w:rsidRPr="005B1B75">
        <w:rPr>
          <w:lang w:val="es-ES_tradnl"/>
        </w:rPr>
        <w:t>la</w:t>
      </w:r>
      <w:r w:rsidR="00A85592" w:rsidRPr="005B1B75">
        <w:rPr>
          <w:lang w:val="es-ES_tradnl"/>
        </w:rPr>
        <w:t xml:space="preserve"> habitación a la Sra. B.</w:t>
      </w:r>
      <w:r w:rsidR="00F04757">
        <w:rPr>
          <w:lang w:val="es-ES_tradnl"/>
        </w:rPr>
        <w:t xml:space="preserve"> </w:t>
      </w:r>
      <w:r w:rsidR="00A85592" w:rsidRPr="005B1B75">
        <w:rPr>
          <w:lang w:val="es-ES_tradnl"/>
        </w:rPr>
        <w:t>P.</w:t>
      </w:r>
      <w:r w:rsidR="00F04757">
        <w:rPr>
          <w:lang w:val="es-ES_tradnl"/>
        </w:rPr>
        <w:t xml:space="preserve"> </w:t>
      </w:r>
      <w:r w:rsidR="00A85592" w:rsidRPr="005B1B75">
        <w:rPr>
          <w:lang w:val="es-ES_tradnl"/>
        </w:rPr>
        <w:t>C.</w:t>
      </w:r>
      <w:r w:rsidR="00691C98" w:rsidRPr="005B1B75">
        <w:rPr>
          <w:lang w:val="es-ES_tradnl"/>
        </w:rPr>
        <w:t>,</w:t>
      </w:r>
      <w:r w:rsidR="00466D95" w:rsidRPr="005B1B75">
        <w:rPr>
          <w:lang w:val="es-ES_tradnl"/>
        </w:rPr>
        <w:t xml:space="preserve"> la arrendadora</w:t>
      </w:r>
      <w:r w:rsidR="00691C98" w:rsidRPr="005B1B75">
        <w:rPr>
          <w:lang w:val="es-ES_tradnl"/>
        </w:rPr>
        <w:t>,</w:t>
      </w:r>
      <w:r w:rsidR="00466D95" w:rsidRPr="005B1B75">
        <w:rPr>
          <w:lang w:val="es-ES_tradnl"/>
        </w:rPr>
        <w:t xml:space="preserve"> </w:t>
      </w:r>
      <w:r w:rsidR="002452D1" w:rsidRPr="005B1B75">
        <w:rPr>
          <w:lang w:val="es-ES_tradnl"/>
        </w:rPr>
        <w:t>en los siguientes</w:t>
      </w:r>
      <w:r w:rsidR="00027470" w:rsidRPr="005B1B75">
        <w:rPr>
          <w:lang w:val="es-ES_tradnl"/>
        </w:rPr>
        <w:t xml:space="preserve"> meses.</w:t>
      </w:r>
      <w:r w:rsidR="003B6EBC" w:rsidRPr="005B1B75">
        <w:rPr>
          <w:lang w:val="es-ES_tradnl"/>
        </w:rPr>
        <w:t xml:space="preserve"> </w:t>
      </w:r>
    </w:p>
    <w:p w14:paraId="0F48FCBF" w14:textId="0CD814B1" w:rsidR="008B53A8" w:rsidRPr="005B1B75" w:rsidRDefault="008B53A8" w:rsidP="0048522D">
      <w:pPr>
        <w:pStyle w:val="SingleTxtG"/>
        <w:rPr>
          <w:lang w:val="es-ES_tradnl"/>
        </w:rPr>
      </w:pPr>
      <w:r w:rsidRPr="005B1B75">
        <w:rPr>
          <w:lang w:val="es-ES_tradnl"/>
        </w:rPr>
        <w:t>2.</w:t>
      </w:r>
      <w:r w:rsidR="005D7A57" w:rsidRPr="005B1B75">
        <w:rPr>
          <w:lang w:val="es-ES_tradnl"/>
        </w:rPr>
        <w:t>4</w:t>
      </w:r>
      <w:r w:rsidRPr="005B1B75">
        <w:rPr>
          <w:lang w:val="es-ES_tradnl"/>
        </w:rPr>
        <w:t xml:space="preserve"> </w:t>
      </w:r>
      <w:r w:rsidR="00111F22" w:rsidRPr="005B1B75">
        <w:rPr>
          <w:lang w:val="es-ES_tradnl"/>
        </w:rPr>
        <w:tab/>
      </w:r>
      <w:r w:rsidR="002E3EB7" w:rsidRPr="005B1B75">
        <w:rPr>
          <w:lang w:val="es-ES_tradnl"/>
        </w:rPr>
        <w:t xml:space="preserve">En marzo de 2012 </w:t>
      </w:r>
      <w:r w:rsidR="00685080" w:rsidRPr="005B1B75">
        <w:rPr>
          <w:lang w:val="es-ES_tradnl"/>
        </w:rPr>
        <w:t>y</w:t>
      </w:r>
      <w:r w:rsidR="002E3EB7" w:rsidRPr="005B1B75">
        <w:rPr>
          <w:lang w:val="es-ES_tradnl"/>
        </w:rPr>
        <w:t xml:space="preserve"> el </w:t>
      </w:r>
      <w:r w:rsidR="004130F8" w:rsidRPr="005B1B75">
        <w:rPr>
          <w:lang w:val="es-ES_tradnl"/>
        </w:rPr>
        <w:t>10 de julio de 2012, la</w:t>
      </w:r>
      <w:r w:rsidR="002452D1" w:rsidRPr="005B1B75">
        <w:rPr>
          <w:lang w:val="es-ES_tradnl"/>
        </w:rPr>
        <w:t xml:space="preserve"> Sra</w:t>
      </w:r>
      <w:r w:rsidR="00895302" w:rsidRPr="005B1B75">
        <w:rPr>
          <w:lang w:val="es-ES_tradnl"/>
        </w:rPr>
        <w:t>.</w:t>
      </w:r>
      <w:r w:rsidR="002452D1" w:rsidRPr="005B1B75">
        <w:rPr>
          <w:lang w:val="es-ES_tradnl"/>
        </w:rPr>
        <w:t xml:space="preserve"> B.</w:t>
      </w:r>
      <w:r w:rsidR="00F04757">
        <w:rPr>
          <w:lang w:val="es-ES_tradnl"/>
        </w:rPr>
        <w:t xml:space="preserve"> </w:t>
      </w:r>
      <w:r w:rsidR="002452D1" w:rsidRPr="005B1B75">
        <w:rPr>
          <w:lang w:val="es-ES_tradnl"/>
        </w:rPr>
        <w:t>P.</w:t>
      </w:r>
      <w:r w:rsidR="00F04757">
        <w:rPr>
          <w:lang w:val="es-ES_tradnl"/>
        </w:rPr>
        <w:t xml:space="preserve"> </w:t>
      </w:r>
      <w:r w:rsidR="002452D1" w:rsidRPr="005B1B75">
        <w:rPr>
          <w:lang w:val="es-ES_tradnl"/>
        </w:rPr>
        <w:t xml:space="preserve">C. </w:t>
      </w:r>
      <w:r w:rsidR="004130F8" w:rsidRPr="005B1B75">
        <w:rPr>
          <w:lang w:val="es-ES_tradnl"/>
        </w:rPr>
        <w:t xml:space="preserve">informó al </w:t>
      </w:r>
      <w:r w:rsidR="002D0785" w:rsidRPr="005B1B75">
        <w:rPr>
          <w:lang w:val="es-ES_tradnl"/>
        </w:rPr>
        <w:t xml:space="preserve">Sr. Ben </w:t>
      </w:r>
      <w:proofErr w:type="spellStart"/>
      <w:r w:rsidR="002D0785" w:rsidRPr="005B1B75">
        <w:rPr>
          <w:lang w:val="es-ES_tradnl"/>
        </w:rPr>
        <w:t>Djazia</w:t>
      </w:r>
      <w:proofErr w:type="spellEnd"/>
      <w:r w:rsidR="004130F8" w:rsidRPr="005B1B75">
        <w:rPr>
          <w:lang w:val="es-ES_tradnl"/>
        </w:rPr>
        <w:t xml:space="preserve"> </w:t>
      </w:r>
      <w:r w:rsidR="00466D95" w:rsidRPr="005B1B75">
        <w:rPr>
          <w:lang w:val="es-ES_tradnl"/>
        </w:rPr>
        <w:t>que</w:t>
      </w:r>
      <w:r w:rsidR="004130F8" w:rsidRPr="005B1B75">
        <w:rPr>
          <w:lang w:val="es-ES_tradnl"/>
        </w:rPr>
        <w:t xml:space="preserve"> no prorrogar</w:t>
      </w:r>
      <w:r w:rsidR="00466D95" w:rsidRPr="005B1B75">
        <w:rPr>
          <w:lang w:val="es-ES_tradnl"/>
        </w:rPr>
        <w:t>ía</w:t>
      </w:r>
      <w:r w:rsidR="004130F8" w:rsidRPr="005B1B75">
        <w:rPr>
          <w:lang w:val="es-ES_tradnl"/>
        </w:rPr>
        <w:t xml:space="preserve"> el contrato</w:t>
      </w:r>
      <w:r w:rsidR="00A74BB6" w:rsidRPr="005B1B75">
        <w:rPr>
          <w:lang w:val="es-ES_tradnl"/>
        </w:rPr>
        <w:t xml:space="preserve"> de arrendamiento</w:t>
      </w:r>
      <w:r w:rsidR="004130F8" w:rsidRPr="005B1B75">
        <w:rPr>
          <w:lang w:val="es-ES_tradnl"/>
        </w:rPr>
        <w:t xml:space="preserve">. </w:t>
      </w:r>
      <w:r w:rsidR="00111F22" w:rsidRPr="005B1B75">
        <w:rPr>
          <w:lang w:val="es-ES_tradnl"/>
        </w:rPr>
        <w:t xml:space="preserve">El 31 de agosto de 2012 concluyó el último contrato por </w:t>
      </w:r>
      <w:r w:rsidR="00FA1B5F" w:rsidRPr="005B1B75">
        <w:rPr>
          <w:lang w:val="es-ES_tradnl"/>
        </w:rPr>
        <w:t>expiración del plazo contractual</w:t>
      </w:r>
      <w:r w:rsidR="005D0C03" w:rsidRPr="005B1B75">
        <w:rPr>
          <w:lang w:val="es-ES_tradnl"/>
        </w:rPr>
        <w:t xml:space="preserve"> pero</w:t>
      </w:r>
      <w:r w:rsidRPr="005B1B75">
        <w:rPr>
          <w:lang w:val="es-ES_tradnl"/>
        </w:rPr>
        <w:t xml:space="preserve"> los autores se negaron a dejar la habitación ya que no tenían ingresos o un alojamiento alternativo. </w:t>
      </w:r>
    </w:p>
    <w:p w14:paraId="7E14E54E" w14:textId="1644269B" w:rsidR="008B53A8" w:rsidRPr="005B1B75" w:rsidRDefault="00906683" w:rsidP="0048522D">
      <w:pPr>
        <w:pStyle w:val="SingleTxtG"/>
        <w:rPr>
          <w:lang w:val="es-ES_tradnl"/>
        </w:rPr>
      </w:pPr>
      <w:r w:rsidRPr="005B1B75">
        <w:rPr>
          <w:lang w:val="es-ES_tradnl"/>
        </w:rPr>
        <w:t>2.</w:t>
      </w:r>
      <w:r w:rsidR="005D7A57" w:rsidRPr="005B1B75">
        <w:rPr>
          <w:lang w:val="es-ES_tradnl"/>
        </w:rPr>
        <w:t>5</w:t>
      </w:r>
      <w:r w:rsidRPr="005B1B75">
        <w:rPr>
          <w:lang w:val="es-ES_tradnl"/>
        </w:rPr>
        <w:t xml:space="preserve"> </w:t>
      </w:r>
      <w:r w:rsidRPr="005B1B75">
        <w:rPr>
          <w:lang w:val="es-ES_tradnl"/>
        </w:rPr>
        <w:tab/>
      </w:r>
      <w:r w:rsidR="00056247" w:rsidRPr="005B1B75">
        <w:rPr>
          <w:lang w:val="es-ES_tradnl"/>
        </w:rPr>
        <w:t>Los autores alegan que a partir de mayo de 2012, reforzaron su búsqueda de vivien</w:t>
      </w:r>
      <w:r w:rsidR="000355BD" w:rsidRPr="005B1B75">
        <w:rPr>
          <w:lang w:val="es-ES_tradnl"/>
        </w:rPr>
        <w:t>da</w:t>
      </w:r>
      <w:r w:rsidR="00466D95" w:rsidRPr="005B1B75">
        <w:rPr>
          <w:lang w:val="es-ES_tradnl"/>
        </w:rPr>
        <w:t xml:space="preserve"> </w:t>
      </w:r>
      <w:r w:rsidR="00056247" w:rsidRPr="005B1B75">
        <w:rPr>
          <w:lang w:val="es-ES_tradnl"/>
        </w:rPr>
        <w:t>acudiendo a instituciones públicas y privadas de carácter benéfico</w:t>
      </w:r>
      <w:r w:rsidR="00027470" w:rsidRPr="005B1B75">
        <w:rPr>
          <w:lang w:val="es-ES_tradnl"/>
        </w:rPr>
        <w:t xml:space="preserve"> como Cáritas</w:t>
      </w:r>
      <w:r w:rsidR="00027470" w:rsidRPr="009E41B4">
        <w:rPr>
          <w:sz w:val="18"/>
          <w:szCs w:val="18"/>
          <w:vertAlign w:val="superscript"/>
          <w:lang w:val="es-ES_tradnl"/>
        </w:rPr>
        <w:footnoteReference w:id="4"/>
      </w:r>
      <w:r w:rsidR="00CB716F" w:rsidRPr="005B1B75">
        <w:rPr>
          <w:lang w:val="es-ES_tradnl"/>
        </w:rPr>
        <w:t>,</w:t>
      </w:r>
      <w:r w:rsidR="000355BD" w:rsidRPr="005B1B75">
        <w:rPr>
          <w:lang w:val="es-ES_tradnl"/>
        </w:rPr>
        <w:t xml:space="preserve"> </w:t>
      </w:r>
      <w:r w:rsidR="00CB716F" w:rsidRPr="005B1B75">
        <w:rPr>
          <w:lang w:val="es-ES_tradnl"/>
        </w:rPr>
        <w:t xml:space="preserve">pero </w:t>
      </w:r>
      <w:r w:rsidR="000355BD" w:rsidRPr="005B1B75">
        <w:rPr>
          <w:lang w:val="es-ES_tradnl"/>
        </w:rPr>
        <w:t>sin éxito</w:t>
      </w:r>
      <w:r w:rsidR="00056247" w:rsidRPr="005B1B75">
        <w:rPr>
          <w:lang w:val="es-ES_tradnl"/>
        </w:rPr>
        <w:t>.</w:t>
      </w:r>
      <w:r w:rsidR="008B53A8" w:rsidRPr="005B1B75">
        <w:rPr>
          <w:lang w:val="es-ES_tradnl"/>
        </w:rPr>
        <w:t xml:space="preserve"> </w:t>
      </w:r>
    </w:p>
    <w:p w14:paraId="02ADE1D8" w14:textId="4761DD0B" w:rsidR="003437C2" w:rsidRPr="005B1B75" w:rsidRDefault="008B53A8" w:rsidP="0048522D">
      <w:pPr>
        <w:pStyle w:val="SingleTxtG"/>
        <w:rPr>
          <w:lang w:val="es-ES_tradnl"/>
        </w:rPr>
      </w:pPr>
      <w:r w:rsidRPr="005B1B75">
        <w:rPr>
          <w:lang w:val="es-ES_tradnl"/>
        </w:rPr>
        <w:t>2.</w:t>
      </w:r>
      <w:r w:rsidR="005D7A57" w:rsidRPr="005B1B75">
        <w:rPr>
          <w:lang w:val="es-ES_tradnl"/>
        </w:rPr>
        <w:t>6</w:t>
      </w:r>
      <w:r w:rsidRPr="005B1B75">
        <w:rPr>
          <w:lang w:val="es-ES_tradnl"/>
        </w:rPr>
        <w:t xml:space="preserve"> </w:t>
      </w:r>
      <w:r w:rsidR="00674382" w:rsidRPr="005B1B75">
        <w:rPr>
          <w:lang w:val="es-ES_tradnl"/>
        </w:rPr>
        <w:tab/>
      </w:r>
      <w:r w:rsidR="00A74BB6" w:rsidRPr="005B1B75">
        <w:rPr>
          <w:lang w:val="es-ES_tradnl"/>
        </w:rPr>
        <w:t>E</w:t>
      </w:r>
      <w:r w:rsidR="00FA1B5F" w:rsidRPr="005B1B75">
        <w:rPr>
          <w:lang w:val="es-ES_tradnl"/>
        </w:rPr>
        <w:t xml:space="preserve">l 19 de noviembre de 2012, la arrendadora presentó una demanda de juicio verbal de desahucio por expiración del plazo fijado contractualmente ante el Juzgado de Primera Instancia </w:t>
      </w:r>
      <w:r w:rsidR="00DB50C5" w:rsidRPr="005B1B75">
        <w:rPr>
          <w:lang w:val="es-ES_tradnl"/>
        </w:rPr>
        <w:t xml:space="preserve">núm. </w:t>
      </w:r>
      <w:r w:rsidR="00FA1B5F" w:rsidRPr="005B1B75">
        <w:rPr>
          <w:lang w:val="es-ES_tradnl"/>
        </w:rPr>
        <w:t>37 de Madrid.</w:t>
      </w:r>
      <w:r w:rsidR="001C4458" w:rsidRPr="005B1B75">
        <w:rPr>
          <w:lang w:val="es-ES_tradnl"/>
        </w:rPr>
        <w:t xml:space="preserve"> </w:t>
      </w:r>
      <w:r w:rsidR="003437C2" w:rsidRPr="005B1B75">
        <w:rPr>
          <w:lang w:val="es-ES_tradnl"/>
        </w:rPr>
        <w:t xml:space="preserve">El 18 de diciembre de 2012, el </w:t>
      </w:r>
      <w:r w:rsidR="002D0785" w:rsidRPr="005B1B75">
        <w:rPr>
          <w:lang w:val="es-ES_tradnl"/>
        </w:rPr>
        <w:t xml:space="preserve">Sr. Ben </w:t>
      </w:r>
      <w:proofErr w:type="spellStart"/>
      <w:r w:rsidR="002D0785" w:rsidRPr="005B1B75">
        <w:rPr>
          <w:lang w:val="es-ES_tradnl"/>
        </w:rPr>
        <w:t>Djazia</w:t>
      </w:r>
      <w:proofErr w:type="spellEnd"/>
      <w:r w:rsidR="003437C2" w:rsidRPr="005B1B75">
        <w:rPr>
          <w:lang w:val="es-ES_tradnl"/>
        </w:rPr>
        <w:t xml:space="preserve"> compareció ante el Juzgado </w:t>
      </w:r>
      <w:r w:rsidR="00DB50C5" w:rsidRPr="005B1B75">
        <w:rPr>
          <w:lang w:val="es-ES_tradnl"/>
        </w:rPr>
        <w:t xml:space="preserve">núm. </w:t>
      </w:r>
      <w:r w:rsidR="003437C2" w:rsidRPr="005B1B75">
        <w:rPr>
          <w:lang w:val="es-ES_tradnl"/>
        </w:rPr>
        <w:t xml:space="preserve">37 y solicitó asistencia jurídica gratuita. El 26 de abril de 2013, la Comisión de Asistencia Jurídica Gratuita denegó asistencia jurídica por considerar insostenible la pretensión del </w:t>
      </w:r>
      <w:r w:rsidR="002D0785" w:rsidRPr="005B1B75">
        <w:rPr>
          <w:lang w:val="es-ES_tradnl"/>
        </w:rPr>
        <w:t xml:space="preserve">Sr. Ben </w:t>
      </w:r>
      <w:proofErr w:type="spellStart"/>
      <w:r w:rsidR="002D0785" w:rsidRPr="005B1B75">
        <w:rPr>
          <w:lang w:val="es-ES_tradnl"/>
        </w:rPr>
        <w:t>Djazia</w:t>
      </w:r>
      <w:proofErr w:type="spellEnd"/>
      <w:r w:rsidR="003437C2" w:rsidRPr="005B1B75">
        <w:rPr>
          <w:lang w:val="es-ES_tradnl"/>
        </w:rPr>
        <w:t>.</w:t>
      </w:r>
    </w:p>
    <w:p w14:paraId="63BDBC5C" w14:textId="3BC0C52E" w:rsidR="001C4458" w:rsidRPr="005B1B75" w:rsidRDefault="008B53A8" w:rsidP="0048522D">
      <w:pPr>
        <w:pStyle w:val="SingleTxtG"/>
        <w:rPr>
          <w:lang w:val="es-ES_tradnl"/>
        </w:rPr>
      </w:pPr>
      <w:r w:rsidRPr="005B1B75">
        <w:rPr>
          <w:lang w:val="es-ES_tradnl"/>
        </w:rPr>
        <w:t>2.</w:t>
      </w:r>
      <w:r w:rsidR="005D7A57" w:rsidRPr="005B1B75">
        <w:rPr>
          <w:lang w:val="es-ES_tradnl"/>
        </w:rPr>
        <w:t>7</w:t>
      </w:r>
      <w:r w:rsidRPr="005B1B75">
        <w:rPr>
          <w:lang w:val="es-ES_tradnl"/>
        </w:rPr>
        <w:t xml:space="preserve"> </w:t>
      </w:r>
      <w:r w:rsidR="002A143D" w:rsidRPr="005B1B75">
        <w:rPr>
          <w:lang w:val="es-ES_tradnl"/>
        </w:rPr>
        <w:tab/>
      </w:r>
      <w:r w:rsidRPr="005B1B75">
        <w:rPr>
          <w:lang w:val="es-ES_tradnl"/>
        </w:rPr>
        <w:t xml:space="preserve">El 8 de marzo de 2013, </w:t>
      </w:r>
      <w:r w:rsidR="002A143D" w:rsidRPr="005B1B75">
        <w:rPr>
          <w:lang w:val="es-ES_tradnl"/>
        </w:rPr>
        <w:t xml:space="preserve">el </w:t>
      </w:r>
      <w:r w:rsidR="004541B2" w:rsidRPr="005B1B75">
        <w:rPr>
          <w:lang w:val="es-ES_tradnl"/>
        </w:rPr>
        <w:t xml:space="preserve">Sr. </w:t>
      </w:r>
      <w:r w:rsidR="000C1AEB" w:rsidRPr="005B1B75">
        <w:rPr>
          <w:lang w:val="es-ES_tradnl"/>
        </w:rPr>
        <w:t xml:space="preserve">Ben </w:t>
      </w:r>
      <w:proofErr w:type="spellStart"/>
      <w:r w:rsidR="000C1AEB" w:rsidRPr="005B1B75">
        <w:rPr>
          <w:lang w:val="es-ES_tradnl"/>
        </w:rPr>
        <w:t>Djazia</w:t>
      </w:r>
      <w:proofErr w:type="spellEnd"/>
      <w:r w:rsidR="000C1AEB" w:rsidRPr="005B1B75">
        <w:rPr>
          <w:lang w:val="es-ES_tradnl"/>
        </w:rPr>
        <w:t xml:space="preserve"> </w:t>
      </w:r>
      <w:r w:rsidRPr="005B1B75">
        <w:rPr>
          <w:lang w:val="es-ES_tradnl"/>
        </w:rPr>
        <w:t xml:space="preserve">solicitó </w:t>
      </w:r>
      <w:r w:rsidR="002452D1" w:rsidRPr="005B1B75">
        <w:rPr>
          <w:lang w:val="es-ES_tradnl"/>
        </w:rPr>
        <w:t>una</w:t>
      </w:r>
      <w:r w:rsidRPr="005B1B75">
        <w:rPr>
          <w:lang w:val="es-ES_tradnl"/>
        </w:rPr>
        <w:t xml:space="preserve"> </w:t>
      </w:r>
      <w:r w:rsidR="002A33F0" w:rsidRPr="005B1B75">
        <w:rPr>
          <w:lang w:val="es-ES_tradnl"/>
        </w:rPr>
        <w:t xml:space="preserve">renta mínima de inserción </w:t>
      </w:r>
      <w:r w:rsidR="00027470" w:rsidRPr="005B1B75">
        <w:rPr>
          <w:lang w:val="es-ES_tradnl"/>
        </w:rPr>
        <w:t xml:space="preserve">a la Comunidad </w:t>
      </w:r>
      <w:r w:rsidRPr="005B1B75">
        <w:rPr>
          <w:lang w:val="es-ES_tradnl"/>
        </w:rPr>
        <w:t xml:space="preserve">de Madrid. </w:t>
      </w:r>
    </w:p>
    <w:p w14:paraId="00F00BAA" w14:textId="21E4B1F2" w:rsidR="007055E1" w:rsidRPr="005B1B75" w:rsidRDefault="008B53A8" w:rsidP="0048522D">
      <w:pPr>
        <w:pStyle w:val="SingleTxtG"/>
        <w:rPr>
          <w:lang w:val="es-ES_tradnl"/>
        </w:rPr>
      </w:pPr>
      <w:r w:rsidRPr="005B1B75">
        <w:rPr>
          <w:lang w:val="es-ES_tradnl"/>
        </w:rPr>
        <w:t>2.</w:t>
      </w:r>
      <w:r w:rsidR="005D7A57" w:rsidRPr="005B1B75">
        <w:rPr>
          <w:lang w:val="es-ES_tradnl"/>
        </w:rPr>
        <w:t>8</w:t>
      </w:r>
      <w:r w:rsidR="005A5447" w:rsidRPr="005B1B75">
        <w:rPr>
          <w:lang w:val="es-ES_tradnl"/>
        </w:rPr>
        <w:t xml:space="preserve"> </w:t>
      </w:r>
      <w:r w:rsidR="005A5447" w:rsidRPr="005B1B75">
        <w:rPr>
          <w:lang w:val="es-ES_tradnl"/>
        </w:rPr>
        <w:tab/>
      </w:r>
      <w:r w:rsidRPr="005B1B75">
        <w:rPr>
          <w:lang w:val="es-ES_tradnl"/>
        </w:rPr>
        <w:t xml:space="preserve">El 30 de mayo de 2013, </w:t>
      </w:r>
      <w:r w:rsidR="00A61A80" w:rsidRPr="005B1B75">
        <w:rPr>
          <w:lang w:val="es-ES_tradnl"/>
        </w:rPr>
        <w:t>el Juzgado</w:t>
      </w:r>
      <w:r w:rsidRPr="005B1B75">
        <w:rPr>
          <w:lang w:val="es-ES_tradnl"/>
        </w:rPr>
        <w:t xml:space="preserve"> </w:t>
      </w:r>
      <w:r w:rsidR="00C145D9" w:rsidRPr="005B1B75">
        <w:rPr>
          <w:lang w:val="es-ES_tradnl"/>
        </w:rPr>
        <w:t xml:space="preserve">núm. </w:t>
      </w:r>
      <w:r w:rsidRPr="005B1B75">
        <w:rPr>
          <w:lang w:val="es-ES_tradnl"/>
        </w:rPr>
        <w:t xml:space="preserve">37 declaró que el contrato de arrendamiento </w:t>
      </w:r>
      <w:r w:rsidR="000355BD" w:rsidRPr="005B1B75">
        <w:rPr>
          <w:lang w:val="es-ES_tradnl"/>
        </w:rPr>
        <w:t>h</w:t>
      </w:r>
      <w:r w:rsidRPr="005B1B75">
        <w:rPr>
          <w:lang w:val="es-ES_tradnl"/>
        </w:rPr>
        <w:t xml:space="preserve">abía </w:t>
      </w:r>
      <w:r w:rsidR="000355BD" w:rsidRPr="005B1B75">
        <w:rPr>
          <w:lang w:val="es-ES_tradnl"/>
        </w:rPr>
        <w:t>concluido</w:t>
      </w:r>
      <w:r w:rsidR="004130F8" w:rsidRPr="005B1B75">
        <w:rPr>
          <w:lang w:val="es-ES_tradnl"/>
        </w:rPr>
        <w:t xml:space="preserve"> por expiración del plazo contractual</w:t>
      </w:r>
      <w:r w:rsidRPr="005B1B75">
        <w:rPr>
          <w:lang w:val="es-ES_tradnl"/>
        </w:rPr>
        <w:t xml:space="preserve"> </w:t>
      </w:r>
      <w:r w:rsidR="00D6001F" w:rsidRPr="005B1B75">
        <w:rPr>
          <w:lang w:val="es-ES_tradnl"/>
        </w:rPr>
        <w:t>y</w:t>
      </w:r>
      <w:r w:rsidR="00805FB9" w:rsidRPr="005B1B75">
        <w:rPr>
          <w:lang w:val="es-ES_tradnl"/>
        </w:rPr>
        <w:t xml:space="preserve"> ordenó el desalojo de los autores</w:t>
      </w:r>
      <w:r w:rsidR="00D6001F" w:rsidRPr="005B1B75">
        <w:rPr>
          <w:lang w:val="es-ES_tradnl"/>
        </w:rPr>
        <w:t xml:space="preserve"> el 9 de julio de 2013</w:t>
      </w:r>
      <w:r w:rsidR="00805FB9" w:rsidRPr="005B1B75">
        <w:rPr>
          <w:lang w:val="es-ES_tradnl"/>
        </w:rPr>
        <w:t>, de conformidad con los artículos 440</w:t>
      </w:r>
      <w:r w:rsidR="00DB51B9" w:rsidRPr="005B1B75">
        <w:rPr>
          <w:lang w:val="es-ES_tradnl"/>
        </w:rPr>
        <w:t>, a</w:t>
      </w:r>
      <w:r w:rsidR="009E41B4">
        <w:rPr>
          <w:lang w:val="es-ES_tradnl"/>
        </w:rPr>
        <w:t>partad</w:t>
      </w:r>
      <w:r w:rsidR="00DB51B9" w:rsidRPr="005B1B75">
        <w:rPr>
          <w:lang w:val="es-ES_tradnl"/>
        </w:rPr>
        <w:t xml:space="preserve">o </w:t>
      </w:r>
      <w:r w:rsidR="00805FB9" w:rsidRPr="005B1B75">
        <w:rPr>
          <w:lang w:val="es-ES_tradnl"/>
        </w:rPr>
        <w:t>4</w:t>
      </w:r>
      <w:r w:rsidR="00DB51B9" w:rsidRPr="005B1B75">
        <w:rPr>
          <w:lang w:val="es-ES_tradnl"/>
        </w:rPr>
        <w:t>,</w:t>
      </w:r>
      <w:r w:rsidR="00805FB9" w:rsidRPr="005B1B75">
        <w:rPr>
          <w:lang w:val="es-ES_tradnl"/>
        </w:rPr>
        <w:t xml:space="preserve"> y 549</w:t>
      </w:r>
      <w:r w:rsidR="00DB51B9" w:rsidRPr="005B1B75">
        <w:rPr>
          <w:lang w:val="es-ES_tradnl"/>
        </w:rPr>
        <w:t xml:space="preserve">, </w:t>
      </w:r>
      <w:r w:rsidR="009E41B4" w:rsidRPr="005B1B75">
        <w:rPr>
          <w:lang w:val="es-ES_tradnl"/>
        </w:rPr>
        <w:t>a</w:t>
      </w:r>
      <w:r w:rsidR="009E41B4">
        <w:rPr>
          <w:lang w:val="es-ES_tradnl"/>
        </w:rPr>
        <w:t>partad</w:t>
      </w:r>
      <w:r w:rsidR="009E41B4" w:rsidRPr="005B1B75">
        <w:rPr>
          <w:lang w:val="es-ES_tradnl"/>
        </w:rPr>
        <w:t>o</w:t>
      </w:r>
      <w:r w:rsidR="00DB51B9" w:rsidRPr="005B1B75">
        <w:rPr>
          <w:lang w:val="es-ES_tradnl"/>
        </w:rPr>
        <w:t xml:space="preserve"> </w:t>
      </w:r>
      <w:r w:rsidR="00805FB9" w:rsidRPr="005B1B75">
        <w:rPr>
          <w:lang w:val="es-ES_tradnl"/>
        </w:rPr>
        <w:t>3</w:t>
      </w:r>
      <w:r w:rsidR="00DB51B9" w:rsidRPr="005B1B75">
        <w:rPr>
          <w:lang w:val="es-ES_tradnl"/>
        </w:rPr>
        <w:t>,</w:t>
      </w:r>
      <w:r w:rsidR="00805FB9" w:rsidRPr="005B1B75">
        <w:rPr>
          <w:lang w:val="es-ES_tradnl"/>
        </w:rPr>
        <w:t xml:space="preserve"> de la </w:t>
      </w:r>
      <w:r w:rsidR="009D145E" w:rsidRPr="005B1B75">
        <w:rPr>
          <w:lang w:val="es-ES_tradnl"/>
        </w:rPr>
        <w:t>Ley de Enjuiciamiento Civil</w:t>
      </w:r>
      <w:r w:rsidR="004130F8" w:rsidRPr="005B1B75">
        <w:rPr>
          <w:lang w:val="es-ES_tradnl"/>
        </w:rPr>
        <w:t xml:space="preserve">. </w:t>
      </w:r>
      <w:r w:rsidR="003437C2" w:rsidRPr="005B1B75">
        <w:rPr>
          <w:lang w:val="es-ES_tradnl"/>
        </w:rPr>
        <w:t xml:space="preserve">En su sentencia, el Juzgado tomó nota de las alegaciones del </w:t>
      </w:r>
      <w:r w:rsidR="002D0785" w:rsidRPr="005B1B75">
        <w:rPr>
          <w:lang w:val="es-ES_tradnl"/>
        </w:rPr>
        <w:t xml:space="preserve">Sr. Ben </w:t>
      </w:r>
      <w:proofErr w:type="spellStart"/>
      <w:r w:rsidR="002D0785" w:rsidRPr="005B1B75">
        <w:rPr>
          <w:lang w:val="es-ES_tradnl"/>
        </w:rPr>
        <w:t>Djazia</w:t>
      </w:r>
      <w:proofErr w:type="spellEnd"/>
      <w:r w:rsidR="003437C2" w:rsidRPr="005B1B75">
        <w:rPr>
          <w:lang w:val="es-ES_tradnl"/>
        </w:rPr>
        <w:t xml:space="preserve"> respecto a </w:t>
      </w:r>
      <w:r w:rsidR="005846DC" w:rsidRPr="005B1B75">
        <w:rPr>
          <w:lang w:val="es-ES_tradnl"/>
        </w:rPr>
        <w:t>su situación económica</w:t>
      </w:r>
      <w:r w:rsidR="00645A3B" w:rsidRPr="005B1B75">
        <w:rPr>
          <w:lang w:val="es-ES_tradnl"/>
        </w:rPr>
        <w:t xml:space="preserve"> y familiar y</w:t>
      </w:r>
      <w:r w:rsidR="005762AC" w:rsidRPr="005B1B75">
        <w:rPr>
          <w:lang w:val="es-ES_tradnl"/>
        </w:rPr>
        <w:t>,</w:t>
      </w:r>
      <w:r w:rsidR="00645A3B" w:rsidRPr="005B1B75">
        <w:rPr>
          <w:lang w:val="es-ES_tradnl"/>
        </w:rPr>
        <w:t xml:space="preserve"> con arreglo a los artículos 158 del Código Civil, y 2 y 3 de la Ley Orgánica </w:t>
      </w:r>
      <w:r w:rsidR="00F04757">
        <w:rPr>
          <w:lang w:val="es-ES_tradnl"/>
        </w:rPr>
        <w:t xml:space="preserve">núm. </w:t>
      </w:r>
      <w:r w:rsidR="00645A3B" w:rsidRPr="005B1B75">
        <w:rPr>
          <w:lang w:val="es-ES_tradnl"/>
        </w:rPr>
        <w:t xml:space="preserve">1/1996 de 15 de enero, de </w:t>
      </w:r>
      <w:r w:rsidR="00F04757">
        <w:rPr>
          <w:lang w:val="es-ES_tradnl"/>
        </w:rPr>
        <w:t>P</w:t>
      </w:r>
      <w:r w:rsidR="00645A3B" w:rsidRPr="005B1B75">
        <w:rPr>
          <w:lang w:val="es-ES_tradnl"/>
        </w:rPr>
        <w:t xml:space="preserve">rotección </w:t>
      </w:r>
      <w:r w:rsidR="00F04757">
        <w:rPr>
          <w:lang w:val="es-ES_tradnl"/>
        </w:rPr>
        <w:t>J</w:t>
      </w:r>
      <w:r w:rsidR="00645A3B" w:rsidRPr="005B1B75">
        <w:rPr>
          <w:lang w:val="es-ES_tradnl"/>
        </w:rPr>
        <w:t xml:space="preserve">urídica del </w:t>
      </w:r>
      <w:r w:rsidR="00F04757">
        <w:rPr>
          <w:lang w:val="es-ES_tradnl"/>
        </w:rPr>
        <w:t>M</w:t>
      </w:r>
      <w:r w:rsidR="00645A3B" w:rsidRPr="005B1B75">
        <w:rPr>
          <w:lang w:val="es-ES_tradnl"/>
        </w:rPr>
        <w:t xml:space="preserve">enor, ordenó oficiar a la Consejería de Asuntos Sociales de la Comunidad de Madrid y el Área de Gobierno de Familia y Servicios Sociales del Ayuntamiento de Madrid para que adopten las medidas de su competencia para evitar el desamparo y exclusión del </w:t>
      </w:r>
      <w:r w:rsidR="002D0785" w:rsidRPr="005B1B75">
        <w:rPr>
          <w:lang w:val="es-ES_tradnl"/>
        </w:rPr>
        <w:t xml:space="preserve">Sr. Ben </w:t>
      </w:r>
      <w:proofErr w:type="spellStart"/>
      <w:r w:rsidR="002D0785" w:rsidRPr="005B1B75">
        <w:rPr>
          <w:lang w:val="es-ES_tradnl"/>
        </w:rPr>
        <w:t>Djazia</w:t>
      </w:r>
      <w:proofErr w:type="spellEnd"/>
      <w:r w:rsidR="00645A3B" w:rsidRPr="005B1B75">
        <w:rPr>
          <w:lang w:val="es-ES_tradnl"/>
        </w:rPr>
        <w:t xml:space="preserve"> y, en particular, para que en un plazo de 20 días informen al Juzgado sobre las medidas concretas que adoptarían.</w:t>
      </w:r>
      <w:r w:rsidR="00653A8B" w:rsidRPr="005B1B75">
        <w:rPr>
          <w:lang w:val="es-ES_tradnl"/>
        </w:rPr>
        <w:t xml:space="preserve"> </w:t>
      </w:r>
    </w:p>
    <w:p w14:paraId="13FC3501" w14:textId="0C0D5EC9" w:rsidR="008B53A8" w:rsidRPr="005B1B75" w:rsidRDefault="008B53A8" w:rsidP="0048522D">
      <w:pPr>
        <w:pStyle w:val="SingleTxtG"/>
        <w:rPr>
          <w:lang w:val="es-ES_tradnl"/>
        </w:rPr>
      </w:pPr>
      <w:r w:rsidRPr="005B1B75">
        <w:rPr>
          <w:lang w:val="es-ES_tradnl"/>
        </w:rPr>
        <w:lastRenderedPageBreak/>
        <w:t>2.</w:t>
      </w:r>
      <w:r w:rsidR="005D7A57" w:rsidRPr="005B1B75">
        <w:rPr>
          <w:lang w:val="es-ES_tradnl"/>
        </w:rPr>
        <w:t>9</w:t>
      </w:r>
      <w:r w:rsidRPr="005B1B75">
        <w:rPr>
          <w:lang w:val="es-ES_tradnl"/>
        </w:rPr>
        <w:t xml:space="preserve"> </w:t>
      </w:r>
      <w:r w:rsidR="005A5447" w:rsidRPr="005B1B75">
        <w:rPr>
          <w:lang w:val="es-ES_tradnl"/>
        </w:rPr>
        <w:tab/>
      </w:r>
      <w:r w:rsidRPr="005B1B75">
        <w:rPr>
          <w:lang w:val="es-ES_tradnl"/>
        </w:rPr>
        <w:t xml:space="preserve">El 4 de junio de 2013, el </w:t>
      </w:r>
      <w:r w:rsidR="002D0785" w:rsidRPr="005B1B75">
        <w:rPr>
          <w:lang w:val="es-ES_tradnl"/>
        </w:rPr>
        <w:t xml:space="preserve">Sr. Ben </w:t>
      </w:r>
      <w:proofErr w:type="spellStart"/>
      <w:r w:rsidR="002D0785" w:rsidRPr="005B1B75">
        <w:rPr>
          <w:lang w:val="es-ES_tradnl"/>
        </w:rPr>
        <w:t>Djazia</w:t>
      </w:r>
      <w:proofErr w:type="spellEnd"/>
      <w:r w:rsidRPr="005B1B75">
        <w:rPr>
          <w:lang w:val="es-ES_tradnl"/>
        </w:rPr>
        <w:t xml:space="preserve"> reiteró su solicitud de vivienda social al </w:t>
      </w:r>
      <w:proofErr w:type="spellStart"/>
      <w:r w:rsidRPr="005B1B75">
        <w:rPr>
          <w:lang w:val="es-ES_tradnl"/>
        </w:rPr>
        <w:t>IVIMA</w:t>
      </w:r>
      <w:proofErr w:type="spellEnd"/>
      <w:r w:rsidRPr="005B1B75">
        <w:rPr>
          <w:lang w:val="es-ES_tradnl"/>
        </w:rPr>
        <w:t xml:space="preserve">, adjuntando la decisión del </w:t>
      </w:r>
      <w:r w:rsidR="00C96879" w:rsidRPr="005B1B75">
        <w:rPr>
          <w:lang w:val="es-ES_tradnl"/>
        </w:rPr>
        <w:t xml:space="preserve">Juzgado </w:t>
      </w:r>
      <w:r w:rsidR="001A643F" w:rsidRPr="005B1B75">
        <w:rPr>
          <w:lang w:val="es-ES_tradnl"/>
        </w:rPr>
        <w:t xml:space="preserve">núm. </w:t>
      </w:r>
      <w:r w:rsidR="00C96879" w:rsidRPr="005B1B75">
        <w:rPr>
          <w:lang w:val="es-ES_tradnl"/>
        </w:rPr>
        <w:t xml:space="preserve">37 </w:t>
      </w:r>
      <w:r w:rsidRPr="005B1B75">
        <w:rPr>
          <w:lang w:val="es-ES_tradnl"/>
        </w:rPr>
        <w:t xml:space="preserve">de 30 de mayo de 2013, así como los ingresos mínimos para inserción </w:t>
      </w:r>
      <w:r w:rsidR="004919E5" w:rsidRPr="005B1B75">
        <w:rPr>
          <w:lang w:val="es-ES_tradnl"/>
        </w:rPr>
        <w:t>a</w:t>
      </w:r>
      <w:r w:rsidRPr="005B1B75">
        <w:rPr>
          <w:lang w:val="es-ES_tradnl"/>
        </w:rPr>
        <w:t xml:space="preserve"> los Servicios Sociales. </w:t>
      </w:r>
      <w:r w:rsidR="0082381D" w:rsidRPr="005B1B75">
        <w:rPr>
          <w:lang w:val="es-ES_tradnl"/>
        </w:rPr>
        <w:t>A solicitud de los autores, e</w:t>
      </w:r>
      <w:r w:rsidRPr="005B1B75">
        <w:rPr>
          <w:lang w:val="es-ES_tradnl"/>
        </w:rPr>
        <w:t xml:space="preserve">l 20 de junio de 2013, el </w:t>
      </w:r>
      <w:r w:rsidR="00F92EBA" w:rsidRPr="005B1B75">
        <w:rPr>
          <w:lang w:val="es-ES_tradnl"/>
        </w:rPr>
        <w:t xml:space="preserve">Juzgado </w:t>
      </w:r>
      <w:r w:rsidR="001A643F" w:rsidRPr="005B1B75">
        <w:rPr>
          <w:lang w:val="es-ES_tradnl"/>
        </w:rPr>
        <w:t xml:space="preserve">núm. </w:t>
      </w:r>
      <w:r w:rsidR="00F92EBA" w:rsidRPr="005B1B75">
        <w:rPr>
          <w:lang w:val="es-ES_tradnl"/>
        </w:rPr>
        <w:t>37</w:t>
      </w:r>
      <w:r w:rsidRPr="005B1B75">
        <w:rPr>
          <w:lang w:val="es-ES_tradnl"/>
        </w:rPr>
        <w:t xml:space="preserve"> </w:t>
      </w:r>
      <w:r w:rsidR="00A61A80" w:rsidRPr="005B1B75">
        <w:rPr>
          <w:lang w:val="es-ES_tradnl"/>
        </w:rPr>
        <w:t>decidió posponer el lanzamiento por un mes.</w:t>
      </w:r>
    </w:p>
    <w:p w14:paraId="4D8A1C57" w14:textId="63619AAA" w:rsidR="008B53A8" w:rsidRPr="005B1B75" w:rsidRDefault="008B53A8" w:rsidP="0048522D">
      <w:pPr>
        <w:pStyle w:val="SingleTxtG"/>
        <w:rPr>
          <w:lang w:val="es-ES_tradnl"/>
        </w:rPr>
      </w:pPr>
      <w:r w:rsidRPr="005B1B75">
        <w:rPr>
          <w:lang w:val="es-ES_tradnl"/>
        </w:rPr>
        <w:t>2.</w:t>
      </w:r>
      <w:r w:rsidR="005D7A57" w:rsidRPr="005B1B75">
        <w:rPr>
          <w:lang w:val="es-ES_tradnl"/>
        </w:rPr>
        <w:t>10</w:t>
      </w:r>
      <w:r w:rsidRPr="005B1B75">
        <w:rPr>
          <w:lang w:val="es-ES_tradnl"/>
        </w:rPr>
        <w:t xml:space="preserve"> </w:t>
      </w:r>
      <w:r w:rsidR="005A5447" w:rsidRPr="005B1B75">
        <w:rPr>
          <w:lang w:val="es-ES_tradnl"/>
        </w:rPr>
        <w:tab/>
      </w:r>
      <w:r w:rsidRPr="005B1B75">
        <w:rPr>
          <w:lang w:val="es-ES_tradnl"/>
        </w:rPr>
        <w:t xml:space="preserve">El 2 de julio de 2013, </w:t>
      </w:r>
      <w:r w:rsidR="00662E1E" w:rsidRPr="005B1B75">
        <w:rPr>
          <w:lang w:val="es-ES_tradnl"/>
        </w:rPr>
        <w:t>e</w:t>
      </w:r>
      <w:r w:rsidR="0070599A" w:rsidRPr="005B1B75">
        <w:rPr>
          <w:lang w:val="es-ES_tradnl"/>
        </w:rPr>
        <w:t xml:space="preserve">l Juzgado </w:t>
      </w:r>
      <w:r w:rsidR="001A643F" w:rsidRPr="005B1B75">
        <w:rPr>
          <w:lang w:val="es-ES_tradnl"/>
        </w:rPr>
        <w:t>núm.</w:t>
      </w:r>
      <w:r w:rsidR="00662E1E" w:rsidRPr="005B1B75">
        <w:rPr>
          <w:lang w:val="es-ES_tradnl"/>
        </w:rPr>
        <w:t xml:space="preserve"> </w:t>
      </w:r>
      <w:r w:rsidR="00BC5DA6" w:rsidRPr="005B1B75">
        <w:rPr>
          <w:lang w:val="es-ES_tradnl"/>
        </w:rPr>
        <w:t>3</w:t>
      </w:r>
      <w:r w:rsidR="00662E1E" w:rsidRPr="005B1B75">
        <w:rPr>
          <w:lang w:val="es-ES_tradnl"/>
        </w:rPr>
        <w:t xml:space="preserve">7 </w:t>
      </w:r>
      <w:r w:rsidR="0070599A" w:rsidRPr="005B1B75">
        <w:rPr>
          <w:lang w:val="es-ES_tradnl"/>
        </w:rPr>
        <w:t>determinó</w:t>
      </w:r>
      <w:r w:rsidRPr="005B1B75">
        <w:rPr>
          <w:lang w:val="es-ES_tradnl"/>
        </w:rPr>
        <w:t xml:space="preserve"> que </w:t>
      </w:r>
      <w:r w:rsidR="00236D5E" w:rsidRPr="005B1B75">
        <w:rPr>
          <w:lang w:val="es-ES_tradnl"/>
        </w:rPr>
        <w:t>la solicitud de la arrendador</w:t>
      </w:r>
      <w:r w:rsidR="00F71B78" w:rsidRPr="005B1B75">
        <w:rPr>
          <w:lang w:val="es-ES_tradnl"/>
        </w:rPr>
        <w:t>a solicitando la ejecución de la</w:t>
      </w:r>
      <w:r w:rsidR="00236D5E" w:rsidRPr="005B1B75">
        <w:rPr>
          <w:lang w:val="es-ES_tradnl"/>
        </w:rPr>
        <w:t xml:space="preserve"> sentencia de 30 de mayo de 2013</w:t>
      </w:r>
      <w:r w:rsidRPr="005B1B75">
        <w:rPr>
          <w:lang w:val="es-ES_tradnl"/>
        </w:rPr>
        <w:t xml:space="preserve"> cumplía con los requisitos </w:t>
      </w:r>
      <w:r w:rsidR="005D0C03" w:rsidRPr="005B1B75">
        <w:rPr>
          <w:lang w:val="es-ES_tradnl"/>
        </w:rPr>
        <w:t xml:space="preserve">legales </w:t>
      </w:r>
      <w:r w:rsidR="00FE2BAB" w:rsidRPr="005B1B75">
        <w:rPr>
          <w:lang w:val="es-ES_tradnl"/>
        </w:rPr>
        <w:t>y</w:t>
      </w:r>
      <w:r w:rsidR="00A61A80" w:rsidRPr="005B1B75">
        <w:rPr>
          <w:lang w:val="es-ES_tradnl"/>
        </w:rPr>
        <w:t xml:space="preserve"> ordenó que los autores </w:t>
      </w:r>
      <w:r w:rsidR="005E297F" w:rsidRPr="005B1B75">
        <w:rPr>
          <w:lang w:val="es-ES_tradnl"/>
        </w:rPr>
        <w:t xml:space="preserve">y sus hijos </w:t>
      </w:r>
      <w:r w:rsidR="00A61A80" w:rsidRPr="005B1B75">
        <w:rPr>
          <w:lang w:val="es-ES_tradnl"/>
        </w:rPr>
        <w:t xml:space="preserve">fueran desalojados </w:t>
      </w:r>
      <w:r w:rsidR="00FE2BAB" w:rsidRPr="005B1B75">
        <w:rPr>
          <w:lang w:val="es-ES_tradnl"/>
        </w:rPr>
        <w:t>de la habitaci</w:t>
      </w:r>
      <w:r w:rsidR="005E297F" w:rsidRPr="005B1B75">
        <w:rPr>
          <w:lang w:val="es-ES_tradnl"/>
        </w:rPr>
        <w:t>ón arrendada</w:t>
      </w:r>
      <w:r w:rsidR="00FE2BAB" w:rsidRPr="005B1B75">
        <w:rPr>
          <w:lang w:val="es-ES_tradnl"/>
        </w:rPr>
        <w:t xml:space="preserve"> </w:t>
      </w:r>
      <w:r w:rsidR="00A61A80" w:rsidRPr="005B1B75">
        <w:rPr>
          <w:lang w:val="es-ES_tradnl"/>
        </w:rPr>
        <w:t>el 11 de septiembre de 2013 y que se inform</w:t>
      </w:r>
      <w:r w:rsidR="00B84A7C" w:rsidRPr="005B1B75">
        <w:rPr>
          <w:lang w:val="es-ES_tradnl"/>
        </w:rPr>
        <w:t>ara</w:t>
      </w:r>
      <w:r w:rsidR="00A61A80" w:rsidRPr="005B1B75">
        <w:rPr>
          <w:lang w:val="es-ES_tradnl"/>
        </w:rPr>
        <w:t xml:space="preserve"> a la Consejería </w:t>
      </w:r>
      <w:r w:rsidR="005E297F" w:rsidRPr="005B1B75">
        <w:rPr>
          <w:lang w:val="es-ES_tradnl"/>
        </w:rPr>
        <w:t>sobre esta decisión</w:t>
      </w:r>
      <w:r w:rsidR="00A61A80" w:rsidRPr="005B1B75">
        <w:rPr>
          <w:lang w:val="es-ES_tradnl"/>
        </w:rPr>
        <w:t>.</w:t>
      </w:r>
    </w:p>
    <w:p w14:paraId="466E04B1" w14:textId="0272E111" w:rsidR="008B53A8" w:rsidRPr="005B1B75" w:rsidRDefault="00F71760" w:rsidP="0048522D">
      <w:pPr>
        <w:pStyle w:val="SingleTxtG"/>
        <w:rPr>
          <w:lang w:val="es-ES_tradnl"/>
        </w:rPr>
      </w:pPr>
      <w:r w:rsidRPr="005B1B75">
        <w:rPr>
          <w:lang w:val="es-ES_tradnl"/>
        </w:rPr>
        <w:t>2.1</w:t>
      </w:r>
      <w:r w:rsidR="005D7A57" w:rsidRPr="005B1B75">
        <w:rPr>
          <w:lang w:val="es-ES_tradnl"/>
        </w:rPr>
        <w:t>1</w:t>
      </w:r>
      <w:r w:rsidRPr="005B1B75">
        <w:rPr>
          <w:lang w:val="es-ES_tradnl"/>
        </w:rPr>
        <w:tab/>
      </w:r>
      <w:r w:rsidR="008B53A8" w:rsidRPr="005B1B75">
        <w:rPr>
          <w:lang w:val="es-ES_tradnl"/>
        </w:rPr>
        <w:t xml:space="preserve">El 19 de julio de 2013, el </w:t>
      </w:r>
      <w:r w:rsidR="002D0785" w:rsidRPr="005B1B75">
        <w:rPr>
          <w:lang w:val="es-ES_tradnl"/>
        </w:rPr>
        <w:t xml:space="preserve">Sr. Ben </w:t>
      </w:r>
      <w:proofErr w:type="spellStart"/>
      <w:r w:rsidR="002D0785" w:rsidRPr="005B1B75">
        <w:rPr>
          <w:lang w:val="es-ES_tradnl"/>
        </w:rPr>
        <w:t>Djazia</w:t>
      </w:r>
      <w:proofErr w:type="spellEnd"/>
      <w:r w:rsidR="008B53A8" w:rsidRPr="005B1B75">
        <w:rPr>
          <w:lang w:val="es-ES_tradnl"/>
        </w:rPr>
        <w:t xml:space="preserve"> </w:t>
      </w:r>
      <w:r w:rsidR="005E297F" w:rsidRPr="005B1B75">
        <w:rPr>
          <w:lang w:val="es-ES_tradnl"/>
        </w:rPr>
        <w:t xml:space="preserve">formuló oposición a la ejecución de la </w:t>
      </w:r>
      <w:r w:rsidR="005D0C03" w:rsidRPr="005B1B75">
        <w:rPr>
          <w:lang w:val="es-ES_tradnl"/>
        </w:rPr>
        <w:t xml:space="preserve">anterior </w:t>
      </w:r>
      <w:r w:rsidR="005E297F" w:rsidRPr="005B1B75">
        <w:rPr>
          <w:lang w:val="es-ES_tradnl"/>
        </w:rPr>
        <w:t xml:space="preserve">decisión ante el propio </w:t>
      </w:r>
      <w:r w:rsidR="00BE14DA" w:rsidRPr="005B1B75">
        <w:rPr>
          <w:lang w:val="es-ES_tradnl"/>
        </w:rPr>
        <w:t xml:space="preserve">Juzgado </w:t>
      </w:r>
      <w:r w:rsidR="001A643F" w:rsidRPr="005B1B75">
        <w:rPr>
          <w:lang w:val="es-ES_tradnl"/>
        </w:rPr>
        <w:t>núm.</w:t>
      </w:r>
      <w:r w:rsidR="00BE14DA" w:rsidRPr="005B1B75">
        <w:rPr>
          <w:lang w:val="es-ES_tradnl"/>
        </w:rPr>
        <w:t xml:space="preserve"> 37</w:t>
      </w:r>
      <w:r w:rsidR="008B53A8" w:rsidRPr="005B1B75">
        <w:rPr>
          <w:lang w:val="es-ES_tradnl"/>
        </w:rPr>
        <w:t xml:space="preserve"> y solicit</w:t>
      </w:r>
      <w:r w:rsidR="00BE14DA" w:rsidRPr="005B1B75">
        <w:rPr>
          <w:lang w:val="es-ES_tradnl"/>
        </w:rPr>
        <w:t>ó</w:t>
      </w:r>
      <w:r w:rsidR="008B53A8" w:rsidRPr="005B1B75">
        <w:rPr>
          <w:lang w:val="es-ES_tradnl"/>
        </w:rPr>
        <w:t xml:space="preserve"> la suspensión de la orden de expulsión. </w:t>
      </w:r>
      <w:r w:rsidR="00BE14DA" w:rsidRPr="005B1B75">
        <w:rPr>
          <w:lang w:val="es-ES_tradnl"/>
        </w:rPr>
        <w:t xml:space="preserve">El </w:t>
      </w:r>
      <w:r w:rsidR="002D0785" w:rsidRPr="005B1B75">
        <w:rPr>
          <w:lang w:val="es-ES_tradnl"/>
        </w:rPr>
        <w:t xml:space="preserve">Sr. Ben </w:t>
      </w:r>
      <w:proofErr w:type="spellStart"/>
      <w:r w:rsidR="002D0785" w:rsidRPr="005B1B75">
        <w:rPr>
          <w:lang w:val="es-ES_tradnl"/>
        </w:rPr>
        <w:t>Djazia</w:t>
      </w:r>
      <w:proofErr w:type="spellEnd"/>
      <w:r w:rsidR="00BE14DA" w:rsidRPr="005B1B75">
        <w:rPr>
          <w:lang w:val="es-ES_tradnl"/>
        </w:rPr>
        <w:t xml:space="preserve"> alegó</w:t>
      </w:r>
      <w:r w:rsidR="001A643F" w:rsidRPr="005B1B75">
        <w:rPr>
          <w:lang w:val="es-ES_tradnl"/>
        </w:rPr>
        <w:t xml:space="preserve">, entre otras cosas, </w:t>
      </w:r>
      <w:r w:rsidR="00622E8C" w:rsidRPr="005B1B75">
        <w:rPr>
          <w:lang w:val="es-ES_tradnl"/>
        </w:rPr>
        <w:t>q</w:t>
      </w:r>
      <w:r w:rsidR="008B53A8" w:rsidRPr="005B1B75">
        <w:rPr>
          <w:lang w:val="es-ES_tradnl"/>
        </w:rPr>
        <w:t xml:space="preserve">ue su desalojo equivaldría a una violación </w:t>
      </w:r>
      <w:r w:rsidR="009D3A3E" w:rsidRPr="005B1B75">
        <w:rPr>
          <w:lang w:val="es-ES_tradnl"/>
        </w:rPr>
        <w:t xml:space="preserve">de </w:t>
      </w:r>
      <w:r w:rsidR="0082381D" w:rsidRPr="005B1B75">
        <w:rPr>
          <w:lang w:val="es-ES_tradnl"/>
        </w:rPr>
        <w:t>su derecho</w:t>
      </w:r>
      <w:r w:rsidR="00BC5DA6" w:rsidRPr="005B1B75">
        <w:rPr>
          <w:lang w:val="es-ES_tradnl"/>
        </w:rPr>
        <w:t xml:space="preserve"> a la</w:t>
      </w:r>
      <w:r w:rsidR="00B97C5E" w:rsidRPr="005B1B75">
        <w:rPr>
          <w:lang w:val="es-ES_tradnl"/>
        </w:rPr>
        <w:t xml:space="preserve"> vivienda </w:t>
      </w:r>
      <w:r w:rsidR="008334DF" w:rsidRPr="005B1B75">
        <w:rPr>
          <w:lang w:val="es-ES_tradnl"/>
        </w:rPr>
        <w:t xml:space="preserve">digna y </w:t>
      </w:r>
      <w:r w:rsidR="00B97C5E" w:rsidRPr="005B1B75">
        <w:rPr>
          <w:lang w:val="es-ES_tradnl"/>
        </w:rPr>
        <w:t>adecuada</w:t>
      </w:r>
      <w:r w:rsidR="005D0C03" w:rsidRPr="005B1B75">
        <w:rPr>
          <w:lang w:val="es-ES_tradnl"/>
        </w:rPr>
        <w:t xml:space="preserve"> y</w:t>
      </w:r>
      <w:r w:rsidR="008B53A8" w:rsidRPr="005B1B75">
        <w:rPr>
          <w:lang w:val="es-ES_tradnl"/>
        </w:rPr>
        <w:t xml:space="preserve"> solicitó a</w:t>
      </w:r>
      <w:r w:rsidR="004213E1" w:rsidRPr="005B1B75">
        <w:rPr>
          <w:lang w:val="es-ES_tradnl"/>
        </w:rPr>
        <w:t xml:space="preserve">l Juzgado </w:t>
      </w:r>
      <w:r w:rsidR="001A643F" w:rsidRPr="005B1B75">
        <w:rPr>
          <w:lang w:val="es-ES_tradnl"/>
        </w:rPr>
        <w:t>núm.</w:t>
      </w:r>
      <w:r w:rsidR="004213E1" w:rsidRPr="005B1B75">
        <w:rPr>
          <w:lang w:val="es-ES_tradnl"/>
        </w:rPr>
        <w:t xml:space="preserve"> 37 reiterar los oficios emitidos a los </w:t>
      </w:r>
      <w:r w:rsidR="008B53A8" w:rsidRPr="005B1B75">
        <w:rPr>
          <w:lang w:val="es-ES_tradnl"/>
        </w:rPr>
        <w:t xml:space="preserve">Servicios Sociales de la Comunidad y del Ayuntamiento de Madrid </w:t>
      </w:r>
      <w:r w:rsidR="005B1A5B" w:rsidRPr="005B1B75">
        <w:rPr>
          <w:lang w:val="es-ES_tradnl"/>
        </w:rPr>
        <w:t xml:space="preserve">y </w:t>
      </w:r>
      <w:r w:rsidR="004919E5" w:rsidRPr="005B1B75">
        <w:rPr>
          <w:lang w:val="es-ES_tradnl"/>
        </w:rPr>
        <w:t xml:space="preserve">requerir </w:t>
      </w:r>
      <w:r w:rsidR="005B1A5B" w:rsidRPr="005B1B75">
        <w:rPr>
          <w:lang w:val="es-ES_tradnl"/>
        </w:rPr>
        <w:t>al</w:t>
      </w:r>
      <w:r w:rsidR="008B53A8" w:rsidRPr="005B1B75">
        <w:rPr>
          <w:lang w:val="es-ES_tradnl"/>
        </w:rPr>
        <w:t xml:space="preserve"> </w:t>
      </w:r>
      <w:proofErr w:type="spellStart"/>
      <w:r w:rsidR="008B53A8" w:rsidRPr="005B1B75">
        <w:rPr>
          <w:lang w:val="es-ES_tradnl"/>
        </w:rPr>
        <w:t>IVIMA</w:t>
      </w:r>
      <w:proofErr w:type="spellEnd"/>
      <w:r w:rsidR="008B53A8" w:rsidRPr="005B1B75">
        <w:rPr>
          <w:lang w:val="es-ES_tradnl"/>
        </w:rPr>
        <w:t xml:space="preserve"> y la Empresa Municipal de </w:t>
      </w:r>
      <w:r w:rsidR="005B1A5B" w:rsidRPr="005B1B75">
        <w:rPr>
          <w:lang w:val="es-ES_tradnl"/>
        </w:rPr>
        <w:t>la Vivienda y el Suelo</w:t>
      </w:r>
      <w:r w:rsidR="008B53A8" w:rsidRPr="005B1B75">
        <w:rPr>
          <w:lang w:val="es-ES_tradnl"/>
        </w:rPr>
        <w:t xml:space="preserve"> (</w:t>
      </w:r>
      <w:proofErr w:type="spellStart"/>
      <w:r w:rsidR="008B53A8" w:rsidRPr="005B1B75">
        <w:rPr>
          <w:lang w:val="es-ES_tradnl"/>
        </w:rPr>
        <w:t>EMVS</w:t>
      </w:r>
      <w:proofErr w:type="spellEnd"/>
      <w:r w:rsidR="008B53A8" w:rsidRPr="005B1B75">
        <w:rPr>
          <w:lang w:val="es-ES_tradnl"/>
        </w:rPr>
        <w:t xml:space="preserve">) </w:t>
      </w:r>
      <w:r w:rsidR="00352AAC" w:rsidRPr="005B1B75">
        <w:rPr>
          <w:lang w:val="es-ES_tradnl"/>
        </w:rPr>
        <w:t xml:space="preserve">que le </w:t>
      </w:r>
      <w:r w:rsidR="005B1A5B" w:rsidRPr="005B1B75">
        <w:rPr>
          <w:lang w:val="es-ES_tradnl"/>
        </w:rPr>
        <w:t>proporciona</w:t>
      </w:r>
      <w:r w:rsidR="00C32EF2" w:rsidRPr="005B1B75">
        <w:rPr>
          <w:lang w:val="es-ES_tradnl"/>
        </w:rPr>
        <w:t>r</w:t>
      </w:r>
      <w:r w:rsidR="00352AAC" w:rsidRPr="005B1B75">
        <w:rPr>
          <w:lang w:val="es-ES_tradnl"/>
        </w:rPr>
        <w:t>an</w:t>
      </w:r>
      <w:r w:rsidR="008B53A8" w:rsidRPr="005B1B75">
        <w:rPr>
          <w:lang w:val="es-ES_tradnl"/>
        </w:rPr>
        <w:t xml:space="preserve"> una vivienda alternativa</w:t>
      </w:r>
      <w:r w:rsidR="005B1A5B" w:rsidRPr="005B1B75">
        <w:rPr>
          <w:lang w:val="es-ES_tradnl"/>
        </w:rPr>
        <w:t>, en atención a las</w:t>
      </w:r>
      <w:r w:rsidR="00BC5DA6" w:rsidRPr="005B1B75">
        <w:rPr>
          <w:lang w:val="es-ES_tradnl"/>
        </w:rPr>
        <w:t xml:space="preserve"> solicitudes que presentó durante más de </w:t>
      </w:r>
      <w:r w:rsidR="00014C7B" w:rsidRPr="005B1B75">
        <w:rPr>
          <w:lang w:val="es-ES_tradnl"/>
        </w:rPr>
        <w:t xml:space="preserve">diez </w:t>
      </w:r>
      <w:r w:rsidR="00BC5DA6" w:rsidRPr="005B1B75">
        <w:rPr>
          <w:lang w:val="es-ES_tradnl"/>
        </w:rPr>
        <w:t>años</w:t>
      </w:r>
      <w:r w:rsidR="008B53A8" w:rsidRPr="005B1B75">
        <w:rPr>
          <w:lang w:val="es-ES_tradnl"/>
        </w:rPr>
        <w:t>.</w:t>
      </w:r>
    </w:p>
    <w:p w14:paraId="05B6DC9C" w14:textId="4F59DEEF" w:rsidR="00236E46" w:rsidRPr="005B1B75" w:rsidRDefault="00622E8C" w:rsidP="0048522D">
      <w:pPr>
        <w:pStyle w:val="SingleTxtG"/>
        <w:rPr>
          <w:lang w:val="es-ES_tradnl"/>
        </w:rPr>
      </w:pPr>
      <w:r w:rsidRPr="005B1B75">
        <w:rPr>
          <w:lang w:val="es-ES_tradnl"/>
        </w:rPr>
        <w:t>2</w:t>
      </w:r>
      <w:r w:rsidR="00C32EF2" w:rsidRPr="005B1B75">
        <w:rPr>
          <w:lang w:val="es-ES_tradnl"/>
        </w:rPr>
        <w:t>.1</w:t>
      </w:r>
      <w:r w:rsidR="005D7A57" w:rsidRPr="005B1B75">
        <w:rPr>
          <w:lang w:val="es-ES_tradnl"/>
        </w:rPr>
        <w:t>2</w:t>
      </w:r>
      <w:r w:rsidR="00C32EF2" w:rsidRPr="005B1B75">
        <w:rPr>
          <w:lang w:val="es-ES_tradnl"/>
        </w:rPr>
        <w:tab/>
      </w:r>
      <w:r w:rsidR="008B53A8" w:rsidRPr="005B1B75">
        <w:rPr>
          <w:lang w:val="es-ES_tradnl"/>
        </w:rPr>
        <w:t xml:space="preserve">El 22 de julio de 2013, </w:t>
      </w:r>
      <w:r w:rsidR="00A871CD" w:rsidRPr="005B1B75">
        <w:rPr>
          <w:lang w:val="es-ES_tradnl"/>
        </w:rPr>
        <w:t xml:space="preserve">el Juzgado </w:t>
      </w:r>
      <w:r w:rsidR="001A643F" w:rsidRPr="005B1B75">
        <w:rPr>
          <w:lang w:val="es-ES_tradnl"/>
        </w:rPr>
        <w:t>núm.</w:t>
      </w:r>
      <w:r w:rsidR="00A871CD" w:rsidRPr="005B1B75">
        <w:rPr>
          <w:lang w:val="es-ES_tradnl"/>
        </w:rPr>
        <w:t xml:space="preserve"> 37</w:t>
      </w:r>
      <w:r w:rsidR="008B53A8" w:rsidRPr="005B1B75">
        <w:rPr>
          <w:lang w:val="es-ES_tradnl"/>
        </w:rPr>
        <w:t xml:space="preserve"> no admitió la oposición, </w:t>
      </w:r>
      <w:r w:rsidR="00B84A7C" w:rsidRPr="005B1B75">
        <w:rPr>
          <w:lang w:val="es-ES_tradnl"/>
        </w:rPr>
        <w:t>señalando que no se basaba</w:t>
      </w:r>
      <w:r w:rsidR="008B53A8" w:rsidRPr="005B1B75">
        <w:rPr>
          <w:lang w:val="es-ES_tradnl"/>
        </w:rPr>
        <w:t xml:space="preserve"> en ninguna de las razones establecidas en el artículo 556</w:t>
      </w:r>
      <w:r w:rsidR="00014C7B" w:rsidRPr="005B1B75">
        <w:rPr>
          <w:lang w:val="es-ES_tradnl"/>
        </w:rPr>
        <w:t xml:space="preserve">, </w:t>
      </w:r>
      <w:r w:rsidR="009E41B4" w:rsidRPr="005B1B75">
        <w:rPr>
          <w:lang w:val="es-ES_tradnl"/>
        </w:rPr>
        <w:t>a</w:t>
      </w:r>
      <w:r w:rsidR="009E41B4">
        <w:rPr>
          <w:lang w:val="es-ES_tradnl"/>
        </w:rPr>
        <w:t>partad</w:t>
      </w:r>
      <w:r w:rsidR="009E41B4" w:rsidRPr="005B1B75">
        <w:rPr>
          <w:lang w:val="es-ES_tradnl"/>
        </w:rPr>
        <w:t>o</w:t>
      </w:r>
      <w:r w:rsidR="00014C7B" w:rsidRPr="005B1B75">
        <w:rPr>
          <w:lang w:val="es-ES_tradnl"/>
        </w:rPr>
        <w:t xml:space="preserve"> </w:t>
      </w:r>
      <w:r w:rsidR="008B53A8" w:rsidRPr="005B1B75">
        <w:rPr>
          <w:lang w:val="es-ES_tradnl"/>
        </w:rPr>
        <w:t>1</w:t>
      </w:r>
      <w:r w:rsidR="00014C7B" w:rsidRPr="005B1B75">
        <w:rPr>
          <w:lang w:val="es-ES_tradnl"/>
        </w:rPr>
        <w:t>,</w:t>
      </w:r>
      <w:r w:rsidR="008B53A8" w:rsidRPr="005B1B75">
        <w:rPr>
          <w:lang w:val="es-ES_tradnl"/>
        </w:rPr>
        <w:t xml:space="preserve"> de la </w:t>
      </w:r>
      <w:r w:rsidR="00014C7B" w:rsidRPr="005B1B75">
        <w:rPr>
          <w:lang w:val="es-ES_tradnl"/>
        </w:rPr>
        <w:t>Ley de Enjuiciamiento Civil</w:t>
      </w:r>
      <w:r w:rsidR="008B53A8" w:rsidRPr="005B1B75">
        <w:rPr>
          <w:lang w:val="es-ES_tradnl"/>
        </w:rPr>
        <w:t xml:space="preserve">. El 26 de julio de 2013, el </w:t>
      </w:r>
      <w:r w:rsidR="002D0785" w:rsidRPr="005B1B75">
        <w:rPr>
          <w:lang w:val="es-ES_tradnl"/>
        </w:rPr>
        <w:t xml:space="preserve">Sr. Ben </w:t>
      </w:r>
      <w:proofErr w:type="spellStart"/>
      <w:r w:rsidR="002D0785" w:rsidRPr="005B1B75">
        <w:rPr>
          <w:lang w:val="es-ES_tradnl"/>
        </w:rPr>
        <w:t>Djazia</w:t>
      </w:r>
      <w:proofErr w:type="spellEnd"/>
      <w:r w:rsidR="008B53A8" w:rsidRPr="005B1B75">
        <w:rPr>
          <w:lang w:val="es-ES_tradnl"/>
        </w:rPr>
        <w:t xml:space="preserve"> presentó </w:t>
      </w:r>
      <w:r w:rsidR="00E402FF" w:rsidRPr="005B1B75">
        <w:rPr>
          <w:lang w:val="es-ES_tradnl"/>
        </w:rPr>
        <w:t xml:space="preserve">un recurso de reposición con nulidad ante el Juzgado </w:t>
      </w:r>
      <w:r w:rsidR="001A643F" w:rsidRPr="005B1B75">
        <w:rPr>
          <w:lang w:val="es-ES_tradnl"/>
        </w:rPr>
        <w:t>núm.</w:t>
      </w:r>
      <w:r w:rsidR="00E402FF" w:rsidRPr="005B1B75">
        <w:rPr>
          <w:lang w:val="es-ES_tradnl"/>
        </w:rPr>
        <w:t xml:space="preserve"> 37</w:t>
      </w:r>
      <w:r w:rsidR="00236D5E" w:rsidRPr="005B1B75">
        <w:rPr>
          <w:lang w:val="es-ES_tradnl"/>
        </w:rPr>
        <w:t>, reiteró sus alegaciones</w:t>
      </w:r>
      <w:r w:rsidR="00CD39C4" w:rsidRPr="005B1B75">
        <w:rPr>
          <w:lang w:val="es-ES_tradnl"/>
        </w:rPr>
        <w:t xml:space="preserve"> </w:t>
      </w:r>
      <w:r w:rsidR="00AA697E" w:rsidRPr="005B1B75">
        <w:rPr>
          <w:lang w:val="es-ES_tradnl"/>
        </w:rPr>
        <w:t xml:space="preserve">y </w:t>
      </w:r>
      <w:r w:rsidR="00317B25" w:rsidRPr="005B1B75">
        <w:rPr>
          <w:lang w:val="es-ES_tradnl"/>
        </w:rPr>
        <w:t xml:space="preserve">solicitó examinar </w:t>
      </w:r>
      <w:r w:rsidR="00F90AB2" w:rsidRPr="005B1B75">
        <w:rPr>
          <w:lang w:val="es-ES_tradnl"/>
        </w:rPr>
        <w:t>las circunstancias concurrentes en su caso y el riesgo</w:t>
      </w:r>
      <w:r w:rsidR="00AA50ED" w:rsidRPr="005B1B75">
        <w:rPr>
          <w:lang w:val="es-ES_tradnl"/>
        </w:rPr>
        <w:t xml:space="preserve"> al que </w:t>
      </w:r>
      <w:r w:rsidR="00CD721E" w:rsidRPr="005B1B75">
        <w:rPr>
          <w:lang w:val="es-ES_tradnl"/>
        </w:rPr>
        <w:t>estaría expuesta su familia si fuera</w:t>
      </w:r>
      <w:r w:rsidR="00AA50ED" w:rsidRPr="005B1B75">
        <w:rPr>
          <w:lang w:val="es-ES_tradnl"/>
        </w:rPr>
        <w:t xml:space="preserve"> desalojad</w:t>
      </w:r>
      <w:r w:rsidR="00817ACB" w:rsidRPr="005B1B75">
        <w:rPr>
          <w:lang w:val="es-ES_tradnl"/>
        </w:rPr>
        <w:t>a</w:t>
      </w:r>
      <w:r w:rsidR="00AA50ED" w:rsidRPr="005B1B75">
        <w:rPr>
          <w:lang w:val="es-ES_tradnl"/>
        </w:rPr>
        <w:t xml:space="preserve"> sin tener una vivienda alternativa.</w:t>
      </w:r>
      <w:r w:rsidR="00F90AB2" w:rsidRPr="005B1B75">
        <w:rPr>
          <w:lang w:val="es-ES_tradnl"/>
        </w:rPr>
        <w:t xml:space="preserve"> </w:t>
      </w:r>
      <w:r w:rsidR="00236E46" w:rsidRPr="005B1B75">
        <w:rPr>
          <w:lang w:val="es-ES_tradnl"/>
        </w:rPr>
        <w:t xml:space="preserve">Finalmente, el </w:t>
      </w:r>
      <w:r w:rsidR="002D0785" w:rsidRPr="005B1B75">
        <w:rPr>
          <w:lang w:val="es-ES_tradnl"/>
        </w:rPr>
        <w:t xml:space="preserve">Sr. Ben </w:t>
      </w:r>
      <w:proofErr w:type="spellStart"/>
      <w:r w:rsidR="002D0785" w:rsidRPr="005B1B75">
        <w:rPr>
          <w:lang w:val="es-ES_tradnl"/>
        </w:rPr>
        <w:t>Djazia</w:t>
      </w:r>
      <w:proofErr w:type="spellEnd"/>
      <w:r w:rsidR="00236E46" w:rsidRPr="005B1B75">
        <w:rPr>
          <w:lang w:val="es-ES_tradnl"/>
        </w:rPr>
        <w:t xml:space="preserve"> solicitó al Juzgado </w:t>
      </w:r>
      <w:r w:rsidR="001A643F" w:rsidRPr="005B1B75">
        <w:rPr>
          <w:lang w:val="es-ES_tradnl"/>
        </w:rPr>
        <w:t>núm.</w:t>
      </w:r>
      <w:r w:rsidR="00236E46" w:rsidRPr="005B1B75">
        <w:rPr>
          <w:lang w:val="es-ES_tradnl"/>
        </w:rPr>
        <w:t xml:space="preserve"> 37 reiterar los oficios a los Servicios Sociales de la Comunidad y del Ayuntamiento de Madrid, </w:t>
      </w:r>
      <w:r w:rsidR="00110228" w:rsidRPr="005B1B75">
        <w:rPr>
          <w:lang w:val="es-ES_tradnl"/>
        </w:rPr>
        <w:t xml:space="preserve">el </w:t>
      </w:r>
      <w:proofErr w:type="spellStart"/>
      <w:r w:rsidR="00236E46" w:rsidRPr="005B1B75">
        <w:rPr>
          <w:lang w:val="es-ES_tradnl"/>
        </w:rPr>
        <w:t>IVIMA</w:t>
      </w:r>
      <w:proofErr w:type="spellEnd"/>
      <w:r w:rsidR="00236E46" w:rsidRPr="005B1B75">
        <w:rPr>
          <w:lang w:val="es-ES_tradnl"/>
        </w:rPr>
        <w:t xml:space="preserve"> y </w:t>
      </w:r>
      <w:r w:rsidR="00110228" w:rsidRPr="005B1B75">
        <w:rPr>
          <w:lang w:val="es-ES_tradnl"/>
        </w:rPr>
        <w:t xml:space="preserve">la </w:t>
      </w:r>
      <w:proofErr w:type="spellStart"/>
      <w:r w:rsidR="00236E46" w:rsidRPr="005B1B75">
        <w:rPr>
          <w:lang w:val="es-ES_tradnl"/>
        </w:rPr>
        <w:t>EMVS</w:t>
      </w:r>
      <w:proofErr w:type="spellEnd"/>
      <w:r w:rsidR="00236E46" w:rsidRPr="005B1B75">
        <w:rPr>
          <w:lang w:val="es-ES_tradnl"/>
        </w:rPr>
        <w:t>.</w:t>
      </w:r>
    </w:p>
    <w:p w14:paraId="533A0C23" w14:textId="6F40A1E3" w:rsidR="00E6702E" w:rsidRPr="005B1B75" w:rsidRDefault="000D1666" w:rsidP="0048522D">
      <w:pPr>
        <w:pStyle w:val="SingleTxtG"/>
        <w:rPr>
          <w:lang w:val="es-ES_tradnl"/>
        </w:rPr>
      </w:pPr>
      <w:r w:rsidRPr="005B1B75">
        <w:rPr>
          <w:lang w:val="es-ES_tradnl"/>
        </w:rPr>
        <w:t>2.1</w:t>
      </w:r>
      <w:r w:rsidR="005D7A57" w:rsidRPr="005B1B75">
        <w:rPr>
          <w:lang w:val="es-ES_tradnl"/>
        </w:rPr>
        <w:t>3</w:t>
      </w:r>
      <w:r w:rsidR="00236E46" w:rsidRPr="005B1B75">
        <w:rPr>
          <w:lang w:val="es-ES_tradnl"/>
        </w:rPr>
        <w:tab/>
      </w:r>
      <w:r w:rsidR="00E6702E" w:rsidRPr="005B1B75">
        <w:rPr>
          <w:lang w:val="es-ES_tradnl"/>
        </w:rPr>
        <w:t xml:space="preserve">El 29 de agosto de 2013, el </w:t>
      </w:r>
      <w:r w:rsidR="002D0785" w:rsidRPr="005B1B75">
        <w:rPr>
          <w:lang w:val="es-ES_tradnl"/>
        </w:rPr>
        <w:t xml:space="preserve">Sr. Ben </w:t>
      </w:r>
      <w:proofErr w:type="spellStart"/>
      <w:r w:rsidR="002D0785" w:rsidRPr="005B1B75">
        <w:rPr>
          <w:lang w:val="es-ES_tradnl"/>
        </w:rPr>
        <w:t>Djazia</w:t>
      </w:r>
      <w:proofErr w:type="spellEnd"/>
      <w:r w:rsidR="00E6702E" w:rsidRPr="005B1B75">
        <w:rPr>
          <w:lang w:val="es-ES_tradnl"/>
        </w:rPr>
        <w:t xml:space="preserve"> acudió a un Centro de Servicios Sociales del Ayuntamiento de Madrid</w:t>
      </w:r>
      <w:r w:rsidR="000E644B" w:rsidRPr="005B1B75">
        <w:rPr>
          <w:lang w:val="es-ES_tradnl"/>
        </w:rPr>
        <w:t xml:space="preserve"> </w:t>
      </w:r>
      <w:r w:rsidR="007A6D94" w:rsidRPr="005B1B75">
        <w:rPr>
          <w:lang w:val="es-ES_tradnl"/>
        </w:rPr>
        <w:t xml:space="preserve">en </w:t>
      </w:r>
      <w:r w:rsidR="000E644B" w:rsidRPr="005B1B75">
        <w:rPr>
          <w:lang w:val="es-ES_tradnl"/>
        </w:rPr>
        <w:t xml:space="preserve">el distrito de </w:t>
      </w:r>
      <w:r w:rsidR="007A6D94" w:rsidRPr="005B1B75">
        <w:rPr>
          <w:lang w:val="es-ES_tradnl"/>
        </w:rPr>
        <w:t>Tetuán</w:t>
      </w:r>
      <w:r w:rsidR="00E6702E" w:rsidRPr="005B1B75">
        <w:rPr>
          <w:lang w:val="es-ES_tradnl"/>
        </w:rPr>
        <w:t>. Una trabajadora social le informó por escrito que los servicios sociales podían otorgarle una ayuda económica de un mes en una habitación alquilada cuyo pago sea sostenible con sus ingresos y se comprometa a mantener y que en el cas</w:t>
      </w:r>
      <w:r w:rsidR="00260600" w:rsidRPr="005B1B75">
        <w:rPr>
          <w:lang w:val="es-ES_tradnl"/>
        </w:rPr>
        <w:t>o de que los menores se quedar</w:t>
      </w:r>
      <w:r w:rsidR="001B149B" w:rsidRPr="005B1B75">
        <w:rPr>
          <w:lang w:val="es-ES_tradnl"/>
        </w:rPr>
        <w:t>a</w:t>
      </w:r>
      <w:r w:rsidR="00E6702E" w:rsidRPr="005B1B75">
        <w:rPr>
          <w:lang w:val="es-ES_tradnl"/>
        </w:rPr>
        <w:t xml:space="preserve">n sin vivienda y la </w:t>
      </w:r>
      <w:r w:rsidR="00260600" w:rsidRPr="005B1B75">
        <w:rPr>
          <w:lang w:val="es-ES_tradnl"/>
        </w:rPr>
        <w:t>familia no dispusier</w:t>
      </w:r>
      <w:r w:rsidR="001B149B" w:rsidRPr="005B1B75">
        <w:rPr>
          <w:lang w:val="es-ES_tradnl"/>
        </w:rPr>
        <w:t>a</w:t>
      </w:r>
      <w:r w:rsidR="00E6702E" w:rsidRPr="005B1B75">
        <w:rPr>
          <w:lang w:val="es-ES_tradnl"/>
        </w:rPr>
        <w:t xml:space="preserve"> de otra alternativa, los servicios sociales valorarían el inicio de una medida de protección para evitar una situación de desamparo</w:t>
      </w:r>
      <w:r w:rsidR="00E6702E" w:rsidRPr="009E41B4">
        <w:rPr>
          <w:sz w:val="18"/>
          <w:szCs w:val="18"/>
          <w:vertAlign w:val="superscript"/>
          <w:lang w:val="es-ES_tradnl"/>
        </w:rPr>
        <w:footnoteReference w:id="5"/>
      </w:r>
      <w:r w:rsidR="001B149B" w:rsidRPr="005B1B75">
        <w:rPr>
          <w:lang w:val="es-ES_tradnl"/>
        </w:rPr>
        <w:t>.</w:t>
      </w:r>
    </w:p>
    <w:p w14:paraId="74F06EC8" w14:textId="5C5716CA" w:rsidR="008B53A8" w:rsidRPr="005B1B75" w:rsidRDefault="00236E46" w:rsidP="0048522D">
      <w:pPr>
        <w:pStyle w:val="SingleTxtG"/>
        <w:rPr>
          <w:lang w:val="es-ES_tradnl"/>
        </w:rPr>
      </w:pPr>
      <w:r w:rsidRPr="005B1B75">
        <w:rPr>
          <w:lang w:val="es-ES_tradnl"/>
        </w:rPr>
        <w:t>2.1</w:t>
      </w:r>
      <w:r w:rsidR="005D7A57" w:rsidRPr="005B1B75">
        <w:rPr>
          <w:lang w:val="es-ES_tradnl"/>
        </w:rPr>
        <w:t>4</w:t>
      </w:r>
      <w:r w:rsidRPr="005B1B75">
        <w:rPr>
          <w:lang w:val="es-ES_tradnl"/>
        </w:rPr>
        <w:t xml:space="preserve"> </w:t>
      </w:r>
      <w:r w:rsidRPr="005B1B75">
        <w:rPr>
          <w:lang w:val="es-ES_tradnl"/>
        </w:rPr>
        <w:tab/>
      </w:r>
      <w:r w:rsidR="008B53A8" w:rsidRPr="005B1B75">
        <w:rPr>
          <w:lang w:val="es-ES_tradnl"/>
        </w:rPr>
        <w:t xml:space="preserve">El 6 de septiembre de 2013, </w:t>
      </w:r>
      <w:r w:rsidR="00E6702E" w:rsidRPr="005B1B75">
        <w:rPr>
          <w:lang w:val="es-ES_tradnl"/>
        </w:rPr>
        <w:t>el Juzgado</w:t>
      </w:r>
      <w:r w:rsidR="008B53A8" w:rsidRPr="005B1B75">
        <w:rPr>
          <w:lang w:val="es-ES_tradnl"/>
        </w:rPr>
        <w:t xml:space="preserve"> </w:t>
      </w:r>
      <w:r w:rsidR="001A643F" w:rsidRPr="005B1B75">
        <w:rPr>
          <w:lang w:val="es-ES_tradnl"/>
        </w:rPr>
        <w:t>núm.</w:t>
      </w:r>
      <w:r w:rsidR="008B53A8" w:rsidRPr="005B1B75">
        <w:rPr>
          <w:lang w:val="es-ES_tradnl"/>
        </w:rPr>
        <w:t xml:space="preserve"> 37 rechazó </w:t>
      </w:r>
      <w:r w:rsidR="000E644B" w:rsidRPr="005B1B75">
        <w:rPr>
          <w:lang w:val="es-ES_tradnl"/>
        </w:rPr>
        <w:t xml:space="preserve">el recurso </w:t>
      </w:r>
      <w:r w:rsidR="008B53A8" w:rsidRPr="005B1B75">
        <w:rPr>
          <w:lang w:val="es-ES_tradnl"/>
        </w:rPr>
        <w:t>presentad</w:t>
      </w:r>
      <w:r w:rsidR="000E644B" w:rsidRPr="005B1B75">
        <w:rPr>
          <w:lang w:val="es-ES_tradnl"/>
        </w:rPr>
        <w:t>o</w:t>
      </w:r>
      <w:r w:rsidR="008B53A8" w:rsidRPr="005B1B75">
        <w:rPr>
          <w:lang w:val="es-ES_tradnl"/>
        </w:rPr>
        <w:t xml:space="preserve"> por el </w:t>
      </w:r>
      <w:r w:rsidR="002D0785" w:rsidRPr="005B1B75">
        <w:rPr>
          <w:lang w:val="es-ES_tradnl"/>
        </w:rPr>
        <w:t xml:space="preserve">Sr. Ben </w:t>
      </w:r>
      <w:proofErr w:type="spellStart"/>
      <w:r w:rsidR="002D0785" w:rsidRPr="005B1B75">
        <w:rPr>
          <w:lang w:val="es-ES_tradnl"/>
        </w:rPr>
        <w:t>Djazia</w:t>
      </w:r>
      <w:proofErr w:type="spellEnd"/>
      <w:r w:rsidR="00E6702E" w:rsidRPr="005B1B75">
        <w:rPr>
          <w:lang w:val="es-ES_tradnl"/>
        </w:rPr>
        <w:t xml:space="preserve"> el 26 de julio de 2013</w:t>
      </w:r>
      <w:r w:rsidR="008B53A8" w:rsidRPr="005B1B75">
        <w:rPr>
          <w:lang w:val="es-ES_tradnl"/>
        </w:rPr>
        <w:t>.</w:t>
      </w:r>
    </w:p>
    <w:p w14:paraId="46D6E737" w14:textId="3D0B3977" w:rsidR="008452DD" w:rsidRPr="005B1B75" w:rsidRDefault="008B53A8" w:rsidP="0048522D">
      <w:pPr>
        <w:pStyle w:val="SingleTxtG"/>
        <w:rPr>
          <w:lang w:val="es-ES_tradnl"/>
        </w:rPr>
      </w:pPr>
      <w:r w:rsidRPr="005B1B75">
        <w:rPr>
          <w:lang w:val="es-ES_tradnl"/>
        </w:rPr>
        <w:t>2.1</w:t>
      </w:r>
      <w:r w:rsidR="005D7A57" w:rsidRPr="005B1B75">
        <w:rPr>
          <w:lang w:val="es-ES_tradnl"/>
        </w:rPr>
        <w:t>5</w:t>
      </w:r>
      <w:r w:rsidR="000D1666" w:rsidRPr="005B1B75">
        <w:rPr>
          <w:lang w:val="es-ES_tradnl"/>
        </w:rPr>
        <w:tab/>
      </w:r>
      <w:r w:rsidRPr="005B1B75">
        <w:rPr>
          <w:lang w:val="es-ES_tradnl"/>
        </w:rPr>
        <w:t xml:space="preserve">El 10 de septiembre de 2013, el </w:t>
      </w:r>
      <w:r w:rsidR="002D0785" w:rsidRPr="005B1B75">
        <w:rPr>
          <w:lang w:val="es-ES_tradnl"/>
        </w:rPr>
        <w:t xml:space="preserve">Sr. Ben </w:t>
      </w:r>
      <w:proofErr w:type="spellStart"/>
      <w:r w:rsidR="002D0785" w:rsidRPr="005B1B75">
        <w:rPr>
          <w:lang w:val="es-ES_tradnl"/>
        </w:rPr>
        <w:t>Djazia</w:t>
      </w:r>
      <w:proofErr w:type="spellEnd"/>
      <w:r w:rsidRPr="005B1B75">
        <w:rPr>
          <w:lang w:val="es-ES_tradnl"/>
        </w:rPr>
        <w:t xml:space="preserve"> interpuso un recurso de amparo ante el Tribunal Constitucional y </w:t>
      </w:r>
      <w:r w:rsidR="00622E8C" w:rsidRPr="005B1B75">
        <w:rPr>
          <w:lang w:val="es-ES_tradnl"/>
        </w:rPr>
        <w:t>una petición de medidas cautelar</w:t>
      </w:r>
      <w:r w:rsidR="00AD33D6" w:rsidRPr="005B1B75">
        <w:rPr>
          <w:lang w:val="es-ES_tradnl"/>
        </w:rPr>
        <w:t>es</w:t>
      </w:r>
      <w:r w:rsidR="009D3A3E" w:rsidRPr="005B1B75">
        <w:rPr>
          <w:lang w:val="es-ES_tradnl"/>
        </w:rPr>
        <w:t>, solicitando</w:t>
      </w:r>
      <w:r w:rsidR="00622E8C" w:rsidRPr="005B1B75">
        <w:rPr>
          <w:lang w:val="es-ES_tradnl"/>
        </w:rPr>
        <w:t xml:space="preserve"> que se suspend</w:t>
      </w:r>
      <w:r w:rsidR="00B84A7C" w:rsidRPr="005B1B75">
        <w:rPr>
          <w:lang w:val="es-ES_tradnl"/>
        </w:rPr>
        <w:t>iera</w:t>
      </w:r>
      <w:r w:rsidR="00622E8C" w:rsidRPr="005B1B75">
        <w:rPr>
          <w:lang w:val="es-ES_tradnl"/>
        </w:rPr>
        <w:t xml:space="preserve"> el desalojo. </w:t>
      </w:r>
    </w:p>
    <w:p w14:paraId="3D710CDC" w14:textId="4CAF03AB" w:rsidR="008B53A8" w:rsidRPr="005B1B75" w:rsidRDefault="00473C71" w:rsidP="0048522D">
      <w:pPr>
        <w:pStyle w:val="SingleTxtG"/>
        <w:rPr>
          <w:lang w:val="es-ES_tradnl"/>
        </w:rPr>
      </w:pPr>
      <w:r w:rsidRPr="005B1B75">
        <w:rPr>
          <w:lang w:val="es-ES_tradnl"/>
        </w:rPr>
        <w:t>2.1</w:t>
      </w:r>
      <w:r w:rsidR="005D7A57" w:rsidRPr="005B1B75">
        <w:rPr>
          <w:lang w:val="es-ES_tradnl"/>
        </w:rPr>
        <w:t>6</w:t>
      </w:r>
      <w:r w:rsidRPr="005B1B75">
        <w:rPr>
          <w:lang w:val="es-ES_tradnl"/>
        </w:rPr>
        <w:tab/>
      </w:r>
      <w:r w:rsidR="008B53A8" w:rsidRPr="005B1B75">
        <w:rPr>
          <w:lang w:val="es-ES_tradnl"/>
        </w:rPr>
        <w:t xml:space="preserve">El 11 de septiembre de 2013, </w:t>
      </w:r>
      <w:r w:rsidR="009D3A3E" w:rsidRPr="005B1B75">
        <w:rPr>
          <w:lang w:val="es-ES_tradnl"/>
        </w:rPr>
        <w:t>el desalojo fue suspendido y pospuesto al 3 de octubre de 2013</w:t>
      </w:r>
      <w:r w:rsidR="008B53A8" w:rsidRPr="005B1B75">
        <w:rPr>
          <w:lang w:val="es-ES_tradnl"/>
        </w:rPr>
        <w:t xml:space="preserve">, debido a la oposición de algunos vecinos y </w:t>
      </w:r>
      <w:r w:rsidR="00622E8C" w:rsidRPr="005B1B75">
        <w:rPr>
          <w:lang w:val="es-ES_tradnl"/>
        </w:rPr>
        <w:t>miembros de organizaciones</w:t>
      </w:r>
      <w:r w:rsidR="008B53A8" w:rsidRPr="005B1B75">
        <w:rPr>
          <w:lang w:val="es-ES_tradnl"/>
        </w:rPr>
        <w:t xml:space="preserve"> sociales.</w:t>
      </w:r>
    </w:p>
    <w:p w14:paraId="350732A2" w14:textId="2994E75C" w:rsidR="008B53A8" w:rsidRPr="005B1B75" w:rsidRDefault="008B53A8" w:rsidP="0048522D">
      <w:pPr>
        <w:pStyle w:val="SingleTxtG"/>
        <w:rPr>
          <w:lang w:val="es-ES_tradnl"/>
        </w:rPr>
      </w:pPr>
      <w:r w:rsidRPr="005B1B75">
        <w:rPr>
          <w:lang w:val="es-ES_tradnl"/>
        </w:rPr>
        <w:t>2.1</w:t>
      </w:r>
      <w:r w:rsidR="005D7A57" w:rsidRPr="005B1B75">
        <w:rPr>
          <w:lang w:val="es-ES_tradnl"/>
        </w:rPr>
        <w:t>7</w:t>
      </w:r>
      <w:r w:rsidR="00473C71" w:rsidRPr="005B1B75">
        <w:rPr>
          <w:lang w:val="es-ES_tradnl"/>
        </w:rPr>
        <w:tab/>
      </w:r>
      <w:r w:rsidRPr="005B1B75">
        <w:rPr>
          <w:lang w:val="es-ES_tradnl"/>
        </w:rPr>
        <w:t xml:space="preserve">El 20 de septiembre de 2013, el </w:t>
      </w:r>
      <w:r w:rsidR="002D0785" w:rsidRPr="005B1B75">
        <w:rPr>
          <w:lang w:val="es-ES_tradnl"/>
        </w:rPr>
        <w:t xml:space="preserve">Sr. Ben </w:t>
      </w:r>
      <w:proofErr w:type="spellStart"/>
      <w:r w:rsidR="002D0785" w:rsidRPr="005B1B75">
        <w:rPr>
          <w:lang w:val="es-ES_tradnl"/>
        </w:rPr>
        <w:t>Djazia</w:t>
      </w:r>
      <w:proofErr w:type="spellEnd"/>
      <w:r w:rsidRPr="005B1B75">
        <w:rPr>
          <w:lang w:val="es-ES_tradnl"/>
        </w:rPr>
        <w:t xml:space="preserve"> reiteró su solicitud de medidas </w:t>
      </w:r>
      <w:r w:rsidR="007C0CEB" w:rsidRPr="005B1B75">
        <w:rPr>
          <w:lang w:val="es-ES_tradnl"/>
        </w:rPr>
        <w:t>cautelares</w:t>
      </w:r>
      <w:r w:rsidR="00622E8C" w:rsidRPr="005B1B75">
        <w:rPr>
          <w:lang w:val="es-ES_tradnl"/>
        </w:rPr>
        <w:t xml:space="preserve"> </w:t>
      </w:r>
      <w:r w:rsidRPr="005B1B75">
        <w:rPr>
          <w:lang w:val="es-ES_tradnl"/>
        </w:rPr>
        <w:t>an</w:t>
      </w:r>
      <w:r w:rsidR="00622E8C" w:rsidRPr="005B1B75">
        <w:rPr>
          <w:lang w:val="es-ES_tradnl"/>
        </w:rPr>
        <w:t>te el Tribunal Constitucional</w:t>
      </w:r>
      <w:r w:rsidRPr="005B1B75">
        <w:rPr>
          <w:lang w:val="es-ES_tradnl"/>
        </w:rPr>
        <w:t>.</w:t>
      </w:r>
    </w:p>
    <w:p w14:paraId="702E3B1A" w14:textId="3F5E5C34" w:rsidR="008B53A8" w:rsidRPr="005B1B75" w:rsidRDefault="008B53A8" w:rsidP="0048522D">
      <w:pPr>
        <w:pStyle w:val="SingleTxtG"/>
        <w:rPr>
          <w:lang w:val="es-ES_tradnl"/>
        </w:rPr>
      </w:pPr>
      <w:r w:rsidRPr="005B1B75">
        <w:rPr>
          <w:lang w:val="es-ES_tradnl"/>
        </w:rPr>
        <w:t>2.1</w:t>
      </w:r>
      <w:r w:rsidR="005D7A57" w:rsidRPr="005B1B75">
        <w:rPr>
          <w:lang w:val="es-ES_tradnl"/>
        </w:rPr>
        <w:t>8</w:t>
      </w:r>
      <w:r w:rsidR="00473C71" w:rsidRPr="005B1B75">
        <w:rPr>
          <w:lang w:val="es-ES_tradnl"/>
        </w:rPr>
        <w:tab/>
      </w:r>
      <w:r w:rsidRPr="005B1B75">
        <w:rPr>
          <w:lang w:val="es-ES_tradnl"/>
        </w:rPr>
        <w:t xml:space="preserve">El 30 de septiembre de 2013, el </w:t>
      </w:r>
      <w:r w:rsidR="002D0785" w:rsidRPr="005B1B75">
        <w:rPr>
          <w:lang w:val="es-ES_tradnl"/>
        </w:rPr>
        <w:t xml:space="preserve">Sr. Ben </w:t>
      </w:r>
      <w:proofErr w:type="spellStart"/>
      <w:r w:rsidR="002D0785" w:rsidRPr="005B1B75">
        <w:rPr>
          <w:lang w:val="es-ES_tradnl"/>
        </w:rPr>
        <w:t>Djazia</w:t>
      </w:r>
      <w:proofErr w:type="spellEnd"/>
      <w:r w:rsidRPr="005B1B75">
        <w:rPr>
          <w:lang w:val="es-ES_tradnl"/>
        </w:rPr>
        <w:t xml:space="preserve"> presentó una </w:t>
      </w:r>
      <w:r w:rsidR="00473C71" w:rsidRPr="005B1B75">
        <w:rPr>
          <w:lang w:val="es-ES_tradnl"/>
        </w:rPr>
        <w:t>solicitud</w:t>
      </w:r>
      <w:r w:rsidRPr="005B1B75">
        <w:rPr>
          <w:lang w:val="es-ES_tradnl"/>
        </w:rPr>
        <w:t xml:space="preserve"> de medidas provisionales ante el Tribunal Europeo de Derechos Humanos. Los autores sostienen que el </w:t>
      </w:r>
      <w:r w:rsidR="00D75221" w:rsidRPr="005B1B75">
        <w:rPr>
          <w:lang w:val="es-ES_tradnl"/>
        </w:rPr>
        <w:t xml:space="preserve">Tribunal Europeo </w:t>
      </w:r>
      <w:r w:rsidRPr="005B1B75">
        <w:rPr>
          <w:lang w:val="es-ES_tradnl"/>
        </w:rPr>
        <w:t xml:space="preserve">rechazó esta solicitud y que posteriormente no se presentó ninguna </w:t>
      </w:r>
      <w:r w:rsidR="00473C71" w:rsidRPr="005B1B75">
        <w:rPr>
          <w:lang w:val="es-ES_tradnl"/>
        </w:rPr>
        <w:t>demanda</w:t>
      </w:r>
      <w:r w:rsidRPr="005B1B75">
        <w:rPr>
          <w:lang w:val="es-ES_tradnl"/>
        </w:rPr>
        <w:t xml:space="preserve"> ante este Tribunal.</w:t>
      </w:r>
    </w:p>
    <w:p w14:paraId="389E54E0" w14:textId="71F96262" w:rsidR="005846DC" w:rsidRPr="005B1B75" w:rsidRDefault="008B53A8" w:rsidP="0048522D">
      <w:pPr>
        <w:pStyle w:val="SingleTxtG"/>
        <w:rPr>
          <w:lang w:val="es-ES_tradnl"/>
        </w:rPr>
      </w:pPr>
      <w:r w:rsidRPr="005B1B75">
        <w:rPr>
          <w:lang w:val="es-ES_tradnl"/>
        </w:rPr>
        <w:t>2.1</w:t>
      </w:r>
      <w:r w:rsidR="005D7A57" w:rsidRPr="005B1B75">
        <w:rPr>
          <w:lang w:val="es-ES_tradnl"/>
        </w:rPr>
        <w:t>9</w:t>
      </w:r>
      <w:r w:rsidR="00473C71" w:rsidRPr="005B1B75">
        <w:rPr>
          <w:lang w:val="es-ES_tradnl"/>
        </w:rPr>
        <w:tab/>
      </w:r>
      <w:r w:rsidRPr="005B1B75">
        <w:rPr>
          <w:lang w:val="es-ES_tradnl"/>
        </w:rPr>
        <w:t xml:space="preserve">El 3 de octubre de 2013, los autores y </w:t>
      </w:r>
      <w:r w:rsidR="001D3E14" w:rsidRPr="005B1B75">
        <w:rPr>
          <w:lang w:val="es-ES_tradnl"/>
        </w:rPr>
        <w:t xml:space="preserve">sus </w:t>
      </w:r>
      <w:r w:rsidR="00152556" w:rsidRPr="005B1B75">
        <w:rPr>
          <w:lang w:val="es-ES_tradnl"/>
        </w:rPr>
        <w:t>hijos</w:t>
      </w:r>
      <w:r w:rsidR="004A51FF" w:rsidRPr="005B1B75">
        <w:rPr>
          <w:lang w:val="es-ES_tradnl"/>
        </w:rPr>
        <w:t xml:space="preserve"> fueron desalojados, con el auxilio de la policía municipal</w:t>
      </w:r>
      <w:r w:rsidRPr="005B1B75">
        <w:rPr>
          <w:lang w:val="es-ES_tradnl"/>
        </w:rPr>
        <w:t>.</w:t>
      </w:r>
      <w:r w:rsidR="0017443B" w:rsidRPr="005B1B75">
        <w:rPr>
          <w:lang w:val="es-ES_tradnl"/>
        </w:rPr>
        <w:t xml:space="preserve"> Durante el desalojo, el </w:t>
      </w:r>
      <w:r w:rsidR="002D0785" w:rsidRPr="005B1B75">
        <w:rPr>
          <w:lang w:val="es-ES_tradnl"/>
        </w:rPr>
        <w:t xml:space="preserve">Sr. Ben </w:t>
      </w:r>
      <w:proofErr w:type="spellStart"/>
      <w:r w:rsidR="002D0785" w:rsidRPr="005B1B75">
        <w:rPr>
          <w:lang w:val="es-ES_tradnl"/>
        </w:rPr>
        <w:t>Djazia</w:t>
      </w:r>
      <w:proofErr w:type="spellEnd"/>
      <w:r w:rsidR="0017443B" w:rsidRPr="005B1B75">
        <w:rPr>
          <w:lang w:val="es-ES_tradnl"/>
        </w:rPr>
        <w:t xml:space="preserve"> solicitó</w:t>
      </w:r>
      <w:r w:rsidR="00152556" w:rsidRPr="005B1B75">
        <w:rPr>
          <w:lang w:val="es-ES_tradnl"/>
        </w:rPr>
        <w:t>, sin éxito,</w:t>
      </w:r>
      <w:r w:rsidR="0017443B" w:rsidRPr="005B1B75">
        <w:rPr>
          <w:lang w:val="es-ES_tradnl"/>
        </w:rPr>
        <w:t xml:space="preserve"> un pacto</w:t>
      </w:r>
      <w:r w:rsidR="00152556" w:rsidRPr="005B1B75">
        <w:rPr>
          <w:lang w:val="es-ES_tradnl"/>
        </w:rPr>
        <w:t xml:space="preserve"> extrajudicial a la arrendadora</w:t>
      </w:r>
      <w:r w:rsidR="0017443B" w:rsidRPr="005B1B75">
        <w:rPr>
          <w:lang w:val="es-ES_tradnl"/>
        </w:rPr>
        <w:t xml:space="preserve"> para que la familia pudiese quedarse en la habitación a cambio de un pago, ya que había empezado a recibir una </w:t>
      </w:r>
      <w:r w:rsidR="00D75221" w:rsidRPr="005B1B75">
        <w:rPr>
          <w:lang w:val="es-ES_tradnl"/>
        </w:rPr>
        <w:t>renta mínima de inserción</w:t>
      </w:r>
      <w:r w:rsidR="0017443B" w:rsidRPr="005B1B75">
        <w:rPr>
          <w:lang w:val="es-ES_tradnl"/>
        </w:rPr>
        <w:t>.</w:t>
      </w:r>
      <w:r w:rsidRPr="005B1B75">
        <w:rPr>
          <w:lang w:val="es-ES_tradnl"/>
        </w:rPr>
        <w:t xml:space="preserve"> El mismo día, el </w:t>
      </w:r>
      <w:r w:rsidR="003A14A3" w:rsidRPr="0048522D">
        <w:rPr>
          <w:lang w:val="es-ES_tradnl"/>
        </w:rPr>
        <w:t>Servicio de</w:t>
      </w:r>
      <w:r w:rsidR="00F04757">
        <w:rPr>
          <w:lang w:val="es-ES_tradnl"/>
        </w:rPr>
        <w:t xml:space="preserve"> </w:t>
      </w:r>
      <w:r w:rsidR="003A14A3" w:rsidRPr="0048522D">
        <w:rPr>
          <w:lang w:val="es-ES_tradnl"/>
        </w:rPr>
        <w:t>Asistencia</w:t>
      </w:r>
      <w:r w:rsidR="00F04757">
        <w:rPr>
          <w:lang w:val="es-ES_tradnl"/>
        </w:rPr>
        <w:t xml:space="preserve"> </w:t>
      </w:r>
      <w:r w:rsidR="003A14A3" w:rsidRPr="0048522D">
        <w:rPr>
          <w:lang w:val="es-ES_tradnl"/>
        </w:rPr>
        <w:t>Municipal de</w:t>
      </w:r>
      <w:r w:rsidR="00F04757">
        <w:rPr>
          <w:lang w:val="es-ES_tradnl"/>
        </w:rPr>
        <w:t xml:space="preserve"> </w:t>
      </w:r>
      <w:r w:rsidR="003A14A3" w:rsidRPr="0048522D">
        <w:rPr>
          <w:lang w:val="es-ES_tradnl"/>
        </w:rPr>
        <w:t>Urgencia y</w:t>
      </w:r>
      <w:r w:rsidR="00F04757">
        <w:rPr>
          <w:lang w:val="es-ES_tradnl"/>
        </w:rPr>
        <w:t xml:space="preserve"> </w:t>
      </w:r>
      <w:r w:rsidR="003A14A3" w:rsidRPr="0048522D">
        <w:rPr>
          <w:lang w:val="es-ES_tradnl"/>
        </w:rPr>
        <w:t>Rescate</w:t>
      </w:r>
      <w:r w:rsidR="003A14A3" w:rsidRPr="005B1B75">
        <w:rPr>
          <w:lang w:val="es-ES_tradnl"/>
        </w:rPr>
        <w:t xml:space="preserve"> (</w:t>
      </w:r>
      <w:proofErr w:type="spellStart"/>
      <w:r w:rsidRPr="005B1B75">
        <w:rPr>
          <w:lang w:val="es-ES_tradnl"/>
        </w:rPr>
        <w:t>S</w:t>
      </w:r>
      <w:r w:rsidR="003A14A3" w:rsidRPr="005B1B75">
        <w:rPr>
          <w:lang w:val="es-ES_tradnl"/>
        </w:rPr>
        <w:t>amur</w:t>
      </w:r>
      <w:proofErr w:type="spellEnd"/>
      <w:r w:rsidR="003A14A3" w:rsidRPr="005B1B75">
        <w:rPr>
          <w:lang w:val="es-ES_tradnl"/>
        </w:rPr>
        <w:t>)</w:t>
      </w:r>
      <w:r w:rsidR="00CB6138" w:rsidRPr="005B1B75">
        <w:rPr>
          <w:lang w:val="es-ES_tradnl"/>
        </w:rPr>
        <w:t xml:space="preserve"> </w:t>
      </w:r>
      <w:r w:rsidR="00951DC1" w:rsidRPr="005B1B75">
        <w:rPr>
          <w:lang w:val="es-ES_tradnl"/>
        </w:rPr>
        <w:t>dio</w:t>
      </w:r>
      <w:r w:rsidR="00B102B4" w:rsidRPr="005B1B75">
        <w:rPr>
          <w:lang w:val="es-ES_tradnl"/>
        </w:rPr>
        <w:t xml:space="preserve"> albergue temporal a los autores en la </w:t>
      </w:r>
      <w:r w:rsidR="005A032B" w:rsidRPr="005B1B75">
        <w:rPr>
          <w:lang w:val="es-ES_tradnl"/>
        </w:rPr>
        <w:t>u</w:t>
      </w:r>
      <w:r w:rsidR="00B102B4" w:rsidRPr="005B1B75">
        <w:rPr>
          <w:lang w:val="es-ES_tradnl"/>
        </w:rPr>
        <w:t xml:space="preserve">nidad de </w:t>
      </w:r>
      <w:r w:rsidR="005A032B" w:rsidRPr="005B1B75">
        <w:rPr>
          <w:lang w:val="es-ES_tradnl"/>
        </w:rPr>
        <w:t>e</w:t>
      </w:r>
      <w:r w:rsidR="00B102B4" w:rsidRPr="005B1B75">
        <w:rPr>
          <w:lang w:val="es-ES_tradnl"/>
        </w:rPr>
        <w:t xml:space="preserve">stancias </w:t>
      </w:r>
      <w:r w:rsidR="005A032B" w:rsidRPr="005B1B75">
        <w:rPr>
          <w:lang w:val="es-ES_tradnl"/>
        </w:rPr>
        <w:t>b</w:t>
      </w:r>
      <w:r w:rsidR="00B102B4" w:rsidRPr="005B1B75">
        <w:rPr>
          <w:lang w:val="es-ES_tradnl"/>
        </w:rPr>
        <w:t xml:space="preserve">reves del </w:t>
      </w:r>
      <w:proofErr w:type="spellStart"/>
      <w:r w:rsidR="00B102B4" w:rsidRPr="005B1B75">
        <w:rPr>
          <w:lang w:val="es-ES_tradnl"/>
        </w:rPr>
        <w:t>S</w:t>
      </w:r>
      <w:r w:rsidR="003A14A3" w:rsidRPr="005B1B75">
        <w:rPr>
          <w:lang w:val="es-ES_tradnl"/>
        </w:rPr>
        <w:t>amur</w:t>
      </w:r>
      <w:proofErr w:type="spellEnd"/>
      <w:r w:rsidR="003A14A3" w:rsidRPr="005B1B75">
        <w:rPr>
          <w:lang w:val="es-ES_tradnl"/>
        </w:rPr>
        <w:t xml:space="preserve"> </w:t>
      </w:r>
      <w:r w:rsidR="00B102B4" w:rsidRPr="005B1B75">
        <w:rPr>
          <w:lang w:val="es-ES_tradnl"/>
        </w:rPr>
        <w:t xml:space="preserve">Social-Madrid, </w:t>
      </w:r>
      <w:r w:rsidR="00B102B4" w:rsidRPr="005B1B75">
        <w:rPr>
          <w:lang w:val="es-ES_tradnl"/>
        </w:rPr>
        <w:lastRenderedPageBreak/>
        <w:t xml:space="preserve">donde permanecieron por </w:t>
      </w:r>
      <w:r w:rsidR="0020264C" w:rsidRPr="005B1B75">
        <w:rPr>
          <w:lang w:val="es-ES_tradnl"/>
        </w:rPr>
        <w:t xml:space="preserve">diez </w:t>
      </w:r>
      <w:r w:rsidR="00B102B4" w:rsidRPr="005B1B75">
        <w:rPr>
          <w:lang w:val="es-ES_tradnl"/>
        </w:rPr>
        <w:t xml:space="preserve">días </w:t>
      </w:r>
      <w:r w:rsidR="00822788" w:rsidRPr="005B1B75">
        <w:rPr>
          <w:lang w:val="es-ES_tradnl"/>
        </w:rPr>
        <w:t xml:space="preserve">hasta que </w:t>
      </w:r>
      <w:r w:rsidR="00A85592" w:rsidRPr="005B1B75">
        <w:rPr>
          <w:lang w:val="es-ES_tradnl"/>
        </w:rPr>
        <w:t>las autoridades les</w:t>
      </w:r>
      <w:r w:rsidR="00822788" w:rsidRPr="005B1B75">
        <w:rPr>
          <w:lang w:val="es-ES_tradnl"/>
        </w:rPr>
        <w:t xml:space="preserve"> invitaron a abandonarlo. </w:t>
      </w:r>
      <w:r w:rsidRPr="005B1B75">
        <w:rPr>
          <w:lang w:val="es-ES_tradnl"/>
        </w:rPr>
        <w:t xml:space="preserve">Después de ese período, los autores y sus hijos durmieron en el </w:t>
      </w:r>
      <w:r w:rsidR="00473C71" w:rsidRPr="005B1B75">
        <w:rPr>
          <w:lang w:val="es-ES_tradnl"/>
        </w:rPr>
        <w:t>automóvil</w:t>
      </w:r>
      <w:r w:rsidRPr="005B1B75">
        <w:rPr>
          <w:lang w:val="es-ES_tradnl"/>
        </w:rPr>
        <w:t xml:space="preserve"> </w:t>
      </w:r>
      <w:r w:rsidR="00473C71" w:rsidRPr="005B1B75">
        <w:rPr>
          <w:lang w:val="es-ES_tradnl"/>
        </w:rPr>
        <w:t xml:space="preserve">familiar </w:t>
      </w:r>
      <w:r w:rsidRPr="005B1B75">
        <w:rPr>
          <w:lang w:val="es-ES_tradnl"/>
        </w:rPr>
        <w:t xml:space="preserve">durante cuatro días y luego, se trasladaron al lugar de un conocido que les ofreció </w:t>
      </w:r>
      <w:r w:rsidR="00822788" w:rsidRPr="005B1B75">
        <w:rPr>
          <w:lang w:val="es-ES_tradnl"/>
        </w:rPr>
        <w:t>alojamiento por varias semanas</w:t>
      </w:r>
      <w:r w:rsidRPr="005B1B75">
        <w:rPr>
          <w:lang w:val="es-ES_tradnl"/>
        </w:rPr>
        <w:t>.</w:t>
      </w:r>
      <w:r w:rsidR="005846DC" w:rsidRPr="005B1B75">
        <w:rPr>
          <w:lang w:val="es-ES_tradnl"/>
        </w:rPr>
        <w:t xml:space="preserve"> Los autores señalan que en el momento en que se produjo el </w:t>
      </w:r>
      <w:r w:rsidR="00B84A7C" w:rsidRPr="005B1B75">
        <w:rPr>
          <w:lang w:val="es-ES_tradnl"/>
        </w:rPr>
        <w:t xml:space="preserve">desalojo </w:t>
      </w:r>
      <w:r w:rsidR="00260600" w:rsidRPr="005B1B75">
        <w:rPr>
          <w:lang w:val="es-ES_tradnl"/>
        </w:rPr>
        <w:t xml:space="preserve">no contaban con un ingreso </w:t>
      </w:r>
      <w:r w:rsidR="00152556" w:rsidRPr="005B1B75">
        <w:rPr>
          <w:lang w:val="es-ES_tradnl"/>
        </w:rPr>
        <w:t>suficiente que les permitiese</w:t>
      </w:r>
      <w:r w:rsidR="00260600" w:rsidRPr="005B1B75">
        <w:rPr>
          <w:lang w:val="es-ES_tradnl"/>
        </w:rPr>
        <w:t xml:space="preserve"> procurar una vivienda alternativa</w:t>
      </w:r>
      <w:r w:rsidR="005846DC" w:rsidRPr="005B1B75">
        <w:rPr>
          <w:lang w:val="es-ES_tradnl"/>
        </w:rPr>
        <w:t xml:space="preserve">. </w:t>
      </w:r>
    </w:p>
    <w:p w14:paraId="2D2AD5BD" w14:textId="391D56B1" w:rsidR="008B53A8" w:rsidRPr="005B1B75" w:rsidRDefault="00473C71" w:rsidP="0048522D">
      <w:pPr>
        <w:pStyle w:val="SingleTxtG"/>
        <w:rPr>
          <w:lang w:val="es-ES_tradnl"/>
        </w:rPr>
      </w:pPr>
      <w:r w:rsidRPr="005B1B75">
        <w:rPr>
          <w:lang w:val="es-ES_tradnl"/>
        </w:rPr>
        <w:t>2.</w:t>
      </w:r>
      <w:r w:rsidR="005D7A57" w:rsidRPr="005B1B75">
        <w:rPr>
          <w:lang w:val="es-ES_tradnl"/>
        </w:rPr>
        <w:t>20</w:t>
      </w:r>
      <w:r w:rsidRPr="005B1B75">
        <w:rPr>
          <w:lang w:val="es-ES_tradnl"/>
        </w:rPr>
        <w:tab/>
      </w:r>
      <w:r w:rsidR="008B53A8" w:rsidRPr="005B1B75">
        <w:rPr>
          <w:lang w:val="es-ES_tradnl"/>
        </w:rPr>
        <w:t xml:space="preserve">El </w:t>
      </w:r>
      <w:r w:rsidR="007C0CEB" w:rsidRPr="005B1B75">
        <w:rPr>
          <w:lang w:val="es-ES_tradnl"/>
        </w:rPr>
        <w:t xml:space="preserve">19 </w:t>
      </w:r>
      <w:r w:rsidR="008B53A8" w:rsidRPr="005B1B75">
        <w:rPr>
          <w:lang w:val="es-ES_tradnl"/>
        </w:rPr>
        <w:t xml:space="preserve">de febrero de 2014, el Tribunal Constitucional </w:t>
      </w:r>
      <w:r w:rsidR="007C0CEB" w:rsidRPr="005B1B75">
        <w:rPr>
          <w:lang w:val="es-ES_tradnl"/>
        </w:rPr>
        <w:t xml:space="preserve">acordó no admitir el recurso de amparo </w:t>
      </w:r>
      <w:r w:rsidRPr="005B1B75">
        <w:rPr>
          <w:lang w:val="es-ES_tradnl"/>
        </w:rPr>
        <w:t xml:space="preserve">del </w:t>
      </w:r>
      <w:r w:rsidR="002D0785" w:rsidRPr="005B1B75">
        <w:rPr>
          <w:lang w:val="es-ES_tradnl"/>
        </w:rPr>
        <w:t xml:space="preserve">Sr. Ben </w:t>
      </w:r>
      <w:proofErr w:type="spellStart"/>
      <w:r w:rsidR="002D0785" w:rsidRPr="005B1B75">
        <w:rPr>
          <w:lang w:val="es-ES_tradnl"/>
        </w:rPr>
        <w:t>Djazia</w:t>
      </w:r>
      <w:proofErr w:type="spellEnd"/>
      <w:r w:rsidR="001B4B27" w:rsidRPr="005B1B75">
        <w:rPr>
          <w:lang w:val="es-ES_tradnl"/>
        </w:rPr>
        <w:t>, argumentando que era</w:t>
      </w:r>
      <w:r w:rsidR="007C0CEB" w:rsidRPr="005B1B75">
        <w:rPr>
          <w:lang w:val="es-ES_tradnl"/>
        </w:rPr>
        <w:t xml:space="preserve"> manifiesta </w:t>
      </w:r>
      <w:r w:rsidR="001B4B27" w:rsidRPr="005B1B75">
        <w:rPr>
          <w:lang w:val="es-ES_tradnl"/>
        </w:rPr>
        <w:t xml:space="preserve">la </w:t>
      </w:r>
      <w:r w:rsidR="007C0CEB" w:rsidRPr="005B1B75">
        <w:rPr>
          <w:lang w:val="es-ES_tradnl"/>
        </w:rPr>
        <w:t>inexistencia de violación de un derecho fundamental ampar</w:t>
      </w:r>
      <w:r w:rsidR="00B84A7C" w:rsidRPr="005B1B75">
        <w:rPr>
          <w:lang w:val="es-ES_tradnl"/>
        </w:rPr>
        <w:t>able</w:t>
      </w:r>
      <w:r w:rsidR="007C0CEB" w:rsidRPr="005B1B75">
        <w:rPr>
          <w:lang w:val="es-ES_tradnl"/>
        </w:rPr>
        <w:t xml:space="preserve">. </w:t>
      </w:r>
    </w:p>
    <w:p w14:paraId="5F568E9F" w14:textId="77777777" w:rsidR="006C1799" w:rsidRPr="005B1B75" w:rsidRDefault="006C1799" w:rsidP="00D445DC">
      <w:pPr>
        <w:pStyle w:val="H23G"/>
        <w:rPr>
          <w:lang w:val="es-ES_tradnl"/>
        </w:rPr>
      </w:pPr>
      <w:r w:rsidRPr="005B1B75">
        <w:rPr>
          <w:lang w:val="es-ES_tradnl"/>
        </w:rPr>
        <w:tab/>
      </w:r>
      <w:r w:rsidRPr="005B1B75">
        <w:rPr>
          <w:lang w:val="es-ES_tradnl"/>
        </w:rPr>
        <w:tab/>
        <w:t>La denuncia</w:t>
      </w:r>
    </w:p>
    <w:p w14:paraId="16AA573C" w14:textId="49AFDD1C" w:rsidR="00FC7DEE" w:rsidRPr="005B1B75" w:rsidRDefault="00D00A23" w:rsidP="0048522D">
      <w:pPr>
        <w:pStyle w:val="SingleTxtG"/>
        <w:rPr>
          <w:lang w:val="es-ES_tradnl"/>
        </w:rPr>
      </w:pPr>
      <w:r w:rsidRPr="005B1B75">
        <w:rPr>
          <w:lang w:val="es-ES_tradnl"/>
        </w:rPr>
        <w:t xml:space="preserve">3.1 </w:t>
      </w:r>
      <w:r w:rsidR="00AF502D" w:rsidRPr="005B1B75">
        <w:rPr>
          <w:lang w:val="es-ES_tradnl"/>
        </w:rPr>
        <w:tab/>
      </w:r>
      <w:r w:rsidRPr="005B1B75">
        <w:rPr>
          <w:lang w:val="es-ES_tradnl"/>
        </w:rPr>
        <w:t>Los a</w:t>
      </w:r>
      <w:r w:rsidR="003B004F" w:rsidRPr="005B1B75">
        <w:rPr>
          <w:lang w:val="es-ES_tradnl"/>
        </w:rPr>
        <w:t>utores sostienen que el Estado parte violó el derecho que le</w:t>
      </w:r>
      <w:r w:rsidR="002E6F5C" w:rsidRPr="005B1B75">
        <w:rPr>
          <w:lang w:val="es-ES_tradnl"/>
        </w:rPr>
        <w:t>s</w:t>
      </w:r>
      <w:r w:rsidR="003B004F" w:rsidRPr="005B1B75">
        <w:rPr>
          <w:lang w:val="es-ES_tradnl"/>
        </w:rPr>
        <w:t xml:space="preserve"> asiste en virtud del artículo 11</w:t>
      </w:r>
      <w:r w:rsidR="002E6F5C" w:rsidRPr="005B1B75">
        <w:rPr>
          <w:lang w:val="es-ES_tradnl"/>
        </w:rPr>
        <w:t xml:space="preserve">, párr. </w:t>
      </w:r>
      <w:r w:rsidR="003B004F" w:rsidRPr="005B1B75">
        <w:rPr>
          <w:lang w:val="es-ES_tradnl"/>
        </w:rPr>
        <w:t>1</w:t>
      </w:r>
      <w:r w:rsidR="002E6F5C" w:rsidRPr="005B1B75">
        <w:rPr>
          <w:lang w:val="es-ES_tradnl"/>
        </w:rPr>
        <w:t>,</w:t>
      </w:r>
      <w:r w:rsidR="003B004F" w:rsidRPr="005B1B75">
        <w:rPr>
          <w:lang w:val="es-ES_tradnl"/>
        </w:rPr>
        <w:t xml:space="preserve"> del Pacto</w:t>
      </w:r>
      <w:r w:rsidR="001B4B27" w:rsidRPr="005B1B75">
        <w:rPr>
          <w:lang w:val="es-ES_tradnl"/>
        </w:rPr>
        <w:t xml:space="preserve"> pues</w:t>
      </w:r>
      <w:r w:rsidR="003B004F" w:rsidRPr="005B1B75">
        <w:rPr>
          <w:lang w:val="es-ES_tradnl"/>
        </w:rPr>
        <w:t xml:space="preserve"> f</w:t>
      </w:r>
      <w:r w:rsidRPr="005B1B75">
        <w:rPr>
          <w:lang w:val="es-ES_tradnl"/>
        </w:rPr>
        <w:t>ueron desalojados por orden de</w:t>
      </w:r>
      <w:r w:rsidR="003B004F" w:rsidRPr="005B1B75">
        <w:rPr>
          <w:lang w:val="es-ES_tradnl"/>
        </w:rPr>
        <w:t xml:space="preserve">l Juzgado </w:t>
      </w:r>
      <w:r w:rsidR="001A643F" w:rsidRPr="005B1B75">
        <w:rPr>
          <w:lang w:val="es-ES_tradnl"/>
        </w:rPr>
        <w:t>núm.</w:t>
      </w:r>
      <w:r w:rsidR="003B004F" w:rsidRPr="005B1B75">
        <w:rPr>
          <w:lang w:val="es-ES_tradnl"/>
        </w:rPr>
        <w:t xml:space="preserve"> 37 a pesar de que no tenían una vivienda alternativa</w:t>
      </w:r>
      <w:r w:rsidR="006015E2" w:rsidRPr="005B1B75">
        <w:rPr>
          <w:lang w:val="es-ES_tradnl"/>
        </w:rPr>
        <w:t xml:space="preserve"> y que la medida afectaba a sus hijos menores de edad,</w:t>
      </w:r>
      <w:r w:rsidR="00CA2347" w:rsidRPr="005B1B75">
        <w:rPr>
          <w:lang w:val="es-ES_tradnl"/>
        </w:rPr>
        <w:t xml:space="preserve"> quienes tenían derecho a especial protección</w:t>
      </w:r>
      <w:r w:rsidR="00CA2347" w:rsidRPr="009E41B4">
        <w:rPr>
          <w:sz w:val="18"/>
          <w:szCs w:val="18"/>
          <w:vertAlign w:val="superscript"/>
          <w:lang w:val="es-ES_tradnl"/>
        </w:rPr>
        <w:footnoteReference w:id="6"/>
      </w:r>
      <w:r w:rsidR="008A26E9" w:rsidRPr="005B1B75">
        <w:rPr>
          <w:lang w:val="es-ES_tradnl"/>
        </w:rPr>
        <w:t>.</w:t>
      </w:r>
      <w:r w:rsidRPr="005B1B75">
        <w:rPr>
          <w:lang w:val="es-ES_tradnl"/>
        </w:rPr>
        <w:t xml:space="preserve"> </w:t>
      </w:r>
      <w:r w:rsidR="00FC7DEE" w:rsidRPr="005B1B75">
        <w:rPr>
          <w:lang w:val="es-ES_tradnl"/>
        </w:rPr>
        <w:t>Como resultado de esta medida,</w:t>
      </w:r>
      <w:r w:rsidR="00F75665" w:rsidRPr="005B1B75">
        <w:rPr>
          <w:lang w:val="es-ES_tradnl"/>
        </w:rPr>
        <w:t xml:space="preserve"> los autores y sus hijos </w:t>
      </w:r>
      <w:r w:rsidR="00FC7DEE" w:rsidRPr="005B1B75">
        <w:rPr>
          <w:lang w:val="es-ES_tradnl"/>
        </w:rPr>
        <w:t xml:space="preserve">enfrentaron </w:t>
      </w:r>
      <w:r w:rsidR="00F75665" w:rsidRPr="005B1B75">
        <w:rPr>
          <w:lang w:val="es-ES_tradnl"/>
        </w:rPr>
        <w:t xml:space="preserve">una situación de </w:t>
      </w:r>
      <w:r w:rsidR="00FC7DEE" w:rsidRPr="005B1B75">
        <w:rPr>
          <w:lang w:val="es-ES_tradnl"/>
        </w:rPr>
        <w:t xml:space="preserve">incertidumbre, </w:t>
      </w:r>
      <w:r w:rsidR="00F75665" w:rsidRPr="005B1B75">
        <w:rPr>
          <w:lang w:val="es-ES_tradnl"/>
        </w:rPr>
        <w:t>extrema precariedad</w:t>
      </w:r>
      <w:r w:rsidR="00FC7DEE" w:rsidRPr="005B1B75">
        <w:rPr>
          <w:lang w:val="es-ES_tradnl"/>
        </w:rPr>
        <w:t xml:space="preserve"> y vulnerabilidad</w:t>
      </w:r>
      <w:r w:rsidR="00F75665" w:rsidRPr="005B1B75">
        <w:rPr>
          <w:lang w:val="es-ES_tradnl"/>
        </w:rPr>
        <w:t xml:space="preserve">. </w:t>
      </w:r>
    </w:p>
    <w:p w14:paraId="1FE15ABC" w14:textId="5BDAEA90" w:rsidR="00AC7164" w:rsidRPr="005B1B75" w:rsidRDefault="00AC7164" w:rsidP="0048522D">
      <w:pPr>
        <w:pStyle w:val="SingleTxtG"/>
        <w:rPr>
          <w:lang w:val="es-ES_tradnl"/>
        </w:rPr>
      </w:pPr>
      <w:r w:rsidRPr="005B1B75">
        <w:rPr>
          <w:lang w:val="es-ES_tradnl"/>
        </w:rPr>
        <w:t xml:space="preserve">3.2 </w:t>
      </w:r>
      <w:r w:rsidRPr="005B1B75">
        <w:rPr>
          <w:lang w:val="es-ES_tradnl"/>
        </w:rPr>
        <w:tab/>
        <w:t>El proceso judicial que concluyó con el desahucio de los autores no observó las garantías judiciales</w:t>
      </w:r>
      <w:r w:rsidR="00B84A7C" w:rsidRPr="005B1B75">
        <w:rPr>
          <w:lang w:val="es-ES_tradnl"/>
        </w:rPr>
        <w:t xml:space="preserve"> pues la</w:t>
      </w:r>
      <w:r w:rsidRPr="005B1B75">
        <w:rPr>
          <w:lang w:val="es-ES_tradnl"/>
        </w:rPr>
        <w:t xml:space="preserve"> legislación española no garantiza </w:t>
      </w:r>
      <w:r w:rsidR="00A85592" w:rsidRPr="005B1B75">
        <w:rPr>
          <w:lang w:val="es-ES_tradnl"/>
        </w:rPr>
        <w:t>debidamente</w:t>
      </w:r>
      <w:r w:rsidRPr="005B1B75">
        <w:rPr>
          <w:lang w:val="es-ES_tradnl"/>
        </w:rPr>
        <w:t xml:space="preserve"> </w:t>
      </w:r>
      <w:r w:rsidR="00B84A7C" w:rsidRPr="005B1B75">
        <w:rPr>
          <w:lang w:val="es-ES_tradnl"/>
        </w:rPr>
        <w:t xml:space="preserve">el </w:t>
      </w:r>
      <w:r w:rsidRPr="005B1B75">
        <w:rPr>
          <w:lang w:val="es-ES_tradnl"/>
        </w:rPr>
        <w:t>derecho a la vivienda</w:t>
      </w:r>
      <w:r w:rsidR="00B84A7C" w:rsidRPr="005B1B75">
        <w:rPr>
          <w:lang w:val="es-ES_tradnl"/>
        </w:rPr>
        <w:t xml:space="preserve"> </w:t>
      </w:r>
      <w:r w:rsidRPr="005B1B75">
        <w:rPr>
          <w:lang w:val="es-ES_tradnl"/>
        </w:rPr>
        <w:t xml:space="preserve">en los procedimientos judiciales </w:t>
      </w:r>
      <w:r w:rsidR="00B84A7C" w:rsidRPr="005B1B75">
        <w:rPr>
          <w:lang w:val="es-ES_tradnl"/>
        </w:rPr>
        <w:t>de</w:t>
      </w:r>
      <w:r w:rsidRPr="005B1B75">
        <w:rPr>
          <w:lang w:val="es-ES_tradnl"/>
        </w:rPr>
        <w:t xml:space="preserve"> desalojo </w:t>
      </w:r>
      <w:r w:rsidR="001B4B27" w:rsidRPr="005B1B75">
        <w:rPr>
          <w:lang w:val="es-ES_tradnl"/>
        </w:rPr>
        <w:t xml:space="preserve">por </w:t>
      </w:r>
      <w:r w:rsidRPr="005B1B75">
        <w:rPr>
          <w:lang w:val="es-ES_tradnl"/>
        </w:rPr>
        <w:t xml:space="preserve">terminación de los contratos de arrendamiento. Los tribunales no evalúan las consecuencias de un desalojo forzoso de los inquilinos </w:t>
      </w:r>
      <w:r w:rsidR="00892DA6" w:rsidRPr="005B1B75">
        <w:rPr>
          <w:lang w:val="es-ES_tradnl"/>
        </w:rPr>
        <w:t xml:space="preserve">ni </w:t>
      </w:r>
      <w:r w:rsidRPr="005B1B75">
        <w:rPr>
          <w:lang w:val="es-ES_tradnl"/>
        </w:rPr>
        <w:t xml:space="preserve">las circunstancias particulares de cada caso. </w:t>
      </w:r>
      <w:r w:rsidR="00E67437" w:rsidRPr="005B1B75">
        <w:rPr>
          <w:lang w:val="es-ES_tradnl"/>
        </w:rPr>
        <w:t>El</w:t>
      </w:r>
      <w:r w:rsidRPr="005B1B75">
        <w:rPr>
          <w:lang w:val="es-ES_tradnl"/>
        </w:rPr>
        <w:t xml:space="preserve"> Juzgado </w:t>
      </w:r>
      <w:r w:rsidR="001A643F" w:rsidRPr="005B1B75">
        <w:rPr>
          <w:lang w:val="es-ES_tradnl"/>
        </w:rPr>
        <w:t>núm.</w:t>
      </w:r>
      <w:r w:rsidRPr="005B1B75">
        <w:rPr>
          <w:lang w:val="es-ES_tradnl"/>
        </w:rPr>
        <w:t xml:space="preserve"> 37 no consideró que los autores no tenían vivienda alternativa y el impacto de la orden de desalojo</w:t>
      </w:r>
      <w:r w:rsidR="001B4B27" w:rsidRPr="005B1B75">
        <w:rPr>
          <w:lang w:val="es-ES_tradnl"/>
        </w:rPr>
        <w:t xml:space="preserve"> sobre </w:t>
      </w:r>
      <w:r w:rsidRPr="005B1B75">
        <w:rPr>
          <w:lang w:val="es-ES_tradnl"/>
        </w:rPr>
        <w:t>sus dos hijos menores de edad</w:t>
      </w:r>
      <w:r w:rsidRPr="009E41B4">
        <w:rPr>
          <w:sz w:val="18"/>
          <w:szCs w:val="18"/>
          <w:vertAlign w:val="superscript"/>
          <w:lang w:val="es-ES_tradnl"/>
        </w:rPr>
        <w:footnoteReference w:id="7"/>
      </w:r>
      <w:r w:rsidR="008A26E9" w:rsidRPr="005B1B75">
        <w:rPr>
          <w:lang w:val="es-ES_tradnl"/>
        </w:rPr>
        <w:t>.</w:t>
      </w:r>
      <w:r w:rsidRPr="005B1B75">
        <w:rPr>
          <w:lang w:val="es-ES_tradnl"/>
        </w:rPr>
        <w:t xml:space="preserve"> </w:t>
      </w:r>
    </w:p>
    <w:p w14:paraId="2362B225" w14:textId="14AD5525" w:rsidR="00D00A23" w:rsidRPr="005B1B75" w:rsidRDefault="00AC7164" w:rsidP="0048522D">
      <w:pPr>
        <w:pStyle w:val="SingleTxtG"/>
        <w:rPr>
          <w:lang w:val="es-ES_tradnl"/>
        </w:rPr>
      </w:pPr>
      <w:r w:rsidRPr="005B1B75">
        <w:rPr>
          <w:lang w:val="es-ES_tradnl"/>
        </w:rPr>
        <w:t>3.3</w:t>
      </w:r>
      <w:r w:rsidR="00FC7DEE" w:rsidRPr="005B1B75">
        <w:rPr>
          <w:lang w:val="es-ES_tradnl"/>
        </w:rPr>
        <w:t xml:space="preserve"> </w:t>
      </w:r>
      <w:r w:rsidR="00FC7DEE" w:rsidRPr="005B1B75">
        <w:rPr>
          <w:lang w:val="es-ES_tradnl"/>
        </w:rPr>
        <w:tab/>
      </w:r>
      <w:r w:rsidR="00E67437" w:rsidRPr="005B1B75">
        <w:rPr>
          <w:lang w:val="es-ES_tradnl"/>
        </w:rPr>
        <w:t>Las medidas</w:t>
      </w:r>
      <w:r w:rsidR="002C1EED" w:rsidRPr="005B1B75">
        <w:rPr>
          <w:lang w:val="es-ES_tradnl"/>
        </w:rPr>
        <w:t xml:space="preserve"> de socorro</w:t>
      </w:r>
      <w:r w:rsidR="00E67437" w:rsidRPr="005B1B75">
        <w:rPr>
          <w:lang w:val="es-ES_tradnl"/>
        </w:rPr>
        <w:t xml:space="preserve"> </w:t>
      </w:r>
      <w:r w:rsidR="002C1EED" w:rsidRPr="005B1B75">
        <w:rPr>
          <w:lang w:val="es-ES_tradnl"/>
        </w:rPr>
        <w:t>para las personas con muy bajos ingresos o sin ingresos son insuficientes</w:t>
      </w:r>
      <w:r w:rsidR="00B904A4">
        <w:rPr>
          <w:lang w:val="es-ES_tradnl"/>
        </w:rPr>
        <w:t xml:space="preserve"> </w:t>
      </w:r>
      <w:r w:rsidR="002C1EED" w:rsidRPr="005B1B75">
        <w:rPr>
          <w:lang w:val="es-ES_tradnl"/>
        </w:rPr>
        <w:t xml:space="preserve">para proteger el derecho a una vivienda adecuada, como lo demuestra el hecho de que, desde hace más de diez años, el </w:t>
      </w:r>
      <w:r w:rsidR="002D0785" w:rsidRPr="005B1B75">
        <w:rPr>
          <w:lang w:val="es-ES_tradnl"/>
        </w:rPr>
        <w:t xml:space="preserve">Sr. Ben </w:t>
      </w:r>
      <w:proofErr w:type="spellStart"/>
      <w:r w:rsidR="002D0785" w:rsidRPr="005B1B75">
        <w:rPr>
          <w:lang w:val="es-ES_tradnl"/>
        </w:rPr>
        <w:t>Djazia</w:t>
      </w:r>
      <w:proofErr w:type="spellEnd"/>
      <w:r w:rsidR="002C1EED" w:rsidRPr="005B1B75">
        <w:rPr>
          <w:lang w:val="es-ES_tradnl"/>
        </w:rPr>
        <w:t xml:space="preserve"> haya solicitado vivienda social al </w:t>
      </w:r>
      <w:proofErr w:type="spellStart"/>
      <w:r w:rsidR="002C1EED" w:rsidRPr="005B1B75">
        <w:rPr>
          <w:lang w:val="es-ES_tradnl"/>
        </w:rPr>
        <w:t>IVIMA</w:t>
      </w:r>
      <w:proofErr w:type="spellEnd"/>
      <w:r w:rsidR="002C1EED" w:rsidRPr="005B1B75">
        <w:rPr>
          <w:lang w:val="es-ES_tradnl"/>
        </w:rPr>
        <w:t xml:space="preserve">, sin éxito. </w:t>
      </w:r>
      <w:r w:rsidR="00951DC1" w:rsidRPr="005B1B75">
        <w:rPr>
          <w:lang w:val="es-ES_tradnl"/>
        </w:rPr>
        <w:t>A</w:t>
      </w:r>
      <w:r w:rsidR="00D00A23" w:rsidRPr="005B1B75">
        <w:rPr>
          <w:lang w:val="es-ES_tradnl"/>
        </w:rPr>
        <w:t>unque e</w:t>
      </w:r>
      <w:r w:rsidR="00F75665" w:rsidRPr="005B1B75">
        <w:rPr>
          <w:lang w:val="es-ES_tradnl"/>
        </w:rPr>
        <w:t xml:space="preserve">l </w:t>
      </w:r>
      <w:proofErr w:type="spellStart"/>
      <w:r w:rsidR="00F75665" w:rsidRPr="005B1B75">
        <w:rPr>
          <w:lang w:val="es-ES_tradnl"/>
        </w:rPr>
        <w:t>IVIMA</w:t>
      </w:r>
      <w:proofErr w:type="spellEnd"/>
      <w:r w:rsidR="00951DC1" w:rsidRPr="005B1B75">
        <w:rPr>
          <w:lang w:val="es-ES_tradnl"/>
        </w:rPr>
        <w:t>,</w:t>
      </w:r>
      <w:r w:rsidR="00D00A23" w:rsidRPr="005B1B75">
        <w:rPr>
          <w:lang w:val="es-ES_tradnl"/>
        </w:rPr>
        <w:t xml:space="preserve"> </w:t>
      </w:r>
      <w:r w:rsidR="00951DC1" w:rsidRPr="005B1B75">
        <w:rPr>
          <w:lang w:val="es-ES_tradnl"/>
        </w:rPr>
        <w:t>la Consejería y el Área de Gobierno de Familia y Servicios Sociales del Ayuntamiento de Madrid</w:t>
      </w:r>
      <w:r w:rsidR="006015E2" w:rsidRPr="005B1B75">
        <w:rPr>
          <w:lang w:val="es-ES_tradnl"/>
        </w:rPr>
        <w:t xml:space="preserve"> fueron informados </w:t>
      </w:r>
      <w:r w:rsidR="00D00A23" w:rsidRPr="005B1B75">
        <w:rPr>
          <w:lang w:val="es-ES_tradnl"/>
        </w:rPr>
        <w:t xml:space="preserve">de </w:t>
      </w:r>
      <w:r w:rsidR="00150840" w:rsidRPr="005B1B75">
        <w:rPr>
          <w:lang w:val="es-ES_tradnl"/>
        </w:rPr>
        <w:t>la situación familiar,</w:t>
      </w:r>
      <w:r w:rsidR="00D00A23" w:rsidRPr="005B1B75">
        <w:rPr>
          <w:lang w:val="es-ES_tradnl"/>
        </w:rPr>
        <w:t xml:space="preserve"> </w:t>
      </w:r>
      <w:r w:rsidR="003B004F" w:rsidRPr="005B1B75">
        <w:rPr>
          <w:lang w:val="es-ES_tradnl"/>
        </w:rPr>
        <w:t>no tomaron ninguna</w:t>
      </w:r>
      <w:r w:rsidR="00D00A23" w:rsidRPr="005B1B75">
        <w:rPr>
          <w:lang w:val="es-ES_tradnl"/>
        </w:rPr>
        <w:t xml:space="preserve"> </w:t>
      </w:r>
      <w:r w:rsidR="003B004F" w:rsidRPr="005B1B75">
        <w:rPr>
          <w:lang w:val="es-ES_tradnl"/>
        </w:rPr>
        <w:t>medida</w:t>
      </w:r>
      <w:r w:rsidR="00D00A23" w:rsidRPr="005B1B75">
        <w:rPr>
          <w:lang w:val="es-ES_tradnl"/>
        </w:rPr>
        <w:t xml:space="preserve"> para evitar que </w:t>
      </w:r>
      <w:r w:rsidR="00F75665" w:rsidRPr="005B1B75">
        <w:rPr>
          <w:lang w:val="es-ES_tradnl"/>
        </w:rPr>
        <w:t xml:space="preserve">los autores </w:t>
      </w:r>
      <w:r w:rsidRPr="005B1B75">
        <w:rPr>
          <w:lang w:val="es-ES_tradnl"/>
        </w:rPr>
        <w:t xml:space="preserve">quedaran sin </w:t>
      </w:r>
      <w:r w:rsidR="006015E2" w:rsidRPr="005B1B75">
        <w:rPr>
          <w:lang w:val="es-ES_tradnl"/>
        </w:rPr>
        <w:t>alternativa habitacional</w:t>
      </w:r>
      <w:r w:rsidR="00150840" w:rsidRPr="005B1B75">
        <w:rPr>
          <w:lang w:val="es-ES_tradnl"/>
        </w:rPr>
        <w:t xml:space="preserve"> ante el inminente desalojo. </w:t>
      </w:r>
    </w:p>
    <w:p w14:paraId="1C58F2BC" w14:textId="77777777" w:rsidR="006C1799" w:rsidRPr="005B1B75" w:rsidRDefault="006C1799" w:rsidP="00D445DC">
      <w:pPr>
        <w:pStyle w:val="H23G"/>
        <w:rPr>
          <w:lang w:val="es-ES_tradnl"/>
        </w:rPr>
      </w:pPr>
      <w:r w:rsidRPr="005B1B75">
        <w:rPr>
          <w:lang w:val="es-ES_tradnl"/>
        </w:rPr>
        <w:tab/>
      </w:r>
      <w:r w:rsidRPr="005B1B75">
        <w:rPr>
          <w:lang w:val="es-ES_tradnl"/>
        </w:rPr>
        <w:tab/>
        <w:t xml:space="preserve">Observaciones del Estado parte sobre la admisibilidad </w:t>
      </w:r>
    </w:p>
    <w:p w14:paraId="1B64E01B" w14:textId="6265A075" w:rsidR="007A6D94" w:rsidRPr="005B1B75" w:rsidRDefault="006C1799" w:rsidP="00D445DC">
      <w:pPr>
        <w:pStyle w:val="SingleTxtG"/>
        <w:rPr>
          <w:lang w:val="es-ES_tradnl"/>
        </w:rPr>
      </w:pPr>
      <w:r w:rsidRPr="005B1B75">
        <w:rPr>
          <w:lang w:val="es-ES_tradnl"/>
        </w:rPr>
        <w:t>4.1</w:t>
      </w:r>
      <w:r w:rsidRPr="005B1B75">
        <w:rPr>
          <w:lang w:val="es-ES_tradnl"/>
        </w:rPr>
        <w:tab/>
        <w:t xml:space="preserve">El </w:t>
      </w:r>
      <w:r w:rsidR="00CC728D" w:rsidRPr="005B1B75">
        <w:rPr>
          <w:lang w:val="es-ES_tradnl"/>
        </w:rPr>
        <w:t>22 de mayo de 2015</w:t>
      </w:r>
      <w:r w:rsidRPr="005B1B75">
        <w:rPr>
          <w:lang w:val="es-ES_tradnl"/>
        </w:rPr>
        <w:t xml:space="preserve">, el Estado parte </w:t>
      </w:r>
      <w:r w:rsidR="00CC728D" w:rsidRPr="005B1B75">
        <w:rPr>
          <w:lang w:val="es-ES_tradnl"/>
        </w:rPr>
        <w:t>sostuvo que la comunicaci</w:t>
      </w:r>
      <w:r w:rsidR="007A6D94" w:rsidRPr="005B1B75">
        <w:rPr>
          <w:lang w:val="es-ES_tradnl"/>
        </w:rPr>
        <w:t>ón era</w:t>
      </w:r>
      <w:r w:rsidR="00CC728D" w:rsidRPr="005B1B75">
        <w:rPr>
          <w:lang w:val="es-ES_tradnl"/>
        </w:rPr>
        <w:t xml:space="preserve"> inadmisible en virtud del artículo 3</w:t>
      </w:r>
      <w:r w:rsidR="0020652C" w:rsidRPr="005B1B75">
        <w:rPr>
          <w:lang w:val="es-ES_tradnl"/>
        </w:rPr>
        <w:t xml:space="preserve">, párr. </w:t>
      </w:r>
      <w:r w:rsidR="00CC728D" w:rsidRPr="005B1B75">
        <w:rPr>
          <w:lang w:val="es-ES_tradnl"/>
        </w:rPr>
        <w:t>2</w:t>
      </w:r>
      <w:r w:rsidR="0020652C" w:rsidRPr="005B1B75">
        <w:rPr>
          <w:lang w:val="es-ES_tradnl"/>
        </w:rPr>
        <w:t>, ap</w:t>
      </w:r>
      <w:r w:rsidR="009E41B4">
        <w:rPr>
          <w:lang w:val="es-ES_tradnl"/>
        </w:rPr>
        <w:t>artad</w:t>
      </w:r>
      <w:r w:rsidR="0020652C" w:rsidRPr="005B1B75">
        <w:rPr>
          <w:lang w:val="es-ES_tradnl"/>
        </w:rPr>
        <w:t xml:space="preserve">os </w:t>
      </w:r>
      <w:r w:rsidR="00CC728D" w:rsidRPr="005B1B75">
        <w:rPr>
          <w:lang w:val="es-ES_tradnl"/>
        </w:rPr>
        <w:t>e) y f)</w:t>
      </w:r>
      <w:r w:rsidR="0020652C" w:rsidRPr="005B1B75">
        <w:rPr>
          <w:lang w:val="es-ES_tradnl"/>
        </w:rPr>
        <w:t>,</w:t>
      </w:r>
      <w:r w:rsidR="00CC728D" w:rsidRPr="005B1B75">
        <w:rPr>
          <w:lang w:val="es-ES_tradnl"/>
        </w:rPr>
        <w:t xml:space="preserve"> del Protocolo Facultativo toda vez que e</w:t>
      </w:r>
      <w:r w:rsidR="00892DA6" w:rsidRPr="005B1B75">
        <w:rPr>
          <w:lang w:val="es-ES_tradnl"/>
        </w:rPr>
        <w:t>ra</w:t>
      </w:r>
      <w:r w:rsidR="00CC728D" w:rsidRPr="005B1B75">
        <w:rPr>
          <w:lang w:val="es-ES_tradnl"/>
        </w:rPr>
        <w:t xml:space="preserve"> manifiestamente infundada y constituía un abuso de</w:t>
      </w:r>
      <w:r w:rsidR="003D7D78" w:rsidRPr="005B1B75">
        <w:rPr>
          <w:lang w:val="es-ES_tradnl"/>
        </w:rPr>
        <w:t>l</w:t>
      </w:r>
      <w:r w:rsidR="00CC728D" w:rsidRPr="005B1B75">
        <w:rPr>
          <w:lang w:val="es-ES_tradnl"/>
        </w:rPr>
        <w:t xml:space="preserve"> derecho a presentar una comunicación. </w:t>
      </w:r>
      <w:r w:rsidR="001B4B27" w:rsidRPr="005B1B75">
        <w:rPr>
          <w:lang w:val="es-ES_tradnl"/>
        </w:rPr>
        <w:t>Además</w:t>
      </w:r>
      <w:r w:rsidR="002E34A8" w:rsidRPr="005B1B75">
        <w:rPr>
          <w:lang w:val="es-ES_tradnl"/>
        </w:rPr>
        <w:t>,</w:t>
      </w:r>
      <w:r w:rsidR="001B4B27" w:rsidRPr="005B1B75">
        <w:rPr>
          <w:lang w:val="es-ES_tradnl"/>
        </w:rPr>
        <w:t xml:space="preserve"> argumenta que </w:t>
      </w:r>
      <w:r w:rsidR="007A6D94" w:rsidRPr="005B1B75">
        <w:rPr>
          <w:lang w:val="es-ES_tradnl"/>
        </w:rPr>
        <w:t xml:space="preserve">la </w:t>
      </w:r>
      <w:r w:rsidR="00EB2B30" w:rsidRPr="005B1B75">
        <w:rPr>
          <w:lang w:val="es-ES_tradnl"/>
        </w:rPr>
        <w:t>comunicación</w:t>
      </w:r>
      <w:r w:rsidR="007A6D94" w:rsidRPr="005B1B75">
        <w:rPr>
          <w:lang w:val="es-ES_tradnl"/>
        </w:rPr>
        <w:t xml:space="preserve"> no revela que </w:t>
      </w:r>
      <w:r w:rsidR="00EB2B30" w:rsidRPr="005B1B75">
        <w:rPr>
          <w:lang w:val="es-ES_tradnl"/>
        </w:rPr>
        <w:t xml:space="preserve">los autores </w:t>
      </w:r>
      <w:r w:rsidR="007A6D94" w:rsidRPr="005B1B75">
        <w:rPr>
          <w:lang w:val="es-ES_tradnl"/>
        </w:rPr>
        <w:t xml:space="preserve">hayan estado en una situación de clara desventaja en el sentido del artículo 4 del Protocolo Facultativo. </w:t>
      </w:r>
    </w:p>
    <w:p w14:paraId="07F61C11" w14:textId="46E5338E" w:rsidR="00CC728D" w:rsidRPr="005B1B75" w:rsidRDefault="00CC728D" w:rsidP="00D445DC">
      <w:pPr>
        <w:pStyle w:val="SingleTxtG"/>
        <w:rPr>
          <w:lang w:val="es-ES_tradnl"/>
        </w:rPr>
      </w:pPr>
      <w:r w:rsidRPr="005B1B75">
        <w:rPr>
          <w:lang w:val="es-ES_tradnl"/>
        </w:rPr>
        <w:t xml:space="preserve">4.2 </w:t>
      </w:r>
      <w:r w:rsidRPr="005B1B75">
        <w:rPr>
          <w:lang w:val="es-ES_tradnl"/>
        </w:rPr>
        <w:tab/>
        <w:t>El Estado parte sostiene que los autores omitieron informaci</w:t>
      </w:r>
      <w:r w:rsidR="00F267E6" w:rsidRPr="005B1B75">
        <w:rPr>
          <w:lang w:val="es-ES_tradnl"/>
        </w:rPr>
        <w:t xml:space="preserve">ón relevante </w:t>
      </w:r>
      <w:r w:rsidRPr="005B1B75">
        <w:rPr>
          <w:lang w:val="es-ES_tradnl"/>
        </w:rPr>
        <w:t>con la intención de inducir al Comité a confusi</w:t>
      </w:r>
      <w:r w:rsidR="00F267E6" w:rsidRPr="005B1B75">
        <w:rPr>
          <w:lang w:val="es-ES_tradnl"/>
        </w:rPr>
        <w:t xml:space="preserve">ón, por ejemplo, alegando que fueron víctimas de un desalojo forzoso. Sin embargo, </w:t>
      </w:r>
      <w:r w:rsidR="00070DD0" w:rsidRPr="005B1B75">
        <w:rPr>
          <w:lang w:val="es-ES_tradnl"/>
        </w:rPr>
        <w:t xml:space="preserve">su </w:t>
      </w:r>
      <w:r w:rsidR="00F267E6" w:rsidRPr="005B1B75">
        <w:rPr>
          <w:lang w:val="es-ES_tradnl"/>
        </w:rPr>
        <w:t>situación no fue</w:t>
      </w:r>
      <w:r w:rsidRPr="005B1B75">
        <w:rPr>
          <w:lang w:val="es-ES_tradnl"/>
        </w:rPr>
        <w:t xml:space="preserve"> un desalojo forzoso en el sentido de la </w:t>
      </w:r>
      <w:r w:rsidR="003D7D78" w:rsidRPr="005B1B75">
        <w:rPr>
          <w:lang w:val="es-ES_tradnl"/>
        </w:rPr>
        <w:t>o</w:t>
      </w:r>
      <w:r w:rsidRPr="005B1B75">
        <w:rPr>
          <w:lang w:val="es-ES_tradnl"/>
        </w:rPr>
        <w:t xml:space="preserve">bservación </w:t>
      </w:r>
      <w:r w:rsidR="003D7D78" w:rsidRPr="005B1B75">
        <w:rPr>
          <w:lang w:val="es-ES_tradnl"/>
        </w:rPr>
        <w:t>g</w:t>
      </w:r>
      <w:r w:rsidRPr="005B1B75">
        <w:rPr>
          <w:lang w:val="es-ES_tradnl"/>
        </w:rPr>
        <w:t xml:space="preserve">eneral </w:t>
      </w:r>
      <w:r w:rsidR="001A643F" w:rsidRPr="005B1B75">
        <w:rPr>
          <w:lang w:val="es-ES_tradnl"/>
        </w:rPr>
        <w:t>núm.</w:t>
      </w:r>
      <w:r w:rsidRPr="005B1B75">
        <w:rPr>
          <w:lang w:val="es-ES_tradnl"/>
        </w:rPr>
        <w:t xml:space="preserve"> </w:t>
      </w:r>
      <w:r w:rsidR="002F437F" w:rsidRPr="005B1B75">
        <w:rPr>
          <w:lang w:val="es-ES_tradnl"/>
        </w:rPr>
        <w:t xml:space="preserve">7 </w:t>
      </w:r>
      <w:r w:rsidR="00615E6E" w:rsidRPr="005B1B75">
        <w:rPr>
          <w:lang w:val="es-ES_tradnl"/>
        </w:rPr>
        <w:t>(1997) sobre el derecho a una vivienda adecuada: los desalojos forzosos</w:t>
      </w:r>
      <w:r w:rsidR="00612A8A" w:rsidRPr="005B1B75">
        <w:rPr>
          <w:lang w:val="es-ES_tradnl"/>
        </w:rPr>
        <w:t xml:space="preserve"> (</w:t>
      </w:r>
      <w:proofErr w:type="spellStart"/>
      <w:r w:rsidR="00612A8A" w:rsidRPr="005B1B75">
        <w:rPr>
          <w:lang w:val="es-ES_tradnl"/>
        </w:rPr>
        <w:t>párrs</w:t>
      </w:r>
      <w:proofErr w:type="spellEnd"/>
      <w:r w:rsidR="00612A8A" w:rsidRPr="005B1B75">
        <w:rPr>
          <w:lang w:val="es-ES_tradnl"/>
        </w:rPr>
        <w:t>. 3, 6 y 7)</w:t>
      </w:r>
      <w:r w:rsidR="008E3F17" w:rsidRPr="005B1B75">
        <w:rPr>
          <w:lang w:val="es-ES_tradnl"/>
        </w:rPr>
        <w:t>.</w:t>
      </w:r>
      <w:r w:rsidR="00F267E6" w:rsidRPr="005B1B75">
        <w:rPr>
          <w:lang w:val="es-ES_tradnl"/>
        </w:rPr>
        <w:t xml:space="preserve"> En realidad, </w:t>
      </w:r>
      <w:r w:rsidR="001A4BDC" w:rsidRPr="005B1B75">
        <w:rPr>
          <w:lang w:val="es-ES_tradnl"/>
        </w:rPr>
        <w:t xml:space="preserve">los autores </w:t>
      </w:r>
      <w:r w:rsidR="00F267E6" w:rsidRPr="005B1B75">
        <w:rPr>
          <w:lang w:val="es-ES_tradnl"/>
        </w:rPr>
        <w:t>enfrentaron un desahucio por extinción del plazo de</w:t>
      </w:r>
      <w:r w:rsidR="00892DA6" w:rsidRPr="005B1B75">
        <w:rPr>
          <w:lang w:val="es-ES_tradnl"/>
        </w:rPr>
        <w:t xml:space="preserve"> un</w:t>
      </w:r>
      <w:r w:rsidR="00F267E6" w:rsidRPr="005B1B75">
        <w:rPr>
          <w:lang w:val="es-ES_tradnl"/>
        </w:rPr>
        <w:t xml:space="preserve"> contrato de arrendamiento </w:t>
      </w:r>
      <w:r w:rsidR="001B4B27" w:rsidRPr="005B1B75">
        <w:rPr>
          <w:lang w:val="es-ES_tradnl"/>
        </w:rPr>
        <w:t xml:space="preserve">entre </w:t>
      </w:r>
      <w:r w:rsidR="00F267E6" w:rsidRPr="005B1B75">
        <w:rPr>
          <w:lang w:val="es-ES_tradnl"/>
        </w:rPr>
        <w:t>particular</w:t>
      </w:r>
      <w:r w:rsidR="001B4B27" w:rsidRPr="005B1B75">
        <w:rPr>
          <w:lang w:val="es-ES_tradnl"/>
        </w:rPr>
        <w:t>es</w:t>
      </w:r>
      <w:r w:rsidR="00F267E6" w:rsidRPr="005B1B75">
        <w:rPr>
          <w:lang w:val="es-ES_tradnl"/>
        </w:rPr>
        <w:t xml:space="preserve">, sin que </w:t>
      </w:r>
      <w:r w:rsidR="00C751DF" w:rsidRPr="005B1B75">
        <w:rPr>
          <w:lang w:val="es-ES_tradnl"/>
        </w:rPr>
        <w:t>las autoridades</w:t>
      </w:r>
      <w:r w:rsidR="00892DA6" w:rsidRPr="005B1B75">
        <w:rPr>
          <w:lang w:val="es-ES_tradnl"/>
        </w:rPr>
        <w:t xml:space="preserve"> </w:t>
      </w:r>
      <w:r w:rsidR="00F267E6" w:rsidRPr="005B1B75">
        <w:rPr>
          <w:lang w:val="es-ES_tradnl"/>
        </w:rPr>
        <w:t>haya</w:t>
      </w:r>
      <w:r w:rsidR="00C751DF" w:rsidRPr="005B1B75">
        <w:rPr>
          <w:lang w:val="es-ES_tradnl"/>
        </w:rPr>
        <w:t>n</w:t>
      </w:r>
      <w:r w:rsidR="00F267E6" w:rsidRPr="005B1B75">
        <w:rPr>
          <w:lang w:val="es-ES_tradnl"/>
        </w:rPr>
        <w:t xml:space="preserve"> realizado actuación alguna, salvo la intervención del Poder Judicial como mediador ante la falta de acuerdo entre </w:t>
      </w:r>
      <w:r w:rsidR="00497B6D" w:rsidRPr="005B1B75">
        <w:rPr>
          <w:lang w:val="es-ES_tradnl"/>
        </w:rPr>
        <w:t>la</w:t>
      </w:r>
      <w:r w:rsidR="00F267E6" w:rsidRPr="005B1B75">
        <w:rPr>
          <w:lang w:val="es-ES_tradnl"/>
        </w:rPr>
        <w:t xml:space="preserve"> arrendador</w:t>
      </w:r>
      <w:r w:rsidR="00497B6D" w:rsidRPr="005B1B75">
        <w:rPr>
          <w:lang w:val="es-ES_tradnl"/>
        </w:rPr>
        <w:t>a</w:t>
      </w:r>
      <w:r w:rsidR="00F267E6" w:rsidRPr="005B1B75">
        <w:rPr>
          <w:lang w:val="es-ES_tradnl"/>
        </w:rPr>
        <w:t xml:space="preserve"> y </w:t>
      </w:r>
      <w:r w:rsidR="00497B6D" w:rsidRPr="005B1B75">
        <w:rPr>
          <w:lang w:val="es-ES_tradnl"/>
        </w:rPr>
        <w:t xml:space="preserve">el </w:t>
      </w:r>
      <w:r w:rsidR="00F267E6" w:rsidRPr="005B1B75">
        <w:rPr>
          <w:lang w:val="es-ES_tradnl"/>
        </w:rPr>
        <w:t xml:space="preserve">arrendatario.  </w:t>
      </w:r>
    </w:p>
    <w:p w14:paraId="079F6AC2" w14:textId="1786E614" w:rsidR="00F267E6" w:rsidRPr="005B1B75" w:rsidRDefault="00F267E6" w:rsidP="00D445DC">
      <w:pPr>
        <w:pStyle w:val="SingleTxtG"/>
        <w:rPr>
          <w:lang w:val="es-ES_tradnl"/>
        </w:rPr>
      </w:pPr>
      <w:r w:rsidRPr="005B1B75">
        <w:rPr>
          <w:lang w:val="es-ES_tradnl"/>
        </w:rPr>
        <w:t xml:space="preserve">4.3 </w:t>
      </w:r>
      <w:r w:rsidRPr="005B1B75">
        <w:rPr>
          <w:lang w:val="es-ES_tradnl"/>
        </w:rPr>
        <w:tab/>
      </w:r>
      <w:r w:rsidR="00187498" w:rsidRPr="005B1B75">
        <w:rPr>
          <w:lang w:val="es-ES_tradnl"/>
        </w:rPr>
        <w:t>N</w:t>
      </w:r>
      <w:r w:rsidRPr="005B1B75">
        <w:rPr>
          <w:lang w:val="es-ES_tradnl"/>
        </w:rPr>
        <w:t xml:space="preserve">o es cierto que </w:t>
      </w:r>
      <w:r w:rsidR="008E0E2D" w:rsidRPr="005B1B75">
        <w:rPr>
          <w:lang w:val="es-ES_tradnl"/>
        </w:rPr>
        <w:t xml:space="preserve">las </w:t>
      </w:r>
      <w:r w:rsidRPr="005B1B75">
        <w:rPr>
          <w:lang w:val="es-ES_tradnl"/>
        </w:rPr>
        <w:t>autoridades no hayan prestad</w:t>
      </w:r>
      <w:r w:rsidR="00152556" w:rsidRPr="005B1B75">
        <w:rPr>
          <w:lang w:val="es-ES_tradnl"/>
        </w:rPr>
        <w:t>o atención a los autores</w:t>
      </w:r>
      <w:r w:rsidR="008A4C70" w:rsidRPr="005B1B75">
        <w:rPr>
          <w:lang w:val="es-ES_tradnl"/>
        </w:rPr>
        <w:t xml:space="preserve"> pues d</w:t>
      </w:r>
      <w:r w:rsidR="00A141FC" w:rsidRPr="005B1B75">
        <w:rPr>
          <w:lang w:val="es-ES_tradnl"/>
        </w:rPr>
        <w:t xml:space="preserve">esde 2002 fueron objeto de intervención social continuada por parte del Centro de Servicios </w:t>
      </w:r>
      <w:r w:rsidR="00A141FC" w:rsidRPr="005B1B75">
        <w:rPr>
          <w:lang w:val="es-ES_tradnl"/>
        </w:rPr>
        <w:lastRenderedPageBreak/>
        <w:t xml:space="preserve">Sociales del </w:t>
      </w:r>
      <w:r w:rsidR="00B11D27" w:rsidRPr="005B1B75">
        <w:rPr>
          <w:lang w:val="es-ES_tradnl"/>
        </w:rPr>
        <w:t>d</w:t>
      </w:r>
      <w:r w:rsidR="00A141FC" w:rsidRPr="005B1B75">
        <w:rPr>
          <w:lang w:val="es-ES_tradnl"/>
        </w:rPr>
        <w:t>istrito de Tetuán, del Ayuntamiento de Madrid</w:t>
      </w:r>
      <w:r w:rsidR="00A141FC" w:rsidRPr="009E41B4">
        <w:rPr>
          <w:sz w:val="18"/>
          <w:szCs w:val="18"/>
          <w:vertAlign w:val="superscript"/>
          <w:lang w:val="es-ES_tradnl"/>
        </w:rPr>
        <w:footnoteReference w:id="8"/>
      </w:r>
      <w:r w:rsidR="00B25764" w:rsidRPr="005B1B75">
        <w:rPr>
          <w:lang w:val="es-ES_tradnl"/>
        </w:rPr>
        <w:t>.</w:t>
      </w:r>
      <w:r w:rsidR="00B40049" w:rsidRPr="005B1B75">
        <w:rPr>
          <w:lang w:val="es-ES_tradnl"/>
        </w:rPr>
        <w:t xml:space="preserve"> Sin embargo, la actitud del </w:t>
      </w:r>
      <w:r w:rsidR="002D0785" w:rsidRPr="005B1B75">
        <w:rPr>
          <w:lang w:val="es-ES_tradnl"/>
        </w:rPr>
        <w:t xml:space="preserve">Sr. Ben </w:t>
      </w:r>
      <w:proofErr w:type="spellStart"/>
      <w:r w:rsidR="002D0785" w:rsidRPr="005B1B75">
        <w:rPr>
          <w:lang w:val="es-ES_tradnl"/>
        </w:rPr>
        <w:t>Djazia</w:t>
      </w:r>
      <w:proofErr w:type="spellEnd"/>
      <w:r w:rsidR="00B40049" w:rsidRPr="005B1B75">
        <w:rPr>
          <w:lang w:val="es-ES_tradnl"/>
        </w:rPr>
        <w:t>, en gran medida, impidió que su situación económica familiar mejorara, asumiendo que dicha mejora era responsabilidad exclusiva de la administración pública.</w:t>
      </w:r>
    </w:p>
    <w:p w14:paraId="09CF38E5" w14:textId="64287014" w:rsidR="000239C2" w:rsidRPr="005B1B75" w:rsidRDefault="00F267E6" w:rsidP="00D445DC">
      <w:pPr>
        <w:pStyle w:val="SingleTxtG"/>
        <w:rPr>
          <w:lang w:val="es-ES_tradnl"/>
        </w:rPr>
      </w:pPr>
      <w:r w:rsidRPr="005B1B75">
        <w:rPr>
          <w:lang w:val="es-ES_tradnl"/>
        </w:rPr>
        <w:t xml:space="preserve">4.4 </w:t>
      </w:r>
      <w:r w:rsidRPr="005B1B75">
        <w:rPr>
          <w:lang w:val="es-ES_tradnl"/>
        </w:rPr>
        <w:tab/>
      </w:r>
      <w:r w:rsidR="00F078AF" w:rsidRPr="005B1B75">
        <w:rPr>
          <w:lang w:val="es-ES_tradnl"/>
        </w:rPr>
        <w:t xml:space="preserve">De acuerdo a un informe de la Dirección General de Vivienda y Rehabilitación de la Comunidad de Madrid, de 21 de abril de 2015, desde 2006 los ingresos del </w:t>
      </w:r>
      <w:r w:rsidR="002D0785" w:rsidRPr="005B1B75">
        <w:rPr>
          <w:lang w:val="es-ES_tradnl"/>
        </w:rPr>
        <w:t xml:space="preserve">Sr. Ben </w:t>
      </w:r>
      <w:proofErr w:type="spellStart"/>
      <w:r w:rsidR="002D0785" w:rsidRPr="005B1B75">
        <w:rPr>
          <w:lang w:val="es-ES_tradnl"/>
        </w:rPr>
        <w:t>Djazia</w:t>
      </w:r>
      <w:proofErr w:type="spellEnd"/>
      <w:r w:rsidR="00F078AF" w:rsidRPr="005B1B75">
        <w:rPr>
          <w:lang w:val="es-ES_tradnl"/>
        </w:rPr>
        <w:t xml:space="preserve"> provinieron de prestaciones, subsidios y trabajos esporádicos en </w:t>
      </w:r>
      <w:r w:rsidR="00261CBB" w:rsidRPr="005B1B75">
        <w:rPr>
          <w:lang w:val="es-ES_tradnl"/>
        </w:rPr>
        <w:t xml:space="preserve">la </w:t>
      </w:r>
      <w:r w:rsidR="00F078AF" w:rsidRPr="005B1B75">
        <w:rPr>
          <w:lang w:val="es-ES_tradnl"/>
        </w:rPr>
        <w:t xml:space="preserve">economía </w:t>
      </w:r>
      <w:r w:rsidR="00261CBB" w:rsidRPr="005B1B75">
        <w:rPr>
          <w:lang w:val="es-ES_tradnl"/>
        </w:rPr>
        <w:t>informal</w:t>
      </w:r>
      <w:r w:rsidR="00F078AF" w:rsidRPr="005B1B75">
        <w:rPr>
          <w:lang w:val="es-ES_tradnl"/>
        </w:rPr>
        <w:t xml:space="preserve">. </w:t>
      </w:r>
      <w:r w:rsidR="00EB2B30" w:rsidRPr="005B1B75">
        <w:rPr>
          <w:lang w:val="es-ES_tradnl"/>
        </w:rPr>
        <w:t>D</w:t>
      </w:r>
      <w:r w:rsidR="00C751DF" w:rsidRPr="005B1B75">
        <w:rPr>
          <w:lang w:val="es-ES_tradnl"/>
        </w:rPr>
        <w:t>e acuerdo a</w:t>
      </w:r>
      <w:r w:rsidR="000239C2" w:rsidRPr="005B1B75">
        <w:rPr>
          <w:lang w:val="es-ES_tradnl"/>
        </w:rPr>
        <w:t>l</w:t>
      </w:r>
      <w:r w:rsidR="00C751DF" w:rsidRPr="005B1B75">
        <w:rPr>
          <w:lang w:val="es-ES_tradnl"/>
        </w:rPr>
        <w:t xml:space="preserve"> informe </w:t>
      </w:r>
      <w:r w:rsidR="000239C2" w:rsidRPr="005B1B75">
        <w:rPr>
          <w:lang w:val="es-ES_tradnl"/>
        </w:rPr>
        <w:t>social del Ayuntamiento de Madrid</w:t>
      </w:r>
      <w:r w:rsidR="00C751DF" w:rsidRPr="005B1B75">
        <w:rPr>
          <w:lang w:val="es-ES_tradnl"/>
        </w:rPr>
        <w:t xml:space="preserve">, </w:t>
      </w:r>
      <w:r w:rsidR="00A141FC" w:rsidRPr="005B1B75">
        <w:rPr>
          <w:lang w:val="es-ES_tradnl"/>
        </w:rPr>
        <w:t xml:space="preserve">en 2006 </w:t>
      </w:r>
      <w:r w:rsidR="000E426C" w:rsidRPr="005B1B75">
        <w:rPr>
          <w:lang w:val="es-ES_tradnl"/>
        </w:rPr>
        <w:t xml:space="preserve">una trabajadora social anotó que el </w:t>
      </w:r>
      <w:r w:rsidR="002D0785" w:rsidRPr="005B1B75">
        <w:rPr>
          <w:lang w:val="es-ES_tradnl"/>
        </w:rPr>
        <w:t xml:space="preserve">Sr. Ben </w:t>
      </w:r>
      <w:proofErr w:type="spellStart"/>
      <w:r w:rsidR="002D0785" w:rsidRPr="005B1B75">
        <w:rPr>
          <w:lang w:val="es-ES_tradnl"/>
        </w:rPr>
        <w:t>Djazia</w:t>
      </w:r>
      <w:proofErr w:type="spellEnd"/>
      <w:r w:rsidR="000E426C" w:rsidRPr="005B1B75">
        <w:rPr>
          <w:lang w:val="es-ES_tradnl"/>
        </w:rPr>
        <w:t xml:space="preserve"> no quería </w:t>
      </w:r>
      <w:r w:rsidR="000A5CF1" w:rsidRPr="005B1B75">
        <w:rPr>
          <w:lang w:val="es-ES_tradnl"/>
        </w:rPr>
        <w:t>participar</w:t>
      </w:r>
      <w:r w:rsidR="000E426C" w:rsidRPr="005B1B75">
        <w:rPr>
          <w:lang w:val="es-ES_tradnl"/>
        </w:rPr>
        <w:t xml:space="preserve"> en un proyecto de búsqueda de empleo porque no lo consideraba útil. </w:t>
      </w:r>
      <w:r w:rsidR="00A141FC" w:rsidRPr="005B1B75">
        <w:rPr>
          <w:lang w:val="es-ES_tradnl"/>
        </w:rPr>
        <w:t xml:space="preserve">En </w:t>
      </w:r>
      <w:r w:rsidR="000E426C" w:rsidRPr="005B1B75">
        <w:rPr>
          <w:lang w:val="es-ES_tradnl"/>
        </w:rPr>
        <w:t xml:space="preserve">2009, el Centro le recordó que era obligatorio acudir a las revisiones de </w:t>
      </w:r>
      <w:r w:rsidR="00261CBB" w:rsidRPr="005B1B75">
        <w:rPr>
          <w:lang w:val="es-ES_tradnl"/>
        </w:rPr>
        <w:t xml:space="preserve">renta mínima de inserción </w:t>
      </w:r>
      <w:r w:rsidR="000E426C" w:rsidRPr="005B1B75">
        <w:rPr>
          <w:lang w:val="es-ES_tradnl"/>
        </w:rPr>
        <w:t xml:space="preserve">cada </w:t>
      </w:r>
      <w:r w:rsidR="00261CBB" w:rsidRPr="005B1B75">
        <w:rPr>
          <w:lang w:val="es-ES_tradnl"/>
        </w:rPr>
        <w:t>seis</w:t>
      </w:r>
      <w:r w:rsidR="000E426C" w:rsidRPr="005B1B75">
        <w:rPr>
          <w:lang w:val="es-ES_tradnl"/>
        </w:rPr>
        <w:t xml:space="preserve"> meses, ya que en los </w:t>
      </w:r>
      <w:r w:rsidR="00261CBB" w:rsidRPr="005B1B75">
        <w:rPr>
          <w:lang w:val="es-ES_tradnl"/>
        </w:rPr>
        <w:t>dos</w:t>
      </w:r>
      <w:r w:rsidR="000E426C" w:rsidRPr="005B1B75">
        <w:rPr>
          <w:lang w:val="es-ES_tradnl"/>
        </w:rPr>
        <w:t xml:space="preserve"> últimos años </w:t>
      </w:r>
      <w:r w:rsidR="00A85592" w:rsidRPr="005B1B75">
        <w:rPr>
          <w:lang w:val="es-ES_tradnl"/>
        </w:rPr>
        <w:t xml:space="preserve">solo </w:t>
      </w:r>
      <w:r w:rsidR="000E426C" w:rsidRPr="005B1B75">
        <w:rPr>
          <w:lang w:val="es-ES_tradnl"/>
        </w:rPr>
        <w:t>había acudido al Centro una vez</w:t>
      </w:r>
      <w:r w:rsidR="008C4A30" w:rsidRPr="009E41B4">
        <w:rPr>
          <w:sz w:val="18"/>
          <w:szCs w:val="18"/>
          <w:vertAlign w:val="superscript"/>
          <w:lang w:val="es-ES_tradnl"/>
        </w:rPr>
        <w:footnoteReference w:id="9"/>
      </w:r>
      <w:r w:rsidR="00860BDC" w:rsidRPr="005B1B75">
        <w:rPr>
          <w:lang w:val="es-ES_tradnl"/>
        </w:rPr>
        <w:t>.</w:t>
      </w:r>
      <w:r w:rsidR="00A141FC" w:rsidRPr="005B1B75">
        <w:rPr>
          <w:lang w:val="es-ES_tradnl"/>
        </w:rPr>
        <w:t xml:space="preserve"> En 2012, </w:t>
      </w:r>
      <w:r w:rsidR="000E426C" w:rsidRPr="005B1B75">
        <w:rPr>
          <w:lang w:val="es-ES_tradnl"/>
        </w:rPr>
        <w:t xml:space="preserve">al igual que en años anteriores, </w:t>
      </w:r>
      <w:r w:rsidR="00A141FC" w:rsidRPr="005B1B75">
        <w:rPr>
          <w:lang w:val="es-ES_tradnl"/>
        </w:rPr>
        <w:t xml:space="preserve">el Centro constató </w:t>
      </w:r>
      <w:r w:rsidR="000E426C" w:rsidRPr="005B1B75">
        <w:rPr>
          <w:lang w:val="es-ES_tradnl"/>
        </w:rPr>
        <w:t xml:space="preserve">la falta de motivación del </w:t>
      </w:r>
      <w:r w:rsidR="002D0785" w:rsidRPr="005B1B75">
        <w:rPr>
          <w:lang w:val="es-ES_tradnl"/>
        </w:rPr>
        <w:t xml:space="preserve">Sr. Ben </w:t>
      </w:r>
      <w:proofErr w:type="spellStart"/>
      <w:r w:rsidR="002D0785" w:rsidRPr="005B1B75">
        <w:rPr>
          <w:lang w:val="es-ES_tradnl"/>
        </w:rPr>
        <w:t>Djazia</w:t>
      </w:r>
      <w:proofErr w:type="spellEnd"/>
      <w:r w:rsidR="000E426C" w:rsidRPr="005B1B75">
        <w:rPr>
          <w:lang w:val="es-ES_tradnl"/>
        </w:rPr>
        <w:t xml:space="preserve"> hacia la búsqueda </w:t>
      </w:r>
      <w:r w:rsidR="00A141FC" w:rsidRPr="005B1B75">
        <w:rPr>
          <w:lang w:val="es-ES_tradnl"/>
        </w:rPr>
        <w:t>de empleo</w:t>
      </w:r>
      <w:r w:rsidR="000E426C" w:rsidRPr="005B1B75">
        <w:rPr>
          <w:lang w:val="es-ES_tradnl"/>
        </w:rPr>
        <w:t xml:space="preserve">. </w:t>
      </w:r>
    </w:p>
    <w:p w14:paraId="6DC6674E" w14:textId="55D5C590" w:rsidR="004B0825" w:rsidRPr="005B1B75" w:rsidRDefault="004B0825" w:rsidP="00D445DC">
      <w:pPr>
        <w:pStyle w:val="SingleTxtG"/>
        <w:rPr>
          <w:lang w:val="es-ES_tradnl"/>
        </w:rPr>
      </w:pPr>
      <w:r w:rsidRPr="005B1B75">
        <w:rPr>
          <w:lang w:val="es-ES_tradnl"/>
        </w:rPr>
        <w:t xml:space="preserve">4.5 </w:t>
      </w:r>
      <w:r w:rsidRPr="005B1B75">
        <w:rPr>
          <w:lang w:val="es-ES_tradnl"/>
        </w:rPr>
        <w:tab/>
        <w:t xml:space="preserve">El Estado parte señala que el </w:t>
      </w:r>
      <w:r w:rsidR="002D0785" w:rsidRPr="005B1B75">
        <w:rPr>
          <w:lang w:val="es-ES_tradnl"/>
        </w:rPr>
        <w:t xml:space="preserve">Sr. Ben </w:t>
      </w:r>
      <w:proofErr w:type="spellStart"/>
      <w:r w:rsidR="002D0785" w:rsidRPr="005B1B75">
        <w:rPr>
          <w:lang w:val="es-ES_tradnl"/>
        </w:rPr>
        <w:t>Djazia</w:t>
      </w:r>
      <w:proofErr w:type="spellEnd"/>
      <w:r w:rsidRPr="005B1B75">
        <w:rPr>
          <w:lang w:val="es-ES_tradnl"/>
        </w:rPr>
        <w:t xml:space="preserve"> no realizó una búsqueda </w:t>
      </w:r>
      <w:r w:rsidR="001D27F7" w:rsidRPr="005B1B75">
        <w:rPr>
          <w:lang w:val="es-ES_tradnl"/>
        </w:rPr>
        <w:t>activa de vivienda y solo esperó</w:t>
      </w:r>
      <w:r w:rsidRPr="005B1B75">
        <w:rPr>
          <w:lang w:val="es-ES_tradnl"/>
        </w:rPr>
        <w:t xml:space="preserve"> que </w:t>
      </w:r>
      <w:r w:rsidR="00583ECA" w:rsidRPr="005B1B75">
        <w:rPr>
          <w:lang w:val="es-ES_tradnl"/>
        </w:rPr>
        <w:t>e</w:t>
      </w:r>
      <w:r w:rsidRPr="005B1B75">
        <w:rPr>
          <w:lang w:val="es-ES_tradnl"/>
        </w:rPr>
        <w:t xml:space="preserve">sta </w:t>
      </w:r>
      <w:r w:rsidR="005F1028" w:rsidRPr="005B1B75">
        <w:rPr>
          <w:lang w:val="es-ES_tradnl"/>
        </w:rPr>
        <w:t xml:space="preserve">le </w:t>
      </w:r>
      <w:r w:rsidR="00583ECA" w:rsidRPr="005B1B75">
        <w:rPr>
          <w:lang w:val="es-ES_tradnl"/>
        </w:rPr>
        <w:t xml:space="preserve">fuera </w:t>
      </w:r>
      <w:r w:rsidRPr="005B1B75">
        <w:rPr>
          <w:lang w:val="es-ES_tradnl"/>
        </w:rPr>
        <w:t xml:space="preserve">proporcionada por los servicios sociales, incluso cuando el desahucio era inminente. </w:t>
      </w:r>
      <w:r w:rsidR="00210CDB" w:rsidRPr="005B1B75">
        <w:rPr>
          <w:lang w:val="es-ES_tradnl"/>
        </w:rPr>
        <w:t>A</w:t>
      </w:r>
      <w:r w:rsidR="00D01A5F" w:rsidRPr="005B1B75">
        <w:rPr>
          <w:lang w:val="es-ES_tradnl"/>
        </w:rPr>
        <w:t xml:space="preserve">l finalizar el contrato de alquiler en agosto de 2012, una trabajadora social le informó sobre </w:t>
      </w:r>
      <w:r w:rsidR="000B59F6" w:rsidRPr="005B1B75">
        <w:rPr>
          <w:lang w:val="es-ES_tradnl"/>
        </w:rPr>
        <w:t xml:space="preserve">entidades públicas y privadas </w:t>
      </w:r>
      <w:r w:rsidR="00D01A5F" w:rsidRPr="005B1B75">
        <w:rPr>
          <w:lang w:val="es-ES_tradnl"/>
        </w:rPr>
        <w:t xml:space="preserve">que podían otorgar vivienda pública. Sin embargo, el </w:t>
      </w:r>
      <w:r w:rsidR="002D0785" w:rsidRPr="005B1B75">
        <w:rPr>
          <w:lang w:val="es-ES_tradnl"/>
        </w:rPr>
        <w:t xml:space="preserve">Sr. Ben </w:t>
      </w:r>
      <w:proofErr w:type="spellStart"/>
      <w:r w:rsidR="002D0785" w:rsidRPr="005B1B75">
        <w:rPr>
          <w:lang w:val="es-ES_tradnl"/>
        </w:rPr>
        <w:t>Djazia</w:t>
      </w:r>
      <w:proofErr w:type="spellEnd"/>
      <w:r w:rsidR="00D01A5F" w:rsidRPr="005B1B75">
        <w:rPr>
          <w:lang w:val="es-ES_tradnl"/>
        </w:rPr>
        <w:t xml:space="preserve"> demandó que el Centro le proporcion</w:t>
      </w:r>
      <w:r w:rsidR="001A59A7" w:rsidRPr="005B1B75">
        <w:rPr>
          <w:lang w:val="es-ES_tradnl"/>
        </w:rPr>
        <w:t>ara</w:t>
      </w:r>
      <w:r w:rsidR="00D01A5F" w:rsidRPr="005B1B75">
        <w:rPr>
          <w:lang w:val="es-ES_tradnl"/>
        </w:rPr>
        <w:t xml:space="preserve"> una vivienda. </w:t>
      </w:r>
      <w:r w:rsidR="00067485" w:rsidRPr="005B1B75">
        <w:rPr>
          <w:lang w:val="es-ES_tradnl"/>
        </w:rPr>
        <w:t xml:space="preserve">Asimismo, en julio de 2012 el Centro remitió al </w:t>
      </w:r>
      <w:r w:rsidR="002D0785" w:rsidRPr="005B1B75">
        <w:rPr>
          <w:lang w:val="es-ES_tradnl"/>
        </w:rPr>
        <w:t xml:space="preserve">Sr. Ben </w:t>
      </w:r>
      <w:proofErr w:type="spellStart"/>
      <w:r w:rsidR="002D0785" w:rsidRPr="005B1B75">
        <w:rPr>
          <w:lang w:val="es-ES_tradnl"/>
        </w:rPr>
        <w:t>Djazia</w:t>
      </w:r>
      <w:proofErr w:type="spellEnd"/>
      <w:r w:rsidR="00067485" w:rsidRPr="005B1B75">
        <w:rPr>
          <w:lang w:val="es-ES_tradnl"/>
        </w:rPr>
        <w:t xml:space="preserve"> al </w:t>
      </w:r>
      <w:r w:rsidR="00583ECA" w:rsidRPr="005B1B75">
        <w:rPr>
          <w:lang w:val="es-ES_tradnl"/>
        </w:rPr>
        <w:t>p</w:t>
      </w:r>
      <w:r w:rsidR="00067485" w:rsidRPr="005B1B75">
        <w:rPr>
          <w:lang w:val="es-ES_tradnl"/>
        </w:rPr>
        <w:t xml:space="preserve">rograma de </w:t>
      </w:r>
      <w:r w:rsidR="00583ECA" w:rsidRPr="005B1B75">
        <w:rPr>
          <w:lang w:val="es-ES_tradnl"/>
        </w:rPr>
        <w:t>a</w:t>
      </w:r>
      <w:r w:rsidR="00067485" w:rsidRPr="005B1B75">
        <w:rPr>
          <w:lang w:val="es-ES_tradnl"/>
        </w:rPr>
        <w:t xml:space="preserve">lquiler </w:t>
      </w:r>
      <w:r w:rsidR="00583ECA" w:rsidRPr="005B1B75">
        <w:rPr>
          <w:lang w:val="es-ES_tradnl"/>
        </w:rPr>
        <w:t>s</w:t>
      </w:r>
      <w:r w:rsidR="00067485" w:rsidRPr="005B1B75">
        <w:rPr>
          <w:lang w:val="es-ES_tradnl"/>
        </w:rPr>
        <w:t>olidario de C</w:t>
      </w:r>
      <w:r w:rsidR="00583ECA" w:rsidRPr="005B1B75">
        <w:rPr>
          <w:lang w:val="es-ES_tradnl"/>
        </w:rPr>
        <w:t>á</w:t>
      </w:r>
      <w:r w:rsidR="00067485" w:rsidRPr="005B1B75">
        <w:rPr>
          <w:lang w:val="es-ES_tradnl"/>
        </w:rPr>
        <w:t xml:space="preserve">ritas, donde recibió dos ayudas económicas </w:t>
      </w:r>
      <w:r w:rsidR="008D2F70" w:rsidRPr="005B1B75">
        <w:rPr>
          <w:lang w:val="es-ES_tradnl"/>
        </w:rPr>
        <w:t xml:space="preserve">de 300 euros cada una </w:t>
      </w:r>
      <w:r w:rsidR="00067485" w:rsidRPr="005B1B75">
        <w:rPr>
          <w:lang w:val="es-ES_tradnl"/>
        </w:rPr>
        <w:t xml:space="preserve">en </w:t>
      </w:r>
      <w:r w:rsidR="008D2F70" w:rsidRPr="005B1B75">
        <w:rPr>
          <w:lang w:val="es-ES_tradnl"/>
        </w:rPr>
        <w:t>octubre</w:t>
      </w:r>
      <w:r w:rsidR="00067485" w:rsidRPr="005B1B75">
        <w:rPr>
          <w:lang w:val="es-ES_tradnl"/>
        </w:rPr>
        <w:t xml:space="preserve"> de 2012. </w:t>
      </w:r>
      <w:r w:rsidR="008D2F70" w:rsidRPr="005B1B75">
        <w:rPr>
          <w:lang w:val="es-ES_tradnl"/>
        </w:rPr>
        <w:t xml:space="preserve">En 2013, los </w:t>
      </w:r>
      <w:r w:rsidR="00FE50ED" w:rsidRPr="005B1B75">
        <w:rPr>
          <w:lang w:val="es-ES_tradnl"/>
        </w:rPr>
        <w:t>s</w:t>
      </w:r>
      <w:r w:rsidR="008D2F70" w:rsidRPr="005B1B75">
        <w:rPr>
          <w:lang w:val="es-ES_tradnl"/>
        </w:rPr>
        <w:t xml:space="preserve">ervicios </w:t>
      </w:r>
      <w:r w:rsidR="00FE50ED" w:rsidRPr="005B1B75">
        <w:rPr>
          <w:lang w:val="es-ES_tradnl"/>
        </w:rPr>
        <w:t>s</w:t>
      </w:r>
      <w:r w:rsidR="008D2F70" w:rsidRPr="005B1B75">
        <w:rPr>
          <w:lang w:val="es-ES_tradnl"/>
        </w:rPr>
        <w:t xml:space="preserve">ociales otorgaron al </w:t>
      </w:r>
      <w:r w:rsidR="002D0785" w:rsidRPr="005B1B75">
        <w:rPr>
          <w:lang w:val="es-ES_tradnl"/>
        </w:rPr>
        <w:t xml:space="preserve">Sr. Ben </w:t>
      </w:r>
      <w:proofErr w:type="spellStart"/>
      <w:r w:rsidR="002D0785" w:rsidRPr="005B1B75">
        <w:rPr>
          <w:lang w:val="es-ES_tradnl"/>
        </w:rPr>
        <w:t>Djazia</w:t>
      </w:r>
      <w:proofErr w:type="spellEnd"/>
      <w:r w:rsidR="008D2F70" w:rsidRPr="005B1B75">
        <w:rPr>
          <w:lang w:val="es-ES_tradnl"/>
        </w:rPr>
        <w:t xml:space="preserve"> una ayuda económica de 600 euros para la cobertura de necesidades básicas, y le instaron a continuar la búsqueda de una vivienda alternativa. </w:t>
      </w:r>
      <w:r w:rsidR="00892DA6" w:rsidRPr="005B1B75">
        <w:rPr>
          <w:lang w:val="es-ES_tradnl"/>
        </w:rPr>
        <w:t>E</w:t>
      </w:r>
      <w:r w:rsidR="008D2F70" w:rsidRPr="005B1B75">
        <w:rPr>
          <w:lang w:val="es-ES_tradnl"/>
        </w:rPr>
        <w:t xml:space="preserve">n febrero de 2013, </w:t>
      </w:r>
      <w:r w:rsidR="000239C2" w:rsidRPr="005B1B75">
        <w:rPr>
          <w:lang w:val="es-ES_tradnl"/>
        </w:rPr>
        <w:t xml:space="preserve">una </w:t>
      </w:r>
      <w:r w:rsidR="008D2F70" w:rsidRPr="005B1B75">
        <w:rPr>
          <w:lang w:val="es-ES_tradnl"/>
        </w:rPr>
        <w:t xml:space="preserve">trabajadora social del </w:t>
      </w:r>
      <w:r w:rsidR="00181986" w:rsidRPr="005B1B75">
        <w:rPr>
          <w:lang w:val="es-ES_tradnl"/>
        </w:rPr>
        <w:t>C</w:t>
      </w:r>
      <w:r w:rsidR="008D2F70" w:rsidRPr="005B1B75">
        <w:rPr>
          <w:lang w:val="es-ES_tradnl"/>
        </w:rPr>
        <w:t xml:space="preserve">entro anotó </w:t>
      </w:r>
      <w:r w:rsidR="000239C2" w:rsidRPr="005B1B75">
        <w:rPr>
          <w:lang w:val="es-ES_tradnl"/>
        </w:rPr>
        <w:t xml:space="preserve">que el </w:t>
      </w:r>
      <w:r w:rsidR="002D0785" w:rsidRPr="005B1B75">
        <w:rPr>
          <w:lang w:val="es-ES_tradnl"/>
        </w:rPr>
        <w:t xml:space="preserve">Sr. Ben </w:t>
      </w:r>
      <w:proofErr w:type="spellStart"/>
      <w:r w:rsidR="002D0785" w:rsidRPr="005B1B75">
        <w:rPr>
          <w:lang w:val="es-ES_tradnl"/>
        </w:rPr>
        <w:t>Djazia</w:t>
      </w:r>
      <w:proofErr w:type="spellEnd"/>
      <w:r w:rsidR="000239C2" w:rsidRPr="005B1B75">
        <w:rPr>
          <w:lang w:val="es-ES_tradnl"/>
        </w:rPr>
        <w:t xml:space="preserve"> </w:t>
      </w:r>
      <w:r w:rsidR="008D2F70" w:rsidRPr="005B1B75">
        <w:rPr>
          <w:lang w:val="es-ES_tradnl"/>
        </w:rPr>
        <w:t>no ha</w:t>
      </w:r>
      <w:r w:rsidR="001A59A7" w:rsidRPr="005B1B75">
        <w:rPr>
          <w:lang w:val="es-ES_tradnl"/>
        </w:rPr>
        <w:t>bía</w:t>
      </w:r>
      <w:r w:rsidR="008D2F70" w:rsidRPr="005B1B75">
        <w:rPr>
          <w:lang w:val="es-ES_tradnl"/>
        </w:rPr>
        <w:t xml:space="preserve"> realizado </w:t>
      </w:r>
      <w:r w:rsidR="001776C0" w:rsidRPr="005B1B75">
        <w:rPr>
          <w:lang w:val="es-ES_tradnl"/>
        </w:rPr>
        <w:t xml:space="preserve">ninguna </w:t>
      </w:r>
      <w:r w:rsidR="008D2F70" w:rsidRPr="005B1B75">
        <w:rPr>
          <w:lang w:val="es-ES_tradnl"/>
        </w:rPr>
        <w:t>búsqueda de alojamiento alternativo</w:t>
      </w:r>
      <w:r w:rsidR="000239C2" w:rsidRPr="005B1B75">
        <w:rPr>
          <w:lang w:val="es-ES_tradnl"/>
        </w:rPr>
        <w:t>, a pesar de que sabía que debía dejar la habitación alquilada</w:t>
      </w:r>
      <w:r w:rsidR="008D2F70" w:rsidRPr="005B1B75">
        <w:rPr>
          <w:lang w:val="es-ES_tradnl"/>
        </w:rPr>
        <w:t xml:space="preserve">. Ante la </w:t>
      </w:r>
      <w:r w:rsidR="00D91E81" w:rsidRPr="005B1B75">
        <w:rPr>
          <w:lang w:val="es-ES_tradnl"/>
        </w:rPr>
        <w:t xml:space="preserve">reticencia </w:t>
      </w:r>
      <w:r w:rsidR="000239C2" w:rsidRPr="005B1B75">
        <w:rPr>
          <w:lang w:val="es-ES_tradnl"/>
        </w:rPr>
        <w:t>a buscar alojamiento, en a</w:t>
      </w:r>
      <w:r w:rsidR="008D2F70" w:rsidRPr="005B1B75">
        <w:rPr>
          <w:lang w:val="es-ES_tradnl"/>
        </w:rPr>
        <w:t xml:space="preserve">gosto de 2013, el Centro citó al </w:t>
      </w:r>
      <w:r w:rsidR="002D0785" w:rsidRPr="005B1B75">
        <w:rPr>
          <w:lang w:val="es-ES_tradnl"/>
        </w:rPr>
        <w:t xml:space="preserve">Sr. Ben </w:t>
      </w:r>
      <w:proofErr w:type="spellStart"/>
      <w:r w:rsidR="002D0785" w:rsidRPr="005B1B75">
        <w:rPr>
          <w:lang w:val="es-ES_tradnl"/>
        </w:rPr>
        <w:t>Djazia</w:t>
      </w:r>
      <w:proofErr w:type="spellEnd"/>
      <w:r w:rsidR="008D2F70" w:rsidRPr="005B1B75">
        <w:rPr>
          <w:lang w:val="es-ES_tradnl"/>
        </w:rPr>
        <w:t xml:space="preserve"> para ofrecerle ayuda económica para pagar un mes de una habitación y la fianza de un piso de no más de 400 euros. También se le informó que en caso de que se produ</w:t>
      </w:r>
      <w:r w:rsidR="001A59A7" w:rsidRPr="005B1B75">
        <w:rPr>
          <w:lang w:val="es-ES_tradnl"/>
        </w:rPr>
        <w:t>jera</w:t>
      </w:r>
      <w:r w:rsidR="008D2F70" w:rsidRPr="005B1B75">
        <w:rPr>
          <w:lang w:val="es-ES_tradnl"/>
        </w:rPr>
        <w:t xml:space="preserve"> el lanzamiento el 11 de septiembre</w:t>
      </w:r>
      <w:r w:rsidR="004B0DA4" w:rsidRPr="005B1B75">
        <w:rPr>
          <w:lang w:val="es-ES_tradnl"/>
        </w:rPr>
        <w:t xml:space="preserve"> y no t</w:t>
      </w:r>
      <w:r w:rsidR="001A59A7" w:rsidRPr="005B1B75">
        <w:rPr>
          <w:lang w:val="es-ES_tradnl"/>
        </w:rPr>
        <w:t>uviera</w:t>
      </w:r>
      <w:r w:rsidR="004B0DA4" w:rsidRPr="005B1B75">
        <w:rPr>
          <w:lang w:val="es-ES_tradnl"/>
        </w:rPr>
        <w:t xml:space="preserve"> alojamiento, se tomarían medidas de protección hacia los menores. En septiembre de 2013, el </w:t>
      </w:r>
      <w:r w:rsidR="002D0785" w:rsidRPr="005B1B75">
        <w:rPr>
          <w:lang w:val="es-ES_tradnl"/>
        </w:rPr>
        <w:t xml:space="preserve">Sr. Ben </w:t>
      </w:r>
      <w:proofErr w:type="spellStart"/>
      <w:r w:rsidR="002D0785" w:rsidRPr="005B1B75">
        <w:rPr>
          <w:lang w:val="es-ES_tradnl"/>
        </w:rPr>
        <w:t>Djazia</w:t>
      </w:r>
      <w:proofErr w:type="spellEnd"/>
      <w:r w:rsidR="004B0DA4" w:rsidRPr="005B1B75">
        <w:rPr>
          <w:lang w:val="es-ES_tradnl"/>
        </w:rPr>
        <w:t xml:space="preserve"> empezó a cobrar nuevamente una </w:t>
      </w:r>
      <w:r w:rsidR="00181986" w:rsidRPr="005B1B75">
        <w:rPr>
          <w:lang w:val="es-ES_tradnl"/>
        </w:rPr>
        <w:t xml:space="preserve">renta mínima de inserción </w:t>
      </w:r>
      <w:r w:rsidRPr="005B1B75">
        <w:rPr>
          <w:lang w:val="es-ES_tradnl"/>
        </w:rPr>
        <w:t xml:space="preserve">de </w:t>
      </w:r>
      <w:r w:rsidR="00B92927" w:rsidRPr="005B1B75">
        <w:rPr>
          <w:lang w:val="es-ES_tradnl"/>
        </w:rPr>
        <w:t>532,51 euros mensuales</w:t>
      </w:r>
      <w:r w:rsidR="004B0DA4" w:rsidRPr="005B1B75">
        <w:rPr>
          <w:lang w:val="es-ES_tradnl"/>
        </w:rPr>
        <w:t xml:space="preserve">. </w:t>
      </w:r>
    </w:p>
    <w:p w14:paraId="6F760B6D" w14:textId="5F6DEA96" w:rsidR="00C576AC" w:rsidRPr="005B1B75" w:rsidRDefault="004B0825" w:rsidP="00D445DC">
      <w:pPr>
        <w:pStyle w:val="SingleTxtG"/>
        <w:rPr>
          <w:lang w:val="es-ES_tradnl"/>
        </w:rPr>
      </w:pPr>
      <w:r w:rsidRPr="005B1B75">
        <w:rPr>
          <w:lang w:val="es-ES_tradnl"/>
        </w:rPr>
        <w:t>4.6</w:t>
      </w:r>
      <w:r w:rsidR="00D01AD2" w:rsidRPr="005B1B75">
        <w:rPr>
          <w:lang w:val="es-ES_tradnl"/>
        </w:rPr>
        <w:t xml:space="preserve"> </w:t>
      </w:r>
      <w:r w:rsidR="00D01AD2" w:rsidRPr="005B1B75">
        <w:rPr>
          <w:lang w:val="es-ES_tradnl"/>
        </w:rPr>
        <w:tab/>
      </w:r>
      <w:r w:rsidR="00341FC2" w:rsidRPr="005B1B75">
        <w:rPr>
          <w:lang w:val="es-ES_tradnl"/>
        </w:rPr>
        <w:t xml:space="preserve">De todas las solicitudes de vivienda pública presentadas por el </w:t>
      </w:r>
      <w:r w:rsidR="002D0785" w:rsidRPr="005B1B75">
        <w:rPr>
          <w:lang w:val="es-ES_tradnl"/>
        </w:rPr>
        <w:t xml:space="preserve">Sr. Ben </w:t>
      </w:r>
      <w:proofErr w:type="spellStart"/>
      <w:r w:rsidR="002D0785" w:rsidRPr="005B1B75">
        <w:rPr>
          <w:lang w:val="es-ES_tradnl"/>
        </w:rPr>
        <w:t>Djazia</w:t>
      </w:r>
      <w:proofErr w:type="spellEnd"/>
      <w:r w:rsidR="00341FC2" w:rsidRPr="005B1B75">
        <w:rPr>
          <w:lang w:val="es-ES_tradnl"/>
        </w:rPr>
        <w:t>, en s</w:t>
      </w:r>
      <w:r w:rsidR="00181986" w:rsidRPr="005B1B75">
        <w:rPr>
          <w:lang w:val="es-ES_tradnl"/>
        </w:rPr>
        <w:t>o</w:t>
      </w:r>
      <w:r w:rsidR="00341FC2" w:rsidRPr="005B1B75">
        <w:rPr>
          <w:lang w:val="es-ES_tradnl"/>
        </w:rPr>
        <w:t xml:space="preserve">lo </w:t>
      </w:r>
      <w:r w:rsidR="00181986" w:rsidRPr="005B1B75">
        <w:rPr>
          <w:lang w:val="es-ES_tradnl"/>
        </w:rPr>
        <w:t>tres</w:t>
      </w:r>
      <w:r w:rsidR="00341FC2" w:rsidRPr="005B1B75">
        <w:rPr>
          <w:lang w:val="es-ES_tradnl"/>
        </w:rPr>
        <w:t xml:space="preserve"> incluyó a su familia, a sugerencia del Centro</w:t>
      </w:r>
      <w:r w:rsidR="008C4A30" w:rsidRPr="009E41B4">
        <w:rPr>
          <w:sz w:val="18"/>
          <w:szCs w:val="18"/>
          <w:vertAlign w:val="superscript"/>
          <w:lang w:val="es-ES_tradnl"/>
        </w:rPr>
        <w:footnoteReference w:id="10"/>
      </w:r>
      <w:r w:rsidR="00181986" w:rsidRPr="005B1B75">
        <w:rPr>
          <w:lang w:val="es-ES_tradnl"/>
        </w:rPr>
        <w:t>.</w:t>
      </w:r>
      <w:r w:rsidR="00D01AD2" w:rsidRPr="005B1B75">
        <w:rPr>
          <w:lang w:val="es-ES_tradnl"/>
        </w:rPr>
        <w:t xml:space="preserve"> </w:t>
      </w:r>
      <w:r w:rsidR="00C576AC" w:rsidRPr="005B1B75">
        <w:rPr>
          <w:lang w:val="es-ES_tradnl"/>
        </w:rPr>
        <w:t xml:space="preserve">El Estado parte señala que anualmente el </w:t>
      </w:r>
      <w:proofErr w:type="spellStart"/>
      <w:r w:rsidR="00C576AC" w:rsidRPr="005B1B75">
        <w:rPr>
          <w:lang w:val="es-ES_tradnl"/>
        </w:rPr>
        <w:t>IVIMA</w:t>
      </w:r>
      <w:proofErr w:type="spellEnd"/>
      <w:r w:rsidR="00C576AC" w:rsidRPr="005B1B75">
        <w:rPr>
          <w:lang w:val="es-ES_tradnl"/>
        </w:rPr>
        <w:t xml:space="preserve"> recibe una media de 8</w:t>
      </w:r>
      <w:r w:rsidR="00181986" w:rsidRPr="005B1B75">
        <w:rPr>
          <w:lang w:val="es-ES_tradnl"/>
        </w:rPr>
        <w:t>.</w:t>
      </w:r>
      <w:r w:rsidR="00C576AC" w:rsidRPr="005B1B75">
        <w:rPr>
          <w:lang w:val="es-ES_tradnl"/>
        </w:rPr>
        <w:t xml:space="preserve">000 solicitudes de vivienda pública y adjudica una media de 260 viviendas en el municipio de Madrid. </w:t>
      </w:r>
    </w:p>
    <w:p w14:paraId="1EA14A9D" w14:textId="1142B39F" w:rsidR="007A6D94" w:rsidRPr="005B1B75" w:rsidRDefault="00C576AC" w:rsidP="00D445DC">
      <w:pPr>
        <w:pStyle w:val="SingleTxtG"/>
        <w:rPr>
          <w:lang w:val="es-ES_tradnl"/>
        </w:rPr>
      </w:pPr>
      <w:r w:rsidRPr="005B1B75">
        <w:rPr>
          <w:lang w:val="es-ES_tradnl"/>
        </w:rPr>
        <w:t xml:space="preserve">4.7 </w:t>
      </w:r>
      <w:r w:rsidRPr="005B1B75">
        <w:rPr>
          <w:lang w:val="es-ES_tradnl"/>
        </w:rPr>
        <w:tab/>
        <w:t xml:space="preserve">Los autores </w:t>
      </w:r>
      <w:r w:rsidR="007A6D94" w:rsidRPr="005B1B75">
        <w:rPr>
          <w:lang w:val="es-ES_tradnl"/>
        </w:rPr>
        <w:t>omitieron informar al Comité que</w:t>
      </w:r>
      <w:r w:rsidRPr="005B1B75">
        <w:rPr>
          <w:lang w:val="es-ES_tradnl"/>
        </w:rPr>
        <w:t xml:space="preserve"> el </w:t>
      </w:r>
      <w:proofErr w:type="spellStart"/>
      <w:r w:rsidRPr="005B1B75">
        <w:rPr>
          <w:lang w:val="es-ES_tradnl"/>
        </w:rPr>
        <w:t>S</w:t>
      </w:r>
      <w:r w:rsidR="006858A9" w:rsidRPr="005B1B75">
        <w:rPr>
          <w:lang w:val="es-ES_tradnl"/>
        </w:rPr>
        <w:t>amur</w:t>
      </w:r>
      <w:proofErr w:type="spellEnd"/>
      <w:r w:rsidR="006858A9" w:rsidRPr="005B1B75">
        <w:rPr>
          <w:lang w:val="es-ES_tradnl"/>
        </w:rPr>
        <w:t xml:space="preserve"> </w:t>
      </w:r>
      <w:r w:rsidR="007A6D94" w:rsidRPr="005B1B75">
        <w:rPr>
          <w:lang w:val="es-ES_tradnl"/>
        </w:rPr>
        <w:t xml:space="preserve">les comunicó que si llegado el plazo máximo de estancia en la </w:t>
      </w:r>
      <w:r w:rsidR="00181986" w:rsidRPr="005B1B75">
        <w:rPr>
          <w:lang w:val="es-ES_tradnl"/>
        </w:rPr>
        <w:t>u</w:t>
      </w:r>
      <w:r w:rsidR="007A6D94" w:rsidRPr="005B1B75">
        <w:rPr>
          <w:lang w:val="es-ES_tradnl"/>
        </w:rPr>
        <w:t xml:space="preserve">nidad de </w:t>
      </w:r>
      <w:r w:rsidR="00181986" w:rsidRPr="005B1B75">
        <w:rPr>
          <w:lang w:val="es-ES_tradnl"/>
        </w:rPr>
        <w:t>e</w:t>
      </w:r>
      <w:r w:rsidR="007A6D94" w:rsidRPr="005B1B75">
        <w:rPr>
          <w:lang w:val="es-ES_tradnl"/>
        </w:rPr>
        <w:t xml:space="preserve">stancias </w:t>
      </w:r>
      <w:r w:rsidR="00181986" w:rsidRPr="005B1B75">
        <w:rPr>
          <w:lang w:val="es-ES_tradnl"/>
        </w:rPr>
        <w:t>b</w:t>
      </w:r>
      <w:r w:rsidR="007A6D94" w:rsidRPr="005B1B75">
        <w:rPr>
          <w:lang w:val="es-ES_tradnl"/>
        </w:rPr>
        <w:t xml:space="preserve">reves del </w:t>
      </w:r>
      <w:proofErr w:type="spellStart"/>
      <w:r w:rsidR="007A6D94" w:rsidRPr="005B1B75">
        <w:rPr>
          <w:lang w:val="es-ES_tradnl"/>
        </w:rPr>
        <w:t>S</w:t>
      </w:r>
      <w:r w:rsidR="006858A9" w:rsidRPr="005B1B75">
        <w:rPr>
          <w:lang w:val="es-ES_tradnl"/>
        </w:rPr>
        <w:t>amur</w:t>
      </w:r>
      <w:proofErr w:type="spellEnd"/>
      <w:r w:rsidR="006858A9" w:rsidRPr="005B1B75">
        <w:rPr>
          <w:lang w:val="es-ES_tradnl"/>
        </w:rPr>
        <w:t xml:space="preserve"> </w:t>
      </w:r>
      <w:r w:rsidR="007A6D94" w:rsidRPr="005B1B75">
        <w:rPr>
          <w:lang w:val="es-ES_tradnl"/>
        </w:rPr>
        <w:t>Social-Madrid no habían encontrado alojamiento,</w:t>
      </w:r>
      <w:r w:rsidR="000239C2" w:rsidRPr="005B1B75">
        <w:rPr>
          <w:lang w:val="es-ES_tradnl"/>
        </w:rPr>
        <w:t xml:space="preserve"> se les</w:t>
      </w:r>
      <w:r w:rsidR="007A6D94" w:rsidRPr="005B1B75">
        <w:rPr>
          <w:lang w:val="es-ES_tradnl"/>
        </w:rPr>
        <w:t xml:space="preserve"> podía ofrecer alojamiento para </w:t>
      </w:r>
      <w:r w:rsidR="00210CDB" w:rsidRPr="005B1B75">
        <w:rPr>
          <w:lang w:val="es-ES_tradnl"/>
        </w:rPr>
        <w:t xml:space="preserve">la </w:t>
      </w:r>
      <w:r w:rsidR="00562C6C" w:rsidRPr="005B1B75">
        <w:rPr>
          <w:lang w:val="es-ES_tradnl"/>
        </w:rPr>
        <w:t xml:space="preserve">Sra. </w:t>
      </w:r>
      <w:proofErr w:type="spellStart"/>
      <w:r w:rsidR="00562C6C" w:rsidRPr="005B1B75">
        <w:rPr>
          <w:lang w:val="es-ES_tradnl"/>
        </w:rPr>
        <w:t>Bellili</w:t>
      </w:r>
      <w:proofErr w:type="spellEnd"/>
      <w:r w:rsidR="00210CDB" w:rsidRPr="005B1B75">
        <w:rPr>
          <w:lang w:val="es-ES_tradnl"/>
        </w:rPr>
        <w:t xml:space="preserve"> </w:t>
      </w:r>
      <w:r w:rsidR="007A6D94" w:rsidRPr="005B1B75">
        <w:rPr>
          <w:lang w:val="es-ES_tradnl"/>
        </w:rPr>
        <w:t xml:space="preserve">e hijos en un centro para mujeres y </w:t>
      </w:r>
      <w:r w:rsidR="00210CDB" w:rsidRPr="005B1B75">
        <w:rPr>
          <w:lang w:val="es-ES_tradnl"/>
        </w:rPr>
        <w:t xml:space="preserve">para el </w:t>
      </w:r>
      <w:r w:rsidR="002D0785" w:rsidRPr="005B1B75">
        <w:rPr>
          <w:lang w:val="es-ES_tradnl"/>
        </w:rPr>
        <w:t xml:space="preserve">Sr. Ben </w:t>
      </w:r>
      <w:proofErr w:type="spellStart"/>
      <w:r w:rsidR="002D0785" w:rsidRPr="005B1B75">
        <w:rPr>
          <w:lang w:val="es-ES_tradnl"/>
        </w:rPr>
        <w:t>Djazia</w:t>
      </w:r>
      <w:proofErr w:type="spellEnd"/>
      <w:r w:rsidR="007A6D94" w:rsidRPr="005B1B75">
        <w:rPr>
          <w:lang w:val="es-ES_tradnl"/>
        </w:rPr>
        <w:t xml:space="preserve"> en un centro de </w:t>
      </w:r>
      <w:r w:rsidR="00701719" w:rsidRPr="005B1B75">
        <w:rPr>
          <w:lang w:val="es-ES_tradnl"/>
        </w:rPr>
        <w:t>personas sin hogar</w:t>
      </w:r>
      <w:r w:rsidR="007A6D94" w:rsidRPr="005B1B75">
        <w:rPr>
          <w:lang w:val="es-ES_tradnl"/>
        </w:rPr>
        <w:t xml:space="preserve">. </w:t>
      </w:r>
      <w:r w:rsidR="00210CDB" w:rsidRPr="005B1B75">
        <w:rPr>
          <w:lang w:val="es-ES_tradnl"/>
        </w:rPr>
        <w:t>El</w:t>
      </w:r>
      <w:r w:rsidR="007A6D94" w:rsidRPr="005B1B75">
        <w:rPr>
          <w:lang w:val="es-ES_tradnl"/>
        </w:rPr>
        <w:t xml:space="preserve"> Centro de Servicios Sociales del Ayuntamiento de Madrid (en Tetuán) </w:t>
      </w:r>
      <w:r w:rsidR="00070DD0" w:rsidRPr="005B1B75">
        <w:rPr>
          <w:lang w:val="es-ES_tradnl"/>
        </w:rPr>
        <w:t xml:space="preserve">les </w:t>
      </w:r>
      <w:r w:rsidR="007A6D94" w:rsidRPr="005B1B75">
        <w:rPr>
          <w:lang w:val="es-ES_tradnl"/>
        </w:rPr>
        <w:t xml:space="preserve">ofreció similar alternativa (véase </w:t>
      </w:r>
      <w:r w:rsidR="009158A0" w:rsidRPr="005B1B75">
        <w:rPr>
          <w:lang w:val="es-ES_tradnl"/>
        </w:rPr>
        <w:t xml:space="preserve">el párrafo </w:t>
      </w:r>
      <w:r w:rsidR="007A6D94" w:rsidRPr="005B1B75">
        <w:rPr>
          <w:lang w:val="es-ES_tradnl"/>
        </w:rPr>
        <w:t>2.1</w:t>
      </w:r>
      <w:r w:rsidR="00983573" w:rsidRPr="005B1B75">
        <w:rPr>
          <w:lang w:val="es-ES_tradnl"/>
        </w:rPr>
        <w:t>3</w:t>
      </w:r>
      <w:r w:rsidR="009158A0" w:rsidRPr="005B1B75">
        <w:rPr>
          <w:lang w:val="es-ES_tradnl"/>
        </w:rPr>
        <w:t xml:space="preserve"> </w:t>
      </w:r>
      <w:r w:rsidR="009158A0" w:rsidRPr="009E41B4">
        <w:rPr>
          <w:i/>
          <w:lang w:val="es-ES_tradnl"/>
        </w:rPr>
        <w:t>supra</w:t>
      </w:r>
      <w:r w:rsidR="007A6D94" w:rsidRPr="005B1B75">
        <w:rPr>
          <w:lang w:val="es-ES_tradnl"/>
        </w:rPr>
        <w:t xml:space="preserve">). </w:t>
      </w:r>
    </w:p>
    <w:p w14:paraId="2CB81FCF" w14:textId="2B0475A3" w:rsidR="006C1799" w:rsidRPr="005B1B75" w:rsidRDefault="00341FC2" w:rsidP="0048522D">
      <w:pPr>
        <w:pStyle w:val="H23G"/>
        <w:rPr>
          <w:lang w:val="es-ES_tradnl"/>
        </w:rPr>
      </w:pPr>
      <w:r w:rsidRPr="005B1B75">
        <w:rPr>
          <w:lang w:val="es-ES_tradnl"/>
        </w:rPr>
        <w:tab/>
      </w:r>
      <w:r w:rsidRPr="005B1B75">
        <w:rPr>
          <w:lang w:val="es-ES_tradnl"/>
        </w:rPr>
        <w:tab/>
        <w:t>Comentarios de los</w:t>
      </w:r>
      <w:r w:rsidR="006C1799" w:rsidRPr="005B1B75">
        <w:rPr>
          <w:lang w:val="es-ES_tradnl"/>
        </w:rPr>
        <w:t xml:space="preserve"> autor</w:t>
      </w:r>
      <w:r w:rsidRPr="005B1B75">
        <w:rPr>
          <w:lang w:val="es-ES_tradnl"/>
        </w:rPr>
        <w:t>es</w:t>
      </w:r>
      <w:r w:rsidR="006C1799" w:rsidRPr="005B1B75">
        <w:rPr>
          <w:lang w:val="es-ES_tradnl"/>
        </w:rPr>
        <w:t xml:space="preserve"> sobre las observaciones del Estado parte </w:t>
      </w:r>
      <w:r w:rsidR="006C1799" w:rsidRPr="005B1B75">
        <w:rPr>
          <w:lang w:val="es-ES_tradnl"/>
        </w:rPr>
        <w:br/>
      </w:r>
      <w:r w:rsidR="00BF0E80" w:rsidRPr="005B1B75">
        <w:rPr>
          <w:lang w:val="es-ES_tradnl"/>
        </w:rPr>
        <w:t xml:space="preserve">acerca de </w:t>
      </w:r>
      <w:r w:rsidR="009E41B4">
        <w:rPr>
          <w:lang w:val="es-ES_tradnl"/>
        </w:rPr>
        <w:t>la admisibilidad</w:t>
      </w:r>
    </w:p>
    <w:p w14:paraId="2EA91993" w14:textId="7385C02B" w:rsidR="00341FC2" w:rsidRPr="005B1B75" w:rsidRDefault="006C1799" w:rsidP="00D445DC">
      <w:pPr>
        <w:pStyle w:val="SingleTxtG"/>
        <w:rPr>
          <w:lang w:val="es-ES_tradnl"/>
        </w:rPr>
      </w:pPr>
      <w:r w:rsidRPr="005B1B75">
        <w:rPr>
          <w:lang w:val="es-ES_tradnl"/>
        </w:rPr>
        <w:t xml:space="preserve">5.1 </w:t>
      </w:r>
      <w:r w:rsidRPr="005B1B75">
        <w:rPr>
          <w:lang w:val="es-ES_tradnl"/>
        </w:rPr>
        <w:tab/>
      </w:r>
      <w:r w:rsidR="006A5214" w:rsidRPr="005B1B75">
        <w:rPr>
          <w:lang w:val="es-ES_tradnl"/>
        </w:rPr>
        <w:t>El</w:t>
      </w:r>
      <w:r w:rsidRPr="005B1B75">
        <w:rPr>
          <w:lang w:val="es-ES_tradnl"/>
        </w:rPr>
        <w:t xml:space="preserve"> </w:t>
      </w:r>
      <w:r w:rsidR="00341FC2" w:rsidRPr="005B1B75">
        <w:rPr>
          <w:lang w:val="es-ES_tradnl"/>
        </w:rPr>
        <w:t>27 de junio de 2015</w:t>
      </w:r>
      <w:r w:rsidRPr="005B1B75">
        <w:rPr>
          <w:lang w:val="es-ES_tradnl"/>
        </w:rPr>
        <w:t>, l</w:t>
      </w:r>
      <w:r w:rsidR="00341FC2" w:rsidRPr="005B1B75">
        <w:rPr>
          <w:lang w:val="es-ES_tradnl"/>
        </w:rPr>
        <w:t xml:space="preserve">os autores presentaron </w:t>
      </w:r>
      <w:r w:rsidRPr="005B1B75">
        <w:rPr>
          <w:lang w:val="es-ES_tradnl"/>
        </w:rPr>
        <w:t>sus comentarios a las observaciones del Estado parte</w:t>
      </w:r>
      <w:r w:rsidR="00341FC2" w:rsidRPr="005B1B75">
        <w:rPr>
          <w:lang w:val="es-ES_tradnl"/>
        </w:rPr>
        <w:t xml:space="preserve"> y </w:t>
      </w:r>
      <w:r w:rsidR="00BB7D67" w:rsidRPr="005B1B75">
        <w:rPr>
          <w:lang w:val="es-ES_tradnl"/>
        </w:rPr>
        <w:t>alegaron</w:t>
      </w:r>
      <w:r w:rsidR="007145D0" w:rsidRPr="005B1B75">
        <w:rPr>
          <w:lang w:val="es-ES_tradnl"/>
        </w:rPr>
        <w:t xml:space="preserve"> que </w:t>
      </w:r>
      <w:r w:rsidR="003F3A7E" w:rsidRPr="005B1B75">
        <w:rPr>
          <w:lang w:val="es-ES_tradnl"/>
        </w:rPr>
        <w:t xml:space="preserve">las obligaciones </w:t>
      </w:r>
      <w:r w:rsidR="00BB7D67" w:rsidRPr="005B1B75">
        <w:rPr>
          <w:lang w:val="es-ES_tradnl"/>
        </w:rPr>
        <w:t xml:space="preserve">en virtud del artículo 11 del Pacto </w:t>
      </w:r>
      <w:r w:rsidR="0004056F" w:rsidRPr="005B1B75">
        <w:rPr>
          <w:lang w:val="es-ES_tradnl"/>
        </w:rPr>
        <w:t xml:space="preserve">se </w:t>
      </w:r>
      <w:r w:rsidR="0004056F" w:rsidRPr="005B1B75">
        <w:rPr>
          <w:lang w:val="es-ES_tradnl"/>
        </w:rPr>
        <w:lastRenderedPageBreak/>
        <w:t>extienden a las situaciones derivadas de viviendas de alquiler, incluido los desahucios</w:t>
      </w:r>
      <w:r w:rsidR="006A5214" w:rsidRPr="005B1B75">
        <w:rPr>
          <w:lang w:val="es-ES_tradnl"/>
        </w:rPr>
        <w:t>, que</w:t>
      </w:r>
      <w:r w:rsidR="007145D0" w:rsidRPr="005B1B75">
        <w:rPr>
          <w:lang w:val="es-ES_tradnl"/>
        </w:rPr>
        <w:t xml:space="preserve"> pueden constituir un desalojo forzoso cuando se lleven a cabo de </w:t>
      </w:r>
      <w:r w:rsidR="00174C21" w:rsidRPr="005B1B75">
        <w:rPr>
          <w:lang w:val="es-ES_tradnl"/>
        </w:rPr>
        <w:t xml:space="preserve">acuerdo a </w:t>
      </w:r>
      <w:r w:rsidR="007145D0" w:rsidRPr="005B1B75">
        <w:rPr>
          <w:lang w:val="es-ES_tradnl"/>
        </w:rPr>
        <w:t xml:space="preserve">una legislación </w:t>
      </w:r>
      <w:r w:rsidR="00174C21" w:rsidRPr="005B1B75">
        <w:rPr>
          <w:lang w:val="es-ES_tradnl"/>
        </w:rPr>
        <w:t xml:space="preserve">que </w:t>
      </w:r>
      <w:r w:rsidR="007145D0" w:rsidRPr="005B1B75">
        <w:rPr>
          <w:lang w:val="es-ES_tradnl"/>
        </w:rPr>
        <w:t xml:space="preserve">no </w:t>
      </w:r>
      <w:r w:rsidR="00174C21" w:rsidRPr="005B1B75">
        <w:rPr>
          <w:lang w:val="es-ES_tradnl"/>
        </w:rPr>
        <w:t xml:space="preserve">es </w:t>
      </w:r>
      <w:r w:rsidR="007145D0" w:rsidRPr="005B1B75">
        <w:rPr>
          <w:lang w:val="es-ES_tradnl"/>
        </w:rPr>
        <w:t>compatible con el Pacto o cuando las</w:t>
      </w:r>
      <w:r w:rsidR="00BB7D67" w:rsidRPr="005B1B75">
        <w:rPr>
          <w:lang w:val="es-ES_tradnl"/>
        </w:rPr>
        <w:t xml:space="preserve"> personas afectadas no disponen</w:t>
      </w:r>
      <w:r w:rsidR="007145D0" w:rsidRPr="005B1B75">
        <w:rPr>
          <w:lang w:val="es-ES_tradnl"/>
        </w:rPr>
        <w:t xml:space="preserve"> de todos los recursos jurídicos apropiados</w:t>
      </w:r>
      <w:r w:rsidR="007145D0" w:rsidRPr="009E41B4">
        <w:rPr>
          <w:sz w:val="18"/>
          <w:szCs w:val="18"/>
          <w:vertAlign w:val="superscript"/>
          <w:lang w:val="es-ES_tradnl"/>
        </w:rPr>
        <w:footnoteReference w:id="11"/>
      </w:r>
      <w:r w:rsidR="009158A0" w:rsidRPr="005B1B75">
        <w:rPr>
          <w:lang w:val="es-ES_tradnl"/>
        </w:rPr>
        <w:t>.</w:t>
      </w:r>
    </w:p>
    <w:p w14:paraId="2846D9EC" w14:textId="7D683700" w:rsidR="0004056F" w:rsidRPr="005B1B75" w:rsidRDefault="00A222B1" w:rsidP="00D445DC">
      <w:pPr>
        <w:pStyle w:val="SingleTxtG"/>
        <w:rPr>
          <w:lang w:val="es-ES_tradnl"/>
        </w:rPr>
      </w:pPr>
      <w:r w:rsidRPr="005B1B75">
        <w:rPr>
          <w:lang w:val="es-ES_tradnl"/>
        </w:rPr>
        <w:t>5.</w:t>
      </w:r>
      <w:r w:rsidR="00297414" w:rsidRPr="005B1B75">
        <w:rPr>
          <w:lang w:val="es-ES_tradnl"/>
        </w:rPr>
        <w:t>2</w:t>
      </w:r>
      <w:r w:rsidR="0004056F" w:rsidRPr="005B1B75">
        <w:rPr>
          <w:lang w:val="es-ES_tradnl"/>
        </w:rPr>
        <w:tab/>
      </w:r>
      <w:r w:rsidR="00297414" w:rsidRPr="005B1B75">
        <w:rPr>
          <w:lang w:val="es-ES_tradnl"/>
        </w:rPr>
        <w:t>L</w:t>
      </w:r>
      <w:r w:rsidR="00515286" w:rsidRPr="005B1B75">
        <w:rPr>
          <w:lang w:val="es-ES_tradnl"/>
        </w:rPr>
        <w:t xml:space="preserve">as observaciones del Estado parte pretenden calificar la conducta cívica del </w:t>
      </w:r>
      <w:r w:rsidR="002D0785" w:rsidRPr="005B1B75">
        <w:rPr>
          <w:lang w:val="es-ES_tradnl"/>
        </w:rPr>
        <w:t xml:space="preserve">Sr. Ben </w:t>
      </w:r>
      <w:proofErr w:type="spellStart"/>
      <w:r w:rsidR="002D0785" w:rsidRPr="005B1B75">
        <w:rPr>
          <w:lang w:val="es-ES_tradnl"/>
        </w:rPr>
        <w:t>Djazia</w:t>
      </w:r>
      <w:proofErr w:type="spellEnd"/>
      <w:r w:rsidR="00515286" w:rsidRPr="005B1B75">
        <w:rPr>
          <w:lang w:val="es-ES_tradnl"/>
        </w:rPr>
        <w:t xml:space="preserve"> </w:t>
      </w:r>
      <w:r w:rsidR="00215A64" w:rsidRPr="005B1B75">
        <w:rPr>
          <w:lang w:val="es-ES_tradnl"/>
        </w:rPr>
        <w:t xml:space="preserve">para justificar la falta de alternativa habitacional </w:t>
      </w:r>
      <w:r w:rsidRPr="005B1B75">
        <w:rPr>
          <w:lang w:val="es-ES_tradnl"/>
        </w:rPr>
        <w:t>y</w:t>
      </w:r>
      <w:r w:rsidR="00E027B6" w:rsidRPr="005B1B75">
        <w:rPr>
          <w:lang w:val="es-ES_tradnl"/>
        </w:rPr>
        <w:t xml:space="preserve"> que se invierta la carga de la prueba, colocando un halo de sospecha sobre la persona que alega ser víct</w:t>
      </w:r>
      <w:r w:rsidRPr="005B1B75">
        <w:rPr>
          <w:lang w:val="es-ES_tradnl"/>
        </w:rPr>
        <w:t>ima de una violación del Pacto.</w:t>
      </w:r>
      <w:r w:rsidR="003F3A7E" w:rsidRPr="005B1B75">
        <w:rPr>
          <w:lang w:val="es-ES_tradnl"/>
        </w:rPr>
        <w:t xml:space="preserve"> </w:t>
      </w:r>
      <w:r w:rsidRPr="005B1B75">
        <w:rPr>
          <w:lang w:val="es-ES_tradnl"/>
        </w:rPr>
        <w:t>Sin embargo, e</w:t>
      </w:r>
      <w:r w:rsidR="00E027B6" w:rsidRPr="005B1B75">
        <w:rPr>
          <w:lang w:val="es-ES_tradnl"/>
        </w:rPr>
        <w:t xml:space="preserve">l </w:t>
      </w:r>
      <w:r w:rsidR="002D0785" w:rsidRPr="005B1B75">
        <w:rPr>
          <w:lang w:val="es-ES_tradnl"/>
        </w:rPr>
        <w:t xml:space="preserve">Sr. Ben </w:t>
      </w:r>
      <w:proofErr w:type="spellStart"/>
      <w:r w:rsidR="002D0785" w:rsidRPr="005B1B75">
        <w:rPr>
          <w:lang w:val="es-ES_tradnl"/>
        </w:rPr>
        <w:t>Djazia</w:t>
      </w:r>
      <w:proofErr w:type="spellEnd"/>
      <w:r w:rsidR="00E027B6" w:rsidRPr="005B1B75">
        <w:rPr>
          <w:lang w:val="es-ES_tradnl"/>
        </w:rPr>
        <w:t xml:space="preserve"> </w:t>
      </w:r>
      <w:r w:rsidR="003F3A7E" w:rsidRPr="005B1B75">
        <w:rPr>
          <w:lang w:val="es-ES_tradnl"/>
        </w:rPr>
        <w:t>buscó</w:t>
      </w:r>
      <w:r w:rsidR="00E027B6" w:rsidRPr="005B1B75">
        <w:rPr>
          <w:lang w:val="es-ES_tradnl"/>
        </w:rPr>
        <w:t xml:space="preserve"> empleo y </w:t>
      </w:r>
      <w:r w:rsidR="003F3A7E" w:rsidRPr="005B1B75">
        <w:rPr>
          <w:lang w:val="es-ES_tradnl"/>
        </w:rPr>
        <w:t>se formó</w:t>
      </w:r>
      <w:r w:rsidR="00E027B6" w:rsidRPr="005B1B75">
        <w:rPr>
          <w:lang w:val="es-ES_tradnl"/>
        </w:rPr>
        <w:t xml:space="preserve"> laboralmente de forma diligente desde 1998</w:t>
      </w:r>
      <w:r w:rsidR="00CB07C4" w:rsidRPr="005B1B75">
        <w:rPr>
          <w:lang w:val="es-ES_tradnl"/>
        </w:rPr>
        <w:t xml:space="preserve"> al menos</w:t>
      </w:r>
      <w:r w:rsidR="00E027B6" w:rsidRPr="009E41B4">
        <w:rPr>
          <w:sz w:val="18"/>
          <w:szCs w:val="18"/>
          <w:vertAlign w:val="superscript"/>
          <w:lang w:val="es-ES_tradnl"/>
        </w:rPr>
        <w:footnoteReference w:id="12"/>
      </w:r>
      <w:r w:rsidR="00C90CF6" w:rsidRPr="005B1B75">
        <w:rPr>
          <w:lang w:val="es-ES_tradnl"/>
        </w:rPr>
        <w:t>.</w:t>
      </w:r>
      <w:r w:rsidR="00E027B6" w:rsidRPr="005B1B75">
        <w:rPr>
          <w:lang w:val="es-ES_tradnl"/>
        </w:rPr>
        <w:t xml:space="preserve"> </w:t>
      </w:r>
      <w:r w:rsidR="006A4F9E" w:rsidRPr="005B1B75">
        <w:rPr>
          <w:lang w:val="es-ES_tradnl"/>
        </w:rPr>
        <w:t>Su</w:t>
      </w:r>
      <w:r w:rsidR="009A0636" w:rsidRPr="005B1B75">
        <w:rPr>
          <w:lang w:val="es-ES_tradnl"/>
        </w:rPr>
        <w:t xml:space="preserve"> estado de ánimo depresivo o negativo</w:t>
      </w:r>
      <w:r w:rsidR="006A4F9E" w:rsidRPr="005B1B75">
        <w:rPr>
          <w:lang w:val="es-ES_tradnl"/>
        </w:rPr>
        <w:t xml:space="preserve"> ante los servicios sociales se explica por </w:t>
      </w:r>
      <w:r w:rsidR="00187498" w:rsidRPr="005B1B75">
        <w:rPr>
          <w:lang w:val="es-ES_tradnl"/>
        </w:rPr>
        <w:t xml:space="preserve">su </w:t>
      </w:r>
      <w:r w:rsidR="006A4F9E" w:rsidRPr="005B1B75">
        <w:rPr>
          <w:lang w:val="es-ES_tradnl"/>
        </w:rPr>
        <w:t>situación de desempleo</w:t>
      </w:r>
      <w:r w:rsidR="000A7DF4" w:rsidRPr="005B1B75">
        <w:rPr>
          <w:lang w:val="es-ES_tradnl"/>
        </w:rPr>
        <w:t>,</w:t>
      </w:r>
      <w:r w:rsidR="006A4F9E" w:rsidRPr="005B1B75">
        <w:rPr>
          <w:lang w:val="es-ES_tradnl"/>
        </w:rPr>
        <w:t xml:space="preserve"> con graves dificultades para proveer alimento y vestido para su familia. </w:t>
      </w:r>
      <w:r w:rsidR="009A0636" w:rsidRPr="005B1B75">
        <w:rPr>
          <w:lang w:val="es-ES_tradnl"/>
        </w:rPr>
        <w:t xml:space="preserve"> </w:t>
      </w:r>
    </w:p>
    <w:p w14:paraId="4122EB15" w14:textId="3CDA5BD1" w:rsidR="009A0636" w:rsidRPr="005B1B75" w:rsidRDefault="00A222B1" w:rsidP="00D445DC">
      <w:pPr>
        <w:pStyle w:val="SingleTxtG"/>
        <w:rPr>
          <w:lang w:val="es-ES_tradnl"/>
        </w:rPr>
      </w:pPr>
      <w:r w:rsidRPr="005B1B75">
        <w:rPr>
          <w:lang w:val="es-ES_tradnl"/>
        </w:rPr>
        <w:t xml:space="preserve">5.3 </w:t>
      </w:r>
      <w:r w:rsidRPr="005B1B75">
        <w:rPr>
          <w:lang w:val="es-ES_tradnl"/>
        </w:rPr>
        <w:tab/>
      </w:r>
      <w:r w:rsidR="00BB7D67" w:rsidRPr="005B1B75">
        <w:rPr>
          <w:lang w:val="es-ES_tradnl"/>
        </w:rPr>
        <w:t>L</w:t>
      </w:r>
      <w:r w:rsidR="00EF3D5C" w:rsidRPr="005B1B75">
        <w:rPr>
          <w:lang w:val="es-ES_tradnl"/>
        </w:rPr>
        <w:t xml:space="preserve">os servicios sociales municipales, así como otras autoridades a las que recurrieron, no tuvieron verdadero interés en su caso. </w:t>
      </w:r>
      <w:r w:rsidR="00347C3D" w:rsidRPr="005B1B75">
        <w:rPr>
          <w:lang w:val="es-ES_tradnl"/>
        </w:rPr>
        <w:t>El abogado de oficio que tenía</w:t>
      </w:r>
      <w:r w:rsidR="00334A68" w:rsidRPr="005B1B75">
        <w:rPr>
          <w:lang w:val="es-ES_tradnl"/>
        </w:rPr>
        <w:t>n</w:t>
      </w:r>
      <w:r w:rsidR="00347C3D" w:rsidRPr="005B1B75">
        <w:rPr>
          <w:lang w:val="es-ES_tradnl"/>
        </w:rPr>
        <w:t xml:space="preserve"> asignado renunció a su defensa alegando insostenibilidad y el Colegio de Abogados de Madrid denegó la solicitud del </w:t>
      </w:r>
      <w:r w:rsidR="002D0785" w:rsidRPr="005B1B75">
        <w:rPr>
          <w:lang w:val="es-ES_tradnl"/>
        </w:rPr>
        <w:t xml:space="preserve">Sr. Ben </w:t>
      </w:r>
      <w:proofErr w:type="spellStart"/>
      <w:r w:rsidR="002D0785" w:rsidRPr="005B1B75">
        <w:rPr>
          <w:lang w:val="es-ES_tradnl"/>
        </w:rPr>
        <w:t>Djazia</w:t>
      </w:r>
      <w:proofErr w:type="spellEnd"/>
      <w:r w:rsidR="00347C3D" w:rsidRPr="005B1B75">
        <w:rPr>
          <w:lang w:val="es-ES_tradnl"/>
        </w:rPr>
        <w:t xml:space="preserve"> para que se le asigne</w:t>
      </w:r>
      <w:r w:rsidR="00BB7D67" w:rsidRPr="005B1B75">
        <w:rPr>
          <w:lang w:val="es-ES_tradnl"/>
        </w:rPr>
        <w:t xml:space="preserve"> otro abogado</w:t>
      </w:r>
      <w:r w:rsidR="00347C3D" w:rsidRPr="005B1B75">
        <w:rPr>
          <w:lang w:val="es-ES_tradnl"/>
        </w:rPr>
        <w:t>.</w:t>
      </w:r>
      <w:r w:rsidR="00775FA2" w:rsidRPr="005B1B75">
        <w:rPr>
          <w:lang w:val="es-ES_tradnl"/>
        </w:rPr>
        <w:t xml:space="preserve"> </w:t>
      </w:r>
    </w:p>
    <w:p w14:paraId="0E5C0E2B" w14:textId="43A56E30" w:rsidR="009A0636" w:rsidRPr="005B1B75" w:rsidRDefault="001E6D30" w:rsidP="00D445DC">
      <w:pPr>
        <w:pStyle w:val="SingleTxtG"/>
        <w:rPr>
          <w:lang w:val="es-ES_tradnl"/>
        </w:rPr>
      </w:pPr>
      <w:r w:rsidRPr="005B1B75">
        <w:rPr>
          <w:lang w:val="es-ES_tradnl"/>
        </w:rPr>
        <w:t>5.4</w:t>
      </w:r>
      <w:r w:rsidR="009A0636" w:rsidRPr="005B1B75">
        <w:rPr>
          <w:lang w:val="es-ES_tradnl"/>
        </w:rPr>
        <w:t xml:space="preserve"> </w:t>
      </w:r>
      <w:r w:rsidR="009A0636" w:rsidRPr="005B1B75">
        <w:rPr>
          <w:lang w:val="es-ES_tradnl"/>
        </w:rPr>
        <w:tab/>
      </w:r>
      <w:r w:rsidR="005A0004" w:rsidRPr="005B1B75">
        <w:rPr>
          <w:lang w:val="es-ES_tradnl"/>
        </w:rPr>
        <w:t>Las observaciones del Estado parte</w:t>
      </w:r>
      <w:r w:rsidR="00B40049" w:rsidRPr="005B1B75">
        <w:rPr>
          <w:lang w:val="es-ES_tradnl"/>
        </w:rPr>
        <w:t xml:space="preserve"> </w:t>
      </w:r>
      <w:r w:rsidR="005A0004" w:rsidRPr="005B1B75">
        <w:rPr>
          <w:lang w:val="es-ES_tradnl"/>
        </w:rPr>
        <w:t xml:space="preserve">se refieren </w:t>
      </w:r>
      <w:r w:rsidR="00892DA6" w:rsidRPr="005B1B75">
        <w:rPr>
          <w:lang w:val="es-ES_tradnl"/>
        </w:rPr>
        <w:t xml:space="preserve">a </w:t>
      </w:r>
      <w:r w:rsidR="005A0004" w:rsidRPr="005B1B75">
        <w:rPr>
          <w:lang w:val="es-ES_tradnl"/>
        </w:rPr>
        <w:t>un ofrecimiento de los servicios sociales</w:t>
      </w:r>
      <w:r w:rsidR="00F41279" w:rsidRPr="005B1B75">
        <w:rPr>
          <w:lang w:val="es-ES_tradnl"/>
        </w:rPr>
        <w:t xml:space="preserve"> de acudir a una vivienda tute</w:t>
      </w:r>
      <w:r w:rsidR="005A0004" w:rsidRPr="005B1B75">
        <w:rPr>
          <w:lang w:val="es-ES_tradnl"/>
        </w:rPr>
        <w:t xml:space="preserve">lada para la </w:t>
      </w:r>
      <w:r w:rsidR="00562C6C" w:rsidRPr="005B1B75">
        <w:rPr>
          <w:lang w:val="es-ES_tradnl"/>
        </w:rPr>
        <w:t xml:space="preserve">Sra. </w:t>
      </w:r>
      <w:proofErr w:type="spellStart"/>
      <w:r w:rsidR="00562C6C" w:rsidRPr="005B1B75">
        <w:rPr>
          <w:lang w:val="es-ES_tradnl"/>
        </w:rPr>
        <w:t>Bellili</w:t>
      </w:r>
      <w:proofErr w:type="spellEnd"/>
      <w:r w:rsidR="005A0004" w:rsidRPr="005B1B75">
        <w:rPr>
          <w:lang w:val="es-ES_tradnl"/>
        </w:rPr>
        <w:t xml:space="preserve"> y los hijos </w:t>
      </w:r>
      <w:r w:rsidR="00C90CF6" w:rsidRPr="005B1B75">
        <w:rPr>
          <w:lang w:val="es-ES_tradnl"/>
        </w:rPr>
        <w:t>—</w:t>
      </w:r>
      <w:r w:rsidR="005A0004" w:rsidRPr="005B1B75">
        <w:rPr>
          <w:lang w:val="es-ES_tradnl"/>
        </w:rPr>
        <w:t xml:space="preserve">sin el </w:t>
      </w:r>
      <w:r w:rsidR="002D0785" w:rsidRPr="005B1B75">
        <w:rPr>
          <w:lang w:val="es-ES_tradnl"/>
        </w:rPr>
        <w:t xml:space="preserve">Sr. Ben </w:t>
      </w:r>
      <w:proofErr w:type="spellStart"/>
      <w:r w:rsidR="002D0785" w:rsidRPr="005B1B75">
        <w:rPr>
          <w:lang w:val="es-ES_tradnl"/>
        </w:rPr>
        <w:t>Djazia</w:t>
      </w:r>
      <w:proofErr w:type="spellEnd"/>
      <w:r w:rsidR="00C90CF6" w:rsidRPr="005B1B75">
        <w:rPr>
          <w:lang w:val="es-ES_tradnl"/>
        </w:rPr>
        <w:t>—</w:t>
      </w:r>
      <w:r w:rsidR="00F41279" w:rsidRPr="005B1B75">
        <w:rPr>
          <w:lang w:val="es-ES_tradnl"/>
        </w:rPr>
        <w:t xml:space="preserve"> lo que habría ocasionado la separación de la familia y secuelas psicológicas en los hijos</w:t>
      </w:r>
      <w:r w:rsidR="00070DD0" w:rsidRPr="005B1B75">
        <w:rPr>
          <w:lang w:val="es-ES_tradnl"/>
        </w:rPr>
        <w:t>,</w:t>
      </w:r>
      <w:r w:rsidR="00F41279" w:rsidRPr="005B1B75">
        <w:rPr>
          <w:lang w:val="es-ES_tradnl"/>
        </w:rPr>
        <w:t xml:space="preserve"> incluso más graves que el </w:t>
      </w:r>
      <w:r w:rsidR="00BB7D67" w:rsidRPr="005B1B75">
        <w:rPr>
          <w:lang w:val="es-ES_tradnl"/>
        </w:rPr>
        <w:t>desahucio.</w:t>
      </w:r>
      <w:r w:rsidR="00496C93" w:rsidRPr="005B1B75">
        <w:rPr>
          <w:lang w:val="es-ES_tradnl"/>
        </w:rPr>
        <w:t xml:space="preserve"> </w:t>
      </w:r>
      <w:r w:rsidR="005A0004" w:rsidRPr="005B1B75">
        <w:rPr>
          <w:lang w:val="es-ES_tradnl"/>
        </w:rPr>
        <w:t>En cualquier caso, l</w:t>
      </w:r>
      <w:r w:rsidR="00496C93" w:rsidRPr="005B1B75">
        <w:rPr>
          <w:lang w:val="es-ES_tradnl"/>
        </w:rPr>
        <w:t>os autores alegan que tras la invitación de abandonar el albergue de emergencia</w:t>
      </w:r>
      <w:r w:rsidR="00BB7D67" w:rsidRPr="005B1B75">
        <w:rPr>
          <w:lang w:val="es-ES_tradnl"/>
        </w:rPr>
        <w:t xml:space="preserve"> del </w:t>
      </w:r>
      <w:proofErr w:type="spellStart"/>
      <w:r w:rsidR="00BB7D67" w:rsidRPr="005B1B75">
        <w:rPr>
          <w:lang w:val="es-ES_tradnl"/>
        </w:rPr>
        <w:t>S</w:t>
      </w:r>
      <w:r w:rsidR="00A47877" w:rsidRPr="005B1B75">
        <w:rPr>
          <w:lang w:val="es-ES_tradnl"/>
        </w:rPr>
        <w:t>amur</w:t>
      </w:r>
      <w:proofErr w:type="spellEnd"/>
      <w:r w:rsidR="00BB7D67" w:rsidRPr="005B1B75">
        <w:rPr>
          <w:lang w:val="es-ES_tradnl"/>
        </w:rPr>
        <w:t>, que no podía prorroga</w:t>
      </w:r>
      <w:r w:rsidR="00334A68" w:rsidRPr="005B1B75">
        <w:rPr>
          <w:lang w:val="es-ES_tradnl"/>
        </w:rPr>
        <w:t>r</w:t>
      </w:r>
      <w:r w:rsidR="00BB7D67" w:rsidRPr="005B1B75">
        <w:rPr>
          <w:lang w:val="es-ES_tradnl"/>
        </w:rPr>
        <w:t>se</w:t>
      </w:r>
      <w:r w:rsidR="005A0004" w:rsidRPr="005B1B75">
        <w:rPr>
          <w:lang w:val="es-ES_tradnl"/>
        </w:rPr>
        <w:t>, no se les ofreció ninguna alternativa de alojamiento digno</w:t>
      </w:r>
      <w:r w:rsidR="00496C93" w:rsidRPr="005B1B75">
        <w:rPr>
          <w:lang w:val="es-ES_tradnl"/>
        </w:rPr>
        <w:t xml:space="preserve">. </w:t>
      </w:r>
      <w:r w:rsidR="00F41279" w:rsidRPr="005B1B75">
        <w:rPr>
          <w:lang w:val="es-ES_tradnl"/>
        </w:rPr>
        <w:t xml:space="preserve"> </w:t>
      </w:r>
    </w:p>
    <w:p w14:paraId="7C9847FB" w14:textId="303CD539" w:rsidR="009A0636" w:rsidRPr="005B1B75" w:rsidRDefault="001E6D30" w:rsidP="00D445DC">
      <w:pPr>
        <w:pStyle w:val="SingleTxtG"/>
        <w:rPr>
          <w:lang w:val="es-ES_tradnl"/>
        </w:rPr>
      </w:pPr>
      <w:r w:rsidRPr="005B1B75">
        <w:rPr>
          <w:lang w:val="es-ES_tradnl"/>
        </w:rPr>
        <w:t>5.</w:t>
      </w:r>
      <w:r w:rsidR="00CF7A09" w:rsidRPr="005B1B75">
        <w:rPr>
          <w:lang w:val="es-ES_tradnl"/>
        </w:rPr>
        <w:t>5</w:t>
      </w:r>
      <w:r w:rsidR="00496C93" w:rsidRPr="005B1B75">
        <w:rPr>
          <w:lang w:val="es-ES_tradnl"/>
        </w:rPr>
        <w:t xml:space="preserve"> </w:t>
      </w:r>
      <w:r w:rsidR="00496C93" w:rsidRPr="005B1B75">
        <w:rPr>
          <w:lang w:val="es-ES_tradnl"/>
        </w:rPr>
        <w:tab/>
      </w:r>
      <w:r w:rsidR="00D06D83" w:rsidRPr="005B1B75">
        <w:rPr>
          <w:lang w:val="es-ES_tradnl"/>
        </w:rPr>
        <w:t>E</w:t>
      </w:r>
      <w:r w:rsidR="00496C93" w:rsidRPr="005B1B75">
        <w:rPr>
          <w:lang w:val="es-ES_tradnl"/>
        </w:rPr>
        <w:t xml:space="preserve">l Estado parte no atendió a </w:t>
      </w:r>
      <w:r w:rsidR="00D06D83" w:rsidRPr="005B1B75">
        <w:rPr>
          <w:lang w:val="es-ES_tradnl"/>
        </w:rPr>
        <w:t xml:space="preserve">la solicitud del </w:t>
      </w:r>
      <w:r w:rsidR="002D0785" w:rsidRPr="005B1B75">
        <w:rPr>
          <w:lang w:val="es-ES_tradnl"/>
        </w:rPr>
        <w:t xml:space="preserve">Sr. Ben </w:t>
      </w:r>
      <w:proofErr w:type="spellStart"/>
      <w:r w:rsidR="002D0785" w:rsidRPr="005B1B75">
        <w:rPr>
          <w:lang w:val="es-ES_tradnl"/>
        </w:rPr>
        <w:t>Djazia</w:t>
      </w:r>
      <w:proofErr w:type="spellEnd"/>
      <w:r w:rsidR="00496C93" w:rsidRPr="005B1B75">
        <w:rPr>
          <w:lang w:val="es-ES_tradnl"/>
        </w:rPr>
        <w:t xml:space="preserve"> de vivienda social</w:t>
      </w:r>
      <w:r w:rsidR="00D06D83" w:rsidRPr="005B1B75">
        <w:rPr>
          <w:lang w:val="es-ES_tradnl"/>
        </w:rPr>
        <w:t xml:space="preserve"> desde 1999</w:t>
      </w:r>
      <w:r w:rsidR="006A5214" w:rsidRPr="005B1B75">
        <w:rPr>
          <w:lang w:val="es-ES_tradnl"/>
        </w:rPr>
        <w:t xml:space="preserve"> y</w:t>
      </w:r>
      <w:r w:rsidR="00D06D83" w:rsidRPr="005B1B75">
        <w:rPr>
          <w:lang w:val="es-ES_tradnl"/>
        </w:rPr>
        <w:t xml:space="preserve"> en años posteriores</w:t>
      </w:r>
      <w:r w:rsidR="00496C93" w:rsidRPr="005B1B75">
        <w:rPr>
          <w:lang w:val="es-ES_tradnl"/>
        </w:rPr>
        <w:t xml:space="preserve"> </w:t>
      </w:r>
      <w:r w:rsidR="00381647" w:rsidRPr="005B1B75">
        <w:rPr>
          <w:lang w:val="es-ES_tradnl"/>
        </w:rPr>
        <w:t>redujo</w:t>
      </w:r>
      <w:r w:rsidR="00496C93" w:rsidRPr="005B1B75">
        <w:rPr>
          <w:lang w:val="es-ES_tradnl"/>
        </w:rPr>
        <w:t xml:space="preserve"> el número de vivienda pública</w:t>
      </w:r>
      <w:r w:rsidR="00A031C0" w:rsidRPr="005B1B75">
        <w:rPr>
          <w:lang w:val="es-ES_tradnl"/>
        </w:rPr>
        <w:t>,</w:t>
      </w:r>
      <w:r w:rsidR="00496C93" w:rsidRPr="005B1B75">
        <w:rPr>
          <w:lang w:val="es-ES_tradnl"/>
        </w:rPr>
        <w:t xml:space="preserve"> a pesar de que no contaba con viviendas suficientes</w:t>
      </w:r>
      <w:r w:rsidR="00A031C0" w:rsidRPr="005B1B75">
        <w:rPr>
          <w:lang w:val="es-ES_tradnl"/>
        </w:rPr>
        <w:t xml:space="preserve"> para atender </w:t>
      </w:r>
      <w:r w:rsidR="006A5214" w:rsidRPr="005B1B75">
        <w:rPr>
          <w:lang w:val="es-ES_tradnl"/>
        </w:rPr>
        <w:t xml:space="preserve">las </w:t>
      </w:r>
      <w:r w:rsidR="00A031C0" w:rsidRPr="005B1B75">
        <w:rPr>
          <w:lang w:val="es-ES_tradnl"/>
        </w:rPr>
        <w:t xml:space="preserve">situaciones de emergencia </w:t>
      </w:r>
      <w:r w:rsidR="006A5214" w:rsidRPr="005B1B75">
        <w:rPr>
          <w:lang w:val="es-ES_tradnl"/>
        </w:rPr>
        <w:t xml:space="preserve">derivadas de la </w:t>
      </w:r>
      <w:r w:rsidR="00496C93" w:rsidRPr="005B1B75">
        <w:rPr>
          <w:lang w:val="es-ES_tradnl"/>
        </w:rPr>
        <w:t xml:space="preserve">grave crisis económica. </w:t>
      </w:r>
      <w:r w:rsidR="00BB7D67" w:rsidRPr="005B1B75">
        <w:rPr>
          <w:lang w:val="es-ES_tradnl"/>
        </w:rPr>
        <w:t>L</w:t>
      </w:r>
      <w:r w:rsidR="00496C93" w:rsidRPr="005B1B75">
        <w:rPr>
          <w:lang w:val="es-ES_tradnl"/>
        </w:rPr>
        <w:t>as autoridades de Madrid vendieron vivienda</w:t>
      </w:r>
      <w:r w:rsidR="00C90CF6" w:rsidRPr="005B1B75">
        <w:rPr>
          <w:lang w:val="es-ES_tradnl"/>
        </w:rPr>
        <w:t>s</w:t>
      </w:r>
      <w:r w:rsidR="00496C93" w:rsidRPr="005B1B75">
        <w:rPr>
          <w:lang w:val="es-ES_tradnl"/>
        </w:rPr>
        <w:t xml:space="preserve"> </w:t>
      </w:r>
      <w:r w:rsidR="00381647" w:rsidRPr="005B1B75">
        <w:rPr>
          <w:lang w:val="es-ES_tradnl"/>
        </w:rPr>
        <w:t>pública</w:t>
      </w:r>
      <w:r w:rsidR="00C90CF6" w:rsidRPr="005B1B75">
        <w:rPr>
          <w:lang w:val="es-ES_tradnl"/>
        </w:rPr>
        <w:t>s</w:t>
      </w:r>
      <w:r w:rsidR="00496C93" w:rsidRPr="005B1B75">
        <w:rPr>
          <w:lang w:val="es-ES_tradnl"/>
        </w:rPr>
        <w:t xml:space="preserve"> a </w:t>
      </w:r>
      <w:r w:rsidR="00CF7A09" w:rsidRPr="005B1B75">
        <w:rPr>
          <w:lang w:val="es-ES_tradnl"/>
        </w:rPr>
        <w:t xml:space="preserve">fondos </w:t>
      </w:r>
      <w:r w:rsidR="00496C93" w:rsidRPr="005B1B75">
        <w:rPr>
          <w:lang w:val="es-ES_tradnl"/>
        </w:rPr>
        <w:t xml:space="preserve">de inversión, reduciendo así el parque disponible. </w:t>
      </w:r>
      <w:r w:rsidR="00342EEC" w:rsidRPr="005B1B75">
        <w:rPr>
          <w:lang w:val="es-ES_tradnl"/>
        </w:rPr>
        <w:t xml:space="preserve">Por ejemplo, en 2013, el </w:t>
      </w:r>
      <w:proofErr w:type="spellStart"/>
      <w:r w:rsidR="00342EEC" w:rsidRPr="005B1B75">
        <w:rPr>
          <w:lang w:val="es-ES_tradnl"/>
        </w:rPr>
        <w:t>IVIMA</w:t>
      </w:r>
      <w:proofErr w:type="spellEnd"/>
      <w:r w:rsidR="00342EEC" w:rsidRPr="005B1B75">
        <w:rPr>
          <w:lang w:val="es-ES_tradnl"/>
        </w:rPr>
        <w:t xml:space="preserve"> vendió 2</w:t>
      </w:r>
      <w:r w:rsidR="00C90CF6" w:rsidRPr="005B1B75">
        <w:rPr>
          <w:lang w:val="es-ES_tradnl"/>
        </w:rPr>
        <w:t>.</w:t>
      </w:r>
      <w:r w:rsidR="00342EEC" w:rsidRPr="005B1B75">
        <w:rPr>
          <w:lang w:val="es-ES_tradnl"/>
        </w:rPr>
        <w:t>935 casas y otras propiedades a una entidad pri</w:t>
      </w:r>
      <w:r w:rsidR="00A031C0" w:rsidRPr="005B1B75">
        <w:rPr>
          <w:lang w:val="es-ES_tradnl"/>
        </w:rPr>
        <w:t>vada por 201 millones de euros, por motivos de equilibrio presupuestario</w:t>
      </w:r>
      <w:r w:rsidR="00A031C0" w:rsidRPr="009E41B4">
        <w:rPr>
          <w:sz w:val="18"/>
          <w:szCs w:val="18"/>
          <w:vertAlign w:val="superscript"/>
          <w:lang w:val="es-ES_tradnl"/>
        </w:rPr>
        <w:footnoteReference w:id="13"/>
      </w:r>
      <w:r w:rsidR="00C90CF6" w:rsidRPr="005B1B75">
        <w:rPr>
          <w:lang w:val="es-ES_tradnl"/>
        </w:rPr>
        <w:t>.</w:t>
      </w:r>
      <w:r w:rsidR="00A031C0" w:rsidRPr="005B1B75">
        <w:rPr>
          <w:lang w:val="es-ES_tradnl"/>
        </w:rPr>
        <w:t xml:space="preserve"> </w:t>
      </w:r>
    </w:p>
    <w:p w14:paraId="790E6982" w14:textId="77777777" w:rsidR="00A031C0" w:rsidRPr="005B1B75" w:rsidRDefault="00A031C0" w:rsidP="00D445DC">
      <w:pPr>
        <w:pStyle w:val="H23G"/>
        <w:rPr>
          <w:lang w:val="es-ES_tradnl"/>
        </w:rPr>
      </w:pPr>
      <w:r w:rsidRPr="005B1B75">
        <w:rPr>
          <w:lang w:val="es-ES_tradnl"/>
        </w:rPr>
        <w:tab/>
      </w:r>
      <w:r w:rsidRPr="005B1B75">
        <w:rPr>
          <w:lang w:val="es-ES_tradnl"/>
        </w:rPr>
        <w:tab/>
        <w:t>Observaciones del Estado parte sobre el fondo</w:t>
      </w:r>
    </w:p>
    <w:p w14:paraId="38F28DD9" w14:textId="28CCC70C" w:rsidR="00A031C0" w:rsidRPr="005B1B75" w:rsidRDefault="00A031C0" w:rsidP="0048522D">
      <w:pPr>
        <w:pStyle w:val="SingleTxtG"/>
        <w:rPr>
          <w:lang w:val="es-ES_tradnl"/>
        </w:rPr>
      </w:pPr>
      <w:r w:rsidRPr="005B1B75">
        <w:rPr>
          <w:lang w:val="es-ES_tradnl"/>
        </w:rPr>
        <w:t xml:space="preserve">6.1 </w:t>
      </w:r>
      <w:r w:rsidRPr="005B1B75">
        <w:rPr>
          <w:lang w:val="es-ES_tradnl"/>
        </w:rPr>
        <w:tab/>
        <w:t xml:space="preserve">El 17 de septiembre de 2015, el Estado parte presentó sus observaciones sobre el fondo y reiteró </w:t>
      </w:r>
      <w:r w:rsidR="005F3699" w:rsidRPr="005B1B75">
        <w:rPr>
          <w:lang w:val="es-ES_tradnl"/>
        </w:rPr>
        <w:t xml:space="preserve">sus argumentos respecto a la inadmisibilidad de </w:t>
      </w:r>
      <w:r w:rsidR="00253774" w:rsidRPr="005B1B75">
        <w:rPr>
          <w:lang w:val="es-ES_tradnl"/>
        </w:rPr>
        <w:t>la comunicación</w:t>
      </w:r>
      <w:r w:rsidRPr="005B1B75">
        <w:rPr>
          <w:lang w:val="es-ES_tradnl"/>
        </w:rPr>
        <w:t>.</w:t>
      </w:r>
    </w:p>
    <w:p w14:paraId="4C388DC8" w14:textId="57AF1628" w:rsidR="00A031C0" w:rsidRPr="005B1B75" w:rsidRDefault="00A031C0" w:rsidP="00D445DC">
      <w:pPr>
        <w:pStyle w:val="SingleTxtG"/>
        <w:rPr>
          <w:lang w:val="es-ES_tradnl"/>
        </w:rPr>
      </w:pPr>
      <w:r w:rsidRPr="005B1B75">
        <w:rPr>
          <w:lang w:val="es-ES_tradnl"/>
        </w:rPr>
        <w:t xml:space="preserve">6.2 </w:t>
      </w:r>
      <w:r w:rsidRPr="005B1B75">
        <w:rPr>
          <w:lang w:val="es-ES_tradnl"/>
        </w:rPr>
        <w:tab/>
        <w:t>El Estado parte señala que</w:t>
      </w:r>
      <w:r w:rsidR="00C379BC" w:rsidRPr="005B1B75">
        <w:rPr>
          <w:lang w:val="es-ES_tradnl"/>
        </w:rPr>
        <w:t>,</w:t>
      </w:r>
      <w:r w:rsidR="005F3699" w:rsidRPr="005B1B75">
        <w:rPr>
          <w:lang w:val="es-ES_tradnl"/>
        </w:rPr>
        <w:t xml:space="preserve"> n</w:t>
      </w:r>
      <w:r w:rsidR="00856038" w:rsidRPr="005B1B75">
        <w:rPr>
          <w:lang w:val="es-ES_tradnl"/>
        </w:rPr>
        <w:t xml:space="preserve">otificada la demanda, el </w:t>
      </w:r>
      <w:r w:rsidR="002D0785" w:rsidRPr="005B1B75">
        <w:rPr>
          <w:lang w:val="es-ES_tradnl"/>
        </w:rPr>
        <w:t xml:space="preserve">Sr. Ben </w:t>
      </w:r>
      <w:proofErr w:type="spellStart"/>
      <w:r w:rsidR="002D0785" w:rsidRPr="005B1B75">
        <w:rPr>
          <w:lang w:val="es-ES_tradnl"/>
        </w:rPr>
        <w:t>Djazia</w:t>
      </w:r>
      <w:proofErr w:type="spellEnd"/>
      <w:r w:rsidR="00856038" w:rsidRPr="005B1B75">
        <w:rPr>
          <w:lang w:val="es-ES_tradnl"/>
        </w:rPr>
        <w:t xml:space="preserve"> contó con un procurador y abogado de oficio de forma gratuita. </w:t>
      </w:r>
      <w:r w:rsidR="00B15EEA" w:rsidRPr="005B1B75">
        <w:rPr>
          <w:lang w:val="es-ES_tradnl"/>
        </w:rPr>
        <w:t xml:space="preserve">Sin embargo, el abogado consideró que la pretensión era insostenible y dicha opinión fue confirmada por la Comisión de Justicia Gratuita. No obstante, el </w:t>
      </w:r>
      <w:r w:rsidR="002D0785" w:rsidRPr="005B1B75">
        <w:rPr>
          <w:lang w:val="es-ES_tradnl"/>
        </w:rPr>
        <w:t xml:space="preserve">Sr. Ben </w:t>
      </w:r>
      <w:proofErr w:type="spellStart"/>
      <w:r w:rsidR="002D0785" w:rsidRPr="005B1B75">
        <w:rPr>
          <w:lang w:val="es-ES_tradnl"/>
        </w:rPr>
        <w:t>Djazia</w:t>
      </w:r>
      <w:proofErr w:type="spellEnd"/>
      <w:r w:rsidR="00B15EEA" w:rsidRPr="005B1B75">
        <w:rPr>
          <w:lang w:val="es-ES_tradnl"/>
        </w:rPr>
        <w:t xml:space="preserve"> estuvo representado por un abogado de su elección. </w:t>
      </w:r>
    </w:p>
    <w:p w14:paraId="30A4043A" w14:textId="09307AEC" w:rsidR="00CC7AB6" w:rsidRPr="005B1B75" w:rsidRDefault="00B15EEA" w:rsidP="00D445DC">
      <w:pPr>
        <w:pStyle w:val="SingleTxtG"/>
        <w:rPr>
          <w:lang w:val="es-ES_tradnl"/>
        </w:rPr>
      </w:pPr>
      <w:r w:rsidRPr="005B1B75">
        <w:rPr>
          <w:lang w:val="es-ES_tradnl"/>
        </w:rPr>
        <w:t>6.3</w:t>
      </w:r>
      <w:r w:rsidR="00F45BCB" w:rsidRPr="005B1B75">
        <w:rPr>
          <w:lang w:val="es-ES_tradnl"/>
        </w:rPr>
        <w:t xml:space="preserve"> </w:t>
      </w:r>
      <w:r w:rsidR="00F45BCB" w:rsidRPr="005B1B75">
        <w:rPr>
          <w:lang w:val="es-ES_tradnl"/>
        </w:rPr>
        <w:tab/>
        <w:t xml:space="preserve">El Estado parte </w:t>
      </w:r>
      <w:r w:rsidR="00253774" w:rsidRPr="005B1B75">
        <w:rPr>
          <w:lang w:val="es-ES_tradnl"/>
        </w:rPr>
        <w:t xml:space="preserve">reitera </w:t>
      </w:r>
      <w:r w:rsidR="00CC7AB6" w:rsidRPr="005B1B75">
        <w:rPr>
          <w:lang w:val="es-ES_tradnl"/>
        </w:rPr>
        <w:t>que la situación no es un desalojo forzoso</w:t>
      </w:r>
      <w:r w:rsidR="006A5214" w:rsidRPr="005B1B75">
        <w:rPr>
          <w:lang w:val="es-ES_tradnl"/>
        </w:rPr>
        <w:t>, aunque</w:t>
      </w:r>
      <w:r w:rsidR="00793FB0" w:rsidRPr="005B1B75">
        <w:rPr>
          <w:lang w:val="es-ES_tradnl"/>
        </w:rPr>
        <w:t xml:space="preserve"> los autores </w:t>
      </w:r>
      <w:r w:rsidR="006A5214" w:rsidRPr="005B1B75">
        <w:rPr>
          <w:lang w:val="es-ES_tradnl"/>
        </w:rPr>
        <w:t xml:space="preserve">la </w:t>
      </w:r>
      <w:r w:rsidR="00793FB0" w:rsidRPr="005B1B75">
        <w:rPr>
          <w:lang w:val="es-ES_tradnl"/>
        </w:rPr>
        <w:t>califique</w:t>
      </w:r>
      <w:r w:rsidR="006A5214" w:rsidRPr="005B1B75">
        <w:rPr>
          <w:lang w:val="es-ES_tradnl"/>
        </w:rPr>
        <w:t>n así. E</w:t>
      </w:r>
      <w:r w:rsidR="00793FB0" w:rsidRPr="005B1B75">
        <w:rPr>
          <w:lang w:val="es-ES_tradnl"/>
        </w:rPr>
        <w:t xml:space="preserve">l proceso judicial </w:t>
      </w:r>
      <w:r w:rsidR="005F3699" w:rsidRPr="005B1B75">
        <w:rPr>
          <w:lang w:val="es-ES_tradnl"/>
        </w:rPr>
        <w:t xml:space="preserve">ante el Juzgado </w:t>
      </w:r>
      <w:r w:rsidR="001A643F" w:rsidRPr="005B1B75">
        <w:rPr>
          <w:lang w:val="es-ES_tradnl"/>
        </w:rPr>
        <w:t>núm.</w:t>
      </w:r>
      <w:r w:rsidR="005F3699" w:rsidRPr="005B1B75">
        <w:rPr>
          <w:lang w:val="es-ES_tradnl"/>
        </w:rPr>
        <w:t xml:space="preserve"> 37 </w:t>
      </w:r>
      <w:r w:rsidR="00793FB0" w:rsidRPr="005B1B75">
        <w:rPr>
          <w:lang w:val="es-ES_tradnl"/>
        </w:rPr>
        <w:t>observó todas las garantías procesales aplicables según el Pacto</w:t>
      </w:r>
      <w:r w:rsidR="00793FB0" w:rsidRPr="009E41B4">
        <w:rPr>
          <w:sz w:val="18"/>
          <w:szCs w:val="18"/>
          <w:vertAlign w:val="superscript"/>
          <w:lang w:val="es-ES_tradnl"/>
        </w:rPr>
        <w:footnoteReference w:id="14"/>
      </w:r>
      <w:r w:rsidR="00A32A1B" w:rsidRPr="005B1B75">
        <w:rPr>
          <w:lang w:val="es-ES_tradnl"/>
        </w:rPr>
        <w:t>.</w:t>
      </w:r>
      <w:r w:rsidR="00765BFF" w:rsidRPr="005B1B75">
        <w:rPr>
          <w:lang w:val="es-ES_tradnl"/>
        </w:rPr>
        <w:t xml:space="preserve"> El </w:t>
      </w:r>
      <w:r w:rsidR="002D0785" w:rsidRPr="005B1B75">
        <w:rPr>
          <w:lang w:val="es-ES_tradnl"/>
        </w:rPr>
        <w:t xml:space="preserve">Sr. Ben </w:t>
      </w:r>
      <w:proofErr w:type="spellStart"/>
      <w:r w:rsidR="002D0785" w:rsidRPr="005B1B75">
        <w:rPr>
          <w:lang w:val="es-ES_tradnl"/>
        </w:rPr>
        <w:t>Djazia</w:t>
      </w:r>
      <w:proofErr w:type="spellEnd"/>
      <w:r w:rsidR="00765BFF" w:rsidRPr="005B1B75">
        <w:rPr>
          <w:lang w:val="es-ES_tradnl"/>
        </w:rPr>
        <w:t xml:space="preserve"> fue informado con suficiente antelación de la resolución del contrato de alquiler</w:t>
      </w:r>
      <w:r w:rsidR="00A40AC0" w:rsidRPr="005B1B75">
        <w:rPr>
          <w:lang w:val="es-ES_tradnl"/>
        </w:rPr>
        <w:t xml:space="preserve">, </w:t>
      </w:r>
      <w:r w:rsidR="000B59F6" w:rsidRPr="005B1B75">
        <w:rPr>
          <w:lang w:val="es-ES_tradnl"/>
        </w:rPr>
        <w:t>en marzo de 2012</w:t>
      </w:r>
      <w:r w:rsidR="00765BFF" w:rsidRPr="005B1B75">
        <w:rPr>
          <w:lang w:val="es-ES_tradnl"/>
        </w:rPr>
        <w:t xml:space="preserve">. Durante este tiempo, tuvo oportunidad </w:t>
      </w:r>
      <w:r w:rsidR="005F3699" w:rsidRPr="005B1B75">
        <w:rPr>
          <w:lang w:val="es-ES_tradnl"/>
        </w:rPr>
        <w:t xml:space="preserve">de </w:t>
      </w:r>
      <w:r w:rsidR="00765BFF" w:rsidRPr="005B1B75">
        <w:rPr>
          <w:lang w:val="es-ES_tradnl"/>
        </w:rPr>
        <w:t xml:space="preserve">comunicarse con los </w:t>
      </w:r>
      <w:r w:rsidR="00C379BC" w:rsidRPr="005B1B75">
        <w:rPr>
          <w:lang w:val="es-ES_tradnl"/>
        </w:rPr>
        <w:t>S</w:t>
      </w:r>
      <w:r w:rsidR="00765BFF" w:rsidRPr="005B1B75">
        <w:rPr>
          <w:lang w:val="es-ES_tradnl"/>
        </w:rPr>
        <w:t xml:space="preserve">ervicios </w:t>
      </w:r>
      <w:r w:rsidR="00C379BC" w:rsidRPr="005B1B75">
        <w:rPr>
          <w:lang w:val="es-ES_tradnl"/>
        </w:rPr>
        <w:t>S</w:t>
      </w:r>
      <w:r w:rsidR="00765BFF" w:rsidRPr="005B1B75">
        <w:rPr>
          <w:lang w:val="es-ES_tradnl"/>
        </w:rPr>
        <w:t xml:space="preserve">ociales </w:t>
      </w:r>
      <w:r w:rsidR="00253774" w:rsidRPr="005B1B75">
        <w:rPr>
          <w:lang w:val="es-ES_tradnl"/>
        </w:rPr>
        <w:t>de la Comunidad y Ayuntamiento</w:t>
      </w:r>
      <w:r w:rsidR="00765BFF" w:rsidRPr="005B1B75">
        <w:rPr>
          <w:lang w:val="es-ES_tradnl"/>
        </w:rPr>
        <w:t xml:space="preserve"> de Madrid. El desahucio tuvo lugar a una hora adecuada y en presencia de funcionarios del Juzgado, policía y los representantes de las partes que quisieron acudir. </w:t>
      </w:r>
      <w:r w:rsidR="002F5F46" w:rsidRPr="005B1B75">
        <w:rPr>
          <w:lang w:val="es-ES_tradnl"/>
        </w:rPr>
        <w:t xml:space="preserve">El </w:t>
      </w:r>
      <w:r w:rsidR="002D0785" w:rsidRPr="005B1B75">
        <w:rPr>
          <w:lang w:val="es-ES_tradnl"/>
        </w:rPr>
        <w:t xml:space="preserve">Sr. Ben </w:t>
      </w:r>
      <w:proofErr w:type="spellStart"/>
      <w:r w:rsidR="002D0785" w:rsidRPr="005B1B75">
        <w:rPr>
          <w:lang w:val="es-ES_tradnl"/>
        </w:rPr>
        <w:t>Djazia</w:t>
      </w:r>
      <w:proofErr w:type="spellEnd"/>
      <w:r w:rsidR="002F5F46" w:rsidRPr="005B1B75">
        <w:rPr>
          <w:lang w:val="es-ES_tradnl"/>
        </w:rPr>
        <w:t xml:space="preserve"> pudo personarse en el proceso seguido ante el Juzgado </w:t>
      </w:r>
      <w:r w:rsidR="001A643F" w:rsidRPr="005B1B75">
        <w:rPr>
          <w:lang w:val="es-ES_tradnl"/>
        </w:rPr>
        <w:t>núm.</w:t>
      </w:r>
      <w:r w:rsidR="002F5F46" w:rsidRPr="005B1B75">
        <w:rPr>
          <w:lang w:val="es-ES_tradnl"/>
        </w:rPr>
        <w:t xml:space="preserve"> </w:t>
      </w:r>
      <w:r w:rsidR="004936EA" w:rsidRPr="005B1B75">
        <w:rPr>
          <w:lang w:val="es-ES_tradnl"/>
        </w:rPr>
        <w:t xml:space="preserve">37 y presentar recursos. También pudo presentar un recurso de amparo ante el Tribunal Constitucional y una solicitud de medidas provisionales ante el </w:t>
      </w:r>
      <w:r w:rsidR="00A32A1B" w:rsidRPr="005B1B75">
        <w:rPr>
          <w:lang w:val="es-ES_tradnl"/>
        </w:rPr>
        <w:t>Tribunal Europeo de Derechos Humanos</w:t>
      </w:r>
      <w:r w:rsidR="004936EA" w:rsidRPr="005B1B75">
        <w:rPr>
          <w:lang w:val="es-ES_tradnl"/>
        </w:rPr>
        <w:t>.</w:t>
      </w:r>
    </w:p>
    <w:p w14:paraId="201F496A" w14:textId="293D9CF6" w:rsidR="00BF0E80" w:rsidRPr="0048522D" w:rsidRDefault="00731D13" w:rsidP="0048522D">
      <w:pPr>
        <w:pStyle w:val="H23G"/>
        <w:rPr>
          <w:lang w:val="es-ES_tradnl"/>
        </w:rPr>
      </w:pPr>
      <w:r w:rsidRPr="005B1B75">
        <w:rPr>
          <w:lang w:val="es-ES_tradnl"/>
        </w:rPr>
        <w:lastRenderedPageBreak/>
        <w:tab/>
      </w:r>
      <w:r w:rsidRPr="005B1B75">
        <w:rPr>
          <w:lang w:val="es-ES_tradnl"/>
        </w:rPr>
        <w:tab/>
      </w:r>
      <w:r w:rsidR="00BF0E80" w:rsidRPr="005B1B75">
        <w:rPr>
          <w:lang w:val="es-ES_tradnl"/>
        </w:rPr>
        <w:t xml:space="preserve">Comentarios de los autores sobre las observaciones del Estado parte </w:t>
      </w:r>
      <w:r w:rsidR="00BF0E80" w:rsidRPr="005B1B75">
        <w:rPr>
          <w:lang w:val="es-ES_tradnl"/>
        </w:rPr>
        <w:br/>
        <w:t>acerca del fondo</w:t>
      </w:r>
    </w:p>
    <w:p w14:paraId="7E3E83A7" w14:textId="6F8C966D" w:rsidR="00BF0E80" w:rsidRPr="005B1B75" w:rsidRDefault="00BF0E80" w:rsidP="00D445DC">
      <w:pPr>
        <w:pStyle w:val="SingleTxtG"/>
        <w:rPr>
          <w:lang w:val="es-ES_tradnl"/>
        </w:rPr>
      </w:pPr>
      <w:r w:rsidRPr="005B1B75">
        <w:rPr>
          <w:lang w:val="es-ES_tradnl"/>
        </w:rPr>
        <w:t>7.1</w:t>
      </w:r>
      <w:r w:rsidR="004936EA" w:rsidRPr="005B1B75">
        <w:rPr>
          <w:lang w:val="es-ES_tradnl"/>
        </w:rPr>
        <w:t xml:space="preserve"> </w:t>
      </w:r>
      <w:r w:rsidR="004A5466" w:rsidRPr="005B1B75">
        <w:rPr>
          <w:lang w:val="es-ES_tradnl"/>
        </w:rPr>
        <w:tab/>
      </w:r>
      <w:r w:rsidRPr="005B1B75">
        <w:rPr>
          <w:lang w:val="es-ES_tradnl"/>
        </w:rPr>
        <w:t>El 22 de febrero de 2016, los autores dieron respuesta a las observaciones del Estado parte sobre el fondo</w:t>
      </w:r>
      <w:r w:rsidR="0076040E" w:rsidRPr="005B1B75">
        <w:rPr>
          <w:lang w:val="es-ES_tradnl"/>
        </w:rPr>
        <w:t xml:space="preserve"> y reiteraron</w:t>
      </w:r>
      <w:r w:rsidR="003A6CCC" w:rsidRPr="005B1B75">
        <w:rPr>
          <w:lang w:val="es-ES_tradnl"/>
        </w:rPr>
        <w:t xml:space="preserve"> sus alegaciones de violación del artículo 11 del Pacto.</w:t>
      </w:r>
    </w:p>
    <w:p w14:paraId="3F4D88BE" w14:textId="500F364B" w:rsidR="00115207" w:rsidRPr="005B1B75" w:rsidRDefault="00440014" w:rsidP="00D445DC">
      <w:pPr>
        <w:pStyle w:val="SingleTxtG"/>
        <w:rPr>
          <w:lang w:val="es-ES_tradnl"/>
        </w:rPr>
      </w:pPr>
      <w:r w:rsidRPr="005B1B75">
        <w:rPr>
          <w:lang w:val="es-ES_tradnl"/>
        </w:rPr>
        <w:t>7.2</w:t>
      </w:r>
      <w:r w:rsidR="00115207" w:rsidRPr="005B1B75">
        <w:rPr>
          <w:lang w:val="es-ES_tradnl"/>
        </w:rPr>
        <w:t xml:space="preserve"> </w:t>
      </w:r>
      <w:r w:rsidR="00115207" w:rsidRPr="005B1B75">
        <w:rPr>
          <w:lang w:val="es-ES_tradnl"/>
        </w:rPr>
        <w:tab/>
      </w:r>
      <w:r w:rsidR="008736F0" w:rsidRPr="005B1B75">
        <w:rPr>
          <w:lang w:val="es-ES_tradnl"/>
        </w:rPr>
        <w:t xml:space="preserve">El proceso judicial </w:t>
      </w:r>
      <w:r w:rsidR="005C36C0" w:rsidRPr="005B1B75">
        <w:rPr>
          <w:lang w:val="es-ES_tradnl"/>
        </w:rPr>
        <w:t xml:space="preserve">ante el Juzgado </w:t>
      </w:r>
      <w:r w:rsidR="001A643F" w:rsidRPr="005B1B75">
        <w:rPr>
          <w:lang w:val="es-ES_tradnl"/>
        </w:rPr>
        <w:t>núm.</w:t>
      </w:r>
      <w:r w:rsidR="005C36C0" w:rsidRPr="005B1B75">
        <w:rPr>
          <w:lang w:val="es-ES_tradnl"/>
        </w:rPr>
        <w:t xml:space="preserve"> 37</w:t>
      </w:r>
      <w:r w:rsidR="008736F0" w:rsidRPr="005B1B75">
        <w:rPr>
          <w:lang w:val="es-ES_tradnl"/>
        </w:rPr>
        <w:t xml:space="preserve"> no respet</w:t>
      </w:r>
      <w:r w:rsidR="006A5214" w:rsidRPr="005B1B75">
        <w:rPr>
          <w:lang w:val="es-ES_tradnl"/>
        </w:rPr>
        <w:t>ó</w:t>
      </w:r>
      <w:r w:rsidR="008736F0" w:rsidRPr="005B1B75">
        <w:rPr>
          <w:lang w:val="es-ES_tradnl"/>
        </w:rPr>
        <w:t xml:space="preserve"> las garantías judiciales. </w:t>
      </w:r>
      <w:r w:rsidR="005C36C0" w:rsidRPr="005B1B75">
        <w:rPr>
          <w:lang w:val="es-ES_tradnl"/>
        </w:rPr>
        <w:t>L</w:t>
      </w:r>
      <w:r w:rsidR="009F2DF2" w:rsidRPr="005B1B75">
        <w:rPr>
          <w:lang w:val="es-ES_tradnl"/>
        </w:rPr>
        <w:t xml:space="preserve">a decisión de desalojo no evaluó las posibles consecuencias </w:t>
      </w:r>
      <w:r w:rsidR="005C36C0" w:rsidRPr="005B1B75">
        <w:rPr>
          <w:lang w:val="es-ES_tradnl"/>
        </w:rPr>
        <w:t xml:space="preserve">de esta medida </w:t>
      </w:r>
      <w:r w:rsidR="009F2DF2" w:rsidRPr="005B1B75">
        <w:rPr>
          <w:lang w:val="es-ES_tradnl"/>
        </w:rPr>
        <w:t xml:space="preserve">sobre </w:t>
      </w:r>
      <w:r w:rsidR="005C36C0" w:rsidRPr="005B1B75">
        <w:rPr>
          <w:lang w:val="es-ES_tradnl"/>
        </w:rPr>
        <w:t>los autores</w:t>
      </w:r>
      <w:r w:rsidR="009F2DF2" w:rsidRPr="005B1B75">
        <w:rPr>
          <w:lang w:val="es-ES_tradnl"/>
        </w:rPr>
        <w:t xml:space="preserve">, en particular </w:t>
      </w:r>
      <w:r w:rsidR="005C36C0" w:rsidRPr="005B1B75">
        <w:rPr>
          <w:lang w:val="es-ES_tradnl"/>
        </w:rPr>
        <w:t>sobre su</w:t>
      </w:r>
      <w:r w:rsidR="009F2DF2" w:rsidRPr="005B1B75">
        <w:rPr>
          <w:lang w:val="es-ES_tradnl"/>
        </w:rPr>
        <w:t xml:space="preserve">s hijos menores de edad. </w:t>
      </w:r>
      <w:r w:rsidR="005C36C0" w:rsidRPr="005B1B75">
        <w:rPr>
          <w:lang w:val="es-ES_tradnl"/>
        </w:rPr>
        <w:t>L</w:t>
      </w:r>
      <w:r w:rsidR="008736F0" w:rsidRPr="005B1B75">
        <w:rPr>
          <w:lang w:val="es-ES_tradnl"/>
        </w:rPr>
        <w:t>a legislación no prevé que en el proceso judicial de desahuc</w:t>
      </w:r>
      <w:r w:rsidR="005C36C0" w:rsidRPr="005B1B75">
        <w:rPr>
          <w:lang w:val="es-ES_tradnl"/>
        </w:rPr>
        <w:t>io los demandados</w:t>
      </w:r>
      <w:r w:rsidR="008736F0" w:rsidRPr="005B1B75">
        <w:rPr>
          <w:lang w:val="es-ES_tradnl"/>
        </w:rPr>
        <w:t xml:space="preserve"> puedan oponerse o presentar un recurso en que puedan exponer las consecuencias del desalojo, y s</w:t>
      </w:r>
      <w:r w:rsidR="003C5C30" w:rsidRPr="005B1B75">
        <w:rPr>
          <w:lang w:val="es-ES_tradnl"/>
        </w:rPr>
        <w:t>o</w:t>
      </w:r>
      <w:r w:rsidR="008736F0" w:rsidRPr="005B1B75">
        <w:rPr>
          <w:lang w:val="es-ES_tradnl"/>
        </w:rPr>
        <w:t xml:space="preserve">lo cabe alegar el pago total o parcial del monto de arrendamiento. </w:t>
      </w:r>
    </w:p>
    <w:p w14:paraId="1C83AA3B" w14:textId="77777777" w:rsidR="00263719" w:rsidRPr="005B1B75" w:rsidRDefault="00440014" w:rsidP="00D445DC">
      <w:pPr>
        <w:pStyle w:val="SingleTxtG"/>
        <w:rPr>
          <w:lang w:val="es-ES_tradnl"/>
        </w:rPr>
      </w:pPr>
      <w:r w:rsidRPr="005B1B75">
        <w:rPr>
          <w:lang w:val="es-ES_tradnl"/>
        </w:rPr>
        <w:t>7.3</w:t>
      </w:r>
      <w:r w:rsidR="008736F0" w:rsidRPr="005B1B75">
        <w:rPr>
          <w:lang w:val="es-ES_tradnl"/>
        </w:rPr>
        <w:t xml:space="preserve"> </w:t>
      </w:r>
      <w:r w:rsidR="008736F0" w:rsidRPr="005B1B75">
        <w:rPr>
          <w:lang w:val="es-ES_tradnl"/>
        </w:rPr>
        <w:tab/>
      </w:r>
      <w:r w:rsidR="005F3699" w:rsidRPr="005B1B75">
        <w:rPr>
          <w:lang w:val="es-ES_tradnl"/>
        </w:rPr>
        <w:t xml:space="preserve">Los autores reiteran que el Estado parte ha tomado medidas regresivas con relación al parque de vivienda pública, en un contexto de grave crisis económica. </w:t>
      </w:r>
    </w:p>
    <w:p w14:paraId="02265EAC" w14:textId="1B6FE13E" w:rsidR="006C1799" w:rsidRPr="005B1B75" w:rsidRDefault="00731D13" w:rsidP="0048522D">
      <w:pPr>
        <w:pStyle w:val="H23G"/>
        <w:rPr>
          <w:lang w:val="es-ES_tradnl"/>
        </w:rPr>
      </w:pPr>
      <w:r w:rsidRPr="005B1B75">
        <w:rPr>
          <w:lang w:val="es-ES_tradnl"/>
        </w:rPr>
        <w:tab/>
      </w:r>
      <w:r w:rsidRPr="005B1B75">
        <w:rPr>
          <w:lang w:val="es-ES_tradnl"/>
        </w:rPr>
        <w:tab/>
      </w:r>
      <w:r w:rsidR="002204A1" w:rsidRPr="005B1B75">
        <w:rPr>
          <w:lang w:val="es-ES_tradnl"/>
        </w:rPr>
        <w:t>Intervenciones</w:t>
      </w:r>
      <w:r w:rsidR="006C1799" w:rsidRPr="005B1B75">
        <w:rPr>
          <w:lang w:val="es-ES_tradnl"/>
        </w:rPr>
        <w:t xml:space="preserve"> de terceros</w:t>
      </w:r>
    </w:p>
    <w:p w14:paraId="52B5FCE7" w14:textId="603C7584" w:rsidR="00AB2662" w:rsidRPr="0048522D" w:rsidRDefault="00111825" w:rsidP="00D445DC">
      <w:pPr>
        <w:pStyle w:val="SingleTxtG"/>
        <w:rPr>
          <w:lang w:val="es-ES_tradnl"/>
        </w:rPr>
      </w:pPr>
      <w:r w:rsidRPr="0048522D">
        <w:rPr>
          <w:lang w:val="es-ES_tradnl"/>
        </w:rPr>
        <w:t>8</w:t>
      </w:r>
      <w:r w:rsidR="00FB1B2A" w:rsidRPr="0048522D">
        <w:rPr>
          <w:lang w:val="es-ES_tradnl"/>
        </w:rPr>
        <w:t>.</w:t>
      </w:r>
      <w:r w:rsidR="00C543DF" w:rsidRPr="0048522D">
        <w:rPr>
          <w:lang w:val="es-ES_tradnl"/>
        </w:rPr>
        <w:t>1</w:t>
      </w:r>
      <w:r w:rsidR="006C1799" w:rsidRPr="0048522D">
        <w:rPr>
          <w:lang w:val="es-ES_tradnl"/>
        </w:rPr>
        <w:tab/>
      </w:r>
      <w:r w:rsidR="00F325D6" w:rsidRPr="0048522D">
        <w:rPr>
          <w:lang w:val="es-ES_tradnl"/>
        </w:rPr>
        <w:t xml:space="preserve">Los días </w:t>
      </w:r>
      <w:r w:rsidR="001D60D4" w:rsidRPr="0048522D">
        <w:rPr>
          <w:lang w:val="es-ES_tradnl"/>
        </w:rPr>
        <w:t xml:space="preserve">5 de abril </w:t>
      </w:r>
      <w:r w:rsidR="00AB2662" w:rsidRPr="0048522D">
        <w:rPr>
          <w:lang w:val="es-ES_tradnl"/>
        </w:rPr>
        <w:t xml:space="preserve">y 25 de octubre </w:t>
      </w:r>
      <w:r w:rsidR="001D60D4" w:rsidRPr="0048522D">
        <w:rPr>
          <w:lang w:val="es-ES_tradnl"/>
        </w:rPr>
        <w:t>de 2016</w:t>
      </w:r>
      <w:r w:rsidR="006C1799" w:rsidRPr="0048522D">
        <w:rPr>
          <w:lang w:val="es-ES_tradnl"/>
        </w:rPr>
        <w:t>, el Grupo de Trabajo sobre las Comunicaciones, actuando en nombre del Comité, autorizó la</w:t>
      </w:r>
      <w:r w:rsidR="00AB2662" w:rsidRPr="0048522D">
        <w:rPr>
          <w:lang w:val="es-ES_tradnl"/>
        </w:rPr>
        <w:t>s</w:t>
      </w:r>
      <w:r w:rsidR="006C1799" w:rsidRPr="0048522D">
        <w:rPr>
          <w:lang w:val="es-ES_tradnl"/>
        </w:rPr>
        <w:t xml:space="preserve"> intervenci</w:t>
      </w:r>
      <w:r w:rsidR="00AB2662" w:rsidRPr="0048522D">
        <w:rPr>
          <w:lang w:val="es-ES_tradnl"/>
        </w:rPr>
        <w:t>ones</w:t>
      </w:r>
      <w:r w:rsidR="006C1799" w:rsidRPr="0048522D">
        <w:rPr>
          <w:lang w:val="es-ES_tradnl"/>
        </w:rPr>
        <w:t xml:space="preserve"> de la Red Internacional para los Derechos Económicos, Sociales y Culturales (Red-</w:t>
      </w:r>
      <w:proofErr w:type="spellStart"/>
      <w:r w:rsidR="006C1799" w:rsidRPr="0048522D">
        <w:rPr>
          <w:lang w:val="es-ES_tradnl"/>
        </w:rPr>
        <w:t>DESC</w:t>
      </w:r>
      <w:proofErr w:type="spellEnd"/>
      <w:r w:rsidR="006C1799" w:rsidRPr="0048522D">
        <w:rPr>
          <w:lang w:val="es-ES_tradnl"/>
        </w:rPr>
        <w:t>)</w:t>
      </w:r>
      <w:r w:rsidR="006C1799" w:rsidRPr="0048522D">
        <w:rPr>
          <w:sz w:val="18"/>
          <w:szCs w:val="18"/>
          <w:vertAlign w:val="superscript"/>
          <w:lang w:val="es-ES_tradnl"/>
        </w:rPr>
        <w:footnoteReference w:id="15"/>
      </w:r>
      <w:r w:rsidR="00AB2662" w:rsidRPr="0048522D">
        <w:rPr>
          <w:lang w:val="es-ES_tradnl"/>
        </w:rPr>
        <w:t xml:space="preserve"> y</w:t>
      </w:r>
      <w:r w:rsidR="006C1799" w:rsidRPr="0048522D">
        <w:rPr>
          <w:lang w:val="es-ES_tradnl"/>
        </w:rPr>
        <w:t xml:space="preserve"> </w:t>
      </w:r>
      <w:r w:rsidR="00AB2662" w:rsidRPr="0048522D">
        <w:rPr>
          <w:lang w:val="es-ES_tradnl"/>
        </w:rPr>
        <w:t xml:space="preserve">de la Relatora </w:t>
      </w:r>
      <w:r w:rsidR="00F325D6" w:rsidRPr="0048522D">
        <w:rPr>
          <w:lang w:val="es-ES_tradnl"/>
        </w:rPr>
        <w:t>E</w:t>
      </w:r>
      <w:r w:rsidR="00AB2662" w:rsidRPr="0048522D">
        <w:rPr>
          <w:lang w:val="es-ES_tradnl"/>
        </w:rPr>
        <w:t xml:space="preserve">special </w:t>
      </w:r>
      <w:r w:rsidR="00997656" w:rsidRPr="0048522D">
        <w:rPr>
          <w:lang w:val="es-ES_tradnl"/>
        </w:rPr>
        <w:t>sobre</w:t>
      </w:r>
      <w:r w:rsidR="00E9639C" w:rsidRPr="005B1B75">
        <w:rPr>
          <w:lang w:val="es-ES_tradnl"/>
        </w:rPr>
        <w:t xml:space="preserve"> una vivienda adecuada como elemento integrante del derecho a un nivel de vida adecuado y sobre el derecho de no discriminación a este respecto</w:t>
      </w:r>
      <w:r w:rsidR="00AB2662" w:rsidRPr="0048522D">
        <w:rPr>
          <w:lang w:val="es-ES_tradnl"/>
        </w:rPr>
        <w:t>, con arreglo al artículo 8 del Protocolo Facultativo, a</w:t>
      </w:r>
      <w:r w:rsidR="008452A1" w:rsidRPr="0048522D">
        <w:rPr>
          <w:lang w:val="es-ES_tradnl"/>
        </w:rPr>
        <w:t xml:space="preserve">l artículo </w:t>
      </w:r>
      <w:r w:rsidR="00AB2662" w:rsidRPr="0048522D">
        <w:rPr>
          <w:lang w:val="es-ES_tradnl"/>
        </w:rPr>
        <w:t>14 del reglamento provisional en virtud del Protocolo Facultativo y a la G</w:t>
      </w:r>
      <w:r w:rsidR="00E072A1" w:rsidRPr="0048522D">
        <w:rPr>
          <w:lang w:val="es-ES_tradnl"/>
        </w:rPr>
        <w:t>uía de intervención de terceros</w:t>
      </w:r>
      <w:r w:rsidR="006C1799" w:rsidRPr="0048522D">
        <w:rPr>
          <w:lang w:val="es-ES_tradnl"/>
        </w:rPr>
        <w:t>.</w:t>
      </w:r>
    </w:p>
    <w:p w14:paraId="79CEF6C5" w14:textId="1CF672AA" w:rsidR="00817ACB" w:rsidRPr="0048522D" w:rsidRDefault="00AB2662" w:rsidP="0048522D">
      <w:pPr>
        <w:pStyle w:val="SingleTxtG"/>
        <w:rPr>
          <w:lang w:val="es-ES_tradnl"/>
        </w:rPr>
      </w:pPr>
      <w:r w:rsidRPr="0048522D">
        <w:rPr>
          <w:lang w:val="es-ES_tradnl"/>
        </w:rPr>
        <w:t>8.2</w:t>
      </w:r>
      <w:r w:rsidR="006C1799" w:rsidRPr="0048522D">
        <w:rPr>
          <w:lang w:val="es-ES_tradnl"/>
        </w:rPr>
        <w:t xml:space="preserve"> </w:t>
      </w:r>
      <w:r w:rsidRPr="0048522D">
        <w:rPr>
          <w:lang w:val="es-ES_tradnl"/>
        </w:rPr>
        <w:tab/>
      </w:r>
      <w:r w:rsidR="00E3619A" w:rsidRPr="0048522D">
        <w:rPr>
          <w:lang w:val="es-ES_tradnl"/>
        </w:rPr>
        <w:t>El 17 de mayo de 2015, la Red-</w:t>
      </w:r>
      <w:proofErr w:type="spellStart"/>
      <w:r w:rsidR="00E3619A" w:rsidRPr="0048522D">
        <w:rPr>
          <w:lang w:val="es-ES_tradnl"/>
        </w:rPr>
        <w:t>DESC</w:t>
      </w:r>
      <w:proofErr w:type="spellEnd"/>
      <w:r w:rsidR="00E3619A" w:rsidRPr="0048522D">
        <w:rPr>
          <w:lang w:val="es-ES_tradnl"/>
        </w:rPr>
        <w:t xml:space="preserve"> sometió su intervención destacando</w:t>
      </w:r>
      <w:r w:rsidR="00C42452" w:rsidRPr="0048522D">
        <w:rPr>
          <w:lang w:val="es-ES_tradnl"/>
        </w:rPr>
        <w:t xml:space="preserve"> </w:t>
      </w:r>
      <w:r w:rsidR="00E3619A" w:rsidRPr="0048522D">
        <w:rPr>
          <w:lang w:val="es-ES_tradnl"/>
        </w:rPr>
        <w:t>que los Estados parte deben</w:t>
      </w:r>
      <w:r w:rsidR="00C42452" w:rsidRPr="0048522D">
        <w:rPr>
          <w:lang w:val="es-ES_tradnl"/>
        </w:rPr>
        <w:t>, entre otros</w:t>
      </w:r>
      <w:r w:rsidR="00997656" w:rsidRPr="0048522D">
        <w:rPr>
          <w:lang w:val="es-ES_tradnl"/>
        </w:rPr>
        <w:t>,</w:t>
      </w:r>
      <w:r w:rsidR="00E3619A" w:rsidRPr="0048522D">
        <w:rPr>
          <w:lang w:val="es-ES_tradnl"/>
        </w:rPr>
        <w:t xml:space="preserve"> proteger el derecho a la vivienda de todas las personas en sus jurisdicciones, incluyendo a inquilinos que alquilen bajo acuerdos privados de arrendamiento; tomar las medidas apropiadas para cumplir el derecho a la vivienda con el máximo de sus recursos disponibles; </w:t>
      </w:r>
      <w:r w:rsidR="00FE06F9" w:rsidRPr="0048522D">
        <w:rPr>
          <w:lang w:val="es-ES_tradnl"/>
        </w:rPr>
        <w:t xml:space="preserve">y </w:t>
      </w:r>
      <w:r w:rsidR="00E3619A" w:rsidRPr="0048522D">
        <w:rPr>
          <w:lang w:val="es-ES_tradnl"/>
        </w:rPr>
        <w:t>garantizar el derecho a reparaciones efectivas</w:t>
      </w:r>
      <w:r w:rsidR="00FE06F9" w:rsidRPr="0048522D">
        <w:rPr>
          <w:lang w:val="es-ES_tradnl"/>
        </w:rPr>
        <w:t>.</w:t>
      </w:r>
      <w:r w:rsidR="00EB2124" w:rsidRPr="0048522D">
        <w:rPr>
          <w:lang w:val="es-ES_tradnl"/>
        </w:rPr>
        <w:t xml:space="preserve"> </w:t>
      </w:r>
      <w:r w:rsidR="00E3619A" w:rsidRPr="0048522D">
        <w:rPr>
          <w:lang w:val="es-ES_tradnl"/>
        </w:rPr>
        <w:t xml:space="preserve">El 19 de mayo de 2016, el Comité transmitió esta intervención </w:t>
      </w:r>
      <w:r w:rsidR="006C1799" w:rsidRPr="0048522D">
        <w:rPr>
          <w:lang w:val="es-ES_tradnl"/>
        </w:rPr>
        <w:t>al Estado parte y a l</w:t>
      </w:r>
      <w:r w:rsidR="001D60D4" w:rsidRPr="0048522D">
        <w:rPr>
          <w:lang w:val="es-ES_tradnl"/>
        </w:rPr>
        <w:t>os autores</w:t>
      </w:r>
      <w:r w:rsidR="006C1799" w:rsidRPr="0048522D">
        <w:rPr>
          <w:lang w:val="es-ES_tradnl"/>
        </w:rPr>
        <w:t>, solicitando sus observaciones y comentarios.</w:t>
      </w:r>
    </w:p>
    <w:p w14:paraId="2FC731F9" w14:textId="1E345C5C" w:rsidR="00C543DF" w:rsidRPr="005B1B75" w:rsidRDefault="00C543DF" w:rsidP="00D445DC">
      <w:pPr>
        <w:pStyle w:val="SingleTxtG"/>
        <w:rPr>
          <w:lang w:val="es-ES_tradnl"/>
        </w:rPr>
      </w:pPr>
      <w:r w:rsidRPr="005B1B75">
        <w:rPr>
          <w:lang w:val="es-ES_tradnl"/>
        </w:rPr>
        <w:t>8.</w:t>
      </w:r>
      <w:r w:rsidR="00AB2662" w:rsidRPr="005B1B75">
        <w:rPr>
          <w:lang w:val="es-ES_tradnl"/>
        </w:rPr>
        <w:t>3</w:t>
      </w:r>
      <w:r w:rsidR="00B16999" w:rsidRPr="005B1B75">
        <w:rPr>
          <w:lang w:val="es-ES_tradnl"/>
        </w:rPr>
        <w:tab/>
      </w:r>
      <w:r w:rsidR="00E3619A" w:rsidRPr="005B1B75">
        <w:rPr>
          <w:lang w:val="es-ES_tradnl"/>
        </w:rPr>
        <w:t>El 31 de enero de 2017, la Relatora</w:t>
      </w:r>
      <w:r w:rsidR="00997656" w:rsidRPr="005B1B75">
        <w:rPr>
          <w:lang w:val="es-ES_tradnl"/>
        </w:rPr>
        <w:t xml:space="preserve"> Especial</w:t>
      </w:r>
      <w:r w:rsidR="00E3619A" w:rsidRPr="005B1B75">
        <w:rPr>
          <w:lang w:val="es-ES_tradnl"/>
        </w:rPr>
        <w:t>, sin adoptar una posición sobre las denuncias de los au</w:t>
      </w:r>
      <w:r w:rsidR="00E072A1" w:rsidRPr="005B1B75">
        <w:rPr>
          <w:lang w:val="es-ES_tradnl"/>
        </w:rPr>
        <w:t>tores, expuso que la comunicación</w:t>
      </w:r>
      <w:r w:rsidR="00E3619A" w:rsidRPr="005B1B75">
        <w:rPr>
          <w:lang w:val="es-ES_tradnl"/>
        </w:rPr>
        <w:t xml:space="preserve"> </w:t>
      </w:r>
      <w:r w:rsidR="00EB2124" w:rsidRPr="005B1B75">
        <w:rPr>
          <w:lang w:val="es-ES_tradnl"/>
        </w:rPr>
        <w:t xml:space="preserve">plantea </w:t>
      </w:r>
      <w:r w:rsidR="00E3619A" w:rsidRPr="005B1B75">
        <w:rPr>
          <w:lang w:val="es-ES_tradnl"/>
        </w:rPr>
        <w:t>importantes interrogantes acerca de las obligaciones del Estado para prevenir y responder a la falta de hogar, incluyendo</w:t>
      </w:r>
      <w:r w:rsidR="00C42452" w:rsidRPr="005B1B75">
        <w:rPr>
          <w:lang w:val="es-ES_tradnl"/>
        </w:rPr>
        <w:t>, entre otros,</w:t>
      </w:r>
      <w:r w:rsidR="00E3619A" w:rsidRPr="005B1B75">
        <w:rPr>
          <w:lang w:val="es-ES_tradnl"/>
        </w:rPr>
        <w:t xml:space="preserve"> </w:t>
      </w:r>
      <w:r w:rsidR="005D7A57" w:rsidRPr="005B1B75">
        <w:rPr>
          <w:lang w:val="es-ES_tradnl"/>
        </w:rPr>
        <w:t>causas estructurales</w:t>
      </w:r>
      <w:r w:rsidR="008452A1" w:rsidRPr="005B1B75">
        <w:rPr>
          <w:lang w:val="es-ES_tradnl"/>
        </w:rPr>
        <w:t>;</w:t>
      </w:r>
      <w:r w:rsidR="005D7A57" w:rsidRPr="005B1B75">
        <w:rPr>
          <w:lang w:val="es-ES_tradnl"/>
        </w:rPr>
        <w:t xml:space="preserve"> </w:t>
      </w:r>
      <w:r w:rsidR="00E3619A" w:rsidRPr="005B1B75">
        <w:rPr>
          <w:lang w:val="es-ES_tradnl"/>
        </w:rPr>
        <w:t xml:space="preserve">las cuestiones de acceso a la justicia; las protecciones contra la terminación de la relación de alquiler cuando caduca un contrato; </w:t>
      </w:r>
      <w:r w:rsidR="00C42452" w:rsidRPr="005B1B75">
        <w:rPr>
          <w:lang w:val="es-ES_tradnl"/>
        </w:rPr>
        <w:t xml:space="preserve">y </w:t>
      </w:r>
      <w:r w:rsidR="00E3619A" w:rsidRPr="005B1B75">
        <w:rPr>
          <w:lang w:val="es-ES_tradnl"/>
        </w:rPr>
        <w:t xml:space="preserve">la obligación de adoptar medidas positivas para ayudar a los inquilinos que no puedan pagar el alquiler. </w:t>
      </w:r>
      <w:r w:rsidR="00BF0E80" w:rsidRPr="005B1B75">
        <w:rPr>
          <w:lang w:val="es-ES_tradnl"/>
        </w:rPr>
        <w:t xml:space="preserve">El </w:t>
      </w:r>
      <w:r w:rsidR="0059504E" w:rsidRPr="005B1B75">
        <w:rPr>
          <w:lang w:val="es-ES_tradnl"/>
        </w:rPr>
        <w:t>9 de febrero de 2017</w:t>
      </w:r>
      <w:r w:rsidR="00BF0E80" w:rsidRPr="005B1B75">
        <w:rPr>
          <w:lang w:val="es-ES_tradnl"/>
        </w:rPr>
        <w:t xml:space="preserve">, el Comité transmitió </w:t>
      </w:r>
      <w:r w:rsidR="00E3619A" w:rsidRPr="005B1B75">
        <w:rPr>
          <w:lang w:val="es-ES_tradnl"/>
        </w:rPr>
        <w:t>esta</w:t>
      </w:r>
      <w:r w:rsidR="00BF0E80" w:rsidRPr="005B1B75">
        <w:rPr>
          <w:lang w:val="es-ES_tradnl"/>
        </w:rPr>
        <w:t xml:space="preserve"> intervención al Estado parte y a los autores, solicitando sus observaciones y comentarios.</w:t>
      </w:r>
      <w:r w:rsidR="006A6262" w:rsidRPr="005B1B75">
        <w:rPr>
          <w:lang w:val="es-ES_tradnl"/>
        </w:rPr>
        <w:t xml:space="preserve"> </w:t>
      </w:r>
    </w:p>
    <w:p w14:paraId="0EB5C094" w14:textId="77777777" w:rsidR="006C1799" w:rsidRPr="005B1B75" w:rsidRDefault="00B16999" w:rsidP="00D445DC">
      <w:pPr>
        <w:pStyle w:val="H23G"/>
        <w:rPr>
          <w:lang w:val="es-ES_tradnl"/>
        </w:rPr>
      </w:pPr>
      <w:r w:rsidRPr="005B1B75">
        <w:rPr>
          <w:lang w:val="es-ES_tradnl"/>
        </w:rPr>
        <w:tab/>
      </w:r>
      <w:r w:rsidRPr="005B1B75">
        <w:rPr>
          <w:lang w:val="es-ES_tradnl"/>
        </w:rPr>
        <w:tab/>
        <w:t>Comentarios de l</w:t>
      </w:r>
      <w:r w:rsidR="00C21E71" w:rsidRPr="005B1B75">
        <w:rPr>
          <w:lang w:val="es-ES_tradnl"/>
        </w:rPr>
        <w:t xml:space="preserve">as partes </w:t>
      </w:r>
      <w:r w:rsidR="006C1799" w:rsidRPr="005B1B75">
        <w:rPr>
          <w:lang w:val="es-ES_tradnl"/>
        </w:rPr>
        <w:t>sobre la</w:t>
      </w:r>
      <w:r w:rsidRPr="005B1B75">
        <w:rPr>
          <w:lang w:val="es-ES_tradnl"/>
        </w:rPr>
        <w:t>s intervenciones</w:t>
      </w:r>
      <w:r w:rsidR="006C1799" w:rsidRPr="005B1B75">
        <w:rPr>
          <w:lang w:val="es-ES_tradnl"/>
        </w:rPr>
        <w:t xml:space="preserve"> de terceros</w:t>
      </w:r>
    </w:p>
    <w:p w14:paraId="6DA9B552" w14:textId="7A26603B" w:rsidR="006C1799" w:rsidRPr="005B1B75" w:rsidRDefault="00C543DF" w:rsidP="00D445DC">
      <w:pPr>
        <w:pStyle w:val="SingleTxtG"/>
        <w:rPr>
          <w:lang w:val="es-ES_tradnl"/>
        </w:rPr>
      </w:pPr>
      <w:r w:rsidRPr="005B1B75">
        <w:rPr>
          <w:lang w:val="es-ES_tradnl"/>
        </w:rPr>
        <w:t>9</w:t>
      </w:r>
      <w:r w:rsidR="006C1799" w:rsidRPr="005B1B75">
        <w:rPr>
          <w:lang w:val="es-ES_tradnl"/>
        </w:rPr>
        <w:t>.</w:t>
      </w:r>
      <w:r w:rsidR="006C1799" w:rsidRPr="005B1B75">
        <w:rPr>
          <w:lang w:val="es-ES_tradnl"/>
        </w:rPr>
        <w:tab/>
      </w:r>
      <w:r w:rsidR="00B16999" w:rsidRPr="005B1B75">
        <w:rPr>
          <w:lang w:val="es-ES_tradnl"/>
        </w:rPr>
        <w:t>El 19 de junio de 2016, los autores informaron al Comité que se adherían a las consideraciones expuestas en la intervención de la Red-</w:t>
      </w:r>
      <w:proofErr w:type="spellStart"/>
      <w:r w:rsidR="00B16999" w:rsidRPr="005B1B75">
        <w:rPr>
          <w:lang w:val="es-ES_tradnl"/>
        </w:rPr>
        <w:t>DESC</w:t>
      </w:r>
      <w:proofErr w:type="spellEnd"/>
      <w:r w:rsidR="00B16999" w:rsidRPr="005B1B75">
        <w:rPr>
          <w:lang w:val="es-ES_tradnl"/>
        </w:rPr>
        <w:t>, que complementaban sus alegaciones.</w:t>
      </w:r>
    </w:p>
    <w:p w14:paraId="229DF68A" w14:textId="266B02F5" w:rsidR="005A7645" w:rsidRPr="005B1B75" w:rsidRDefault="00C543DF" w:rsidP="00D445DC">
      <w:pPr>
        <w:pStyle w:val="SingleTxtG"/>
        <w:rPr>
          <w:lang w:val="es-ES_tradnl"/>
        </w:rPr>
      </w:pPr>
      <w:r w:rsidRPr="005B1B75">
        <w:rPr>
          <w:lang w:val="es-ES_tradnl"/>
        </w:rPr>
        <w:t>10</w:t>
      </w:r>
      <w:r w:rsidR="00B93ED9" w:rsidRPr="005B1B75">
        <w:rPr>
          <w:lang w:val="es-ES_tradnl"/>
        </w:rPr>
        <w:t>.</w:t>
      </w:r>
      <w:r w:rsidR="006C1799" w:rsidRPr="005B1B75">
        <w:rPr>
          <w:lang w:val="es-ES_tradnl"/>
        </w:rPr>
        <w:tab/>
        <w:t xml:space="preserve">El </w:t>
      </w:r>
      <w:r w:rsidR="00B16999" w:rsidRPr="005B1B75">
        <w:rPr>
          <w:lang w:val="es-ES_tradnl"/>
        </w:rPr>
        <w:t>17 de marzo de 2017, el Es</w:t>
      </w:r>
      <w:r w:rsidR="006C1799" w:rsidRPr="005B1B75">
        <w:rPr>
          <w:lang w:val="es-ES_tradnl"/>
        </w:rPr>
        <w:t xml:space="preserve">tado parte presentó sus observaciones sobre la intervención de </w:t>
      </w:r>
      <w:r w:rsidR="00B16999" w:rsidRPr="005B1B75">
        <w:rPr>
          <w:lang w:val="es-ES_tradnl"/>
        </w:rPr>
        <w:t>la Relatora</w:t>
      </w:r>
      <w:r w:rsidR="00544A03" w:rsidRPr="005B1B75">
        <w:rPr>
          <w:lang w:val="es-ES_tradnl"/>
        </w:rPr>
        <w:t xml:space="preserve"> Especial</w:t>
      </w:r>
      <w:r w:rsidR="006C1799" w:rsidRPr="005B1B75">
        <w:rPr>
          <w:lang w:val="es-ES_tradnl"/>
        </w:rPr>
        <w:t xml:space="preserve">. </w:t>
      </w:r>
      <w:r w:rsidR="005A7645" w:rsidRPr="005B1B75">
        <w:rPr>
          <w:lang w:val="es-ES_tradnl"/>
        </w:rPr>
        <w:t xml:space="preserve">El Estado parte enumera y describe brevemente </w:t>
      </w:r>
      <w:r w:rsidR="00B93ED9" w:rsidRPr="005B1B75">
        <w:rPr>
          <w:lang w:val="es-ES_tradnl"/>
        </w:rPr>
        <w:t xml:space="preserve">las </w:t>
      </w:r>
      <w:r w:rsidR="005A7645" w:rsidRPr="005B1B75">
        <w:rPr>
          <w:lang w:val="es-ES_tradnl"/>
        </w:rPr>
        <w:t xml:space="preserve">medidas más relevantes tomadas por sus autoridades desde el inicio de la crisis económica en favor de colectivos vulnerables, en particular quienes tienen extraordinarias dificultades para atender el pago de préstamos hipotecarios. </w:t>
      </w:r>
    </w:p>
    <w:p w14:paraId="427987E5" w14:textId="0D34FE59" w:rsidR="00725436" w:rsidRPr="005B1B75" w:rsidRDefault="006C1799" w:rsidP="0048522D">
      <w:pPr>
        <w:pStyle w:val="H1G"/>
        <w:rPr>
          <w:lang w:val="es-ES_tradnl"/>
        </w:rPr>
      </w:pPr>
      <w:r w:rsidRPr="005B1B75">
        <w:rPr>
          <w:lang w:val="es-ES_tradnl"/>
        </w:rPr>
        <w:lastRenderedPageBreak/>
        <w:tab/>
      </w:r>
      <w:r w:rsidR="00ED2B84" w:rsidRPr="005B1B75">
        <w:rPr>
          <w:lang w:val="es-ES_tradnl"/>
        </w:rPr>
        <w:t>B.</w:t>
      </w:r>
      <w:r w:rsidR="00ED2B84" w:rsidRPr="005B1B75">
        <w:rPr>
          <w:lang w:val="es-ES_tradnl"/>
        </w:rPr>
        <w:tab/>
        <w:t>Consideraciones del Comité sobre la admisibilidad</w:t>
      </w:r>
    </w:p>
    <w:p w14:paraId="4B5F2EFD" w14:textId="5E388A7D" w:rsidR="00725436" w:rsidRPr="005B1B75" w:rsidRDefault="00C543DF" w:rsidP="00D445DC">
      <w:pPr>
        <w:pStyle w:val="SingleTxtG"/>
        <w:rPr>
          <w:lang w:val="es-ES_tradnl"/>
        </w:rPr>
      </w:pPr>
      <w:r w:rsidRPr="005B1B75">
        <w:rPr>
          <w:lang w:val="es-ES_tradnl"/>
        </w:rPr>
        <w:t>11</w:t>
      </w:r>
      <w:r w:rsidR="00725436" w:rsidRPr="005B1B75">
        <w:rPr>
          <w:lang w:val="es-ES_tradnl"/>
        </w:rPr>
        <w:t>.1</w:t>
      </w:r>
      <w:r w:rsidR="00725436" w:rsidRPr="005B1B75">
        <w:rPr>
          <w:lang w:val="es-ES_tradnl"/>
        </w:rPr>
        <w:tab/>
        <w:t>Antes de examinar cualquier reclamación formulada en una comunicación, el Comité debe decidir, de conformidad con el artículo 9 de su reglamento provisional en virtud del Protocolo Facultativo, si el caso es o no admisible.</w:t>
      </w:r>
    </w:p>
    <w:p w14:paraId="1D9A6EBD" w14:textId="11605711" w:rsidR="00090BE7" w:rsidRPr="005B1B75" w:rsidRDefault="007B6190" w:rsidP="00D445DC">
      <w:pPr>
        <w:pStyle w:val="SingleTxtG"/>
        <w:rPr>
          <w:lang w:val="es-ES_tradnl"/>
        </w:rPr>
      </w:pPr>
      <w:r w:rsidRPr="005B1B75">
        <w:rPr>
          <w:lang w:val="es-ES_tradnl"/>
        </w:rPr>
        <w:t>1</w:t>
      </w:r>
      <w:r w:rsidR="00C543DF" w:rsidRPr="005B1B75">
        <w:rPr>
          <w:lang w:val="es-ES_tradnl"/>
        </w:rPr>
        <w:t>1</w:t>
      </w:r>
      <w:r w:rsidRPr="005B1B75">
        <w:rPr>
          <w:lang w:val="es-ES_tradnl"/>
        </w:rPr>
        <w:t>.2</w:t>
      </w:r>
      <w:r w:rsidR="00725436" w:rsidRPr="005B1B75">
        <w:rPr>
          <w:lang w:val="es-ES_tradnl"/>
        </w:rPr>
        <w:t xml:space="preserve"> </w:t>
      </w:r>
      <w:r w:rsidR="00725436" w:rsidRPr="005B1B75">
        <w:rPr>
          <w:lang w:val="es-ES_tradnl"/>
        </w:rPr>
        <w:tab/>
      </w:r>
      <w:r w:rsidR="00156C1B" w:rsidRPr="005B1B75">
        <w:rPr>
          <w:lang w:val="es-ES_tradnl"/>
        </w:rPr>
        <w:t xml:space="preserve">Conforme a la </w:t>
      </w:r>
      <w:r w:rsidR="00E95485" w:rsidRPr="005B1B75">
        <w:rPr>
          <w:lang w:val="es-ES_tradnl"/>
        </w:rPr>
        <w:t>información puesta a disposición por las partes, e</w:t>
      </w:r>
      <w:r w:rsidRPr="005B1B75">
        <w:rPr>
          <w:lang w:val="es-ES_tradnl"/>
        </w:rPr>
        <w:t xml:space="preserve">l Comité </w:t>
      </w:r>
      <w:r w:rsidR="00401E60" w:rsidRPr="005B1B75">
        <w:rPr>
          <w:lang w:val="es-ES_tradnl"/>
        </w:rPr>
        <w:t>nota</w:t>
      </w:r>
      <w:r w:rsidR="003625D3" w:rsidRPr="005B1B75">
        <w:rPr>
          <w:lang w:val="es-ES_tradnl"/>
        </w:rPr>
        <w:t xml:space="preserve"> </w:t>
      </w:r>
      <w:r w:rsidRPr="005B1B75">
        <w:rPr>
          <w:lang w:val="es-ES_tradnl"/>
        </w:rPr>
        <w:t xml:space="preserve">que el 30 de septiembre de 2013, el </w:t>
      </w:r>
      <w:r w:rsidR="002D0785" w:rsidRPr="005B1B75">
        <w:rPr>
          <w:lang w:val="es-ES_tradnl"/>
        </w:rPr>
        <w:t xml:space="preserve">Sr. Ben </w:t>
      </w:r>
      <w:proofErr w:type="spellStart"/>
      <w:r w:rsidR="002D0785" w:rsidRPr="005B1B75">
        <w:rPr>
          <w:lang w:val="es-ES_tradnl"/>
        </w:rPr>
        <w:t>Djazia</w:t>
      </w:r>
      <w:proofErr w:type="spellEnd"/>
      <w:r w:rsidRPr="005B1B75">
        <w:rPr>
          <w:lang w:val="es-ES_tradnl"/>
        </w:rPr>
        <w:t xml:space="preserve"> presentó una solicitud de medidas provisionales al </w:t>
      </w:r>
      <w:r w:rsidR="006A711F" w:rsidRPr="005B1B75">
        <w:rPr>
          <w:lang w:val="es-ES_tradnl"/>
        </w:rPr>
        <w:t>Tribunal Europeo de Derechos Humanos</w:t>
      </w:r>
      <w:r w:rsidRPr="005B1B75">
        <w:rPr>
          <w:lang w:val="es-ES_tradnl"/>
        </w:rPr>
        <w:t>, sin éxito y que posteriormente no presentó ninguna demanda ante ese Tribunal</w:t>
      </w:r>
      <w:r w:rsidR="00966BD7" w:rsidRPr="005B1B75">
        <w:rPr>
          <w:lang w:val="es-ES_tradnl"/>
        </w:rPr>
        <w:t>,</w:t>
      </w:r>
      <w:r w:rsidR="00E95485" w:rsidRPr="005B1B75">
        <w:rPr>
          <w:lang w:val="es-ES_tradnl"/>
        </w:rPr>
        <w:t xml:space="preserve"> y que</w:t>
      </w:r>
      <w:r w:rsidR="00792718" w:rsidRPr="005B1B75">
        <w:rPr>
          <w:lang w:val="es-ES_tradnl"/>
        </w:rPr>
        <w:t xml:space="preserve"> el Estado parte no </w:t>
      </w:r>
      <w:r w:rsidR="00401E60" w:rsidRPr="005B1B75">
        <w:rPr>
          <w:lang w:val="es-ES_tradnl"/>
        </w:rPr>
        <w:t>presentó</w:t>
      </w:r>
      <w:r w:rsidR="00792718" w:rsidRPr="005B1B75">
        <w:rPr>
          <w:lang w:val="es-ES_tradnl"/>
        </w:rPr>
        <w:t xml:space="preserve"> objeciones </w:t>
      </w:r>
      <w:r w:rsidR="005D7A57" w:rsidRPr="005B1B75">
        <w:rPr>
          <w:lang w:val="es-ES_tradnl"/>
        </w:rPr>
        <w:t>bajo el artículo 3</w:t>
      </w:r>
      <w:r w:rsidR="006A711F" w:rsidRPr="005B1B75">
        <w:rPr>
          <w:lang w:val="es-ES_tradnl"/>
        </w:rPr>
        <w:t xml:space="preserve">, párr. </w:t>
      </w:r>
      <w:r w:rsidR="005D7A57" w:rsidRPr="005B1B75">
        <w:rPr>
          <w:lang w:val="es-ES_tradnl"/>
        </w:rPr>
        <w:t>2</w:t>
      </w:r>
      <w:r w:rsidR="006A711F" w:rsidRPr="005B1B75">
        <w:rPr>
          <w:lang w:val="es-ES_tradnl"/>
        </w:rPr>
        <w:t>, ap</w:t>
      </w:r>
      <w:r w:rsidR="009E41B4">
        <w:rPr>
          <w:lang w:val="es-ES_tradnl"/>
        </w:rPr>
        <w:t>artad</w:t>
      </w:r>
      <w:r w:rsidR="006A711F" w:rsidRPr="005B1B75">
        <w:rPr>
          <w:lang w:val="es-ES_tradnl"/>
        </w:rPr>
        <w:t xml:space="preserve">o </w:t>
      </w:r>
      <w:r w:rsidR="005D7A57" w:rsidRPr="005B1B75">
        <w:rPr>
          <w:lang w:val="es-ES_tradnl"/>
        </w:rPr>
        <w:t>c)</w:t>
      </w:r>
      <w:r w:rsidR="006A711F" w:rsidRPr="005B1B75">
        <w:rPr>
          <w:lang w:val="es-ES_tradnl"/>
        </w:rPr>
        <w:t>,</w:t>
      </w:r>
      <w:r w:rsidR="005D7A57" w:rsidRPr="005B1B75">
        <w:rPr>
          <w:lang w:val="es-ES_tradnl"/>
        </w:rPr>
        <w:t xml:space="preserve"> del Protocolo Facultativo</w:t>
      </w:r>
      <w:r w:rsidR="00E95485" w:rsidRPr="005B1B75">
        <w:rPr>
          <w:lang w:val="es-ES_tradnl"/>
        </w:rPr>
        <w:t>. E</w:t>
      </w:r>
      <w:r w:rsidR="00401E60" w:rsidRPr="005B1B75">
        <w:rPr>
          <w:lang w:val="es-ES_tradnl"/>
        </w:rPr>
        <w:t>n todo caso</w:t>
      </w:r>
      <w:r w:rsidR="00E95485" w:rsidRPr="005B1B75">
        <w:rPr>
          <w:lang w:val="es-ES_tradnl"/>
        </w:rPr>
        <w:t>,</w:t>
      </w:r>
      <w:r w:rsidR="00401E60" w:rsidRPr="005B1B75">
        <w:rPr>
          <w:lang w:val="es-ES_tradnl"/>
        </w:rPr>
        <w:t xml:space="preserve"> la denegación de unas medidas provisionales por el </w:t>
      </w:r>
      <w:r w:rsidR="006A711F" w:rsidRPr="005B1B75">
        <w:rPr>
          <w:lang w:val="es-ES_tradnl"/>
        </w:rPr>
        <w:t xml:space="preserve">Tribunal Europeo </w:t>
      </w:r>
      <w:r w:rsidR="00401E60" w:rsidRPr="005B1B75">
        <w:rPr>
          <w:lang w:val="es-ES_tradnl"/>
        </w:rPr>
        <w:t>no implica un examen de la cuestión</w:t>
      </w:r>
      <w:r w:rsidR="00FF6B94" w:rsidRPr="005B1B75">
        <w:rPr>
          <w:lang w:val="es-ES_tradnl"/>
        </w:rPr>
        <w:t xml:space="preserve"> en el sentido</w:t>
      </w:r>
      <w:r w:rsidR="00F63FB7" w:rsidRPr="005B1B75">
        <w:rPr>
          <w:lang w:val="es-ES_tradnl"/>
        </w:rPr>
        <w:t xml:space="preserve"> </w:t>
      </w:r>
      <w:r w:rsidR="00792718" w:rsidRPr="005B1B75">
        <w:rPr>
          <w:lang w:val="es-ES_tradnl"/>
        </w:rPr>
        <w:t>del Protocolo Facultativo</w:t>
      </w:r>
      <w:r w:rsidR="00090BE7" w:rsidRPr="005B1B75">
        <w:rPr>
          <w:lang w:val="es-ES_tradnl"/>
        </w:rPr>
        <w:t xml:space="preserve">. </w:t>
      </w:r>
    </w:p>
    <w:p w14:paraId="63D216B2" w14:textId="156BBF1E" w:rsidR="003625D3" w:rsidRPr="005B1B75" w:rsidRDefault="00875DCB" w:rsidP="0048522D">
      <w:pPr>
        <w:pStyle w:val="SingleTxtG"/>
        <w:rPr>
          <w:lang w:val="es-ES_tradnl"/>
        </w:rPr>
      </w:pPr>
      <w:r w:rsidRPr="005B1B75">
        <w:rPr>
          <w:lang w:val="es-ES_tradnl"/>
        </w:rPr>
        <w:t>1</w:t>
      </w:r>
      <w:r w:rsidR="00C543DF" w:rsidRPr="005B1B75">
        <w:rPr>
          <w:lang w:val="es-ES_tradnl"/>
        </w:rPr>
        <w:t>1</w:t>
      </w:r>
      <w:r w:rsidRPr="005B1B75">
        <w:rPr>
          <w:lang w:val="es-ES_tradnl"/>
        </w:rPr>
        <w:t>.</w:t>
      </w:r>
      <w:r w:rsidR="005D7A57" w:rsidRPr="005B1B75">
        <w:rPr>
          <w:lang w:val="es-ES_tradnl"/>
        </w:rPr>
        <w:t>3</w:t>
      </w:r>
      <w:r w:rsidRPr="005B1B75">
        <w:rPr>
          <w:lang w:val="es-ES_tradnl"/>
        </w:rPr>
        <w:t xml:space="preserve"> </w:t>
      </w:r>
      <w:r w:rsidRPr="005B1B75">
        <w:rPr>
          <w:lang w:val="es-ES_tradnl"/>
        </w:rPr>
        <w:tab/>
        <w:t xml:space="preserve">El Comité toma nota de </w:t>
      </w:r>
      <w:r w:rsidR="00CF7A1C" w:rsidRPr="005B1B75">
        <w:rPr>
          <w:lang w:val="es-ES_tradnl"/>
        </w:rPr>
        <w:t>la argumentación</w:t>
      </w:r>
      <w:r w:rsidRPr="005B1B75">
        <w:rPr>
          <w:lang w:val="es-ES_tradnl"/>
        </w:rPr>
        <w:t xml:space="preserve"> del Estado parte de que las quejas de los autores </w:t>
      </w:r>
      <w:r w:rsidR="005D7A57" w:rsidRPr="005B1B75">
        <w:rPr>
          <w:lang w:val="es-ES_tradnl"/>
        </w:rPr>
        <w:t>son manifiestamente in</w:t>
      </w:r>
      <w:r w:rsidRPr="005B1B75">
        <w:rPr>
          <w:lang w:val="es-ES_tradnl"/>
        </w:rPr>
        <w:t>funda</w:t>
      </w:r>
      <w:r w:rsidR="00892DA6" w:rsidRPr="005B1B75">
        <w:rPr>
          <w:lang w:val="es-ES_tradnl"/>
        </w:rPr>
        <w:t xml:space="preserve">das </w:t>
      </w:r>
      <w:r w:rsidR="003625D3" w:rsidRPr="005B1B75">
        <w:rPr>
          <w:lang w:val="es-ES_tradnl"/>
        </w:rPr>
        <w:t>con arreglo al artículo 3</w:t>
      </w:r>
      <w:r w:rsidR="00966BD7" w:rsidRPr="005B1B75">
        <w:rPr>
          <w:lang w:val="es-ES_tradnl"/>
        </w:rPr>
        <w:t xml:space="preserve">, párr. </w:t>
      </w:r>
      <w:r w:rsidR="003625D3" w:rsidRPr="005B1B75">
        <w:rPr>
          <w:lang w:val="es-ES_tradnl"/>
        </w:rPr>
        <w:t>2</w:t>
      </w:r>
      <w:r w:rsidR="00966BD7" w:rsidRPr="005B1B75">
        <w:rPr>
          <w:lang w:val="es-ES_tradnl"/>
        </w:rPr>
        <w:t>, ap</w:t>
      </w:r>
      <w:r w:rsidR="009E41B4">
        <w:rPr>
          <w:lang w:val="es-ES_tradnl"/>
        </w:rPr>
        <w:t>artad</w:t>
      </w:r>
      <w:r w:rsidR="00966BD7" w:rsidRPr="005B1B75">
        <w:rPr>
          <w:lang w:val="es-ES_tradnl"/>
        </w:rPr>
        <w:t xml:space="preserve">o </w:t>
      </w:r>
      <w:r w:rsidR="003625D3" w:rsidRPr="005B1B75">
        <w:rPr>
          <w:lang w:val="es-ES_tradnl"/>
        </w:rPr>
        <w:t>e)</w:t>
      </w:r>
      <w:r w:rsidR="00966BD7" w:rsidRPr="005B1B75">
        <w:rPr>
          <w:lang w:val="es-ES_tradnl"/>
        </w:rPr>
        <w:t>,</w:t>
      </w:r>
      <w:r w:rsidR="003625D3" w:rsidRPr="005B1B75">
        <w:rPr>
          <w:lang w:val="es-ES_tradnl"/>
        </w:rPr>
        <w:t xml:space="preserve"> del Protocolo Facultativo, </w:t>
      </w:r>
      <w:r w:rsidRPr="005B1B75">
        <w:rPr>
          <w:lang w:val="es-ES_tradnl"/>
        </w:rPr>
        <w:t xml:space="preserve">toda vez que </w:t>
      </w:r>
      <w:r w:rsidR="00D2062A" w:rsidRPr="005B1B75">
        <w:rPr>
          <w:lang w:val="es-ES_tradnl"/>
        </w:rPr>
        <w:t xml:space="preserve">los autores no sufrieron un desalojo forzoso sino un desahucio por extinción del plazo del contrato de arrendamiento </w:t>
      </w:r>
      <w:r w:rsidR="00EB2124" w:rsidRPr="005B1B75">
        <w:rPr>
          <w:lang w:val="es-ES_tradnl"/>
        </w:rPr>
        <w:t xml:space="preserve">con </w:t>
      </w:r>
      <w:r w:rsidR="00D2062A" w:rsidRPr="005B1B75">
        <w:rPr>
          <w:lang w:val="es-ES_tradnl"/>
        </w:rPr>
        <w:t>un particular</w:t>
      </w:r>
      <w:r w:rsidR="0007338E" w:rsidRPr="005B1B75">
        <w:rPr>
          <w:lang w:val="es-ES_tradnl"/>
        </w:rPr>
        <w:t xml:space="preserve"> y que tuvieron una atención continuada por parte de las autoridades</w:t>
      </w:r>
      <w:r w:rsidR="00CF7A1C" w:rsidRPr="005B1B75">
        <w:rPr>
          <w:lang w:val="es-ES_tradnl"/>
        </w:rPr>
        <w:t xml:space="preserve">. El Comité observa, sin embargo, que </w:t>
      </w:r>
      <w:r w:rsidR="00BC02AA" w:rsidRPr="005B1B75">
        <w:rPr>
          <w:lang w:val="es-ES_tradnl"/>
        </w:rPr>
        <w:t>los hechos aducidos en la comunicación le permiten evaluar si estos revelan o no una violación del Pacto</w:t>
      </w:r>
      <w:r w:rsidR="00E73DAF" w:rsidRPr="005B1B75">
        <w:rPr>
          <w:lang w:val="es-ES_tradnl"/>
        </w:rPr>
        <w:t xml:space="preserve">, </w:t>
      </w:r>
      <w:r w:rsidR="003C5C30" w:rsidRPr="005B1B75">
        <w:rPr>
          <w:lang w:val="es-ES_tradnl"/>
        </w:rPr>
        <w:t xml:space="preserve">y </w:t>
      </w:r>
      <w:r w:rsidR="00E73DAF" w:rsidRPr="005B1B75">
        <w:rPr>
          <w:lang w:val="es-ES_tradnl"/>
        </w:rPr>
        <w:t xml:space="preserve">que </w:t>
      </w:r>
      <w:r w:rsidR="00CF7A1C" w:rsidRPr="005B1B75">
        <w:rPr>
          <w:lang w:val="es-ES_tradnl"/>
        </w:rPr>
        <w:t xml:space="preserve">los autores han fundamentado suficientemente, a efectos de la admisibilidad, sus </w:t>
      </w:r>
      <w:r w:rsidR="003625D3" w:rsidRPr="005B1B75">
        <w:rPr>
          <w:lang w:val="es-ES_tradnl"/>
        </w:rPr>
        <w:t xml:space="preserve">quejas. </w:t>
      </w:r>
    </w:p>
    <w:p w14:paraId="0DBD8E8C" w14:textId="10BE507F" w:rsidR="00CF7A1C" w:rsidRPr="005B1B75" w:rsidRDefault="00CF7A1C" w:rsidP="00D445DC">
      <w:pPr>
        <w:pStyle w:val="SingleTxtG"/>
        <w:rPr>
          <w:lang w:val="es-ES_tradnl"/>
        </w:rPr>
      </w:pPr>
      <w:r w:rsidRPr="005B1B75">
        <w:rPr>
          <w:lang w:val="es-ES_tradnl"/>
        </w:rPr>
        <w:t>1</w:t>
      </w:r>
      <w:r w:rsidR="00C543DF" w:rsidRPr="005B1B75">
        <w:rPr>
          <w:lang w:val="es-ES_tradnl"/>
        </w:rPr>
        <w:t>1</w:t>
      </w:r>
      <w:r w:rsidRPr="005B1B75">
        <w:rPr>
          <w:lang w:val="es-ES_tradnl"/>
        </w:rPr>
        <w:t>.</w:t>
      </w:r>
      <w:r w:rsidR="005D7A57" w:rsidRPr="005B1B75">
        <w:rPr>
          <w:lang w:val="es-ES_tradnl"/>
        </w:rPr>
        <w:t>4</w:t>
      </w:r>
      <w:r w:rsidRPr="005B1B75">
        <w:rPr>
          <w:lang w:val="es-ES_tradnl"/>
        </w:rPr>
        <w:t xml:space="preserve"> </w:t>
      </w:r>
      <w:r w:rsidRPr="005B1B75">
        <w:rPr>
          <w:lang w:val="es-ES_tradnl"/>
        </w:rPr>
        <w:tab/>
        <w:t>El Comité toma nota del argumento del Estado parte de que</w:t>
      </w:r>
      <w:r w:rsidR="00E73DAF" w:rsidRPr="005B1B75">
        <w:rPr>
          <w:lang w:val="es-ES_tradnl"/>
        </w:rPr>
        <w:t xml:space="preserve"> la comunicación </w:t>
      </w:r>
      <w:r w:rsidRPr="005B1B75">
        <w:rPr>
          <w:lang w:val="es-ES_tradnl"/>
        </w:rPr>
        <w:t xml:space="preserve">debería considerarse inadmisible por constituir un abuso del derecho </w:t>
      </w:r>
      <w:r w:rsidR="00817ACB" w:rsidRPr="005B1B75">
        <w:rPr>
          <w:lang w:val="es-ES_tradnl"/>
        </w:rPr>
        <w:t xml:space="preserve">a presentar una comunicación </w:t>
      </w:r>
      <w:r w:rsidR="00E73DAF" w:rsidRPr="005B1B75">
        <w:rPr>
          <w:lang w:val="es-ES_tradnl"/>
        </w:rPr>
        <w:t xml:space="preserve">por cuanto </w:t>
      </w:r>
      <w:r w:rsidR="001E6D28" w:rsidRPr="005B1B75">
        <w:rPr>
          <w:lang w:val="es-ES_tradnl"/>
        </w:rPr>
        <w:t xml:space="preserve">se </w:t>
      </w:r>
      <w:r w:rsidRPr="005B1B75">
        <w:rPr>
          <w:lang w:val="es-ES_tradnl"/>
        </w:rPr>
        <w:t>habr</w:t>
      </w:r>
      <w:r w:rsidR="002F1128" w:rsidRPr="005B1B75">
        <w:rPr>
          <w:lang w:val="es-ES_tradnl"/>
        </w:rPr>
        <w:t>ía omitido</w:t>
      </w:r>
      <w:r w:rsidR="006164B2" w:rsidRPr="005B1B75">
        <w:rPr>
          <w:lang w:val="es-ES_tradnl"/>
        </w:rPr>
        <w:t xml:space="preserve"> o distorsionado </w:t>
      </w:r>
      <w:r w:rsidRPr="005B1B75">
        <w:rPr>
          <w:lang w:val="es-ES_tradnl"/>
        </w:rPr>
        <w:t>información relevante respecto a la situación en que se encontraban los autores con intención de inducir al Comité a confusión.</w:t>
      </w:r>
      <w:r w:rsidR="006164B2" w:rsidRPr="005B1B75">
        <w:rPr>
          <w:lang w:val="es-ES_tradnl"/>
        </w:rPr>
        <w:t xml:space="preserve"> El Comité </w:t>
      </w:r>
      <w:r w:rsidR="0076040E" w:rsidRPr="005B1B75">
        <w:rPr>
          <w:lang w:val="es-ES_tradnl"/>
        </w:rPr>
        <w:t>considera</w:t>
      </w:r>
      <w:r w:rsidR="006164B2" w:rsidRPr="005B1B75">
        <w:rPr>
          <w:lang w:val="es-ES_tradnl"/>
        </w:rPr>
        <w:t xml:space="preserve">, sin embargo, que la mera discrepancia entre el Estado parte y los autores de la comunicación sobre los hechos, incluidas las actuaciones de los servicios sociales y la actitud del </w:t>
      </w:r>
      <w:r w:rsidR="002D0785" w:rsidRPr="005B1B75">
        <w:rPr>
          <w:lang w:val="es-ES_tradnl"/>
        </w:rPr>
        <w:t xml:space="preserve">Sr. Ben </w:t>
      </w:r>
      <w:proofErr w:type="spellStart"/>
      <w:r w:rsidR="002D0785" w:rsidRPr="005B1B75">
        <w:rPr>
          <w:lang w:val="es-ES_tradnl"/>
        </w:rPr>
        <w:t>Djazia</w:t>
      </w:r>
      <w:proofErr w:type="spellEnd"/>
      <w:r w:rsidR="006164B2" w:rsidRPr="005B1B75">
        <w:rPr>
          <w:lang w:val="es-ES_tradnl"/>
        </w:rPr>
        <w:t xml:space="preserve"> en la búsqueda de trabajo y vivienda alternativa, no constituye un abuso del derecho a presentar una comunicación con arreglo al artículo 3</w:t>
      </w:r>
      <w:r w:rsidR="00F937AD" w:rsidRPr="005B1B75">
        <w:rPr>
          <w:lang w:val="es-ES_tradnl"/>
        </w:rPr>
        <w:t xml:space="preserve">, párr. </w:t>
      </w:r>
      <w:r w:rsidR="006164B2" w:rsidRPr="005B1B75">
        <w:rPr>
          <w:lang w:val="es-ES_tradnl"/>
        </w:rPr>
        <w:t>2</w:t>
      </w:r>
      <w:r w:rsidR="00F937AD" w:rsidRPr="005B1B75">
        <w:rPr>
          <w:lang w:val="es-ES_tradnl"/>
        </w:rPr>
        <w:t xml:space="preserve">, </w:t>
      </w:r>
      <w:r w:rsidR="009E41B4" w:rsidRPr="005B1B75">
        <w:rPr>
          <w:lang w:val="es-ES_tradnl"/>
        </w:rPr>
        <w:t>a</w:t>
      </w:r>
      <w:r w:rsidR="009E41B4">
        <w:rPr>
          <w:lang w:val="es-ES_tradnl"/>
        </w:rPr>
        <w:t>partad</w:t>
      </w:r>
      <w:r w:rsidR="009E41B4" w:rsidRPr="005B1B75">
        <w:rPr>
          <w:lang w:val="es-ES_tradnl"/>
        </w:rPr>
        <w:t>o</w:t>
      </w:r>
      <w:r w:rsidR="009E41B4">
        <w:rPr>
          <w:lang w:val="es-ES_tradnl"/>
        </w:rPr>
        <w:t> </w:t>
      </w:r>
      <w:r w:rsidR="006164B2" w:rsidRPr="005B1B75">
        <w:rPr>
          <w:lang w:val="es-ES_tradnl"/>
        </w:rPr>
        <w:t>f)</w:t>
      </w:r>
      <w:r w:rsidR="00F937AD" w:rsidRPr="005B1B75">
        <w:rPr>
          <w:lang w:val="es-ES_tradnl"/>
        </w:rPr>
        <w:t>,</w:t>
      </w:r>
      <w:r w:rsidR="006164B2" w:rsidRPr="005B1B75">
        <w:rPr>
          <w:lang w:val="es-ES_tradnl"/>
        </w:rPr>
        <w:t xml:space="preserve"> del Protocolo Facultativo.</w:t>
      </w:r>
    </w:p>
    <w:p w14:paraId="3C124935" w14:textId="0ADD6F06" w:rsidR="00686BE5" w:rsidRPr="0048522D" w:rsidRDefault="006164B2" w:rsidP="00D445DC">
      <w:pPr>
        <w:pStyle w:val="SingleTxtG"/>
        <w:rPr>
          <w:lang w:val="es-ES_tradnl"/>
        </w:rPr>
      </w:pPr>
      <w:r w:rsidRPr="005B1B75">
        <w:rPr>
          <w:lang w:val="es-ES_tradnl"/>
        </w:rPr>
        <w:t>1</w:t>
      </w:r>
      <w:r w:rsidR="00C543DF" w:rsidRPr="005B1B75">
        <w:rPr>
          <w:lang w:val="es-ES_tradnl"/>
        </w:rPr>
        <w:t>1</w:t>
      </w:r>
      <w:r w:rsidRPr="005B1B75">
        <w:rPr>
          <w:lang w:val="es-ES_tradnl"/>
        </w:rPr>
        <w:t>.</w:t>
      </w:r>
      <w:r w:rsidR="005D7A57" w:rsidRPr="005B1B75">
        <w:rPr>
          <w:lang w:val="es-ES_tradnl"/>
        </w:rPr>
        <w:t>5</w:t>
      </w:r>
      <w:r w:rsidRPr="005B1B75">
        <w:rPr>
          <w:lang w:val="es-ES_tradnl"/>
        </w:rPr>
        <w:t xml:space="preserve"> </w:t>
      </w:r>
      <w:r w:rsidRPr="005B1B75">
        <w:rPr>
          <w:lang w:val="es-ES_tradnl"/>
        </w:rPr>
        <w:tab/>
      </w:r>
      <w:r w:rsidR="00E973EB" w:rsidRPr="0048522D">
        <w:rPr>
          <w:lang w:val="es-ES_tradnl"/>
        </w:rPr>
        <w:t xml:space="preserve"> </w:t>
      </w:r>
      <w:r w:rsidR="007E1A65" w:rsidRPr="005B1B75">
        <w:rPr>
          <w:lang w:val="es-ES_tradnl"/>
        </w:rPr>
        <w:t xml:space="preserve">El Comité toma nota del argumento del Estado parte de que la comunicación también es inadmisible toda vez que no </w:t>
      </w:r>
      <w:r w:rsidR="001E6D28" w:rsidRPr="005B1B75">
        <w:rPr>
          <w:lang w:val="es-ES_tradnl"/>
        </w:rPr>
        <w:t xml:space="preserve">revela </w:t>
      </w:r>
      <w:r w:rsidR="007E1A65" w:rsidRPr="005B1B75">
        <w:rPr>
          <w:lang w:val="es-ES_tradnl"/>
        </w:rPr>
        <w:t>que los autores hayan estado en una situación de clara desventaja. De acuerdo con el artículo 4 del Protocolo Facultativo</w:t>
      </w:r>
      <w:r w:rsidR="002F1128" w:rsidRPr="005B1B75">
        <w:rPr>
          <w:lang w:val="es-ES_tradnl"/>
        </w:rPr>
        <w:t>,</w:t>
      </w:r>
      <w:r w:rsidR="007E1A65" w:rsidRPr="005B1B75">
        <w:rPr>
          <w:lang w:val="es-ES_tradnl"/>
        </w:rPr>
        <w:t xml:space="preserve"> d</w:t>
      </w:r>
      <w:r w:rsidR="007E1A65" w:rsidRPr="0048522D">
        <w:rPr>
          <w:lang w:val="es-ES_tradnl"/>
        </w:rPr>
        <w:t xml:space="preserve">e ser necesario, el Comité </w:t>
      </w:r>
      <w:r w:rsidR="003E3E2D" w:rsidRPr="0048522D">
        <w:rPr>
          <w:lang w:val="es-ES_tradnl"/>
        </w:rPr>
        <w:t xml:space="preserve">podrá </w:t>
      </w:r>
      <w:r w:rsidR="007E1A65" w:rsidRPr="0048522D">
        <w:rPr>
          <w:lang w:val="es-ES_tradnl"/>
        </w:rPr>
        <w:t xml:space="preserve">negarse a considerar una comunicación que no revele que el </w:t>
      </w:r>
      <w:r w:rsidR="002D0785" w:rsidRPr="0048522D">
        <w:rPr>
          <w:lang w:val="es-ES_tradnl"/>
        </w:rPr>
        <w:t>Sr.</w:t>
      </w:r>
      <w:r w:rsidR="009E41B4">
        <w:rPr>
          <w:lang w:val="es-ES_tradnl"/>
        </w:rPr>
        <w:t> </w:t>
      </w:r>
      <w:r w:rsidR="002D0785" w:rsidRPr="0048522D">
        <w:rPr>
          <w:lang w:val="es-ES_tradnl"/>
        </w:rPr>
        <w:t xml:space="preserve">Ben </w:t>
      </w:r>
      <w:proofErr w:type="spellStart"/>
      <w:r w:rsidR="002D0785" w:rsidRPr="0048522D">
        <w:rPr>
          <w:lang w:val="es-ES_tradnl"/>
        </w:rPr>
        <w:t>Djazia</w:t>
      </w:r>
      <w:proofErr w:type="spellEnd"/>
      <w:r w:rsidR="007E1A65" w:rsidRPr="0048522D">
        <w:rPr>
          <w:lang w:val="es-ES_tradnl"/>
        </w:rPr>
        <w:t xml:space="preserve"> ha estado en situación de clara desventaja, salvo que el Comité entienda que la comunicación plantea una cuestión grave de importancia general. </w:t>
      </w:r>
      <w:r w:rsidR="003E3E2D" w:rsidRPr="0048522D">
        <w:rPr>
          <w:lang w:val="es-ES_tradnl"/>
        </w:rPr>
        <w:t>Una interpretación literal y sistemática permite concluir que este artículo no establece un requisito de admisibilidad que debe satisfacer una comunicación bajo el Protocolo Facultativo</w:t>
      </w:r>
      <w:r w:rsidR="002D405D" w:rsidRPr="009E41B4">
        <w:rPr>
          <w:rStyle w:val="Refdenotaalpie"/>
          <w:lang w:val="es-ES_tradnl"/>
        </w:rPr>
        <w:footnoteReference w:id="16"/>
      </w:r>
      <w:r w:rsidR="003E3E2D" w:rsidRPr="0048522D">
        <w:rPr>
          <w:lang w:val="es-ES_tradnl"/>
        </w:rPr>
        <w:t xml:space="preserve"> sino una facultad discrecional </w:t>
      </w:r>
      <w:r w:rsidR="00190E07" w:rsidRPr="0048522D">
        <w:rPr>
          <w:lang w:val="es-ES_tradnl"/>
        </w:rPr>
        <w:t>de</w:t>
      </w:r>
      <w:r w:rsidR="003E3E2D" w:rsidRPr="0048522D">
        <w:rPr>
          <w:lang w:val="es-ES_tradnl"/>
        </w:rPr>
        <w:t>l Comité para negarse a considerar una comunicación que no supere un umbral de gravedad, si esto resulta necesario para concentrar sus recursos en el mejor cumplimiento de sus funciones. Est</w:t>
      </w:r>
      <w:r w:rsidR="00852A48" w:rsidRPr="0048522D">
        <w:rPr>
          <w:lang w:val="es-ES_tradnl"/>
        </w:rPr>
        <w:t>a</w:t>
      </w:r>
      <w:r w:rsidR="003E3E2D" w:rsidRPr="0048522D">
        <w:rPr>
          <w:lang w:val="es-ES_tradnl"/>
        </w:rPr>
        <w:t xml:space="preserve"> interpretación</w:t>
      </w:r>
      <w:r w:rsidR="0047307B" w:rsidRPr="0048522D">
        <w:rPr>
          <w:lang w:val="es-ES_tradnl"/>
        </w:rPr>
        <w:t xml:space="preserve"> se ve confirmada</w:t>
      </w:r>
      <w:r w:rsidR="003E3E2D" w:rsidRPr="0048522D">
        <w:rPr>
          <w:lang w:val="es-ES_tradnl"/>
        </w:rPr>
        <w:t xml:space="preserve"> por los trabajos preparatorios del Protocolo Facultativo</w:t>
      </w:r>
      <w:r w:rsidR="003E3E2D" w:rsidRPr="0048522D">
        <w:rPr>
          <w:sz w:val="18"/>
          <w:szCs w:val="18"/>
          <w:vertAlign w:val="superscript"/>
          <w:lang w:val="es-ES_tradnl"/>
        </w:rPr>
        <w:footnoteReference w:id="17"/>
      </w:r>
      <w:r w:rsidR="00190E07" w:rsidRPr="0048522D">
        <w:rPr>
          <w:lang w:val="es-ES_tradnl"/>
        </w:rPr>
        <w:t>.</w:t>
      </w:r>
      <w:r w:rsidR="003E3E2D" w:rsidRPr="0048522D">
        <w:rPr>
          <w:lang w:val="es-ES_tradnl"/>
        </w:rPr>
        <w:t xml:space="preserve"> En el ejercicio de esta facultad discrecional, el Comité tomará en cuenta, entre otros factores, el estado de </w:t>
      </w:r>
      <w:r w:rsidR="00106547" w:rsidRPr="0048522D">
        <w:rPr>
          <w:lang w:val="es-ES_tradnl"/>
        </w:rPr>
        <w:t xml:space="preserve">su </w:t>
      </w:r>
      <w:r w:rsidR="003E3E2D" w:rsidRPr="0048522D">
        <w:rPr>
          <w:lang w:val="es-ES_tradnl"/>
        </w:rPr>
        <w:t>jurisprudencia sobre los distintos derechos del Pacto y si la supuesta víctima ha estado en una situación de clara desventaja, considera</w:t>
      </w:r>
      <w:r w:rsidR="00FF6B94" w:rsidRPr="0048522D">
        <w:rPr>
          <w:lang w:val="es-ES_tradnl"/>
        </w:rPr>
        <w:t>ndo las circunstancias del caso</w:t>
      </w:r>
      <w:r w:rsidR="00F91F8E" w:rsidRPr="0048522D">
        <w:rPr>
          <w:lang w:val="es-ES_tradnl"/>
        </w:rPr>
        <w:t>,</w:t>
      </w:r>
      <w:r w:rsidR="00FF6B94" w:rsidRPr="0048522D">
        <w:rPr>
          <w:lang w:val="es-ES_tradnl"/>
        </w:rPr>
        <w:t xml:space="preserve"> e</w:t>
      </w:r>
      <w:r w:rsidR="003E3E2D" w:rsidRPr="0048522D">
        <w:rPr>
          <w:lang w:val="es-ES_tradnl"/>
        </w:rPr>
        <w:t>n particular, la naturaleza de los derech</w:t>
      </w:r>
      <w:r w:rsidR="00FF6B94" w:rsidRPr="0048522D">
        <w:rPr>
          <w:lang w:val="es-ES_tradnl"/>
        </w:rPr>
        <w:t>os presuntamente vulnerados, la</w:t>
      </w:r>
      <w:r w:rsidR="003E3E2D" w:rsidRPr="0048522D">
        <w:rPr>
          <w:lang w:val="es-ES_tradnl"/>
        </w:rPr>
        <w:t xml:space="preserve"> gravedad de las violaciones alegadas y/o las eventuales consecuencias de la violación sobre la situación personal de la supuesta víctima</w:t>
      </w:r>
      <w:r w:rsidR="003E3E2D" w:rsidRPr="0048522D">
        <w:rPr>
          <w:sz w:val="18"/>
          <w:szCs w:val="18"/>
          <w:vertAlign w:val="superscript"/>
          <w:lang w:val="es-ES_tradnl"/>
        </w:rPr>
        <w:footnoteReference w:id="18"/>
      </w:r>
      <w:r w:rsidR="00F91F8E" w:rsidRPr="0048522D">
        <w:rPr>
          <w:lang w:val="es-ES_tradnl"/>
        </w:rPr>
        <w:t>.</w:t>
      </w:r>
      <w:r w:rsidR="003E3E2D" w:rsidRPr="0048522D">
        <w:rPr>
          <w:lang w:val="es-ES_tradnl"/>
        </w:rPr>
        <w:t xml:space="preserve"> </w:t>
      </w:r>
      <w:r w:rsidR="003E3E2D" w:rsidRPr="005B1B75">
        <w:rPr>
          <w:lang w:val="es-ES_tradnl"/>
        </w:rPr>
        <w:t>A la luz de estas consideraciones y los hechos expuestos por la comunicación, el Comité no considera que deba negarse a considerar la comunicación en virtud del artículo 4 del Protocolo Facultativo.</w:t>
      </w:r>
    </w:p>
    <w:p w14:paraId="248F4083" w14:textId="514D9BE7" w:rsidR="00B7775B" w:rsidRPr="005B1B75" w:rsidRDefault="006164B2" w:rsidP="00D445DC">
      <w:pPr>
        <w:pStyle w:val="SingleTxtG"/>
        <w:rPr>
          <w:lang w:val="es-ES_tradnl"/>
        </w:rPr>
      </w:pPr>
      <w:r w:rsidRPr="005B1B75">
        <w:rPr>
          <w:lang w:val="es-ES_tradnl"/>
        </w:rPr>
        <w:lastRenderedPageBreak/>
        <w:t>1</w:t>
      </w:r>
      <w:r w:rsidR="00C543DF" w:rsidRPr="005B1B75">
        <w:rPr>
          <w:lang w:val="es-ES_tradnl"/>
        </w:rPr>
        <w:t>1</w:t>
      </w:r>
      <w:r w:rsidRPr="005B1B75">
        <w:rPr>
          <w:lang w:val="es-ES_tradnl"/>
        </w:rPr>
        <w:t>.</w:t>
      </w:r>
      <w:r w:rsidR="005D7A57" w:rsidRPr="005B1B75">
        <w:rPr>
          <w:lang w:val="es-ES_tradnl"/>
        </w:rPr>
        <w:t>6</w:t>
      </w:r>
      <w:r w:rsidRPr="005B1B75">
        <w:rPr>
          <w:lang w:val="es-ES_tradnl"/>
        </w:rPr>
        <w:t xml:space="preserve"> </w:t>
      </w:r>
      <w:r w:rsidRPr="005B1B75">
        <w:rPr>
          <w:lang w:val="es-ES_tradnl"/>
        </w:rPr>
        <w:tab/>
      </w:r>
      <w:r w:rsidR="003E3E2D" w:rsidRPr="005B1B75">
        <w:rPr>
          <w:lang w:val="es-ES_tradnl"/>
        </w:rPr>
        <w:t xml:space="preserve">El Comité observa que la comunicación cumple con los otros requisitos de </w:t>
      </w:r>
      <w:r w:rsidR="000E67ED" w:rsidRPr="005B1B75">
        <w:rPr>
          <w:lang w:val="es-ES_tradnl"/>
        </w:rPr>
        <w:t>admisibilidad establecidos en los artículos 2 y 3 del</w:t>
      </w:r>
      <w:r w:rsidR="003E3E2D" w:rsidRPr="005B1B75">
        <w:rPr>
          <w:lang w:val="es-ES_tradnl"/>
        </w:rPr>
        <w:t xml:space="preserve"> Protocolo</w:t>
      </w:r>
      <w:r w:rsidR="00957A51" w:rsidRPr="005B1B75">
        <w:rPr>
          <w:lang w:val="es-ES_tradnl"/>
        </w:rPr>
        <w:t xml:space="preserve"> </w:t>
      </w:r>
      <w:r w:rsidR="003E3E2D" w:rsidRPr="005B1B75">
        <w:rPr>
          <w:lang w:val="es-ES_tradnl"/>
        </w:rPr>
        <w:t>Facultativo y, p</w:t>
      </w:r>
      <w:r w:rsidRPr="005B1B75">
        <w:rPr>
          <w:lang w:val="es-ES_tradnl"/>
        </w:rPr>
        <w:t xml:space="preserve">or consiguiente, </w:t>
      </w:r>
      <w:r w:rsidR="0047307B" w:rsidRPr="005B1B75">
        <w:rPr>
          <w:lang w:val="es-ES_tradnl"/>
        </w:rPr>
        <w:t>la</w:t>
      </w:r>
      <w:r w:rsidRPr="005B1B75">
        <w:rPr>
          <w:lang w:val="es-ES_tradnl"/>
        </w:rPr>
        <w:t xml:space="preserve"> declara </w:t>
      </w:r>
      <w:r w:rsidR="00CC625E" w:rsidRPr="005B1B75">
        <w:rPr>
          <w:lang w:val="es-ES_tradnl"/>
        </w:rPr>
        <w:t xml:space="preserve">admisible </w:t>
      </w:r>
      <w:r w:rsidRPr="005B1B75">
        <w:rPr>
          <w:lang w:val="es-ES_tradnl"/>
        </w:rPr>
        <w:t>y procede a examinarla en cuanto al fondo.</w:t>
      </w:r>
    </w:p>
    <w:p w14:paraId="792E1E75" w14:textId="284CA320" w:rsidR="00686BE5" w:rsidRPr="005B1B75" w:rsidRDefault="00725436" w:rsidP="0048522D">
      <w:pPr>
        <w:pStyle w:val="H1G"/>
        <w:rPr>
          <w:lang w:val="es-ES_tradnl"/>
        </w:rPr>
      </w:pPr>
      <w:r w:rsidRPr="0048522D">
        <w:rPr>
          <w:lang w:val="es-ES_tradnl"/>
        </w:rPr>
        <w:tab/>
      </w:r>
      <w:r w:rsidR="00B7775B" w:rsidRPr="005B1B75">
        <w:rPr>
          <w:lang w:val="es-ES_tradnl"/>
        </w:rPr>
        <w:t>C.</w:t>
      </w:r>
      <w:r w:rsidR="00731D13" w:rsidRPr="005B1B75">
        <w:rPr>
          <w:lang w:val="es-ES_tradnl"/>
        </w:rPr>
        <w:tab/>
      </w:r>
      <w:r w:rsidR="0029180A" w:rsidRPr="005B1B75">
        <w:rPr>
          <w:lang w:val="es-ES_tradnl"/>
        </w:rPr>
        <w:t>Examen de</w:t>
      </w:r>
      <w:r w:rsidR="009559F1" w:rsidRPr="005B1B75">
        <w:rPr>
          <w:lang w:val="es-ES_tradnl"/>
        </w:rPr>
        <w:t xml:space="preserve"> la cuestión en cuanto al fondo</w:t>
      </w:r>
    </w:p>
    <w:p w14:paraId="795361E4" w14:textId="77777777" w:rsidR="0029180A" w:rsidRPr="0048522D" w:rsidRDefault="0029180A" w:rsidP="00D445DC">
      <w:pPr>
        <w:pStyle w:val="H23G"/>
        <w:rPr>
          <w:lang w:val="es-ES_tradnl"/>
        </w:rPr>
      </w:pPr>
      <w:r w:rsidRPr="005B1B75">
        <w:rPr>
          <w:lang w:val="es-ES_tradnl"/>
        </w:rPr>
        <w:tab/>
      </w:r>
      <w:r w:rsidRPr="005B1B75">
        <w:rPr>
          <w:lang w:val="es-ES_tradnl"/>
        </w:rPr>
        <w:tab/>
        <w:t>Hechos y asuntos jurídicos</w:t>
      </w:r>
    </w:p>
    <w:p w14:paraId="0EDF5D8B" w14:textId="77777777" w:rsidR="0029180A" w:rsidRPr="005B1B75" w:rsidRDefault="003D49B0" w:rsidP="00D445DC">
      <w:pPr>
        <w:pStyle w:val="SingleTxtG"/>
        <w:rPr>
          <w:lang w:val="es-ES_tradnl"/>
        </w:rPr>
      </w:pPr>
      <w:r w:rsidRPr="005B1B75">
        <w:rPr>
          <w:lang w:val="es-ES_tradnl"/>
        </w:rPr>
        <w:t>1</w:t>
      </w:r>
      <w:r w:rsidR="00C543DF" w:rsidRPr="005B1B75">
        <w:rPr>
          <w:lang w:val="es-ES_tradnl"/>
        </w:rPr>
        <w:t>2</w:t>
      </w:r>
      <w:r w:rsidR="0029180A" w:rsidRPr="005B1B75">
        <w:rPr>
          <w:lang w:val="es-ES_tradnl"/>
        </w:rPr>
        <w:t>.1</w:t>
      </w:r>
      <w:r w:rsidR="0029180A" w:rsidRPr="005B1B75">
        <w:rPr>
          <w:lang w:val="es-ES_tradnl"/>
        </w:rPr>
        <w:tab/>
        <w:t xml:space="preserve">El Comité ha examinado la presente comunicación teniendo en cuenta toda la información que le ha sido facilitada, de conformidad con lo dispuesto en el artículo 8 del Protocolo Facultativo. </w:t>
      </w:r>
    </w:p>
    <w:p w14:paraId="2A145EC3" w14:textId="5C4ECB14" w:rsidR="00C34BAD" w:rsidRPr="005B1B75" w:rsidRDefault="003D49B0" w:rsidP="00D445DC">
      <w:pPr>
        <w:pStyle w:val="SingleTxtG"/>
        <w:rPr>
          <w:lang w:val="es-ES_tradnl"/>
        </w:rPr>
      </w:pPr>
      <w:r w:rsidRPr="005B1B75">
        <w:rPr>
          <w:lang w:val="es-ES_tradnl"/>
        </w:rPr>
        <w:t>1</w:t>
      </w:r>
      <w:r w:rsidR="00C543DF" w:rsidRPr="005B1B75">
        <w:rPr>
          <w:lang w:val="es-ES_tradnl"/>
        </w:rPr>
        <w:t>2</w:t>
      </w:r>
      <w:r w:rsidR="0029180A" w:rsidRPr="005B1B75">
        <w:rPr>
          <w:lang w:val="es-ES_tradnl"/>
        </w:rPr>
        <w:t xml:space="preserve">.2 </w:t>
      </w:r>
      <w:r w:rsidR="0029180A" w:rsidRPr="005B1B75">
        <w:rPr>
          <w:lang w:val="es-ES_tradnl"/>
        </w:rPr>
        <w:tab/>
      </w:r>
      <w:r w:rsidR="00A209E3" w:rsidRPr="005B1B75">
        <w:rPr>
          <w:lang w:val="es-ES_tradnl"/>
        </w:rPr>
        <w:t xml:space="preserve">Los autores alegan que el Estado parte violó su derecho a la vivienda adecuada </w:t>
      </w:r>
      <w:r w:rsidR="00A4302F" w:rsidRPr="005B1B75">
        <w:rPr>
          <w:lang w:val="es-ES_tradnl"/>
        </w:rPr>
        <w:t xml:space="preserve">pues </w:t>
      </w:r>
      <w:r w:rsidR="00A209E3" w:rsidRPr="005B1B75">
        <w:rPr>
          <w:lang w:val="es-ES_tradnl"/>
        </w:rPr>
        <w:t>fueron desa</w:t>
      </w:r>
      <w:r w:rsidR="00886706" w:rsidRPr="005B1B75">
        <w:rPr>
          <w:lang w:val="es-ES_tradnl"/>
        </w:rPr>
        <w:t>lojados de su vivienda alquilada</w:t>
      </w:r>
      <w:r w:rsidR="00A209E3" w:rsidRPr="005B1B75">
        <w:rPr>
          <w:lang w:val="es-ES_tradnl"/>
        </w:rPr>
        <w:t xml:space="preserve"> por orden del Juzgado </w:t>
      </w:r>
      <w:r w:rsidR="001A643F" w:rsidRPr="005B1B75">
        <w:rPr>
          <w:lang w:val="es-ES_tradnl"/>
        </w:rPr>
        <w:t>núm.</w:t>
      </w:r>
      <w:r w:rsidR="00A209E3" w:rsidRPr="005B1B75">
        <w:rPr>
          <w:lang w:val="es-ES_tradnl"/>
        </w:rPr>
        <w:t xml:space="preserve"> 37, </w:t>
      </w:r>
      <w:r w:rsidR="008D27EC" w:rsidRPr="005B1B75">
        <w:rPr>
          <w:lang w:val="es-ES_tradnl"/>
        </w:rPr>
        <w:t xml:space="preserve">sin considerar que </w:t>
      </w:r>
      <w:r w:rsidR="008C6904" w:rsidRPr="005B1B75">
        <w:rPr>
          <w:lang w:val="es-ES_tradnl"/>
        </w:rPr>
        <w:t>no tenían vivienda alternativa ni</w:t>
      </w:r>
      <w:r w:rsidR="008D27EC" w:rsidRPr="005B1B75">
        <w:rPr>
          <w:lang w:val="es-ES_tradnl"/>
        </w:rPr>
        <w:t xml:space="preserve"> las consecuencias de la orden de desa</w:t>
      </w:r>
      <w:r w:rsidR="00DE0734" w:rsidRPr="005B1B75">
        <w:rPr>
          <w:lang w:val="es-ES_tradnl"/>
        </w:rPr>
        <w:t>lojo</w:t>
      </w:r>
      <w:r w:rsidR="008D27EC" w:rsidRPr="005B1B75">
        <w:rPr>
          <w:lang w:val="es-ES_tradnl"/>
        </w:rPr>
        <w:t>, en particular sobre sus hijos menores de edad.</w:t>
      </w:r>
      <w:r w:rsidR="00C34BAD" w:rsidRPr="005B1B75">
        <w:rPr>
          <w:lang w:val="es-ES_tradnl"/>
        </w:rPr>
        <w:t xml:space="preserve"> </w:t>
      </w:r>
      <w:r w:rsidR="00E73DAF" w:rsidRPr="005B1B75">
        <w:rPr>
          <w:lang w:val="es-ES_tradnl"/>
        </w:rPr>
        <w:t>Argumentan que e</w:t>
      </w:r>
      <w:r w:rsidR="00A209E3" w:rsidRPr="005B1B75">
        <w:rPr>
          <w:lang w:val="es-ES_tradnl"/>
        </w:rPr>
        <w:t>l proceso judicial no observó las garantías judiciales</w:t>
      </w:r>
      <w:r w:rsidR="00E73DAF" w:rsidRPr="005B1B75">
        <w:rPr>
          <w:lang w:val="es-ES_tradnl"/>
        </w:rPr>
        <w:t xml:space="preserve"> y que </w:t>
      </w:r>
      <w:r w:rsidR="00062CD1" w:rsidRPr="005B1B75">
        <w:rPr>
          <w:lang w:val="es-ES_tradnl"/>
        </w:rPr>
        <w:t xml:space="preserve">las </w:t>
      </w:r>
      <w:r w:rsidR="00C34BAD" w:rsidRPr="005B1B75">
        <w:rPr>
          <w:lang w:val="es-ES_tradnl"/>
        </w:rPr>
        <w:t xml:space="preserve">autoridades no concedieron a la familia vivienda pública. Más aún, la Comunidad de Madrid </w:t>
      </w:r>
      <w:r w:rsidR="001C4FBE" w:rsidRPr="005B1B75">
        <w:rPr>
          <w:lang w:val="es-ES_tradnl"/>
        </w:rPr>
        <w:t xml:space="preserve">vendió parte de su parque de viviendas públicas a fondos de inversión privados </w:t>
      </w:r>
      <w:r w:rsidR="00C34BAD" w:rsidRPr="005B1B75">
        <w:rPr>
          <w:lang w:val="es-ES_tradnl"/>
        </w:rPr>
        <w:t xml:space="preserve">en un contexto de grave crisis económica. </w:t>
      </w:r>
    </w:p>
    <w:p w14:paraId="6A841A55" w14:textId="228C1903" w:rsidR="00EB7633" w:rsidRPr="005B1B75" w:rsidRDefault="00C543DF" w:rsidP="00D445DC">
      <w:pPr>
        <w:pStyle w:val="SingleTxtG"/>
        <w:rPr>
          <w:lang w:val="es-ES_tradnl"/>
        </w:rPr>
      </w:pPr>
      <w:r w:rsidRPr="005B1B75">
        <w:rPr>
          <w:lang w:val="es-ES_tradnl"/>
        </w:rPr>
        <w:t>12</w:t>
      </w:r>
      <w:r w:rsidR="00DA2146" w:rsidRPr="005B1B75">
        <w:rPr>
          <w:lang w:val="es-ES_tradnl"/>
        </w:rPr>
        <w:t xml:space="preserve">.3 </w:t>
      </w:r>
      <w:r w:rsidR="00DA2146" w:rsidRPr="005B1B75">
        <w:rPr>
          <w:lang w:val="es-ES_tradnl"/>
        </w:rPr>
        <w:tab/>
        <w:t xml:space="preserve">El Estado parte argumenta que los autores enfrentaron un desahucio </w:t>
      </w:r>
      <w:r w:rsidR="00E73DAF" w:rsidRPr="005B1B75">
        <w:rPr>
          <w:lang w:val="es-ES_tradnl"/>
        </w:rPr>
        <w:t xml:space="preserve">iniciado </w:t>
      </w:r>
      <w:r w:rsidR="00DA2146" w:rsidRPr="005B1B75">
        <w:rPr>
          <w:lang w:val="es-ES_tradnl"/>
        </w:rPr>
        <w:t>po</w:t>
      </w:r>
      <w:r w:rsidR="009559F1" w:rsidRPr="005B1B75">
        <w:rPr>
          <w:lang w:val="es-ES_tradnl"/>
        </w:rPr>
        <w:t>r un particular (la arrendadora</w:t>
      </w:r>
      <w:r w:rsidR="00DA2146" w:rsidRPr="005B1B75">
        <w:rPr>
          <w:lang w:val="es-ES_tradnl"/>
        </w:rPr>
        <w:t>)</w:t>
      </w:r>
      <w:r w:rsidR="008C6904" w:rsidRPr="005B1B75">
        <w:rPr>
          <w:lang w:val="es-ES_tradnl"/>
        </w:rPr>
        <w:t xml:space="preserve">; que el </w:t>
      </w:r>
      <w:r w:rsidR="00DA2146" w:rsidRPr="005B1B75">
        <w:rPr>
          <w:lang w:val="es-ES_tradnl"/>
        </w:rPr>
        <w:t xml:space="preserve">Poder Judicial </w:t>
      </w:r>
      <w:r w:rsidR="008C6904" w:rsidRPr="005B1B75">
        <w:rPr>
          <w:lang w:val="es-ES_tradnl"/>
        </w:rPr>
        <w:t xml:space="preserve">únicamente intervino </w:t>
      </w:r>
      <w:r w:rsidR="00DA2146" w:rsidRPr="005B1B75">
        <w:rPr>
          <w:lang w:val="es-ES_tradnl"/>
        </w:rPr>
        <w:t xml:space="preserve">como mediador; </w:t>
      </w:r>
      <w:r w:rsidR="006012C7" w:rsidRPr="005B1B75">
        <w:rPr>
          <w:lang w:val="es-ES_tradnl"/>
        </w:rPr>
        <w:t xml:space="preserve">y que el proceso seguido ante el Juzgado </w:t>
      </w:r>
      <w:r w:rsidR="001A643F" w:rsidRPr="005B1B75">
        <w:rPr>
          <w:lang w:val="es-ES_tradnl"/>
        </w:rPr>
        <w:t>núm.</w:t>
      </w:r>
      <w:r w:rsidR="006012C7" w:rsidRPr="005B1B75">
        <w:rPr>
          <w:lang w:val="es-ES_tradnl"/>
        </w:rPr>
        <w:t xml:space="preserve"> 37 observó todas las garantías judiciales. Asimismo, </w:t>
      </w:r>
      <w:r w:rsidR="00957A51" w:rsidRPr="005B1B75">
        <w:rPr>
          <w:lang w:val="es-ES_tradnl"/>
        </w:rPr>
        <w:t xml:space="preserve">señala que </w:t>
      </w:r>
      <w:r w:rsidR="006012C7" w:rsidRPr="005B1B75">
        <w:rPr>
          <w:lang w:val="es-ES_tradnl"/>
        </w:rPr>
        <w:t xml:space="preserve">los </w:t>
      </w:r>
      <w:r w:rsidR="005E52E9" w:rsidRPr="005B1B75">
        <w:rPr>
          <w:lang w:val="es-ES_tradnl"/>
        </w:rPr>
        <w:t>S</w:t>
      </w:r>
      <w:r w:rsidR="006012C7" w:rsidRPr="005B1B75">
        <w:rPr>
          <w:lang w:val="es-ES_tradnl"/>
        </w:rPr>
        <w:t xml:space="preserve">ervicios </w:t>
      </w:r>
      <w:r w:rsidR="005E52E9" w:rsidRPr="005B1B75">
        <w:rPr>
          <w:lang w:val="es-ES_tradnl"/>
        </w:rPr>
        <w:t>S</w:t>
      </w:r>
      <w:r w:rsidR="006012C7" w:rsidRPr="005B1B75">
        <w:rPr>
          <w:lang w:val="es-ES_tradnl"/>
        </w:rPr>
        <w:t>ociales de</w:t>
      </w:r>
      <w:r w:rsidR="00DA2146" w:rsidRPr="005B1B75">
        <w:rPr>
          <w:lang w:val="es-ES_tradnl"/>
        </w:rPr>
        <w:t xml:space="preserve"> la Comunidad y del Ayuntamiento de Madrid</w:t>
      </w:r>
      <w:r w:rsidR="006012C7" w:rsidRPr="005B1B75">
        <w:rPr>
          <w:lang w:val="es-ES_tradnl"/>
        </w:rPr>
        <w:t xml:space="preserve"> asistieron a los autores de distintas formas</w:t>
      </w:r>
      <w:r w:rsidR="00602AD9" w:rsidRPr="005B1B75">
        <w:rPr>
          <w:lang w:val="es-ES_tradnl"/>
        </w:rPr>
        <w:t xml:space="preserve"> (véase </w:t>
      </w:r>
      <w:r w:rsidR="00B851E3" w:rsidRPr="005B1B75">
        <w:rPr>
          <w:lang w:val="es-ES_tradnl"/>
        </w:rPr>
        <w:t xml:space="preserve">el </w:t>
      </w:r>
      <w:r w:rsidR="00602AD9" w:rsidRPr="005B1B75">
        <w:rPr>
          <w:lang w:val="es-ES_tradnl"/>
        </w:rPr>
        <w:t>párr</w:t>
      </w:r>
      <w:r w:rsidR="00B851E3" w:rsidRPr="005B1B75">
        <w:rPr>
          <w:lang w:val="es-ES_tradnl"/>
        </w:rPr>
        <w:t>afo</w:t>
      </w:r>
      <w:r w:rsidR="00602AD9" w:rsidRPr="005B1B75">
        <w:rPr>
          <w:lang w:val="es-ES_tradnl"/>
        </w:rPr>
        <w:t xml:space="preserve"> </w:t>
      </w:r>
      <w:r w:rsidR="000B59F6" w:rsidRPr="005B1B75">
        <w:rPr>
          <w:lang w:val="es-ES_tradnl"/>
        </w:rPr>
        <w:t>4.5</w:t>
      </w:r>
      <w:r w:rsidR="00B851E3" w:rsidRPr="005B1B75">
        <w:rPr>
          <w:lang w:val="es-ES_tradnl"/>
        </w:rPr>
        <w:t xml:space="preserve"> </w:t>
      </w:r>
      <w:r w:rsidR="00B851E3" w:rsidRPr="0048522D">
        <w:rPr>
          <w:i/>
          <w:lang w:val="es-ES_tradnl"/>
        </w:rPr>
        <w:t>supra</w:t>
      </w:r>
      <w:r w:rsidR="00602AD9" w:rsidRPr="005B1B75">
        <w:rPr>
          <w:lang w:val="es-ES_tradnl"/>
        </w:rPr>
        <w:t>)</w:t>
      </w:r>
      <w:r w:rsidR="006012C7" w:rsidRPr="005B1B75">
        <w:rPr>
          <w:lang w:val="es-ES_tradnl"/>
        </w:rPr>
        <w:t>,</w:t>
      </w:r>
      <w:r w:rsidR="00DA2146" w:rsidRPr="005B1B75">
        <w:rPr>
          <w:lang w:val="es-ES_tradnl"/>
        </w:rPr>
        <w:t xml:space="preserve"> </w:t>
      </w:r>
      <w:r w:rsidR="00474861" w:rsidRPr="005B1B75">
        <w:rPr>
          <w:lang w:val="es-ES_tradnl"/>
        </w:rPr>
        <w:t xml:space="preserve">en la medida de los recursos disponibles, </w:t>
      </w:r>
      <w:r w:rsidR="00DA2146" w:rsidRPr="005B1B75">
        <w:rPr>
          <w:lang w:val="es-ES_tradnl"/>
        </w:rPr>
        <w:t>incluyendo subvenciones y ayudas</w:t>
      </w:r>
      <w:r w:rsidR="006012C7" w:rsidRPr="005B1B75">
        <w:rPr>
          <w:lang w:val="es-ES_tradnl"/>
        </w:rPr>
        <w:t xml:space="preserve"> </w:t>
      </w:r>
      <w:r w:rsidR="00301A29" w:rsidRPr="005B1B75">
        <w:rPr>
          <w:lang w:val="es-ES_tradnl"/>
        </w:rPr>
        <w:t xml:space="preserve">y </w:t>
      </w:r>
      <w:r w:rsidR="008C6904" w:rsidRPr="005B1B75">
        <w:rPr>
          <w:lang w:val="es-ES_tradnl"/>
        </w:rPr>
        <w:t xml:space="preserve">albergue temporal </w:t>
      </w:r>
      <w:r w:rsidR="00594F56" w:rsidRPr="005B1B75">
        <w:rPr>
          <w:lang w:val="es-ES_tradnl"/>
        </w:rPr>
        <w:t xml:space="preserve">durante los </w:t>
      </w:r>
      <w:r w:rsidR="00B851E3" w:rsidRPr="005B1B75">
        <w:rPr>
          <w:lang w:val="es-ES_tradnl"/>
        </w:rPr>
        <w:t xml:space="preserve">diez </w:t>
      </w:r>
      <w:r w:rsidR="00594F56" w:rsidRPr="005B1B75">
        <w:rPr>
          <w:lang w:val="es-ES_tradnl"/>
        </w:rPr>
        <w:t>días siguientes al desahucio</w:t>
      </w:r>
      <w:r w:rsidR="00B27C5C" w:rsidRPr="005B1B75">
        <w:rPr>
          <w:lang w:val="es-ES_tradnl"/>
        </w:rPr>
        <w:t>,</w:t>
      </w:r>
      <w:r w:rsidR="00B7775B" w:rsidRPr="005B1B75">
        <w:rPr>
          <w:lang w:val="es-ES_tradnl"/>
        </w:rPr>
        <w:t xml:space="preserve"> y que </w:t>
      </w:r>
      <w:r w:rsidR="00A4302F" w:rsidRPr="005B1B75">
        <w:rPr>
          <w:lang w:val="es-ES_tradnl"/>
        </w:rPr>
        <w:t xml:space="preserve">ha sido </w:t>
      </w:r>
      <w:r w:rsidR="00474861" w:rsidRPr="005B1B75">
        <w:rPr>
          <w:lang w:val="es-ES_tradnl"/>
        </w:rPr>
        <w:t xml:space="preserve">la actitud del </w:t>
      </w:r>
      <w:r w:rsidR="002D0785" w:rsidRPr="005B1B75">
        <w:rPr>
          <w:lang w:val="es-ES_tradnl"/>
        </w:rPr>
        <w:t xml:space="preserve">Sr. Ben </w:t>
      </w:r>
      <w:proofErr w:type="spellStart"/>
      <w:r w:rsidR="002D0785" w:rsidRPr="005B1B75">
        <w:rPr>
          <w:lang w:val="es-ES_tradnl"/>
        </w:rPr>
        <w:t>Djazia</w:t>
      </w:r>
      <w:proofErr w:type="spellEnd"/>
      <w:r w:rsidR="00474861" w:rsidRPr="005B1B75">
        <w:rPr>
          <w:lang w:val="es-ES_tradnl"/>
        </w:rPr>
        <w:t xml:space="preserve">, en gran medida, </w:t>
      </w:r>
      <w:r w:rsidR="00A4302F" w:rsidRPr="005B1B75">
        <w:rPr>
          <w:lang w:val="es-ES_tradnl"/>
        </w:rPr>
        <w:t>l</w:t>
      </w:r>
      <w:r w:rsidR="00B27C5C" w:rsidRPr="005B1B75">
        <w:rPr>
          <w:lang w:val="es-ES_tradnl"/>
        </w:rPr>
        <w:t>o</w:t>
      </w:r>
      <w:r w:rsidR="00A4302F" w:rsidRPr="005B1B75">
        <w:rPr>
          <w:lang w:val="es-ES_tradnl"/>
        </w:rPr>
        <w:t xml:space="preserve"> que </w:t>
      </w:r>
      <w:r w:rsidR="00474861" w:rsidRPr="005B1B75">
        <w:rPr>
          <w:lang w:val="es-ES_tradnl"/>
        </w:rPr>
        <w:t>impidió que su situación económica familiar mejor</w:t>
      </w:r>
      <w:r w:rsidR="00E73DAF" w:rsidRPr="005B1B75">
        <w:rPr>
          <w:lang w:val="es-ES_tradnl"/>
        </w:rPr>
        <w:t>ara</w:t>
      </w:r>
      <w:r w:rsidR="00474861" w:rsidRPr="005B1B75">
        <w:rPr>
          <w:lang w:val="es-ES_tradnl"/>
        </w:rPr>
        <w:t>.</w:t>
      </w:r>
    </w:p>
    <w:p w14:paraId="68F31142" w14:textId="7B876893" w:rsidR="006B4F8E" w:rsidRPr="005B1B75" w:rsidRDefault="003D49B0" w:rsidP="00D445DC">
      <w:pPr>
        <w:pStyle w:val="SingleTxtG"/>
        <w:rPr>
          <w:lang w:val="es-ES_tradnl"/>
        </w:rPr>
      </w:pPr>
      <w:r w:rsidRPr="005B1B75">
        <w:rPr>
          <w:lang w:val="es-ES_tradnl"/>
        </w:rPr>
        <w:t>1</w:t>
      </w:r>
      <w:r w:rsidR="00C543DF" w:rsidRPr="005B1B75">
        <w:rPr>
          <w:lang w:val="es-ES_tradnl"/>
        </w:rPr>
        <w:t>2</w:t>
      </w:r>
      <w:r w:rsidR="006B4F8E" w:rsidRPr="005B1B75">
        <w:rPr>
          <w:lang w:val="es-ES_tradnl"/>
        </w:rPr>
        <w:t xml:space="preserve">.4 </w:t>
      </w:r>
      <w:r w:rsidR="006B4F8E" w:rsidRPr="005B1B75">
        <w:rPr>
          <w:lang w:val="es-ES_tradnl"/>
        </w:rPr>
        <w:tab/>
      </w:r>
      <w:r w:rsidR="00957A51" w:rsidRPr="005B1B75">
        <w:rPr>
          <w:lang w:val="es-ES_tradnl"/>
        </w:rPr>
        <w:t>S</w:t>
      </w:r>
      <w:r w:rsidR="006B4F8E" w:rsidRPr="005B1B75">
        <w:rPr>
          <w:lang w:val="es-ES_tradnl"/>
        </w:rPr>
        <w:t>on hechos no controvertidos por las partes que los autores y sus hijos vivían en una habitaci</w:t>
      </w:r>
      <w:r w:rsidR="0026183F" w:rsidRPr="005B1B75">
        <w:rPr>
          <w:lang w:val="es-ES_tradnl"/>
        </w:rPr>
        <w:t>ón arrendada</w:t>
      </w:r>
      <w:r w:rsidR="0037762A" w:rsidRPr="005B1B75">
        <w:rPr>
          <w:lang w:val="es-ES_tradnl"/>
        </w:rPr>
        <w:t xml:space="preserve"> en Madrid</w:t>
      </w:r>
      <w:r w:rsidR="00447709" w:rsidRPr="005B1B75">
        <w:rPr>
          <w:lang w:val="es-ES_tradnl"/>
        </w:rPr>
        <w:t xml:space="preserve"> y que </w:t>
      </w:r>
      <w:r w:rsidR="00B851E3" w:rsidRPr="005B1B75">
        <w:rPr>
          <w:lang w:val="es-ES_tradnl"/>
        </w:rPr>
        <w:t>e</w:t>
      </w:r>
      <w:r w:rsidR="00447709" w:rsidRPr="005B1B75">
        <w:rPr>
          <w:lang w:val="es-ES_tradnl"/>
        </w:rPr>
        <w:t xml:space="preserve">sta era su vivienda habitual; </w:t>
      </w:r>
      <w:r w:rsidR="0026183F" w:rsidRPr="005B1B75">
        <w:rPr>
          <w:lang w:val="es-ES_tradnl"/>
        </w:rPr>
        <w:t xml:space="preserve">que el proceso judicial seguido por la arrendadora contra el </w:t>
      </w:r>
      <w:r w:rsidR="002D0785" w:rsidRPr="005B1B75">
        <w:rPr>
          <w:lang w:val="es-ES_tradnl"/>
        </w:rPr>
        <w:t xml:space="preserve">Sr. Ben </w:t>
      </w:r>
      <w:proofErr w:type="spellStart"/>
      <w:r w:rsidR="002D0785" w:rsidRPr="005B1B75">
        <w:rPr>
          <w:lang w:val="es-ES_tradnl"/>
        </w:rPr>
        <w:t>Djazia</w:t>
      </w:r>
      <w:proofErr w:type="spellEnd"/>
      <w:r w:rsidR="0026183F" w:rsidRPr="005B1B75">
        <w:rPr>
          <w:lang w:val="es-ES_tradnl"/>
        </w:rPr>
        <w:t xml:space="preserve"> ante el Juzgado </w:t>
      </w:r>
      <w:r w:rsidR="001A643F" w:rsidRPr="005B1B75">
        <w:rPr>
          <w:lang w:val="es-ES_tradnl"/>
        </w:rPr>
        <w:t>núm.</w:t>
      </w:r>
      <w:r w:rsidR="0026183F" w:rsidRPr="005B1B75">
        <w:rPr>
          <w:lang w:val="es-ES_tradnl"/>
        </w:rPr>
        <w:t xml:space="preserve"> 37 </w:t>
      </w:r>
      <w:r w:rsidR="00447709" w:rsidRPr="005B1B75">
        <w:rPr>
          <w:lang w:val="es-ES_tradnl"/>
        </w:rPr>
        <w:t xml:space="preserve">concluyó con el desahucio de los autores y sus hijos el 3 de octubre de 2013; que </w:t>
      </w:r>
      <w:r w:rsidR="00D35EC3" w:rsidRPr="005B1B75">
        <w:rPr>
          <w:lang w:val="es-ES_tradnl"/>
        </w:rPr>
        <w:t xml:space="preserve">no obstante el </w:t>
      </w:r>
      <w:r w:rsidR="002D0785" w:rsidRPr="005B1B75">
        <w:rPr>
          <w:lang w:val="es-ES_tradnl"/>
        </w:rPr>
        <w:t xml:space="preserve">Sr. Ben </w:t>
      </w:r>
      <w:proofErr w:type="spellStart"/>
      <w:r w:rsidR="002D0785" w:rsidRPr="005B1B75">
        <w:rPr>
          <w:lang w:val="es-ES_tradnl"/>
        </w:rPr>
        <w:t>Djazia</w:t>
      </w:r>
      <w:proofErr w:type="spellEnd"/>
      <w:r w:rsidR="00D35EC3" w:rsidRPr="005B1B75">
        <w:rPr>
          <w:lang w:val="es-ES_tradnl"/>
        </w:rPr>
        <w:t xml:space="preserve"> recibió subsidios por desempleo y </w:t>
      </w:r>
      <w:r w:rsidR="00943FE9" w:rsidRPr="005B1B75">
        <w:rPr>
          <w:lang w:val="es-ES_tradnl"/>
        </w:rPr>
        <w:t xml:space="preserve">una renta mínima de inserción </w:t>
      </w:r>
      <w:r w:rsidR="00D35EC3" w:rsidRPr="005B1B75">
        <w:rPr>
          <w:lang w:val="es-ES_tradnl"/>
        </w:rPr>
        <w:t>en diferentes per</w:t>
      </w:r>
      <w:r w:rsidR="00943FE9" w:rsidRPr="005B1B75">
        <w:rPr>
          <w:lang w:val="es-ES_tradnl"/>
        </w:rPr>
        <w:t>í</w:t>
      </w:r>
      <w:r w:rsidR="00D35EC3" w:rsidRPr="005B1B75">
        <w:rPr>
          <w:lang w:val="es-ES_tradnl"/>
        </w:rPr>
        <w:t>odos (</w:t>
      </w:r>
      <w:r w:rsidR="001C5719" w:rsidRPr="005B1B75">
        <w:rPr>
          <w:lang w:val="es-ES_tradnl"/>
        </w:rPr>
        <w:t>véa</w:t>
      </w:r>
      <w:r w:rsidR="00943FE9" w:rsidRPr="005B1B75">
        <w:rPr>
          <w:lang w:val="es-ES_tradnl"/>
        </w:rPr>
        <w:t>n</w:t>
      </w:r>
      <w:r w:rsidR="001C5719" w:rsidRPr="005B1B75">
        <w:rPr>
          <w:lang w:val="es-ES_tradnl"/>
        </w:rPr>
        <w:t xml:space="preserve">se </w:t>
      </w:r>
      <w:r w:rsidR="00943FE9" w:rsidRPr="005B1B75">
        <w:rPr>
          <w:lang w:val="es-ES_tradnl"/>
        </w:rPr>
        <w:t xml:space="preserve">las </w:t>
      </w:r>
      <w:r w:rsidR="001C5719" w:rsidRPr="005B1B75">
        <w:rPr>
          <w:lang w:val="es-ES_tradnl"/>
        </w:rPr>
        <w:t xml:space="preserve">notas </w:t>
      </w:r>
      <w:r w:rsidR="008C2CF6" w:rsidRPr="005B1B75">
        <w:rPr>
          <w:lang w:val="es-ES_tradnl"/>
        </w:rPr>
        <w:t>2</w:t>
      </w:r>
      <w:r w:rsidR="001C5719" w:rsidRPr="0048522D">
        <w:rPr>
          <w:lang w:val="es-ES_tradnl"/>
        </w:rPr>
        <w:t xml:space="preserve"> y </w:t>
      </w:r>
      <w:r w:rsidR="008C2CF6" w:rsidRPr="0048522D">
        <w:rPr>
          <w:lang w:val="es-ES_tradnl"/>
        </w:rPr>
        <w:t>8</w:t>
      </w:r>
      <w:r w:rsidR="00943FE9" w:rsidRPr="005B1B75">
        <w:rPr>
          <w:lang w:val="es-ES_tradnl"/>
        </w:rPr>
        <w:t xml:space="preserve"> </w:t>
      </w:r>
      <w:r w:rsidR="00943FE9" w:rsidRPr="0048522D">
        <w:rPr>
          <w:i/>
          <w:lang w:val="es-ES_tradnl"/>
        </w:rPr>
        <w:t>supra</w:t>
      </w:r>
      <w:r w:rsidR="00D35EC3" w:rsidRPr="005B1B75">
        <w:rPr>
          <w:lang w:val="es-ES_tradnl"/>
        </w:rPr>
        <w:t xml:space="preserve">), </w:t>
      </w:r>
      <w:r w:rsidR="00447709" w:rsidRPr="005B1B75">
        <w:rPr>
          <w:lang w:val="es-ES_tradnl"/>
        </w:rPr>
        <w:t xml:space="preserve">en el momento en que se ejecutó </w:t>
      </w:r>
      <w:r w:rsidR="00062CD1" w:rsidRPr="005B1B75">
        <w:rPr>
          <w:lang w:val="es-ES_tradnl"/>
        </w:rPr>
        <w:t xml:space="preserve">el desalojo </w:t>
      </w:r>
      <w:r w:rsidR="00447709" w:rsidRPr="005B1B75">
        <w:rPr>
          <w:lang w:val="es-ES_tradnl"/>
        </w:rPr>
        <w:t>los autores no contaban con una vivienda altern</w:t>
      </w:r>
      <w:r w:rsidR="009559F1" w:rsidRPr="005B1B75">
        <w:rPr>
          <w:lang w:val="es-ES_tradnl"/>
        </w:rPr>
        <w:t>ativa o con ingresos suficientes para procurar otra vivienda en alquiler</w:t>
      </w:r>
      <w:r w:rsidR="005B57B5" w:rsidRPr="005B1B75">
        <w:rPr>
          <w:lang w:val="es-ES_tradnl"/>
        </w:rPr>
        <w:t xml:space="preserve">; que el </w:t>
      </w:r>
      <w:r w:rsidR="002D0785" w:rsidRPr="005B1B75">
        <w:rPr>
          <w:lang w:val="es-ES_tradnl"/>
        </w:rPr>
        <w:t xml:space="preserve">Sr. Ben </w:t>
      </w:r>
      <w:proofErr w:type="spellStart"/>
      <w:r w:rsidR="002D0785" w:rsidRPr="005B1B75">
        <w:rPr>
          <w:lang w:val="es-ES_tradnl"/>
        </w:rPr>
        <w:t>Djazia</w:t>
      </w:r>
      <w:proofErr w:type="spellEnd"/>
      <w:r w:rsidR="005B57B5" w:rsidRPr="005B1B75">
        <w:rPr>
          <w:lang w:val="es-ES_tradnl"/>
        </w:rPr>
        <w:t xml:space="preserve"> solicitó vivienda pública al </w:t>
      </w:r>
      <w:proofErr w:type="spellStart"/>
      <w:r w:rsidR="005B57B5" w:rsidRPr="005B1B75">
        <w:rPr>
          <w:lang w:val="es-ES_tradnl"/>
        </w:rPr>
        <w:t>IVIMA</w:t>
      </w:r>
      <w:proofErr w:type="spellEnd"/>
      <w:r w:rsidR="005B57B5" w:rsidRPr="005B1B75">
        <w:rPr>
          <w:lang w:val="es-ES_tradnl"/>
        </w:rPr>
        <w:t xml:space="preserve"> en </w:t>
      </w:r>
      <w:r w:rsidR="001C5719" w:rsidRPr="005B1B75">
        <w:rPr>
          <w:lang w:val="es-ES_tradnl"/>
        </w:rPr>
        <w:t>numerosas</w:t>
      </w:r>
      <w:r w:rsidR="005B57B5" w:rsidRPr="005B1B75">
        <w:rPr>
          <w:lang w:val="es-ES_tradnl"/>
        </w:rPr>
        <w:t xml:space="preserve"> ocasiones, entre </w:t>
      </w:r>
      <w:r w:rsidR="00943FE9" w:rsidRPr="005B1B75">
        <w:rPr>
          <w:lang w:val="es-ES_tradnl"/>
        </w:rPr>
        <w:t>1</w:t>
      </w:r>
      <w:r w:rsidR="005B57B5" w:rsidRPr="005B1B75">
        <w:rPr>
          <w:lang w:val="es-ES_tradnl"/>
        </w:rPr>
        <w:t>999 y 2011 (</w:t>
      </w:r>
      <w:r w:rsidR="001C5719" w:rsidRPr="005B1B75">
        <w:rPr>
          <w:lang w:val="es-ES_tradnl"/>
        </w:rPr>
        <w:t>véa</w:t>
      </w:r>
      <w:r w:rsidR="00943FE9" w:rsidRPr="005B1B75">
        <w:rPr>
          <w:lang w:val="es-ES_tradnl"/>
        </w:rPr>
        <w:t>n</w:t>
      </w:r>
      <w:r w:rsidR="001C5719" w:rsidRPr="005B1B75">
        <w:rPr>
          <w:lang w:val="es-ES_tradnl"/>
        </w:rPr>
        <w:t xml:space="preserve">se </w:t>
      </w:r>
      <w:r w:rsidR="00943FE9" w:rsidRPr="005B1B75">
        <w:rPr>
          <w:lang w:val="es-ES_tradnl"/>
        </w:rPr>
        <w:t xml:space="preserve">las </w:t>
      </w:r>
      <w:r w:rsidR="001C5719" w:rsidRPr="005B1B75">
        <w:rPr>
          <w:lang w:val="es-ES_tradnl"/>
        </w:rPr>
        <w:t xml:space="preserve">notas </w:t>
      </w:r>
      <w:r w:rsidR="008C2CF6" w:rsidRPr="005B1B75">
        <w:rPr>
          <w:lang w:val="es-ES_tradnl"/>
        </w:rPr>
        <w:t>1</w:t>
      </w:r>
      <w:r w:rsidR="001C5719" w:rsidRPr="0048522D">
        <w:rPr>
          <w:lang w:val="es-ES_tradnl"/>
        </w:rPr>
        <w:t xml:space="preserve"> y </w:t>
      </w:r>
      <w:r w:rsidR="008C2CF6" w:rsidRPr="0048522D">
        <w:rPr>
          <w:lang w:val="es-ES_tradnl"/>
        </w:rPr>
        <w:t>9</w:t>
      </w:r>
      <w:r w:rsidR="00943FE9" w:rsidRPr="005B1B75">
        <w:rPr>
          <w:lang w:val="es-ES_tradnl"/>
        </w:rPr>
        <w:t xml:space="preserve"> </w:t>
      </w:r>
      <w:r w:rsidR="00943FE9" w:rsidRPr="0048522D">
        <w:rPr>
          <w:i/>
          <w:lang w:val="es-ES_tradnl"/>
        </w:rPr>
        <w:t>sup</w:t>
      </w:r>
      <w:r w:rsidR="00B22CAE" w:rsidRPr="0048522D">
        <w:rPr>
          <w:i/>
          <w:lang w:val="es-ES_tradnl"/>
        </w:rPr>
        <w:t>r</w:t>
      </w:r>
      <w:r w:rsidR="00943FE9" w:rsidRPr="0048522D">
        <w:rPr>
          <w:i/>
          <w:lang w:val="es-ES_tradnl"/>
        </w:rPr>
        <w:t>a</w:t>
      </w:r>
      <w:r w:rsidR="005B57B5" w:rsidRPr="005B1B75">
        <w:rPr>
          <w:lang w:val="es-ES_tradnl"/>
        </w:rPr>
        <w:t>)</w:t>
      </w:r>
      <w:r w:rsidR="00301A29" w:rsidRPr="005B1B75">
        <w:rPr>
          <w:lang w:val="es-ES_tradnl"/>
        </w:rPr>
        <w:t xml:space="preserve"> sin éxito; y que en </w:t>
      </w:r>
      <w:r w:rsidR="00943FE9" w:rsidRPr="005B1B75">
        <w:rPr>
          <w:lang w:val="es-ES_tradnl"/>
        </w:rPr>
        <w:t xml:space="preserve">el período </w:t>
      </w:r>
      <w:r w:rsidR="00301A29" w:rsidRPr="005B1B75">
        <w:rPr>
          <w:lang w:val="es-ES_tradnl"/>
        </w:rPr>
        <w:t xml:space="preserve">2012-2013 el </w:t>
      </w:r>
      <w:proofErr w:type="spellStart"/>
      <w:r w:rsidR="006A28FC" w:rsidRPr="005B1B75">
        <w:rPr>
          <w:lang w:val="es-ES_tradnl"/>
        </w:rPr>
        <w:t>IVIMA</w:t>
      </w:r>
      <w:proofErr w:type="spellEnd"/>
      <w:r w:rsidR="006A28FC" w:rsidRPr="005B1B75">
        <w:rPr>
          <w:lang w:val="es-ES_tradnl"/>
        </w:rPr>
        <w:t xml:space="preserve">, </w:t>
      </w:r>
      <w:r w:rsidR="00817ACB" w:rsidRPr="005B1B75">
        <w:rPr>
          <w:lang w:val="es-ES_tradnl"/>
        </w:rPr>
        <w:t xml:space="preserve">así </w:t>
      </w:r>
      <w:r w:rsidR="006A28FC" w:rsidRPr="005B1B75">
        <w:rPr>
          <w:lang w:val="es-ES_tradnl"/>
        </w:rPr>
        <w:t xml:space="preserve">como otras instituciones de la Comunidad de Madrid, </w:t>
      </w:r>
      <w:r w:rsidR="0017443B" w:rsidRPr="005B1B75">
        <w:rPr>
          <w:lang w:val="es-ES_tradnl"/>
        </w:rPr>
        <w:t xml:space="preserve">vendió </w:t>
      </w:r>
      <w:r w:rsidR="006A28FC" w:rsidRPr="005B1B75">
        <w:rPr>
          <w:lang w:val="es-ES_tradnl"/>
        </w:rPr>
        <w:t>2</w:t>
      </w:r>
      <w:r w:rsidR="00943FE9" w:rsidRPr="005B1B75">
        <w:rPr>
          <w:lang w:val="es-ES_tradnl"/>
        </w:rPr>
        <w:t>.</w:t>
      </w:r>
      <w:r w:rsidR="006A28FC" w:rsidRPr="005B1B75">
        <w:rPr>
          <w:lang w:val="es-ES_tradnl"/>
        </w:rPr>
        <w:t>935 viviendas a sociedades/fondos de inversión privados (</w:t>
      </w:r>
      <w:r w:rsidR="001C5719" w:rsidRPr="005B1B75">
        <w:rPr>
          <w:lang w:val="es-ES_tradnl"/>
        </w:rPr>
        <w:t xml:space="preserve">véase </w:t>
      </w:r>
      <w:r w:rsidR="00943FE9" w:rsidRPr="005B1B75">
        <w:rPr>
          <w:lang w:val="es-ES_tradnl"/>
        </w:rPr>
        <w:t xml:space="preserve">la </w:t>
      </w:r>
      <w:r w:rsidR="001C5719" w:rsidRPr="005B1B75">
        <w:rPr>
          <w:lang w:val="es-ES_tradnl"/>
        </w:rPr>
        <w:t xml:space="preserve">nota </w:t>
      </w:r>
      <w:r w:rsidR="001C5719" w:rsidRPr="0048522D">
        <w:rPr>
          <w:lang w:val="es-ES_tradnl"/>
        </w:rPr>
        <w:t>1</w:t>
      </w:r>
      <w:r w:rsidR="008C2CF6" w:rsidRPr="0048522D">
        <w:rPr>
          <w:lang w:val="es-ES_tradnl"/>
        </w:rPr>
        <w:t>2</w:t>
      </w:r>
      <w:r w:rsidR="00943FE9" w:rsidRPr="005B1B75">
        <w:rPr>
          <w:lang w:val="es-ES_tradnl"/>
        </w:rPr>
        <w:t xml:space="preserve"> </w:t>
      </w:r>
      <w:r w:rsidR="00943FE9" w:rsidRPr="0048522D">
        <w:rPr>
          <w:i/>
          <w:lang w:val="es-ES_tradnl"/>
        </w:rPr>
        <w:t>supra</w:t>
      </w:r>
      <w:r w:rsidR="006A28FC" w:rsidRPr="005B1B75">
        <w:rPr>
          <w:lang w:val="es-ES_tradnl"/>
        </w:rPr>
        <w:t>)</w:t>
      </w:r>
      <w:r w:rsidR="00447709" w:rsidRPr="005B1B75">
        <w:rPr>
          <w:lang w:val="es-ES_tradnl"/>
        </w:rPr>
        <w:t xml:space="preserve">. </w:t>
      </w:r>
    </w:p>
    <w:p w14:paraId="4FE9FDC6" w14:textId="74F3798F" w:rsidR="006A28FC" w:rsidRPr="005B1B75" w:rsidRDefault="003D49B0" w:rsidP="00D445DC">
      <w:pPr>
        <w:pStyle w:val="SingleTxtG"/>
        <w:rPr>
          <w:lang w:val="es-ES_tradnl"/>
        </w:rPr>
      </w:pPr>
      <w:r w:rsidRPr="005B1B75">
        <w:rPr>
          <w:lang w:val="es-ES_tradnl"/>
        </w:rPr>
        <w:t>1</w:t>
      </w:r>
      <w:r w:rsidR="00C543DF" w:rsidRPr="005B1B75">
        <w:rPr>
          <w:lang w:val="es-ES_tradnl"/>
        </w:rPr>
        <w:t>2</w:t>
      </w:r>
      <w:r w:rsidR="00447709" w:rsidRPr="005B1B75">
        <w:rPr>
          <w:lang w:val="es-ES_tradnl"/>
        </w:rPr>
        <w:t xml:space="preserve">.5 </w:t>
      </w:r>
      <w:r w:rsidR="00447709" w:rsidRPr="005B1B75">
        <w:rPr>
          <w:lang w:val="es-ES_tradnl"/>
        </w:rPr>
        <w:tab/>
      </w:r>
      <w:r w:rsidR="00301A29" w:rsidRPr="005B1B75">
        <w:rPr>
          <w:lang w:val="es-ES_tradnl"/>
        </w:rPr>
        <w:t>Con relación a la situación de los autores después de</w:t>
      </w:r>
      <w:r w:rsidR="006A28FC" w:rsidRPr="005B1B75">
        <w:rPr>
          <w:lang w:val="es-ES_tradnl"/>
        </w:rPr>
        <w:t xml:space="preserve"> permanecer en el albergue temporal del </w:t>
      </w:r>
      <w:proofErr w:type="spellStart"/>
      <w:r w:rsidR="006A28FC" w:rsidRPr="005B1B75">
        <w:rPr>
          <w:lang w:val="es-ES_tradnl"/>
        </w:rPr>
        <w:t>S</w:t>
      </w:r>
      <w:r w:rsidR="00A47877" w:rsidRPr="005B1B75">
        <w:rPr>
          <w:lang w:val="es-ES_tradnl"/>
        </w:rPr>
        <w:t>amur</w:t>
      </w:r>
      <w:proofErr w:type="spellEnd"/>
      <w:r w:rsidR="006A28FC" w:rsidRPr="005B1B75">
        <w:rPr>
          <w:lang w:val="es-ES_tradnl"/>
        </w:rPr>
        <w:t xml:space="preserve">, el Comité toma nota del argumento del Estado parte de que el </w:t>
      </w:r>
      <w:proofErr w:type="spellStart"/>
      <w:r w:rsidR="006A28FC" w:rsidRPr="005B1B75">
        <w:rPr>
          <w:lang w:val="es-ES_tradnl"/>
        </w:rPr>
        <w:t>S</w:t>
      </w:r>
      <w:r w:rsidR="00A47877" w:rsidRPr="005B1B75">
        <w:rPr>
          <w:lang w:val="es-ES_tradnl"/>
        </w:rPr>
        <w:t>amur</w:t>
      </w:r>
      <w:proofErr w:type="spellEnd"/>
      <w:r w:rsidR="00A47877" w:rsidRPr="005B1B75">
        <w:rPr>
          <w:lang w:val="es-ES_tradnl"/>
        </w:rPr>
        <w:t xml:space="preserve"> </w:t>
      </w:r>
      <w:r w:rsidR="006A28FC" w:rsidRPr="005B1B75">
        <w:rPr>
          <w:lang w:val="es-ES_tradnl"/>
        </w:rPr>
        <w:t xml:space="preserve">comunicó a los autores que, de ser necesario, podía ofrecerles alojamiento para la </w:t>
      </w:r>
      <w:r w:rsidR="00562C6C" w:rsidRPr="005B1B75">
        <w:rPr>
          <w:lang w:val="es-ES_tradnl"/>
        </w:rPr>
        <w:t>Sra.</w:t>
      </w:r>
      <w:r w:rsidR="009E41B4">
        <w:rPr>
          <w:lang w:val="es-ES_tradnl"/>
        </w:rPr>
        <w:t> </w:t>
      </w:r>
      <w:proofErr w:type="spellStart"/>
      <w:r w:rsidR="00562C6C" w:rsidRPr="005B1B75">
        <w:rPr>
          <w:lang w:val="es-ES_tradnl"/>
        </w:rPr>
        <w:t>Bellili</w:t>
      </w:r>
      <w:proofErr w:type="spellEnd"/>
      <w:r w:rsidR="006A28FC" w:rsidRPr="005B1B75">
        <w:rPr>
          <w:lang w:val="es-ES_tradnl"/>
        </w:rPr>
        <w:t xml:space="preserve"> </w:t>
      </w:r>
      <w:r w:rsidR="00B27C5C" w:rsidRPr="005B1B75">
        <w:rPr>
          <w:lang w:val="es-ES_tradnl"/>
        </w:rPr>
        <w:t xml:space="preserve">y sus </w:t>
      </w:r>
      <w:r w:rsidR="006A28FC" w:rsidRPr="005B1B75">
        <w:rPr>
          <w:lang w:val="es-ES_tradnl"/>
        </w:rPr>
        <w:t xml:space="preserve">hijos en un centro para mujeres y para el </w:t>
      </w:r>
      <w:r w:rsidR="002D0785" w:rsidRPr="005B1B75">
        <w:rPr>
          <w:lang w:val="es-ES_tradnl"/>
        </w:rPr>
        <w:t xml:space="preserve">Sr. Ben </w:t>
      </w:r>
      <w:proofErr w:type="spellStart"/>
      <w:r w:rsidR="002D0785" w:rsidRPr="005B1B75">
        <w:rPr>
          <w:lang w:val="es-ES_tradnl"/>
        </w:rPr>
        <w:t>Djazia</w:t>
      </w:r>
      <w:proofErr w:type="spellEnd"/>
      <w:r w:rsidR="006A28FC" w:rsidRPr="005B1B75">
        <w:rPr>
          <w:lang w:val="es-ES_tradnl"/>
        </w:rPr>
        <w:t xml:space="preserve"> en un </w:t>
      </w:r>
      <w:r w:rsidR="00B22CAE" w:rsidRPr="005B1B75">
        <w:rPr>
          <w:lang w:val="es-ES_tradnl"/>
        </w:rPr>
        <w:t>centro de personas sin hogar</w:t>
      </w:r>
      <w:r w:rsidR="006A28FC" w:rsidRPr="005B1B75">
        <w:rPr>
          <w:lang w:val="es-ES_tradnl"/>
        </w:rPr>
        <w:t xml:space="preserve">. </w:t>
      </w:r>
      <w:r w:rsidR="009559F1" w:rsidRPr="005B1B75">
        <w:rPr>
          <w:lang w:val="es-ES_tradnl"/>
        </w:rPr>
        <w:t>Por otro lado, l</w:t>
      </w:r>
      <w:r w:rsidR="0017443B" w:rsidRPr="005B1B75">
        <w:rPr>
          <w:lang w:val="es-ES_tradnl"/>
        </w:rPr>
        <w:t>os autores</w:t>
      </w:r>
      <w:r w:rsidR="005A0004" w:rsidRPr="005B1B75">
        <w:rPr>
          <w:lang w:val="es-ES_tradnl"/>
        </w:rPr>
        <w:t xml:space="preserve"> alegan que</w:t>
      </w:r>
      <w:r w:rsidR="00B22CAE" w:rsidRPr="005B1B75">
        <w:rPr>
          <w:lang w:val="es-ES_tradnl"/>
        </w:rPr>
        <w:t>,</w:t>
      </w:r>
      <w:r w:rsidR="005A0004" w:rsidRPr="005B1B75">
        <w:rPr>
          <w:lang w:val="es-ES_tradnl"/>
        </w:rPr>
        <w:t xml:space="preserve"> al ser invitado</w:t>
      </w:r>
      <w:r w:rsidR="0017443B" w:rsidRPr="005B1B75">
        <w:rPr>
          <w:lang w:val="es-ES_tradnl"/>
        </w:rPr>
        <w:t>s</w:t>
      </w:r>
      <w:r w:rsidR="005A0004" w:rsidRPr="005B1B75">
        <w:rPr>
          <w:lang w:val="es-ES_tradnl"/>
        </w:rPr>
        <w:t xml:space="preserve"> a abandonar el albergue temporal, no se les ofreció ninguna otra alternativa de alojamiento digno. A este respecto, el Comité observa que la documentación presentada por amb</w:t>
      </w:r>
      <w:r w:rsidR="001C5719" w:rsidRPr="005B1B75">
        <w:rPr>
          <w:lang w:val="es-ES_tradnl"/>
        </w:rPr>
        <w:t>as partes (v</w:t>
      </w:r>
      <w:r w:rsidR="005A0004" w:rsidRPr="005B1B75">
        <w:rPr>
          <w:lang w:val="es-ES_tradnl"/>
        </w:rPr>
        <w:t>éa</w:t>
      </w:r>
      <w:r w:rsidR="00677E6A" w:rsidRPr="005B1B75">
        <w:rPr>
          <w:lang w:val="es-ES_tradnl"/>
        </w:rPr>
        <w:t>n</w:t>
      </w:r>
      <w:r w:rsidR="005A0004" w:rsidRPr="005B1B75">
        <w:rPr>
          <w:lang w:val="es-ES_tradnl"/>
        </w:rPr>
        <w:t xml:space="preserve">se </w:t>
      </w:r>
      <w:r w:rsidR="00B22CAE" w:rsidRPr="005B1B75">
        <w:rPr>
          <w:lang w:val="es-ES_tradnl"/>
        </w:rPr>
        <w:t xml:space="preserve">las </w:t>
      </w:r>
      <w:r w:rsidR="001C5719" w:rsidRPr="005B1B75">
        <w:rPr>
          <w:lang w:val="es-ES_tradnl"/>
        </w:rPr>
        <w:t xml:space="preserve">notas </w:t>
      </w:r>
      <w:r w:rsidR="008C2CF6" w:rsidRPr="005B1B75">
        <w:rPr>
          <w:lang w:val="es-ES_tradnl"/>
        </w:rPr>
        <w:t>4</w:t>
      </w:r>
      <w:r w:rsidR="005A0004" w:rsidRPr="0048522D">
        <w:rPr>
          <w:lang w:val="es-ES_tradnl"/>
        </w:rPr>
        <w:t xml:space="preserve"> y </w:t>
      </w:r>
      <w:r w:rsidR="008C2CF6" w:rsidRPr="0048522D">
        <w:rPr>
          <w:lang w:val="es-ES_tradnl"/>
        </w:rPr>
        <w:t>7</w:t>
      </w:r>
      <w:r w:rsidR="00B22CAE" w:rsidRPr="005B1B75">
        <w:rPr>
          <w:lang w:val="es-ES_tradnl"/>
        </w:rPr>
        <w:t xml:space="preserve"> </w:t>
      </w:r>
      <w:r w:rsidR="00B22CAE" w:rsidRPr="0048522D">
        <w:rPr>
          <w:i/>
          <w:lang w:val="es-ES_tradnl"/>
        </w:rPr>
        <w:t>supra</w:t>
      </w:r>
      <w:r w:rsidR="005A0004" w:rsidRPr="005B1B75">
        <w:rPr>
          <w:lang w:val="es-ES_tradnl"/>
        </w:rPr>
        <w:t xml:space="preserve">) </w:t>
      </w:r>
      <w:r w:rsidR="00886706" w:rsidRPr="005B1B75">
        <w:rPr>
          <w:lang w:val="es-ES_tradnl"/>
        </w:rPr>
        <w:t xml:space="preserve">únicamente acredita que </w:t>
      </w:r>
      <w:r w:rsidR="005A0004" w:rsidRPr="005B1B75">
        <w:rPr>
          <w:lang w:val="es-ES_tradnl"/>
        </w:rPr>
        <w:t>en a</w:t>
      </w:r>
      <w:r w:rsidR="00247F0D" w:rsidRPr="005B1B75">
        <w:rPr>
          <w:lang w:val="es-ES_tradnl"/>
        </w:rPr>
        <w:t xml:space="preserve">gosto de 2013 </w:t>
      </w:r>
      <w:r w:rsidR="00886706" w:rsidRPr="005B1B75">
        <w:rPr>
          <w:lang w:val="es-ES_tradnl"/>
        </w:rPr>
        <w:t xml:space="preserve">los </w:t>
      </w:r>
      <w:r w:rsidR="00247F0D" w:rsidRPr="005B1B75">
        <w:rPr>
          <w:lang w:val="es-ES_tradnl"/>
        </w:rPr>
        <w:t xml:space="preserve">Servicios Sociales </w:t>
      </w:r>
      <w:r w:rsidR="00886706" w:rsidRPr="005B1B75">
        <w:rPr>
          <w:lang w:val="es-ES_tradnl"/>
        </w:rPr>
        <w:t>de</w:t>
      </w:r>
      <w:r w:rsidR="006A28FC" w:rsidRPr="005B1B75">
        <w:rPr>
          <w:lang w:val="es-ES_tradnl"/>
        </w:rPr>
        <w:t xml:space="preserve"> Tetuán </w:t>
      </w:r>
      <w:r w:rsidR="00886706" w:rsidRPr="005B1B75">
        <w:rPr>
          <w:lang w:val="es-ES_tradnl"/>
        </w:rPr>
        <w:t>informaron</w:t>
      </w:r>
      <w:r w:rsidR="00247F0D" w:rsidRPr="005B1B75">
        <w:rPr>
          <w:lang w:val="es-ES_tradnl"/>
        </w:rPr>
        <w:t xml:space="preserve"> al </w:t>
      </w:r>
      <w:r w:rsidR="002D0785" w:rsidRPr="005B1B75">
        <w:rPr>
          <w:lang w:val="es-ES_tradnl"/>
        </w:rPr>
        <w:t xml:space="preserve">Sr. Ben </w:t>
      </w:r>
      <w:proofErr w:type="spellStart"/>
      <w:r w:rsidR="002D0785" w:rsidRPr="005B1B75">
        <w:rPr>
          <w:lang w:val="es-ES_tradnl"/>
        </w:rPr>
        <w:t>Djazia</w:t>
      </w:r>
      <w:proofErr w:type="spellEnd"/>
      <w:r w:rsidR="00247F0D" w:rsidRPr="005B1B75">
        <w:rPr>
          <w:lang w:val="es-ES_tradnl"/>
        </w:rPr>
        <w:t xml:space="preserve"> que en caso que la familia fuera desalojada y no tuviera vivienda alternativa</w:t>
      </w:r>
      <w:r w:rsidR="00D57EDF" w:rsidRPr="005B1B75">
        <w:rPr>
          <w:lang w:val="es-ES_tradnl"/>
        </w:rPr>
        <w:t>,</w:t>
      </w:r>
      <w:r w:rsidR="00247F0D" w:rsidRPr="005B1B75">
        <w:rPr>
          <w:lang w:val="es-ES_tradnl"/>
        </w:rPr>
        <w:t xml:space="preserve"> los servicios sociales tomaría</w:t>
      </w:r>
      <w:r w:rsidR="00D57EDF" w:rsidRPr="005B1B75">
        <w:rPr>
          <w:lang w:val="es-ES_tradnl"/>
        </w:rPr>
        <w:t>n</w:t>
      </w:r>
      <w:r w:rsidR="00247F0D" w:rsidRPr="005B1B75">
        <w:rPr>
          <w:lang w:val="es-ES_tradnl"/>
        </w:rPr>
        <w:t xml:space="preserve"> medidas de protección </w:t>
      </w:r>
      <w:r w:rsidR="00D57EDF" w:rsidRPr="005B1B75">
        <w:rPr>
          <w:lang w:val="es-ES_tradnl"/>
        </w:rPr>
        <w:t xml:space="preserve">a favor de </w:t>
      </w:r>
      <w:r w:rsidR="00247F0D" w:rsidRPr="005B1B75">
        <w:rPr>
          <w:lang w:val="es-ES_tradnl"/>
        </w:rPr>
        <w:t xml:space="preserve">los niños. El Comité observa asimismo que el Estado parte no </w:t>
      </w:r>
      <w:r w:rsidR="00D35EC3" w:rsidRPr="005B1B75">
        <w:rPr>
          <w:lang w:val="es-ES_tradnl"/>
        </w:rPr>
        <w:t>cuestiona</w:t>
      </w:r>
      <w:r w:rsidR="00247F0D" w:rsidRPr="005B1B75">
        <w:rPr>
          <w:lang w:val="es-ES_tradnl"/>
        </w:rPr>
        <w:t xml:space="preserve"> la alegación de los autores de que</w:t>
      </w:r>
      <w:r w:rsidR="00677E6A" w:rsidRPr="005B1B75">
        <w:rPr>
          <w:lang w:val="es-ES_tradnl"/>
        </w:rPr>
        <w:t>,</w:t>
      </w:r>
      <w:r w:rsidR="00247F0D" w:rsidRPr="005B1B75">
        <w:rPr>
          <w:lang w:val="es-ES_tradnl"/>
        </w:rPr>
        <w:t xml:space="preserve"> tras permanecer en el albergue temporal por </w:t>
      </w:r>
      <w:r w:rsidR="00677E6A" w:rsidRPr="005B1B75">
        <w:rPr>
          <w:lang w:val="es-ES_tradnl"/>
        </w:rPr>
        <w:t>diez</w:t>
      </w:r>
      <w:r w:rsidR="00247F0D" w:rsidRPr="005B1B75">
        <w:rPr>
          <w:lang w:val="es-ES_tradnl"/>
        </w:rPr>
        <w:t xml:space="preserve"> días, ellos y sus hijos debieron dormir en el automóvil familiar durante </w:t>
      </w:r>
      <w:r w:rsidR="00677E6A" w:rsidRPr="005B1B75">
        <w:rPr>
          <w:lang w:val="es-ES_tradnl"/>
        </w:rPr>
        <w:t>cuatro</w:t>
      </w:r>
      <w:r w:rsidR="00247F0D" w:rsidRPr="005B1B75">
        <w:rPr>
          <w:lang w:val="es-ES_tradnl"/>
        </w:rPr>
        <w:t xml:space="preserve"> días, hasta que un conocido les ofreció alojamiento por varias semanas.</w:t>
      </w:r>
    </w:p>
    <w:p w14:paraId="5EB964E0" w14:textId="3B8B4ABA" w:rsidR="00447709" w:rsidRPr="005B1B75" w:rsidRDefault="003D49B0" w:rsidP="00D445DC">
      <w:pPr>
        <w:pStyle w:val="SingleTxtG"/>
        <w:rPr>
          <w:lang w:val="es-ES_tradnl"/>
        </w:rPr>
      </w:pPr>
      <w:r w:rsidRPr="005B1B75">
        <w:rPr>
          <w:lang w:val="es-ES_tradnl"/>
        </w:rPr>
        <w:t>1</w:t>
      </w:r>
      <w:r w:rsidR="00C543DF" w:rsidRPr="005B1B75">
        <w:rPr>
          <w:lang w:val="es-ES_tradnl"/>
        </w:rPr>
        <w:t>2</w:t>
      </w:r>
      <w:r w:rsidR="00D35EC3" w:rsidRPr="005B1B75">
        <w:rPr>
          <w:lang w:val="es-ES_tradnl"/>
        </w:rPr>
        <w:t xml:space="preserve">.6 </w:t>
      </w:r>
      <w:r w:rsidR="00D35EC3" w:rsidRPr="005B1B75">
        <w:rPr>
          <w:lang w:val="es-ES_tradnl"/>
        </w:rPr>
        <w:tab/>
        <w:t xml:space="preserve">El Comité también observa que los autores no cuestionan la información contenida en el informe del Centro de Servicios Sociales de Madrid, de 24 de abril de 2015, respecto a que por intervención de estos servicios el </w:t>
      </w:r>
      <w:r w:rsidR="002D0785" w:rsidRPr="005B1B75">
        <w:rPr>
          <w:lang w:val="es-ES_tradnl"/>
        </w:rPr>
        <w:t xml:space="preserve">Sr. Ben </w:t>
      </w:r>
      <w:proofErr w:type="spellStart"/>
      <w:r w:rsidR="002D0785" w:rsidRPr="005B1B75">
        <w:rPr>
          <w:lang w:val="es-ES_tradnl"/>
        </w:rPr>
        <w:t>Djazia</w:t>
      </w:r>
      <w:proofErr w:type="spellEnd"/>
      <w:r w:rsidR="00D35EC3" w:rsidRPr="005B1B75">
        <w:rPr>
          <w:lang w:val="es-ES_tradnl"/>
        </w:rPr>
        <w:t xml:space="preserve"> recibió ayudas económicas puntuales en 2012 y 2013 para la cobertura de necesidades básicas (véase </w:t>
      </w:r>
      <w:r w:rsidR="00F84CD5" w:rsidRPr="005B1B75">
        <w:rPr>
          <w:lang w:val="es-ES_tradnl"/>
        </w:rPr>
        <w:t xml:space="preserve">el párrafo </w:t>
      </w:r>
      <w:r w:rsidR="00D35EC3" w:rsidRPr="005B1B75">
        <w:rPr>
          <w:lang w:val="es-ES_tradnl"/>
        </w:rPr>
        <w:t>4.5</w:t>
      </w:r>
      <w:r w:rsidR="00F84CD5" w:rsidRPr="005B1B75">
        <w:rPr>
          <w:lang w:val="es-ES_tradnl"/>
        </w:rPr>
        <w:t xml:space="preserve"> </w:t>
      </w:r>
      <w:r w:rsidR="00F84CD5" w:rsidRPr="005B1B75">
        <w:rPr>
          <w:i/>
          <w:lang w:val="es-ES_tradnl"/>
        </w:rPr>
        <w:t>supra</w:t>
      </w:r>
      <w:r w:rsidR="00D35EC3" w:rsidRPr="005B1B75">
        <w:rPr>
          <w:lang w:val="es-ES_tradnl"/>
        </w:rPr>
        <w:t>).</w:t>
      </w:r>
    </w:p>
    <w:p w14:paraId="095FDE50" w14:textId="5946FD73" w:rsidR="00F56BE6" w:rsidRPr="005B1B75" w:rsidRDefault="003D49B0" w:rsidP="00D445DC">
      <w:pPr>
        <w:pStyle w:val="SingleTxtG"/>
        <w:rPr>
          <w:lang w:val="es-ES_tradnl"/>
        </w:rPr>
      </w:pPr>
      <w:r w:rsidRPr="005B1B75">
        <w:rPr>
          <w:lang w:val="es-ES_tradnl"/>
        </w:rPr>
        <w:lastRenderedPageBreak/>
        <w:t>1</w:t>
      </w:r>
      <w:r w:rsidR="00C543DF" w:rsidRPr="005B1B75">
        <w:rPr>
          <w:lang w:val="es-ES_tradnl"/>
        </w:rPr>
        <w:t>2</w:t>
      </w:r>
      <w:r w:rsidR="00D35EC3" w:rsidRPr="005B1B75">
        <w:rPr>
          <w:lang w:val="es-ES_tradnl"/>
        </w:rPr>
        <w:t>.7</w:t>
      </w:r>
      <w:r w:rsidR="0029180A" w:rsidRPr="005B1B75">
        <w:rPr>
          <w:lang w:val="es-ES_tradnl"/>
        </w:rPr>
        <w:t xml:space="preserve"> </w:t>
      </w:r>
      <w:r w:rsidR="0029180A" w:rsidRPr="005B1B75">
        <w:rPr>
          <w:lang w:val="es-ES_tradnl"/>
        </w:rPr>
        <w:tab/>
      </w:r>
      <w:r w:rsidR="00D35EC3" w:rsidRPr="005B1B75">
        <w:rPr>
          <w:lang w:val="es-ES_tradnl"/>
        </w:rPr>
        <w:t xml:space="preserve">A la luz de la determinación del Comité </w:t>
      </w:r>
      <w:r w:rsidR="00161251" w:rsidRPr="005B1B75">
        <w:rPr>
          <w:lang w:val="es-ES_tradnl"/>
        </w:rPr>
        <w:t xml:space="preserve">de </w:t>
      </w:r>
      <w:r w:rsidR="00D35EC3" w:rsidRPr="005B1B75">
        <w:rPr>
          <w:lang w:val="es-ES_tradnl"/>
        </w:rPr>
        <w:t xml:space="preserve">los hechos relevantes y de los alegatos de las partes, la </w:t>
      </w:r>
      <w:r w:rsidR="00957A51" w:rsidRPr="005B1B75">
        <w:rPr>
          <w:lang w:val="es-ES_tradnl"/>
        </w:rPr>
        <w:t xml:space="preserve">cuestión esencial que plantea la comunicación es </w:t>
      </w:r>
      <w:r w:rsidR="00D35EC3" w:rsidRPr="005B1B75">
        <w:rPr>
          <w:lang w:val="es-ES_tradnl"/>
        </w:rPr>
        <w:t xml:space="preserve">si el </w:t>
      </w:r>
      <w:r w:rsidR="00D079AD" w:rsidRPr="005B1B75">
        <w:rPr>
          <w:lang w:val="es-ES_tradnl"/>
        </w:rPr>
        <w:t xml:space="preserve">desalojo </w:t>
      </w:r>
      <w:r w:rsidR="00D35EC3" w:rsidRPr="005B1B75">
        <w:rPr>
          <w:lang w:val="es-ES_tradnl"/>
        </w:rPr>
        <w:t xml:space="preserve">de los autores de la habitación de alquiler por orden del Juzgado </w:t>
      </w:r>
      <w:r w:rsidR="001A643F" w:rsidRPr="005B1B75">
        <w:rPr>
          <w:lang w:val="es-ES_tradnl"/>
        </w:rPr>
        <w:t>núm.</w:t>
      </w:r>
      <w:r w:rsidR="00D35EC3" w:rsidRPr="005B1B75">
        <w:rPr>
          <w:lang w:val="es-ES_tradnl"/>
        </w:rPr>
        <w:t xml:space="preserve"> 37</w:t>
      </w:r>
      <w:r w:rsidR="00957A51" w:rsidRPr="005B1B75">
        <w:rPr>
          <w:lang w:val="es-ES_tradnl"/>
        </w:rPr>
        <w:t xml:space="preserve">, debido a </w:t>
      </w:r>
      <w:r w:rsidR="008A2AB8" w:rsidRPr="005B1B75">
        <w:rPr>
          <w:lang w:val="es-ES_tradnl"/>
        </w:rPr>
        <w:t>l</w:t>
      </w:r>
      <w:r w:rsidR="00957A51" w:rsidRPr="005B1B75">
        <w:rPr>
          <w:lang w:val="es-ES_tradnl"/>
        </w:rPr>
        <w:t>a expiración del plazo contractual,</w:t>
      </w:r>
      <w:r w:rsidR="00D35EC3" w:rsidRPr="005B1B75">
        <w:rPr>
          <w:lang w:val="es-ES_tradnl"/>
        </w:rPr>
        <w:t xml:space="preserve"> </w:t>
      </w:r>
      <w:r w:rsidR="00B7775B" w:rsidRPr="005B1B75">
        <w:rPr>
          <w:lang w:val="es-ES_tradnl"/>
        </w:rPr>
        <w:t xml:space="preserve">sin que las autoridades les otorgaran vivienda alternativa, </w:t>
      </w:r>
      <w:r w:rsidR="00D35EC3" w:rsidRPr="005B1B75">
        <w:rPr>
          <w:lang w:val="es-ES_tradnl"/>
        </w:rPr>
        <w:t>constituyó</w:t>
      </w:r>
      <w:r w:rsidR="00957A51" w:rsidRPr="005B1B75">
        <w:rPr>
          <w:lang w:val="es-ES_tradnl"/>
        </w:rPr>
        <w:t xml:space="preserve"> o no</w:t>
      </w:r>
      <w:r w:rsidR="00D35EC3" w:rsidRPr="005B1B75">
        <w:rPr>
          <w:lang w:val="es-ES_tradnl"/>
        </w:rPr>
        <w:t xml:space="preserve"> una violación del derecho </w:t>
      </w:r>
      <w:r w:rsidR="00F56BE6" w:rsidRPr="005B1B75">
        <w:rPr>
          <w:lang w:val="es-ES_tradnl"/>
        </w:rPr>
        <w:t>a la vivienda adecuada del artículo 11</w:t>
      </w:r>
      <w:r w:rsidR="00F60C79" w:rsidRPr="005B1B75">
        <w:rPr>
          <w:lang w:val="es-ES_tradnl"/>
        </w:rPr>
        <w:t xml:space="preserve">, párr. </w:t>
      </w:r>
      <w:r w:rsidR="00F56BE6" w:rsidRPr="005B1B75">
        <w:rPr>
          <w:lang w:val="es-ES_tradnl"/>
        </w:rPr>
        <w:t>1</w:t>
      </w:r>
      <w:r w:rsidR="00F60C79" w:rsidRPr="005B1B75">
        <w:rPr>
          <w:lang w:val="es-ES_tradnl"/>
        </w:rPr>
        <w:t>,</w:t>
      </w:r>
      <w:r w:rsidR="00F56BE6" w:rsidRPr="005B1B75">
        <w:rPr>
          <w:lang w:val="es-ES_tradnl"/>
        </w:rPr>
        <w:t xml:space="preserve"> del Pacto</w:t>
      </w:r>
      <w:r w:rsidR="00957A51" w:rsidRPr="005B1B75">
        <w:rPr>
          <w:lang w:val="es-ES_tradnl"/>
        </w:rPr>
        <w:t xml:space="preserve">, teniendo en cuenta que los autores quedaban sin techo. </w:t>
      </w:r>
      <w:r w:rsidR="008A2AB8" w:rsidRPr="005B1B75">
        <w:rPr>
          <w:lang w:val="es-ES_tradnl"/>
        </w:rPr>
        <w:t>Para examinar e</w:t>
      </w:r>
      <w:r w:rsidR="00957A51" w:rsidRPr="005B1B75">
        <w:rPr>
          <w:lang w:val="es-ES_tradnl"/>
        </w:rPr>
        <w:t>sa cuestión central</w:t>
      </w:r>
      <w:r w:rsidR="008A2AB8" w:rsidRPr="005B1B75">
        <w:rPr>
          <w:lang w:val="es-ES_tradnl"/>
        </w:rPr>
        <w:t>, el Comité abordará previamente el argumento del Estado parte de que</w:t>
      </w:r>
      <w:r w:rsidR="00957A51" w:rsidRPr="005B1B75">
        <w:rPr>
          <w:lang w:val="es-ES_tradnl"/>
        </w:rPr>
        <w:t xml:space="preserve"> </w:t>
      </w:r>
      <w:r w:rsidR="008A2AB8" w:rsidRPr="005B1B75">
        <w:rPr>
          <w:lang w:val="es-ES_tradnl"/>
        </w:rPr>
        <w:t xml:space="preserve">la comunicación </w:t>
      </w:r>
      <w:r w:rsidR="00062CD1" w:rsidRPr="005B1B75">
        <w:rPr>
          <w:lang w:val="es-ES_tradnl"/>
        </w:rPr>
        <w:t xml:space="preserve">plantea </w:t>
      </w:r>
      <w:r w:rsidR="00957A51" w:rsidRPr="005B1B75">
        <w:rPr>
          <w:lang w:val="es-ES_tradnl"/>
        </w:rPr>
        <w:t xml:space="preserve">un problema entre particulares, sin </w:t>
      </w:r>
      <w:r w:rsidR="00B7775B" w:rsidRPr="005B1B75">
        <w:rPr>
          <w:lang w:val="es-ES_tradnl"/>
        </w:rPr>
        <w:t xml:space="preserve">supuesta </w:t>
      </w:r>
      <w:r w:rsidR="00957A51" w:rsidRPr="005B1B75">
        <w:rPr>
          <w:lang w:val="es-ES_tradnl"/>
        </w:rPr>
        <w:t>relevancia frente al Pacto</w:t>
      </w:r>
      <w:r w:rsidR="00F56BE6" w:rsidRPr="005B1B75">
        <w:rPr>
          <w:lang w:val="es-ES_tradnl"/>
        </w:rPr>
        <w:t xml:space="preserve">. </w:t>
      </w:r>
      <w:r w:rsidR="006700C6" w:rsidRPr="005B1B75">
        <w:rPr>
          <w:lang w:val="es-ES_tradnl"/>
        </w:rPr>
        <w:t>E</w:t>
      </w:r>
      <w:r w:rsidR="00886706" w:rsidRPr="005B1B75">
        <w:rPr>
          <w:lang w:val="es-ES_tradnl"/>
        </w:rPr>
        <w:t xml:space="preserve">l </w:t>
      </w:r>
      <w:r w:rsidR="00F56BE6" w:rsidRPr="005B1B75">
        <w:rPr>
          <w:lang w:val="es-ES_tradnl"/>
        </w:rPr>
        <w:t xml:space="preserve">Comité comenzará por recordar ciertos contenidos relevantes del derecho a la vivienda, en particular en relación </w:t>
      </w:r>
      <w:r w:rsidR="002A0869" w:rsidRPr="005B1B75">
        <w:rPr>
          <w:lang w:val="es-ES_tradnl"/>
        </w:rPr>
        <w:t>a las</w:t>
      </w:r>
      <w:r w:rsidR="00F56BE6" w:rsidRPr="005B1B75">
        <w:rPr>
          <w:lang w:val="es-ES_tradnl"/>
        </w:rPr>
        <w:t xml:space="preserve"> personas que viven en una vivienda alquilada</w:t>
      </w:r>
      <w:r w:rsidR="00957A51" w:rsidRPr="005B1B75">
        <w:rPr>
          <w:lang w:val="es-ES_tradnl"/>
        </w:rPr>
        <w:t xml:space="preserve"> y</w:t>
      </w:r>
      <w:r w:rsidR="00F56BE6" w:rsidRPr="005B1B75">
        <w:rPr>
          <w:lang w:val="es-ES_tradnl"/>
        </w:rPr>
        <w:t xml:space="preserve"> las protecciones jurídicas de este derecho.</w:t>
      </w:r>
    </w:p>
    <w:p w14:paraId="3DE05CFC" w14:textId="77777777" w:rsidR="003D49B0" w:rsidRPr="005B1B75" w:rsidRDefault="003D49B0" w:rsidP="00D445DC">
      <w:pPr>
        <w:pStyle w:val="H23G"/>
        <w:rPr>
          <w:lang w:val="es-ES_tradnl"/>
        </w:rPr>
      </w:pPr>
      <w:r w:rsidRPr="005B1B75">
        <w:rPr>
          <w:lang w:val="es-ES_tradnl"/>
        </w:rPr>
        <w:tab/>
      </w:r>
      <w:r w:rsidRPr="005B1B75">
        <w:rPr>
          <w:lang w:val="es-ES_tradnl"/>
        </w:rPr>
        <w:tab/>
        <w:t xml:space="preserve">El derecho a la vivienda </w:t>
      </w:r>
      <w:r w:rsidR="00DE40AB" w:rsidRPr="005B1B75">
        <w:rPr>
          <w:lang w:val="es-ES_tradnl"/>
        </w:rPr>
        <w:t xml:space="preserve">y la seguridad jurídica de la tenencia </w:t>
      </w:r>
    </w:p>
    <w:p w14:paraId="635BF2AE" w14:textId="28727EA0" w:rsidR="003D49B0" w:rsidRPr="005B1B75" w:rsidRDefault="003D49B0" w:rsidP="00D445DC">
      <w:pPr>
        <w:pStyle w:val="SingleTxtG"/>
        <w:rPr>
          <w:lang w:val="es-ES_tradnl"/>
        </w:rPr>
      </w:pPr>
      <w:r w:rsidRPr="005B1B75">
        <w:rPr>
          <w:lang w:val="es-ES_tradnl"/>
        </w:rPr>
        <w:t>1</w:t>
      </w:r>
      <w:r w:rsidR="00C543DF" w:rsidRPr="005B1B75">
        <w:rPr>
          <w:lang w:val="es-ES_tradnl"/>
        </w:rPr>
        <w:t>3</w:t>
      </w:r>
      <w:r w:rsidRPr="005B1B75">
        <w:rPr>
          <w:lang w:val="es-ES_tradnl"/>
        </w:rPr>
        <w:t>.1</w:t>
      </w:r>
      <w:r w:rsidRPr="005B1B75">
        <w:rPr>
          <w:lang w:val="es-ES_tradnl"/>
        </w:rPr>
        <w:tab/>
        <w:t>El derecho humano a una vivienda adecuada es un derecho fundamental que constituye la base para el disfrute de todos los derechos económicos, sociales y culturales</w:t>
      </w:r>
      <w:r w:rsidRPr="009E41B4">
        <w:rPr>
          <w:sz w:val="18"/>
          <w:szCs w:val="18"/>
          <w:vertAlign w:val="superscript"/>
          <w:lang w:val="es-ES_tradnl"/>
        </w:rPr>
        <w:footnoteReference w:id="19"/>
      </w:r>
      <w:r w:rsidRPr="005B1B75">
        <w:rPr>
          <w:lang w:val="es-ES_tradnl"/>
        </w:rPr>
        <w:t xml:space="preserve"> y está vinculado en su integridad a otros derechos humanos, incluyendo </w:t>
      </w:r>
      <w:r w:rsidR="00957A51" w:rsidRPr="005B1B75">
        <w:rPr>
          <w:lang w:val="es-ES_tradnl"/>
        </w:rPr>
        <w:t>los d</w:t>
      </w:r>
      <w:r w:rsidRPr="005B1B75">
        <w:rPr>
          <w:lang w:val="es-ES_tradnl"/>
        </w:rPr>
        <w:t>el Pacto Internacional de Derechos Civiles y Políticos</w:t>
      </w:r>
      <w:r w:rsidRPr="009E41B4">
        <w:rPr>
          <w:sz w:val="18"/>
          <w:szCs w:val="18"/>
          <w:vertAlign w:val="superscript"/>
          <w:lang w:val="es-ES_tradnl"/>
        </w:rPr>
        <w:footnoteReference w:id="20"/>
      </w:r>
      <w:r w:rsidR="00F60C79" w:rsidRPr="005B1B75">
        <w:rPr>
          <w:lang w:val="es-ES_tradnl"/>
        </w:rPr>
        <w:t>.</w:t>
      </w:r>
      <w:r w:rsidR="0059720B" w:rsidRPr="0048522D">
        <w:rPr>
          <w:lang w:val="es-ES_tradnl"/>
        </w:rPr>
        <w:t xml:space="preserve"> </w:t>
      </w:r>
      <w:r w:rsidRPr="005B1B75">
        <w:rPr>
          <w:lang w:val="es-ES_tradnl"/>
        </w:rPr>
        <w:t>El derecho a la vivienda se debe garantizar a todos, sean cuales fueren sus ingresos o su acceso a recursos económicos</w:t>
      </w:r>
      <w:r w:rsidRPr="009E41B4">
        <w:rPr>
          <w:sz w:val="18"/>
          <w:szCs w:val="18"/>
          <w:vertAlign w:val="superscript"/>
          <w:lang w:val="es-ES_tradnl"/>
        </w:rPr>
        <w:footnoteReference w:id="21"/>
      </w:r>
      <w:r w:rsidRPr="005B1B75">
        <w:rPr>
          <w:lang w:val="es-ES_tradnl"/>
        </w:rPr>
        <w:t xml:space="preserve"> y los Estados partes deben tomar todas las medidas que sean necesarias para lograr la plena realización de este derecho</w:t>
      </w:r>
      <w:r w:rsidR="00B7775B" w:rsidRPr="005B1B75">
        <w:rPr>
          <w:lang w:val="es-ES_tradnl"/>
        </w:rPr>
        <w:t>, hasta el máximo de sus recursos disponibles</w:t>
      </w:r>
      <w:r w:rsidRPr="009E41B4">
        <w:rPr>
          <w:sz w:val="18"/>
          <w:szCs w:val="18"/>
          <w:vertAlign w:val="superscript"/>
          <w:lang w:val="es-ES_tradnl"/>
        </w:rPr>
        <w:footnoteReference w:id="22"/>
      </w:r>
      <w:r w:rsidR="00F60C79" w:rsidRPr="005B1B75">
        <w:rPr>
          <w:lang w:val="es-ES_tradnl"/>
        </w:rPr>
        <w:t>.</w:t>
      </w:r>
      <w:r w:rsidRPr="005B1B75">
        <w:rPr>
          <w:lang w:val="es-ES_tradnl"/>
        </w:rPr>
        <w:t xml:space="preserve"> </w:t>
      </w:r>
    </w:p>
    <w:p w14:paraId="5979F3D2" w14:textId="4B708E0D" w:rsidR="00957A51" w:rsidRPr="005B1B75" w:rsidRDefault="008401AE" w:rsidP="00D445DC">
      <w:pPr>
        <w:pStyle w:val="SingleTxtG"/>
        <w:rPr>
          <w:lang w:val="es-ES_tradnl"/>
        </w:rPr>
      </w:pPr>
      <w:r w:rsidRPr="005B1B75">
        <w:rPr>
          <w:lang w:val="es-ES_tradnl"/>
        </w:rPr>
        <w:t>1</w:t>
      </w:r>
      <w:r w:rsidR="00C543DF" w:rsidRPr="005B1B75">
        <w:rPr>
          <w:lang w:val="es-ES_tradnl"/>
        </w:rPr>
        <w:t>3</w:t>
      </w:r>
      <w:r w:rsidR="003D49B0" w:rsidRPr="005B1B75">
        <w:rPr>
          <w:lang w:val="es-ES_tradnl"/>
        </w:rPr>
        <w:t xml:space="preserve">.2 </w:t>
      </w:r>
      <w:r w:rsidR="003D49B0" w:rsidRPr="005B1B75">
        <w:rPr>
          <w:lang w:val="es-ES_tradnl"/>
        </w:rPr>
        <w:tab/>
      </w:r>
      <w:r w:rsidR="00886706" w:rsidRPr="005B1B75">
        <w:rPr>
          <w:lang w:val="es-ES_tradnl"/>
        </w:rPr>
        <w:t>T</w:t>
      </w:r>
      <w:r w:rsidR="003D49B0" w:rsidRPr="005B1B75">
        <w:rPr>
          <w:lang w:val="es-ES_tradnl"/>
        </w:rPr>
        <w:t>odas las personas deben gozar de cierto grado de seguridad de tenencia</w:t>
      </w:r>
      <w:r w:rsidR="003446C4" w:rsidRPr="005B1B75">
        <w:rPr>
          <w:lang w:val="es-ES_tradnl"/>
        </w:rPr>
        <w:t xml:space="preserve"> </w:t>
      </w:r>
      <w:r w:rsidR="003D49B0" w:rsidRPr="005B1B75">
        <w:rPr>
          <w:lang w:val="es-ES_tradnl"/>
        </w:rPr>
        <w:t>que les garantice una protección legal contra el desahucio, el hostigamiento u otras amenazas</w:t>
      </w:r>
      <w:r w:rsidR="003D49B0" w:rsidRPr="009E41B4">
        <w:rPr>
          <w:sz w:val="18"/>
          <w:szCs w:val="18"/>
          <w:vertAlign w:val="superscript"/>
          <w:lang w:val="es-ES_tradnl"/>
        </w:rPr>
        <w:footnoteReference w:id="23"/>
      </w:r>
      <w:r w:rsidR="00687F8B" w:rsidRPr="005B1B75">
        <w:rPr>
          <w:lang w:val="es-ES_tradnl"/>
        </w:rPr>
        <w:t>.</w:t>
      </w:r>
      <w:r w:rsidR="003D49B0" w:rsidRPr="005B1B75">
        <w:rPr>
          <w:lang w:val="es-ES_tradnl"/>
        </w:rPr>
        <w:t xml:space="preserve"> </w:t>
      </w:r>
      <w:r w:rsidR="00957A51" w:rsidRPr="005B1B75">
        <w:rPr>
          <w:lang w:val="es-ES_tradnl"/>
        </w:rPr>
        <w:t xml:space="preserve">Esta garantía </w:t>
      </w:r>
      <w:r w:rsidR="00044CDA" w:rsidRPr="005B1B75">
        <w:rPr>
          <w:lang w:val="es-ES_tradnl"/>
        </w:rPr>
        <w:t>se aplica</w:t>
      </w:r>
      <w:r w:rsidR="00957A51" w:rsidRPr="005B1B75">
        <w:rPr>
          <w:lang w:val="es-ES_tradnl"/>
        </w:rPr>
        <w:t xml:space="preserve"> también a las personas que viven en viviendas alquiladas, ya sean públicas o privadas, quienes deben gozar </w:t>
      </w:r>
      <w:r w:rsidR="00DE1AAB" w:rsidRPr="005B1B75">
        <w:rPr>
          <w:lang w:val="es-ES_tradnl"/>
        </w:rPr>
        <w:t>del derecho a la vivienda</w:t>
      </w:r>
      <w:r w:rsidR="001041B2" w:rsidRPr="005B1B75">
        <w:rPr>
          <w:lang w:val="es-ES_tradnl"/>
        </w:rPr>
        <w:t>, incluso en el momento del vencimiento del plazo del contrato de arrendamiento</w:t>
      </w:r>
      <w:r w:rsidR="00957A51" w:rsidRPr="005B1B75">
        <w:rPr>
          <w:lang w:val="es-ES_tradnl"/>
        </w:rPr>
        <w:t xml:space="preserve">. </w:t>
      </w:r>
    </w:p>
    <w:p w14:paraId="368BADBC" w14:textId="3573A0E5" w:rsidR="008401AE" w:rsidRPr="005B1B75" w:rsidRDefault="00957A51" w:rsidP="00D445DC">
      <w:pPr>
        <w:pStyle w:val="SingleTxtG"/>
        <w:rPr>
          <w:lang w:val="es-ES_tradnl"/>
        </w:rPr>
      </w:pPr>
      <w:r w:rsidRPr="005B1B75">
        <w:rPr>
          <w:lang w:val="es-ES_tradnl"/>
        </w:rPr>
        <w:t xml:space="preserve">13.3 </w:t>
      </w:r>
      <w:r w:rsidRPr="005B1B75">
        <w:rPr>
          <w:lang w:val="es-ES_tradnl"/>
        </w:rPr>
        <w:tab/>
      </w:r>
      <w:r w:rsidR="00886706" w:rsidRPr="005B1B75">
        <w:rPr>
          <w:lang w:val="es-ES_tradnl"/>
        </w:rPr>
        <w:t>L</w:t>
      </w:r>
      <w:r w:rsidR="003D49B0" w:rsidRPr="005B1B75">
        <w:rPr>
          <w:lang w:val="es-ES_tradnl"/>
        </w:rPr>
        <w:t>os desalojos forz</w:t>
      </w:r>
      <w:r w:rsidR="00687F8B" w:rsidRPr="005B1B75">
        <w:rPr>
          <w:lang w:val="es-ES_tradnl"/>
        </w:rPr>
        <w:t>os</w:t>
      </w:r>
      <w:r w:rsidR="003D49B0" w:rsidRPr="005B1B75">
        <w:rPr>
          <w:lang w:val="es-ES_tradnl"/>
        </w:rPr>
        <w:t xml:space="preserve">os son </w:t>
      </w:r>
      <w:r w:rsidR="003D49B0" w:rsidRPr="005B1B75">
        <w:rPr>
          <w:i/>
          <w:lang w:val="es-ES_tradnl"/>
        </w:rPr>
        <w:t>prima facie</w:t>
      </w:r>
      <w:r w:rsidR="003D49B0" w:rsidRPr="005B1B75">
        <w:rPr>
          <w:lang w:val="es-ES_tradnl"/>
        </w:rPr>
        <w:t xml:space="preserve"> incompatibles con los requisitos del Pacto, y s</w:t>
      </w:r>
      <w:r w:rsidR="00687F8B" w:rsidRPr="005B1B75">
        <w:rPr>
          <w:lang w:val="es-ES_tradnl"/>
        </w:rPr>
        <w:t>o</w:t>
      </w:r>
      <w:r w:rsidR="003D49B0" w:rsidRPr="005B1B75">
        <w:rPr>
          <w:lang w:val="es-ES_tradnl"/>
        </w:rPr>
        <w:t>lo podrían justificarse en las circunstancias más excepcionales y de conformidad con los principios pertinentes de derecho internacional</w:t>
      </w:r>
      <w:r w:rsidR="003D49B0" w:rsidRPr="009E41B4">
        <w:rPr>
          <w:sz w:val="18"/>
          <w:szCs w:val="18"/>
          <w:vertAlign w:val="superscript"/>
          <w:lang w:val="es-ES_tradnl"/>
        </w:rPr>
        <w:footnoteReference w:id="24"/>
      </w:r>
      <w:r w:rsidR="00687F8B" w:rsidRPr="005B1B75">
        <w:rPr>
          <w:lang w:val="es-ES_tradnl"/>
        </w:rPr>
        <w:t>.</w:t>
      </w:r>
      <w:r w:rsidR="003D49B0" w:rsidRPr="005B1B75">
        <w:rPr>
          <w:lang w:val="es-ES_tradnl"/>
        </w:rPr>
        <w:t xml:space="preserve"> </w:t>
      </w:r>
      <w:r w:rsidR="001C5719" w:rsidRPr="005B1B75">
        <w:rPr>
          <w:lang w:val="es-ES_tradnl"/>
        </w:rPr>
        <w:t xml:space="preserve">El Comité se remite a la definición de desalojo forzoso de su observación general </w:t>
      </w:r>
      <w:r w:rsidR="00687F8B" w:rsidRPr="005B1B75">
        <w:rPr>
          <w:lang w:val="es-ES_tradnl"/>
        </w:rPr>
        <w:t xml:space="preserve">núm. </w:t>
      </w:r>
      <w:r w:rsidR="001C5719" w:rsidRPr="005B1B75">
        <w:rPr>
          <w:lang w:val="es-ES_tradnl"/>
        </w:rPr>
        <w:t>7</w:t>
      </w:r>
      <w:r w:rsidR="00687F8B" w:rsidRPr="005B1B75">
        <w:rPr>
          <w:lang w:val="es-ES_tradnl"/>
        </w:rPr>
        <w:t xml:space="preserve"> (párr. 3)</w:t>
      </w:r>
      <w:r w:rsidR="00772759" w:rsidRPr="005B1B75">
        <w:rPr>
          <w:lang w:val="es-ES_tradnl"/>
        </w:rPr>
        <w:t xml:space="preserve"> </w:t>
      </w:r>
      <w:r w:rsidR="001C5719" w:rsidRPr="005B1B75">
        <w:rPr>
          <w:lang w:val="es-ES_tradnl"/>
        </w:rPr>
        <w:t>y resalta que dicha definición</w:t>
      </w:r>
      <w:r w:rsidR="00772759" w:rsidRPr="005B1B75">
        <w:rPr>
          <w:lang w:val="es-ES_tradnl"/>
        </w:rPr>
        <w:t>, no está limitad</w:t>
      </w:r>
      <w:r w:rsidR="001C5719" w:rsidRPr="005B1B75">
        <w:rPr>
          <w:lang w:val="es-ES_tradnl"/>
        </w:rPr>
        <w:t>a</w:t>
      </w:r>
      <w:r w:rsidR="00772759" w:rsidRPr="005B1B75">
        <w:rPr>
          <w:lang w:val="es-ES_tradnl"/>
        </w:rPr>
        <w:t xml:space="preserve"> a desalojo</w:t>
      </w:r>
      <w:r w:rsidR="00A80045" w:rsidRPr="005B1B75">
        <w:rPr>
          <w:lang w:val="es-ES_tradnl"/>
        </w:rPr>
        <w:t>s</w:t>
      </w:r>
      <w:r w:rsidR="00772759" w:rsidRPr="005B1B75">
        <w:rPr>
          <w:lang w:val="es-ES_tradnl"/>
        </w:rPr>
        <w:t xml:space="preserve"> colectivos o a gran escala</w:t>
      </w:r>
      <w:r w:rsidR="00A80045" w:rsidRPr="005B1B75">
        <w:rPr>
          <w:lang w:val="es-ES_tradnl"/>
        </w:rPr>
        <w:t xml:space="preserve"> o a aquellos promovidos directamente por las autoridades de los Estados partes</w:t>
      </w:r>
      <w:r w:rsidR="008401AE" w:rsidRPr="005B1B75">
        <w:rPr>
          <w:lang w:val="es-ES_tradnl"/>
        </w:rPr>
        <w:t>.</w:t>
      </w:r>
      <w:r w:rsidRPr="005B1B75">
        <w:rPr>
          <w:lang w:val="es-ES_tradnl"/>
        </w:rPr>
        <w:t xml:space="preserve"> La protección contra el desalojo forz</w:t>
      </w:r>
      <w:r w:rsidR="00687F8B" w:rsidRPr="005B1B75">
        <w:rPr>
          <w:lang w:val="es-ES_tradnl"/>
        </w:rPr>
        <w:t>os</w:t>
      </w:r>
      <w:r w:rsidRPr="005B1B75">
        <w:rPr>
          <w:lang w:val="es-ES_tradnl"/>
        </w:rPr>
        <w:t xml:space="preserve">o se </w:t>
      </w:r>
      <w:r w:rsidR="00044CDA" w:rsidRPr="005B1B75">
        <w:rPr>
          <w:lang w:val="es-ES_tradnl"/>
        </w:rPr>
        <w:t xml:space="preserve">aplica </w:t>
      </w:r>
      <w:r w:rsidRPr="005B1B75">
        <w:rPr>
          <w:lang w:val="es-ES_tradnl"/>
        </w:rPr>
        <w:t>también a quienes viven en viviendas alquila</w:t>
      </w:r>
      <w:r w:rsidR="00CC625E" w:rsidRPr="005B1B75">
        <w:rPr>
          <w:lang w:val="es-ES_tradnl"/>
        </w:rPr>
        <w:t>das</w:t>
      </w:r>
      <w:r w:rsidR="00AD288A" w:rsidRPr="009E41B4">
        <w:rPr>
          <w:sz w:val="18"/>
          <w:szCs w:val="18"/>
          <w:vertAlign w:val="superscript"/>
          <w:lang w:val="es-ES_tradnl"/>
        </w:rPr>
        <w:footnoteReference w:id="25"/>
      </w:r>
      <w:r w:rsidR="00687F8B" w:rsidRPr="005B1B75">
        <w:rPr>
          <w:lang w:val="es-ES_tradnl"/>
        </w:rPr>
        <w:t>.</w:t>
      </w:r>
      <w:r w:rsidRPr="005B1B75">
        <w:rPr>
          <w:lang w:val="es-ES_tradnl"/>
        </w:rPr>
        <w:t xml:space="preserve"> </w:t>
      </w:r>
    </w:p>
    <w:p w14:paraId="2794D519" w14:textId="4B8CA1EA" w:rsidR="00A441EE" w:rsidRPr="005B1B75" w:rsidRDefault="00A441EE" w:rsidP="00D445DC">
      <w:pPr>
        <w:pStyle w:val="SingleTxtG"/>
        <w:rPr>
          <w:lang w:val="es-ES_tradnl"/>
        </w:rPr>
      </w:pPr>
      <w:r w:rsidRPr="005B1B75">
        <w:rPr>
          <w:lang w:val="es-ES_tradnl"/>
        </w:rPr>
        <w:t>1</w:t>
      </w:r>
      <w:r w:rsidR="00C543DF" w:rsidRPr="005B1B75">
        <w:rPr>
          <w:lang w:val="es-ES_tradnl"/>
        </w:rPr>
        <w:t>3</w:t>
      </w:r>
      <w:r w:rsidRPr="005B1B75">
        <w:rPr>
          <w:lang w:val="es-ES_tradnl"/>
        </w:rPr>
        <w:t>.</w:t>
      </w:r>
      <w:r w:rsidR="00957A51" w:rsidRPr="005B1B75">
        <w:rPr>
          <w:lang w:val="es-ES_tradnl"/>
        </w:rPr>
        <w:t>4</w:t>
      </w:r>
      <w:r w:rsidRPr="005B1B75">
        <w:rPr>
          <w:lang w:val="es-ES_tradnl"/>
        </w:rPr>
        <w:t xml:space="preserve"> </w:t>
      </w:r>
      <w:r w:rsidRPr="005B1B75">
        <w:rPr>
          <w:lang w:val="es-ES_tradnl"/>
        </w:rPr>
        <w:tab/>
      </w:r>
      <w:r w:rsidR="003749CF" w:rsidRPr="0048522D">
        <w:rPr>
          <w:lang w:val="es-ES_tradnl"/>
        </w:rPr>
        <w:t>C</w:t>
      </w:r>
      <w:r w:rsidR="003749CF" w:rsidRPr="005B1B75">
        <w:rPr>
          <w:lang w:val="es-ES_tradnl"/>
        </w:rPr>
        <w:t>uando el desalojo esté justificado (véa</w:t>
      </w:r>
      <w:r w:rsidR="00DF2C98" w:rsidRPr="005B1B75">
        <w:rPr>
          <w:lang w:val="es-ES_tradnl"/>
        </w:rPr>
        <w:t>n</w:t>
      </w:r>
      <w:r w:rsidR="003749CF" w:rsidRPr="005B1B75">
        <w:rPr>
          <w:lang w:val="es-ES_tradnl"/>
        </w:rPr>
        <w:t xml:space="preserve">se también </w:t>
      </w:r>
      <w:r w:rsidR="00687F8B" w:rsidRPr="005B1B75">
        <w:rPr>
          <w:lang w:val="es-ES_tradnl"/>
        </w:rPr>
        <w:t xml:space="preserve">los párrafos </w:t>
      </w:r>
      <w:r w:rsidR="003749CF" w:rsidRPr="005B1B75">
        <w:rPr>
          <w:lang w:val="es-ES_tradnl"/>
        </w:rPr>
        <w:t>15.1</w:t>
      </w:r>
      <w:r w:rsidR="00687F8B" w:rsidRPr="005B1B75">
        <w:rPr>
          <w:lang w:val="es-ES_tradnl"/>
        </w:rPr>
        <w:t xml:space="preserve"> a </w:t>
      </w:r>
      <w:r w:rsidR="003749CF" w:rsidRPr="005B1B75">
        <w:rPr>
          <w:lang w:val="es-ES_tradnl"/>
        </w:rPr>
        <w:t>15.3</w:t>
      </w:r>
      <w:r w:rsidR="00687F8B" w:rsidRPr="005B1B75">
        <w:rPr>
          <w:lang w:val="es-ES_tradnl"/>
        </w:rPr>
        <w:t xml:space="preserve"> </w:t>
      </w:r>
      <w:r w:rsidR="00687F8B" w:rsidRPr="009E41B4">
        <w:rPr>
          <w:i/>
          <w:lang w:val="es-ES_tradnl"/>
        </w:rPr>
        <w:t>infra</w:t>
      </w:r>
      <w:r w:rsidR="003749CF" w:rsidRPr="005B1B75">
        <w:rPr>
          <w:lang w:val="es-ES_tradnl"/>
        </w:rPr>
        <w:t>), las autoridades competentes deberán garantizar que se lleve a cabo con arreglo a una legislación compatible con el Pacto, incluido el principio de la dignidad humana enunciado en su preámbulo</w:t>
      </w:r>
      <w:r w:rsidR="00687F8B" w:rsidRPr="005B1B75">
        <w:rPr>
          <w:lang w:val="es-ES_tradnl"/>
        </w:rPr>
        <w:t>,</w:t>
      </w:r>
      <w:r w:rsidR="003749CF" w:rsidRPr="005B1B75">
        <w:rPr>
          <w:lang w:val="es-ES_tradnl"/>
        </w:rPr>
        <w:t xml:space="preserve"> y en observancia de los principios generales de razonabilidad y proporcionalidad. L</w:t>
      </w:r>
      <w:r w:rsidRPr="005B1B75">
        <w:rPr>
          <w:lang w:val="es-ES_tradnl"/>
        </w:rPr>
        <w:t xml:space="preserve">os procesos, en el contexto de desalojos forzosos o aquellos en que se pueda afectar la seguridad de la tenencia y concluir en un eventual desalojo, </w:t>
      </w:r>
      <w:r w:rsidR="003749CF" w:rsidRPr="005B1B75">
        <w:rPr>
          <w:lang w:val="es-ES_tradnl"/>
        </w:rPr>
        <w:t>deben llevarse a cabo en respeto de</w:t>
      </w:r>
      <w:r w:rsidRPr="005B1B75">
        <w:rPr>
          <w:lang w:val="es-ES_tradnl"/>
        </w:rPr>
        <w:t xml:space="preserve"> las garantías procesales que aseguren entre otras cosas una aut</w:t>
      </w:r>
      <w:r w:rsidR="003749CF" w:rsidRPr="005B1B75">
        <w:rPr>
          <w:lang w:val="es-ES_tradnl"/>
        </w:rPr>
        <w:t>é</w:t>
      </w:r>
      <w:r w:rsidRPr="005B1B75">
        <w:rPr>
          <w:lang w:val="es-ES_tradnl"/>
        </w:rPr>
        <w:t xml:space="preserve">ntica oportunidad de consulta </w:t>
      </w:r>
      <w:r w:rsidR="00907EA2" w:rsidRPr="005B1B75">
        <w:rPr>
          <w:lang w:val="es-ES_tradnl"/>
        </w:rPr>
        <w:t xml:space="preserve">genuina y efectiva </w:t>
      </w:r>
      <w:r w:rsidRPr="005B1B75">
        <w:rPr>
          <w:lang w:val="es-ES_tradnl"/>
        </w:rPr>
        <w:t>a las personas afectadas</w:t>
      </w:r>
      <w:r w:rsidRPr="009E41B4">
        <w:rPr>
          <w:sz w:val="18"/>
          <w:szCs w:val="18"/>
          <w:vertAlign w:val="superscript"/>
          <w:lang w:val="es-ES_tradnl"/>
        </w:rPr>
        <w:footnoteReference w:id="26"/>
      </w:r>
      <w:r w:rsidR="00687F8B" w:rsidRPr="005B1B75">
        <w:rPr>
          <w:lang w:val="es-ES_tradnl"/>
        </w:rPr>
        <w:t>.</w:t>
      </w:r>
      <w:r w:rsidR="003749CF" w:rsidRPr="005B1B75">
        <w:rPr>
          <w:lang w:val="es-ES_tradnl"/>
        </w:rPr>
        <w:t xml:space="preserve"> El Comité recuerda que no puede haber un derecho sin un recurso efectivo</w:t>
      </w:r>
      <w:r w:rsidR="003749CF" w:rsidRPr="009E41B4">
        <w:rPr>
          <w:sz w:val="18"/>
          <w:szCs w:val="18"/>
          <w:vertAlign w:val="superscript"/>
          <w:lang w:val="es-ES_tradnl"/>
        </w:rPr>
        <w:footnoteReference w:id="27"/>
      </w:r>
      <w:r w:rsidR="00130E90" w:rsidRPr="005B1B75">
        <w:rPr>
          <w:lang w:val="es-ES_tradnl"/>
        </w:rPr>
        <w:t>,</w:t>
      </w:r>
      <w:r w:rsidR="003749CF" w:rsidRPr="005B1B75">
        <w:rPr>
          <w:lang w:val="es-ES_tradnl"/>
        </w:rPr>
        <w:t xml:space="preserve"> y que, por tanto,</w:t>
      </w:r>
      <w:r w:rsidRPr="005B1B75">
        <w:rPr>
          <w:lang w:val="es-ES_tradnl"/>
        </w:rPr>
        <w:t xml:space="preserve"> </w:t>
      </w:r>
      <w:r w:rsidR="003749CF" w:rsidRPr="005B1B75">
        <w:rPr>
          <w:lang w:val="es-ES_tradnl"/>
        </w:rPr>
        <w:t>e</w:t>
      </w:r>
      <w:r w:rsidRPr="005B1B75">
        <w:rPr>
          <w:lang w:val="es-ES_tradnl"/>
        </w:rPr>
        <w:t>n virtud de la obligación contenida en el artículo 2</w:t>
      </w:r>
      <w:r w:rsidR="00130E90" w:rsidRPr="005B1B75">
        <w:rPr>
          <w:lang w:val="es-ES_tradnl"/>
        </w:rPr>
        <w:t xml:space="preserve">, párr. </w:t>
      </w:r>
      <w:r w:rsidRPr="005B1B75">
        <w:rPr>
          <w:lang w:val="es-ES_tradnl"/>
        </w:rPr>
        <w:t>1</w:t>
      </w:r>
      <w:r w:rsidR="00130E90" w:rsidRPr="005B1B75">
        <w:rPr>
          <w:lang w:val="es-ES_tradnl"/>
        </w:rPr>
        <w:t>,</w:t>
      </w:r>
      <w:r w:rsidRPr="005B1B75">
        <w:rPr>
          <w:lang w:val="es-ES_tradnl"/>
        </w:rPr>
        <w:t xml:space="preserve"> del Pacto, los Estados partes deben garantizar que las personas cuyo derecho a la vivienda adecuada pudiera ser afectado</w:t>
      </w:r>
      <w:r w:rsidR="004C5E8F" w:rsidRPr="005B1B75">
        <w:rPr>
          <w:lang w:val="es-ES_tradnl"/>
        </w:rPr>
        <w:t xml:space="preserve">, debido </w:t>
      </w:r>
      <w:r w:rsidRPr="005B1B75">
        <w:rPr>
          <w:lang w:val="es-ES_tradnl"/>
        </w:rPr>
        <w:t xml:space="preserve">por </w:t>
      </w:r>
      <w:r w:rsidRPr="005B1B75">
        <w:rPr>
          <w:lang w:val="es-ES_tradnl"/>
        </w:rPr>
        <w:lastRenderedPageBreak/>
        <w:t>ejemplo a desalojos forz</w:t>
      </w:r>
      <w:r w:rsidR="00130E90" w:rsidRPr="005B1B75">
        <w:rPr>
          <w:lang w:val="es-ES_tradnl"/>
        </w:rPr>
        <w:t>os</w:t>
      </w:r>
      <w:r w:rsidRPr="005B1B75">
        <w:rPr>
          <w:lang w:val="es-ES_tradnl"/>
        </w:rPr>
        <w:t xml:space="preserve">os o </w:t>
      </w:r>
      <w:r w:rsidR="001C5719" w:rsidRPr="005B1B75">
        <w:rPr>
          <w:lang w:val="es-ES_tradnl"/>
        </w:rPr>
        <w:t>conclusión de relaciones contractuales de alquiler</w:t>
      </w:r>
      <w:r w:rsidRPr="005B1B75">
        <w:rPr>
          <w:lang w:val="es-ES_tradnl"/>
        </w:rPr>
        <w:t>, dispongan de un recurso judicial efectivo y apropiado</w:t>
      </w:r>
      <w:r w:rsidRPr="009E41B4">
        <w:rPr>
          <w:sz w:val="18"/>
          <w:szCs w:val="18"/>
          <w:vertAlign w:val="superscript"/>
          <w:lang w:val="es-ES_tradnl"/>
        </w:rPr>
        <w:footnoteReference w:id="28"/>
      </w:r>
      <w:r w:rsidR="00130E90" w:rsidRPr="005B1B75">
        <w:rPr>
          <w:lang w:val="es-ES_tradnl"/>
        </w:rPr>
        <w:t>.</w:t>
      </w:r>
      <w:r w:rsidRPr="005B1B75">
        <w:rPr>
          <w:lang w:val="es-ES_tradnl"/>
        </w:rPr>
        <w:t xml:space="preserve"> </w:t>
      </w:r>
    </w:p>
    <w:p w14:paraId="7D4F36F1" w14:textId="7D59852D" w:rsidR="001041B2" w:rsidRPr="0048522D" w:rsidRDefault="00D445DC" w:rsidP="00D445DC">
      <w:pPr>
        <w:pStyle w:val="H23G"/>
        <w:rPr>
          <w:lang w:val="es-ES_tradnl"/>
        </w:rPr>
      </w:pPr>
      <w:r w:rsidRPr="005B1B75">
        <w:rPr>
          <w:lang w:val="es-ES_tradnl"/>
        </w:rPr>
        <w:tab/>
      </w:r>
      <w:r w:rsidRPr="005B1B75">
        <w:rPr>
          <w:lang w:val="es-ES_tradnl"/>
        </w:rPr>
        <w:tab/>
      </w:r>
      <w:r w:rsidR="001041B2" w:rsidRPr="0048522D">
        <w:rPr>
          <w:lang w:val="es-ES_tradnl"/>
        </w:rPr>
        <w:t>El deber estatal de protección de los inquilinos</w:t>
      </w:r>
    </w:p>
    <w:p w14:paraId="62FBADF7" w14:textId="551465DF" w:rsidR="001266E0" w:rsidRPr="005B1B75" w:rsidRDefault="001041B2" w:rsidP="00D445DC">
      <w:pPr>
        <w:pStyle w:val="SingleTxtG"/>
        <w:rPr>
          <w:lang w:val="es-ES_tradnl"/>
        </w:rPr>
      </w:pPr>
      <w:r w:rsidRPr="005B1B75">
        <w:rPr>
          <w:lang w:val="es-ES_tradnl"/>
        </w:rPr>
        <w:t xml:space="preserve">14.1 </w:t>
      </w:r>
      <w:r w:rsidR="00E06D9E" w:rsidRPr="005B1B75">
        <w:rPr>
          <w:lang w:val="es-ES_tradnl"/>
        </w:rPr>
        <w:tab/>
      </w:r>
      <w:r w:rsidRPr="005B1B75">
        <w:rPr>
          <w:lang w:val="es-ES_tradnl"/>
        </w:rPr>
        <w:t>Como argumenta el Estado parte, un desahucio por conclusión de un contrato de alquiler es un conflicto entre particulares</w:t>
      </w:r>
      <w:r w:rsidR="006761F9" w:rsidRPr="005B1B75">
        <w:rPr>
          <w:lang w:val="es-ES_tradnl"/>
        </w:rPr>
        <w:t xml:space="preserve"> </w:t>
      </w:r>
      <w:r w:rsidR="00763EEE" w:rsidRPr="005B1B75">
        <w:rPr>
          <w:lang w:val="es-ES_tradnl"/>
        </w:rPr>
        <w:t>—</w:t>
      </w:r>
      <w:r w:rsidR="006761F9" w:rsidRPr="005B1B75">
        <w:rPr>
          <w:lang w:val="es-ES_tradnl"/>
        </w:rPr>
        <w:t>arrendador y arrendatario</w:t>
      </w:r>
      <w:r w:rsidR="00763EEE" w:rsidRPr="005B1B75">
        <w:rPr>
          <w:lang w:val="es-ES_tradnl"/>
        </w:rPr>
        <w:t>—</w:t>
      </w:r>
      <w:r w:rsidRPr="005B1B75">
        <w:rPr>
          <w:lang w:val="es-ES_tradnl"/>
        </w:rPr>
        <w:t xml:space="preserve">, en el que el desalojo no es impulsado directamente por las autoridades. Sin embargo, </w:t>
      </w:r>
      <w:r w:rsidR="00B53C7A" w:rsidRPr="005B1B75">
        <w:rPr>
          <w:lang w:val="es-ES_tradnl"/>
        </w:rPr>
        <w:t>tal disputa entre</w:t>
      </w:r>
      <w:r w:rsidR="001266E0" w:rsidRPr="005B1B75">
        <w:rPr>
          <w:lang w:val="es-ES_tradnl"/>
        </w:rPr>
        <w:t xml:space="preserve"> particulares es regulada por el ordenamiento jurídico del Estado parte, </w:t>
      </w:r>
      <w:r w:rsidR="004C5E8F" w:rsidRPr="005B1B75">
        <w:rPr>
          <w:lang w:val="es-ES_tradnl"/>
        </w:rPr>
        <w:t>el cual</w:t>
      </w:r>
      <w:r w:rsidR="001266E0" w:rsidRPr="005B1B75">
        <w:rPr>
          <w:lang w:val="es-ES_tradnl"/>
        </w:rPr>
        <w:t xml:space="preserve">, en todos los casos, es </w:t>
      </w:r>
      <w:r w:rsidR="006761F9" w:rsidRPr="005B1B75">
        <w:rPr>
          <w:lang w:val="es-ES_tradnl"/>
        </w:rPr>
        <w:t xml:space="preserve">el último </w:t>
      </w:r>
      <w:r w:rsidR="001266E0" w:rsidRPr="005B1B75">
        <w:rPr>
          <w:lang w:val="es-ES_tradnl"/>
        </w:rPr>
        <w:t xml:space="preserve">responsable </w:t>
      </w:r>
      <w:r w:rsidR="004C5E8F" w:rsidRPr="005B1B75">
        <w:rPr>
          <w:lang w:val="es-ES_tradnl"/>
        </w:rPr>
        <w:t>de</w:t>
      </w:r>
      <w:r w:rsidR="001266E0" w:rsidRPr="005B1B75">
        <w:rPr>
          <w:lang w:val="es-ES_tradnl"/>
        </w:rPr>
        <w:t xml:space="preserve"> asegurar que los derechos </w:t>
      </w:r>
      <w:r w:rsidR="00062CD1" w:rsidRPr="005B1B75">
        <w:rPr>
          <w:lang w:val="es-ES_tradnl"/>
        </w:rPr>
        <w:t>d</w:t>
      </w:r>
      <w:r w:rsidR="001266E0" w:rsidRPr="005B1B75">
        <w:rPr>
          <w:lang w:val="es-ES_tradnl"/>
        </w:rPr>
        <w:t>el Pacto sean respetados</w:t>
      </w:r>
      <w:r w:rsidR="006761F9" w:rsidRPr="005B1B75">
        <w:rPr>
          <w:lang w:val="es-ES_tradnl"/>
        </w:rPr>
        <w:t>, entre ellos el derecho a la vivienda de los arrendatarios</w:t>
      </w:r>
      <w:r w:rsidR="001266E0" w:rsidRPr="005B1B75">
        <w:rPr>
          <w:lang w:val="es-ES_tradnl"/>
        </w:rPr>
        <w:t xml:space="preserve">. Por tanto, </w:t>
      </w:r>
      <w:r w:rsidR="00062CD1" w:rsidRPr="005B1B75">
        <w:rPr>
          <w:lang w:val="es-ES_tradnl"/>
        </w:rPr>
        <w:t xml:space="preserve">aunque </w:t>
      </w:r>
      <w:r w:rsidR="006761F9" w:rsidRPr="005B1B75">
        <w:rPr>
          <w:lang w:val="es-ES_tradnl"/>
        </w:rPr>
        <w:t>l</w:t>
      </w:r>
      <w:r w:rsidR="001266E0" w:rsidRPr="005B1B75">
        <w:rPr>
          <w:lang w:val="es-ES_tradnl"/>
        </w:rPr>
        <w:t xml:space="preserve">a disputa </w:t>
      </w:r>
      <w:r w:rsidR="00062CD1" w:rsidRPr="005B1B75">
        <w:rPr>
          <w:lang w:val="es-ES_tradnl"/>
        </w:rPr>
        <w:t xml:space="preserve">por </w:t>
      </w:r>
      <w:r w:rsidR="001266E0" w:rsidRPr="005B1B75">
        <w:rPr>
          <w:lang w:val="es-ES_tradnl"/>
        </w:rPr>
        <w:t>la extinción del contrato de arrendamiento sea entre dos particulares, el Estado</w:t>
      </w:r>
      <w:r w:rsidR="00B77852" w:rsidRPr="005B1B75">
        <w:rPr>
          <w:lang w:val="es-ES_tradnl"/>
        </w:rPr>
        <w:t xml:space="preserve"> parte</w:t>
      </w:r>
      <w:r w:rsidR="001266E0" w:rsidRPr="005B1B75">
        <w:rPr>
          <w:lang w:val="es-ES_tradnl"/>
        </w:rPr>
        <w:t xml:space="preserve"> tiene la obligación</w:t>
      </w:r>
      <w:r w:rsidR="004A28AC" w:rsidRPr="005B1B75">
        <w:rPr>
          <w:lang w:val="es-ES_tradnl"/>
        </w:rPr>
        <w:t xml:space="preserve">, entre otras cosas, </w:t>
      </w:r>
      <w:r w:rsidR="002E34A8" w:rsidRPr="005B1B75">
        <w:rPr>
          <w:lang w:val="es-ES_tradnl"/>
        </w:rPr>
        <w:t>de</w:t>
      </w:r>
      <w:r w:rsidR="001266E0" w:rsidRPr="005B1B75">
        <w:rPr>
          <w:lang w:val="es-ES_tradnl"/>
        </w:rPr>
        <w:t xml:space="preserve"> </w:t>
      </w:r>
      <w:r w:rsidR="00062CD1" w:rsidRPr="005B1B75">
        <w:rPr>
          <w:lang w:val="es-ES_tradnl"/>
        </w:rPr>
        <w:t xml:space="preserve">garantizar </w:t>
      </w:r>
      <w:r w:rsidR="001266E0" w:rsidRPr="005B1B75">
        <w:rPr>
          <w:lang w:val="es-ES_tradnl"/>
        </w:rPr>
        <w:t xml:space="preserve">que la medida de desalojo </w:t>
      </w:r>
      <w:r w:rsidR="006761F9" w:rsidRPr="005B1B75">
        <w:rPr>
          <w:lang w:val="es-ES_tradnl"/>
        </w:rPr>
        <w:t>del arrendatario</w:t>
      </w:r>
      <w:r w:rsidR="001266E0" w:rsidRPr="005B1B75">
        <w:rPr>
          <w:lang w:val="es-ES_tradnl"/>
        </w:rPr>
        <w:t xml:space="preserve"> no sea contraria al artículo 11</w:t>
      </w:r>
      <w:r w:rsidR="004A28AC" w:rsidRPr="005B1B75">
        <w:rPr>
          <w:lang w:val="es-ES_tradnl"/>
        </w:rPr>
        <w:t xml:space="preserve">, párr. </w:t>
      </w:r>
      <w:r w:rsidR="001266E0" w:rsidRPr="005B1B75">
        <w:rPr>
          <w:lang w:val="es-ES_tradnl"/>
        </w:rPr>
        <w:t>1</w:t>
      </w:r>
      <w:r w:rsidR="004A28AC" w:rsidRPr="005B1B75">
        <w:rPr>
          <w:lang w:val="es-ES_tradnl"/>
        </w:rPr>
        <w:t>,</w:t>
      </w:r>
      <w:r w:rsidR="001266E0" w:rsidRPr="005B1B75">
        <w:rPr>
          <w:lang w:val="es-ES_tradnl"/>
        </w:rPr>
        <w:t xml:space="preserve"> del Pacto (véa</w:t>
      </w:r>
      <w:r w:rsidR="004A28AC" w:rsidRPr="005B1B75">
        <w:rPr>
          <w:lang w:val="es-ES_tradnl"/>
        </w:rPr>
        <w:t>n</w:t>
      </w:r>
      <w:r w:rsidR="001266E0" w:rsidRPr="005B1B75">
        <w:rPr>
          <w:lang w:val="es-ES_tradnl"/>
        </w:rPr>
        <w:t xml:space="preserve">se </w:t>
      </w:r>
      <w:r w:rsidR="004A28AC" w:rsidRPr="005B1B75">
        <w:rPr>
          <w:lang w:val="es-ES_tradnl"/>
        </w:rPr>
        <w:t xml:space="preserve">los párrafos </w:t>
      </w:r>
      <w:r w:rsidR="001266E0" w:rsidRPr="005B1B75">
        <w:rPr>
          <w:lang w:val="es-ES_tradnl"/>
        </w:rPr>
        <w:t>15.1</w:t>
      </w:r>
      <w:r w:rsidR="004A28AC" w:rsidRPr="005B1B75">
        <w:rPr>
          <w:lang w:val="es-ES_tradnl"/>
        </w:rPr>
        <w:t xml:space="preserve"> y</w:t>
      </w:r>
      <w:r w:rsidR="001266E0" w:rsidRPr="005B1B75">
        <w:rPr>
          <w:lang w:val="es-ES_tradnl"/>
        </w:rPr>
        <w:t xml:space="preserve"> 15.2</w:t>
      </w:r>
      <w:r w:rsidR="004A28AC" w:rsidRPr="005B1B75">
        <w:rPr>
          <w:lang w:val="es-ES_tradnl"/>
        </w:rPr>
        <w:t xml:space="preserve"> </w:t>
      </w:r>
      <w:r w:rsidR="004A28AC" w:rsidRPr="009E41B4">
        <w:rPr>
          <w:i/>
          <w:lang w:val="es-ES_tradnl"/>
        </w:rPr>
        <w:t>infra</w:t>
      </w:r>
      <w:r w:rsidR="001266E0" w:rsidRPr="005B1B75">
        <w:rPr>
          <w:lang w:val="es-ES_tradnl"/>
        </w:rPr>
        <w:t>).</w:t>
      </w:r>
    </w:p>
    <w:p w14:paraId="7E7E3865" w14:textId="629AE868" w:rsidR="0095774A" w:rsidRPr="005B1B75" w:rsidRDefault="001041B2" w:rsidP="00D445DC">
      <w:pPr>
        <w:pStyle w:val="SingleTxtG"/>
        <w:rPr>
          <w:lang w:val="es-ES_tradnl"/>
        </w:rPr>
      </w:pPr>
      <w:r w:rsidRPr="005B1B75">
        <w:rPr>
          <w:lang w:val="es-ES_tradnl"/>
        </w:rPr>
        <w:t xml:space="preserve">14.2 </w:t>
      </w:r>
      <w:r w:rsidR="00E06D9E" w:rsidRPr="005B1B75">
        <w:rPr>
          <w:lang w:val="es-ES_tradnl"/>
        </w:rPr>
        <w:tab/>
      </w:r>
      <w:r w:rsidR="00062CD1" w:rsidRPr="005B1B75">
        <w:rPr>
          <w:lang w:val="es-ES_tradnl"/>
        </w:rPr>
        <w:t>L</w:t>
      </w:r>
      <w:r w:rsidRPr="005B1B75">
        <w:rPr>
          <w:lang w:val="es-ES_tradnl"/>
        </w:rPr>
        <w:t>os Estados partes no s</w:t>
      </w:r>
      <w:r w:rsidR="004A28AC" w:rsidRPr="005B1B75">
        <w:rPr>
          <w:lang w:val="es-ES_tradnl"/>
        </w:rPr>
        <w:t>o</w:t>
      </w:r>
      <w:r w:rsidRPr="005B1B75">
        <w:rPr>
          <w:lang w:val="es-ES_tradnl"/>
        </w:rPr>
        <w:t xml:space="preserve">lo tienen la obligación de respetar los derechos del Pacto, por lo cual deben abstenerse de infringirlos, sino que también </w:t>
      </w:r>
      <w:r w:rsidR="00B40049" w:rsidRPr="005B1B75">
        <w:rPr>
          <w:lang w:val="es-ES_tradnl"/>
        </w:rPr>
        <w:t xml:space="preserve">tienen </w:t>
      </w:r>
      <w:r w:rsidR="00B92472" w:rsidRPr="005B1B75">
        <w:rPr>
          <w:lang w:val="es-ES_tradnl"/>
        </w:rPr>
        <w:t>la obligación de protegerlos, adoptando medidas para evitar la injerencia directa o indirecta de particulares en el disfrute de estos derechos</w:t>
      </w:r>
      <w:r w:rsidRPr="009E41B4">
        <w:rPr>
          <w:sz w:val="18"/>
          <w:szCs w:val="18"/>
          <w:vertAlign w:val="superscript"/>
          <w:lang w:val="es-ES_tradnl"/>
        </w:rPr>
        <w:footnoteReference w:id="29"/>
      </w:r>
      <w:r w:rsidR="00130E90" w:rsidRPr="005B1B75">
        <w:rPr>
          <w:lang w:val="es-ES_tradnl"/>
        </w:rPr>
        <w:t>.</w:t>
      </w:r>
      <w:r w:rsidRPr="005B1B75">
        <w:rPr>
          <w:lang w:val="es-ES_tradnl"/>
        </w:rPr>
        <w:t xml:space="preserve"> Si un Estado parte no toma las medidas adecuadas de protección de un derecho del Pacto, compromete su responsabilidad incluso si la acción que dio origen a la afectación del derecho fue impulsada por un </w:t>
      </w:r>
      <w:r w:rsidR="00B92472" w:rsidRPr="005B1B75">
        <w:rPr>
          <w:lang w:val="es-ES_tradnl"/>
        </w:rPr>
        <w:t>individuo o una entidad privada</w:t>
      </w:r>
      <w:r w:rsidRPr="005B1B75">
        <w:rPr>
          <w:lang w:val="es-ES_tradnl"/>
        </w:rPr>
        <w:t xml:space="preserve">. </w:t>
      </w:r>
      <w:r w:rsidR="006746A8" w:rsidRPr="005B1B75">
        <w:rPr>
          <w:lang w:val="es-ES_tradnl"/>
        </w:rPr>
        <w:t>P</w:t>
      </w:r>
      <w:r w:rsidRPr="005B1B75">
        <w:rPr>
          <w:lang w:val="es-ES_tradnl"/>
        </w:rPr>
        <w:t>or ello, aunque el Pacto establece esencialmente derechos y obligaciones entre el Estado</w:t>
      </w:r>
      <w:r w:rsidR="0095774A" w:rsidRPr="005B1B75">
        <w:rPr>
          <w:lang w:val="es-ES_tradnl"/>
        </w:rPr>
        <w:t xml:space="preserve"> parte</w:t>
      </w:r>
      <w:r w:rsidRPr="005B1B75">
        <w:rPr>
          <w:lang w:val="es-ES_tradnl"/>
        </w:rPr>
        <w:t xml:space="preserve"> y los particulares, las disposiciones del Pacto </w:t>
      </w:r>
      <w:r w:rsidR="001266E0" w:rsidRPr="005B1B75">
        <w:rPr>
          <w:lang w:val="es-ES_tradnl"/>
        </w:rPr>
        <w:t>tienen</w:t>
      </w:r>
      <w:r w:rsidRPr="005B1B75">
        <w:rPr>
          <w:lang w:val="es-ES_tradnl"/>
        </w:rPr>
        <w:t xml:space="preserve"> una proyección en las propias relaciones entre los particulares. </w:t>
      </w:r>
      <w:r w:rsidR="00253012" w:rsidRPr="005B1B75">
        <w:rPr>
          <w:lang w:val="es-ES_tradnl"/>
        </w:rPr>
        <w:t xml:space="preserve">Un desahucio relacionado con un contrato de arrendamiento entre particulares puede entonces afectar los derechos del Pacto. No es pues </w:t>
      </w:r>
      <w:r w:rsidR="0095774A" w:rsidRPr="005B1B75">
        <w:rPr>
          <w:lang w:val="es-ES_tradnl"/>
        </w:rPr>
        <w:t xml:space="preserve">válido el argumento del Estado </w:t>
      </w:r>
      <w:r w:rsidR="00326CE0" w:rsidRPr="005B1B75">
        <w:rPr>
          <w:lang w:val="es-ES_tradnl"/>
        </w:rPr>
        <w:t>p</w:t>
      </w:r>
      <w:r w:rsidR="0095774A" w:rsidRPr="005B1B75">
        <w:rPr>
          <w:lang w:val="es-ES_tradnl"/>
        </w:rPr>
        <w:t xml:space="preserve">arte de que la presente comunicación plantea un conflicto </w:t>
      </w:r>
      <w:r w:rsidR="009A6700" w:rsidRPr="005B1B75">
        <w:rPr>
          <w:lang w:val="es-ES_tradnl"/>
        </w:rPr>
        <w:t xml:space="preserve">exclusivamente </w:t>
      </w:r>
      <w:r w:rsidR="0095774A" w:rsidRPr="005B1B75">
        <w:rPr>
          <w:lang w:val="es-ES_tradnl"/>
        </w:rPr>
        <w:t>entre particulares</w:t>
      </w:r>
      <w:r w:rsidR="00B92472" w:rsidRPr="005B1B75">
        <w:rPr>
          <w:lang w:val="es-ES_tradnl"/>
        </w:rPr>
        <w:t>,</w:t>
      </w:r>
      <w:r w:rsidR="0095774A" w:rsidRPr="005B1B75">
        <w:rPr>
          <w:lang w:val="es-ES_tradnl"/>
        </w:rPr>
        <w:t xml:space="preserve"> sin relevancia frente al Pacto</w:t>
      </w:r>
      <w:r w:rsidR="00B92472" w:rsidRPr="005B1B75">
        <w:rPr>
          <w:lang w:val="es-ES_tradnl"/>
        </w:rPr>
        <w:t>.</w:t>
      </w:r>
    </w:p>
    <w:p w14:paraId="68BA8263" w14:textId="6A440C5A" w:rsidR="00DE40AB" w:rsidRPr="0048522D" w:rsidRDefault="00D445DC" w:rsidP="00D445DC">
      <w:pPr>
        <w:pStyle w:val="H23G"/>
        <w:rPr>
          <w:lang w:val="es-ES_tradnl"/>
        </w:rPr>
      </w:pPr>
      <w:r w:rsidRPr="005B1B75">
        <w:rPr>
          <w:lang w:val="es-ES_tradnl"/>
        </w:rPr>
        <w:tab/>
      </w:r>
      <w:r w:rsidRPr="005B1B75">
        <w:rPr>
          <w:lang w:val="es-ES_tradnl"/>
        </w:rPr>
        <w:tab/>
      </w:r>
      <w:r w:rsidR="00DE40AB" w:rsidRPr="0048522D">
        <w:rPr>
          <w:lang w:val="es-ES_tradnl"/>
        </w:rPr>
        <w:t>El derecho</w:t>
      </w:r>
      <w:r w:rsidR="00BF1C26" w:rsidRPr="0048522D">
        <w:rPr>
          <w:lang w:val="es-ES_tradnl"/>
        </w:rPr>
        <w:t xml:space="preserve"> a la vivienda </w:t>
      </w:r>
      <w:r w:rsidR="004C522E" w:rsidRPr="0048522D">
        <w:rPr>
          <w:lang w:val="es-ES_tradnl"/>
        </w:rPr>
        <w:t xml:space="preserve">de las personas desalojadas </w:t>
      </w:r>
      <w:r w:rsidR="00BF1C26" w:rsidRPr="0048522D">
        <w:rPr>
          <w:lang w:val="es-ES_tradnl"/>
        </w:rPr>
        <w:t xml:space="preserve">y </w:t>
      </w:r>
      <w:r w:rsidR="001128C8" w:rsidRPr="0048522D">
        <w:rPr>
          <w:lang w:val="es-ES_tradnl"/>
        </w:rPr>
        <w:t xml:space="preserve">el acceso a </w:t>
      </w:r>
      <w:r w:rsidR="00BF1C26" w:rsidRPr="0048522D">
        <w:rPr>
          <w:lang w:val="es-ES_tradnl"/>
        </w:rPr>
        <w:t>vivienda pública</w:t>
      </w:r>
    </w:p>
    <w:p w14:paraId="5628F6EA" w14:textId="2A07DB25" w:rsidR="00204A3B" w:rsidRPr="005B1B75" w:rsidRDefault="00204A3B" w:rsidP="00D445DC">
      <w:pPr>
        <w:pStyle w:val="SingleTxtG"/>
        <w:rPr>
          <w:lang w:val="es-ES_tradnl"/>
        </w:rPr>
      </w:pPr>
      <w:r w:rsidRPr="005B1B75">
        <w:rPr>
          <w:lang w:val="es-ES_tradnl"/>
        </w:rPr>
        <w:t xml:space="preserve">15.1 </w:t>
      </w:r>
      <w:r w:rsidRPr="005B1B75">
        <w:rPr>
          <w:lang w:val="es-ES_tradnl"/>
        </w:rPr>
        <w:tab/>
        <w:t>En determinadas circunstancias, el desalojo de personas que viven en una vivienda en alquiler puede ser compatible con el Pacto siempre que la medida esté prevista por la ley</w:t>
      </w:r>
      <w:r w:rsidR="00F03971" w:rsidRPr="005B1B75">
        <w:rPr>
          <w:lang w:val="es-ES_tradnl"/>
        </w:rPr>
        <w:t>,</w:t>
      </w:r>
      <w:r w:rsidRPr="005B1B75">
        <w:rPr>
          <w:lang w:val="es-ES_tradnl"/>
        </w:rPr>
        <w:t xml:space="preserve"> se realice como último recurso</w:t>
      </w:r>
      <w:r w:rsidR="00F03971" w:rsidRPr="005B1B75">
        <w:rPr>
          <w:lang w:val="es-ES_tradnl"/>
        </w:rPr>
        <w:t>,</w:t>
      </w:r>
      <w:r w:rsidRPr="005B1B75">
        <w:rPr>
          <w:lang w:val="es-ES_tradnl"/>
        </w:rPr>
        <w:t xml:space="preserve"> y que la</w:t>
      </w:r>
      <w:r w:rsidR="00702B17" w:rsidRPr="005B1B75">
        <w:rPr>
          <w:lang w:val="es-ES_tradnl"/>
        </w:rPr>
        <w:t>s</w:t>
      </w:r>
      <w:r w:rsidRPr="005B1B75">
        <w:rPr>
          <w:lang w:val="es-ES_tradnl"/>
        </w:rPr>
        <w:t xml:space="preserve"> persona</w:t>
      </w:r>
      <w:r w:rsidR="00702B17" w:rsidRPr="005B1B75">
        <w:rPr>
          <w:lang w:val="es-ES_tradnl"/>
        </w:rPr>
        <w:t>s</w:t>
      </w:r>
      <w:r w:rsidRPr="005B1B75">
        <w:rPr>
          <w:lang w:val="es-ES_tradnl"/>
        </w:rPr>
        <w:t xml:space="preserve"> afectada</w:t>
      </w:r>
      <w:r w:rsidR="00702B17" w:rsidRPr="005B1B75">
        <w:rPr>
          <w:lang w:val="es-ES_tradnl"/>
        </w:rPr>
        <w:t>s</w:t>
      </w:r>
      <w:r w:rsidRPr="005B1B75">
        <w:rPr>
          <w:lang w:val="es-ES_tradnl"/>
        </w:rPr>
        <w:t xml:space="preserve"> tenga</w:t>
      </w:r>
      <w:r w:rsidR="00702B17" w:rsidRPr="005B1B75">
        <w:rPr>
          <w:lang w:val="es-ES_tradnl"/>
        </w:rPr>
        <w:t>n</w:t>
      </w:r>
      <w:r w:rsidRPr="005B1B75">
        <w:rPr>
          <w:lang w:val="es-ES_tradnl"/>
        </w:rPr>
        <w:t xml:space="preserve"> previamente acceso a un recurso judicial efectivo, en que se pueda determinar que la medida está debidamente justificada, por </w:t>
      </w:r>
      <w:proofErr w:type="gramStart"/>
      <w:r w:rsidRPr="005B1B75">
        <w:rPr>
          <w:lang w:val="es-ES_tradnl"/>
        </w:rPr>
        <w:t>ejemplo</w:t>
      </w:r>
      <w:proofErr w:type="gramEnd"/>
      <w:r w:rsidRPr="005B1B75">
        <w:rPr>
          <w:lang w:val="es-ES_tradnl"/>
        </w:rPr>
        <w:t xml:space="preserve"> en caso de impago persistente del alquiler o de daños a la propiedad alquilada sin causa justificada. Adicionalmente</w:t>
      </w:r>
      <w:r w:rsidR="00D80337" w:rsidRPr="005B1B75">
        <w:rPr>
          <w:lang w:val="es-ES_tradnl"/>
        </w:rPr>
        <w:t>,</w:t>
      </w:r>
      <w:r w:rsidR="008554C5" w:rsidRPr="005B1B75">
        <w:rPr>
          <w:lang w:val="es-ES_tradnl"/>
        </w:rPr>
        <w:t xml:space="preserve"> debe existir una auténtica oportunidad de consulta </w:t>
      </w:r>
      <w:r w:rsidR="00907EA2" w:rsidRPr="005B1B75">
        <w:rPr>
          <w:lang w:val="es-ES_tradnl"/>
        </w:rPr>
        <w:t>genuina y efectiva</w:t>
      </w:r>
      <w:r w:rsidR="00FC2072" w:rsidRPr="005B1B75">
        <w:rPr>
          <w:lang w:val="es-ES_tradnl"/>
        </w:rPr>
        <w:t xml:space="preserve"> </w:t>
      </w:r>
      <w:r w:rsidR="00213153" w:rsidRPr="005B1B75">
        <w:rPr>
          <w:lang w:val="es-ES_tradnl"/>
        </w:rPr>
        <w:t xml:space="preserve">previa </w:t>
      </w:r>
      <w:r w:rsidR="00E91CD3" w:rsidRPr="005B1B75">
        <w:rPr>
          <w:lang w:val="es-ES_tradnl"/>
        </w:rPr>
        <w:t>entre las autoridades y</w:t>
      </w:r>
      <w:r w:rsidR="008554C5" w:rsidRPr="005B1B75">
        <w:rPr>
          <w:lang w:val="es-ES_tradnl"/>
        </w:rPr>
        <w:t xml:space="preserve"> </w:t>
      </w:r>
      <w:r w:rsidR="00213153" w:rsidRPr="005B1B75">
        <w:rPr>
          <w:lang w:val="es-ES_tradnl"/>
        </w:rPr>
        <w:t>las personas afectad</w:t>
      </w:r>
      <w:r w:rsidR="00E91CD3" w:rsidRPr="005B1B75">
        <w:rPr>
          <w:lang w:val="es-ES_tradnl"/>
        </w:rPr>
        <w:t>a</w:t>
      </w:r>
      <w:r w:rsidR="00213153" w:rsidRPr="005B1B75">
        <w:rPr>
          <w:lang w:val="es-ES_tradnl"/>
        </w:rPr>
        <w:t>s,</w:t>
      </w:r>
      <w:r w:rsidRPr="005B1B75">
        <w:rPr>
          <w:lang w:val="es-ES_tradnl"/>
        </w:rPr>
        <w:t xml:space="preserve"> no existir medios alternativos o medidas menos gravosas</w:t>
      </w:r>
      <w:r w:rsidR="00D80337" w:rsidRPr="005B1B75">
        <w:rPr>
          <w:lang w:val="es-ES_tradnl"/>
        </w:rPr>
        <w:t>,</w:t>
      </w:r>
      <w:r w:rsidRPr="005B1B75">
        <w:rPr>
          <w:lang w:val="es-ES_tradnl"/>
        </w:rPr>
        <w:t xml:space="preserve"> y la</w:t>
      </w:r>
      <w:r w:rsidR="00E91CD3" w:rsidRPr="005B1B75">
        <w:rPr>
          <w:lang w:val="es-ES_tradnl"/>
        </w:rPr>
        <w:t>s</w:t>
      </w:r>
      <w:r w:rsidRPr="005B1B75">
        <w:rPr>
          <w:lang w:val="es-ES_tradnl"/>
        </w:rPr>
        <w:t xml:space="preserve"> persona</w:t>
      </w:r>
      <w:r w:rsidR="00E91CD3" w:rsidRPr="005B1B75">
        <w:rPr>
          <w:lang w:val="es-ES_tradnl"/>
        </w:rPr>
        <w:t>s</w:t>
      </w:r>
      <w:r w:rsidR="008554C5" w:rsidRPr="005B1B75">
        <w:rPr>
          <w:lang w:val="es-ES_tradnl"/>
        </w:rPr>
        <w:t xml:space="preserve"> </w:t>
      </w:r>
      <w:r w:rsidRPr="005B1B75">
        <w:rPr>
          <w:lang w:val="es-ES_tradnl"/>
        </w:rPr>
        <w:t>afectad</w:t>
      </w:r>
      <w:r w:rsidR="00E91CD3" w:rsidRPr="005B1B75">
        <w:rPr>
          <w:lang w:val="es-ES_tradnl"/>
        </w:rPr>
        <w:t>as</w:t>
      </w:r>
      <w:r w:rsidRPr="005B1B75">
        <w:rPr>
          <w:lang w:val="es-ES_tradnl"/>
        </w:rPr>
        <w:t xml:space="preserve"> por la medida no </w:t>
      </w:r>
      <w:r w:rsidR="00FF4C3E" w:rsidRPr="005B1B75">
        <w:rPr>
          <w:lang w:val="es-ES_tradnl"/>
        </w:rPr>
        <w:t>debe</w:t>
      </w:r>
      <w:r w:rsidR="00E91CD3" w:rsidRPr="005B1B75">
        <w:rPr>
          <w:lang w:val="es-ES_tradnl"/>
        </w:rPr>
        <w:t>n</w:t>
      </w:r>
      <w:r w:rsidR="00FF4C3E" w:rsidRPr="005B1B75">
        <w:rPr>
          <w:lang w:val="es-ES_tradnl"/>
        </w:rPr>
        <w:t xml:space="preserve"> </w:t>
      </w:r>
      <w:r w:rsidRPr="005B1B75">
        <w:rPr>
          <w:lang w:val="es-ES_tradnl"/>
        </w:rPr>
        <w:t>qued</w:t>
      </w:r>
      <w:r w:rsidR="00FF4C3E" w:rsidRPr="005B1B75">
        <w:rPr>
          <w:lang w:val="es-ES_tradnl"/>
        </w:rPr>
        <w:t>ar</w:t>
      </w:r>
      <w:r w:rsidRPr="005B1B75">
        <w:rPr>
          <w:lang w:val="es-ES_tradnl"/>
        </w:rPr>
        <w:t xml:space="preserve"> en una situación que constituya una violación de otros derechos del Pacto o de otros derechos humanos</w:t>
      </w:r>
      <w:r w:rsidR="00326CE0" w:rsidRPr="005B1B75">
        <w:rPr>
          <w:lang w:val="es-ES_tradnl"/>
        </w:rPr>
        <w:t xml:space="preserve"> o </w:t>
      </w:r>
      <w:proofErr w:type="gramStart"/>
      <w:r w:rsidR="00326CE0" w:rsidRPr="005B1B75">
        <w:rPr>
          <w:lang w:val="es-ES_tradnl"/>
        </w:rPr>
        <w:t>les</w:t>
      </w:r>
      <w:proofErr w:type="gramEnd"/>
      <w:r w:rsidR="00326CE0" w:rsidRPr="005B1B75">
        <w:rPr>
          <w:lang w:val="es-ES_tradnl"/>
        </w:rPr>
        <w:t xml:space="preserve"> exponga a ella</w:t>
      </w:r>
      <w:r w:rsidRPr="005B1B75">
        <w:rPr>
          <w:lang w:val="es-ES_tradnl"/>
        </w:rPr>
        <w:t xml:space="preserve">.  </w:t>
      </w:r>
    </w:p>
    <w:p w14:paraId="7C955EDF" w14:textId="5DB87A16" w:rsidR="004C522E" w:rsidRPr="0048522D" w:rsidRDefault="004C522E" w:rsidP="00D445DC">
      <w:pPr>
        <w:pStyle w:val="SingleTxtG"/>
        <w:rPr>
          <w:lang w:val="es-ES_tradnl"/>
        </w:rPr>
      </w:pPr>
      <w:r w:rsidRPr="005B1B75">
        <w:rPr>
          <w:lang w:val="es-ES_tradnl"/>
        </w:rPr>
        <w:t>1</w:t>
      </w:r>
      <w:r w:rsidR="00C543DF" w:rsidRPr="005B1B75">
        <w:rPr>
          <w:lang w:val="es-ES_tradnl"/>
        </w:rPr>
        <w:t>5</w:t>
      </w:r>
      <w:r w:rsidRPr="005B1B75">
        <w:rPr>
          <w:lang w:val="es-ES_tradnl"/>
        </w:rPr>
        <w:t>.</w:t>
      </w:r>
      <w:r w:rsidR="00204A3B" w:rsidRPr="005B1B75">
        <w:rPr>
          <w:lang w:val="es-ES_tradnl"/>
        </w:rPr>
        <w:t>2</w:t>
      </w:r>
      <w:r w:rsidRPr="005B1B75">
        <w:rPr>
          <w:lang w:val="es-ES_tradnl"/>
        </w:rPr>
        <w:t xml:space="preserve"> </w:t>
      </w:r>
      <w:r w:rsidRPr="005B1B75">
        <w:rPr>
          <w:lang w:val="es-ES_tradnl"/>
        </w:rPr>
        <w:tab/>
      </w:r>
      <w:r w:rsidR="00204A3B" w:rsidRPr="005B1B75">
        <w:rPr>
          <w:lang w:val="es-ES_tradnl"/>
        </w:rPr>
        <w:t xml:space="preserve">En particular, </w:t>
      </w:r>
      <w:r w:rsidRPr="005B1B75">
        <w:rPr>
          <w:lang w:val="es-ES_tradnl"/>
        </w:rPr>
        <w:t xml:space="preserve">los desalojos no deberían dar lugar a que </w:t>
      </w:r>
      <w:r w:rsidR="00204A3B" w:rsidRPr="005B1B75">
        <w:rPr>
          <w:lang w:val="es-ES_tradnl"/>
        </w:rPr>
        <w:t xml:space="preserve">los afectados </w:t>
      </w:r>
      <w:r w:rsidRPr="005B1B75">
        <w:rPr>
          <w:lang w:val="es-ES_tradnl"/>
        </w:rPr>
        <w:t>queden sin vivienda</w:t>
      </w:r>
      <w:r w:rsidR="008E1B35" w:rsidRPr="005B1B75">
        <w:rPr>
          <w:lang w:val="es-ES_tradnl"/>
        </w:rPr>
        <w:t>. Por tanto,</w:t>
      </w:r>
      <w:r w:rsidR="00204A3B" w:rsidRPr="005B1B75">
        <w:rPr>
          <w:lang w:val="es-ES_tradnl"/>
        </w:rPr>
        <w:t xml:space="preserve"> si</w:t>
      </w:r>
      <w:r w:rsidRPr="005B1B75">
        <w:rPr>
          <w:lang w:val="es-ES_tradnl"/>
        </w:rPr>
        <w:t xml:space="preserve"> no dispon</w:t>
      </w:r>
      <w:r w:rsidR="00204A3B" w:rsidRPr="005B1B75">
        <w:rPr>
          <w:lang w:val="es-ES_tradnl"/>
        </w:rPr>
        <w:t>en</w:t>
      </w:r>
      <w:r w:rsidRPr="005B1B75">
        <w:rPr>
          <w:lang w:val="es-ES_tradnl"/>
        </w:rPr>
        <w:t xml:space="preserve"> de recursos</w:t>
      </w:r>
      <w:r w:rsidR="00204A3B" w:rsidRPr="005B1B75">
        <w:rPr>
          <w:lang w:val="es-ES_tradnl"/>
        </w:rPr>
        <w:t xml:space="preserve"> para una vivienda alterna</w:t>
      </w:r>
      <w:r w:rsidR="00CC0E67" w:rsidRPr="005B1B75">
        <w:rPr>
          <w:lang w:val="es-ES_tradnl"/>
        </w:rPr>
        <w:t>tiva</w:t>
      </w:r>
      <w:r w:rsidRPr="005B1B75">
        <w:rPr>
          <w:lang w:val="es-ES_tradnl"/>
        </w:rPr>
        <w:t xml:space="preserve">, los Estados partes deberán adoptar todas las medidas necesarias para que </w:t>
      </w:r>
      <w:r w:rsidR="00204A3B" w:rsidRPr="005B1B75">
        <w:rPr>
          <w:lang w:val="es-ES_tradnl"/>
        </w:rPr>
        <w:t xml:space="preserve">en lo posible </w:t>
      </w:r>
      <w:r w:rsidRPr="005B1B75">
        <w:rPr>
          <w:lang w:val="es-ES_tradnl"/>
        </w:rPr>
        <w:t xml:space="preserve">se </w:t>
      </w:r>
      <w:r w:rsidR="00204A3B" w:rsidRPr="005B1B75">
        <w:rPr>
          <w:lang w:val="es-ES_tradnl"/>
        </w:rPr>
        <w:t xml:space="preserve">les </w:t>
      </w:r>
      <w:r w:rsidRPr="005B1B75">
        <w:rPr>
          <w:lang w:val="es-ES_tradnl"/>
        </w:rPr>
        <w:t>proporcione otra vivienda, reasentamiento o acceso a tierras productivas, según proceda</w:t>
      </w:r>
      <w:r w:rsidRPr="009E41B4">
        <w:rPr>
          <w:sz w:val="18"/>
          <w:szCs w:val="18"/>
          <w:vertAlign w:val="superscript"/>
          <w:lang w:val="es-ES_tradnl"/>
        </w:rPr>
        <w:footnoteReference w:id="30"/>
      </w:r>
      <w:r w:rsidR="00814C09" w:rsidRPr="005B1B75">
        <w:rPr>
          <w:lang w:val="es-ES_tradnl"/>
        </w:rPr>
        <w:t>.</w:t>
      </w:r>
      <w:r w:rsidRPr="005B1B75">
        <w:rPr>
          <w:lang w:val="es-ES_tradnl"/>
        </w:rPr>
        <w:t xml:space="preserve"> </w:t>
      </w:r>
      <w:r w:rsidRPr="0048522D">
        <w:rPr>
          <w:lang w:val="es-ES_tradnl"/>
        </w:rPr>
        <w:t xml:space="preserve">Los Estados partes deben prestar especial atención </w:t>
      </w:r>
      <w:r w:rsidR="00814C09" w:rsidRPr="0048522D">
        <w:rPr>
          <w:lang w:val="es-ES_tradnl"/>
        </w:rPr>
        <w:t>a</w:t>
      </w:r>
      <w:r w:rsidRPr="0048522D">
        <w:rPr>
          <w:lang w:val="es-ES_tradnl"/>
        </w:rPr>
        <w:t xml:space="preserve"> los casos </w:t>
      </w:r>
      <w:r w:rsidR="00814C09" w:rsidRPr="0048522D">
        <w:rPr>
          <w:lang w:val="es-ES_tradnl"/>
        </w:rPr>
        <w:t xml:space="preserve">en </w:t>
      </w:r>
      <w:r w:rsidRPr="0048522D">
        <w:rPr>
          <w:lang w:val="es-ES_tradnl"/>
        </w:rPr>
        <w:t>que los desalojos afecten a mujeres</w:t>
      </w:r>
      <w:r w:rsidR="00213153" w:rsidRPr="0048522D">
        <w:rPr>
          <w:lang w:val="es-ES_tradnl"/>
        </w:rPr>
        <w:t>,</w:t>
      </w:r>
      <w:r w:rsidRPr="0048522D">
        <w:rPr>
          <w:lang w:val="es-ES_tradnl"/>
        </w:rPr>
        <w:t xml:space="preserve"> niños,</w:t>
      </w:r>
      <w:r w:rsidR="00213153" w:rsidRPr="0048522D">
        <w:rPr>
          <w:lang w:val="es-ES_tradnl"/>
        </w:rPr>
        <w:t xml:space="preserve"> </w:t>
      </w:r>
      <w:r w:rsidR="00647049" w:rsidRPr="0048522D">
        <w:rPr>
          <w:lang w:val="es-ES_tradnl"/>
        </w:rPr>
        <w:t xml:space="preserve">personas </w:t>
      </w:r>
      <w:r w:rsidR="00EA37C1" w:rsidRPr="0048522D">
        <w:rPr>
          <w:lang w:val="es-ES_tradnl"/>
        </w:rPr>
        <w:t>mayores</w:t>
      </w:r>
      <w:r w:rsidR="00647049" w:rsidRPr="0048522D">
        <w:rPr>
          <w:lang w:val="es-ES_tradnl"/>
        </w:rPr>
        <w:t>, personas con discapacidad</w:t>
      </w:r>
      <w:r w:rsidR="00D50856" w:rsidRPr="0048522D">
        <w:rPr>
          <w:lang w:val="es-ES_tradnl"/>
        </w:rPr>
        <w:t>,</w:t>
      </w:r>
      <w:r w:rsidRPr="0048522D">
        <w:rPr>
          <w:lang w:val="es-ES_tradnl"/>
        </w:rPr>
        <w:t xml:space="preserve"> así como </w:t>
      </w:r>
      <w:r w:rsidR="00D50856" w:rsidRPr="0048522D">
        <w:rPr>
          <w:lang w:val="es-ES_tradnl"/>
        </w:rPr>
        <w:t xml:space="preserve">a </w:t>
      </w:r>
      <w:r w:rsidRPr="0048522D">
        <w:rPr>
          <w:lang w:val="es-ES_tradnl"/>
        </w:rPr>
        <w:t xml:space="preserve">otros individuos o grupos </w:t>
      </w:r>
      <w:r w:rsidR="00213153" w:rsidRPr="0048522D">
        <w:rPr>
          <w:lang w:val="es-ES_tradnl"/>
        </w:rPr>
        <w:t>que sufran discriminación sistémica o estén en una</w:t>
      </w:r>
      <w:r w:rsidR="00204A3B" w:rsidRPr="0048522D">
        <w:rPr>
          <w:lang w:val="es-ES_tradnl"/>
        </w:rPr>
        <w:t xml:space="preserve"> situación de vulnerabilidad</w:t>
      </w:r>
      <w:r w:rsidRPr="0048522D">
        <w:rPr>
          <w:lang w:val="es-ES_tradnl"/>
        </w:rPr>
        <w:t>.</w:t>
      </w:r>
      <w:r w:rsidR="002F2C6B" w:rsidRPr="0048522D">
        <w:rPr>
          <w:lang w:val="es-ES_tradnl"/>
        </w:rPr>
        <w:t xml:space="preserve"> El Estado parte </w:t>
      </w:r>
      <w:r w:rsidR="004C5E8F" w:rsidRPr="0048522D">
        <w:rPr>
          <w:lang w:val="es-ES_tradnl"/>
        </w:rPr>
        <w:t xml:space="preserve">tiene el deber </w:t>
      </w:r>
      <w:r w:rsidR="002F2C6B" w:rsidRPr="0048522D">
        <w:rPr>
          <w:lang w:val="es-ES_tradnl"/>
        </w:rPr>
        <w:t>de adoptar medidas razonables para proveer vivienda alterna</w:t>
      </w:r>
      <w:r w:rsidR="00CC0E67" w:rsidRPr="0048522D">
        <w:rPr>
          <w:lang w:val="es-ES_tradnl"/>
        </w:rPr>
        <w:t>tiva</w:t>
      </w:r>
      <w:r w:rsidR="002F2C6B" w:rsidRPr="0048522D">
        <w:rPr>
          <w:lang w:val="es-ES_tradnl"/>
        </w:rPr>
        <w:t xml:space="preserve"> </w:t>
      </w:r>
      <w:r w:rsidR="006246F9" w:rsidRPr="0048522D">
        <w:rPr>
          <w:lang w:val="es-ES_tradnl"/>
        </w:rPr>
        <w:t xml:space="preserve">a </w:t>
      </w:r>
      <w:r w:rsidR="002F2C6B" w:rsidRPr="0048522D">
        <w:rPr>
          <w:lang w:val="es-ES_tradnl"/>
        </w:rPr>
        <w:t xml:space="preserve">las personas </w:t>
      </w:r>
      <w:r w:rsidR="006246F9" w:rsidRPr="0048522D">
        <w:rPr>
          <w:lang w:val="es-ES_tradnl"/>
        </w:rPr>
        <w:t xml:space="preserve">que puedan quedar sin techo como consecuencia de un desalojo, independientemente </w:t>
      </w:r>
      <w:r w:rsidR="008E1B35" w:rsidRPr="0048522D">
        <w:rPr>
          <w:lang w:val="es-ES_tradnl"/>
        </w:rPr>
        <w:t xml:space="preserve">de </w:t>
      </w:r>
      <w:r w:rsidR="006246F9" w:rsidRPr="0048522D">
        <w:rPr>
          <w:lang w:val="es-ES_tradnl"/>
        </w:rPr>
        <w:t xml:space="preserve">si tal desalojo ocurre a instancia de las autoridades del Estado parte o de </w:t>
      </w:r>
      <w:r w:rsidR="00647049" w:rsidRPr="0048522D">
        <w:rPr>
          <w:lang w:val="es-ES_tradnl"/>
        </w:rPr>
        <w:t>particulares</w:t>
      </w:r>
      <w:r w:rsidR="006246F9" w:rsidRPr="0048522D">
        <w:rPr>
          <w:lang w:val="es-ES_tradnl"/>
        </w:rPr>
        <w:t>, como el arrendador.</w:t>
      </w:r>
      <w:r w:rsidR="002F2C6B" w:rsidRPr="0048522D">
        <w:rPr>
          <w:lang w:val="es-ES_tradnl"/>
        </w:rPr>
        <w:t xml:space="preserve"> </w:t>
      </w:r>
    </w:p>
    <w:p w14:paraId="1997901C" w14:textId="5684315B" w:rsidR="00EA37C1" w:rsidRPr="005B1B75" w:rsidRDefault="00B207FC" w:rsidP="00D445DC">
      <w:pPr>
        <w:pStyle w:val="SingleTxtG"/>
        <w:rPr>
          <w:lang w:val="es-ES_tradnl"/>
        </w:rPr>
      </w:pPr>
      <w:r w:rsidRPr="0048522D">
        <w:rPr>
          <w:lang w:val="es-ES_tradnl"/>
        </w:rPr>
        <w:lastRenderedPageBreak/>
        <w:t>1</w:t>
      </w:r>
      <w:r w:rsidR="00C543DF" w:rsidRPr="0048522D">
        <w:rPr>
          <w:lang w:val="es-ES_tradnl"/>
        </w:rPr>
        <w:t>5</w:t>
      </w:r>
      <w:r w:rsidRPr="0048522D">
        <w:rPr>
          <w:lang w:val="es-ES_tradnl"/>
        </w:rPr>
        <w:t>.</w:t>
      </w:r>
      <w:r w:rsidR="00204A3B" w:rsidRPr="0048522D">
        <w:rPr>
          <w:lang w:val="es-ES_tradnl"/>
        </w:rPr>
        <w:t>3</w:t>
      </w:r>
      <w:r w:rsidRPr="0048522D">
        <w:rPr>
          <w:lang w:val="es-ES_tradnl"/>
        </w:rPr>
        <w:t xml:space="preserve"> </w:t>
      </w:r>
      <w:r w:rsidRPr="0048522D">
        <w:rPr>
          <w:lang w:val="es-ES_tradnl"/>
        </w:rPr>
        <w:tab/>
      </w:r>
      <w:r w:rsidR="00204A3B" w:rsidRPr="0048522D">
        <w:rPr>
          <w:lang w:val="es-ES_tradnl"/>
        </w:rPr>
        <w:t>La obligación de proveer una vivienda alterna</w:t>
      </w:r>
      <w:r w:rsidR="00CC0E67" w:rsidRPr="0048522D">
        <w:rPr>
          <w:lang w:val="es-ES_tradnl"/>
        </w:rPr>
        <w:t>tiva</w:t>
      </w:r>
      <w:r w:rsidR="00204A3B" w:rsidRPr="0048522D">
        <w:rPr>
          <w:lang w:val="es-ES_tradnl"/>
        </w:rPr>
        <w:t xml:space="preserve"> a los desaloja</w:t>
      </w:r>
      <w:r w:rsidR="00D80337" w:rsidRPr="0048522D">
        <w:rPr>
          <w:lang w:val="es-ES_tradnl"/>
        </w:rPr>
        <w:t>d</w:t>
      </w:r>
      <w:r w:rsidR="00204A3B" w:rsidRPr="0048522D">
        <w:rPr>
          <w:lang w:val="es-ES_tradnl"/>
        </w:rPr>
        <w:t xml:space="preserve">os que la requieran implica que, conforme </w:t>
      </w:r>
      <w:r w:rsidR="00204A3B" w:rsidRPr="005B1B75">
        <w:rPr>
          <w:lang w:val="es-ES_tradnl"/>
        </w:rPr>
        <w:t>a</w:t>
      </w:r>
      <w:r w:rsidR="00BF1C26" w:rsidRPr="005B1B75">
        <w:rPr>
          <w:lang w:val="es-ES_tradnl"/>
        </w:rPr>
        <w:t>l artículo 2</w:t>
      </w:r>
      <w:r w:rsidR="007132B4" w:rsidRPr="005B1B75">
        <w:rPr>
          <w:lang w:val="es-ES_tradnl"/>
        </w:rPr>
        <w:t xml:space="preserve">, párr. </w:t>
      </w:r>
      <w:r w:rsidR="00BF1C26" w:rsidRPr="005B1B75">
        <w:rPr>
          <w:lang w:val="es-ES_tradnl"/>
        </w:rPr>
        <w:t>1</w:t>
      </w:r>
      <w:r w:rsidR="007132B4" w:rsidRPr="005B1B75">
        <w:rPr>
          <w:lang w:val="es-ES_tradnl"/>
        </w:rPr>
        <w:t>,</w:t>
      </w:r>
      <w:r w:rsidR="00BF1C26" w:rsidRPr="005B1B75">
        <w:rPr>
          <w:lang w:val="es-ES_tradnl"/>
        </w:rPr>
        <w:t xml:space="preserve"> del Pacto</w:t>
      </w:r>
      <w:r w:rsidR="00204A3B" w:rsidRPr="005B1B75">
        <w:rPr>
          <w:lang w:val="es-ES_tradnl"/>
        </w:rPr>
        <w:t xml:space="preserve">, </w:t>
      </w:r>
      <w:r w:rsidR="00D80337" w:rsidRPr="005B1B75">
        <w:rPr>
          <w:lang w:val="es-ES_tradnl"/>
        </w:rPr>
        <w:t xml:space="preserve">los Estados partes </w:t>
      </w:r>
      <w:r w:rsidR="00204A3B" w:rsidRPr="005B1B75">
        <w:rPr>
          <w:lang w:val="es-ES_tradnl"/>
        </w:rPr>
        <w:t>tom</w:t>
      </w:r>
      <w:r w:rsidR="00D80337" w:rsidRPr="005B1B75">
        <w:rPr>
          <w:lang w:val="es-ES_tradnl"/>
        </w:rPr>
        <w:t>en</w:t>
      </w:r>
      <w:r w:rsidR="00204A3B" w:rsidRPr="005B1B75">
        <w:rPr>
          <w:lang w:val="es-ES_tradnl"/>
        </w:rPr>
        <w:t xml:space="preserve"> todas las</w:t>
      </w:r>
      <w:r w:rsidR="00BF1C26" w:rsidRPr="0048522D">
        <w:rPr>
          <w:lang w:val="es-ES_tradnl"/>
        </w:rPr>
        <w:t xml:space="preserve"> medidas</w:t>
      </w:r>
      <w:r w:rsidR="00204A3B" w:rsidRPr="0048522D">
        <w:rPr>
          <w:lang w:val="es-ES_tradnl"/>
        </w:rPr>
        <w:t xml:space="preserve"> necesarias</w:t>
      </w:r>
      <w:r w:rsidR="00BF1C26" w:rsidRPr="0048522D">
        <w:rPr>
          <w:lang w:val="es-ES_tradnl"/>
        </w:rPr>
        <w:t xml:space="preserve">, hasta el máximo de </w:t>
      </w:r>
      <w:r w:rsidR="00204A3B" w:rsidRPr="0048522D">
        <w:rPr>
          <w:lang w:val="es-ES_tradnl"/>
        </w:rPr>
        <w:t xml:space="preserve">sus </w:t>
      </w:r>
      <w:r w:rsidR="00BF1C26" w:rsidRPr="0048522D">
        <w:rPr>
          <w:lang w:val="es-ES_tradnl"/>
        </w:rPr>
        <w:t xml:space="preserve">recursos </w:t>
      </w:r>
      <w:r w:rsidR="00204A3B" w:rsidRPr="0048522D">
        <w:rPr>
          <w:lang w:val="es-ES_tradnl"/>
        </w:rPr>
        <w:t>disponibles</w:t>
      </w:r>
      <w:r w:rsidR="00D80337" w:rsidRPr="0048522D">
        <w:rPr>
          <w:lang w:val="es-ES_tradnl"/>
        </w:rPr>
        <w:t>,</w:t>
      </w:r>
      <w:r w:rsidR="00204A3B" w:rsidRPr="0048522D">
        <w:rPr>
          <w:lang w:val="es-ES_tradnl"/>
        </w:rPr>
        <w:t xml:space="preserve"> para satisfacer este derecho.</w:t>
      </w:r>
      <w:r w:rsidR="00BF1C26" w:rsidRPr="0048522D">
        <w:rPr>
          <w:lang w:val="es-ES_tradnl"/>
        </w:rPr>
        <w:t xml:space="preserve"> </w:t>
      </w:r>
      <w:r w:rsidR="00204A3B" w:rsidRPr="0048522D">
        <w:rPr>
          <w:lang w:val="es-ES_tradnl"/>
        </w:rPr>
        <w:t xml:space="preserve">Los Estados </w:t>
      </w:r>
      <w:r w:rsidR="008E1B35" w:rsidRPr="0048522D">
        <w:rPr>
          <w:lang w:val="es-ES_tradnl"/>
        </w:rPr>
        <w:t xml:space="preserve">partes </w:t>
      </w:r>
      <w:r w:rsidR="00204A3B" w:rsidRPr="0048522D">
        <w:rPr>
          <w:lang w:val="es-ES_tradnl"/>
        </w:rPr>
        <w:t xml:space="preserve">pueden optar por políticas muy diversas para lograr ese propósito, </w:t>
      </w:r>
      <w:r w:rsidR="004D70A0" w:rsidRPr="005B1B75">
        <w:rPr>
          <w:lang w:val="es-ES_tradnl"/>
        </w:rPr>
        <w:t>inclu</w:t>
      </w:r>
      <w:r w:rsidR="007132B4" w:rsidRPr="005B1B75">
        <w:rPr>
          <w:lang w:val="es-ES_tradnl"/>
        </w:rPr>
        <w:t xml:space="preserve">yendo </w:t>
      </w:r>
      <w:r w:rsidR="004D70A0" w:rsidRPr="005B1B75">
        <w:rPr>
          <w:lang w:val="es-ES_tradnl"/>
        </w:rPr>
        <w:t xml:space="preserve">la creación de subsidios de vivienda para </w:t>
      </w:r>
      <w:r w:rsidR="007132B4" w:rsidRPr="005B1B75">
        <w:rPr>
          <w:lang w:val="es-ES_tradnl"/>
        </w:rPr>
        <w:t xml:space="preserve">quienes </w:t>
      </w:r>
      <w:r w:rsidR="004D70A0" w:rsidRPr="005B1B75">
        <w:rPr>
          <w:lang w:val="es-ES_tradnl"/>
        </w:rPr>
        <w:t>no pueden costearse una</w:t>
      </w:r>
      <w:r w:rsidR="004D70A0" w:rsidRPr="009E41B4">
        <w:rPr>
          <w:sz w:val="18"/>
          <w:szCs w:val="18"/>
          <w:vertAlign w:val="superscript"/>
          <w:lang w:val="es-ES_tradnl"/>
        </w:rPr>
        <w:footnoteReference w:id="31"/>
      </w:r>
      <w:r w:rsidR="007132B4" w:rsidRPr="005B1B75">
        <w:rPr>
          <w:lang w:val="es-ES_tradnl"/>
        </w:rPr>
        <w:t>.</w:t>
      </w:r>
      <w:r w:rsidR="004D70A0" w:rsidRPr="005B1B75">
        <w:rPr>
          <w:lang w:val="es-ES_tradnl"/>
        </w:rPr>
        <w:t xml:space="preserve"> </w:t>
      </w:r>
      <w:r w:rsidR="000E1CC0" w:rsidRPr="005B1B75">
        <w:rPr>
          <w:lang w:val="es-ES_tradnl"/>
        </w:rPr>
        <w:t>Sin embargo, c</w:t>
      </w:r>
      <w:r w:rsidR="004D70A0" w:rsidRPr="005B1B75">
        <w:rPr>
          <w:lang w:val="es-ES_tradnl"/>
        </w:rPr>
        <w:t>ualquier</w:t>
      </w:r>
      <w:r w:rsidR="00BF1C26" w:rsidRPr="005B1B75">
        <w:rPr>
          <w:lang w:val="es-ES_tradnl"/>
        </w:rPr>
        <w:t xml:space="preserve"> medida</w:t>
      </w:r>
      <w:r w:rsidR="004D70A0" w:rsidRPr="005B1B75">
        <w:rPr>
          <w:lang w:val="es-ES_tradnl"/>
        </w:rPr>
        <w:t xml:space="preserve"> adoptada</w:t>
      </w:r>
      <w:r w:rsidR="00BF1C26" w:rsidRPr="005B1B75">
        <w:rPr>
          <w:lang w:val="es-ES_tradnl"/>
        </w:rPr>
        <w:t xml:space="preserve"> debe ser deliberada, concreta y orientada lo más claramente posible hacia </w:t>
      </w:r>
      <w:r w:rsidR="004D70A0" w:rsidRPr="005B1B75">
        <w:rPr>
          <w:lang w:val="es-ES_tradnl"/>
        </w:rPr>
        <w:t>el cumplimiento de este derecho</w:t>
      </w:r>
      <w:r w:rsidR="00BF1C26" w:rsidRPr="009E41B4">
        <w:rPr>
          <w:sz w:val="18"/>
          <w:szCs w:val="18"/>
          <w:vertAlign w:val="superscript"/>
          <w:lang w:val="es-ES_tradnl"/>
        </w:rPr>
        <w:footnoteReference w:id="32"/>
      </w:r>
      <w:r w:rsidR="007132B4" w:rsidRPr="005B1B75">
        <w:rPr>
          <w:lang w:val="es-ES_tradnl"/>
        </w:rPr>
        <w:t>,</w:t>
      </w:r>
      <w:r w:rsidR="00BF1C26" w:rsidRPr="005B1B75">
        <w:rPr>
          <w:lang w:val="es-ES_tradnl"/>
        </w:rPr>
        <w:t xml:space="preserve"> </w:t>
      </w:r>
      <w:r w:rsidR="00A14215" w:rsidRPr="005B1B75">
        <w:rPr>
          <w:lang w:val="es-ES_tradnl"/>
        </w:rPr>
        <w:t>de la forma</w:t>
      </w:r>
      <w:r w:rsidR="00BF1C26" w:rsidRPr="005B1B75">
        <w:rPr>
          <w:lang w:val="es-ES_tradnl"/>
        </w:rPr>
        <w:t xml:space="preserve"> más expedita y eficaz</w:t>
      </w:r>
      <w:r w:rsidR="007132B4" w:rsidRPr="005B1B75">
        <w:rPr>
          <w:lang w:val="es-ES_tradnl"/>
        </w:rPr>
        <w:t xml:space="preserve"> </w:t>
      </w:r>
      <w:r w:rsidR="00BF1C26" w:rsidRPr="005B1B75">
        <w:rPr>
          <w:lang w:val="es-ES_tradnl"/>
        </w:rPr>
        <w:t>posible.</w:t>
      </w:r>
      <w:r w:rsidR="00860F36" w:rsidRPr="005B1B75">
        <w:rPr>
          <w:lang w:val="es-ES_tradnl"/>
        </w:rPr>
        <w:t xml:space="preserve"> Las políticas de vivienda alternativa en el caso de desalojos deben ser proporcionales </w:t>
      </w:r>
      <w:r w:rsidR="008E1B35" w:rsidRPr="005B1B75">
        <w:rPr>
          <w:lang w:val="es-ES_tradnl"/>
        </w:rPr>
        <w:t xml:space="preserve">a </w:t>
      </w:r>
      <w:r w:rsidR="00860F36" w:rsidRPr="005B1B75">
        <w:rPr>
          <w:lang w:val="es-ES_tradnl"/>
        </w:rPr>
        <w:t>la necesidad de las personas afectadas y la urgencia de la situación</w:t>
      </w:r>
      <w:r w:rsidR="007132B4" w:rsidRPr="005B1B75">
        <w:rPr>
          <w:lang w:val="es-ES_tradnl"/>
        </w:rPr>
        <w:t>,</w:t>
      </w:r>
      <w:r w:rsidR="00E16156" w:rsidRPr="005B1B75">
        <w:rPr>
          <w:lang w:val="es-ES_tradnl"/>
        </w:rPr>
        <w:t xml:space="preserve"> así como respetar </w:t>
      </w:r>
      <w:r w:rsidR="008E1B35" w:rsidRPr="005B1B75">
        <w:rPr>
          <w:lang w:val="es-ES_tradnl"/>
        </w:rPr>
        <w:t>la</w:t>
      </w:r>
      <w:r w:rsidR="00E16156" w:rsidRPr="005B1B75">
        <w:rPr>
          <w:lang w:val="es-ES_tradnl"/>
        </w:rPr>
        <w:t xml:space="preserve"> dignidad</w:t>
      </w:r>
      <w:r w:rsidR="008E1B35" w:rsidRPr="005B1B75">
        <w:rPr>
          <w:lang w:val="es-ES_tradnl"/>
        </w:rPr>
        <w:t xml:space="preserve"> de la persona</w:t>
      </w:r>
      <w:r w:rsidR="00860F36" w:rsidRPr="005B1B75">
        <w:rPr>
          <w:lang w:val="es-ES_tradnl"/>
        </w:rPr>
        <w:t>.</w:t>
      </w:r>
      <w:r w:rsidR="000E1CC0" w:rsidRPr="005B1B75">
        <w:rPr>
          <w:lang w:val="es-ES_tradnl"/>
        </w:rPr>
        <w:t xml:space="preserve"> Además, los Estados partes deben tomar medidas, de forma</w:t>
      </w:r>
      <w:r w:rsidR="005667F7" w:rsidRPr="005B1B75">
        <w:rPr>
          <w:lang w:val="es-ES_tradnl"/>
        </w:rPr>
        <w:t xml:space="preserve"> </w:t>
      </w:r>
      <w:r w:rsidR="000E1CC0" w:rsidRPr="005B1B75">
        <w:rPr>
          <w:lang w:val="es-ES_tradnl"/>
        </w:rPr>
        <w:t>coherente y coordinada, para resolver fallas institucionales y causas estructurales de la falta de vivienda</w:t>
      </w:r>
      <w:r w:rsidR="00244925" w:rsidRPr="009E41B4">
        <w:rPr>
          <w:sz w:val="18"/>
          <w:szCs w:val="18"/>
          <w:vertAlign w:val="superscript"/>
          <w:lang w:val="es-ES_tradnl"/>
        </w:rPr>
        <w:footnoteReference w:id="33"/>
      </w:r>
      <w:r w:rsidR="007132B4" w:rsidRPr="005B1B75">
        <w:rPr>
          <w:lang w:val="es-ES_tradnl"/>
        </w:rPr>
        <w:t>.</w:t>
      </w:r>
      <w:r w:rsidR="000E1CC0" w:rsidRPr="005B1B75">
        <w:rPr>
          <w:lang w:val="es-ES_tradnl"/>
        </w:rPr>
        <w:t xml:space="preserve">  </w:t>
      </w:r>
    </w:p>
    <w:p w14:paraId="66804B73" w14:textId="54D6200E" w:rsidR="008E1B35" w:rsidRPr="005B1B75" w:rsidRDefault="00244925" w:rsidP="00D445DC">
      <w:pPr>
        <w:pStyle w:val="SingleTxtG"/>
        <w:rPr>
          <w:lang w:val="es-ES_tradnl"/>
        </w:rPr>
      </w:pPr>
      <w:r w:rsidRPr="005B1B75">
        <w:rPr>
          <w:lang w:val="es-ES_tradnl"/>
        </w:rPr>
        <w:t xml:space="preserve">15.4 </w:t>
      </w:r>
      <w:r w:rsidRPr="005B1B75">
        <w:rPr>
          <w:lang w:val="es-ES_tradnl"/>
        </w:rPr>
        <w:tab/>
        <w:t>Los derechos humanos son indivisibles e interdependientes. Por tanto, las obligaciones de los Estados partes con relación al derecho a la vivienda deben ser interpretadas conjuntamente con todas las otras obligaciones de derechos humanos</w:t>
      </w:r>
      <w:r w:rsidR="00960B7A" w:rsidRPr="005B1B75">
        <w:rPr>
          <w:lang w:val="es-ES_tradnl"/>
        </w:rPr>
        <w:t xml:space="preserve"> y, e</w:t>
      </w:r>
      <w:r w:rsidRPr="005B1B75">
        <w:rPr>
          <w:lang w:val="es-ES_tradnl"/>
        </w:rPr>
        <w:t>n particular, en el contexto de los desalojos, con la obligación de conceder a la familia la más amplia protección posible (art. 10</w:t>
      </w:r>
      <w:r w:rsidR="007132B4" w:rsidRPr="005B1B75">
        <w:rPr>
          <w:lang w:val="es-ES_tradnl"/>
        </w:rPr>
        <w:t xml:space="preserve">, párr. </w:t>
      </w:r>
      <w:r w:rsidRPr="005B1B75">
        <w:rPr>
          <w:lang w:val="es-ES_tradnl"/>
        </w:rPr>
        <w:t>1</w:t>
      </w:r>
      <w:r w:rsidR="007132B4" w:rsidRPr="005B1B75">
        <w:rPr>
          <w:lang w:val="es-ES_tradnl"/>
        </w:rPr>
        <w:t>,</w:t>
      </w:r>
      <w:r w:rsidRPr="005B1B75">
        <w:rPr>
          <w:lang w:val="es-ES_tradnl"/>
        </w:rPr>
        <w:t xml:space="preserve"> del Pacto). La obligación de los Estados partes de proveer, </w:t>
      </w:r>
      <w:r w:rsidRPr="0048522D">
        <w:rPr>
          <w:lang w:val="es-ES_tradnl"/>
        </w:rPr>
        <w:t xml:space="preserve">hasta el máximo de sus recursos disponibles, </w:t>
      </w:r>
      <w:r w:rsidRPr="005B1B75">
        <w:rPr>
          <w:lang w:val="es-ES_tradnl"/>
        </w:rPr>
        <w:t xml:space="preserve">vivienda alternativa a las personas desalojadas que </w:t>
      </w:r>
      <w:r w:rsidR="00253012" w:rsidRPr="005B1B75">
        <w:rPr>
          <w:lang w:val="es-ES_tradnl"/>
        </w:rPr>
        <w:t>la requieran</w:t>
      </w:r>
      <w:r w:rsidRPr="005B1B75">
        <w:rPr>
          <w:lang w:val="es-ES_tradnl"/>
        </w:rPr>
        <w:t>, incluye</w:t>
      </w:r>
      <w:r w:rsidR="00960B7A" w:rsidRPr="005B1B75">
        <w:rPr>
          <w:lang w:val="es-ES_tradnl"/>
        </w:rPr>
        <w:t xml:space="preserve"> la protección de la unidad familiar, particularmente cuando </w:t>
      </w:r>
      <w:r w:rsidR="007132B4" w:rsidRPr="005B1B75">
        <w:rPr>
          <w:lang w:val="es-ES_tradnl"/>
        </w:rPr>
        <w:t>e</w:t>
      </w:r>
      <w:r w:rsidR="00960B7A" w:rsidRPr="005B1B75">
        <w:rPr>
          <w:lang w:val="es-ES_tradnl"/>
        </w:rPr>
        <w:t>sta</w:t>
      </w:r>
      <w:r w:rsidR="00863D6A" w:rsidRPr="005B1B75">
        <w:rPr>
          <w:lang w:val="es-ES_tradnl"/>
        </w:rPr>
        <w:t>s</w:t>
      </w:r>
      <w:r w:rsidR="00960B7A" w:rsidRPr="005B1B75">
        <w:rPr>
          <w:lang w:val="es-ES_tradnl"/>
        </w:rPr>
        <w:t xml:space="preserve"> </w:t>
      </w:r>
      <w:r w:rsidR="00863D6A" w:rsidRPr="005B1B75">
        <w:rPr>
          <w:lang w:val="es-ES_tradnl"/>
        </w:rPr>
        <w:t xml:space="preserve">son </w:t>
      </w:r>
      <w:r w:rsidR="00960B7A" w:rsidRPr="005B1B75">
        <w:rPr>
          <w:lang w:val="es-ES_tradnl"/>
        </w:rPr>
        <w:t>la</w:t>
      </w:r>
      <w:r w:rsidR="00863D6A" w:rsidRPr="005B1B75">
        <w:rPr>
          <w:lang w:val="es-ES_tradnl"/>
        </w:rPr>
        <w:t>s</w:t>
      </w:r>
      <w:r w:rsidR="00960B7A" w:rsidRPr="005B1B75">
        <w:rPr>
          <w:lang w:val="es-ES_tradnl"/>
        </w:rPr>
        <w:t xml:space="preserve"> responsable</w:t>
      </w:r>
      <w:r w:rsidR="00863D6A" w:rsidRPr="005B1B75">
        <w:rPr>
          <w:lang w:val="es-ES_tradnl"/>
        </w:rPr>
        <w:t>s</w:t>
      </w:r>
      <w:r w:rsidR="00960B7A" w:rsidRPr="005B1B75">
        <w:rPr>
          <w:lang w:val="es-ES_tradnl"/>
        </w:rPr>
        <w:t xml:space="preserve"> del cuidado y educación de los hijos dependientes. </w:t>
      </w:r>
    </w:p>
    <w:p w14:paraId="62DB6D57" w14:textId="744AE5EB" w:rsidR="004D70A0" w:rsidRPr="005B1B75" w:rsidRDefault="00960B7A" w:rsidP="00D445DC">
      <w:pPr>
        <w:pStyle w:val="SingleTxtG"/>
        <w:rPr>
          <w:lang w:val="es-ES_tradnl"/>
        </w:rPr>
      </w:pPr>
      <w:r w:rsidRPr="005B1B75">
        <w:rPr>
          <w:lang w:val="es-ES_tradnl"/>
        </w:rPr>
        <w:t>15.5</w:t>
      </w:r>
      <w:r w:rsidR="004D70A0" w:rsidRPr="005B1B75">
        <w:rPr>
          <w:lang w:val="es-ES_tradnl"/>
        </w:rPr>
        <w:t xml:space="preserve"> </w:t>
      </w:r>
      <w:r w:rsidR="004D70A0" w:rsidRPr="005B1B75">
        <w:rPr>
          <w:lang w:val="es-ES_tradnl"/>
        </w:rPr>
        <w:tab/>
        <w:t xml:space="preserve">En el caso de que el desalojo de una persona de su </w:t>
      </w:r>
      <w:r w:rsidRPr="005B1B75">
        <w:rPr>
          <w:lang w:val="es-ES_tradnl"/>
        </w:rPr>
        <w:t>hogar</w:t>
      </w:r>
      <w:r w:rsidR="004D70A0" w:rsidRPr="005B1B75">
        <w:rPr>
          <w:lang w:val="es-ES_tradnl"/>
        </w:rPr>
        <w:t xml:space="preserve"> tenga lugar sin que el Estado parte le otorgue</w:t>
      </w:r>
      <w:r w:rsidRPr="005B1B75">
        <w:rPr>
          <w:lang w:val="es-ES_tradnl"/>
        </w:rPr>
        <w:t xml:space="preserve"> o </w:t>
      </w:r>
      <w:r w:rsidR="004D70A0" w:rsidRPr="005B1B75">
        <w:rPr>
          <w:lang w:val="es-ES_tradnl"/>
        </w:rPr>
        <w:t>garantice una vivienda alternativa, corresponde al Estado parte demostrar que consideró las circunstancias particulares del caso y que a pesar de que tomó todas las medidas razonables</w:t>
      </w:r>
      <w:r w:rsidR="00D80337" w:rsidRPr="005B1B75">
        <w:rPr>
          <w:lang w:val="es-ES_tradnl"/>
        </w:rPr>
        <w:t>,</w:t>
      </w:r>
      <w:r w:rsidR="004D70A0" w:rsidRPr="005B1B75">
        <w:rPr>
          <w:lang w:val="es-ES_tradnl"/>
        </w:rPr>
        <w:t xml:space="preserve"> hasta el máximo de sus recursos disponibles, no pudo satisfacer el derecho a la vivienda de la persona afectada.</w:t>
      </w:r>
      <w:r w:rsidR="003F02D2" w:rsidRPr="005B1B75">
        <w:rPr>
          <w:lang w:val="es-ES_tradnl"/>
        </w:rPr>
        <w:t xml:space="preserve"> La información proporcionada por el Estado parte debe permitir al Comité considerar la razonabilidad de las medidas adoptadas, con arreglo al artículo 8</w:t>
      </w:r>
      <w:r w:rsidR="007132B4" w:rsidRPr="005B1B75">
        <w:rPr>
          <w:lang w:val="es-ES_tradnl"/>
        </w:rPr>
        <w:t xml:space="preserve">, párr. </w:t>
      </w:r>
      <w:r w:rsidR="003F02D2" w:rsidRPr="005B1B75">
        <w:rPr>
          <w:lang w:val="es-ES_tradnl"/>
        </w:rPr>
        <w:t>4</w:t>
      </w:r>
      <w:r w:rsidR="007132B4" w:rsidRPr="005B1B75">
        <w:rPr>
          <w:lang w:val="es-ES_tradnl"/>
        </w:rPr>
        <w:t>,</w:t>
      </w:r>
      <w:r w:rsidR="003F02D2" w:rsidRPr="005B1B75">
        <w:rPr>
          <w:lang w:val="es-ES_tradnl"/>
        </w:rPr>
        <w:t xml:space="preserve"> del Protocolo Facultativo</w:t>
      </w:r>
      <w:r w:rsidR="003F02D2" w:rsidRPr="009E41B4">
        <w:rPr>
          <w:sz w:val="18"/>
          <w:szCs w:val="18"/>
          <w:vertAlign w:val="superscript"/>
          <w:lang w:val="es-ES_tradnl"/>
        </w:rPr>
        <w:footnoteReference w:id="34"/>
      </w:r>
      <w:r w:rsidR="007132B4" w:rsidRPr="005B1B75">
        <w:rPr>
          <w:lang w:val="es-ES_tradnl"/>
        </w:rPr>
        <w:t>.</w:t>
      </w:r>
    </w:p>
    <w:p w14:paraId="402922D9" w14:textId="18606549" w:rsidR="0029180A" w:rsidRPr="005B1B75" w:rsidRDefault="0029180A" w:rsidP="00D445DC">
      <w:pPr>
        <w:pStyle w:val="H23G"/>
        <w:rPr>
          <w:lang w:val="es-ES_tradnl"/>
        </w:rPr>
      </w:pPr>
      <w:r w:rsidRPr="005B1B75">
        <w:rPr>
          <w:lang w:val="es-ES_tradnl"/>
        </w:rPr>
        <w:tab/>
      </w:r>
      <w:r w:rsidRPr="005B1B75">
        <w:rPr>
          <w:lang w:val="es-ES_tradnl"/>
        </w:rPr>
        <w:tab/>
      </w:r>
      <w:r w:rsidR="004D70A0" w:rsidRPr="005B1B75">
        <w:rPr>
          <w:lang w:val="es-ES_tradnl"/>
        </w:rPr>
        <w:t xml:space="preserve">El proceso judicial de desahucio ante el Juzgado </w:t>
      </w:r>
      <w:r w:rsidR="001A643F" w:rsidRPr="005B1B75">
        <w:rPr>
          <w:lang w:val="es-ES_tradnl"/>
        </w:rPr>
        <w:t>núm.</w:t>
      </w:r>
      <w:r w:rsidR="004D70A0" w:rsidRPr="005B1B75">
        <w:rPr>
          <w:lang w:val="es-ES_tradnl"/>
        </w:rPr>
        <w:t xml:space="preserve"> 37</w:t>
      </w:r>
      <w:r w:rsidRPr="005B1B75">
        <w:rPr>
          <w:lang w:val="es-ES_tradnl"/>
        </w:rPr>
        <w:t xml:space="preserve"> </w:t>
      </w:r>
    </w:p>
    <w:p w14:paraId="043FC8FF" w14:textId="4969E56E" w:rsidR="00493DAF" w:rsidRPr="005B1B75" w:rsidRDefault="00D079AD" w:rsidP="00D445DC">
      <w:pPr>
        <w:pStyle w:val="SingleTxtG"/>
        <w:rPr>
          <w:lang w:val="es-ES_tradnl"/>
        </w:rPr>
      </w:pPr>
      <w:r w:rsidRPr="0048522D">
        <w:rPr>
          <w:lang w:val="es-ES_tradnl"/>
        </w:rPr>
        <w:t>1</w:t>
      </w:r>
      <w:r w:rsidR="004D70A0" w:rsidRPr="0048522D">
        <w:rPr>
          <w:lang w:val="es-ES_tradnl"/>
        </w:rPr>
        <w:t>6</w:t>
      </w:r>
      <w:r w:rsidRPr="0048522D">
        <w:rPr>
          <w:lang w:val="es-ES_tradnl"/>
        </w:rPr>
        <w:t>.1</w:t>
      </w:r>
      <w:r w:rsidRPr="0048522D">
        <w:rPr>
          <w:lang w:val="es-ES_tradnl"/>
        </w:rPr>
        <w:tab/>
        <w:t xml:space="preserve"> </w:t>
      </w:r>
      <w:r w:rsidR="0059048A" w:rsidRPr="0048522D">
        <w:rPr>
          <w:lang w:val="es-ES_tradnl"/>
        </w:rPr>
        <w:t>E</w:t>
      </w:r>
      <w:r w:rsidRPr="0048522D">
        <w:rPr>
          <w:lang w:val="es-ES_tradnl"/>
        </w:rPr>
        <w:t xml:space="preserve">l Comité procede a analizar si </w:t>
      </w:r>
      <w:r w:rsidRPr="005B1B75">
        <w:rPr>
          <w:lang w:val="es-ES_tradnl"/>
        </w:rPr>
        <w:t>el desa</w:t>
      </w:r>
      <w:r w:rsidR="001F54B5" w:rsidRPr="005B1B75">
        <w:rPr>
          <w:lang w:val="es-ES_tradnl"/>
        </w:rPr>
        <w:t>lojo</w:t>
      </w:r>
      <w:r w:rsidRPr="005B1B75">
        <w:rPr>
          <w:lang w:val="es-ES_tradnl"/>
        </w:rPr>
        <w:t xml:space="preserve"> de los autores de la habitación de alquiler constituyó una violación de</w:t>
      </w:r>
      <w:r w:rsidR="004D70A0" w:rsidRPr="005B1B75">
        <w:rPr>
          <w:lang w:val="es-ES_tradnl"/>
        </w:rPr>
        <w:t xml:space="preserve"> su</w:t>
      </w:r>
      <w:r w:rsidRPr="005B1B75">
        <w:rPr>
          <w:lang w:val="es-ES_tradnl"/>
        </w:rPr>
        <w:t xml:space="preserve"> derecho a la vivienda adecuada</w:t>
      </w:r>
      <w:r w:rsidR="004D70A0" w:rsidRPr="005B1B75">
        <w:rPr>
          <w:lang w:val="es-ES_tradnl"/>
        </w:rPr>
        <w:t>.</w:t>
      </w:r>
      <w:r w:rsidR="0059048A" w:rsidRPr="005B1B75">
        <w:rPr>
          <w:lang w:val="es-ES_tradnl"/>
        </w:rPr>
        <w:t xml:space="preserve"> </w:t>
      </w:r>
      <w:r w:rsidR="001F54B5" w:rsidRPr="005B1B75">
        <w:rPr>
          <w:lang w:val="es-ES_tradnl"/>
        </w:rPr>
        <w:t>E</w:t>
      </w:r>
      <w:r w:rsidR="00493DAF" w:rsidRPr="005B1B75">
        <w:rPr>
          <w:lang w:val="es-ES_tradnl"/>
        </w:rPr>
        <w:t xml:space="preserve">l Comité observa que </w:t>
      </w:r>
      <w:r w:rsidR="003F2014" w:rsidRPr="005B1B75">
        <w:rPr>
          <w:lang w:val="es-ES_tradnl"/>
        </w:rPr>
        <w:t xml:space="preserve">la arrendadora notificó al </w:t>
      </w:r>
      <w:r w:rsidR="002D0785" w:rsidRPr="005B1B75">
        <w:rPr>
          <w:lang w:val="es-ES_tradnl"/>
        </w:rPr>
        <w:t xml:space="preserve">Sr. Ben </w:t>
      </w:r>
      <w:proofErr w:type="spellStart"/>
      <w:r w:rsidR="002D0785" w:rsidRPr="005B1B75">
        <w:rPr>
          <w:lang w:val="es-ES_tradnl"/>
        </w:rPr>
        <w:t>Djazia</w:t>
      </w:r>
      <w:proofErr w:type="spellEnd"/>
      <w:r w:rsidR="003F2014" w:rsidRPr="005B1B75">
        <w:rPr>
          <w:lang w:val="es-ES_tradnl"/>
        </w:rPr>
        <w:t xml:space="preserve"> su voluntad de resolver y no prorrogar el contrato </w:t>
      </w:r>
      <w:r w:rsidR="009E3AF2" w:rsidRPr="005B1B75">
        <w:rPr>
          <w:lang w:val="es-ES_tradnl"/>
        </w:rPr>
        <w:t xml:space="preserve">los días </w:t>
      </w:r>
      <w:r w:rsidR="003F2014" w:rsidRPr="005B1B75">
        <w:rPr>
          <w:lang w:val="es-ES_tradnl"/>
        </w:rPr>
        <w:t>15 de marzo y 12 de julio de 2012, con arreglo a los artículos 9 y 10 de la Ley de Arrendamientos Urbanos, y 1569</w:t>
      </w:r>
      <w:r w:rsidR="009E3AF2" w:rsidRPr="005B1B75">
        <w:rPr>
          <w:lang w:val="es-ES_tradnl"/>
        </w:rPr>
        <w:t xml:space="preserve">, </w:t>
      </w:r>
      <w:r w:rsidR="009E41B4" w:rsidRPr="005B1B75">
        <w:rPr>
          <w:lang w:val="es-ES_tradnl"/>
        </w:rPr>
        <w:t>a</w:t>
      </w:r>
      <w:r w:rsidR="009E41B4">
        <w:rPr>
          <w:lang w:val="es-ES_tradnl"/>
        </w:rPr>
        <w:t>partad</w:t>
      </w:r>
      <w:r w:rsidR="009E41B4" w:rsidRPr="005B1B75">
        <w:rPr>
          <w:lang w:val="es-ES_tradnl"/>
        </w:rPr>
        <w:t>o</w:t>
      </w:r>
      <w:r w:rsidR="009E3AF2" w:rsidRPr="005B1B75">
        <w:rPr>
          <w:lang w:val="es-ES_tradnl"/>
        </w:rPr>
        <w:t xml:space="preserve"> </w:t>
      </w:r>
      <w:r w:rsidR="003F2014" w:rsidRPr="005B1B75">
        <w:rPr>
          <w:lang w:val="es-ES_tradnl"/>
        </w:rPr>
        <w:t>1</w:t>
      </w:r>
      <w:r w:rsidR="009E3AF2" w:rsidRPr="005B1B75">
        <w:rPr>
          <w:lang w:val="es-ES_tradnl"/>
        </w:rPr>
        <w:t>,</w:t>
      </w:r>
      <w:r w:rsidR="003F2014" w:rsidRPr="005B1B75">
        <w:rPr>
          <w:lang w:val="es-ES_tradnl"/>
        </w:rPr>
        <w:t xml:space="preserve"> del Código Civil; que el contrato expiró el 31 de agosto de 2012</w:t>
      </w:r>
      <w:r w:rsidR="009E3AF2" w:rsidRPr="005B1B75">
        <w:rPr>
          <w:lang w:val="es-ES_tradnl"/>
        </w:rPr>
        <w:t>,</w:t>
      </w:r>
      <w:r w:rsidR="003F2014" w:rsidRPr="005B1B75">
        <w:rPr>
          <w:lang w:val="es-ES_tradnl"/>
        </w:rPr>
        <w:t xml:space="preserve"> y que, sin embargo, los autores se negaron a dejar la vivienda. E</w:t>
      </w:r>
      <w:r w:rsidR="00493DAF" w:rsidRPr="005B1B75">
        <w:rPr>
          <w:lang w:val="es-ES_tradnl"/>
        </w:rPr>
        <w:t xml:space="preserve">n atención </w:t>
      </w:r>
      <w:r w:rsidR="00E47BD0" w:rsidRPr="005B1B75">
        <w:rPr>
          <w:lang w:val="es-ES_tradnl"/>
        </w:rPr>
        <w:t>a una demanda de la arrendadora</w:t>
      </w:r>
      <w:r w:rsidR="00493DAF" w:rsidRPr="005B1B75">
        <w:rPr>
          <w:lang w:val="es-ES_tradnl"/>
        </w:rPr>
        <w:t xml:space="preserve">, el </w:t>
      </w:r>
      <w:r w:rsidR="003F2014" w:rsidRPr="005B1B75">
        <w:rPr>
          <w:lang w:val="es-ES_tradnl"/>
        </w:rPr>
        <w:t xml:space="preserve">30 de mayo de 2013 </w:t>
      </w:r>
      <w:r w:rsidR="001F54B5" w:rsidRPr="005B1B75">
        <w:rPr>
          <w:lang w:val="es-ES_tradnl"/>
        </w:rPr>
        <w:t xml:space="preserve">el </w:t>
      </w:r>
      <w:r w:rsidR="00493DAF" w:rsidRPr="005B1B75">
        <w:rPr>
          <w:lang w:val="es-ES_tradnl"/>
        </w:rPr>
        <w:t xml:space="preserve">Juzgado </w:t>
      </w:r>
      <w:r w:rsidR="001A643F" w:rsidRPr="005B1B75">
        <w:rPr>
          <w:lang w:val="es-ES_tradnl"/>
        </w:rPr>
        <w:t>núm.</w:t>
      </w:r>
      <w:r w:rsidR="00493DAF" w:rsidRPr="005B1B75">
        <w:rPr>
          <w:lang w:val="es-ES_tradnl"/>
        </w:rPr>
        <w:t xml:space="preserve"> 37 ordenó el desalojo de los autores por expiración del plazo contractual</w:t>
      </w:r>
      <w:r w:rsidR="00135919" w:rsidRPr="005B1B75">
        <w:rPr>
          <w:lang w:val="es-ES_tradnl"/>
        </w:rPr>
        <w:t>, de conformidad con los artículos 440</w:t>
      </w:r>
      <w:r w:rsidR="009E3AF2" w:rsidRPr="005B1B75">
        <w:rPr>
          <w:lang w:val="es-ES_tradnl"/>
        </w:rPr>
        <w:t xml:space="preserve">, </w:t>
      </w:r>
      <w:r w:rsidR="009E41B4" w:rsidRPr="005B1B75">
        <w:rPr>
          <w:lang w:val="es-ES_tradnl"/>
        </w:rPr>
        <w:t>a</w:t>
      </w:r>
      <w:r w:rsidR="009E41B4">
        <w:rPr>
          <w:lang w:val="es-ES_tradnl"/>
        </w:rPr>
        <w:t>partad</w:t>
      </w:r>
      <w:r w:rsidR="009E41B4" w:rsidRPr="005B1B75">
        <w:rPr>
          <w:lang w:val="es-ES_tradnl"/>
        </w:rPr>
        <w:t>o</w:t>
      </w:r>
      <w:r w:rsidR="009E3AF2" w:rsidRPr="005B1B75">
        <w:rPr>
          <w:lang w:val="es-ES_tradnl"/>
        </w:rPr>
        <w:t xml:space="preserve"> </w:t>
      </w:r>
      <w:r w:rsidR="00135919" w:rsidRPr="005B1B75">
        <w:rPr>
          <w:lang w:val="es-ES_tradnl"/>
        </w:rPr>
        <w:t>4</w:t>
      </w:r>
      <w:r w:rsidR="009E3AF2" w:rsidRPr="005B1B75">
        <w:rPr>
          <w:lang w:val="es-ES_tradnl"/>
        </w:rPr>
        <w:t>,</w:t>
      </w:r>
      <w:r w:rsidR="00135919" w:rsidRPr="005B1B75">
        <w:rPr>
          <w:lang w:val="es-ES_tradnl"/>
        </w:rPr>
        <w:t xml:space="preserve"> y 549</w:t>
      </w:r>
      <w:r w:rsidR="009E3AF2" w:rsidRPr="005B1B75">
        <w:rPr>
          <w:lang w:val="es-ES_tradnl"/>
        </w:rPr>
        <w:t xml:space="preserve">, </w:t>
      </w:r>
      <w:r w:rsidR="009E41B4" w:rsidRPr="005B1B75">
        <w:rPr>
          <w:lang w:val="es-ES_tradnl"/>
        </w:rPr>
        <w:t>a</w:t>
      </w:r>
      <w:r w:rsidR="009E41B4">
        <w:rPr>
          <w:lang w:val="es-ES_tradnl"/>
        </w:rPr>
        <w:t>partad</w:t>
      </w:r>
      <w:r w:rsidR="009E41B4" w:rsidRPr="005B1B75">
        <w:rPr>
          <w:lang w:val="es-ES_tradnl"/>
        </w:rPr>
        <w:t>o</w:t>
      </w:r>
      <w:r w:rsidR="009E3AF2" w:rsidRPr="005B1B75">
        <w:rPr>
          <w:lang w:val="es-ES_tradnl"/>
        </w:rPr>
        <w:t xml:space="preserve"> </w:t>
      </w:r>
      <w:r w:rsidR="00135919" w:rsidRPr="005B1B75">
        <w:rPr>
          <w:lang w:val="es-ES_tradnl"/>
        </w:rPr>
        <w:t>3</w:t>
      </w:r>
      <w:r w:rsidR="009E3AF2" w:rsidRPr="005B1B75">
        <w:rPr>
          <w:lang w:val="es-ES_tradnl"/>
        </w:rPr>
        <w:t>,</w:t>
      </w:r>
      <w:r w:rsidR="00135919" w:rsidRPr="005B1B75">
        <w:rPr>
          <w:lang w:val="es-ES_tradnl"/>
        </w:rPr>
        <w:t xml:space="preserve"> de la </w:t>
      </w:r>
      <w:r w:rsidR="009E3AF2" w:rsidRPr="005B1B75">
        <w:rPr>
          <w:lang w:val="es-ES_tradnl"/>
        </w:rPr>
        <w:t>Ley de Enjuiciamiento Civil</w:t>
      </w:r>
      <w:r w:rsidR="00493DAF" w:rsidRPr="005B1B75">
        <w:rPr>
          <w:lang w:val="es-ES_tradnl"/>
        </w:rPr>
        <w:t>.</w:t>
      </w:r>
      <w:r w:rsidR="00E47BD0" w:rsidRPr="005B1B75">
        <w:rPr>
          <w:lang w:val="es-ES_tradnl"/>
        </w:rPr>
        <w:t xml:space="preserve"> </w:t>
      </w:r>
      <w:r w:rsidR="001F54B5" w:rsidRPr="005B1B75">
        <w:rPr>
          <w:lang w:val="es-ES_tradnl"/>
        </w:rPr>
        <w:t>Por tanto, l</w:t>
      </w:r>
      <w:r w:rsidR="00135919" w:rsidRPr="005B1B75">
        <w:rPr>
          <w:lang w:val="es-ES_tradnl"/>
        </w:rPr>
        <w:t xml:space="preserve">a medida de desalojo de los autores se realizó de acuerdo a </w:t>
      </w:r>
      <w:r w:rsidR="00BC1AA5" w:rsidRPr="005B1B75">
        <w:rPr>
          <w:lang w:val="es-ES_tradnl"/>
        </w:rPr>
        <w:t xml:space="preserve">la </w:t>
      </w:r>
      <w:r w:rsidR="00135919" w:rsidRPr="005B1B75">
        <w:rPr>
          <w:lang w:val="es-ES_tradnl"/>
        </w:rPr>
        <w:t>ley</w:t>
      </w:r>
      <w:r w:rsidR="00E47BD0" w:rsidRPr="005B1B75">
        <w:rPr>
          <w:lang w:val="es-ES_tradnl"/>
        </w:rPr>
        <w:t xml:space="preserve">. </w:t>
      </w:r>
    </w:p>
    <w:p w14:paraId="1E0E8514" w14:textId="1F971893" w:rsidR="00E47BD0" w:rsidRPr="005B1B75" w:rsidRDefault="00154989" w:rsidP="00D445DC">
      <w:pPr>
        <w:pStyle w:val="SingleTxtG"/>
        <w:rPr>
          <w:lang w:val="es-ES_tradnl"/>
        </w:rPr>
      </w:pPr>
      <w:r w:rsidRPr="005B1B75">
        <w:rPr>
          <w:lang w:val="es-ES_tradnl"/>
        </w:rPr>
        <w:t>16.</w:t>
      </w:r>
      <w:r w:rsidR="0059048A" w:rsidRPr="005B1B75">
        <w:rPr>
          <w:lang w:val="es-ES_tradnl"/>
        </w:rPr>
        <w:t>2</w:t>
      </w:r>
      <w:r w:rsidR="0067282C" w:rsidRPr="005B1B75">
        <w:rPr>
          <w:lang w:val="es-ES_tradnl"/>
        </w:rPr>
        <w:t xml:space="preserve"> </w:t>
      </w:r>
      <w:r w:rsidR="0067282C" w:rsidRPr="005B1B75">
        <w:rPr>
          <w:lang w:val="es-ES_tradnl"/>
        </w:rPr>
        <w:tab/>
      </w:r>
      <w:r w:rsidR="004B369E" w:rsidRPr="005B1B75">
        <w:rPr>
          <w:lang w:val="es-ES_tradnl"/>
        </w:rPr>
        <w:t>El Comité observa que los autores se negaron a dejar la habitación alquilada a pesar de que</w:t>
      </w:r>
      <w:r w:rsidR="0067282C" w:rsidRPr="005B1B75">
        <w:rPr>
          <w:lang w:val="es-ES_tradnl"/>
        </w:rPr>
        <w:t xml:space="preserve"> </w:t>
      </w:r>
      <w:r w:rsidR="004B369E" w:rsidRPr="005B1B75">
        <w:rPr>
          <w:lang w:val="es-ES_tradnl"/>
        </w:rPr>
        <w:t>la arrendadora les informó con suficiente anticipación</w:t>
      </w:r>
      <w:r w:rsidR="00E67F37" w:rsidRPr="005B1B75">
        <w:rPr>
          <w:lang w:val="es-ES_tradnl"/>
        </w:rPr>
        <w:t xml:space="preserve"> que no renovaría el contrato, </w:t>
      </w:r>
      <w:r w:rsidR="004B369E" w:rsidRPr="005B1B75">
        <w:rPr>
          <w:lang w:val="es-ES_tradnl"/>
        </w:rPr>
        <w:t xml:space="preserve">y que </w:t>
      </w:r>
      <w:r w:rsidR="0067282C" w:rsidRPr="005B1B75">
        <w:rPr>
          <w:lang w:val="es-ES_tradnl"/>
        </w:rPr>
        <w:t>el contrato de arrendamiento</w:t>
      </w:r>
      <w:r w:rsidR="004B369E" w:rsidRPr="005B1B75">
        <w:rPr>
          <w:lang w:val="es-ES_tradnl"/>
        </w:rPr>
        <w:t xml:space="preserve"> concluyó el 31 de agosto de 2012.</w:t>
      </w:r>
      <w:r w:rsidR="00BF10D6" w:rsidRPr="005B1B75">
        <w:rPr>
          <w:lang w:val="es-ES_tradnl"/>
        </w:rPr>
        <w:t xml:space="preserve"> Asimismo, a partir de junio de 2012 los autores no pudieron pagar la renta mensual de alquiler</w:t>
      </w:r>
      <w:r w:rsidR="00D426B3" w:rsidRPr="005B1B75">
        <w:rPr>
          <w:lang w:val="es-ES_tradnl"/>
        </w:rPr>
        <w:t xml:space="preserve">. En ausencia de información que indique que la demanda de la </w:t>
      </w:r>
      <w:r w:rsidR="0059048A" w:rsidRPr="005B1B75">
        <w:rPr>
          <w:lang w:val="es-ES_tradnl"/>
        </w:rPr>
        <w:t xml:space="preserve">arrendadora </w:t>
      </w:r>
      <w:r w:rsidR="00D426B3" w:rsidRPr="005B1B75">
        <w:rPr>
          <w:lang w:val="es-ES_tradnl"/>
        </w:rPr>
        <w:t xml:space="preserve">no era razonable o necesaria, el Comité considera que </w:t>
      </w:r>
      <w:r w:rsidR="003B766B" w:rsidRPr="005B1B75">
        <w:rPr>
          <w:lang w:val="es-ES_tradnl"/>
        </w:rPr>
        <w:t xml:space="preserve">existía una causa legítima que podía justificar </w:t>
      </w:r>
      <w:r w:rsidR="00D426B3" w:rsidRPr="005B1B75">
        <w:rPr>
          <w:lang w:val="es-ES_tradnl"/>
        </w:rPr>
        <w:t>la medida de desalojo de los autores.</w:t>
      </w:r>
    </w:p>
    <w:p w14:paraId="2E140AB6" w14:textId="0DC59943" w:rsidR="00890B67" w:rsidRPr="005B1B75" w:rsidRDefault="00154989" w:rsidP="00D445DC">
      <w:pPr>
        <w:pStyle w:val="SingleTxtG"/>
        <w:rPr>
          <w:lang w:val="es-ES_tradnl"/>
        </w:rPr>
      </w:pPr>
      <w:r w:rsidRPr="005B1B75">
        <w:rPr>
          <w:lang w:val="es-ES_tradnl"/>
        </w:rPr>
        <w:lastRenderedPageBreak/>
        <w:t>16.</w:t>
      </w:r>
      <w:r w:rsidR="0059048A" w:rsidRPr="005B1B75">
        <w:rPr>
          <w:lang w:val="es-ES_tradnl"/>
        </w:rPr>
        <w:t>3</w:t>
      </w:r>
      <w:r w:rsidR="00EE6032" w:rsidRPr="005B1B75">
        <w:rPr>
          <w:lang w:val="es-ES_tradnl"/>
        </w:rPr>
        <w:tab/>
      </w:r>
      <w:r w:rsidR="00F81433" w:rsidRPr="005B1B75">
        <w:rPr>
          <w:lang w:val="es-ES_tradnl"/>
        </w:rPr>
        <w:t xml:space="preserve">El Comité toma nota de la alegación de los autores de que el proceso no observó las garantías judiciales y que su solicitud de abogado de oficio fue denegada por las autoridades competentes. </w:t>
      </w:r>
      <w:r w:rsidR="00C13596" w:rsidRPr="005B1B75">
        <w:rPr>
          <w:lang w:val="es-ES_tradnl"/>
        </w:rPr>
        <w:t xml:space="preserve">El Comité también toma nota de los argumentos </w:t>
      </w:r>
      <w:r w:rsidR="00AC3CDD" w:rsidRPr="005B1B75">
        <w:rPr>
          <w:lang w:val="es-ES_tradnl"/>
        </w:rPr>
        <w:t xml:space="preserve">del Estado parte de </w:t>
      </w:r>
      <w:r w:rsidR="00C13596" w:rsidRPr="005B1B75">
        <w:rPr>
          <w:lang w:val="es-ES_tradnl"/>
        </w:rPr>
        <w:t xml:space="preserve">que el Juzgado </w:t>
      </w:r>
      <w:r w:rsidR="001A643F" w:rsidRPr="005B1B75">
        <w:rPr>
          <w:lang w:val="es-ES_tradnl"/>
        </w:rPr>
        <w:t>núm.</w:t>
      </w:r>
      <w:r w:rsidR="00C13596" w:rsidRPr="005B1B75">
        <w:rPr>
          <w:lang w:val="es-ES_tradnl"/>
        </w:rPr>
        <w:t xml:space="preserve"> 37 observó todas las garantías procesales aplicables según el Pacto (véase </w:t>
      </w:r>
      <w:r w:rsidR="003A3B58" w:rsidRPr="005B1B75">
        <w:rPr>
          <w:lang w:val="es-ES_tradnl"/>
        </w:rPr>
        <w:t xml:space="preserve">el párrafo </w:t>
      </w:r>
      <w:r w:rsidR="00C13596" w:rsidRPr="005B1B75">
        <w:rPr>
          <w:lang w:val="es-ES_tradnl"/>
        </w:rPr>
        <w:t>6.3</w:t>
      </w:r>
      <w:r w:rsidR="003A3B58" w:rsidRPr="005B1B75">
        <w:rPr>
          <w:lang w:val="es-ES_tradnl"/>
        </w:rPr>
        <w:t xml:space="preserve"> </w:t>
      </w:r>
      <w:r w:rsidR="003A3B58" w:rsidRPr="009E41B4">
        <w:rPr>
          <w:i/>
          <w:lang w:val="es-ES_tradnl"/>
        </w:rPr>
        <w:t>supra</w:t>
      </w:r>
      <w:r w:rsidR="00890B67" w:rsidRPr="005B1B75">
        <w:rPr>
          <w:lang w:val="es-ES_tradnl"/>
        </w:rPr>
        <w:t>)</w:t>
      </w:r>
      <w:r w:rsidR="00C13596" w:rsidRPr="005B1B75">
        <w:rPr>
          <w:lang w:val="es-ES_tradnl"/>
        </w:rPr>
        <w:t xml:space="preserve">. </w:t>
      </w:r>
      <w:r w:rsidR="00F81433" w:rsidRPr="005B1B75">
        <w:rPr>
          <w:lang w:val="es-ES_tradnl"/>
        </w:rPr>
        <w:t>El Comité observa</w:t>
      </w:r>
      <w:r w:rsidR="00890B67" w:rsidRPr="005B1B75">
        <w:rPr>
          <w:lang w:val="es-ES_tradnl"/>
        </w:rPr>
        <w:t xml:space="preserve"> </w:t>
      </w:r>
      <w:r w:rsidR="00F81433" w:rsidRPr="005B1B75">
        <w:rPr>
          <w:lang w:val="es-ES_tradnl"/>
        </w:rPr>
        <w:t xml:space="preserve">que el </w:t>
      </w:r>
      <w:r w:rsidR="002D0785" w:rsidRPr="005B1B75">
        <w:rPr>
          <w:lang w:val="es-ES_tradnl"/>
        </w:rPr>
        <w:t xml:space="preserve">Sr. Ben </w:t>
      </w:r>
      <w:proofErr w:type="spellStart"/>
      <w:r w:rsidR="002D0785" w:rsidRPr="005B1B75">
        <w:rPr>
          <w:lang w:val="es-ES_tradnl"/>
        </w:rPr>
        <w:t>Djazia</w:t>
      </w:r>
      <w:proofErr w:type="spellEnd"/>
      <w:r w:rsidR="00F81433" w:rsidRPr="005B1B75">
        <w:rPr>
          <w:lang w:val="es-ES_tradnl"/>
        </w:rPr>
        <w:t xml:space="preserve"> </w:t>
      </w:r>
      <w:r w:rsidR="007A17FF" w:rsidRPr="005B1B75">
        <w:rPr>
          <w:lang w:val="es-ES_tradnl"/>
        </w:rPr>
        <w:t xml:space="preserve">pudo </w:t>
      </w:r>
      <w:r w:rsidR="00F81433" w:rsidRPr="005B1B75">
        <w:rPr>
          <w:lang w:val="es-ES_tradnl"/>
        </w:rPr>
        <w:t xml:space="preserve">obtener asistencia jurídica </w:t>
      </w:r>
      <w:r w:rsidR="00F81433" w:rsidRPr="00823C3D">
        <w:rPr>
          <w:i/>
          <w:lang w:val="es-ES_tradnl"/>
        </w:rPr>
        <w:t>pro bono</w:t>
      </w:r>
      <w:r w:rsidR="00F81433" w:rsidRPr="005B1B75">
        <w:rPr>
          <w:lang w:val="es-ES_tradnl"/>
        </w:rPr>
        <w:t xml:space="preserve"> y estar representado durante el proceso y que s</w:t>
      </w:r>
      <w:r w:rsidR="00DB2AF2" w:rsidRPr="005B1B75">
        <w:rPr>
          <w:lang w:val="es-ES_tradnl"/>
        </w:rPr>
        <w:t>u</w:t>
      </w:r>
      <w:r w:rsidR="00F81433" w:rsidRPr="005B1B75">
        <w:rPr>
          <w:lang w:val="es-ES_tradnl"/>
        </w:rPr>
        <w:t xml:space="preserve"> abogado presentó diferentes recursos judiciales</w:t>
      </w:r>
      <w:r w:rsidR="00890B67" w:rsidRPr="005B1B75">
        <w:rPr>
          <w:lang w:val="es-ES_tradnl"/>
        </w:rPr>
        <w:t xml:space="preserve">; que fue informado con suficiente antelación de la resolución del contrato de alquiler y del desahucio; y que </w:t>
      </w:r>
      <w:r w:rsidR="00DB2AF2" w:rsidRPr="005B1B75">
        <w:rPr>
          <w:lang w:val="es-ES_tradnl"/>
        </w:rPr>
        <w:t>e</w:t>
      </w:r>
      <w:r w:rsidR="00890B67" w:rsidRPr="005B1B75">
        <w:rPr>
          <w:lang w:val="es-ES_tradnl"/>
        </w:rPr>
        <w:t xml:space="preserve">ste tuvo lugar a una hora adecuada y en presencia de funcionarios del Juzgado, </w:t>
      </w:r>
      <w:r w:rsidR="007A5A82" w:rsidRPr="005B1B75">
        <w:rPr>
          <w:lang w:val="es-ES_tradnl"/>
        </w:rPr>
        <w:t xml:space="preserve">la </w:t>
      </w:r>
      <w:r w:rsidR="00890B67" w:rsidRPr="005B1B75">
        <w:rPr>
          <w:lang w:val="es-ES_tradnl"/>
        </w:rPr>
        <w:t xml:space="preserve">policía y los representantes de las partes. </w:t>
      </w:r>
    </w:p>
    <w:p w14:paraId="51EBB5AB" w14:textId="645CE72A" w:rsidR="0059048A" w:rsidRPr="005B1B75" w:rsidRDefault="00154989" w:rsidP="00D445DC">
      <w:pPr>
        <w:pStyle w:val="SingleTxtG"/>
        <w:rPr>
          <w:lang w:val="es-ES_tradnl"/>
        </w:rPr>
      </w:pPr>
      <w:r w:rsidRPr="005B1B75">
        <w:rPr>
          <w:lang w:val="es-ES_tradnl"/>
        </w:rPr>
        <w:t>16.</w:t>
      </w:r>
      <w:r w:rsidR="0059048A" w:rsidRPr="005B1B75">
        <w:rPr>
          <w:lang w:val="es-ES_tradnl"/>
        </w:rPr>
        <w:t>4</w:t>
      </w:r>
      <w:r w:rsidR="00300FF8" w:rsidRPr="005B1B75">
        <w:rPr>
          <w:lang w:val="es-ES_tradnl"/>
        </w:rPr>
        <w:t xml:space="preserve"> </w:t>
      </w:r>
      <w:r w:rsidR="00300FF8" w:rsidRPr="005B1B75">
        <w:rPr>
          <w:lang w:val="es-ES_tradnl"/>
        </w:rPr>
        <w:tab/>
        <w:t xml:space="preserve">El Comité también toma nota de las alegaciones de los autores de que el Juzgado </w:t>
      </w:r>
      <w:r w:rsidR="001A643F" w:rsidRPr="005B1B75">
        <w:rPr>
          <w:lang w:val="es-ES_tradnl"/>
        </w:rPr>
        <w:t>núm.</w:t>
      </w:r>
      <w:r w:rsidR="00AC3CDD" w:rsidRPr="005B1B75">
        <w:rPr>
          <w:lang w:val="es-ES_tradnl"/>
        </w:rPr>
        <w:t xml:space="preserve"> 37 </w:t>
      </w:r>
      <w:r w:rsidR="00300FF8" w:rsidRPr="005B1B75">
        <w:rPr>
          <w:lang w:val="es-ES_tradnl"/>
        </w:rPr>
        <w:t>ordenó el desalojo sin evaluar las posibles consecuencias de esta medida sobre los autores, en particular sobre sus hijos menores de edad</w:t>
      </w:r>
      <w:r w:rsidR="004E471F" w:rsidRPr="005B1B75">
        <w:rPr>
          <w:lang w:val="es-ES_tradnl"/>
        </w:rPr>
        <w:t>,</w:t>
      </w:r>
      <w:r w:rsidR="00300FF8" w:rsidRPr="005B1B75">
        <w:rPr>
          <w:lang w:val="es-ES_tradnl"/>
        </w:rPr>
        <w:t xml:space="preserve"> y </w:t>
      </w:r>
      <w:r w:rsidR="004E471F" w:rsidRPr="005B1B75">
        <w:rPr>
          <w:lang w:val="es-ES_tradnl"/>
        </w:rPr>
        <w:t xml:space="preserve">de </w:t>
      </w:r>
      <w:r w:rsidR="00300FF8" w:rsidRPr="005B1B75">
        <w:rPr>
          <w:lang w:val="es-ES_tradnl"/>
        </w:rPr>
        <w:t xml:space="preserve">que la legislación no prevé que en el proceso judicial de desahucio los demandados puedan oponerse o presentar un recurso en que puedan exponer las consecuencias del desalojo, y </w:t>
      </w:r>
      <w:r w:rsidR="004E471F" w:rsidRPr="005B1B75">
        <w:rPr>
          <w:lang w:val="es-ES_tradnl"/>
        </w:rPr>
        <w:t xml:space="preserve">que </w:t>
      </w:r>
      <w:r w:rsidR="00300FF8" w:rsidRPr="005B1B75">
        <w:rPr>
          <w:lang w:val="es-ES_tradnl"/>
        </w:rPr>
        <w:t>s</w:t>
      </w:r>
      <w:r w:rsidR="004E471F" w:rsidRPr="005B1B75">
        <w:rPr>
          <w:lang w:val="es-ES_tradnl"/>
        </w:rPr>
        <w:t>o</w:t>
      </w:r>
      <w:r w:rsidR="00300FF8" w:rsidRPr="005B1B75">
        <w:rPr>
          <w:lang w:val="es-ES_tradnl"/>
        </w:rPr>
        <w:t xml:space="preserve">lo cabe alegar el pago total o parcial del monto de arrendamiento. A este respecto, el Comité observa </w:t>
      </w:r>
      <w:proofErr w:type="gramStart"/>
      <w:r w:rsidR="00300FF8" w:rsidRPr="005B1B75">
        <w:rPr>
          <w:lang w:val="es-ES_tradnl"/>
        </w:rPr>
        <w:t>que</w:t>
      </w:r>
      <w:proofErr w:type="gramEnd"/>
      <w:r w:rsidR="00300FF8" w:rsidRPr="005B1B75">
        <w:rPr>
          <w:lang w:val="es-ES_tradnl"/>
        </w:rPr>
        <w:t xml:space="preserve"> </w:t>
      </w:r>
      <w:r w:rsidR="00F8283C" w:rsidRPr="005B1B75">
        <w:rPr>
          <w:lang w:val="es-ES_tradnl"/>
        </w:rPr>
        <w:t xml:space="preserve">mediante decisiones de 30 de mayo, </w:t>
      </w:r>
      <w:r w:rsidR="00BE1E5D" w:rsidRPr="005B1B75">
        <w:rPr>
          <w:lang w:val="es-ES_tradnl"/>
        </w:rPr>
        <w:t xml:space="preserve">y </w:t>
      </w:r>
      <w:r w:rsidR="00F8283C" w:rsidRPr="005B1B75">
        <w:rPr>
          <w:lang w:val="es-ES_tradnl"/>
        </w:rPr>
        <w:t xml:space="preserve">2 y 22 de julio </w:t>
      </w:r>
      <w:r w:rsidR="00325105" w:rsidRPr="005B1B75">
        <w:rPr>
          <w:lang w:val="es-ES_tradnl"/>
        </w:rPr>
        <w:t>de 2013</w:t>
      </w:r>
      <w:r w:rsidR="00F8283C" w:rsidRPr="005B1B75">
        <w:rPr>
          <w:lang w:val="es-ES_tradnl"/>
        </w:rPr>
        <w:t xml:space="preserve">, el </w:t>
      </w:r>
      <w:r w:rsidR="00C3295F" w:rsidRPr="005B1B75">
        <w:rPr>
          <w:lang w:val="es-ES_tradnl"/>
        </w:rPr>
        <w:t xml:space="preserve">Juzgado </w:t>
      </w:r>
      <w:r w:rsidR="001A643F" w:rsidRPr="005B1B75">
        <w:rPr>
          <w:lang w:val="es-ES_tradnl"/>
        </w:rPr>
        <w:t>núm.</w:t>
      </w:r>
      <w:r w:rsidR="00C3295F" w:rsidRPr="005B1B75">
        <w:rPr>
          <w:lang w:val="es-ES_tradnl"/>
        </w:rPr>
        <w:t xml:space="preserve"> 37 </w:t>
      </w:r>
      <w:r w:rsidR="00F8283C" w:rsidRPr="005B1B75">
        <w:rPr>
          <w:lang w:val="es-ES_tradnl"/>
        </w:rPr>
        <w:t>or</w:t>
      </w:r>
      <w:r w:rsidR="00C3295F" w:rsidRPr="005B1B75">
        <w:rPr>
          <w:lang w:val="es-ES_tradnl"/>
        </w:rPr>
        <w:t xml:space="preserve">denó </w:t>
      </w:r>
      <w:r w:rsidR="00F8283C" w:rsidRPr="005B1B75">
        <w:rPr>
          <w:lang w:val="es-ES_tradnl"/>
        </w:rPr>
        <w:t xml:space="preserve">y posteriormente confirmó </w:t>
      </w:r>
      <w:r w:rsidR="00C3295F" w:rsidRPr="005B1B75">
        <w:rPr>
          <w:lang w:val="es-ES_tradnl"/>
        </w:rPr>
        <w:t>el desalojo de los autores conforme a los artículos 440</w:t>
      </w:r>
      <w:r w:rsidR="004E471F" w:rsidRPr="005B1B75">
        <w:rPr>
          <w:lang w:val="es-ES_tradnl"/>
        </w:rPr>
        <w:t xml:space="preserve">, </w:t>
      </w:r>
      <w:r w:rsidR="009E41B4" w:rsidRPr="005B1B75">
        <w:rPr>
          <w:lang w:val="es-ES_tradnl"/>
        </w:rPr>
        <w:t>a</w:t>
      </w:r>
      <w:r w:rsidR="009E41B4">
        <w:rPr>
          <w:lang w:val="es-ES_tradnl"/>
        </w:rPr>
        <w:t>partad</w:t>
      </w:r>
      <w:r w:rsidR="009E41B4" w:rsidRPr="005B1B75">
        <w:rPr>
          <w:lang w:val="es-ES_tradnl"/>
        </w:rPr>
        <w:t>o</w:t>
      </w:r>
      <w:r w:rsidR="004E471F" w:rsidRPr="005B1B75">
        <w:rPr>
          <w:lang w:val="es-ES_tradnl"/>
        </w:rPr>
        <w:t xml:space="preserve"> </w:t>
      </w:r>
      <w:r w:rsidR="00C3295F" w:rsidRPr="005B1B75">
        <w:rPr>
          <w:lang w:val="es-ES_tradnl"/>
        </w:rPr>
        <w:t xml:space="preserve">4 (tras la modificación mediante Ley </w:t>
      </w:r>
      <w:r w:rsidR="00F04757">
        <w:rPr>
          <w:lang w:val="es-ES_tradnl"/>
        </w:rPr>
        <w:t xml:space="preserve">núm. </w:t>
      </w:r>
      <w:r w:rsidR="00C3295F" w:rsidRPr="005B1B75">
        <w:rPr>
          <w:lang w:val="es-ES_tradnl"/>
        </w:rPr>
        <w:t>37/2011)</w:t>
      </w:r>
      <w:r w:rsidR="00F8283C" w:rsidRPr="005B1B75">
        <w:rPr>
          <w:lang w:val="es-ES_tradnl"/>
        </w:rPr>
        <w:t xml:space="preserve">, </w:t>
      </w:r>
      <w:r w:rsidR="00C3295F" w:rsidRPr="005B1B75">
        <w:rPr>
          <w:lang w:val="es-ES_tradnl"/>
        </w:rPr>
        <w:t>549</w:t>
      </w:r>
      <w:r w:rsidR="004E471F" w:rsidRPr="005B1B75">
        <w:rPr>
          <w:lang w:val="es-ES_tradnl"/>
        </w:rPr>
        <w:t xml:space="preserve">, </w:t>
      </w:r>
      <w:r w:rsidR="009E41B4" w:rsidRPr="005B1B75">
        <w:rPr>
          <w:lang w:val="es-ES_tradnl"/>
        </w:rPr>
        <w:t>a</w:t>
      </w:r>
      <w:r w:rsidR="009E41B4">
        <w:rPr>
          <w:lang w:val="es-ES_tradnl"/>
        </w:rPr>
        <w:t>partad</w:t>
      </w:r>
      <w:r w:rsidR="009E41B4" w:rsidRPr="005B1B75">
        <w:rPr>
          <w:lang w:val="es-ES_tradnl"/>
        </w:rPr>
        <w:t>o</w:t>
      </w:r>
      <w:r w:rsidR="004E471F" w:rsidRPr="005B1B75">
        <w:rPr>
          <w:lang w:val="es-ES_tradnl"/>
        </w:rPr>
        <w:t xml:space="preserve"> </w:t>
      </w:r>
      <w:r w:rsidR="00C3295F" w:rsidRPr="005B1B75">
        <w:rPr>
          <w:lang w:val="es-ES_tradnl"/>
        </w:rPr>
        <w:t>3</w:t>
      </w:r>
      <w:r w:rsidR="003C0625" w:rsidRPr="005B1B75">
        <w:rPr>
          <w:lang w:val="es-ES_tradnl"/>
        </w:rPr>
        <w:t>,</w:t>
      </w:r>
      <w:r w:rsidR="00C3295F" w:rsidRPr="005B1B75">
        <w:rPr>
          <w:lang w:val="es-ES_tradnl"/>
        </w:rPr>
        <w:t xml:space="preserve"> </w:t>
      </w:r>
      <w:r w:rsidR="00F8283C" w:rsidRPr="005B1B75">
        <w:rPr>
          <w:lang w:val="es-ES_tradnl"/>
        </w:rPr>
        <w:t>y 556</w:t>
      </w:r>
      <w:r w:rsidR="004E471F" w:rsidRPr="005B1B75">
        <w:rPr>
          <w:lang w:val="es-ES_tradnl"/>
        </w:rPr>
        <w:t xml:space="preserve">, </w:t>
      </w:r>
      <w:r w:rsidR="009E41B4" w:rsidRPr="005B1B75">
        <w:rPr>
          <w:lang w:val="es-ES_tradnl"/>
        </w:rPr>
        <w:t>a</w:t>
      </w:r>
      <w:r w:rsidR="009E41B4">
        <w:rPr>
          <w:lang w:val="es-ES_tradnl"/>
        </w:rPr>
        <w:t>partad</w:t>
      </w:r>
      <w:r w:rsidR="009E41B4" w:rsidRPr="005B1B75">
        <w:rPr>
          <w:lang w:val="es-ES_tradnl"/>
        </w:rPr>
        <w:t>o</w:t>
      </w:r>
      <w:r w:rsidR="004E471F" w:rsidRPr="005B1B75">
        <w:rPr>
          <w:lang w:val="es-ES_tradnl"/>
        </w:rPr>
        <w:t xml:space="preserve"> </w:t>
      </w:r>
      <w:r w:rsidR="00F8283C" w:rsidRPr="005B1B75">
        <w:rPr>
          <w:lang w:val="es-ES_tradnl"/>
        </w:rPr>
        <w:t>1</w:t>
      </w:r>
      <w:r w:rsidR="003C0625" w:rsidRPr="005B1B75">
        <w:rPr>
          <w:lang w:val="es-ES_tradnl"/>
        </w:rPr>
        <w:t>,</w:t>
      </w:r>
      <w:r w:rsidR="000E5259" w:rsidRPr="005B1B75">
        <w:rPr>
          <w:lang w:val="es-ES_tradnl"/>
        </w:rPr>
        <w:t xml:space="preserve"> de la </w:t>
      </w:r>
      <w:r w:rsidR="004E471F" w:rsidRPr="005B1B75">
        <w:rPr>
          <w:lang w:val="es-ES_tradnl"/>
        </w:rPr>
        <w:t>Ley de Enjuiciamiento Civil</w:t>
      </w:r>
      <w:r w:rsidR="00F8283C" w:rsidRPr="005B1B75">
        <w:rPr>
          <w:lang w:val="es-ES_tradnl"/>
        </w:rPr>
        <w:t xml:space="preserve">. </w:t>
      </w:r>
      <w:r w:rsidR="00D85192" w:rsidRPr="005B1B75">
        <w:rPr>
          <w:lang w:val="es-ES_tradnl"/>
        </w:rPr>
        <w:t>C</w:t>
      </w:r>
      <w:r w:rsidR="000E5259" w:rsidRPr="005B1B75">
        <w:rPr>
          <w:lang w:val="es-ES_tradnl"/>
        </w:rPr>
        <w:t>on</w:t>
      </w:r>
      <w:r w:rsidR="00F8283C" w:rsidRPr="005B1B75">
        <w:rPr>
          <w:lang w:val="es-ES_tradnl"/>
        </w:rPr>
        <w:t xml:space="preserve"> arreglo a estas disposiciones y al artículo </w:t>
      </w:r>
      <w:r w:rsidRPr="005B1B75">
        <w:rPr>
          <w:lang w:val="es-ES_tradnl"/>
        </w:rPr>
        <w:t>444</w:t>
      </w:r>
      <w:r w:rsidR="004E471F" w:rsidRPr="005B1B75">
        <w:rPr>
          <w:lang w:val="es-ES_tradnl"/>
        </w:rPr>
        <w:t xml:space="preserve">, </w:t>
      </w:r>
      <w:r w:rsidR="009E41B4" w:rsidRPr="005B1B75">
        <w:rPr>
          <w:lang w:val="es-ES_tradnl"/>
        </w:rPr>
        <w:t>a</w:t>
      </w:r>
      <w:r w:rsidR="009E41B4">
        <w:rPr>
          <w:lang w:val="es-ES_tradnl"/>
        </w:rPr>
        <w:t>partad</w:t>
      </w:r>
      <w:r w:rsidR="009E41B4" w:rsidRPr="005B1B75">
        <w:rPr>
          <w:lang w:val="es-ES_tradnl"/>
        </w:rPr>
        <w:t>o</w:t>
      </w:r>
      <w:r w:rsidR="004E471F" w:rsidRPr="005B1B75">
        <w:rPr>
          <w:lang w:val="es-ES_tradnl"/>
        </w:rPr>
        <w:t xml:space="preserve"> </w:t>
      </w:r>
      <w:r w:rsidRPr="005B1B75">
        <w:rPr>
          <w:lang w:val="es-ES_tradnl"/>
        </w:rPr>
        <w:t>1</w:t>
      </w:r>
      <w:r w:rsidR="003C0625" w:rsidRPr="005B1B75">
        <w:rPr>
          <w:lang w:val="es-ES_tradnl"/>
        </w:rPr>
        <w:t>,</w:t>
      </w:r>
      <w:r w:rsidRPr="005B1B75">
        <w:rPr>
          <w:lang w:val="es-ES_tradnl"/>
        </w:rPr>
        <w:t xml:space="preserve"> </w:t>
      </w:r>
      <w:r w:rsidR="00F8283C" w:rsidRPr="005B1B75">
        <w:rPr>
          <w:lang w:val="es-ES_tradnl"/>
        </w:rPr>
        <w:t xml:space="preserve">de la </w:t>
      </w:r>
      <w:r w:rsidR="004E471F" w:rsidRPr="005B1B75">
        <w:rPr>
          <w:lang w:val="es-ES_tradnl"/>
        </w:rPr>
        <w:t xml:space="preserve">misma </w:t>
      </w:r>
      <w:r w:rsidR="00F04757">
        <w:rPr>
          <w:lang w:val="es-ES_tradnl"/>
        </w:rPr>
        <w:t>L</w:t>
      </w:r>
      <w:r w:rsidR="004E471F" w:rsidRPr="005B1B75">
        <w:rPr>
          <w:lang w:val="es-ES_tradnl"/>
        </w:rPr>
        <w:t>ey</w:t>
      </w:r>
      <w:r w:rsidR="00F8283C" w:rsidRPr="005B1B75">
        <w:rPr>
          <w:lang w:val="es-ES_tradnl"/>
        </w:rPr>
        <w:t xml:space="preserve">, </w:t>
      </w:r>
      <w:r w:rsidR="00EE7EA7" w:rsidRPr="005B1B75">
        <w:rPr>
          <w:lang w:val="es-ES_tradnl"/>
        </w:rPr>
        <w:t>s</w:t>
      </w:r>
      <w:r w:rsidR="00BE1E5D" w:rsidRPr="005B1B75">
        <w:rPr>
          <w:lang w:val="es-ES_tradnl"/>
        </w:rPr>
        <w:t>olo cabía</w:t>
      </w:r>
      <w:r w:rsidR="00F8283C" w:rsidRPr="005B1B75">
        <w:rPr>
          <w:lang w:val="es-ES_tradnl"/>
        </w:rPr>
        <w:t xml:space="preserve"> que el demandado alegue </w:t>
      </w:r>
      <w:r w:rsidR="00BE1E5D" w:rsidRPr="005B1B75">
        <w:rPr>
          <w:lang w:val="es-ES_tradnl"/>
        </w:rPr>
        <w:t xml:space="preserve">en el proceso </w:t>
      </w:r>
      <w:r w:rsidR="00F8283C" w:rsidRPr="005B1B75">
        <w:rPr>
          <w:lang w:val="es-ES_tradnl"/>
        </w:rPr>
        <w:t xml:space="preserve">el pago o circunstancias relativas a la procedencia de la enervación. </w:t>
      </w:r>
      <w:r w:rsidR="005953D9" w:rsidRPr="005B1B75">
        <w:rPr>
          <w:lang w:val="es-ES_tradnl"/>
        </w:rPr>
        <w:t>Por otra parte</w:t>
      </w:r>
      <w:r w:rsidR="00F8283C" w:rsidRPr="005B1B75">
        <w:rPr>
          <w:lang w:val="es-ES_tradnl"/>
        </w:rPr>
        <w:t>, el Comité observa que</w:t>
      </w:r>
      <w:r w:rsidR="00AC101D" w:rsidRPr="005B1B75">
        <w:rPr>
          <w:lang w:val="es-ES_tradnl"/>
        </w:rPr>
        <w:t>,</w:t>
      </w:r>
      <w:r w:rsidR="00F8283C" w:rsidRPr="005B1B75">
        <w:rPr>
          <w:lang w:val="es-ES_tradnl"/>
        </w:rPr>
        <w:t xml:space="preserve"> </w:t>
      </w:r>
      <w:r w:rsidR="004C75EE" w:rsidRPr="005B1B75">
        <w:rPr>
          <w:lang w:val="es-ES_tradnl"/>
        </w:rPr>
        <w:t>a pesar de la ausencia de legislación específica que permita al juez en el juicio verbal de desahucio revisar la compatibilidad de la medida con relación al Pacto (véa</w:t>
      </w:r>
      <w:r w:rsidR="003C0625" w:rsidRPr="005B1B75">
        <w:rPr>
          <w:lang w:val="es-ES_tradnl"/>
        </w:rPr>
        <w:t>n</w:t>
      </w:r>
      <w:r w:rsidR="004C75EE" w:rsidRPr="005B1B75">
        <w:rPr>
          <w:lang w:val="es-ES_tradnl"/>
        </w:rPr>
        <w:t xml:space="preserve">se </w:t>
      </w:r>
      <w:r w:rsidR="003C0625" w:rsidRPr="005B1B75">
        <w:rPr>
          <w:lang w:val="es-ES_tradnl"/>
        </w:rPr>
        <w:t xml:space="preserve">los párrafos </w:t>
      </w:r>
      <w:r w:rsidR="00D2539D" w:rsidRPr="005B1B75">
        <w:rPr>
          <w:lang w:val="es-ES_tradnl"/>
        </w:rPr>
        <w:t>15.1</w:t>
      </w:r>
      <w:r w:rsidR="003C0625" w:rsidRPr="005B1B75">
        <w:rPr>
          <w:lang w:val="es-ES_tradnl"/>
        </w:rPr>
        <w:t xml:space="preserve"> y</w:t>
      </w:r>
      <w:r w:rsidR="00B904A4">
        <w:rPr>
          <w:lang w:val="es-ES_tradnl"/>
        </w:rPr>
        <w:t> </w:t>
      </w:r>
      <w:r w:rsidR="004C5E8F" w:rsidRPr="005B1B75">
        <w:rPr>
          <w:lang w:val="es-ES_tradnl"/>
        </w:rPr>
        <w:t>15.2</w:t>
      </w:r>
      <w:r w:rsidR="003C0625" w:rsidRPr="005B1B75">
        <w:rPr>
          <w:lang w:val="es-ES_tradnl"/>
        </w:rPr>
        <w:t xml:space="preserve"> </w:t>
      </w:r>
      <w:r w:rsidR="003C0625" w:rsidRPr="009E41B4">
        <w:rPr>
          <w:i/>
          <w:lang w:val="es-ES_tradnl"/>
        </w:rPr>
        <w:t>supra</w:t>
      </w:r>
      <w:r w:rsidR="004C75EE" w:rsidRPr="005B1B75">
        <w:rPr>
          <w:lang w:val="es-ES_tradnl"/>
        </w:rPr>
        <w:t xml:space="preserve">), el </w:t>
      </w:r>
      <w:r w:rsidR="00325105" w:rsidRPr="005B1B75">
        <w:rPr>
          <w:lang w:val="es-ES_tradnl"/>
        </w:rPr>
        <w:t>30 de mayo de 2013</w:t>
      </w:r>
      <w:r w:rsidR="00EA223A" w:rsidRPr="005B1B75">
        <w:rPr>
          <w:lang w:val="es-ES_tradnl"/>
        </w:rPr>
        <w:t xml:space="preserve"> el </w:t>
      </w:r>
      <w:r w:rsidR="004C75EE" w:rsidRPr="005B1B75">
        <w:rPr>
          <w:lang w:val="es-ES_tradnl"/>
        </w:rPr>
        <w:t xml:space="preserve">Juzgado </w:t>
      </w:r>
      <w:r w:rsidR="001A643F" w:rsidRPr="005B1B75">
        <w:rPr>
          <w:lang w:val="es-ES_tradnl"/>
        </w:rPr>
        <w:t>núm.</w:t>
      </w:r>
      <w:r w:rsidR="004C75EE" w:rsidRPr="005B1B75">
        <w:rPr>
          <w:lang w:val="es-ES_tradnl"/>
        </w:rPr>
        <w:t xml:space="preserve"> 37</w:t>
      </w:r>
      <w:r w:rsidR="00C3295F" w:rsidRPr="005B1B75">
        <w:rPr>
          <w:lang w:val="es-ES_tradnl"/>
        </w:rPr>
        <w:t xml:space="preserve"> </w:t>
      </w:r>
      <w:r w:rsidR="004C75EE" w:rsidRPr="005B1B75">
        <w:rPr>
          <w:lang w:val="es-ES_tradnl"/>
        </w:rPr>
        <w:t>ordenó</w:t>
      </w:r>
      <w:r w:rsidR="00C3295F" w:rsidRPr="005B1B75">
        <w:rPr>
          <w:lang w:val="es-ES_tradnl"/>
        </w:rPr>
        <w:t xml:space="preserve"> oficiar a la Consejería y el Área de Gobierno de Familia y Servicios Sociales del Ayuntamiento de Madrid para que adopt</w:t>
      </w:r>
      <w:r w:rsidR="00AC101D" w:rsidRPr="005B1B75">
        <w:rPr>
          <w:lang w:val="es-ES_tradnl"/>
        </w:rPr>
        <w:t>aran</w:t>
      </w:r>
      <w:r w:rsidR="00C3295F" w:rsidRPr="005B1B75">
        <w:rPr>
          <w:lang w:val="es-ES_tradnl"/>
        </w:rPr>
        <w:t xml:space="preserve"> las medidas de su competencia para evitar el desamparo del </w:t>
      </w:r>
      <w:r w:rsidR="002D0785" w:rsidRPr="005B1B75">
        <w:rPr>
          <w:lang w:val="es-ES_tradnl"/>
        </w:rPr>
        <w:t>Sr.</w:t>
      </w:r>
      <w:r w:rsidR="00585EBA">
        <w:rPr>
          <w:lang w:val="es-ES_tradnl"/>
        </w:rPr>
        <w:t> </w:t>
      </w:r>
      <w:r w:rsidR="002D0785" w:rsidRPr="005B1B75">
        <w:rPr>
          <w:lang w:val="es-ES_tradnl"/>
        </w:rPr>
        <w:t xml:space="preserve">Ben </w:t>
      </w:r>
      <w:proofErr w:type="spellStart"/>
      <w:r w:rsidR="002D0785" w:rsidRPr="005B1B75">
        <w:rPr>
          <w:lang w:val="es-ES_tradnl"/>
        </w:rPr>
        <w:t>Djazia</w:t>
      </w:r>
      <w:proofErr w:type="spellEnd"/>
      <w:r w:rsidR="00C3295F" w:rsidRPr="005B1B75">
        <w:rPr>
          <w:lang w:val="es-ES_tradnl"/>
        </w:rPr>
        <w:t xml:space="preserve"> y, en particular, para que en un plazo de 20 días informen al Juzgado sobre las medidas concretas que adoptarían para garantizar el derecho de los hijos menores de edad </w:t>
      </w:r>
      <w:r w:rsidR="00EA223A" w:rsidRPr="005B1B75">
        <w:rPr>
          <w:lang w:val="es-ES_tradnl"/>
        </w:rPr>
        <w:t>a una vivienda digna y adecuada. Dicha solicitud fue reiterada el 2 de jul</w:t>
      </w:r>
      <w:r w:rsidR="00325105" w:rsidRPr="005B1B75">
        <w:rPr>
          <w:lang w:val="es-ES_tradnl"/>
        </w:rPr>
        <w:t>io de 2013</w:t>
      </w:r>
      <w:r w:rsidR="00EA223A" w:rsidRPr="005B1B75">
        <w:rPr>
          <w:lang w:val="es-ES_tradnl"/>
        </w:rPr>
        <w:t>.</w:t>
      </w:r>
      <w:r w:rsidR="007450D7" w:rsidRPr="005B1B75">
        <w:rPr>
          <w:lang w:val="es-ES_tradnl"/>
        </w:rPr>
        <w:t xml:space="preserve"> Asimismo, el Juzgado pospuso el desalojo en varias oportunidades atendiendo a las solicitudes del </w:t>
      </w:r>
      <w:r w:rsidR="002D0785" w:rsidRPr="005B1B75">
        <w:rPr>
          <w:lang w:val="es-ES_tradnl"/>
        </w:rPr>
        <w:t xml:space="preserve">Sr. Ben </w:t>
      </w:r>
      <w:proofErr w:type="spellStart"/>
      <w:r w:rsidR="002D0785" w:rsidRPr="005B1B75">
        <w:rPr>
          <w:lang w:val="es-ES_tradnl"/>
        </w:rPr>
        <w:t>Djazia</w:t>
      </w:r>
      <w:proofErr w:type="spellEnd"/>
      <w:r w:rsidR="007450D7" w:rsidRPr="005B1B75">
        <w:rPr>
          <w:lang w:val="es-ES_tradnl"/>
        </w:rPr>
        <w:t>.</w:t>
      </w:r>
      <w:r w:rsidR="000E5259" w:rsidRPr="005B1B75">
        <w:rPr>
          <w:lang w:val="es-ES_tradnl"/>
        </w:rPr>
        <w:t xml:space="preserve"> </w:t>
      </w:r>
    </w:p>
    <w:p w14:paraId="1CDD7A40" w14:textId="2FAC3412" w:rsidR="00DC2C0F" w:rsidRPr="005B1B75" w:rsidRDefault="0059048A" w:rsidP="00D445DC">
      <w:pPr>
        <w:pStyle w:val="SingleTxtG"/>
        <w:rPr>
          <w:lang w:val="es-ES_tradnl"/>
        </w:rPr>
      </w:pPr>
      <w:r w:rsidRPr="005B1B75">
        <w:rPr>
          <w:lang w:val="es-ES_tradnl"/>
        </w:rPr>
        <w:t xml:space="preserve">16.5 </w:t>
      </w:r>
      <w:r w:rsidRPr="005B1B75">
        <w:rPr>
          <w:lang w:val="es-ES_tradnl"/>
        </w:rPr>
        <w:tab/>
      </w:r>
      <w:r w:rsidR="000E5259" w:rsidRPr="005B1B75">
        <w:rPr>
          <w:lang w:val="es-ES_tradnl"/>
        </w:rPr>
        <w:t xml:space="preserve">El Comité </w:t>
      </w:r>
      <w:r w:rsidR="00D2539D" w:rsidRPr="005B1B75">
        <w:rPr>
          <w:lang w:val="es-ES_tradnl"/>
        </w:rPr>
        <w:t xml:space="preserve">toma </w:t>
      </w:r>
      <w:r w:rsidR="00AC101D" w:rsidRPr="005B1B75">
        <w:rPr>
          <w:lang w:val="es-ES_tradnl"/>
        </w:rPr>
        <w:t xml:space="preserve">nota </w:t>
      </w:r>
      <w:r w:rsidR="00D2539D" w:rsidRPr="005B1B75">
        <w:rPr>
          <w:lang w:val="es-ES_tradnl"/>
        </w:rPr>
        <w:t xml:space="preserve">de </w:t>
      </w:r>
      <w:r w:rsidR="00AC101D" w:rsidRPr="005B1B75">
        <w:rPr>
          <w:lang w:val="es-ES_tradnl"/>
        </w:rPr>
        <w:t xml:space="preserve">las medidas adoptadas por el Juzgado </w:t>
      </w:r>
      <w:r w:rsidR="001A643F" w:rsidRPr="005B1B75">
        <w:rPr>
          <w:lang w:val="es-ES_tradnl"/>
        </w:rPr>
        <w:t>núm.</w:t>
      </w:r>
      <w:r w:rsidR="00AC101D" w:rsidRPr="005B1B75">
        <w:rPr>
          <w:lang w:val="es-ES_tradnl"/>
        </w:rPr>
        <w:t xml:space="preserve"> 37 para </w:t>
      </w:r>
      <w:r w:rsidR="000E5259" w:rsidRPr="005B1B75">
        <w:rPr>
          <w:lang w:val="es-ES_tradnl"/>
        </w:rPr>
        <w:t xml:space="preserve">evitar que los autores, y en particular los hijos menores de edad, </w:t>
      </w:r>
      <w:r w:rsidR="00BE1E5D" w:rsidRPr="005B1B75">
        <w:rPr>
          <w:lang w:val="es-ES_tradnl"/>
        </w:rPr>
        <w:t xml:space="preserve">se </w:t>
      </w:r>
      <w:r w:rsidR="000E5259" w:rsidRPr="005B1B75">
        <w:rPr>
          <w:lang w:val="es-ES_tradnl"/>
        </w:rPr>
        <w:t xml:space="preserve">quedasen sin </w:t>
      </w:r>
      <w:r w:rsidR="00AC3CDD" w:rsidRPr="005B1B75">
        <w:rPr>
          <w:lang w:val="es-ES_tradnl"/>
        </w:rPr>
        <w:t>un techo</w:t>
      </w:r>
      <w:r w:rsidR="000E5259" w:rsidRPr="005B1B75">
        <w:rPr>
          <w:lang w:val="es-ES_tradnl"/>
        </w:rPr>
        <w:t xml:space="preserve"> o expuestos a violaciones de otros derechos humanos</w:t>
      </w:r>
      <w:r w:rsidR="003C0625" w:rsidRPr="005B1B75">
        <w:rPr>
          <w:lang w:val="es-ES_tradnl"/>
        </w:rPr>
        <w:t>,</w:t>
      </w:r>
      <w:r w:rsidR="00AC101D" w:rsidRPr="005B1B75">
        <w:rPr>
          <w:lang w:val="es-ES_tradnl"/>
        </w:rPr>
        <w:t xml:space="preserve"> y considera</w:t>
      </w:r>
      <w:r w:rsidR="00A51F9A" w:rsidRPr="005B1B75">
        <w:rPr>
          <w:lang w:val="es-ES_tradnl"/>
        </w:rPr>
        <w:t>,</w:t>
      </w:r>
      <w:r w:rsidR="00AC101D" w:rsidRPr="005B1B75">
        <w:rPr>
          <w:lang w:val="es-ES_tradnl"/>
        </w:rPr>
        <w:t xml:space="preserve"> por lo tanto</w:t>
      </w:r>
      <w:r w:rsidR="00A51F9A" w:rsidRPr="005B1B75">
        <w:rPr>
          <w:lang w:val="es-ES_tradnl"/>
        </w:rPr>
        <w:t>,</w:t>
      </w:r>
      <w:r w:rsidR="00AC101D" w:rsidRPr="005B1B75">
        <w:rPr>
          <w:lang w:val="es-ES_tradnl"/>
        </w:rPr>
        <w:t xml:space="preserve"> que en la práctica el Juzgado realizó una evaluación de los posibles efectos del desalojo, a pesar de que la ley no le impusiera esa obligación. </w:t>
      </w:r>
      <w:r w:rsidR="004702AF" w:rsidRPr="005B1B75">
        <w:rPr>
          <w:lang w:val="es-ES_tradnl"/>
        </w:rPr>
        <w:t xml:space="preserve">Ahora bien, </w:t>
      </w:r>
      <w:r w:rsidR="00253012" w:rsidRPr="005B1B75">
        <w:rPr>
          <w:lang w:val="es-ES_tradnl"/>
        </w:rPr>
        <w:t xml:space="preserve">el derecho a la vivienda en el Estado parte no es un derecho fundamental que pueda ser directamente protegido a través del recurso de amparo. Además, </w:t>
      </w:r>
      <w:r w:rsidR="00DC2C0F" w:rsidRPr="005B1B75">
        <w:rPr>
          <w:lang w:val="es-ES_tradnl"/>
        </w:rPr>
        <w:t>en los procesos de juicio verbal de desahucio</w:t>
      </w:r>
      <w:r w:rsidR="004702AF" w:rsidRPr="005B1B75">
        <w:rPr>
          <w:lang w:val="es-ES_tradnl"/>
        </w:rPr>
        <w:t xml:space="preserve">, los </w:t>
      </w:r>
      <w:r w:rsidR="00442414" w:rsidRPr="005B1B75">
        <w:rPr>
          <w:lang w:val="es-ES_tradnl"/>
        </w:rPr>
        <w:t xml:space="preserve">jueces </w:t>
      </w:r>
      <w:r w:rsidR="004702AF" w:rsidRPr="005B1B75">
        <w:rPr>
          <w:lang w:val="es-ES_tradnl"/>
        </w:rPr>
        <w:t>no están obligados por ley a suspender el desahucio hasta que una vivienda alterna</w:t>
      </w:r>
      <w:r w:rsidR="00347D4E" w:rsidRPr="005B1B75">
        <w:rPr>
          <w:lang w:val="es-ES_tradnl"/>
        </w:rPr>
        <w:t>tiva</w:t>
      </w:r>
      <w:r w:rsidR="004702AF" w:rsidRPr="005B1B75">
        <w:rPr>
          <w:lang w:val="es-ES_tradnl"/>
        </w:rPr>
        <w:t xml:space="preserve"> esté disponible para la persona afectada</w:t>
      </w:r>
      <w:r w:rsidR="00DC2C0F" w:rsidRPr="005B1B75">
        <w:rPr>
          <w:lang w:val="es-ES_tradnl"/>
        </w:rPr>
        <w:t>. Más aún,</w:t>
      </w:r>
      <w:r w:rsidR="004702AF" w:rsidRPr="005B1B75">
        <w:rPr>
          <w:lang w:val="es-ES_tradnl"/>
        </w:rPr>
        <w:t xml:space="preserve"> la ley no establece clara y expresamente que los </w:t>
      </w:r>
      <w:r w:rsidR="00442414" w:rsidRPr="005B1B75">
        <w:rPr>
          <w:lang w:val="es-ES_tradnl"/>
        </w:rPr>
        <w:t xml:space="preserve">jueces </w:t>
      </w:r>
      <w:r w:rsidR="004702AF" w:rsidRPr="005B1B75">
        <w:rPr>
          <w:lang w:val="es-ES_tradnl"/>
        </w:rPr>
        <w:t xml:space="preserve">cuenten con </w:t>
      </w:r>
      <w:r w:rsidR="00442414" w:rsidRPr="005B1B75">
        <w:rPr>
          <w:lang w:val="es-ES_tradnl"/>
        </w:rPr>
        <w:t xml:space="preserve">esa </w:t>
      </w:r>
      <w:r w:rsidR="004702AF" w:rsidRPr="005B1B75">
        <w:rPr>
          <w:lang w:val="es-ES_tradnl"/>
        </w:rPr>
        <w:t xml:space="preserve">facultad </w:t>
      </w:r>
      <w:r w:rsidR="00DC2C0F" w:rsidRPr="005B1B75">
        <w:rPr>
          <w:lang w:val="es-ES_tradnl"/>
        </w:rPr>
        <w:t xml:space="preserve">o que puedan ordenar a otras autoridades, como los servicios sociales, </w:t>
      </w:r>
      <w:r w:rsidR="00442414" w:rsidRPr="005B1B75">
        <w:rPr>
          <w:lang w:val="es-ES_tradnl"/>
        </w:rPr>
        <w:t xml:space="preserve">que tomen </w:t>
      </w:r>
      <w:r w:rsidR="00DC2C0F" w:rsidRPr="005B1B75">
        <w:rPr>
          <w:lang w:val="es-ES_tradnl"/>
        </w:rPr>
        <w:t>medidas, de forma coordinada, con el fin de evitar que una persona desahuciada de su hogar quede sin techo</w:t>
      </w:r>
      <w:r w:rsidR="004702AF" w:rsidRPr="005B1B75">
        <w:rPr>
          <w:lang w:val="es-ES_tradnl"/>
        </w:rPr>
        <w:t xml:space="preserve">. </w:t>
      </w:r>
      <w:r w:rsidR="00DC2C0F" w:rsidRPr="005B1B75">
        <w:rPr>
          <w:lang w:val="es-ES_tradnl"/>
        </w:rPr>
        <w:t>En este contexto,</w:t>
      </w:r>
      <w:r w:rsidR="00BE1E5D" w:rsidRPr="005B1B75">
        <w:rPr>
          <w:lang w:val="es-ES_tradnl"/>
        </w:rPr>
        <w:t xml:space="preserve"> </w:t>
      </w:r>
      <w:r w:rsidR="005953D9" w:rsidRPr="005B1B75">
        <w:rPr>
          <w:lang w:val="es-ES_tradnl"/>
        </w:rPr>
        <w:t xml:space="preserve">el Juzgado </w:t>
      </w:r>
      <w:r w:rsidR="001A643F" w:rsidRPr="005B1B75">
        <w:rPr>
          <w:lang w:val="es-ES_tradnl"/>
        </w:rPr>
        <w:t>núm.</w:t>
      </w:r>
      <w:r w:rsidR="005953D9" w:rsidRPr="005B1B75">
        <w:rPr>
          <w:lang w:val="es-ES_tradnl"/>
        </w:rPr>
        <w:t xml:space="preserve"> </w:t>
      </w:r>
      <w:r w:rsidR="00325105" w:rsidRPr="005B1B75">
        <w:rPr>
          <w:lang w:val="es-ES_tradnl"/>
        </w:rPr>
        <w:t xml:space="preserve">37 ejecutó el desalojo de los autores y sus hijos el 3 de octubre de 2013 </w:t>
      </w:r>
      <w:r w:rsidR="00442414" w:rsidRPr="005B1B75">
        <w:rPr>
          <w:lang w:val="es-ES_tradnl"/>
        </w:rPr>
        <w:t xml:space="preserve">a pesar de que los autores no contaban con una vivienda alternativa ni ingresos suficientes para procurar una vivienda en el mercado y </w:t>
      </w:r>
      <w:r w:rsidR="00325105" w:rsidRPr="005B1B75">
        <w:rPr>
          <w:lang w:val="es-ES_tradnl"/>
        </w:rPr>
        <w:t>a pesar de que no consta</w:t>
      </w:r>
      <w:r w:rsidR="00442414" w:rsidRPr="005B1B75">
        <w:rPr>
          <w:lang w:val="es-ES_tradnl"/>
        </w:rPr>
        <w:t>ra</w:t>
      </w:r>
      <w:r w:rsidR="00325105" w:rsidRPr="005B1B75">
        <w:rPr>
          <w:lang w:val="es-ES_tradnl"/>
        </w:rPr>
        <w:t xml:space="preserve"> que los </w:t>
      </w:r>
      <w:r w:rsidR="00FE50ED" w:rsidRPr="005B1B75">
        <w:rPr>
          <w:lang w:val="es-ES_tradnl"/>
        </w:rPr>
        <w:t>S</w:t>
      </w:r>
      <w:r w:rsidR="00325105" w:rsidRPr="005B1B75">
        <w:rPr>
          <w:lang w:val="es-ES_tradnl"/>
        </w:rPr>
        <w:t xml:space="preserve">ervicios </w:t>
      </w:r>
      <w:r w:rsidR="00FE50ED" w:rsidRPr="005B1B75">
        <w:rPr>
          <w:lang w:val="es-ES_tradnl"/>
        </w:rPr>
        <w:t>S</w:t>
      </w:r>
      <w:r w:rsidR="00325105" w:rsidRPr="005B1B75">
        <w:rPr>
          <w:lang w:val="es-ES_tradnl"/>
        </w:rPr>
        <w:t xml:space="preserve">ociales de Madrid </w:t>
      </w:r>
      <w:r w:rsidR="00442414" w:rsidRPr="005B1B75">
        <w:rPr>
          <w:lang w:val="es-ES_tradnl"/>
        </w:rPr>
        <w:t>hubieran re</w:t>
      </w:r>
      <w:r w:rsidR="00325105" w:rsidRPr="005B1B75">
        <w:rPr>
          <w:lang w:val="es-ES_tradnl"/>
        </w:rPr>
        <w:t>spondi</w:t>
      </w:r>
      <w:r w:rsidR="00442414" w:rsidRPr="005B1B75">
        <w:rPr>
          <w:lang w:val="es-ES_tradnl"/>
        </w:rPr>
        <w:t xml:space="preserve">do </w:t>
      </w:r>
      <w:r w:rsidR="00325105" w:rsidRPr="005B1B75">
        <w:rPr>
          <w:lang w:val="es-ES_tradnl"/>
        </w:rPr>
        <w:t>oportuna</w:t>
      </w:r>
      <w:r w:rsidR="00442414" w:rsidRPr="005B1B75">
        <w:rPr>
          <w:lang w:val="es-ES_tradnl"/>
        </w:rPr>
        <w:t>mente</w:t>
      </w:r>
      <w:r w:rsidR="00325105" w:rsidRPr="005B1B75">
        <w:rPr>
          <w:lang w:val="es-ES_tradnl"/>
        </w:rPr>
        <w:t xml:space="preserve"> al requerimiento del Juzgado</w:t>
      </w:r>
      <w:r w:rsidR="00442414" w:rsidRPr="005B1B75">
        <w:rPr>
          <w:lang w:val="es-ES_tradnl"/>
        </w:rPr>
        <w:t>.</w:t>
      </w:r>
      <w:r w:rsidR="00325105" w:rsidRPr="005B1B75">
        <w:rPr>
          <w:lang w:val="es-ES_tradnl"/>
        </w:rPr>
        <w:t xml:space="preserve"> </w:t>
      </w:r>
    </w:p>
    <w:p w14:paraId="77A7AC4F" w14:textId="7960C06D" w:rsidR="00CD5052" w:rsidRPr="005B1B75" w:rsidRDefault="00DC2C0F" w:rsidP="00D445DC">
      <w:pPr>
        <w:pStyle w:val="SingleTxtG"/>
        <w:rPr>
          <w:lang w:val="es-ES_tradnl"/>
        </w:rPr>
      </w:pPr>
      <w:r w:rsidRPr="005B1B75">
        <w:rPr>
          <w:lang w:val="es-ES_tradnl"/>
        </w:rPr>
        <w:t xml:space="preserve">16.6 </w:t>
      </w:r>
      <w:r w:rsidRPr="005B1B75">
        <w:rPr>
          <w:lang w:val="es-ES_tradnl"/>
        </w:rPr>
        <w:tab/>
      </w:r>
      <w:r w:rsidR="00325105" w:rsidRPr="005B1B75">
        <w:rPr>
          <w:lang w:val="es-ES_tradnl"/>
        </w:rPr>
        <w:t xml:space="preserve">Como resultado, después de permanecer en un albergue temporal del </w:t>
      </w:r>
      <w:proofErr w:type="spellStart"/>
      <w:r w:rsidR="00325105" w:rsidRPr="005B1B75">
        <w:rPr>
          <w:lang w:val="es-ES_tradnl"/>
        </w:rPr>
        <w:t>S</w:t>
      </w:r>
      <w:r w:rsidR="00A47877" w:rsidRPr="005B1B75">
        <w:rPr>
          <w:lang w:val="es-ES_tradnl"/>
        </w:rPr>
        <w:t>amur</w:t>
      </w:r>
      <w:proofErr w:type="spellEnd"/>
      <w:r w:rsidR="00325105" w:rsidRPr="005B1B75">
        <w:rPr>
          <w:lang w:val="es-ES_tradnl"/>
        </w:rPr>
        <w:t xml:space="preserve">, los autores y </w:t>
      </w:r>
      <w:r w:rsidR="00AC3CDD" w:rsidRPr="005B1B75">
        <w:rPr>
          <w:lang w:val="es-ES_tradnl"/>
        </w:rPr>
        <w:t xml:space="preserve">sus hijos </w:t>
      </w:r>
      <w:r w:rsidR="00325105" w:rsidRPr="005B1B75">
        <w:rPr>
          <w:lang w:val="es-ES_tradnl"/>
        </w:rPr>
        <w:t xml:space="preserve">durmieron en el automóvil familiar durante </w:t>
      </w:r>
      <w:r w:rsidR="003C0625" w:rsidRPr="005B1B75">
        <w:rPr>
          <w:lang w:val="es-ES_tradnl"/>
        </w:rPr>
        <w:t>cuatro</w:t>
      </w:r>
      <w:r w:rsidR="00325105" w:rsidRPr="005B1B75">
        <w:rPr>
          <w:lang w:val="es-ES_tradnl"/>
        </w:rPr>
        <w:t xml:space="preserve"> días. </w:t>
      </w:r>
      <w:r w:rsidR="00AC101D" w:rsidRPr="005B1B75">
        <w:rPr>
          <w:lang w:val="es-ES_tradnl"/>
        </w:rPr>
        <w:t xml:space="preserve">Por lo tanto, </w:t>
      </w:r>
      <w:r w:rsidR="00406ACE" w:rsidRPr="005B1B75">
        <w:rPr>
          <w:lang w:val="es-ES_tradnl"/>
        </w:rPr>
        <w:t xml:space="preserve">el Comité considera que el desalojo de los autores, sin </w:t>
      </w:r>
      <w:r w:rsidR="00046448" w:rsidRPr="005B1B75">
        <w:rPr>
          <w:lang w:val="es-ES_tradnl"/>
        </w:rPr>
        <w:t xml:space="preserve">que existiera una confirmación de la disponibilidad de vivienda alternativa, </w:t>
      </w:r>
      <w:r w:rsidR="00AC101D" w:rsidRPr="005B1B75">
        <w:rPr>
          <w:lang w:val="es-ES_tradnl"/>
        </w:rPr>
        <w:t xml:space="preserve">constituye </w:t>
      </w:r>
      <w:r w:rsidR="00046448" w:rsidRPr="005B1B75">
        <w:rPr>
          <w:lang w:val="es-ES_tradnl"/>
        </w:rPr>
        <w:t xml:space="preserve">una violación del derecho de los autores a una vivienda adecuada, </w:t>
      </w:r>
      <w:r w:rsidR="00AC101D" w:rsidRPr="005B1B75">
        <w:rPr>
          <w:lang w:val="es-ES_tradnl"/>
        </w:rPr>
        <w:t>salvo que el Estado parte demuestre convincente</w:t>
      </w:r>
      <w:r w:rsidR="00234541" w:rsidRPr="005B1B75">
        <w:rPr>
          <w:lang w:val="es-ES_tradnl"/>
        </w:rPr>
        <w:t>mente</w:t>
      </w:r>
      <w:r w:rsidR="00AC101D" w:rsidRPr="005B1B75">
        <w:rPr>
          <w:lang w:val="es-ES_tradnl"/>
        </w:rPr>
        <w:t xml:space="preserve"> que</w:t>
      </w:r>
      <w:r w:rsidR="00234541" w:rsidRPr="005B1B75">
        <w:rPr>
          <w:lang w:val="es-ES_tradnl"/>
        </w:rPr>
        <w:t>,</w:t>
      </w:r>
      <w:r w:rsidR="00AC101D" w:rsidRPr="005B1B75">
        <w:rPr>
          <w:lang w:val="es-ES_tradnl"/>
        </w:rPr>
        <w:t xml:space="preserve"> a pesar de que tomó todas las medidas razonables</w:t>
      </w:r>
      <w:r w:rsidR="00A6309D" w:rsidRPr="005B1B75">
        <w:rPr>
          <w:lang w:val="es-ES_tradnl"/>
        </w:rPr>
        <w:t>,</w:t>
      </w:r>
      <w:r w:rsidR="00AC101D" w:rsidRPr="005B1B75">
        <w:rPr>
          <w:lang w:val="es-ES_tradnl"/>
        </w:rPr>
        <w:t xml:space="preserve"> hasta el máximo de sus recursos disponibles, </w:t>
      </w:r>
      <w:r w:rsidR="00A6309D" w:rsidRPr="005B1B75">
        <w:rPr>
          <w:lang w:val="es-ES_tradnl"/>
        </w:rPr>
        <w:t>y consideró</w:t>
      </w:r>
      <w:r w:rsidR="00AC101D" w:rsidRPr="005B1B75">
        <w:rPr>
          <w:lang w:val="es-ES_tradnl"/>
        </w:rPr>
        <w:t xml:space="preserve"> las particulares circunstancias de los autores, no le fue posible satisfacer </w:t>
      </w:r>
      <w:r w:rsidR="00A6309D" w:rsidRPr="005B1B75">
        <w:rPr>
          <w:lang w:val="es-ES_tradnl"/>
        </w:rPr>
        <w:t>su</w:t>
      </w:r>
      <w:r w:rsidR="00AC101D" w:rsidRPr="005B1B75">
        <w:rPr>
          <w:lang w:val="es-ES_tradnl"/>
        </w:rPr>
        <w:t xml:space="preserve"> derecho a la vivienda. </w:t>
      </w:r>
      <w:r w:rsidR="00EE560B" w:rsidRPr="005B1B75">
        <w:rPr>
          <w:lang w:val="es-ES_tradnl"/>
        </w:rPr>
        <w:t xml:space="preserve">En el presente caso, </w:t>
      </w:r>
      <w:r w:rsidR="00234541" w:rsidRPr="005B1B75">
        <w:rPr>
          <w:lang w:val="es-ES_tradnl"/>
        </w:rPr>
        <w:t xml:space="preserve">el deber de </w:t>
      </w:r>
      <w:r w:rsidR="00EE560B" w:rsidRPr="005B1B75">
        <w:rPr>
          <w:lang w:val="es-ES_tradnl"/>
        </w:rPr>
        <w:t xml:space="preserve">justificación del Estado parte </w:t>
      </w:r>
      <w:r w:rsidR="00234541" w:rsidRPr="005B1B75">
        <w:rPr>
          <w:lang w:val="es-ES_tradnl"/>
        </w:rPr>
        <w:t>es a</w:t>
      </w:r>
      <w:r w:rsidR="00CA53A1" w:rsidRPr="005B1B75">
        <w:rPr>
          <w:lang w:val="es-ES_tradnl"/>
        </w:rPr>
        <w:t>ú</w:t>
      </w:r>
      <w:r w:rsidR="00234541" w:rsidRPr="005B1B75">
        <w:rPr>
          <w:lang w:val="es-ES_tradnl"/>
        </w:rPr>
        <w:t xml:space="preserve">n mayor pues </w:t>
      </w:r>
      <w:r w:rsidR="00F23BB0" w:rsidRPr="005B1B75">
        <w:rPr>
          <w:lang w:val="es-ES_tradnl"/>
        </w:rPr>
        <w:t>fueron afectados los hijos menores de edad de los autores, de</w:t>
      </w:r>
      <w:r w:rsidRPr="005B1B75">
        <w:rPr>
          <w:lang w:val="es-ES_tradnl"/>
        </w:rPr>
        <w:t xml:space="preserve"> </w:t>
      </w:r>
      <w:r w:rsidR="00374E21" w:rsidRPr="005B1B75">
        <w:rPr>
          <w:lang w:val="es-ES_tradnl"/>
        </w:rPr>
        <w:t>aproximadamente</w:t>
      </w:r>
      <w:r w:rsidR="00F23BB0" w:rsidRPr="005B1B75">
        <w:rPr>
          <w:lang w:val="es-ES_tradnl"/>
        </w:rPr>
        <w:t xml:space="preserve"> </w:t>
      </w:r>
      <w:r w:rsidR="00BD16A1" w:rsidRPr="005B1B75">
        <w:rPr>
          <w:lang w:val="es-ES_tradnl"/>
        </w:rPr>
        <w:lastRenderedPageBreak/>
        <w:t xml:space="preserve">uno </w:t>
      </w:r>
      <w:r w:rsidR="00A6309D" w:rsidRPr="005B1B75">
        <w:rPr>
          <w:lang w:val="es-ES_tradnl"/>
        </w:rPr>
        <w:t xml:space="preserve">y </w:t>
      </w:r>
      <w:r w:rsidR="00BD16A1" w:rsidRPr="005B1B75">
        <w:rPr>
          <w:lang w:val="es-ES_tradnl"/>
        </w:rPr>
        <w:t>tres</w:t>
      </w:r>
      <w:r w:rsidR="00A6309D" w:rsidRPr="005B1B75">
        <w:rPr>
          <w:lang w:val="es-ES_tradnl"/>
        </w:rPr>
        <w:t xml:space="preserve"> </w:t>
      </w:r>
      <w:r w:rsidR="00F23BB0" w:rsidRPr="005B1B75">
        <w:rPr>
          <w:lang w:val="es-ES_tradnl"/>
        </w:rPr>
        <w:t>años.</w:t>
      </w:r>
      <w:r w:rsidR="00EE560B" w:rsidRPr="005B1B75">
        <w:rPr>
          <w:lang w:val="es-ES_tradnl"/>
        </w:rPr>
        <w:t xml:space="preserve"> </w:t>
      </w:r>
      <w:r w:rsidR="00BD16A1" w:rsidRPr="005B1B75">
        <w:rPr>
          <w:lang w:val="es-ES_tradnl"/>
        </w:rPr>
        <w:t>E</w:t>
      </w:r>
      <w:r w:rsidR="00AC101D" w:rsidRPr="005B1B75">
        <w:rPr>
          <w:lang w:val="es-ES_tradnl"/>
        </w:rPr>
        <w:t xml:space="preserve">l Comité </w:t>
      </w:r>
      <w:r w:rsidR="00BD16A1" w:rsidRPr="005B1B75">
        <w:rPr>
          <w:lang w:val="es-ES_tradnl"/>
        </w:rPr>
        <w:t xml:space="preserve">procede entonces </w:t>
      </w:r>
      <w:r w:rsidR="00AC101D" w:rsidRPr="005B1B75">
        <w:rPr>
          <w:lang w:val="es-ES_tradnl"/>
        </w:rPr>
        <w:t xml:space="preserve">a analizar </w:t>
      </w:r>
      <w:r w:rsidR="00154989" w:rsidRPr="005B1B75">
        <w:rPr>
          <w:lang w:val="es-ES_tradnl"/>
        </w:rPr>
        <w:t xml:space="preserve">la razonabilidad de </w:t>
      </w:r>
      <w:r w:rsidR="00AC101D" w:rsidRPr="005B1B75">
        <w:rPr>
          <w:lang w:val="es-ES_tradnl"/>
        </w:rPr>
        <w:t>las explicaciones del Estado</w:t>
      </w:r>
      <w:r w:rsidR="00347D4E" w:rsidRPr="005B1B75">
        <w:rPr>
          <w:lang w:val="es-ES_tradnl"/>
        </w:rPr>
        <w:t xml:space="preserve"> parte</w:t>
      </w:r>
      <w:r w:rsidR="00046448" w:rsidRPr="005B1B75">
        <w:rPr>
          <w:lang w:val="es-ES_tradnl"/>
        </w:rPr>
        <w:t>.</w:t>
      </w:r>
    </w:p>
    <w:p w14:paraId="768A4257" w14:textId="0FC31341" w:rsidR="00B161CA" w:rsidRPr="0048522D" w:rsidRDefault="00D445DC" w:rsidP="00D445DC">
      <w:pPr>
        <w:pStyle w:val="H23G"/>
        <w:rPr>
          <w:lang w:val="es-ES_tradnl"/>
        </w:rPr>
      </w:pPr>
      <w:r w:rsidRPr="005B1B75">
        <w:rPr>
          <w:lang w:val="es-ES_tradnl"/>
        </w:rPr>
        <w:tab/>
      </w:r>
      <w:r w:rsidRPr="005B1B75">
        <w:rPr>
          <w:lang w:val="es-ES_tradnl"/>
        </w:rPr>
        <w:tab/>
      </w:r>
      <w:r w:rsidR="004D752C" w:rsidRPr="0048522D">
        <w:rPr>
          <w:lang w:val="es-ES_tradnl"/>
        </w:rPr>
        <w:t>Las justificaciones ofrecidas por el Estado parte</w:t>
      </w:r>
      <w:r w:rsidR="00330EC1" w:rsidRPr="0048522D">
        <w:rPr>
          <w:lang w:val="es-ES_tradnl"/>
        </w:rPr>
        <w:t xml:space="preserve"> con relación a la falta </w:t>
      </w:r>
      <w:r w:rsidRPr="005B1B75">
        <w:rPr>
          <w:lang w:val="es-ES_tradnl"/>
        </w:rPr>
        <w:br/>
      </w:r>
      <w:r w:rsidR="00330EC1" w:rsidRPr="0048522D">
        <w:rPr>
          <w:lang w:val="es-ES_tradnl"/>
        </w:rPr>
        <w:t>de acceso a vivienda alternativa</w:t>
      </w:r>
    </w:p>
    <w:p w14:paraId="4894B660" w14:textId="4637761A" w:rsidR="003D1297" w:rsidRPr="005B1B75" w:rsidRDefault="004D752C" w:rsidP="00D445DC">
      <w:pPr>
        <w:pStyle w:val="SingleTxtG"/>
        <w:rPr>
          <w:lang w:val="es-ES_tradnl"/>
        </w:rPr>
      </w:pPr>
      <w:r w:rsidRPr="005B1B75">
        <w:rPr>
          <w:lang w:val="es-ES_tradnl"/>
        </w:rPr>
        <w:t>17.1</w:t>
      </w:r>
      <w:r w:rsidR="00015DAF" w:rsidRPr="005B1B75">
        <w:rPr>
          <w:lang w:val="es-ES_tradnl"/>
        </w:rPr>
        <w:t xml:space="preserve"> </w:t>
      </w:r>
      <w:r w:rsidR="00015DAF" w:rsidRPr="005B1B75">
        <w:rPr>
          <w:lang w:val="es-ES_tradnl"/>
        </w:rPr>
        <w:tab/>
      </w:r>
      <w:r w:rsidR="00AC3CDD" w:rsidRPr="005B1B75">
        <w:rPr>
          <w:lang w:val="es-ES_tradnl"/>
        </w:rPr>
        <w:t>El Comité observa que e</w:t>
      </w:r>
      <w:r w:rsidR="00C15E7F" w:rsidRPr="005B1B75">
        <w:rPr>
          <w:lang w:val="es-ES_tradnl"/>
        </w:rPr>
        <w:t xml:space="preserve">l Estado parte no cuestiona que la familia de los autores </w:t>
      </w:r>
      <w:r w:rsidR="00D71EF1" w:rsidRPr="005B1B75">
        <w:rPr>
          <w:lang w:val="es-ES_tradnl"/>
        </w:rPr>
        <w:t xml:space="preserve">necesitara </w:t>
      </w:r>
      <w:r w:rsidR="00C15E7F" w:rsidRPr="005B1B75">
        <w:rPr>
          <w:lang w:val="es-ES_tradnl"/>
        </w:rPr>
        <w:t xml:space="preserve">vivienda pública </w:t>
      </w:r>
      <w:r w:rsidR="00474861" w:rsidRPr="005B1B75">
        <w:rPr>
          <w:lang w:val="es-ES_tradnl"/>
        </w:rPr>
        <w:t xml:space="preserve">y </w:t>
      </w:r>
      <w:r w:rsidR="006C6A95" w:rsidRPr="005B1B75">
        <w:rPr>
          <w:lang w:val="es-ES_tradnl"/>
        </w:rPr>
        <w:t xml:space="preserve">se limita a sostener que </w:t>
      </w:r>
      <w:r w:rsidR="00015DAF" w:rsidRPr="005B1B75">
        <w:rPr>
          <w:lang w:val="es-ES_tradnl"/>
        </w:rPr>
        <w:t xml:space="preserve">los </w:t>
      </w:r>
      <w:r w:rsidR="006C6A95" w:rsidRPr="005B1B75">
        <w:rPr>
          <w:lang w:val="es-ES_tradnl"/>
        </w:rPr>
        <w:t xml:space="preserve">Servicios Sociales de Madrid realizaron intervenciones sociales a </w:t>
      </w:r>
      <w:r w:rsidR="00D71EF1" w:rsidRPr="005B1B75">
        <w:rPr>
          <w:lang w:val="es-ES_tradnl"/>
        </w:rPr>
        <w:t xml:space="preserve">su </w:t>
      </w:r>
      <w:r w:rsidR="006C6A95" w:rsidRPr="005B1B75">
        <w:rPr>
          <w:lang w:val="es-ES_tradnl"/>
        </w:rPr>
        <w:t>favor, inclu</w:t>
      </w:r>
      <w:r w:rsidR="00AC3CDD" w:rsidRPr="005B1B75">
        <w:rPr>
          <w:lang w:val="es-ES_tradnl"/>
        </w:rPr>
        <w:t>so</w:t>
      </w:r>
      <w:r w:rsidR="006C6A95" w:rsidRPr="005B1B75">
        <w:rPr>
          <w:lang w:val="es-ES_tradnl"/>
        </w:rPr>
        <w:t xml:space="preserve"> en relación con la vivienda, en la medida de los recursos disponibles</w:t>
      </w:r>
      <w:r w:rsidR="0046450D" w:rsidRPr="005B1B75">
        <w:rPr>
          <w:lang w:val="es-ES_tradnl"/>
        </w:rPr>
        <w:t>,</w:t>
      </w:r>
      <w:r w:rsidR="006C6A95" w:rsidRPr="005B1B75">
        <w:rPr>
          <w:lang w:val="es-ES_tradnl"/>
        </w:rPr>
        <w:t xml:space="preserve"> y que</w:t>
      </w:r>
      <w:r w:rsidR="00474861" w:rsidRPr="005B1B75">
        <w:rPr>
          <w:lang w:val="es-ES_tradnl"/>
        </w:rPr>
        <w:t xml:space="preserve"> la actitud del </w:t>
      </w:r>
      <w:r w:rsidR="002D0785" w:rsidRPr="005B1B75">
        <w:rPr>
          <w:lang w:val="es-ES_tradnl"/>
        </w:rPr>
        <w:t xml:space="preserve">Sr. Ben </w:t>
      </w:r>
      <w:proofErr w:type="spellStart"/>
      <w:r w:rsidR="002D0785" w:rsidRPr="005B1B75">
        <w:rPr>
          <w:lang w:val="es-ES_tradnl"/>
        </w:rPr>
        <w:t>Djazia</w:t>
      </w:r>
      <w:proofErr w:type="spellEnd"/>
      <w:r w:rsidR="00474861" w:rsidRPr="005B1B75">
        <w:rPr>
          <w:lang w:val="es-ES_tradnl"/>
        </w:rPr>
        <w:t>, en gran medida, impidió que su situación económica familiar mejor</w:t>
      </w:r>
      <w:r w:rsidR="00D71EF1" w:rsidRPr="005B1B75">
        <w:rPr>
          <w:lang w:val="es-ES_tradnl"/>
        </w:rPr>
        <w:t>ara</w:t>
      </w:r>
      <w:r w:rsidR="00474861" w:rsidRPr="005B1B75">
        <w:rPr>
          <w:lang w:val="es-ES_tradnl"/>
        </w:rPr>
        <w:t xml:space="preserve">. </w:t>
      </w:r>
    </w:p>
    <w:p w14:paraId="43020C09" w14:textId="33D60265" w:rsidR="001D448A" w:rsidRPr="005B1B75" w:rsidRDefault="003D1297" w:rsidP="00D445DC">
      <w:pPr>
        <w:pStyle w:val="SingleTxtG"/>
        <w:rPr>
          <w:lang w:val="es-ES_tradnl"/>
        </w:rPr>
      </w:pPr>
      <w:r w:rsidRPr="005B1B75">
        <w:rPr>
          <w:lang w:val="es-ES_tradnl"/>
        </w:rPr>
        <w:t xml:space="preserve">17.2 </w:t>
      </w:r>
      <w:r w:rsidR="00347D4E" w:rsidRPr="005B1B75">
        <w:rPr>
          <w:lang w:val="es-ES_tradnl"/>
        </w:rPr>
        <w:tab/>
      </w:r>
      <w:r w:rsidR="00EC6285" w:rsidRPr="005B1B75">
        <w:rPr>
          <w:lang w:val="es-ES_tradnl"/>
        </w:rPr>
        <w:t xml:space="preserve">El Comité considera que los Estados partes, con el fin de racionalizar </w:t>
      </w:r>
      <w:r w:rsidR="00374E21" w:rsidRPr="005B1B75">
        <w:rPr>
          <w:lang w:val="es-ES_tradnl"/>
        </w:rPr>
        <w:t xml:space="preserve">los recursos de </w:t>
      </w:r>
      <w:r w:rsidR="001D448A" w:rsidRPr="005B1B75">
        <w:rPr>
          <w:lang w:val="es-ES_tradnl"/>
        </w:rPr>
        <w:t>sus</w:t>
      </w:r>
      <w:r w:rsidR="00EC6285" w:rsidRPr="005B1B75">
        <w:rPr>
          <w:lang w:val="es-ES_tradnl"/>
        </w:rPr>
        <w:t xml:space="preserve"> servicios sociales, pueden establecer </w:t>
      </w:r>
      <w:r w:rsidR="001D448A" w:rsidRPr="005B1B75">
        <w:rPr>
          <w:lang w:val="es-ES_tradnl"/>
        </w:rPr>
        <w:t xml:space="preserve">requerimientos o </w:t>
      </w:r>
      <w:r w:rsidR="00EC6285" w:rsidRPr="005B1B75">
        <w:rPr>
          <w:lang w:val="es-ES_tradnl"/>
        </w:rPr>
        <w:t xml:space="preserve">condiciones que los peticionarios tengan que cumplir para recibir prestaciones sociales. Estas condiciones, sin embargo, deben ser </w:t>
      </w:r>
      <w:r w:rsidR="001D448A" w:rsidRPr="005B1B75">
        <w:rPr>
          <w:lang w:val="es-ES_tradnl"/>
        </w:rPr>
        <w:t>razonables</w:t>
      </w:r>
      <w:r w:rsidR="00EC6285" w:rsidRPr="005B1B75">
        <w:rPr>
          <w:lang w:val="es-ES_tradnl"/>
        </w:rPr>
        <w:t xml:space="preserve"> y </w:t>
      </w:r>
      <w:r w:rsidR="00D71EF1" w:rsidRPr="005B1B75">
        <w:rPr>
          <w:lang w:val="es-ES_tradnl"/>
        </w:rPr>
        <w:t xml:space="preserve">ser diseñadas </w:t>
      </w:r>
      <w:r w:rsidR="00EC6285" w:rsidRPr="005B1B75">
        <w:rPr>
          <w:lang w:val="es-ES_tradnl"/>
        </w:rPr>
        <w:t xml:space="preserve">muy cuidadosamente, </w:t>
      </w:r>
      <w:r w:rsidR="001D448A" w:rsidRPr="005B1B75">
        <w:rPr>
          <w:lang w:val="es-ES_tradnl"/>
        </w:rPr>
        <w:t>no s</w:t>
      </w:r>
      <w:r w:rsidR="00C06586" w:rsidRPr="005B1B75">
        <w:rPr>
          <w:lang w:val="es-ES_tradnl"/>
        </w:rPr>
        <w:t>o</w:t>
      </w:r>
      <w:r w:rsidR="001D448A" w:rsidRPr="005B1B75">
        <w:rPr>
          <w:lang w:val="es-ES_tradnl"/>
        </w:rPr>
        <w:t xml:space="preserve">lo para evitar </w:t>
      </w:r>
      <w:r w:rsidR="00EC6285" w:rsidRPr="005B1B75">
        <w:rPr>
          <w:lang w:val="es-ES_tradnl"/>
        </w:rPr>
        <w:t xml:space="preserve">posibles estigmatizaciones, </w:t>
      </w:r>
      <w:r w:rsidR="001D448A" w:rsidRPr="005B1B75">
        <w:rPr>
          <w:lang w:val="es-ES_tradnl"/>
        </w:rPr>
        <w:t>sino también porque cuando una pe</w:t>
      </w:r>
      <w:r w:rsidR="00EC6285" w:rsidRPr="005B1B75">
        <w:rPr>
          <w:lang w:val="es-ES_tradnl"/>
        </w:rPr>
        <w:t xml:space="preserve">rsona </w:t>
      </w:r>
      <w:r w:rsidRPr="005B1B75">
        <w:rPr>
          <w:lang w:val="es-ES_tradnl"/>
        </w:rPr>
        <w:t xml:space="preserve">requiere </w:t>
      </w:r>
      <w:r w:rsidR="00EC6285" w:rsidRPr="005B1B75">
        <w:rPr>
          <w:lang w:val="es-ES_tradnl"/>
        </w:rPr>
        <w:t xml:space="preserve">una vivienda alternativa, su conducta no puede ser en sí misma una </w:t>
      </w:r>
      <w:r w:rsidR="001D448A" w:rsidRPr="005B1B75">
        <w:rPr>
          <w:lang w:val="es-ES_tradnl"/>
        </w:rPr>
        <w:t>justificación</w:t>
      </w:r>
      <w:r w:rsidR="00EC6285" w:rsidRPr="005B1B75">
        <w:rPr>
          <w:lang w:val="es-ES_tradnl"/>
        </w:rPr>
        <w:t xml:space="preserve"> para que el Estado parte le deniegue vivienda social. </w:t>
      </w:r>
      <w:r w:rsidR="001D448A" w:rsidRPr="005B1B75">
        <w:rPr>
          <w:lang w:val="es-ES_tradnl"/>
        </w:rPr>
        <w:t xml:space="preserve">Además, estas condiciones deben ser comunicadas de forma transparente, oportuna y suficiente al peticionario. </w:t>
      </w:r>
      <w:r w:rsidR="00374E21" w:rsidRPr="005B1B75">
        <w:rPr>
          <w:lang w:val="es-ES_tradnl"/>
        </w:rPr>
        <w:t xml:space="preserve">También debe tomarse en cuenta que a menudo </w:t>
      </w:r>
      <w:r w:rsidR="000C1AFB" w:rsidRPr="005B1B75">
        <w:rPr>
          <w:lang w:val="es-ES_tradnl"/>
        </w:rPr>
        <w:t>el problema de la</w:t>
      </w:r>
      <w:r w:rsidR="00D71EF1" w:rsidRPr="005B1B75">
        <w:rPr>
          <w:lang w:val="es-ES_tradnl"/>
        </w:rPr>
        <w:t xml:space="preserve"> falta de vivienda </w:t>
      </w:r>
      <w:r w:rsidR="000C1AFB" w:rsidRPr="005B1B75">
        <w:rPr>
          <w:lang w:val="es-ES_tradnl"/>
        </w:rPr>
        <w:t>está relacionado a</w:t>
      </w:r>
      <w:r w:rsidR="00D71EF1" w:rsidRPr="005B1B75">
        <w:rPr>
          <w:lang w:val="es-ES_tradnl"/>
        </w:rPr>
        <w:t xml:space="preserve"> </w:t>
      </w:r>
      <w:r w:rsidR="00374E21" w:rsidRPr="005B1B75">
        <w:rPr>
          <w:lang w:val="es-ES_tradnl"/>
        </w:rPr>
        <w:t>problemas estructurales</w:t>
      </w:r>
      <w:r w:rsidR="00D71EF1" w:rsidRPr="005B1B75">
        <w:rPr>
          <w:lang w:val="es-ES_tradnl"/>
        </w:rPr>
        <w:t xml:space="preserve">, como </w:t>
      </w:r>
      <w:r w:rsidR="00374E21" w:rsidRPr="005B1B75">
        <w:rPr>
          <w:lang w:val="es-ES_tradnl"/>
        </w:rPr>
        <w:t>una alta tasa de desempleo</w:t>
      </w:r>
      <w:r w:rsidR="00D71EF1" w:rsidRPr="005B1B75">
        <w:rPr>
          <w:lang w:val="es-ES_tradnl"/>
        </w:rPr>
        <w:t xml:space="preserve"> o </w:t>
      </w:r>
      <w:r w:rsidR="00374E21" w:rsidRPr="005B1B75">
        <w:rPr>
          <w:lang w:val="es-ES_tradnl"/>
        </w:rPr>
        <w:t xml:space="preserve">patrones sistémicos de exclusión social que </w:t>
      </w:r>
      <w:r w:rsidR="00BE6EE9" w:rsidRPr="005B1B75">
        <w:rPr>
          <w:lang w:val="es-ES_tradnl"/>
        </w:rPr>
        <w:t xml:space="preserve">las autoridades deben resolver, a través de una respuesta adecuada, oportuna y coordinada, hasta el </w:t>
      </w:r>
      <w:r w:rsidR="00A51F9A" w:rsidRPr="005B1B75">
        <w:rPr>
          <w:lang w:val="es-ES_tradnl"/>
        </w:rPr>
        <w:t>m</w:t>
      </w:r>
      <w:r w:rsidR="00BE6EE9" w:rsidRPr="005B1B75">
        <w:rPr>
          <w:lang w:val="es-ES_tradnl"/>
        </w:rPr>
        <w:t xml:space="preserve">áximo de sus recursos disponibles. </w:t>
      </w:r>
      <w:r w:rsidR="00374E21" w:rsidRPr="005B1B75">
        <w:rPr>
          <w:lang w:val="es-ES_tradnl"/>
        </w:rPr>
        <w:t xml:space="preserve"> </w:t>
      </w:r>
    </w:p>
    <w:p w14:paraId="62909F49" w14:textId="62C6D508" w:rsidR="00D71EF1" w:rsidRPr="005B1B75" w:rsidRDefault="003D1297" w:rsidP="00D445DC">
      <w:pPr>
        <w:pStyle w:val="SingleTxtG"/>
        <w:rPr>
          <w:lang w:val="es-ES_tradnl"/>
        </w:rPr>
      </w:pPr>
      <w:r w:rsidRPr="005B1B75">
        <w:rPr>
          <w:lang w:val="es-ES_tradnl"/>
        </w:rPr>
        <w:t>17.3</w:t>
      </w:r>
      <w:r w:rsidR="00DF2C15" w:rsidRPr="005B1B75">
        <w:rPr>
          <w:lang w:val="es-ES_tradnl"/>
        </w:rPr>
        <w:t xml:space="preserve"> </w:t>
      </w:r>
      <w:r w:rsidR="000C1AFB" w:rsidRPr="005B1B75">
        <w:rPr>
          <w:lang w:val="es-ES_tradnl"/>
        </w:rPr>
        <w:tab/>
      </w:r>
      <w:r w:rsidR="00D71EF1" w:rsidRPr="005B1B75">
        <w:rPr>
          <w:lang w:val="es-ES_tradnl"/>
        </w:rPr>
        <w:t xml:space="preserve">En el presente caso, </w:t>
      </w:r>
      <w:r w:rsidRPr="005B1B75">
        <w:rPr>
          <w:lang w:val="es-ES_tradnl"/>
        </w:rPr>
        <w:t xml:space="preserve">el Estado parte no sostiene que el </w:t>
      </w:r>
      <w:r w:rsidR="002D0785" w:rsidRPr="005B1B75">
        <w:rPr>
          <w:lang w:val="es-ES_tradnl"/>
        </w:rPr>
        <w:t xml:space="preserve">Sr. Ben </w:t>
      </w:r>
      <w:proofErr w:type="spellStart"/>
      <w:r w:rsidR="002D0785" w:rsidRPr="005B1B75">
        <w:rPr>
          <w:lang w:val="es-ES_tradnl"/>
        </w:rPr>
        <w:t>Djazia</w:t>
      </w:r>
      <w:proofErr w:type="spellEnd"/>
      <w:r w:rsidRPr="005B1B75">
        <w:rPr>
          <w:lang w:val="es-ES_tradnl"/>
        </w:rPr>
        <w:t xml:space="preserve"> no cumpliera con los requisitos o condiciones para solicitar vivienda </w:t>
      </w:r>
      <w:proofErr w:type="gramStart"/>
      <w:r w:rsidRPr="005B1B75">
        <w:rPr>
          <w:lang w:val="es-ES_tradnl"/>
        </w:rPr>
        <w:t>pública</w:t>
      </w:r>
      <w:proofErr w:type="gramEnd"/>
      <w:r w:rsidRPr="005B1B75">
        <w:rPr>
          <w:lang w:val="es-ES_tradnl"/>
        </w:rPr>
        <w:t xml:space="preserve"> sino que cuestiona su conducta en la búsqueda de empleo y vivienda alternativa y en el cumplimiento de condiciones o requisitos relativos a otros beneficios sociales concedidos. E</w:t>
      </w:r>
      <w:r w:rsidR="00DF2C15" w:rsidRPr="005B1B75">
        <w:rPr>
          <w:lang w:val="es-ES_tradnl"/>
        </w:rPr>
        <w:t xml:space="preserve">l Estado </w:t>
      </w:r>
      <w:r w:rsidR="00C06586" w:rsidRPr="005B1B75">
        <w:rPr>
          <w:lang w:val="es-ES_tradnl"/>
        </w:rPr>
        <w:t xml:space="preserve">parte </w:t>
      </w:r>
      <w:r w:rsidR="00DF2C15" w:rsidRPr="005B1B75">
        <w:rPr>
          <w:lang w:val="es-ES_tradnl"/>
        </w:rPr>
        <w:t xml:space="preserve">no mostró </w:t>
      </w:r>
      <w:r w:rsidRPr="005B1B75">
        <w:rPr>
          <w:lang w:val="es-ES_tradnl"/>
        </w:rPr>
        <w:t xml:space="preserve">entonces </w:t>
      </w:r>
      <w:r w:rsidR="00DF2C15" w:rsidRPr="005B1B75">
        <w:rPr>
          <w:lang w:val="es-ES_tradnl"/>
        </w:rPr>
        <w:t xml:space="preserve">que los autores hubieran incumplido unas condiciones que les hubieran informado que deberían observar para ser beneficiarios de vivienda social. Por el contrario, el Comité observa que el </w:t>
      </w:r>
      <w:r w:rsidR="002D0785" w:rsidRPr="005B1B75">
        <w:rPr>
          <w:lang w:val="es-ES_tradnl"/>
        </w:rPr>
        <w:t xml:space="preserve">Sr. Ben </w:t>
      </w:r>
      <w:proofErr w:type="spellStart"/>
      <w:r w:rsidR="002D0785" w:rsidRPr="005B1B75">
        <w:rPr>
          <w:lang w:val="es-ES_tradnl"/>
        </w:rPr>
        <w:t>Djazia</w:t>
      </w:r>
      <w:proofErr w:type="spellEnd"/>
      <w:r w:rsidR="00DF2C15" w:rsidRPr="005B1B75">
        <w:rPr>
          <w:lang w:val="es-ES_tradnl"/>
        </w:rPr>
        <w:t xml:space="preserve"> solicitó vivienda social al </w:t>
      </w:r>
      <w:proofErr w:type="spellStart"/>
      <w:r w:rsidR="00DF2C15" w:rsidRPr="005B1B75">
        <w:rPr>
          <w:lang w:val="es-ES_tradnl"/>
        </w:rPr>
        <w:t>IVIMA</w:t>
      </w:r>
      <w:proofErr w:type="spellEnd"/>
      <w:r w:rsidR="00DF2C15" w:rsidRPr="005B1B75">
        <w:rPr>
          <w:lang w:val="es-ES_tradnl"/>
        </w:rPr>
        <w:t xml:space="preserve"> al menos en </w:t>
      </w:r>
      <w:r w:rsidR="00C06586" w:rsidRPr="005B1B75">
        <w:rPr>
          <w:lang w:val="es-ES_tradnl"/>
        </w:rPr>
        <w:t xml:space="preserve">tres o cuatro </w:t>
      </w:r>
      <w:r w:rsidR="00DF2C15" w:rsidRPr="005B1B75">
        <w:rPr>
          <w:lang w:val="es-ES_tradnl"/>
        </w:rPr>
        <w:t>ocasiones desde el nacimiento de sus hijos</w:t>
      </w:r>
      <w:r w:rsidR="00C06586" w:rsidRPr="005B1B75">
        <w:rPr>
          <w:lang w:val="es-ES_tradnl"/>
        </w:rPr>
        <w:t>,</w:t>
      </w:r>
      <w:r w:rsidR="00DF2C15" w:rsidRPr="005B1B75">
        <w:rPr>
          <w:lang w:val="es-ES_tradnl"/>
        </w:rPr>
        <w:t xml:space="preserve"> y que el 4 de junio de 2013, reiteró su solicitud al </w:t>
      </w:r>
      <w:proofErr w:type="spellStart"/>
      <w:r w:rsidR="00DF2C15" w:rsidRPr="005B1B75">
        <w:rPr>
          <w:lang w:val="es-ES_tradnl"/>
        </w:rPr>
        <w:t>IVIMA</w:t>
      </w:r>
      <w:proofErr w:type="spellEnd"/>
      <w:r w:rsidR="00DF2C15" w:rsidRPr="005B1B75">
        <w:rPr>
          <w:lang w:val="es-ES_tradnl"/>
        </w:rPr>
        <w:t xml:space="preserve"> adjuntando la decisión del Juzgado </w:t>
      </w:r>
      <w:r w:rsidR="001A643F" w:rsidRPr="005B1B75">
        <w:rPr>
          <w:lang w:val="es-ES_tradnl"/>
        </w:rPr>
        <w:t>núm.</w:t>
      </w:r>
      <w:r w:rsidR="00DF2C15" w:rsidRPr="005B1B75">
        <w:rPr>
          <w:lang w:val="es-ES_tradnl"/>
        </w:rPr>
        <w:t xml:space="preserve"> 37 de 30 de mayo de 2013. Ante la inminencia del desalojo, el </w:t>
      </w:r>
      <w:r w:rsidR="002D0785" w:rsidRPr="005B1B75">
        <w:rPr>
          <w:lang w:val="es-ES_tradnl"/>
        </w:rPr>
        <w:t xml:space="preserve">Sr. Ben </w:t>
      </w:r>
      <w:proofErr w:type="spellStart"/>
      <w:r w:rsidR="002D0785" w:rsidRPr="005B1B75">
        <w:rPr>
          <w:lang w:val="es-ES_tradnl"/>
        </w:rPr>
        <w:t>Djazia</w:t>
      </w:r>
      <w:proofErr w:type="spellEnd"/>
      <w:r w:rsidR="00DF2C15" w:rsidRPr="005B1B75">
        <w:rPr>
          <w:lang w:val="es-ES_tradnl"/>
        </w:rPr>
        <w:t xml:space="preserve"> solicitó al Juzgado </w:t>
      </w:r>
      <w:r w:rsidR="001A643F" w:rsidRPr="005B1B75">
        <w:rPr>
          <w:lang w:val="es-ES_tradnl"/>
        </w:rPr>
        <w:t>núm.</w:t>
      </w:r>
      <w:r w:rsidR="00DF2C15" w:rsidRPr="005B1B75">
        <w:rPr>
          <w:lang w:val="es-ES_tradnl"/>
        </w:rPr>
        <w:t xml:space="preserve"> 37 que oficie a los Servicios Sociales de la Comunidad y </w:t>
      </w:r>
      <w:r w:rsidR="003F51F1" w:rsidRPr="005B1B75">
        <w:rPr>
          <w:lang w:val="es-ES_tradnl"/>
        </w:rPr>
        <w:t>del Ayuntamiento</w:t>
      </w:r>
      <w:r w:rsidR="00DF2C15" w:rsidRPr="005B1B75">
        <w:rPr>
          <w:lang w:val="es-ES_tradnl"/>
        </w:rPr>
        <w:t xml:space="preserve"> de Madrid, y se requi</w:t>
      </w:r>
      <w:r w:rsidR="005F7B30" w:rsidRPr="005B1B75">
        <w:rPr>
          <w:lang w:val="es-ES_tradnl"/>
        </w:rPr>
        <w:t>ri</w:t>
      </w:r>
      <w:r w:rsidR="00DF2C15" w:rsidRPr="005B1B75">
        <w:rPr>
          <w:lang w:val="es-ES_tradnl"/>
        </w:rPr>
        <w:t xml:space="preserve">era al </w:t>
      </w:r>
      <w:proofErr w:type="spellStart"/>
      <w:r w:rsidR="00DF2C15" w:rsidRPr="005B1B75">
        <w:rPr>
          <w:lang w:val="es-ES_tradnl"/>
        </w:rPr>
        <w:t>IVIMA</w:t>
      </w:r>
      <w:proofErr w:type="spellEnd"/>
      <w:r w:rsidR="00DF2C15" w:rsidRPr="005B1B75">
        <w:rPr>
          <w:lang w:val="es-ES_tradnl"/>
        </w:rPr>
        <w:t xml:space="preserve"> y la </w:t>
      </w:r>
      <w:proofErr w:type="spellStart"/>
      <w:r w:rsidR="00DF2C15" w:rsidRPr="005B1B75">
        <w:rPr>
          <w:lang w:val="es-ES_tradnl"/>
        </w:rPr>
        <w:t>EMVS</w:t>
      </w:r>
      <w:proofErr w:type="spellEnd"/>
      <w:r w:rsidR="00DF2C15" w:rsidRPr="005B1B75">
        <w:rPr>
          <w:lang w:val="es-ES_tradnl"/>
        </w:rPr>
        <w:t xml:space="preserve"> </w:t>
      </w:r>
      <w:r w:rsidR="00C06586" w:rsidRPr="005B1B75">
        <w:rPr>
          <w:lang w:val="es-ES_tradnl"/>
        </w:rPr>
        <w:t xml:space="preserve">que le </w:t>
      </w:r>
      <w:r w:rsidR="00DF2C15" w:rsidRPr="005B1B75">
        <w:rPr>
          <w:lang w:val="es-ES_tradnl"/>
        </w:rPr>
        <w:t>proporcio</w:t>
      </w:r>
      <w:r w:rsidR="00E75B3F" w:rsidRPr="005B1B75">
        <w:rPr>
          <w:lang w:val="es-ES_tradnl"/>
        </w:rPr>
        <w:t>n</w:t>
      </w:r>
      <w:r w:rsidR="00DF2C15" w:rsidRPr="005B1B75">
        <w:rPr>
          <w:lang w:val="es-ES_tradnl"/>
        </w:rPr>
        <w:t>e una vivienda pública alternativa.</w:t>
      </w:r>
    </w:p>
    <w:p w14:paraId="4094957A" w14:textId="01FC69F7" w:rsidR="00E7084C" w:rsidRPr="005B1B75" w:rsidRDefault="001D448A" w:rsidP="00D445DC">
      <w:pPr>
        <w:pStyle w:val="SingleTxtG"/>
        <w:rPr>
          <w:lang w:val="es-ES_tradnl"/>
        </w:rPr>
      </w:pPr>
      <w:r w:rsidRPr="005B1B75">
        <w:rPr>
          <w:lang w:val="es-ES_tradnl"/>
        </w:rPr>
        <w:t>17.</w:t>
      </w:r>
      <w:r w:rsidR="003D1297" w:rsidRPr="005B1B75">
        <w:rPr>
          <w:lang w:val="es-ES_tradnl"/>
        </w:rPr>
        <w:t>4</w:t>
      </w:r>
      <w:r w:rsidRPr="005B1B75">
        <w:rPr>
          <w:lang w:val="es-ES_tradnl"/>
        </w:rPr>
        <w:t xml:space="preserve"> </w:t>
      </w:r>
      <w:r w:rsidRPr="005B1B75">
        <w:rPr>
          <w:lang w:val="es-ES_tradnl"/>
        </w:rPr>
        <w:tab/>
      </w:r>
      <w:r w:rsidR="00F365CD" w:rsidRPr="005B1B75">
        <w:rPr>
          <w:lang w:val="es-ES_tradnl"/>
        </w:rPr>
        <w:t>El Estado parte t</w:t>
      </w:r>
      <w:r w:rsidR="00474861" w:rsidRPr="005B1B75">
        <w:rPr>
          <w:lang w:val="es-ES_tradnl"/>
        </w:rPr>
        <w:t>ambién ar</w:t>
      </w:r>
      <w:r w:rsidR="00BD1E19" w:rsidRPr="005B1B75">
        <w:rPr>
          <w:lang w:val="es-ES_tradnl"/>
        </w:rPr>
        <w:t>gumenta</w:t>
      </w:r>
      <w:r w:rsidR="00474861" w:rsidRPr="005B1B75">
        <w:rPr>
          <w:lang w:val="es-ES_tradnl"/>
        </w:rPr>
        <w:t xml:space="preserve"> que anualmente el </w:t>
      </w:r>
      <w:proofErr w:type="spellStart"/>
      <w:r w:rsidR="00474861" w:rsidRPr="005B1B75">
        <w:rPr>
          <w:lang w:val="es-ES_tradnl"/>
        </w:rPr>
        <w:t>IVIMA</w:t>
      </w:r>
      <w:proofErr w:type="spellEnd"/>
      <w:r w:rsidR="00474861" w:rsidRPr="005B1B75">
        <w:rPr>
          <w:lang w:val="es-ES_tradnl"/>
        </w:rPr>
        <w:t xml:space="preserve"> recibe una media de 8</w:t>
      </w:r>
      <w:r w:rsidR="002876C5" w:rsidRPr="005B1B75">
        <w:rPr>
          <w:lang w:val="es-ES_tradnl"/>
        </w:rPr>
        <w:t>.</w:t>
      </w:r>
      <w:r w:rsidR="00474861" w:rsidRPr="005B1B75">
        <w:rPr>
          <w:lang w:val="es-ES_tradnl"/>
        </w:rPr>
        <w:t xml:space="preserve">000 solicitudes de vivienda pública y adjudica una media de 260 viviendas en Madrid. </w:t>
      </w:r>
      <w:r w:rsidR="006C6A95" w:rsidRPr="005B1B75">
        <w:rPr>
          <w:lang w:val="es-ES_tradnl"/>
        </w:rPr>
        <w:t xml:space="preserve">El Estado parte parece sostener </w:t>
      </w:r>
      <w:r w:rsidR="00BE6EE9" w:rsidRPr="005B1B75">
        <w:rPr>
          <w:lang w:val="es-ES_tradnl"/>
        </w:rPr>
        <w:t xml:space="preserve">implícitamente </w:t>
      </w:r>
      <w:proofErr w:type="gramStart"/>
      <w:r w:rsidR="006C6A95" w:rsidRPr="005B1B75">
        <w:rPr>
          <w:lang w:val="es-ES_tradnl"/>
        </w:rPr>
        <w:t>que</w:t>
      </w:r>
      <w:proofErr w:type="gramEnd"/>
      <w:r w:rsidR="006C6A95" w:rsidRPr="005B1B75">
        <w:rPr>
          <w:lang w:val="es-ES_tradnl"/>
        </w:rPr>
        <w:t xml:space="preserve"> aunque los autores cumplían con </w:t>
      </w:r>
      <w:r w:rsidR="00BE6EE9" w:rsidRPr="005B1B75">
        <w:rPr>
          <w:lang w:val="es-ES_tradnl"/>
        </w:rPr>
        <w:t>los requisitos</w:t>
      </w:r>
      <w:r w:rsidR="006C6A95" w:rsidRPr="005B1B75">
        <w:rPr>
          <w:lang w:val="es-ES_tradnl"/>
        </w:rPr>
        <w:t xml:space="preserve"> para ser receptores de vivienda </w:t>
      </w:r>
      <w:r w:rsidR="00015DAF" w:rsidRPr="005B1B75">
        <w:rPr>
          <w:lang w:val="es-ES_tradnl"/>
        </w:rPr>
        <w:t>pública</w:t>
      </w:r>
      <w:r w:rsidR="006C6A95" w:rsidRPr="005B1B75">
        <w:rPr>
          <w:lang w:val="es-ES_tradnl"/>
        </w:rPr>
        <w:t xml:space="preserve">, </w:t>
      </w:r>
      <w:r w:rsidR="002876C5" w:rsidRPr="005B1B75">
        <w:rPr>
          <w:lang w:val="es-ES_tradnl"/>
        </w:rPr>
        <w:t>e</w:t>
      </w:r>
      <w:r w:rsidR="006C6A95" w:rsidRPr="005B1B75">
        <w:rPr>
          <w:lang w:val="es-ES_tradnl"/>
        </w:rPr>
        <w:t>sta no les fue adjudicada en 2012-2013, cuando el desalojo era inminente</w:t>
      </w:r>
      <w:r w:rsidR="00BD1E19" w:rsidRPr="005B1B75">
        <w:rPr>
          <w:lang w:val="es-ES_tradnl"/>
        </w:rPr>
        <w:t>,</w:t>
      </w:r>
      <w:r w:rsidR="006C6A95" w:rsidRPr="005B1B75">
        <w:rPr>
          <w:lang w:val="es-ES_tradnl"/>
        </w:rPr>
        <w:t xml:space="preserve"> debido a que los recursos disponibles eran limitados.</w:t>
      </w:r>
      <w:r w:rsidR="00F365CD" w:rsidRPr="005B1B75">
        <w:rPr>
          <w:lang w:val="es-ES_tradnl"/>
        </w:rPr>
        <w:t xml:space="preserve"> </w:t>
      </w:r>
      <w:r w:rsidR="00E7084C" w:rsidRPr="005B1B75">
        <w:rPr>
          <w:lang w:val="es-ES_tradnl"/>
        </w:rPr>
        <w:t xml:space="preserve"> </w:t>
      </w:r>
    </w:p>
    <w:p w14:paraId="2765BE91" w14:textId="5CA65AAD" w:rsidR="00E7084C" w:rsidRPr="0048522D" w:rsidRDefault="00E7084C" w:rsidP="00D445DC">
      <w:pPr>
        <w:pStyle w:val="SingleTxtG"/>
        <w:rPr>
          <w:lang w:val="es-ES_tradnl"/>
        </w:rPr>
      </w:pPr>
      <w:r w:rsidRPr="005B1B75">
        <w:rPr>
          <w:lang w:val="es-ES_tradnl"/>
        </w:rPr>
        <w:t>17.</w:t>
      </w:r>
      <w:r w:rsidR="003D1297" w:rsidRPr="005B1B75">
        <w:rPr>
          <w:lang w:val="es-ES_tradnl"/>
        </w:rPr>
        <w:t>5</w:t>
      </w:r>
      <w:r w:rsidRPr="005B1B75">
        <w:rPr>
          <w:lang w:val="es-ES_tradnl"/>
        </w:rPr>
        <w:t xml:space="preserve"> </w:t>
      </w:r>
      <w:r w:rsidRPr="005B1B75">
        <w:rPr>
          <w:lang w:val="es-ES_tradnl"/>
        </w:rPr>
        <w:tab/>
      </w:r>
      <w:r w:rsidR="00E318B4" w:rsidRPr="005B1B75">
        <w:rPr>
          <w:lang w:val="es-ES_tradnl"/>
        </w:rPr>
        <w:t xml:space="preserve">Tomando nota de las medidas adoptadas en favor de los autores (véase </w:t>
      </w:r>
      <w:r w:rsidR="002876C5" w:rsidRPr="005B1B75">
        <w:rPr>
          <w:lang w:val="es-ES_tradnl"/>
        </w:rPr>
        <w:t xml:space="preserve">el párrafo </w:t>
      </w:r>
      <w:r w:rsidR="00E318B4" w:rsidRPr="005B1B75">
        <w:rPr>
          <w:lang w:val="es-ES_tradnl"/>
        </w:rPr>
        <w:t>4.5</w:t>
      </w:r>
      <w:r w:rsidR="002876C5" w:rsidRPr="005B1B75">
        <w:rPr>
          <w:lang w:val="es-ES_tradnl"/>
        </w:rPr>
        <w:t xml:space="preserve"> </w:t>
      </w:r>
      <w:r w:rsidR="002876C5" w:rsidRPr="0048522D">
        <w:rPr>
          <w:i/>
          <w:lang w:val="es-ES_tradnl"/>
        </w:rPr>
        <w:t>supra</w:t>
      </w:r>
      <w:r w:rsidR="00E318B4" w:rsidRPr="005B1B75">
        <w:rPr>
          <w:lang w:val="es-ES_tradnl"/>
        </w:rPr>
        <w:t xml:space="preserve">), </w:t>
      </w:r>
      <w:r w:rsidR="00BD1E19" w:rsidRPr="005B1B75">
        <w:rPr>
          <w:lang w:val="es-ES_tradnl"/>
        </w:rPr>
        <w:t xml:space="preserve">el </w:t>
      </w:r>
      <w:r w:rsidRPr="005B1B75">
        <w:rPr>
          <w:lang w:val="es-ES_tradnl"/>
        </w:rPr>
        <w:t xml:space="preserve">Comité considera los argumentos del </w:t>
      </w:r>
      <w:r w:rsidR="00BD1E19" w:rsidRPr="005B1B75">
        <w:rPr>
          <w:lang w:val="es-ES_tradnl"/>
        </w:rPr>
        <w:t xml:space="preserve">Estado parte </w:t>
      </w:r>
      <w:r w:rsidRPr="005B1B75">
        <w:rPr>
          <w:lang w:val="es-ES_tradnl"/>
        </w:rPr>
        <w:t xml:space="preserve">insuficientes pues </w:t>
      </w:r>
      <w:r w:rsidR="00BD1E19" w:rsidRPr="005B1B75">
        <w:rPr>
          <w:lang w:val="es-ES_tradnl"/>
        </w:rPr>
        <w:t>no ha</w:t>
      </w:r>
      <w:r w:rsidR="00F365CD" w:rsidRPr="005B1B75">
        <w:rPr>
          <w:lang w:val="es-ES_tradnl"/>
        </w:rPr>
        <w:t>n</w:t>
      </w:r>
      <w:r w:rsidR="00BD1E19" w:rsidRPr="005B1B75">
        <w:rPr>
          <w:lang w:val="es-ES_tradnl"/>
        </w:rPr>
        <w:t xml:space="preserve"> demostrado que haya realizado todos los esfuerzos posibles</w:t>
      </w:r>
      <w:r w:rsidR="00F365CD" w:rsidRPr="005B1B75">
        <w:rPr>
          <w:lang w:val="es-ES_tradnl"/>
        </w:rPr>
        <w:t>,</w:t>
      </w:r>
      <w:r w:rsidR="00BD1E19" w:rsidRPr="005B1B75">
        <w:rPr>
          <w:lang w:val="es-ES_tradnl"/>
        </w:rPr>
        <w:t xml:space="preserve"> </w:t>
      </w:r>
      <w:r w:rsidR="00F365CD" w:rsidRPr="005B1B75">
        <w:rPr>
          <w:lang w:val="es-ES_tradnl"/>
        </w:rPr>
        <w:t>utilizando</w:t>
      </w:r>
      <w:r w:rsidR="00BD1E19" w:rsidRPr="005B1B75">
        <w:rPr>
          <w:lang w:val="es-ES_tradnl"/>
        </w:rPr>
        <w:t xml:space="preserve"> todos los recursos que están a su disposición</w:t>
      </w:r>
      <w:r w:rsidR="00F365CD" w:rsidRPr="005B1B75">
        <w:rPr>
          <w:lang w:val="es-ES_tradnl"/>
        </w:rPr>
        <w:t>,</w:t>
      </w:r>
      <w:r w:rsidR="00BD1E19" w:rsidRPr="005B1B75">
        <w:rPr>
          <w:lang w:val="es-ES_tradnl"/>
        </w:rPr>
        <w:t xml:space="preserve"> </w:t>
      </w:r>
      <w:r w:rsidR="00AC3CDD" w:rsidRPr="005B1B75">
        <w:rPr>
          <w:lang w:val="es-ES_tradnl"/>
        </w:rPr>
        <w:t>con el fin de</w:t>
      </w:r>
      <w:r w:rsidR="00BD1E19" w:rsidRPr="005B1B75">
        <w:rPr>
          <w:lang w:val="es-ES_tradnl"/>
        </w:rPr>
        <w:t xml:space="preserve"> satisfacer, con carácter prioritario, el derecho a la vivienda en favor de personas que</w:t>
      </w:r>
      <w:r w:rsidRPr="005B1B75">
        <w:rPr>
          <w:lang w:val="es-ES_tradnl"/>
        </w:rPr>
        <w:t>, como los autores,</w:t>
      </w:r>
      <w:r w:rsidR="00BD1E19" w:rsidRPr="005B1B75">
        <w:rPr>
          <w:lang w:val="es-ES_tradnl"/>
        </w:rPr>
        <w:t xml:space="preserve"> estén en una situación de </w:t>
      </w:r>
      <w:r w:rsidRPr="005B1B75">
        <w:rPr>
          <w:lang w:val="es-ES_tradnl"/>
        </w:rPr>
        <w:t xml:space="preserve">particular </w:t>
      </w:r>
      <w:r w:rsidR="00BD1E19" w:rsidRPr="005B1B75">
        <w:rPr>
          <w:lang w:val="es-ES_tradnl"/>
        </w:rPr>
        <w:t>necesidad.</w:t>
      </w:r>
      <w:r w:rsidR="00E318B4" w:rsidRPr="005B1B75">
        <w:rPr>
          <w:lang w:val="es-ES_tradnl"/>
        </w:rPr>
        <w:t xml:space="preserve"> Por ejemplo, el Estado parte no ha explicado </w:t>
      </w:r>
      <w:r w:rsidR="00267DFC" w:rsidRPr="005B1B75">
        <w:rPr>
          <w:lang w:val="es-ES_tradnl"/>
        </w:rPr>
        <w:t xml:space="preserve">que la denegación de vivienda social a los autores fuera necesaria en razón de la utilización de sus recursos para una política general o un plan de emergencia que estuviera siendo ejecutado por las autoridades con el fin de realizar progresivamente el derecho a la vivienda, especialmente de aquellos </w:t>
      </w:r>
      <w:r w:rsidR="00F365CD" w:rsidRPr="005B1B75">
        <w:rPr>
          <w:lang w:val="es-ES_tradnl"/>
        </w:rPr>
        <w:t>que estén en una seria</w:t>
      </w:r>
      <w:r w:rsidR="00267DFC" w:rsidRPr="005B1B75">
        <w:rPr>
          <w:lang w:val="es-ES_tradnl"/>
        </w:rPr>
        <w:t xml:space="preserve"> situación de vulnerabilidad. </w:t>
      </w:r>
      <w:r w:rsidR="00BD1E19" w:rsidRPr="005B1B75">
        <w:rPr>
          <w:lang w:val="es-ES_tradnl"/>
        </w:rPr>
        <w:t xml:space="preserve">Más aún, </w:t>
      </w:r>
      <w:r w:rsidR="00015DAF" w:rsidRPr="005B1B75">
        <w:rPr>
          <w:lang w:val="es-ES_tradnl"/>
        </w:rPr>
        <w:t xml:space="preserve">el Estado parte tampoco ha explicado al Comité las razones por las cuales las autoridades regionales de Madrid, por ejemplo el </w:t>
      </w:r>
      <w:proofErr w:type="spellStart"/>
      <w:r w:rsidR="00015DAF" w:rsidRPr="005B1B75">
        <w:rPr>
          <w:lang w:val="es-ES_tradnl"/>
        </w:rPr>
        <w:t>IVIMA</w:t>
      </w:r>
      <w:proofErr w:type="spellEnd"/>
      <w:r w:rsidR="00015DAF" w:rsidRPr="005B1B75">
        <w:rPr>
          <w:lang w:val="es-ES_tradnl"/>
        </w:rPr>
        <w:t>, vendieron parte del parque de vivienda pública a sociedades de inversión,</w:t>
      </w:r>
      <w:r w:rsidR="00BE6EE9" w:rsidRPr="005B1B75">
        <w:rPr>
          <w:lang w:val="es-ES_tradnl"/>
        </w:rPr>
        <w:t xml:space="preserve"> reduciendo la disponibilidad de la misma,</w:t>
      </w:r>
      <w:r w:rsidR="00015DAF" w:rsidRPr="005B1B75">
        <w:rPr>
          <w:lang w:val="es-ES_tradnl"/>
        </w:rPr>
        <w:t xml:space="preserve"> a pesar de que el número de vivienda </w:t>
      </w:r>
      <w:r w:rsidR="00F365CD" w:rsidRPr="005B1B75">
        <w:rPr>
          <w:lang w:val="es-ES_tradnl"/>
        </w:rPr>
        <w:t xml:space="preserve">pública </w:t>
      </w:r>
      <w:r w:rsidR="00015DAF" w:rsidRPr="005B1B75">
        <w:rPr>
          <w:lang w:val="es-ES_tradnl"/>
        </w:rPr>
        <w:t xml:space="preserve">disponible anualmente en Madrid era considerablemente inferior a la demanda, ni de qué forma esta medida </w:t>
      </w:r>
      <w:r w:rsidR="00AF6284" w:rsidRPr="005B1B75">
        <w:rPr>
          <w:lang w:val="es-ES_tradnl"/>
        </w:rPr>
        <w:t xml:space="preserve">estaba debidamente justificada y </w:t>
      </w:r>
      <w:r w:rsidR="00015DAF" w:rsidRPr="005B1B75">
        <w:rPr>
          <w:lang w:val="es-ES_tradnl"/>
        </w:rPr>
        <w:t xml:space="preserve">era </w:t>
      </w:r>
      <w:r w:rsidR="00AF6284" w:rsidRPr="005B1B75">
        <w:rPr>
          <w:lang w:val="es-ES_tradnl"/>
        </w:rPr>
        <w:t xml:space="preserve">la más </w:t>
      </w:r>
      <w:r w:rsidR="00015DAF" w:rsidRPr="005B1B75">
        <w:rPr>
          <w:lang w:val="es-ES_tradnl"/>
        </w:rPr>
        <w:t xml:space="preserve">adecuada </w:t>
      </w:r>
      <w:r w:rsidR="00AF6284" w:rsidRPr="005B1B75">
        <w:rPr>
          <w:lang w:val="es-ES_tradnl"/>
        </w:rPr>
        <w:t xml:space="preserve">para </w:t>
      </w:r>
      <w:r w:rsidR="00015DAF" w:rsidRPr="0048522D">
        <w:rPr>
          <w:lang w:val="es-ES_tradnl"/>
        </w:rPr>
        <w:t>garantizar la plena efectividad de los derechos reconocidos en el Pacto</w:t>
      </w:r>
      <w:r w:rsidR="00AF6284" w:rsidRPr="0048522D">
        <w:rPr>
          <w:lang w:val="es-ES_tradnl"/>
        </w:rPr>
        <w:t xml:space="preserve">. </w:t>
      </w:r>
      <w:r w:rsidRPr="0048522D">
        <w:rPr>
          <w:lang w:val="es-ES_tradnl"/>
        </w:rPr>
        <w:t xml:space="preserve">Por ejemplo, en 2013, el </w:t>
      </w:r>
      <w:proofErr w:type="spellStart"/>
      <w:r w:rsidRPr="0048522D">
        <w:rPr>
          <w:lang w:val="es-ES_tradnl"/>
        </w:rPr>
        <w:t>IVIMA</w:t>
      </w:r>
      <w:proofErr w:type="spellEnd"/>
      <w:r w:rsidRPr="0048522D">
        <w:rPr>
          <w:lang w:val="es-ES_tradnl"/>
        </w:rPr>
        <w:t xml:space="preserve"> ve</w:t>
      </w:r>
      <w:r w:rsidR="00975BC0" w:rsidRPr="0048522D">
        <w:rPr>
          <w:lang w:val="es-ES_tradnl"/>
        </w:rPr>
        <w:t>n</w:t>
      </w:r>
      <w:r w:rsidRPr="0048522D">
        <w:rPr>
          <w:lang w:val="es-ES_tradnl"/>
        </w:rPr>
        <w:t>dió 2</w:t>
      </w:r>
      <w:r w:rsidR="00B2009C" w:rsidRPr="0048522D">
        <w:rPr>
          <w:lang w:val="es-ES_tradnl"/>
        </w:rPr>
        <w:t>.</w:t>
      </w:r>
      <w:r w:rsidRPr="0048522D">
        <w:rPr>
          <w:lang w:val="es-ES_tradnl"/>
        </w:rPr>
        <w:t xml:space="preserve">935 casas y otras propiedades a una entidad privada por 201 millones de euros, justificando la medida </w:t>
      </w:r>
      <w:r w:rsidR="005F7B30" w:rsidRPr="0048522D">
        <w:rPr>
          <w:lang w:val="es-ES_tradnl"/>
        </w:rPr>
        <w:t xml:space="preserve">en </w:t>
      </w:r>
      <w:r w:rsidRPr="0048522D">
        <w:rPr>
          <w:lang w:val="es-ES_tradnl"/>
        </w:rPr>
        <w:t>motivos de equilibrio presupuestario.</w:t>
      </w:r>
    </w:p>
    <w:p w14:paraId="054C8863" w14:textId="3C73A9DF" w:rsidR="00424462" w:rsidRPr="005B1B75" w:rsidRDefault="00E7084C" w:rsidP="00D445DC">
      <w:pPr>
        <w:pStyle w:val="SingleTxtG"/>
        <w:rPr>
          <w:lang w:val="es-ES_tradnl"/>
        </w:rPr>
      </w:pPr>
      <w:r w:rsidRPr="0048522D">
        <w:rPr>
          <w:lang w:val="es-ES_tradnl"/>
        </w:rPr>
        <w:lastRenderedPageBreak/>
        <w:t>17.</w:t>
      </w:r>
      <w:r w:rsidR="003D1297" w:rsidRPr="0048522D">
        <w:rPr>
          <w:lang w:val="es-ES_tradnl"/>
        </w:rPr>
        <w:t>6</w:t>
      </w:r>
      <w:r w:rsidRPr="005B1B75">
        <w:rPr>
          <w:lang w:val="es-ES_tradnl"/>
        </w:rPr>
        <w:tab/>
        <w:t xml:space="preserve">El Comité considera que los Estados partes </w:t>
      </w:r>
      <w:r w:rsidRPr="0048522D">
        <w:rPr>
          <w:lang w:val="es-ES_tradnl"/>
        </w:rPr>
        <w:t>gozan de cierto margen para disponer de recursos fiscales de la forma más adecuada posible con el fin de garantizar la plena efectividad de los derechos reconocidos en el Pacto</w:t>
      </w:r>
      <w:r w:rsidRPr="0048522D">
        <w:rPr>
          <w:sz w:val="18"/>
          <w:szCs w:val="18"/>
          <w:vertAlign w:val="superscript"/>
          <w:lang w:val="es-ES_tradnl"/>
        </w:rPr>
        <w:footnoteReference w:id="35"/>
      </w:r>
      <w:r w:rsidRPr="0048522D">
        <w:rPr>
          <w:lang w:val="es-ES_tradnl"/>
        </w:rPr>
        <w:t xml:space="preserve"> y que, en determinadas circunstancias, pueden adoptar medidas </w:t>
      </w:r>
      <w:r w:rsidR="00267DFC" w:rsidRPr="0048522D">
        <w:rPr>
          <w:lang w:val="es-ES_tradnl"/>
        </w:rPr>
        <w:t>regresivas</w:t>
      </w:r>
      <w:r w:rsidRPr="0048522D">
        <w:rPr>
          <w:lang w:val="es-ES_tradnl"/>
        </w:rPr>
        <w:t>.</w:t>
      </w:r>
      <w:r w:rsidR="00EA2128" w:rsidRPr="0048522D">
        <w:rPr>
          <w:lang w:val="es-ES_tradnl"/>
        </w:rPr>
        <w:t xml:space="preserve"> </w:t>
      </w:r>
      <w:r w:rsidRPr="0048522D">
        <w:rPr>
          <w:lang w:val="es-ES_tradnl"/>
        </w:rPr>
        <w:t xml:space="preserve">Sin embargo, en estos casos, </w:t>
      </w:r>
      <w:r w:rsidRPr="005B1B75">
        <w:rPr>
          <w:lang w:val="es-ES_tradnl"/>
        </w:rPr>
        <w:t xml:space="preserve">corresponde al Estado parte probar que la decisión se basó en el examen más exhaustivo posible y que está debidamente justificada </w:t>
      </w:r>
      <w:r w:rsidR="00CD3017" w:rsidRPr="005B1B75">
        <w:rPr>
          <w:lang w:val="es-ES_tradnl"/>
        </w:rPr>
        <w:t xml:space="preserve">con </w:t>
      </w:r>
      <w:r w:rsidRPr="005B1B75">
        <w:rPr>
          <w:lang w:val="es-ES_tradnl"/>
        </w:rPr>
        <w:t>referencia a la totalidad de los derechos previstos en el Pacto y en el contexto del aprovechamiento pleno del máximo de los recursos de que se disponga</w:t>
      </w:r>
      <w:r w:rsidRPr="009E41B4">
        <w:rPr>
          <w:sz w:val="18"/>
          <w:szCs w:val="18"/>
          <w:vertAlign w:val="superscript"/>
          <w:lang w:val="es-ES_tradnl"/>
        </w:rPr>
        <w:footnoteReference w:id="36"/>
      </w:r>
      <w:r w:rsidR="00CD3017" w:rsidRPr="005B1B75">
        <w:rPr>
          <w:lang w:val="es-ES_tradnl"/>
        </w:rPr>
        <w:t>.</w:t>
      </w:r>
      <w:r w:rsidRPr="005B1B75">
        <w:rPr>
          <w:lang w:val="es-ES_tradnl"/>
        </w:rPr>
        <w:t xml:space="preserve"> En per</w:t>
      </w:r>
      <w:r w:rsidR="00BE200E" w:rsidRPr="005B1B75">
        <w:rPr>
          <w:lang w:val="es-ES_tradnl"/>
        </w:rPr>
        <w:t>í</w:t>
      </w:r>
      <w:r w:rsidRPr="005B1B75">
        <w:rPr>
          <w:lang w:val="es-ES_tradnl"/>
        </w:rPr>
        <w:t>odo</w:t>
      </w:r>
      <w:r w:rsidR="00BE200E" w:rsidRPr="005B1B75">
        <w:rPr>
          <w:lang w:val="es-ES_tradnl"/>
        </w:rPr>
        <w:t>s</w:t>
      </w:r>
      <w:r w:rsidRPr="005B1B75">
        <w:rPr>
          <w:lang w:val="es-ES_tradnl"/>
        </w:rPr>
        <w:t xml:space="preserve"> de grave crisis económica y financiera, todos los cambios o ajustes propuestos en materia de políticas deben ser, entre otros</w:t>
      </w:r>
      <w:r w:rsidR="00DD70C0" w:rsidRPr="005B1B75">
        <w:rPr>
          <w:lang w:val="es-ES_tradnl"/>
        </w:rPr>
        <w:t>,</w:t>
      </w:r>
      <w:r w:rsidRPr="005B1B75">
        <w:rPr>
          <w:lang w:val="es-ES_tradnl"/>
        </w:rPr>
        <w:t xml:space="preserve"> una medida provisional</w:t>
      </w:r>
      <w:r w:rsidR="009F5B78" w:rsidRPr="005B1B75">
        <w:rPr>
          <w:lang w:val="es-ES_tradnl"/>
        </w:rPr>
        <w:t>,</w:t>
      </w:r>
      <w:r w:rsidRPr="005B1B75">
        <w:rPr>
          <w:lang w:val="es-ES_tradnl"/>
        </w:rPr>
        <w:t xml:space="preserve"> necesaria y proporcional y no discriminatoria</w:t>
      </w:r>
      <w:r w:rsidRPr="009E41B4">
        <w:rPr>
          <w:sz w:val="18"/>
          <w:szCs w:val="18"/>
          <w:vertAlign w:val="superscript"/>
          <w:lang w:val="es-ES_tradnl"/>
        </w:rPr>
        <w:footnoteReference w:id="37"/>
      </w:r>
      <w:r w:rsidR="009F5B78" w:rsidRPr="005B1B75">
        <w:rPr>
          <w:lang w:val="es-ES_tradnl"/>
        </w:rPr>
        <w:t>.</w:t>
      </w:r>
      <w:r w:rsidR="00424462" w:rsidRPr="005B1B75">
        <w:rPr>
          <w:lang w:val="es-ES_tradnl"/>
        </w:rPr>
        <w:t xml:space="preserve"> En el presente caso, el Estado parte no ha explicado de forma convincente por qué era indispensable adoptar la medida regresiva descrita en el párrafo anterior, disminuyendo así la oferta de vivienda</w:t>
      </w:r>
      <w:r w:rsidR="00F365CD" w:rsidRPr="005B1B75">
        <w:rPr>
          <w:lang w:val="es-ES_tradnl"/>
        </w:rPr>
        <w:t xml:space="preserve"> social</w:t>
      </w:r>
      <w:r w:rsidR="00424462" w:rsidRPr="005B1B75">
        <w:rPr>
          <w:lang w:val="es-ES_tradnl"/>
        </w:rPr>
        <w:t xml:space="preserve">, precisamente en el momento en que la </w:t>
      </w:r>
      <w:r w:rsidR="00B161CA" w:rsidRPr="005B1B75">
        <w:rPr>
          <w:lang w:val="es-ES_tradnl"/>
        </w:rPr>
        <w:t>necesidad</w:t>
      </w:r>
      <w:r w:rsidR="00F365CD" w:rsidRPr="005B1B75">
        <w:rPr>
          <w:lang w:val="es-ES_tradnl"/>
        </w:rPr>
        <w:t xml:space="preserve"> de la misma</w:t>
      </w:r>
      <w:r w:rsidR="00424462" w:rsidRPr="005B1B75">
        <w:rPr>
          <w:lang w:val="es-ES_tradnl"/>
        </w:rPr>
        <w:t xml:space="preserve"> era mayor, debido a la crisis económica.</w:t>
      </w:r>
    </w:p>
    <w:p w14:paraId="6418EAEC" w14:textId="0D2B68E6" w:rsidR="008C5702" w:rsidRPr="005B1B75" w:rsidRDefault="00424462" w:rsidP="00D445DC">
      <w:pPr>
        <w:pStyle w:val="SingleTxtG"/>
        <w:rPr>
          <w:lang w:val="es-ES_tradnl"/>
        </w:rPr>
      </w:pPr>
      <w:r w:rsidRPr="005B1B75">
        <w:rPr>
          <w:lang w:val="es-ES_tradnl"/>
        </w:rPr>
        <w:t>17.</w:t>
      </w:r>
      <w:r w:rsidR="003D1297" w:rsidRPr="005B1B75">
        <w:rPr>
          <w:lang w:val="es-ES_tradnl"/>
        </w:rPr>
        <w:t>7</w:t>
      </w:r>
      <w:r w:rsidR="008C5702" w:rsidRPr="005B1B75">
        <w:rPr>
          <w:lang w:val="es-ES_tradnl"/>
        </w:rPr>
        <w:t xml:space="preserve"> </w:t>
      </w:r>
      <w:r w:rsidR="008C5702" w:rsidRPr="005B1B75">
        <w:rPr>
          <w:lang w:val="es-ES_tradnl"/>
        </w:rPr>
        <w:tab/>
      </w:r>
      <w:r w:rsidR="008C5702" w:rsidRPr="0048522D">
        <w:rPr>
          <w:lang w:val="es-ES_tradnl"/>
        </w:rPr>
        <w:t>Por último</w:t>
      </w:r>
      <w:r w:rsidR="00CC58C3" w:rsidRPr="0048522D">
        <w:rPr>
          <w:lang w:val="es-ES_tradnl"/>
        </w:rPr>
        <w:t xml:space="preserve">, el Comité procede </w:t>
      </w:r>
      <w:r w:rsidR="008C5702" w:rsidRPr="0048522D">
        <w:rPr>
          <w:lang w:val="es-ES_tradnl"/>
        </w:rPr>
        <w:t xml:space="preserve">a examinar </w:t>
      </w:r>
      <w:r w:rsidR="006A42CE" w:rsidRPr="0048522D">
        <w:rPr>
          <w:lang w:val="es-ES_tradnl"/>
        </w:rPr>
        <w:t>el argumento</w:t>
      </w:r>
      <w:r w:rsidR="00CC58C3" w:rsidRPr="0048522D">
        <w:rPr>
          <w:lang w:val="es-ES_tradnl"/>
        </w:rPr>
        <w:t xml:space="preserve"> del Estado parte</w:t>
      </w:r>
      <w:r w:rsidR="008C5702" w:rsidRPr="0048522D">
        <w:rPr>
          <w:lang w:val="es-ES_tradnl"/>
        </w:rPr>
        <w:t xml:space="preserve"> de que</w:t>
      </w:r>
      <w:r w:rsidR="000905F0" w:rsidRPr="0048522D">
        <w:rPr>
          <w:lang w:val="es-ES_tradnl"/>
        </w:rPr>
        <w:t xml:space="preserve"> </w:t>
      </w:r>
      <w:r w:rsidR="000905F0" w:rsidRPr="005B1B75">
        <w:rPr>
          <w:lang w:val="es-ES_tradnl"/>
        </w:rPr>
        <w:t xml:space="preserve">el </w:t>
      </w:r>
      <w:proofErr w:type="spellStart"/>
      <w:r w:rsidR="000905F0" w:rsidRPr="005B1B75">
        <w:rPr>
          <w:lang w:val="es-ES_tradnl"/>
        </w:rPr>
        <w:t>S</w:t>
      </w:r>
      <w:r w:rsidR="00A47877" w:rsidRPr="005B1B75">
        <w:rPr>
          <w:lang w:val="es-ES_tradnl"/>
        </w:rPr>
        <w:t>amur</w:t>
      </w:r>
      <w:proofErr w:type="spellEnd"/>
      <w:r w:rsidR="00A47877" w:rsidRPr="005B1B75">
        <w:rPr>
          <w:lang w:val="es-ES_tradnl"/>
        </w:rPr>
        <w:t xml:space="preserve"> </w:t>
      </w:r>
      <w:r w:rsidR="000905F0" w:rsidRPr="005B1B75">
        <w:rPr>
          <w:lang w:val="es-ES_tradnl"/>
        </w:rPr>
        <w:t xml:space="preserve">comunicó </w:t>
      </w:r>
      <w:r w:rsidR="006A42CE" w:rsidRPr="005B1B75">
        <w:rPr>
          <w:lang w:val="es-ES_tradnl"/>
        </w:rPr>
        <w:t xml:space="preserve">a los autores </w:t>
      </w:r>
      <w:r w:rsidR="000905F0" w:rsidRPr="005B1B75">
        <w:rPr>
          <w:lang w:val="es-ES_tradnl"/>
        </w:rPr>
        <w:t xml:space="preserve">que si llegado el plazo máximo de estancia en la </w:t>
      </w:r>
      <w:r w:rsidR="009F5B78" w:rsidRPr="005B1B75">
        <w:rPr>
          <w:lang w:val="es-ES_tradnl"/>
        </w:rPr>
        <w:t>u</w:t>
      </w:r>
      <w:r w:rsidR="000905F0" w:rsidRPr="005B1B75">
        <w:rPr>
          <w:lang w:val="es-ES_tradnl"/>
        </w:rPr>
        <w:t xml:space="preserve">nidad de </w:t>
      </w:r>
      <w:r w:rsidR="009F5B78" w:rsidRPr="005B1B75">
        <w:rPr>
          <w:lang w:val="es-ES_tradnl"/>
        </w:rPr>
        <w:t>e</w:t>
      </w:r>
      <w:r w:rsidR="000905F0" w:rsidRPr="005B1B75">
        <w:rPr>
          <w:lang w:val="es-ES_tradnl"/>
        </w:rPr>
        <w:t xml:space="preserve">stancias </w:t>
      </w:r>
      <w:r w:rsidR="009F5B78" w:rsidRPr="005B1B75">
        <w:rPr>
          <w:lang w:val="es-ES_tradnl"/>
        </w:rPr>
        <w:t>b</w:t>
      </w:r>
      <w:r w:rsidR="000905F0" w:rsidRPr="005B1B75">
        <w:rPr>
          <w:lang w:val="es-ES_tradnl"/>
        </w:rPr>
        <w:t xml:space="preserve">reves del </w:t>
      </w:r>
      <w:proofErr w:type="spellStart"/>
      <w:r w:rsidR="000905F0" w:rsidRPr="005B1B75">
        <w:rPr>
          <w:lang w:val="es-ES_tradnl"/>
        </w:rPr>
        <w:t>S</w:t>
      </w:r>
      <w:r w:rsidR="00A47877" w:rsidRPr="005B1B75">
        <w:rPr>
          <w:lang w:val="es-ES_tradnl"/>
        </w:rPr>
        <w:t>amur</w:t>
      </w:r>
      <w:proofErr w:type="spellEnd"/>
      <w:r w:rsidR="00A47877" w:rsidRPr="005B1B75">
        <w:rPr>
          <w:lang w:val="es-ES_tradnl"/>
        </w:rPr>
        <w:t xml:space="preserve"> </w:t>
      </w:r>
      <w:r w:rsidR="000905F0" w:rsidRPr="005B1B75">
        <w:rPr>
          <w:lang w:val="es-ES_tradnl"/>
        </w:rPr>
        <w:t xml:space="preserve">Social-Madrid no habían encontrado alojamiento, se les podía ofrecer alojamiento para la </w:t>
      </w:r>
      <w:r w:rsidR="00562C6C" w:rsidRPr="005B1B75">
        <w:rPr>
          <w:lang w:val="es-ES_tradnl"/>
        </w:rPr>
        <w:t xml:space="preserve">Sra. </w:t>
      </w:r>
      <w:proofErr w:type="spellStart"/>
      <w:r w:rsidR="00562C6C" w:rsidRPr="005B1B75">
        <w:rPr>
          <w:lang w:val="es-ES_tradnl"/>
        </w:rPr>
        <w:t>Bellili</w:t>
      </w:r>
      <w:proofErr w:type="spellEnd"/>
      <w:r w:rsidR="000905F0" w:rsidRPr="005B1B75">
        <w:rPr>
          <w:lang w:val="es-ES_tradnl"/>
        </w:rPr>
        <w:t xml:space="preserve"> e hijos en un centro para mujeres y para el </w:t>
      </w:r>
      <w:r w:rsidR="002D0785" w:rsidRPr="005B1B75">
        <w:rPr>
          <w:lang w:val="es-ES_tradnl"/>
        </w:rPr>
        <w:t xml:space="preserve">Sr. Ben </w:t>
      </w:r>
      <w:proofErr w:type="spellStart"/>
      <w:r w:rsidR="002D0785" w:rsidRPr="005B1B75">
        <w:rPr>
          <w:lang w:val="es-ES_tradnl"/>
        </w:rPr>
        <w:t>Djazia</w:t>
      </w:r>
      <w:proofErr w:type="spellEnd"/>
      <w:r w:rsidR="000905F0" w:rsidRPr="005B1B75">
        <w:rPr>
          <w:lang w:val="es-ES_tradnl"/>
        </w:rPr>
        <w:t xml:space="preserve"> en un centro de personas sin hogar</w:t>
      </w:r>
      <w:r w:rsidR="00D450B2" w:rsidRPr="005B1B75">
        <w:rPr>
          <w:lang w:val="es-ES_tradnl"/>
        </w:rPr>
        <w:t xml:space="preserve">, y </w:t>
      </w:r>
      <w:r w:rsidR="008C5702" w:rsidRPr="005B1B75">
        <w:rPr>
          <w:lang w:val="es-ES_tradnl"/>
        </w:rPr>
        <w:t>que el Centro de Servicios Sociales del Ayuntamiento de Madrid les habría ofrecido una alternativa similar. Tal ofrecimiento, de concretarse, habría implicado una ruptura del núcleo familiar, en contravención al deber del Estado parte de otorgar la mayor y más amplia protección posible a la familia, como elemento fundamental de la sociedad, establecido en el artículo 10</w:t>
      </w:r>
      <w:r w:rsidR="009F5B78" w:rsidRPr="005B1B75">
        <w:rPr>
          <w:lang w:val="es-ES_tradnl"/>
        </w:rPr>
        <w:t xml:space="preserve">, párr. </w:t>
      </w:r>
      <w:r w:rsidR="003F51F1" w:rsidRPr="005B1B75">
        <w:rPr>
          <w:lang w:val="es-ES_tradnl"/>
        </w:rPr>
        <w:t>1</w:t>
      </w:r>
      <w:r w:rsidR="009F5B78" w:rsidRPr="005B1B75">
        <w:rPr>
          <w:lang w:val="es-ES_tradnl"/>
        </w:rPr>
        <w:t>,</w:t>
      </w:r>
      <w:r w:rsidR="003F51F1" w:rsidRPr="005B1B75">
        <w:rPr>
          <w:lang w:val="es-ES_tradnl"/>
        </w:rPr>
        <w:t xml:space="preserve"> del Pacto. A</w:t>
      </w:r>
      <w:r w:rsidR="009E41B4">
        <w:rPr>
          <w:lang w:val="es-ES_tradnl"/>
        </w:rPr>
        <w:t> </w:t>
      </w:r>
      <w:r w:rsidR="003F51F1" w:rsidRPr="005B1B75">
        <w:rPr>
          <w:lang w:val="es-ES_tradnl"/>
        </w:rPr>
        <w:t>este respecto,</w:t>
      </w:r>
      <w:r w:rsidR="008C5702" w:rsidRPr="005B1B75">
        <w:rPr>
          <w:lang w:val="es-ES_tradnl"/>
        </w:rPr>
        <w:t xml:space="preserve"> el Estado parte </w:t>
      </w:r>
      <w:r w:rsidR="002E34A8" w:rsidRPr="005B1B75">
        <w:rPr>
          <w:lang w:val="es-ES_tradnl"/>
        </w:rPr>
        <w:t xml:space="preserve">no ha explicado ante el Comité </w:t>
      </w:r>
      <w:r w:rsidR="008C5702" w:rsidRPr="005B1B75">
        <w:rPr>
          <w:lang w:val="es-ES_tradnl"/>
        </w:rPr>
        <w:t xml:space="preserve">por qué </w:t>
      </w:r>
      <w:r w:rsidR="00BE6EE9" w:rsidRPr="005B1B75">
        <w:rPr>
          <w:lang w:val="es-ES_tradnl"/>
        </w:rPr>
        <w:t>no existían otras opciones disponibles para los autores</w:t>
      </w:r>
      <w:r w:rsidR="006A42CE" w:rsidRPr="005B1B75">
        <w:rPr>
          <w:lang w:val="es-ES_tradnl"/>
        </w:rPr>
        <w:t>.</w:t>
      </w:r>
    </w:p>
    <w:p w14:paraId="2AF938FA" w14:textId="6BD1D7A2" w:rsidR="0029180A" w:rsidRPr="005B1B75" w:rsidRDefault="008C5702" w:rsidP="00D445DC">
      <w:pPr>
        <w:pStyle w:val="SingleTxtG"/>
        <w:rPr>
          <w:lang w:val="es-ES_tradnl"/>
        </w:rPr>
      </w:pPr>
      <w:r w:rsidRPr="0048522D">
        <w:rPr>
          <w:lang w:val="es-ES_tradnl"/>
        </w:rPr>
        <w:t>17.</w:t>
      </w:r>
      <w:r w:rsidR="003D1297" w:rsidRPr="0048522D">
        <w:rPr>
          <w:lang w:val="es-ES_tradnl"/>
        </w:rPr>
        <w:t>8</w:t>
      </w:r>
      <w:r w:rsidRPr="0048522D">
        <w:rPr>
          <w:lang w:val="es-ES_tradnl"/>
        </w:rPr>
        <w:t xml:space="preserve"> </w:t>
      </w:r>
      <w:r w:rsidR="00CC58C3" w:rsidRPr="0048522D">
        <w:rPr>
          <w:lang w:val="es-ES_tradnl"/>
        </w:rPr>
        <w:tab/>
      </w:r>
      <w:r w:rsidRPr="0048522D">
        <w:rPr>
          <w:lang w:val="es-ES_tradnl"/>
        </w:rPr>
        <w:t xml:space="preserve">Por las anteriores razones, el Comité concluye que el Estado parte no </w:t>
      </w:r>
      <w:r w:rsidR="002E34A8" w:rsidRPr="0048522D">
        <w:rPr>
          <w:lang w:val="es-ES_tradnl"/>
        </w:rPr>
        <w:t xml:space="preserve">ha </w:t>
      </w:r>
      <w:r w:rsidR="00BE6EE9" w:rsidRPr="0048522D">
        <w:rPr>
          <w:lang w:val="es-ES_tradnl"/>
        </w:rPr>
        <w:t xml:space="preserve">ofrecido argumentos razonables que demuestren </w:t>
      </w:r>
      <w:r w:rsidRPr="0048522D">
        <w:rPr>
          <w:lang w:val="es-ES_tradnl"/>
        </w:rPr>
        <w:t>que, a pesar de haber tomado todas las medidas necesarias</w:t>
      </w:r>
      <w:r w:rsidR="006A42CE" w:rsidRPr="0048522D">
        <w:rPr>
          <w:lang w:val="es-ES_tradnl"/>
        </w:rPr>
        <w:t>, hasta el máximo de sus</w:t>
      </w:r>
      <w:r w:rsidRPr="0048522D">
        <w:rPr>
          <w:lang w:val="es-ES_tradnl"/>
        </w:rPr>
        <w:t xml:space="preserve"> recursos disponibles, le resultó imposible ofrecer una vivienda alternativa a los autores. </w:t>
      </w:r>
      <w:r w:rsidR="0029180A" w:rsidRPr="005B1B75">
        <w:rPr>
          <w:lang w:val="es-ES_tradnl"/>
        </w:rPr>
        <w:t xml:space="preserve"> </w:t>
      </w:r>
    </w:p>
    <w:p w14:paraId="360B8F1C" w14:textId="6864CAE6" w:rsidR="0029180A" w:rsidRPr="005B1B75" w:rsidRDefault="0029180A" w:rsidP="00D445DC">
      <w:pPr>
        <w:pStyle w:val="H1G"/>
        <w:rPr>
          <w:lang w:val="es-ES_tradnl"/>
        </w:rPr>
      </w:pPr>
      <w:r w:rsidRPr="005B1B75">
        <w:rPr>
          <w:lang w:val="es-ES_tradnl"/>
        </w:rPr>
        <w:tab/>
      </w:r>
      <w:r w:rsidR="00AE490C">
        <w:rPr>
          <w:lang w:val="es-ES_tradnl"/>
        </w:rPr>
        <w:t>D</w:t>
      </w:r>
      <w:r w:rsidRPr="005B1B75">
        <w:rPr>
          <w:lang w:val="es-ES_tradnl"/>
        </w:rPr>
        <w:t>.</w:t>
      </w:r>
      <w:r w:rsidRPr="005B1B75">
        <w:rPr>
          <w:lang w:val="es-ES_tradnl"/>
        </w:rPr>
        <w:tab/>
        <w:t>Conclusión y recomendaciones</w:t>
      </w:r>
    </w:p>
    <w:p w14:paraId="747DF92A" w14:textId="2600212E" w:rsidR="002142EB" w:rsidRPr="005B1B75" w:rsidRDefault="002142EB" w:rsidP="00D445DC">
      <w:pPr>
        <w:pStyle w:val="SingleTxtG"/>
        <w:rPr>
          <w:lang w:val="es-ES_tradnl"/>
        </w:rPr>
      </w:pPr>
      <w:r w:rsidRPr="005B1B75">
        <w:rPr>
          <w:lang w:val="es-ES_tradnl"/>
        </w:rPr>
        <w:t>1</w:t>
      </w:r>
      <w:r w:rsidR="008C5702" w:rsidRPr="005B1B75">
        <w:rPr>
          <w:lang w:val="es-ES_tradnl"/>
        </w:rPr>
        <w:t>8</w:t>
      </w:r>
      <w:r w:rsidR="0029180A" w:rsidRPr="005B1B75">
        <w:rPr>
          <w:lang w:val="es-ES_tradnl"/>
        </w:rPr>
        <w:t>.</w:t>
      </w:r>
      <w:r w:rsidR="0029180A" w:rsidRPr="005B1B75">
        <w:rPr>
          <w:lang w:val="es-ES_tradnl"/>
        </w:rPr>
        <w:tab/>
      </w:r>
      <w:r w:rsidR="008C5702" w:rsidRPr="005B1B75">
        <w:rPr>
          <w:lang w:val="es-ES_tradnl"/>
        </w:rPr>
        <w:t xml:space="preserve">Conforme a </w:t>
      </w:r>
      <w:r w:rsidR="0029180A" w:rsidRPr="005B1B75">
        <w:rPr>
          <w:lang w:val="es-ES_tradnl"/>
        </w:rPr>
        <w:t>toda la información proporcionada</w:t>
      </w:r>
      <w:r w:rsidR="00BE6EE9" w:rsidRPr="005B1B75">
        <w:rPr>
          <w:lang w:val="es-ES_tradnl"/>
        </w:rPr>
        <w:t xml:space="preserve"> y en las particulares circunstancias de este caso</w:t>
      </w:r>
      <w:r w:rsidR="0029180A" w:rsidRPr="005B1B75">
        <w:rPr>
          <w:lang w:val="es-ES_tradnl"/>
        </w:rPr>
        <w:t>, el Comité considera que</w:t>
      </w:r>
      <w:r w:rsidR="00BE6EE9" w:rsidRPr="005B1B75">
        <w:rPr>
          <w:lang w:val="es-ES_tradnl"/>
        </w:rPr>
        <w:t>, en ausencia de argumentos razonables del Estado parte</w:t>
      </w:r>
      <w:r w:rsidR="00D47766" w:rsidRPr="005B1B75">
        <w:rPr>
          <w:lang w:val="es-ES_tradnl"/>
        </w:rPr>
        <w:t xml:space="preserve"> con relación a todas las medidas tomadas hasta el máximo de sus recursos disponibles, </w:t>
      </w:r>
      <w:r w:rsidRPr="005B1B75">
        <w:rPr>
          <w:lang w:val="es-ES_tradnl"/>
        </w:rPr>
        <w:t>el desalojo de los autores</w:t>
      </w:r>
      <w:r w:rsidR="008C5702" w:rsidRPr="005B1B75">
        <w:rPr>
          <w:lang w:val="es-ES_tradnl"/>
        </w:rPr>
        <w:t>, sin que les fuera garantizada una vivienda alterna</w:t>
      </w:r>
      <w:r w:rsidR="000C362A" w:rsidRPr="005B1B75">
        <w:rPr>
          <w:lang w:val="es-ES_tradnl"/>
        </w:rPr>
        <w:t>tiva</w:t>
      </w:r>
      <w:r w:rsidR="008C5702" w:rsidRPr="005B1B75">
        <w:rPr>
          <w:lang w:val="es-ES_tradnl"/>
        </w:rPr>
        <w:t xml:space="preserve"> por las autoridades del Estado parte en su conjunto, incluidas las autoridades regionales de Madrid, constituyó</w:t>
      </w:r>
      <w:r w:rsidRPr="005B1B75">
        <w:rPr>
          <w:lang w:val="es-ES_tradnl"/>
        </w:rPr>
        <w:t xml:space="preserve"> una violación de </w:t>
      </w:r>
      <w:r w:rsidR="001E3552" w:rsidRPr="005B1B75">
        <w:rPr>
          <w:lang w:val="es-ES_tradnl"/>
        </w:rPr>
        <w:t xml:space="preserve">su </w:t>
      </w:r>
      <w:r w:rsidRPr="005B1B75">
        <w:rPr>
          <w:lang w:val="es-ES_tradnl"/>
        </w:rPr>
        <w:t>derecho a la vivienda adecuada.</w:t>
      </w:r>
    </w:p>
    <w:p w14:paraId="1FCCB1DA" w14:textId="2450CF9E" w:rsidR="0029180A" w:rsidRPr="005B1B75" w:rsidRDefault="001E3552" w:rsidP="0048522D">
      <w:pPr>
        <w:pStyle w:val="SingleTxtG"/>
        <w:rPr>
          <w:lang w:val="es-ES_tradnl"/>
        </w:rPr>
      </w:pPr>
      <w:r w:rsidRPr="005B1B75">
        <w:rPr>
          <w:lang w:val="es-ES_tradnl"/>
        </w:rPr>
        <w:t>19</w:t>
      </w:r>
      <w:r w:rsidR="0029180A" w:rsidRPr="005B1B75">
        <w:rPr>
          <w:lang w:val="es-ES_tradnl"/>
        </w:rPr>
        <w:t>.</w:t>
      </w:r>
      <w:r w:rsidR="0029180A" w:rsidRPr="005B1B75">
        <w:rPr>
          <w:lang w:val="es-ES_tradnl"/>
        </w:rPr>
        <w:tab/>
        <w:t>El Comité, actuando en virtud del artículo 9</w:t>
      </w:r>
      <w:r w:rsidR="00736227" w:rsidRPr="005B1B75">
        <w:rPr>
          <w:lang w:val="es-ES_tradnl"/>
        </w:rPr>
        <w:t xml:space="preserve">, párr. </w:t>
      </w:r>
      <w:r w:rsidR="00AC3CDD" w:rsidRPr="005B1B75">
        <w:rPr>
          <w:lang w:val="es-ES_tradnl"/>
        </w:rPr>
        <w:t>1</w:t>
      </w:r>
      <w:r w:rsidR="00736227" w:rsidRPr="005B1B75">
        <w:rPr>
          <w:lang w:val="es-ES_tradnl"/>
        </w:rPr>
        <w:t>,</w:t>
      </w:r>
      <w:r w:rsidR="0029180A" w:rsidRPr="005B1B75">
        <w:rPr>
          <w:lang w:val="es-ES_tradnl"/>
        </w:rPr>
        <w:t xml:space="preserve"> del Protocolo Facultativo, dictamina que el Estado parte violó </w:t>
      </w:r>
      <w:r w:rsidR="00CC58C3" w:rsidRPr="005B1B75">
        <w:rPr>
          <w:lang w:val="es-ES_tradnl"/>
        </w:rPr>
        <w:t>el derecho</w:t>
      </w:r>
      <w:r w:rsidR="0029180A" w:rsidRPr="005B1B75">
        <w:rPr>
          <w:lang w:val="es-ES_tradnl"/>
        </w:rPr>
        <w:t xml:space="preserve"> </w:t>
      </w:r>
      <w:r w:rsidR="002142EB" w:rsidRPr="005B1B75">
        <w:rPr>
          <w:lang w:val="es-ES_tradnl"/>
        </w:rPr>
        <w:t>de los autores en virtud del artículo 11</w:t>
      </w:r>
      <w:r w:rsidR="00736227" w:rsidRPr="005B1B75">
        <w:rPr>
          <w:lang w:val="es-ES_tradnl"/>
        </w:rPr>
        <w:t>, párr.</w:t>
      </w:r>
      <w:r w:rsidR="009E41B4">
        <w:rPr>
          <w:lang w:val="es-ES_tradnl"/>
        </w:rPr>
        <w:t> </w:t>
      </w:r>
      <w:r w:rsidR="002142EB" w:rsidRPr="005B1B75">
        <w:rPr>
          <w:lang w:val="es-ES_tradnl"/>
        </w:rPr>
        <w:t xml:space="preserve">1, leído individual y conjuntamente con </w:t>
      </w:r>
      <w:r w:rsidR="00D47766" w:rsidRPr="005B1B75">
        <w:rPr>
          <w:lang w:val="es-ES_tradnl"/>
        </w:rPr>
        <w:t xml:space="preserve">los </w:t>
      </w:r>
      <w:r w:rsidR="002142EB" w:rsidRPr="005B1B75">
        <w:rPr>
          <w:lang w:val="es-ES_tradnl"/>
        </w:rPr>
        <w:t>artículo</w:t>
      </w:r>
      <w:r w:rsidR="00D47766" w:rsidRPr="005B1B75">
        <w:rPr>
          <w:lang w:val="es-ES_tradnl"/>
        </w:rPr>
        <w:t>s</w:t>
      </w:r>
      <w:r w:rsidR="002142EB" w:rsidRPr="005B1B75">
        <w:rPr>
          <w:lang w:val="es-ES_tradnl"/>
        </w:rPr>
        <w:t xml:space="preserve"> 2</w:t>
      </w:r>
      <w:r w:rsidR="00736227" w:rsidRPr="005B1B75">
        <w:rPr>
          <w:lang w:val="es-ES_tradnl"/>
        </w:rPr>
        <w:t xml:space="preserve">, párr. </w:t>
      </w:r>
      <w:r w:rsidR="002142EB" w:rsidRPr="005B1B75">
        <w:rPr>
          <w:lang w:val="es-ES_tradnl"/>
        </w:rPr>
        <w:t>1</w:t>
      </w:r>
      <w:r w:rsidR="00736227" w:rsidRPr="005B1B75">
        <w:rPr>
          <w:lang w:val="es-ES_tradnl"/>
        </w:rPr>
        <w:t>,</w:t>
      </w:r>
      <w:r w:rsidR="00D47766" w:rsidRPr="005B1B75">
        <w:rPr>
          <w:lang w:val="es-ES_tradnl"/>
        </w:rPr>
        <w:t xml:space="preserve"> y 10</w:t>
      </w:r>
      <w:r w:rsidR="00736227" w:rsidRPr="005B1B75">
        <w:rPr>
          <w:lang w:val="es-ES_tradnl"/>
        </w:rPr>
        <w:t xml:space="preserve">, párr. </w:t>
      </w:r>
      <w:r w:rsidR="00D47766" w:rsidRPr="005B1B75">
        <w:rPr>
          <w:lang w:val="es-ES_tradnl"/>
        </w:rPr>
        <w:t>1</w:t>
      </w:r>
      <w:r w:rsidR="0029180A" w:rsidRPr="005B1B75">
        <w:rPr>
          <w:lang w:val="es-ES_tradnl"/>
        </w:rPr>
        <w:t>, del Pacto. A la luz del dictamen en la presente comunicación, el Comité formula al Estado parte</w:t>
      </w:r>
      <w:r w:rsidR="00736227" w:rsidRPr="005B1B75">
        <w:rPr>
          <w:lang w:val="es-ES_tradnl"/>
        </w:rPr>
        <w:t xml:space="preserve"> las recomendaciones que figuran a continuación</w:t>
      </w:r>
      <w:r w:rsidR="0029180A" w:rsidRPr="005B1B75">
        <w:rPr>
          <w:lang w:val="es-ES_tradnl"/>
        </w:rPr>
        <w:t>.</w:t>
      </w:r>
    </w:p>
    <w:p w14:paraId="0ACFB9C3" w14:textId="77777777" w:rsidR="0029180A" w:rsidRPr="005B1B75" w:rsidRDefault="0029180A" w:rsidP="00D445DC">
      <w:pPr>
        <w:pStyle w:val="H23G"/>
        <w:rPr>
          <w:lang w:val="es-ES_tradnl"/>
        </w:rPr>
      </w:pPr>
      <w:r w:rsidRPr="005B1B75">
        <w:rPr>
          <w:lang w:val="es-ES_tradnl"/>
        </w:rPr>
        <w:tab/>
      </w:r>
      <w:r w:rsidRPr="005B1B75">
        <w:rPr>
          <w:lang w:val="es-ES_tradnl"/>
        </w:rPr>
        <w:tab/>
        <w:t>Recomenda</w:t>
      </w:r>
      <w:r w:rsidR="002142EB" w:rsidRPr="005B1B75">
        <w:rPr>
          <w:lang w:val="es-ES_tradnl"/>
        </w:rPr>
        <w:t>ciones en relación con los autores</w:t>
      </w:r>
    </w:p>
    <w:p w14:paraId="5E161ED7" w14:textId="70F4016B" w:rsidR="0029180A" w:rsidRPr="005B1B75" w:rsidRDefault="00CA399E" w:rsidP="0048522D">
      <w:pPr>
        <w:pStyle w:val="SingleTxtG"/>
        <w:rPr>
          <w:lang w:val="es-ES_tradnl"/>
        </w:rPr>
      </w:pPr>
      <w:r w:rsidRPr="005B1B75">
        <w:rPr>
          <w:lang w:val="es-ES_tradnl"/>
        </w:rPr>
        <w:t>2</w:t>
      </w:r>
      <w:r w:rsidR="001E3552" w:rsidRPr="005B1B75">
        <w:rPr>
          <w:lang w:val="es-ES_tradnl"/>
        </w:rPr>
        <w:t>0</w:t>
      </w:r>
      <w:r w:rsidR="0029180A" w:rsidRPr="005B1B75">
        <w:rPr>
          <w:lang w:val="es-ES_tradnl"/>
        </w:rPr>
        <w:t>.</w:t>
      </w:r>
      <w:r w:rsidR="0029180A" w:rsidRPr="005B1B75">
        <w:rPr>
          <w:lang w:val="es-ES_tradnl"/>
        </w:rPr>
        <w:tab/>
        <w:t>El Estado parte tiene la obligación de proporcionar a l</w:t>
      </w:r>
      <w:r w:rsidR="003D1297" w:rsidRPr="005B1B75">
        <w:rPr>
          <w:lang w:val="es-ES_tradnl"/>
        </w:rPr>
        <w:t>o</w:t>
      </w:r>
      <w:r w:rsidR="002142EB" w:rsidRPr="005B1B75">
        <w:rPr>
          <w:lang w:val="es-ES_tradnl"/>
        </w:rPr>
        <w:t>s autores</w:t>
      </w:r>
      <w:r w:rsidR="0029180A" w:rsidRPr="005B1B75">
        <w:rPr>
          <w:lang w:val="es-ES_tradnl"/>
        </w:rPr>
        <w:t xml:space="preserve"> una reparación efectiva, en particular: </w:t>
      </w:r>
      <w:r w:rsidR="00ED3459" w:rsidRPr="005B1B75">
        <w:rPr>
          <w:lang w:val="es-ES_tradnl"/>
        </w:rPr>
        <w:t xml:space="preserve">a) en caso de que los autores no cuenten con una vivienda adecuada, evaluar la situación actual de los </w:t>
      </w:r>
      <w:r w:rsidR="00F40E62" w:rsidRPr="005B1B75">
        <w:rPr>
          <w:lang w:val="es-ES_tradnl"/>
        </w:rPr>
        <w:t>mismos</w:t>
      </w:r>
      <w:r w:rsidR="00ED3459" w:rsidRPr="005B1B75">
        <w:rPr>
          <w:lang w:val="es-ES_tradnl"/>
        </w:rPr>
        <w:t xml:space="preserve"> y,</w:t>
      </w:r>
      <w:r w:rsidR="00D17817" w:rsidRPr="005B1B75">
        <w:rPr>
          <w:lang w:val="es-ES_tradnl"/>
        </w:rPr>
        <w:t xml:space="preserve"> </w:t>
      </w:r>
      <w:r w:rsidR="00D47766" w:rsidRPr="005B1B75">
        <w:rPr>
          <w:lang w:val="es-ES_tradnl"/>
        </w:rPr>
        <w:t>en consulta</w:t>
      </w:r>
      <w:r w:rsidR="00907EA2" w:rsidRPr="005B1B75">
        <w:rPr>
          <w:lang w:val="es-ES_tradnl"/>
        </w:rPr>
        <w:t xml:space="preserve"> genuina</w:t>
      </w:r>
      <w:r w:rsidR="000C1AFB" w:rsidRPr="005B1B75">
        <w:rPr>
          <w:lang w:val="es-ES_tradnl"/>
        </w:rPr>
        <w:t xml:space="preserve"> y efectiva</w:t>
      </w:r>
      <w:r w:rsidR="00D47766" w:rsidRPr="005B1B75">
        <w:rPr>
          <w:lang w:val="es-ES_tradnl"/>
        </w:rPr>
        <w:t xml:space="preserve"> con los autores, </w:t>
      </w:r>
      <w:r w:rsidR="00ED3459" w:rsidRPr="005B1B75">
        <w:rPr>
          <w:lang w:val="es-ES_tradnl"/>
        </w:rPr>
        <w:t xml:space="preserve">otorgarles vivienda pública u otra medida que les permita </w:t>
      </w:r>
      <w:r w:rsidR="00F94C20" w:rsidRPr="005B1B75">
        <w:rPr>
          <w:lang w:val="es-ES_tradnl"/>
        </w:rPr>
        <w:t>vivir en</w:t>
      </w:r>
      <w:r w:rsidR="00ED3459" w:rsidRPr="005B1B75">
        <w:rPr>
          <w:lang w:val="es-ES_tradnl"/>
        </w:rPr>
        <w:t xml:space="preserve"> una vivienda adecuada, </w:t>
      </w:r>
      <w:r w:rsidR="00ED3459" w:rsidRPr="005B1B75">
        <w:rPr>
          <w:lang w:val="es-ES_tradnl"/>
        </w:rPr>
        <w:lastRenderedPageBreak/>
        <w:t>tomando en cuenta los criterios establecidos en el presente dictamen; b</w:t>
      </w:r>
      <w:r w:rsidR="0029180A" w:rsidRPr="005B1B75">
        <w:rPr>
          <w:lang w:val="es-ES_tradnl"/>
        </w:rPr>
        <w:t xml:space="preserve">) </w:t>
      </w:r>
      <w:r w:rsidR="00F5042B" w:rsidRPr="005B1B75">
        <w:rPr>
          <w:lang w:val="es-ES_tradnl"/>
        </w:rPr>
        <w:t xml:space="preserve">otorgar </w:t>
      </w:r>
      <w:r w:rsidR="00ED3459" w:rsidRPr="005B1B75">
        <w:rPr>
          <w:lang w:val="es-ES_tradnl"/>
        </w:rPr>
        <w:t xml:space="preserve">a los autores </w:t>
      </w:r>
      <w:r w:rsidR="00F5042B" w:rsidRPr="005B1B75">
        <w:rPr>
          <w:lang w:val="es-ES_tradnl"/>
        </w:rPr>
        <w:t xml:space="preserve">una compensación económica por las violaciones sufridas; y </w:t>
      </w:r>
      <w:r w:rsidR="00ED3459" w:rsidRPr="005B1B75">
        <w:rPr>
          <w:lang w:val="es-ES_tradnl"/>
        </w:rPr>
        <w:t>c</w:t>
      </w:r>
      <w:r w:rsidR="00F5042B" w:rsidRPr="005B1B75">
        <w:rPr>
          <w:lang w:val="es-ES_tradnl"/>
        </w:rPr>
        <w:t>) reembolsar a los autores</w:t>
      </w:r>
      <w:r w:rsidR="0029180A" w:rsidRPr="005B1B75">
        <w:rPr>
          <w:lang w:val="es-ES_tradnl"/>
        </w:rPr>
        <w:t xml:space="preserve"> los costes legales </w:t>
      </w:r>
      <w:r w:rsidR="001F417B" w:rsidRPr="005B1B75">
        <w:rPr>
          <w:lang w:val="es-ES_tradnl"/>
        </w:rPr>
        <w:t xml:space="preserve">en que </w:t>
      </w:r>
      <w:r w:rsidR="00D47766" w:rsidRPr="005B1B75">
        <w:rPr>
          <w:lang w:val="es-ES_tradnl"/>
        </w:rPr>
        <w:t xml:space="preserve">razonablemente </w:t>
      </w:r>
      <w:r w:rsidR="001F417B" w:rsidRPr="005B1B75">
        <w:rPr>
          <w:lang w:val="es-ES_tradnl"/>
        </w:rPr>
        <w:t xml:space="preserve">hubieran </w:t>
      </w:r>
      <w:r w:rsidR="0029180A" w:rsidRPr="005B1B75">
        <w:rPr>
          <w:lang w:val="es-ES_tradnl"/>
        </w:rPr>
        <w:t>incurrido en la tramitación de esta comunicación.</w:t>
      </w:r>
    </w:p>
    <w:p w14:paraId="11AA165E" w14:textId="77777777" w:rsidR="0029180A" w:rsidRPr="005B1B75" w:rsidRDefault="0029180A" w:rsidP="00D445DC">
      <w:pPr>
        <w:pStyle w:val="H23G"/>
        <w:rPr>
          <w:lang w:val="es-ES_tradnl"/>
        </w:rPr>
      </w:pPr>
      <w:r w:rsidRPr="005B1B75">
        <w:rPr>
          <w:lang w:val="es-ES_tradnl"/>
        </w:rPr>
        <w:tab/>
      </w:r>
      <w:r w:rsidRPr="005B1B75">
        <w:rPr>
          <w:lang w:val="es-ES_tradnl"/>
        </w:rPr>
        <w:tab/>
        <w:t xml:space="preserve">Recomendaciones generales </w:t>
      </w:r>
    </w:p>
    <w:p w14:paraId="4528DC14" w14:textId="57B0F3BC" w:rsidR="0029180A" w:rsidRPr="005B1B75" w:rsidRDefault="00CA399E" w:rsidP="0048522D">
      <w:pPr>
        <w:pStyle w:val="SingleTxtG"/>
        <w:rPr>
          <w:lang w:val="es-ES_tradnl"/>
        </w:rPr>
      </w:pPr>
      <w:r w:rsidRPr="005B1B75">
        <w:rPr>
          <w:lang w:val="es-ES_tradnl"/>
        </w:rPr>
        <w:t>2</w:t>
      </w:r>
      <w:r w:rsidR="001E3552" w:rsidRPr="005B1B75">
        <w:rPr>
          <w:lang w:val="es-ES_tradnl"/>
        </w:rPr>
        <w:t>1</w:t>
      </w:r>
      <w:r w:rsidR="0029180A" w:rsidRPr="005B1B75">
        <w:rPr>
          <w:lang w:val="es-ES_tradnl"/>
        </w:rPr>
        <w:t>.</w:t>
      </w:r>
      <w:r w:rsidR="0029180A" w:rsidRPr="005B1B75">
        <w:rPr>
          <w:lang w:val="es-ES_tradnl"/>
        </w:rPr>
        <w:tab/>
        <w:t xml:space="preserve">El Comité considera que las reparaciones recomendadas en el contexto de comunicaciones individuales pueden incluir garantías de no repetición y recuerda que el Estado parte tiene la obligación de prevenir violaciones similares en el futuro. </w:t>
      </w:r>
      <w:r w:rsidR="00C92CCF" w:rsidRPr="005B1B75">
        <w:rPr>
          <w:lang w:val="es-ES_tradnl"/>
        </w:rPr>
        <w:t>E</w:t>
      </w:r>
      <w:r w:rsidR="0029180A" w:rsidRPr="005B1B75">
        <w:rPr>
          <w:lang w:val="es-ES_tradnl"/>
        </w:rPr>
        <w:t>l Comité considera que el Estado parte debe asegurarse de que su legislación y su aplicación sean conformes con las obligaciones establecidas en el Pacto. En particular, el Estado tiene la obligación de:</w:t>
      </w:r>
    </w:p>
    <w:p w14:paraId="4B8FD37E" w14:textId="3A835082" w:rsidR="00CA399E" w:rsidRPr="005B1B75" w:rsidRDefault="0029180A" w:rsidP="00D445DC">
      <w:pPr>
        <w:pStyle w:val="SingleTxtG"/>
        <w:rPr>
          <w:lang w:val="es-ES_tradnl"/>
        </w:rPr>
      </w:pPr>
      <w:r w:rsidRPr="005B1B75">
        <w:rPr>
          <w:lang w:val="es-ES_tradnl"/>
        </w:rPr>
        <w:tab/>
        <w:t>a)</w:t>
      </w:r>
      <w:r w:rsidRPr="005B1B75">
        <w:rPr>
          <w:lang w:val="es-ES_tradnl"/>
        </w:rPr>
        <w:tab/>
        <w:t>Adoptar medidas legislativas y/o administrativas pertinentes para garantizar que</w:t>
      </w:r>
      <w:r w:rsidR="00D919DD" w:rsidRPr="005B1B75">
        <w:rPr>
          <w:lang w:val="es-ES_tradnl"/>
        </w:rPr>
        <w:t>,</w:t>
      </w:r>
      <w:r w:rsidRPr="005B1B75">
        <w:rPr>
          <w:lang w:val="es-ES_tradnl"/>
        </w:rPr>
        <w:t xml:space="preserve"> en los </w:t>
      </w:r>
      <w:r w:rsidR="00A42DB9" w:rsidRPr="005B1B75">
        <w:rPr>
          <w:lang w:val="es-ES_tradnl"/>
        </w:rPr>
        <w:t xml:space="preserve">procesos judiciales de desalojos de inquilinos, los </w:t>
      </w:r>
      <w:r w:rsidR="00CA399E" w:rsidRPr="005B1B75">
        <w:rPr>
          <w:lang w:val="es-ES_tradnl"/>
        </w:rPr>
        <w:t xml:space="preserve">demandados </w:t>
      </w:r>
      <w:r w:rsidR="00A42DB9" w:rsidRPr="005B1B75">
        <w:rPr>
          <w:lang w:val="es-ES_tradnl"/>
        </w:rPr>
        <w:t xml:space="preserve">puedan oponerse o presentar un recurso </w:t>
      </w:r>
      <w:r w:rsidR="00CA399E" w:rsidRPr="005B1B75">
        <w:rPr>
          <w:lang w:val="es-ES_tradnl"/>
        </w:rPr>
        <w:t xml:space="preserve">con el fin de que el juez considere </w:t>
      </w:r>
      <w:r w:rsidR="00A42DB9" w:rsidRPr="005B1B75">
        <w:rPr>
          <w:lang w:val="es-ES_tradnl"/>
        </w:rPr>
        <w:t xml:space="preserve">las consecuencias del desalojo y </w:t>
      </w:r>
      <w:r w:rsidR="00CA399E" w:rsidRPr="005B1B75">
        <w:rPr>
          <w:lang w:val="es-ES_tradnl"/>
        </w:rPr>
        <w:t>la compatibilid</w:t>
      </w:r>
      <w:r w:rsidR="00B904A4">
        <w:rPr>
          <w:lang w:val="es-ES_tradnl"/>
        </w:rPr>
        <w:t>ad de esta medida con el Pacto.</w:t>
      </w:r>
    </w:p>
    <w:p w14:paraId="67B155A6" w14:textId="5AB46391" w:rsidR="00044157" w:rsidRPr="005B1B75" w:rsidRDefault="00D445DC" w:rsidP="0048522D">
      <w:pPr>
        <w:pStyle w:val="SingleTxtG"/>
        <w:rPr>
          <w:lang w:val="es-ES_tradnl"/>
        </w:rPr>
      </w:pPr>
      <w:r w:rsidRPr="005B1B75">
        <w:rPr>
          <w:lang w:val="es-ES_tradnl"/>
        </w:rPr>
        <w:tab/>
      </w:r>
      <w:r w:rsidR="00044157" w:rsidRPr="005B1B75">
        <w:rPr>
          <w:lang w:val="es-ES_tradnl"/>
        </w:rPr>
        <w:t xml:space="preserve">b) </w:t>
      </w:r>
      <w:r w:rsidR="000C362A" w:rsidRPr="005B1B75">
        <w:rPr>
          <w:lang w:val="es-ES_tradnl"/>
        </w:rPr>
        <w:tab/>
      </w:r>
      <w:r w:rsidR="00044157" w:rsidRPr="005B1B75">
        <w:rPr>
          <w:lang w:val="es-ES_tradnl"/>
        </w:rPr>
        <w:t>Adoptar las medidas necesarias para superar los problemas de falta de coordinación entre las decisiones judiciales y las acciones de los servicios sociales que pueden conducir a que una persona desalojada pueda quedar sin vivienda adecuada</w:t>
      </w:r>
      <w:r w:rsidR="00B904A4">
        <w:rPr>
          <w:lang w:val="es-ES_tradnl"/>
        </w:rPr>
        <w:t>.</w:t>
      </w:r>
    </w:p>
    <w:p w14:paraId="5476540F" w14:textId="56E4634F" w:rsidR="0029180A" w:rsidRPr="005B1B75" w:rsidRDefault="00D445DC" w:rsidP="0048522D">
      <w:pPr>
        <w:pStyle w:val="SingleTxtG"/>
        <w:rPr>
          <w:lang w:val="es-ES_tradnl"/>
        </w:rPr>
      </w:pPr>
      <w:r w:rsidRPr="005B1B75">
        <w:rPr>
          <w:lang w:val="es-ES_tradnl"/>
        </w:rPr>
        <w:tab/>
      </w:r>
      <w:r w:rsidR="00044157" w:rsidRPr="005B1B75">
        <w:rPr>
          <w:lang w:val="es-ES_tradnl"/>
        </w:rPr>
        <w:t>c</w:t>
      </w:r>
      <w:r w:rsidR="00CA399E" w:rsidRPr="005B1B75">
        <w:rPr>
          <w:lang w:val="es-ES_tradnl"/>
        </w:rPr>
        <w:t xml:space="preserve">) </w:t>
      </w:r>
      <w:r w:rsidR="00CA399E" w:rsidRPr="005B1B75">
        <w:rPr>
          <w:lang w:val="es-ES_tradnl"/>
        </w:rPr>
        <w:tab/>
        <w:t xml:space="preserve">Adoptar </w:t>
      </w:r>
      <w:r w:rsidR="00DD6755" w:rsidRPr="005B1B75">
        <w:rPr>
          <w:lang w:val="es-ES_tradnl"/>
        </w:rPr>
        <w:t xml:space="preserve">las </w:t>
      </w:r>
      <w:r w:rsidR="00CA399E" w:rsidRPr="005B1B75">
        <w:rPr>
          <w:lang w:val="es-ES_tradnl"/>
        </w:rPr>
        <w:t>medidas necesarias para asegurarse</w:t>
      </w:r>
      <w:r w:rsidR="00D47766" w:rsidRPr="005B1B75">
        <w:rPr>
          <w:lang w:val="es-ES_tradnl"/>
        </w:rPr>
        <w:t xml:space="preserve"> </w:t>
      </w:r>
      <w:r w:rsidR="001E3552" w:rsidRPr="005B1B75">
        <w:rPr>
          <w:lang w:val="es-ES_tradnl"/>
        </w:rPr>
        <w:t xml:space="preserve">de </w:t>
      </w:r>
      <w:r w:rsidR="00CA399E" w:rsidRPr="005B1B75">
        <w:rPr>
          <w:lang w:val="es-ES_tradnl"/>
        </w:rPr>
        <w:t xml:space="preserve">que los desalojos que afecten </w:t>
      </w:r>
      <w:r w:rsidR="001E3552" w:rsidRPr="005B1B75">
        <w:rPr>
          <w:lang w:val="es-ES_tradnl"/>
        </w:rPr>
        <w:t>a personas sin recursos para procurarse una vivienda alterna</w:t>
      </w:r>
      <w:r w:rsidR="000C362A" w:rsidRPr="005B1B75">
        <w:rPr>
          <w:lang w:val="es-ES_tradnl"/>
        </w:rPr>
        <w:t>tiva</w:t>
      </w:r>
      <w:r w:rsidR="00CA399E" w:rsidRPr="005B1B75">
        <w:rPr>
          <w:lang w:val="es-ES_tradnl"/>
        </w:rPr>
        <w:t xml:space="preserve">, sólo se ejecuten </w:t>
      </w:r>
      <w:r w:rsidR="00044157" w:rsidRPr="005B1B75">
        <w:rPr>
          <w:lang w:val="es-ES_tradnl"/>
        </w:rPr>
        <w:t xml:space="preserve">después de que haya habido una consulta genuina y efectiva con </w:t>
      </w:r>
      <w:r w:rsidR="00DD70C0" w:rsidRPr="005B1B75">
        <w:rPr>
          <w:lang w:val="es-ES_tradnl"/>
        </w:rPr>
        <w:t>estas personas</w:t>
      </w:r>
      <w:r w:rsidR="00044157" w:rsidRPr="005B1B75">
        <w:rPr>
          <w:lang w:val="es-ES_tradnl"/>
        </w:rPr>
        <w:t xml:space="preserve"> y de que el Estado </w:t>
      </w:r>
      <w:r w:rsidR="00DD70C0" w:rsidRPr="005B1B75">
        <w:rPr>
          <w:lang w:val="es-ES_tradnl"/>
        </w:rPr>
        <w:t xml:space="preserve">parte </w:t>
      </w:r>
      <w:r w:rsidR="00044157" w:rsidRPr="005B1B75">
        <w:rPr>
          <w:lang w:val="es-ES_tradnl"/>
        </w:rPr>
        <w:t xml:space="preserve">haya realizado todos los pasos indispensables, hasta el máximo de sus recursos disponibles, para que las personas desalojadas tengan una vivienda alternativa, </w:t>
      </w:r>
      <w:r w:rsidR="001E3552" w:rsidRPr="005B1B75">
        <w:rPr>
          <w:lang w:val="es-ES_tradnl"/>
        </w:rPr>
        <w:t xml:space="preserve">en especial en aquellos casos que involucran a </w:t>
      </w:r>
      <w:r w:rsidR="00E04E7F" w:rsidRPr="005B1B75">
        <w:rPr>
          <w:lang w:val="es-ES_tradnl"/>
        </w:rPr>
        <w:t xml:space="preserve">familias, personas mayores, </w:t>
      </w:r>
      <w:r w:rsidR="001E3552" w:rsidRPr="005B1B75">
        <w:rPr>
          <w:lang w:val="es-ES_tradnl"/>
        </w:rPr>
        <w:t>niños</w:t>
      </w:r>
      <w:r w:rsidR="00E04E7F" w:rsidRPr="005B1B75">
        <w:rPr>
          <w:lang w:val="es-ES_tradnl"/>
        </w:rPr>
        <w:t xml:space="preserve"> y/</w:t>
      </w:r>
      <w:r w:rsidR="006536F3" w:rsidRPr="005B1B75">
        <w:rPr>
          <w:lang w:val="es-ES_tradnl"/>
        </w:rPr>
        <w:t>u</w:t>
      </w:r>
      <w:r w:rsidR="00E04E7F" w:rsidRPr="005B1B75">
        <w:rPr>
          <w:lang w:val="es-ES_tradnl"/>
        </w:rPr>
        <w:t xml:space="preserve"> otras personas en situación de vulnerabilidad</w:t>
      </w:r>
      <w:r w:rsidR="00B904A4">
        <w:rPr>
          <w:lang w:val="es-ES_tradnl"/>
        </w:rPr>
        <w:t>.</w:t>
      </w:r>
    </w:p>
    <w:p w14:paraId="5A839D96" w14:textId="6E9CEE9D" w:rsidR="00CA399E" w:rsidRPr="005B1B75" w:rsidRDefault="003F51F1" w:rsidP="00D445DC">
      <w:pPr>
        <w:pStyle w:val="SingleTxtG"/>
        <w:rPr>
          <w:lang w:val="es-ES_tradnl"/>
        </w:rPr>
      </w:pPr>
      <w:r w:rsidRPr="005B1B75">
        <w:rPr>
          <w:lang w:val="es-ES_tradnl"/>
        </w:rPr>
        <w:tab/>
      </w:r>
      <w:r w:rsidR="00044157" w:rsidRPr="005B1B75">
        <w:rPr>
          <w:lang w:val="es-ES_tradnl"/>
        </w:rPr>
        <w:t>d</w:t>
      </w:r>
      <w:r w:rsidR="0029180A" w:rsidRPr="005B1B75">
        <w:rPr>
          <w:lang w:val="es-ES_tradnl"/>
        </w:rPr>
        <w:t>)</w:t>
      </w:r>
      <w:r w:rsidR="00CA399E" w:rsidRPr="005B1B75">
        <w:rPr>
          <w:lang w:val="es-ES_tradnl"/>
        </w:rPr>
        <w:tab/>
      </w:r>
      <w:r w:rsidR="00C21B18" w:rsidRPr="005B1B75">
        <w:rPr>
          <w:lang w:val="es-ES_tradnl"/>
        </w:rPr>
        <w:t xml:space="preserve">Formular e implementar, </w:t>
      </w:r>
      <w:r w:rsidR="00CA399E" w:rsidRPr="005B1B75">
        <w:rPr>
          <w:lang w:val="es-ES_tradnl"/>
        </w:rPr>
        <w:t xml:space="preserve">en coordinación con las comunidades autónomas </w:t>
      </w:r>
      <w:r w:rsidR="00C21B18" w:rsidRPr="005B1B75">
        <w:rPr>
          <w:lang w:val="es-ES_tradnl"/>
        </w:rPr>
        <w:t>y hasta el máximo de los recursos disponibles, un plan compre</w:t>
      </w:r>
      <w:r w:rsidR="006536F3" w:rsidRPr="0048522D">
        <w:rPr>
          <w:lang w:val="es-ES_tradnl"/>
        </w:rPr>
        <w:t>he</w:t>
      </w:r>
      <w:r w:rsidR="00C21B18" w:rsidRPr="0048522D">
        <w:rPr>
          <w:lang w:val="es-ES_tradnl"/>
        </w:rPr>
        <w:t>nsivo e integral para garantizar el derecho a la vivienda adecuada de personas con bajos ingresos</w:t>
      </w:r>
      <w:r w:rsidR="00A73440" w:rsidRPr="0048522D">
        <w:rPr>
          <w:lang w:val="es-ES_tradnl"/>
        </w:rPr>
        <w:t xml:space="preserve">, de conformidad con la </w:t>
      </w:r>
      <w:r w:rsidR="002D019C" w:rsidRPr="0048522D">
        <w:rPr>
          <w:lang w:val="es-ES_tradnl"/>
        </w:rPr>
        <w:t>o</w:t>
      </w:r>
      <w:r w:rsidR="00A73440" w:rsidRPr="0048522D">
        <w:rPr>
          <w:lang w:val="es-ES_tradnl"/>
        </w:rPr>
        <w:t xml:space="preserve">bservación general </w:t>
      </w:r>
      <w:r w:rsidR="002D019C" w:rsidRPr="0048522D">
        <w:rPr>
          <w:lang w:val="es-ES_tradnl"/>
        </w:rPr>
        <w:t>núm</w:t>
      </w:r>
      <w:r w:rsidR="00A73440" w:rsidRPr="0048522D">
        <w:rPr>
          <w:lang w:val="es-ES_tradnl"/>
        </w:rPr>
        <w:t>. 4</w:t>
      </w:r>
      <w:r w:rsidR="00A73440" w:rsidRPr="009E41B4">
        <w:rPr>
          <w:sz w:val="18"/>
          <w:szCs w:val="18"/>
          <w:vertAlign w:val="superscript"/>
          <w:lang w:val="es-ES_tradnl"/>
        </w:rPr>
        <w:footnoteReference w:id="38"/>
      </w:r>
      <w:r w:rsidR="002D019C" w:rsidRPr="005B1B75">
        <w:rPr>
          <w:lang w:val="es-ES_tradnl"/>
        </w:rPr>
        <w:t>.</w:t>
      </w:r>
      <w:r w:rsidR="00A73440" w:rsidRPr="005B1B75">
        <w:rPr>
          <w:lang w:val="es-ES_tradnl"/>
        </w:rPr>
        <w:t xml:space="preserve"> </w:t>
      </w:r>
      <w:r w:rsidR="00C21B18" w:rsidRPr="005B1B75">
        <w:rPr>
          <w:lang w:val="es-ES_tradnl"/>
        </w:rPr>
        <w:t xml:space="preserve">Este plan deberá incluir los recursos, las medidas, los plazos </w:t>
      </w:r>
      <w:r w:rsidR="00A73440" w:rsidRPr="005B1B75">
        <w:rPr>
          <w:lang w:val="es-ES_tradnl"/>
        </w:rPr>
        <w:t xml:space="preserve">y los criterios de evaluación </w:t>
      </w:r>
      <w:r w:rsidR="00C21B18" w:rsidRPr="005B1B75">
        <w:rPr>
          <w:lang w:val="es-ES_tradnl"/>
        </w:rPr>
        <w:t>que</w:t>
      </w:r>
      <w:r w:rsidR="00A73440" w:rsidRPr="005B1B75">
        <w:rPr>
          <w:lang w:val="es-ES_tradnl"/>
        </w:rPr>
        <w:t xml:space="preserve"> </w:t>
      </w:r>
      <w:r w:rsidR="00C21B18" w:rsidRPr="005B1B75">
        <w:rPr>
          <w:lang w:val="es-ES_tradnl"/>
        </w:rPr>
        <w:t>permitirán en forma razonable y verificable garantizar el derecho a la vivienda de esas personas</w:t>
      </w:r>
      <w:r w:rsidR="000C1AFB" w:rsidRPr="005B1B75">
        <w:rPr>
          <w:lang w:val="es-ES_tradnl"/>
        </w:rPr>
        <w:t>.</w:t>
      </w:r>
    </w:p>
    <w:p w14:paraId="0641710B" w14:textId="7732C55A" w:rsidR="0029180A" w:rsidRPr="005B1B75" w:rsidRDefault="002D12DF" w:rsidP="00D445DC">
      <w:pPr>
        <w:pStyle w:val="SingleTxtG"/>
        <w:rPr>
          <w:lang w:val="es-ES_tradnl"/>
        </w:rPr>
      </w:pPr>
      <w:r w:rsidRPr="005B1B75">
        <w:rPr>
          <w:lang w:val="es-ES_tradnl"/>
        </w:rPr>
        <w:t>2</w:t>
      </w:r>
      <w:r w:rsidR="001E3552" w:rsidRPr="005B1B75">
        <w:rPr>
          <w:lang w:val="es-ES_tradnl"/>
        </w:rPr>
        <w:t>2</w:t>
      </w:r>
      <w:r w:rsidR="0029180A" w:rsidRPr="005B1B75">
        <w:rPr>
          <w:lang w:val="es-ES_tradnl"/>
        </w:rPr>
        <w:t xml:space="preserve">. </w:t>
      </w:r>
      <w:r w:rsidR="0029180A" w:rsidRPr="005B1B75">
        <w:rPr>
          <w:lang w:val="es-ES_tradnl"/>
        </w:rPr>
        <w:tab/>
        <w:t>De conformidad con el artículo 9, párr</w:t>
      </w:r>
      <w:r w:rsidR="001A0289" w:rsidRPr="005B1B75">
        <w:rPr>
          <w:lang w:val="es-ES_tradnl"/>
        </w:rPr>
        <w:t>.</w:t>
      </w:r>
      <w:r w:rsidR="0029180A" w:rsidRPr="005B1B75">
        <w:rPr>
          <w:lang w:val="es-ES_tradnl"/>
        </w:rPr>
        <w:t xml:space="preserve"> 2</w:t>
      </w:r>
      <w:r w:rsidR="001A0289" w:rsidRPr="005B1B75">
        <w:rPr>
          <w:lang w:val="es-ES_tradnl"/>
        </w:rPr>
        <w:t>,</w:t>
      </w:r>
      <w:r w:rsidR="0029180A" w:rsidRPr="005B1B75">
        <w:rPr>
          <w:lang w:val="es-ES_tradnl"/>
        </w:rPr>
        <w:t xml:space="preserve"> del Protocolo Facultativo y el artículo 18, párr</w:t>
      </w:r>
      <w:r w:rsidR="001A0289" w:rsidRPr="005B1B75">
        <w:rPr>
          <w:lang w:val="es-ES_tradnl"/>
        </w:rPr>
        <w:t xml:space="preserve">. </w:t>
      </w:r>
      <w:r w:rsidR="0029180A" w:rsidRPr="005B1B75">
        <w:rPr>
          <w:lang w:val="es-ES_tradnl"/>
        </w:rPr>
        <w:t>1</w:t>
      </w:r>
      <w:r w:rsidR="001A0289" w:rsidRPr="005B1B75">
        <w:rPr>
          <w:lang w:val="es-ES_tradnl"/>
        </w:rPr>
        <w:t>,</w:t>
      </w:r>
      <w:r w:rsidR="0029180A" w:rsidRPr="005B1B75">
        <w:rPr>
          <w:lang w:val="es-ES_tradnl"/>
        </w:rPr>
        <w:t xml:space="preserve"> del reglamento provisional en virtud del Protocolo Facultativo, el Estado parte debe presentar al Comité, en un plazo de seis meses, una respuesta por escrito, que incluya información sobre las medidas que haya tomado en vista del dictamen y de las recomendaciones del Comité. Se pide asimismo al Estado parte que publique el dictamen del Comité, y que lo distribuya ampliamente, en un formato accesible, a fin de que llegue a todos los sectores de la población.</w:t>
      </w:r>
    </w:p>
    <w:p w14:paraId="52D3DB96" w14:textId="328B6A5C" w:rsidR="0029180A" w:rsidRPr="005B1B75" w:rsidRDefault="00D445DC" w:rsidP="0048522D">
      <w:pPr>
        <w:pStyle w:val="SingleTxtG"/>
        <w:suppressAutoHyphens/>
        <w:spacing w:before="240" w:after="0"/>
        <w:jc w:val="center"/>
        <w:rPr>
          <w:u w:val="single"/>
          <w:lang w:val="es-ES_tradnl"/>
        </w:rPr>
      </w:pPr>
      <w:r w:rsidRPr="005B1B75">
        <w:rPr>
          <w:u w:val="single"/>
          <w:lang w:val="es-ES_tradnl"/>
        </w:rPr>
        <w:tab/>
      </w:r>
      <w:r w:rsidRPr="005B1B75">
        <w:rPr>
          <w:u w:val="single"/>
          <w:lang w:val="es-ES_tradnl"/>
        </w:rPr>
        <w:tab/>
      </w:r>
      <w:r w:rsidRPr="005B1B75">
        <w:rPr>
          <w:u w:val="single"/>
          <w:lang w:val="es-ES_tradnl"/>
        </w:rPr>
        <w:tab/>
      </w:r>
    </w:p>
    <w:sectPr w:rsidR="0029180A" w:rsidRPr="005B1B75" w:rsidSect="005B1B75">
      <w:headerReference w:type="even" r:id="rId10"/>
      <w:headerReference w:type="default" r:id="rId11"/>
      <w:footerReference w:type="even" r:id="rId12"/>
      <w:footerReference w:type="default" r:id="rId13"/>
      <w:footerReference w:type="first" r:id="rId14"/>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BF4FD" w14:textId="77777777" w:rsidR="00D445DC" w:rsidRDefault="00D445DC">
      <w:r>
        <w:separator/>
      </w:r>
    </w:p>
  </w:endnote>
  <w:endnote w:type="continuationSeparator" w:id="0">
    <w:p w14:paraId="07C8E346" w14:textId="77777777" w:rsidR="00D445DC" w:rsidRDefault="00D44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DBBAD" w14:textId="332855EF" w:rsidR="00D445DC" w:rsidRPr="004F6A18" w:rsidRDefault="00D445DC" w:rsidP="004F6A18">
    <w:pPr>
      <w:tabs>
        <w:tab w:val="right" w:pos="9638"/>
      </w:tabs>
    </w:pPr>
    <w:r w:rsidRPr="004F6A18">
      <w:rPr>
        <w:b/>
        <w:sz w:val="18"/>
      </w:rPr>
      <w:fldChar w:fldCharType="begin"/>
    </w:r>
    <w:r w:rsidRPr="004F6A18">
      <w:rPr>
        <w:b/>
        <w:sz w:val="18"/>
      </w:rPr>
      <w:instrText xml:space="preserve"> PAGE  \* MERGEFORMAT </w:instrText>
    </w:r>
    <w:r w:rsidRPr="004F6A18">
      <w:rPr>
        <w:b/>
        <w:sz w:val="18"/>
      </w:rPr>
      <w:fldChar w:fldCharType="separate"/>
    </w:r>
    <w:r w:rsidR="002A053E">
      <w:rPr>
        <w:b/>
        <w:noProof/>
        <w:sz w:val="18"/>
      </w:rPr>
      <w:t>16</w:t>
    </w:r>
    <w:r w:rsidRPr="004F6A1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FC0B9" w14:textId="69C074FD" w:rsidR="00D445DC" w:rsidRPr="004F6A18" w:rsidRDefault="00D445DC" w:rsidP="004F6A18">
    <w:pPr>
      <w:tabs>
        <w:tab w:val="right" w:pos="9638"/>
      </w:tabs>
      <w:rPr>
        <w:b/>
        <w:sz w:val="18"/>
      </w:rPr>
    </w:pPr>
    <w:r>
      <w:tab/>
    </w:r>
    <w:r w:rsidRPr="004F6A18">
      <w:rPr>
        <w:b/>
        <w:sz w:val="18"/>
      </w:rPr>
      <w:fldChar w:fldCharType="begin"/>
    </w:r>
    <w:r w:rsidRPr="004F6A18">
      <w:rPr>
        <w:b/>
        <w:sz w:val="18"/>
      </w:rPr>
      <w:instrText xml:space="preserve"> PAGE  \* MERGEFORMAT </w:instrText>
    </w:r>
    <w:r w:rsidRPr="004F6A18">
      <w:rPr>
        <w:b/>
        <w:sz w:val="18"/>
      </w:rPr>
      <w:fldChar w:fldCharType="separate"/>
    </w:r>
    <w:r w:rsidR="002A053E">
      <w:rPr>
        <w:b/>
        <w:noProof/>
        <w:sz w:val="18"/>
      </w:rPr>
      <w:t>15</w:t>
    </w:r>
    <w:r w:rsidRPr="004F6A18">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E0D91" w14:textId="3DC985F8" w:rsidR="00D445DC" w:rsidRPr="00CA29C5" w:rsidRDefault="00CA29C5" w:rsidP="00CA29C5">
    <w:pPr>
      <w:pStyle w:val="Piedepgina"/>
      <w:spacing w:before="120" w:line="240" w:lineRule="auto"/>
      <w:rPr>
        <w:sz w:val="20"/>
      </w:rPr>
    </w:pPr>
    <w:r>
      <w:rPr>
        <w:noProof/>
        <w:sz w:val="20"/>
      </w:rPr>
      <w:drawing>
        <wp:anchor distT="0" distB="0" distL="114300" distR="114300" simplePos="0" relativeHeight="251654656" behindDoc="0" locked="0" layoutInCell="1" allowOverlap="1" wp14:anchorId="3A55FCD4" wp14:editId="4213BFC1">
          <wp:simplePos x="0" y="0"/>
          <wp:positionH relativeFrom="margin">
            <wp:posOffset>5489575</wp:posOffset>
          </wp:positionH>
          <wp:positionV relativeFrom="margin">
            <wp:posOffset>8881685</wp:posOffset>
          </wp:positionV>
          <wp:extent cx="638175" cy="638175"/>
          <wp:effectExtent l="0" t="0" r="9525" b="9525"/>
          <wp:wrapNone/>
          <wp:docPr id="11" name="Imagen 1" descr="https://undocs.org/m2/QRCode.ashx?DS=E/C.12/61/D/5/201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1/D/5/2015&amp;Size=2&amp;Lan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rPr>
      <w:t>GE.17</w:t>
    </w:r>
    <w:proofErr w:type="spellEnd"/>
    <w:r>
      <w:rPr>
        <w:sz w:val="20"/>
      </w:rPr>
      <w:t>-12396  (S)</w:t>
    </w:r>
    <w:r>
      <w:rPr>
        <w:sz w:val="20"/>
      </w:rPr>
      <w:br/>
    </w:r>
    <w:r w:rsidRPr="00CA29C5">
      <w:rPr>
        <w:rFonts w:ascii="C39T30Lfz" w:hAnsi="C39T30Lfz"/>
        <w:sz w:val="56"/>
      </w:rPr>
      <w:t></w:t>
    </w:r>
    <w:r w:rsidRPr="00CA29C5">
      <w:rPr>
        <w:rFonts w:ascii="C39T30Lfz" w:hAnsi="C39T30Lfz"/>
        <w:sz w:val="56"/>
      </w:rPr>
      <w:t></w:t>
    </w:r>
    <w:r w:rsidRPr="00CA29C5">
      <w:rPr>
        <w:rFonts w:ascii="C39T30Lfz" w:hAnsi="C39T30Lfz"/>
        <w:sz w:val="56"/>
      </w:rPr>
      <w:t></w:t>
    </w:r>
    <w:r w:rsidRPr="00CA29C5">
      <w:rPr>
        <w:rFonts w:ascii="C39T30Lfz" w:hAnsi="C39T30Lfz"/>
        <w:sz w:val="56"/>
      </w:rPr>
      <w:t></w:t>
    </w:r>
    <w:r w:rsidRPr="00CA29C5">
      <w:rPr>
        <w:rFonts w:ascii="C39T30Lfz" w:hAnsi="C39T30Lfz"/>
        <w:sz w:val="56"/>
      </w:rPr>
      <w:t></w:t>
    </w:r>
    <w:r w:rsidRPr="00CA29C5">
      <w:rPr>
        <w:rFonts w:ascii="C39T30Lfz" w:hAnsi="C39T30Lfz"/>
        <w:sz w:val="56"/>
      </w:rPr>
      <w:t></w:t>
    </w:r>
    <w:r w:rsidRPr="00CA29C5">
      <w:rPr>
        <w:rFonts w:ascii="C39T30Lfz" w:hAnsi="C39T30Lfz"/>
        <w:sz w:val="56"/>
      </w:rPr>
      <w:t></w:t>
    </w:r>
    <w:r w:rsidRPr="00CA29C5">
      <w:rPr>
        <w:rFonts w:ascii="C39T30Lfz" w:hAnsi="C39T30Lfz"/>
        <w:sz w:val="56"/>
      </w:rPr>
      <w:t></w:t>
    </w:r>
    <w:r w:rsidRPr="00CA29C5">
      <w:rPr>
        <w:rFonts w:ascii="C39T30Lfz" w:hAnsi="C39T30Lfz"/>
        <w:sz w:val="56"/>
      </w:rPr>
      <w:t></w:t>
    </w:r>
    <w:r w:rsidRPr="00CA29C5">
      <w:rPr>
        <w:rFonts w:ascii="C39T30Lfz" w:hAnsi="C39T30Lfz"/>
        <w:noProof/>
        <w:sz w:val="56"/>
      </w:rPr>
      <w:drawing>
        <wp:anchor distT="0" distB="0" distL="114300" distR="114300" simplePos="0" relativeHeight="251656704" behindDoc="0" locked="1" layoutInCell="1" allowOverlap="1" wp14:anchorId="4CE4E45E" wp14:editId="0A50D202">
          <wp:simplePos x="0" y="0"/>
          <wp:positionH relativeFrom="margin">
            <wp:posOffset>4258945</wp:posOffset>
          </wp:positionH>
          <wp:positionV relativeFrom="margin">
            <wp:posOffset>9211310</wp:posOffset>
          </wp:positionV>
          <wp:extent cx="1085850" cy="228600"/>
          <wp:effectExtent l="0" t="0" r="0" b="0"/>
          <wp:wrapNone/>
          <wp:docPr id="12" name="Imagen 1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F4BB9" w14:textId="77777777" w:rsidR="00D445DC" w:rsidRPr="001075E9" w:rsidRDefault="00D445DC" w:rsidP="001075E9">
      <w:pPr>
        <w:tabs>
          <w:tab w:val="right" w:pos="2155"/>
        </w:tabs>
        <w:spacing w:after="80" w:line="240" w:lineRule="auto"/>
        <w:ind w:left="680"/>
        <w:rPr>
          <w:u w:val="single"/>
        </w:rPr>
      </w:pPr>
      <w:r>
        <w:rPr>
          <w:u w:val="single"/>
        </w:rPr>
        <w:tab/>
      </w:r>
    </w:p>
  </w:footnote>
  <w:footnote w:type="continuationSeparator" w:id="0">
    <w:p w14:paraId="3F2D3CFB" w14:textId="77777777" w:rsidR="00D445DC" w:rsidRDefault="00D445DC">
      <w:r>
        <w:continuationSeparator/>
      </w:r>
    </w:p>
  </w:footnote>
  <w:footnote w:id="1">
    <w:p w14:paraId="433505E3" w14:textId="1F4FC91A" w:rsidR="00D445DC" w:rsidRPr="00D4263A" w:rsidRDefault="00D445DC" w:rsidP="00D445DC">
      <w:pPr>
        <w:pStyle w:val="Textonotapie"/>
      </w:pPr>
      <w:r w:rsidRPr="00D4263A">
        <w:tab/>
      </w:r>
      <w:r w:rsidRPr="005B1B75">
        <w:rPr>
          <w:sz w:val="20"/>
        </w:rPr>
        <w:t>*</w:t>
      </w:r>
      <w:r w:rsidRPr="00D4263A">
        <w:tab/>
      </w:r>
      <w:r w:rsidRPr="0048522D">
        <w:t>Aprobad</w:t>
      </w:r>
      <w:r>
        <w:t>o</w:t>
      </w:r>
      <w:r w:rsidRPr="0048522D">
        <w:t xml:space="preserve"> por el Comité en su </w:t>
      </w:r>
      <w:proofErr w:type="spellStart"/>
      <w:r w:rsidRPr="0048522D">
        <w:t>61</w:t>
      </w:r>
      <w:r w:rsidR="009E41B4" w:rsidRPr="009E41B4">
        <w:rPr>
          <w:vertAlign w:val="superscript"/>
        </w:rPr>
        <w:t>er</w:t>
      </w:r>
      <w:proofErr w:type="spellEnd"/>
      <w:r w:rsidRPr="0048522D">
        <w:t xml:space="preserve"> per</w:t>
      </w:r>
      <w:r w:rsidRPr="00D4263A">
        <w:t>íodo de sesiones (29 de mayo a 23 de junio de 2017)</w:t>
      </w:r>
      <w:r w:rsidR="009E41B4">
        <w:rPr>
          <w:lang w:val="es-ES_tradnl"/>
        </w:rPr>
        <w:t>.</w:t>
      </w:r>
    </w:p>
  </w:footnote>
  <w:footnote w:id="2">
    <w:p w14:paraId="282516C5" w14:textId="5C35A85E" w:rsidR="00D445DC" w:rsidRPr="00554968" w:rsidRDefault="00D445DC" w:rsidP="00D445DC">
      <w:pPr>
        <w:pStyle w:val="Textonotapie"/>
      </w:pPr>
      <w:r>
        <w:tab/>
      </w:r>
      <w:r w:rsidRPr="009E41B4">
        <w:rPr>
          <w:vertAlign w:val="superscript"/>
        </w:rPr>
        <w:footnoteRef/>
      </w:r>
      <w:r w:rsidRPr="00554968">
        <w:t xml:space="preserve"> </w:t>
      </w:r>
      <w:r>
        <w:tab/>
        <w:t xml:space="preserve">Los autores aportan copia de una constancia de la Comunidad de Madrid, de 6 de septiembre de 2013, en que se indica que el Sr. Ben </w:t>
      </w:r>
      <w:proofErr w:type="spellStart"/>
      <w:r>
        <w:t>Djazia</w:t>
      </w:r>
      <w:proofErr w:type="spellEnd"/>
      <w:r>
        <w:t xml:space="preserve"> solicitó vivienda pública en las convocatorias </w:t>
      </w:r>
      <w:proofErr w:type="spellStart"/>
      <w:r w:rsidR="00F04757">
        <w:t>núms</w:t>
      </w:r>
      <w:proofErr w:type="spellEnd"/>
      <w:r w:rsidR="00F04757">
        <w:t>. </w:t>
      </w:r>
      <w:r>
        <w:t>0001/1999, 000/2001, 000/2002, 019/2004, 01/2005, 02/2006, 3/2007, 019/2007, 74/2008, 74/2009, 03/2010, 04/2010, 74/2010 y 74/2011, no resultando adjudicatario en las primeras 13 convocatorias. El documento indica que aún estaba pendiente la última solicitud.</w:t>
      </w:r>
    </w:p>
  </w:footnote>
  <w:footnote w:id="3">
    <w:p w14:paraId="31E756AA" w14:textId="1189119E" w:rsidR="00D445DC" w:rsidRPr="00CA1DDA" w:rsidRDefault="00D445DC" w:rsidP="00D445DC">
      <w:pPr>
        <w:pStyle w:val="Textonotapie"/>
      </w:pPr>
      <w:r>
        <w:tab/>
      </w:r>
      <w:r w:rsidRPr="009E41B4">
        <w:rPr>
          <w:vertAlign w:val="superscript"/>
        </w:rPr>
        <w:footnoteRef/>
      </w:r>
      <w:r w:rsidRPr="00CA1DDA">
        <w:t xml:space="preserve"> </w:t>
      </w:r>
      <w:r>
        <w:tab/>
        <w:t xml:space="preserve">Los autores aportan copia del Informe de vida laboral del Ministerio de Empleo y Seguridad Social, de 14 de marzo de 2013, en que se indica que el Sr. Ben </w:t>
      </w:r>
      <w:proofErr w:type="spellStart"/>
      <w:r>
        <w:t>Djazia</w:t>
      </w:r>
      <w:proofErr w:type="spellEnd"/>
      <w:r>
        <w:t xml:space="preserve"> recibió subsidio por desempleo entre el 22 de junio de 2010 y el 21 de abril de 2011, y entre el 24 de marzo de 2012 y el 21 de junio de 2012.</w:t>
      </w:r>
    </w:p>
  </w:footnote>
  <w:footnote w:id="4">
    <w:p w14:paraId="12F47C18" w14:textId="1DED4773" w:rsidR="00D445DC" w:rsidRPr="00893519" w:rsidRDefault="00D445DC" w:rsidP="00D445DC">
      <w:pPr>
        <w:pStyle w:val="Textonotapie"/>
      </w:pPr>
      <w:r>
        <w:tab/>
      </w:r>
      <w:r w:rsidRPr="009E41B4">
        <w:rPr>
          <w:vertAlign w:val="superscript"/>
        </w:rPr>
        <w:footnoteRef/>
      </w:r>
      <w:r w:rsidRPr="00893519">
        <w:t xml:space="preserve"> </w:t>
      </w:r>
      <w:r>
        <w:tab/>
        <w:t xml:space="preserve">Los autores aportan copia de un documento expedido por Cáritas Madrid, de fecha 28 de mayo de 2013. </w:t>
      </w:r>
    </w:p>
  </w:footnote>
  <w:footnote w:id="5">
    <w:p w14:paraId="448F1C62" w14:textId="77777777" w:rsidR="00D445DC" w:rsidRPr="00E6702E" w:rsidRDefault="00D445DC" w:rsidP="00D445DC">
      <w:pPr>
        <w:pStyle w:val="Textonotapie"/>
      </w:pPr>
      <w:r>
        <w:tab/>
      </w:r>
      <w:r w:rsidRPr="009E41B4">
        <w:rPr>
          <w:vertAlign w:val="superscript"/>
        </w:rPr>
        <w:footnoteRef/>
      </w:r>
      <w:r w:rsidRPr="00E6702E">
        <w:t xml:space="preserve"> </w:t>
      </w:r>
      <w:r>
        <w:tab/>
        <w:t>Los autores aportan copia del documento expedido por el Centro de Servicios Sociales Vicente Ferrer del Ayuntamiento de Madrid, de fecha 29 de agosto de 2013.</w:t>
      </w:r>
    </w:p>
  </w:footnote>
  <w:footnote w:id="6">
    <w:p w14:paraId="4140B165" w14:textId="77777777" w:rsidR="00D445DC" w:rsidRPr="00CA2347" w:rsidRDefault="00D445DC" w:rsidP="00D445DC">
      <w:pPr>
        <w:pStyle w:val="Textonotapie"/>
      </w:pPr>
      <w:r>
        <w:tab/>
      </w:r>
      <w:r w:rsidRPr="009E41B4">
        <w:rPr>
          <w:vertAlign w:val="superscript"/>
        </w:rPr>
        <w:footnoteRef/>
      </w:r>
      <w:r w:rsidRPr="00CA2347">
        <w:t xml:space="preserve"> </w:t>
      </w:r>
      <w:r>
        <w:tab/>
        <w:t>En su argumentación, l</w:t>
      </w:r>
      <w:r w:rsidRPr="00CA2347">
        <w:t>os autores también se refieren a la Convenci</w:t>
      </w:r>
      <w:r>
        <w:t>ón de los Derechos del Niño, en vigor para el Estado parte desde el 5 de enero de 1991.</w:t>
      </w:r>
    </w:p>
  </w:footnote>
  <w:footnote w:id="7">
    <w:p w14:paraId="69E248B4" w14:textId="5BA94CFC" w:rsidR="00D445DC" w:rsidRPr="006943AF" w:rsidRDefault="00D445DC" w:rsidP="00D445DC">
      <w:pPr>
        <w:pStyle w:val="Textonotapie"/>
      </w:pPr>
      <w:r>
        <w:tab/>
      </w:r>
      <w:r w:rsidRPr="009E41B4">
        <w:rPr>
          <w:vertAlign w:val="superscript"/>
        </w:rPr>
        <w:footnoteRef/>
      </w:r>
      <w:r>
        <w:tab/>
        <w:t>Los autores se refieren a las observaciones finales del Comité sobre el</w:t>
      </w:r>
      <w:r w:rsidRPr="006943AF">
        <w:t xml:space="preserve"> quinto informe periódico de España sobre la aplicación del Pac</w:t>
      </w:r>
      <w:r>
        <w:t>to (E/</w:t>
      </w:r>
      <w:proofErr w:type="spellStart"/>
      <w:r>
        <w:t>C.12</w:t>
      </w:r>
      <w:proofErr w:type="spellEnd"/>
      <w:r>
        <w:t>/</w:t>
      </w:r>
      <w:proofErr w:type="spellStart"/>
      <w:r>
        <w:t>ESP</w:t>
      </w:r>
      <w:proofErr w:type="spellEnd"/>
      <w:r>
        <w:t>/CO/5), párr. 22.</w:t>
      </w:r>
    </w:p>
  </w:footnote>
  <w:footnote w:id="8">
    <w:p w14:paraId="503B23DB" w14:textId="77397337" w:rsidR="00D445DC" w:rsidRPr="00A141FC" w:rsidRDefault="00D445DC" w:rsidP="00D445DC">
      <w:pPr>
        <w:pStyle w:val="Textonotapie"/>
      </w:pPr>
      <w:r>
        <w:tab/>
      </w:r>
      <w:r w:rsidRPr="009E41B4">
        <w:rPr>
          <w:vertAlign w:val="superscript"/>
        </w:rPr>
        <w:footnoteRef/>
      </w:r>
      <w:r w:rsidRPr="00A141FC">
        <w:t xml:space="preserve"> </w:t>
      </w:r>
      <w:r>
        <w:tab/>
        <w:t xml:space="preserve">De acuerdo al informe social del Ayuntamiento de Madrid-Junta Municipal de Tetuán de 24 de abril de 2015 (informe social) el Centro realizó acompañamiento social en la tramitación de la </w:t>
      </w:r>
      <w:r w:rsidRPr="00D4263A">
        <w:t xml:space="preserve">renta mínima de inserción </w:t>
      </w:r>
      <w:r>
        <w:t xml:space="preserve">del Sr. Ben </w:t>
      </w:r>
      <w:proofErr w:type="spellStart"/>
      <w:r>
        <w:t>Djazia</w:t>
      </w:r>
      <w:proofErr w:type="spellEnd"/>
      <w:r>
        <w:t xml:space="preserve"> y su participación en proyectos de búsqueda de empleo. </w:t>
      </w:r>
    </w:p>
  </w:footnote>
  <w:footnote w:id="9">
    <w:p w14:paraId="07DB7908" w14:textId="7A1DB93C" w:rsidR="00D445DC" w:rsidRPr="008C4A30" w:rsidRDefault="00D445DC" w:rsidP="00D445DC">
      <w:pPr>
        <w:pStyle w:val="Textonotapie"/>
      </w:pPr>
      <w:r>
        <w:tab/>
      </w:r>
      <w:r w:rsidRPr="009E41B4">
        <w:rPr>
          <w:vertAlign w:val="superscript"/>
        </w:rPr>
        <w:footnoteRef/>
      </w:r>
      <w:r w:rsidRPr="008C4A30">
        <w:t xml:space="preserve"> </w:t>
      </w:r>
      <w:r>
        <w:tab/>
        <w:t xml:space="preserve">De acuerdo al informe social, el Sr. Ben </w:t>
      </w:r>
      <w:proofErr w:type="spellStart"/>
      <w:r>
        <w:t>Djazia</w:t>
      </w:r>
      <w:proofErr w:type="spellEnd"/>
      <w:r>
        <w:t xml:space="preserve"> percibió una </w:t>
      </w:r>
      <w:r w:rsidRPr="00D4263A">
        <w:t xml:space="preserve">renta mínima de inserción </w:t>
      </w:r>
      <w:r>
        <w:t xml:space="preserve">de 532 euros desde 2013. </w:t>
      </w:r>
    </w:p>
  </w:footnote>
  <w:footnote w:id="10">
    <w:p w14:paraId="09BECDAC" w14:textId="2689CD02" w:rsidR="00D445DC" w:rsidRPr="008C4A30" w:rsidRDefault="00D445DC" w:rsidP="00D445DC">
      <w:pPr>
        <w:pStyle w:val="Textonotapie"/>
      </w:pPr>
      <w:r>
        <w:tab/>
      </w:r>
      <w:r w:rsidRPr="009E41B4">
        <w:rPr>
          <w:vertAlign w:val="superscript"/>
        </w:rPr>
        <w:footnoteRef/>
      </w:r>
      <w:r>
        <w:t xml:space="preserve"> </w:t>
      </w:r>
      <w:r>
        <w:tab/>
        <w:t xml:space="preserve">El Estado parte aporta copia de un informe de la Dirección General de Vivienda y Rehabilitación de la Comunidad de Madrid, de 21 de abril de 2015, que indica que el Sr. Ben </w:t>
      </w:r>
      <w:proofErr w:type="spellStart"/>
      <w:r>
        <w:t>Djazia</w:t>
      </w:r>
      <w:proofErr w:type="spellEnd"/>
      <w:r>
        <w:t xml:space="preserve"> presentó 16 solicitudes de vivienda pública: 11 por el cupo de especial necesidad y 5 por procedimiento de sorteo. El informe concluye que la solicitud de vivienda pública por cupo de especial necesidad del Sr.</w:t>
      </w:r>
      <w:r w:rsidR="009E41B4">
        <w:t> </w:t>
      </w:r>
      <w:r>
        <w:t>Ben</w:t>
      </w:r>
      <w:r w:rsidR="009E41B4">
        <w:t> </w:t>
      </w:r>
      <w:proofErr w:type="spellStart"/>
      <w:r>
        <w:t>Djazia</w:t>
      </w:r>
      <w:proofErr w:type="spellEnd"/>
      <w:r>
        <w:t xml:space="preserve"> se encontraba “admitida” y que a la fecha del mismo estaba en el número 432 del listado.</w:t>
      </w:r>
    </w:p>
  </w:footnote>
  <w:footnote w:id="11">
    <w:p w14:paraId="286E74D4" w14:textId="0F8A9767" w:rsidR="00D445DC" w:rsidRPr="007145D0" w:rsidRDefault="00D445DC" w:rsidP="00D445DC">
      <w:pPr>
        <w:pStyle w:val="Textonotapie"/>
      </w:pPr>
      <w:r>
        <w:tab/>
      </w:r>
      <w:r w:rsidRPr="009E41B4">
        <w:rPr>
          <w:vertAlign w:val="superscript"/>
        </w:rPr>
        <w:footnoteRef/>
      </w:r>
      <w:r w:rsidRPr="007145D0">
        <w:t xml:space="preserve"> </w:t>
      </w:r>
      <w:r>
        <w:tab/>
      </w:r>
      <w:r w:rsidRPr="007145D0">
        <w:t xml:space="preserve">Los autores se refieren a la </w:t>
      </w:r>
      <w:r>
        <w:t xml:space="preserve">observación general núm. 7, </w:t>
      </w:r>
      <w:proofErr w:type="spellStart"/>
      <w:r>
        <w:t>párrs</w:t>
      </w:r>
      <w:proofErr w:type="spellEnd"/>
      <w:r>
        <w:t xml:space="preserve">. 11, 16 y 19. </w:t>
      </w:r>
    </w:p>
  </w:footnote>
  <w:footnote w:id="12">
    <w:p w14:paraId="3084BF8F" w14:textId="16D837DC" w:rsidR="00D445DC" w:rsidRPr="00E027B6" w:rsidRDefault="00D445DC" w:rsidP="00D445DC">
      <w:pPr>
        <w:pStyle w:val="Textonotapie"/>
      </w:pPr>
      <w:r>
        <w:tab/>
      </w:r>
      <w:r w:rsidRPr="009E41B4">
        <w:rPr>
          <w:vertAlign w:val="superscript"/>
        </w:rPr>
        <w:footnoteRef/>
      </w:r>
      <w:r w:rsidRPr="00E027B6">
        <w:t xml:space="preserve"> </w:t>
      </w:r>
      <w:r>
        <w:tab/>
      </w:r>
      <w:r w:rsidRPr="00E027B6">
        <w:t xml:space="preserve">Los autores aportan </w:t>
      </w:r>
      <w:r>
        <w:t>un</w:t>
      </w:r>
      <w:r w:rsidRPr="00E027B6">
        <w:t xml:space="preserve"> certificado de trabajo como t</w:t>
      </w:r>
      <w:r>
        <w:t>écnico electrónico, expedido por una empresa privada (1993-1996), y siete</w:t>
      </w:r>
      <w:r w:rsidRPr="00E027B6">
        <w:t xml:space="preserve"> certificados</w:t>
      </w:r>
      <w:r>
        <w:t xml:space="preserve"> de asistencia a cursos técnicos, en 2001, 2004, 2006 a 2008 y 2015, impartidos por entidades públicas y privadas.</w:t>
      </w:r>
      <w:r w:rsidRPr="00E027B6">
        <w:t xml:space="preserve"> </w:t>
      </w:r>
    </w:p>
  </w:footnote>
  <w:footnote w:id="13">
    <w:p w14:paraId="263806A3" w14:textId="53B69EA7" w:rsidR="00D445DC" w:rsidRPr="00A031C0" w:rsidRDefault="00D445DC" w:rsidP="00D445DC">
      <w:pPr>
        <w:pStyle w:val="Textonotapie"/>
      </w:pPr>
      <w:r>
        <w:tab/>
      </w:r>
      <w:r w:rsidRPr="009E41B4">
        <w:rPr>
          <w:vertAlign w:val="superscript"/>
        </w:rPr>
        <w:footnoteRef/>
      </w:r>
      <w:r w:rsidRPr="00A031C0">
        <w:t xml:space="preserve"> </w:t>
      </w:r>
      <w:r>
        <w:tab/>
      </w:r>
      <w:r w:rsidRPr="00A031C0">
        <w:t xml:space="preserve">Los autores se refieren al </w:t>
      </w:r>
      <w:r>
        <w:t>i</w:t>
      </w:r>
      <w:r w:rsidRPr="00A031C0">
        <w:t>nforme de Amnist</w:t>
      </w:r>
      <w:r>
        <w:t xml:space="preserve">ía Internacional, </w:t>
      </w:r>
      <w:r w:rsidRPr="0048522D">
        <w:rPr>
          <w:i/>
        </w:rPr>
        <w:t>Derechos desalojados. El derecho a la vivienda y los desalojos hipotecarios en España</w:t>
      </w:r>
      <w:r w:rsidRPr="0048522D">
        <w:t xml:space="preserve">, Madrid, Amnistía Internacional España, </w:t>
      </w:r>
      <w:r w:rsidRPr="00997656">
        <w:t>2015</w:t>
      </w:r>
      <w:r>
        <w:t xml:space="preserve">, pág. 42. </w:t>
      </w:r>
    </w:p>
  </w:footnote>
  <w:footnote w:id="14">
    <w:p w14:paraId="4E635908" w14:textId="06363A63" w:rsidR="00D445DC" w:rsidRPr="00793FB0" w:rsidRDefault="00D445DC" w:rsidP="00D445DC">
      <w:pPr>
        <w:pStyle w:val="Textonotapie"/>
      </w:pPr>
      <w:r>
        <w:tab/>
      </w:r>
      <w:r w:rsidRPr="009E41B4">
        <w:rPr>
          <w:vertAlign w:val="superscript"/>
        </w:rPr>
        <w:footnoteRef/>
      </w:r>
      <w:r w:rsidRPr="00793FB0">
        <w:t xml:space="preserve"> </w:t>
      </w:r>
      <w:r>
        <w:tab/>
      </w:r>
      <w:r w:rsidRPr="00793FB0">
        <w:t>El Estado parte se refiere a la observaci</w:t>
      </w:r>
      <w:r>
        <w:t xml:space="preserve">ón general núm. 7, párr. 15. </w:t>
      </w:r>
    </w:p>
  </w:footnote>
  <w:footnote w:id="15">
    <w:p w14:paraId="545B5C20" w14:textId="3A93FA65" w:rsidR="00D445DC" w:rsidRPr="007C035B" w:rsidRDefault="00D445DC" w:rsidP="00D445DC">
      <w:pPr>
        <w:pStyle w:val="Textonotapie"/>
        <w:rPr>
          <w:rFonts w:eastAsia="SimSun"/>
          <w:color w:val="000000"/>
          <w:kern w:val="2"/>
          <w:lang w:eastAsia="zh-CN"/>
        </w:rPr>
      </w:pPr>
      <w:r w:rsidRPr="007C035B">
        <w:tab/>
      </w:r>
      <w:r w:rsidRPr="009E41B4">
        <w:rPr>
          <w:vertAlign w:val="superscript"/>
        </w:rPr>
        <w:footnoteRef/>
      </w:r>
      <w:r w:rsidRPr="007C035B">
        <w:t xml:space="preserve"> </w:t>
      </w:r>
      <w:r w:rsidRPr="007C035B">
        <w:tab/>
      </w:r>
      <w:r w:rsidRPr="008452A1">
        <w:t xml:space="preserve">Representada por Center </w:t>
      </w:r>
      <w:proofErr w:type="spellStart"/>
      <w:r w:rsidRPr="008452A1">
        <w:t>for</w:t>
      </w:r>
      <w:proofErr w:type="spellEnd"/>
      <w:r w:rsidRPr="008452A1">
        <w:t xml:space="preserve"> </w:t>
      </w:r>
      <w:proofErr w:type="spellStart"/>
      <w:r w:rsidRPr="008452A1">
        <w:t>Economic</w:t>
      </w:r>
      <w:proofErr w:type="spellEnd"/>
      <w:r w:rsidRPr="008452A1">
        <w:t xml:space="preserve"> and Social </w:t>
      </w:r>
      <w:proofErr w:type="spellStart"/>
      <w:r w:rsidRPr="008452A1">
        <w:t>Rights</w:t>
      </w:r>
      <w:proofErr w:type="spellEnd"/>
      <w:r w:rsidRPr="008452A1">
        <w:t xml:space="preserve">; Global </w:t>
      </w:r>
      <w:proofErr w:type="spellStart"/>
      <w:r w:rsidRPr="008452A1">
        <w:t>Initiative</w:t>
      </w:r>
      <w:proofErr w:type="spellEnd"/>
      <w:r w:rsidRPr="008452A1">
        <w:t xml:space="preserve"> </w:t>
      </w:r>
      <w:proofErr w:type="spellStart"/>
      <w:r w:rsidRPr="008452A1">
        <w:t>for</w:t>
      </w:r>
      <w:proofErr w:type="spellEnd"/>
      <w:r w:rsidRPr="008452A1">
        <w:t xml:space="preserve"> </w:t>
      </w:r>
      <w:proofErr w:type="spellStart"/>
      <w:r w:rsidRPr="008452A1">
        <w:t>Economic</w:t>
      </w:r>
      <w:proofErr w:type="spellEnd"/>
      <w:r w:rsidRPr="008452A1">
        <w:t xml:space="preserve">, Social and Cultural </w:t>
      </w:r>
      <w:proofErr w:type="spellStart"/>
      <w:r w:rsidRPr="008452A1">
        <w:t>Rights</w:t>
      </w:r>
      <w:proofErr w:type="spellEnd"/>
      <w:r w:rsidRPr="008452A1">
        <w:t xml:space="preserve">; Ana Lucía Maya Aguirre, profesora de la Universidad Jorge Tadeo Lozano de Bogotá; </w:t>
      </w:r>
      <w:r w:rsidRPr="008452A1">
        <w:rPr>
          <w:rFonts w:eastAsia="SimSun"/>
          <w:color w:val="000000"/>
          <w:kern w:val="2"/>
          <w:lang w:eastAsia="zh-CN"/>
        </w:rPr>
        <w:t xml:space="preserve">Social </w:t>
      </w:r>
      <w:proofErr w:type="spellStart"/>
      <w:r w:rsidRPr="008452A1">
        <w:rPr>
          <w:rFonts w:eastAsia="SimSun"/>
          <w:color w:val="000000"/>
          <w:kern w:val="2"/>
          <w:lang w:eastAsia="zh-CN"/>
        </w:rPr>
        <w:t>Rights</w:t>
      </w:r>
      <w:proofErr w:type="spellEnd"/>
      <w:r w:rsidRPr="008452A1">
        <w:rPr>
          <w:rFonts w:eastAsia="SimSun"/>
          <w:color w:val="000000"/>
          <w:kern w:val="2"/>
          <w:lang w:eastAsia="zh-CN"/>
        </w:rPr>
        <w:t xml:space="preserve"> </w:t>
      </w:r>
      <w:proofErr w:type="spellStart"/>
      <w:r w:rsidRPr="008452A1">
        <w:rPr>
          <w:rFonts w:eastAsia="SimSun"/>
          <w:color w:val="000000"/>
          <w:kern w:val="2"/>
          <w:lang w:eastAsia="zh-CN"/>
        </w:rPr>
        <w:t>Advocacy</w:t>
      </w:r>
      <w:proofErr w:type="spellEnd"/>
      <w:r w:rsidRPr="008452A1">
        <w:rPr>
          <w:rFonts w:eastAsia="SimSun"/>
          <w:color w:val="000000"/>
          <w:kern w:val="2"/>
          <w:lang w:eastAsia="zh-CN"/>
        </w:rPr>
        <w:t xml:space="preserve"> Centre; Centro de Estudios Legales y Sociales; Socio and </w:t>
      </w:r>
      <w:proofErr w:type="spellStart"/>
      <w:r w:rsidRPr="008452A1">
        <w:rPr>
          <w:rFonts w:eastAsia="SimSun"/>
          <w:color w:val="000000"/>
          <w:kern w:val="2"/>
          <w:lang w:eastAsia="zh-CN"/>
        </w:rPr>
        <w:t>Economic</w:t>
      </w:r>
      <w:proofErr w:type="spellEnd"/>
      <w:r w:rsidRPr="008452A1">
        <w:rPr>
          <w:rFonts w:eastAsia="SimSun"/>
          <w:color w:val="000000"/>
          <w:kern w:val="2"/>
          <w:lang w:eastAsia="zh-CN"/>
        </w:rPr>
        <w:t xml:space="preserve"> </w:t>
      </w:r>
      <w:proofErr w:type="spellStart"/>
      <w:r w:rsidRPr="008452A1">
        <w:rPr>
          <w:rFonts w:eastAsia="SimSun"/>
          <w:color w:val="000000"/>
          <w:kern w:val="2"/>
          <w:lang w:eastAsia="zh-CN"/>
        </w:rPr>
        <w:t>Rights</w:t>
      </w:r>
      <w:proofErr w:type="spellEnd"/>
      <w:r w:rsidRPr="008452A1">
        <w:rPr>
          <w:rFonts w:eastAsia="SimSun"/>
          <w:color w:val="000000"/>
          <w:kern w:val="2"/>
          <w:lang w:eastAsia="zh-CN"/>
        </w:rPr>
        <w:t xml:space="preserve"> Project; </w:t>
      </w:r>
      <w:proofErr w:type="spellStart"/>
      <w:r w:rsidRPr="008452A1">
        <w:rPr>
          <w:rFonts w:eastAsia="SimSun"/>
          <w:color w:val="000000"/>
          <w:kern w:val="2"/>
          <w:lang w:eastAsia="zh-CN"/>
        </w:rPr>
        <w:t>Dullah</w:t>
      </w:r>
      <w:proofErr w:type="spellEnd"/>
      <w:r w:rsidRPr="008452A1">
        <w:rPr>
          <w:rFonts w:eastAsia="SimSun"/>
          <w:color w:val="000000"/>
          <w:kern w:val="2"/>
          <w:lang w:eastAsia="zh-CN"/>
        </w:rPr>
        <w:t xml:space="preserve"> Omar </w:t>
      </w:r>
      <w:proofErr w:type="spellStart"/>
      <w:r w:rsidRPr="008452A1">
        <w:rPr>
          <w:rFonts w:eastAsia="SimSun"/>
          <w:color w:val="000000"/>
          <w:kern w:val="2"/>
          <w:lang w:eastAsia="zh-CN"/>
        </w:rPr>
        <w:t>Institute</w:t>
      </w:r>
      <w:proofErr w:type="spellEnd"/>
      <w:r w:rsidRPr="008452A1">
        <w:rPr>
          <w:rFonts w:eastAsia="SimSun"/>
          <w:color w:val="000000"/>
          <w:kern w:val="2"/>
          <w:lang w:eastAsia="zh-CN"/>
        </w:rPr>
        <w:t>, Sudáfrica; Amn</w:t>
      </w:r>
      <w:r>
        <w:rPr>
          <w:rFonts w:eastAsia="SimSun"/>
          <w:color w:val="000000"/>
          <w:kern w:val="2"/>
          <w:lang w:eastAsia="zh-CN"/>
        </w:rPr>
        <w:t xml:space="preserve">istía </w:t>
      </w:r>
      <w:r w:rsidRPr="008452A1">
        <w:rPr>
          <w:rFonts w:eastAsia="SimSun"/>
          <w:color w:val="000000"/>
          <w:kern w:val="2"/>
          <w:lang w:eastAsia="zh-CN"/>
        </w:rPr>
        <w:t>Interna</w:t>
      </w:r>
      <w:r>
        <w:rPr>
          <w:rFonts w:eastAsia="SimSun"/>
          <w:color w:val="000000"/>
          <w:kern w:val="2"/>
          <w:lang w:eastAsia="zh-CN"/>
        </w:rPr>
        <w:t>c</w:t>
      </w:r>
      <w:r w:rsidRPr="008452A1">
        <w:rPr>
          <w:rFonts w:eastAsia="SimSun"/>
          <w:color w:val="000000"/>
          <w:kern w:val="2"/>
          <w:lang w:eastAsia="zh-CN"/>
        </w:rPr>
        <w:t xml:space="preserve">ional, Reino Unido; </w:t>
      </w:r>
      <w:proofErr w:type="spellStart"/>
      <w:r w:rsidRPr="008452A1">
        <w:rPr>
          <w:rFonts w:eastAsia="SimSun"/>
          <w:color w:val="000000"/>
          <w:kern w:val="2"/>
          <w:lang w:eastAsia="zh-CN"/>
        </w:rPr>
        <w:t>Observatori</w:t>
      </w:r>
      <w:proofErr w:type="spellEnd"/>
      <w:r w:rsidRPr="008452A1">
        <w:rPr>
          <w:rFonts w:eastAsia="SimSun"/>
          <w:color w:val="000000"/>
          <w:kern w:val="2"/>
          <w:lang w:eastAsia="zh-CN"/>
        </w:rPr>
        <w:t xml:space="preserve"> </w:t>
      </w:r>
      <w:proofErr w:type="spellStart"/>
      <w:r w:rsidRPr="008452A1">
        <w:rPr>
          <w:rFonts w:eastAsia="SimSun"/>
          <w:color w:val="000000"/>
          <w:kern w:val="2"/>
          <w:lang w:eastAsia="zh-CN"/>
        </w:rPr>
        <w:t>DESC</w:t>
      </w:r>
      <w:proofErr w:type="spellEnd"/>
      <w:r w:rsidRPr="008452A1">
        <w:rPr>
          <w:rFonts w:eastAsia="SimSun"/>
          <w:color w:val="000000"/>
          <w:kern w:val="2"/>
          <w:lang w:eastAsia="zh-CN"/>
        </w:rPr>
        <w:t xml:space="preserve">, España, y Jackie </w:t>
      </w:r>
      <w:proofErr w:type="spellStart"/>
      <w:r w:rsidRPr="008452A1">
        <w:rPr>
          <w:rFonts w:eastAsia="SimSun"/>
          <w:color w:val="000000"/>
          <w:kern w:val="2"/>
          <w:lang w:eastAsia="zh-CN"/>
        </w:rPr>
        <w:t>Dugard</w:t>
      </w:r>
      <w:proofErr w:type="spellEnd"/>
      <w:r w:rsidRPr="008452A1">
        <w:rPr>
          <w:rFonts w:eastAsia="SimSun"/>
          <w:color w:val="000000"/>
          <w:kern w:val="2"/>
          <w:lang w:eastAsia="zh-CN"/>
        </w:rPr>
        <w:t xml:space="preserve">, profesora, </w:t>
      </w:r>
      <w:proofErr w:type="spellStart"/>
      <w:r w:rsidRPr="008452A1">
        <w:rPr>
          <w:rFonts w:eastAsia="SimSun"/>
          <w:color w:val="000000"/>
          <w:kern w:val="2"/>
          <w:lang w:eastAsia="zh-CN"/>
        </w:rPr>
        <w:t>Wits</w:t>
      </w:r>
      <w:proofErr w:type="spellEnd"/>
      <w:r w:rsidRPr="008452A1">
        <w:rPr>
          <w:rFonts w:eastAsia="SimSun"/>
          <w:color w:val="000000"/>
          <w:kern w:val="2"/>
          <w:lang w:eastAsia="zh-CN"/>
        </w:rPr>
        <w:t xml:space="preserve"> </w:t>
      </w:r>
      <w:proofErr w:type="spellStart"/>
      <w:r w:rsidRPr="008452A1">
        <w:rPr>
          <w:rFonts w:eastAsia="SimSun"/>
          <w:color w:val="000000"/>
          <w:kern w:val="2"/>
          <w:lang w:eastAsia="zh-CN"/>
        </w:rPr>
        <w:t>University</w:t>
      </w:r>
      <w:proofErr w:type="spellEnd"/>
      <w:r w:rsidRPr="008452A1">
        <w:rPr>
          <w:rFonts w:eastAsia="SimSun"/>
          <w:color w:val="000000"/>
          <w:kern w:val="2"/>
          <w:lang w:eastAsia="zh-CN"/>
        </w:rPr>
        <w:t>, Sudáfrica.</w:t>
      </w:r>
    </w:p>
  </w:footnote>
  <w:footnote w:id="16">
    <w:p w14:paraId="28DE6083" w14:textId="4A8C1285" w:rsidR="002D405D" w:rsidRDefault="005B1B75" w:rsidP="002D405D">
      <w:pPr>
        <w:pStyle w:val="Textonotapie"/>
        <w:widowControl w:val="0"/>
        <w:tabs>
          <w:tab w:val="clear" w:pos="1021"/>
          <w:tab w:val="right" w:pos="1020"/>
        </w:tabs>
        <w:suppressAutoHyphens/>
      </w:pPr>
      <w:r>
        <w:tab/>
      </w:r>
      <w:r w:rsidR="002D405D" w:rsidRPr="009E41B4">
        <w:rPr>
          <w:rStyle w:val="Refdenotaalpie"/>
        </w:rPr>
        <w:footnoteRef/>
      </w:r>
      <w:r w:rsidR="002D405D">
        <w:tab/>
      </w:r>
      <w:r w:rsidR="002D405D" w:rsidRPr="00D2722D">
        <w:rPr>
          <w:szCs w:val="18"/>
        </w:rPr>
        <w:t xml:space="preserve">Véase también </w:t>
      </w:r>
      <w:r w:rsidR="002D405D">
        <w:rPr>
          <w:szCs w:val="18"/>
        </w:rPr>
        <w:t xml:space="preserve">el </w:t>
      </w:r>
      <w:r w:rsidR="002D405D" w:rsidRPr="00D2722D">
        <w:rPr>
          <w:szCs w:val="18"/>
        </w:rPr>
        <w:t>artículo 14</w:t>
      </w:r>
      <w:r w:rsidR="002D405D">
        <w:rPr>
          <w:szCs w:val="18"/>
        </w:rPr>
        <w:t xml:space="preserve">, párr. </w:t>
      </w:r>
      <w:r w:rsidR="002D405D" w:rsidRPr="00D2722D">
        <w:rPr>
          <w:szCs w:val="18"/>
        </w:rPr>
        <w:t>5</w:t>
      </w:r>
      <w:r w:rsidR="002D405D">
        <w:rPr>
          <w:szCs w:val="18"/>
        </w:rPr>
        <w:t>,</w:t>
      </w:r>
      <w:r w:rsidR="002D405D" w:rsidRPr="00D2722D">
        <w:rPr>
          <w:szCs w:val="18"/>
        </w:rPr>
        <w:t xml:space="preserve"> del </w:t>
      </w:r>
      <w:r w:rsidR="002D405D">
        <w:rPr>
          <w:szCs w:val="18"/>
        </w:rPr>
        <w:t>r</w:t>
      </w:r>
      <w:r w:rsidR="002D405D" w:rsidRPr="00D2722D">
        <w:rPr>
          <w:szCs w:val="18"/>
        </w:rPr>
        <w:t>eglamento provisional del Comité.</w:t>
      </w:r>
    </w:p>
  </w:footnote>
  <w:footnote w:id="17">
    <w:p w14:paraId="15517851" w14:textId="5DB878C4" w:rsidR="00D445DC" w:rsidRPr="00D2722D" w:rsidRDefault="00D445DC" w:rsidP="00D445DC">
      <w:pPr>
        <w:pStyle w:val="Textonotapie"/>
        <w:rPr>
          <w:szCs w:val="18"/>
        </w:rPr>
      </w:pPr>
      <w:r>
        <w:rPr>
          <w:szCs w:val="18"/>
        </w:rPr>
        <w:tab/>
      </w:r>
      <w:r w:rsidRPr="009E41B4">
        <w:rPr>
          <w:szCs w:val="18"/>
          <w:vertAlign w:val="superscript"/>
        </w:rPr>
        <w:footnoteRef/>
      </w:r>
      <w:r>
        <w:rPr>
          <w:szCs w:val="18"/>
        </w:rPr>
        <w:tab/>
      </w:r>
      <w:r w:rsidRPr="00D2722D">
        <w:rPr>
          <w:szCs w:val="18"/>
        </w:rPr>
        <w:t xml:space="preserve">Véase </w:t>
      </w:r>
      <w:r>
        <w:rPr>
          <w:szCs w:val="18"/>
        </w:rPr>
        <w:t>el i</w:t>
      </w:r>
      <w:r w:rsidRPr="00D2722D">
        <w:rPr>
          <w:szCs w:val="18"/>
        </w:rPr>
        <w:t>nforme del Grupo de Trabajo de composición abierta sobre un protocolo facultativo del Pacto Internacional de Derechos Económicos, Sociales y Culturales sobre su quinto período de sesiones</w:t>
      </w:r>
      <w:r>
        <w:rPr>
          <w:szCs w:val="18"/>
        </w:rPr>
        <w:t xml:space="preserve"> (</w:t>
      </w:r>
      <w:r w:rsidRPr="00D2722D">
        <w:rPr>
          <w:szCs w:val="18"/>
        </w:rPr>
        <w:t>A/</w:t>
      </w:r>
      <w:proofErr w:type="spellStart"/>
      <w:r w:rsidRPr="00D2722D">
        <w:rPr>
          <w:szCs w:val="18"/>
        </w:rPr>
        <w:t>HRC</w:t>
      </w:r>
      <w:proofErr w:type="spellEnd"/>
      <w:r w:rsidRPr="00D2722D">
        <w:rPr>
          <w:szCs w:val="18"/>
        </w:rPr>
        <w:t>/8/7</w:t>
      </w:r>
      <w:r>
        <w:rPr>
          <w:szCs w:val="18"/>
        </w:rPr>
        <w:t>)</w:t>
      </w:r>
      <w:r w:rsidRPr="00D2722D">
        <w:rPr>
          <w:szCs w:val="18"/>
        </w:rPr>
        <w:t xml:space="preserve">, </w:t>
      </w:r>
      <w:proofErr w:type="spellStart"/>
      <w:r>
        <w:rPr>
          <w:szCs w:val="18"/>
        </w:rPr>
        <w:t>párrs</w:t>
      </w:r>
      <w:proofErr w:type="spellEnd"/>
      <w:r>
        <w:rPr>
          <w:szCs w:val="18"/>
        </w:rPr>
        <w:t xml:space="preserve">. </w:t>
      </w:r>
      <w:r w:rsidRPr="00D2722D">
        <w:rPr>
          <w:szCs w:val="18"/>
        </w:rPr>
        <w:t>155</w:t>
      </w:r>
      <w:r>
        <w:rPr>
          <w:szCs w:val="18"/>
        </w:rPr>
        <w:t xml:space="preserve"> y 157</w:t>
      </w:r>
      <w:r w:rsidRPr="00D2722D">
        <w:rPr>
          <w:szCs w:val="18"/>
        </w:rPr>
        <w:t>.</w:t>
      </w:r>
    </w:p>
  </w:footnote>
  <w:footnote w:id="18">
    <w:p w14:paraId="28D68F49" w14:textId="71EAB953" w:rsidR="00D445DC" w:rsidRPr="0058602C" w:rsidRDefault="00D445DC" w:rsidP="00D445DC">
      <w:pPr>
        <w:pStyle w:val="Textonotapie"/>
        <w:rPr>
          <w:szCs w:val="18"/>
        </w:rPr>
      </w:pPr>
      <w:r>
        <w:rPr>
          <w:szCs w:val="18"/>
        </w:rPr>
        <w:tab/>
      </w:r>
      <w:r w:rsidRPr="009E41B4">
        <w:rPr>
          <w:vertAlign w:val="superscript"/>
        </w:rPr>
        <w:footnoteRef/>
      </w:r>
      <w:r>
        <w:rPr>
          <w:szCs w:val="18"/>
        </w:rPr>
        <w:tab/>
      </w:r>
      <w:r w:rsidRPr="0058602C">
        <w:rPr>
          <w:szCs w:val="18"/>
        </w:rPr>
        <w:t>Véase</w:t>
      </w:r>
      <w:r>
        <w:rPr>
          <w:szCs w:val="18"/>
        </w:rPr>
        <w:t>,</w:t>
      </w:r>
      <w:r w:rsidRPr="0058602C">
        <w:rPr>
          <w:szCs w:val="18"/>
        </w:rPr>
        <w:t xml:space="preserve"> por ejemplo, </w:t>
      </w:r>
      <w:r>
        <w:rPr>
          <w:szCs w:val="18"/>
        </w:rPr>
        <w:t>Tribunal Europeo de Derechos Humanos</w:t>
      </w:r>
      <w:r w:rsidRPr="00424878">
        <w:rPr>
          <w:szCs w:val="18"/>
        </w:rPr>
        <w:t>,</w:t>
      </w:r>
      <w:r w:rsidRPr="0058602C">
        <w:rPr>
          <w:szCs w:val="18"/>
        </w:rPr>
        <w:t xml:space="preserve"> </w:t>
      </w:r>
      <w:proofErr w:type="spellStart"/>
      <w:r w:rsidRPr="009C0C50">
        <w:rPr>
          <w:i/>
          <w:szCs w:val="18"/>
        </w:rPr>
        <w:t>Gagliano</w:t>
      </w:r>
      <w:proofErr w:type="spellEnd"/>
      <w:r w:rsidRPr="009C0C50">
        <w:rPr>
          <w:i/>
          <w:szCs w:val="18"/>
        </w:rPr>
        <w:t xml:space="preserve"> </w:t>
      </w:r>
      <w:proofErr w:type="spellStart"/>
      <w:r w:rsidRPr="009C0C50">
        <w:rPr>
          <w:i/>
          <w:szCs w:val="18"/>
        </w:rPr>
        <w:t>Giorgi</w:t>
      </w:r>
      <w:proofErr w:type="spellEnd"/>
      <w:r w:rsidRPr="009C0C50">
        <w:rPr>
          <w:i/>
          <w:szCs w:val="18"/>
        </w:rPr>
        <w:t xml:space="preserve"> </w:t>
      </w:r>
      <w:r>
        <w:rPr>
          <w:i/>
          <w:szCs w:val="18"/>
        </w:rPr>
        <w:t>c</w:t>
      </w:r>
      <w:r w:rsidRPr="009C0C50">
        <w:rPr>
          <w:i/>
          <w:szCs w:val="18"/>
        </w:rPr>
        <w:t xml:space="preserve">. </w:t>
      </w:r>
      <w:proofErr w:type="spellStart"/>
      <w:r w:rsidRPr="009C0C50">
        <w:rPr>
          <w:i/>
          <w:szCs w:val="18"/>
        </w:rPr>
        <w:t>Ital</w:t>
      </w:r>
      <w:r>
        <w:rPr>
          <w:i/>
          <w:szCs w:val="18"/>
        </w:rPr>
        <w:t>ie</w:t>
      </w:r>
      <w:proofErr w:type="spellEnd"/>
      <w:r w:rsidRPr="0048522D">
        <w:rPr>
          <w:bCs/>
          <w:color w:val="000000"/>
          <w:szCs w:val="18"/>
        </w:rPr>
        <w:t>,</w:t>
      </w:r>
      <w:r w:rsidRPr="0058602C">
        <w:rPr>
          <w:b/>
          <w:bCs/>
          <w:color w:val="000000"/>
          <w:szCs w:val="18"/>
        </w:rPr>
        <w:t xml:space="preserve"> </w:t>
      </w:r>
      <w:r w:rsidRPr="00852A48">
        <w:rPr>
          <w:bCs/>
          <w:color w:val="000000"/>
          <w:szCs w:val="18"/>
        </w:rPr>
        <w:t>d</w:t>
      </w:r>
      <w:r w:rsidRPr="00852A48">
        <w:rPr>
          <w:iCs/>
          <w:color w:val="000000"/>
          <w:szCs w:val="18"/>
        </w:rPr>
        <w:t xml:space="preserve">emanda </w:t>
      </w:r>
      <w:r>
        <w:rPr>
          <w:iCs/>
          <w:color w:val="000000"/>
          <w:szCs w:val="18"/>
        </w:rPr>
        <w:t xml:space="preserve">núm. </w:t>
      </w:r>
      <w:r w:rsidRPr="00852A48">
        <w:rPr>
          <w:iCs/>
          <w:color w:val="000000"/>
          <w:szCs w:val="18"/>
        </w:rPr>
        <w:t>23563/07</w:t>
      </w:r>
      <w:r w:rsidRPr="00852A48">
        <w:rPr>
          <w:color w:val="000000"/>
          <w:szCs w:val="18"/>
        </w:rPr>
        <w:t xml:space="preserve">, </w:t>
      </w:r>
      <w:r>
        <w:rPr>
          <w:color w:val="000000"/>
          <w:szCs w:val="18"/>
        </w:rPr>
        <w:t>s</w:t>
      </w:r>
      <w:r w:rsidRPr="00852A48">
        <w:rPr>
          <w:color w:val="000000"/>
          <w:szCs w:val="18"/>
        </w:rPr>
        <w:t xml:space="preserve">entencia de 6 marzo </w:t>
      </w:r>
      <w:r>
        <w:rPr>
          <w:color w:val="000000"/>
          <w:szCs w:val="18"/>
        </w:rPr>
        <w:t xml:space="preserve">de </w:t>
      </w:r>
      <w:r w:rsidRPr="00852A48">
        <w:rPr>
          <w:color w:val="000000"/>
          <w:szCs w:val="18"/>
        </w:rPr>
        <w:t xml:space="preserve">2012, </w:t>
      </w:r>
      <w:proofErr w:type="spellStart"/>
      <w:r>
        <w:rPr>
          <w:color w:val="000000"/>
          <w:szCs w:val="18"/>
        </w:rPr>
        <w:t>párrs</w:t>
      </w:r>
      <w:proofErr w:type="spellEnd"/>
      <w:r>
        <w:rPr>
          <w:color w:val="000000"/>
          <w:szCs w:val="18"/>
        </w:rPr>
        <w:t xml:space="preserve">. </w:t>
      </w:r>
      <w:r w:rsidRPr="00852A48">
        <w:rPr>
          <w:color w:val="000000"/>
          <w:szCs w:val="18"/>
        </w:rPr>
        <w:t>54</w:t>
      </w:r>
      <w:r>
        <w:rPr>
          <w:color w:val="000000"/>
          <w:szCs w:val="18"/>
        </w:rPr>
        <w:t xml:space="preserve"> a </w:t>
      </w:r>
      <w:r w:rsidRPr="00852A48">
        <w:rPr>
          <w:color w:val="000000"/>
          <w:szCs w:val="18"/>
        </w:rPr>
        <w:t xml:space="preserve">56; y </w:t>
      </w:r>
      <w:proofErr w:type="spellStart"/>
      <w:r w:rsidRPr="00612C29">
        <w:rPr>
          <w:i/>
          <w:color w:val="000000"/>
          <w:szCs w:val="18"/>
        </w:rPr>
        <w:t>Giusti</w:t>
      </w:r>
      <w:proofErr w:type="spellEnd"/>
      <w:r w:rsidRPr="00612C29">
        <w:rPr>
          <w:i/>
          <w:color w:val="000000"/>
          <w:szCs w:val="18"/>
        </w:rPr>
        <w:t xml:space="preserve"> c. </w:t>
      </w:r>
      <w:proofErr w:type="spellStart"/>
      <w:r w:rsidRPr="00612C29">
        <w:rPr>
          <w:i/>
          <w:color w:val="000000"/>
          <w:szCs w:val="18"/>
        </w:rPr>
        <w:t>Itali</w:t>
      </w:r>
      <w:r>
        <w:rPr>
          <w:i/>
          <w:color w:val="000000"/>
          <w:szCs w:val="18"/>
        </w:rPr>
        <w:t>e</w:t>
      </w:r>
      <w:proofErr w:type="spellEnd"/>
      <w:r w:rsidRPr="00852A48">
        <w:rPr>
          <w:color w:val="000000"/>
          <w:szCs w:val="18"/>
        </w:rPr>
        <w:t>, d</w:t>
      </w:r>
      <w:r w:rsidRPr="00C5431B">
        <w:rPr>
          <w:color w:val="000000"/>
          <w:szCs w:val="18"/>
        </w:rPr>
        <w:t>emanda</w:t>
      </w:r>
      <w:r w:rsidRPr="00852A48">
        <w:rPr>
          <w:iCs/>
          <w:color w:val="000000"/>
          <w:szCs w:val="18"/>
        </w:rPr>
        <w:t xml:space="preserve"> </w:t>
      </w:r>
      <w:r w:rsidR="009E41B4">
        <w:rPr>
          <w:iCs/>
          <w:color w:val="000000"/>
          <w:szCs w:val="18"/>
        </w:rPr>
        <w:t>núm. </w:t>
      </w:r>
      <w:r w:rsidRPr="00852A48">
        <w:rPr>
          <w:iCs/>
          <w:color w:val="000000"/>
          <w:szCs w:val="18"/>
        </w:rPr>
        <w:t>13175/03</w:t>
      </w:r>
      <w:r w:rsidRPr="00852A48">
        <w:rPr>
          <w:color w:val="000000"/>
          <w:szCs w:val="18"/>
        </w:rPr>
        <w:t>,</w:t>
      </w:r>
      <w:r w:rsidRPr="0058602C">
        <w:rPr>
          <w:color w:val="000000"/>
          <w:szCs w:val="18"/>
        </w:rPr>
        <w:t xml:space="preserve"> </w:t>
      </w:r>
      <w:r>
        <w:rPr>
          <w:color w:val="000000"/>
          <w:szCs w:val="18"/>
        </w:rPr>
        <w:t>s</w:t>
      </w:r>
      <w:r w:rsidRPr="0058602C">
        <w:rPr>
          <w:color w:val="000000"/>
          <w:szCs w:val="18"/>
        </w:rPr>
        <w:t xml:space="preserve">entencia de 18 de octubre de 2011, </w:t>
      </w:r>
      <w:r>
        <w:rPr>
          <w:color w:val="000000"/>
          <w:szCs w:val="18"/>
        </w:rPr>
        <w:t xml:space="preserve">párr. </w:t>
      </w:r>
      <w:r w:rsidRPr="0058602C">
        <w:rPr>
          <w:color w:val="000000"/>
          <w:szCs w:val="18"/>
        </w:rPr>
        <w:t>34.</w:t>
      </w:r>
    </w:p>
  </w:footnote>
  <w:footnote w:id="19">
    <w:p w14:paraId="4A439BB7" w14:textId="66B87168" w:rsidR="00D445DC" w:rsidRDefault="00D445DC" w:rsidP="00D445DC">
      <w:pPr>
        <w:pStyle w:val="Textonotapie"/>
      </w:pPr>
      <w:r>
        <w:tab/>
      </w:r>
      <w:r w:rsidRPr="009E41B4">
        <w:rPr>
          <w:vertAlign w:val="superscript"/>
        </w:rPr>
        <w:footnoteRef/>
      </w:r>
      <w:r>
        <w:tab/>
        <w:t xml:space="preserve">Observación general núm. 4 (1991) sobre el derecho a una vivienda adecuada, párr. 1. </w:t>
      </w:r>
    </w:p>
  </w:footnote>
  <w:footnote w:id="20">
    <w:p w14:paraId="1EB99E2A" w14:textId="01149039" w:rsidR="00D445DC" w:rsidRDefault="00D445DC" w:rsidP="00D445DC">
      <w:pPr>
        <w:pStyle w:val="Textonotapie"/>
      </w:pPr>
      <w:r>
        <w:tab/>
      </w:r>
      <w:r w:rsidRPr="009E41B4">
        <w:rPr>
          <w:vertAlign w:val="superscript"/>
        </w:rPr>
        <w:footnoteRef/>
      </w:r>
      <w:r>
        <w:tab/>
      </w:r>
      <w:proofErr w:type="spellStart"/>
      <w:r w:rsidR="009E41B4">
        <w:rPr>
          <w:i/>
        </w:rPr>
        <w:t>Ibi</w:t>
      </w:r>
      <w:r w:rsidRPr="009E41B4">
        <w:rPr>
          <w:i/>
        </w:rPr>
        <w:t>d</w:t>
      </w:r>
      <w:proofErr w:type="spellEnd"/>
      <w:r w:rsidRPr="009E41B4">
        <w:rPr>
          <w:i/>
        </w:rPr>
        <w:t>.</w:t>
      </w:r>
      <w:r>
        <w:t xml:space="preserve">, </w:t>
      </w:r>
      <w:proofErr w:type="spellStart"/>
      <w:r>
        <w:t>párrs</w:t>
      </w:r>
      <w:proofErr w:type="spellEnd"/>
      <w:r>
        <w:t xml:space="preserve">. 7 y 9. </w:t>
      </w:r>
    </w:p>
  </w:footnote>
  <w:footnote w:id="21">
    <w:p w14:paraId="51F56D33" w14:textId="5B3DEA9F" w:rsidR="00D445DC" w:rsidRDefault="00D445DC" w:rsidP="00D445DC">
      <w:pPr>
        <w:pStyle w:val="Textonotapie"/>
      </w:pPr>
      <w:r>
        <w:tab/>
      </w:r>
      <w:r w:rsidRPr="009E41B4">
        <w:rPr>
          <w:vertAlign w:val="superscript"/>
        </w:rPr>
        <w:footnoteRef/>
      </w:r>
      <w:r w:rsidR="009E41B4">
        <w:tab/>
      </w:r>
      <w:proofErr w:type="spellStart"/>
      <w:r w:rsidR="009E41B4" w:rsidRPr="009E41B4">
        <w:rPr>
          <w:i/>
        </w:rPr>
        <w:t>Ibi</w:t>
      </w:r>
      <w:r w:rsidRPr="009E41B4">
        <w:rPr>
          <w:i/>
        </w:rPr>
        <w:t>d</w:t>
      </w:r>
      <w:proofErr w:type="spellEnd"/>
      <w:r w:rsidRPr="009E41B4">
        <w:rPr>
          <w:i/>
        </w:rPr>
        <w:t>.</w:t>
      </w:r>
      <w:r>
        <w:t xml:space="preserve">, párr. 7. </w:t>
      </w:r>
    </w:p>
  </w:footnote>
  <w:footnote w:id="22">
    <w:p w14:paraId="4F6B235B" w14:textId="1C27C992" w:rsidR="00D445DC" w:rsidRDefault="00D445DC" w:rsidP="00D445DC">
      <w:pPr>
        <w:pStyle w:val="Textonotapie"/>
      </w:pPr>
      <w:r>
        <w:tab/>
      </w:r>
      <w:r w:rsidRPr="009E41B4">
        <w:rPr>
          <w:vertAlign w:val="superscript"/>
        </w:rPr>
        <w:footnoteRef/>
      </w:r>
      <w:r>
        <w:tab/>
      </w:r>
      <w:proofErr w:type="spellStart"/>
      <w:r w:rsidRPr="009E41B4">
        <w:rPr>
          <w:i/>
        </w:rPr>
        <w:t>Ib</w:t>
      </w:r>
      <w:r w:rsidR="009E41B4">
        <w:rPr>
          <w:i/>
        </w:rPr>
        <w:t>i</w:t>
      </w:r>
      <w:r w:rsidRPr="009E41B4">
        <w:rPr>
          <w:i/>
        </w:rPr>
        <w:t>d</w:t>
      </w:r>
      <w:proofErr w:type="spellEnd"/>
      <w:r w:rsidRPr="009E41B4">
        <w:rPr>
          <w:i/>
        </w:rPr>
        <w:t>.</w:t>
      </w:r>
      <w:r>
        <w:t xml:space="preserve">, párr. 12. </w:t>
      </w:r>
    </w:p>
  </w:footnote>
  <w:footnote w:id="23">
    <w:p w14:paraId="5C382E20" w14:textId="3B898FB7" w:rsidR="00D445DC" w:rsidRDefault="00D445DC" w:rsidP="00D445DC">
      <w:pPr>
        <w:pStyle w:val="Textonotapie"/>
      </w:pPr>
      <w:r>
        <w:tab/>
      </w:r>
      <w:r w:rsidRPr="009E41B4">
        <w:rPr>
          <w:vertAlign w:val="superscript"/>
        </w:rPr>
        <w:footnoteRef/>
      </w:r>
      <w:r>
        <w:tab/>
      </w:r>
      <w:proofErr w:type="spellStart"/>
      <w:r w:rsidRPr="009E41B4">
        <w:rPr>
          <w:i/>
        </w:rPr>
        <w:t>Ib</w:t>
      </w:r>
      <w:r w:rsidR="009E41B4">
        <w:rPr>
          <w:i/>
        </w:rPr>
        <w:t>i</w:t>
      </w:r>
      <w:r w:rsidRPr="009E41B4">
        <w:rPr>
          <w:i/>
        </w:rPr>
        <w:t>d</w:t>
      </w:r>
      <w:proofErr w:type="spellEnd"/>
      <w:r w:rsidRPr="009E41B4">
        <w:rPr>
          <w:i/>
        </w:rPr>
        <w:t>.</w:t>
      </w:r>
      <w:r>
        <w:t xml:space="preserve">, párr. 8, </w:t>
      </w:r>
      <w:r w:rsidR="00F04757" w:rsidRPr="005B1B75">
        <w:rPr>
          <w:lang w:val="es-ES_tradnl"/>
        </w:rPr>
        <w:t>a</w:t>
      </w:r>
      <w:r w:rsidR="00F04757">
        <w:rPr>
          <w:lang w:val="es-ES_tradnl"/>
        </w:rPr>
        <w:t>partad</w:t>
      </w:r>
      <w:r w:rsidR="00F04757" w:rsidRPr="005B1B75">
        <w:rPr>
          <w:lang w:val="es-ES_tradnl"/>
        </w:rPr>
        <w:t>o</w:t>
      </w:r>
      <w:r>
        <w:t xml:space="preserve"> a). </w:t>
      </w:r>
    </w:p>
  </w:footnote>
  <w:footnote w:id="24">
    <w:p w14:paraId="724E7A2F" w14:textId="32794E6F" w:rsidR="00D445DC" w:rsidRDefault="00D445DC" w:rsidP="00D445DC">
      <w:pPr>
        <w:pStyle w:val="Textonotapie"/>
      </w:pPr>
      <w:r>
        <w:tab/>
      </w:r>
      <w:r w:rsidRPr="009E41B4">
        <w:rPr>
          <w:vertAlign w:val="superscript"/>
        </w:rPr>
        <w:footnoteRef/>
      </w:r>
      <w:r>
        <w:t xml:space="preserve"> </w:t>
      </w:r>
      <w:r>
        <w:tab/>
      </w:r>
      <w:proofErr w:type="spellStart"/>
      <w:r w:rsidRPr="009E41B4">
        <w:rPr>
          <w:i/>
        </w:rPr>
        <w:t>Ib</w:t>
      </w:r>
      <w:r w:rsidR="009E41B4">
        <w:rPr>
          <w:i/>
        </w:rPr>
        <w:t>i</w:t>
      </w:r>
      <w:r w:rsidRPr="009E41B4">
        <w:rPr>
          <w:i/>
        </w:rPr>
        <w:t>d</w:t>
      </w:r>
      <w:proofErr w:type="spellEnd"/>
      <w:r w:rsidRPr="009E41B4">
        <w:rPr>
          <w:i/>
        </w:rPr>
        <w:t>.</w:t>
      </w:r>
      <w:r>
        <w:t xml:space="preserve">, párr. 18, y observación general núm. 7, párr. 1. </w:t>
      </w:r>
    </w:p>
  </w:footnote>
  <w:footnote w:id="25">
    <w:p w14:paraId="1A4D9367" w14:textId="3854F150" w:rsidR="00D445DC" w:rsidRPr="004C5E8F" w:rsidRDefault="00D445DC" w:rsidP="00D445DC">
      <w:pPr>
        <w:pStyle w:val="Textonotapie"/>
        <w:rPr>
          <w:lang w:val="es-CO"/>
        </w:rPr>
      </w:pPr>
      <w:r>
        <w:rPr>
          <w:lang w:val="es-CO"/>
        </w:rPr>
        <w:tab/>
      </w:r>
      <w:r w:rsidRPr="009E41B4">
        <w:rPr>
          <w:vertAlign w:val="superscript"/>
        </w:rPr>
        <w:footnoteRef/>
      </w:r>
      <w:r>
        <w:rPr>
          <w:lang w:val="es-CO"/>
        </w:rPr>
        <w:tab/>
        <w:t>Véase la intervención de la Red-DESC.</w:t>
      </w:r>
    </w:p>
  </w:footnote>
  <w:footnote w:id="26">
    <w:p w14:paraId="1C6FCF7B" w14:textId="6B6BA885" w:rsidR="00D445DC" w:rsidRPr="004C5E8F" w:rsidRDefault="00D445DC" w:rsidP="00D445DC">
      <w:pPr>
        <w:pStyle w:val="Textonotapie"/>
        <w:rPr>
          <w:lang w:val="es-CO"/>
        </w:rPr>
      </w:pPr>
      <w:r>
        <w:rPr>
          <w:szCs w:val="18"/>
        </w:rPr>
        <w:tab/>
      </w:r>
      <w:r w:rsidRPr="009E41B4">
        <w:rPr>
          <w:szCs w:val="18"/>
          <w:vertAlign w:val="superscript"/>
        </w:rPr>
        <w:footnoteRef/>
      </w:r>
      <w:r>
        <w:rPr>
          <w:szCs w:val="18"/>
        </w:rPr>
        <w:tab/>
      </w:r>
      <w:r w:rsidRPr="004C5E8F">
        <w:rPr>
          <w:szCs w:val="18"/>
        </w:rPr>
        <w:t xml:space="preserve">Observación general núm. 7, párr. 15. </w:t>
      </w:r>
      <w:r w:rsidRPr="0048522D">
        <w:rPr>
          <w:color w:val="000000"/>
          <w:szCs w:val="18"/>
          <w:shd w:val="clear" w:color="auto" w:fill="FFFFFF"/>
        </w:rPr>
        <w:t>V</w:t>
      </w:r>
      <w:r>
        <w:rPr>
          <w:color w:val="000000"/>
          <w:szCs w:val="18"/>
          <w:shd w:val="clear" w:color="auto" w:fill="FFFFFF"/>
        </w:rPr>
        <w:t>éase también</w:t>
      </w:r>
      <w:r w:rsidRPr="0048522D">
        <w:rPr>
          <w:color w:val="000000"/>
          <w:szCs w:val="18"/>
          <w:shd w:val="clear" w:color="auto" w:fill="FFFFFF"/>
        </w:rPr>
        <w:t xml:space="preserve"> Corte Constitu</w:t>
      </w:r>
      <w:r>
        <w:rPr>
          <w:color w:val="000000"/>
          <w:szCs w:val="18"/>
          <w:shd w:val="clear" w:color="auto" w:fill="FFFFFF"/>
        </w:rPr>
        <w:t>c</w:t>
      </w:r>
      <w:r w:rsidRPr="0048522D">
        <w:rPr>
          <w:color w:val="000000"/>
          <w:szCs w:val="18"/>
          <w:shd w:val="clear" w:color="auto" w:fill="FFFFFF"/>
        </w:rPr>
        <w:t>ional de Sudáfrica</w:t>
      </w:r>
      <w:r>
        <w:rPr>
          <w:color w:val="000000"/>
          <w:szCs w:val="18"/>
          <w:shd w:val="clear" w:color="auto" w:fill="FFFFFF"/>
        </w:rPr>
        <w:t>,</w:t>
      </w:r>
      <w:r w:rsidRPr="0048522D">
        <w:rPr>
          <w:color w:val="000000"/>
          <w:szCs w:val="18"/>
          <w:shd w:val="clear" w:color="auto" w:fill="FFFFFF"/>
        </w:rPr>
        <w:t xml:space="preserve"> </w:t>
      </w:r>
      <w:proofErr w:type="spellStart"/>
      <w:r>
        <w:rPr>
          <w:color w:val="000000"/>
          <w:szCs w:val="18"/>
          <w:shd w:val="clear" w:color="auto" w:fill="FFFFFF"/>
          <w:lang w:val="pt-BR"/>
        </w:rPr>
        <w:t>d</w:t>
      </w:r>
      <w:r w:rsidRPr="004C5E8F">
        <w:rPr>
          <w:color w:val="000000"/>
          <w:szCs w:val="18"/>
          <w:shd w:val="clear" w:color="auto" w:fill="FFFFFF"/>
          <w:lang w:val="pt-BR"/>
        </w:rPr>
        <w:t>ecisi</w:t>
      </w:r>
      <w:r w:rsidRPr="0048522D">
        <w:rPr>
          <w:color w:val="000000"/>
          <w:szCs w:val="18"/>
          <w:shd w:val="clear" w:color="auto" w:fill="FFFFFF"/>
        </w:rPr>
        <w:t>ón</w:t>
      </w:r>
      <w:proofErr w:type="spellEnd"/>
      <w:r w:rsidRPr="0048522D">
        <w:rPr>
          <w:color w:val="000000"/>
          <w:szCs w:val="18"/>
          <w:shd w:val="clear" w:color="auto" w:fill="FFFFFF"/>
        </w:rPr>
        <w:t xml:space="preserve"> en </w:t>
      </w:r>
      <w:proofErr w:type="spellStart"/>
      <w:r w:rsidRPr="0048522D">
        <w:rPr>
          <w:i/>
          <w:iCs/>
          <w:color w:val="000000"/>
          <w:szCs w:val="18"/>
          <w:shd w:val="clear" w:color="auto" w:fill="FFFFFF"/>
        </w:rPr>
        <w:t>Occupiers</w:t>
      </w:r>
      <w:proofErr w:type="spellEnd"/>
      <w:r w:rsidRPr="0048522D">
        <w:rPr>
          <w:i/>
          <w:iCs/>
          <w:color w:val="000000"/>
          <w:szCs w:val="18"/>
          <w:shd w:val="clear" w:color="auto" w:fill="FFFFFF"/>
        </w:rPr>
        <w:t xml:space="preserve"> of 51 Olivia Road v City of </w:t>
      </w:r>
      <w:proofErr w:type="spellStart"/>
      <w:r w:rsidRPr="0048522D">
        <w:rPr>
          <w:i/>
          <w:iCs/>
          <w:color w:val="000000"/>
          <w:szCs w:val="18"/>
          <w:shd w:val="clear" w:color="auto" w:fill="FFFFFF"/>
        </w:rPr>
        <w:t>Johannesburg</w:t>
      </w:r>
      <w:proofErr w:type="spellEnd"/>
      <w:r w:rsidRPr="0048522D">
        <w:rPr>
          <w:color w:val="000000"/>
          <w:szCs w:val="18"/>
          <w:shd w:val="clear" w:color="auto" w:fill="FFFFFF"/>
        </w:rPr>
        <w:t xml:space="preserve"> [2008] </w:t>
      </w:r>
      <w:proofErr w:type="spellStart"/>
      <w:r w:rsidRPr="0048522D">
        <w:rPr>
          <w:color w:val="000000"/>
          <w:szCs w:val="18"/>
          <w:shd w:val="clear" w:color="auto" w:fill="FFFFFF"/>
        </w:rPr>
        <w:t>ZACC</w:t>
      </w:r>
      <w:proofErr w:type="spellEnd"/>
      <w:r w:rsidRPr="0048522D">
        <w:rPr>
          <w:color w:val="000000"/>
          <w:szCs w:val="18"/>
          <w:shd w:val="clear" w:color="auto" w:fill="FFFFFF"/>
        </w:rPr>
        <w:t xml:space="preserve"> 1, </w:t>
      </w:r>
      <w:proofErr w:type="spellStart"/>
      <w:r w:rsidRPr="0048522D">
        <w:rPr>
          <w:color w:val="000000"/>
          <w:szCs w:val="18"/>
          <w:shd w:val="clear" w:color="auto" w:fill="FFFFFF"/>
        </w:rPr>
        <w:t>p</w:t>
      </w:r>
      <w:r>
        <w:rPr>
          <w:color w:val="000000"/>
          <w:szCs w:val="18"/>
          <w:shd w:val="clear" w:color="auto" w:fill="FFFFFF"/>
        </w:rPr>
        <w:t>árrs</w:t>
      </w:r>
      <w:proofErr w:type="spellEnd"/>
      <w:r>
        <w:rPr>
          <w:color w:val="000000"/>
          <w:szCs w:val="18"/>
          <w:shd w:val="clear" w:color="auto" w:fill="FFFFFF"/>
        </w:rPr>
        <w:t xml:space="preserve">. </w:t>
      </w:r>
      <w:r w:rsidRPr="0048522D">
        <w:rPr>
          <w:color w:val="000000"/>
          <w:szCs w:val="18"/>
          <w:shd w:val="clear" w:color="auto" w:fill="FFFFFF"/>
        </w:rPr>
        <w:t xml:space="preserve">9 </w:t>
      </w:r>
      <w:r>
        <w:rPr>
          <w:color w:val="000000"/>
          <w:szCs w:val="18"/>
          <w:shd w:val="clear" w:color="auto" w:fill="FFFFFF"/>
        </w:rPr>
        <w:t>a</w:t>
      </w:r>
      <w:r w:rsidRPr="0048522D">
        <w:rPr>
          <w:color w:val="000000"/>
          <w:szCs w:val="18"/>
          <w:shd w:val="clear" w:color="auto" w:fill="FFFFFF"/>
        </w:rPr>
        <w:t xml:space="preserve"> 23. </w:t>
      </w:r>
      <w:r w:rsidRPr="004C5E8F">
        <w:rPr>
          <w:color w:val="000000"/>
          <w:szCs w:val="18"/>
          <w:shd w:val="clear" w:color="auto" w:fill="FFFFFF"/>
          <w:lang w:val="es-CO"/>
        </w:rPr>
        <w:t xml:space="preserve">La Corte Suprema de </w:t>
      </w:r>
      <w:r>
        <w:rPr>
          <w:color w:val="000000"/>
          <w:szCs w:val="18"/>
          <w:shd w:val="clear" w:color="auto" w:fill="FFFFFF"/>
          <w:lang w:val="es-CO"/>
        </w:rPr>
        <w:t xml:space="preserve">la </w:t>
      </w:r>
      <w:r w:rsidRPr="004C5E8F">
        <w:rPr>
          <w:color w:val="000000"/>
          <w:szCs w:val="18"/>
          <w:shd w:val="clear" w:color="auto" w:fill="FFFFFF"/>
          <w:lang w:val="es-CO"/>
        </w:rPr>
        <w:t xml:space="preserve">India también ha enfatizado las salvaguardas en los desalojos: </w:t>
      </w:r>
      <w:r>
        <w:rPr>
          <w:color w:val="000000"/>
          <w:szCs w:val="18"/>
          <w:shd w:val="clear" w:color="auto" w:fill="FFFFFF"/>
          <w:lang w:val="es-CO"/>
        </w:rPr>
        <w:t xml:space="preserve">véase </w:t>
      </w:r>
      <w:r w:rsidRPr="004C5E8F">
        <w:rPr>
          <w:i/>
          <w:iCs/>
          <w:color w:val="000000"/>
          <w:szCs w:val="18"/>
          <w:shd w:val="clear" w:color="auto" w:fill="FFFFFF"/>
          <w:lang w:val="es-CO"/>
        </w:rPr>
        <w:t xml:space="preserve">Olga </w:t>
      </w:r>
      <w:proofErr w:type="spellStart"/>
      <w:r w:rsidRPr="004C5E8F">
        <w:rPr>
          <w:i/>
          <w:iCs/>
          <w:color w:val="000000"/>
          <w:szCs w:val="18"/>
          <w:shd w:val="clear" w:color="auto" w:fill="FFFFFF"/>
          <w:lang w:val="es-CO"/>
        </w:rPr>
        <w:t>Tellis</w:t>
      </w:r>
      <w:proofErr w:type="spellEnd"/>
      <w:r w:rsidRPr="004C5E8F">
        <w:rPr>
          <w:i/>
          <w:iCs/>
          <w:color w:val="000000"/>
          <w:szCs w:val="18"/>
          <w:shd w:val="clear" w:color="auto" w:fill="FFFFFF"/>
          <w:lang w:val="es-CO"/>
        </w:rPr>
        <w:t xml:space="preserve"> &amp; </w:t>
      </w:r>
      <w:proofErr w:type="spellStart"/>
      <w:r w:rsidRPr="004C5E8F">
        <w:rPr>
          <w:i/>
          <w:iCs/>
          <w:color w:val="000000"/>
          <w:szCs w:val="18"/>
          <w:shd w:val="clear" w:color="auto" w:fill="FFFFFF"/>
          <w:lang w:val="es-CO"/>
        </w:rPr>
        <w:t>Ors</w:t>
      </w:r>
      <w:proofErr w:type="spellEnd"/>
      <w:r w:rsidRPr="004C5E8F">
        <w:rPr>
          <w:i/>
          <w:iCs/>
          <w:color w:val="000000"/>
          <w:szCs w:val="18"/>
          <w:shd w:val="clear" w:color="auto" w:fill="FFFFFF"/>
          <w:lang w:val="es-CO"/>
        </w:rPr>
        <w:t xml:space="preserve"> v Bombay Municipal </w:t>
      </w:r>
      <w:proofErr w:type="spellStart"/>
      <w:r w:rsidRPr="004C5E8F">
        <w:rPr>
          <w:i/>
          <w:iCs/>
          <w:color w:val="000000"/>
          <w:szCs w:val="18"/>
          <w:shd w:val="clear" w:color="auto" w:fill="FFFFFF"/>
          <w:lang w:val="es-CO"/>
        </w:rPr>
        <w:t>Corporation</w:t>
      </w:r>
      <w:proofErr w:type="spellEnd"/>
      <w:r>
        <w:rPr>
          <w:i/>
          <w:iCs/>
          <w:color w:val="000000"/>
          <w:szCs w:val="18"/>
          <w:shd w:val="clear" w:color="auto" w:fill="FFFFFF"/>
          <w:lang w:val="es-CO"/>
        </w:rPr>
        <w:t>,</w:t>
      </w:r>
      <w:r w:rsidRPr="004C5E8F">
        <w:rPr>
          <w:color w:val="000000"/>
          <w:szCs w:val="18"/>
          <w:shd w:val="clear" w:color="auto" w:fill="FFFFFF"/>
          <w:lang w:val="es-CO"/>
        </w:rPr>
        <w:t> </w:t>
      </w:r>
      <w:proofErr w:type="spellStart"/>
      <w:r w:rsidRPr="0048522D">
        <w:rPr>
          <w:i/>
          <w:color w:val="000000"/>
          <w:szCs w:val="18"/>
          <w:shd w:val="clear" w:color="auto" w:fill="FFFFFF"/>
          <w:lang w:val="es-CO"/>
        </w:rPr>
        <w:t>All</w:t>
      </w:r>
      <w:proofErr w:type="spellEnd"/>
      <w:r w:rsidRPr="0048522D">
        <w:rPr>
          <w:i/>
          <w:color w:val="000000"/>
          <w:szCs w:val="18"/>
          <w:shd w:val="clear" w:color="auto" w:fill="FFFFFF"/>
          <w:lang w:val="es-CO"/>
        </w:rPr>
        <w:t xml:space="preserve"> India </w:t>
      </w:r>
      <w:proofErr w:type="spellStart"/>
      <w:r w:rsidRPr="0048522D">
        <w:rPr>
          <w:i/>
          <w:color w:val="000000"/>
          <w:szCs w:val="18"/>
          <w:shd w:val="clear" w:color="auto" w:fill="FFFFFF"/>
          <w:lang w:val="es-CO"/>
        </w:rPr>
        <w:t>Reporter</w:t>
      </w:r>
      <w:r>
        <w:rPr>
          <w:i/>
          <w:color w:val="000000"/>
          <w:szCs w:val="18"/>
          <w:shd w:val="clear" w:color="auto" w:fill="FFFFFF"/>
          <w:lang w:val="es-CO"/>
        </w:rPr>
        <w:t>,</w:t>
      </w:r>
      <w:r w:rsidRPr="004C5E8F">
        <w:rPr>
          <w:color w:val="000000"/>
          <w:szCs w:val="18"/>
          <w:shd w:val="clear" w:color="auto" w:fill="FFFFFF"/>
          <w:lang w:val="es-CO"/>
        </w:rPr>
        <w:t>1986</w:t>
      </w:r>
      <w:proofErr w:type="spellEnd"/>
      <w:r>
        <w:rPr>
          <w:color w:val="000000"/>
          <w:szCs w:val="18"/>
          <w:shd w:val="clear" w:color="auto" w:fill="FFFFFF"/>
          <w:lang w:val="es-CO"/>
        </w:rPr>
        <w:t>,</w:t>
      </w:r>
      <w:r w:rsidRPr="004C5E8F">
        <w:rPr>
          <w:color w:val="000000"/>
          <w:szCs w:val="18"/>
          <w:shd w:val="clear" w:color="auto" w:fill="FFFFFF"/>
          <w:lang w:val="es-CO"/>
        </w:rPr>
        <w:t xml:space="preserve"> 180.</w:t>
      </w:r>
    </w:p>
  </w:footnote>
  <w:footnote w:id="27">
    <w:p w14:paraId="08777010" w14:textId="6EB3D564" w:rsidR="00D445DC" w:rsidRPr="00D4263A" w:rsidRDefault="00D445DC" w:rsidP="0048522D">
      <w:pPr>
        <w:pStyle w:val="Textonotapie"/>
      </w:pPr>
      <w:r>
        <w:tab/>
      </w:r>
      <w:r w:rsidRPr="009E41B4">
        <w:rPr>
          <w:vertAlign w:val="superscript"/>
        </w:rPr>
        <w:footnoteRef/>
      </w:r>
      <w:r>
        <w:tab/>
      </w:r>
      <w:r w:rsidRPr="003749CF">
        <w:t>Comunicación</w:t>
      </w:r>
      <w:r w:rsidRPr="00D4263A">
        <w:t xml:space="preserve"> </w:t>
      </w:r>
      <w:r>
        <w:t>núm.</w:t>
      </w:r>
      <w:r w:rsidRPr="00D4263A">
        <w:t xml:space="preserve"> 2/2014, </w:t>
      </w:r>
      <w:r w:rsidRPr="0048522D">
        <w:rPr>
          <w:i/>
        </w:rPr>
        <w:t>I.</w:t>
      </w:r>
      <w:r w:rsidR="00F04757">
        <w:rPr>
          <w:i/>
        </w:rPr>
        <w:t xml:space="preserve"> </w:t>
      </w:r>
      <w:r w:rsidRPr="0048522D">
        <w:rPr>
          <w:i/>
        </w:rPr>
        <w:t>D.</w:t>
      </w:r>
      <w:r w:rsidR="00F04757">
        <w:rPr>
          <w:i/>
        </w:rPr>
        <w:t xml:space="preserve"> </w:t>
      </w:r>
      <w:r w:rsidRPr="0048522D">
        <w:rPr>
          <w:i/>
        </w:rPr>
        <w:t>G. c. España</w:t>
      </w:r>
      <w:r w:rsidRPr="00D4263A">
        <w:t>, dictamen adoptado el 17 de junio de 2015, p</w:t>
      </w:r>
      <w:r>
        <w:t xml:space="preserve">árr. 11.3. Véase también la observación general núm. 9 (1998) sobre la aplicación interna del Pacto, párr. 2. </w:t>
      </w:r>
    </w:p>
  </w:footnote>
  <w:footnote w:id="28">
    <w:p w14:paraId="6912C923" w14:textId="734C5357" w:rsidR="00D445DC" w:rsidRDefault="00D445DC" w:rsidP="00D445DC">
      <w:pPr>
        <w:pStyle w:val="Textonotapie"/>
      </w:pPr>
      <w:r>
        <w:tab/>
      </w:r>
      <w:r w:rsidRPr="009E41B4">
        <w:rPr>
          <w:vertAlign w:val="superscript"/>
        </w:rPr>
        <w:footnoteRef/>
      </w:r>
      <w:r>
        <w:t xml:space="preserve"> </w:t>
      </w:r>
      <w:r>
        <w:tab/>
        <w:t>Observaciones generales núm. 3 (1990)</w:t>
      </w:r>
      <w:r w:rsidRPr="00EA71DB">
        <w:t xml:space="preserve"> </w:t>
      </w:r>
      <w:r>
        <w:t xml:space="preserve">sobre la índole de las obligaciones de los Estados partes, </w:t>
      </w:r>
      <w:proofErr w:type="spellStart"/>
      <w:r>
        <w:t>párrs</w:t>
      </w:r>
      <w:proofErr w:type="spellEnd"/>
      <w:r>
        <w:t xml:space="preserve">. 1 y 5; núm. 7, </w:t>
      </w:r>
      <w:proofErr w:type="spellStart"/>
      <w:r>
        <w:t>párrs</w:t>
      </w:r>
      <w:proofErr w:type="spellEnd"/>
      <w:r>
        <w:t xml:space="preserve">. 9, 11 y 15; y núm. 9, párr. 2; y comunicación núm. 2/2014, </w:t>
      </w:r>
      <w:r w:rsidRPr="0048522D">
        <w:rPr>
          <w:i/>
        </w:rPr>
        <w:t>I.</w:t>
      </w:r>
      <w:r w:rsidR="009E41B4">
        <w:rPr>
          <w:i/>
        </w:rPr>
        <w:t xml:space="preserve"> </w:t>
      </w:r>
      <w:r w:rsidRPr="0048522D">
        <w:rPr>
          <w:i/>
        </w:rPr>
        <w:t>D.</w:t>
      </w:r>
      <w:r w:rsidR="009E41B4">
        <w:rPr>
          <w:i/>
        </w:rPr>
        <w:t xml:space="preserve"> </w:t>
      </w:r>
      <w:r w:rsidRPr="0048522D">
        <w:rPr>
          <w:i/>
        </w:rPr>
        <w:t>G. c. España</w:t>
      </w:r>
      <w:r>
        <w:t xml:space="preserve">, </w:t>
      </w:r>
      <w:proofErr w:type="spellStart"/>
      <w:r>
        <w:t>párrs</w:t>
      </w:r>
      <w:proofErr w:type="spellEnd"/>
      <w:r>
        <w:t>. 11.3 y 11.4.</w:t>
      </w:r>
    </w:p>
  </w:footnote>
  <w:footnote w:id="29">
    <w:p w14:paraId="77D96631" w14:textId="0DA690B0" w:rsidR="00D445DC" w:rsidRPr="003E7A26" w:rsidRDefault="005B1B75" w:rsidP="00D445DC">
      <w:pPr>
        <w:pStyle w:val="Textonotapie"/>
      </w:pPr>
      <w:r>
        <w:tab/>
      </w:r>
      <w:r w:rsidR="00D445DC" w:rsidRPr="009E41B4">
        <w:rPr>
          <w:vertAlign w:val="superscript"/>
        </w:rPr>
        <w:footnoteRef/>
      </w:r>
      <w:r>
        <w:tab/>
      </w:r>
      <w:r w:rsidR="00D445DC" w:rsidRPr="003E7A26">
        <w:t>Observaci</w:t>
      </w:r>
      <w:r w:rsidR="00D445DC">
        <w:t xml:space="preserve">ón </w:t>
      </w:r>
      <w:r w:rsidR="00D445DC" w:rsidRPr="003E7A26">
        <w:t>general n</w:t>
      </w:r>
      <w:r w:rsidR="00D445DC">
        <w:t xml:space="preserve">úm. 7, párr. 9. Véanse también las observaciones generales núm. 22 (2016) sobre el derecho a la salud sexual y reproductiva, párr. 42; y núm. 23 (2016) sobre el derecho a condiciones de trabajo equitativas y satisfactorias, párr. 59. </w:t>
      </w:r>
    </w:p>
  </w:footnote>
  <w:footnote w:id="30">
    <w:p w14:paraId="28A5BB87" w14:textId="4A09771E" w:rsidR="00D445DC" w:rsidRPr="008401AE" w:rsidRDefault="00D445DC" w:rsidP="00D445DC">
      <w:pPr>
        <w:pStyle w:val="Textonotapie"/>
      </w:pPr>
      <w:r w:rsidRPr="00E91CD3">
        <w:tab/>
      </w:r>
      <w:r w:rsidRPr="009E41B4">
        <w:rPr>
          <w:vertAlign w:val="superscript"/>
        </w:rPr>
        <w:footnoteRef/>
      </w:r>
      <w:r w:rsidRPr="008401AE">
        <w:t xml:space="preserve"> </w:t>
      </w:r>
      <w:r>
        <w:tab/>
        <w:t>Observación general núm. 7</w:t>
      </w:r>
      <w:r w:rsidRPr="008401AE">
        <w:t>,</w:t>
      </w:r>
      <w:r>
        <w:t xml:space="preserve"> párr. 16.</w:t>
      </w:r>
    </w:p>
  </w:footnote>
  <w:footnote w:id="31">
    <w:p w14:paraId="240A23F2" w14:textId="682BA92A" w:rsidR="00D445DC" w:rsidRPr="00B22E97" w:rsidRDefault="00D445DC" w:rsidP="00D445DC">
      <w:pPr>
        <w:pStyle w:val="Textonotapie"/>
      </w:pPr>
      <w:r w:rsidRPr="00E91CD3">
        <w:tab/>
      </w:r>
      <w:r w:rsidRPr="009E41B4">
        <w:rPr>
          <w:vertAlign w:val="superscript"/>
        </w:rPr>
        <w:footnoteRef/>
      </w:r>
      <w:r w:rsidRPr="00B22E97">
        <w:t xml:space="preserve"> </w:t>
      </w:r>
      <w:r>
        <w:tab/>
        <w:t>Observación general núm.</w:t>
      </w:r>
      <w:r w:rsidR="00585EBA">
        <w:t xml:space="preserve"> </w:t>
      </w:r>
      <w:r>
        <w:t>4, párr. 8, ap</w:t>
      </w:r>
      <w:r w:rsidR="00F04757">
        <w:t>artad</w:t>
      </w:r>
      <w:r>
        <w:t>o c). Véase también el párrafo 13.</w:t>
      </w:r>
    </w:p>
  </w:footnote>
  <w:footnote w:id="32">
    <w:p w14:paraId="3411CD1D" w14:textId="6E05A658" w:rsidR="00D445DC" w:rsidRPr="00805DC9" w:rsidRDefault="00D445DC" w:rsidP="00D445DC">
      <w:pPr>
        <w:pStyle w:val="Textonotapie"/>
      </w:pPr>
      <w:r>
        <w:tab/>
      </w:r>
      <w:r w:rsidRPr="009E41B4">
        <w:rPr>
          <w:vertAlign w:val="superscript"/>
        </w:rPr>
        <w:footnoteRef/>
      </w:r>
      <w:r w:rsidRPr="00BF1C26">
        <w:t xml:space="preserve"> </w:t>
      </w:r>
      <w:r>
        <w:tab/>
        <w:t>O</w:t>
      </w:r>
      <w:r w:rsidRPr="00BF1C26">
        <w:t>bservación general núm</w:t>
      </w:r>
      <w:r>
        <w:t>.</w:t>
      </w:r>
      <w:r w:rsidRPr="00BF1C26">
        <w:t xml:space="preserve"> 3, párr. </w:t>
      </w:r>
      <w:r>
        <w:t>2. Véase también la c</w:t>
      </w:r>
      <w:r w:rsidRPr="00805DC9">
        <w:t>arta de 16 de mayo de 2012 dirigida a los Estados partes en el Pacto por el Presidente del Comité</w:t>
      </w:r>
      <w:r>
        <w:t>.</w:t>
      </w:r>
    </w:p>
  </w:footnote>
  <w:footnote w:id="33">
    <w:p w14:paraId="29F68EFA" w14:textId="062DB01D" w:rsidR="00D445DC" w:rsidRPr="00244925" w:rsidRDefault="00D445DC" w:rsidP="00D445DC">
      <w:pPr>
        <w:pStyle w:val="Textonotapie"/>
      </w:pPr>
      <w:r>
        <w:tab/>
      </w:r>
      <w:r w:rsidRPr="009E41B4">
        <w:rPr>
          <w:vertAlign w:val="superscript"/>
        </w:rPr>
        <w:footnoteRef/>
      </w:r>
      <w:r w:rsidR="002D405D">
        <w:tab/>
      </w:r>
      <w:r>
        <w:t xml:space="preserve">Véase, por ejemplo, la intervención de la Relatora Especial </w:t>
      </w:r>
      <w:r w:rsidRPr="00D4263A">
        <w:t>sobre una vivienda adecuada como elemento integrante del derecho a un nivel de vida adecuado y sobre el derecho de no discriminación a este respecto</w:t>
      </w:r>
      <w:r>
        <w:t xml:space="preserve"> en este caso y su informe (A/</w:t>
      </w:r>
      <w:proofErr w:type="spellStart"/>
      <w:r>
        <w:t>HRC</w:t>
      </w:r>
      <w:proofErr w:type="spellEnd"/>
      <w:r>
        <w:t xml:space="preserve">/31/54), </w:t>
      </w:r>
      <w:proofErr w:type="spellStart"/>
      <w:r>
        <w:t>párrs</w:t>
      </w:r>
      <w:proofErr w:type="spellEnd"/>
      <w:r>
        <w:t xml:space="preserve">. 28 a 38. </w:t>
      </w:r>
    </w:p>
  </w:footnote>
  <w:footnote w:id="34">
    <w:p w14:paraId="72D7E48F" w14:textId="46B54AF1" w:rsidR="00D445DC" w:rsidRPr="00154989" w:rsidRDefault="002D405D" w:rsidP="00D445DC">
      <w:pPr>
        <w:pStyle w:val="Textonotapie"/>
      </w:pPr>
      <w:r>
        <w:tab/>
      </w:r>
      <w:r w:rsidR="00D445DC" w:rsidRPr="009E41B4">
        <w:rPr>
          <w:vertAlign w:val="superscript"/>
        </w:rPr>
        <w:footnoteRef/>
      </w:r>
      <w:r>
        <w:tab/>
      </w:r>
      <w:r w:rsidR="00D445DC" w:rsidRPr="00154989">
        <w:t>Véase también</w:t>
      </w:r>
      <w:r w:rsidR="00D445DC">
        <w:t xml:space="preserve"> la </w:t>
      </w:r>
      <w:r w:rsidR="00D445DC" w:rsidRPr="00154989">
        <w:t xml:space="preserve">Declaración </w:t>
      </w:r>
      <w:r w:rsidR="00D445DC">
        <w:t>del Comité sobre la e</w:t>
      </w:r>
      <w:r w:rsidR="00D445DC" w:rsidRPr="00154989">
        <w:t xml:space="preserve">valuación de la obligación de adoptar medidas hasta el “máximo de los recursos de que disponga”, de conformidad con </w:t>
      </w:r>
      <w:r w:rsidR="00D445DC">
        <w:t>un</w:t>
      </w:r>
      <w:r w:rsidR="00D445DC" w:rsidRPr="00154989">
        <w:t xml:space="preserve"> Protocolo Facultativo del Pacto</w:t>
      </w:r>
      <w:r w:rsidR="00D445DC">
        <w:t xml:space="preserve"> (2007)</w:t>
      </w:r>
      <w:r w:rsidR="00D445DC" w:rsidRPr="00154989">
        <w:t xml:space="preserve">. </w:t>
      </w:r>
    </w:p>
  </w:footnote>
  <w:footnote w:id="35">
    <w:p w14:paraId="64FAE31E" w14:textId="2BF98973" w:rsidR="00D445DC" w:rsidRPr="00AF6284" w:rsidRDefault="00D445DC" w:rsidP="00D445DC">
      <w:pPr>
        <w:pStyle w:val="Textonotapie"/>
      </w:pPr>
      <w:r>
        <w:tab/>
      </w:r>
      <w:r w:rsidRPr="009E41B4">
        <w:rPr>
          <w:vertAlign w:val="superscript"/>
        </w:rPr>
        <w:footnoteRef/>
      </w:r>
      <w:r w:rsidRPr="00AF6284">
        <w:t xml:space="preserve"> </w:t>
      </w:r>
      <w:r>
        <w:tab/>
      </w:r>
      <w:r w:rsidRPr="00AF6284">
        <w:t xml:space="preserve">Comunicación </w:t>
      </w:r>
      <w:r>
        <w:t>núm.</w:t>
      </w:r>
      <w:r w:rsidRPr="00AF6284">
        <w:t xml:space="preserve"> 1/2013,</w:t>
      </w:r>
      <w:r>
        <w:t xml:space="preserve"> </w:t>
      </w:r>
      <w:r w:rsidRPr="0048522D">
        <w:rPr>
          <w:i/>
        </w:rPr>
        <w:t>López Rodríguez c. España</w:t>
      </w:r>
      <w:r>
        <w:t>, dictamen adoptado el 4 de marzo de 2016,</w:t>
      </w:r>
      <w:r w:rsidRPr="00AF6284">
        <w:t xml:space="preserve"> párr. 13.3. V</w:t>
      </w:r>
      <w:r>
        <w:t xml:space="preserve">éase también la carta del Comité de 16 de mayo de </w:t>
      </w:r>
      <w:r w:rsidRPr="007753C9">
        <w:t xml:space="preserve">2012 (nota </w:t>
      </w:r>
      <w:r w:rsidRPr="0048522D">
        <w:t>45</w:t>
      </w:r>
      <w:r>
        <w:t xml:space="preserve"> </w:t>
      </w:r>
      <w:r w:rsidRPr="0048522D">
        <w:rPr>
          <w:i/>
        </w:rPr>
        <w:t>supra</w:t>
      </w:r>
      <w:r>
        <w:t xml:space="preserve">). </w:t>
      </w:r>
    </w:p>
  </w:footnote>
  <w:footnote w:id="36">
    <w:p w14:paraId="07E7EA91" w14:textId="11A06AEB" w:rsidR="00D445DC" w:rsidRPr="00BF1C26" w:rsidRDefault="00D445DC" w:rsidP="00D445DC">
      <w:pPr>
        <w:pStyle w:val="Textonotapie"/>
      </w:pPr>
      <w:r>
        <w:tab/>
      </w:r>
      <w:r w:rsidRPr="009E41B4">
        <w:rPr>
          <w:vertAlign w:val="superscript"/>
        </w:rPr>
        <w:footnoteRef/>
      </w:r>
      <w:r w:rsidRPr="00BF1C26">
        <w:t xml:space="preserve"> </w:t>
      </w:r>
      <w:r>
        <w:tab/>
        <w:t>Observación general núm. 4</w:t>
      </w:r>
      <w:r w:rsidRPr="00BF1C26">
        <w:t xml:space="preserve">, párr. 9. </w:t>
      </w:r>
      <w:r>
        <w:t xml:space="preserve">Véase también la Declaración del Comité sobre adoptar medidas hasta el “máximo de los recursos de que disponga” de conformidad con un Protocolo Facultativo del Pacto, </w:t>
      </w:r>
      <w:proofErr w:type="spellStart"/>
      <w:r>
        <w:t>párrs</w:t>
      </w:r>
      <w:proofErr w:type="spellEnd"/>
      <w:r>
        <w:t>. 6 y 8 a 11.</w:t>
      </w:r>
    </w:p>
  </w:footnote>
  <w:footnote w:id="37">
    <w:p w14:paraId="671E6908" w14:textId="07D79D0E" w:rsidR="00D445DC" w:rsidRPr="00691B34" w:rsidRDefault="00D445DC" w:rsidP="00D445DC">
      <w:pPr>
        <w:pStyle w:val="Textonotapie"/>
      </w:pPr>
      <w:r>
        <w:tab/>
      </w:r>
      <w:r w:rsidRPr="009E41B4">
        <w:rPr>
          <w:vertAlign w:val="superscript"/>
        </w:rPr>
        <w:footnoteRef/>
      </w:r>
      <w:r w:rsidRPr="00691B34">
        <w:t xml:space="preserve"> </w:t>
      </w:r>
      <w:r>
        <w:tab/>
        <w:t>C</w:t>
      </w:r>
      <w:r w:rsidRPr="00805DC9">
        <w:t xml:space="preserve">arta </w:t>
      </w:r>
      <w:r>
        <w:t xml:space="preserve">del Comité </w:t>
      </w:r>
      <w:r w:rsidRPr="00805DC9">
        <w:t xml:space="preserve">de 16 de mayo de </w:t>
      </w:r>
      <w:r w:rsidRPr="007753C9">
        <w:t xml:space="preserve">2012 (nota </w:t>
      </w:r>
      <w:r w:rsidRPr="0048522D">
        <w:t>45</w:t>
      </w:r>
      <w:r w:rsidRPr="007753C9">
        <w:t xml:space="preserve"> </w:t>
      </w:r>
      <w:r w:rsidRPr="0048522D">
        <w:rPr>
          <w:i/>
        </w:rPr>
        <w:t>supra</w:t>
      </w:r>
      <w:r>
        <w:t>). Véase también la Declaración sobre d</w:t>
      </w:r>
      <w:r w:rsidRPr="00691B34">
        <w:t>euda pública, medidas de austeridad y Pacto Internacional </w:t>
      </w:r>
      <w:r>
        <w:t>de Derechos Económicos, Sociales y Culturales (2016), del Comité, párr. 4.</w:t>
      </w:r>
    </w:p>
  </w:footnote>
  <w:footnote w:id="38">
    <w:p w14:paraId="637C4947" w14:textId="15E1A787" w:rsidR="00D445DC" w:rsidRPr="00CA399E" w:rsidRDefault="00D445DC" w:rsidP="00D445DC">
      <w:pPr>
        <w:pStyle w:val="Textonotapie"/>
      </w:pPr>
      <w:r>
        <w:tab/>
      </w:r>
      <w:r w:rsidRPr="009E41B4">
        <w:rPr>
          <w:vertAlign w:val="superscript"/>
        </w:rPr>
        <w:footnoteRef/>
      </w:r>
      <w:r w:rsidRPr="00CA399E">
        <w:t xml:space="preserve"> </w:t>
      </w:r>
      <w:r>
        <w:tab/>
        <w:t>Véase también las observaciones finales del Comité sobre el quinto informe periódico de España (E/</w:t>
      </w:r>
      <w:proofErr w:type="spellStart"/>
      <w:r>
        <w:t>C.12</w:t>
      </w:r>
      <w:proofErr w:type="spellEnd"/>
      <w:r>
        <w:t>/</w:t>
      </w:r>
      <w:proofErr w:type="spellStart"/>
      <w:r>
        <w:t>ESP</w:t>
      </w:r>
      <w:proofErr w:type="spellEnd"/>
      <w:r>
        <w:t>/CO/5), párr. 21.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2BEE8" w14:textId="71CA153D" w:rsidR="00D445DC" w:rsidRPr="004F6A18" w:rsidRDefault="00D445DC" w:rsidP="00B904A4">
    <w:pPr>
      <w:pBdr>
        <w:bottom w:val="single" w:sz="4" w:space="1" w:color="auto"/>
      </w:pBdr>
    </w:pPr>
    <w:r>
      <w:t>E/</w:t>
    </w:r>
    <w:proofErr w:type="spellStart"/>
    <w:r>
      <w:t>C.12</w:t>
    </w:r>
    <w:proofErr w:type="spellEnd"/>
    <w:r>
      <w:t>/61/D/5/2015</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2FE85" w14:textId="709DB5A0" w:rsidR="00D445DC" w:rsidRPr="004F6A18" w:rsidRDefault="00D445DC" w:rsidP="00B904A4">
    <w:pPr>
      <w:pBdr>
        <w:bottom w:val="single" w:sz="4" w:space="1" w:color="auto"/>
      </w:pBdr>
      <w:jc w:val="right"/>
    </w:pPr>
    <w:r>
      <w:t>E/</w:t>
    </w:r>
    <w:proofErr w:type="spellStart"/>
    <w:r>
      <w:t>C.12</w:t>
    </w:r>
    <w:proofErr w:type="spellEnd"/>
    <w:r>
      <w:t>/61/D/5/2015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14322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50E40C20"/>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49B7BB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808654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E6B006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F1F6737"/>
    <w:multiLevelType w:val="multilevel"/>
    <w:tmpl w:val="0C0A0023"/>
    <w:styleLink w:val="ArtculoSeccin"/>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60529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9"/>
  </w:num>
  <w:num w:numId="2">
    <w:abstractNumId w:val="11"/>
  </w:num>
  <w:num w:numId="3">
    <w:abstractNumId w:val="20"/>
  </w:num>
  <w:num w:numId="4">
    <w:abstractNumId w:val="15"/>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8"/>
  </w:num>
  <w:num w:numId="17">
    <w:abstractNumId w:val="12"/>
  </w:num>
  <w:num w:numId="18">
    <w:abstractNumId w:val="19"/>
  </w:num>
  <w:num w:numId="19">
    <w:abstractNumId w:val="11"/>
  </w:num>
  <w:num w:numId="20">
    <w:abstractNumId w:val="14"/>
  </w:num>
  <w:num w:numId="21">
    <w:abstractNumId w:val="22"/>
  </w:num>
  <w:num w:numId="22">
    <w:abstractNumId w:val="13"/>
  </w:num>
  <w:num w:numId="23">
    <w:abstractNumId w:val="21"/>
  </w:num>
  <w:num w:numId="24">
    <w:abstractNumId w:val="17"/>
  </w:num>
  <w:num w:numId="25">
    <w:abstractNumId w:val="16"/>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pt-BR" w:vendorID="64" w:dllVersion="131078" w:nlCheck="1" w:checkStyle="0"/>
  <w:activeWritingStyle w:appName="MSWord" w:lang="en-US" w:vendorID="64" w:dllVersion="131078" w:nlCheck="1" w:checkStyle="0"/>
  <w:activeWritingStyle w:appName="MSWord" w:lang="es-CO"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fr-CH" w:vendorID="64" w:dllVersion="131078" w:nlCheck="1" w:checkStyle="0"/>
  <w:activeWritingStyle w:appName="MSWord" w:lang="en-GB" w:vendorID="64" w:dllVersion="131078"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6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18"/>
    <w:rsid w:val="00005917"/>
    <w:rsid w:val="00014C7B"/>
    <w:rsid w:val="00015DAF"/>
    <w:rsid w:val="000239C2"/>
    <w:rsid w:val="00027470"/>
    <w:rsid w:val="00030225"/>
    <w:rsid w:val="000355BD"/>
    <w:rsid w:val="0004056F"/>
    <w:rsid w:val="00044157"/>
    <w:rsid w:val="00044CDA"/>
    <w:rsid w:val="00046448"/>
    <w:rsid w:val="00051398"/>
    <w:rsid w:val="00056247"/>
    <w:rsid w:val="00060E8E"/>
    <w:rsid w:val="000613A0"/>
    <w:rsid w:val="00062CD1"/>
    <w:rsid w:val="00063275"/>
    <w:rsid w:val="00064D43"/>
    <w:rsid w:val="00065A4F"/>
    <w:rsid w:val="00067485"/>
    <w:rsid w:val="00070DD0"/>
    <w:rsid w:val="0007338E"/>
    <w:rsid w:val="0008122B"/>
    <w:rsid w:val="00083E4C"/>
    <w:rsid w:val="0008650D"/>
    <w:rsid w:val="000905F0"/>
    <w:rsid w:val="00090BE7"/>
    <w:rsid w:val="00095174"/>
    <w:rsid w:val="000A26E2"/>
    <w:rsid w:val="000A33DC"/>
    <w:rsid w:val="000A5CF1"/>
    <w:rsid w:val="000A7DF4"/>
    <w:rsid w:val="000B52ED"/>
    <w:rsid w:val="000B57E7"/>
    <w:rsid w:val="000B59F6"/>
    <w:rsid w:val="000B6D84"/>
    <w:rsid w:val="000C1AEB"/>
    <w:rsid w:val="000C1AFB"/>
    <w:rsid w:val="000C362A"/>
    <w:rsid w:val="000C6A1F"/>
    <w:rsid w:val="000C7ADB"/>
    <w:rsid w:val="000D03BD"/>
    <w:rsid w:val="000D0D76"/>
    <w:rsid w:val="000D1666"/>
    <w:rsid w:val="000D6518"/>
    <w:rsid w:val="000E1CC0"/>
    <w:rsid w:val="000E426C"/>
    <w:rsid w:val="000E4DC6"/>
    <w:rsid w:val="000E5259"/>
    <w:rsid w:val="000E54FF"/>
    <w:rsid w:val="000E644B"/>
    <w:rsid w:val="000E67ED"/>
    <w:rsid w:val="000F062A"/>
    <w:rsid w:val="000F09DF"/>
    <w:rsid w:val="000F61B2"/>
    <w:rsid w:val="00101E91"/>
    <w:rsid w:val="001041B2"/>
    <w:rsid w:val="00106547"/>
    <w:rsid w:val="001075E9"/>
    <w:rsid w:val="00110228"/>
    <w:rsid w:val="00111825"/>
    <w:rsid w:val="00111F22"/>
    <w:rsid w:val="001128C8"/>
    <w:rsid w:val="00115207"/>
    <w:rsid w:val="001256E5"/>
    <w:rsid w:val="001266E0"/>
    <w:rsid w:val="00130E90"/>
    <w:rsid w:val="00135919"/>
    <w:rsid w:val="00146C69"/>
    <w:rsid w:val="001506A1"/>
    <w:rsid w:val="00150840"/>
    <w:rsid w:val="00152556"/>
    <w:rsid w:val="001530DE"/>
    <w:rsid w:val="00154989"/>
    <w:rsid w:val="00156C1B"/>
    <w:rsid w:val="00161251"/>
    <w:rsid w:val="0017443B"/>
    <w:rsid w:val="001745A8"/>
    <w:rsid w:val="00174C21"/>
    <w:rsid w:val="001776C0"/>
    <w:rsid w:val="00180183"/>
    <w:rsid w:val="00181986"/>
    <w:rsid w:val="00187498"/>
    <w:rsid w:val="00190E07"/>
    <w:rsid w:val="00194852"/>
    <w:rsid w:val="00195C80"/>
    <w:rsid w:val="00196389"/>
    <w:rsid w:val="001A0289"/>
    <w:rsid w:val="001A4BDC"/>
    <w:rsid w:val="001A59A7"/>
    <w:rsid w:val="001A643F"/>
    <w:rsid w:val="001B149B"/>
    <w:rsid w:val="001B1B7E"/>
    <w:rsid w:val="001B307F"/>
    <w:rsid w:val="001B4B27"/>
    <w:rsid w:val="001B516B"/>
    <w:rsid w:val="001B7E8F"/>
    <w:rsid w:val="001C29E8"/>
    <w:rsid w:val="001C4242"/>
    <w:rsid w:val="001C4458"/>
    <w:rsid w:val="001C4FBE"/>
    <w:rsid w:val="001C5719"/>
    <w:rsid w:val="001C7A89"/>
    <w:rsid w:val="001C7C5A"/>
    <w:rsid w:val="001D27F7"/>
    <w:rsid w:val="001D3E14"/>
    <w:rsid w:val="001D448A"/>
    <w:rsid w:val="001D57D5"/>
    <w:rsid w:val="001D60D4"/>
    <w:rsid w:val="001E3552"/>
    <w:rsid w:val="001E58E5"/>
    <w:rsid w:val="001E6D28"/>
    <w:rsid w:val="001E6D30"/>
    <w:rsid w:val="001F417B"/>
    <w:rsid w:val="001F54B5"/>
    <w:rsid w:val="001F78ED"/>
    <w:rsid w:val="0020264C"/>
    <w:rsid w:val="00203077"/>
    <w:rsid w:val="00204A3B"/>
    <w:rsid w:val="0020652C"/>
    <w:rsid w:val="00210CDB"/>
    <w:rsid w:val="00213153"/>
    <w:rsid w:val="002142EB"/>
    <w:rsid w:val="00214AA0"/>
    <w:rsid w:val="00215A64"/>
    <w:rsid w:val="0021605B"/>
    <w:rsid w:val="002204A1"/>
    <w:rsid w:val="00225580"/>
    <w:rsid w:val="0022759C"/>
    <w:rsid w:val="002321D1"/>
    <w:rsid w:val="00233E69"/>
    <w:rsid w:val="00234541"/>
    <w:rsid w:val="00236D5E"/>
    <w:rsid w:val="00236E46"/>
    <w:rsid w:val="002401C4"/>
    <w:rsid w:val="00242C97"/>
    <w:rsid w:val="002430D5"/>
    <w:rsid w:val="00243CE0"/>
    <w:rsid w:val="00244925"/>
    <w:rsid w:val="002452D1"/>
    <w:rsid w:val="00247F0D"/>
    <w:rsid w:val="00253012"/>
    <w:rsid w:val="00253774"/>
    <w:rsid w:val="00254E3C"/>
    <w:rsid w:val="00260600"/>
    <w:rsid w:val="0026183F"/>
    <w:rsid w:val="00261CBB"/>
    <w:rsid w:val="00263719"/>
    <w:rsid w:val="00263ED8"/>
    <w:rsid w:val="00263F09"/>
    <w:rsid w:val="00267DFC"/>
    <w:rsid w:val="002876C5"/>
    <w:rsid w:val="0029180A"/>
    <w:rsid w:val="00292507"/>
    <w:rsid w:val="002929EB"/>
    <w:rsid w:val="00293D8D"/>
    <w:rsid w:val="00294BE2"/>
    <w:rsid w:val="00297414"/>
    <w:rsid w:val="002A053E"/>
    <w:rsid w:val="002A0869"/>
    <w:rsid w:val="002A143D"/>
    <w:rsid w:val="002A2EFC"/>
    <w:rsid w:val="002A33F0"/>
    <w:rsid w:val="002A47A1"/>
    <w:rsid w:val="002A6D05"/>
    <w:rsid w:val="002B0D31"/>
    <w:rsid w:val="002B16EE"/>
    <w:rsid w:val="002C1EED"/>
    <w:rsid w:val="002C51A9"/>
    <w:rsid w:val="002D019C"/>
    <w:rsid w:val="002D0785"/>
    <w:rsid w:val="002D12DF"/>
    <w:rsid w:val="002D16F0"/>
    <w:rsid w:val="002D17A4"/>
    <w:rsid w:val="002D405D"/>
    <w:rsid w:val="002D5AAC"/>
    <w:rsid w:val="002E34A8"/>
    <w:rsid w:val="002E3EB7"/>
    <w:rsid w:val="002E56E4"/>
    <w:rsid w:val="002E6F5C"/>
    <w:rsid w:val="002F1128"/>
    <w:rsid w:val="002F2C6B"/>
    <w:rsid w:val="002F422B"/>
    <w:rsid w:val="002F437F"/>
    <w:rsid w:val="002F5F46"/>
    <w:rsid w:val="002F79B9"/>
    <w:rsid w:val="00300FF8"/>
    <w:rsid w:val="00301299"/>
    <w:rsid w:val="00301A29"/>
    <w:rsid w:val="00302901"/>
    <w:rsid w:val="00313431"/>
    <w:rsid w:val="003162D4"/>
    <w:rsid w:val="00317B25"/>
    <w:rsid w:val="003209FC"/>
    <w:rsid w:val="00322004"/>
    <w:rsid w:val="00325105"/>
    <w:rsid w:val="00326CE0"/>
    <w:rsid w:val="00330EC1"/>
    <w:rsid w:val="00332D31"/>
    <w:rsid w:val="00334A68"/>
    <w:rsid w:val="00336DB9"/>
    <w:rsid w:val="00337055"/>
    <w:rsid w:val="003402C2"/>
    <w:rsid w:val="00341FC2"/>
    <w:rsid w:val="00342EEC"/>
    <w:rsid w:val="003437C2"/>
    <w:rsid w:val="003438E4"/>
    <w:rsid w:val="003446C4"/>
    <w:rsid w:val="00347C3D"/>
    <w:rsid w:val="00347D4E"/>
    <w:rsid w:val="00352AAC"/>
    <w:rsid w:val="003542FD"/>
    <w:rsid w:val="003625D3"/>
    <w:rsid w:val="003749CF"/>
    <w:rsid w:val="00374E21"/>
    <w:rsid w:val="0037762A"/>
    <w:rsid w:val="00381647"/>
    <w:rsid w:val="00381A5D"/>
    <w:rsid w:val="00381C24"/>
    <w:rsid w:val="0039099E"/>
    <w:rsid w:val="00390E7D"/>
    <w:rsid w:val="003958D0"/>
    <w:rsid w:val="003A14A3"/>
    <w:rsid w:val="003A239A"/>
    <w:rsid w:val="003A3B58"/>
    <w:rsid w:val="003A6CCC"/>
    <w:rsid w:val="003A76DF"/>
    <w:rsid w:val="003B004F"/>
    <w:rsid w:val="003B6D8B"/>
    <w:rsid w:val="003B6EBC"/>
    <w:rsid w:val="003B766B"/>
    <w:rsid w:val="003C0625"/>
    <w:rsid w:val="003C333D"/>
    <w:rsid w:val="003C5C30"/>
    <w:rsid w:val="003D064D"/>
    <w:rsid w:val="003D1297"/>
    <w:rsid w:val="003D3BBA"/>
    <w:rsid w:val="003D49B0"/>
    <w:rsid w:val="003D7D78"/>
    <w:rsid w:val="003E3E2D"/>
    <w:rsid w:val="003F02D2"/>
    <w:rsid w:val="003F0B5E"/>
    <w:rsid w:val="003F2014"/>
    <w:rsid w:val="003F3A7E"/>
    <w:rsid w:val="003F51F1"/>
    <w:rsid w:val="003F71E5"/>
    <w:rsid w:val="00400F81"/>
    <w:rsid w:val="00401E60"/>
    <w:rsid w:val="00406ACE"/>
    <w:rsid w:val="0041031F"/>
    <w:rsid w:val="00411081"/>
    <w:rsid w:val="004130F8"/>
    <w:rsid w:val="004145ED"/>
    <w:rsid w:val="004213E1"/>
    <w:rsid w:val="00421975"/>
    <w:rsid w:val="00424462"/>
    <w:rsid w:val="00424878"/>
    <w:rsid w:val="0043446D"/>
    <w:rsid w:val="00440014"/>
    <w:rsid w:val="00440F5B"/>
    <w:rsid w:val="00442414"/>
    <w:rsid w:val="00447709"/>
    <w:rsid w:val="00451C12"/>
    <w:rsid w:val="004541B2"/>
    <w:rsid w:val="00454E07"/>
    <w:rsid w:val="00461773"/>
    <w:rsid w:val="00462D64"/>
    <w:rsid w:val="00463B56"/>
    <w:rsid w:val="0046450D"/>
    <w:rsid w:val="00466D95"/>
    <w:rsid w:val="00467370"/>
    <w:rsid w:val="004702AF"/>
    <w:rsid w:val="0047307B"/>
    <w:rsid w:val="00473C71"/>
    <w:rsid w:val="00474861"/>
    <w:rsid w:val="004805B2"/>
    <w:rsid w:val="00483110"/>
    <w:rsid w:val="0048522D"/>
    <w:rsid w:val="004909E9"/>
    <w:rsid w:val="004919E5"/>
    <w:rsid w:val="004936EA"/>
    <w:rsid w:val="00493DAF"/>
    <w:rsid w:val="00496C93"/>
    <w:rsid w:val="004978A4"/>
    <w:rsid w:val="00497B6D"/>
    <w:rsid w:val="004A28AC"/>
    <w:rsid w:val="004A3EAF"/>
    <w:rsid w:val="004A51FF"/>
    <w:rsid w:val="004A5466"/>
    <w:rsid w:val="004A6107"/>
    <w:rsid w:val="004A79DD"/>
    <w:rsid w:val="004B0825"/>
    <w:rsid w:val="004B0DA4"/>
    <w:rsid w:val="004B19F2"/>
    <w:rsid w:val="004B369E"/>
    <w:rsid w:val="004B4766"/>
    <w:rsid w:val="004B6510"/>
    <w:rsid w:val="004B725C"/>
    <w:rsid w:val="004C522E"/>
    <w:rsid w:val="004C5E8F"/>
    <w:rsid w:val="004C6BE6"/>
    <w:rsid w:val="004C75EE"/>
    <w:rsid w:val="004D11DC"/>
    <w:rsid w:val="004D408D"/>
    <w:rsid w:val="004D51F3"/>
    <w:rsid w:val="004D68D5"/>
    <w:rsid w:val="004D70A0"/>
    <w:rsid w:val="004D752C"/>
    <w:rsid w:val="004E3B1B"/>
    <w:rsid w:val="004E471F"/>
    <w:rsid w:val="004E7289"/>
    <w:rsid w:val="004E74E9"/>
    <w:rsid w:val="004F6A18"/>
    <w:rsid w:val="0050020A"/>
    <w:rsid w:val="0050108D"/>
    <w:rsid w:val="005016AF"/>
    <w:rsid w:val="005021BE"/>
    <w:rsid w:val="00505AF2"/>
    <w:rsid w:val="00506805"/>
    <w:rsid w:val="005076AF"/>
    <w:rsid w:val="00515286"/>
    <w:rsid w:val="0052159C"/>
    <w:rsid w:val="00522BED"/>
    <w:rsid w:val="00525E7B"/>
    <w:rsid w:val="0052666B"/>
    <w:rsid w:val="00527E71"/>
    <w:rsid w:val="00535DF8"/>
    <w:rsid w:val="00540D46"/>
    <w:rsid w:val="00544A03"/>
    <w:rsid w:val="00545530"/>
    <w:rsid w:val="00554968"/>
    <w:rsid w:val="00560BDE"/>
    <w:rsid w:val="00560E6C"/>
    <w:rsid w:val="00562C6C"/>
    <w:rsid w:val="00563E4D"/>
    <w:rsid w:val="005667F7"/>
    <w:rsid w:val="00572E19"/>
    <w:rsid w:val="005762AC"/>
    <w:rsid w:val="00583ECA"/>
    <w:rsid w:val="005846DC"/>
    <w:rsid w:val="00585EBA"/>
    <w:rsid w:val="0059048A"/>
    <w:rsid w:val="005944FA"/>
    <w:rsid w:val="00594F56"/>
    <w:rsid w:val="0059504E"/>
    <w:rsid w:val="005953D9"/>
    <w:rsid w:val="0059690A"/>
    <w:rsid w:val="0059720B"/>
    <w:rsid w:val="005A0004"/>
    <w:rsid w:val="005A032B"/>
    <w:rsid w:val="005A2A00"/>
    <w:rsid w:val="005A5447"/>
    <w:rsid w:val="005A7645"/>
    <w:rsid w:val="005B08A5"/>
    <w:rsid w:val="005B1A5B"/>
    <w:rsid w:val="005B1B75"/>
    <w:rsid w:val="005B4924"/>
    <w:rsid w:val="005B57B5"/>
    <w:rsid w:val="005C36C0"/>
    <w:rsid w:val="005C5DC1"/>
    <w:rsid w:val="005C5E66"/>
    <w:rsid w:val="005C6021"/>
    <w:rsid w:val="005D0C03"/>
    <w:rsid w:val="005D151C"/>
    <w:rsid w:val="005D7A57"/>
    <w:rsid w:val="005E297F"/>
    <w:rsid w:val="005E52E9"/>
    <w:rsid w:val="005F0B42"/>
    <w:rsid w:val="005F1028"/>
    <w:rsid w:val="005F3699"/>
    <w:rsid w:val="005F5C35"/>
    <w:rsid w:val="005F7B30"/>
    <w:rsid w:val="006012C7"/>
    <w:rsid w:val="006015E2"/>
    <w:rsid w:val="00602AD9"/>
    <w:rsid w:val="00612A8A"/>
    <w:rsid w:val="00612C29"/>
    <w:rsid w:val="00615E6E"/>
    <w:rsid w:val="006164B2"/>
    <w:rsid w:val="00616A61"/>
    <w:rsid w:val="00620F66"/>
    <w:rsid w:val="0062126A"/>
    <w:rsid w:val="00622E8C"/>
    <w:rsid w:val="006246F9"/>
    <w:rsid w:val="0064421C"/>
    <w:rsid w:val="00645A3B"/>
    <w:rsid w:val="00647049"/>
    <w:rsid w:val="00650E62"/>
    <w:rsid w:val="006536F3"/>
    <w:rsid w:val="00653A8B"/>
    <w:rsid w:val="00655175"/>
    <w:rsid w:val="006611E4"/>
    <w:rsid w:val="00661BD2"/>
    <w:rsid w:val="00662E1E"/>
    <w:rsid w:val="00667FE1"/>
    <w:rsid w:val="006700C6"/>
    <w:rsid w:val="0067282C"/>
    <w:rsid w:val="00674382"/>
    <w:rsid w:val="006746A8"/>
    <w:rsid w:val="00675541"/>
    <w:rsid w:val="006761F9"/>
    <w:rsid w:val="00677E6A"/>
    <w:rsid w:val="00685080"/>
    <w:rsid w:val="006858A9"/>
    <w:rsid w:val="00686BE5"/>
    <w:rsid w:val="00687F8B"/>
    <w:rsid w:val="00691B34"/>
    <w:rsid w:val="00691C98"/>
    <w:rsid w:val="00692701"/>
    <w:rsid w:val="006943AF"/>
    <w:rsid w:val="006A28FC"/>
    <w:rsid w:val="006A42CE"/>
    <w:rsid w:val="006A4F9E"/>
    <w:rsid w:val="006A5214"/>
    <w:rsid w:val="006A6262"/>
    <w:rsid w:val="006A711F"/>
    <w:rsid w:val="006B1086"/>
    <w:rsid w:val="006B4F8E"/>
    <w:rsid w:val="006C1076"/>
    <w:rsid w:val="006C1799"/>
    <w:rsid w:val="006C6A95"/>
    <w:rsid w:val="006D0C5B"/>
    <w:rsid w:val="006E119A"/>
    <w:rsid w:val="006E2482"/>
    <w:rsid w:val="006E7018"/>
    <w:rsid w:val="006F35EE"/>
    <w:rsid w:val="006F7877"/>
    <w:rsid w:val="00701719"/>
    <w:rsid w:val="00702B17"/>
    <w:rsid w:val="00704890"/>
    <w:rsid w:val="007055E1"/>
    <w:rsid w:val="0070599A"/>
    <w:rsid w:val="00706B3C"/>
    <w:rsid w:val="007077BE"/>
    <w:rsid w:val="00710CF8"/>
    <w:rsid w:val="007132B4"/>
    <w:rsid w:val="007145D0"/>
    <w:rsid w:val="00716C6F"/>
    <w:rsid w:val="00722D82"/>
    <w:rsid w:val="00725436"/>
    <w:rsid w:val="00731D13"/>
    <w:rsid w:val="00736227"/>
    <w:rsid w:val="007450D7"/>
    <w:rsid w:val="007464CC"/>
    <w:rsid w:val="0076040E"/>
    <w:rsid w:val="0076291D"/>
    <w:rsid w:val="00763EEE"/>
    <w:rsid w:val="00765BFF"/>
    <w:rsid w:val="00770A58"/>
    <w:rsid w:val="00772759"/>
    <w:rsid w:val="007753C9"/>
    <w:rsid w:val="00775FA2"/>
    <w:rsid w:val="007852D8"/>
    <w:rsid w:val="007858C5"/>
    <w:rsid w:val="00792718"/>
    <w:rsid w:val="00793FB0"/>
    <w:rsid w:val="007947C0"/>
    <w:rsid w:val="00795B93"/>
    <w:rsid w:val="0079754A"/>
    <w:rsid w:val="007A17FF"/>
    <w:rsid w:val="007A5A82"/>
    <w:rsid w:val="007A6D94"/>
    <w:rsid w:val="007B4C2C"/>
    <w:rsid w:val="007B6190"/>
    <w:rsid w:val="007B6415"/>
    <w:rsid w:val="007C035B"/>
    <w:rsid w:val="007C0CEB"/>
    <w:rsid w:val="007C4FAA"/>
    <w:rsid w:val="007C70A6"/>
    <w:rsid w:val="007D3098"/>
    <w:rsid w:val="007D6339"/>
    <w:rsid w:val="007D790C"/>
    <w:rsid w:val="007E1A65"/>
    <w:rsid w:val="007E3C80"/>
    <w:rsid w:val="00802199"/>
    <w:rsid w:val="00802909"/>
    <w:rsid w:val="00805A99"/>
    <w:rsid w:val="00805DC9"/>
    <w:rsid w:val="00805FB9"/>
    <w:rsid w:val="00814C09"/>
    <w:rsid w:val="00815A98"/>
    <w:rsid w:val="00817ACB"/>
    <w:rsid w:val="00822788"/>
    <w:rsid w:val="0082381D"/>
    <w:rsid w:val="00823C3D"/>
    <w:rsid w:val="00824DDB"/>
    <w:rsid w:val="00830923"/>
    <w:rsid w:val="0083119C"/>
    <w:rsid w:val="00831667"/>
    <w:rsid w:val="008334DF"/>
    <w:rsid w:val="00834B71"/>
    <w:rsid w:val="00835D23"/>
    <w:rsid w:val="008401AE"/>
    <w:rsid w:val="008452A1"/>
    <w:rsid w:val="008452DD"/>
    <w:rsid w:val="00852A48"/>
    <w:rsid w:val="00854B7E"/>
    <w:rsid w:val="008554C5"/>
    <w:rsid w:val="00856038"/>
    <w:rsid w:val="00860745"/>
    <w:rsid w:val="00860BDC"/>
    <w:rsid w:val="00860F36"/>
    <w:rsid w:val="00862F7C"/>
    <w:rsid w:val="00863D6A"/>
    <w:rsid w:val="0086445C"/>
    <w:rsid w:val="0086718C"/>
    <w:rsid w:val="008736F0"/>
    <w:rsid w:val="0087489A"/>
    <w:rsid w:val="00875DCB"/>
    <w:rsid w:val="00882023"/>
    <w:rsid w:val="00883E89"/>
    <w:rsid w:val="008844B8"/>
    <w:rsid w:val="00884D8E"/>
    <w:rsid w:val="00886706"/>
    <w:rsid w:val="00887C91"/>
    <w:rsid w:val="00890B67"/>
    <w:rsid w:val="00892DA6"/>
    <w:rsid w:val="00893519"/>
    <w:rsid w:val="00895302"/>
    <w:rsid w:val="0089572A"/>
    <w:rsid w:val="008A08D7"/>
    <w:rsid w:val="008A26E9"/>
    <w:rsid w:val="008A2AB8"/>
    <w:rsid w:val="008A4B6C"/>
    <w:rsid w:val="008A4C70"/>
    <w:rsid w:val="008A5F05"/>
    <w:rsid w:val="008A6A7E"/>
    <w:rsid w:val="008A7056"/>
    <w:rsid w:val="008B53A8"/>
    <w:rsid w:val="008C2CF6"/>
    <w:rsid w:val="008C4A30"/>
    <w:rsid w:val="008C5702"/>
    <w:rsid w:val="008C5AF2"/>
    <w:rsid w:val="008C6904"/>
    <w:rsid w:val="008D27EC"/>
    <w:rsid w:val="008D2F70"/>
    <w:rsid w:val="008D5B6E"/>
    <w:rsid w:val="008D6ADD"/>
    <w:rsid w:val="008E0E2D"/>
    <w:rsid w:val="008E1B35"/>
    <w:rsid w:val="008E3629"/>
    <w:rsid w:val="008E3F17"/>
    <w:rsid w:val="008F357E"/>
    <w:rsid w:val="008F662C"/>
    <w:rsid w:val="0090091D"/>
    <w:rsid w:val="0090233A"/>
    <w:rsid w:val="00906683"/>
    <w:rsid w:val="00906890"/>
    <w:rsid w:val="00907EA2"/>
    <w:rsid w:val="009158A0"/>
    <w:rsid w:val="00916BC3"/>
    <w:rsid w:val="00924A79"/>
    <w:rsid w:val="00925617"/>
    <w:rsid w:val="00935311"/>
    <w:rsid w:val="00937F58"/>
    <w:rsid w:val="0094152D"/>
    <w:rsid w:val="00943FE9"/>
    <w:rsid w:val="00951972"/>
    <w:rsid w:val="00951DC1"/>
    <w:rsid w:val="009559F1"/>
    <w:rsid w:val="0095774A"/>
    <w:rsid w:val="00957A51"/>
    <w:rsid w:val="00960B7A"/>
    <w:rsid w:val="00966BD7"/>
    <w:rsid w:val="00967D40"/>
    <w:rsid w:val="00972868"/>
    <w:rsid w:val="0097505A"/>
    <w:rsid w:val="00975BC0"/>
    <w:rsid w:val="00976CD5"/>
    <w:rsid w:val="0098179B"/>
    <w:rsid w:val="00983573"/>
    <w:rsid w:val="00987522"/>
    <w:rsid w:val="00997656"/>
    <w:rsid w:val="009A0636"/>
    <w:rsid w:val="009A0C46"/>
    <w:rsid w:val="009A3490"/>
    <w:rsid w:val="009A6700"/>
    <w:rsid w:val="009B28EE"/>
    <w:rsid w:val="009C03F5"/>
    <w:rsid w:val="009C0C50"/>
    <w:rsid w:val="009D145E"/>
    <w:rsid w:val="009D3A3E"/>
    <w:rsid w:val="009E3AF2"/>
    <w:rsid w:val="009E41B4"/>
    <w:rsid w:val="009E5423"/>
    <w:rsid w:val="009E78C4"/>
    <w:rsid w:val="009E7F1B"/>
    <w:rsid w:val="009F2DF2"/>
    <w:rsid w:val="009F5B78"/>
    <w:rsid w:val="009F7D17"/>
    <w:rsid w:val="009F7EDF"/>
    <w:rsid w:val="00A00CB2"/>
    <w:rsid w:val="00A031C0"/>
    <w:rsid w:val="00A04C14"/>
    <w:rsid w:val="00A141FC"/>
    <w:rsid w:val="00A14215"/>
    <w:rsid w:val="00A209E3"/>
    <w:rsid w:val="00A222B1"/>
    <w:rsid w:val="00A22D8D"/>
    <w:rsid w:val="00A250E0"/>
    <w:rsid w:val="00A26831"/>
    <w:rsid w:val="00A32A1B"/>
    <w:rsid w:val="00A3763D"/>
    <w:rsid w:val="00A40AC0"/>
    <w:rsid w:val="00A42AAE"/>
    <w:rsid w:val="00A42DB9"/>
    <w:rsid w:val="00A4302F"/>
    <w:rsid w:val="00A441EE"/>
    <w:rsid w:val="00A47877"/>
    <w:rsid w:val="00A500CE"/>
    <w:rsid w:val="00A51F9A"/>
    <w:rsid w:val="00A554EC"/>
    <w:rsid w:val="00A61A80"/>
    <w:rsid w:val="00A61F83"/>
    <w:rsid w:val="00A6309D"/>
    <w:rsid w:val="00A633A2"/>
    <w:rsid w:val="00A73440"/>
    <w:rsid w:val="00A744B2"/>
    <w:rsid w:val="00A74BB6"/>
    <w:rsid w:val="00A775A5"/>
    <w:rsid w:val="00A80045"/>
    <w:rsid w:val="00A83A3D"/>
    <w:rsid w:val="00A85592"/>
    <w:rsid w:val="00A871CD"/>
    <w:rsid w:val="00A917B3"/>
    <w:rsid w:val="00AA3B95"/>
    <w:rsid w:val="00AA50ED"/>
    <w:rsid w:val="00AA697E"/>
    <w:rsid w:val="00AB2662"/>
    <w:rsid w:val="00AB4B51"/>
    <w:rsid w:val="00AB4EB2"/>
    <w:rsid w:val="00AC101D"/>
    <w:rsid w:val="00AC27D0"/>
    <w:rsid w:val="00AC3CDD"/>
    <w:rsid w:val="00AC4D3D"/>
    <w:rsid w:val="00AC7164"/>
    <w:rsid w:val="00AD0168"/>
    <w:rsid w:val="00AD288A"/>
    <w:rsid w:val="00AD2DF1"/>
    <w:rsid w:val="00AD33D6"/>
    <w:rsid w:val="00AE3FB4"/>
    <w:rsid w:val="00AE490C"/>
    <w:rsid w:val="00AE4F74"/>
    <w:rsid w:val="00AF502D"/>
    <w:rsid w:val="00AF6284"/>
    <w:rsid w:val="00B0065F"/>
    <w:rsid w:val="00B026C5"/>
    <w:rsid w:val="00B0730E"/>
    <w:rsid w:val="00B102B4"/>
    <w:rsid w:val="00B10CC7"/>
    <w:rsid w:val="00B11D27"/>
    <w:rsid w:val="00B12EFD"/>
    <w:rsid w:val="00B155C6"/>
    <w:rsid w:val="00B15EB7"/>
    <w:rsid w:val="00B15EEA"/>
    <w:rsid w:val="00B161CA"/>
    <w:rsid w:val="00B16999"/>
    <w:rsid w:val="00B2009C"/>
    <w:rsid w:val="00B207FC"/>
    <w:rsid w:val="00B22CAE"/>
    <w:rsid w:val="00B22E97"/>
    <w:rsid w:val="00B25764"/>
    <w:rsid w:val="00B27C5C"/>
    <w:rsid w:val="00B40049"/>
    <w:rsid w:val="00B52804"/>
    <w:rsid w:val="00B53C7A"/>
    <w:rsid w:val="00B53D54"/>
    <w:rsid w:val="00B5461B"/>
    <w:rsid w:val="00B62458"/>
    <w:rsid w:val="00B6350A"/>
    <w:rsid w:val="00B7495E"/>
    <w:rsid w:val="00B76EA6"/>
    <w:rsid w:val="00B7775B"/>
    <w:rsid w:val="00B77852"/>
    <w:rsid w:val="00B84A7C"/>
    <w:rsid w:val="00B851E3"/>
    <w:rsid w:val="00B904A4"/>
    <w:rsid w:val="00B92472"/>
    <w:rsid w:val="00B92927"/>
    <w:rsid w:val="00B93ED9"/>
    <w:rsid w:val="00B94FFE"/>
    <w:rsid w:val="00B97C5E"/>
    <w:rsid w:val="00BA1EF3"/>
    <w:rsid w:val="00BA2C94"/>
    <w:rsid w:val="00BA4219"/>
    <w:rsid w:val="00BA5D7F"/>
    <w:rsid w:val="00BB4C99"/>
    <w:rsid w:val="00BB7D67"/>
    <w:rsid w:val="00BC02AA"/>
    <w:rsid w:val="00BC161C"/>
    <w:rsid w:val="00BC1AA5"/>
    <w:rsid w:val="00BC5DA6"/>
    <w:rsid w:val="00BD16A1"/>
    <w:rsid w:val="00BD1A25"/>
    <w:rsid w:val="00BD1E19"/>
    <w:rsid w:val="00BD33EE"/>
    <w:rsid w:val="00BE0792"/>
    <w:rsid w:val="00BE0B88"/>
    <w:rsid w:val="00BE14DA"/>
    <w:rsid w:val="00BE17B0"/>
    <w:rsid w:val="00BE1E5D"/>
    <w:rsid w:val="00BE200E"/>
    <w:rsid w:val="00BE6EE9"/>
    <w:rsid w:val="00BF0E80"/>
    <w:rsid w:val="00BF10D6"/>
    <w:rsid w:val="00BF1C26"/>
    <w:rsid w:val="00BF4C6F"/>
    <w:rsid w:val="00C00048"/>
    <w:rsid w:val="00C015F7"/>
    <w:rsid w:val="00C06586"/>
    <w:rsid w:val="00C10FFF"/>
    <w:rsid w:val="00C13596"/>
    <w:rsid w:val="00C145D9"/>
    <w:rsid w:val="00C15E7F"/>
    <w:rsid w:val="00C21B18"/>
    <w:rsid w:val="00C21E71"/>
    <w:rsid w:val="00C24866"/>
    <w:rsid w:val="00C31CFA"/>
    <w:rsid w:val="00C3295F"/>
    <w:rsid w:val="00C32EF2"/>
    <w:rsid w:val="00C34BAD"/>
    <w:rsid w:val="00C379BC"/>
    <w:rsid w:val="00C42452"/>
    <w:rsid w:val="00C5431B"/>
    <w:rsid w:val="00C543DF"/>
    <w:rsid w:val="00C576AC"/>
    <w:rsid w:val="00C60F0C"/>
    <w:rsid w:val="00C751DF"/>
    <w:rsid w:val="00C805C9"/>
    <w:rsid w:val="00C90CF6"/>
    <w:rsid w:val="00C9298B"/>
    <w:rsid w:val="00C92CCF"/>
    <w:rsid w:val="00C96879"/>
    <w:rsid w:val="00CA1679"/>
    <w:rsid w:val="00CA1DDA"/>
    <w:rsid w:val="00CA2347"/>
    <w:rsid w:val="00CA29C5"/>
    <w:rsid w:val="00CA2A2C"/>
    <w:rsid w:val="00CA399E"/>
    <w:rsid w:val="00CA53A1"/>
    <w:rsid w:val="00CB07C4"/>
    <w:rsid w:val="00CB13E1"/>
    <w:rsid w:val="00CB6138"/>
    <w:rsid w:val="00CB716F"/>
    <w:rsid w:val="00CC0E67"/>
    <w:rsid w:val="00CC2B09"/>
    <w:rsid w:val="00CC58C3"/>
    <w:rsid w:val="00CC625E"/>
    <w:rsid w:val="00CC728D"/>
    <w:rsid w:val="00CC7AB6"/>
    <w:rsid w:val="00CD3017"/>
    <w:rsid w:val="00CD3368"/>
    <w:rsid w:val="00CD39C4"/>
    <w:rsid w:val="00CD5052"/>
    <w:rsid w:val="00CD721E"/>
    <w:rsid w:val="00CE2136"/>
    <w:rsid w:val="00CE34F5"/>
    <w:rsid w:val="00CF2E83"/>
    <w:rsid w:val="00CF7A09"/>
    <w:rsid w:val="00CF7A1C"/>
    <w:rsid w:val="00D00A23"/>
    <w:rsid w:val="00D01A5F"/>
    <w:rsid w:val="00D01AD2"/>
    <w:rsid w:val="00D06D83"/>
    <w:rsid w:val="00D079AD"/>
    <w:rsid w:val="00D12C7C"/>
    <w:rsid w:val="00D13C83"/>
    <w:rsid w:val="00D1722B"/>
    <w:rsid w:val="00D17817"/>
    <w:rsid w:val="00D2062A"/>
    <w:rsid w:val="00D2488E"/>
    <w:rsid w:val="00D24B42"/>
    <w:rsid w:val="00D2539D"/>
    <w:rsid w:val="00D35EC3"/>
    <w:rsid w:val="00D4263A"/>
    <w:rsid w:val="00D426B3"/>
    <w:rsid w:val="00D445DC"/>
    <w:rsid w:val="00D450B2"/>
    <w:rsid w:val="00D47766"/>
    <w:rsid w:val="00D50856"/>
    <w:rsid w:val="00D51463"/>
    <w:rsid w:val="00D55299"/>
    <w:rsid w:val="00D57EDF"/>
    <w:rsid w:val="00D6001F"/>
    <w:rsid w:val="00D60CAC"/>
    <w:rsid w:val="00D63E59"/>
    <w:rsid w:val="00D70546"/>
    <w:rsid w:val="00D71EF1"/>
    <w:rsid w:val="00D738F9"/>
    <w:rsid w:val="00D751A8"/>
    <w:rsid w:val="00D75221"/>
    <w:rsid w:val="00D75553"/>
    <w:rsid w:val="00D80337"/>
    <w:rsid w:val="00D8210A"/>
    <w:rsid w:val="00D85192"/>
    <w:rsid w:val="00D90138"/>
    <w:rsid w:val="00D919DD"/>
    <w:rsid w:val="00D91E81"/>
    <w:rsid w:val="00D9706E"/>
    <w:rsid w:val="00D97076"/>
    <w:rsid w:val="00DA2146"/>
    <w:rsid w:val="00DB2AF2"/>
    <w:rsid w:val="00DB50C5"/>
    <w:rsid w:val="00DB51B9"/>
    <w:rsid w:val="00DB5682"/>
    <w:rsid w:val="00DB6FA4"/>
    <w:rsid w:val="00DC2C0F"/>
    <w:rsid w:val="00DC5CE3"/>
    <w:rsid w:val="00DD6755"/>
    <w:rsid w:val="00DD6825"/>
    <w:rsid w:val="00DD70C0"/>
    <w:rsid w:val="00DE0734"/>
    <w:rsid w:val="00DE1AAB"/>
    <w:rsid w:val="00DE40AB"/>
    <w:rsid w:val="00DF2C15"/>
    <w:rsid w:val="00DF2C98"/>
    <w:rsid w:val="00E00D1B"/>
    <w:rsid w:val="00E020B3"/>
    <w:rsid w:val="00E027B6"/>
    <w:rsid w:val="00E04E7F"/>
    <w:rsid w:val="00E05347"/>
    <w:rsid w:val="00E06D9E"/>
    <w:rsid w:val="00E072A1"/>
    <w:rsid w:val="00E16156"/>
    <w:rsid w:val="00E318B4"/>
    <w:rsid w:val="00E3619A"/>
    <w:rsid w:val="00E402FF"/>
    <w:rsid w:val="00E43D57"/>
    <w:rsid w:val="00E4561E"/>
    <w:rsid w:val="00E46DE7"/>
    <w:rsid w:val="00E47BD0"/>
    <w:rsid w:val="00E63458"/>
    <w:rsid w:val="00E641D1"/>
    <w:rsid w:val="00E66E60"/>
    <w:rsid w:val="00E6702E"/>
    <w:rsid w:val="00E67437"/>
    <w:rsid w:val="00E6745F"/>
    <w:rsid w:val="00E67F37"/>
    <w:rsid w:val="00E7084C"/>
    <w:rsid w:val="00E73DAF"/>
    <w:rsid w:val="00E73F76"/>
    <w:rsid w:val="00E74855"/>
    <w:rsid w:val="00E75B3F"/>
    <w:rsid w:val="00E77AA3"/>
    <w:rsid w:val="00E91CD3"/>
    <w:rsid w:val="00E95039"/>
    <w:rsid w:val="00E95485"/>
    <w:rsid w:val="00E9639C"/>
    <w:rsid w:val="00E973EB"/>
    <w:rsid w:val="00EA2128"/>
    <w:rsid w:val="00EA223A"/>
    <w:rsid w:val="00EA31F4"/>
    <w:rsid w:val="00EA37C1"/>
    <w:rsid w:val="00EA71DB"/>
    <w:rsid w:val="00EB2124"/>
    <w:rsid w:val="00EB2B30"/>
    <w:rsid w:val="00EB2CA6"/>
    <w:rsid w:val="00EB3B2B"/>
    <w:rsid w:val="00EB7633"/>
    <w:rsid w:val="00EC011C"/>
    <w:rsid w:val="00EC17F9"/>
    <w:rsid w:val="00EC6285"/>
    <w:rsid w:val="00ED1226"/>
    <w:rsid w:val="00ED2B84"/>
    <w:rsid w:val="00ED3459"/>
    <w:rsid w:val="00ED6A43"/>
    <w:rsid w:val="00EE560B"/>
    <w:rsid w:val="00EE6032"/>
    <w:rsid w:val="00EE7EA7"/>
    <w:rsid w:val="00EF1360"/>
    <w:rsid w:val="00EF3220"/>
    <w:rsid w:val="00EF3D5C"/>
    <w:rsid w:val="00F03971"/>
    <w:rsid w:val="00F04757"/>
    <w:rsid w:val="00F04CC2"/>
    <w:rsid w:val="00F05BC2"/>
    <w:rsid w:val="00F06DB4"/>
    <w:rsid w:val="00F078AF"/>
    <w:rsid w:val="00F10BBF"/>
    <w:rsid w:val="00F125C6"/>
    <w:rsid w:val="00F14277"/>
    <w:rsid w:val="00F1516B"/>
    <w:rsid w:val="00F23BB0"/>
    <w:rsid w:val="00F267E6"/>
    <w:rsid w:val="00F31E13"/>
    <w:rsid w:val="00F325D6"/>
    <w:rsid w:val="00F33585"/>
    <w:rsid w:val="00F365CD"/>
    <w:rsid w:val="00F40E62"/>
    <w:rsid w:val="00F41279"/>
    <w:rsid w:val="00F459D8"/>
    <w:rsid w:val="00F45BCB"/>
    <w:rsid w:val="00F46BF5"/>
    <w:rsid w:val="00F5042B"/>
    <w:rsid w:val="00F504EA"/>
    <w:rsid w:val="00F56235"/>
    <w:rsid w:val="00F56BE6"/>
    <w:rsid w:val="00F60C79"/>
    <w:rsid w:val="00F63FB7"/>
    <w:rsid w:val="00F71607"/>
    <w:rsid w:val="00F71760"/>
    <w:rsid w:val="00F71B78"/>
    <w:rsid w:val="00F75665"/>
    <w:rsid w:val="00F80F5C"/>
    <w:rsid w:val="00F81433"/>
    <w:rsid w:val="00F8283C"/>
    <w:rsid w:val="00F84CD5"/>
    <w:rsid w:val="00F90AB2"/>
    <w:rsid w:val="00F91F8E"/>
    <w:rsid w:val="00F92EBA"/>
    <w:rsid w:val="00F937AD"/>
    <w:rsid w:val="00F94C20"/>
    <w:rsid w:val="00F9609B"/>
    <w:rsid w:val="00FA1B5F"/>
    <w:rsid w:val="00FB1B2A"/>
    <w:rsid w:val="00FB6CD8"/>
    <w:rsid w:val="00FC2072"/>
    <w:rsid w:val="00FC23C4"/>
    <w:rsid w:val="00FC3476"/>
    <w:rsid w:val="00FC381B"/>
    <w:rsid w:val="00FC7DEE"/>
    <w:rsid w:val="00FD2EF7"/>
    <w:rsid w:val="00FD57F6"/>
    <w:rsid w:val="00FE06F9"/>
    <w:rsid w:val="00FE2BAB"/>
    <w:rsid w:val="00FE50ED"/>
    <w:rsid w:val="00FF4C3E"/>
    <w:rsid w:val="00FF6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14:docId w14:val="727598FF"/>
  <w15:docId w15:val="{3A24CC87-D8E4-4849-BAE7-80225A46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63A"/>
    <w:pPr>
      <w:spacing w:line="240" w:lineRule="atLeast"/>
    </w:pPr>
  </w:style>
  <w:style w:type="paragraph" w:styleId="Ttulo1">
    <w:name w:val="heading 1"/>
    <w:aliases w:val="Cuadro_G"/>
    <w:basedOn w:val="SingleTxtG"/>
    <w:next w:val="SingleTxtG"/>
    <w:link w:val="Ttulo1Car"/>
    <w:qFormat/>
    <w:rsid w:val="00194852"/>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194852"/>
    <w:pPr>
      <w:keepNext/>
      <w:outlineLvl w:val="1"/>
    </w:pPr>
    <w:rPr>
      <w:rFonts w:cs="Arial"/>
      <w:bCs/>
      <w:iCs/>
      <w:szCs w:val="28"/>
    </w:rPr>
  </w:style>
  <w:style w:type="paragraph" w:styleId="Ttulo3">
    <w:name w:val="heading 3"/>
    <w:basedOn w:val="Normal"/>
    <w:next w:val="Normal"/>
    <w:semiHidden/>
    <w:rsid w:val="00194852"/>
    <w:pPr>
      <w:keepNext/>
      <w:spacing w:before="240" w:after="60"/>
      <w:outlineLvl w:val="2"/>
    </w:pPr>
    <w:rPr>
      <w:rFonts w:ascii="Arial" w:hAnsi="Arial" w:cs="Arial"/>
      <w:b/>
      <w:bCs/>
      <w:sz w:val="26"/>
      <w:szCs w:val="26"/>
    </w:rPr>
  </w:style>
  <w:style w:type="paragraph" w:styleId="Ttulo4">
    <w:name w:val="heading 4"/>
    <w:basedOn w:val="Normal"/>
    <w:next w:val="Normal"/>
    <w:semiHidden/>
    <w:rsid w:val="00194852"/>
    <w:pPr>
      <w:keepNext/>
      <w:spacing w:before="240" w:after="60"/>
      <w:outlineLvl w:val="3"/>
    </w:pPr>
    <w:rPr>
      <w:b/>
      <w:bCs/>
      <w:sz w:val="28"/>
      <w:szCs w:val="28"/>
    </w:rPr>
  </w:style>
  <w:style w:type="paragraph" w:styleId="Ttulo5">
    <w:name w:val="heading 5"/>
    <w:basedOn w:val="Normal"/>
    <w:next w:val="Normal"/>
    <w:semiHidden/>
    <w:rsid w:val="00194852"/>
    <w:pPr>
      <w:spacing w:before="240" w:after="60"/>
      <w:outlineLvl w:val="4"/>
    </w:pPr>
    <w:rPr>
      <w:b/>
      <w:bCs/>
      <w:i/>
      <w:iCs/>
      <w:sz w:val="26"/>
      <w:szCs w:val="26"/>
    </w:rPr>
  </w:style>
  <w:style w:type="paragraph" w:styleId="Ttulo6">
    <w:name w:val="heading 6"/>
    <w:basedOn w:val="Normal"/>
    <w:next w:val="Normal"/>
    <w:semiHidden/>
    <w:rsid w:val="00194852"/>
    <w:pPr>
      <w:spacing w:before="240" w:after="60"/>
      <w:outlineLvl w:val="5"/>
    </w:pPr>
    <w:rPr>
      <w:b/>
      <w:bCs/>
      <w:sz w:val="22"/>
      <w:szCs w:val="22"/>
    </w:rPr>
  </w:style>
  <w:style w:type="paragraph" w:styleId="Ttulo7">
    <w:name w:val="heading 7"/>
    <w:basedOn w:val="Normal"/>
    <w:next w:val="Normal"/>
    <w:semiHidden/>
    <w:rsid w:val="00194852"/>
    <w:pPr>
      <w:spacing w:before="240" w:after="60"/>
      <w:outlineLvl w:val="6"/>
    </w:pPr>
    <w:rPr>
      <w:sz w:val="24"/>
      <w:szCs w:val="24"/>
    </w:rPr>
  </w:style>
  <w:style w:type="paragraph" w:styleId="Ttulo8">
    <w:name w:val="heading 8"/>
    <w:basedOn w:val="Normal"/>
    <w:next w:val="Normal"/>
    <w:semiHidden/>
    <w:rsid w:val="00194852"/>
    <w:pPr>
      <w:spacing w:before="240" w:after="60"/>
      <w:outlineLvl w:val="7"/>
    </w:pPr>
    <w:rPr>
      <w:i/>
      <w:iCs/>
      <w:sz w:val="24"/>
      <w:szCs w:val="24"/>
    </w:rPr>
  </w:style>
  <w:style w:type="paragraph" w:styleId="Ttulo9">
    <w:name w:val="heading 9"/>
    <w:basedOn w:val="Normal"/>
    <w:next w:val="Normal"/>
    <w:semiHidden/>
    <w:rsid w:val="0019485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MG">
    <w:name w:val="_ H __M_G"/>
    <w:basedOn w:val="Normal"/>
    <w:next w:val="Normal"/>
    <w:qFormat/>
    <w:rsid w:val="00194852"/>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194852"/>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194852"/>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194852"/>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194852"/>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194852"/>
    <w:pPr>
      <w:keepNext/>
      <w:keepLines/>
      <w:tabs>
        <w:tab w:val="right" w:pos="851"/>
      </w:tabs>
      <w:suppressAutoHyphens/>
      <w:spacing w:before="240" w:after="120" w:line="240" w:lineRule="exact"/>
      <w:ind w:left="1134" w:right="1134" w:hanging="1134"/>
    </w:pPr>
  </w:style>
  <w:style w:type="paragraph" w:customStyle="1" w:styleId="SingleTxtG">
    <w:name w:val="_ Single Txt_G"/>
    <w:basedOn w:val="Normal"/>
    <w:link w:val="SingleTxtGChar"/>
    <w:qFormat/>
    <w:rsid w:val="00194852"/>
    <w:pPr>
      <w:spacing w:after="120"/>
      <w:ind w:left="1134" w:right="1134"/>
      <w:jc w:val="both"/>
    </w:pPr>
  </w:style>
  <w:style w:type="paragraph" w:customStyle="1" w:styleId="SLG">
    <w:name w:val="__S_L_G"/>
    <w:basedOn w:val="Normal"/>
    <w:next w:val="Normal"/>
    <w:rsid w:val="00194852"/>
    <w:pPr>
      <w:keepNext/>
      <w:keepLines/>
      <w:spacing w:before="240" w:after="240" w:line="580" w:lineRule="exact"/>
      <w:ind w:left="1134" w:right="1134"/>
    </w:pPr>
    <w:rPr>
      <w:b/>
      <w:sz w:val="56"/>
    </w:rPr>
  </w:style>
  <w:style w:type="paragraph" w:customStyle="1" w:styleId="SMG">
    <w:name w:val="__S_M_G"/>
    <w:basedOn w:val="Normal"/>
    <w:next w:val="Normal"/>
    <w:rsid w:val="00194852"/>
    <w:pPr>
      <w:keepNext/>
      <w:keepLines/>
      <w:suppressAutoHyphens/>
      <w:spacing w:before="240" w:after="240" w:line="420" w:lineRule="exact"/>
      <w:ind w:left="1134" w:right="1134"/>
    </w:pPr>
    <w:rPr>
      <w:b/>
      <w:sz w:val="40"/>
    </w:rPr>
  </w:style>
  <w:style w:type="paragraph" w:customStyle="1" w:styleId="SSG">
    <w:name w:val="__S_S_G"/>
    <w:basedOn w:val="Normal"/>
    <w:next w:val="Normal"/>
    <w:rsid w:val="00194852"/>
    <w:pPr>
      <w:keepNext/>
      <w:keepLines/>
      <w:spacing w:before="240" w:after="240" w:line="300" w:lineRule="exact"/>
      <w:ind w:left="1134" w:right="1134"/>
    </w:pPr>
    <w:rPr>
      <w:b/>
      <w:sz w:val="28"/>
    </w:rPr>
  </w:style>
  <w:style w:type="paragraph" w:customStyle="1" w:styleId="XLargeG">
    <w:name w:val="__XLarge_G"/>
    <w:basedOn w:val="Normal"/>
    <w:next w:val="Normal"/>
    <w:rsid w:val="00194852"/>
    <w:pPr>
      <w:keepNext/>
      <w:keepLines/>
      <w:spacing w:before="240" w:after="240" w:line="420" w:lineRule="exact"/>
      <w:ind w:left="1134" w:right="1134"/>
    </w:pPr>
    <w:rPr>
      <w:b/>
      <w:sz w:val="40"/>
    </w:rPr>
  </w:style>
  <w:style w:type="paragraph" w:customStyle="1" w:styleId="Bullet1G">
    <w:name w:val="_Bullet 1_G"/>
    <w:basedOn w:val="Normal"/>
    <w:qFormat/>
    <w:rsid w:val="00194852"/>
    <w:pPr>
      <w:numPr>
        <w:numId w:val="18"/>
      </w:numPr>
      <w:spacing w:after="120"/>
      <w:ind w:right="1134"/>
      <w:jc w:val="both"/>
    </w:pPr>
    <w:rPr>
      <w:lang w:eastAsia="en-US"/>
    </w:rPr>
  </w:style>
  <w:style w:type="paragraph" w:customStyle="1" w:styleId="Bullet2G">
    <w:name w:val="_Bullet 2_G"/>
    <w:basedOn w:val="Normal"/>
    <w:qFormat/>
    <w:rsid w:val="00194852"/>
    <w:pPr>
      <w:numPr>
        <w:numId w:val="19"/>
      </w:numPr>
      <w:spacing w:after="120"/>
      <w:ind w:right="1134"/>
      <w:jc w:val="both"/>
    </w:pPr>
  </w:style>
  <w:style w:type="numbering" w:styleId="111111">
    <w:name w:val="Outline List 2"/>
    <w:basedOn w:val="Sinlista"/>
    <w:semiHidden/>
    <w:rsid w:val="00194852"/>
    <w:pPr>
      <w:numPr>
        <w:numId w:val="21"/>
      </w:numPr>
    </w:pPr>
  </w:style>
  <w:style w:type="numbering" w:styleId="1ai">
    <w:name w:val="Outline List 1"/>
    <w:basedOn w:val="Sinlista"/>
    <w:semiHidden/>
    <w:rsid w:val="00194852"/>
    <w:pPr>
      <w:numPr>
        <w:numId w:val="23"/>
      </w:numPr>
    </w:pPr>
  </w:style>
  <w:style w:type="character" w:styleId="AcrnimoHTML">
    <w:name w:val="HTML Acronym"/>
    <w:basedOn w:val="Fuentedeprrafopredeter"/>
    <w:semiHidden/>
    <w:rsid w:val="00194852"/>
  </w:style>
  <w:style w:type="numbering" w:styleId="ArtculoSeccin">
    <w:name w:val="Outline List 3"/>
    <w:basedOn w:val="Sinlista"/>
    <w:semiHidden/>
    <w:rsid w:val="00194852"/>
    <w:pPr>
      <w:numPr>
        <w:numId w:val="24"/>
      </w:numPr>
    </w:pPr>
  </w:style>
  <w:style w:type="paragraph" w:styleId="Cierre">
    <w:name w:val="Closing"/>
    <w:basedOn w:val="Normal"/>
    <w:link w:val="CierreCar"/>
    <w:semiHidden/>
    <w:rsid w:val="00194852"/>
    <w:pPr>
      <w:ind w:left="4252"/>
    </w:pPr>
  </w:style>
  <w:style w:type="character" w:customStyle="1" w:styleId="CierreCar">
    <w:name w:val="Cierre Car"/>
    <w:link w:val="Cierre"/>
    <w:semiHidden/>
    <w:rsid w:val="00194852"/>
    <w:rPr>
      <w:lang w:val="es-ES" w:eastAsia="es-ES"/>
    </w:rPr>
  </w:style>
  <w:style w:type="character" w:styleId="CitaHTML">
    <w:name w:val="HTML Cite"/>
    <w:semiHidden/>
    <w:rsid w:val="00194852"/>
    <w:rPr>
      <w:i/>
      <w:iCs/>
    </w:rPr>
  </w:style>
  <w:style w:type="character" w:styleId="CdigoHTML">
    <w:name w:val="HTML Code"/>
    <w:semiHidden/>
    <w:rsid w:val="00194852"/>
    <w:rPr>
      <w:rFonts w:ascii="Courier New" w:hAnsi="Courier New" w:cs="Courier New"/>
      <w:sz w:val="20"/>
      <w:szCs w:val="20"/>
    </w:rPr>
  </w:style>
  <w:style w:type="paragraph" w:styleId="Continuarlista">
    <w:name w:val="List Continue"/>
    <w:basedOn w:val="Normal"/>
    <w:semiHidden/>
    <w:rsid w:val="00194852"/>
    <w:pPr>
      <w:spacing w:after="120"/>
      <w:ind w:left="283"/>
    </w:pPr>
  </w:style>
  <w:style w:type="paragraph" w:styleId="Continuarlista2">
    <w:name w:val="List Continue 2"/>
    <w:basedOn w:val="Normal"/>
    <w:semiHidden/>
    <w:rsid w:val="00194852"/>
    <w:pPr>
      <w:spacing w:after="120"/>
      <w:ind w:left="566"/>
    </w:pPr>
  </w:style>
  <w:style w:type="paragraph" w:styleId="Continuarlista3">
    <w:name w:val="List Continue 3"/>
    <w:basedOn w:val="Normal"/>
    <w:semiHidden/>
    <w:rsid w:val="00194852"/>
    <w:pPr>
      <w:spacing w:after="120"/>
      <w:ind w:left="849"/>
    </w:pPr>
  </w:style>
  <w:style w:type="paragraph" w:styleId="Continuarlista4">
    <w:name w:val="List Continue 4"/>
    <w:basedOn w:val="Normal"/>
    <w:semiHidden/>
    <w:rsid w:val="00194852"/>
    <w:pPr>
      <w:spacing w:after="120"/>
      <w:ind w:left="1132"/>
    </w:pPr>
  </w:style>
  <w:style w:type="paragraph" w:styleId="Continuarlista5">
    <w:name w:val="List Continue 5"/>
    <w:basedOn w:val="Normal"/>
    <w:semiHidden/>
    <w:rsid w:val="00194852"/>
    <w:pPr>
      <w:spacing w:after="120"/>
      <w:ind w:left="1415"/>
    </w:pPr>
  </w:style>
  <w:style w:type="character" w:styleId="DefinicinHTML">
    <w:name w:val="HTML Definition"/>
    <w:semiHidden/>
    <w:rsid w:val="00194852"/>
    <w:rPr>
      <w:i/>
      <w:iCs/>
    </w:rPr>
  </w:style>
  <w:style w:type="paragraph" w:styleId="DireccinHTML">
    <w:name w:val="HTML Address"/>
    <w:basedOn w:val="Normal"/>
    <w:link w:val="DireccinHTMLCar"/>
    <w:semiHidden/>
    <w:rsid w:val="00194852"/>
    <w:rPr>
      <w:i/>
      <w:iCs/>
    </w:rPr>
  </w:style>
  <w:style w:type="character" w:customStyle="1" w:styleId="DireccinHTMLCar">
    <w:name w:val="Dirección HTML Car"/>
    <w:link w:val="DireccinHTML"/>
    <w:semiHidden/>
    <w:rsid w:val="00194852"/>
    <w:rPr>
      <w:i/>
      <w:iCs/>
      <w:lang w:val="es-ES" w:eastAsia="es-ES"/>
    </w:rPr>
  </w:style>
  <w:style w:type="paragraph" w:styleId="Direccinsobre">
    <w:name w:val="envelope address"/>
    <w:basedOn w:val="Normal"/>
    <w:semiHidden/>
    <w:rsid w:val="00194852"/>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194852"/>
    <w:rPr>
      <w:rFonts w:ascii="Courier New" w:hAnsi="Courier New" w:cs="Courier New"/>
    </w:rPr>
  </w:style>
  <w:style w:type="paragraph" w:styleId="Encabezadodemensaje">
    <w:name w:val="Message Header"/>
    <w:basedOn w:val="Normal"/>
    <w:link w:val="EncabezadodemensajeCar"/>
    <w:semiHidden/>
    <w:rsid w:val="001948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EncabezadodemensajeCar">
    <w:name w:val="Encabezado de mensaje Car"/>
    <w:link w:val="Encabezadodemensaje"/>
    <w:semiHidden/>
    <w:rsid w:val="00194852"/>
    <w:rPr>
      <w:rFonts w:ascii="Arial" w:hAnsi="Arial" w:cs="Arial"/>
      <w:sz w:val="24"/>
      <w:szCs w:val="24"/>
      <w:shd w:val="pct20" w:color="auto" w:fill="auto"/>
      <w:lang w:val="es-ES" w:eastAsia="es-ES"/>
    </w:rPr>
  </w:style>
  <w:style w:type="paragraph" w:styleId="Encabezadodenota">
    <w:name w:val="Note Heading"/>
    <w:basedOn w:val="Normal"/>
    <w:next w:val="Normal"/>
    <w:link w:val="EncabezadodenotaCar"/>
    <w:semiHidden/>
    <w:rsid w:val="00194852"/>
  </w:style>
  <w:style w:type="character" w:customStyle="1" w:styleId="EncabezadodenotaCar">
    <w:name w:val="Encabezado de nota Car"/>
    <w:link w:val="Encabezadodenota"/>
    <w:semiHidden/>
    <w:rsid w:val="00194852"/>
    <w:rPr>
      <w:lang w:val="es-ES" w:eastAsia="es-ES"/>
    </w:rPr>
  </w:style>
  <w:style w:type="paragraph" w:styleId="Encabezado">
    <w:name w:val="header"/>
    <w:aliases w:val="6_G"/>
    <w:basedOn w:val="Normal"/>
    <w:next w:val="Normal"/>
    <w:link w:val="EncabezadoCar"/>
    <w:qFormat/>
    <w:rsid w:val="00194852"/>
    <w:pPr>
      <w:pBdr>
        <w:bottom w:val="single" w:sz="4" w:space="4" w:color="auto"/>
      </w:pBdr>
      <w:spacing w:line="240" w:lineRule="auto"/>
    </w:pPr>
    <w:rPr>
      <w:b/>
      <w:sz w:val="18"/>
    </w:rPr>
  </w:style>
  <w:style w:type="character" w:customStyle="1" w:styleId="EncabezadoCar">
    <w:name w:val="Encabezado Car"/>
    <w:aliases w:val="6_G Car"/>
    <w:link w:val="Encabezado"/>
    <w:rsid w:val="00194852"/>
    <w:rPr>
      <w:b/>
      <w:sz w:val="18"/>
      <w:lang w:val="es-ES" w:eastAsia="es-ES"/>
    </w:rPr>
  </w:style>
  <w:style w:type="paragraph" w:styleId="Fecha">
    <w:name w:val="Date"/>
    <w:basedOn w:val="Normal"/>
    <w:next w:val="Normal"/>
    <w:link w:val="FechaCar"/>
    <w:rsid w:val="00194852"/>
  </w:style>
  <w:style w:type="character" w:customStyle="1" w:styleId="FechaCar">
    <w:name w:val="Fecha Car"/>
    <w:link w:val="Fecha"/>
    <w:rsid w:val="00194852"/>
    <w:rPr>
      <w:lang w:val="es-ES" w:eastAsia="es-ES"/>
    </w:rPr>
  </w:style>
  <w:style w:type="paragraph" w:styleId="Firma">
    <w:name w:val="Signature"/>
    <w:basedOn w:val="Normal"/>
    <w:link w:val="FirmaCar"/>
    <w:semiHidden/>
    <w:rsid w:val="00194852"/>
    <w:pPr>
      <w:ind w:left="4252"/>
    </w:pPr>
  </w:style>
  <w:style w:type="character" w:customStyle="1" w:styleId="FirmaCar">
    <w:name w:val="Firma Car"/>
    <w:link w:val="Firma"/>
    <w:semiHidden/>
    <w:rsid w:val="00194852"/>
    <w:rPr>
      <w:lang w:val="es-ES" w:eastAsia="es-ES"/>
    </w:rPr>
  </w:style>
  <w:style w:type="paragraph" w:styleId="Firmadecorreoelectrnico">
    <w:name w:val="E-mail Signature"/>
    <w:basedOn w:val="Normal"/>
    <w:link w:val="FirmadecorreoelectrnicoCar"/>
    <w:semiHidden/>
    <w:rsid w:val="00194852"/>
  </w:style>
  <w:style w:type="character" w:customStyle="1" w:styleId="FirmadecorreoelectrnicoCar">
    <w:name w:val="Firma de correo electrónico Car"/>
    <w:link w:val="Firmadecorreoelectrnico"/>
    <w:semiHidden/>
    <w:rsid w:val="00194852"/>
    <w:rPr>
      <w:lang w:val="es-ES" w:eastAsia="es-ES"/>
    </w:rPr>
  </w:style>
  <w:style w:type="character" w:styleId="Hipervnculo">
    <w:name w:val="Hyperlink"/>
    <w:rsid w:val="00194852"/>
    <w:rPr>
      <w:color w:val="0000FF"/>
      <w:u w:val="none"/>
    </w:rPr>
  </w:style>
  <w:style w:type="character" w:styleId="Hipervnculovisitado">
    <w:name w:val="FollowedHyperlink"/>
    <w:rsid w:val="00194852"/>
    <w:rPr>
      <w:color w:val="0000FF"/>
      <w:u w:val="none"/>
    </w:rPr>
  </w:style>
  <w:style w:type="paragraph" w:styleId="HTMLconformatoprevio">
    <w:name w:val="HTML Preformatted"/>
    <w:basedOn w:val="Normal"/>
    <w:link w:val="HTMLconformatoprevioCar"/>
    <w:semiHidden/>
    <w:rsid w:val="00194852"/>
    <w:rPr>
      <w:rFonts w:ascii="Courier New" w:hAnsi="Courier New" w:cs="Courier New"/>
    </w:rPr>
  </w:style>
  <w:style w:type="character" w:customStyle="1" w:styleId="HTMLconformatoprevioCar">
    <w:name w:val="HTML con formato previo Car"/>
    <w:link w:val="HTMLconformatoprevio"/>
    <w:semiHidden/>
    <w:rsid w:val="00194852"/>
    <w:rPr>
      <w:rFonts w:ascii="Courier New" w:hAnsi="Courier New" w:cs="Courier New"/>
      <w:lang w:val="es-ES" w:eastAsia="es-ES"/>
    </w:rPr>
  </w:style>
  <w:style w:type="paragraph" w:styleId="Lista">
    <w:name w:val="List"/>
    <w:basedOn w:val="Normal"/>
    <w:semiHidden/>
    <w:rsid w:val="00194852"/>
    <w:pPr>
      <w:ind w:left="283" w:hanging="283"/>
    </w:pPr>
  </w:style>
  <w:style w:type="paragraph" w:styleId="Lista2">
    <w:name w:val="List 2"/>
    <w:basedOn w:val="Normal"/>
    <w:semiHidden/>
    <w:rsid w:val="00194852"/>
    <w:pPr>
      <w:ind w:left="566" w:hanging="283"/>
    </w:pPr>
  </w:style>
  <w:style w:type="paragraph" w:styleId="Lista3">
    <w:name w:val="List 3"/>
    <w:basedOn w:val="Normal"/>
    <w:semiHidden/>
    <w:rsid w:val="00194852"/>
    <w:pPr>
      <w:ind w:left="849" w:hanging="283"/>
    </w:pPr>
  </w:style>
  <w:style w:type="paragraph" w:styleId="Listaconnmeros2">
    <w:name w:val="List Number 2"/>
    <w:basedOn w:val="Normal"/>
    <w:semiHidden/>
    <w:rsid w:val="00194852"/>
    <w:pPr>
      <w:numPr>
        <w:numId w:val="27"/>
      </w:numPr>
    </w:pPr>
  </w:style>
  <w:style w:type="paragraph" w:styleId="Listaconnmeros3">
    <w:name w:val="List Number 3"/>
    <w:basedOn w:val="Normal"/>
    <w:semiHidden/>
    <w:rsid w:val="00194852"/>
    <w:pPr>
      <w:numPr>
        <w:numId w:val="28"/>
      </w:numPr>
    </w:pPr>
  </w:style>
  <w:style w:type="paragraph" w:styleId="Listaconnmeros4">
    <w:name w:val="List Number 4"/>
    <w:basedOn w:val="Normal"/>
    <w:semiHidden/>
    <w:rsid w:val="00194852"/>
    <w:pPr>
      <w:numPr>
        <w:numId w:val="29"/>
      </w:numPr>
    </w:pPr>
  </w:style>
  <w:style w:type="paragraph" w:styleId="Listaconnmeros5">
    <w:name w:val="List Number 5"/>
    <w:basedOn w:val="Normal"/>
    <w:semiHidden/>
    <w:rsid w:val="00194852"/>
    <w:pPr>
      <w:numPr>
        <w:numId w:val="30"/>
      </w:numPr>
    </w:pPr>
  </w:style>
  <w:style w:type="paragraph" w:styleId="Listaconvietas">
    <w:name w:val="List Bullet"/>
    <w:basedOn w:val="Normal"/>
    <w:semiHidden/>
    <w:rsid w:val="00194852"/>
    <w:pPr>
      <w:numPr>
        <w:numId w:val="31"/>
      </w:numPr>
    </w:pPr>
  </w:style>
  <w:style w:type="paragraph" w:styleId="Listaconvietas2">
    <w:name w:val="List Bullet 2"/>
    <w:basedOn w:val="Normal"/>
    <w:semiHidden/>
    <w:rsid w:val="00194852"/>
    <w:pPr>
      <w:numPr>
        <w:numId w:val="32"/>
      </w:numPr>
    </w:pPr>
  </w:style>
  <w:style w:type="paragraph" w:styleId="Listaconvietas3">
    <w:name w:val="List Bullet 3"/>
    <w:basedOn w:val="Normal"/>
    <w:semiHidden/>
    <w:rsid w:val="00194852"/>
    <w:pPr>
      <w:numPr>
        <w:numId w:val="33"/>
      </w:numPr>
    </w:pPr>
  </w:style>
  <w:style w:type="paragraph" w:styleId="Listaconvietas4">
    <w:name w:val="List Bullet 4"/>
    <w:basedOn w:val="Normal"/>
    <w:semiHidden/>
    <w:rsid w:val="00194852"/>
    <w:pPr>
      <w:numPr>
        <w:numId w:val="34"/>
      </w:numPr>
    </w:pPr>
  </w:style>
  <w:style w:type="paragraph" w:styleId="Listaconvietas5">
    <w:name w:val="List Bullet 5"/>
    <w:basedOn w:val="Normal"/>
    <w:semiHidden/>
    <w:rsid w:val="00194852"/>
    <w:pPr>
      <w:numPr>
        <w:numId w:val="35"/>
      </w:numPr>
    </w:pPr>
  </w:style>
  <w:style w:type="character" w:styleId="MquinadeescribirHTML">
    <w:name w:val="HTML Typewriter"/>
    <w:semiHidden/>
    <w:rsid w:val="00194852"/>
    <w:rPr>
      <w:rFonts w:ascii="Courier New" w:hAnsi="Courier New" w:cs="Courier New"/>
      <w:sz w:val="20"/>
      <w:szCs w:val="20"/>
    </w:rPr>
  </w:style>
  <w:style w:type="paragraph" w:styleId="NormalWeb">
    <w:name w:val="Normal (Web)"/>
    <w:basedOn w:val="Normal"/>
    <w:semiHidden/>
    <w:rsid w:val="00194852"/>
    <w:rPr>
      <w:sz w:val="24"/>
      <w:szCs w:val="24"/>
    </w:rPr>
  </w:style>
  <w:style w:type="character" w:styleId="Nmerodelnea">
    <w:name w:val="line number"/>
    <w:basedOn w:val="Fuentedeprrafopredeter"/>
    <w:semiHidden/>
    <w:rsid w:val="00194852"/>
  </w:style>
  <w:style w:type="character" w:styleId="Nmerodepgina">
    <w:name w:val="page number"/>
    <w:aliases w:val="7_G"/>
    <w:qFormat/>
    <w:rsid w:val="00194852"/>
    <w:rPr>
      <w:b/>
      <w:sz w:val="18"/>
    </w:rPr>
  </w:style>
  <w:style w:type="paragraph" w:styleId="Piedepgina">
    <w:name w:val="footer"/>
    <w:aliases w:val="3_G"/>
    <w:basedOn w:val="Normal"/>
    <w:next w:val="Normal"/>
    <w:link w:val="PiedepginaCar"/>
    <w:qFormat/>
    <w:rsid w:val="00194852"/>
    <w:rPr>
      <w:sz w:val="16"/>
    </w:rPr>
  </w:style>
  <w:style w:type="character" w:customStyle="1" w:styleId="PiedepginaCar">
    <w:name w:val="Pie de página Car"/>
    <w:aliases w:val="3_G Car"/>
    <w:link w:val="Piedepgina"/>
    <w:rsid w:val="00194852"/>
    <w:rPr>
      <w:sz w:val="16"/>
      <w:lang w:val="es-ES" w:eastAsia="es-ES"/>
    </w:rPr>
  </w:style>
  <w:style w:type="character" w:styleId="Refdenotaalfinal">
    <w:name w:val="endnote reference"/>
    <w:aliases w:val="1_G"/>
    <w:qFormat/>
    <w:rsid w:val="00194852"/>
    <w:rPr>
      <w:rFonts w:ascii="Times New Roman" w:hAnsi="Times New Roman"/>
      <w:sz w:val="18"/>
      <w:vertAlign w:val="superscript"/>
    </w:rPr>
  </w:style>
  <w:style w:type="character" w:styleId="Refdenotaalpie">
    <w:name w:val="footnote reference"/>
    <w:aliases w:val="4_G"/>
    <w:qFormat/>
    <w:rsid w:val="00194852"/>
    <w:rPr>
      <w:rFonts w:ascii="Times New Roman" w:hAnsi="Times New Roman"/>
      <w:sz w:val="18"/>
      <w:vertAlign w:val="superscript"/>
    </w:rPr>
  </w:style>
  <w:style w:type="paragraph" w:styleId="Remitedesobre">
    <w:name w:val="envelope return"/>
    <w:basedOn w:val="Normal"/>
    <w:semiHidden/>
    <w:rsid w:val="00194852"/>
    <w:rPr>
      <w:rFonts w:ascii="Arial" w:hAnsi="Arial" w:cs="Arial"/>
    </w:rPr>
  </w:style>
  <w:style w:type="paragraph" w:styleId="Sangra2detindependiente">
    <w:name w:val="Body Text Indent 2"/>
    <w:basedOn w:val="Normal"/>
    <w:link w:val="Sangra2detindependienteCar"/>
    <w:semiHidden/>
    <w:rsid w:val="00194852"/>
    <w:pPr>
      <w:spacing w:after="120" w:line="480" w:lineRule="auto"/>
      <w:ind w:left="283"/>
    </w:pPr>
  </w:style>
  <w:style w:type="character" w:customStyle="1" w:styleId="Sangra2detindependienteCar">
    <w:name w:val="Sangría 2 de t. independiente Car"/>
    <w:link w:val="Sangra2detindependiente"/>
    <w:semiHidden/>
    <w:rsid w:val="00194852"/>
    <w:rPr>
      <w:lang w:val="es-ES" w:eastAsia="es-ES"/>
    </w:rPr>
  </w:style>
  <w:style w:type="paragraph" w:styleId="Sangra3detindependiente">
    <w:name w:val="Body Text Indent 3"/>
    <w:basedOn w:val="Normal"/>
    <w:link w:val="Sangra3detindependienteCar"/>
    <w:semiHidden/>
    <w:rsid w:val="00194852"/>
    <w:pPr>
      <w:spacing w:after="120"/>
      <w:ind w:left="283"/>
    </w:pPr>
    <w:rPr>
      <w:sz w:val="16"/>
      <w:szCs w:val="16"/>
    </w:rPr>
  </w:style>
  <w:style w:type="character" w:customStyle="1" w:styleId="Sangra3detindependienteCar">
    <w:name w:val="Sangría 3 de t. independiente Car"/>
    <w:link w:val="Sangra3detindependiente"/>
    <w:semiHidden/>
    <w:rsid w:val="00194852"/>
    <w:rPr>
      <w:sz w:val="16"/>
      <w:szCs w:val="16"/>
      <w:lang w:val="es-ES" w:eastAsia="es-ES"/>
    </w:rPr>
  </w:style>
  <w:style w:type="paragraph" w:styleId="Sangradetextonormal">
    <w:name w:val="Body Text Indent"/>
    <w:basedOn w:val="Normal"/>
    <w:link w:val="SangradetextonormalCar"/>
    <w:semiHidden/>
    <w:rsid w:val="00194852"/>
    <w:pPr>
      <w:spacing w:after="120"/>
      <w:ind w:left="283"/>
    </w:pPr>
  </w:style>
  <w:style w:type="character" w:customStyle="1" w:styleId="SangradetextonormalCar">
    <w:name w:val="Sangría de texto normal Car"/>
    <w:link w:val="Sangradetextonormal"/>
    <w:semiHidden/>
    <w:rsid w:val="00194852"/>
    <w:rPr>
      <w:lang w:val="es-ES" w:eastAsia="es-ES"/>
    </w:rPr>
  </w:style>
  <w:style w:type="paragraph" w:styleId="Sangranormal">
    <w:name w:val="Normal Indent"/>
    <w:basedOn w:val="Normal"/>
    <w:semiHidden/>
    <w:rsid w:val="00194852"/>
    <w:pPr>
      <w:ind w:left="567"/>
    </w:pPr>
  </w:style>
  <w:style w:type="table" w:styleId="Tablabsica1">
    <w:name w:val="Table Simple 1"/>
    <w:basedOn w:val="Tablanormal"/>
    <w:semiHidden/>
    <w:rsid w:val="00194852"/>
    <w:pPr>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194852"/>
    <w:pPr>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194852"/>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194852"/>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194852"/>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194852"/>
    <w:pPr>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194852"/>
    <w:pPr>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194852"/>
    <w:pPr>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194852"/>
    <w:pPr>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194852"/>
    <w:pPr>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194852"/>
    <w:pPr>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194852"/>
    <w:pPr>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
    <w:name w:val="Table Grid"/>
    <w:basedOn w:val="Tablanormal"/>
    <w:rsid w:val="00194852"/>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
    <w:name w:val="Table Grid 1"/>
    <w:basedOn w:val="Tablanormal"/>
    <w:semiHidden/>
    <w:rsid w:val="00194852"/>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194852"/>
    <w:pPr>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194852"/>
    <w:pPr>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194852"/>
    <w:pPr>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194852"/>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194852"/>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194852"/>
    <w:pPr>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194852"/>
    <w:pPr>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194852"/>
    <w:pPr>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194852"/>
    <w:pPr>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194852"/>
    <w:pPr>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194852"/>
    <w:pPr>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194852"/>
    <w:pPr>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194852"/>
    <w:pPr>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194852"/>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194852"/>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194852"/>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194852"/>
    <w:pPr>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194852"/>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194852"/>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194852"/>
    <w:pPr>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194852"/>
    <w:pPr>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194852"/>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194852"/>
    <w:pPr>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194852"/>
    <w:pPr>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194852"/>
    <w:pPr>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194852"/>
    <w:pPr>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194852"/>
    <w:pPr>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194852"/>
    <w:pPr>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194852"/>
    <w:pPr>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194852"/>
    <w:pPr>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194852"/>
    <w:rPr>
      <w:rFonts w:ascii="Courier New" w:hAnsi="Courier New" w:cs="Courier New"/>
      <w:sz w:val="20"/>
      <w:szCs w:val="20"/>
    </w:rPr>
  </w:style>
  <w:style w:type="paragraph" w:styleId="Textodebloque">
    <w:name w:val="Block Text"/>
    <w:basedOn w:val="Normal"/>
    <w:semiHidden/>
    <w:rsid w:val="00194852"/>
    <w:pPr>
      <w:spacing w:after="120"/>
      <w:ind w:left="1440" w:right="1440"/>
    </w:pPr>
  </w:style>
  <w:style w:type="paragraph" w:styleId="Textoindependiente">
    <w:name w:val="Body Text"/>
    <w:basedOn w:val="Normal"/>
    <w:link w:val="TextoindependienteCar"/>
    <w:semiHidden/>
    <w:rsid w:val="00194852"/>
    <w:pPr>
      <w:spacing w:after="120"/>
    </w:pPr>
  </w:style>
  <w:style w:type="character" w:customStyle="1" w:styleId="TextoindependienteCar">
    <w:name w:val="Texto independiente Car"/>
    <w:link w:val="Textoindependiente"/>
    <w:semiHidden/>
    <w:rsid w:val="00194852"/>
    <w:rPr>
      <w:lang w:val="es-ES" w:eastAsia="es-ES"/>
    </w:rPr>
  </w:style>
  <w:style w:type="paragraph" w:styleId="Textoindependiente2">
    <w:name w:val="Body Text 2"/>
    <w:basedOn w:val="Normal"/>
    <w:link w:val="Textoindependiente2Car"/>
    <w:semiHidden/>
    <w:rsid w:val="00194852"/>
    <w:pPr>
      <w:spacing w:after="120" w:line="480" w:lineRule="auto"/>
    </w:pPr>
  </w:style>
  <w:style w:type="character" w:customStyle="1" w:styleId="Textoindependiente2Car">
    <w:name w:val="Texto independiente 2 Car"/>
    <w:link w:val="Textoindependiente2"/>
    <w:semiHidden/>
    <w:rsid w:val="00194852"/>
    <w:rPr>
      <w:lang w:val="es-ES" w:eastAsia="es-ES"/>
    </w:rPr>
  </w:style>
  <w:style w:type="paragraph" w:styleId="Textoindependiente3">
    <w:name w:val="Body Text 3"/>
    <w:basedOn w:val="Normal"/>
    <w:link w:val="Textoindependiente3Car"/>
    <w:semiHidden/>
    <w:rsid w:val="00194852"/>
    <w:pPr>
      <w:spacing w:after="120"/>
    </w:pPr>
    <w:rPr>
      <w:sz w:val="16"/>
      <w:szCs w:val="16"/>
    </w:rPr>
  </w:style>
  <w:style w:type="character" w:customStyle="1" w:styleId="Textoindependiente3Car">
    <w:name w:val="Texto independiente 3 Car"/>
    <w:link w:val="Textoindependiente3"/>
    <w:semiHidden/>
    <w:rsid w:val="00194852"/>
    <w:rPr>
      <w:sz w:val="16"/>
      <w:szCs w:val="16"/>
      <w:lang w:val="es-ES" w:eastAsia="es-ES"/>
    </w:rPr>
  </w:style>
  <w:style w:type="paragraph" w:styleId="Textoindependienteprimerasangra">
    <w:name w:val="Body Text First Indent"/>
    <w:basedOn w:val="Textoindependiente"/>
    <w:link w:val="TextoindependienteprimerasangraCar"/>
    <w:rsid w:val="00194852"/>
    <w:pPr>
      <w:ind w:firstLine="210"/>
    </w:pPr>
  </w:style>
  <w:style w:type="character" w:customStyle="1" w:styleId="TextoindependienteprimerasangraCar">
    <w:name w:val="Texto independiente primera sangría Car"/>
    <w:basedOn w:val="TextoindependienteCar"/>
    <w:link w:val="Textoindependienteprimerasangra"/>
    <w:rsid w:val="00194852"/>
    <w:rPr>
      <w:lang w:val="es-ES" w:eastAsia="es-ES"/>
    </w:rPr>
  </w:style>
  <w:style w:type="paragraph" w:styleId="Revisin">
    <w:name w:val="Revision"/>
    <w:hidden/>
    <w:uiPriority w:val="99"/>
    <w:semiHidden/>
    <w:rsid w:val="00997656"/>
  </w:style>
  <w:style w:type="paragraph" w:styleId="Textoindependienteprimerasangra2">
    <w:name w:val="Body Text First Indent 2"/>
    <w:basedOn w:val="Sangradetextonormal"/>
    <w:link w:val="Textoindependienteprimerasangra2Car"/>
    <w:semiHidden/>
    <w:rsid w:val="00194852"/>
    <w:pPr>
      <w:ind w:firstLine="210"/>
    </w:pPr>
  </w:style>
  <w:style w:type="character" w:customStyle="1" w:styleId="Textoindependienteprimerasangra2Car">
    <w:name w:val="Texto independiente primera sangría 2 Car"/>
    <w:basedOn w:val="SangradetextonormalCar"/>
    <w:link w:val="Textoindependienteprimerasangra2"/>
    <w:semiHidden/>
    <w:rsid w:val="00194852"/>
    <w:rPr>
      <w:lang w:val="es-ES" w:eastAsia="es-ES"/>
    </w:rPr>
  </w:style>
  <w:style w:type="paragraph" w:styleId="Textonotapie">
    <w:name w:val="footnote text"/>
    <w:aliases w:val="5_G"/>
    <w:basedOn w:val="Normal"/>
    <w:link w:val="TextonotapieCar"/>
    <w:qFormat/>
    <w:rsid w:val="00194852"/>
    <w:pPr>
      <w:tabs>
        <w:tab w:val="right" w:pos="1021"/>
      </w:tabs>
      <w:spacing w:line="220" w:lineRule="exact"/>
      <w:ind w:left="1134" w:right="1134" w:hanging="1134"/>
    </w:pPr>
    <w:rPr>
      <w:sz w:val="18"/>
    </w:rPr>
  </w:style>
  <w:style w:type="character" w:customStyle="1" w:styleId="TextonotapieCar">
    <w:name w:val="Texto nota pie Car"/>
    <w:aliases w:val="5_G Car"/>
    <w:link w:val="Textonotapie"/>
    <w:rsid w:val="00194852"/>
    <w:rPr>
      <w:sz w:val="18"/>
      <w:lang w:val="es-ES" w:eastAsia="es-ES"/>
    </w:rPr>
  </w:style>
  <w:style w:type="paragraph" w:styleId="Textonotaalfinal">
    <w:name w:val="endnote text"/>
    <w:aliases w:val="2_G"/>
    <w:basedOn w:val="Textonotapie"/>
    <w:link w:val="TextonotaalfinalCar"/>
    <w:qFormat/>
    <w:rsid w:val="00194852"/>
  </w:style>
  <w:style w:type="character" w:customStyle="1" w:styleId="TextonotaalfinalCar">
    <w:name w:val="Texto nota al final Car"/>
    <w:aliases w:val="2_G Car"/>
    <w:link w:val="Textonotaalfinal"/>
    <w:rsid w:val="00194852"/>
    <w:rPr>
      <w:sz w:val="18"/>
      <w:lang w:val="es-ES" w:eastAsia="es-ES"/>
    </w:rPr>
  </w:style>
  <w:style w:type="paragraph" w:styleId="Textosinformato">
    <w:name w:val="Plain Text"/>
    <w:basedOn w:val="Normal"/>
    <w:link w:val="TextosinformatoCar"/>
    <w:semiHidden/>
    <w:rsid w:val="00194852"/>
    <w:rPr>
      <w:rFonts w:ascii="Courier New" w:hAnsi="Courier New" w:cs="Courier New"/>
    </w:rPr>
  </w:style>
  <w:style w:type="character" w:customStyle="1" w:styleId="TextosinformatoCar">
    <w:name w:val="Texto sin formato Car"/>
    <w:link w:val="Textosinformato"/>
    <w:semiHidden/>
    <w:rsid w:val="00194852"/>
    <w:rPr>
      <w:rFonts w:ascii="Courier New" w:hAnsi="Courier New" w:cs="Courier New"/>
      <w:lang w:val="es-ES" w:eastAsia="es-ES"/>
    </w:rPr>
  </w:style>
  <w:style w:type="character" w:customStyle="1" w:styleId="Ttulo1Car">
    <w:name w:val="Título 1 Car"/>
    <w:aliases w:val="Cuadro_G Car"/>
    <w:link w:val="Ttulo1"/>
    <w:rsid w:val="00D4263A"/>
    <w:rPr>
      <w:lang w:val="fr-CH" w:eastAsia="en-US"/>
    </w:rPr>
  </w:style>
  <w:style w:type="character" w:styleId="VariableHTML">
    <w:name w:val="HTML Variable"/>
    <w:semiHidden/>
    <w:rsid w:val="00194852"/>
    <w:rPr>
      <w:i/>
      <w:iCs/>
    </w:rPr>
  </w:style>
  <w:style w:type="paragraph" w:styleId="Textodeglobo">
    <w:name w:val="Balloon Text"/>
    <w:basedOn w:val="Normal"/>
    <w:link w:val="TextodegloboCar"/>
    <w:semiHidden/>
    <w:unhideWhenUsed/>
    <w:rsid w:val="00D4263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D4263A"/>
    <w:rPr>
      <w:rFonts w:ascii="Segoe UI" w:hAnsi="Segoe UI" w:cs="Segoe UI"/>
      <w:sz w:val="18"/>
      <w:szCs w:val="18"/>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style>
  <w:style w:type="character" w:styleId="Refdecomentario">
    <w:name w:val="annotation reference"/>
    <w:basedOn w:val="Fuentedeprrafopredeter"/>
    <w:semiHidden/>
    <w:unhideWhenUsed/>
    <w:rPr>
      <w:sz w:val="16"/>
      <w:szCs w:val="16"/>
    </w:rPr>
  </w:style>
  <w:style w:type="character" w:customStyle="1" w:styleId="SingleTxtGChar">
    <w:name w:val="_ Single Txt_G Char"/>
    <w:link w:val="SingleTxtG"/>
    <w:rsid w:val="00D44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23950">
      <w:bodyDiv w:val="1"/>
      <w:marLeft w:val="0"/>
      <w:marRight w:val="0"/>
      <w:marTop w:val="0"/>
      <w:marBottom w:val="0"/>
      <w:divBdr>
        <w:top w:val="none" w:sz="0" w:space="0" w:color="auto"/>
        <w:left w:val="none" w:sz="0" w:space="0" w:color="auto"/>
        <w:bottom w:val="none" w:sz="0" w:space="0" w:color="auto"/>
        <w:right w:val="none" w:sz="0" w:space="0" w:color="auto"/>
      </w:divBdr>
    </w:div>
    <w:div w:id="314380289">
      <w:bodyDiv w:val="1"/>
      <w:marLeft w:val="0"/>
      <w:marRight w:val="0"/>
      <w:marTop w:val="0"/>
      <w:marBottom w:val="0"/>
      <w:divBdr>
        <w:top w:val="none" w:sz="0" w:space="0" w:color="auto"/>
        <w:left w:val="none" w:sz="0" w:space="0" w:color="auto"/>
        <w:bottom w:val="none" w:sz="0" w:space="0" w:color="auto"/>
        <w:right w:val="none" w:sz="0" w:space="0" w:color="auto"/>
      </w:divBdr>
    </w:div>
    <w:div w:id="352728687">
      <w:bodyDiv w:val="1"/>
      <w:marLeft w:val="0"/>
      <w:marRight w:val="0"/>
      <w:marTop w:val="0"/>
      <w:marBottom w:val="0"/>
      <w:divBdr>
        <w:top w:val="none" w:sz="0" w:space="0" w:color="auto"/>
        <w:left w:val="none" w:sz="0" w:space="0" w:color="auto"/>
        <w:bottom w:val="none" w:sz="0" w:space="0" w:color="auto"/>
        <w:right w:val="none" w:sz="0" w:space="0" w:color="auto"/>
      </w:divBdr>
    </w:div>
    <w:div w:id="363871271">
      <w:bodyDiv w:val="1"/>
      <w:marLeft w:val="0"/>
      <w:marRight w:val="0"/>
      <w:marTop w:val="0"/>
      <w:marBottom w:val="0"/>
      <w:divBdr>
        <w:top w:val="none" w:sz="0" w:space="0" w:color="auto"/>
        <w:left w:val="none" w:sz="0" w:space="0" w:color="auto"/>
        <w:bottom w:val="none" w:sz="0" w:space="0" w:color="auto"/>
        <w:right w:val="none" w:sz="0" w:space="0" w:color="auto"/>
      </w:divBdr>
    </w:div>
    <w:div w:id="432752069">
      <w:bodyDiv w:val="1"/>
      <w:marLeft w:val="0"/>
      <w:marRight w:val="0"/>
      <w:marTop w:val="0"/>
      <w:marBottom w:val="0"/>
      <w:divBdr>
        <w:top w:val="none" w:sz="0" w:space="0" w:color="auto"/>
        <w:left w:val="none" w:sz="0" w:space="0" w:color="auto"/>
        <w:bottom w:val="none" w:sz="0" w:space="0" w:color="auto"/>
        <w:right w:val="none" w:sz="0" w:space="0" w:color="auto"/>
      </w:divBdr>
    </w:div>
    <w:div w:id="538977292">
      <w:bodyDiv w:val="1"/>
      <w:marLeft w:val="0"/>
      <w:marRight w:val="0"/>
      <w:marTop w:val="0"/>
      <w:marBottom w:val="0"/>
      <w:divBdr>
        <w:top w:val="none" w:sz="0" w:space="0" w:color="auto"/>
        <w:left w:val="none" w:sz="0" w:space="0" w:color="auto"/>
        <w:bottom w:val="none" w:sz="0" w:space="0" w:color="auto"/>
        <w:right w:val="none" w:sz="0" w:space="0" w:color="auto"/>
      </w:divBdr>
    </w:div>
    <w:div w:id="577716535">
      <w:bodyDiv w:val="1"/>
      <w:marLeft w:val="0"/>
      <w:marRight w:val="0"/>
      <w:marTop w:val="0"/>
      <w:marBottom w:val="0"/>
      <w:divBdr>
        <w:top w:val="none" w:sz="0" w:space="0" w:color="auto"/>
        <w:left w:val="none" w:sz="0" w:space="0" w:color="auto"/>
        <w:bottom w:val="none" w:sz="0" w:space="0" w:color="auto"/>
        <w:right w:val="none" w:sz="0" w:space="0" w:color="auto"/>
      </w:divBdr>
    </w:div>
    <w:div w:id="608315720">
      <w:bodyDiv w:val="1"/>
      <w:marLeft w:val="0"/>
      <w:marRight w:val="0"/>
      <w:marTop w:val="0"/>
      <w:marBottom w:val="0"/>
      <w:divBdr>
        <w:top w:val="none" w:sz="0" w:space="0" w:color="auto"/>
        <w:left w:val="none" w:sz="0" w:space="0" w:color="auto"/>
        <w:bottom w:val="none" w:sz="0" w:space="0" w:color="auto"/>
        <w:right w:val="none" w:sz="0" w:space="0" w:color="auto"/>
      </w:divBdr>
    </w:div>
    <w:div w:id="688919632">
      <w:bodyDiv w:val="1"/>
      <w:marLeft w:val="0"/>
      <w:marRight w:val="0"/>
      <w:marTop w:val="0"/>
      <w:marBottom w:val="0"/>
      <w:divBdr>
        <w:top w:val="none" w:sz="0" w:space="0" w:color="auto"/>
        <w:left w:val="none" w:sz="0" w:space="0" w:color="auto"/>
        <w:bottom w:val="none" w:sz="0" w:space="0" w:color="auto"/>
        <w:right w:val="none" w:sz="0" w:space="0" w:color="auto"/>
      </w:divBdr>
    </w:div>
    <w:div w:id="889923794">
      <w:bodyDiv w:val="1"/>
      <w:marLeft w:val="0"/>
      <w:marRight w:val="0"/>
      <w:marTop w:val="0"/>
      <w:marBottom w:val="0"/>
      <w:divBdr>
        <w:top w:val="none" w:sz="0" w:space="0" w:color="auto"/>
        <w:left w:val="none" w:sz="0" w:space="0" w:color="auto"/>
        <w:bottom w:val="none" w:sz="0" w:space="0" w:color="auto"/>
        <w:right w:val="none" w:sz="0" w:space="0" w:color="auto"/>
      </w:divBdr>
      <w:divsChild>
        <w:div w:id="1686857276">
          <w:marLeft w:val="0"/>
          <w:marRight w:val="0"/>
          <w:marTop w:val="0"/>
          <w:marBottom w:val="0"/>
          <w:divBdr>
            <w:top w:val="none" w:sz="0" w:space="0" w:color="auto"/>
            <w:left w:val="none" w:sz="0" w:space="0" w:color="auto"/>
            <w:bottom w:val="none" w:sz="0" w:space="0" w:color="auto"/>
            <w:right w:val="none" w:sz="0" w:space="0" w:color="auto"/>
          </w:divBdr>
          <w:divsChild>
            <w:div w:id="1771464934">
              <w:marLeft w:val="0"/>
              <w:marRight w:val="0"/>
              <w:marTop w:val="0"/>
              <w:marBottom w:val="0"/>
              <w:divBdr>
                <w:top w:val="none" w:sz="0" w:space="0" w:color="auto"/>
                <w:left w:val="none" w:sz="0" w:space="0" w:color="auto"/>
                <w:bottom w:val="none" w:sz="0" w:space="0" w:color="auto"/>
                <w:right w:val="none" w:sz="0" w:space="0" w:color="auto"/>
              </w:divBdr>
              <w:divsChild>
                <w:div w:id="785731105">
                  <w:marLeft w:val="0"/>
                  <w:marRight w:val="0"/>
                  <w:marTop w:val="0"/>
                  <w:marBottom w:val="0"/>
                  <w:divBdr>
                    <w:top w:val="none" w:sz="0" w:space="0" w:color="auto"/>
                    <w:left w:val="none" w:sz="0" w:space="0" w:color="auto"/>
                    <w:bottom w:val="none" w:sz="0" w:space="0" w:color="auto"/>
                    <w:right w:val="none" w:sz="0" w:space="0" w:color="auto"/>
                  </w:divBdr>
                  <w:divsChild>
                    <w:div w:id="232473876">
                      <w:marLeft w:val="0"/>
                      <w:marRight w:val="0"/>
                      <w:marTop w:val="0"/>
                      <w:marBottom w:val="0"/>
                      <w:divBdr>
                        <w:top w:val="none" w:sz="0" w:space="0" w:color="auto"/>
                        <w:left w:val="none" w:sz="0" w:space="0" w:color="auto"/>
                        <w:bottom w:val="none" w:sz="0" w:space="0" w:color="auto"/>
                        <w:right w:val="none" w:sz="0" w:space="0" w:color="auto"/>
                      </w:divBdr>
                      <w:divsChild>
                        <w:div w:id="2103067179">
                          <w:marLeft w:val="0"/>
                          <w:marRight w:val="0"/>
                          <w:marTop w:val="0"/>
                          <w:marBottom w:val="0"/>
                          <w:divBdr>
                            <w:top w:val="none" w:sz="0" w:space="0" w:color="auto"/>
                            <w:left w:val="none" w:sz="0" w:space="0" w:color="auto"/>
                            <w:bottom w:val="none" w:sz="0" w:space="0" w:color="auto"/>
                            <w:right w:val="none" w:sz="0" w:space="0" w:color="auto"/>
                          </w:divBdr>
                          <w:divsChild>
                            <w:div w:id="712921564">
                              <w:marLeft w:val="0"/>
                              <w:marRight w:val="0"/>
                              <w:marTop w:val="0"/>
                              <w:marBottom w:val="0"/>
                              <w:divBdr>
                                <w:top w:val="none" w:sz="0" w:space="0" w:color="auto"/>
                                <w:left w:val="none" w:sz="0" w:space="0" w:color="auto"/>
                                <w:bottom w:val="none" w:sz="0" w:space="0" w:color="auto"/>
                                <w:right w:val="none" w:sz="0" w:space="0" w:color="auto"/>
                              </w:divBdr>
                              <w:divsChild>
                                <w:div w:id="36782966">
                                  <w:marLeft w:val="0"/>
                                  <w:marRight w:val="0"/>
                                  <w:marTop w:val="0"/>
                                  <w:marBottom w:val="0"/>
                                  <w:divBdr>
                                    <w:top w:val="none" w:sz="0" w:space="0" w:color="auto"/>
                                    <w:left w:val="none" w:sz="0" w:space="0" w:color="auto"/>
                                    <w:bottom w:val="none" w:sz="0" w:space="0" w:color="auto"/>
                                    <w:right w:val="none" w:sz="0" w:space="0" w:color="auto"/>
                                  </w:divBdr>
                                  <w:divsChild>
                                    <w:div w:id="1063674540">
                                      <w:marLeft w:val="0"/>
                                      <w:marRight w:val="0"/>
                                      <w:marTop w:val="0"/>
                                      <w:marBottom w:val="0"/>
                                      <w:divBdr>
                                        <w:top w:val="none" w:sz="0" w:space="0" w:color="auto"/>
                                        <w:left w:val="none" w:sz="0" w:space="0" w:color="auto"/>
                                        <w:bottom w:val="none" w:sz="0" w:space="0" w:color="auto"/>
                                        <w:right w:val="none" w:sz="0" w:space="0" w:color="auto"/>
                                      </w:divBdr>
                                      <w:divsChild>
                                        <w:div w:id="241109568">
                                          <w:marLeft w:val="0"/>
                                          <w:marRight w:val="0"/>
                                          <w:marTop w:val="0"/>
                                          <w:marBottom w:val="0"/>
                                          <w:divBdr>
                                            <w:top w:val="none" w:sz="0" w:space="0" w:color="auto"/>
                                            <w:left w:val="none" w:sz="0" w:space="0" w:color="auto"/>
                                            <w:bottom w:val="none" w:sz="0" w:space="0" w:color="auto"/>
                                            <w:right w:val="none" w:sz="0" w:space="0" w:color="auto"/>
                                          </w:divBdr>
                                          <w:divsChild>
                                            <w:div w:id="181601244">
                                              <w:marLeft w:val="0"/>
                                              <w:marRight w:val="0"/>
                                              <w:marTop w:val="0"/>
                                              <w:marBottom w:val="0"/>
                                              <w:divBdr>
                                                <w:top w:val="none" w:sz="0" w:space="0" w:color="auto"/>
                                                <w:left w:val="single" w:sz="12" w:space="4" w:color="000000"/>
                                                <w:bottom w:val="none" w:sz="0" w:space="0" w:color="auto"/>
                                                <w:right w:val="none" w:sz="0" w:space="0" w:color="auto"/>
                                              </w:divBdr>
                                              <w:divsChild>
                                                <w:div w:id="127676079">
                                                  <w:marLeft w:val="0"/>
                                                  <w:marRight w:val="0"/>
                                                  <w:marTop w:val="0"/>
                                                  <w:marBottom w:val="0"/>
                                                  <w:divBdr>
                                                    <w:top w:val="none" w:sz="0" w:space="0" w:color="auto"/>
                                                    <w:left w:val="none" w:sz="0" w:space="0" w:color="auto"/>
                                                    <w:bottom w:val="none" w:sz="0" w:space="0" w:color="auto"/>
                                                    <w:right w:val="none" w:sz="0" w:space="0" w:color="auto"/>
                                                  </w:divBdr>
                                                  <w:divsChild>
                                                    <w:div w:id="1636908076">
                                                      <w:marLeft w:val="0"/>
                                                      <w:marRight w:val="0"/>
                                                      <w:marTop w:val="0"/>
                                                      <w:marBottom w:val="0"/>
                                                      <w:divBdr>
                                                        <w:top w:val="none" w:sz="0" w:space="0" w:color="auto"/>
                                                        <w:left w:val="none" w:sz="0" w:space="0" w:color="auto"/>
                                                        <w:bottom w:val="none" w:sz="0" w:space="0" w:color="auto"/>
                                                        <w:right w:val="none" w:sz="0" w:space="0" w:color="auto"/>
                                                      </w:divBdr>
                                                      <w:divsChild>
                                                        <w:div w:id="1727412747">
                                                          <w:marLeft w:val="0"/>
                                                          <w:marRight w:val="0"/>
                                                          <w:marTop w:val="0"/>
                                                          <w:marBottom w:val="0"/>
                                                          <w:divBdr>
                                                            <w:top w:val="none" w:sz="0" w:space="0" w:color="auto"/>
                                                            <w:left w:val="none" w:sz="0" w:space="0" w:color="auto"/>
                                                            <w:bottom w:val="none" w:sz="0" w:space="0" w:color="auto"/>
                                                            <w:right w:val="none" w:sz="0" w:space="0" w:color="auto"/>
                                                          </w:divBdr>
                                                          <w:divsChild>
                                                            <w:div w:id="1291008854">
                                                              <w:marLeft w:val="0"/>
                                                              <w:marRight w:val="0"/>
                                                              <w:marTop w:val="0"/>
                                                              <w:marBottom w:val="0"/>
                                                              <w:divBdr>
                                                                <w:top w:val="none" w:sz="0" w:space="0" w:color="auto"/>
                                                                <w:left w:val="none" w:sz="0" w:space="0" w:color="auto"/>
                                                                <w:bottom w:val="none" w:sz="0" w:space="0" w:color="auto"/>
                                                                <w:right w:val="none" w:sz="0" w:space="0" w:color="auto"/>
                                                              </w:divBdr>
                                                              <w:divsChild>
                                                                <w:div w:id="2068528451">
                                                                  <w:marLeft w:val="0"/>
                                                                  <w:marRight w:val="0"/>
                                                                  <w:marTop w:val="0"/>
                                                                  <w:marBottom w:val="0"/>
                                                                  <w:divBdr>
                                                                    <w:top w:val="none" w:sz="0" w:space="0" w:color="auto"/>
                                                                    <w:left w:val="none" w:sz="0" w:space="0" w:color="auto"/>
                                                                    <w:bottom w:val="none" w:sz="0" w:space="0" w:color="auto"/>
                                                                    <w:right w:val="none" w:sz="0" w:space="0" w:color="auto"/>
                                                                  </w:divBdr>
                                                                  <w:divsChild>
                                                                    <w:div w:id="446654808">
                                                                      <w:marLeft w:val="0"/>
                                                                      <w:marRight w:val="0"/>
                                                                      <w:marTop w:val="0"/>
                                                                      <w:marBottom w:val="0"/>
                                                                      <w:divBdr>
                                                                        <w:top w:val="none" w:sz="0" w:space="0" w:color="auto"/>
                                                                        <w:left w:val="none" w:sz="0" w:space="0" w:color="auto"/>
                                                                        <w:bottom w:val="none" w:sz="0" w:space="0" w:color="auto"/>
                                                                        <w:right w:val="none" w:sz="0" w:space="0" w:color="auto"/>
                                                                      </w:divBdr>
                                                                      <w:divsChild>
                                                                        <w:div w:id="302539233">
                                                                          <w:marLeft w:val="0"/>
                                                                          <w:marRight w:val="0"/>
                                                                          <w:marTop w:val="0"/>
                                                                          <w:marBottom w:val="0"/>
                                                                          <w:divBdr>
                                                                            <w:top w:val="none" w:sz="0" w:space="0" w:color="auto"/>
                                                                            <w:left w:val="none" w:sz="0" w:space="0" w:color="auto"/>
                                                                            <w:bottom w:val="none" w:sz="0" w:space="0" w:color="auto"/>
                                                                            <w:right w:val="none" w:sz="0" w:space="0" w:color="auto"/>
                                                                          </w:divBdr>
                                                                          <w:divsChild>
                                                                            <w:div w:id="8461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716346">
      <w:bodyDiv w:val="1"/>
      <w:marLeft w:val="0"/>
      <w:marRight w:val="0"/>
      <w:marTop w:val="0"/>
      <w:marBottom w:val="0"/>
      <w:divBdr>
        <w:top w:val="none" w:sz="0" w:space="0" w:color="auto"/>
        <w:left w:val="none" w:sz="0" w:space="0" w:color="auto"/>
        <w:bottom w:val="none" w:sz="0" w:space="0" w:color="auto"/>
        <w:right w:val="none" w:sz="0" w:space="0" w:color="auto"/>
      </w:divBdr>
    </w:div>
    <w:div w:id="1305699053">
      <w:bodyDiv w:val="1"/>
      <w:marLeft w:val="0"/>
      <w:marRight w:val="0"/>
      <w:marTop w:val="0"/>
      <w:marBottom w:val="0"/>
      <w:divBdr>
        <w:top w:val="none" w:sz="0" w:space="0" w:color="auto"/>
        <w:left w:val="none" w:sz="0" w:space="0" w:color="auto"/>
        <w:bottom w:val="none" w:sz="0" w:space="0" w:color="auto"/>
        <w:right w:val="none" w:sz="0" w:space="0" w:color="auto"/>
      </w:divBdr>
    </w:div>
    <w:div w:id="1942371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8782E-B480-474E-A2BC-D44D3F805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E_S.dotm</Template>
  <TotalTime>1</TotalTime>
  <Pages>16</Pages>
  <Words>9179</Words>
  <Characters>50486</Characters>
  <Application>Microsoft Office Word</Application>
  <DocSecurity>0</DocSecurity>
  <Lines>420</Lines>
  <Paragraphs>119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E/C.12/61/DR/5/2015</vt:lpstr>
      <vt:lpstr>E/C.12/61/DR/5/2015</vt:lpstr>
    </vt:vector>
  </TitlesOfParts>
  <Company>OHCHR</Company>
  <LinksUpToDate>false</LinksUpToDate>
  <CharactersWithSpaces>59546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E/C.12/61/D/5/2015</dc:title>
  <dc:subject>E/C.12/61/D/5/2015</dc:subject>
  <dc:creator>Maria Luisa ZEBALLOS MORENO</dc:creator>
  <cp:keywords/>
  <dc:description/>
  <cp:lastModifiedBy>Maria Luisa ZEBALLOS MORENO</cp:lastModifiedBy>
  <cp:revision>3</cp:revision>
  <cp:lastPrinted>2017-07-21T14:24:00Z</cp:lastPrinted>
  <dcterms:created xsi:type="dcterms:W3CDTF">2017-07-21T14:24:00Z</dcterms:created>
  <dcterms:modified xsi:type="dcterms:W3CDTF">2017-07-21T14:25:00Z</dcterms:modified>
</cp:coreProperties>
</file>