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41DB2" w:rsidP="00036E09">
            <w:pPr>
              <w:jc w:val="right"/>
            </w:pPr>
            <w:r w:rsidRPr="00141DB2">
              <w:rPr>
                <w:sz w:val="40"/>
              </w:rPr>
              <w:t>E</w:t>
            </w:r>
            <w:r>
              <w:t>/C.12/EST/CO/2</w:t>
            </w:r>
          </w:p>
        </w:tc>
      </w:tr>
      <w:tr w:rsid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141DB2" w:rsidRDefault="00141DB2" w:rsidP="00141DB2">
            <w:pPr>
              <w:spacing w:before="240" w:line="240" w:lineRule="exact"/>
            </w:pPr>
            <w:r>
              <w:t xml:space="preserve">Distr.: </w:t>
            </w:r>
            <w:r w:rsidR="0016491B">
              <w:t>General</w:t>
            </w:r>
          </w:p>
          <w:p w:rsidR="00141DB2" w:rsidRDefault="006130E3" w:rsidP="00AE4CC0">
            <w:pPr>
              <w:spacing w:line="240" w:lineRule="exact"/>
            </w:pPr>
            <w:r>
              <w:t>16</w:t>
            </w:r>
            <w:r w:rsidR="00FE32D7">
              <w:t xml:space="preserve"> December</w:t>
            </w:r>
            <w:r w:rsidR="00141DB2">
              <w:t xml:space="preserve"> 2011</w:t>
            </w:r>
          </w:p>
          <w:p w:rsidR="00141DB2" w:rsidRDefault="00141DB2" w:rsidP="00141DB2">
            <w:pPr>
              <w:spacing w:line="240" w:lineRule="exact"/>
            </w:pPr>
          </w:p>
          <w:p w:rsidR="009E6CB7" w:rsidRDefault="00141DB2" w:rsidP="00141DB2">
            <w:pPr>
              <w:spacing w:line="240" w:lineRule="exact"/>
            </w:pPr>
            <w:r>
              <w:t>Original: English</w:t>
            </w:r>
          </w:p>
        </w:tc>
      </w:tr>
    </w:tbl>
    <w:p w:rsidR="00141DB2" w:rsidRDefault="00141DB2" w:rsidP="00141DB2">
      <w:pPr>
        <w:spacing w:before="120"/>
        <w:rPr>
          <w:rFonts w:eastAsia="SimHei"/>
          <w:b/>
          <w:sz w:val="24"/>
          <w:szCs w:val="24"/>
        </w:rPr>
      </w:pPr>
      <w:r w:rsidRPr="00516A02">
        <w:rPr>
          <w:rFonts w:eastAsia="SimHei"/>
          <w:b/>
          <w:sz w:val="24"/>
          <w:szCs w:val="24"/>
        </w:rPr>
        <w:t xml:space="preserve">Committee on </w:t>
      </w:r>
      <w:r>
        <w:rPr>
          <w:rFonts w:eastAsia="SimHei"/>
          <w:b/>
          <w:sz w:val="24"/>
          <w:szCs w:val="24"/>
        </w:rPr>
        <w:t>Economic, Social and Cultural Rights</w:t>
      </w:r>
    </w:p>
    <w:p w:rsidR="006C714B" w:rsidRDefault="006C714B" w:rsidP="006C714B">
      <w:pPr>
        <w:pStyle w:val="SingleTxtG"/>
        <w:spacing w:after="0"/>
        <w:ind w:left="0"/>
        <w:rPr>
          <w:b/>
          <w:bCs/>
          <w:snapToGrid w:val="0"/>
        </w:rPr>
      </w:pPr>
      <w:r>
        <w:rPr>
          <w:b/>
          <w:bCs/>
          <w:snapToGrid w:val="0"/>
        </w:rPr>
        <w:t>Forty-seventh session</w:t>
      </w:r>
    </w:p>
    <w:p w:rsidR="00141DB2" w:rsidRDefault="00141DB2" w:rsidP="00141DB2">
      <w:pPr>
        <w:spacing w:line="240" w:lineRule="auto"/>
      </w:pPr>
      <w:r>
        <w:t>14 November-2 December 2011</w:t>
      </w:r>
    </w:p>
    <w:p w:rsidR="00141DB2" w:rsidRDefault="00141DB2" w:rsidP="002E529C">
      <w:pPr>
        <w:pStyle w:val="HChG"/>
        <w:rPr>
          <w:snapToGrid w:val="0"/>
        </w:rPr>
      </w:pPr>
      <w:r>
        <w:rPr>
          <w:snapToGrid w:val="0"/>
        </w:rPr>
        <w:tab/>
      </w:r>
      <w:r>
        <w:rPr>
          <w:snapToGrid w:val="0"/>
        </w:rPr>
        <w:tab/>
        <w:t xml:space="preserve">Consideration of reports submitted by States parties under </w:t>
      </w:r>
      <w:r w:rsidR="002E529C">
        <w:rPr>
          <w:snapToGrid w:val="0"/>
        </w:rPr>
        <w:t xml:space="preserve">articles </w:t>
      </w:r>
      <w:r>
        <w:rPr>
          <w:snapToGrid w:val="0"/>
        </w:rPr>
        <w:t>16 and 17 of the Covenant</w:t>
      </w:r>
    </w:p>
    <w:p w:rsidR="00141DB2" w:rsidRDefault="00141DB2" w:rsidP="002E529C">
      <w:pPr>
        <w:pStyle w:val="H1G"/>
        <w:rPr>
          <w:snapToGrid w:val="0"/>
        </w:rPr>
      </w:pPr>
      <w:r>
        <w:rPr>
          <w:snapToGrid w:val="0"/>
        </w:rPr>
        <w:tab/>
      </w:r>
      <w:r>
        <w:rPr>
          <w:snapToGrid w:val="0"/>
        </w:rPr>
        <w:tab/>
        <w:t xml:space="preserve">Concluding </w:t>
      </w:r>
      <w:r w:rsidR="002E529C">
        <w:rPr>
          <w:snapToGrid w:val="0"/>
        </w:rPr>
        <w:t xml:space="preserve">observations </w:t>
      </w:r>
      <w:r>
        <w:rPr>
          <w:snapToGrid w:val="0"/>
        </w:rPr>
        <w:t>of the Committee on Economic, Social and Cultural Rights</w:t>
      </w:r>
    </w:p>
    <w:p w:rsidR="00141DB2" w:rsidRDefault="00141DB2" w:rsidP="00141DB2">
      <w:pPr>
        <w:pStyle w:val="HChG"/>
        <w:rPr>
          <w:snapToGrid w:val="0"/>
        </w:rPr>
      </w:pPr>
      <w:r>
        <w:rPr>
          <w:snapToGrid w:val="0"/>
        </w:rPr>
        <w:tab/>
      </w:r>
      <w:r>
        <w:rPr>
          <w:snapToGrid w:val="0"/>
        </w:rPr>
        <w:tab/>
      </w:r>
      <w:smartTag w:uri="urn:schemas-microsoft-com:office:smarttags" w:element="place">
        <w:smartTag w:uri="urn:schemas-microsoft-com:office:smarttags" w:element="country-region">
          <w:r>
            <w:rPr>
              <w:snapToGrid w:val="0"/>
            </w:rPr>
            <w:t>Estonia</w:t>
          </w:r>
        </w:smartTag>
      </w:smartTag>
    </w:p>
    <w:p w:rsidR="00141DB2" w:rsidRPr="00716A97" w:rsidRDefault="00033BC6" w:rsidP="00033BC6">
      <w:pPr>
        <w:pStyle w:val="SingleTxtG"/>
        <w:tabs>
          <w:tab w:val="left" w:pos="1560"/>
          <w:tab w:val="num" w:pos="4608"/>
        </w:tabs>
        <w:ind w:left="1200" w:hanging="6"/>
      </w:pPr>
      <w:r w:rsidRPr="00716A97">
        <w:t>1.</w:t>
      </w:r>
      <w:r w:rsidRPr="00716A97">
        <w:tab/>
      </w:r>
      <w:r w:rsidR="00141DB2" w:rsidRPr="00716A97">
        <w:t xml:space="preserve">The Committee on Economic, Social and Cultural Rights considered the second periodic report of </w:t>
      </w:r>
      <w:r w:rsidR="00141DB2">
        <w:t>Estonia</w:t>
      </w:r>
      <w:r w:rsidR="00141DB2" w:rsidRPr="00716A97">
        <w:t xml:space="preserve"> on the implementation of the International Covenant on Economic, Soc</w:t>
      </w:r>
      <w:r w:rsidR="00141DB2" w:rsidRPr="00141DB2">
        <w:t>i</w:t>
      </w:r>
      <w:r w:rsidR="00141DB2" w:rsidRPr="00716A97">
        <w:t>al and Cultural Rights (E/C.12/</w:t>
      </w:r>
      <w:r w:rsidR="00141DB2">
        <w:t>EST</w:t>
      </w:r>
      <w:r w:rsidR="00141DB2" w:rsidRPr="00716A97">
        <w:t>/2</w:t>
      </w:r>
      <w:r w:rsidR="00141DB2">
        <w:t xml:space="preserve"> and Corr.1</w:t>
      </w:r>
      <w:r w:rsidR="00141DB2" w:rsidRPr="00716A97">
        <w:t xml:space="preserve">) at its </w:t>
      </w:r>
      <w:r w:rsidR="00141DB2" w:rsidRPr="002E529C">
        <w:t xml:space="preserve">32nd to 34th </w:t>
      </w:r>
      <w:r w:rsidR="00141DB2" w:rsidRPr="00716A97">
        <w:t>meetings, held on</w:t>
      </w:r>
      <w:r w:rsidR="00141DB2">
        <w:t xml:space="preserve"> 15 and 16 November</w:t>
      </w:r>
      <w:r w:rsidR="00141DB2" w:rsidRPr="00716A97">
        <w:t xml:space="preserve"> 2011 (E/C.12/2011/SR</w:t>
      </w:r>
      <w:r w:rsidR="00141DB2">
        <w:t>.32-34</w:t>
      </w:r>
      <w:r w:rsidR="00141DB2" w:rsidRPr="00716A97">
        <w:t xml:space="preserve">), and adopted, at its </w:t>
      </w:r>
      <w:r w:rsidR="00141DB2" w:rsidRPr="002E529C">
        <w:t>5</w:t>
      </w:r>
      <w:r w:rsidR="007C0DED" w:rsidRPr="002E529C">
        <w:t>9</w:t>
      </w:r>
      <w:r w:rsidR="00141DB2" w:rsidRPr="002E529C">
        <w:t>th</w:t>
      </w:r>
      <w:r w:rsidR="00141DB2">
        <w:t xml:space="preserve"> </w:t>
      </w:r>
      <w:r w:rsidR="00141DB2" w:rsidRPr="00716A97">
        <w:t xml:space="preserve">meeting held on </w:t>
      </w:r>
      <w:r w:rsidR="00141DB2">
        <w:t>2 December</w:t>
      </w:r>
      <w:r w:rsidR="00141DB2" w:rsidRPr="00716A97">
        <w:t xml:space="preserve"> 2011, the following concluding observations.</w:t>
      </w:r>
    </w:p>
    <w:p w:rsidR="00141DB2" w:rsidRPr="00141DB2" w:rsidRDefault="00141DB2" w:rsidP="00141DB2">
      <w:pPr>
        <w:pStyle w:val="H1G"/>
      </w:pPr>
      <w:r>
        <w:tab/>
        <w:t>A.</w:t>
      </w:r>
      <w:r>
        <w:tab/>
      </w:r>
      <w:r w:rsidRPr="00141DB2">
        <w:t>Introduction</w:t>
      </w:r>
    </w:p>
    <w:p w:rsidR="00141DB2" w:rsidRDefault="00033BC6" w:rsidP="00033BC6">
      <w:pPr>
        <w:pStyle w:val="SingleTxtG"/>
        <w:tabs>
          <w:tab w:val="left" w:pos="1560"/>
          <w:tab w:val="num" w:pos="4608"/>
        </w:tabs>
        <w:ind w:left="1200" w:hanging="6"/>
      </w:pPr>
      <w:r>
        <w:t>2.</w:t>
      </w:r>
      <w:r>
        <w:tab/>
      </w:r>
      <w:r w:rsidR="00141DB2" w:rsidRPr="00716A97">
        <w:t xml:space="preserve">The Committee welcomes the submission of the second periodic report of </w:t>
      </w:r>
      <w:smartTag w:uri="urn:schemas-microsoft-com:office:smarttags" w:element="place">
        <w:smartTag w:uri="urn:schemas-microsoft-com:office:smarttags" w:element="country-region">
          <w:r w:rsidR="00141DB2">
            <w:t>Estonia</w:t>
          </w:r>
        </w:smartTag>
      </w:smartTag>
      <w:r w:rsidR="00141DB2" w:rsidRPr="00716A97">
        <w:t xml:space="preserve"> </w:t>
      </w:r>
      <w:r w:rsidR="00141DB2">
        <w:t xml:space="preserve">which complies with the Committee’s reporting guidelines. The Committee also welcomes </w:t>
      </w:r>
      <w:r w:rsidR="00141DB2" w:rsidRPr="00716A97">
        <w:t>the written replies t</w:t>
      </w:r>
      <w:r w:rsidR="00141DB2">
        <w:t xml:space="preserve">o its list of issues (E/C.12/EST/Q/2/Add.1). Moreover, the Committee welcomes the statistical data provided in both documents which enabled the Committee to make an assessment of the progress in the realization of the rights. </w:t>
      </w:r>
    </w:p>
    <w:p w:rsidR="00141DB2" w:rsidRPr="00DE2AD5" w:rsidRDefault="00033BC6" w:rsidP="00033BC6">
      <w:pPr>
        <w:pStyle w:val="SingleTxtG"/>
        <w:tabs>
          <w:tab w:val="left" w:pos="1560"/>
          <w:tab w:val="num" w:pos="4608"/>
        </w:tabs>
        <w:ind w:left="1200" w:hanging="6"/>
      </w:pPr>
      <w:r w:rsidRPr="00DE2AD5">
        <w:t>3.</w:t>
      </w:r>
      <w:r w:rsidRPr="00DE2AD5">
        <w:tab/>
      </w:r>
      <w:r w:rsidR="00141DB2" w:rsidRPr="00141DB2">
        <w:rPr>
          <w:rFonts w:eastAsia="SimSun"/>
          <w:color w:val="000000"/>
          <w:lang w:eastAsia="zh-CN"/>
        </w:rPr>
        <w:t>The</w:t>
      </w:r>
      <w:r w:rsidR="00141DB2" w:rsidRPr="004D4783">
        <w:rPr>
          <w:rFonts w:eastAsia="SimSun"/>
          <w:lang w:eastAsia="zh-CN"/>
        </w:rPr>
        <w:t xml:space="preserve"> </w:t>
      </w:r>
      <w:r w:rsidR="00141DB2" w:rsidRPr="00141DB2">
        <w:t>Committee</w:t>
      </w:r>
      <w:r w:rsidR="00141DB2" w:rsidRPr="004D4783">
        <w:rPr>
          <w:rFonts w:eastAsia="SimSun"/>
          <w:lang w:eastAsia="zh-CN"/>
        </w:rPr>
        <w:t xml:space="preserve"> </w:t>
      </w:r>
      <w:r w:rsidR="00141DB2">
        <w:rPr>
          <w:rFonts w:eastAsia="SimSun"/>
          <w:lang w:eastAsia="zh-CN"/>
        </w:rPr>
        <w:t>welcomes</w:t>
      </w:r>
      <w:r w:rsidR="00141DB2" w:rsidRPr="004D4783">
        <w:rPr>
          <w:rFonts w:eastAsia="SimSun"/>
          <w:lang w:eastAsia="zh-CN"/>
        </w:rPr>
        <w:t xml:space="preserve"> the dialogue with the State party a</w:t>
      </w:r>
      <w:r w:rsidR="00141DB2">
        <w:rPr>
          <w:rFonts w:eastAsia="SimSun"/>
          <w:lang w:eastAsia="zh-CN"/>
        </w:rPr>
        <w:t>nd the frank and constructive interaction it had with the</w:t>
      </w:r>
      <w:r w:rsidR="00141DB2" w:rsidRPr="004D4783">
        <w:rPr>
          <w:rFonts w:eastAsia="SimSun"/>
          <w:lang w:eastAsia="zh-CN"/>
        </w:rPr>
        <w:t xml:space="preserve"> high</w:t>
      </w:r>
      <w:r w:rsidR="00141DB2">
        <w:rPr>
          <w:rFonts w:eastAsia="SimSun"/>
          <w:lang w:eastAsia="zh-CN"/>
        </w:rPr>
        <w:t>-</w:t>
      </w:r>
      <w:r w:rsidR="00141DB2" w:rsidRPr="004D4783">
        <w:rPr>
          <w:rFonts w:eastAsia="SimSun"/>
          <w:lang w:eastAsia="zh-CN"/>
        </w:rPr>
        <w:t xml:space="preserve">level </w:t>
      </w:r>
      <w:r w:rsidR="00141DB2">
        <w:rPr>
          <w:rFonts w:eastAsia="SimSun"/>
          <w:lang w:eastAsia="zh-CN"/>
        </w:rPr>
        <w:t xml:space="preserve">and large </w:t>
      </w:r>
      <w:r w:rsidR="00141DB2" w:rsidRPr="004D4783">
        <w:rPr>
          <w:rFonts w:eastAsia="SimSun"/>
          <w:lang w:eastAsia="zh-CN"/>
        </w:rPr>
        <w:t xml:space="preserve">delegation which </w:t>
      </w:r>
      <w:r w:rsidR="00141DB2">
        <w:rPr>
          <w:rFonts w:eastAsia="SimSun"/>
          <w:lang w:eastAsia="zh-CN"/>
        </w:rPr>
        <w:t>comprise</w:t>
      </w:r>
      <w:r w:rsidR="00141DB2" w:rsidRPr="004D4783">
        <w:rPr>
          <w:rFonts w:eastAsia="SimSun"/>
          <w:lang w:eastAsia="zh-CN"/>
        </w:rPr>
        <w:t xml:space="preserve">d representatives from relevant </w:t>
      </w:r>
      <w:r w:rsidR="00141DB2">
        <w:rPr>
          <w:rFonts w:eastAsia="SimSun"/>
          <w:lang w:eastAsia="zh-CN"/>
        </w:rPr>
        <w:t>m</w:t>
      </w:r>
      <w:r w:rsidR="00141DB2" w:rsidRPr="004D4783">
        <w:rPr>
          <w:rFonts w:eastAsia="SimSun"/>
          <w:lang w:eastAsia="zh-CN"/>
        </w:rPr>
        <w:t>inistries</w:t>
      </w:r>
      <w:r w:rsidR="00141DB2">
        <w:rPr>
          <w:rFonts w:eastAsia="SimSun"/>
          <w:lang w:eastAsia="zh-CN"/>
        </w:rPr>
        <w:t>.</w:t>
      </w:r>
    </w:p>
    <w:p w:rsidR="00141DB2" w:rsidRPr="00141DB2" w:rsidRDefault="00141DB2" w:rsidP="00141DB2">
      <w:pPr>
        <w:pStyle w:val="H1G"/>
      </w:pPr>
      <w:r w:rsidRPr="00141DB2">
        <w:tab/>
      </w:r>
      <w:r>
        <w:t>B.</w:t>
      </w:r>
      <w:r>
        <w:tab/>
      </w:r>
      <w:r w:rsidRPr="00141DB2">
        <w:t>Positive aspects</w:t>
      </w:r>
    </w:p>
    <w:p w:rsidR="00141DB2" w:rsidRPr="00DE2AD5" w:rsidRDefault="00033BC6" w:rsidP="00033BC6">
      <w:pPr>
        <w:pStyle w:val="SingleTxtG"/>
        <w:tabs>
          <w:tab w:val="left" w:pos="1560"/>
          <w:tab w:val="num" w:pos="4608"/>
        </w:tabs>
        <w:ind w:left="1200" w:hanging="6"/>
      </w:pPr>
      <w:r w:rsidRPr="00DE2AD5">
        <w:t>4.</w:t>
      </w:r>
      <w:r w:rsidRPr="00DE2AD5">
        <w:tab/>
      </w:r>
      <w:r w:rsidR="00141DB2">
        <w:t xml:space="preserve">The Committee welcomes the ratification of the following instruments: the Optional </w:t>
      </w:r>
      <w:r w:rsidR="00141DB2" w:rsidRPr="00A208BA">
        <w:rPr>
          <w:rFonts w:eastAsia="SimSun"/>
          <w:lang w:eastAsia="zh-CN"/>
        </w:rPr>
        <w:t>Protocol</w:t>
      </w:r>
      <w:r w:rsidR="00141DB2">
        <w:t xml:space="preserve"> to the Convention against Torture and Other Cruel, Inhuman or Degrading Treatment or Punishment (18 Dec</w:t>
      </w:r>
      <w:r w:rsidR="000D0154">
        <w:t>.</w:t>
      </w:r>
      <w:r w:rsidR="00141DB2">
        <w:t xml:space="preserve"> 2006), the Second Optional Protocol to the International Covenant on Civil and Political Rights, aiming at the abolition of the death penalty (30 Jan</w:t>
      </w:r>
      <w:r w:rsidR="000D0154">
        <w:t>.</w:t>
      </w:r>
      <w:r w:rsidR="00141DB2">
        <w:t xml:space="preserve"> 2004), and the Optional Protocol to the Convention on the Rights of the Child on the sale of children, child prostitution and child pornography (3 Aug</w:t>
      </w:r>
      <w:r w:rsidR="000D0154">
        <w:t>.</w:t>
      </w:r>
      <w:r w:rsidR="00141DB2">
        <w:t xml:space="preserve"> 2004).</w:t>
      </w:r>
    </w:p>
    <w:p w:rsidR="00141DB2" w:rsidRDefault="00033BC6" w:rsidP="00033BC6">
      <w:pPr>
        <w:pStyle w:val="SingleTxtG"/>
        <w:tabs>
          <w:tab w:val="left" w:pos="1560"/>
          <w:tab w:val="num" w:pos="4608"/>
        </w:tabs>
        <w:ind w:left="1200" w:hanging="6"/>
      </w:pPr>
      <w:r>
        <w:t>5.</w:t>
      </w:r>
      <w:r>
        <w:tab/>
      </w:r>
      <w:r w:rsidR="00141DB2" w:rsidRPr="00716A97">
        <w:t>The Committee notes with appreciation the efforts made by the State party</w:t>
      </w:r>
      <w:r w:rsidR="00141DB2" w:rsidRPr="00DE2AD5">
        <w:t xml:space="preserve"> </w:t>
      </w:r>
      <w:r w:rsidR="00141DB2" w:rsidRPr="00716A97">
        <w:t xml:space="preserve">in promoting the implementation of </w:t>
      </w:r>
      <w:r w:rsidR="00141DB2">
        <w:t>economic, social</w:t>
      </w:r>
      <w:r w:rsidR="00141DB2" w:rsidRPr="00716A97">
        <w:t xml:space="preserve"> and cultural rights. The Committee welcomes in particular:</w:t>
      </w:r>
    </w:p>
    <w:p w:rsidR="00141DB2" w:rsidRDefault="00033BC6" w:rsidP="00033BC6">
      <w:pPr>
        <w:pStyle w:val="SingleTxtG"/>
        <w:tabs>
          <w:tab w:val="left" w:pos="1896"/>
        </w:tabs>
        <w:ind w:left="1920" w:hanging="360"/>
      </w:pPr>
      <w:r>
        <w:t>(a)</w:t>
      </w:r>
      <w:r>
        <w:tab/>
      </w:r>
      <w:r w:rsidR="000D0154">
        <w:t xml:space="preserve">The </w:t>
      </w:r>
      <w:r w:rsidR="00141DB2">
        <w:t xml:space="preserve">transparent and consultative process of preparation of the periodic report, which benefited from the participation of civil society organizations; </w:t>
      </w:r>
    </w:p>
    <w:p w:rsidR="00141DB2" w:rsidRDefault="00033BC6" w:rsidP="00033BC6">
      <w:pPr>
        <w:pStyle w:val="SingleTxtG"/>
        <w:tabs>
          <w:tab w:val="left" w:pos="1896"/>
        </w:tabs>
        <w:ind w:left="1920" w:hanging="360"/>
      </w:pPr>
      <w:r>
        <w:t>(b)</w:t>
      </w:r>
      <w:r>
        <w:tab/>
      </w:r>
      <w:r w:rsidR="000D0154">
        <w:t xml:space="preserve">The </w:t>
      </w:r>
      <w:r w:rsidR="00141DB2">
        <w:t>system of collection and production of statistical data which enables the monitoring of the realization of economic, social and cultural rights;</w:t>
      </w:r>
    </w:p>
    <w:p w:rsidR="00141DB2" w:rsidRDefault="00033BC6" w:rsidP="00033BC6">
      <w:pPr>
        <w:pStyle w:val="SingleTxtG"/>
        <w:tabs>
          <w:tab w:val="left" w:pos="1896"/>
        </w:tabs>
        <w:ind w:left="1920" w:hanging="360"/>
      </w:pPr>
      <w:r>
        <w:t>(c)</w:t>
      </w:r>
      <w:r>
        <w:tab/>
      </w:r>
      <w:r w:rsidR="000D0154">
        <w:t xml:space="preserve">The </w:t>
      </w:r>
      <w:r w:rsidR="00141DB2">
        <w:t>establishment of the Unemployment Insurance Fund and the reforms brought to the labour market services;</w:t>
      </w:r>
    </w:p>
    <w:p w:rsidR="00141DB2" w:rsidRDefault="00033BC6" w:rsidP="00033BC6">
      <w:pPr>
        <w:pStyle w:val="SingleTxtG"/>
        <w:tabs>
          <w:tab w:val="left" w:pos="1896"/>
        </w:tabs>
        <w:ind w:left="1920" w:hanging="360"/>
      </w:pPr>
      <w:r>
        <w:t>(d)</w:t>
      </w:r>
      <w:r>
        <w:tab/>
      </w:r>
      <w:r w:rsidR="000D0154">
        <w:t xml:space="preserve">The </w:t>
      </w:r>
      <w:r w:rsidR="00141DB2">
        <w:t>adoption of the Gender Equality Act in 2004 and the conduct of the periodic Gender Equality Monitoring survey;</w:t>
      </w:r>
    </w:p>
    <w:p w:rsidR="00141DB2" w:rsidRDefault="00033BC6" w:rsidP="00033BC6">
      <w:pPr>
        <w:pStyle w:val="SingleTxtG"/>
        <w:tabs>
          <w:tab w:val="left" w:pos="1896"/>
        </w:tabs>
        <w:ind w:left="1920" w:hanging="360"/>
      </w:pPr>
      <w:r>
        <w:t>(e)</w:t>
      </w:r>
      <w:r>
        <w:tab/>
      </w:r>
      <w:r w:rsidR="000D0154">
        <w:rPr>
          <w:lang w:val="en-US"/>
        </w:rPr>
        <w:t>T</w:t>
      </w:r>
      <w:r w:rsidR="000D0154" w:rsidRPr="00141DB2">
        <w:rPr>
          <w:lang w:val="en-US"/>
        </w:rPr>
        <w:t xml:space="preserve">he </w:t>
      </w:r>
      <w:r w:rsidR="00141DB2" w:rsidRPr="00141DB2">
        <w:rPr>
          <w:lang w:val="en-US"/>
        </w:rPr>
        <w:t>policy of the State</w:t>
      </w:r>
      <w:r w:rsidR="000511FA">
        <w:rPr>
          <w:lang w:val="en-US"/>
        </w:rPr>
        <w:t xml:space="preserve"> party</w:t>
      </w:r>
      <w:r w:rsidR="00141DB2" w:rsidRPr="00141DB2">
        <w:rPr>
          <w:lang w:val="en-US"/>
        </w:rPr>
        <w:t xml:space="preserve"> of supporting the teaching of mother tongues of minorities and the promotion of bilingu</w:t>
      </w:r>
      <w:r w:rsidR="009C1E8A">
        <w:rPr>
          <w:lang w:val="en-US"/>
        </w:rPr>
        <w:t>al</w:t>
      </w:r>
      <w:r w:rsidR="00141DB2" w:rsidRPr="00141DB2">
        <w:rPr>
          <w:lang w:val="en-US"/>
        </w:rPr>
        <w:t>ism in education</w:t>
      </w:r>
      <w:r w:rsidR="00141DB2">
        <w:t xml:space="preserve">; </w:t>
      </w:r>
    </w:p>
    <w:p w:rsidR="00141DB2" w:rsidRDefault="00033BC6" w:rsidP="00033BC6">
      <w:pPr>
        <w:pStyle w:val="SingleTxtG"/>
        <w:tabs>
          <w:tab w:val="left" w:pos="1896"/>
        </w:tabs>
        <w:ind w:left="1920" w:hanging="360"/>
      </w:pPr>
      <w:r>
        <w:t>(f)</w:t>
      </w:r>
      <w:r>
        <w:tab/>
      </w:r>
      <w:r w:rsidR="000D0154">
        <w:t>The</w:t>
      </w:r>
      <w:r w:rsidR="00141DB2">
        <w:t xml:space="preserve"> integration of human rights education in the school curricula.</w:t>
      </w:r>
    </w:p>
    <w:p w:rsidR="00141DB2" w:rsidRPr="00141DB2" w:rsidRDefault="00141DB2" w:rsidP="00141DB2">
      <w:pPr>
        <w:pStyle w:val="H1G"/>
      </w:pPr>
      <w:r>
        <w:tab/>
        <w:t>C.</w:t>
      </w:r>
      <w:r>
        <w:tab/>
      </w:r>
      <w:r w:rsidRPr="00141DB2">
        <w:t>Principal subjects of concern and recommendations</w:t>
      </w:r>
    </w:p>
    <w:p w:rsidR="00141DB2" w:rsidRPr="00036E09" w:rsidRDefault="00033BC6" w:rsidP="00033BC6">
      <w:pPr>
        <w:pStyle w:val="SingleTxtG"/>
        <w:tabs>
          <w:tab w:val="left" w:pos="1560"/>
          <w:tab w:val="num" w:pos="4608"/>
        </w:tabs>
        <w:ind w:left="1200" w:hanging="6"/>
        <w:rPr>
          <w:b/>
        </w:rPr>
      </w:pPr>
      <w:r w:rsidRPr="00036E09">
        <w:t>6.</w:t>
      </w:r>
      <w:r w:rsidRPr="00036E09">
        <w:tab/>
      </w:r>
      <w:r w:rsidR="00141DB2" w:rsidRPr="005E7D71">
        <w:t>The Committe</w:t>
      </w:r>
      <w:r w:rsidR="00141DB2" w:rsidRPr="00036E09">
        <w:t>e notes with concern that</w:t>
      </w:r>
      <w:r w:rsidR="00330B55" w:rsidRPr="00036E09">
        <w:t xml:space="preserve"> legal obligations incurred by the State party at the international level are restrictively interpreted by the judiciary as representing merely</w:t>
      </w:r>
      <w:r w:rsidR="005E7D71" w:rsidRPr="005E7D71">
        <w:t xml:space="preserve"> non-self-executing obligations and</w:t>
      </w:r>
      <w:r w:rsidR="00330B55" w:rsidRPr="00036E09">
        <w:t xml:space="preserve"> not giving rise to subjective claim rights at the domestic level. Thus, individuals </w:t>
      </w:r>
      <w:r w:rsidR="005E7D71" w:rsidRPr="005E7D71">
        <w:t xml:space="preserve">are unable to </w:t>
      </w:r>
      <w:r w:rsidR="00330B55" w:rsidRPr="00036E09">
        <w:t xml:space="preserve">claim violations of their economic, social and cultural rights </w:t>
      </w:r>
      <w:r w:rsidR="005E7D71" w:rsidRPr="005E7D71">
        <w:t>emanating from the Covenant</w:t>
      </w:r>
      <w:r w:rsidR="00330B55" w:rsidRPr="00036E09">
        <w:t xml:space="preserve">. </w:t>
      </w:r>
    </w:p>
    <w:p w:rsidR="00141DB2" w:rsidRPr="00141DB2" w:rsidRDefault="00330B55" w:rsidP="00033BC6">
      <w:pPr>
        <w:pStyle w:val="SingleTxtG"/>
        <w:tabs>
          <w:tab w:val="left" w:pos="1560"/>
          <w:tab w:val="num" w:pos="4608"/>
        </w:tabs>
        <w:ind w:left="1200" w:hanging="6"/>
      </w:pPr>
      <w:r w:rsidRPr="00033BC6">
        <w:rPr>
          <w:b/>
          <w:bCs/>
          <w:lang w:val="en-US"/>
        </w:rPr>
        <w:t>The</w:t>
      </w:r>
      <w:r w:rsidRPr="00036E09">
        <w:rPr>
          <w:b/>
        </w:rPr>
        <w:t xml:space="preserve"> Committee</w:t>
      </w:r>
      <w:r w:rsidR="00617DB9" w:rsidRPr="00036E09">
        <w:rPr>
          <w:b/>
        </w:rPr>
        <w:t xml:space="preserve"> </w:t>
      </w:r>
      <w:r w:rsidRPr="00036E09">
        <w:rPr>
          <w:b/>
        </w:rPr>
        <w:t xml:space="preserve">recommends that the State party establish training programmes for the legal profession and judges on the scope of </w:t>
      </w:r>
      <w:r w:rsidRPr="006C714B">
        <w:rPr>
          <w:b/>
        </w:rPr>
        <w:t>economic, soc</w:t>
      </w:r>
      <w:r w:rsidR="005377AA" w:rsidRPr="006C714B">
        <w:rPr>
          <w:b/>
        </w:rPr>
        <w:t xml:space="preserve">ial and cultural rights </w:t>
      </w:r>
      <w:r w:rsidR="005E7D71" w:rsidRPr="005E7D71">
        <w:rPr>
          <w:b/>
        </w:rPr>
        <w:t xml:space="preserve">emanating from the Covenant </w:t>
      </w:r>
      <w:r w:rsidR="005377AA" w:rsidRPr="00036E09">
        <w:rPr>
          <w:b/>
        </w:rPr>
        <w:t xml:space="preserve">and </w:t>
      </w:r>
      <w:r w:rsidRPr="00036E09">
        <w:rPr>
          <w:b/>
        </w:rPr>
        <w:t xml:space="preserve">of the State party’s obligation to effectively implement binding human rights obligations at the domestic level. </w:t>
      </w:r>
      <w:r w:rsidR="00520D21">
        <w:rPr>
          <w:b/>
        </w:rPr>
        <w:t>T</w:t>
      </w:r>
      <w:r w:rsidR="00141DB2" w:rsidRPr="00CF2178">
        <w:rPr>
          <w:b/>
        </w:rPr>
        <w:t>he Committee refers the State party to its general comment</w:t>
      </w:r>
      <w:r w:rsidR="00514EA8">
        <w:rPr>
          <w:b/>
        </w:rPr>
        <w:t>s</w:t>
      </w:r>
      <w:r w:rsidR="00141DB2" w:rsidRPr="00CF2178">
        <w:rPr>
          <w:b/>
        </w:rPr>
        <w:t xml:space="preserve"> No</w:t>
      </w:r>
      <w:r w:rsidR="005D5B2E">
        <w:rPr>
          <w:b/>
        </w:rPr>
        <w:t>s</w:t>
      </w:r>
      <w:r w:rsidR="00141DB2" w:rsidRPr="00CF2178">
        <w:rPr>
          <w:b/>
        </w:rPr>
        <w:t>. 3 (1990) on the nature of States parties’ obligations and 9 (1998) on the domestic application of the Covenant.</w:t>
      </w:r>
      <w:r w:rsidR="00141DB2" w:rsidRPr="00141DB2">
        <w:t xml:space="preserve"> </w:t>
      </w:r>
    </w:p>
    <w:p w:rsidR="00141DB2" w:rsidRPr="000D0154" w:rsidRDefault="00033BC6" w:rsidP="00033BC6">
      <w:pPr>
        <w:pStyle w:val="SingleTxtG"/>
        <w:tabs>
          <w:tab w:val="left" w:pos="1560"/>
          <w:tab w:val="num" w:pos="4608"/>
        </w:tabs>
        <w:ind w:left="1200" w:hanging="6"/>
        <w:rPr>
          <w:bCs/>
        </w:rPr>
      </w:pPr>
      <w:r w:rsidRPr="000D0154">
        <w:rPr>
          <w:bCs/>
        </w:rPr>
        <w:t>7.</w:t>
      </w:r>
      <w:r w:rsidRPr="000D0154">
        <w:rPr>
          <w:bCs/>
        </w:rPr>
        <w:tab/>
      </w:r>
      <w:r w:rsidR="00141DB2" w:rsidRPr="003D6390">
        <w:rPr>
          <w:b/>
        </w:rPr>
        <w:t xml:space="preserve">The Committee urges the State party to take steps to make any necessary legislative amendments to bring the Chancellor of Justice into compliance with the </w:t>
      </w:r>
      <w:smartTag w:uri="urn:schemas-microsoft-com:office:smarttags" w:element="place">
        <w:smartTag w:uri="urn:schemas-microsoft-com:office:smarttags" w:element="City">
          <w:r w:rsidR="00141DB2" w:rsidRPr="003D6390">
            <w:rPr>
              <w:b/>
            </w:rPr>
            <w:t>Paris</w:t>
          </w:r>
        </w:smartTag>
      </w:smartTag>
      <w:r w:rsidR="00141DB2" w:rsidRPr="003D6390">
        <w:rPr>
          <w:b/>
        </w:rPr>
        <w:t xml:space="preserve"> Principles and to apply for its accreditation </w:t>
      </w:r>
      <w:r w:rsidR="00724F18" w:rsidRPr="003D6390">
        <w:rPr>
          <w:b/>
        </w:rPr>
        <w:t xml:space="preserve">to the International Coordinating Committee of National Institutions for the Promotion and Protection of Human Rights </w:t>
      </w:r>
      <w:r w:rsidR="00141DB2" w:rsidRPr="003D6390">
        <w:rPr>
          <w:b/>
        </w:rPr>
        <w:t>in due course. The Committee also draws the attention of the State party to its general comment No. 10 (1998) on the role of national human rights institutions in the protection of economic, social and cultural rights</w:t>
      </w:r>
      <w:r w:rsidR="00141DB2" w:rsidRPr="000D0154">
        <w:rPr>
          <w:bCs/>
        </w:rPr>
        <w:t>.</w:t>
      </w:r>
    </w:p>
    <w:p w:rsidR="00141DB2" w:rsidRPr="00035E91" w:rsidRDefault="00033BC6" w:rsidP="00033BC6">
      <w:pPr>
        <w:pStyle w:val="SingleTxtG"/>
        <w:tabs>
          <w:tab w:val="left" w:pos="1560"/>
          <w:tab w:val="num" w:pos="4608"/>
        </w:tabs>
        <w:ind w:left="1200" w:hanging="6"/>
        <w:rPr>
          <w:b/>
        </w:rPr>
      </w:pPr>
      <w:r w:rsidRPr="00035E91">
        <w:t>8.</w:t>
      </w:r>
      <w:r w:rsidRPr="00035E91">
        <w:tab/>
      </w:r>
      <w:r w:rsidR="00141DB2">
        <w:t xml:space="preserve">The Committee notes with concern that the Equal Treatment Act does not prohibit discrimination on all grounds </w:t>
      </w:r>
      <w:r w:rsidR="00657426">
        <w:t>stipulated</w:t>
      </w:r>
      <w:r w:rsidR="00034DC8">
        <w:t xml:space="preserve"> </w:t>
      </w:r>
      <w:r w:rsidR="00657426">
        <w:t xml:space="preserve">in </w:t>
      </w:r>
      <w:r w:rsidR="000D0154">
        <w:t>article 2, paragraph 2</w:t>
      </w:r>
      <w:r w:rsidR="00141DB2">
        <w:t xml:space="preserve"> of the Covenant in the enjoyment of all economic, social and cultural rights. </w:t>
      </w:r>
    </w:p>
    <w:p w:rsidR="00141DB2" w:rsidRPr="00CF2178" w:rsidRDefault="00141DB2" w:rsidP="00033BC6">
      <w:pPr>
        <w:pStyle w:val="SingleTxtG"/>
        <w:tabs>
          <w:tab w:val="left" w:pos="1560"/>
          <w:tab w:val="num" w:pos="4608"/>
        </w:tabs>
        <w:ind w:left="1200" w:hanging="6"/>
        <w:rPr>
          <w:b/>
        </w:rPr>
      </w:pPr>
      <w:r w:rsidRPr="00033BC6">
        <w:rPr>
          <w:b/>
          <w:bCs/>
          <w:lang w:val="en-US"/>
        </w:rPr>
        <w:t>The</w:t>
      </w:r>
      <w:r w:rsidRPr="00425674">
        <w:rPr>
          <w:b/>
          <w:lang w:val="en-US"/>
        </w:rPr>
        <w:t xml:space="preserve"> Committee </w:t>
      </w:r>
      <w:r w:rsidR="00034DC8" w:rsidRPr="00425674">
        <w:rPr>
          <w:b/>
          <w:lang w:val="en-US"/>
        </w:rPr>
        <w:t xml:space="preserve">calls on </w:t>
      </w:r>
      <w:r w:rsidRPr="00425674">
        <w:rPr>
          <w:b/>
          <w:lang w:val="en-US"/>
        </w:rPr>
        <w:t xml:space="preserve">the State party to </w:t>
      </w:r>
      <w:r w:rsidR="00034DC8" w:rsidRPr="00425674">
        <w:rPr>
          <w:b/>
          <w:lang w:val="en-US"/>
        </w:rPr>
        <w:t xml:space="preserve">adopt </w:t>
      </w:r>
      <w:r w:rsidRPr="00425674">
        <w:rPr>
          <w:b/>
          <w:lang w:val="en-US"/>
        </w:rPr>
        <w:t>the necessary legislative</w:t>
      </w:r>
      <w:r w:rsidRPr="00CF2178">
        <w:rPr>
          <w:b/>
        </w:rPr>
        <w:t xml:space="preserve"> amendments so as to prohibit discrimination on all grounds </w:t>
      </w:r>
      <w:r w:rsidR="00657426">
        <w:rPr>
          <w:b/>
        </w:rPr>
        <w:t>stipulated in</w:t>
      </w:r>
      <w:r w:rsidR="005D4F19">
        <w:rPr>
          <w:b/>
        </w:rPr>
        <w:t xml:space="preserve"> </w:t>
      </w:r>
      <w:r w:rsidR="000D0154">
        <w:rPr>
          <w:b/>
        </w:rPr>
        <w:t xml:space="preserve">article 2, paragraph 2 </w:t>
      </w:r>
      <w:r w:rsidRPr="00CF2178">
        <w:rPr>
          <w:b/>
        </w:rPr>
        <w:t xml:space="preserve">of the Covenant and in the exercise of all economic, social and cultural rights. The Committee also requests that the State party include in its next periodic </w:t>
      </w:r>
      <w:r w:rsidR="00980577">
        <w:rPr>
          <w:b/>
        </w:rPr>
        <w:t xml:space="preserve">report </w:t>
      </w:r>
      <w:r w:rsidRPr="00CF2178">
        <w:rPr>
          <w:b/>
        </w:rPr>
        <w:t>information and statistical data on court cases and complaints lodged to the Gender Equality and Equal Treatment Commissioner on discrimination</w:t>
      </w:r>
      <w:r w:rsidR="00980577">
        <w:rPr>
          <w:b/>
        </w:rPr>
        <w:t>, a</w:t>
      </w:r>
      <w:r w:rsidR="005377AA">
        <w:rPr>
          <w:b/>
        </w:rPr>
        <w:t>s well as</w:t>
      </w:r>
      <w:r w:rsidR="00980577">
        <w:rPr>
          <w:b/>
        </w:rPr>
        <w:t xml:space="preserve"> actions taken thereon.</w:t>
      </w:r>
      <w:r w:rsidRPr="00CF2178">
        <w:rPr>
          <w:b/>
        </w:rPr>
        <w:t xml:space="preserve"> </w:t>
      </w:r>
    </w:p>
    <w:p w:rsidR="00141DB2" w:rsidRDefault="00033BC6" w:rsidP="00033BC6">
      <w:pPr>
        <w:pStyle w:val="SingleTxtG"/>
        <w:tabs>
          <w:tab w:val="left" w:pos="1560"/>
          <w:tab w:val="num" w:pos="4608"/>
        </w:tabs>
        <w:ind w:left="1200" w:hanging="6"/>
      </w:pPr>
      <w:r>
        <w:t>9.</w:t>
      </w:r>
      <w:r>
        <w:tab/>
      </w:r>
      <w:r w:rsidR="00520D21">
        <w:t>T</w:t>
      </w:r>
      <w:r w:rsidR="00141DB2">
        <w:t>he Committee remains concerned that</w:t>
      </w:r>
      <w:r w:rsidR="004B4480">
        <w:t xml:space="preserve"> </w:t>
      </w:r>
      <w:r w:rsidR="00520D21">
        <w:t>persons with the status of</w:t>
      </w:r>
      <w:r w:rsidR="004B4480">
        <w:t xml:space="preserve"> </w:t>
      </w:r>
      <w:r w:rsidR="00330B55">
        <w:t>‘</w:t>
      </w:r>
      <w:r w:rsidR="004B4480">
        <w:t>non-citizens</w:t>
      </w:r>
      <w:r w:rsidR="00141D43">
        <w:t>,</w:t>
      </w:r>
      <w:r w:rsidR="00330B55">
        <w:t>’</w:t>
      </w:r>
      <w:r w:rsidR="00141DB2">
        <w:t xml:space="preserve"> </w:t>
      </w:r>
      <w:r w:rsidR="00141D43">
        <w:t xml:space="preserve">in accordance with the passport issued by the authority, </w:t>
      </w:r>
      <w:r w:rsidR="00520D21">
        <w:t xml:space="preserve">still </w:t>
      </w:r>
      <w:r w:rsidR="00141DB2">
        <w:t xml:space="preserve">make up approximately 7 per cent of </w:t>
      </w:r>
      <w:r w:rsidR="007C0DED">
        <w:t xml:space="preserve">the </w:t>
      </w:r>
      <w:r w:rsidR="00141DB2">
        <w:t>population. The Committee is further concerned that the citizenship of persons who have acquired it by naturalization can be revoked under some circumstances. (art. 2</w:t>
      </w:r>
      <w:r w:rsidR="000D0154">
        <w:t>, para. 2)</w:t>
      </w:r>
    </w:p>
    <w:p w:rsidR="00141DB2" w:rsidRPr="00CF2178" w:rsidRDefault="00141DB2" w:rsidP="00033BC6">
      <w:pPr>
        <w:pStyle w:val="SingleTxtG"/>
        <w:tabs>
          <w:tab w:val="left" w:pos="1560"/>
          <w:tab w:val="num" w:pos="4608"/>
        </w:tabs>
        <w:ind w:left="1200" w:hanging="6"/>
        <w:rPr>
          <w:b/>
        </w:rPr>
      </w:pPr>
      <w:r w:rsidRPr="00033BC6">
        <w:rPr>
          <w:b/>
          <w:bCs/>
          <w:lang w:val="en-US"/>
        </w:rPr>
        <w:t>The</w:t>
      </w:r>
      <w:r w:rsidRPr="00CF2178">
        <w:rPr>
          <w:b/>
        </w:rPr>
        <w:t xml:space="preserve"> Committee recommends that the State party </w:t>
      </w:r>
      <w:r w:rsidR="004B4480">
        <w:rPr>
          <w:b/>
        </w:rPr>
        <w:t>intensify</w:t>
      </w:r>
      <w:r w:rsidR="004B4480" w:rsidRPr="00CF2178">
        <w:rPr>
          <w:b/>
        </w:rPr>
        <w:t xml:space="preserve"> </w:t>
      </w:r>
      <w:r w:rsidRPr="00CF2178">
        <w:rPr>
          <w:b/>
        </w:rPr>
        <w:t>its effort to facilitate the acquisition of Estonian citizenship</w:t>
      </w:r>
      <w:r w:rsidR="00803E3A">
        <w:rPr>
          <w:b/>
        </w:rPr>
        <w:t xml:space="preserve"> by </w:t>
      </w:r>
      <w:r w:rsidR="00520D21">
        <w:rPr>
          <w:b/>
        </w:rPr>
        <w:t>persons with the status of ‘non-citizens’</w:t>
      </w:r>
      <w:r w:rsidRPr="00CF2178">
        <w:rPr>
          <w:b/>
        </w:rPr>
        <w:t xml:space="preserve"> and to address obstacles encountered by applicants, including by softening the official language qualifications required</w:t>
      </w:r>
      <w:r w:rsidR="004B4480">
        <w:rPr>
          <w:b/>
        </w:rPr>
        <w:t xml:space="preserve"> for those who have long residence in the country</w:t>
      </w:r>
      <w:r w:rsidRPr="00CF2178">
        <w:rPr>
          <w:b/>
        </w:rPr>
        <w:t xml:space="preserve"> </w:t>
      </w:r>
      <w:r w:rsidR="00803E3A">
        <w:rPr>
          <w:b/>
        </w:rPr>
        <w:t>and by granting Estonian citizenship to children born in the families of those persons</w:t>
      </w:r>
      <w:r w:rsidRPr="00CF2178">
        <w:rPr>
          <w:b/>
        </w:rPr>
        <w:t>. The Committee also urges the State party to amend its legislation on citizenship so as to ensure that all citizens are treated equally irrespective of the mode of acquisition of the citizenship, in conformity with the obligation of non-discrimination under article 2 of the Covenant.</w:t>
      </w:r>
    </w:p>
    <w:p w:rsidR="00141DB2" w:rsidRPr="00141DB2" w:rsidRDefault="00033BC6" w:rsidP="00033BC6">
      <w:pPr>
        <w:pStyle w:val="SingleTxtG"/>
        <w:tabs>
          <w:tab w:val="left" w:pos="1560"/>
          <w:tab w:val="num" w:pos="4608"/>
        </w:tabs>
        <w:ind w:left="1200" w:hanging="6"/>
        <w:rPr>
          <w:b/>
        </w:rPr>
      </w:pPr>
      <w:r w:rsidRPr="00141DB2">
        <w:t>10.</w:t>
      </w:r>
      <w:r w:rsidRPr="00141DB2">
        <w:tab/>
      </w:r>
      <w:r w:rsidR="00141DB2">
        <w:t>The Committee expresses concern a</w:t>
      </w:r>
      <w:r w:rsidR="005E12C3">
        <w:t>bou</w:t>
      </w:r>
      <w:r w:rsidR="00141DB2">
        <w:t xml:space="preserve">t the discrimination against the Russian-speaking population </w:t>
      </w:r>
      <w:r w:rsidR="00DB0881">
        <w:t xml:space="preserve">which </w:t>
      </w:r>
      <w:r w:rsidR="00141DB2">
        <w:t>continues to be disproportionally affected by unemployment and poverty. (art. 2</w:t>
      </w:r>
      <w:r w:rsidR="000D0154">
        <w:t>, para. 2</w:t>
      </w:r>
      <w:r w:rsidR="00141DB2">
        <w:t>)</w:t>
      </w:r>
    </w:p>
    <w:p w:rsidR="00141DB2" w:rsidRPr="00CF2178" w:rsidRDefault="00141DB2" w:rsidP="00033BC6">
      <w:pPr>
        <w:pStyle w:val="SingleTxtG"/>
        <w:tabs>
          <w:tab w:val="left" w:pos="1560"/>
          <w:tab w:val="num" w:pos="4608"/>
        </w:tabs>
        <w:ind w:left="1200" w:hanging="6"/>
        <w:rPr>
          <w:b/>
        </w:rPr>
      </w:pPr>
      <w:r w:rsidRPr="00033BC6">
        <w:rPr>
          <w:b/>
          <w:bCs/>
          <w:lang w:val="en-US"/>
        </w:rPr>
        <w:t>The</w:t>
      </w:r>
      <w:r w:rsidRPr="00CF2178">
        <w:rPr>
          <w:b/>
        </w:rPr>
        <w:t xml:space="preserve"> Committee </w:t>
      </w:r>
      <w:r w:rsidR="000F4FFE">
        <w:rPr>
          <w:b/>
        </w:rPr>
        <w:t>calls on</w:t>
      </w:r>
      <w:r w:rsidRPr="00CF2178">
        <w:rPr>
          <w:b/>
        </w:rPr>
        <w:t xml:space="preserve"> the State party to</w:t>
      </w:r>
      <w:r w:rsidR="000F4FFE">
        <w:rPr>
          <w:b/>
        </w:rPr>
        <w:t xml:space="preserve"> intensify its effort</w:t>
      </w:r>
      <w:r w:rsidR="006756FE">
        <w:rPr>
          <w:b/>
        </w:rPr>
        <w:t>s</w:t>
      </w:r>
      <w:r w:rsidR="000F4FFE">
        <w:rPr>
          <w:b/>
        </w:rPr>
        <w:t xml:space="preserve"> to address</w:t>
      </w:r>
      <w:r w:rsidR="005D4F19">
        <w:rPr>
          <w:b/>
        </w:rPr>
        <w:t xml:space="preserve"> </w:t>
      </w:r>
      <w:r w:rsidRPr="00CF2178">
        <w:rPr>
          <w:b/>
        </w:rPr>
        <w:t>the persistent disadvantage</w:t>
      </w:r>
      <w:r w:rsidR="005E12C3">
        <w:rPr>
          <w:b/>
        </w:rPr>
        <w:t>s</w:t>
      </w:r>
      <w:r w:rsidRPr="00CF2178">
        <w:rPr>
          <w:b/>
        </w:rPr>
        <w:t xml:space="preserve"> faced by the Russian-speaking population in the enjoyment of economic, social and cultural rights, and to ensure that strategies and policies adopted in this regard address both formal and substantive discrimination, and include the implementation of special measures in the field of employment.</w:t>
      </w:r>
    </w:p>
    <w:p w:rsidR="00141DB2" w:rsidRPr="00CF2178" w:rsidRDefault="00141DB2" w:rsidP="00033BC6">
      <w:pPr>
        <w:pStyle w:val="SingleTxtG"/>
        <w:tabs>
          <w:tab w:val="left" w:pos="1560"/>
          <w:tab w:val="num" w:pos="4608"/>
        </w:tabs>
        <w:ind w:left="1200" w:hanging="6"/>
        <w:rPr>
          <w:b/>
        </w:rPr>
      </w:pPr>
      <w:r w:rsidRPr="00033BC6">
        <w:rPr>
          <w:b/>
          <w:bCs/>
          <w:lang w:val="en-US"/>
        </w:rPr>
        <w:t>Furthermore</w:t>
      </w:r>
      <w:r w:rsidRPr="00CF2178">
        <w:rPr>
          <w:b/>
        </w:rPr>
        <w:t>, the Committee calls on the State</w:t>
      </w:r>
      <w:r w:rsidR="000511FA">
        <w:rPr>
          <w:b/>
        </w:rPr>
        <w:t xml:space="preserve"> party</w:t>
      </w:r>
      <w:r w:rsidRPr="00CF2178">
        <w:rPr>
          <w:b/>
        </w:rPr>
        <w:t xml:space="preserve"> to ensure that language requirements in relation to employment are based on reasonable and objective criteria, linked to the needs for the performance of each individual job, so as to avoid discrimination on the basis of language.</w:t>
      </w:r>
    </w:p>
    <w:p w:rsidR="00141DB2" w:rsidRDefault="00033BC6" w:rsidP="00033BC6">
      <w:pPr>
        <w:pStyle w:val="SingleTxtG"/>
        <w:tabs>
          <w:tab w:val="left" w:pos="1560"/>
          <w:tab w:val="num" w:pos="4608"/>
        </w:tabs>
        <w:ind w:left="1200" w:hanging="6"/>
      </w:pPr>
      <w:r>
        <w:t>11.</w:t>
      </w:r>
      <w:r>
        <w:tab/>
      </w:r>
      <w:r w:rsidR="00141DB2">
        <w:t xml:space="preserve">The Committee expresses concern at the entrenched gender role stereotypes in the society and their negative impact on the enjoyment by women of their economic, social and cultural rights, including in the exercise of their right to work. The Committee is further concerned at the gender </w:t>
      </w:r>
      <w:r w:rsidR="0002276B">
        <w:t>disparity</w:t>
      </w:r>
      <w:r w:rsidR="00A12D60">
        <w:t xml:space="preserve"> </w:t>
      </w:r>
      <w:r w:rsidR="00141DB2">
        <w:t xml:space="preserve">in </w:t>
      </w:r>
      <w:r w:rsidR="0002276B">
        <w:t>the field</w:t>
      </w:r>
      <w:r w:rsidR="00EA13DA">
        <w:t>s</w:t>
      </w:r>
      <w:r w:rsidR="0002276B">
        <w:t xml:space="preserve"> of education and employment</w:t>
      </w:r>
      <w:r w:rsidR="00141DB2">
        <w:t>. The Committee is also concerned at the inadequacy of human resources allocated to the promotion of gender equality, especially in the Office of the Gender Equality and Equal Treatment Commissioner, which consists of only the Commissioner and one advisor. (art. 3)</w:t>
      </w:r>
    </w:p>
    <w:p w:rsidR="00141DB2" w:rsidRPr="00EA1FC3" w:rsidRDefault="00141DB2" w:rsidP="00033BC6">
      <w:pPr>
        <w:pStyle w:val="SingleTxtG"/>
        <w:tabs>
          <w:tab w:val="left" w:pos="1560"/>
          <w:tab w:val="num" w:pos="4608"/>
        </w:tabs>
        <w:ind w:left="1200" w:hanging="6"/>
        <w:rPr>
          <w:b/>
        </w:rPr>
      </w:pPr>
      <w:r w:rsidRPr="00033BC6">
        <w:rPr>
          <w:b/>
          <w:bCs/>
          <w:lang w:val="en-US"/>
        </w:rPr>
        <w:t>The</w:t>
      </w:r>
      <w:r w:rsidRPr="00EA1FC3">
        <w:rPr>
          <w:b/>
        </w:rPr>
        <w:t xml:space="preserve"> Committee calls on the State party to </w:t>
      </w:r>
      <w:r w:rsidR="005E12C3">
        <w:rPr>
          <w:b/>
        </w:rPr>
        <w:t xml:space="preserve">intensify its efforts </w:t>
      </w:r>
      <w:r w:rsidRPr="00EA1FC3">
        <w:rPr>
          <w:b/>
        </w:rPr>
        <w:t xml:space="preserve">aimed at </w:t>
      </w:r>
      <w:r w:rsidR="005E12C3">
        <w:rPr>
          <w:b/>
        </w:rPr>
        <w:t>eliminating</w:t>
      </w:r>
      <w:r w:rsidR="005E12C3" w:rsidRPr="00EA1FC3">
        <w:rPr>
          <w:b/>
        </w:rPr>
        <w:t xml:space="preserve"> </w:t>
      </w:r>
      <w:r w:rsidRPr="00EA1FC3">
        <w:rPr>
          <w:b/>
        </w:rPr>
        <w:t>the societal</w:t>
      </w:r>
      <w:r w:rsidR="00724F18">
        <w:rPr>
          <w:b/>
        </w:rPr>
        <w:t xml:space="preserve"> gender role</w:t>
      </w:r>
      <w:r w:rsidRPr="00EA1FC3">
        <w:rPr>
          <w:b/>
        </w:rPr>
        <w:t xml:space="preserve"> stereotypes and prejudices</w:t>
      </w:r>
      <w:r w:rsidR="00724F18">
        <w:rPr>
          <w:b/>
        </w:rPr>
        <w:t>, including through awareness-raising campaigns</w:t>
      </w:r>
      <w:r w:rsidRPr="00EA1FC3">
        <w:rPr>
          <w:b/>
        </w:rPr>
        <w:t>. The Committee also calls on</w:t>
      </w:r>
      <w:r w:rsidR="006756FE" w:rsidRPr="00EA1FC3">
        <w:rPr>
          <w:b/>
        </w:rPr>
        <w:t xml:space="preserve"> </w:t>
      </w:r>
      <w:r w:rsidRPr="00EA1FC3">
        <w:rPr>
          <w:b/>
        </w:rPr>
        <w:t xml:space="preserve">the State party to take concrete measures to improve gender balance in education </w:t>
      </w:r>
      <w:r w:rsidR="00917D23">
        <w:rPr>
          <w:b/>
        </w:rPr>
        <w:t>disciplines</w:t>
      </w:r>
      <w:r w:rsidR="00917D23" w:rsidRPr="00EA1FC3">
        <w:rPr>
          <w:b/>
        </w:rPr>
        <w:t xml:space="preserve"> </w:t>
      </w:r>
      <w:r w:rsidRPr="00EA1FC3">
        <w:rPr>
          <w:b/>
        </w:rPr>
        <w:t>traditionally dominated by either sex. Moreover, the Committee urges the State</w:t>
      </w:r>
      <w:r w:rsidR="000511FA">
        <w:rPr>
          <w:b/>
        </w:rPr>
        <w:t xml:space="preserve"> party</w:t>
      </w:r>
      <w:r w:rsidRPr="00EA1FC3">
        <w:rPr>
          <w:b/>
        </w:rPr>
        <w:t xml:space="preserve"> to allocate the necessary resources for the promotion of gender equality.</w:t>
      </w:r>
    </w:p>
    <w:p w:rsidR="00141DB2" w:rsidRPr="003D6390" w:rsidRDefault="00033BC6" w:rsidP="00033BC6">
      <w:pPr>
        <w:pStyle w:val="SingleTxtG"/>
        <w:tabs>
          <w:tab w:val="left" w:pos="1560"/>
          <w:tab w:val="num" w:pos="4608"/>
        </w:tabs>
        <w:ind w:left="1200" w:hanging="6"/>
        <w:rPr>
          <w:b/>
          <w:lang w:val="en-US"/>
        </w:rPr>
      </w:pPr>
      <w:r w:rsidRPr="003D6390">
        <w:rPr>
          <w:lang w:val="en-US"/>
        </w:rPr>
        <w:t>12.</w:t>
      </w:r>
      <w:r w:rsidRPr="003D6390">
        <w:rPr>
          <w:lang w:val="en-US"/>
        </w:rPr>
        <w:tab/>
      </w:r>
      <w:r w:rsidR="00141DB2">
        <w:t xml:space="preserve"> </w:t>
      </w:r>
      <w:r w:rsidR="00141DB2" w:rsidRPr="003D6390">
        <w:rPr>
          <w:b/>
        </w:rPr>
        <w:t xml:space="preserve">The Committee urges the State party to </w:t>
      </w:r>
      <w:r w:rsidR="00141DB2" w:rsidRPr="003D6390">
        <w:rPr>
          <w:b/>
          <w:lang w:val="en-US"/>
        </w:rPr>
        <w:t xml:space="preserve">amend its legislation so as to ensure that work by prisoners is authorized only when freely chosen or accepted without </w:t>
      </w:r>
      <w:r w:rsidR="001D2F48" w:rsidRPr="003D6390">
        <w:rPr>
          <w:b/>
          <w:lang w:val="en-US"/>
        </w:rPr>
        <w:t>duress</w:t>
      </w:r>
      <w:r w:rsidR="00141DB2" w:rsidRPr="003D6390">
        <w:rPr>
          <w:b/>
          <w:lang w:val="en-US"/>
        </w:rPr>
        <w:t>.</w:t>
      </w:r>
    </w:p>
    <w:p w:rsidR="00141DB2" w:rsidRPr="00141DB2" w:rsidRDefault="00033BC6" w:rsidP="00033BC6">
      <w:pPr>
        <w:pStyle w:val="SingleTxtG"/>
        <w:tabs>
          <w:tab w:val="left" w:pos="1560"/>
          <w:tab w:val="num" w:pos="4608"/>
        </w:tabs>
        <w:ind w:left="1200" w:hanging="6"/>
        <w:rPr>
          <w:b/>
          <w:lang w:val="en-US"/>
        </w:rPr>
      </w:pPr>
      <w:r w:rsidRPr="00141DB2">
        <w:rPr>
          <w:lang w:val="en-US"/>
        </w:rPr>
        <w:t>13.</w:t>
      </w:r>
      <w:r w:rsidRPr="00141DB2">
        <w:rPr>
          <w:lang w:val="en-US"/>
        </w:rPr>
        <w:tab/>
      </w:r>
      <w:r w:rsidR="003F3C53">
        <w:rPr>
          <w:lang w:val="en-US"/>
        </w:rPr>
        <w:t>T</w:t>
      </w:r>
      <w:r w:rsidR="00141DB2" w:rsidRPr="00141DB2">
        <w:rPr>
          <w:lang w:val="en-US"/>
        </w:rPr>
        <w:t>he Committee is concerned that unemployment remains significant</w:t>
      </w:r>
      <w:r w:rsidR="003F3C53">
        <w:rPr>
          <w:lang w:val="en-US"/>
        </w:rPr>
        <w:t>, in spite of the efforts of the State party</w:t>
      </w:r>
      <w:r w:rsidR="00141DB2" w:rsidRPr="00141DB2">
        <w:rPr>
          <w:lang w:val="en-US"/>
        </w:rPr>
        <w:t xml:space="preserve">. The Committee is also concerned </w:t>
      </w:r>
      <w:r w:rsidR="006756FE">
        <w:rPr>
          <w:lang w:val="en-US"/>
        </w:rPr>
        <w:t>about</w:t>
      </w:r>
      <w:r w:rsidR="006756FE" w:rsidRPr="00141DB2">
        <w:rPr>
          <w:lang w:val="en-US"/>
        </w:rPr>
        <w:t xml:space="preserve"> </w:t>
      </w:r>
      <w:r w:rsidR="00141DB2" w:rsidRPr="00141DB2">
        <w:rPr>
          <w:lang w:val="en-US"/>
        </w:rPr>
        <w:t>the vulnerability of</w:t>
      </w:r>
      <w:r w:rsidR="00724F18">
        <w:rPr>
          <w:lang w:val="en-US"/>
        </w:rPr>
        <w:t xml:space="preserve"> the</w:t>
      </w:r>
      <w:r w:rsidR="00141DB2" w:rsidRPr="00141DB2">
        <w:rPr>
          <w:lang w:val="en-US"/>
        </w:rPr>
        <w:t xml:space="preserve"> employment</w:t>
      </w:r>
      <w:r w:rsidR="00724F18">
        <w:rPr>
          <w:lang w:val="en-US"/>
        </w:rPr>
        <w:t xml:space="preserve"> sector</w:t>
      </w:r>
      <w:r w:rsidR="00141DB2" w:rsidRPr="00141DB2">
        <w:rPr>
          <w:lang w:val="en-US"/>
        </w:rPr>
        <w:t xml:space="preserve"> in the State party to economic shocks, as shown by the drastic surge in unemployment between 2008 and 2010. (arts. 6</w:t>
      </w:r>
      <w:r w:rsidR="006756FE">
        <w:rPr>
          <w:lang w:val="en-US"/>
        </w:rPr>
        <w:t xml:space="preserve"> and</w:t>
      </w:r>
      <w:r w:rsidR="006756FE" w:rsidRPr="00141DB2">
        <w:rPr>
          <w:lang w:val="en-US"/>
        </w:rPr>
        <w:t xml:space="preserve"> </w:t>
      </w:r>
      <w:r w:rsidR="00141DB2" w:rsidRPr="00141DB2">
        <w:rPr>
          <w:lang w:val="en-US"/>
        </w:rPr>
        <w:t>7)</w:t>
      </w:r>
    </w:p>
    <w:p w:rsidR="00141DB2" w:rsidRPr="00EA1FC3" w:rsidRDefault="00141DB2" w:rsidP="00033BC6">
      <w:pPr>
        <w:pStyle w:val="SingleTxtG"/>
        <w:tabs>
          <w:tab w:val="left" w:pos="1560"/>
          <w:tab w:val="num" w:pos="4608"/>
        </w:tabs>
        <w:ind w:left="1200" w:hanging="6"/>
        <w:rPr>
          <w:b/>
          <w:lang w:val="en-US"/>
        </w:rPr>
      </w:pPr>
      <w:r w:rsidRPr="00033BC6">
        <w:rPr>
          <w:b/>
          <w:bCs/>
          <w:lang w:val="en-US"/>
        </w:rPr>
        <w:t>The</w:t>
      </w:r>
      <w:r w:rsidRPr="00EA1FC3">
        <w:rPr>
          <w:b/>
          <w:lang w:val="en-US"/>
        </w:rPr>
        <w:t xml:space="preserve"> Committee recommends that the State party intensify its effort</w:t>
      </w:r>
      <w:r w:rsidR="006756FE">
        <w:rPr>
          <w:b/>
          <w:lang w:val="en-US"/>
        </w:rPr>
        <w:t>s</w:t>
      </w:r>
      <w:r w:rsidRPr="00EA1FC3">
        <w:rPr>
          <w:b/>
          <w:lang w:val="en-US"/>
        </w:rPr>
        <w:t xml:space="preserve"> in reducing unemployment and that measures taken in this regard also seek to reduce the vulnerability of </w:t>
      </w:r>
      <w:r w:rsidR="00724F18">
        <w:rPr>
          <w:b/>
          <w:lang w:val="en-US"/>
        </w:rPr>
        <w:t xml:space="preserve">the </w:t>
      </w:r>
      <w:r w:rsidRPr="00EA1FC3">
        <w:rPr>
          <w:b/>
          <w:lang w:val="en-US"/>
        </w:rPr>
        <w:t xml:space="preserve">employment </w:t>
      </w:r>
      <w:r w:rsidR="00724F18">
        <w:rPr>
          <w:b/>
          <w:lang w:val="en-US"/>
        </w:rPr>
        <w:t xml:space="preserve">sector </w:t>
      </w:r>
      <w:r w:rsidRPr="00EA1FC3">
        <w:rPr>
          <w:b/>
          <w:lang w:val="en-US"/>
        </w:rPr>
        <w:t xml:space="preserve">to economic </w:t>
      </w:r>
      <w:r w:rsidR="003F3C53">
        <w:rPr>
          <w:b/>
          <w:lang w:val="en-US"/>
        </w:rPr>
        <w:t>shock</w:t>
      </w:r>
      <w:r w:rsidR="00433FB8">
        <w:rPr>
          <w:b/>
          <w:lang w:val="en-US"/>
        </w:rPr>
        <w:t>s</w:t>
      </w:r>
      <w:r w:rsidRPr="00EA1FC3">
        <w:rPr>
          <w:b/>
          <w:lang w:val="en-US"/>
        </w:rPr>
        <w:t>. The Committee also recommends that the State party closely monitor the enforcement of the Employment Contracts Act so as to ensure that the application of the provisions aimed at introducing flexibility in employment relations does not lead to violations of rights under articles 6 and 7 of the Covenant. The Committee refers the State party to its general comment No. 18 (2005) on the right to work.</w:t>
      </w:r>
    </w:p>
    <w:p w:rsidR="00141DB2" w:rsidRPr="00141DB2" w:rsidRDefault="00033BC6" w:rsidP="00033BC6">
      <w:pPr>
        <w:pStyle w:val="SingleTxtG"/>
        <w:tabs>
          <w:tab w:val="left" w:pos="1560"/>
          <w:tab w:val="num" w:pos="4608"/>
        </w:tabs>
        <w:ind w:left="1200" w:hanging="6"/>
        <w:rPr>
          <w:b/>
        </w:rPr>
      </w:pPr>
      <w:r w:rsidRPr="00141DB2">
        <w:t>14.</w:t>
      </w:r>
      <w:r w:rsidRPr="00141DB2">
        <w:tab/>
      </w:r>
      <w:r w:rsidR="00141DB2">
        <w:t>The Committee is concerned that</w:t>
      </w:r>
      <w:r w:rsidR="00917D23">
        <w:t>,</w:t>
      </w:r>
      <w:r w:rsidR="00141DB2">
        <w:t xml:space="preserve"> despite the efforts </w:t>
      </w:r>
      <w:r w:rsidR="00171D96">
        <w:t xml:space="preserve">made </w:t>
      </w:r>
      <w:r w:rsidR="00141DB2">
        <w:t>by the State</w:t>
      </w:r>
      <w:r w:rsidR="000511FA">
        <w:t xml:space="preserve"> party</w:t>
      </w:r>
      <w:r w:rsidR="00141DB2">
        <w:t xml:space="preserve"> aimed at raising awareness of the provisions of the Gender Equality Act among employers and workers, women </w:t>
      </w:r>
      <w:r w:rsidR="009D1AC2">
        <w:t>remain</w:t>
      </w:r>
      <w:r w:rsidR="00141DB2">
        <w:t xml:space="preserve"> disadvantaged in the labour market. In particular, women </w:t>
      </w:r>
      <w:r w:rsidR="00141DB2" w:rsidRPr="00EA1FC3">
        <w:rPr>
          <w:lang w:val="en-US"/>
        </w:rPr>
        <w:t>have</w:t>
      </w:r>
      <w:r w:rsidR="00141DB2">
        <w:t xml:space="preserve"> </w:t>
      </w:r>
      <w:r w:rsidR="009D1AC2">
        <w:t>greater</w:t>
      </w:r>
      <w:r w:rsidR="00141DB2">
        <w:t xml:space="preserve"> difficulty </w:t>
      </w:r>
      <w:r w:rsidR="00917D23">
        <w:t xml:space="preserve">to </w:t>
      </w:r>
      <w:r w:rsidR="009D1AC2">
        <w:t>be reintegrate</w:t>
      </w:r>
      <w:r w:rsidR="008B0E81">
        <w:t>d in</w:t>
      </w:r>
      <w:r w:rsidR="00D23E05">
        <w:t xml:space="preserve">to </w:t>
      </w:r>
      <w:r w:rsidR="00141DB2">
        <w:t xml:space="preserve">the labour market and </w:t>
      </w:r>
      <w:r w:rsidR="009D1AC2">
        <w:t xml:space="preserve">generally </w:t>
      </w:r>
      <w:r w:rsidR="00141DB2">
        <w:t>earn much less than male workers, including when they perform the same work</w:t>
      </w:r>
      <w:r w:rsidR="00184708">
        <w:t>.</w:t>
      </w:r>
      <w:r w:rsidR="00141DB2">
        <w:t xml:space="preserve"> (arts. 6, 7</w:t>
      </w:r>
      <w:r w:rsidR="00F27A02">
        <w:t xml:space="preserve"> and </w:t>
      </w:r>
      <w:r w:rsidR="00141DB2">
        <w:t>3)</w:t>
      </w:r>
    </w:p>
    <w:p w:rsidR="00141DB2" w:rsidRPr="00EA1FC3" w:rsidRDefault="00141DB2" w:rsidP="00033BC6">
      <w:pPr>
        <w:pStyle w:val="SingleTxtG"/>
        <w:tabs>
          <w:tab w:val="left" w:pos="1560"/>
          <w:tab w:val="num" w:pos="4608"/>
        </w:tabs>
        <w:ind w:left="1200" w:hanging="6"/>
        <w:rPr>
          <w:b/>
        </w:rPr>
      </w:pPr>
      <w:r w:rsidRPr="00033BC6">
        <w:rPr>
          <w:b/>
          <w:bCs/>
          <w:lang w:val="en-US"/>
        </w:rPr>
        <w:t>The</w:t>
      </w:r>
      <w:r w:rsidRPr="00EA1FC3">
        <w:rPr>
          <w:b/>
        </w:rPr>
        <w:t xml:space="preserve"> Committee urges the State </w:t>
      </w:r>
      <w:r w:rsidR="000511FA">
        <w:rPr>
          <w:b/>
        </w:rPr>
        <w:t xml:space="preserve">party </w:t>
      </w:r>
      <w:r w:rsidRPr="00EA1FC3">
        <w:rPr>
          <w:b/>
        </w:rPr>
        <w:t xml:space="preserve">to take all necessary measures to ensure an effective enforcement of legislation on gender equality in employment and to create an enabling environment which promotes the participation of women in the labour market, including by ensuring the availability and affordability of day-care services in all regions. </w:t>
      </w:r>
      <w:r w:rsidR="00EA13DA">
        <w:rPr>
          <w:b/>
        </w:rPr>
        <w:t>T</w:t>
      </w:r>
      <w:r w:rsidRPr="00EA1FC3">
        <w:rPr>
          <w:b/>
        </w:rPr>
        <w:t>he Committee</w:t>
      </w:r>
      <w:r w:rsidR="00EA13DA">
        <w:rPr>
          <w:b/>
        </w:rPr>
        <w:t xml:space="preserve"> also</w:t>
      </w:r>
      <w:r w:rsidRPr="00EA1FC3">
        <w:rPr>
          <w:b/>
        </w:rPr>
        <w:t xml:space="preserve"> calls on the State party to ensure that the formulation and the implementation of the plan to address the gender pay gap, called for by the Parliament, take account of the need to expand the mandate of labour inspectors to monitor discrimination in remuneration and the need to </w:t>
      </w:r>
      <w:r w:rsidR="00171D96">
        <w:rPr>
          <w:b/>
        </w:rPr>
        <w:t>ensure</w:t>
      </w:r>
      <w:r w:rsidRPr="00EA1FC3">
        <w:rPr>
          <w:b/>
        </w:rPr>
        <w:t xml:space="preserve"> equal remuneration for work of equal value. </w:t>
      </w:r>
    </w:p>
    <w:p w:rsidR="00141DB2" w:rsidRDefault="00033BC6" w:rsidP="00033BC6">
      <w:pPr>
        <w:pStyle w:val="SingleTxtG"/>
        <w:tabs>
          <w:tab w:val="left" w:pos="1560"/>
          <w:tab w:val="num" w:pos="4608"/>
        </w:tabs>
        <w:ind w:left="1200" w:hanging="6"/>
      </w:pPr>
      <w:r>
        <w:t>15.</w:t>
      </w:r>
      <w:r>
        <w:tab/>
      </w:r>
      <w:r w:rsidR="00C12429">
        <w:t xml:space="preserve">The Committee is concerned that in spite of </w:t>
      </w:r>
      <w:r w:rsidR="00141DB2">
        <w:t xml:space="preserve">efforts undertaken, a large proportion of persons with disabilities are still unemployed. (arts. 6, </w:t>
      </w:r>
      <w:r w:rsidR="00F27A02">
        <w:t xml:space="preserve">and </w:t>
      </w:r>
      <w:r w:rsidR="00141DB2">
        <w:t>2</w:t>
      </w:r>
      <w:r w:rsidR="006914D2">
        <w:t>,</w:t>
      </w:r>
      <w:r w:rsidR="00F27A02">
        <w:t xml:space="preserve"> para.2</w:t>
      </w:r>
      <w:r w:rsidR="00141DB2">
        <w:t>)</w:t>
      </w:r>
    </w:p>
    <w:p w:rsidR="00141DB2" w:rsidRPr="00EA1FC3" w:rsidRDefault="00141DB2" w:rsidP="00033BC6">
      <w:pPr>
        <w:pStyle w:val="SingleTxtG"/>
        <w:tabs>
          <w:tab w:val="left" w:pos="1560"/>
          <w:tab w:val="num" w:pos="4608"/>
        </w:tabs>
        <w:ind w:left="1200" w:hanging="6"/>
        <w:rPr>
          <w:b/>
        </w:rPr>
      </w:pPr>
      <w:r w:rsidRPr="00425674">
        <w:rPr>
          <w:b/>
          <w:lang w:val="en-US"/>
        </w:rPr>
        <w:t>The</w:t>
      </w:r>
      <w:r w:rsidRPr="00EA1FC3">
        <w:rPr>
          <w:b/>
        </w:rPr>
        <w:t xml:space="preserve"> Committee recommends that the State party intensify efforts aimed at providing </w:t>
      </w:r>
      <w:r w:rsidRPr="00033BC6">
        <w:rPr>
          <w:b/>
          <w:bCs/>
          <w:lang w:val="en-US"/>
        </w:rPr>
        <w:t>persons</w:t>
      </w:r>
      <w:r w:rsidRPr="00EA1FC3">
        <w:rPr>
          <w:b/>
        </w:rPr>
        <w:t xml:space="preserve"> with disabilities with the opportunity to secure an </w:t>
      </w:r>
      <w:r w:rsidR="00C12429">
        <w:rPr>
          <w:b/>
        </w:rPr>
        <w:t xml:space="preserve">appropriate </w:t>
      </w:r>
      <w:r w:rsidRPr="00EA1FC3">
        <w:rPr>
          <w:b/>
        </w:rPr>
        <w:t xml:space="preserve">employment. The Committee recommends that the State party continue to raise awareness of the rights of persons with disabilities as well as of incentives in place, and to address the obstacles identified, such as accessibility and transport. The Committee also calls on the State party to ensure that measures taken in this regard effectively aim at the realization of the right to gain a living by work freely chosen or accepted. </w:t>
      </w:r>
    </w:p>
    <w:p w:rsidR="00141DB2" w:rsidRPr="00141DB2" w:rsidRDefault="00033BC6" w:rsidP="00033BC6">
      <w:pPr>
        <w:pStyle w:val="SingleTxtG"/>
        <w:tabs>
          <w:tab w:val="left" w:pos="1560"/>
          <w:tab w:val="num" w:pos="4608"/>
        </w:tabs>
        <w:ind w:left="1200" w:hanging="6"/>
        <w:rPr>
          <w:b/>
          <w:lang w:val="en-US"/>
        </w:rPr>
      </w:pPr>
      <w:r w:rsidRPr="00141DB2">
        <w:rPr>
          <w:lang w:val="en-US"/>
        </w:rPr>
        <w:t>16.</w:t>
      </w:r>
      <w:r w:rsidRPr="00141DB2">
        <w:rPr>
          <w:lang w:val="en-US"/>
        </w:rPr>
        <w:tab/>
      </w:r>
      <w:r w:rsidR="00BD19B5">
        <w:rPr>
          <w:lang w:val="en-US"/>
        </w:rPr>
        <w:t>T</w:t>
      </w:r>
      <w:r w:rsidR="00141DB2" w:rsidRPr="00141DB2">
        <w:rPr>
          <w:lang w:val="en-US"/>
        </w:rPr>
        <w:t>he Committee remains concerned that</w:t>
      </w:r>
      <w:r w:rsidR="00BD19B5">
        <w:rPr>
          <w:lang w:val="en-US"/>
        </w:rPr>
        <w:t>, in spite of the significant increase in</w:t>
      </w:r>
      <w:r w:rsidR="00BD19B5" w:rsidRPr="00141DB2">
        <w:rPr>
          <w:lang w:val="en-US"/>
        </w:rPr>
        <w:t xml:space="preserve"> the level of the minimum wage,</w:t>
      </w:r>
      <w:r w:rsidR="005D4F19">
        <w:rPr>
          <w:lang w:val="en-US"/>
        </w:rPr>
        <w:t xml:space="preserve"> </w:t>
      </w:r>
      <w:r w:rsidR="00EA13DA">
        <w:rPr>
          <w:lang w:val="en-US"/>
        </w:rPr>
        <w:t>it</w:t>
      </w:r>
      <w:r w:rsidR="00BD19B5" w:rsidRPr="00141DB2">
        <w:rPr>
          <w:lang w:val="en-US"/>
        </w:rPr>
        <w:t xml:space="preserve"> </w:t>
      </w:r>
      <w:r w:rsidR="00141DB2" w:rsidRPr="00141DB2">
        <w:rPr>
          <w:lang w:val="en-US"/>
        </w:rPr>
        <w:t xml:space="preserve">does not </w:t>
      </w:r>
      <w:r w:rsidR="00BD19B5">
        <w:rPr>
          <w:lang w:val="en-US"/>
        </w:rPr>
        <w:t>provide</w:t>
      </w:r>
      <w:r w:rsidR="00BD19B5" w:rsidRPr="00141DB2">
        <w:rPr>
          <w:lang w:val="en-US"/>
        </w:rPr>
        <w:t xml:space="preserve"> </w:t>
      </w:r>
      <w:r w:rsidR="00141DB2" w:rsidRPr="00141DB2">
        <w:rPr>
          <w:lang w:val="en-US"/>
        </w:rPr>
        <w:t xml:space="preserve">a decent living for workers </w:t>
      </w:r>
      <w:r w:rsidR="00BD19B5">
        <w:rPr>
          <w:lang w:val="en-US"/>
        </w:rPr>
        <w:t>and their</w:t>
      </w:r>
      <w:r w:rsidR="00141DB2" w:rsidRPr="00141DB2">
        <w:rPr>
          <w:lang w:val="en-US"/>
        </w:rPr>
        <w:t xml:space="preserve"> families. (art. 7)</w:t>
      </w:r>
    </w:p>
    <w:p w:rsidR="00141DB2" w:rsidRPr="00EA1FC3" w:rsidRDefault="00141DB2" w:rsidP="00033BC6">
      <w:pPr>
        <w:pStyle w:val="SingleTxtG"/>
        <w:tabs>
          <w:tab w:val="left" w:pos="1560"/>
          <w:tab w:val="num" w:pos="4608"/>
        </w:tabs>
        <w:ind w:left="1200" w:hanging="6"/>
        <w:rPr>
          <w:b/>
          <w:lang w:val="en-US"/>
        </w:rPr>
      </w:pPr>
      <w:r w:rsidRPr="00033BC6">
        <w:rPr>
          <w:b/>
          <w:bCs/>
          <w:lang w:val="en-US"/>
        </w:rPr>
        <w:t>The</w:t>
      </w:r>
      <w:r w:rsidRPr="000302D3">
        <w:rPr>
          <w:b/>
        </w:rPr>
        <w:t xml:space="preserve"> Committee recommends that the State party take the necessary measures</w:t>
      </w:r>
      <w:r w:rsidRPr="00EA1FC3">
        <w:rPr>
          <w:b/>
          <w:lang w:val="en-US"/>
        </w:rPr>
        <w:t xml:space="preserve"> to ensure that the level of the minimum wage </w:t>
      </w:r>
      <w:r w:rsidR="00BD19B5">
        <w:rPr>
          <w:b/>
          <w:lang w:val="en-US"/>
        </w:rPr>
        <w:t>provides</w:t>
      </w:r>
      <w:r w:rsidR="00BD19B5" w:rsidRPr="00EA1FC3">
        <w:rPr>
          <w:b/>
          <w:lang w:val="en-US"/>
        </w:rPr>
        <w:t xml:space="preserve"> </w:t>
      </w:r>
      <w:r w:rsidRPr="00EA1FC3">
        <w:rPr>
          <w:b/>
          <w:lang w:val="en-US"/>
        </w:rPr>
        <w:t>a decent living for workers and their families.</w:t>
      </w:r>
    </w:p>
    <w:p w:rsidR="00141DB2" w:rsidRPr="00141DB2" w:rsidRDefault="00033BC6" w:rsidP="00033BC6">
      <w:pPr>
        <w:pStyle w:val="SingleTxtG"/>
        <w:tabs>
          <w:tab w:val="left" w:pos="1560"/>
          <w:tab w:val="num" w:pos="4608"/>
        </w:tabs>
        <w:ind w:left="1200" w:hanging="6"/>
        <w:rPr>
          <w:b/>
          <w:lang w:val="en-US"/>
        </w:rPr>
      </w:pPr>
      <w:r w:rsidRPr="00141DB2">
        <w:rPr>
          <w:lang w:val="en-US"/>
        </w:rPr>
        <w:t>17.</w:t>
      </w:r>
      <w:r w:rsidRPr="00141DB2">
        <w:rPr>
          <w:lang w:val="en-US"/>
        </w:rPr>
        <w:tab/>
      </w:r>
      <w:r w:rsidR="00141DB2" w:rsidRPr="00141DB2">
        <w:rPr>
          <w:lang w:val="en-US"/>
        </w:rPr>
        <w:t>The Committee notes with concern that the legislation in force in the State party prohibits civil servants from participating in strikes, including those who do not perform essential services. (art. 8)</w:t>
      </w:r>
    </w:p>
    <w:p w:rsidR="00141DB2" w:rsidRPr="00EA1FC3" w:rsidRDefault="00141DB2" w:rsidP="00033BC6">
      <w:pPr>
        <w:pStyle w:val="SingleTxtG"/>
        <w:tabs>
          <w:tab w:val="left" w:pos="1560"/>
          <w:tab w:val="num" w:pos="4608"/>
        </w:tabs>
        <w:ind w:left="1200" w:hanging="6"/>
        <w:rPr>
          <w:b/>
          <w:lang w:val="en-US"/>
        </w:rPr>
      </w:pPr>
      <w:r w:rsidRPr="00033BC6">
        <w:rPr>
          <w:b/>
          <w:bCs/>
          <w:lang w:val="en-US"/>
        </w:rPr>
        <w:t>The</w:t>
      </w:r>
      <w:r w:rsidRPr="00EA1FC3">
        <w:rPr>
          <w:b/>
          <w:lang w:val="en-US"/>
        </w:rPr>
        <w:t xml:space="preserve"> Committee calls on the State party to ensure that the provisions on civil servants’ right to strike in the Public Service Act comply with article 8 of the Covenant by restricting the prohibition of strike to those discharging essential services.</w:t>
      </w:r>
    </w:p>
    <w:p w:rsidR="00141DB2" w:rsidRPr="00141DB2" w:rsidRDefault="00033BC6" w:rsidP="00033BC6">
      <w:pPr>
        <w:pStyle w:val="SingleTxtG"/>
        <w:tabs>
          <w:tab w:val="left" w:pos="1560"/>
          <w:tab w:val="num" w:pos="4608"/>
        </w:tabs>
        <w:ind w:left="1200" w:hanging="6"/>
        <w:rPr>
          <w:b/>
          <w:lang w:val="en-US"/>
        </w:rPr>
      </w:pPr>
      <w:r w:rsidRPr="00141DB2">
        <w:rPr>
          <w:lang w:val="en-US"/>
        </w:rPr>
        <w:t>18.</w:t>
      </w:r>
      <w:r w:rsidRPr="00141DB2">
        <w:rPr>
          <w:lang w:val="en-US"/>
        </w:rPr>
        <w:tab/>
      </w:r>
      <w:r w:rsidR="00141DB2" w:rsidRPr="00141DB2">
        <w:rPr>
          <w:lang w:val="en-US"/>
        </w:rPr>
        <w:t xml:space="preserve">The Committee is concerned that a significant </w:t>
      </w:r>
      <w:r w:rsidR="006B2A81">
        <w:rPr>
          <w:lang w:val="en-US"/>
        </w:rPr>
        <w:t>number</w:t>
      </w:r>
      <w:r w:rsidR="006B2A81" w:rsidRPr="00141DB2">
        <w:rPr>
          <w:lang w:val="en-US"/>
        </w:rPr>
        <w:t xml:space="preserve"> </w:t>
      </w:r>
      <w:r w:rsidR="00141DB2" w:rsidRPr="00141DB2">
        <w:rPr>
          <w:lang w:val="en-US"/>
        </w:rPr>
        <w:t xml:space="preserve">of persons receiving social security benefits live in poverty. Moreover, the Committee expresses concern about the </w:t>
      </w:r>
      <w:r w:rsidR="000F4FFE">
        <w:rPr>
          <w:lang w:val="en-US"/>
        </w:rPr>
        <w:t>limited</w:t>
      </w:r>
      <w:r w:rsidR="00141DB2" w:rsidRPr="00141DB2">
        <w:rPr>
          <w:lang w:val="en-US"/>
        </w:rPr>
        <w:t xml:space="preserve"> duration</w:t>
      </w:r>
      <w:r w:rsidR="000F4FFE">
        <w:rPr>
          <w:lang w:val="en-US"/>
        </w:rPr>
        <w:t xml:space="preserve"> of the payment of </w:t>
      </w:r>
      <w:r w:rsidR="005E7D71">
        <w:rPr>
          <w:lang w:val="en-US"/>
        </w:rPr>
        <w:t>unemployment benefits</w:t>
      </w:r>
      <w:r w:rsidR="00141DB2" w:rsidRPr="00141DB2">
        <w:rPr>
          <w:lang w:val="en-US"/>
        </w:rPr>
        <w:t xml:space="preserve">. </w:t>
      </w:r>
      <w:r w:rsidR="00917D23">
        <w:rPr>
          <w:lang w:val="en-US"/>
        </w:rPr>
        <w:t>(art. 9)</w:t>
      </w:r>
    </w:p>
    <w:p w:rsidR="00141DB2" w:rsidRDefault="00141DB2" w:rsidP="00033BC6">
      <w:pPr>
        <w:pStyle w:val="SingleTxtG"/>
        <w:tabs>
          <w:tab w:val="left" w:pos="1560"/>
          <w:tab w:val="num" w:pos="4608"/>
        </w:tabs>
        <w:ind w:left="1200" w:hanging="6"/>
        <w:rPr>
          <w:b/>
          <w:lang w:val="en-US"/>
        </w:rPr>
      </w:pPr>
      <w:r w:rsidRPr="00033BC6">
        <w:rPr>
          <w:b/>
          <w:bCs/>
          <w:lang w:val="en-US"/>
        </w:rPr>
        <w:t>The</w:t>
      </w:r>
      <w:r w:rsidRPr="00EA1FC3">
        <w:rPr>
          <w:b/>
          <w:lang w:val="en-US"/>
        </w:rPr>
        <w:t xml:space="preserve"> Committee calls </w:t>
      </w:r>
      <w:r w:rsidR="006B2A81">
        <w:rPr>
          <w:b/>
          <w:lang w:val="en-US"/>
        </w:rPr>
        <w:t xml:space="preserve">on </w:t>
      </w:r>
      <w:r w:rsidRPr="00EA1FC3">
        <w:rPr>
          <w:b/>
          <w:lang w:val="en-US"/>
        </w:rPr>
        <w:t xml:space="preserve">the State party to review its social security policy to ensure that benefits, both in terms of amount and </w:t>
      </w:r>
      <w:r w:rsidR="00DE0D74" w:rsidRPr="00EA1FC3">
        <w:rPr>
          <w:b/>
          <w:lang w:val="en-US"/>
        </w:rPr>
        <w:t>duration</w:t>
      </w:r>
      <w:r w:rsidRPr="00EA1FC3">
        <w:rPr>
          <w:b/>
          <w:lang w:val="en-US"/>
        </w:rPr>
        <w:t xml:space="preserve"> </w:t>
      </w:r>
      <w:r w:rsidR="00035E91" w:rsidRPr="00035E91">
        <w:rPr>
          <w:b/>
          <w:lang w:val="en-US"/>
        </w:rPr>
        <w:t>guarantee</w:t>
      </w:r>
      <w:r w:rsidR="006B2A81" w:rsidRPr="00035E91">
        <w:rPr>
          <w:b/>
          <w:lang w:val="en-US"/>
        </w:rPr>
        <w:t xml:space="preserve"> </w:t>
      </w:r>
      <w:r w:rsidRPr="00035E91">
        <w:rPr>
          <w:b/>
          <w:lang w:val="en-US"/>
        </w:rPr>
        <w:t>an adequate sta</w:t>
      </w:r>
      <w:r w:rsidRPr="00EA1FC3">
        <w:rPr>
          <w:b/>
          <w:lang w:val="en-US"/>
        </w:rPr>
        <w:t>ndard of living to recipients and their families. The Committee refers the State party to its general comment No. 19 (2007) on the right to social security.</w:t>
      </w:r>
    </w:p>
    <w:p w:rsidR="00D7218F" w:rsidRDefault="00033BC6" w:rsidP="00033BC6">
      <w:pPr>
        <w:pStyle w:val="SingleTxtG"/>
        <w:tabs>
          <w:tab w:val="left" w:pos="1560"/>
          <w:tab w:val="num" w:pos="4608"/>
        </w:tabs>
        <w:ind w:left="1200" w:hanging="6"/>
        <w:rPr>
          <w:lang w:val="en-US"/>
        </w:rPr>
      </w:pPr>
      <w:r>
        <w:rPr>
          <w:lang w:val="en-US"/>
        </w:rPr>
        <w:t>19.</w:t>
      </w:r>
      <w:r>
        <w:rPr>
          <w:lang w:val="en-US"/>
        </w:rPr>
        <w:tab/>
      </w:r>
      <w:r w:rsidR="00D7218F" w:rsidRPr="00141DB2">
        <w:rPr>
          <w:lang w:val="en-US"/>
        </w:rPr>
        <w:t>The Committee is concerned that unemployment benefits are not paid in case</w:t>
      </w:r>
      <w:r w:rsidR="00D7218F">
        <w:rPr>
          <w:lang w:val="en-US"/>
        </w:rPr>
        <w:t>s</w:t>
      </w:r>
      <w:r w:rsidR="00D7218F" w:rsidRPr="00141DB2">
        <w:rPr>
          <w:lang w:val="en-US"/>
        </w:rPr>
        <w:t xml:space="preserve"> where the employment contract has been terminated due to professional fault. (art. 9)</w:t>
      </w:r>
    </w:p>
    <w:p w:rsidR="00D7218F" w:rsidRPr="00EA1FC3" w:rsidRDefault="00D7218F" w:rsidP="00033BC6">
      <w:pPr>
        <w:pStyle w:val="SingleTxtG"/>
        <w:tabs>
          <w:tab w:val="left" w:pos="1560"/>
          <w:tab w:val="num" w:pos="4608"/>
        </w:tabs>
        <w:ind w:left="1200" w:hanging="6"/>
        <w:rPr>
          <w:b/>
          <w:lang w:val="en-US"/>
        </w:rPr>
      </w:pPr>
      <w:r w:rsidRPr="00033BC6">
        <w:rPr>
          <w:b/>
          <w:bCs/>
          <w:lang w:val="en-US"/>
        </w:rPr>
        <w:t>The</w:t>
      </w:r>
      <w:r w:rsidRPr="000302D3">
        <w:rPr>
          <w:b/>
        </w:rPr>
        <w:t xml:space="preserve"> Committee urges the State party to rescind the condition imposed</w:t>
      </w:r>
      <w:r w:rsidRPr="00EA1FC3">
        <w:rPr>
          <w:b/>
          <w:lang w:val="en-US"/>
        </w:rPr>
        <w:t xml:space="preserve"> on </w:t>
      </w:r>
      <w:r w:rsidR="00184708">
        <w:rPr>
          <w:b/>
          <w:lang w:val="en-US"/>
        </w:rPr>
        <w:t xml:space="preserve">the </w:t>
      </w:r>
      <w:r w:rsidRPr="00EA1FC3">
        <w:rPr>
          <w:b/>
          <w:lang w:val="en-US"/>
        </w:rPr>
        <w:t>payment of unemployment benefits, as regards the motive of termination of the employment contract.</w:t>
      </w:r>
    </w:p>
    <w:p w:rsidR="00141DB2" w:rsidRPr="00141DB2" w:rsidRDefault="00033BC6" w:rsidP="00033BC6">
      <w:pPr>
        <w:pStyle w:val="SingleTxtG"/>
        <w:tabs>
          <w:tab w:val="left" w:pos="1560"/>
          <w:tab w:val="num" w:pos="4608"/>
        </w:tabs>
        <w:ind w:left="1200" w:hanging="6"/>
        <w:rPr>
          <w:b/>
          <w:lang w:val="en-US"/>
        </w:rPr>
      </w:pPr>
      <w:r w:rsidRPr="00141DB2">
        <w:rPr>
          <w:lang w:val="en-US"/>
        </w:rPr>
        <w:t>20.</w:t>
      </w:r>
      <w:r w:rsidRPr="00141DB2">
        <w:rPr>
          <w:lang w:val="en-US"/>
        </w:rPr>
        <w:tab/>
      </w:r>
      <w:r w:rsidR="00141DB2" w:rsidRPr="00141DB2">
        <w:rPr>
          <w:lang w:val="en-US"/>
        </w:rPr>
        <w:t>The Committee notes with concern the prevalence of domestic violence in the State party</w:t>
      </w:r>
      <w:r w:rsidR="00D7218F">
        <w:rPr>
          <w:lang w:val="en-US"/>
        </w:rPr>
        <w:t xml:space="preserve"> and</w:t>
      </w:r>
      <w:r w:rsidR="00141DB2" w:rsidRPr="00141DB2">
        <w:rPr>
          <w:lang w:val="en-US"/>
        </w:rPr>
        <w:t xml:space="preserve"> the absence of a specific </w:t>
      </w:r>
      <w:r w:rsidR="00D7218F">
        <w:rPr>
          <w:lang w:val="en-US"/>
        </w:rPr>
        <w:t>provision</w:t>
      </w:r>
      <w:r w:rsidR="00D7218F" w:rsidRPr="00141DB2">
        <w:rPr>
          <w:lang w:val="en-US"/>
        </w:rPr>
        <w:t xml:space="preserve"> </w:t>
      </w:r>
      <w:r w:rsidR="00141DB2" w:rsidRPr="00141DB2">
        <w:rPr>
          <w:lang w:val="en-US"/>
        </w:rPr>
        <w:t>of domestic violence as an off</w:t>
      </w:r>
      <w:r w:rsidR="00D7218F">
        <w:rPr>
          <w:lang w:val="en-US"/>
        </w:rPr>
        <w:t>en</w:t>
      </w:r>
      <w:r w:rsidR="00141DB2" w:rsidRPr="00141DB2">
        <w:rPr>
          <w:lang w:val="en-US"/>
        </w:rPr>
        <w:t xml:space="preserve">ce in the Penal Code. Furthermore, the Committee regrets that the </w:t>
      </w:r>
      <w:r w:rsidR="0002276B">
        <w:rPr>
          <w:lang w:val="en-US"/>
        </w:rPr>
        <w:t>20</w:t>
      </w:r>
      <w:r w:rsidR="003B1E45">
        <w:rPr>
          <w:lang w:val="en-US"/>
        </w:rPr>
        <w:t>10</w:t>
      </w:r>
      <w:r w:rsidR="0002276B">
        <w:rPr>
          <w:lang w:val="en-US"/>
        </w:rPr>
        <w:t xml:space="preserve">-2014 Development </w:t>
      </w:r>
      <w:r w:rsidR="00141DB2" w:rsidRPr="00141DB2">
        <w:rPr>
          <w:lang w:val="en-US"/>
        </w:rPr>
        <w:t>Plan</w:t>
      </w:r>
      <w:r w:rsidR="0002276B">
        <w:rPr>
          <w:lang w:val="en-US"/>
        </w:rPr>
        <w:t xml:space="preserve"> for the Reduction and the Prevention of Violence</w:t>
      </w:r>
      <w:r w:rsidR="00141DB2" w:rsidRPr="00141DB2">
        <w:rPr>
          <w:lang w:val="en-US"/>
        </w:rPr>
        <w:t xml:space="preserve"> does not foresee large-scale awareness</w:t>
      </w:r>
      <w:r w:rsidR="00DE0D74">
        <w:rPr>
          <w:lang w:val="en-US"/>
        </w:rPr>
        <w:t>-</w:t>
      </w:r>
      <w:r w:rsidR="00141DB2" w:rsidRPr="00141DB2">
        <w:rPr>
          <w:lang w:val="en-US"/>
        </w:rPr>
        <w:t>raising campaigns. (art. 10)</w:t>
      </w:r>
    </w:p>
    <w:p w:rsidR="00141DB2" w:rsidRPr="00EA1FC3" w:rsidRDefault="00141DB2" w:rsidP="00033BC6">
      <w:pPr>
        <w:pStyle w:val="SingleTxtG"/>
        <w:tabs>
          <w:tab w:val="left" w:pos="1560"/>
          <w:tab w:val="num" w:pos="4608"/>
        </w:tabs>
        <w:ind w:left="1200" w:hanging="6"/>
        <w:rPr>
          <w:b/>
          <w:lang w:val="en-US"/>
        </w:rPr>
      </w:pPr>
      <w:r w:rsidRPr="00033BC6">
        <w:rPr>
          <w:b/>
          <w:bCs/>
          <w:lang w:val="en-US"/>
        </w:rPr>
        <w:t>The</w:t>
      </w:r>
      <w:r w:rsidRPr="00EA1FC3">
        <w:rPr>
          <w:b/>
          <w:lang w:val="en-US"/>
        </w:rPr>
        <w:t xml:space="preserve"> Committee calls on</w:t>
      </w:r>
      <w:r w:rsidR="00DE0D74">
        <w:rPr>
          <w:b/>
          <w:lang w:val="en-US"/>
        </w:rPr>
        <w:t xml:space="preserve"> </w:t>
      </w:r>
      <w:r w:rsidRPr="00EA1FC3">
        <w:rPr>
          <w:b/>
          <w:lang w:val="en-US"/>
        </w:rPr>
        <w:t xml:space="preserve">the State party to include </w:t>
      </w:r>
      <w:r w:rsidR="007C0DED">
        <w:rPr>
          <w:b/>
          <w:lang w:val="en-US"/>
        </w:rPr>
        <w:t xml:space="preserve">a </w:t>
      </w:r>
      <w:r w:rsidR="007C0DED" w:rsidRPr="00EA1FC3">
        <w:rPr>
          <w:b/>
          <w:lang w:val="en-US"/>
        </w:rPr>
        <w:t xml:space="preserve">specific offence </w:t>
      </w:r>
      <w:r w:rsidR="007C0DED">
        <w:rPr>
          <w:b/>
          <w:lang w:val="en-US"/>
        </w:rPr>
        <w:t xml:space="preserve">of </w:t>
      </w:r>
      <w:r w:rsidRPr="00EA1FC3">
        <w:rPr>
          <w:b/>
          <w:lang w:val="en-US"/>
        </w:rPr>
        <w:t>domestic violence in the Penal Code. Moreover, the Committee calls on</w:t>
      </w:r>
      <w:r w:rsidR="00DE0D74" w:rsidRPr="00EA1FC3">
        <w:rPr>
          <w:b/>
          <w:lang w:val="en-US"/>
        </w:rPr>
        <w:t xml:space="preserve"> </w:t>
      </w:r>
      <w:r w:rsidRPr="00EA1FC3">
        <w:rPr>
          <w:b/>
          <w:lang w:val="en-US"/>
        </w:rPr>
        <w:t xml:space="preserve">the State party to ensure that protection </w:t>
      </w:r>
      <w:r w:rsidR="004B2F0A" w:rsidRPr="00EA1FC3">
        <w:rPr>
          <w:b/>
          <w:lang w:val="en-US"/>
        </w:rPr>
        <w:t>me</w:t>
      </w:r>
      <w:r w:rsidR="004B2F0A">
        <w:rPr>
          <w:b/>
          <w:lang w:val="en-US"/>
        </w:rPr>
        <w:t>asures</w:t>
      </w:r>
      <w:r w:rsidRPr="00EA1FC3">
        <w:rPr>
          <w:b/>
          <w:lang w:val="en-US"/>
        </w:rPr>
        <w:t xml:space="preserve">, including restraining orders and shelters, are effective and accessible </w:t>
      </w:r>
      <w:r w:rsidR="006F0252">
        <w:rPr>
          <w:b/>
          <w:lang w:val="en-US"/>
        </w:rPr>
        <w:t>to</w:t>
      </w:r>
      <w:r w:rsidRPr="00EA1FC3">
        <w:rPr>
          <w:b/>
          <w:lang w:val="en-US"/>
        </w:rPr>
        <w:t xml:space="preserve"> victims of violence. The Committee also recommends that the State party conduct media campaigns targeting all segments of the population with a view to changing the society’s attitudes regarding </w:t>
      </w:r>
      <w:r w:rsidR="004B2F0A">
        <w:rPr>
          <w:b/>
          <w:lang w:val="en-US"/>
        </w:rPr>
        <w:t xml:space="preserve">domestic </w:t>
      </w:r>
      <w:r w:rsidRPr="00EA1FC3">
        <w:rPr>
          <w:b/>
          <w:lang w:val="en-US"/>
        </w:rPr>
        <w:t>violence.</w:t>
      </w:r>
      <w:r w:rsidR="004B2F0A">
        <w:rPr>
          <w:b/>
          <w:lang w:val="en-US"/>
        </w:rPr>
        <w:t xml:space="preserve"> </w:t>
      </w:r>
    </w:p>
    <w:p w:rsidR="00141DB2" w:rsidRPr="00141DB2" w:rsidRDefault="00033BC6" w:rsidP="00033BC6">
      <w:pPr>
        <w:pStyle w:val="SingleTxtG"/>
        <w:tabs>
          <w:tab w:val="left" w:pos="1560"/>
          <w:tab w:val="num" w:pos="4608"/>
        </w:tabs>
        <w:ind w:left="1200" w:hanging="6"/>
        <w:rPr>
          <w:b/>
          <w:lang w:val="en-US"/>
        </w:rPr>
      </w:pPr>
      <w:r w:rsidRPr="00141DB2">
        <w:rPr>
          <w:lang w:val="en-US"/>
        </w:rPr>
        <w:t>21.</w:t>
      </w:r>
      <w:r w:rsidRPr="00141DB2">
        <w:rPr>
          <w:lang w:val="en-US"/>
        </w:rPr>
        <w:tab/>
      </w:r>
      <w:r w:rsidR="00141DB2" w:rsidRPr="00141DB2">
        <w:rPr>
          <w:lang w:val="en-US"/>
        </w:rPr>
        <w:t xml:space="preserve">The Committee notes with concern </w:t>
      </w:r>
      <w:r w:rsidR="006F0252">
        <w:rPr>
          <w:lang w:val="en-US"/>
        </w:rPr>
        <w:t xml:space="preserve">the </w:t>
      </w:r>
      <w:r w:rsidR="00141DB2" w:rsidRPr="00141DB2">
        <w:rPr>
          <w:lang w:val="en-US"/>
        </w:rPr>
        <w:t>shortcomings in the legislative framework for the protection of the child, including the Employment Contract Act which authorizes longer working time than international standards for children under 15, the provisions of the Penal Code on the participation of a child of 14 and above in erotic work, and the Family Law Act which permits the marriag</w:t>
      </w:r>
      <w:r w:rsidR="00141DB2" w:rsidRPr="000B4802">
        <w:rPr>
          <w:lang w:val="en-US"/>
        </w:rPr>
        <w:t xml:space="preserve">e of </w:t>
      </w:r>
      <w:r w:rsidR="000B4802" w:rsidRPr="000B4802">
        <w:rPr>
          <w:lang w:val="en-US"/>
        </w:rPr>
        <w:t xml:space="preserve">a </w:t>
      </w:r>
      <w:r w:rsidR="00141DB2" w:rsidRPr="000B4802">
        <w:rPr>
          <w:lang w:val="en-US"/>
        </w:rPr>
        <w:t>child betwee</w:t>
      </w:r>
      <w:r w:rsidR="00141DB2" w:rsidRPr="00141DB2">
        <w:rPr>
          <w:lang w:val="en-US"/>
        </w:rPr>
        <w:t xml:space="preserve">n 15 and 18 upon a court decision and the consent of parents or guardian. (art. 10). </w:t>
      </w:r>
    </w:p>
    <w:p w:rsidR="00141DB2" w:rsidRPr="00EA1FC3" w:rsidRDefault="00141DB2" w:rsidP="00033BC6">
      <w:pPr>
        <w:pStyle w:val="SingleTxtG"/>
        <w:tabs>
          <w:tab w:val="left" w:pos="1560"/>
          <w:tab w:val="num" w:pos="4608"/>
        </w:tabs>
        <w:ind w:left="1200" w:hanging="6"/>
        <w:rPr>
          <w:b/>
          <w:lang w:val="en-US"/>
        </w:rPr>
      </w:pPr>
      <w:r w:rsidRPr="00033BC6">
        <w:rPr>
          <w:b/>
          <w:bCs/>
          <w:lang w:val="en-US"/>
        </w:rPr>
        <w:t>The</w:t>
      </w:r>
      <w:r w:rsidRPr="00EA1FC3">
        <w:rPr>
          <w:b/>
          <w:lang w:val="en-US"/>
        </w:rPr>
        <w:t xml:space="preserve"> Committee urges the State party to strengthen its legislative framework on child rights protection. In particular, the Committee urges the State party to take the following into account in the formulation of the new Child Protection Act and other legislative measures: bring its legislation on working time as regards children under 15 into line with international standards, prohibit the engagement of children in erotic work, and to ensure that no marriage may be concluded with a child below 18 years of age. The Committee requests the State party to include in its next periodic report information on the number of child marriage</w:t>
      </w:r>
      <w:r w:rsidR="00657426">
        <w:rPr>
          <w:b/>
          <w:lang w:val="en-US"/>
        </w:rPr>
        <w:t>s</w:t>
      </w:r>
      <w:r w:rsidRPr="00EA1FC3">
        <w:rPr>
          <w:b/>
          <w:lang w:val="en-US"/>
        </w:rPr>
        <w:t xml:space="preserve"> </w:t>
      </w:r>
      <w:r w:rsidR="00657426">
        <w:rPr>
          <w:b/>
          <w:lang w:val="en-US"/>
        </w:rPr>
        <w:t>on an annual basis</w:t>
      </w:r>
      <w:r w:rsidRPr="00EA1FC3">
        <w:rPr>
          <w:b/>
          <w:lang w:val="en-US"/>
        </w:rPr>
        <w:t>.</w:t>
      </w:r>
    </w:p>
    <w:p w:rsidR="00141DB2" w:rsidRPr="00141DB2" w:rsidRDefault="00033BC6" w:rsidP="00033BC6">
      <w:pPr>
        <w:pStyle w:val="SingleTxtG"/>
        <w:tabs>
          <w:tab w:val="left" w:pos="1560"/>
          <w:tab w:val="num" w:pos="4608"/>
        </w:tabs>
        <w:ind w:left="1200" w:hanging="6"/>
        <w:rPr>
          <w:b/>
          <w:lang w:val="en-US"/>
        </w:rPr>
      </w:pPr>
      <w:r w:rsidRPr="00141DB2">
        <w:rPr>
          <w:lang w:val="en-US"/>
        </w:rPr>
        <w:t>22.</w:t>
      </w:r>
      <w:r w:rsidRPr="00141DB2">
        <w:rPr>
          <w:lang w:val="en-US"/>
        </w:rPr>
        <w:tab/>
      </w:r>
      <w:r w:rsidR="00141DB2" w:rsidRPr="00141DB2">
        <w:rPr>
          <w:lang w:val="en-US"/>
        </w:rPr>
        <w:t>The Committee notes with concern the acute shortage of housing</w:t>
      </w:r>
      <w:r w:rsidR="00BA56A2">
        <w:rPr>
          <w:lang w:val="en-US"/>
        </w:rPr>
        <w:t>, including social housing</w:t>
      </w:r>
      <w:r w:rsidR="00917D23">
        <w:rPr>
          <w:lang w:val="en-US"/>
        </w:rPr>
        <w:t>,</w:t>
      </w:r>
      <w:r w:rsidR="00141DB2" w:rsidRPr="00141DB2">
        <w:rPr>
          <w:lang w:val="en-US"/>
        </w:rPr>
        <w:t xml:space="preserve"> in Tallinn and, to a lesser extent, in cities and towns as well as rural municipalities</w:t>
      </w:r>
      <w:r w:rsidR="00917D23">
        <w:rPr>
          <w:lang w:val="en-US"/>
        </w:rPr>
        <w:t>,</w:t>
      </w:r>
      <w:r w:rsidR="00E71283">
        <w:rPr>
          <w:lang w:val="en-US"/>
        </w:rPr>
        <w:t xml:space="preserve"> which undermines</w:t>
      </w:r>
      <w:r w:rsidR="00141DB2" w:rsidRPr="00141DB2">
        <w:rPr>
          <w:lang w:val="en-US"/>
        </w:rPr>
        <w:t xml:space="preserve"> the ability of the State party to provide accommodation </w:t>
      </w:r>
      <w:r w:rsidR="00EA13DA">
        <w:rPr>
          <w:lang w:val="en-US"/>
        </w:rPr>
        <w:t xml:space="preserve">especially </w:t>
      </w:r>
      <w:r w:rsidR="00141DB2" w:rsidRPr="00141DB2">
        <w:rPr>
          <w:lang w:val="en-US"/>
        </w:rPr>
        <w:t>for</w:t>
      </w:r>
      <w:r w:rsidR="005D4F19">
        <w:rPr>
          <w:lang w:val="en-US"/>
        </w:rPr>
        <w:t xml:space="preserve"> </w:t>
      </w:r>
      <w:r w:rsidR="00E71283">
        <w:rPr>
          <w:lang w:val="en-US"/>
        </w:rPr>
        <w:t>disadvantaged and marginalized</w:t>
      </w:r>
      <w:r w:rsidR="00141DB2" w:rsidRPr="00141DB2">
        <w:rPr>
          <w:lang w:val="en-US"/>
        </w:rPr>
        <w:t xml:space="preserve"> </w:t>
      </w:r>
      <w:r w:rsidR="00E71283">
        <w:rPr>
          <w:lang w:val="en-US"/>
        </w:rPr>
        <w:t xml:space="preserve">individuals and </w:t>
      </w:r>
      <w:r w:rsidR="00141DB2" w:rsidRPr="00141DB2">
        <w:rPr>
          <w:lang w:val="en-US"/>
        </w:rPr>
        <w:t xml:space="preserve">groups. The Committee also regrets that it has not been provided with information on the circumstances </w:t>
      </w:r>
      <w:r w:rsidR="00E71283">
        <w:rPr>
          <w:lang w:val="en-US"/>
        </w:rPr>
        <w:t>in</w:t>
      </w:r>
      <w:r w:rsidR="00E71283" w:rsidRPr="00141DB2">
        <w:rPr>
          <w:lang w:val="en-US"/>
        </w:rPr>
        <w:t xml:space="preserve"> </w:t>
      </w:r>
      <w:r w:rsidR="00141DB2" w:rsidRPr="00141DB2">
        <w:rPr>
          <w:lang w:val="en-US"/>
        </w:rPr>
        <w:t>which evictions can be conducted without court decisions. (art. 11)</w:t>
      </w:r>
    </w:p>
    <w:p w:rsidR="00141DB2" w:rsidRPr="00EA1FC3" w:rsidRDefault="00141DB2" w:rsidP="00033BC6">
      <w:pPr>
        <w:pStyle w:val="SingleTxtG"/>
        <w:tabs>
          <w:tab w:val="left" w:pos="1560"/>
          <w:tab w:val="num" w:pos="4608"/>
        </w:tabs>
        <w:ind w:left="1200" w:hanging="6"/>
        <w:rPr>
          <w:b/>
          <w:lang w:val="en-US"/>
        </w:rPr>
      </w:pPr>
      <w:r w:rsidRPr="00EA1FC3">
        <w:rPr>
          <w:b/>
          <w:lang w:val="en-US"/>
        </w:rPr>
        <w:t xml:space="preserve">The Committee urges the State party to take </w:t>
      </w:r>
      <w:r w:rsidR="00BA56A2">
        <w:rPr>
          <w:b/>
          <w:lang w:val="en-US"/>
        </w:rPr>
        <w:t>the</w:t>
      </w:r>
      <w:r w:rsidRPr="00EA1FC3">
        <w:rPr>
          <w:b/>
          <w:lang w:val="en-US"/>
        </w:rPr>
        <w:t xml:space="preserve"> necessary measures to address the shortage of </w:t>
      </w:r>
      <w:r w:rsidR="00E71283">
        <w:rPr>
          <w:b/>
          <w:lang w:val="en-US"/>
        </w:rPr>
        <w:t xml:space="preserve">housing, including </w:t>
      </w:r>
      <w:r w:rsidRPr="00EA1FC3">
        <w:rPr>
          <w:b/>
          <w:lang w:val="en-US"/>
        </w:rPr>
        <w:t>social housing</w:t>
      </w:r>
      <w:r w:rsidR="00E71283">
        <w:rPr>
          <w:b/>
          <w:lang w:val="en-US"/>
        </w:rPr>
        <w:t>,</w:t>
      </w:r>
      <w:r w:rsidRPr="00EA1FC3">
        <w:rPr>
          <w:b/>
          <w:lang w:val="en-US"/>
        </w:rPr>
        <w:t xml:space="preserve"> in all regions concerned</w:t>
      </w:r>
      <w:r w:rsidR="00E71283">
        <w:rPr>
          <w:b/>
          <w:lang w:val="en-US"/>
        </w:rPr>
        <w:t>, especially for disadvantaged and marginalized individuals and groups</w:t>
      </w:r>
      <w:r w:rsidRPr="00EA1FC3">
        <w:rPr>
          <w:b/>
          <w:lang w:val="en-US"/>
        </w:rPr>
        <w:t xml:space="preserve">. The Committee also requests that the State party include in its next periodic report information on </w:t>
      </w:r>
      <w:r w:rsidR="00E71283">
        <w:rPr>
          <w:b/>
          <w:lang w:val="en-US"/>
        </w:rPr>
        <w:t>any enactment</w:t>
      </w:r>
      <w:r w:rsidRPr="00EA1FC3">
        <w:rPr>
          <w:b/>
          <w:lang w:val="en-US"/>
        </w:rPr>
        <w:t xml:space="preserve"> relating to evictions. In this regard, the Committee refers the State party to its general comment No. 7</w:t>
      </w:r>
      <w:r w:rsidR="007C0DED">
        <w:rPr>
          <w:b/>
          <w:lang w:val="en-US"/>
        </w:rPr>
        <w:t xml:space="preserve"> (1997)</w:t>
      </w:r>
      <w:r w:rsidRPr="00EA1FC3">
        <w:rPr>
          <w:b/>
          <w:lang w:val="en-US"/>
        </w:rPr>
        <w:t xml:space="preserve"> on forced evictions.</w:t>
      </w:r>
    </w:p>
    <w:p w:rsidR="00141DB2" w:rsidRPr="00141DB2" w:rsidRDefault="00033BC6" w:rsidP="00033BC6">
      <w:pPr>
        <w:pStyle w:val="SingleTxtG"/>
        <w:tabs>
          <w:tab w:val="left" w:pos="1560"/>
          <w:tab w:val="num" w:pos="4608"/>
        </w:tabs>
        <w:ind w:left="1200" w:hanging="6"/>
        <w:rPr>
          <w:b/>
          <w:lang w:val="en-US"/>
        </w:rPr>
      </w:pPr>
      <w:r w:rsidRPr="00141DB2">
        <w:rPr>
          <w:lang w:val="en-US"/>
        </w:rPr>
        <w:t>23.</w:t>
      </w:r>
      <w:r w:rsidRPr="00141DB2">
        <w:rPr>
          <w:lang w:val="en-US"/>
        </w:rPr>
        <w:tab/>
      </w:r>
      <w:r w:rsidR="00141DB2" w:rsidRPr="00141DB2">
        <w:rPr>
          <w:lang w:val="en-US"/>
        </w:rPr>
        <w:t>The Committee notes with concern</w:t>
      </w:r>
      <w:r w:rsidR="00E975AC">
        <w:rPr>
          <w:lang w:val="en-US"/>
        </w:rPr>
        <w:t xml:space="preserve"> that</w:t>
      </w:r>
      <w:r w:rsidR="00EA13DA">
        <w:rPr>
          <w:lang w:val="en-US"/>
        </w:rPr>
        <w:t>,</w:t>
      </w:r>
      <w:r w:rsidR="00E975AC">
        <w:rPr>
          <w:lang w:val="en-US"/>
        </w:rPr>
        <w:t xml:space="preserve"> in</w:t>
      </w:r>
      <w:r w:rsidR="009833BA">
        <w:rPr>
          <w:lang w:val="en-US"/>
        </w:rPr>
        <w:t xml:space="preserve"> </w:t>
      </w:r>
      <w:r w:rsidR="00E975AC">
        <w:rPr>
          <w:lang w:val="en-US"/>
        </w:rPr>
        <w:t>spite of efforts</w:t>
      </w:r>
      <w:r w:rsidR="00EA13DA">
        <w:rPr>
          <w:lang w:val="en-US"/>
        </w:rPr>
        <w:t xml:space="preserve"> undertaken</w:t>
      </w:r>
      <w:r w:rsidR="00E975AC">
        <w:rPr>
          <w:lang w:val="en-US"/>
        </w:rPr>
        <w:t xml:space="preserve">, </w:t>
      </w:r>
      <w:r w:rsidR="00141DB2" w:rsidRPr="00141DB2">
        <w:rPr>
          <w:lang w:val="en-US"/>
        </w:rPr>
        <w:t xml:space="preserve">the number of persons living below the poverty line </w:t>
      </w:r>
      <w:r w:rsidR="005313DD">
        <w:rPr>
          <w:lang w:val="en-US"/>
        </w:rPr>
        <w:t>and those</w:t>
      </w:r>
      <w:r w:rsidR="00141DB2" w:rsidRPr="00141DB2">
        <w:rPr>
          <w:lang w:val="en-US"/>
        </w:rPr>
        <w:t xml:space="preserve"> at risk of poverty remains high</w:t>
      </w:r>
      <w:r w:rsidR="005313DD">
        <w:rPr>
          <w:lang w:val="en-US"/>
        </w:rPr>
        <w:t>, particularly among non-Estonians</w:t>
      </w:r>
      <w:r w:rsidR="00141DB2" w:rsidRPr="00141DB2">
        <w:rPr>
          <w:lang w:val="en-US"/>
        </w:rPr>
        <w:t>. (art. 11)</w:t>
      </w:r>
    </w:p>
    <w:p w:rsidR="00141DB2" w:rsidRPr="00EA1FC3" w:rsidRDefault="00141DB2" w:rsidP="00033BC6">
      <w:pPr>
        <w:pStyle w:val="SingleTxtG"/>
        <w:tabs>
          <w:tab w:val="left" w:pos="1560"/>
          <w:tab w:val="num" w:pos="4608"/>
        </w:tabs>
        <w:ind w:left="1200" w:hanging="6"/>
        <w:rPr>
          <w:b/>
          <w:lang w:val="en-US"/>
        </w:rPr>
      </w:pPr>
      <w:r w:rsidRPr="00425674">
        <w:rPr>
          <w:b/>
          <w:lang w:val="en-US"/>
        </w:rPr>
        <w:t>The</w:t>
      </w:r>
      <w:r w:rsidRPr="000302D3">
        <w:rPr>
          <w:b/>
        </w:rPr>
        <w:t xml:space="preserve"> Committee recommends that </w:t>
      </w:r>
      <w:r w:rsidR="00E975AC">
        <w:rPr>
          <w:b/>
          <w:lang w:val="en-US"/>
        </w:rPr>
        <w:t xml:space="preserve">the State party </w:t>
      </w:r>
      <w:r w:rsidRPr="00EA1FC3">
        <w:rPr>
          <w:b/>
          <w:lang w:val="en-US"/>
        </w:rPr>
        <w:t xml:space="preserve">formulate and implement policies and strategies to reduce poverty. In this regard, the Committee refers the State party to its </w:t>
      </w:r>
      <w:r w:rsidR="003245E5">
        <w:rPr>
          <w:b/>
          <w:lang w:val="en-US"/>
        </w:rPr>
        <w:t xml:space="preserve">2001 </w:t>
      </w:r>
      <w:r w:rsidRPr="00EA1FC3">
        <w:rPr>
          <w:b/>
          <w:lang w:val="en-US"/>
        </w:rPr>
        <w:t>stateme</w:t>
      </w:r>
      <w:r w:rsidRPr="003245E5">
        <w:rPr>
          <w:b/>
          <w:lang w:val="en-US"/>
        </w:rPr>
        <w:t>nt on poverty and the Covenant.</w:t>
      </w:r>
      <w:r w:rsidRPr="00EA1FC3">
        <w:rPr>
          <w:b/>
          <w:lang w:val="en-US"/>
        </w:rPr>
        <w:t xml:space="preserve"> </w:t>
      </w:r>
    </w:p>
    <w:p w:rsidR="00141DB2" w:rsidRPr="00141DB2" w:rsidRDefault="00033BC6" w:rsidP="00033BC6">
      <w:pPr>
        <w:pStyle w:val="SingleTxtG"/>
        <w:tabs>
          <w:tab w:val="left" w:pos="1560"/>
          <w:tab w:val="num" w:pos="4608"/>
        </w:tabs>
        <w:ind w:left="1200" w:hanging="6"/>
        <w:rPr>
          <w:b/>
          <w:lang w:val="en-US"/>
        </w:rPr>
      </w:pPr>
      <w:r w:rsidRPr="00141DB2">
        <w:rPr>
          <w:lang w:val="en-US"/>
        </w:rPr>
        <w:t>24.</w:t>
      </w:r>
      <w:r w:rsidRPr="00141DB2">
        <w:rPr>
          <w:lang w:val="en-US"/>
        </w:rPr>
        <w:tab/>
      </w:r>
      <w:r w:rsidR="00E975AC">
        <w:rPr>
          <w:lang w:val="en-US"/>
        </w:rPr>
        <w:t>T</w:t>
      </w:r>
      <w:r w:rsidR="00141DB2" w:rsidRPr="00141DB2">
        <w:rPr>
          <w:lang w:val="en-US"/>
        </w:rPr>
        <w:t>he Committee expresses concern that</w:t>
      </w:r>
      <w:r w:rsidR="00E975AC">
        <w:rPr>
          <w:lang w:val="en-US"/>
        </w:rPr>
        <w:t xml:space="preserve">, while the rate of abortion has decreased, </w:t>
      </w:r>
      <w:r w:rsidR="00141DB2" w:rsidRPr="00141DB2">
        <w:rPr>
          <w:lang w:val="en-US"/>
        </w:rPr>
        <w:t xml:space="preserve">it continues to be widely practiced among </w:t>
      </w:r>
      <w:r w:rsidR="00B132EA">
        <w:rPr>
          <w:lang w:val="en-US"/>
        </w:rPr>
        <w:t>adolescents</w:t>
      </w:r>
      <w:r w:rsidR="00141DB2" w:rsidRPr="00141DB2">
        <w:rPr>
          <w:lang w:val="en-US"/>
        </w:rPr>
        <w:t>, despite efforts</w:t>
      </w:r>
      <w:r w:rsidR="00EA13DA">
        <w:rPr>
          <w:lang w:val="en-US"/>
        </w:rPr>
        <w:t xml:space="preserve"> to include</w:t>
      </w:r>
      <w:r w:rsidR="00141DB2" w:rsidRPr="00141DB2">
        <w:rPr>
          <w:lang w:val="en-US"/>
        </w:rPr>
        <w:t xml:space="preserve"> sex education in the school curricula and the dissemination of information on sexual and reproductive health directed to adolescents through various media. Moreover, the Committee is concerned that </w:t>
      </w:r>
      <w:r w:rsidR="00E975AC">
        <w:rPr>
          <w:lang w:val="en-US"/>
        </w:rPr>
        <w:t xml:space="preserve">unwanted </w:t>
      </w:r>
      <w:r w:rsidR="00141DB2" w:rsidRPr="00141DB2">
        <w:rPr>
          <w:lang w:val="en-US"/>
        </w:rPr>
        <w:t xml:space="preserve">pregnancy </w:t>
      </w:r>
      <w:r w:rsidR="00E975AC">
        <w:rPr>
          <w:lang w:val="en-US"/>
        </w:rPr>
        <w:t>often</w:t>
      </w:r>
      <w:r w:rsidR="00E975AC" w:rsidRPr="00141DB2">
        <w:rPr>
          <w:lang w:val="en-US"/>
        </w:rPr>
        <w:t xml:space="preserve"> </w:t>
      </w:r>
      <w:r w:rsidR="00141DB2" w:rsidRPr="00141DB2">
        <w:rPr>
          <w:lang w:val="en-US"/>
        </w:rPr>
        <w:t>lead</w:t>
      </w:r>
      <w:r w:rsidR="00E975AC">
        <w:rPr>
          <w:lang w:val="en-US"/>
        </w:rPr>
        <w:t>s</w:t>
      </w:r>
      <w:r w:rsidR="00141DB2" w:rsidRPr="00141DB2">
        <w:rPr>
          <w:lang w:val="en-US"/>
        </w:rPr>
        <w:t xml:space="preserve"> teenage girls to </w:t>
      </w:r>
      <w:r w:rsidR="00BA22AC" w:rsidRPr="00035E91">
        <w:rPr>
          <w:lang w:val="en-US"/>
        </w:rPr>
        <w:t>drop</w:t>
      </w:r>
      <w:r w:rsidR="00035E91">
        <w:rPr>
          <w:lang w:val="en-US"/>
        </w:rPr>
        <w:t xml:space="preserve"> </w:t>
      </w:r>
      <w:r w:rsidR="00141DB2" w:rsidRPr="00035E91">
        <w:rPr>
          <w:lang w:val="en-US"/>
        </w:rPr>
        <w:t>out fr</w:t>
      </w:r>
      <w:r w:rsidR="00141DB2" w:rsidRPr="00141DB2">
        <w:rPr>
          <w:lang w:val="en-US"/>
        </w:rPr>
        <w:t>om school. The Committee also regrets that it has not been provided with information on the measures taken by the State party</w:t>
      </w:r>
      <w:r w:rsidR="00E975AC">
        <w:rPr>
          <w:lang w:val="en-US"/>
        </w:rPr>
        <w:t xml:space="preserve"> </w:t>
      </w:r>
      <w:r w:rsidR="00EA13DA">
        <w:rPr>
          <w:lang w:val="en-US"/>
        </w:rPr>
        <w:t>to raise awareness of</w:t>
      </w:r>
      <w:r w:rsidR="00141DB2" w:rsidRPr="00141DB2">
        <w:rPr>
          <w:lang w:val="en-US"/>
        </w:rPr>
        <w:t xml:space="preserve"> sexual and reproductive health </w:t>
      </w:r>
      <w:r w:rsidR="00B132EA">
        <w:rPr>
          <w:lang w:val="en-US"/>
        </w:rPr>
        <w:t>among</w:t>
      </w:r>
      <w:r w:rsidR="00141DB2" w:rsidRPr="00141DB2">
        <w:rPr>
          <w:lang w:val="en-US"/>
        </w:rPr>
        <w:t xml:space="preserve"> the public at large. (art</w:t>
      </w:r>
      <w:r w:rsidR="00BA22AC">
        <w:rPr>
          <w:lang w:val="en-US"/>
        </w:rPr>
        <w:t>s</w:t>
      </w:r>
      <w:r w:rsidR="00141DB2" w:rsidRPr="00141DB2">
        <w:rPr>
          <w:lang w:val="en-US"/>
        </w:rPr>
        <w:t>. 12</w:t>
      </w:r>
      <w:r w:rsidR="00F27A02">
        <w:rPr>
          <w:lang w:val="en-US"/>
        </w:rPr>
        <w:t xml:space="preserve"> and</w:t>
      </w:r>
      <w:r w:rsidR="00F27A02" w:rsidRPr="00141DB2">
        <w:rPr>
          <w:lang w:val="en-US"/>
        </w:rPr>
        <w:t xml:space="preserve"> </w:t>
      </w:r>
      <w:r w:rsidR="00141DB2" w:rsidRPr="00141DB2">
        <w:rPr>
          <w:lang w:val="en-US"/>
        </w:rPr>
        <w:t>10)</w:t>
      </w:r>
    </w:p>
    <w:p w:rsidR="00141DB2" w:rsidRPr="00141DB2" w:rsidRDefault="00141DB2" w:rsidP="00033BC6">
      <w:pPr>
        <w:pStyle w:val="SingleTxtG"/>
        <w:tabs>
          <w:tab w:val="left" w:pos="1560"/>
          <w:tab w:val="num" w:pos="4608"/>
        </w:tabs>
        <w:ind w:left="1200" w:hanging="6"/>
        <w:rPr>
          <w:b/>
          <w:lang w:val="en-US"/>
        </w:rPr>
      </w:pPr>
      <w:r w:rsidRPr="00033BC6">
        <w:rPr>
          <w:b/>
          <w:bCs/>
          <w:lang w:val="en-US"/>
        </w:rPr>
        <w:t>The</w:t>
      </w:r>
      <w:r w:rsidRPr="00141DB2">
        <w:rPr>
          <w:b/>
          <w:lang w:val="en-US"/>
        </w:rPr>
        <w:t xml:space="preserve"> Committee urges the State party to ensure that sexual and reproductive health services are effectively accessible to adolescents. The Committee also calls on the State </w:t>
      </w:r>
      <w:r w:rsidR="000511FA">
        <w:rPr>
          <w:b/>
          <w:lang w:val="en-US"/>
        </w:rPr>
        <w:t xml:space="preserve">party </w:t>
      </w:r>
      <w:r w:rsidRPr="00141DB2">
        <w:rPr>
          <w:b/>
          <w:lang w:val="en-US"/>
        </w:rPr>
        <w:t xml:space="preserve">to intensify its efforts aimed at preventing teenage pregnancy and to </w:t>
      </w:r>
      <w:r w:rsidR="00B132EA">
        <w:rPr>
          <w:b/>
          <w:lang w:val="en-US"/>
        </w:rPr>
        <w:t>provide the necessary</w:t>
      </w:r>
      <w:r w:rsidRPr="00141DB2">
        <w:rPr>
          <w:b/>
          <w:lang w:val="en-US"/>
        </w:rPr>
        <w:t xml:space="preserve"> support services for pregnant </w:t>
      </w:r>
      <w:r w:rsidR="00B132EA">
        <w:rPr>
          <w:b/>
          <w:lang w:val="en-US"/>
        </w:rPr>
        <w:t>adolescents</w:t>
      </w:r>
      <w:r w:rsidR="00F21B17">
        <w:rPr>
          <w:b/>
          <w:lang w:val="en-US"/>
        </w:rPr>
        <w:t>, including</w:t>
      </w:r>
      <w:r w:rsidR="00B132EA">
        <w:rPr>
          <w:b/>
          <w:lang w:val="en-US"/>
        </w:rPr>
        <w:t xml:space="preserve"> measures to enable them to continue their education</w:t>
      </w:r>
      <w:r w:rsidRPr="00141DB2">
        <w:rPr>
          <w:b/>
          <w:lang w:val="en-US"/>
        </w:rPr>
        <w:t xml:space="preserve">. The Committee requests the State party to include in its next periodic report information on sexual and reproductive health education </w:t>
      </w:r>
      <w:r w:rsidR="00EA30DF" w:rsidRPr="00035E91">
        <w:rPr>
          <w:b/>
          <w:lang w:val="en-US"/>
        </w:rPr>
        <w:t>provided to</w:t>
      </w:r>
      <w:r w:rsidR="005D4F19">
        <w:rPr>
          <w:b/>
          <w:lang w:val="en-US"/>
        </w:rPr>
        <w:t xml:space="preserve"> </w:t>
      </w:r>
      <w:r w:rsidRPr="00035E91">
        <w:rPr>
          <w:b/>
          <w:lang w:val="en-US"/>
        </w:rPr>
        <w:t>the public.</w:t>
      </w:r>
    </w:p>
    <w:p w:rsidR="00141DB2" w:rsidRPr="00141DB2" w:rsidRDefault="00033BC6" w:rsidP="00033BC6">
      <w:pPr>
        <w:pStyle w:val="SingleTxtG"/>
        <w:tabs>
          <w:tab w:val="left" w:pos="1560"/>
          <w:tab w:val="num" w:pos="4608"/>
        </w:tabs>
        <w:ind w:left="1200" w:hanging="6"/>
        <w:rPr>
          <w:b/>
          <w:lang w:val="en-US"/>
        </w:rPr>
      </w:pPr>
      <w:r w:rsidRPr="00141DB2">
        <w:rPr>
          <w:lang w:val="en-US"/>
        </w:rPr>
        <w:t>25.</w:t>
      </w:r>
      <w:r w:rsidRPr="00141DB2">
        <w:rPr>
          <w:lang w:val="en-US"/>
        </w:rPr>
        <w:tab/>
      </w:r>
      <w:r w:rsidR="00141DB2" w:rsidRPr="00141DB2">
        <w:rPr>
          <w:lang w:val="en-US"/>
        </w:rPr>
        <w:t xml:space="preserve">The Committee notes with concern the </w:t>
      </w:r>
      <w:r w:rsidR="003D2782">
        <w:rPr>
          <w:lang w:val="en-US"/>
        </w:rPr>
        <w:t xml:space="preserve">persisting </w:t>
      </w:r>
      <w:r w:rsidR="00141DB2" w:rsidRPr="00141DB2">
        <w:rPr>
          <w:lang w:val="en-US"/>
        </w:rPr>
        <w:t>high suicide rate in the State party</w:t>
      </w:r>
      <w:r w:rsidR="00917D23">
        <w:rPr>
          <w:lang w:val="en-US"/>
        </w:rPr>
        <w:t>,</w:t>
      </w:r>
      <w:r w:rsidR="00FF36C6">
        <w:rPr>
          <w:lang w:val="en-US"/>
        </w:rPr>
        <w:t xml:space="preserve"> in spite of</w:t>
      </w:r>
      <w:r w:rsidR="00141DB2" w:rsidRPr="00141DB2">
        <w:rPr>
          <w:lang w:val="en-US"/>
        </w:rPr>
        <w:t xml:space="preserve"> psychological assistance and</w:t>
      </w:r>
      <w:r w:rsidR="005D4F19">
        <w:rPr>
          <w:lang w:val="en-US"/>
        </w:rPr>
        <w:t xml:space="preserve"> </w:t>
      </w:r>
      <w:r w:rsidR="00BA22AC">
        <w:rPr>
          <w:lang w:val="en-US"/>
        </w:rPr>
        <w:t>counselling</w:t>
      </w:r>
      <w:r w:rsidR="00BA22AC" w:rsidRPr="00141DB2">
        <w:rPr>
          <w:lang w:val="en-US"/>
        </w:rPr>
        <w:t xml:space="preserve"> </w:t>
      </w:r>
      <w:r w:rsidR="00141DB2" w:rsidRPr="00141DB2">
        <w:rPr>
          <w:lang w:val="en-US"/>
        </w:rPr>
        <w:t>services made available. (art. 12)</w:t>
      </w:r>
    </w:p>
    <w:p w:rsidR="00141DB2" w:rsidRPr="00EA1FC3" w:rsidRDefault="00141DB2" w:rsidP="00033BC6">
      <w:pPr>
        <w:pStyle w:val="SingleTxtG"/>
        <w:tabs>
          <w:tab w:val="left" w:pos="1560"/>
          <w:tab w:val="num" w:pos="4608"/>
        </w:tabs>
        <w:ind w:left="1200" w:hanging="6"/>
        <w:rPr>
          <w:b/>
          <w:lang w:val="en-US"/>
        </w:rPr>
      </w:pPr>
      <w:r w:rsidRPr="00033BC6">
        <w:rPr>
          <w:lang w:val="en-US"/>
        </w:rPr>
        <w:t>The</w:t>
      </w:r>
      <w:r w:rsidRPr="00EA1FC3">
        <w:rPr>
          <w:b/>
          <w:lang w:val="en-US"/>
        </w:rPr>
        <w:t xml:space="preserve"> Committee calls on the State party to strengthen </w:t>
      </w:r>
      <w:r w:rsidR="00993B0C">
        <w:rPr>
          <w:b/>
          <w:lang w:val="en-US"/>
        </w:rPr>
        <w:t>its</w:t>
      </w:r>
      <w:r w:rsidR="00993B0C" w:rsidRPr="00EA1FC3">
        <w:rPr>
          <w:b/>
          <w:lang w:val="en-US"/>
        </w:rPr>
        <w:t xml:space="preserve"> </w:t>
      </w:r>
      <w:r w:rsidRPr="00EA1FC3">
        <w:rPr>
          <w:b/>
          <w:lang w:val="en-US"/>
        </w:rPr>
        <w:t xml:space="preserve">efforts aimed at </w:t>
      </w:r>
      <w:r w:rsidR="002310D5" w:rsidRPr="00EA1FC3">
        <w:rPr>
          <w:b/>
          <w:lang w:val="en-US"/>
        </w:rPr>
        <w:t>combating</w:t>
      </w:r>
      <w:r w:rsidRPr="00EA1FC3">
        <w:rPr>
          <w:b/>
          <w:lang w:val="en-US"/>
        </w:rPr>
        <w:t xml:space="preserve"> suicide. The Committee also recommends that the State party assess whether the services available for the prevention of suicide are effective and are accessible to</w:t>
      </w:r>
      <w:r w:rsidR="00556950">
        <w:rPr>
          <w:b/>
          <w:lang w:val="en-US"/>
        </w:rPr>
        <w:t xml:space="preserve"> individuals and groups who are</w:t>
      </w:r>
      <w:r w:rsidRPr="00EA1FC3">
        <w:rPr>
          <w:b/>
          <w:lang w:val="en-US"/>
        </w:rPr>
        <w:t xml:space="preserve"> </w:t>
      </w:r>
      <w:r w:rsidR="00556950">
        <w:rPr>
          <w:b/>
          <w:lang w:val="en-US"/>
        </w:rPr>
        <w:t>at risk</w:t>
      </w:r>
      <w:r w:rsidR="00657426">
        <w:rPr>
          <w:b/>
          <w:lang w:val="en-US"/>
        </w:rPr>
        <w:t xml:space="preserve"> of</w:t>
      </w:r>
      <w:r w:rsidR="00556950">
        <w:rPr>
          <w:b/>
          <w:lang w:val="en-US"/>
        </w:rPr>
        <w:t xml:space="preserve"> suicide</w:t>
      </w:r>
      <w:r w:rsidRPr="00EA1FC3">
        <w:rPr>
          <w:b/>
          <w:lang w:val="en-US"/>
        </w:rPr>
        <w:t>. The Committee also requests that information on measures taken in this regard, as well as on mental health</w:t>
      </w:r>
      <w:r w:rsidR="003D2782">
        <w:rPr>
          <w:b/>
          <w:lang w:val="en-US"/>
        </w:rPr>
        <w:t xml:space="preserve"> generally</w:t>
      </w:r>
      <w:r w:rsidRPr="00EA1FC3">
        <w:rPr>
          <w:b/>
          <w:lang w:val="en-US"/>
        </w:rPr>
        <w:t>, including on the coverage of ambulatory services, be provided in the</w:t>
      </w:r>
      <w:r w:rsidR="003D2782">
        <w:rPr>
          <w:b/>
          <w:lang w:val="en-US"/>
        </w:rPr>
        <w:t xml:space="preserve"> State party’s</w:t>
      </w:r>
      <w:r w:rsidRPr="00EA1FC3">
        <w:rPr>
          <w:b/>
          <w:lang w:val="en-US"/>
        </w:rPr>
        <w:t xml:space="preserve"> next periodic report.</w:t>
      </w:r>
    </w:p>
    <w:p w:rsidR="00141DB2" w:rsidRPr="00141DB2" w:rsidRDefault="00033BC6" w:rsidP="00033BC6">
      <w:pPr>
        <w:pStyle w:val="SingleTxtG"/>
        <w:tabs>
          <w:tab w:val="left" w:pos="1560"/>
          <w:tab w:val="num" w:pos="4608"/>
        </w:tabs>
        <w:ind w:left="1200" w:hanging="6"/>
        <w:rPr>
          <w:b/>
          <w:lang w:val="en-US"/>
        </w:rPr>
      </w:pPr>
      <w:r w:rsidRPr="00141DB2">
        <w:rPr>
          <w:lang w:val="en-US"/>
        </w:rPr>
        <w:t>26.</w:t>
      </w:r>
      <w:r w:rsidRPr="00141DB2">
        <w:rPr>
          <w:lang w:val="en-US"/>
        </w:rPr>
        <w:tab/>
      </w:r>
      <w:r w:rsidR="00FF36C6">
        <w:rPr>
          <w:lang w:val="en-US"/>
        </w:rPr>
        <w:t>T</w:t>
      </w:r>
      <w:r w:rsidR="00141DB2" w:rsidRPr="00141DB2">
        <w:rPr>
          <w:lang w:val="en-US"/>
        </w:rPr>
        <w:t>he Committee is concerned at the increase in drug use</w:t>
      </w:r>
      <w:r w:rsidR="00657426">
        <w:rPr>
          <w:lang w:val="en-US"/>
        </w:rPr>
        <w:t xml:space="preserve"> in the State party. </w:t>
      </w:r>
      <w:r w:rsidR="00141DB2" w:rsidRPr="00141DB2">
        <w:rPr>
          <w:lang w:val="en-US"/>
        </w:rPr>
        <w:t>(art. 12)</w:t>
      </w:r>
    </w:p>
    <w:p w:rsidR="00556950" w:rsidRDefault="00141DB2" w:rsidP="00033BC6">
      <w:pPr>
        <w:pStyle w:val="SingleTxtG"/>
        <w:tabs>
          <w:tab w:val="left" w:pos="1560"/>
          <w:tab w:val="num" w:pos="4608"/>
        </w:tabs>
        <w:ind w:left="1200" w:hanging="6"/>
        <w:rPr>
          <w:b/>
          <w:lang w:val="en-US"/>
        </w:rPr>
      </w:pPr>
      <w:r w:rsidRPr="00033BC6">
        <w:rPr>
          <w:b/>
          <w:bCs/>
          <w:lang w:val="en-US"/>
        </w:rPr>
        <w:t>The</w:t>
      </w:r>
      <w:r w:rsidRPr="00141DB2">
        <w:rPr>
          <w:b/>
          <w:lang w:val="en-US"/>
        </w:rPr>
        <w:t xml:space="preserve"> Committee calls on the State party to intensify </w:t>
      </w:r>
      <w:r w:rsidR="00556950">
        <w:rPr>
          <w:b/>
          <w:lang w:val="en-US"/>
        </w:rPr>
        <w:t xml:space="preserve">its </w:t>
      </w:r>
      <w:r w:rsidRPr="00141DB2">
        <w:rPr>
          <w:b/>
          <w:lang w:val="en-US"/>
        </w:rPr>
        <w:t xml:space="preserve">efforts </w:t>
      </w:r>
      <w:r w:rsidR="009648B3">
        <w:rPr>
          <w:b/>
          <w:lang w:val="en-US"/>
        </w:rPr>
        <w:t xml:space="preserve">with regard to </w:t>
      </w:r>
      <w:r w:rsidRPr="00141DB2">
        <w:rPr>
          <w:b/>
          <w:lang w:val="en-US"/>
        </w:rPr>
        <w:t>preventin</w:t>
      </w:r>
      <w:r w:rsidR="00556950">
        <w:rPr>
          <w:b/>
          <w:lang w:val="en-US"/>
        </w:rPr>
        <w:t>g</w:t>
      </w:r>
      <w:r w:rsidRPr="00141DB2">
        <w:rPr>
          <w:b/>
          <w:lang w:val="en-US"/>
        </w:rPr>
        <w:t xml:space="preserve"> drug use, including through education and awareness-raising programmes, an</w:t>
      </w:r>
      <w:r w:rsidRPr="00035E91">
        <w:rPr>
          <w:b/>
          <w:lang w:val="en-US"/>
        </w:rPr>
        <w:t>d exp</w:t>
      </w:r>
      <w:r w:rsidRPr="00141DB2">
        <w:rPr>
          <w:b/>
          <w:lang w:val="en-US"/>
        </w:rPr>
        <w:t xml:space="preserve">ansion of the provision of drug substitution therapy. </w:t>
      </w:r>
      <w:r w:rsidR="00657426">
        <w:rPr>
          <w:b/>
          <w:lang w:val="en-US"/>
        </w:rPr>
        <w:t>Furthermore, the Committee encourages the State party to continue expanding the needle exchange programme.</w:t>
      </w:r>
    </w:p>
    <w:p w:rsidR="00556950" w:rsidRDefault="00033BC6" w:rsidP="00033BC6">
      <w:pPr>
        <w:pStyle w:val="SingleTxtG"/>
        <w:tabs>
          <w:tab w:val="left" w:pos="1560"/>
          <w:tab w:val="num" w:pos="4608"/>
        </w:tabs>
        <w:ind w:left="1200" w:hanging="6"/>
        <w:rPr>
          <w:lang w:val="en-US"/>
        </w:rPr>
      </w:pPr>
      <w:r>
        <w:rPr>
          <w:lang w:val="en-US"/>
        </w:rPr>
        <w:t>27.</w:t>
      </w:r>
      <w:r>
        <w:rPr>
          <w:lang w:val="en-US"/>
        </w:rPr>
        <w:tab/>
      </w:r>
      <w:r w:rsidR="00556950">
        <w:rPr>
          <w:lang w:val="en-US"/>
        </w:rPr>
        <w:t xml:space="preserve">The Committee is </w:t>
      </w:r>
      <w:r w:rsidR="00556950" w:rsidRPr="00141DB2">
        <w:rPr>
          <w:lang w:val="en-US"/>
        </w:rPr>
        <w:t xml:space="preserve">concerned </w:t>
      </w:r>
      <w:r w:rsidR="00BA22AC">
        <w:rPr>
          <w:lang w:val="en-US"/>
        </w:rPr>
        <w:t>about</w:t>
      </w:r>
      <w:r w:rsidR="00556950" w:rsidRPr="00141DB2">
        <w:rPr>
          <w:lang w:val="en-US"/>
        </w:rPr>
        <w:t xml:space="preserve"> alcohol consumption which remains high despite measures taken, such as the increase in </w:t>
      </w:r>
      <w:r w:rsidR="00D93FF7">
        <w:rPr>
          <w:lang w:val="en-US"/>
        </w:rPr>
        <w:t xml:space="preserve">the excise </w:t>
      </w:r>
      <w:r w:rsidR="00556950" w:rsidRPr="00141DB2">
        <w:rPr>
          <w:lang w:val="en-US"/>
        </w:rPr>
        <w:t xml:space="preserve">tax on alcohol and the prohibition </w:t>
      </w:r>
      <w:r w:rsidR="00556950">
        <w:rPr>
          <w:lang w:val="en-US"/>
        </w:rPr>
        <w:t>of sales during specific hours.</w:t>
      </w:r>
      <w:r w:rsidR="00974A27">
        <w:rPr>
          <w:lang w:val="en-US"/>
        </w:rPr>
        <w:t xml:space="preserve"> (art. 12)</w:t>
      </w:r>
    </w:p>
    <w:p w:rsidR="00141DB2" w:rsidRPr="00141DB2" w:rsidRDefault="00556950" w:rsidP="00033BC6">
      <w:pPr>
        <w:pStyle w:val="SingleTxtG"/>
        <w:tabs>
          <w:tab w:val="left" w:pos="1560"/>
          <w:tab w:val="num" w:pos="4608"/>
        </w:tabs>
        <w:ind w:left="1200" w:hanging="6"/>
        <w:rPr>
          <w:b/>
          <w:lang w:val="en-US"/>
        </w:rPr>
      </w:pPr>
      <w:r w:rsidRPr="00141DB2">
        <w:rPr>
          <w:b/>
          <w:lang w:val="en-US"/>
        </w:rPr>
        <w:t xml:space="preserve">The Committee recommends that the State party </w:t>
      </w:r>
      <w:r>
        <w:rPr>
          <w:b/>
          <w:lang w:val="en-US"/>
        </w:rPr>
        <w:t>intensify</w:t>
      </w:r>
      <w:r w:rsidRPr="00141DB2">
        <w:rPr>
          <w:b/>
          <w:lang w:val="en-US"/>
        </w:rPr>
        <w:t xml:space="preserve"> its efforts aimed at combating alcohol abuse, including through awareness-raising campaigns.</w:t>
      </w:r>
    </w:p>
    <w:p w:rsidR="00141DB2" w:rsidRPr="00141DB2" w:rsidRDefault="00033BC6" w:rsidP="00033BC6">
      <w:pPr>
        <w:pStyle w:val="SingleTxtG"/>
        <w:tabs>
          <w:tab w:val="left" w:pos="1560"/>
          <w:tab w:val="num" w:pos="4608"/>
        </w:tabs>
        <w:ind w:left="1200" w:hanging="6"/>
        <w:rPr>
          <w:b/>
          <w:lang w:val="en-US"/>
        </w:rPr>
      </w:pPr>
      <w:r w:rsidRPr="00141DB2">
        <w:rPr>
          <w:lang w:val="en-US"/>
        </w:rPr>
        <w:t>28.</w:t>
      </w:r>
      <w:r w:rsidRPr="00141DB2">
        <w:rPr>
          <w:lang w:val="en-US"/>
        </w:rPr>
        <w:tab/>
      </w:r>
      <w:r w:rsidR="00141DB2" w:rsidRPr="00141DB2">
        <w:rPr>
          <w:lang w:val="en-US"/>
        </w:rPr>
        <w:t>The Committee notes with concern that the number of pupils who do not complete the upper secondary education remains high. (art. 13)</w:t>
      </w:r>
    </w:p>
    <w:p w:rsidR="00141DB2" w:rsidRPr="00EA1FC3" w:rsidRDefault="00141DB2" w:rsidP="00033BC6">
      <w:pPr>
        <w:pStyle w:val="SingleTxtG"/>
        <w:tabs>
          <w:tab w:val="left" w:pos="1560"/>
          <w:tab w:val="num" w:pos="4608"/>
        </w:tabs>
        <w:ind w:left="1200" w:hanging="6"/>
        <w:rPr>
          <w:b/>
          <w:lang w:val="en-US"/>
        </w:rPr>
      </w:pPr>
      <w:r w:rsidRPr="00033BC6">
        <w:rPr>
          <w:b/>
          <w:bCs/>
          <w:lang w:val="en-US"/>
        </w:rPr>
        <w:t>The</w:t>
      </w:r>
      <w:r w:rsidRPr="00EA1FC3">
        <w:rPr>
          <w:b/>
          <w:lang w:val="en-US"/>
        </w:rPr>
        <w:t xml:space="preserve"> Committee recommends that the State party adopt targeted measures to address </w:t>
      </w:r>
      <w:r w:rsidR="00184708">
        <w:rPr>
          <w:b/>
          <w:lang w:val="en-US"/>
        </w:rPr>
        <w:t>school</w:t>
      </w:r>
      <w:r w:rsidR="005D4F19">
        <w:rPr>
          <w:b/>
          <w:lang w:val="en-US"/>
        </w:rPr>
        <w:t xml:space="preserve"> </w:t>
      </w:r>
      <w:r w:rsidR="00BA22AC">
        <w:rPr>
          <w:b/>
          <w:lang w:val="en-US"/>
        </w:rPr>
        <w:t>dropout</w:t>
      </w:r>
      <w:r w:rsidRPr="00EA1FC3">
        <w:rPr>
          <w:b/>
          <w:lang w:val="en-US"/>
        </w:rPr>
        <w:t xml:space="preserve"> among pupils, and include in its next periodic report information</w:t>
      </w:r>
      <w:r w:rsidR="00184708">
        <w:rPr>
          <w:b/>
          <w:lang w:val="en-US"/>
        </w:rPr>
        <w:t xml:space="preserve"> on measures taken</w:t>
      </w:r>
      <w:r w:rsidRPr="00EA1FC3">
        <w:rPr>
          <w:b/>
          <w:lang w:val="en-US"/>
        </w:rPr>
        <w:t xml:space="preserve"> thereon as well as statistical data on </w:t>
      </w:r>
      <w:r w:rsidR="00BA22AC">
        <w:rPr>
          <w:b/>
          <w:lang w:val="en-US"/>
        </w:rPr>
        <w:t>dropout</w:t>
      </w:r>
      <w:r w:rsidRPr="00EA1FC3">
        <w:rPr>
          <w:b/>
          <w:lang w:val="en-US"/>
        </w:rPr>
        <w:t xml:space="preserve"> disaggregated by year, sex, ethnic origin, and level of education. The Committee also draws the attention of the State party to its general comment No. 13 </w:t>
      </w:r>
      <w:r w:rsidR="007C0DED">
        <w:rPr>
          <w:b/>
          <w:lang w:val="en-US"/>
        </w:rPr>
        <w:t xml:space="preserve">(1999) </w:t>
      </w:r>
      <w:r w:rsidRPr="00EA1FC3">
        <w:rPr>
          <w:b/>
          <w:lang w:val="en-US"/>
        </w:rPr>
        <w:t>on the right to education.</w:t>
      </w:r>
    </w:p>
    <w:p w:rsidR="00141DB2" w:rsidRPr="003D6390" w:rsidRDefault="00033BC6" w:rsidP="00033BC6">
      <w:pPr>
        <w:pStyle w:val="SingleTxtG"/>
        <w:tabs>
          <w:tab w:val="left" w:pos="1560"/>
          <w:tab w:val="num" w:pos="4608"/>
        </w:tabs>
        <w:ind w:left="1200" w:hanging="6"/>
        <w:rPr>
          <w:lang w:val="en-US"/>
        </w:rPr>
      </w:pPr>
      <w:r w:rsidRPr="003D6390">
        <w:rPr>
          <w:lang w:val="en-US"/>
        </w:rPr>
        <w:t>29.</w:t>
      </w:r>
      <w:r w:rsidRPr="003D6390">
        <w:rPr>
          <w:lang w:val="en-US"/>
        </w:rPr>
        <w:tab/>
      </w:r>
      <w:r w:rsidR="005515DB" w:rsidRPr="003D6390">
        <w:rPr>
          <w:lang w:val="en-US"/>
        </w:rPr>
        <w:t>T</w:t>
      </w:r>
      <w:r w:rsidR="00141DB2" w:rsidRPr="003D6390">
        <w:rPr>
          <w:lang w:val="en-US"/>
        </w:rPr>
        <w:t xml:space="preserve">he Committee expresses concern at the </w:t>
      </w:r>
      <w:r w:rsidR="005515DB" w:rsidRPr="003D6390">
        <w:rPr>
          <w:lang w:val="en-US"/>
        </w:rPr>
        <w:t>persistent</w:t>
      </w:r>
      <w:r w:rsidR="00141DB2" w:rsidRPr="003D6390">
        <w:rPr>
          <w:lang w:val="en-US"/>
        </w:rPr>
        <w:t xml:space="preserve"> stigmatization of certain nationalities</w:t>
      </w:r>
      <w:r w:rsidR="005515DB" w:rsidRPr="003D6390">
        <w:rPr>
          <w:lang w:val="en-US"/>
        </w:rPr>
        <w:t>, ethnicities,</w:t>
      </w:r>
      <w:r w:rsidR="00141DB2" w:rsidRPr="003D6390">
        <w:rPr>
          <w:lang w:val="en-US"/>
        </w:rPr>
        <w:t xml:space="preserve"> and population groups and at reports of racist acts against them. (art</w:t>
      </w:r>
      <w:r w:rsidR="003D6390">
        <w:rPr>
          <w:lang w:val="en-US"/>
        </w:rPr>
        <w:t>s</w:t>
      </w:r>
      <w:r w:rsidR="00141DB2" w:rsidRPr="003D6390">
        <w:rPr>
          <w:lang w:val="en-US"/>
        </w:rPr>
        <w:t>. 13</w:t>
      </w:r>
      <w:r w:rsidR="003B0BDB">
        <w:rPr>
          <w:lang w:val="en-US"/>
        </w:rPr>
        <w:t xml:space="preserve"> and</w:t>
      </w:r>
      <w:r w:rsidR="005D4F19">
        <w:rPr>
          <w:lang w:val="en-US"/>
        </w:rPr>
        <w:t xml:space="preserve"> </w:t>
      </w:r>
      <w:r w:rsidR="00141DB2" w:rsidRPr="003D6390">
        <w:rPr>
          <w:lang w:val="en-US"/>
        </w:rPr>
        <w:t>2</w:t>
      </w:r>
      <w:r w:rsidR="005D4F19">
        <w:rPr>
          <w:lang w:val="en-US"/>
        </w:rPr>
        <w:t xml:space="preserve">, </w:t>
      </w:r>
      <w:r w:rsidR="003B0BDB">
        <w:rPr>
          <w:lang w:val="en-US"/>
        </w:rPr>
        <w:t>para.2</w:t>
      </w:r>
      <w:r w:rsidR="00141DB2" w:rsidRPr="003D6390">
        <w:rPr>
          <w:lang w:val="en-US"/>
        </w:rPr>
        <w:t>)</w:t>
      </w:r>
    </w:p>
    <w:p w:rsidR="00141DB2" w:rsidRPr="00EA1FC3" w:rsidRDefault="00141DB2" w:rsidP="00033BC6">
      <w:pPr>
        <w:pStyle w:val="SingleTxtG"/>
        <w:tabs>
          <w:tab w:val="left" w:pos="1560"/>
          <w:tab w:val="num" w:pos="4608"/>
        </w:tabs>
        <w:ind w:left="1200" w:hanging="6"/>
        <w:rPr>
          <w:b/>
          <w:lang w:val="en-US"/>
        </w:rPr>
      </w:pPr>
      <w:r w:rsidRPr="00033BC6">
        <w:rPr>
          <w:b/>
          <w:bCs/>
          <w:lang w:val="en-US"/>
        </w:rPr>
        <w:t>The</w:t>
      </w:r>
      <w:r w:rsidRPr="00EA1FC3">
        <w:rPr>
          <w:b/>
          <w:lang w:val="en-US"/>
        </w:rPr>
        <w:t xml:space="preserve"> Committee calls on the State party to ensure that its education programmes contribute to the promotion of understanding, tolerance and friendship among </w:t>
      </w:r>
      <w:r w:rsidR="00054ABF">
        <w:rPr>
          <w:b/>
          <w:lang w:val="en-US"/>
        </w:rPr>
        <w:t xml:space="preserve">all nationalities, and </w:t>
      </w:r>
      <w:r w:rsidRPr="00EA1FC3">
        <w:rPr>
          <w:b/>
          <w:lang w:val="en-US"/>
        </w:rPr>
        <w:t xml:space="preserve">all racial, ethnic or religious groups, as called for by article 13 of the Covenant. In particular, it recommends that the </w:t>
      </w:r>
      <w:r w:rsidR="005E7D71">
        <w:rPr>
          <w:b/>
          <w:lang w:val="en-US"/>
        </w:rPr>
        <w:t xml:space="preserve">courses under the </w:t>
      </w:r>
      <w:r w:rsidRPr="00EA1FC3">
        <w:rPr>
          <w:b/>
          <w:lang w:val="en-US"/>
        </w:rPr>
        <w:t>new national curriculum, aimed at supporting the development of ethical, responsible and active citizenship, also attend to the elimination of intolerance and social prejudices.</w:t>
      </w:r>
    </w:p>
    <w:p w:rsidR="00141DB2" w:rsidRPr="00B339BB" w:rsidRDefault="00033BC6" w:rsidP="00033BC6">
      <w:pPr>
        <w:pStyle w:val="SingleTxtG"/>
        <w:tabs>
          <w:tab w:val="left" w:pos="1560"/>
          <w:tab w:val="num" w:pos="4608"/>
        </w:tabs>
        <w:ind w:left="1200" w:hanging="6"/>
        <w:rPr>
          <w:lang w:val="en-US"/>
        </w:rPr>
      </w:pPr>
      <w:r w:rsidRPr="00B339BB">
        <w:rPr>
          <w:lang w:val="en-US"/>
        </w:rPr>
        <w:t>30.</w:t>
      </w:r>
      <w:r w:rsidRPr="00B339BB">
        <w:rPr>
          <w:lang w:val="en-US"/>
        </w:rPr>
        <w:tab/>
      </w:r>
      <w:r w:rsidR="00141DB2" w:rsidRPr="00036E09">
        <w:rPr>
          <w:lang w:val="en-US"/>
        </w:rPr>
        <w:t xml:space="preserve">The Committee regrets that </w:t>
      </w:r>
      <w:r w:rsidR="00B966E5" w:rsidRPr="00036E09">
        <w:rPr>
          <w:lang w:val="en-US"/>
        </w:rPr>
        <w:t xml:space="preserve">adequate </w:t>
      </w:r>
      <w:r w:rsidR="00141DB2" w:rsidRPr="00036E09">
        <w:rPr>
          <w:lang w:val="en-US"/>
        </w:rPr>
        <w:t>in</w:t>
      </w:r>
      <w:r w:rsidR="00141DB2" w:rsidRPr="00B339BB">
        <w:rPr>
          <w:lang w:val="en-US"/>
        </w:rPr>
        <w:t>formation</w:t>
      </w:r>
      <w:r w:rsidR="00B966E5" w:rsidRPr="00036E09">
        <w:rPr>
          <w:lang w:val="en-US"/>
        </w:rPr>
        <w:t xml:space="preserve"> has not been</w:t>
      </w:r>
      <w:r w:rsidR="00141DB2" w:rsidRPr="00036E09">
        <w:rPr>
          <w:lang w:val="en-US"/>
        </w:rPr>
        <w:t xml:space="preserve"> provided </w:t>
      </w:r>
      <w:r w:rsidR="00B966E5" w:rsidRPr="00036E09">
        <w:rPr>
          <w:lang w:val="en-US"/>
        </w:rPr>
        <w:t>to enable</w:t>
      </w:r>
      <w:r w:rsidR="00141DB2" w:rsidRPr="00036E09">
        <w:rPr>
          <w:lang w:val="en-US"/>
        </w:rPr>
        <w:t xml:space="preserve"> it to ascertain </w:t>
      </w:r>
      <w:r w:rsidR="00505E47" w:rsidRPr="00036E09">
        <w:rPr>
          <w:lang w:val="en-US"/>
        </w:rPr>
        <w:t>the full enjoyment of the rights guaranteed</w:t>
      </w:r>
      <w:r w:rsidR="00141DB2" w:rsidRPr="00036E09">
        <w:rPr>
          <w:lang w:val="en-US"/>
        </w:rPr>
        <w:t xml:space="preserve"> to the several national, ethnic and</w:t>
      </w:r>
      <w:r w:rsidR="00141DB2" w:rsidRPr="00B339BB">
        <w:rPr>
          <w:lang w:val="en-US"/>
        </w:rPr>
        <w:t xml:space="preserve"> linguistic minorities </w:t>
      </w:r>
      <w:r w:rsidR="00505E47" w:rsidRPr="00036E09">
        <w:rPr>
          <w:lang w:val="en-US"/>
        </w:rPr>
        <w:t>in</w:t>
      </w:r>
      <w:r w:rsidR="00141DB2" w:rsidRPr="00036E09">
        <w:rPr>
          <w:lang w:val="en-US"/>
        </w:rPr>
        <w:t xml:space="preserve"> the State party. </w:t>
      </w:r>
      <w:r w:rsidR="00B339BB" w:rsidRPr="005E7D71">
        <w:rPr>
          <w:lang w:val="en-US"/>
        </w:rPr>
        <w:t>T</w:t>
      </w:r>
      <w:r w:rsidR="00141DB2" w:rsidRPr="00036E09">
        <w:rPr>
          <w:lang w:val="en-US"/>
        </w:rPr>
        <w:t xml:space="preserve">he Committee </w:t>
      </w:r>
      <w:r w:rsidR="005E7D71" w:rsidRPr="005E7D71">
        <w:rPr>
          <w:lang w:val="en-US"/>
        </w:rPr>
        <w:t>is also concerned about</w:t>
      </w:r>
      <w:r w:rsidR="00141DB2" w:rsidRPr="00036E09">
        <w:rPr>
          <w:lang w:val="en-US"/>
        </w:rPr>
        <w:t xml:space="preserve"> the absence of a legislative framework recognizing the </w:t>
      </w:r>
      <w:r w:rsidR="00623F85" w:rsidRPr="00036E09">
        <w:rPr>
          <w:lang w:val="en-US"/>
        </w:rPr>
        <w:t xml:space="preserve">identities and </w:t>
      </w:r>
      <w:r w:rsidR="005E7D71" w:rsidRPr="005E7D71">
        <w:rPr>
          <w:lang w:val="en-US"/>
        </w:rPr>
        <w:t xml:space="preserve">the </w:t>
      </w:r>
      <w:r w:rsidR="00141DB2" w:rsidRPr="00036E09">
        <w:rPr>
          <w:lang w:val="en-US"/>
        </w:rPr>
        <w:t>cultural rights</w:t>
      </w:r>
      <w:r w:rsidR="005E7D71" w:rsidRPr="005E7D71">
        <w:rPr>
          <w:lang w:val="en-US"/>
        </w:rPr>
        <w:t xml:space="preserve"> of minorities, in spite of the activities undertaken for their promotion</w:t>
      </w:r>
      <w:r w:rsidR="00141DB2" w:rsidRPr="00036E09">
        <w:rPr>
          <w:lang w:val="en-US"/>
        </w:rPr>
        <w:t>.</w:t>
      </w:r>
      <w:r w:rsidR="005E7D71" w:rsidRPr="00036E09">
        <w:rPr>
          <w:lang w:val="en-US"/>
        </w:rPr>
        <w:t xml:space="preserve"> (art. 15)</w:t>
      </w:r>
    </w:p>
    <w:p w:rsidR="00141DB2" w:rsidRPr="00EA1FC3" w:rsidRDefault="00141DB2" w:rsidP="00033BC6">
      <w:pPr>
        <w:pStyle w:val="SingleTxtG"/>
        <w:tabs>
          <w:tab w:val="left" w:pos="1560"/>
          <w:tab w:val="num" w:pos="4608"/>
        </w:tabs>
        <w:ind w:left="1200" w:hanging="6"/>
        <w:rPr>
          <w:b/>
          <w:lang w:val="en-US"/>
        </w:rPr>
      </w:pPr>
      <w:r w:rsidRPr="00033BC6">
        <w:rPr>
          <w:b/>
          <w:bCs/>
          <w:lang w:val="en-US"/>
        </w:rPr>
        <w:t>The</w:t>
      </w:r>
      <w:r w:rsidRPr="00033BC6">
        <w:rPr>
          <w:b/>
          <w:bCs/>
        </w:rPr>
        <w:t xml:space="preserve"> C</w:t>
      </w:r>
      <w:r w:rsidRPr="000302D3">
        <w:rPr>
          <w:b/>
        </w:rPr>
        <w:t xml:space="preserve">ommittee recommends that the State party </w:t>
      </w:r>
      <w:r w:rsidR="003726E4" w:rsidRPr="000302D3">
        <w:rPr>
          <w:b/>
        </w:rPr>
        <w:t>guarantee in its legislation</w:t>
      </w:r>
      <w:r w:rsidR="003726E4">
        <w:rPr>
          <w:b/>
          <w:lang w:val="en-US"/>
        </w:rPr>
        <w:t xml:space="preserve"> </w:t>
      </w:r>
      <w:r w:rsidR="00505E47" w:rsidRPr="00036E09">
        <w:rPr>
          <w:b/>
          <w:lang w:val="en-US"/>
        </w:rPr>
        <w:t>the status and rights of national, ethnic and linguistic minorities</w:t>
      </w:r>
      <w:r w:rsidR="003726E4">
        <w:rPr>
          <w:b/>
          <w:lang w:val="en-US"/>
        </w:rPr>
        <w:t>, including by adopting a comprehensive law,</w:t>
      </w:r>
      <w:r w:rsidR="00505E47" w:rsidRPr="00036E09">
        <w:rPr>
          <w:b/>
          <w:lang w:val="en-US"/>
        </w:rPr>
        <w:t xml:space="preserve"> </w:t>
      </w:r>
      <w:r w:rsidRPr="00036E09">
        <w:rPr>
          <w:b/>
          <w:lang w:val="en-US"/>
        </w:rPr>
        <w:t>so as</w:t>
      </w:r>
      <w:r w:rsidRPr="004F5DD5">
        <w:rPr>
          <w:b/>
          <w:lang w:val="en-US"/>
        </w:rPr>
        <w:t xml:space="preserve"> to ensure</w:t>
      </w:r>
      <w:r w:rsidRPr="00EA1FC3">
        <w:rPr>
          <w:b/>
          <w:lang w:val="en-US"/>
        </w:rPr>
        <w:t xml:space="preserve"> the protection and promotion of economic, social and cultural rights</w:t>
      </w:r>
      <w:r w:rsidR="003472FF">
        <w:rPr>
          <w:b/>
          <w:lang w:val="en-US"/>
        </w:rPr>
        <w:t xml:space="preserve"> for all minorities</w:t>
      </w:r>
      <w:r w:rsidRPr="00EA1FC3">
        <w:rPr>
          <w:b/>
          <w:lang w:val="en-US"/>
        </w:rPr>
        <w:t xml:space="preserve">. In particular, the Committee recommends that an adequate status </w:t>
      </w:r>
      <w:r w:rsidR="00553955">
        <w:rPr>
          <w:b/>
          <w:lang w:val="en-US"/>
        </w:rPr>
        <w:t>be</w:t>
      </w:r>
      <w:r w:rsidRPr="00EA1FC3">
        <w:rPr>
          <w:b/>
          <w:lang w:val="en-US"/>
        </w:rPr>
        <w:t xml:space="preserve"> granted to minority languages. For the implementation of this recommendation, the Committee draws the attention of the State party to its general comment No. 21</w:t>
      </w:r>
      <w:r w:rsidR="00B4573C">
        <w:rPr>
          <w:b/>
          <w:lang w:val="en-US"/>
        </w:rPr>
        <w:t xml:space="preserve"> (2009)</w:t>
      </w:r>
      <w:r w:rsidRPr="00EA1FC3">
        <w:rPr>
          <w:b/>
          <w:lang w:val="en-US"/>
        </w:rPr>
        <w:t xml:space="preserve"> on the right to everyone to take part in cultural life. The Committee also requests the State party to include in its next periodic report information on the share of the p</w:t>
      </w:r>
      <w:r w:rsidRPr="00035E91">
        <w:rPr>
          <w:b/>
          <w:lang w:val="en-US"/>
        </w:rPr>
        <w:t>ublic budget invested in the prom</w:t>
      </w:r>
      <w:r w:rsidRPr="00EA1FC3">
        <w:rPr>
          <w:b/>
          <w:lang w:val="en-US"/>
        </w:rPr>
        <w:t>otion of the culture of minorities.</w:t>
      </w:r>
    </w:p>
    <w:p w:rsidR="00141DB2" w:rsidRPr="00141DB2" w:rsidRDefault="00033BC6" w:rsidP="00033BC6">
      <w:pPr>
        <w:pStyle w:val="SingleTxtG"/>
        <w:tabs>
          <w:tab w:val="left" w:pos="1560"/>
          <w:tab w:val="num" w:pos="4608"/>
        </w:tabs>
        <w:ind w:left="1200" w:hanging="6"/>
        <w:rPr>
          <w:lang w:val="en-US"/>
        </w:rPr>
      </w:pPr>
      <w:r w:rsidRPr="00141DB2">
        <w:rPr>
          <w:lang w:val="en-US"/>
        </w:rPr>
        <w:t>31.</w:t>
      </w:r>
      <w:r w:rsidRPr="00141DB2">
        <w:rPr>
          <w:lang w:val="en-US"/>
        </w:rPr>
        <w:tab/>
      </w:r>
      <w:r w:rsidR="00141DB2" w:rsidRPr="00141DB2">
        <w:rPr>
          <w:lang w:val="en-US"/>
        </w:rPr>
        <w:t xml:space="preserve">The Committee is concerned that some </w:t>
      </w:r>
      <w:r w:rsidR="003472FF">
        <w:rPr>
          <w:lang w:val="en-US"/>
        </w:rPr>
        <w:t>section</w:t>
      </w:r>
      <w:r w:rsidR="00141DB2" w:rsidRPr="00141DB2">
        <w:rPr>
          <w:lang w:val="en-US"/>
        </w:rPr>
        <w:t>s of the population</w:t>
      </w:r>
      <w:r w:rsidR="003472FF">
        <w:rPr>
          <w:lang w:val="en-US"/>
        </w:rPr>
        <w:t>, in particular disadvantaged and marginalized individuals and groups,</w:t>
      </w:r>
      <w:r w:rsidR="00141DB2" w:rsidRPr="00141DB2">
        <w:rPr>
          <w:lang w:val="en-US"/>
        </w:rPr>
        <w:t xml:space="preserve"> do not participate in cultural activities due to limited accessibility and affordability. (art. 15)</w:t>
      </w:r>
    </w:p>
    <w:p w:rsidR="00141DB2" w:rsidRPr="00EA1FC3" w:rsidRDefault="00141DB2" w:rsidP="00033BC6">
      <w:pPr>
        <w:pStyle w:val="SingleTxtG"/>
        <w:tabs>
          <w:tab w:val="left" w:pos="1560"/>
          <w:tab w:val="num" w:pos="4608"/>
        </w:tabs>
        <w:ind w:left="1200" w:hanging="6"/>
        <w:rPr>
          <w:b/>
          <w:lang w:val="en-US"/>
        </w:rPr>
      </w:pPr>
      <w:r w:rsidRPr="00033BC6">
        <w:rPr>
          <w:b/>
          <w:bCs/>
          <w:lang w:val="en-US"/>
        </w:rPr>
        <w:t xml:space="preserve">The </w:t>
      </w:r>
      <w:r w:rsidRPr="00EA1FC3">
        <w:rPr>
          <w:b/>
          <w:lang w:val="en-US"/>
        </w:rPr>
        <w:t>Committee encourages the State party to take measures to</w:t>
      </w:r>
      <w:r w:rsidR="003472FF">
        <w:rPr>
          <w:b/>
          <w:lang w:val="en-US"/>
        </w:rPr>
        <w:t xml:space="preserve"> promote the</w:t>
      </w:r>
      <w:r w:rsidRPr="00EA1FC3">
        <w:rPr>
          <w:b/>
          <w:lang w:val="en-US"/>
        </w:rPr>
        <w:t xml:space="preserve"> realiz</w:t>
      </w:r>
      <w:r w:rsidR="003472FF">
        <w:rPr>
          <w:b/>
          <w:lang w:val="en-US"/>
        </w:rPr>
        <w:t>ation of</w:t>
      </w:r>
      <w:r w:rsidRPr="00EA1FC3">
        <w:rPr>
          <w:b/>
          <w:lang w:val="en-US"/>
        </w:rPr>
        <w:t xml:space="preserve"> the right of everyone to take part in cultural life, including</w:t>
      </w:r>
      <w:r w:rsidR="004F5DD5">
        <w:rPr>
          <w:b/>
          <w:lang w:val="en-US"/>
        </w:rPr>
        <w:t xml:space="preserve"> by</w:t>
      </w:r>
      <w:r w:rsidRPr="00EA1FC3">
        <w:rPr>
          <w:b/>
          <w:lang w:val="en-US"/>
        </w:rPr>
        <w:t xml:space="preserve"> ensuring that access to cultural goods is facilitated</w:t>
      </w:r>
      <w:r w:rsidR="003472FF">
        <w:rPr>
          <w:b/>
          <w:lang w:val="en-US"/>
        </w:rPr>
        <w:t>, particularly</w:t>
      </w:r>
      <w:r w:rsidRPr="00EA1FC3">
        <w:rPr>
          <w:b/>
          <w:lang w:val="en-US"/>
        </w:rPr>
        <w:t xml:space="preserve"> for disadvantaged and marginalized </w:t>
      </w:r>
      <w:r w:rsidR="003472FF">
        <w:rPr>
          <w:b/>
          <w:lang w:val="en-US"/>
        </w:rPr>
        <w:t xml:space="preserve">individuals and </w:t>
      </w:r>
      <w:r w:rsidRPr="00EA1FC3">
        <w:rPr>
          <w:b/>
          <w:lang w:val="en-US"/>
        </w:rPr>
        <w:t>groups.</w:t>
      </w:r>
    </w:p>
    <w:p w:rsidR="00141DB2" w:rsidRPr="003D6390" w:rsidRDefault="00033BC6" w:rsidP="00033BC6">
      <w:pPr>
        <w:pStyle w:val="SingleTxtG"/>
        <w:tabs>
          <w:tab w:val="left" w:pos="1560"/>
          <w:tab w:val="num" w:pos="4608"/>
        </w:tabs>
        <w:ind w:left="1200" w:hanging="6"/>
        <w:rPr>
          <w:b/>
          <w:lang w:val="en-US"/>
        </w:rPr>
      </w:pPr>
      <w:r w:rsidRPr="003D6390">
        <w:rPr>
          <w:lang w:val="en-US"/>
        </w:rPr>
        <w:t>32.</w:t>
      </w:r>
      <w:r w:rsidRPr="003D6390">
        <w:rPr>
          <w:lang w:val="en-US"/>
        </w:rPr>
        <w:tab/>
      </w:r>
      <w:r w:rsidR="00141DB2" w:rsidRPr="00036E09">
        <w:rPr>
          <w:lang w:val="en-US"/>
        </w:rPr>
        <w:t xml:space="preserve"> </w:t>
      </w:r>
      <w:r w:rsidR="00141DB2" w:rsidRPr="003D6390">
        <w:rPr>
          <w:b/>
          <w:lang w:val="en-US"/>
        </w:rPr>
        <w:t xml:space="preserve">The Committee requests the State party to include in its next periodic report </w:t>
      </w:r>
      <w:r w:rsidR="00114015" w:rsidRPr="003D6390">
        <w:rPr>
          <w:b/>
          <w:lang w:val="en-US"/>
        </w:rPr>
        <w:t xml:space="preserve">more detailed </w:t>
      </w:r>
      <w:r w:rsidR="00141DB2" w:rsidRPr="003D6390">
        <w:rPr>
          <w:b/>
          <w:lang w:val="en-US"/>
        </w:rPr>
        <w:t>information on:</w:t>
      </w:r>
    </w:p>
    <w:p w:rsidR="00141DB2" w:rsidRPr="003D6390" w:rsidRDefault="00033BC6" w:rsidP="00033BC6">
      <w:pPr>
        <w:pStyle w:val="SingleTxtG"/>
        <w:tabs>
          <w:tab w:val="left" w:pos="2064"/>
        </w:tabs>
        <w:ind w:left="2280" w:hanging="360"/>
        <w:rPr>
          <w:b/>
          <w:lang w:val="en-US"/>
        </w:rPr>
      </w:pPr>
      <w:r w:rsidRPr="003D6390">
        <w:rPr>
          <w:b/>
          <w:lang w:val="en-US"/>
        </w:rPr>
        <w:t>(a)</w:t>
      </w:r>
      <w:r w:rsidRPr="003D6390">
        <w:rPr>
          <w:b/>
          <w:lang w:val="en-US"/>
        </w:rPr>
        <w:tab/>
      </w:r>
      <w:r w:rsidR="00775F72" w:rsidRPr="003D6390">
        <w:rPr>
          <w:b/>
          <w:lang w:val="en-US"/>
        </w:rPr>
        <w:t xml:space="preserve">The </w:t>
      </w:r>
      <w:r w:rsidR="00141DB2" w:rsidRPr="003D6390">
        <w:rPr>
          <w:b/>
          <w:lang w:val="en-US"/>
        </w:rPr>
        <w:t xml:space="preserve">impact of the implementation of plans </w:t>
      </w:r>
      <w:r w:rsidR="00775F72" w:rsidRPr="003D6390">
        <w:rPr>
          <w:b/>
          <w:lang w:val="en-US"/>
        </w:rPr>
        <w:t xml:space="preserve">on </w:t>
      </w:r>
      <w:r w:rsidR="00141DB2" w:rsidRPr="003D6390">
        <w:rPr>
          <w:b/>
          <w:lang w:val="en-US"/>
        </w:rPr>
        <w:t>the improvement of the quality of water;</w:t>
      </w:r>
    </w:p>
    <w:p w:rsidR="00141DB2" w:rsidRPr="003D6390" w:rsidRDefault="00033BC6" w:rsidP="00033BC6">
      <w:pPr>
        <w:pStyle w:val="SingleTxtG"/>
        <w:tabs>
          <w:tab w:val="left" w:pos="2064"/>
        </w:tabs>
        <w:ind w:left="2280" w:hanging="360"/>
        <w:rPr>
          <w:b/>
          <w:lang w:val="en-US"/>
        </w:rPr>
      </w:pPr>
      <w:r w:rsidRPr="003D6390">
        <w:rPr>
          <w:b/>
          <w:lang w:val="en-US"/>
        </w:rPr>
        <w:t>(b)</w:t>
      </w:r>
      <w:r w:rsidRPr="003D6390">
        <w:rPr>
          <w:b/>
          <w:lang w:val="en-US"/>
        </w:rPr>
        <w:tab/>
      </w:r>
      <w:r w:rsidR="00775F72" w:rsidRPr="003D6390">
        <w:rPr>
          <w:b/>
          <w:lang w:val="en-US"/>
        </w:rPr>
        <w:t xml:space="preserve">The </w:t>
      </w:r>
      <w:r w:rsidR="00141DB2" w:rsidRPr="003D6390">
        <w:rPr>
          <w:b/>
          <w:lang w:val="en-US"/>
        </w:rPr>
        <w:t>coverage of health care for older persons, particularly older women, including the services provided to them;</w:t>
      </w:r>
    </w:p>
    <w:p w:rsidR="00141DB2" w:rsidRPr="003D6390" w:rsidRDefault="00033BC6" w:rsidP="00033BC6">
      <w:pPr>
        <w:pStyle w:val="SingleTxtG"/>
        <w:tabs>
          <w:tab w:val="left" w:pos="2064"/>
        </w:tabs>
        <w:ind w:left="2280" w:hanging="360"/>
        <w:rPr>
          <w:b/>
          <w:lang w:val="en-US"/>
        </w:rPr>
      </w:pPr>
      <w:r w:rsidRPr="003D6390">
        <w:rPr>
          <w:b/>
          <w:lang w:val="en-US"/>
        </w:rPr>
        <w:t>(c)</w:t>
      </w:r>
      <w:r w:rsidRPr="003D6390">
        <w:rPr>
          <w:b/>
          <w:lang w:val="en-US"/>
        </w:rPr>
        <w:tab/>
      </w:r>
      <w:r w:rsidR="00775F72" w:rsidRPr="003D6390">
        <w:rPr>
          <w:b/>
          <w:lang w:val="en-US"/>
        </w:rPr>
        <w:t xml:space="preserve">The </w:t>
      </w:r>
      <w:r w:rsidR="00141DB2" w:rsidRPr="003D6390">
        <w:rPr>
          <w:b/>
          <w:lang w:val="en-US"/>
        </w:rPr>
        <w:t>care of persons with multi-resistant forms of tuberculosis, as well as their number;</w:t>
      </w:r>
    </w:p>
    <w:p w:rsidR="00141DB2" w:rsidRPr="003D6390" w:rsidRDefault="00033BC6" w:rsidP="00033BC6">
      <w:pPr>
        <w:pStyle w:val="SingleTxtG"/>
        <w:tabs>
          <w:tab w:val="left" w:pos="2064"/>
        </w:tabs>
        <w:ind w:left="2280" w:hanging="360"/>
        <w:rPr>
          <w:b/>
          <w:lang w:val="en-US"/>
        </w:rPr>
      </w:pPr>
      <w:r w:rsidRPr="003D6390">
        <w:rPr>
          <w:b/>
          <w:lang w:val="en-US"/>
        </w:rPr>
        <w:t>(d)</w:t>
      </w:r>
      <w:r w:rsidRPr="003D6390">
        <w:rPr>
          <w:b/>
          <w:lang w:val="en-US"/>
        </w:rPr>
        <w:tab/>
      </w:r>
      <w:r w:rsidR="00775F72" w:rsidRPr="003D6390">
        <w:rPr>
          <w:b/>
          <w:lang w:val="en-US"/>
        </w:rPr>
        <w:t xml:space="preserve">The </w:t>
      </w:r>
      <w:r w:rsidR="00141DB2" w:rsidRPr="003D6390">
        <w:rPr>
          <w:b/>
          <w:lang w:val="en-US"/>
        </w:rPr>
        <w:t xml:space="preserve">extent of trafficking in persons in and from the State party, and the impact of measures taken, including </w:t>
      </w:r>
      <w:r w:rsidR="00657426" w:rsidRPr="003D6390">
        <w:rPr>
          <w:b/>
          <w:lang w:val="en-US"/>
        </w:rPr>
        <w:t xml:space="preserve">information </w:t>
      </w:r>
      <w:r w:rsidR="00141DB2" w:rsidRPr="003D6390">
        <w:rPr>
          <w:b/>
          <w:lang w:val="en-US"/>
        </w:rPr>
        <w:t>o</w:t>
      </w:r>
      <w:r w:rsidR="003472FF" w:rsidRPr="003D6390">
        <w:rPr>
          <w:b/>
          <w:lang w:val="en-US"/>
        </w:rPr>
        <w:t>n</w:t>
      </w:r>
      <w:r w:rsidR="00141DB2" w:rsidRPr="003D6390">
        <w:rPr>
          <w:b/>
          <w:lang w:val="en-US"/>
        </w:rPr>
        <w:t xml:space="preserve"> the enforcement of the </w:t>
      </w:r>
      <w:r w:rsidR="00657426" w:rsidRPr="003D6390">
        <w:rPr>
          <w:b/>
          <w:lang w:val="en-US"/>
        </w:rPr>
        <w:t>legislation on</w:t>
      </w:r>
      <w:r w:rsidR="00141DB2" w:rsidRPr="003D6390">
        <w:rPr>
          <w:b/>
          <w:lang w:val="en-US"/>
        </w:rPr>
        <w:t xml:space="preserve"> trafficking;</w:t>
      </w:r>
    </w:p>
    <w:p w:rsidR="00141DB2" w:rsidRPr="003D6390" w:rsidRDefault="00033BC6" w:rsidP="00033BC6">
      <w:pPr>
        <w:pStyle w:val="SingleTxtG"/>
        <w:tabs>
          <w:tab w:val="left" w:pos="2064"/>
        </w:tabs>
        <w:ind w:left="2280" w:hanging="360"/>
        <w:rPr>
          <w:b/>
          <w:lang w:val="en-US"/>
        </w:rPr>
      </w:pPr>
      <w:r w:rsidRPr="003D6390">
        <w:rPr>
          <w:b/>
          <w:lang w:val="en-US"/>
        </w:rPr>
        <w:t>(e)</w:t>
      </w:r>
      <w:r w:rsidRPr="003D6390">
        <w:rPr>
          <w:b/>
          <w:lang w:val="en-US"/>
        </w:rPr>
        <w:tab/>
      </w:r>
      <w:r w:rsidR="00775F72" w:rsidRPr="003D6390">
        <w:rPr>
          <w:b/>
          <w:lang w:val="en-US"/>
        </w:rPr>
        <w:t xml:space="preserve">The </w:t>
      </w:r>
      <w:r w:rsidR="00141DB2" w:rsidRPr="003D6390">
        <w:rPr>
          <w:b/>
          <w:lang w:val="en-US"/>
        </w:rPr>
        <w:t>impact of measures taken to address violence in school;</w:t>
      </w:r>
    </w:p>
    <w:p w:rsidR="00141DB2" w:rsidRPr="003D6390" w:rsidRDefault="00033BC6" w:rsidP="00033BC6">
      <w:pPr>
        <w:pStyle w:val="SingleTxtG"/>
        <w:tabs>
          <w:tab w:val="left" w:pos="2064"/>
        </w:tabs>
        <w:ind w:left="2280" w:hanging="360"/>
        <w:rPr>
          <w:b/>
          <w:lang w:val="en-US"/>
        </w:rPr>
      </w:pPr>
      <w:r w:rsidRPr="003D6390">
        <w:rPr>
          <w:b/>
          <w:lang w:val="en-US"/>
        </w:rPr>
        <w:t>(f)</w:t>
      </w:r>
      <w:r w:rsidRPr="003D6390">
        <w:rPr>
          <w:b/>
          <w:lang w:val="en-US"/>
        </w:rPr>
        <w:tab/>
      </w:r>
      <w:r w:rsidR="00775F72" w:rsidRPr="003D6390">
        <w:rPr>
          <w:b/>
          <w:lang w:val="en-US"/>
        </w:rPr>
        <w:t xml:space="preserve">The </w:t>
      </w:r>
      <w:r w:rsidR="00141DB2" w:rsidRPr="003D6390">
        <w:rPr>
          <w:b/>
          <w:lang w:val="en-US"/>
        </w:rPr>
        <w:t xml:space="preserve">enrolment of non-Estonian pupils and students at the various levels of education; </w:t>
      </w:r>
    </w:p>
    <w:p w:rsidR="00141DB2" w:rsidRPr="00775F72" w:rsidRDefault="00033BC6" w:rsidP="00033BC6">
      <w:pPr>
        <w:pStyle w:val="SingleTxtG"/>
        <w:tabs>
          <w:tab w:val="left" w:pos="2064"/>
        </w:tabs>
        <w:ind w:left="2280" w:hanging="360"/>
        <w:rPr>
          <w:bCs/>
          <w:lang w:val="en-US"/>
        </w:rPr>
      </w:pPr>
      <w:r w:rsidRPr="00775F72">
        <w:rPr>
          <w:bCs/>
          <w:lang w:val="en-US"/>
        </w:rPr>
        <w:t>(g)</w:t>
      </w:r>
      <w:r w:rsidRPr="00775F72">
        <w:rPr>
          <w:bCs/>
          <w:lang w:val="en-US"/>
        </w:rPr>
        <w:tab/>
      </w:r>
      <w:r w:rsidR="00775F72" w:rsidRPr="003D6390">
        <w:rPr>
          <w:b/>
          <w:lang w:val="en-US"/>
        </w:rPr>
        <w:t>The</w:t>
      </w:r>
      <w:r w:rsidR="00141DB2" w:rsidRPr="003D6390">
        <w:rPr>
          <w:b/>
          <w:lang w:val="en-US"/>
        </w:rPr>
        <w:t xml:space="preserve"> measures taken to ensure that the population benefit</w:t>
      </w:r>
      <w:r w:rsidR="005E7D71" w:rsidRPr="003D6390">
        <w:rPr>
          <w:b/>
          <w:lang w:val="en-US"/>
        </w:rPr>
        <w:t>s</w:t>
      </w:r>
      <w:r w:rsidR="00141DB2" w:rsidRPr="003D6390">
        <w:rPr>
          <w:b/>
          <w:lang w:val="en-US"/>
        </w:rPr>
        <w:t>, without discrimination, from scientific progress and its application.</w:t>
      </w:r>
    </w:p>
    <w:p w:rsidR="00141DB2" w:rsidRPr="003D6390" w:rsidRDefault="00141DB2" w:rsidP="001D4B70">
      <w:pPr>
        <w:pStyle w:val="SingleTxtG"/>
        <w:tabs>
          <w:tab w:val="left" w:pos="1560"/>
          <w:tab w:val="num" w:pos="4608"/>
        </w:tabs>
        <w:ind w:left="1200" w:hanging="6"/>
        <w:rPr>
          <w:b/>
          <w:lang w:val="en-US"/>
        </w:rPr>
      </w:pPr>
      <w:r w:rsidRPr="001D4B70">
        <w:rPr>
          <w:b/>
          <w:bCs/>
          <w:lang w:val="en-US"/>
        </w:rPr>
        <w:t>The Committee further requests that the State party provide the relevant</w:t>
      </w:r>
      <w:r w:rsidRPr="003D6390">
        <w:rPr>
          <w:b/>
          <w:lang w:val="en-US"/>
        </w:rPr>
        <w:t xml:space="preserve"> data for (a) </w:t>
      </w:r>
      <w:r w:rsidR="003472FF" w:rsidRPr="003D6390">
        <w:rPr>
          <w:b/>
          <w:lang w:val="en-US"/>
        </w:rPr>
        <w:t>to</w:t>
      </w:r>
      <w:r w:rsidRPr="003D6390">
        <w:rPr>
          <w:b/>
          <w:lang w:val="en-US"/>
        </w:rPr>
        <w:t xml:space="preserve"> (f) on a disaggregated basis by year, sex, and urban/rural area, during the reporting cycle.</w:t>
      </w:r>
    </w:p>
    <w:p w:rsidR="00141DB2" w:rsidRPr="00305BB5" w:rsidRDefault="00033BC6" w:rsidP="00033BC6">
      <w:pPr>
        <w:pStyle w:val="SingleTxtG"/>
        <w:tabs>
          <w:tab w:val="left" w:pos="1560"/>
          <w:tab w:val="num" w:pos="4608"/>
        </w:tabs>
        <w:ind w:left="1200" w:hanging="6"/>
        <w:rPr>
          <w:bCs/>
          <w:lang w:val="en-US"/>
        </w:rPr>
      </w:pPr>
      <w:r w:rsidRPr="00305BB5">
        <w:rPr>
          <w:bCs/>
          <w:lang w:val="en-US"/>
        </w:rPr>
        <w:t>33.</w:t>
      </w:r>
      <w:r w:rsidRPr="00305BB5">
        <w:rPr>
          <w:bCs/>
          <w:lang w:val="en-US"/>
        </w:rPr>
        <w:tab/>
      </w:r>
      <w:r w:rsidR="00141DB2" w:rsidRPr="00305BB5">
        <w:rPr>
          <w:rFonts w:eastAsia="SimSun"/>
          <w:bCs/>
          <w:lang w:eastAsia="zh-CN"/>
        </w:rPr>
        <w:t xml:space="preserve">The Committee </w:t>
      </w:r>
      <w:r w:rsidR="00141DB2" w:rsidRPr="00305BB5">
        <w:rPr>
          <w:bCs/>
          <w:lang w:val="en-US"/>
        </w:rPr>
        <w:t xml:space="preserve">encourages the State party to increase the level of its contribution </w:t>
      </w:r>
      <w:r w:rsidR="00141DB2" w:rsidRPr="00305BB5">
        <w:rPr>
          <w:bCs/>
        </w:rPr>
        <w:t>of</w:t>
      </w:r>
      <w:r w:rsidR="00141DB2" w:rsidRPr="00305BB5">
        <w:rPr>
          <w:bCs/>
          <w:lang w:val="en-US"/>
        </w:rPr>
        <w:t xml:space="preserve"> official development assistance, which stood at 0.1 per cent of gross domestic product in 2010, and to </w:t>
      </w:r>
      <w:r w:rsidR="00114015" w:rsidRPr="00305BB5">
        <w:rPr>
          <w:bCs/>
          <w:lang w:val="en-US"/>
        </w:rPr>
        <w:t xml:space="preserve">establish </w:t>
      </w:r>
      <w:r w:rsidR="00141DB2" w:rsidRPr="00305BB5">
        <w:rPr>
          <w:bCs/>
          <w:lang w:val="en-US"/>
        </w:rPr>
        <w:t>a timeline for reaching the international standard of 0.7 per cent of gross national income.</w:t>
      </w:r>
    </w:p>
    <w:p w:rsidR="00141DB2" w:rsidRPr="003D6390" w:rsidRDefault="00033BC6" w:rsidP="00033BC6">
      <w:pPr>
        <w:pStyle w:val="SingleTxtG"/>
        <w:tabs>
          <w:tab w:val="left" w:pos="1560"/>
          <w:tab w:val="num" w:pos="4608"/>
        </w:tabs>
        <w:ind w:left="1200" w:hanging="6"/>
        <w:rPr>
          <w:b/>
          <w:lang w:val="en-US"/>
        </w:rPr>
      </w:pPr>
      <w:r w:rsidRPr="003D6390">
        <w:rPr>
          <w:lang w:val="en-US"/>
        </w:rPr>
        <w:t>34.</w:t>
      </w:r>
      <w:r w:rsidRPr="003D6390">
        <w:rPr>
          <w:lang w:val="en-US"/>
        </w:rPr>
        <w:tab/>
      </w:r>
      <w:r w:rsidR="00141DB2" w:rsidRPr="003D6390">
        <w:rPr>
          <w:b/>
          <w:lang w:val="en-US"/>
        </w:rPr>
        <w:t>The Committee encourages the State party to consider ratifying the Optional Protocol to the International Covenant on Economic, Social and Cultural Rights.</w:t>
      </w:r>
    </w:p>
    <w:p w:rsidR="00141DB2" w:rsidRPr="003D6390" w:rsidRDefault="00033BC6" w:rsidP="00033BC6">
      <w:pPr>
        <w:pStyle w:val="SingleTxtG"/>
        <w:tabs>
          <w:tab w:val="left" w:pos="1560"/>
          <w:tab w:val="num" w:pos="4608"/>
        </w:tabs>
        <w:ind w:left="1200" w:hanging="6"/>
        <w:rPr>
          <w:b/>
          <w:lang w:val="en-US"/>
        </w:rPr>
      </w:pPr>
      <w:r w:rsidRPr="003D6390">
        <w:rPr>
          <w:lang w:val="en-US"/>
        </w:rPr>
        <w:t>35.</w:t>
      </w:r>
      <w:r w:rsidRPr="003D6390">
        <w:rPr>
          <w:lang w:val="en-US"/>
        </w:rPr>
        <w:tab/>
      </w:r>
      <w:r w:rsidR="00141DB2" w:rsidRPr="003D6390">
        <w:rPr>
          <w:b/>
          <w:lang w:val="en-US"/>
        </w:rPr>
        <w:t xml:space="preserve">The Committee invites the State party to expedite the ratification of the Convention on the Rights of Persons with Disabilities. The Committee also encourages the State party to consider ratifying </w:t>
      </w:r>
      <w:r w:rsidR="005E7D71" w:rsidRPr="003D6390">
        <w:rPr>
          <w:b/>
          <w:lang w:val="en-US"/>
        </w:rPr>
        <w:t xml:space="preserve">the </w:t>
      </w:r>
      <w:r w:rsidR="00141DB2" w:rsidRPr="003D6390">
        <w:rPr>
          <w:b/>
          <w:lang w:val="en-US"/>
        </w:rPr>
        <w:t xml:space="preserve">Optional Protocol to the Convention on the Rights of the Child on the involvement of children in armed </w:t>
      </w:r>
      <w:r w:rsidR="00775F72" w:rsidRPr="003D6390">
        <w:rPr>
          <w:b/>
          <w:lang w:val="en-US"/>
        </w:rPr>
        <w:t>conflict</w:t>
      </w:r>
      <w:r w:rsidR="00141DB2" w:rsidRPr="003D6390">
        <w:rPr>
          <w:b/>
          <w:lang w:val="en-US"/>
        </w:rPr>
        <w:t xml:space="preserve">, and signing and ratifying the Convention on the Protection of the Rights of all Migrant Workers and Members of their Families, the International Convention for the Protection of all Persons from Enforced Disappearance, and the Optional Protocol to the Convention on the Rights of Persons with Disabilities. </w:t>
      </w:r>
    </w:p>
    <w:p w:rsidR="00141DB2" w:rsidRPr="003D6390" w:rsidRDefault="00033BC6" w:rsidP="00033BC6">
      <w:pPr>
        <w:pStyle w:val="SingleTxtG"/>
        <w:tabs>
          <w:tab w:val="left" w:pos="1560"/>
          <w:tab w:val="num" w:pos="4608"/>
        </w:tabs>
        <w:ind w:left="1200" w:hanging="6"/>
        <w:rPr>
          <w:b/>
          <w:lang w:val="en-US"/>
        </w:rPr>
      </w:pPr>
      <w:r w:rsidRPr="003D6390">
        <w:rPr>
          <w:lang w:val="en-US"/>
        </w:rPr>
        <w:t>36.</w:t>
      </w:r>
      <w:r w:rsidRPr="003D6390">
        <w:rPr>
          <w:lang w:val="en-US"/>
        </w:rPr>
        <w:tab/>
      </w:r>
      <w:r w:rsidR="00141DB2" w:rsidRPr="003D6390">
        <w:rPr>
          <w:b/>
          <w:lang w:val="en-US"/>
        </w:rPr>
        <w:t xml:space="preserve">The Committee requests the State party to disseminate the present </w:t>
      </w:r>
      <w:r w:rsidR="00141DB2" w:rsidRPr="003D6390">
        <w:rPr>
          <w:b/>
        </w:rPr>
        <w:t>concluding</w:t>
      </w:r>
      <w:r w:rsidR="00141DB2" w:rsidRPr="003D6390">
        <w:rPr>
          <w:b/>
          <w:lang w:val="en-US"/>
        </w:rPr>
        <w:t xml:space="preserve"> observations widely among all levels of society, particularly among State officials, the judiciary and civil society organizations, to translate and publicize them as far as possible and to inform the Committee on the steps taken to implement them in its next periodic report. It also encourages the State party to </w:t>
      </w:r>
      <w:r w:rsidR="005E7D71" w:rsidRPr="003D6390">
        <w:rPr>
          <w:b/>
          <w:lang w:val="en-US"/>
        </w:rPr>
        <w:t xml:space="preserve">continue to </w:t>
      </w:r>
      <w:r w:rsidR="00141DB2" w:rsidRPr="003D6390">
        <w:rPr>
          <w:b/>
          <w:lang w:val="en-US"/>
        </w:rPr>
        <w:t>engage with non-governmental organizations and other members of civil society in the process of discussion at the national level prior to the submission of its next periodic report.</w:t>
      </w:r>
    </w:p>
    <w:p w:rsidR="00141DB2" w:rsidRPr="003D6390" w:rsidRDefault="00033BC6" w:rsidP="00033BC6">
      <w:pPr>
        <w:pStyle w:val="SingleTxtG"/>
        <w:tabs>
          <w:tab w:val="left" w:pos="1560"/>
          <w:tab w:val="num" w:pos="4608"/>
        </w:tabs>
        <w:ind w:left="1200" w:hanging="6"/>
        <w:rPr>
          <w:b/>
          <w:lang w:val="en-US"/>
        </w:rPr>
      </w:pPr>
      <w:r w:rsidRPr="003D6390">
        <w:rPr>
          <w:lang w:val="en-US"/>
        </w:rPr>
        <w:t>37.</w:t>
      </w:r>
      <w:r w:rsidRPr="003D6390">
        <w:rPr>
          <w:lang w:val="en-US"/>
        </w:rPr>
        <w:tab/>
      </w:r>
      <w:r w:rsidR="00141DB2" w:rsidRPr="003D6390">
        <w:rPr>
          <w:b/>
          <w:lang w:val="en-US"/>
        </w:rPr>
        <w:t>The Committee invites the State party to update its core document in accordance with the requirements of the common core document in the harmonized guidelines on reporting (HRI/GEN/2/Rev.6).</w:t>
      </w:r>
    </w:p>
    <w:p w:rsidR="00141DB2" w:rsidRPr="003D6390" w:rsidRDefault="00033BC6" w:rsidP="00033BC6">
      <w:pPr>
        <w:pStyle w:val="SingleTxtG"/>
        <w:tabs>
          <w:tab w:val="left" w:pos="1560"/>
          <w:tab w:val="num" w:pos="4608"/>
        </w:tabs>
        <w:ind w:left="1200" w:hanging="6"/>
        <w:rPr>
          <w:b/>
          <w:lang w:val="en-US"/>
        </w:rPr>
      </w:pPr>
      <w:r w:rsidRPr="003D6390">
        <w:rPr>
          <w:lang w:val="en-US"/>
        </w:rPr>
        <w:t>38.</w:t>
      </w:r>
      <w:r w:rsidRPr="003D6390">
        <w:rPr>
          <w:lang w:val="en-US"/>
        </w:rPr>
        <w:tab/>
      </w:r>
      <w:r w:rsidR="00141DB2" w:rsidRPr="003D6390">
        <w:rPr>
          <w:b/>
          <w:lang w:val="en-US"/>
        </w:rPr>
        <w:t xml:space="preserve">The Committee requests the State party to submit its third periodic </w:t>
      </w:r>
      <w:r w:rsidR="00141DB2" w:rsidRPr="003D6390">
        <w:rPr>
          <w:b/>
        </w:rPr>
        <w:t>report</w:t>
      </w:r>
      <w:r w:rsidR="00141DB2" w:rsidRPr="003D6390">
        <w:rPr>
          <w:b/>
          <w:lang w:val="en-US"/>
        </w:rPr>
        <w:t>, prepared in accordance with the revised reporting guidelines of the Committee adopted in 2008 (E/C.12/2008/2), by</w:t>
      </w:r>
      <w:r w:rsidR="009833BA" w:rsidRPr="003D6390">
        <w:rPr>
          <w:b/>
          <w:lang w:val="en-US"/>
        </w:rPr>
        <w:t xml:space="preserve"> </w:t>
      </w:r>
      <w:r w:rsidR="004F5DD5" w:rsidRPr="003D6390">
        <w:rPr>
          <w:b/>
          <w:lang w:val="en-US"/>
        </w:rPr>
        <w:t xml:space="preserve">2 December </w:t>
      </w:r>
      <w:r w:rsidR="009833BA" w:rsidRPr="003D6390">
        <w:rPr>
          <w:b/>
          <w:lang w:val="en-US"/>
        </w:rPr>
        <w:t>201</w:t>
      </w:r>
      <w:r w:rsidR="004F5DD5" w:rsidRPr="003D6390">
        <w:rPr>
          <w:b/>
          <w:lang w:val="en-US"/>
        </w:rPr>
        <w:t>6</w:t>
      </w:r>
      <w:r w:rsidR="00141DB2" w:rsidRPr="003D6390">
        <w:rPr>
          <w:b/>
          <w:lang w:val="en-US"/>
        </w:rPr>
        <w:t>.</w:t>
      </w:r>
    </w:p>
    <w:p w:rsidR="001C6663" w:rsidRPr="00141DB2" w:rsidRDefault="00141DB2" w:rsidP="00141DB2">
      <w:pPr>
        <w:spacing w:before="240"/>
        <w:ind w:left="1134" w:right="1134"/>
        <w:jc w:val="center"/>
        <w:rPr>
          <w:u w:val="single"/>
        </w:rPr>
      </w:pPr>
      <w:r>
        <w:rPr>
          <w:u w:val="single"/>
        </w:rPr>
        <w:tab/>
      </w:r>
      <w:r>
        <w:rPr>
          <w:u w:val="single"/>
        </w:rPr>
        <w:tab/>
      </w:r>
      <w:r>
        <w:rPr>
          <w:u w:val="single"/>
        </w:rPr>
        <w:tab/>
      </w:r>
    </w:p>
    <w:sectPr w:rsidR="001C6663" w:rsidRPr="00141DB2" w:rsidSect="00141DB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54" w:rsidRDefault="00062654"/>
  </w:endnote>
  <w:endnote w:type="continuationSeparator" w:id="0">
    <w:p w:rsidR="00062654" w:rsidRDefault="00062654"/>
  </w:endnote>
  <w:endnote w:type="continuationNotice" w:id="1">
    <w:p w:rsidR="00062654" w:rsidRDefault="00062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5F" w:rsidRPr="00141DB2" w:rsidRDefault="0055705F" w:rsidP="00141DB2">
    <w:pPr>
      <w:pStyle w:val="Footer"/>
      <w:tabs>
        <w:tab w:val="right" w:pos="9638"/>
      </w:tabs>
    </w:pPr>
    <w:r w:rsidRPr="00141DB2">
      <w:rPr>
        <w:b/>
        <w:sz w:val="18"/>
      </w:rPr>
      <w:fldChar w:fldCharType="begin"/>
    </w:r>
    <w:r w:rsidRPr="00141DB2">
      <w:rPr>
        <w:b/>
        <w:sz w:val="18"/>
      </w:rPr>
      <w:instrText xml:space="preserve"> PAGE  \* MERGEFORMAT </w:instrText>
    </w:r>
    <w:r w:rsidRPr="00141DB2">
      <w:rPr>
        <w:b/>
        <w:sz w:val="18"/>
      </w:rPr>
      <w:fldChar w:fldCharType="separate"/>
    </w:r>
    <w:r w:rsidR="00373296">
      <w:rPr>
        <w:b/>
        <w:noProof/>
        <w:sz w:val="18"/>
      </w:rPr>
      <w:t>8</w:t>
    </w:r>
    <w:r w:rsidRPr="00141DB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5F" w:rsidRPr="00141DB2" w:rsidRDefault="0055705F" w:rsidP="00141DB2">
    <w:pPr>
      <w:pStyle w:val="Footer"/>
      <w:tabs>
        <w:tab w:val="right" w:pos="9638"/>
      </w:tabs>
      <w:jc w:val="right"/>
      <w:rPr>
        <w:b/>
        <w:sz w:val="18"/>
      </w:rPr>
    </w:pPr>
    <w:r w:rsidRPr="00141DB2">
      <w:rPr>
        <w:b/>
        <w:sz w:val="18"/>
      </w:rPr>
      <w:fldChar w:fldCharType="begin"/>
    </w:r>
    <w:r w:rsidRPr="00141DB2">
      <w:rPr>
        <w:b/>
        <w:sz w:val="18"/>
      </w:rPr>
      <w:instrText xml:space="preserve"> PAGE  \* MERGEFORMAT </w:instrText>
    </w:r>
    <w:r w:rsidRPr="00141DB2">
      <w:rPr>
        <w:b/>
        <w:sz w:val="18"/>
      </w:rPr>
      <w:fldChar w:fldCharType="separate"/>
    </w:r>
    <w:r w:rsidR="00373296">
      <w:rPr>
        <w:b/>
        <w:noProof/>
        <w:sz w:val="18"/>
      </w:rPr>
      <w:t>7</w:t>
    </w:r>
    <w:r w:rsidRPr="00141D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5F" w:rsidRPr="00141DB2" w:rsidRDefault="0055705F">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GE.11</w:t>
    </w:r>
    <w:r w:rsidR="00373296">
      <w:rPr>
        <w:sz w:val="20"/>
      </w:rPr>
      <w:t>-47802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54" w:rsidRPr="000B175B" w:rsidRDefault="00062654" w:rsidP="000B175B">
      <w:pPr>
        <w:tabs>
          <w:tab w:val="right" w:pos="2155"/>
        </w:tabs>
        <w:spacing w:after="80"/>
        <w:ind w:left="680"/>
        <w:rPr>
          <w:u w:val="single"/>
        </w:rPr>
      </w:pPr>
      <w:r>
        <w:rPr>
          <w:u w:val="single"/>
        </w:rPr>
        <w:tab/>
      </w:r>
    </w:p>
  </w:footnote>
  <w:footnote w:type="continuationSeparator" w:id="0">
    <w:p w:rsidR="00062654" w:rsidRPr="00FC68B7" w:rsidRDefault="00062654" w:rsidP="00FC68B7">
      <w:pPr>
        <w:tabs>
          <w:tab w:val="left" w:pos="2155"/>
        </w:tabs>
        <w:spacing w:after="80"/>
        <w:ind w:left="680"/>
        <w:rPr>
          <w:u w:val="single"/>
        </w:rPr>
      </w:pPr>
      <w:r>
        <w:rPr>
          <w:u w:val="single"/>
        </w:rPr>
        <w:tab/>
      </w:r>
    </w:p>
  </w:footnote>
  <w:footnote w:type="continuationNotice" w:id="1">
    <w:p w:rsidR="00062654" w:rsidRDefault="00062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5F" w:rsidRPr="00141DB2" w:rsidRDefault="0055705F">
    <w:pPr>
      <w:pStyle w:val="Header"/>
    </w:pPr>
    <w:r>
      <w:t>E/C.12/EST/CO/2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5F" w:rsidRPr="00141DB2" w:rsidRDefault="0055705F" w:rsidP="00141DB2">
    <w:pPr>
      <w:pStyle w:val="Header"/>
      <w:jc w:val="right"/>
    </w:pPr>
    <w:r>
      <w:t>E/C.12/EST/CO/2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96" w:rsidRDefault="00373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33483D"/>
    <w:multiLevelType w:val="hybridMultilevel"/>
    <w:tmpl w:val="1390D114"/>
    <w:lvl w:ilvl="0" w:tplc="E7F2C200">
      <w:start w:val="1"/>
      <w:numFmt w:val="lowerLetter"/>
      <w:lvlText w:val="(%1)"/>
      <w:lvlJc w:val="left"/>
      <w:pPr>
        <w:ind w:left="1854" w:hanging="360"/>
      </w:pPr>
      <w:rPr>
        <w:rFonts w:cs="Times New Roman" w:hint="default"/>
      </w:rPr>
    </w:lvl>
    <w:lvl w:ilvl="1" w:tplc="E7F2C200">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1615FC"/>
    <w:multiLevelType w:val="hybridMultilevel"/>
    <w:tmpl w:val="8626C4FA"/>
    <w:lvl w:ilvl="0" w:tplc="0CBCD72E">
      <w:start w:val="1"/>
      <w:numFmt w:val="upperLetter"/>
      <w:lvlText w:val="%1."/>
      <w:lvlJc w:val="left"/>
      <w:pPr>
        <w:ind w:left="1128" w:hanging="504"/>
      </w:pPr>
      <w:rPr>
        <w:rFonts w:cs="Times New Roman" w:hint="default"/>
      </w:rPr>
    </w:lvl>
    <w:lvl w:ilvl="1" w:tplc="56B24490">
      <w:start w:val="1"/>
      <w:numFmt w:val="lowerLetter"/>
      <w:lvlText w:val="(%2)"/>
      <w:lvlJc w:val="left"/>
      <w:pPr>
        <w:ind w:left="1788" w:hanging="444"/>
      </w:pPr>
      <w:rPr>
        <w:rFonts w:cs="Times New Roman" w:hint="default"/>
      </w:rPr>
    </w:lvl>
    <w:lvl w:ilvl="2" w:tplc="0809001B">
      <w:start w:val="1"/>
      <w:numFmt w:val="lowerRoman"/>
      <w:lvlText w:val="%3."/>
      <w:lvlJc w:val="right"/>
      <w:pPr>
        <w:ind w:left="2424" w:hanging="180"/>
      </w:pPr>
      <w:rPr>
        <w:rFonts w:cs="Times New Roman"/>
      </w:rPr>
    </w:lvl>
    <w:lvl w:ilvl="3" w:tplc="0809000F">
      <w:start w:val="1"/>
      <w:numFmt w:val="decimal"/>
      <w:lvlText w:val="%4."/>
      <w:lvlJc w:val="left"/>
      <w:pPr>
        <w:ind w:left="3144" w:hanging="360"/>
      </w:pPr>
      <w:rPr>
        <w:rFonts w:cs="Times New Roman"/>
      </w:rPr>
    </w:lvl>
    <w:lvl w:ilvl="4" w:tplc="08090019">
      <w:start w:val="1"/>
      <w:numFmt w:val="lowerLetter"/>
      <w:lvlText w:val="%5."/>
      <w:lvlJc w:val="left"/>
      <w:pPr>
        <w:ind w:left="3864" w:hanging="360"/>
      </w:pPr>
      <w:rPr>
        <w:rFonts w:cs="Times New Roman"/>
      </w:rPr>
    </w:lvl>
    <w:lvl w:ilvl="5" w:tplc="0809001B">
      <w:start w:val="1"/>
      <w:numFmt w:val="lowerRoman"/>
      <w:lvlText w:val="%6."/>
      <w:lvlJc w:val="right"/>
      <w:pPr>
        <w:ind w:left="4584" w:hanging="180"/>
      </w:pPr>
      <w:rPr>
        <w:rFonts w:cs="Times New Roman"/>
      </w:rPr>
    </w:lvl>
    <w:lvl w:ilvl="6" w:tplc="0809000F">
      <w:start w:val="1"/>
      <w:numFmt w:val="decimal"/>
      <w:lvlText w:val="%7."/>
      <w:lvlJc w:val="left"/>
      <w:pPr>
        <w:ind w:left="5304" w:hanging="360"/>
      </w:pPr>
      <w:rPr>
        <w:rFonts w:cs="Times New Roman"/>
      </w:rPr>
    </w:lvl>
    <w:lvl w:ilvl="7" w:tplc="08090019">
      <w:start w:val="1"/>
      <w:numFmt w:val="lowerLetter"/>
      <w:lvlText w:val="%8."/>
      <w:lvlJc w:val="left"/>
      <w:pPr>
        <w:ind w:left="6024" w:hanging="360"/>
      </w:pPr>
      <w:rPr>
        <w:rFonts w:cs="Times New Roman"/>
      </w:rPr>
    </w:lvl>
    <w:lvl w:ilvl="8" w:tplc="0809001B">
      <w:start w:val="1"/>
      <w:numFmt w:val="lowerRoman"/>
      <w:lvlText w:val="%9."/>
      <w:lvlJc w:val="right"/>
      <w:pPr>
        <w:ind w:left="6744" w:hanging="180"/>
      </w:pPr>
      <w:rPr>
        <w:rFonts w:cs="Times New Roman"/>
      </w:r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78305F"/>
    <w:multiLevelType w:val="hybridMultilevel"/>
    <w:tmpl w:val="8C96E1EE"/>
    <w:lvl w:ilvl="0" w:tplc="9016495E">
      <w:start w:val="1"/>
      <w:numFmt w:val="decimal"/>
      <w:lvlText w:val="%1."/>
      <w:lvlJc w:val="left"/>
      <w:pPr>
        <w:tabs>
          <w:tab w:val="num" w:pos="4608"/>
        </w:tabs>
        <w:ind w:left="4608" w:hanging="360"/>
      </w:pPr>
      <w:rPr>
        <w:rFonts w:cs="Times New Roman" w:hint="default"/>
      </w:rPr>
    </w:lvl>
    <w:lvl w:ilvl="1" w:tplc="F5DA6516">
      <w:start w:val="1"/>
      <w:numFmt w:val="lowerLetter"/>
      <w:lvlText w:val="(%2)"/>
      <w:lvlJc w:val="left"/>
      <w:pPr>
        <w:ind w:left="2574" w:hanging="360"/>
      </w:pPr>
      <w:rPr>
        <w:rFonts w:cs="Times New Roman" w:hint="default"/>
      </w:rPr>
    </w:lvl>
    <w:lvl w:ilvl="2" w:tplc="7EBEB04A">
      <w:start w:val="1"/>
      <w:numFmt w:val="decimal"/>
      <w:lvlText w:val="%3."/>
      <w:lvlJc w:val="right"/>
      <w:pPr>
        <w:tabs>
          <w:tab w:val="num" w:pos="3474"/>
        </w:tabs>
        <w:ind w:left="3474" w:hanging="360"/>
      </w:pPr>
      <w:rPr>
        <w:rFonts w:cs="Times New Roman" w:hint="default"/>
        <w:b w:val="0"/>
        <w:bCs w:val="0"/>
      </w:rPr>
    </w:lvl>
    <w:lvl w:ilvl="3" w:tplc="985C8F96">
      <w:start w:val="1"/>
      <w:numFmt w:val="lowerRoman"/>
      <w:lvlText w:val="(%4)"/>
      <w:lvlJc w:val="right"/>
      <w:pPr>
        <w:tabs>
          <w:tab w:val="num" w:pos="3834"/>
        </w:tabs>
        <w:ind w:left="3834" w:hanging="180"/>
      </w:pPr>
      <w:rPr>
        <w:rFonts w:cs="Times New Roman" w:hint="default"/>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CB4552"/>
    <w:multiLevelType w:val="hybridMultilevel"/>
    <w:tmpl w:val="50FE8AA8"/>
    <w:lvl w:ilvl="0" w:tplc="E7F2C200">
      <w:start w:val="1"/>
      <w:numFmt w:val="lowerLetter"/>
      <w:lvlText w:val="(%1)"/>
      <w:lvlJc w:val="left"/>
      <w:pPr>
        <w:ind w:left="2628" w:hanging="360"/>
      </w:pPr>
      <w:rPr>
        <w:rFonts w:cs="Times New Roman" w:hint="default"/>
      </w:rPr>
    </w:lvl>
    <w:lvl w:ilvl="1" w:tplc="08090019">
      <w:start w:val="1"/>
      <w:numFmt w:val="lowerLetter"/>
      <w:lvlText w:val="%2."/>
      <w:lvlJc w:val="left"/>
      <w:pPr>
        <w:ind w:left="3348" w:hanging="360"/>
      </w:pPr>
      <w:rPr>
        <w:rFonts w:cs="Times New Roman"/>
      </w:rPr>
    </w:lvl>
    <w:lvl w:ilvl="2" w:tplc="0809001B">
      <w:start w:val="1"/>
      <w:numFmt w:val="lowerRoman"/>
      <w:lvlText w:val="%3."/>
      <w:lvlJc w:val="right"/>
      <w:pPr>
        <w:ind w:left="4068" w:hanging="180"/>
      </w:pPr>
      <w:rPr>
        <w:rFonts w:cs="Times New Roman"/>
      </w:rPr>
    </w:lvl>
    <w:lvl w:ilvl="3" w:tplc="0809000F">
      <w:start w:val="1"/>
      <w:numFmt w:val="decimal"/>
      <w:lvlText w:val="%4."/>
      <w:lvlJc w:val="left"/>
      <w:pPr>
        <w:ind w:left="4788" w:hanging="360"/>
      </w:pPr>
      <w:rPr>
        <w:rFonts w:cs="Times New Roman"/>
      </w:rPr>
    </w:lvl>
    <w:lvl w:ilvl="4" w:tplc="08090019">
      <w:start w:val="1"/>
      <w:numFmt w:val="lowerLetter"/>
      <w:lvlText w:val="%5."/>
      <w:lvlJc w:val="left"/>
      <w:pPr>
        <w:ind w:left="5508" w:hanging="360"/>
      </w:pPr>
      <w:rPr>
        <w:rFonts w:cs="Times New Roman"/>
      </w:rPr>
    </w:lvl>
    <w:lvl w:ilvl="5" w:tplc="0809001B">
      <w:start w:val="1"/>
      <w:numFmt w:val="lowerRoman"/>
      <w:lvlText w:val="%6."/>
      <w:lvlJc w:val="right"/>
      <w:pPr>
        <w:ind w:left="6228" w:hanging="180"/>
      </w:pPr>
      <w:rPr>
        <w:rFonts w:cs="Times New Roman"/>
      </w:rPr>
    </w:lvl>
    <w:lvl w:ilvl="6" w:tplc="0809000F">
      <w:start w:val="1"/>
      <w:numFmt w:val="decimal"/>
      <w:lvlText w:val="%7."/>
      <w:lvlJc w:val="left"/>
      <w:pPr>
        <w:ind w:left="6948" w:hanging="360"/>
      </w:pPr>
      <w:rPr>
        <w:rFonts w:cs="Times New Roman"/>
      </w:rPr>
    </w:lvl>
    <w:lvl w:ilvl="7" w:tplc="08090019">
      <w:start w:val="1"/>
      <w:numFmt w:val="lowerLetter"/>
      <w:lvlText w:val="%8."/>
      <w:lvlJc w:val="left"/>
      <w:pPr>
        <w:ind w:left="7668" w:hanging="360"/>
      </w:pPr>
      <w:rPr>
        <w:rFonts w:cs="Times New Roman"/>
      </w:rPr>
    </w:lvl>
    <w:lvl w:ilvl="8" w:tplc="0809001B">
      <w:start w:val="1"/>
      <w:numFmt w:val="lowerRoman"/>
      <w:lvlText w:val="%9."/>
      <w:lvlJc w:val="right"/>
      <w:pPr>
        <w:ind w:left="8388" w:hanging="180"/>
      </w:pPr>
      <w:rPr>
        <w:rFonts w:cs="Times New Roman"/>
      </w:rPr>
    </w:lvl>
  </w:abstractNum>
  <w:abstractNum w:abstractNumId="20">
    <w:nsid w:val="4A625DCA"/>
    <w:multiLevelType w:val="hybridMultilevel"/>
    <w:tmpl w:val="30C8DE80"/>
    <w:lvl w:ilvl="0" w:tplc="5D24ADE2">
      <w:start w:val="1"/>
      <w:numFmt w:val="decimal"/>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28D4D156">
      <w:start w:val="1"/>
      <w:numFmt w:val="decimal"/>
      <w:lvlText w:val="%3."/>
      <w:lvlJc w:val="left"/>
      <w:pPr>
        <w:tabs>
          <w:tab w:val="num" w:pos="1560"/>
        </w:tabs>
        <w:ind w:left="1560" w:hanging="360"/>
      </w:pPr>
      <w:rPr>
        <w:rFonts w:hint="default"/>
        <w:b w:val="0"/>
      </w:rPr>
    </w:lvl>
    <w:lvl w:ilvl="3" w:tplc="DA407FF6">
      <w:start w:val="1"/>
      <w:numFmt w:val="lowerLetter"/>
      <w:lvlText w:val="(%4)"/>
      <w:lvlJc w:val="left"/>
      <w:pPr>
        <w:tabs>
          <w:tab w:val="num" w:pos="4014"/>
        </w:tabs>
        <w:ind w:left="4014" w:hanging="36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1D12DBC"/>
    <w:multiLevelType w:val="multilevel"/>
    <w:tmpl w:val="8D3846E8"/>
    <w:lvl w:ilvl="0">
      <w:start w:val="1"/>
      <w:numFmt w:val="decimal"/>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8"/>
  </w:num>
  <w:num w:numId="16">
    <w:abstractNumId w:val="13"/>
  </w:num>
  <w:num w:numId="17">
    <w:abstractNumId w:val="21"/>
  </w:num>
  <w:num w:numId="18">
    <w:abstractNumId w:val="23"/>
  </w:num>
  <w:num w:numId="19">
    <w:abstractNumId w:val="17"/>
  </w:num>
  <w:num w:numId="20">
    <w:abstractNumId w:val="15"/>
  </w:num>
  <w:num w:numId="21">
    <w:abstractNumId w:val="11"/>
  </w:num>
  <w:num w:numId="22">
    <w:abstractNumId w:val="19"/>
  </w:num>
  <w:num w:numId="23">
    <w:abstractNumId w:val="20"/>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178"/>
    <w:rsid w:val="00002A7D"/>
    <w:rsid w:val="000038A8"/>
    <w:rsid w:val="00006790"/>
    <w:rsid w:val="0000733A"/>
    <w:rsid w:val="000147FA"/>
    <w:rsid w:val="0002276B"/>
    <w:rsid w:val="00025EC3"/>
    <w:rsid w:val="00027624"/>
    <w:rsid w:val="000302D3"/>
    <w:rsid w:val="000333FA"/>
    <w:rsid w:val="00033BC6"/>
    <w:rsid w:val="00034DC8"/>
    <w:rsid w:val="00035E91"/>
    <w:rsid w:val="00036E09"/>
    <w:rsid w:val="00050F6B"/>
    <w:rsid w:val="000511FA"/>
    <w:rsid w:val="00054ABF"/>
    <w:rsid w:val="00062654"/>
    <w:rsid w:val="000678CD"/>
    <w:rsid w:val="00072C8C"/>
    <w:rsid w:val="00076C13"/>
    <w:rsid w:val="00081CE0"/>
    <w:rsid w:val="00084D30"/>
    <w:rsid w:val="00090320"/>
    <w:rsid w:val="000931C0"/>
    <w:rsid w:val="0009775E"/>
    <w:rsid w:val="000A2E09"/>
    <w:rsid w:val="000B175B"/>
    <w:rsid w:val="000B3A0F"/>
    <w:rsid w:val="000B4802"/>
    <w:rsid w:val="000C7308"/>
    <w:rsid w:val="000D0154"/>
    <w:rsid w:val="000D6845"/>
    <w:rsid w:val="000E0415"/>
    <w:rsid w:val="000F4FFE"/>
    <w:rsid w:val="000F7715"/>
    <w:rsid w:val="00101F2B"/>
    <w:rsid w:val="00114015"/>
    <w:rsid w:val="00141D43"/>
    <w:rsid w:val="00141DB2"/>
    <w:rsid w:val="00156B99"/>
    <w:rsid w:val="0016491B"/>
    <w:rsid w:val="00166124"/>
    <w:rsid w:val="00171D96"/>
    <w:rsid w:val="00184708"/>
    <w:rsid w:val="00184DDA"/>
    <w:rsid w:val="001900CD"/>
    <w:rsid w:val="001A0452"/>
    <w:rsid w:val="001B4B04"/>
    <w:rsid w:val="001B5875"/>
    <w:rsid w:val="001C4B9C"/>
    <w:rsid w:val="001C6663"/>
    <w:rsid w:val="001C7895"/>
    <w:rsid w:val="001D26DF"/>
    <w:rsid w:val="001D2F48"/>
    <w:rsid w:val="001D4B70"/>
    <w:rsid w:val="001F1599"/>
    <w:rsid w:val="001F19C4"/>
    <w:rsid w:val="002043F0"/>
    <w:rsid w:val="00211E0B"/>
    <w:rsid w:val="002310D5"/>
    <w:rsid w:val="00232575"/>
    <w:rsid w:val="00247258"/>
    <w:rsid w:val="00257CAC"/>
    <w:rsid w:val="0027237A"/>
    <w:rsid w:val="002974E9"/>
    <w:rsid w:val="002A7F94"/>
    <w:rsid w:val="002B109A"/>
    <w:rsid w:val="002C0D87"/>
    <w:rsid w:val="002C6D45"/>
    <w:rsid w:val="002D6E53"/>
    <w:rsid w:val="002E529C"/>
    <w:rsid w:val="002F046D"/>
    <w:rsid w:val="002F56C1"/>
    <w:rsid w:val="00301764"/>
    <w:rsid w:val="00305BB5"/>
    <w:rsid w:val="003229D8"/>
    <w:rsid w:val="00323BDC"/>
    <w:rsid w:val="003245E5"/>
    <w:rsid w:val="00330B55"/>
    <w:rsid w:val="00336C97"/>
    <w:rsid w:val="00337F88"/>
    <w:rsid w:val="00342432"/>
    <w:rsid w:val="003449E8"/>
    <w:rsid w:val="003472FF"/>
    <w:rsid w:val="0035223F"/>
    <w:rsid w:val="00352D4B"/>
    <w:rsid w:val="0035638C"/>
    <w:rsid w:val="003726E4"/>
    <w:rsid w:val="00373296"/>
    <w:rsid w:val="003A4413"/>
    <w:rsid w:val="003A46BB"/>
    <w:rsid w:val="003A4EC7"/>
    <w:rsid w:val="003A7295"/>
    <w:rsid w:val="003B0BDB"/>
    <w:rsid w:val="003B1E45"/>
    <w:rsid w:val="003B1F60"/>
    <w:rsid w:val="003C2CC4"/>
    <w:rsid w:val="003D2782"/>
    <w:rsid w:val="003D4B23"/>
    <w:rsid w:val="003D6390"/>
    <w:rsid w:val="003D7C1D"/>
    <w:rsid w:val="003E278A"/>
    <w:rsid w:val="003F3C53"/>
    <w:rsid w:val="00413520"/>
    <w:rsid w:val="00425674"/>
    <w:rsid w:val="004325CB"/>
    <w:rsid w:val="00433FB8"/>
    <w:rsid w:val="00440A07"/>
    <w:rsid w:val="00460DC5"/>
    <w:rsid w:val="00462880"/>
    <w:rsid w:val="00470DE1"/>
    <w:rsid w:val="00476F24"/>
    <w:rsid w:val="00493A13"/>
    <w:rsid w:val="00496373"/>
    <w:rsid w:val="004A317C"/>
    <w:rsid w:val="004B2F0A"/>
    <w:rsid w:val="004B4480"/>
    <w:rsid w:val="004C55B0"/>
    <w:rsid w:val="004F5DD5"/>
    <w:rsid w:val="004F6BA0"/>
    <w:rsid w:val="00503BEA"/>
    <w:rsid w:val="00505E47"/>
    <w:rsid w:val="00514EA8"/>
    <w:rsid w:val="00520D21"/>
    <w:rsid w:val="005313DD"/>
    <w:rsid w:val="00533616"/>
    <w:rsid w:val="00535ABA"/>
    <w:rsid w:val="0053768B"/>
    <w:rsid w:val="005377AA"/>
    <w:rsid w:val="00540EA0"/>
    <w:rsid w:val="005420F2"/>
    <w:rsid w:val="0054285C"/>
    <w:rsid w:val="005515DB"/>
    <w:rsid w:val="00553955"/>
    <w:rsid w:val="00556950"/>
    <w:rsid w:val="0055705F"/>
    <w:rsid w:val="00584173"/>
    <w:rsid w:val="00592798"/>
    <w:rsid w:val="00595520"/>
    <w:rsid w:val="00595DBB"/>
    <w:rsid w:val="005A44B9"/>
    <w:rsid w:val="005B1BA0"/>
    <w:rsid w:val="005B3DB3"/>
    <w:rsid w:val="005D15CA"/>
    <w:rsid w:val="005D4F19"/>
    <w:rsid w:val="005D5B2E"/>
    <w:rsid w:val="005E12C3"/>
    <w:rsid w:val="005E7D71"/>
    <w:rsid w:val="005F08DF"/>
    <w:rsid w:val="005F3066"/>
    <w:rsid w:val="005F3E61"/>
    <w:rsid w:val="00604DDD"/>
    <w:rsid w:val="006115CC"/>
    <w:rsid w:val="00611FC4"/>
    <w:rsid w:val="006130E3"/>
    <w:rsid w:val="006176FB"/>
    <w:rsid w:val="00617DB9"/>
    <w:rsid w:val="00621F33"/>
    <w:rsid w:val="00623815"/>
    <w:rsid w:val="00623F85"/>
    <w:rsid w:val="00630FCB"/>
    <w:rsid w:val="00633FF4"/>
    <w:rsid w:val="00640B26"/>
    <w:rsid w:val="006547A9"/>
    <w:rsid w:val="00657426"/>
    <w:rsid w:val="006756FE"/>
    <w:rsid w:val="006770B2"/>
    <w:rsid w:val="00677A2C"/>
    <w:rsid w:val="00685D54"/>
    <w:rsid w:val="006914D2"/>
    <w:rsid w:val="006940E1"/>
    <w:rsid w:val="006A3C72"/>
    <w:rsid w:val="006A7392"/>
    <w:rsid w:val="006B03A1"/>
    <w:rsid w:val="006B2A81"/>
    <w:rsid w:val="006B51B5"/>
    <w:rsid w:val="006B67D9"/>
    <w:rsid w:val="006C5535"/>
    <w:rsid w:val="006C714B"/>
    <w:rsid w:val="006D0589"/>
    <w:rsid w:val="006E564B"/>
    <w:rsid w:val="006E7154"/>
    <w:rsid w:val="006F0252"/>
    <w:rsid w:val="007003CD"/>
    <w:rsid w:val="0070701E"/>
    <w:rsid w:val="00713946"/>
    <w:rsid w:val="00723353"/>
    <w:rsid w:val="00724F18"/>
    <w:rsid w:val="0072632A"/>
    <w:rsid w:val="007358E8"/>
    <w:rsid w:val="00736ECE"/>
    <w:rsid w:val="0074533B"/>
    <w:rsid w:val="007643BC"/>
    <w:rsid w:val="0077087D"/>
    <w:rsid w:val="00775F72"/>
    <w:rsid w:val="007959FE"/>
    <w:rsid w:val="007A0CF1"/>
    <w:rsid w:val="007B6BA5"/>
    <w:rsid w:val="007C0DED"/>
    <w:rsid w:val="007C3390"/>
    <w:rsid w:val="007C42D8"/>
    <w:rsid w:val="007C4F4B"/>
    <w:rsid w:val="007D7362"/>
    <w:rsid w:val="007F5CE2"/>
    <w:rsid w:val="007F6611"/>
    <w:rsid w:val="00803E3A"/>
    <w:rsid w:val="00810BAC"/>
    <w:rsid w:val="008175E9"/>
    <w:rsid w:val="008242D7"/>
    <w:rsid w:val="0082577B"/>
    <w:rsid w:val="00866893"/>
    <w:rsid w:val="00866F02"/>
    <w:rsid w:val="00867D18"/>
    <w:rsid w:val="00871F9A"/>
    <w:rsid w:val="00871FD5"/>
    <w:rsid w:val="0088172E"/>
    <w:rsid w:val="00881EFA"/>
    <w:rsid w:val="008879CB"/>
    <w:rsid w:val="008928E2"/>
    <w:rsid w:val="008979B1"/>
    <w:rsid w:val="008A18F8"/>
    <w:rsid w:val="008A6B25"/>
    <w:rsid w:val="008A6C4F"/>
    <w:rsid w:val="008B0E81"/>
    <w:rsid w:val="008B1A45"/>
    <w:rsid w:val="008B389E"/>
    <w:rsid w:val="008C00A3"/>
    <w:rsid w:val="008D045E"/>
    <w:rsid w:val="008D3F25"/>
    <w:rsid w:val="008D4D82"/>
    <w:rsid w:val="008E0E46"/>
    <w:rsid w:val="008E7116"/>
    <w:rsid w:val="008F143B"/>
    <w:rsid w:val="008F3882"/>
    <w:rsid w:val="008F3A89"/>
    <w:rsid w:val="008F4B7C"/>
    <w:rsid w:val="00904545"/>
    <w:rsid w:val="00917D23"/>
    <w:rsid w:val="00923BF7"/>
    <w:rsid w:val="00926E47"/>
    <w:rsid w:val="00947162"/>
    <w:rsid w:val="009610D0"/>
    <w:rsid w:val="0096375C"/>
    <w:rsid w:val="009648B3"/>
    <w:rsid w:val="009662E6"/>
    <w:rsid w:val="0097095E"/>
    <w:rsid w:val="00974A27"/>
    <w:rsid w:val="00980577"/>
    <w:rsid w:val="009833BA"/>
    <w:rsid w:val="0098592B"/>
    <w:rsid w:val="00985FC4"/>
    <w:rsid w:val="00990766"/>
    <w:rsid w:val="00991261"/>
    <w:rsid w:val="00993B0C"/>
    <w:rsid w:val="009964C4"/>
    <w:rsid w:val="009A423D"/>
    <w:rsid w:val="009A7B81"/>
    <w:rsid w:val="009B13F7"/>
    <w:rsid w:val="009C028C"/>
    <w:rsid w:val="009C1E8A"/>
    <w:rsid w:val="009D01C0"/>
    <w:rsid w:val="009D1AC2"/>
    <w:rsid w:val="009D6A08"/>
    <w:rsid w:val="009E0A16"/>
    <w:rsid w:val="009E6CB7"/>
    <w:rsid w:val="009E7970"/>
    <w:rsid w:val="009F2EAC"/>
    <w:rsid w:val="009F57E3"/>
    <w:rsid w:val="00A10F4F"/>
    <w:rsid w:val="00A11067"/>
    <w:rsid w:val="00A12515"/>
    <w:rsid w:val="00A12D60"/>
    <w:rsid w:val="00A1704A"/>
    <w:rsid w:val="00A2112D"/>
    <w:rsid w:val="00A23BE8"/>
    <w:rsid w:val="00A245D8"/>
    <w:rsid w:val="00A3311B"/>
    <w:rsid w:val="00A33F05"/>
    <w:rsid w:val="00A425EB"/>
    <w:rsid w:val="00A50CE9"/>
    <w:rsid w:val="00A65FAA"/>
    <w:rsid w:val="00A72F22"/>
    <w:rsid w:val="00A733BC"/>
    <w:rsid w:val="00A748A6"/>
    <w:rsid w:val="00A76A69"/>
    <w:rsid w:val="00A879A4"/>
    <w:rsid w:val="00A90D64"/>
    <w:rsid w:val="00AA0FF8"/>
    <w:rsid w:val="00AC0F2C"/>
    <w:rsid w:val="00AC502A"/>
    <w:rsid w:val="00AD029F"/>
    <w:rsid w:val="00AD57B6"/>
    <w:rsid w:val="00AD6FDA"/>
    <w:rsid w:val="00AE0F73"/>
    <w:rsid w:val="00AE4CC0"/>
    <w:rsid w:val="00AF58C1"/>
    <w:rsid w:val="00B04A3F"/>
    <w:rsid w:val="00B06643"/>
    <w:rsid w:val="00B132EA"/>
    <w:rsid w:val="00B15055"/>
    <w:rsid w:val="00B30179"/>
    <w:rsid w:val="00B339BB"/>
    <w:rsid w:val="00B33A7E"/>
    <w:rsid w:val="00B37B15"/>
    <w:rsid w:val="00B41C98"/>
    <w:rsid w:val="00B4573C"/>
    <w:rsid w:val="00B45C02"/>
    <w:rsid w:val="00B70B63"/>
    <w:rsid w:val="00B72A1E"/>
    <w:rsid w:val="00B76AD1"/>
    <w:rsid w:val="00B81E12"/>
    <w:rsid w:val="00B8368D"/>
    <w:rsid w:val="00B966E5"/>
    <w:rsid w:val="00BA22AC"/>
    <w:rsid w:val="00BA339B"/>
    <w:rsid w:val="00BA56A2"/>
    <w:rsid w:val="00BC1E7E"/>
    <w:rsid w:val="00BC36D2"/>
    <w:rsid w:val="00BC74E9"/>
    <w:rsid w:val="00BC7D18"/>
    <w:rsid w:val="00BD19B5"/>
    <w:rsid w:val="00BD3294"/>
    <w:rsid w:val="00BE36A9"/>
    <w:rsid w:val="00BE618E"/>
    <w:rsid w:val="00BE7BEC"/>
    <w:rsid w:val="00BF0A5A"/>
    <w:rsid w:val="00BF0E63"/>
    <w:rsid w:val="00BF12A3"/>
    <w:rsid w:val="00BF16D7"/>
    <w:rsid w:val="00BF2373"/>
    <w:rsid w:val="00C044E2"/>
    <w:rsid w:val="00C048CB"/>
    <w:rsid w:val="00C066F3"/>
    <w:rsid w:val="00C11C91"/>
    <w:rsid w:val="00C12429"/>
    <w:rsid w:val="00C45BA6"/>
    <w:rsid w:val="00C463DD"/>
    <w:rsid w:val="00C65E83"/>
    <w:rsid w:val="00C67A59"/>
    <w:rsid w:val="00C745C3"/>
    <w:rsid w:val="00C77FBD"/>
    <w:rsid w:val="00C94DF8"/>
    <w:rsid w:val="00CA24A4"/>
    <w:rsid w:val="00CB348D"/>
    <w:rsid w:val="00CD46F5"/>
    <w:rsid w:val="00CE4A8F"/>
    <w:rsid w:val="00CF071D"/>
    <w:rsid w:val="00CF2178"/>
    <w:rsid w:val="00D15B04"/>
    <w:rsid w:val="00D2031B"/>
    <w:rsid w:val="00D23E05"/>
    <w:rsid w:val="00D25FE2"/>
    <w:rsid w:val="00D37DA9"/>
    <w:rsid w:val="00D406A7"/>
    <w:rsid w:val="00D43252"/>
    <w:rsid w:val="00D44D86"/>
    <w:rsid w:val="00D50B7D"/>
    <w:rsid w:val="00D52012"/>
    <w:rsid w:val="00D62B88"/>
    <w:rsid w:val="00D704E5"/>
    <w:rsid w:val="00D7218F"/>
    <w:rsid w:val="00D72727"/>
    <w:rsid w:val="00D93FF7"/>
    <w:rsid w:val="00D978C6"/>
    <w:rsid w:val="00DA0956"/>
    <w:rsid w:val="00DA2F2A"/>
    <w:rsid w:val="00DA357F"/>
    <w:rsid w:val="00DA3E12"/>
    <w:rsid w:val="00DB0881"/>
    <w:rsid w:val="00DC0FFA"/>
    <w:rsid w:val="00DC18AD"/>
    <w:rsid w:val="00DE0D74"/>
    <w:rsid w:val="00DF1053"/>
    <w:rsid w:val="00DF7CAE"/>
    <w:rsid w:val="00E33FB1"/>
    <w:rsid w:val="00E423C0"/>
    <w:rsid w:val="00E6414C"/>
    <w:rsid w:val="00E71283"/>
    <w:rsid w:val="00E7260F"/>
    <w:rsid w:val="00E8702D"/>
    <w:rsid w:val="00E916A9"/>
    <w:rsid w:val="00E916DE"/>
    <w:rsid w:val="00E925AD"/>
    <w:rsid w:val="00E96630"/>
    <w:rsid w:val="00E975AC"/>
    <w:rsid w:val="00EA13DA"/>
    <w:rsid w:val="00EA1FC3"/>
    <w:rsid w:val="00EA2791"/>
    <w:rsid w:val="00EA30DF"/>
    <w:rsid w:val="00ED18DC"/>
    <w:rsid w:val="00ED6201"/>
    <w:rsid w:val="00ED7A2A"/>
    <w:rsid w:val="00EF1D7F"/>
    <w:rsid w:val="00EF6C74"/>
    <w:rsid w:val="00F0137E"/>
    <w:rsid w:val="00F21786"/>
    <w:rsid w:val="00F21B17"/>
    <w:rsid w:val="00F27A02"/>
    <w:rsid w:val="00F3742B"/>
    <w:rsid w:val="00F41FDB"/>
    <w:rsid w:val="00F429DD"/>
    <w:rsid w:val="00F56D63"/>
    <w:rsid w:val="00F609A9"/>
    <w:rsid w:val="00F70E04"/>
    <w:rsid w:val="00F80C99"/>
    <w:rsid w:val="00F82820"/>
    <w:rsid w:val="00F867EC"/>
    <w:rsid w:val="00F91B2B"/>
    <w:rsid w:val="00F95149"/>
    <w:rsid w:val="00F97E09"/>
    <w:rsid w:val="00FC03CD"/>
    <w:rsid w:val="00FC0646"/>
    <w:rsid w:val="00FC68B7"/>
    <w:rsid w:val="00FE32D7"/>
    <w:rsid w:val="00FE6985"/>
    <w:rsid w:val="00FF36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s refss,Appel note de bas de p.,Footnote tex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141DB2"/>
    <w:rPr>
      <w:b/>
      <w:sz w:val="24"/>
      <w:lang w:val="en-GB" w:eastAsia="en-US" w:bidi="ar-SA"/>
    </w:rPr>
  </w:style>
  <w:style w:type="character" w:customStyle="1" w:styleId="FootnoteTextChar">
    <w:name w:val="Footnote Text Char"/>
    <w:aliases w:val="5_G Char"/>
    <w:link w:val="FootnoteText"/>
    <w:locked/>
    <w:rsid w:val="00141DB2"/>
    <w:rPr>
      <w:sz w:val="18"/>
      <w:lang w:val="en-GB" w:eastAsia="en-US" w:bidi="ar-SA"/>
    </w:rPr>
  </w:style>
  <w:style w:type="character" w:customStyle="1" w:styleId="SingleTxtGChar">
    <w:name w:val="_ Single Txt_G Char"/>
    <w:link w:val="SingleTxtG"/>
    <w:locked/>
    <w:rsid w:val="00141DB2"/>
    <w:rPr>
      <w:lang w:val="en-GB" w:eastAsia="en-US" w:bidi="ar-SA"/>
    </w:rPr>
  </w:style>
  <w:style w:type="paragraph" w:styleId="BalloonText">
    <w:name w:val="Balloon Text"/>
    <w:basedOn w:val="Normal"/>
    <w:link w:val="BalloonTextChar"/>
    <w:rsid w:val="00617DB9"/>
    <w:pPr>
      <w:spacing w:line="240" w:lineRule="auto"/>
    </w:pPr>
    <w:rPr>
      <w:rFonts w:ascii="Tahoma" w:hAnsi="Tahoma" w:cs="Tahoma"/>
      <w:sz w:val="16"/>
      <w:szCs w:val="16"/>
    </w:rPr>
  </w:style>
  <w:style w:type="character" w:customStyle="1" w:styleId="BalloonTextChar">
    <w:name w:val="Balloon Text Char"/>
    <w:link w:val="BalloonText"/>
    <w:rsid w:val="00617D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3743</Words>
  <Characters>21337</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2011-12-08T12:52:00Z</cp:lastPrinted>
  <dcterms:created xsi:type="dcterms:W3CDTF">2011-12-20T13:05:00Z</dcterms:created>
  <dcterms:modified xsi:type="dcterms:W3CDTF">2011-12-20T13:05:00Z</dcterms:modified>
</cp:coreProperties>
</file>