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2EE461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5A7230" w14:textId="77777777" w:rsidR="002D5AAC" w:rsidRDefault="002D5AAC" w:rsidP="00E237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DB67F1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2F647E" w14:textId="77777777" w:rsidR="002D5AAC" w:rsidRDefault="00E237B2" w:rsidP="00E237B2">
            <w:pPr>
              <w:jc w:val="right"/>
            </w:pPr>
            <w:r w:rsidRPr="00E237B2">
              <w:rPr>
                <w:sz w:val="40"/>
              </w:rPr>
              <w:t>E</w:t>
            </w:r>
            <w:r>
              <w:t>/C.12/EST/CO/3</w:t>
            </w:r>
          </w:p>
        </w:tc>
      </w:tr>
      <w:tr w:rsidR="002D5AAC" w:rsidRPr="005D0A3A" w14:paraId="24D70901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FC3654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6C486D" wp14:editId="1A2334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BD1B9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D953D6" w14:textId="77777777" w:rsidR="002D5AAC" w:rsidRDefault="00E237B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7237F9" w14:textId="77777777" w:rsidR="00E237B2" w:rsidRDefault="00E237B2" w:rsidP="00E23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March 2019</w:t>
            </w:r>
          </w:p>
          <w:p w14:paraId="6DDA1ACE" w14:textId="77777777" w:rsidR="00E237B2" w:rsidRDefault="00E237B2" w:rsidP="00E23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433863" w14:textId="77777777" w:rsidR="00E237B2" w:rsidRPr="00D62A45" w:rsidRDefault="00E237B2" w:rsidP="00E23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813970" w14:textId="77777777" w:rsidR="00F54089" w:rsidRPr="00F54089" w:rsidRDefault="00F54089" w:rsidP="00F54089">
      <w:pPr>
        <w:spacing w:before="120"/>
        <w:rPr>
          <w:b/>
          <w:bCs/>
          <w:sz w:val="24"/>
          <w:szCs w:val="24"/>
        </w:rPr>
      </w:pPr>
      <w:r w:rsidRPr="00F54089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F54089">
        <w:rPr>
          <w:b/>
          <w:bCs/>
          <w:sz w:val="24"/>
          <w:szCs w:val="24"/>
        </w:rPr>
        <w:t>и культурным правам</w:t>
      </w:r>
    </w:p>
    <w:p w14:paraId="408561DE" w14:textId="77777777" w:rsidR="00F54089" w:rsidRPr="001742F2" w:rsidRDefault="00F54089" w:rsidP="00F54089">
      <w:pPr>
        <w:pStyle w:val="HChG"/>
      </w:pPr>
      <w:r>
        <w:tab/>
      </w:r>
      <w:r>
        <w:tab/>
        <w:t>Заключительные замечания по третьему периодическому докладу Эстонии</w:t>
      </w:r>
      <w:r w:rsidRPr="00F54089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</w:p>
    <w:p w14:paraId="580855DE" w14:textId="77777777" w:rsidR="00F54089" w:rsidRPr="001742F2" w:rsidRDefault="00F54089" w:rsidP="00F54089">
      <w:pPr>
        <w:pStyle w:val="SingleTxtG"/>
      </w:pPr>
      <w:r>
        <w:t>1.</w:t>
      </w:r>
      <w:r>
        <w:tab/>
        <w:t xml:space="preserve">Комитет рассмотрел третий периодический доклад Эстонии (E/C.12/EST/3) на своих 4-м и 5-м заседаниях (см. E/C.12/2019/SR.4 и 5), состоявшихся 19 и 20 февраля 2019 года, и на своем 30-м заседании, состоявшемся 8 марта 2019 года, принял настоящие заключительные замечания. </w:t>
      </w:r>
    </w:p>
    <w:p w14:paraId="52D305C8" w14:textId="77777777" w:rsidR="00F54089" w:rsidRPr="001742F2" w:rsidRDefault="00F54089" w:rsidP="00F54089">
      <w:pPr>
        <w:pStyle w:val="H1G"/>
      </w:pPr>
      <w:r>
        <w:tab/>
        <w:t>A.</w:t>
      </w:r>
      <w:r>
        <w:tab/>
        <w:t>Введение</w:t>
      </w:r>
    </w:p>
    <w:p w14:paraId="0491A539" w14:textId="77777777" w:rsidR="00F54089" w:rsidRPr="001742F2" w:rsidRDefault="00F54089" w:rsidP="00F54089">
      <w:pPr>
        <w:pStyle w:val="SingleTxtG"/>
      </w:pPr>
      <w:r>
        <w:t>2.</w:t>
      </w:r>
      <w:r>
        <w:tab/>
        <w:t xml:space="preserve">Комитет приветствует представление третьего периодического доклада государства-участника и дополнительную информацию, представленную в ответах на перечень вопросов (E/C.12/EST/Q/3/Add.1). Комитет высоко оценивает состоявшийся конструктивный диалог с межведомственной делегацией государства-участника. </w:t>
      </w:r>
    </w:p>
    <w:p w14:paraId="627C2DD5" w14:textId="77777777" w:rsidR="00F54089" w:rsidRPr="001742F2" w:rsidRDefault="00F54089" w:rsidP="00F54089">
      <w:pPr>
        <w:pStyle w:val="H1G"/>
      </w:pPr>
      <w:r>
        <w:tab/>
        <w:t>B.</w:t>
      </w:r>
      <w:r>
        <w:tab/>
        <w:t>Позитивные аспекты</w:t>
      </w:r>
    </w:p>
    <w:p w14:paraId="50F73213" w14:textId="77777777" w:rsidR="00F54089" w:rsidRPr="001742F2" w:rsidRDefault="00F54089" w:rsidP="00F54089">
      <w:pPr>
        <w:pStyle w:val="SingleTxtG"/>
      </w:pPr>
      <w:r>
        <w:t>3.</w:t>
      </w:r>
      <w:r>
        <w:tab/>
        <w:t>Комитет приветствует принимаемые государством-участником законодательные, институциональные и политические меры с целью повышения уровня защиты экономических, социальных и культурных прав в государстве-участнике, о которых говорится в настоящих заключительных замечаниях. Он</w:t>
      </w:r>
      <w:r>
        <w:rPr>
          <w:lang w:val="en-US"/>
        </w:rPr>
        <w:t> </w:t>
      </w:r>
      <w:r>
        <w:t xml:space="preserve">отмечает, в частности, значительное увеличение в течение отчетного периода минимальной заработной платы и принятие Плана повышения уровня благосостояния на 2016–2023 годы. </w:t>
      </w:r>
    </w:p>
    <w:p w14:paraId="3648D9BF" w14:textId="77777777" w:rsidR="00F54089" w:rsidRPr="001742F2" w:rsidRDefault="00F54089" w:rsidP="00F54089">
      <w:pPr>
        <w:pStyle w:val="H1G"/>
      </w:pPr>
      <w:r>
        <w:tab/>
        <w:t>C.</w:t>
      </w:r>
      <w:r>
        <w:tab/>
        <w:t>Основные вопросы, вызывающие обеспокоенность, и</w:t>
      </w:r>
      <w:r>
        <w:rPr>
          <w:lang w:val="en-US"/>
        </w:rPr>
        <w:t> </w:t>
      </w:r>
      <w:r>
        <w:t>рекомендации</w:t>
      </w:r>
    </w:p>
    <w:p w14:paraId="23D63BDF" w14:textId="77777777" w:rsidR="00F54089" w:rsidRPr="001742F2" w:rsidRDefault="00F54089" w:rsidP="00F54089">
      <w:pPr>
        <w:pStyle w:val="H23G"/>
      </w:pPr>
      <w:r>
        <w:tab/>
      </w:r>
      <w:r>
        <w:tab/>
        <w:t>Применимость Пакта</w:t>
      </w:r>
    </w:p>
    <w:p w14:paraId="6CC3986D" w14:textId="77777777" w:rsidR="00F54089" w:rsidRPr="001742F2" w:rsidRDefault="00F54089" w:rsidP="00F54089">
      <w:pPr>
        <w:pStyle w:val="SingleTxtG"/>
      </w:pPr>
      <w:r>
        <w:t>4.</w:t>
      </w:r>
      <w:r>
        <w:tab/>
        <w:t>Комитет отмечает, что некоторые закрепленные в Пакте права защищены Конституцией и что в статье 123 Конституции провозглашено верховенство международных договоров над национальным законодательством. Вместе с тем Комитет обеспокоен отсутствием информации о средствах правовой защиты и примеров дел, в которых закрепленные в Пакте права защищаются национальными судами.</w:t>
      </w:r>
    </w:p>
    <w:p w14:paraId="26BB7334" w14:textId="77777777" w:rsidR="00F54089" w:rsidRDefault="00F5408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3F510F" w14:textId="77777777" w:rsidR="00F54089" w:rsidRPr="001742F2" w:rsidRDefault="00F54089" w:rsidP="00F54089">
      <w:pPr>
        <w:pStyle w:val="SingleTxtG"/>
      </w:pPr>
      <w:r>
        <w:lastRenderedPageBreak/>
        <w:t>5.</w:t>
      </w:r>
      <w:r>
        <w:tab/>
      </w:r>
      <w:r w:rsidRPr="001742F2"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181564A6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 xml:space="preserve">включить все права, закрепленные в Пакте, во внутреннюю правовую систему; </w:t>
      </w:r>
    </w:p>
    <w:p w14:paraId="07C2F0A1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укрепить во внутренней правовой системе средства судебной защиты для защиты прав, предусмотренных в Пакте;</w:t>
      </w:r>
      <w:r w:rsidRPr="00F54089">
        <w:rPr>
          <w:b/>
        </w:rPr>
        <w:t xml:space="preserve"> </w:t>
      </w:r>
    </w:p>
    <w:p w14:paraId="5C95F46F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>активизировать подготовку судей и адвокатов по вопросам, касающимся Пакта;</w:t>
      </w:r>
      <w:r w:rsidRPr="00F54089">
        <w:rPr>
          <w:b/>
        </w:rPr>
        <w:t xml:space="preserve"> </w:t>
      </w:r>
    </w:p>
    <w:p w14:paraId="7FCF2F34" w14:textId="77777777" w:rsidR="00F54089" w:rsidRPr="001742F2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d)</w:t>
      </w:r>
      <w:r w:rsidRPr="00F54089">
        <w:rPr>
          <w:b/>
        </w:rPr>
        <w:tab/>
      </w:r>
      <w:r w:rsidRPr="00F54089">
        <w:rPr>
          <w:b/>
          <w:bCs/>
        </w:rPr>
        <w:t>по</w:t>
      </w:r>
      <w:r>
        <w:rPr>
          <w:b/>
          <w:bCs/>
        </w:rPr>
        <w:t>высить</w:t>
      </w:r>
      <w:r w:rsidRPr="001742F2">
        <w:rPr>
          <w:b/>
          <w:bCs/>
        </w:rPr>
        <w:t xml:space="preserve"> осведомленность общественности о Пакте и возможностях защиты экономических, социальных и культурных пр</w:t>
      </w:r>
      <w:bookmarkStart w:id="0" w:name="_GoBack"/>
      <w:r w:rsidRPr="005D0A3A">
        <w:rPr>
          <w:b/>
          <w:bCs/>
        </w:rPr>
        <w:t>ав</w:t>
      </w:r>
      <w:r w:rsidRPr="005D0A3A">
        <w:rPr>
          <w:b/>
        </w:rPr>
        <w:t xml:space="preserve">. </w:t>
      </w:r>
      <w:bookmarkEnd w:id="0"/>
    </w:p>
    <w:p w14:paraId="4A52CAFC" w14:textId="77777777" w:rsidR="00F54089" w:rsidRPr="001742F2" w:rsidRDefault="00F54089" w:rsidP="00F54089">
      <w:pPr>
        <w:pStyle w:val="SingleTxtG"/>
        <w:rPr>
          <w:b/>
          <w:bCs/>
        </w:rPr>
      </w:pPr>
      <w:r w:rsidRPr="001742F2">
        <w:rPr>
          <w:b/>
          <w:bCs/>
        </w:rPr>
        <w:t>В этой связи Комитет обращает внимание государства-участника на свое замечание общего порядка № 9 (1998) о применении Пакта во внутреннем праве.</w:t>
      </w:r>
    </w:p>
    <w:p w14:paraId="6542115E" w14:textId="77777777" w:rsidR="00F54089" w:rsidRPr="001742F2" w:rsidRDefault="00F54089" w:rsidP="00F54089">
      <w:pPr>
        <w:pStyle w:val="H23G"/>
      </w:pPr>
      <w:r>
        <w:tab/>
      </w:r>
      <w:r>
        <w:tab/>
        <w:t xml:space="preserve">Канцлер юстиции </w:t>
      </w:r>
    </w:p>
    <w:p w14:paraId="32A12B9A" w14:textId="77777777" w:rsidR="00F54089" w:rsidRPr="001742F2" w:rsidRDefault="00F54089" w:rsidP="00F54089">
      <w:pPr>
        <w:pStyle w:val="SingleTxtG"/>
      </w:pPr>
      <w:r>
        <w:t>6.</w:t>
      </w:r>
      <w:r>
        <w:tab/>
        <w:t xml:space="preserve">Отмечая, что канцлер юстиции уполномочен осуществлять надзор за соответствием национального законодательства международным соглашениям, в том числе Пакту, Комитет в то же время обеспокоен тем, что Закон о канцлере юстиции не наделяет канцлера непосредственно полномочиями по поощрению и защите экономических, социальных и культурных прав. Кроме того, Комитет сожалеет об отсутствии конкретных примеров осуществления мандата канцлера юстиции в контексте экономических, социальных и культурных прав. </w:t>
      </w:r>
    </w:p>
    <w:p w14:paraId="6C126E5C" w14:textId="77777777" w:rsidR="00F54089" w:rsidRPr="001742F2" w:rsidRDefault="00F54089" w:rsidP="00F54089">
      <w:pPr>
        <w:pStyle w:val="SingleTxtG"/>
        <w:rPr>
          <w:b/>
          <w:bCs/>
        </w:rPr>
      </w:pPr>
      <w:r>
        <w:t>7.</w:t>
      </w:r>
      <w:r>
        <w:tab/>
      </w:r>
      <w:r w:rsidRPr="001742F2">
        <w:rPr>
          <w:b/>
          <w:bCs/>
        </w:rPr>
        <w:t xml:space="preserve">Комитет рекомендует государству-участнику обеспечить укрепление мандата и функций </w:t>
      </w:r>
      <w:r>
        <w:rPr>
          <w:b/>
          <w:bCs/>
        </w:rPr>
        <w:t>к</w:t>
      </w:r>
      <w:r w:rsidRPr="001742F2">
        <w:rPr>
          <w:b/>
          <w:bCs/>
        </w:rPr>
        <w:t xml:space="preserve">анцлера юстиции в конкретном контексте защиты и поощрения экономических, социальных и культурных прав и повысить осведомленность общественности о мандате и функциях этого должностного лица в целях повышения доступности </w:t>
      </w:r>
      <w:r>
        <w:rPr>
          <w:b/>
          <w:bCs/>
        </w:rPr>
        <w:t>к</w:t>
      </w:r>
      <w:r w:rsidRPr="001742F2">
        <w:rPr>
          <w:b/>
          <w:bCs/>
        </w:rPr>
        <w:t xml:space="preserve">анцлера юстиции для населения. </w:t>
      </w:r>
    </w:p>
    <w:p w14:paraId="1A20C133" w14:textId="77777777" w:rsidR="00F54089" w:rsidRPr="001742F2" w:rsidRDefault="00F54089" w:rsidP="00F54089">
      <w:pPr>
        <w:pStyle w:val="H23G"/>
      </w:pPr>
      <w:r>
        <w:tab/>
      </w:r>
      <w:r>
        <w:tab/>
        <w:t xml:space="preserve">Максимальные пределы имеющихся ресурсов </w:t>
      </w:r>
    </w:p>
    <w:p w14:paraId="75A08C14" w14:textId="77777777" w:rsidR="00F54089" w:rsidRPr="001742F2" w:rsidRDefault="00F54089" w:rsidP="00F54089">
      <w:pPr>
        <w:pStyle w:val="SingleTxtG"/>
      </w:pPr>
      <w:r>
        <w:t>8.</w:t>
      </w:r>
      <w:r>
        <w:tab/>
        <w:t xml:space="preserve">Комитет обеспокоен малым объемом средств государственного бюджета, выделяемым государством-участником на социальные услуги и составляющим незначительную долю валового внутреннего продукта. Он также сожалеет об отсутствии подробной информации об объемах ассигнований на такие связанные с закрепленными в Пакте правами сферы, как социальное обеспечение, жилье, продовольствие, вода и санитария, здравоохранение и образование (пункт 1 статьи 2). </w:t>
      </w:r>
    </w:p>
    <w:p w14:paraId="2B2AD134" w14:textId="77777777" w:rsidR="00F54089" w:rsidRPr="001742F2" w:rsidRDefault="00F54089" w:rsidP="00F54089">
      <w:pPr>
        <w:pStyle w:val="SingleTxtG"/>
        <w:rPr>
          <w:b/>
          <w:bCs/>
        </w:rPr>
      </w:pPr>
      <w:r>
        <w:t>9.</w:t>
      </w:r>
      <w:r>
        <w:tab/>
      </w:r>
      <w:r w:rsidRPr="001742F2">
        <w:rPr>
          <w:b/>
          <w:bCs/>
        </w:rPr>
        <w:t xml:space="preserve">Комитет рекомендует государству-участнику увеличить объем социальных расходов, особенно в таких областях, как социальное обеспечение, жилье, здравоохранение и образование, уделяя при этом особое внимание находящимся в неблагоприятном и маргинализированном положении лицам и регионам с высоким уровнем безработицы и бедности, особенно в уезде </w:t>
      </w:r>
      <w:proofErr w:type="spellStart"/>
      <w:r w:rsidRPr="001742F2">
        <w:rPr>
          <w:b/>
          <w:bCs/>
        </w:rPr>
        <w:t>Ида</w:t>
      </w:r>
      <w:proofErr w:type="spellEnd"/>
      <w:r w:rsidRPr="001742F2">
        <w:rPr>
          <w:b/>
          <w:bCs/>
        </w:rPr>
        <w:t>-Виру</w:t>
      </w:r>
      <w:r>
        <w:rPr>
          <w:b/>
          <w:bCs/>
        </w:rPr>
        <w:t>маа</w:t>
      </w:r>
      <w:r w:rsidRPr="001742F2">
        <w:rPr>
          <w:b/>
          <w:bCs/>
        </w:rPr>
        <w:t>. Он также рекомендует государству-участнику активизировать свои усилия по мобилизации дополнительных ресурсов, в том числе путем пересмотра своей финансовой политики, с тем чтобы постепенно добиться полного осуществления закрепленных в Пакте прав.</w:t>
      </w:r>
    </w:p>
    <w:p w14:paraId="24A88E23" w14:textId="77777777" w:rsidR="00F54089" w:rsidRPr="001742F2" w:rsidRDefault="00F54089" w:rsidP="00F54089">
      <w:pPr>
        <w:pStyle w:val="H23G"/>
      </w:pPr>
      <w:r>
        <w:tab/>
      </w:r>
      <w:r>
        <w:tab/>
        <w:t xml:space="preserve">Недискриминация </w:t>
      </w:r>
    </w:p>
    <w:p w14:paraId="71618ACF" w14:textId="77777777" w:rsidR="00F54089" w:rsidRPr="001742F2" w:rsidRDefault="00F54089" w:rsidP="00F54089">
      <w:pPr>
        <w:pStyle w:val="SingleTxtG"/>
      </w:pPr>
      <w:r>
        <w:t>10.</w:t>
      </w:r>
      <w:r>
        <w:tab/>
        <w:t xml:space="preserve">Комитет обеспокоен тем, что Закон о равном обращении запрещает дискриминацию только по признаку религии или убеждений, возраста, инвалидности и сексуальной ориентации в областях, связанных с трудовой деятельностью и получением профессиональной квалификации. Он сожалеет о задержке, связанной с внесением поправок в этот закон в целях расширения его сферы охвата и применения в других социальных секторах. Он также обеспокоен недостаточным объемом финансовых и людских ресурсов, выделяемых Уполномоченному по вопросам гендерного равенства и равного обращения для полного выполнения им своего мандата (пункт 2 статьи 2). </w:t>
      </w:r>
    </w:p>
    <w:p w14:paraId="46172CF2" w14:textId="77777777" w:rsidR="00F54089" w:rsidRPr="001742F2" w:rsidRDefault="00F54089" w:rsidP="00F54089">
      <w:pPr>
        <w:pStyle w:val="SingleTxtG"/>
        <w:rPr>
          <w:b/>
          <w:bCs/>
        </w:rPr>
      </w:pPr>
      <w:r>
        <w:lastRenderedPageBreak/>
        <w:t>11.</w:t>
      </w:r>
      <w:r>
        <w:tab/>
      </w:r>
      <w:r w:rsidRPr="001742F2">
        <w:rPr>
          <w:b/>
          <w:bCs/>
        </w:rPr>
        <w:t xml:space="preserve">Комитет рекомендует государству-участнику безотлагательно внести поправки в Закон о равном обращении, с тем чтобы: а) обеспечить запрещение всех прямых, косвенных и взаимосвязанных форм дискриминации по признакам, изложенным в пункте 2 статьи 2 Пакта, и во всех сферах, имеющих отношение к экономическим, социальным и культурным правам, и b) обеспечить </w:t>
      </w:r>
      <w:r>
        <w:rPr>
          <w:b/>
          <w:bCs/>
        </w:rPr>
        <w:t xml:space="preserve">жертв дискриминации действенными </w:t>
      </w:r>
      <w:r w:rsidRPr="001742F2">
        <w:rPr>
          <w:b/>
          <w:bCs/>
        </w:rPr>
        <w:t>средства</w:t>
      </w:r>
      <w:r>
        <w:rPr>
          <w:b/>
          <w:bCs/>
        </w:rPr>
        <w:t>ми правовой защиты</w:t>
      </w:r>
      <w:r w:rsidRPr="001742F2">
        <w:rPr>
          <w:b/>
          <w:bCs/>
        </w:rPr>
        <w:t>, в том числе посредством судебных и административных процедур. Он также рекомендует государству-участнику выделить Уполномоченному по вопросам гендерного равенства и равного обращения достаточный объем финансовых и людских ресурсов для эффективного выполнения им своего мандата. В этой связи Комитет обращает внимание государства-участника на свое замечание общего порядка</w:t>
      </w:r>
      <w:r>
        <w:rPr>
          <w:b/>
          <w:bCs/>
          <w:lang w:val="en-US"/>
        </w:rPr>
        <w:t> </w:t>
      </w:r>
      <w:r w:rsidRPr="001742F2"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1742F2">
        <w:rPr>
          <w:b/>
          <w:bCs/>
        </w:rPr>
        <w:t>20 (2009) о недискриминации экономических, социальных и культурных прав.</w:t>
      </w:r>
    </w:p>
    <w:p w14:paraId="02242299" w14:textId="77777777" w:rsidR="00F54089" w:rsidRPr="001742F2" w:rsidRDefault="00F54089" w:rsidP="00F54089">
      <w:pPr>
        <w:pStyle w:val="H23G"/>
      </w:pPr>
      <w:r>
        <w:tab/>
      </w:r>
      <w:r>
        <w:tab/>
        <w:t>Дискриминация по признаку языка</w:t>
      </w:r>
    </w:p>
    <w:p w14:paraId="3F500386" w14:textId="77777777" w:rsidR="00F54089" w:rsidRPr="001742F2" w:rsidRDefault="00F54089" w:rsidP="00F54089">
      <w:pPr>
        <w:pStyle w:val="SingleTxtG"/>
      </w:pPr>
      <w:r>
        <w:t>12.</w:t>
      </w:r>
      <w:r>
        <w:tab/>
        <w:t xml:space="preserve">Отмечая усилия государства-участника по расширению возможностей не говорящего на эстонском языке населения изучать эстонский язык, Комитет </w:t>
      </w:r>
      <w:r w:rsidR="0083463D">
        <w:br/>
      </w:r>
      <w:r>
        <w:t>по-прежнему обеспокоен непрекращающейся дискриминацией, с которой сталкивается это население из-за недостаточного уровня владения эстонским языком. Это приводит к системной дискриминации, затрагивающей осуществление ими предусмотренных Пактом прав, о чем свидетельствует высокий уровень безработицы и бедности среди не говорящего на эстонском языке населения (пункт 2 статьи 2).</w:t>
      </w:r>
    </w:p>
    <w:p w14:paraId="7BA41182" w14:textId="77777777" w:rsidR="00F54089" w:rsidRPr="001742F2" w:rsidRDefault="00F54089" w:rsidP="00F54089">
      <w:pPr>
        <w:pStyle w:val="SingleTxtG"/>
        <w:rPr>
          <w:b/>
          <w:bCs/>
        </w:rPr>
      </w:pPr>
      <w:r>
        <w:t>13.</w:t>
      </w:r>
      <w:r>
        <w:tab/>
      </w:r>
      <w:r w:rsidRPr="001742F2">
        <w:rPr>
          <w:b/>
          <w:bCs/>
        </w:rPr>
        <w:t>Комитет рекомендует государству-участнику решить проблему системной дискриминации, с которой из-за языкового барьера сталкивается не говорящее на эстонском языке население при осуществлении предусмотренных Пактом прав, особенно в таких сферах, как занятость, жилье, образование, здравоохранение</w:t>
      </w:r>
      <w:r>
        <w:rPr>
          <w:b/>
          <w:bCs/>
        </w:rPr>
        <w:t xml:space="preserve"> и</w:t>
      </w:r>
      <w:r w:rsidRPr="001742F2">
        <w:rPr>
          <w:b/>
          <w:bCs/>
        </w:rPr>
        <w:t xml:space="preserve"> доступ к услугам, необходимым для обеспечения достаточного уровня жизни и осуществления культурных прав.</w:t>
      </w:r>
    </w:p>
    <w:p w14:paraId="6040934C" w14:textId="77777777" w:rsidR="00F54089" w:rsidRPr="001742F2" w:rsidRDefault="00F54089" w:rsidP="00F54089">
      <w:pPr>
        <w:pStyle w:val="H23G"/>
      </w:pPr>
      <w:r>
        <w:tab/>
      </w:r>
      <w:r>
        <w:tab/>
      </w:r>
      <w:r>
        <w:rPr>
          <w:bCs/>
        </w:rPr>
        <w:t>Лица с неопределенным гражданством</w:t>
      </w:r>
    </w:p>
    <w:p w14:paraId="285FBA2E" w14:textId="77777777" w:rsidR="00F54089" w:rsidRPr="001742F2" w:rsidRDefault="00F54089" w:rsidP="00F54089">
      <w:pPr>
        <w:pStyle w:val="SingleTxtG"/>
      </w:pPr>
      <w:r>
        <w:t>14.</w:t>
      </w:r>
      <w:r>
        <w:tab/>
        <w:t>Приветствуя общие достижения государства-участника в деле уменьшения количества лиц с неопределенным гражданством, Комитет по-прежнему обеспокоен большим числом таких лиц, составлявшим по состоянию на 1 января 2019 года 5,5%</w:t>
      </w:r>
      <w:r>
        <w:rPr>
          <w:lang w:val="en-US"/>
        </w:rPr>
        <w:t> </w:t>
      </w:r>
      <w:r>
        <w:t>от общей численности населения. Подавляющее большинство таких лиц являются гражданами бывшего Союза Советских Социалистических Республик, которые после восстановления суверенитета Эстонии в 1991 году не смогли получить эстонское гражданство из-за недостаточного уровня владения эстонским языком. Приветствуя внесенные в 2015 году поправки в Закон о гражданстве, в соответствии с которыми эстонское гражданство предоставляется детям с неопределенным гражданством, родившимся в государстве-участнике, Комитет обеспокоен тем, что эти поправки не распространяются на детей без гражданства в возрасте от 15 до 18 лет по состоянию на 1 января 2016 года, детей, родившихся у родителей без гражданства, которые не проживали в Эстонии на законных основаниях в течение предыдущих пяти лет, и детей без гражданства, родители которых являются гражданами Эстонии, но не могут передать свое гражданство ребенку. Он также обеспокоен отсутствием дезагрегированных данных об осуществлении закрепленных в Пакте прав лицами с неопределенным гражданством (пункт 2 статьи 2).</w:t>
      </w:r>
    </w:p>
    <w:p w14:paraId="7B763BF1" w14:textId="77777777" w:rsidR="00F54089" w:rsidRPr="00C740D8" w:rsidRDefault="00F54089" w:rsidP="00F54089">
      <w:pPr>
        <w:pStyle w:val="SingleTxtG"/>
        <w:rPr>
          <w:b/>
          <w:bCs/>
        </w:rPr>
      </w:pPr>
      <w:r>
        <w:t>15.</w:t>
      </w:r>
      <w:r>
        <w:tab/>
      </w:r>
      <w:r w:rsidRPr="00C740D8">
        <w:rPr>
          <w:b/>
          <w:bCs/>
        </w:rPr>
        <w:t xml:space="preserve">Комитет рекомендует государству-участнику: </w:t>
      </w:r>
    </w:p>
    <w:p w14:paraId="01E68677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 xml:space="preserve">ускорить процесс приобретения эстонского гражданства лицами с неопределенным гражданством путем устранения оставшихся препятствий; </w:t>
      </w:r>
    </w:p>
    <w:p w14:paraId="03C124BA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предоставить эстонское гражданство детям без гражданства, родившимся в государстве-участнике, независимо от правового статуса их родителей;</w:t>
      </w:r>
    </w:p>
    <w:p w14:paraId="23AAAE78" w14:textId="77777777" w:rsidR="00F54089" w:rsidRPr="001742F2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>рассмотреть вопрос о присоединении к Конвенции о статусе апатридов и К</w:t>
      </w:r>
      <w:r>
        <w:rPr>
          <w:b/>
          <w:bCs/>
        </w:rPr>
        <w:t>онвенции о сокращении безгражданства;</w:t>
      </w:r>
    </w:p>
    <w:p w14:paraId="65F3F338" w14:textId="77777777" w:rsidR="00F54089" w:rsidRPr="001742F2" w:rsidRDefault="00F54089" w:rsidP="00F54089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F54089">
        <w:rPr>
          <w:b/>
        </w:rPr>
        <w:t>d)</w:t>
      </w:r>
      <w:r w:rsidRPr="00F54089">
        <w:rPr>
          <w:b/>
        </w:rPr>
        <w:tab/>
      </w:r>
      <w:r w:rsidRPr="00C740D8">
        <w:rPr>
          <w:b/>
          <w:bCs/>
        </w:rPr>
        <w:t>провести сбор данных об осуществлении лицами с неопределенным гражданс</w:t>
      </w:r>
      <w:r>
        <w:rPr>
          <w:b/>
          <w:bCs/>
        </w:rPr>
        <w:t>твом закрепленных в Пакте прав и представить дезагрегированные данные по этому вопросу в своем следующем периодическом докладе.</w:t>
      </w:r>
    </w:p>
    <w:p w14:paraId="5AC6A0CB" w14:textId="77777777" w:rsidR="00F54089" w:rsidRPr="001742F2" w:rsidRDefault="00F54089" w:rsidP="00F54089">
      <w:pPr>
        <w:pStyle w:val="H23G"/>
      </w:pPr>
      <w:r>
        <w:tab/>
      </w:r>
      <w:r>
        <w:tab/>
        <w:t>Просители убежища и беженцы</w:t>
      </w:r>
    </w:p>
    <w:p w14:paraId="11136E0E" w14:textId="77777777" w:rsidR="00F54089" w:rsidRPr="001742F2" w:rsidRDefault="00F54089" w:rsidP="00F54089">
      <w:pPr>
        <w:pStyle w:val="SingleTxtG"/>
      </w:pPr>
      <w:r>
        <w:t>16.</w:t>
      </w:r>
      <w:r>
        <w:tab/>
        <w:t xml:space="preserve">Высоко оценивая усилия, предпринимаемые государством-участником в сотрудничестве с международными партнерами и партнерами из гражданского общества в целях облегчения приема и интеграции беженцев, Комитет по-прежнему обеспокоен: </w:t>
      </w:r>
    </w:p>
    <w:p w14:paraId="3171CE8D" w14:textId="77777777" w:rsidR="00F54089" w:rsidRPr="001742F2" w:rsidRDefault="00F54089" w:rsidP="00F54089">
      <w:pPr>
        <w:pStyle w:val="SingleTxtG"/>
      </w:pPr>
      <w:r>
        <w:tab/>
      </w:r>
      <w:r>
        <w:tab/>
        <w:t>a)</w:t>
      </w:r>
      <w:r>
        <w:tab/>
        <w:t xml:space="preserve">плохими условиями проживания в центрах приема просителей убежища; </w:t>
      </w:r>
    </w:p>
    <w:p w14:paraId="760DCB4A" w14:textId="77777777" w:rsidR="00F54089" w:rsidRPr="001742F2" w:rsidRDefault="00F54089" w:rsidP="00F54089">
      <w:pPr>
        <w:pStyle w:val="SingleTxtG"/>
      </w:pPr>
      <w:r>
        <w:tab/>
      </w:r>
      <w:r>
        <w:tab/>
        <w:t>b)</w:t>
      </w:r>
      <w:r>
        <w:tab/>
        <w:t xml:space="preserve">острой нехваткой жилья для беженцев, в результате чего некоторые из них остаются в центрах приема даже после предоставления им статуса беженца; </w:t>
      </w:r>
    </w:p>
    <w:p w14:paraId="0A3CCE72" w14:textId="77777777" w:rsidR="00F54089" w:rsidRPr="001742F2" w:rsidRDefault="00F54089" w:rsidP="00F54089">
      <w:pPr>
        <w:pStyle w:val="SingleTxtG"/>
      </w:pPr>
      <w:r>
        <w:tab/>
      </w:r>
      <w:r>
        <w:tab/>
        <w:t>c)</w:t>
      </w:r>
      <w:r>
        <w:tab/>
      </w:r>
      <w:r w:rsidRPr="006872A2">
        <w:t>отсутствием всеобъемлющей национальной стратегии и нормативно-правовой базы для интеграции беженцев (пункт 2 статьи 2).</w:t>
      </w:r>
    </w:p>
    <w:p w14:paraId="59C8A8EE" w14:textId="77777777" w:rsidR="00F54089" w:rsidRPr="001742F2" w:rsidRDefault="00F54089" w:rsidP="00F54089">
      <w:pPr>
        <w:pStyle w:val="SingleTxtG"/>
        <w:rPr>
          <w:b/>
          <w:bCs/>
        </w:rPr>
      </w:pPr>
      <w:r>
        <w:t>17.</w:t>
      </w:r>
      <w:r>
        <w:tab/>
      </w:r>
      <w:r w:rsidRPr="00C740D8">
        <w:rPr>
          <w:b/>
          <w:bCs/>
        </w:rPr>
        <w:t>Комитет рекомендует государству-участнику:</w:t>
      </w:r>
    </w:p>
    <w:p w14:paraId="0205912D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>обеспечить, чтобы просители убежища были размещены в условиях, не унижающих их человеческое достоинство и удовлетворяющих их основные экономические, социальные и культурные потребности;</w:t>
      </w:r>
    </w:p>
    <w:p w14:paraId="2A9F0F3D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активизировать усилия по обеспечению беженцев достаточным жильем;</w:t>
      </w:r>
    </w:p>
    <w:p w14:paraId="3318713A" w14:textId="77777777" w:rsidR="00F54089" w:rsidRPr="001742F2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>
        <w:tab/>
      </w:r>
      <w:r>
        <w:rPr>
          <w:b/>
          <w:bCs/>
        </w:rPr>
        <w:t>разработать всеобъемлющую национальную стратегию и создать нормативно-правовую базу по интеграции беженцев на основе всесторонних консультаций с представляющими беженцев организациями, неправительственными организациями, соответствующими международными учреждениями и другими заинтересованными сторонами.</w:t>
      </w:r>
    </w:p>
    <w:p w14:paraId="4BBC9549" w14:textId="77777777" w:rsidR="00F54089" w:rsidRPr="001742F2" w:rsidRDefault="00F54089" w:rsidP="00F54089">
      <w:pPr>
        <w:pStyle w:val="H23G"/>
      </w:pPr>
      <w:r>
        <w:tab/>
      </w:r>
      <w:r>
        <w:tab/>
        <w:t>Равенство мужчин и женщин</w:t>
      </w:r>
    </w:p>
    <w:p w14:paraId="1CB7FBD8" w14:textId="77777777" w:rsidR="00F54089" w:rsidRPr="001742F2" w:rsidRDefault="00F54089" w:rsidP="00F54089">
      <w:pPr>
        <w:pStyle w:val="SingleTxtG"/>
      </w:pPr>
      <w:r>
        <w:t>18.</w:t>
      </w:r>
      <w:r>
        <w:tab/>
        <w:t>Несмотря на меры, принятые для устранения неравенства между мужчинами и женщинами, Комитет обеспокоен сохраняющимися гендерными стереотипами, сегрегацией между полами на рынке труда и в сфере образования, а также тем фактом, что на женщин накладывается дополнительное бремя в виде семейных обязанностей (статьи 3, 6, 10 и 13).</w:t>
      </w:r>
    </w:p>
    <w:p w14:paraId="59455DA4" w14:textId="77777777" w:rsidR="00F54089" w:rsidRPr="00C740D8" w:rsidRDefault="00F54089" w:rsidP="00F54089">
      <w:pPr>
        <w:pStyle w:val="SingleTxtG"/>
        <w:rPr>
          <w:b/>
          <w:bCs/>
        </w:rPr>
      </w:pPr>
      <w:r>
        <w:t>19.</w:t>
      </w:r>
      <w:r>
        <w:tab/>
      </w:r>
      <w:r w:rsidRPr="00C740D8">
        <w:rPr>
          <w:b/>
          <w:bCs/>
        </w:rPr>
        <w:t xml:space="preserve">Комитет рекомендует государству-участнику: </w:t>
      </w:r>
    </w:p>
    <w:p w14:paraId="5526440E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>устранить гендерные стереотипы, в том числе посредством проведения информационно-просветительских кампаний и школьного образования;</w:t>
      </w:r>
    </w:p>
    <w:p w14:paraId="380DA102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вести борьбу с сегрегацией между полами на рынке труда, в том числе с помощью специальных временных мер;</w:t>
      </w:r>
    </w:p>
    <w:p w14:paraId="7DE68DFC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>создать благоприятные условия и возможности для получения учащимися-женщинами образования в области науки, техники, инженерного дела и математики;</w:t>
      </w:r>
    </w:p>
    <w:p w14:paraId="10E1E899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d)</w:t>
      </w:r>
      <w:r>
        <w:tab/>
      </w:r>
      <w:r>
        <w:rPr>
          <w:b/>
          <w:bCs/>
        </w:rPr>
        <w:t>содействовать равноправному совместному исполнению семейных обязанностей мужчинами и женщинами, в частности за счет улучшения ситуации, связанной с наличием и доступностью услуг по уходу за детьми.</w:t>
      </w:r>
    </w:p>
    <w:p w14:paraId="45A4E65C" w14:textId="77777777" w:rsidR="00F54089" w:rsidRPr="001742F2" w:rsidRDefault="00F54089" w:rsidP="00F54089">
      <w:pPr>
        <w:pStyle w:val="H23G"/>
      </w:pPr>
      <w:r>
        <w:tab/>
      </w:r>
      <w:r>
        <w:tab/>
        <w:t>Неравенство в оплате труда мужчин и женщин</w:t>
      </w:r>
    </w:p>
    <w:p w14:paraId="62263AC6" w14:textId="77777777" w:rsidR="00F54089" w:rsidRPr="001742F2" w:rsidRDefault="00F54089" w:rsidP="00F54089">
      <w:pPr>
        <w:pStyle w:val="SingleTxtG"/>
      </w:pPr>
      <w:r>
        <w:t>20.</w:t>
      </w:r>
      <w:r>
        <w:tab/>
        <w:t xml:space="preserve">Отмечая усилия государства-участника по выявлению и устранению коренных причин неравенства в оплате труда мужчин и женщин и некоторое сокращение такого неравенства в последние годы, Комитет в то же время обеспокоен тем, что неравенство в оплате труда мужчин и женщин остается значительным и оказывает негативное воздействие на осуществление женщинами предусмотренных Пактом прав на </w:t>
      </w:r>
      <w:r>
        <w:lastRenderedPageBreak/>
        <w:t xml:space="preserve">протяжении всей жизни, особенно в том, что касается прав на социальное обеспечение и достаточный уровень жизни (статьи 3, 7, 9 и 11). </w:t>
      </w:r>
    </w:p>
    <w:p w14:paraId="6FA9B896" w14:textId="77777777" w:rsidR="00F54089" w:rsidRPr="001742F2" w:rsidRDefault="00F54089" w:rsidP="00F54089">
      <w:pPr>
        <w:pStyle w:val="SingleTxtG"/>
        <w:rPr>
          <w:b/>
          <w:bCs/>
        </w:rPr>
      </w:pPr>
      <w:r>
        <w:t>21.</w:t>
      </w:r>
      <w:r>
        <w:tab/>
      </w:r>
      <w:r w:rsidRPr="00C740D8">
        <w:rPr>
          <w:b/>
          <w:bCs/>
        </w:rPr>
        <w:t xml:space="preserve">Комитет рекомендует государству-участнику активизировать свои усилия по устранению коренных причин неравенства в оплате труда мужчин и женщин и устранить эту проблему, в том числе посредством скорейшего принятия </w:t>
      </w:r>
      <w:r>
        <w:rPr>
          <w:b/>
          <w:bCs/>
        </w:rPr>
        <w:t xml:space="preserve">находящихся на рассмотрении </w:t>
      </w:r>
      <w:r w:rsidRPr="00C740D8">
        <w:rPr>
          <w:b/>
          <w:bCs/>
        </w:rPr>
        <w:t xml:space="preserve">поправок </w:t>
      </w:r>
      <w:r>
        <w:rPr>
          <w:b/>
          <w:bCs/>
        </w:rPr>
        <w:t xml:space="preserve">к Закону о гендерном равенстве </w:t>
      </w:r>
      <w:r w:rsidRPr="00C740D8">
        <w:rPr>
          <w:b/>
          <w:bCs/>
        </w:rPr>
        <w:t xml:space="preserve">и полного осуществления Плана повышения уровня благосостояния на </w:t>
      </w:r>
      <w:r>
        <w:rPr>
          <w:b/>
          <w:bCs/>
        </w:rPr>
        <w:br/>
      </w:r>
      <w:r w:rsidRPr="00C740D8">
        <w:rPr>
          <w:b/>
          <w:bCs/>
        </w:rPr>
        <w:t>2016–2023 годы</w:t>
      </w:r>
      <w:r>
        <w:t xml:space="preserve">. </w:t>
      </w:r>
      <w:r>
        <w:rPr>
          <w:b/>
          <w:bCs/>
        </w:rPr>
        <w:t>Он также рекомендует обеспечить эффективное соблюдение принципа равного вознаграждения за труд равной ценности посредством обязательного раскрытия информации о заработной плате и проведения инспекций труда.</w:t>
      </w:r>
    </w:p>
    <w:p w14:paraId="5D1B3998" w14:textId="77777777" w:rsidR="00F54089" w:rsidRPr="001742F2" w:rsidRDefault="00F54089" w:rsidP="00F54089">
      <w:pPr>
        <w:pStyle w:val="H23G"/>
      </w:pPr>
      <w:r>
        <w:tab/>
      </w:r>
      <w:r>
        <w:tab/>
        <w:t>Право на труд</w:t>
      </w:r>
    </w:p>
    <w:p w14:paraId="787D53A8" w14:textId="77777777" w:rsidR="00F54089" w:rsidRPr="001742F2" w:rsidRDefault="00F54089" w:rsidP="00F54089">
      <w:pPr>
        <w:pStyle w:val="SingleTxtG"/>
      </w:pPr>
      <w:r>
        <w:t>22.</w:t>
      </w:r>
      <w:r>
        <w:tab/>
        <w:t>Приветствуя снижение уровня безработицы, Комитет вместе с тем обеспокоен структурными причинами безработицы в государстве-участнике в связи с быстрыми изменениями на рынке труда и промышленной реструктуризацией, особенно в текстильной и сланцевой отраслях, а также несоответствием между профессиональными навыками рабочей силы и квалификацией, которая требуется на рынке труда (статья 6).</w:t>
      </w:r>
    </w:p>
    <w:p w14:paraId="7AFF5342" w14:textId="77777777" w:rsidR="00F54089" w:rsidRPr="001742F2" w:rsidRDefault="00F54089" w:rsidP="00F54089">
      <w:pPr>
        <w:pStyle w:val="SingleTxtG"/>
        <w:rPr>
          <w:b/>
          <w:bCs/>
        </w:rPr>
      </w:pPr>
      <w:r>
        <w:t>23.</w:t>
      </w:r>
      <w:r>
        <w:tab/>
      </w:r>
      <w:r w:rsidRPr="00C740D8">
        <w:rPr>
          <w:b/>
          <w:bCs/>
        </w:rPr>
        <w:t xml:space="preserve">Комитет рекомендует государству-участнику активизировать усилия по совершенствованию своих программ профессионально-технического образования и подготовки, с тем чтобы обеспечить трудящихся навыками и знаниями, отвечающими изменяющимся потребностям рынка труда. Он также рекомендует государству-участнику обеспечить, чтобы трудящиеся, которых </w:t>
      </w:r>
      <w:r>
        <w:rPr>
          <w:b/>
          <w:bCs/>
        </w:rPr>
        <w:t>коснулась реструктуризация промышленности и переход на возобновляемые источники энергии, в том числе занятые в текстильной и сланцевой отраслях, могли эффективно и плавно перейти на новые виды деятельности, позволяющие им поддерживать достаточный уровень жизни.</w:t>
      </w:r>
    </w:p>
    <w:p w14:paraId="3029F54D" w14:textId="77777777" w:rsidR="00F54089" w:rsidRPr="001742F2" w:rsidRDefault="00F54089" w:rsidP="00F54089">
      <w:pPr>
        <w:pStyle w:val="H23G"/>
      </w:pPr>
      <w:r>
        <w:tab/>
      </w:r>
      <w:r>
        <w:tab/>
        <w:t>Безопасность и гигиена труда</w:t>
      </w:r>
    </w:p>
    <w:p w14:paraId="54B45B38" w14:textId="77777777" w:rsidR="00F54089" w:rsidRPr="001742F2" w:rsidRDefault="00F54089" w:rsidP="00F54089">
      <w:pPr>
        <w:pStyle w:val="SingleTxtG"/>
      </w:pPr>
      <w:r>
        <w:t>24.</w:t>
      </w:r>
      <w:r>
        <w:tab/>
      </w:r>
      <w:r w:rsidRPr="00BA3ED8">
        <w:t>Принимая к сведению разъяснение делегации о том, что статистические расхождения объясняются применением различных методов сбора данных, Комитет по-прежнему обеспокоен тем, что собранные государством-участником данные не отражают фактического числа несчастных случаев на производстве и профессиональных заболеваний.</w:t>
      </w:r>
      <w:r>
        <w:t xml:space="preserve"> Он также обеспокоен увеличением числа несчастных случаев на производстве в последние годы. Он сожалеет об отсутствии всеобъемлющих данных о положении в области безопасности и гигиены труда за отчетный период (статьи 7 и 12).</w:t>
      </w:r>
    </w:p>
    <w:p w14:paraId="261C61CA" w14:textId="77777777" w:rsidR="00F54089" w:rsidRPr="001742F2" w:rsidRDefault="00F54089" w:rsidP="00F54089">
      <w:pPr>
        <w:pStyle w:val="SingleTxtG"/>
        <w:rPr>
          <w:b/>
          <w:bCs/>
        </w:rPr>
      </w:pPr>
      <w:r>
        <w:t>25.</w:t>
      </w:r>
      <w:r>
        <w:tab/>
      </w:r>
      <w:r w:rsidRPr="00C740D8">
        <w:rPr>
          <w:b/>
          <w:bCs/>
        </w:rPr>
        <w:t>Комитет рекомендует государству-участнику:</w:t>
      </w:r>
    </w:p>
    <w:p w14:paraId="29E0522F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>совершенствовать систему сбора данных в области безопасности и гигиены труда;</w:t>
      </w:r>
    </w:p>
    <w:p w14:paraId="1DBD99B6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осуществлять меры по профилактике и снижению риска несчастных случаев на производстве и профессиональных заболеваний;</w:t>
      </w:r>
    </w:p>
    <w:p w14:paraId="0DBE9D48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 xml:space="preserve">укрепить потенциал Инспекции труда в области контроля за условиями труда, в том числе путем увеличения ее финансовых и людских ресурсов; </w:t>
      </w:r>
    </w:p>
    <w:p w14:paraId="64A4958A" w14:textId="77777777" w:rsidR="00F54089" w:rsidRPr="001742F2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d)</w:t>
      </w:r>
      <w:r w:rsidRPr="00F54089">
        <w:rPr>
          <w:b/>
        </w:rPr>
        <w:tab/>
      </w:r>
      <w:r w:rsidRPr="00F54089">
        <w:rPr>
          <w:b/>
          <w:bCs/>
        </w:rPr>
        <w:t>с</w:t>
      </w:r>
      <w:r>
        <w:rPr>
          <w:b/>
          <w:bCs/>
        </w:rPr>
        <w:t>оздать систему медицинского страхования на рабочем месте.</w:t>
      </w:r>
    </w:p>
    <w:p w14:paraId="1909CCCA" w14:textId="77777777" w:rsidR="00F54089" w:rsidRPr="001742F2" w:rsidRDefault="00F54089" w:rsidP="00F54089">
      <w:pPr>
        <w:pStyle w:val="H23G"/>
      </w:pPr>
      <w:r>
        <w:tab/>
      </w:r>
      <w:r>
        <w:tab/>
        <w:t>Профсоюзные права</w:t>
      </w:r>
    </w:p>
    <w:p w14:paraId="28022C50" w14:textId="77777777" w:rsidR="00F54089" w:rsidRPr="001742F2" w:rsidRDefault="00F54089" w:rsidP="00F54089">
      <w:pPr>
        <w:pStyle w:val="SingleTxtG"/>
      </w:pPr>
      <w:r>
        <w:t>26.</w:t>
      </w:r>
      <w:r>
        <w:tab/>
        <w:t xml:space="preserve">Несмотря на разъяснения делегации, Комитет по-прежнему обеспокоен тем, что статья 59 Закона о гражданской службе не позволяет гражданским служащим осуществлять свое право на забастовку или принимать участие в других коллективных мероприятиях по оказанию воздействия, которые препятствуют выполнению функций </w:t>
      </w:r>
      <w:r>
        <w:lastRenderedPageBreak/>
        <w:t xml:space="preserve">органа, осуществляющего набор персонала, или других органов, как это предусмотрено в этом законе (статья 8). </w:t>
      </w:r>
    </w:p>
    <w:p w14:paraId="766AC51D" w14:textId="77777777" w:rsidR="00F54089" w:rsidRPr="000E0BF1" w:rsidRDefault="00F54089" w:rsidP="00F54089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пересмотреть Закон о гражданской службе, с тем чтобы позволить гражданским служащим, которые не заняты предоставлением жизненно важных услуг, осуществлять свое право на забастовку в соответствии со статьей 8 Пакта и Конвенцией Международной организации труда 1948 года о с</w:t>
      </w:r>
      <w:r w:rsidRPr="0016344A">
        <w:rPr>
          <w:b/>
          <w:bCs/>
        </w:rPr>
        <w:t xml:space="preserve">вободе объединений и защите </w:t>
      </w:r>
      <w:r>
        <w:rPr>
          <w:b/>
          <w:bCs/>
        </w:rPr>
        <w:t>п</w:t>
      </w:r>
      <w:r w:rsidRPr="0016344A">
        <w:rPr>
          <w:b/>
          <w:bCs/>
        </w:rPr>
        <w:t>рава объединяться в профсоюзы</w:t>
      </w:r>
      <w:r>
        <w:rPr>
          <w:b/>
          <w:bCs/>
        </w:rPr>
        <w:t xml:space="preserve"> (№ 87).</w:t>
      </w:r>
    </w:p>
    <w:p w14:paraId="7918D162" w14:textId="77777777" w:rsidR="00F54089" w:rsidRPr="0016344A" w:rsidRDefault="00F54089" w:rsidP="00F54089">
      <w:pPr>
        <w:pStyle w:val="H23G"/>
      </w:pPr>
      <w:r w:rsidRPr="0016344A">
        <w:tab/>
      </w:r>
      <w:r w:rsidRPr="0016344A">
        <w:tab/>
        <w:t>Пенсия по старости</w:t>
      </w:r>
    </w:p>
    <w:p w14:paraId="48259383" w14:textId="77777777" w:rsidR="00F54089" w:rsidRPr="001742F2" w:rsidRDefault="00F54089" w:rsidP="00F54089">
      <w:pPr>
        <w:pStyle w:val="SingleTxtG"/>
      </w:pPr>
      <w:r>
        <w:t>28.</w:t>
      </w:r>
      <w:r>
        <w:tab/>
        <w:t>Комитет обеспокоен тем, что уровень государственного пенсионного страхования (раздел I плана пенсионных выплат по старости), который находится ниже порогового показателя риска обнищания, не позволяет обеспечить достаточный уровень жизни</w:t>
      </w:r>
      <w:r w:rsidRPr="00232015">
        <w:t xml:space="preserve"> </w:t>
      </w:r>
      <w:r>
        <w:t xml:space="preserve">бенефициаров. Он также обеспокоен тем, что это обусловило высокий уровень относительной бедности (47,5%) среди лиц старше 65 лет. Он также обеспокоен тем, что план обязательной накопительной пенсии (раздел II) не охватывает самостоятельно занятых лиц и что его охват среди лиц, родившихся в 1942–1982 годах, составляет лишь 62% (статья 9). </w:t>
      </w:r>
    </w:p>
    <w:p w14:paraId="6498EC9E" w14:textId="77777777" w:rsidR="00F54089" w:rsidRPr="001742F2" w:rsidRDefault="00F54089" w:rsidP="00F54089">
      <w:pPr>
        <w:pStyle w:val="SingleTxtG"/>
        <w:rPr>
          <w:b/>
          <w:bCs/>
        </w:rPr>
      </w:pPr>
      <w:r>
        <w:t>29.</w:t>
      </w:r>
      <w:r>
        <w:tab/>
      </w:r>
      <w:r w:rsidRPr="008670E8">
        <w:rPr>
          <w:b/>
          <w:bCs/>
        </w:rPr>
        <w:t>Комитет рекомендует государству-участнику обеспечить, чтобы уровень пособий по государственному пенсионному страхованию был достаточным для обеспечения бенефициарам, в особенности живущим в одиночестве, достаточного уровня жизни и сокращения доли пенсионеров, подверженных риску оказаться в бедности. Он также рекомендует государству-участнику распространить действие системы обязательной накопительной пенсии на самозанятых лиц и вновь предоставить возможность лицам, родившимся в период между 1942 и</w:t>
      </w:r>
      <w:r>
        <w:rPr>
          <w:b/>
          <w:bCs/>
        </w:rPr>
        <w:t xml:space="preserve"> </w:t>
      </w:r>
      <w:r w:rsidRPr="008670E8">
        <w:rPr>
          <w:b/>
          <w:bCs/>
        </w:rPr>
        <w:t>1982</w:t>
      </w:r>
      <w:r>
        <w:rPr>
          <w:b/>
          <w:bCs/>
        </w:rPr>
        <w:t> </w:t>
      </w:r>
      <w:r w:rsidRPr="008670E8">
        <w:rPr>
          <w:b/>
          <w:bCs/>
        </w:rPr>
        <w:t>годами, зарегистрироваться в системе пенсионного обеспечения. В этой связи Комитет обращает внимание государства-участника на свое замечание общего порядка № 19 (2008) о праве на социальное обеспечение.</w:t>
      </w:r>
      <w:r>
        <w:t xml:space="preserve"> </w:t>
      </w:r>
    </w:p>
    <w:p w14:paraId="59BA560B" w14:textId="77777777" w:rsidR="00F54089" w:rsidRPr="001742F2" w:rsidRDefault="00F54089" w:rsidP="00F54089">
      <w:pPr>
        <w:pStyle w:val="H23G"/>
      </w:pPr>
      <w:r>
        <w:tab/>
      </w:r>
      <w:r>
        <w:tab/>
        <w:t>Пособия по безработице</w:t>
      </w:r>
    </w:p>
    <w:p w14:paraId="5C83CC5F" w14:textId="77777777" w:rsidR="00F54089" w:rsidRPr="001742F2" w:rsidRDefault="00F54089" w:rsidP="00F54089">
      <w:pPr>
        <w:pStyle w:val="SingleTxtG"/>
      </w:pPr>
      <w:r>
        <w:t>30.</w:t>
      </w:r>
      <w:r>
        <w:tab/>
        <w:t xml:space="preserve">Комитет вновь выражает свою обеспокоенность в связи с тем, что пособие по страхованию на случай безработицы не выплачивается в тех случаях, когда трудовой договор был расторгнут по вине работника. Комитет также обеспокоен низким уровнем охвата пособием по безработице и программами пособий по безработице, а также недостаточным объемом этих пособий для обеспечения надлежащего уровня жизни их получателей (статья 9). </w:t>
      </w:r>
    </w:p>
    <w:p w14:paraId="47443353" w14:textId="77777777" w:rsidR="00F54089" w:rsidRPr="008670E8" w:rsidRDefault="00F54089" w:rsidP="00F54089">
      <w:pPr>
        <w:pStyle w:val="SingleTxtG"/>
        <w:rPr>
          <w:b/>
          <w:bCs/>
        </w:rPr>
      </w:pPr>
      <w:r>
        <w:t>31.</w:t>
      </w:r>
      <w:r>
        <w:tab/>
      </w:r>
      <w:r w:rsidRPr="008670E8">
        <w:rPr>
          <w:b/>
          <w:bCs/>
        </w:rPr>
        <w:t>Комитет повторяет свою предыдущую рекомендацию о том, чтобы государство-участник отменило условие о выплате пособий по безработице, касающееся причины расторжения трудового договора. Он также рекомендует государству-участнику обеспечить, чтобы выплаты пособий по безработице распространялись на всех трудящихся, включая самозанятых и работников неформального сектора экономики, и чтобы уровень этих пособий был достаточным для обеспечения их получателям надлежащего уровня жизни.</w:t>
      </w:r>
    </w:p>
    <w:p w14:paraId="1E71D6B0" w14:textId="77777777" w:rsidR="00F54089" w:rsidRPr="001742F2" w:rsidRDefault="00F54089" w:rsidP="00F54089">
      <w:pPr>
        <w:pStyle w:val="H23G"/>
      </w:pPr>
      <w:r>
        <w:tab/>
      </w:r>
      <w:r>
        <w:tab/>
        <w:t xml:space="preserve">Минимальный возраст вступления в брак </w:t>
      </w:r>
    </w:p>
    <w:p w14:paraId="1045E81F" w14:textId="77777777" w:rsidR="00F54089" w:rsidRPr="001742F2" w:rsidRDefault="00F54089" w:rsidP="00F54089">
      <w:pPr>
        <w:pStyle w:val="SingleTxtG"/>
      </w:pPr>
      <w:r>
        <w:t>32.</w:t>
      </w:r>
      <w:r>
        <w:tab/>
        <w:t>Отмечая, что детские браки заключаются крайне редко, Комитет по-прежнему обеспокоен тем, что в соответствии с Законом о семье детям в возрасте 15 лет и старше в исключительных случаях может быть разрешено вступить в брак по решению суда.</w:t>
      </w:r>
    </w:p>
    <w:p w14:paraId="64E699FE" w14:textId="77777777" w:rsidR="00F54089" w:rsidRPr="008670E8" w:rsidRDefault="00F54089" w:rsidP="00F54089">
      <w:pPr>
        <w:pStyle w:val="SingleTxtG"/>
        <w:rPr>
          <w:b/>
          <w:bCs/>
        </w:rPr>
      </w:pPr>
      <w:r>
        <w:t>33.</w:t>
      </w:r>
      <w:r>
        <w:tab/>
      </w:r>
      <w:r w:rsidRPr="008670E8">
        <w:rPr>
          <w:b/>
          <w:bCs/>
        </w:rPr>
        <w:t>Комитет рекомендует государству-участнику пересмотреть свое законодательство, с</w:t>
      </w:r>
      <w:r>
        <w:rPr>
          <w:b/>
          <w:bCs/>
        </w:rPr>
        <w:t xml:space="preserve"> тем чтобы четко у</w:t>
      </w:r>
      <w:r w:rsidRPr="008670E8">
        <w:rPr>
          <w:b/>
          <w:bCs/>
        </w:rPr>
        <w:t>становить минимальный возраст вступления в брак, который составляет 18 лет как для девочек, так и для мальчиков, а также принять все необходимые меры для искоренения практики вступления детей в брак.</w:t>
      </w:r>
    </w:p>
    <w:p w14:paraId="7DAE8FF8" w14:textId="77777777" w:rsidR="00F54089" w:rsidRPr="001742F2" w:rsidRDefault="00F54089" w:rsidP="00F54089">
      <w:pPr>
        <w:pStyle w:val="H23G"/>
      </w:pPr>
      <w:r>
        <w:lastRenderedPageBreak/>
        <w:tab/>
      </w:r>
      <w:r>
        <w:tab/>
        <w:t>Насилие в семье</w:t>
      </w:r>
    </w:p>
    <w:p w14:paraId="2CD6101C" w14:textId="77777777" w:rsidR="00F54089" w:rsidRPr="001742F2" w:rsidRDefault="00F54089" w:rsidP="00F54089">
      <w:pPr>
        <w:pStyle w:val="SingleTxtG"/>
      </w:pPr>
      <w:r>
        <w:t>34.</w:t>
      </w:r>
      <w:r>
        <w:tab/>
        <w:t xml:space="preserve">Комитет обеспокоен широким распространением случаев насилия в семье в </w:t>
      </w:r>
      <w:proofErr w:type="gramStart"/>
      <w:r>
        <w:t>государстве-участнике, несмотря на то, что</w:t>
      </w:r>
      <w:proofErr w:type="gramEnd"/>
      <w:r>
        <w:t xml:space="preserve"> насилие в семье было квалифицировано в качестве уголовного преступления в Уголовном кодексе, а также отсутствием конкретного закона по вопросам насилия в семье и общественного восприятия насилия в семье как внутренней проблемы (статья 10). </w:t>
      </w:r>
    </w:p>
    <w:p w14:paraId="2B34D51E" w14:textId="77777777" w:rsidR="00F54089" w:rsidRPr="001742F2" w:rsidRDefault="00F54089" w:rsidP="00F54089">
      <w:pPr>
        <w:pStyle w:val="SingleTxtG"/>
        <w:rPr>
          <w:b/>
          <w:bCs/>
        </w:rPr>
      </w:pPr>
      <w:r>
        <w:t>35.</w:t>
      </w:r>
      <w:r>
        <w:tab/>
      </w:r>
      <w:r w:rsidRPr="008670E8">
        <w:rPr>
          <w:b/>
          <w:bCs/>
        </w:rPr>
        <w:t xml:space="preserve">Комитет рекомендует государству-участнику принять специальный закон в отношении случаев насилия в семье и активизировать свои усилия </w:t>
      </w:r>
      <w:r>
        <w:rPr>
          <w:b/>
          <w:bCs/>
        </w:rPr>
        <w:t>посредством реализации</w:t>
      </w:r>
      <w:r w:rsidRPr="008670E8">
        <w:rPr>
          <w:b/>
          <w:bCs/>
        </w:rPr>
        <w:t xml:space="preserve"> национальной стратегии предупреждения насилия на 2015</w:t>
      </w:r>
      <w:r>
        <w:rPr>
          <w:b/>
          <w:bCs/>
        </w:rPr>
        <w:t>–</w:t>
      </w:r>
      <w:r w:rsidRPr="008670E8">
        <w:rPr>
          <w:b/>
          <w:bCs/>
        </w:rPr>
        <w:t>2020 годы и Закона помощи жертвам с целью:</w:t>
      </w:r>
    </w:p>
    <w:p w14:paraId="24E0BCA9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</w:rPr>
        <w:tab/>
      </w:r>
      <w:r w:rsidRPr="00F54089">
        <w:rPr>
          <w:b/>
          <w:bCs/>
        </w:rPr>
        <w:t xml:space="preserve">поощрения подачи жалоб на случаи насилия в семье; </w:t>
      </w:r>
    </w:p>
    <w:p w14:paraId="5CB27449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>обеспечения оперативного и тщательного расследования всех зарегистрированных случаев насилия в семье и наказания виновных;</w:t>
      </w:r>
    </w:p>
    <w:p w14:paraId="45240D01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>предоставления жертвам насилия в семье всей необходимой правовой, медицинской, финансовой и психологической помощи;</w:t>
      </w:r>
    </w:p>
    <w:p w14:paraId="1313BC34" w14:textId="77777777" w:rsidR="00F54089" w:rsidRPr="008670E8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d)</w:t>
      </w:r>
      <w:r w:rsidRPr="00F54089">
        <w:rPr>
          <w:b/>
        </w:rPr>
        <w:tab/>
      </w:r>
      <w:r w:rsidRPr="00F54089">
        <w:rPr>
          <w:b/>
          <w:bCs/>
        </w:rPr>
        <w:t>п</w:t>
      </w:r>
      <w:r w:rsidRPr="008670E8">
        <w:rPr>
          <w:b/>
          <w:bCs/>
        </w:rPr>
        <w:t>овышения осведомленности общественности для осознания ею тяжести и уголовного характера преступлений, связанных с насилием в семье.</w:t>
      </w:r>
    </w:p>
    <w:p w14:paraId="7727CC63" w14:textId="77777777" w:rsidR="00F54089" w:rsidRPr="001742F2" w:rsidRDefault="00F54089" w:rsidP="00F54089">
      <w:pPr>
        <w:pStyle w:val="H23G"/>
      </w:pPr>
      <w:r>
        <w:tab/>
      </w:r>
      <w:r>
        <w:tab/>
        <w:t>Бедность и неравенство</w:t>
      </w:r>
    </w:p>
    <w:p w14:paraId="4CD8E654" w14:textId="77777777" w:rsidR="00F54089" w:rsidRPr="001742F2" w:rsidRDefault="00F54089" w:rsidP="00F54089">
      <w:pPr>
        <w:pStyle w:val="SingleTxtG"/>
      </w:pPr>
      <w:r>
        <w:t>36.</w:t>
      </w:r>
      <w:r>
        <w:tab/>
      </w:r>
      <w:r w:rsidRPr="00184CCC">
        <w:t xml:space="preserve">Приветствуя значительное снижение за отчетный период уровня абсолютной бедности, Комитет в то же время обеспокоен повышением доли </w:t>
      </w:r>
      <w:r>
        <w:t xml:space="preserve">лиц, </w:t>
      </w:r>
      <w:r w:rsidRPr="00184CCC">
        <w:t>подверженных риску бедности</w:t>
      </w:r>
      <w:r>
        <w:t>,</w:t>
      </w:r>
      <w:r w:rsidRPr="00184CCC">
        <w:t xml:space="preserve"> и тем, что масштабы бедности, как в абсолютном, так и в относительном выражении, остаются высокими среди безработных, неполных семей и многодетных семей.</w:t>
      </w:r>
      <w:r>
        <w:t xml:space="preserve"> Он также обеспокоен тем, что, поскольку нынешний пороговый уровень отрицательного подоходного налога (500 евро) ниже минимального уровня заработной платы (540 евро в 2019 году) и с учетом повышения </w:t>
      </w:r>
      <w:r w:rsidRPr="00184CCC">
        <w:t xml:space="preserve">доли </w:t>
      </w:r>
      <w:r>
        <w:t xml:space="preserve">лиц, </w:t>
      </w:r>
      <w:r w:rsidRPr="00184CCC">
        <w:t>подверженных риску бедности</w:t>
      </w:r>
      <w:r>
        <w:t>,</w:t>
      </w:r>
      <w:r w:rsidRPr="00184CCC">
        <w:t xml:space="preserve"> </w:t>
      </w:r>
      <w:r>
        <w:t>единая ставка подоходного налога c физических лиц в государстве-участнике (20%) может негативно сказаться на таких подверженных риску бедности лицах и может быть недостаточно прогрессивной для достижения перераспределения средств (статья 11).</w:t>
      </w:r>
    </w:p>
    <w:p w14:paraId="380901CD" w14:textId="77777777" w:rsidR="00F54089" w:rsidRPr="008670E8" w:rsidRDefault="00F54089" w:rsidP="00F54089">
      <w:pPr>
        <w:pStyle w:val="SingleTxtG"/>
        <w:rPr>
          <w:b/>
          <w:bCs/>
        </w:rPr>
      </w:pPr>
      <w:r>
        <w:t>37.</w:t>
      </w:r>
      <w:r>
        <w:tab/>
      </w:r>
      <w:r w:rsidRPr="008670E8">
        <w:rPr>
          <w:b/>
          <w:bCs/>
        </w:rPr>
        <w:t>Комитет настоятельно призывает государство-участник принять эффективные меры для с</w:t>
      </w:r>
      <w:r>
        <w:rPr>
          <w:b/>
          <w:bCs/>
        </w:rPr>
        <w:t>окращения</w:t>
      </w:r>
      <w:r w:rsidRPr="008670E8">
        <w:rPr>
          <w:b/>
          <w:bCs/>
        </w:rPr>
        <w:t xml:space="preserve"> высоко</w:t>
      </w:r>
      <w:r>
        <w:rPr>
          <w:b/>
          <w:bCs/>
        </w:rPr>
        <w:t>й</w:t>
      </w:r>
      <w:r w:rsidRPr="008670E8">
        <w:rPr>
          <w:b/>
          <w:bCs/>
        </w:rPr>
        <w:t xml:space="preserve"> доли </w:t>
      </w:r>
      <w:r>
        <w:rPr>
          <w:b/>
          <w:bCs/>
        </w:rPr>
        <w:t xml:space="preserve">лиц, </w:t>
      </w:r>
      <w:r w:rsidRPr="008670E8">
        <w:rPr>
          <w:b/>
          <w:bCs/>
        </w:rPr>
        <w:t xml:space="preserve">подверженных риску бедности, в том числе посредством оказания надлежащей социальной помощи и услуг по обеспечению активной занятости, а также принять все возможные меры для охвата наиболее обездоленных лиц, живущих за чертой абсолютной бедности. Комитет также рекомендует государству-участнику пересмотреть свою </w:t>
      </w:r>
      <w:r>
        <w:rPr>
          <w:b/>
          <w:bCs/>
        </w:rPr>
        <w:t>бюджетно-налоговую</w:t>
      </w:r>
      <w:r w:rsidRPr="008670E8">
        <w:rPr>
          <w:b/>
          <w:bCs/>
        </w:rPr>
        <w:t xml:space="preserve"> политику с целью уменьшения масштабов бедности и осуществлять меры по развитию этой политики для сокращения неравенства.</w:t>
      </w:r>
    </w:p>
    <w:p w14:paraId="4C96F4C8" w14:textId="77777777" w:rsidR="00F54089" w:rsidRPr="001742F2" w:rsidRDefault="00F54089" w:rsidP="00F54089">
      <w:pPr>
        <w:pStyle w:val="H23G"/>
      </w:pPr>
      <w:r>
        <w:tab/>
      </w:r>
      <w:r>
        <w:tab/>
        <w:t>Право на жилище</w:t>
      </w:r>
    </w:p>
    <w:p w14:paraId="5639784B" w14:textId="77777777" w:rsidR="00F54089" w:rsidRPr="001742F2" w:rsidRDefault="00F54089" w:rsidP="00F54089">
      <w:pPr>
        <w:pStyle w:val="SingleTxtG"/>
      </w:pPr>
      <w:r>
        <w:t>38.</w:t>
      </w:r>
      <w:r>
        <w:tab/>
        <w:t xml:space="preserve">Комитет обеспокоен нехваткой жилья, особенно социального </w:t>
      </w:r>
      <w:proofErr w:type="gramStart"/>
      <w:r>
        <w:t>жилья, несмотря на то, что</w:t>
      </w:r>
      <w:proofErr w:type="gramEnd"/>
      <w:r>
        <w:t xml:space="preserve"> в последние годы государство инвестирует средства в эту сферу. Он также сожалеет об отсутствии за отчетный период статистических данных о жилье, особенно о наличии социального жилья в зависимости от потребностей (например, в периоды ожидания социального жилья), масштабах бездомности, плохих или неудовлетворительных жилищных условий, а также о предусмотренных внутренним законодательством материальных и процессуальных гарантиях в случае выселения (статья 11). </w:t>
      </w:r>
    </w:p>
    <w:p w14:paraId="75C8B4B4" w14:textId="77777777" w:rsidR="00F54089" w:rsidRPr="008670E8" w:rsidRDefault="00F54089" w:rsidP="00F54089">
      <w:pPr>
        <w:pStyle w:val="SingleTxtG"/>
        <w:rPr>
          <w:b/>
          <w:bCs/>
        </w:rPr>
      </w:pPr>
      <w:r>
        <w:t>39.</w:t>
      </w:r>
      <w:r>
        <w:tab/>
      </w:r>
      <w:r w:rsidRPr="008670E8">
        <w:rPr>
          <w:b/>
          <w:bCs/>
        </w:rPr>
        <w:t xml:space="preserve">Комитет повторяет свои предыдущие рекомендации государству-участнику решить проблему нехватки жилья, особенно социального жилья лиц и групп, находящихся в неблагоприятном и маргинальном положении. Он также просит государство-участник включить в свой следующий периодический доклад информацию, касающуюся жилья, в частности о масштабах бездомности и лицах, живущих в плохих или неудовлетворительных жилищных условиях, </w:t>
      </w:r>
      <w:r w:rsidRPr="008670E8">
        <w:rPr>
          <w:b/>
          <w:bCs/>
        </w:rPr>
        <w:lastRenderedPageBreak/>
        <w:t xml:space="preserve">данных о предоставлении социального жилья в зависимости от потребностей, а также </w:t>
      </w:r>
      <w:r>
        <w:rPr>
          <w:b/>
          <w:bCs/>
        </w:rPr>
        <w:t xml:space="preserve">о </w:t>
      </w:r>
      <w:r w:rsidRPr="008670E8">
        <w:rPr>
          <w:b/>
          <w:bCs/>
        </w:rPr>
        <w:t>закрепленных во внутреннем законодательстве материальных и процессуальн</w:t>
      </w:r>
      <w:r>
        <w:rPr>
          <w:b/>
          <w:bCs/>
        </w:rPr>
        <w:t>ых гарантиях в случае выселения</w:t>
      </w:r>
      <w:r w:rsidRPr="008670E8">
        <w:rPr>
          <w:b/>
          <w:bCs/>
        </w:rPr>
        <w:t>. Комитет обращает внимание государства-участника на свое замечание общего порядка № 4 (1991) о праве на достаточное жилище и № 7 (1997) о принудительном выселении.</w:t>
      </w:r>
    </w:p>
    <w:p w14:paraId="2FC946F7" w14:textId="77777777" w:rsidR="00F54089" w:rsidRPr="001742F2" w:rsidRDefault="00F54089" w:rsidP="00F54089">
      <w:pPr>
        <w:pStyle w:val="H23G"/>
      </w:pPr>
      <w:r>
        <w:tab/>
      </w:r>
      <w:r>
        <w:tab/>
        <w:t>Право на воду</w:t>
      </w:r>
    </w:p>
    <w:p w14:paraId="57B44905" w14:textId="77777777" w:rsidR="00F54089" w:rsidRPr="001742F2" w:rsidRDefault="00F54089" w:rsidP="00F54089">
      <w:pPr>
        <w:pStyle w:val="SingleTxtG"/>
      </w:pPr>
      <w:r>
        <w:t>40.</w:t>
      </w:r>
      <w:r>
        <w:tab/>
        <w:t xml:space="preserve">Комитет обеспокоен чрезмерным содержанием фтористых соединений и бора в 7,2% от общего объема воды в системах водоснабжения в государстве-участнике. Он также обеспокоен значительным содержанием радона в подземных водах на севере Эстонии, которое, как сообщается, тесно связано со случаями возникновения различных раковых заболеваний среди пострадавшего населения и может подвергать работников, отвечающих за очистку фильтров, высокому риску возникновения негативных последствий для их здоровья (статьи 11 и 12). </w:t>
      </w:r>
    </w:p>
    <w:p w14:paraId="3A62361C" w14:textId="77777777" w:rsidR="00F54089" w:rsidRPr="008670E8" w:rsidRDefault="00F54089" w:rsidP="00F54089">
      <w:pPr>
        <w:pStyle w:val="SingleTxtG"/>
        <w:rPr>
          <w:b/>
          <w:bCs/>
        </w:rPr>
      </w:pPr>
      <w:r>
        <w:t>41.</w:t>
      </w:r>
      <w:r>
        <w:tab/>
      </w:r>
      <w:r w:rsidRPr="008670E8">
        <w:rPr>
          <w:b/>
          <w:bCs/>
        </w:rPr>
        <w:t>Комитет настоятельно призывает государство-участник принять незамедлительные меры с целью:</w:t>
      </w:r>
    </w:p>
    <w:p w14:paraId="64C29C39" w14:textId="77777777" w:rsidR="00F54089" w:rsidRPr="00F54089" w:rsidRDefault="00F54089" w:rsidP="00F54089">
      <w:pPr>
        <w:pStyle w:val="SingleTxtG"/>
        <w:rPr>
          <w:b/>
          <w:bCs/>
        </w:rPr>
      </w:pPr>
      <w:r>
        <w:tab/>
      </w:r>
      <w:r>
        <w:tab/>
      </w:r>
      <w:r w:rsidRPr="00F54089">
        <w:rPr>
          <w:b/>
        </w:rPr>
        <w:t>a)</w:t>
      </w:r>
      <w:r w:rsidRPr="00F54089">
        <w:rPr>
          <w:b/>
          <w:bCs/>
        </w:rPr>
        <w:tab/>
        <w:t>обеспечить, чтобы содержание фтористых соединений и бора в воде во всех системах водоснабжения государства-участника не превышало установленный уровень;</w:t>
      </w:r>
    </w:p>
    <w:p w14:paraId="18F01E8F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b)</w:t>
      </w:r>
      <w:r w:rsidRPr="00F54089">
        <w:rPr>
          <w:b/>
        </w:rPr>
        <w:tab/>
      </w:r>
      <w:r w:rsidRPr="00F54089">
        <w:rPr>
          <w:b/>
          <w:bCs/>
        </w:rPr>
        <w:t xml:space="preserve">предоставить людям, подверженным воздействию загрязненной радоном воды, альтернативные источники питьевой воды, а также надлежащее медицинское обслуживание и внедрить программы наблюдения и лечения хронических заболеваний, вызываемых радоном; </w:t>
      </w:r>
    </w:p>
    <w:p w14:paraId="4ED12459" w14:textId="77777777" w:rsidR="00F54089" w:rsidRPr="00F54089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c)</w:t>
      </w:r>
      <w:r w:rsidRPr="00F54089">
        <w:rPr>
          <w:b/>
        </w:rPr>
        <w:tab/>
      </w:r>
      <w:r w:rsidRPr="00F54089">
        <w:rPr>
          <w:b/>
          <w:bCs/>
        </w:rPr>
        <w:t>пересмотреть правовые нормы, касающиеся уровня содержания радона в питьевой воде, для обеспечения его соответствия стандартам Европейского союза и Всемирной организации здравоохранения;</w:t>
      </w:r>
    </w:p>
    <w:p w14:paraId="486C4059" w14:textId="77777777" w:rsidR="00F54089" w:rsidRPr="004513F5" w:rsidRDefault="00F54089" w:rsidP="00F54089">
      <w:pPr>
        <w:pStyle w:val="SingleTxtG"/>
        <w:rPr>
          <w:b/>
          <w:bCs/>
        </w:rPr>
      </w:pPr>
      <w:r w:rsidRPr="00F54089">
        <w:rPr>
          <w:b/>
        </w:rPr>
        <w:tab/>
      </w:r>
      <w:r w:rsidRPr="00F54089">
        <w:rPr>
          <w:b/>
        </w:rPr>
        <w:tab/>
        <w:t>d)</w:t>
      </w:r>
      <w:r w:rsidRPr="00F54089">
        <w:rPr>
          <w:b/>
        </w:rPr>
        <w:tab/>
      </w:r>
      <w:r w:rsidRPr="00F54089">
        <w:rPr>
          <w:b/>
          <w:bCs/>
        </w:rPr>
        <w:t xml:space="preserve">строго соблюдать действующие законы по очистке воды и осуществлять </w:t>
      </w:r>
      <w:r w:rsidRPr="004513F5">
        <w:rPr>
          <w:b/>
          <w:bCs/>
        </w:rPr>
        <w:t>действенный контроль за их соблюдением.</w:t>
      </w:r>
    </w:p>
    <w:p w14:paraId="7BED8440" w14:textId="77777777" w:rsidR="00F54089" w:rsidRPr="004513F5" w:rsidRDefault="00F54089" w:rsidP="00F54089">
      <w:pPr>
        <w:pStyle w:val="SingleTxtG"/>
        <w:rPr>
          <w:b/>
          <w:bCs/>
        </w:rPr>
      </w:pPr>
      <w:r w:rsidRPr="004513F5">
        <w:rPr>
          <w:b/>
          <w:bCs/>
        </w:rPr>
        <w:t xml:space="preserve">В этой связи Комитет обращает внимание государства-участника на свое замечание общего порядка № 15 (2002) о праве на воду и свое заявление о праве на санитарию. </w:t>
      </w:r>
    </w:p>
    <w:p w14:paraId="61F776FF" w14:textId="77777777" w:rsidR="00F54089" w:rsidRPr="001742F2" w:rsidRDefault="00F54089" w:rsidP="00F54089">
      <w:pPr>
        <w:pStyle w:val="H23G"/>
      </w:pPr>
      <w:r>
        <w:tab/>
      </w:r>
      <w:r>
        <w:tab/>
        <w:t>Психическое здоровье</w:t>
      </w:r>
    </w:p>
    <w:p w14:paraId="6D9CF644" w14:textId="77777777" w:rsidR="00F54089" w:rsidRPr="001742F2" w:rsidRDefault="00F54089" w:rsidP="00F54089">
      <w:pPr>
        <w:pStyle w:val="SingleTxtG"/>
      </w:pPr>
      <w:r>
        <w:t>42.</w:t>
      </w:r>
      <w:r>
        <w:tab/>
        <w:t>Комитет обеспокоен неизменно высоким числом самоубийств в государстве-участнике, особенно среди мужчин, а также высоким и растущим числом подростков, страдающих психическими расстройствами (статья 12).</w:t>
      </w:r>
    </w:p>
    <w:p w14:paraId="39A0828B" w14:textId="77777777" w:rsidR="00F54089" w:rsidRPr="001742F2" w:rsidRDefault="00F54089" w:rsidP="00F54089">
      <w:pPr>
        <w:pStyle w:val="SingleTxtG"/>
        <w:rPr>
          <w:b/>
          <w:bCs/>
        </w:rPr>
      </w:pPr>
      <w:r>
        <w:t>43.</w:t>
      </w:r>
      <w:r>
        <w:tab/>
      </w:r>
      <w:r w:rsidRPr="004513F5">
        <w:rPr>
          <w:b/>
          <w:bCs/>
        </w:rPr>
        <w:t>Комитет рекомендует государству-участнику разработать национальную политику в области психического здоровья и активизировать свои усилия по</w:t>
      </w:r>
      <w:r>
        <w:rPr>
          <w:b/>
          <w:bCs/>
        </w:rPr>
        <w:t xml:space="preserve"> изучению и</w:t>
      </w:r>
      <w:r w:rsidRPr="004513F5">
        <w:rPr>
          <w:b/>
          <w:bCs/>
        </w:rPr>
        <w:t xml:space="preserve"> устранению коренных причин распространенности и роста числа случаев возникновения психических заболеваний, включая, в частности, высокий уровень случаев самоубийств, а также обеспечить эффективное осуществление программ профилактики и оказание поддержки отдельным лицам и группам, подверженным риску совершения самоубийства.</w:t>
      </w:r>
    </w:p>
    <w:p w14:paraId="5DBCE171" w14:textId="77777777" w:rsidR="00F54089" w:rsidRPr="001742F2" w:rsidRDefault="00F54089" w:rsidP="00F54089">
      <w:pPr>
        <w:pStyle w:val="H23G"/>
      </w:pPr>
      <w:r>
        <w:tab/>
      </w:r>
      <w:r>
        <w:tab/>
        <w:t>Политика в сфере оборота наркотических средств</w:t>
      </w:r>
    </w:p>
    <w:p w14:paraId="322188D0" w14:textId="77777777" w:rsidR="00F54089" w:rsidRPr="00937653" w:rsidRDefault="00F54089" w:rsidP="00F54089">
      <w:pPr>
        <w:pStyle w:val="SingleTxtG"/>
      </w:pPr>
      <w:r>
        <w:t>44.</w:t>
      </w:r>
      <w:r>
        <w:tab/>
      </w:r>
      <w:r w:rsidRPr="00937653">
        <w:t>Комитет обеспокоен:</w:t>
      </w:r>
    </w:p>
    <w:p w14:paraId="4B8A6875" w14:textId="77777777" w:rsidR="00F54089" w:rsidRPr="001742F2" w:rsidRDefault="00F54089" w:rsidP="00F54089">
      <w:pPr>
        <w:pStyle w:val="SingleTxtG"/>
      </w:pPr>
      <w:r>
        <w:tab/>
      </w:r>
      <w:r w:rsidRPr="00937653">
        <w:tab/>
        <w:t>a)</w:t>
      </w:r>
      <w:r w:rsidRPr="00937653">
        <w:tab/>
        <w:t xml:space="preserve">сохраняющейся стигматизацией </w:t>
      </w:r>
      <w:r>
        <w:t>потребителей наркотиков</w:t>
      </w:r>
      <w:r w:rsidRPr="00937653">
        <w:t xml:space="preserve"> со стороны сотрудников полиции, социальных работников, сотрудников органов защиты детей и медицинских работников;</w:t>
      </w:r>
    </w:p>
    <w:p w14:paraId="17D622A1" w14:textId="77777777" w:rsidR="00F54089" w:rsidRPr="001742F2" w:rsidRDefault="00F54089" w:rsidP="00F54089">
      <w:pPr>
        <w:pStyle w:val="SingleTxtG"/>
      </w:pPr>
      <w:r>
        <w:tab/>
      </w:r>
      <w:r>
        <w:tab/>
        <w:t>b)</w:t>
      </w:r>
      <w:r>
        <w:tab/>
        <w:t>сокращением в последние годы масштабов предоставления услуг по снижению вреда и ограниченным охватом программами опиоидной заместительной терапии (эти программы охватывают приблизительно 20% нуждающихся);</w:t>
      </w:r>
    </w:p>
    <w:p w14:paraId="0CFB30F7" w14:textId="77777777" w:rsidR="00F54089" w:rsidRPr="001742F2" w:rsidRDefault="004E0014" w:rsidP="00F54089">
      <w:pPr>
        <w:pStyle w:val="SingleTxtG"/>
      </w:pPr>
      <w:r>
        <w:lastRenderedPageBreak/>
        <w:tab/>
      </w:r>
      <w:r w:rsidR="00F54089">
        <w:tab/>
        <w:t>c)</w:t>
      </w:r>
      <w:r w:rsidR="00F54089">
        <w:tab/>
        <w:t>чрезмерными штрафами, налагаемыми на потребителей наркотиков, которые приводят к фактической криминализации употребления наркотиков, поскольку многие потребители наркотиков не могут позволить себе оплатить штраф и оказываются в тюрьме;</w:t>
      </w:r>
    </w:p>
    <w:p w14:paraId="1B92293B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d)</w:t>
      </w:r>
      <w:r w:rsidR="00F54089">
        <w:tab/>
        <w:t>отсутствием гендерно-ориентированных мероприятий, направленных на женщин, употребляющих наркотики, особенно беременных или имеющих детей;</w:t>
      </w:r>
    </w:p>
    <w:p w14:paraId="51448A6F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e)</w:t>
      </w:r>
      <w:r w:rsidR="00F54089">
        <w:tab/>
        <w:t>сообщениями о том, что женщин с детьми незаконно принуждают прекратить заместительную терапию при лечении опиоидной зависимости под угрозой лишения родительских прав;</w:t>
      </w:r>
    </w:p>
    <w:p w14:paraId="4D7FA189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f)</w:t>
      </w:r>
      <w:r w:rsidR="00F54089">
        <w:tab/>
        <w:t>сообщениями о притеснениях со стороны полиции в отношении потребителей наркотиков, особенно женщин, и принуждении их проходить тестирование на наркотики на улице или тестирование с помощью мочевых катетеров, что создает серьезную опасность для здоровья (пункт 1 статьи 2, статьи 3, 10 и 12).</w:t>
      </w:r>
    </w:p>
    <w:p w14:paraId="3464DD1C" w14:textId="77777777" w:rsidR="00F54089" w:rsidRPr="004513F5" w:rsidRDefault="00F54089" w:rsidP="00F54089">
      <w:pPr>
        <w:pStyle w:val="SingleTxtG"/>
        <w:rPr>
          <w:b/>
          <w:bCs/>
        </w:rPr>
      </w:pPr>
      <w:r>
        <w:t>45.</w:t>
      </w:r>
      <w:r>
        <w:tab/>
      </w:r>
      <w:r w:rsidRPr="004513F5">
        <w:rPr>
          <w:b/>
          <w:bCs/>
        </w:rPr>
        <w:t>Комитет рекомендует государству-участнику:</w:t>
      </w:r>
    </w:p>
    <w:p w14:paraId="1C835AEF" w14:textId="77777777" w:rsidR="00F54089" w:rsidRPr="004E0014" w:rsidRDefault="004E0014" w:rsidP="00F54089">
      <w:pPr>
        <w:pStyle w:val="SingleTxtG"/>
        <w:rPr>
          <w:b/>
          <w:bCs/>
        </w:rPr>
      </w:pPr>
      <w:r>
        <w:tab/>
      </w:r>
      <w:r w:rsidR="00F54089">
        <w:tab/>
      </w:r>
      <w:r w:rsidR="00F54089" w:rsidRPr="004E0014">
        <w:rPr>
          <w:b/>
        </w:rPr>
        <w:t>a)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осуществлять борьбу со стигматизацией в обществе потребителей наркотиков и гарантировать конфиденциальность потребителей услуг путем подготовки сотрудников полиции, социальных работников, сотрудников органов защиты детей и медицинских работников и повышения осведомленности общественности, в особенности об их праве на здоровье;</w:t>
      </w:r>
    </w:p>
    <w:p w14:paraId="76443B8B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b)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 xml:space="preserve">расширить предоставление услуг по снижению вреда и заместительной терапии при лечении опиоидной зависимости, а также выделить на соответствующие программы необходимые ресурсы; </w:t>
      </w:r>
    </w:p>
    <w:p w14:paraId="32AD3098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c)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уменьшить сумму штрафа за употребление наркотиков;</w:t>
      </w:r>
    </w:p>
    <w:p w14:paraId="392DFCAE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d)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устранить препятствия при получении доступа к лечению для женщин, употребляющих наркотики, особенно беременных или имеющих детей, и разработать политику в сфере оборота наркотических средств с учетом гендерных аспектов;</w:t>
      </w:r>
    </w:p>
    <w:p w14:paraId="3443614C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e)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расследовать случаи, когда женщин с детьми незаконно заставляли прекратить заместительную терапия при лечении опиоидной зависимости под угрозой лишения их родительских прав, и предоставлять жертвам соответствующие средства правовой защиты;</w:t>
      </w:r>
    </w:p>
    <w:p w14:paraId="17F88265" w14:textId="77777777" w:rsidR="00F54089" w:rsidRPr="004513F5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f)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расследовать случаи злоупотреблений и притеснения потребителей наркотико</w:t>
      </w:r>
      <w:r w:rsidR="00F54089" w:rsidRPr="004513F5">
        <w:rPr>
          <w:b/>
          <w:bCs/>
        </w:rPr>
        <w:t xml:space="preserve">в, особенно женщин, со стороны полиции, а также случаи лишения родительских прав за употребление наркотиков и наказать виновных, </w:t>
      </w:r>
      <w:r w:rsidR="00F54089">
        <w:rPr>
          <w:b/>
          <w:bCs/>
        </w:rPr>
        <w:t xml:space="preserve">а также </w:t>
      </w:r>
      <w:r w:rsidR="00F54089" w:rsidRPr="004513F5">
        <w:rPr>
          <w:b/>
          <w:bCs/>
        </w:rPr>
        <w:t>прекратить практику принудительного тестирования на наркотики на улице</w:t>
      </w:r>
      <w:r w:rsidR="00F54089">
        <w:rPr>
          <w:b/>
          <w:bCs/>
        </w:rPr>
        <w:t xml:space="preserve"> и</w:t>
      </w:r>
      <w:r w:rsidR="00F54089" w:rsidRPr="004513F5">
        <w:rPr>
          <w:b/>
          <w:bCs/>
        </w:rPr>
        <w:t xml:space="preserve"> принудительного тестирования на наркотики с использованием мочевых катетеров. </w:t>
      </w:r>
    </w:p>
    <w:p w14:paraId="33AF11BE" w14:textId="77777777" w:rsidR="00F54089" w:rsidRPr="001742F2" w:rsidRDefault="00F54089" w:rsidP="00F54089">
      <w:pPr>
        <w:pStyle w:val="H23G"/>
      </w:pPr>
      <w:r>
        <w:tab/>
      </w:r>
      <w:r>
        <w:tab/>
        <w:t>ВИЧ/СПИД</w:t>
      </w:r>
    </w:p>
    <w:p w14:paraId="5E487093" w14:textId="77777777" w:rsidR="00F54089" w:rsidRPr="001742F2" w:rsidRDefault="00F54089" w:rsidP="00F54089">
      <w:pPr>
        <w:pStyle w:val="SingleTxtG"/>
      </w:pPr>
      <w:r>
        <w:t>46.</w:t>
      </w:r>
      <w:r>
        <w:tab/>
        <w:t xml:space="preserve">Комитет обеспокоен высокой распространенностью ВИЧ, особенно среди женщин и лиц, употребляющих наркотики. Он также обеспокоен тем, что многие ВИЧ-инфицированные из-за опасения стигматизации и раскрытия конфиденциальной информации их семьям и работодателям не обращаются за антиретровирусной </w:t>
      </w:r>
      <w:proofErr w:type="gramStart"/>
      <w:r>
        <w:t>терапией, несмотря на то, что</w:t>
      </w:r>
      <w:proofErr w:type="gramEnd"/>
      <w:r>
        <w:t xml:space="preserve"> лечение предоставляется бесплатно (пункт 1 статьи 2 и статья 12).</w:t>
      </w:r>
    </w:p>
    <w:p w14:paraId="1C13AD58" w14:textId="77777777" w:rsidR="00F54089" w:rsidRPr="004513F5" w:rsidRDefault="00F54089" w:rsidP="00F54089">
      <w:pPr>
        <w:pStyle w:val="SingleTxtG"/>
        <w:rPr>
          <w:b/>
          <w:bCs/>
        </w:rPr>
      </w:pPr>
      <w:r>
        <w:t>47.</w:t>
      </w:r>
      <w:r>
        <w:tab/>
      </w:r>
      <w:r w:rsidRPr="004513F5">
        <w:rPr>
          <w:b/>
          <w:bCs/>
        </w:rPr>
        <w:t xml:space="preserve">Комитет рекомендует государству-участнику активизировать свои усилия, с тем чтобы: </w:t>
      </w:r>
    </w:p>
    <w:p w14:paraId="39EDB8B3" w14:textId="77777777" w:rsidR="00F54089" w:rsidRPr="004E0014" w:rsidRDefault="004E0014" w:rsidP="00F54089">
      <w:pPr>
        <w:pStyle w:val="SingleTxtG"/>
        <w:rPr>
          <w:b/>
          <w:bCs/>
        </w:rPr>
      </w:pPr>
      <w:r>
        <w:tab/>
      </w:r>
      <w:r w:rsidR="00F54089">
        <w:tab/>
      </w:r>
      <w:r w:rsidR="00F54089" w:rsidRPr="004E0014">
        <w:rPr>
          <w:b/>
        </w:rPr>
        <w:t>a)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 xml:space="preserve">предотвращать появление новых случаев заболевания ВИЧ; </w:t>
      </w:r>
    </w:p>
    <w:p w14:paraId="6FD3798D" w14:textId="77777777" w:rsidR="00F54089" w:rsidRPr="004513F5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b)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совершенствовать процедуры тестирования на ВИЧ и принимать меры к т</w:t>
      </w:r>
      <w:r w:rsidR="00F54089">
        <w:rPr>
          <w:b/>
          <w:bCs/>
        </w:rPr>
        <w:t>ому</w:t>
      </w:r>
      <w:r w:rsidR="00F54089" w:rsidRPr="004513F5">
        <w:rPr>
          <w:b/>
          <w:bCs/>
        </w:rPr>
        <w:t>, чтобы начало прохождения антир</w:t>
      </w:r>
      <w:r w:rsidR="00F54089">
        <w:rPr>
          <w:b/>
          <w:bCs/>
        </w:rPr>
        <w:t>етровирусной</w:t>
      </w:r>
      <w:r w:rsidR="00F54089" w:rsidRPr="004513F5">
        <w:rPr>
          <w:b/>
          <w:bCs/>
        </w:rPr>
        <w:t xml:space="preserve"> терапии начиналось на ранних этапах; </w:t>
      </w:r>
    </w:p>
    <w:p w14:paraId="1EEAFDDA" w14:textId="77777777" w:rsidR="00F54089" w:rsidRPr="004E0014" w:rsidRDefault="004E0014" w:rsidP="00F54089">
      <w:pPr>
        <w:pStyle w:val="SingleTxtG"/>
        <w:rPr>
          <w:b/>
          <w:bCs/>
        </w:rPr>
      </w:pPr>
      <w:r>
        <w:lastRenderedPageBreak/>
        <w:tab/>
      </w:r>
      <w:r w:rsidR="00F54089">
        <w:tab/>
      </w:r>
      <w:r w:rsidR="00F54089" w:rsidRPr="004E0014">
        <w:rPr>
          <w:b/>
        </w:rPr>
        <w:t>c)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осуществлять борьбу со стигматизацией людей, живущих с ВИЧ/СПИДом;</w:t>
      </w:r>
    </w:p>
    <w:p w14:paraId="38194FC4" w14:textId="77777777" w:rsidR="00F54089" w:rsidRPr="001742F2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d)</w:t>
      </w:r>
      <w:r w:rsidR="00F54089">
        <w:tab/>
      </w:r>
      <w:r w:rsidR="00F54089" w:rsidRPr="004513F5">
        <w:rPr>
          <w:b/>
          <w:bCs/>
        </w:rPr>
        <w:t>обеспечить, чтобы медицинские работники соблюдали конфиденциальность информации медицинского характера, касающейся лиц, больных ВИЧ/СПИДом или проходящих лечение по этой причине.</w:t>
      </w:r>
      <w:r w:rsidR="00F54089">
        <w:t xml:space="preserve"> </w:t>
      </w:r>
    </w:p>
    <w:p w14:paraId="3E15D531" w14:textId="77777777" w:rsidR="00F54089" w:rsidRPr="001742F2" w:rsidRDefault="00F54089" w:rsidP="00F54089">
      <w:pPr>
        <w:pStyle w:val="H23G"/>
      </w:pPr>
      <w:r>
        <w:tab/>
      </w:r>
      <w:r>
        <w:tab/>
        <w:t>Право на образование</w:t>
      </w:r>
    </w:p>
    <w:p w14:paraId="66A07B1C" w14:textId="77777777" w:rsidR="00F54089" w:rsidRPr="001742F2" w:rsidRDefault="00F54089" w:rsidP="00F54089">
      <w:pPr>
        <w:pStyle w:val="SingleTxtG"/>
      </w:pPr>
      <w:r>
        <w:t>48.</w:t>
      </w:r>
      <w:r>
        <w:tab/>
        <w:t>Комитет высоко оценивает достижения в секторе образования, включая высокий уровень образования в средней школе, большую долю взрослых, имеющих высшее образование, и практически всеобщий доступ к дошкольному образованию. Тем не менее Комитет по-прежнему обеспокоен:</w:t>
      </w:r>
    </w:p>
    <w:p w14:paraId="359FD7DC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a)</w:t>
      </w:r>
      <w:r w:rsidR="00F54089">
        <w:tab/>
        <w:t>снижением чистого коэффициента охвата начальным образованием;</w:t>
      </w:r>
    </w:p>
    <w:p w14:paraId="5028E1F8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b)</w:t>
      </w:r>
      <w:r w:rsidR="00F54089">
        <w:tab/>
        <w:t xml:space="preserve">значительным увеличением числа детей, не посещающих школу, в особенности среди мальчиков; </w:t>
      </w:r>
    </w:p>
    <w:p w14:paraId="4B71D922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c)</w:t>
      </w:r>
      <w:r w:rsidR="00F54089">
        <w:tab/>
        <w:t>проблемами, с которыми сталкивается государство-участник при привлечении квалифицированных учителей, в частности преподавателей математики и естественных наук;</w:t>
      </w:r>
    </w:p>
    <w:p w14:paraId="69A3D8B9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d)</w:t>
      </w:r>
      <w:r w:rsidR="00F54089">
        <w:tab/>
        <w:t>отсутствием единообразных правовых норм в сфере дошкольного образования и обязательного дошкольного образования;</w:t>
      </w:r>
    </w:p>
    <w:p w14:paraId="4DBE1636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e)</w:t>
      </w:r>
      <w:r w:rsidR="00F54089">
        <w:tab/>
        <w:t>значительной степенью гендерного неравенства в пользу женщин среди учащихся на уровне высшего образования;</w:t>
      </w:r>
    </w:p>
    <w:p w14:paraId="1066E9C4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f)</w:t>
      </w:r>
      <w:r w:rsidR="00F54089">
        <w:tab/>
        <w:t>низким процентом учащихся, получивших профессионально-техническое образование, и высокой долей молодых людей, не имеющих профессиональной или профессионально-технической квалификации;</w:t>
      </w:r>
    </w:p>
    <w:p w14:paraId="5722B701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g)</w:t>
      </w:r>
      <w:r w:rsidR="00F54089">
        <w:tab/>
        <w:t>отсутствием гибкости при применении 60-процентной квоты преподавания на эстонском языке в русскоязычных средних школах и профессиональных училищах. Это часто становится препятствием к освоению русскоязычными учащимися русскоязычных школ основных предметов, преподавание которых ведется только на эстонском языке, и, в случае профессиональных училищ, приводит к нехватке контингента квалифицированных учителей, способных преподавать специализированные предметы, с тем чтобы адекватно отразить этот процент и специфику школы (статьи 13, 14 и 15).</w:t>
      </w:r>
    </w:p>
    <w:p w14:paraId="69D3810B" w14:textId="77777777" w:rsidR="00F54089" w:rsidRPr="004513F5" w:rsidRDefault="00F54089" w:rsidP="00F54089">
      <w:pPr>
        <w:pStyle w:val="SingleTxtG"/>
        <w:rPr>
          <w:b/>
          <w:bCs/>
        </w:rPr>
      </w:pPr>
      <w:r>
        <w:t>49.</w:t>
      </w:r>
      <w:r>
        <w:tab/>
      </w:r>
      <w:r w:rsidRPr="004513F5">
        <w:rPr>
          <w:b/>
          <w:bCs/>
        </w:rPr>
        <w:t>Комитет рекомендует государству-участнику:</w:t>
      </w:r>
    </w:p>
    <w:p w14:paraId="720A8179" w14:textId="77777777" w:rsidR="00F54089" w:rsidRPr="004E0014" w:rsidRDefault="004E0014" w:rsidP="00F54089">
      <w:pPr>
        <w:pStyle w:val="SingleTxtG"/>
        <w:rPr>
          <w:b/>
          <w:bCs/>
        </w:rPr>
      </w:pPr>
      <w:r>
        <w:tab/>
      </w:r>
      <w:r w:rsidR="00F54089">
        <w:tab/>
      </w:r>
      <w:r w:rsidR="00F54089" w:rsidRPr="004E0014">
        <w:rPr>
          <w:b/>
        </w:rPr>
        <w:t>a)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устранить причины снижения показателей зачисления детей в начальную школу;</w:t>
      </w:r>
    </w:p>
    <w:p w14:paraId="1815F02D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b)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сократить число детей, не посещающих школу, особенно среди мальчиков, в том числе путем устранения коренных причин этого явления;</w:t>
      </w:r>
    </w:p>
    <w:p w14:paraId="1CABB382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c)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улучшить положение школьных учителей и увеличить их льготы, с тем чтобы обеспечить достаточное число квалифицированных учителей, особенно в области преподавания математики и естественных наук;</w:t>
      </w:r>
    </w:p>
    <w:p w14:paraId="02124ECF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d)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принять нормативные акты, касающиеся дошкольных образовательных учреждений, и сделать дошкольное образование обязательным;</w:t>
      </w:r>
    </w:p>
    <w:p w14:paraId="136600BE" w14:textId="77777777" w:rsidR="00F54089" w:rsidRPr="004E0014" w:rsidRDefault="00F54089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4E0014" w:rsidRPr="004E0014">
        <w:rPr>
          <w:b/>
        </w:rPr>
        <w:tab/>
      </w:r>
      <w:r w:rsidRPr="004E0014">
        <w:rPr>
          <w:b/>
        </w:rPr>
        <w:t>e)</w:t>
      </w:r>
      <w:r w:rsidRPr="004E0014">
        <w:rPr>
          <w:b/>
        </w:rPr>
        <w:tab/>
      </w:r>
      <w:r w:rsidRPr="004E0014">
        <w:rPr>
          <w:b/>
          <w:bCs/>
        </w:rPr>
        <w:t>принять эффективные меры для поощрения к поступлению в высшие учебные заведения студентов-мужчин;</w:t>
      </w:r>
    </w:p>
    <w:p w14:paraId="4B372C93" w14:textId="77777777" w:rsidR="00F54089" w:rsidRPr="00EA5136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f)</w:t>
      </w:r>
      <w:r w:rsidR="00F54089">
        <w:tab/>
      </w:r>
      <w:r w:rsidR="00F54089" w:rsidRPr="00EA5136">
        <w:rPr>
          <w:b/>
          <w:bCs/>
        </w:rPr>
        <w:t xml:space="preserve">повысить качество и результативность профессионального образования с целью обеспечения выпускников </w:t>
      </w:r>
      <w:r w:rsidR="00F54089">
        <w:rPr>
          <w:b/>
          <w:bCs/>
        </w:rPr>
        <w:t xml:space="preserve">надлежащей </w:t>
      </w:r>
      <w:r w:rsidR="00F54089" w:rsidRPr="00EA5136">
        <w:rPr>
          <w:b/>
          <w:bCs/>
        </w:rPr>
        <w:t>профессиональн</w:t>
      </w:r>
      <w:r w:rsidR="00F54089">
        <w:rPr>
          <w:b/>
          <w:bCs/>
        </w:rPr>
        <w:t>ой</w:t>
      </w:r>
      <w:r w:rsidR="00F54089" w:rsidRPr="00EA5136">
        <w:rPr>
          <w:b/>
          <w:bCs/>
        </w:rPr>
        <w:t xml:space="preserve"> или профессионально-техническ</w:t>
      </w:r>
      <w:r w:rsidR="00F54089">
        <w:rPr>
          <w:b/>
          <w:bCs/>
        </w:rPr>
        <w:t>ой</w:t>
      </w:r>
      <w:r w:rsidR="00F54089" w:rsidRPr="00EA5136">
        <w:rPr>
          <w:b/>
          <w:bCs/>
        </w:rPr>
        <w:t xml:space="preserve"> квалификаци</w:t>
      </w:r>
      <w:r w:rsidR="00F54089">
        <w:rPr>
          <w:b/>
          <w:bCs/>
        </w:rPr>
        <w:t>ей</w:t>
      </w:r>
      <w:r w:rsidR="00F54089" w:rsidRPr="00EA5136">
        <w:rPr>
          <w:b/>
          <w:bCs/>
        </w:rPr>
        <w:t>;</w:t>
      </w:r>
    </w:p>
    <w:p w14:paraId="1EB5F30C" w14:textId="77777777" w:rsidR="00F54089" w:rsidRPr="00EA5136" w:rsidRDefault="004E0014" w:rsidP="00F54089">
      <w:pPr>
        <w:pStyle w:val="SingleTxtG"/>
        <w:rPr>
          <w:b/>
          <w:bCs/>
        </w:rPr>
      </w:pPr>
      <w:r>
        <w:tab/>
      </w:r>
      <w:r w:rsidR="00F54089">
        <w:tab/>
      </w:r>
      <w:r w:rsidR="00F54089" w:rsidRPr="004E0014">
        <w:rPr>
          <w:b/>
        </w:rPr>
        <w:t>g)</w:t>
      </w:r>
      <w:r w:rsidR="00F54089">
        <w:tab/>
      </w:r>
      <w:r w:rsidR="00F54089" w:rsidRPr="00EA5136">
        <w:rPr>
          <w:b/>
          <w:bCs/>
        </w:rPr>
        <w:t xml:space="preserve">постепенно и гибко применять 60-процентную квоту преподавания на эстонском языке в русскоязычных средних школах и профессиональных училищах, принимать меры для постепенного увеличения числа квалифицированных преподавателей в профессиональных училищах, с тем </w:t>
      </w:r>
      <w:r w:rsidR="00F54089" w:rsidRPr="00EA5136">
        <w:rPr>
          <w:b/>
          <w:bCs/>
        </w:rPr>
        <w:lastRenderedPageBreak/>
        <w:t>чтобы лучше отразить специфику э</w:t>
      </w:r>
      <w:r w:rsidR="00F54089">
        <w:rPr>
          <w:b/>
          <w:bCs/>
        </w:rPr>
        <w:t xml:space="preserve">тих школ и обеспечить, чтобы </w:t>
      </w:r>
      <w:r w:rsidR="00F54089" w:rsidRPr="00EA5136">
        <w:rPr>
          <w:b/>
          <w:bCs/>
        </w:rPr>
        <w:t>применение этой квоты не подрывало право детей на образование и осуществлялось в соответствии с принципами, предусмотренными в статье 13 Пакта.</w:t>
      </w:r>
    </w:p>
    <w:p w14:paraId="4539DF90" w14:textId="77777777" w:rsidR="00F54089" w:rsidRPr="001742F2" w:rsidRDefault="00F54089" w:rsidP="00F54089">
      <w:pPr>
        <w:pStyle w:val="H23G"/>
      </w:pPr>
      <w:r>
        <w:tab/>
      </w:r>
      <w:r>
        <w:tab/>
        <w:t>Культурное многообразие</w:t>
      </w:r>
    </w:p>
    <w:p w14:paraId="584266BC" w14:textId="77777777" w:rsidR="00F54089" w:rsidRPr="001742F2" w:rsidRDefault="00F54089" w:rsidP="00F54089">
      <w:pPr>
        <w:pStyle w:val="SingleTxtG"/>
      </w:pPr>
      <w:r>
        <w:t>50.</w:t>
      </w:r>
      <w:r>
        <w:tab/>
        <w:t xml:space="preserve">Комитет обеспокоен: </w:t>
      </w:r>
    </w:p>
    <w:p w14:paraId="066C28D2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a)</w:t>
      </w:r>
      <w:r w:rsidR="00F54089">
        <w:tab/>
        <w:t>применением государством-участником</w:t>
      </w:r>
      <w:r w:rsidR="00F54089" w:rsidRPr="004F730F">
        <w:t xml:space="preserve"> </w:t>
      </w:r>
      <w:r w:rsidR="00F54089">
        <w:t xml:space="preserve">карательным подхода к обеспечению соблюдения Закона о языке, в том числе посредством мандата и функций языковой инспекции, и отсутствием контроля за ее деятельностью, что может негативно сказаться на осуществлении плана развития </w:t>
      </w:r>
      <w:r>
        <w:t>«</w:t>
      </w:r>
      <w:r w:rsidR="00F54089">
        <w:t>Интеграция Эстонии 2020</w:t>
      </w:r>
      <w:r>
        <w:t>»</w:t>
      </w:r>
      <w:r w:rsidR="00F54089">
        <w:t>;</w:t>
      </w:r>
    </w:p>
    <w:p w14:paraId="7E66B0B0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b)</w:t>
      </w:r>
      <w:r w:rsidR="00F54089">
        <w:tab/>
        <w:t>административными препятствиями на пути к использованию отчества в официальных личных документах, которые ограничивают некоторым национальным меньшинствам возможность пользоваться своим правом на защиту своей культурной самобытности;</w:t>
      </w:r>
    </w:p>
    <w:p w14:paraId="44955D2D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c)</w:t>
      </w:r>
      <w:r w:rsidR="00F54089">
        <w:tab/>
        <w:t>высоким порогом (50% жителей должны быть носителями языков меньшинств), позволяющим использовать язык меньшинств при общении с местными властями в районах, где традиционно или в значительном количестве проживают лица, принадлежащие к группе языковых меньшинств;</w:t>
      </w:r>
    </w:p>
    <w:p w14:paraId="31247053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d)</w:t>
      </w:r>
      <w:r w:rsidR="00F54089">
        <w:tab/>
        <w:t>завышенными требованиями к использованию традиционных местных названий, названий улиц и других публичных топографических наименований на языке меньшинства в районах, где традиционно или в значительном количестве проживают люди, принадлежащие к языковому меньшинству;</w:t>
      </w:r>
    </w:p>
    <w:p w14:paraId="5DF5E5FC" w14:textId="77777777" w:rsidR="00F54089" w:rsidRPr="001742F2" w:rsidRDefault="004E0014" w:rsidP="00F54089">
      <w:pPr>
        <w:pStyle w:val="SingleTxtG"/>
      </w:pPr>
      <w:r>
        <w:tab/>
      </w:r>
      <w:r w:rsidR="00F54089">
        <w:tab/>
        <w:t>e)</w:t>
      </w:r>
      <w:r w:rsidR="00F54089">
        <w:tab/>
        <w:t>тем фактом, что лица с неопределенным гражданством не в состоянии в полной мере пользоваться своими правами на участие в культурной жизни, включая культурные права лиц, принадлежащих к национальным меньшинствам (статьи 13 и</w:t>
      </w:r>
      <w:r>
        <w:t> </w:t>
      </w:r>
      <w:r w:rsidR="00F54089">
        <w:t>15).</w:t>
      </w:r>
    </w:p>
    <w:p w14:paraId="3D84D97A" w14:textId="77777777" w:rsidR="00F54089" w:rsidRPr="001742F2" w:rsidRDefault="00F54089" w:rsidP="00F54089">
      <w:pPr>
        <w:pStyle w:val="SingleTxtG"/>
        <w:rPr>
          <w:b/>
          <w:bCs/>
        </w:rPr>
      </w:pPr>
      <w:r>
        <w:t>51.</w:t>
      </w:r>
      <w:r>
        <w:tab/>
      </w:r>
      <w:r w:rsidRPr="00EA5136"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C97EA7F" w14:textId="77777777" w:rsidR="00F54089" w:rsidRPr="004E0014" w:rsidRDefault="004E0014" w:rsidP="00F54089">
      <w:pPr>
        <w:pStyle w:val="SingleTxtG"/>
        <w:rPr>
          <w:b/>
          <w:bCs/>
        </w:rPr>
      </w:pPr>
      <w:r>
        <w:tab/>
      </w:r>
      <w:r w:rsidR="00F54089">
        <w:tab/>
      </w:r>
      <w:r w:rsidR="00F54089" w:rsidRPr="004E0014">
        <w:rPr>
          <w:b/>
        </w:rPr>
        <w:t>a)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 xml:space="preserve">исключить все карательные элементы применения Закона о языке, в том числе путем пересмотра мандата и функций языковой инспекции и создания при участии гражданского общества механизма контроля ее деятельности и обеспечения полного осуществления плана развития </w:t>
      </w:r>
      <w:r>
        <w:rPr>
          <w:b/>
          <w:bCs/>
        </w:rPr>
        <w:t>«</w:t>
      </w:r>
      <w:r w:rsidR="00F54089" w:rsidRPr="004E0014">
        <w:rPr>
          <w:b/>
          <w:bCs/>
        </w:rPr>
        <w:t>Интеграция Эстонии 2020</w:t>
      </w:r>
      <w:r>
        <w:rPr>
          <w:b/>
          <w:bCs/>
        </w:rPr>
        <w:t>»</w:t>
      </w:r>
      <w:r w:rsidR="00F54089" w:rsidRPr="004E0014">
        <w:rPr>
          <w:b/>
          <w:bCs/>
        </w:rPr>
        <w:t>;</w:t>
      </w:r>
    </w:p>
    <w:p w14:paraId="5B0BE76C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b)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устранить все административные препятствия на пути к использованию отчества в официальных личных документах;</w:t>
      </w:r>
    </w:p>
    <w:p w14:paraId="72B9F98A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c)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 xml:space="preserve">рассмотреть вопрос о снижении до разумной степени порогового уровня для использования языка меньшинств с целью облегчения взаимодействия с местными властями на языках меньшинств в районах, где традиционно или в значительном количестве проживают лица, принадлежащие </w:t>
      </w:r>
      <w:r w:rsidRPr="004E0014">
        <w:rPr>
          <w:b/>
          <w:bCs/>
        </w:rPr>
        <w:tab/>
      </w:r>
      <w:r w:rsidR="00F54089" w:rsidRPr="004E0014">
        <w:rPr>
          <w:b/>
          <w:bCs/>
        </w:rPr>
        <w:t xml:space="preserve">к той или иной группе языковых меньшинств; </w:t>
      </w:r>
    </w:p>
    <w:p w14:paraId="63A72522" w14:textId="77777777" w:rsidR="00F54089" w:rsidRPr="004E0014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d)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пересмотреть условия использования традиционных местных названий, названий улиц и других публичных топографических наименований на языке меньшинства в районах, где традиционно или в значительном количестве проживают лица, принадлежащие к группе языковых меньшинств;</w:t>
      </w:r>
    </w:p>
    <w:p w14:paraId="1E4868E3" w14:textId="77777777" w:rsidR="00F54089" w:rsidRPr="00EA5136" w:rsidRDefault="004E0014" w:rsidP="00F54089">
      <w:pPr>
        <w:pStyle w:val="SingleTxtG"/>
        <w:rPr>
          <w:b/>
          <w:bCs/>
        </w:rPr>
      </w:pPr>
      <w:r w:rsidRPr="004E0014">
        <w:rPr>
          <w:b/>
        </w:rPr>
        <w:tab/>
      </w:r>
      <w:r w:rsidR="00F54089" w:rsidRPr="004E0014">
        <w:rPr>
          <w:b/>
        </w:rPr>
        <w:tab/>
        <w:t>e)</w:t>
      </w:r>
      <w:r w:rsidR="00F54089" w:rsidRPr="004E0014">
        <w:rPr>
          <w:b/>
        </w:rPr>
        <w:tab/>
      </w:r>
      <w:r w:rsidR="00F54089" w:rsidRPr="004E0014">
        <w:rPr>
          <w:b/>
          <w:bCs/>
        </w:rPr>
        <w:t>устранить все препятствия для приобретения эстонского гражданства лицам</w:t>
      </w:r>
      <w:r w:rsidR="00F54089" w:rsidRPr="00EA5136">
        <w:rPr>
          <w:b/>
          <w:bCs/>
        </w:rPr>
        <w:t>и с неопределенным гражданством, с тем чтобы они могли пользоваться своим правом на участие в культурной жизни наравне с гражданами Эстонии.</w:t>
      </w:r>
    </w:p>
    <w:p w14:paraId="5AEC96A4" w14:textId="77777777" w:rsidR="00F54089" w:rsidRPr="001742F2" w:rsidRDefault="00F54089" w:rsidP="00F54089">
      <w:pPr>
        <w:pStyle w:val="H23G"/>
      </w:pPr>
      <w:r>
        <w:tab/>
      </w:r>
      <w:r>
        <w:tab/>
        <w:t>Информационно-коммуникационные технологии</w:t>
      </w:r>
    </w:p>
    <w:p w14:paraId="415C0B0A" w14:textId="77777777" w:rsidR="00F54089" w:rsidRPr="001742F2" w:rsidRDefault="00F54089" w:rsidP="00F54089">
      <w:pPr>
        <w:pStyle w:val="SingleTxtG"/>
      </w:pPr>
      <w:r>
        <w:t>52.</w:t>
      </w:r>
      <w:r>
        <w:tab/>
      </w:r>
      <w:r w:rsidRPr="00466E6A">
        <w:t>Отмечая стремительный переход в государстве-участнике</w:t>
      </w:r>
      <w:r>
        <w:t xml:space="preserve"> к</w:t>
      </w:r>
      <w:r w:rsidRPr="00466E6A">
        <w:t xml:space="preserve"> оказани</w:t>
      </w:r>
      <w:r>
        <w:t>ю</w:t>
      </w:r>
      <w:r w:rsidRPr="00466E6A">
        <w:t xml:space="preserve"> государственных услуг в цифровом формате, в том числе в секторах социального обеспечения и здравоохранения, Комитет вместе с тем обеспокоен тем, что значительная часть населения, в основном пожилые люди и лица с низким уровнем </w:t>
      </w:r>
      <w:r w:rsidRPr="00466E6A">
        <w:lastRenderedPageBreak/>
        <w:t>образования и дохода, не пользуются Интернетом или имеют ограниченные цифровые навыки и поэтому могут сталкиваться с препятствиями в осуществлении своих прав, гарантированных Пактом (статьи 9, 12 и 15).</w:t>
      </w:r>
    </w:p>
    <w:p w14:paraId="032042F9" w14:textId="77777777" w:rsidR="00F54089" w:rsidRPr="00EA5136" w:rsidRDefault="00F54089" w:rsidP="00F54089">
      <w:pPr>
        <w:pStyle w:val="SingleTxtG"/>
        <w:rPr>
          <w:b/>
          <w:bCs/>
        </w:rPr>
      </w:pPr>
      <w:r>
        <w:t>53.</w:t>
      </w:r>
      <w:r>
        <w:tab/>
      </w:r>
      <w:r w:rsidRPr="00EA5136">
        <w:rPr>
          <w:b/>
          <w:bCs/>
        </w:rPr>
        <w:t>Комитет рекомендует государству-участнику обеспечить доступность цифровой помощи и личной поддержки для тех, кто не имеет доступа к Интернету и не обладает цифровыми навыками доступа к государственным услугам, пре</w:t>
      </w:r>
      <w:r>
        <w:rPr>
          <w:b/>
          <w:bCs/>
        </w:rPr>
        <w:t>д</w:t>
      </w:r>
      <w:r w:rsidRPr="00EA5136">
        <w:rPr>
          <w:b/>
          <w:bCs/>
        </w:rPr>
        <w:t>оставляемых с помощью информационно-коммуникационных технологий. Он также рекомендует государству-участнику обеспечить, чтобы все лица в государстве-участнике пользовались достижениями научного прогресса и его прикладными программами, включая информационно-коммуникационные технологии, без какой-либо дискриминации.</w:t>
      </w:r>
    </w:p>
    <w:p w14:paraId="07B5F0C0" w14:textId="77777777" w:rsidR="00F54089" w:rsidRPr="001742F2" w:rsidRDefault="00F54089" w:rsidP="00F54089">
      <w:pPr>
        <w:pStyle w:val="H1G"/>
      </w:pPr>
      <w:r>
        <w:tab/>
        <w:t>D.</w:t>
      </w:r>
      <w:r>
        <w:tab/>
        <w:t>Другие рекомендации</w:t>
      </w:r>
    </w:p>
    <w:p w14:paraId="69E1A242" w14:textId="77777777" w:rsidR="00F54089" w:rsidRPr="00EA5136" w:rsidRDefault="00F54089" w:rsidP="00F54089">
      <w:pPr>
        <w:pStyle w:val="SingleTxtG"/>
        <w:rPr>
          <w:b/>
          <w:bCs/>
        </w:rPr>
      </w:pPr>
      <w:r>
        <w:t>54.</w:t>
      </w:r>
      <w:r>
        <w:tab/>
      </w:r>
      <w:r w:rsidRPr="00EA5136"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14:paraId="101AAAC4" w14:textId="77777777" w:rsidR="00F54089" w:rsidRPr="00EA5136" w:rsidRDefault="00F54089" w:rsidP="00F54089">
      <w:pPr>
        <w:pStyle w:val="SingleTxtG"/>
        <w:rPr>
          <w:b/>
          <w:bCs/>
        </w:rPr>
      </w:pPr>
      <w:r>
        <w:t>55.</w:t>
      </w:r>
      <w:r>
        <w:tab/>
      </w:r>
      <w:r w:rsidRPr="00EA5136">
        <w:rPr>
          <w:b/>
          <w:bCs/>
        </w:rPr>
        <w:t>Комитет рекомендует государству-участнику рассмотреть возможность ратификации Международной конвенции для защиты всех лиц от насильственных исчезновений и Международной конвенции о защите прав всех трудящихся-мигрантов и членов их семей.</w:t>
      </w:r>
    </w:p>
    <w:p w14:paraId="6A15E1DD" w14:textId="77777777" w:rsidR="00F54089" w:rsidRPr="00EA5136" w:rsidRDefault="00F54089" w:rsidP="00F54089">
      <w:pPr>
        <w:pStyle w:val="SingleTxtG"/>
        <w:rPr>
          <w:b/>
          <w:bCs/>
        </w:rPr>
      </w:pPr>
      <w:r>
        <w:t>56.</w:t>
      </w:r>
      <w:r>
        <w:tab/>
      </w:r>
      <w:r w:rsidRPr="00EA5136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года. Государство-участник могло бы существенно содействовать достижению целей устойчивого развития путем создания незави</w:t>
      </w:r>
      <w:r>
        <w:rPr>
          <w:b/>
          <w:bCs/>
        </w:rPr>
        <w:t>симых механизмов мониторинга до</w:t>
      </w:r>
      <w:r w:rsidRPr="00EA5136">
        <w:rPr>
          <w:b/>
          <w:bCs/>
        </w:rPr>
        <w:t xml:space="preserve">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 Достижение </w:t>
      </w:r>
      <w:r>
        <w:rPr>
          <w:b/>
          <w:bCs/>
        </w:rPr>
        <w:t xml:space="preserve">этих </w:t>
      </w:r>
      <w:r w:rsidRPr="00EA5136">
        <w:rPr>
          <w:b/>
          <w:bCs/>
        </w:rPr>
        <w:t>целей на основе принципов участия, подотчетности и недискриминации будет гарантировать, что никто не останется без внимания.</w:t>
      </w:r>
    </w:p>
    <w:p w14:paraId="6486D21F" w14:textId="77777777" w:rsidR="00F54089" w:rsidRPr="00EA5136" w:rsidRDefault="00F54089" w:rsidP="00F54089">
      <w:pPr>
        <w:pStyle w:val="SingleTxtG"/>
        <w:rPr>
          <w:b/>
          <w:bCs/>
        </w:rPr>
      </w:pPr>
      <w:r>
        <w:t>57.</w:t>
      </w:r>
      <w:r>
        <w:tab/>
      </w:r>
      <w:r w:rsidRPr="00EA5136">
        <w:rPr>
          <w:b/>
          <w:bCs/>
        </w:rPr>
        <w:t xml:space="preserve"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</w:t>
      </w:r>
      <w:r>
        <w:rPr>
          <w:b/>
          <w:bCs/>
        </w:rPr>
        <w:t>показателей в области прав чело</w:t>
      </w:r>
      <w:r w:rsidRPr="00EA5136">
        <w:rPr>
          <w:b/>
          <w:bCs/>
        </w:rPr>
        <w:t>века, разработанные Управлением Верховно</w:t>
      </w:r>
      <w:r>
        <w:rPr>
          <w:b/>
          <w:bCs/>
        </w:rPr>
        <w:t>го комиссара Организации Объеди</w:t>
      </w:r>
      <w:r w:rsidRPr="00EA5136">
        <w:rPr>
          <w:b/>
          <w:bCs/>
        </w:rPr>
        <w:t xml:space="preserve">ненных Наций по правам человека (HRI/MC/2008/3). </w:t>
      </w:r>
    </w:p>
    <w:p w14:paraId="2337CC40" w14:textId="77777777" w:rsidR="00F54089" w:rsidRPr="00EA5136" w:rsidRDefault="00F54089" w:rsidP="00F54089">
      <w:pPr>
        <w:pStyle w:val="SingleTxtG"/>
        <w:rPr>
          <w:b/>
          <w:bCs/>
        </w:rPr>
      </w:pPr>
      <w:r>
        <w:t>58.</w:t>
      </w:r>
      <w:r>
        <w:tab/>
      </w:r>
      <w:r w:rsidRPr="00EA5136"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 на</w:t>
      </w:r>
      <w:r>
        <w:rPr>
          <w:b/>
          <w:bCs/>
        </w:rPr>
        <w:t xml:space="preserve"> </w:t>
      </w:r>
      <w:r w:rsidRPr="00EA5136">
        <w:rPr>
          <w:b/>
          <w:bCs/>
        </w:rPr>
        <w:t xml:space="preserve">национальном, областном и муниципальном уровнях, особенно среди парламентариев, государственных должностных лиц и судебных органов, и проинформировать Комитет в своем следующем периодическом докладе о шагах, предпринятых с целью их выполнения. Комитет призывает государство-участник перед представлением своего следующего периодического доклада привлечь </w:t>
      </w:r>
      <w:r>
        <w:rPr>
          <w:b/>
          <w:bCs/>
        </w:rPr>
        <w:t>к</w:t>
      </w:r>
      <w:r w:rsidRPr="00EA5136">
        <w:rPr>
          <w:b/>
          <w:bCs/>
        </w:rPr>
        <w:t>анцлера юстиции,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уровне.</w:t>
      </w:r>
    </w:p>
    <w:p w14:paraId="2EA376B0" w14:textId="77777777" w:rsidR="00F54089" w:rsidRPr="00EA5136" w:rsidRDefault="00F54089" w:rsidP="00F54089">
      <w:pPr>
        <w:pStyle w:val="SingleTxtG"/>
        <w:rPr>
          <w:b/>
          <w:bCs/>
        </w:rPr>
      </w:pPr>
      <w:r>
        <w:t>59.</w:t>
      </w:r>
      <w:r>
        <w:tab/>
      </w:r>
      <w:r w:rsidRPr="00EA5136">
        <w:rPr>
          <w:b/>
          <w:bCs/>
        </w:rPr>
        <w:t xml:space="preserve">В соответствии с процедурой осуществления последующих мер по выполнению принятых Комитетом заключительных замечаний Комитет просит государство-участник в течение 24 месяцев с момента принятия настоящих </w:t>
      </w:r>
      <w:r w:rsidRPr="00EA5136">
        <w:rPr>
          <w:b/>
          <w:bCs/>
        </w:rPr>
        <w:lastRenderedPageBreak/>
        <w:t>заключительных замечаний предоставить информацию о выполнении рекомендаций, содержащихся в пунктах 11 (поправки к Закону о равном обращении), 15 а) и b) (устранение препятствий для приобретения гражданства Эстонии лицами без гражданств</w:t>
      </w:r>
      <w:r>
        <w:rPr>
          <w:b/>
          <w:bCs/>
        </w:rPr>
        <w:t xml:space="preserve">а) и 45 d) (разработка политики </w:t>
      </w:r>
      <w:r w:rsidRPr="00EA5136">
        <w:rPr>
          <w:b/>
          <w:bCs/>
        </w:rPr>
        <w:t>в сфере оборота наркотических средств с у</w:t>
      </w:r>
      <w:r>
        <w:rPr>
          <w:b/>
          <w:bCs/>
        </w:rPr>
        <w:t>четом гендерных аспектов) выше.</w:t>
      </w:r>
    </w:p>
    <w:p w14:paraId="500D03B2" w14:textId="77777777" w:rsidR="00F54089" w:rsidRPr="004E0014" w:rsidRDefault="00F54089" w:rsidP="004E0014">
      <w:pPr>
        <w:pStyle w:val="SingleTxtG"/>
        <w:rPr>
          <w:b/>
          <w:bCs/>
        </w:rPr>
      </w:pPr>
      <w:r>
        <w:t>60.</w:t>
      </w:r>
      <w:r>
        <w:tab/>
      </w:r>
      <w:r w:rsidRPr="00EA5136">
        <w:rPr>
          <w:b/>
          <w:bCs/>
        </w:rPr>
        <w:t>Комитет просит государство-участник представить свой четвертый периодический доклад, который должен быть подготовлен в соответствии с руководящими принципами, принятыми Комитетом в 2008 году (E/C.12/2008/2), к 31 марта 2024 года. 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</w:t>
      </w:r>
      <w:r>
        <w:rPr>
          <w:b/>
          <w:bCs/>
        </w:rPr>
        <w:t>о международным договорам о пра</w:t>
      </w:r>
      <w:r w:rsidRPr="00EA5136">
        <w:rPr>
          <w:b/>
          <w:bCs/>
        </w:rPr>
        <w:t>вах человека (HRI/GEN/2/Rev.6, глава I).</w:t>
      </w:r>
    </w:p>
    <w:p w14:paraId="1E53A1A0" w14:textId="77777777" w:rsidR="00381C24" w:rsidRPr="000E7970" w:rsidRDefault="004E0014" w:rsidP="004E0014">
      <w:pPr>
        <w:spacing w:before="240"/>
        <w:jc w:val="center"/>
        <w:rPr>
          <w:u w:val="single"/>
        </w:rPr>
      </w:pPr>
      <w:r w:rsidRPr="000E7970">
        <w:rPr>
          <w:u w:val="single"/>
        </w:rPr>
        <w:tab/>
      </w:r>
      <w:r w:rsidRPr="000E7970">
        <w:rPr>
          <w:u w:val="single"/>
        </w:rPr>
        <w:tab/>
      </w:r>
      <w:r w:rsidRPr="000E7970">
        <w:rPr>
          <w:u w:val="single"/>
        </w:rPr>
        <w:tab/>
      </w:r>
    </w:p>
    <w:sectPr w:rsidR="00381C24" w:rsidRPr="000E7970" w:rsidSect="00E237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7354" w14:textId="77777777" w:rsidR="006715E2" w:rsidRPr="00A312BC" w:rsidRDefault="006715E2" w:rsidP="00A312BC"/>
  </w:endnote>
  <w:endnote w:type="continuationSeparator" w:id="0">
    <w:p w14:paraId="59B14E74" w14:textId="77777777" w:rsidR="006715E2" w:rsidRPr="00A312BC" w:rsidRDefault="006715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5060" w14:textId="77777777" w:rsidR="00E237B2" w:rsidRPr="00E237B2" w:rsidRDefault="00E237B2">
    <w:pPr>
      <w:pStyle w:val="aa"/>
    </w:pPr>
    <w:r w:rsidRPr="00E237B2">
      <w:rPr>
        <w:b/>
        <w:sz w:val="18"/>
      </w:rPr>
      <w:fldChar w:fldCharType="begin"/>
    </w:r>
    <w:r w:rsidRPr="00E237B2">
      <w:rPr>
        <w:b/>
        <w:sz w:val="18"/>
      </w:rPr>
      <w:instrText xml:space="preserve"> PAGE  \* MERGEFORMAT </w:instrText>
    </w:r>
    <w:r w:rsidRPr="00E237B2">
      <w:rPr>
        <w:b/>
        <w:sz w:val="18"/>
      </w:rPr>
      <w:fldChar w:fldCharType="separate"/>
    </w:r>
    <w:r w:rsidRPr="00E237B2">
      <w:rPr>
        <w:b/>
        <w:noProof/>
        <w:sz w:val="18"/>
      </w:rPr>
      <w:t>2</w:t>
    </w:r>
    <w:r w:rsidRPr="00E237B2">
      <w:rPr>
        <w:b/>
        <w:sz w:val="18"/>
      </w:rPr>
      <w:fldChar w:fldCharType="end"/>
    </w:r>
    <w:r>
      <w:rPr>
        <w:b/>
        <w:sz w:val="18"/>
      </w:rPr>
      <w:tab/>
    </w:r>
    <w:r>
      <w:t>GE.19-05020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44F2" w14:textId="77777777" w:rsidR="00E237B2" w:rsidRPr="00E237B2" w:rsidRDefault="00E237B2" w:rsidP="00E237B2">
    <w:pPr>
      <w:pStyle w:val="aa"/>
      <w:tabs>
        <w:tab w:val="clear" w:pos="9639"/>
        <w:tab w:val="right" w:pos="9638"/>
      </w:tabs>
      <w:rPr>
        <w:b/>
        <w:sz w:val="18"/>
      </w:rPr>
    </w:pPr>
    <w:r>
      <w:t>GE.19-05020</w:t>
    </w:r>
    <w:r>
      <w:tab/>
    </w:r>
    <w:r w:rsidRPr="00E237B2">
      <w:rPr>
        <w:b/>
        <w:sz w:val="18"/>
      </w:rPr>
      <w:fldChar w:fldCharType="begin"/>
    </w:r>
    <w:r w:rsidRPr="00E237B2">
      <w:rPr>
        <w:b/>
        <w:sz w:val="18"/>
      </w:rPr>
      <w:instrText xml:space="preserve"> PAGE  \* MERGEFORMAT </w:instrText>
    </w:r>
    <w:r w:rsidRPr="00E237B2">
      <w:rPr>
        <w:b/>
        <w:sz w:val="18"/>
      </w:rPr>
      <w:fldChar w:fldCharType="separate"/>
    </w:r>
    <w:r w:rsidRPr="00E237B2">
      <w:rPr>
        <w:b/>
        <w:noProof/>
        <w:sz w:val="18"/>
      </w:rPr>
      <w:t>3</w:t>
    </w:r>
    <w:r w:rsidRPr="00E237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146E" w14:textId="77777777" w:rsidR="00042B72" w:rsidRPr="00E237B2" w:rsidRDefault="00E237B2" w:rsidP="00E237B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B94F73" wp14:editId="4629B8C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19-05020  (R)</w:t>
    </w:r>
    <w:r>
      <w:rPr>
        <w:lang w:val="en-US"/>
      </w:rPr>
      <w:t xml:space="preserve">  050419  100419</w:t>
    </w:r>
    <w:r>
      <w:br/>
    </w:r>
    <w:r w:rsidRPr="00E237B2">
      <w:rPr>
        <w:rFonts w:ascii="C39T30Lfz" w:hAnsi="C39T30Lfz"/>
        <w:kern w:val="14"/>
        <w:sz w:val="56"/>
      </w:rPr>
      <w:t></w:t>
    </w:r>
    <w:r w:rsidRPr="00E237B2">
      <w:rPr>
        <w:rFonts w:ascii="C39T30Lfz" w:hAnsi="C39T30Lfz"/>
        <w:kern w:val="14"/>
        <w:sz w:val="56"/>
      </w:rPr>
      <w:t></w:t>
    </w:r>
    <w:r w:rsidRPr="00E237B2">
      <w:rPr>
        <w:rFonts w:ascii="C39T30Lfz" w:hAnsi="C39T30Lfz"/>
        <w:kern w:val="14"/>
        <w:sz w:val="56"/>
      </w:rPr>
      <w:t></w:t>
    </w:r>
    <w:r w:rsidRPr="00E237B2">
      <w:rPr>
        <w:rFonts w:ascii="C39T30Lfz" w:hAnsi="C39T30Lfz"/>
        <w:kern w:val="14"/>
        <w:sz w:val="56"/>
      </w:rPr>
      <w:t></w:t>
    </w:r>
    <w:r w:rsidRPr="00E237B2">
      <w:rPr>
        <w:rFonts w:ascii="C39T30Lfz" w:hAnsi="C39T30Lfz"/>
        <w:kern w:val="14"/>
        <w:sz w:val="56"/>
      </w:rPr>
      <w:t></w:t>
    </w:r>
    <w:r w:rsidRPr="00E237B2">
      <w:rPr>
        <w:rFonts w:ascii="C39T30Lfz" w:hAnsi="C39T30Lfz"/>
        <w:kern w:val="14"/>
        <w:sz w:val="56"/>
      </w:rPr>
      <w:t></w:t>
    </w:r>
    <w:r w:rsidRPr="00E237B2">
      <w:rPr>
        <w:rFonts w:ascii="C39T30Lfz" w:hAnsi="C39T30Lfz"/>
        <w:kern w:val="14"/>
        <w:sz w:val="56"/>
      </w:rPr>
      <w:t></w:t>
    </w:r>
    <w:r w:rsidRPr="00E237B2">
      <w:rPr>
        <w:rFonts w:ascii="C39T30Lfz" w:hAnsi="C39T30Lfz"/>
        <w:kern w:val="14"/>
        <w:sz w:val="56"/>
      </w:rPr>
      <w:t></w:t>
    </w:r>
    <w:r w:rsidRPr="00E237B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A3A25C" wp14:editId="259870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EST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EST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114E" w14:textId="77777777" w:rsidR="006715E2" w:rsidRPr="001075E9" w:rsidRDefault="006715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70826A" w14:textId="77777777" w:rsidR="006715E2" w:rsidRDefault="006715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0D7BE7" w14:textId="77777777" w:rsidR="00F54089" w:rsidRPr="001742F2" w:rsidRDefault="00F54089" w:rsidP="00F54089">
      <w:pPr>
        <w:pStyle w:val="af"/>
      </w:pPr>
      <w:r>
        <w:tab/>
      </w:r>
      <w:r w:rsidRPr="00F54089">
        <w:rPr>
          <w:sz w:val="20"/>
        </w:rPr>
        <w:t>*</w:t>
      </w:r>
      <w:r>
        <w:tab/>
        <w:t>Приняты Комитетом на его шестьдесят пятой сессии (18 февраля – 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55E7" w14:textId="3FD35276" w:rsidR="00E237B2" w:rsidRPr="00E237B2" w:rsidRDefault="00437BB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E/C.12/EST/CO/3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ADD6" w14:textId="4D492B64" w:rsidR="00E237B2" w:rsidRPr="00E237B2" w:rsidRDefault="00437BBE" w:rsidP="00E237B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E/C.12/EST/CO/3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E"/>
    <w:rsid w:val="00033EE1"/>
    <w:rsid w:val="00042B72"/>
    <w:rsid w:val="00043B08"/>
    <w:rsid w:val="000558BD"/>
    <w:rsid w:val="000857D2"/>
    <w:rsid w:val="000B57E7"/>
    <w:rsid w:val="000B6373"/>
    <w:rsid w:val="000E7970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4B4E"/>
    <w:rsid w:val="003958D0"/>
    <w:rsid w:val="003A0D43"/>
    <w:rsid w:val="003B00E5"/>
    <w:rsid w:val="00407B78"/>
    <w:rsid w:val="00424203"/>
    <w:rsid w:val="0042551A"/>
    <w:rsid w:val="00437BBE"/>
    <w:rsid w:val="00452493"/>
    <w:rsid w:val="00453318"/>
    <w:rsid w:val="00454E07"/>
    <w:rsid w:val="00472C5C"/>
    <w:rsid w:val="004E0014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0A3A"/>
    <w:rsid w:val="005D7914"/>
    <w:rsid w:val="005E2B41"/>
    <w:rsid w:val="005F0B42"/>
    <w:rsid w:val="005F1707"/>
    <w:rsid w:val="00640F49"/>
    <w:rsid w:val="006715E2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63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30373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92B1E"/>
    <w:rsid w:val="00BC18B2"/>
    <w:rsid w:val="00BD33EE"/>
    <w:rsid w:val="00BF21E1"/>
    <w:rsid w:val="00C106D6"/>
    <w:rsid w:val="00C51277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02B2"/>
    <w:rsid w:val="00DD44B1"/>
    <w:rsid w:val="00DD78D1"/>
    <w:rsid w:val="00DE32CD"/>
    <w:rsid w:val="00DF71B9"/>
    <w:rsid w:val="00E237B2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408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39F29"/>
  <w15:docId w15:val="{682177EC-D7D8-4BA0-84C2-741F7D8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F5408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8BC8-5DAE-4656-B89C-24B3E939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13</Pages>
  <Words>5637</Words>
  <Characters>32133</Characters>
  <Application>Microsoft Office Word</Application>
  <DocSecurity>0</DocSecurity>
  <Lines>267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E/C.12/EST/CO/3</vt:lpstr>
      <vt:lpstr>A/</vt:lpstr>
      <vt:lpstr>A/</vt:lpstr>
    </vt:vector>
  </TitlesOfParts>
  <Company>DCM</Company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E/C.12/EST/CO/3</dc:title>
  <dc:subject/>
  <dc:creator>Ekaterina SALYNSKAYA</dc:creator>
  <cp:keywords/>
  <cp:lastModifiedBy>Ekaterina Salynskaya</cp:lastModifiedBy>
  <cp:revision>3</cp:revision>
  <cp:lastPrinted>2019-04-10T09:19:00Z</cp:lastPrinted>
  <dcterms:created xsi:type="dcterms:W3CDTF">2019-04-10T09:19:00Z</dcterms:created>
  <dcterms:modified xsi:type="dcterms:W3CDTF">2019-04-10T09:21:00Z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